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E9661" w14:textId="77777777" w:rsidR="00591434" w:rsidRDefault="00591434" w:rsidP="00A30D21">
      <w:pPr>
        <w:jc w:val="right"/>
        <w:rPr>
          <w:rFonts w:ascii="Calibri" w:hAnsi="Calibri" w:cs="Calibri"/>
          <w:b/>
          <w:sz w:val="24"/>
          <w:szCs w:val="24"/>
        </w:rPr>
      </w:pPr>
    </w:p>
    <w:p w14:paraId="3A487169" w14:textId="1B8E3832" w:rsidR="00A30D21" w:rsidRPr="00A30D21" w:rsidRDefault="00A30D21" w:rsidP="00A30D21">
      <w:pPr>
        <w:jc w:val="right"/>
        <w:rPr>
          <w:rFonts w:ascii="Calibri" w:hAnsi="Calibri" w:cs="Calibri"/>
          <w:b/>
          <w:sz w:val="24"/>
          <w:szCs w:val="24"/>
        </w:rPr>
      </w:pPr>
      <w:r w:rsidRPr="00A30D21">
        <w:rPr>
          <w:rFonts w:ascii="Calibri" w:hAnsi="Calibri" w:cs="Calibri"/>
          <w:b/>
          <w:sz w:val="24"/>
          <w:szCs w:val="24"/>
        </w:rPr>
        <w:t>MICROBIOLOGICAL PROFILE OF FUNGI ISOLATED FROM GWAGWALADA RIVER EXPOSED TO KUTUNKU ABATTOIR, ABUJA</w:t>
      </w:r>
    </w:p>
    <w:p w14:paraId="08339D25" w14:textId="77777777" w:rsidR="00A30D21" w:rsidRPr="00A30D21" w:rsidRDefault="00A30D21" w:rsidP="00A30D21">
      <w:pPr>
        <w:jc w:val="right"/>
        <w:rPr>
          <w:rFonts w:ascii="Calibri" w:hAnsi="Calibri" w:cs="Calibri"/>
          <w:sz w:val="24"/>
          <w:szCs w:val="24"/>
        </w:rPr>
      </w:pPr>
    </w:p>
    <w:p w14:paraId="5EF809F7" w14:textId="77777777" w:rsidR="00A30D21" w:rsidRPr="00A30D21" w:rsidRDefault="00A30D21" w:rsidP="00A30D21">
      <w:pPr>
        <w:rPr>
          <w:rFonts w:ascii="Calibri" w:hAnsi="Calibri" w:cs="Calibri"/>
          <w:sz w:val="24"/>
          <w:szCs w:val="24"/>
        </w:rPr>
      </w:pPr>
    </w:p>
    <w:p w14:paraId="6CA330E1" w14:textId="77777777" w:rsidR="00A30D21" w:rsidRPr="00A30D21" w:rsidRDefault="00A30D21" w:rsidP="00A30D21">
      <w:pPr>
        <w:spacing w:line="480" w:lineRule="auto"/>
        <w:jc w:val="both"/>
        <w:rPr>
          <w:rFonts w:ascii="Calibri" w:eastAsia="Calibri" w:hAnsi="Calibri" w:cs="Calibri"/>
          <w:b/>
          <w:sz w:val="24"/>
          <w:szCs w:val="24"/>
        </w:rPr>
      </w:pPr>
      <w:r w:rsidRPr="00A30D21">
        <w:rPr>
          <w:rFonts w:ascii="Calibri" w:eastAsia="Calibri" w:hAnsi="Calibri" w:cs="Calibri"/>
          <w:b/>
          <w:sz w:val="24"/>
          <w:szCs w:val="24"/>
        </w:rPr>
        <w:t>ABSTRACT</w:t>
      </w:r>
    </w:p>
    <w:p w14:paraId="4B971402" w14:textId="77777777" w:rsidR="00A30D21" w:rsidRPr="00A30D21" w:rsidRDefault="00A30D21" w:rsidP="00A30D21">
      <w:pPr>
        <w:jc w:val="both"/>
        <w:rPr>
          <w:rFonts w:ascii="Calibri" w:hAnsi="Calibri" w:cs="Calibri"/>
          <w:sz w:val="24"/>
          <w:szCs w:val="24"/>
        </w:rPr>
      </w:pPr>
      <w:r>
        <w:rPr>
          <w:rFonts w:ascii="Calibri" w:hAnsi="Calibri" w:cs="Calibri"/>
          <w:b/>
          <w:bCs/>
          <w:sz w:val="24"/>
          <w:szCs w:val="24"/>
        </w:rPr>
        <w:t>Aim</w:t>
      </w:r>
      <w:r w:rsidRPr="00A30D21">
        <w:rPr>
          <w:rFonts w:ascii="Calibri" w:hAnsi="Calibri" w:cs="Calibri"/>
          <w:b/>
          <w:bCs/>
          <w:sz w:val="24"/>
          <w:szCs w:val="24"/>
        </w:rPr>
        <w:t>:</w:t>
      </w:r>
      <w:r w:rsidRPr="00A30D21">
        <w:rPr>
          <w:rFonts w:ascii="Calibri" w:hAnsi="Calibri" w:cs="Calibri"/>
          <w:sz w:val="24"/>
          <w:szCs w:val="24"/>
        </w:rPr>
        <w:t xml:space="preserve"> This study assessed the fungal microbiological profile of </w:t>
      </w:r>
      <w:r w:rsidR="007545B6">
        <w:rPr>
          <w:rFonts w:ascii="Calibri" w:hAnsi="Calibri" w:cs="Calibri"/>
          <w:sz w:val="24"/>
          <w:szCs w:val="24"/>
        </w:rPr>
        <w:t xml:space="preserve">the </w:t>
      </w:r>
      <w:r w:rsidRPr="00A30D21">
        <w:rPr>
          <w:rFonts w:ascii="Calibri" w:hAnsi="Calibri" w:cs="Calibri"/>
          <w:sz w:val="24"/>
          <w:szCs w:val="24"/>
        </w:rPr>
        <w:t xml:space="preserve">Gwagwalada River, which is influenced by effluent from </w:t>
      </w:r>
      <w:r w:rsidR="007545B6">
        <w:rPr>
          <w:rFonts w:ascii="Calibri" w:hAnsi="Calibri" w:cs="Calibri"/>
          <w:sz w:val="24"/>
          <w:szCs w:val="24"/>
        </w:rPr>
        <w:t xml:space="preserve">the </w:t>
      </w:r>
      <w:proofErr w:type="spellStart"/>
      <w:r w:rsidRPr="00A30D21">
        <w:rPr>
          <w:rFonts w:ascii="Calibri" w:hAnsi="Calibri" w:cs="Calibri"/>
          <w:sz w:val="24"/>
          <w:szCs w:val="24"/>
        </w:rPr>
        <w:t>Kutunku</w:t>
      </w:r>
      <w:proofErr w:type="spellEnd"/>
      <w:r w:rsidRPr="00A30D21">
        <w:rPr>
          <w:rFonts w:ascii="Calibri" w:hAnsi="Calibri" w:cs="Calibri"/>
          <w:sz w:val="24"/>
          <w:szCs w:val="24"/>
        </w:rPr>
        <w:t xml:space="preserve"> abattoir, Abuja, to evaluate water quality and potential public health risks.</w:t>
      </w:r>
    </w:p>
    <w:p w14:paraId="7DE77CB2" w14:textId="723D7EB0" w:rsidR="00A30D21" w:rsidRDefault="00A30D21" w:rsidP="00A30D21">
      <w:pPr>
        <w:jc w:val="both"/>
        <w:rPr>
          <w:rFonts w:ascii="Calibri" w:hAnsi="Calibri" w:cs="Calibri"/>
          <w:sz w:val="24"/>
          <w:szCs w:val="24"/>
        </w:rPr>
      </w:pPr>
      <w:r w:rsidRPr="00A30D21">
        <w:rPr>
          <w:rFonts w:ascii="Calibri" w:hAnsi="Calibri" w:cs="Calibri"/>
          <w:b/>
          <w:bCs/>
          <w:sz w:val="24"/>
          <w:szCs w:val="24"/>
        </w:rPr>
        <w:t>Methods:</w:t>
      </w:r>
      <w:r w:rsidRPr="00A30D21">
        <w:rPr>
          <w:rFonts w:ascii="Calibri" w:hAnsi="Calibri" w:cs="Calibri"/>
          <w:sz w:val="24"/>
          <w:szCs w:val="24"/>
        </w:rPr>
        <w:t xml:space="preserve"> </w:t>
      </w:r>
      <w:r w:rsidR="00754149" w:rsidRPr="00754149">
        <w:rPr>
          <w:rFonts w:ascii="Calibri" w:hAnsi="Calibri" w:cs="Calibri"/>
          <w:sz w:val="24"/>
          <w:szCs w:val="24"/>
          <w:highlight w:val="yellow"/>
        </w:rPr>
        <w:t>Three w</w:t>
      </w:r>
      <w:r w:rsidRPr="00754149">
        <w:rPr>
          <w:rFonts w:ascii="Calibri" w:hAnsi="Calibri" w:cs="Calibri"/>
          <w:sz w:val="24"/>
          <w:szCs w:val="24"/>
          <w:highlight w:val="yellow"/>
        </w:rPr>
        <w:t>ater</w:t>
      </w:r>
      <w:r w:rsidRPr="00A30D21">
        <w:rPr>
          <w:rFonts w:ascii="Calibri" w:hAnsi="Calibri" w:cs="Calibri"/>
          <w:sz w:val="24"/>
          <w:szCs w:val="24"/>
        </w:rPr>
        <w:t xml:space="preserve"> samples were collected from three designated sites (A, B, and C) at a depth of 30 cm</w:t>
      </w:r>
      <w:r>
        <w:rPr>
          <w:rFonts w:ascii="Calibri" w:hAnsi="Calibri" w:cs="Calibri"/>
          <w:sz w:val="24"/>
          <w:szCs w:val="24"/>
        </w:rPr>
        <w:t xml:space="preserve"> from </w:t>
      </w:r>
      <w:r w:rsidR="007545B6">
        <w:rPr>
          <w:rFonts w:ascii="Calibri" w:hAnsi="Calibri" w:cs="Calibri"/>
          <w:sz w:val="24"/>
          <w:szCs w:val="24"/>
        </w:rPr>
        <w:t xml:space="preserve">the </w:t>
      </w:r>
      <w:r>
        <w:rPr>
          <w:rFonts w:ascii="Calibri" w:hAnsi="Calibri" w:cs="Calibri"/>
          <w:sz w:val="24"/>
          <w:szCs w:val="24"/>
        </w:rPr>
        <w:t xml:space="preserve">Gwagwalada river and transported on ice to the Biotechnology Advanced Research Centre of the </w:t>
      </w:r>
      <w:proofErr w:type="spellStart"/>
      <w:r>
        <w:rPr>
          <w:rFonts w:ascii="Calibri" w:hAnsi="Calibri" w:cs="Calibri"/>
          <w:sz w:val="24"/>
          <w:szCs w:val="24"/>
        </w:rPr>
        <w:t>Sheda</w:t>
      </w:r>
      <w:proofErr w:type="spellEnd"/>
      <w:r>
        <w:rPr>
          <w:rFonts w:ascii="Calibri" w:hAnsi="Calibri" w:cs="Calibri"/>
          <w:sz w:val="24"/>
          <w:szCs w:val="24"/>
        </w:rPr>
        <w:t xml:space="preserve"> Science and Technology Complex, Abuja for further analysis</w:t>
      </w:r>
      <w:r w:rsidRPr="00A30D21">
        <w:rPr>
          <w:rFonts w:ascii="Calibri" w:hAnsi="Calibri" w:cs="Calibri"/>
          <w:sz w:val="24"/>
          <w:szCs w:val="24"/>
        </w:rPr>
        <w:t xml:space="preserve">. Fungal isolation was performed using </w:t>
      </w:r>
      <w:proofErr w:type="spellStart"/>
      <w:r w:rsidR="007545B6" w:rsidRPr="00E2260F">
        <w:rPr>
          <w:rFonts w:ascii="Calibri" w:hAnsi="Calibri" w:cs="Calibri"/>
          <w:sz w:val="24"/>
          <w:szCs w:val="24"/>
        </w:rPr>
        <w:t>Sabouraud</w:t>
      </w:r>
      <w:proofErr w:type="spellEnd"/>
      <w:r w:rsidR="007545B6" w:rsidRPr="00A30D21">
        <w:rPr>
          <w:rFonts w:ascii="Calibri" w:hAnsi="Calibri" w:cs="Calibri"/>
          <w:sz w:val="24"/>
          <w:szCs w:val="24"/>
        </w:rPr>
        <w:t xml:space="preserve"> </w:t>
      </w:r>
      <w:r w:rsidRPr="00A30D21">
        <w:rPr>
          <w:rFonts w:ascii="Calibri" w:hAnsi="Calibri" w:cs="Calibri"/>
          <w:sz w:val="24"/>
          <w:szCs w:val="24"/>
        </w:rPr>
        <w:t>Dextrose Agar and Broth</w:t>
      </w:r>
      <w:r>
        <w:rPr>
          <w:rFonts w:ascii="Calibri" w:hAnsi="Calibri" w:cs="Calibri"/>
          <w:sz w:val="24"/>
          <w:szCs w:val="24"/>
        </w:rPr>
        <w:t xml:space="preserve"> supplemented with 0.</w:t>
      </w:r>
      <w:r w:rsidR="00EF23E9">
        <w:rPr>
          <w:rFonts w:ascii="Calibri" w:hAnsi="Calibri" w:cs="Calibri"/>
          <w:sz w:val="24"/>
          <w:szCs w:val="24"/>
        </w:rPr>
        <w:t xml:space="preserve">1g </w:t>
      </w:r>
      <w:r>
        <w:rPr>
          <w:rFonts w:ascii="Calibri" w:hAnsi="Calibri" w:cs="Calibri"/>
          <w:sz w:val="24"/>
          <w:szCs w:val="24"/>
        </w:rPr>
        <w:t>C</w:t>
      </w:r>
      <w:r w:rsidR="00EF23E9">
        <w:rPr>
          <w:rFonts w:ascii="Calibri" w:hAnsi="Calibri" w:cs="Calibri"/>
          <w:sz w:val="24"/>
          <w:szCs w:val="24"/>
        </w:rPr>
        <w:t>hloramphenicol</w:t>
      </w:r>
      <w:r w:rsidRPr="00A30D21">
        <w:rPr>
          <w:rFonts w:ascii="Calibri" w:hAnsi="Calibri" w:cs="Calibri"/>
          <w:sz w:val="24"/>
          <w:szCs w:val="24"/>
        </w:rPr>
        <w:t>. Fungal identification was confirmed via ITS region sequencing. Antifungal susceptibility testing was conducted using standard protocols, and statistical analysis was performed with one-way ANOVA (SPSS v30.0).</w:t>
      </w:r>
      <w:r w:rsidR="009536DC">
        <w:rPr>
          <w:rFonts w:ascii="Calibri" w:hAnsi="Calibri" w:cs="Calibri"/>
          <w:sz w:val="24"/>
          <w:szCs w:val="24"/>
        </w:rPr>
        <w:t xml:space="preserve"> </w:t>
      </w:r>
      <w:r w:rsidR="009536DC" w:rsidRPr="009536DC">
        <w:rPr>
          <w:rFonts w:ascii="Calibri" w:hAnsi="Calibri" w:cs="Calibri"/>
          <w:sz w:val="24"/>
          <w:szCs w:val="24"/>
          <w:highlight w:val="yellow"/>
        </w:rPr>
        <w:t>Physicochemical parameters, including pH, temperature, turbidity, dissolved oxygen, total dissolved solids, biochemical oxygen demand, and heavy metals, were assessed using standard methods</w:t>
      </w:r>
    </w:p>
    <w:p w14:paraId="364BAD7E" w14:textId="3EDEAA44" w:rsidR="00754149" w:rsidRPr="00A30D21" w:rsidRDefault="00A30D21" w:rsidP="00754149">
      <w:pPr>
        <w:jc w:val="both"/>
        <w:rPr>
          <w:rFonts w:ascii="Calibri" w:hAnsi="Calibri" w:cs="Calibri"/>
          <w:sz w:val="24"/>
          <w:szCs w:val="24"/>
        </w:rPr>
      </w:pPr>
      <w:r w:rsidRPr="00A30D21">
        <w:rPr>
          <w:rFonts w:ascii="Calibri" w:hAnsi="Calibri" w:cs="Calibri"/>
          <w:b/>
          <w:bCs/>
          <w:sz w:val="24"/>
          <w:szCs w:val="24"/>
        </w:rPr>
        <w:t>Results:</w:t>
      </w:r>
      <w:r w:rsidRPr="00A30D21">
        <w:rPr>
          <w:rFonts w:ascii="Calibri" w:hAnsi="Calibri" w:cs="Calibri"/>
          <w:sz w:val="24"/>
          <w:szCs w:val="24"/>
        </w:rPr>
        <w:t xml:space="preserve"> Fungal loads at points A, B, and C were 3.5 × 10⁶, 3.9 × 10⁶, and 1.82 × 10⁷ </w:t>
      </w:r>
      <w:r w:rsidR="00345DD8">
        <w:rPr>
          <w:rFonts w:ascii="Calibri" w:hAnsi="Calibri" w:cs="Calibri"/>
          <w:sz w:val="24"/>
          <w:szCs w:val="24"/>
        </w:rPr>
        <w:t>CFU</w:t>
      </w:r>
      <w:r w:rsidRPr="00A30D21">
        <w:rPr>
          <w:rFonts w:ascii="Calibri" w:hAnsi="Calibri" w:cs="Calibri"/>
          <w:sz w:val="24"/>
          <w:szCs w:val="24"/>
        </w:rPr>
        <w:t xml:space="preserve">/mL, respectively, with significant differences observed among sites (p &lt; 0.01). Molecular analysis identified </w:t>
      </w:r>
      <w:r w:rsidRPr="00A30D21">
        <w:rPr>
          <w:rFonts w:ascii="Calibri" w:hAnsi="Calibri" w:cs="Calibri"/>
          <w:i/>
          <w:iCs/>
          <w:sz w:val="24"/>
          <w:szCs w:val="24"/>
        </w:rPr>
        <w:t xml:space="preserve">Fusarium </w:t>
      </w:r>
      <w:proofErr w:type="spellStart"/>
      <w:r w:rsidRPr="00A30D21">
        <w:rPr>
          <w:rFonts w:ascii="Calibri" w:hAnsi="Calibri" w:cs="Calibri"/>
          <w:i/>
          <w:iCs/>
          <w:sz w:val="24"/>
          <w:szCs w:val="24"/>
        </w:rPr>
        <w:t>oxysporum</w:t>
      </w:r>
      <w:proofErr w:type="spellEnd"/>
      <w:r w:rsidRPr="00A30D21">
        <w:rPr>
          <w:rFonts w:ascii="Calibri" w:hAnsi="Calibri" w:cs="Calibri"/>
          <w:sz w:val="24"/>
          <w:szCs w:val="24"/>
        </w:rPr>
        <w:t xml:space="preserve">, </w:t>
      </w:r>
      <w:r w:rsidRPr="00A30D21">
        <w:rPr>
          <w:rFonts w:ascii="Calibri" w:hAnsi="Calibri" w:cs="Calibri"/>
          <w:i/>
          <w:iCs/>
          <w:sz w:val="24"/>
          <w:szCs w:val="24"/>
        </w:rPr>
        <w:t xml:space="preserve">Aspergillus </w:t>
      </w:r>
      <w:proofErr w:type="spellStart"/>
      <w:r w:rsidRPr="00A30D21">
        <w:rPr>
          <w:rFonts w:ascii="Calibri" w:hAnsi="Calibri" w:cs="Calibri"/>
          <w:i/>
          <w:iCs/>
          <w:sz w:val="24"/>
          <w:szCs w:val="24"/>
        </w:rPr>
        <w:t>niger</w:t>
      </w:r>
      <w:proofErr w:type="spellEnd"/>
      <w:r w:rsidRPr="00A30D21">
        <w:rPr>
          <w:rFonts w:ascii="Calibri" w:hAnsi="Calibri" w:cs="Calibri"/>
          <w:sz w:val="24"/>
          <w:szCs w:val="24"/>
        </w:rPr>
        <w:t xml:space="preserve">, and </w:t>
      </w:r>
      <w:r w:rsidRPr="00A30D21">
        <w:rPr>
          <w:rFonts w:ascii="Calibri" w:hAnsi="Calibri" w:cs="Calibri"/>
          <w:i/>
          <w:iCs/>
          <w:sz w:val="24"/>
          <w:szCs w:val="24"/>
        </w:rPr>
        <w:t>Aspergillus flavus</w:t>
      </w:r>
      <w:r w:rsidRPr="00A30D21">
        <w:rPr>
          <w:rFonts w:ascii="Calibri" w:hAnsi="Calibri" w:cs="Calibri"/>
          <w:sz w:val="24"/>
          <w:szCs w:val="24"/>
        </w:rPr>
        <w:t xml:space="preserve"> as dominant species. All isolates exhibited 100% susceptibility to clotrimazole, ketoconazole, and nystatin.</w:t>
      </w:r>
      <w:r w:rsidR="00754149">
        <w:rPr>
          <w:rFonts w:ascii="Calibri" w:hAnsi="Calibri" w:cs="Calibri"/>
          <w:sz w:val="24"/>
          <w:szCs w:val="24"/>
        </w:rPr>
        <w:t xml:space="preserve"> </w:t>
      </w:r>
      <w:r w:rsidR="00754149" w:rsidRPr="00754149">
        <w:rPr>
          <w:rFonts w:ascii="Calibri" w:hAnsi="Calibri" w:cs="Calibri"/>
          <w:sz w:val="24"/>
          <w:szCs w:val="24"/>
          <w:highlight w:val="yellow"/>
        </w:rPr>
        <w:t>The presence of potentially pathogenic fungi highlights the river’s contamination and associated public health risks.</w:t>
      </w:r>
    </w:p>
    <w:p w14:paraId="34A7AF0D" w14:textId="314EC797" w:rsidR="00A30D21" w:rsidRPr="00A30D21" w:rsidRDefault="00A30D21" w:rsidP="00A30D21">
      <w:pPr>
        <w:jc w:val="both"/>
        <w:rPr>
          <w:rFonts w:ascii="Calibri" w:hAnsi="Calibri" w:cs="Calibri"/>
          <w:sz w:val="24"/>
          <w:szCs w:val="24"/>
        </w:rPr>
      </w:pPr>
    </w:p>
    <w:p w14:paraId="1FF35F44" w14:textId="77777777" w:rsidR="00A30D21" w:rsidRPr="00A30D21" w:rsidRDefault="00A30D21" w:rsidP="00A30D21">
      <w:pPr>
        <w:jc w:val="both"/>
        <w:rPr>
          <w:rFonts w:ascii="Calibri" w:hAnsi="Calibri" w:cs="Calibri"/>
          <w:sz w:val="24"/>
          <w:szCs w:val="24"/>
        </w:rPr>
      </w:pPr>
      <w:r w:rsidRPr="00A30D21">
        <w:rPr>
          <w:rFonts w:ascii="Calibri" w:hAnsi="Calibri" w:cs="Calibri"/>
          <w:b/>
          <w:bCs/>
          <w:sz w:val="24"/>
          <w:szCs w:val="24"/>
        </w:rPr>
        <w:t>Conclusion:</w:t>
      </w:r>
      <w:r w:rsidRPr="00A30D21">
        <w:rPr>
          <w:rFonts w:ascii="Calibri" w:hAnsi="Calibri" w:cs="Calibri"/>
          <w:sz w:val="24"/>
          <w:szCs w:val="24"/>
        </w:rPr>
        <w:t xml:space="preserve"> The high fungal load and presence of potentially pathogenic species indicate significant water quality deterioration in </w:t>
      </w:r>
      <w:r w:rsidR="00345DD8">
        <w:rPr>
          <w:rFonts w:ascii="Calibri" w:hAnsi="Calibri" w:cs="Calibri"/>
          <w:sz w:val="24"/>
          <w:szCs w:val="24"/>
        </w:rPr>
        <w:t xml:space="preserve">the </w:t>
      </w:r>
      <w:r w:rsidRPr="00A30D21">
        <w:rPr>
          <w:rFonts w:ascii="Calibri" w:hAnsi="Calibri" w:cs="Calibri"/>
          <w:sz w:val="24"/>
          <w:szCs w:val="24"/>
        </w:rPr>
        <w:t>Gwagwalada River, likely associated with abattoir effluent, posing a potential public health risk. Monitoring and mitigation strategies are recommended to safeguard community health.</w:t>
      </w:r>
    </w:p>
    <w:p w14:paraId="569A6980" w14:textId="77777777" w:rsidR="00A30D21" w:rsidRPr="00A30D21" w:rsidRDefault="00A30D21" w:rsidP="00A30D21">
      <w:pPr>
        <w:jc w:val="both"/>
        <w:rPr>
          <w:rFonts w:ascii="Calibri" w:hAnsi="Calibri" w:cs="Calibri"/>
          <w:sz w:val="24"/>
          <w:szCs w:val="24"/>
        </w:rPr>
      </w:pPr>
      <w:bookmarkStart w:id="0" w:name="_GoBack"/>
      <w:r w:rsidRPr="00A30D21">
        <w:rPr>
          <w:rFonts w:ascii="Calibri" w:hAnsi="Calibri" w:cs="Calibri"/>
          <w:b/>
          <w:bCs/>
          <w:sz w:val="24"/>
          <w:szCs w:val="24"/>
        </w:rPr>
        <w:t>Keywords</w:t>
      </w:r>
      <w:bookmarkEnd w:id="0"/>
      <w:r w:rsidRPr="00A30D21">
        <w:rPr>
          <w:rFonts w:ascii="Calibri" w:hAnsi="Calibri" w:cs="Calibri"/>
          <w:b/>
          <w:bCs/>
          <w:sz w:val="24"/>
          <w:szCs w:val="24"/>
        </w:rPr>
        <w:t>:</w:t>
      </w:r>
      <w:r w:rsidRPr="00A30D21">
        <w:rPr>
          <w:rFonts w:ascii="Calibri" w:hAnsi="Calibri" w:cs="Calibri"/>
          <w:sz w:val="24"/>
          <w:szCs w:val="24"/>
        </w:rPr>
        <w:t xml:space="preserve"> Fungi, River water, Abattoir effluent, ITS sequencing, Antifungal susceptibility, Public health risk</w:t>
      </w:r>
    </w:p>
    <w:p w14:paraId="7CCE3D5F" w14:textId="77777777" w:rsidR="00A30D21" w:rsidRDefault="00A30D21">
      <w:pPr>
        <w:rPr>
          <w:rFonts w:ascii="Calibri" w:hAnsi="Calibri" w:cs="Calibri"/>
          <w:sz w:val="24"/>
          <w:szCs w:val="24"/>
        </w:rPr>
      </w:pPr>
    </w:p>
    <w:p w14:paraId="0F15589B" w14:textId="77777777" w:rsidR="00D43EAD" w:rsidRDefault="00D43EAD" w:rsidP="009A67C0">
      <w:pPr>
        <w:rPr>
          <w:rFonts w:ascii="Calibri" w:hAnsi="Calibri" w:cs="Calibri"/>
          <w:b/>
          <w:bCs/>
          <w:sz w:val="24"/>
          <w:szCs w:val="24"/>
        </w:rPr>
      </w:pPr>
    </w:p>
    <w:p w14:paraId="40F4E5C9" w14:textId="77777777" w:rsidR="009A67C0" w:rsidRPr="009A67C0" w:rsidRDefault="009A67C0" w:rsidP="009A67C0">
      <w:pPr>
        <w:rPr>
          <w:rFonts w:ascii="Calibri" w:hAnsi="Calibri" w:cs="Calibri"/>
          <w:b/>
          <w:bCs/>
          <w:sz w:val="24"/>
          <w:szCs w:val="24"/>
        </w:rPr>
      </w:pPr>
      <w:r w:rsidRPr="009A67C0">
        <w:rPr>
          <w:rFonts w:ascii="Calibri" w:hAnsi="Calibri" w:cs="Calibri"/>
          <w:b/>
          <w:bCs/>
          <w:sz w:val="24"/>
          <w:szCs w:val="24"/>
        </w:rPr>
        <w:t>INTRODUCTION</w:t>
      </w:r>
    </w:p>
    <w:p w14:paraId="668AF417" w14:textId="77777777" w:rsidR="00454783" w:rsidRPr="00454783" w:rsidRDefault="00084359" w:rsidP="00454783">
      <w:pPr>
        <w:spacing w:line="276" w:lineRule="auto"/>
        <w:jc w:val="both"/>
        <w:rPr>
          <w:rFonts w:ascii="Calibri" w:hAnsi="Calibri" w:cs="Calibri"/>
          <w:sz w:val="24"/>
          <w:szCs w:val="24"/>
        </w:rPr>
      </w:pPr>
      <w:r w:rsidRPr="00084359">
        <w:rPr>
          <w:rFonts w:ascii="Calibri" w:hAnsi="Calibri" w:cs="Calibri"/>
          <w:sz w:val="24"/>
          <w:szCs w:val="24"/>
        </w:rPr>
        <w:t xml:space="preserve">Safe and clean water is fundamental for human health, agriculture, and ecosystem functioning (Vega </w:t>
      </w:r>
      <w:r w:rsidR="00CA22BB" w:rsidRPr="00CA22BB">
        <w:rPr>
          <w:rFonts w:ascii="Calibri" w:hAnsi="Calibri" w:cs="Calibri"/>
          <w:i/>
          <w:sz w:val="24"/>
          <w:szCs w:val="24"/>
        </w:rPr>
        <w:t>et al</w:t>
      </w:r>
      <w:r w:rsidRPr="00084359">
        <w:rPr>
          <w:rFonts w:ascii="Calibri" w:hAnsi="Calibri" w:cs="Calibri"/>
          <w:sz w:val="24"/>
          <w:szCs w:val="24"/>
        </w:rPr>
        <w:t xml:space="preserve">., 2023). However, water resources are increasingly threatened by </w:t>
      </w:r>
      <w:r w:rsidRPr="00084359">
        <w:rPr>
          <w:rFonts w:ascii="Calibri" w:hAnsi="Calibri" w:cs="Calibri"/>
          <w:sz w:val="24"/>
          <w:szCs w:val="24"/>
        </w:rPr>
        <w:lastRenderedPageBreak/>
        <w:t xml:space="preserve">population growth, urbanization, and anthropogenic activities, which elevate pollution and reduce water quality worldwide (Vega </w:t>
      </w:r>
      <w:r w:rsidR="00CA22BB" w:rsidRPr="00CA22BB">
        <w:rPr>
          <w:rFonts w:ascii="Calibri" w:hAnsi="Calibri" w:cs="Calibri"/>
          <w:i/>
          <w:sz w:val="24"/>
          <w:szCs w:val="24"/>
        </w:rPr>
        <w:t>et al</w:t>
      </w:r>
      <w:r w:rsidRPr="00084359">
        <w:rPr>
          <w:rFonts w:ascii="Calibri" w:hAnsi="Calibri" w:cs="Calibri"/>
          <w:sz w:val="24"/>
          <w:szCs w:val="24"/>
        </w:rPr>
        <w:t xml:space="preserve">., 2023). Contaminated water and poor sanitation remain major contributors to disease, with waterborne pathogens causing gastrointestinal illnesses and other infections, particularly in low- and middle-income countries (Al-Afify </w:t>
      </w:r>
      <w:r w:rsidR="00CA22BB" w:rsidRPr="00CA22BB">
        <w:rPr>
          <w:rFonts w:ascii="Calibri" w:hAnsi="Calibri" w:cs="Calibri"/>
          <w:i/>
          <w:sz w:val="24"/>
          <w:szCs w:val="24"/>
        </w:rPr>
        <w:t>et al</w:t>
      </w:r>
      <w:r w:rsidRPr="00084359">
        <w:rPr>
          <w:rFonts w:ascii="Calibri" w:hAnsi="Calibri" w:cs="Calibri"/>
          <w:sz w:val="24"/>
          <w:szCs w:val="24"/>
        </w:rPr>
        <w:t>., 2023).</w:t>
      </w:r>
      <w:r w:rsidR="00454783">
        <w:rPr>
          <w:rFonts w:ascii="Calibri" w:hAnsi="Calibri" w:cs="Calibri"/>
          <w:sz w:val="24"/>
          <w:szCs w:val="24"/>
        </w:rPr>
        <w:t xml:space="preserve"> </w:t>
      </w:r>
      <w:r w:rsidR="00454783" w:rsidRPr="00454783">
        <w:rPr>
          <w:rFonts w:ascii="Calibri" w:hAnsi="Calibri" w:cs="Calibri"/>
          <w:sz w:val="24"/>
          <w:szCs w:val="24"/>
          <w:highlight w:val="yellow"/>
        </w:rPr>
        <w:t xml:space="preserve">Access to safe and clean water is fundamental for human health, agriculture, and the functioning of ecosystems (Vega </w:t>
      </w:r>
      <w:r w:rsidR="00454783" w:rsidRPr="00454783">
        <w:rPr>
          <w:rFonts w:ascii="Calibri" w:hAnsi="Calibri" w:cs="Calibri"/>
          <w:i/>
          <w:iCs/>
          <w:sz w:val="24"/>
          <w:szCs w:val="24"/>
          <w:highlight w:val="yellow"/>
        </w:rPr>
        <w:t>et al</w:t>
      </w:r>
      <w:r w:rsidR="00454783" w:rsidRPr="00454783">
        <w:rPr>
          <w:rFonts w:ascii="Calibri" w:hAnsi="Calibri" w:cs="Calibri"/>
          <w:sz w:val="24"/>
          <w:szCs w:val="24"/>
          <w:highlight w:val="yellow"/>
        </w:rPr>
        <w:t xml:space="preserve">., 2023). However, water resources are increasingly threatened by population growth, urbanization, and anthropogenic activities, which contribute to pollution and degrade water quality worldwide (Vega </w:t>
      </w:r>
      <w:r w:rsidR="00454783" w:rsidRPr="00454783">
        <w:rPr>
          <w:rFonts w:ascii="Calibri" w:hAnsi="Calibri" w:cs="Calibri"/>
          <w:i/>
          <w:iCs/>
          <w:sz w:val="24"/>
          <w:szCs w:val="24"/>
          <w:highlight w:val="yellow"/>
        </w:rPr>
        <w:t>et al</w:t>
      </w:r>
      <w:r w:rsidR="00454783" w:rsidRPr="00454783">
        <w:rPr>
          <w:rFonts w:ascii="Calibri" w:hAnsi="Calibri" w:cs="Calibri"/>
          <w:sz w:val="24"/>
          <w:szCs w:val="24"/>
          <w:highlight w:val="yellow"/>
        </w:rPr>
        <w:t>., 2023). Contaminated water and poor sanitation remain major contributors to disease, with waterborne pathogens causing gastrointestinal illnesses and other infections, particularly in low- and middle-income countries (Al-</w:t>
      </w:r>
      <w:proofErr w:type="spellStart"/>
      <w:r w:rsidR="00454783" w:rsidRPr="00454783">
        <w:rPr>
          <w:rFonts w:ascii="Calibri" w:hAnsi="Calibri" w:cs="Calibri"/>
          <w:sz w:val="24"/>
          <w:szCs w:val="24"/>
          <w:highlight w:val="yellow"/>
        </w:rPr>
        <w:t>Afify</w:t>
      </w:r>
      <w:proofErr w:type="spellEnd"/>
      <w:r w:rsidR="00454783" w:rsidRPr="00454783">
        <w:rPr>
          <w:rFonts w:ascii="Calibri" w:hAnsi="Calibri" w:cs="Calibri"/>
          <w:sz w:val="24"/>
          <w:szCs w:val="24"/>
          <w:highlight w:val="yellow"/>
        </w:rPr>
        <w:t xml:space="preserve"> </w:t>
      </w:r>
      <w:r w:rsidR="00454783" w:rsidRPr="00454783">
        <w:rPr>
          <w:rFonts w:ascii="Calibri" w:hAnsi="Calibri" w:cs="Calibri"/>
          <w:i/>
          <w:iCs/>
          <w:sz w:val="24"/>
          <w:szCs w:val="24"/>
          <w:highlight w:val="yellow"/>
        </w:rPr>
        <w:t>et al</w:t>
      </w:r>
      <w:r w:rsidR="00454783" w:rsidRPr="00454783">
        <w:rPr>
          <w:rFonts w:ascii="Calibri" w:hAnsi="Calibri" w:cs="Calibri"/>
          <w:sz w:val="24"/>
          <w:szCs w:val="24"/>
          <w:highlight w:val="yellow"/>
        </w:rPr>
        <w:t>., 2023).</w:t>
      </w:r>
    </w:p>
    <w:p w14:paraId="0E2021B2" w14:textId="479EE4F6" w:rsidR="00084359" w:rsidRPr="00084359" w:rsidRDefault="00084359" w:rsidP="00084359">
      <w:pPr>
        <w:spacing w:line="276" w:lineRule="auto"/>
        <w:jc w:val="both"/>
        <w:rPr>
          <w:rFonts w:ascii="Calibri" w:hAnsi="Calibri" w:cs="Calibri"/>
          <w:sz w:val="24"/>
          <w:szCs w:val="24"/>
        </w:rPr>
      </w:pPr>
    </w:p>
    <w:p w14:paraId="01B95CB2" w14:textId="77777777" w:rsidR="00084359" w:rsidRDefault="00084359" w:rsidP="00084359">
      <w:pPr>
        <w:spacing w:line="276" w:lineRule="auto"/>
        <w:jc w:val="both"/>
        <w:rPr>
          <w:rFonts w:ascii="Calibri" w:hAnsi="Calibri" w:cs="Calibri"/>
          <w:sz w:val="24"/>
          <w:szCs w:val="24"/>
        </w:rPr>
      </w:pPr>
      <w:r w:rsidRPr="00084359">
        <w:rPr>
          <w:rFonts w:ascii="Calibri" w:hAnsi="Calibri" w:cs="Calibri"/>
          <w:sz w:val="24"/>
          <w:szCs w:val="24"/>
        </w:rPr>
        <w:t>Abattoirs generate substantial volumes of effluent containing organic matter, blood, fats, and microbial contaminants. When discharged untreated into rivers, these effluents can alter physicochemical properties and elevate microbial loads, posing ecological and public health risks (</w:t>
      </w:r>
      <w:r w:rsidR="00345DD8" w:rsidRPr="00084359">
        <w:rPr>
          <w:rFonts w:ascii="Calibri" w:hAnsi="Calibri" w:cs="Calibri"/>
          <w:sz w:val="24"/>
          <w:szCs w:val="24"/>
        </w:rPr>
        <w:t xml:space="preserve">Ndukwe </w:t>
      </w:r>
      <w:r w:rsidR="00345DD8" w:rsidRPr="00CA22BB">
        <w:rPr>
          <w:rFonts w:ascii="Calibri" w:hAnsi="Calibri" w:cs="Calibri"/>
          <w:i/>
          <w:sz w:val="24"/>
          <w:szCs w:val="24"/>
        </w:rPr>
        <w:t>et al</w:t>
      </w:r>
      <w:r w:rsidR="00345DD8" w:rsidRPr="00084359">
        <w:rPr>
          <w:rFonts w:ascii="Calibri" w:hAnsi="Calibri" w:cs="Calibri"/>
          <w:sz w:val="24"/>
          <w:szCs w:val="24"/>
        </w:rPr>
        <w:t>., 2023</w:t>
      </w:r>
      <w:r w:rsidR="00345DD8">
        <w:rPr>
          <w:rFonts w:ascii="Calibri" w:hAnsi="Calibri" w:cs="Calibri"/>
          <w:sz w:val="24"/>
          <w:szCs w:val="24"/>
        </w:rPr>
        <w:t xml:space="preserve">; </w:t>
      </w:r>
      <w:r w:rsidRPr="00084359">
        <w:rPr>
          <w:rFonts w:ascii="Calibri" w:hAnsi="Calibri" w:cs="Calibri"/>
          <w:sz w:val="24"/>
          <w:szCs w:val="24"/>
        </w:rPr>
        <w:t>Bakare</w:t>
      </w:r>
      <w:r w:rsidRPr="00084359">
        <w:rPr>
          <w:rFonts w:ascii="Calibri" w:hAnsi="Calibri" w:cs="Calibri"/>
          <w:sz w:val="24"/>
          <w:szCs w:val="24"/>
        </w:rPr>
        <w:noBreakHyphen/>
      </w:r>
      <w:proofErr w:type="spellStart"/>
      <w:r w:rsidRPr="00084359">
        <w:rPr>
          <w:rFonts w:ascii="Calibri" w:hAnsi="Calibri" w:cs="Calibri"/>
          <w:sz w:val="24"/>
          <w:szCs w:val="24"/>
        </w:rPr>
        <w:t>Abidola</w:t>
      </w:r>
      <w:proofErr w:type="spellEnd"/>
      <w:r w:rsidRPr="00084359">
        <w:rPr>
          <w:rFonts w:ascii="Calibri" w:hAnsi="Calibri" w:cs="Calibri"/>
          <w:sz w:val="24"/>
          <w:szCs w:val="24"/>
        </w:rPr>
        <w:t xml:space="preserve"> </w:t>
      </w:r>
      <w:r w:rsidR="00CA22BB" w:rsidRPr="00CA22BB">
        <w:rPr>
          <w:rFonts w:ascii="Calibri" w:hAnsi="Calibri" w:cs="Calibri"/>
          <w:i/>
          <w:sz w:val="24"/>
          <w:szCs w:val="24"/>
        </w:rPr>
        <w:t>et al</w:t>
      </w:r>
      <w:r w:rsidRPr="00084359">
        <w:rPr>
          <w:rFonts w:ascii="Calibri" w:hAnsi="Calibri" w:cs="Calibri"/>
          <w:sz w:val="24"/>
          <w:szCs w:val="24"/>
        </w:rPr>
        <w:t>., 2025). Several studies have documented increased nutrient loads, elevated biochemical oxygen demand, and microbial proliferation, including fungi, in water bodies receiving abattoir waste (</w:t>
      </w:r>
      <w:r w:rsidR="00345DD8" w:rsidRPr="00084359">
        <w:rPr>
          <w:rFonts w:ascii="Calibri" w:hAnsi="Calibri" w:cs="Calibri"/>
          <w:sz w:val="24"/>
          <w:szCs w:val="24"/>
        </w:rPr>
        <w:t xml:space="preserve">Ndukwe </w:t>
      </w:r>
      <w:r w:rsidR="00345DD8" w:rsidRPr="00CA22BB">
        <w:rPr>
          <w:rFonts w:ascii="Calibri" w:hAnsi="Calibri" w:cs="Calibri"/>
          <w:i/>
          <w:sz w:val="24"/>
          <w:szCs w:val="24"/>
        </w:rPr>
        <w:t>et al</w:t>
      </w:r>
      <w:r w:rsidR="00345DD8" w:rsidRPr="00084359">
        <w:rPr>
          <w:rFonts w:ascii="Calibri" w:hAnsi="Calibri" w:cs="Calibri"/>
          <w:sz w:val="24"/>
          <w:szCs w:val="24"/>
        </w:rPr>
        <w:t>., 2023</w:t>
      </w:r>
      <w:r w:rsidR="00345DD8">
        <w:rPr>
          <w:rFonts w:ascii="Calibri" w:hAnsi="Calibri" w:cs="Calibri"/>
          <w:sz w:val="24"/>
          <w:szCs w:val="24"/>
        </w:rPr>
        <w:t xml:space="preserve">; </w:t>
      </w:r>
      <w:r w:rsidRPr="00084359">
        <w:rPr>
          <w:rFonts w:ascii="Calibri" w:hAnsi="Calibri" w:cs="Calibri"/>
          <w:sz w:val="24"/>
          <w:szCs w:val="24"/>
        </w:rPr>
        <w:t>Bakare</w:t>
      </w:r>
      <w:r w:rsidRPr="00084359">
        <w:rPr>
          <w:rFonts w:ascii="Calibri" w:hAnsi="Calibri" w:cs="Calibri"/>
          <w:sz w:val="24"/>
          <w:szCs w:val="24"/>
        </w:rPr>
        <w:noBreakHyphen/>
      </w:r>
      <w:proofErr w:type="spellStart"/>
      <w:r w:rsidRPr="00084359">
        <w:rPr>
          <w:rFonts w:ascii="Calibri" w:hAnsi="Calibri" w:cs="Calibri"/>
          <w:sz w:val="24"/>
          <w:szCs w:val="24"/>
        </w:rPr>
        <w:t>Abidola</w:t>
      </w:r>
      <w:proofErr w:type="spellEnd"/>
      <w:r w:rsidRPr="00084359">
        <w:rPr>
          <w:rFonts w:ascii="Calibri" w:hAnsi="Calibri" w:cs="Calibri"/>
          <w:sz w:val="24"/>
          <w:szCs w:val="24"/>
        </w:rPr>
        <w:t xml:space="preserve"> </w:t>
      </w:r>
      <w:r w:rsidR="00CA22BB" w:rsidRPr="00CA22BB">
        <w:rPr>
          <w:rFonts w:ascii="Calibri" w:hAnsi="Calibri" w:cs="Calibri"/>
          <w:i/>
          <w:sz w:val="24"/>
          <w:szCs w:val="24"/>
        </w:rPr>
        <w:t>et al</w:t>
      </w:r>
      <w:r w:rsidRPr="00084359">
        <w:rPr>
          <w:rFonts w:ascii="Calibri" w:hAnsi="Calibri" w:cs="Calibri"/>
          <w:sz w:val="24"/>
          <w:szCs w:val="24"/>
        </w:rPr>
        <w:t>., 2025).</w:t>
      </w:r>
    </w:p>
    <w:p w14:paraId="7008CFC8" w14:textId="77777777" w:rsidR="00454783" w:rsidRPr="00454783" w:rsidRDefault="00454783" w:rsidP="00454783">
      <w:pPr>
        <w:spacing w:line="276" w:lineRule="auto"/>
        <w:jc w:val="both"/>
        <w:rPr>
          <w:rFonts w:ascii="Calibri" w:hAnsi="Calibri" w:cs="Calibri"/>
          <w:sz w:val="24"/>
          <w:szCs w:val="24"/>
        </w:rPr>
      </w:pPr>
      <w:r w:rsidRPr="00454783">
        <w:rPr>
          <w:rFonts w:ascii="Calibri" w:hAnsi="Calibri" w:cs="Calibri"/>
          <w:sz w:val="24"/>
          <w:szCs w:val="24"/>
          <w:highlight w:val="yellow"/>
        </w:rPr>
        <w:t>Abattoirs generate alarming amounts of effluent laced with organic matter, blood, fats, and dangerous microbes. When released untreated into rivers, these discharges immediately disrupt water quality and sharply increase microbial threats, causing urgent ecological and public health dangers (</w:t>
      </w:r>
      <w:proofErr w:type="spellStart"/>
      <w:r w:rsidRPr="00454783">
        <w:rPr>
          <w:rFonts w:ascii="Calibri" w:hAnsi="Calibri" w:cs="Calibri"/>
          <w:sz w:val="24"/>
          <w:szCs w:val="24"/>
          <w:highlight w:val="yellow"/>
        </w:rPr>
        <w:t>Ndukwe</w:t>
      </w:r>
      <w:proofErr w:type="spellEnd"/>
      <w:r w:rsidRPr="00454783">
        <w:rPr>
          <w:rFonts w:ascii="Calibri" w:hAnsi="Calibri" w:cs="Calibri"/>
          <w:sz w:val="24"/>
          <w:szCs w:val="24"/>
          <w:highlight w:val="yellow"/>
        </w:rPr>
        <w:t xml:space="preserve"> </w:t>
      </w:r>
      <w:r w:rsidRPr="00454783">
        <w:rPr>
          <w:rFonts w:ascii="Calibri" w:hAnsi="Calibri" w:cs="Calibri"/>
          <w:i/>
          <w:iCs/>
          <w:sz w:val="24"/>
          <w:szCs w:val="24"/>
          <w:highlight w:val="yellow"/>
        </w:rPr>
        <w:t>et al</w:t>
      </w:r>
      <w:r w:rsidRPr="00454783">
        <w:rPr>
          <w:rFonts w:ascii="Calibri" w:hAnsi="Calibri" w:cs="Calibri"/>
          <w:sz w:val="24"/>
          <w:szCs w:val="24"/>
          <w:highlight w:val="yellow"/>
        </w:rPr>
        <w:t>., 2023; Bakare</w:t>
      </w:r>
      <w:r w:rsidRPr="00454783">
        <w:rPr>
          <w:rFonts w:ascii="Calibri" w:hAnsi="Calibri" w:cs="Calibri"/>
          <w:sz w:val="24"/>
          <w:szCs w:val="24"/>
          <w:highlight w:val="yellow"/>
        </w:rPr>
        <w:noBreakHyphen/>
      </w:r>
      <w:proofErr w:type="spellStart"/>
      <w:r w:rsidRPr="00454783">
        <w:rPr>
          <w:rFonts w:ascii="Calibri" w:hAnsi="Calibri" w:cs="Calibri"/>
          <w:sz w:val="24"/>
          <w:szCs w:val="24"/>
          <w:highlight w:val="yellow"/>
        </w:rPr>
        <w:t>Abidola</w:t>
      </w:r>
      <w:proofErr w:type="spellEnd"/>
      <w:r w:rsidRPr="00454783">
        <w:rPr>
          <w:rFonts w:ascii="Calibri" w:hAnsi="Calibri" w:cs="Calibri"/>
          <w:sz w:val="24"/>
          <w:szCs w:val="24"/>
          <w:highlight w:val="yellow"/>
        </w:rPr>
        <w:t xml:space="preserve"> </w:t>
      </w:r>
      <w:r w:rsidRPr="00454783">
        <w:rPr>
          <w:rFonts w:ascii="Calibri" w:hAnsi="Calibri" w:cs="Calibri"/>
          <w:i/>
          <w:iCs/>
          <w:sz w:val="24"/>
          <w:szCs w:val="24"/>
          <w:highlight w:val="yellow"/>
        </w:rPr>
        <w:t>et al</w:t>
      </w:r>
      <w:r w:rsidRPr="00454783">
        <w:rPr>
          <w:rFonts w:ascii="Calibri" w:hAnsi="Calibri" w:cs="Calibri"/>
          <w:sz w:val="24"/>
          <w:szCs w:val="24"/>
          <w:highlight w:val="yellow"/>
        </w:rPr>
        <w:t>., 2025). Multiple studies have highlighted the urgent need for action due to surges in nutrient loads, biochemical oxygen demand, and microbial blooms, including fungi, in abattoir-impacted waters (</w:t>
      </w:r>
      <w:proofErr w:type="spellStart"/>
      <w:r w:rsidRPr="00454783">
        <w:rPr>
          <w:rFonts w:ascii="Calibri" w:hAnsi="Calibri" w:cs="Calibri"/>
          <w:sz w:val="24"/>
          <w:szCs w:val="24"/>
          <w:highlight w:val="yellow"/>
        </w:rPr>
        <w:t>Ndukwe</w:t>
      </w:r>
      <w:proofErr w:type="spellEnd"/>
      <w:r w:rsidRPr="00454783">
        <w:rPr>
          <w:rFonts w:ascii="Calibri" w:hAnsi="Calibri" w:cs="Calibri"/>
          <w:sz w:val="24"/>
          <w:szCs w:val="24"/>
          <w:highlight w:val="yellow"/>
        </w:rPr>
        <w:t xml:space="preserve"> </w:t>
      </w:r>
      <w:r w:rsidRPr="00454783">
        <w:rPr>
          <w:rFonts w:ascii="Calibri" w:hAnsi="Calibri" w:cs="Calibri"/>
          <w:i/>
          <w:iCs/>
          <w:sz w:val="24"/>
          <w:szCs w:val="24"/>
          <w:highlight w:val="yellow"/>
        </w:rPr>
        <w:t>et al</w:t>
      </w:r>
      <w:r w:rsidRPr="00454783">
        <w:rPr>
          <w:rFonts w:ascii="Calibri" w:hAnsi="Calibri" w:cs="Calibri"/>
          <w:sz w:val="24"/>
          <w:szCs w:val="24"/>
          <w:highlight w:val="yellow"/>
        </w:rPr>
        <w:t>., 2023; Bakare-</w:t>
      </w:r>
      <w:proofErr w:type="spellStart"/>
      <w:r w:rsidRPr="00454783">
        <w:rPr>
          <w:rFonts w:ascii="Calibri" w:hAnsi="Calibri" w:cs="Calibri"/>
          <w:sz w:val="24"/>
          <w:szCs w:val="24"/>
          <w:highlight w:val="yellow"/>
        </w:rPr>
        <w:t>Abidola</w:t>
      </w:r>
      <w:proofErr w:type="spellEnd"/>
      <w:r w:rsidRPr="00454783">
        <w:rPr>
          <w:rFonts w:ascii="Calibri" w:hAnsi="Calibri" w:cs="Calibri"/>
          <w:sz w:val="24"/>
          <w:szCs w:val="24"/>
          <w:highlight w:val="yellow"/>
        </w:rPr>
        <w:t xml:space="preserve"> </w:t>
      </w:r>
      <w:r w:rsidRPr="00454783">
        <w:rPr>
          <w:rFonts w:ascii="Calibri" w:hAnsi="Calibri" w:cs="Calibri"/>
          <w:i/>
          <w:iCs/>
          <w:sz w:val="24"/>
          <w:szCs w:val="24"/>
          <w:highlight w:val="yellow"/>
        </w:rPr>
        <w:t>et al</w:t>
      </w:r>
      <w:r w:rsidRPr="00454783">
        <w:rPr>
          <w:rFonts w:ascii="Calibri" w:hAnsi="Calibri" w:cs="Calibri"/>
          <w:sz w:val="24"/>
          <w:szCs w:val="24"/>
          <w:highlight w:val="yellow"/>
        </w:rPr>
        <w:t>., 2025).</w:t>
      </w:r>
    </w:p>
    <w:p w14:paraId="3F25C087" w14:textId="77777777" w:rsidR="00084359" w:rsidRPr="00084359" w:rsidRDefault="00084359" w:rsidP="00084359">
      <w:pPr>
        <w:spacing w:line="276" w:lineRule="auto"/>
        <w:jc w:val="both"/>
        <w:rPr>
          <w:rFonts w:ascii="Calibri" w:hAnsi="Calibri" w:cs="Calibri"/>
          <w:sz w:val="24"/>
          <w:szCs w:val="24"/>
        </w:rPr>
      </w:pPr>
      <w:r w:rsidRPr="00084359">
        <w:rPr>
          <w:rFonts w:ascii="Calibri" w:hAnsi="Calibri" w:cs="Calibri"/>
          <w:sz w:val="24"/>
          <w:szCs w:val="24"/>
        </w:rPr>
        <w:t xml:space="preserve">Fungi are ubiquitous eukaryotes found in soil, water, air, and living organisms. In aquatic environments, fungi contribute to nutrient cycling and organic matter decomposition, but their presence can also indicate contamination and potential health hazards when pathogenic or toxigenic species are present (Weldon, 2025). Filamentous fungi such as </w:t>
      </w:r>
      <w:r w:rsidRPr="00084359">
        <w:rPr>
          <w:rFonts w:ascii="Calibri" w:hAnsi="Calibri" w:cs="Calibri"/>
          <w:i/>
          <w:iCs/>
          <w:sz w:val="24"/>
          <w:szCs w:val="24"/>
        </w:rPr>
        <w:t>Aspergillus</w:t>
      </w:r>
      <w:r w:rsidRPr="00084359">
        <w:rPr>
          <w:rFonts w:ascii="Calibri" w:hAnsi="Calibri" w:cs="Calibri"/>
          <w:sz w:val="24"/>
          <w:szCs w:val="24"/>
        </w:rPr>
        <w:t xml:space="preserve">, </w:t>
      </w:r>
      <w:r w:rsidRPr="00084359">
        <w:rPr>
          <w:rFonts w:ascii="Calibri" w:hAnsi="Calibri" w:cs="Calibri"/>
          <w:i/>
          <w:iCs/>
          <w:sz w:val="24"/>
          <w:szCs w:val="24"/>
        </w:rPr>
        <w:t>Fusarium</w:t>
      </w:r>
      <w:r w:rsidRPr="00084359">
        <w:rPr>
          <w:rFonts w:ascii="Calibri" w:hAnsi="Calibri" w:cs="Calibri"/>
          <w:sz w:val="24"/>
          <w:szCs w:val="24"/>
        </w:rPr>
        <w:t xml:space="preserve">, and </w:t>
      </w:r>
      <w:r w:rsidRPr="00084359">
        <w:rPr>
          <w:rFonts w:ascii="Calibri" w:hAnsi="Calibri" w:cs="Calibri"/>
          <w:i/>
          <w:iCs/>
          <w:sz w:val="24"/>
          <w:szCs w:val="24"/>
        </w:rPr>
        <w:t>Penicillium</w:t>
      </w:r>
      <w:r w:rsidRPr="00084359">
        <w:rPr>
          <w:rFonts w:ascii="Calibri" w:hAnsi="Calibri" w:cs="Calibri"/>
          <w:sz w:val="24"/>
          <w:szCs w:val="24"/>
        </w:rPr>
        <w:t xml:space="preserve"> have been isolated from surface and drinking water, with some species capable of producing mycotoxins harmful to humans and animals (Hussain </w:t>
      </w:r>
      <w:r w:rsidR="00CA22BB" w:rsidRPr="00CA22BB">
        <w:rPr>
          <w:rFonts w:ascii="Calibri" w:hAnsi="Calibri" w:cs="Calibri"/>
          <w:i/>
          <w:sz w:val="24"/>
          <w:szCs w:val="24"/>
        </w:rPr>
        <w:t>et al</w:t>
      </w:r>
      <w:r w:rsidRPr="00084359">
        <w:rPr>
          <w:rFonts w:ascii="Calibri" w:hAnsi="Calibri" w:cs="Calibri"/>
          <w:sz w:val="24"/>
          <w:szCs w:val="24"/>
        </w:rPr>
        <w:t xml:space="preserve">., 2024; Buitrago-Zuluaga </w:t>
      </w:r>
      <w:r w:rsidR="00CA22BB" w:rsidRPr="00CA22BB">
        <w:rPr>
          <w:rFonts w:ascii="Calibri" w:hAnsi="Calibri" w:cs="Calibri"/>
          <w:i/>
          <w:sz w:val="24"/>
          <w:szCs w:val="24"/>
        </w:rPr>
        <w:t>et al</w:t>
      </w:r>
      <w:r w:rsidRPr="00084359">
        <w:rPr>
          <w:rFonts w:ascii="Calibri" w:hAnsi="Calibri" w:cs="Calibri"/>
          <w:sz w:val="24"/>
          <w:szCs w:val="24"/>
        </w:rPr>
        <w:t>., 2025). Recent evidence also highlights the occurrence of multidrug-resistant fungal species in surface waters, emphasizing the importance of antifungal susceptibility monitoring for water safety (</w:t>
      </w:r>
      <w:proofErr w:type="spellStart"/>
      <w:r w:rsidRPr="00084359">
        <w:rPr>
          <w:rFonts w:ascii="Calibri" w:hAnsi="Calibri" w:cs="Calibri"/>
          <w:sz w:val="24"/>
          <w:szCs w:val="24"/>
        </w:rPr>
        <w:t>Titilawo</w:t>
      </w:r>
      <w:proofErr w:type="spellEnd"/>
      <w:r w:rsidRPr="00084359">
        <w:rPr>
          <w:rFonts w:ascii="Calibri" w:hAnsi="Calibri" w:cs="Calibri"/>
          <w:sz w:val="24"/>
          <w:szCs w:val="24"/>
        </w:rPr>
        <w:t xml:space="preserve"> </w:t>
      </w:r>
      <w:r w:rsidR="00CA22BB" w:rsidRPr="00CA22BB">
        <w:rPr>
          <w:rFonts w:ascii="Calibri" w:hAnsi="Calibri" w:cs="Calibri"/>
          <w:i/>
          <w:sz w:val="24"/>
          <w:szCs w:val="24"/>
        </w:rPr>
        <w:t>et al</w:t>
      </w:r>
      <w:r w:rsidRPr="00084359">
        <w:rPr>
          <w:rFonts w:ascii="Calibri" w:hAnsi="Calibri" w:cs="Calibri"/>
          <w:sz w:val="24"/>
          <w:szCs w:val="24"/>
        </w:rPr>
        <w:t>., 2025).</w:t>
      </w:r>
    </w:p>
    <w:p w14:paraId="2657C6CD" w14:textId="77777777" w:rsidR="00084359" w:rsidRPr="00084359" w:rsidRDefault="00084359" w:rsidP="00084359">
      <w:pPr>
        <w:spacing w:line="276" w:lineRule="auto"/>
        <w:jc w:val="both"/>
        <w:rPr>
          <w:rFonts w:ascii="Calibri" w:hAnsi="Calibri" w:cs="Calibri"/>
          <w:sz w:val="24"/>
          <w:szCs w:val="24"/>
        </w:rPr>
      </w:pPr>
      <w:r w:rsidRPr="00084359">
        <w:rPr>
          <w:rFonts w:ascii="Calibri" w:hAnsi="Calibri" w:cs="Calibri"/>
          <w:sz w:val="24"/>
          <w:szCs w:val="24"/>
        </w:rPr>
        <w:t xml:space="preserve">Anthropogenic activities, including wastewater discharge, agricultural runoff, and organic waste inputs, significantly influence fungal contamination in aquatic systems (Ramadan &amp; Harb, 2025). Such contamination can alter microbial community composition, reduce overall water quality, and present potential health risks, underscoring the need for systematic </w:t>
      </w:r>
      <w:r w:rsidRPr="00084359">
        <w:rPr>
          <w:rFonts w:ascii="Calibri" w:hAnsi="Calibri" w:cs="Calibri"/>
          <w:sz w:val="24"/>
          <w:szCs w:val="24"/>
        </w:rPr>
        <w:lastRenderedPageBreak/>
        <w:t>monitoring and molecular identification of fungi (</w:t>
      </w:r>
      <w:proofErr w:type="spellStart"/>
      <w:r w:rsidRPr="00084359">
        <w:rPr>
          <w:rFonts w:ascii="Calibri" w:hAnsi="Calibri" w:cs="Calibri"/>
          <w:sz w:val="24"/>
          <w:szCs w:val="24"/>
        </w:rPr>
        <w:t>Nkenna</w:t>
      </w:r>
      <w:proofErr w:type="spellEnd"/>
      <w:r w:rsidRPr="00084359">
        <w:rPr>
          <w:rFonts w:ascii="Calibri" w:hAnsi="Calibri" w:cs="Calibri"/>
          <w:sz w:val="24"/>
          <w:szCs w:val="24"/>
        </w:rPr>
        <w:t xml:space="preserve">, 2023; </w:t>
      </w:r>
      <w:proofErr w:type="spellStart"/>
      <w:r w:rsidRPr="00084359">
        <w:rPr>
          <w:rFonts w:ascii="Calibri" w:hAnsi="Calibri" w:cs="Calibri"/>
          <w:sz w:val="24"/>
          <w:szCs w:val="24"/>
        </w:rPr>
        <w:t>Nwogwugwu</w:t>
      </w:r>
      <w:proofErr w:type="spellEnd"/>
      <w:r w:rsidRPr="00084359">
        <w:rPr>
          <w:rFonts w:ascii="Calibri" w:hAnsi="Calibri" w:cs="Calibri"/>
          <w:sz w:val="24"/>
          <w:szCs w:val="24"/>
        </w:rPr>
        <w:t xml:space="preserve"> </w:t>
      </w:r>
      <w:r w:rsidR="00CA22BB" w:rsidRPr="00CA22BB">
        <w:rPr>
          <w:rFonts w:ascii="Calibri" w:hAnsi="Calibri" w:cs="Calibri"/>
          <w:i/>
          <w:sz w:val="24"/>
          <w:szCs w:val="24"/>
        </w:rPr>
        <w:t>et al</w:t>
      </w:r>
      <w:r w:rsidRPr="00084359">
        <w:rPr>
          <w:rFonts w:ascii="Calibri" w:hAnsi="Calibri" w:cs="Calibri"/>
          <w:sz w:val="24"/>
          <w:szCs w:val="24"/>
        </w:rPr>
        <w:t>., 2024</w:t>
      </w:r>
      <w:r w:rsidR="00345DD8">
        <w:rPr>
          <w:rFonts w:ascii="Calibri" w:hAnsi="Calibri" w:cs="Calibri"/>
          <w:sz w:val="24"/>
          <w:szCs w:val="24"/>
        </w:rPr>
        <w:t>; Ramadan &amp; Harb, 2025</w:t>
      </w:r>
      <w:r w:rsidRPr="00084359">
        <w:rPr>
          <w:rFonts w:ascii="Calibri" w:hAnsi="Calibri" w:cs="Calibri"/>
          <w:sz w:val="24"/>
          <w:szCs w:val="24"/>
        </w:rPr>
        <w:t>). In Nigeria, studies have reported filamentous fungi and resistant strains in wells and surface water used for domestic purposes, raising public health concerns (</w:t>
      </w:r>
      <w:proofErr w:type="spellStart"/>
      <w:r w:rsidRPr="00084359">
        <w:rPr>
          <w:rFonts w:ascii="Calibri" w:hAnsi="Calibri" w:cs="Calibri"/>
          <w:sz w:val="24"/>
          <w:szCs w:val="24"/>
        </w:rPr>
        <w:t>Nkenna</w:t>
      </w:r>
      <w:proofErr w:type="spellEnd"/>
      <w:r w:rsidRPr="00084359">
        <w:rPr>
          <w:rFonts w:ascii="Calibri" w:hAnsi="Calibri" w:cs="Calibri"/>
          <w:sz w:val="24"/>
          <w:szCs w:val="24"/>
        </w:rPr>
        <w:t xml:space="preserve">, 2023; </w:t>
      </w:r>
      <w:proofErr w:type="spellStart"/>
      <w:r w:rsidRPr="00084359">
        <w:rPr>
          <w:rFonts w:ascii="Calibri" w:hAnsi="Calibri" w:cs="Calibri"/>
          <w:sz w:val="24"/>
          <w:szCs w:val="24"/>
        </w:rPr>
        <w:t>Nwogwugwu</w:t>
      </w:r>
      <w:proofErr w:type="spellEnd"/>
      <w:r w:rsidRPr="00084359">
        <w:rPr>
          <w:rFonts w:ascii="Calibri" w:hAnsi="Calibri" w:cs="Calibri"/>
          <w:sz w:val="24"/>
          <w:szCs w:val="24"/>
        </w:rPr>
        <w:t xml:space="preserve"> </w:t>
      </w:r>
      <w:r w:rsidR="00CA22BB" w:rsidRPr="00CA22BB">
        <w:rPr>
          <w:rFonts w:ascii="Calibri" w:hAnsi="Calibri" w:cs="Calibri"/>
          <w:i/>
          <w:sz w:val="24"/>
          <w:szCs w:val="24"/>
        </w:rPr>
        <w:t>et al</w:t>
      </w:r>
      <w:r w:rsidRPr="00084359">
        <w:rPr>
          <w:rFonts w:ascii="Calibri" w:hAnsi="Calibri" w:cs="Calibri"/>
          <w:sz w:val="24"/>
          <w:szCs w:val="24"/>
        </w:rPr>
        <w:t>., 2024).</w:t>
      </w:r>
    </w:p>
    <w:p w14:paraId="10726318" w14:textId="77777777" w:rsidR="00084359" w:rsidRPr="00084359" w:rsidRDefault="00084359" w:rsidP="00084359">
      <w:pPr>
        <w:spacing w:line="276" w:lineRule="auto"/>
        <w:jc w:val="both"/>
        <w:rPr>
          <w:rFonts w:ascii="Calibri" w:hAnsi="Calibri" w:cs="Calibri"/>
          <w:sz w:val="24"/>
          <w:szCs w:val="24"/>
        </w:rPr>
      </w:pPr>
      <w:r w:rsidRPr="00084359">
        <w:rPr>
          <w:rFonts w:ascii="Calibri" w:hAnsi="Calibri" w:cs="Calibri"/>
          <w:sz w:val="24"/>
          <w:szCs w:val="24"/>
        </w:rPr>
        <w:t xml:space="preserve">Despite these findings, data on fungal contamination in rivers affected by abattoir effluents in the region remain scarce. This study aimed to assess the microbiological profile of fungi in </w:t>
      </w:r>
      <w:r>
        <w:rPr>
          <w:rFonts w:ascii="Calibri" w:hAnsi="Calibri" w:cs="Calibri"/>
          <w:sz w:val="24"/>
          <w:szCs w:val="24"/>
        </w:rPr>
        <w:t xml:space="preserve">the </w:t>
      </w:r>
      <w:r w:rsidRPr="00084359">
        <w:rPr>
          <w:rFonts w:ascii="Calibri" w:hAnsi="Calibri" w:cs="Calibri"/>
          <w:sz w:val="24"/>
          <w:szCs w:val="24"/>
        </w:rPr>
        <w:t xml:space="preserve">Gwagwalada River exposed to </w:t>
      </w:r>
      <w:proofErr w:type="spellStart"/>
      <w:r w:rsidRPr="00084359">
        <w:rPr>
          <w:rFonts w:ascii="Calibri" w:hAnsi="Calibri" w:cs="Calibri"/>
          <w:sz w:val="24"/>
          <w:szCs w:val="24"/>
        </w:rPr>
        <w:t>Kutunku</w:t>
      </w:r>
      <w:proofErr w:type="spellEnd"/>
      <w:r w:rsidRPr="00084359">
        <w:rPr>
          <w:rFonts w:ascii="Calibri" w:hAnsi="Calibri" w:cs="Calibri"/>
          <w:sz w:val="24"/>
          <w:szCs w:val="24"/>
        </w:rPr>
        <w:t xml:space="preserve"> abattoir effluent in Abuja, Nigeria. Specifically, it evaluates fungal prevalence, species diversity, and antifungal susceptibility to better understand </w:t>
      </w:r>
      <w:r>
        <w:rPr>
          <w:rFonts w:ascii="Calibri" w:hAnsi="Calibri" w:cs="Calibri"/>
          <w:sz w:val="24"/>
          <w:szCs w:val="24"/>
        </w:rPr>
        <w:t>water-quality deterioration and the potential public-health</w:t>
      </w:r>
      <w:r w:rsidRPr="00084359">
        <w:rPr>
          <w:rFonts w:ascii="Calibri" w:hAnsi="Calibri" w:cs="Calibri"/>
          <w:sz w:val="24"/>
          <w:szCs w:val="24"/>
        </w:rPr>
        <w:t xml:space="preserve"> risks associated with abattoir pollution.</w:t>
      </w:r>
    </w:p>
    <w:p w14:paraId="0F50412D" w14:textId="77777777" w:rsidR="00E2260F" w:rsidRPr="00E2260F" w:rsidRDefault="00E2260F" w:rsidP="00E2260F">
      <w:pPr>
        <w:rPr>
          <w:rFonts w:ascii="Calibri" w:hAnsi="Calibri" w:cs="Calibri"/>
          <w:b/>
          <w:bCs/>
          <w:sz w:val="24"/>
          <w:szCs w:val="24"/>
        </w:rPr>
      </w:pPr>
      <w:r w:rsidRPr="00E2260F">
        <w:rPr>
          <w:rFonts w:ascii="Calibri" w:hAnsi="Calibri" w:cs="Calibri"/>
          <w:b/>
          <w:bCs/>
          <w:sz w:val="24"/>
          <w:szCs w:val="24"/>
        </w:rPr>
        <w:t>MATERIALS AND METHODS</w:t>
      </w:r>
    </w:p>
    <w:p w14:paraId="14E10A55" w14:textId="77777777" w:rsidR="00E2260F" w:rsidRPr="00E2260F" w:rsidRDefault="00E2260F" w:rsidP="00E2260F">
      <w:pPr>
        <w:rPr>
          <w:rFonts w:ascii="Calibri" w:hAnsi="Calibri" w:cs="Calibri"/>
          <w:b/>
          <w:bCs/>
          <w:sz w:val="24"/>
          <w:szCs w:val="24"/>
        </w:rPr>
      </w:pPr>
      <w:r w:rsidRPr="00E2260F">
        <w:rPr>
          <w:rFonts w:ascii="Calibri" w:hAnsi="Calibri" w:cs="Calibri"/>
          <w:b/>
          <w:bCs/>
          <w:sz w:val="24"/>
          <w:szCs w:val="24"/>
        </w:rPr>
        <w:t>Study Area</w:t>
      </w:r>
    </w:p>
    <w:p w14:paraId="18560E16"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This study was conducted around Gwagwalada town, Gwagwalada Area Council, Federal Capital Territory (FCT), Nigeria. Water samples were collected from a river receiving effluents from the Gwagwalada abattoir. Gwagwalada is located between longitudes 7°5’15”E and 7°8’45”E and latitudes 8°57’45”N and 9°00’00”N, covering an area of 1,744 km² (Priscillia </w:t>
      </w:r>
      <w:r w:rsidR="00CA22BB" w:rsidRPr="00CA22BB">
        <w:rPr>
          <w:rFonts w:ascii="Calibri" w:hAnsi="Calibri" w:cs="Calibri"/>
          <w:i/>
          <w:sz w:val="24"/>
          <w:szCs w:val="24"/>
        </w:rPr>
        <w:t>et al</w:t>
      </w:r>
      <w:r w:rsidRPr="00E2260F">
        <w:rPr>
          <w:rFonts w:ascii="Calibri" w:hAnsi="Calibri" w:cs="Calibri"/>
          <w:sz w:val="24"/>
          <w:szCs w:val="24"/>
        </w:rPr>
        <w:t>., 2021).</w:t>
      </w:r>
    </w:p>
    <w:p w14:paraId="3867261A" w14:textId="77777777" w:rsidR="00E2260F" w:rsidRPr="00E2260F" w:rsidRDefault="00E2260F" w:rsidP="005E6E8E">
      <w:pPr>
        <w:spacing w:line="276" w:lineRule="auto"/>
        <w:jc w:val="both"/>
        <w:rPr>
          <w:rFonts w:ascii="Calibri" w:hAnsi="Calibri" w:cs="Calibri"/>
          <w:sz w:val="24"/>
          <w:szCs w:val="24"/>
        </w:rPr>
      </w:pPr>
    </w:p>
    <w:p w14:paraId="682D918E"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Study Design</w:t>
      </w:r>
    </w:p>
    <w:p w14:paraId="3735D3D2" w14:textId="2084D430"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A cross-sectional study employing systematic random sampling was used, adapted from </w:t>
      </w:r>
      <w:proofErr w:type="spellStart"/>
      <w:r w:rsidRPr="00E2260F">
        <w:rPr>
          <w:rFonts w:ascii="Calibri" w:hAnsi="Calibri" w:cs="Calibri"/>
          <w:sz w:val="24"/>
          <w:szCs w:val="24"/>
        </w:rPr>
        <w:t>Iweriolor</w:t>
      </w:r>
      <w:proofErr w:type="spellEnd"/>
      <w:r w:rsidRPr="00E2260F">
        <w:rPr>
          <w:rFonts w:ascii="Calibri" w:hAnsi="Calibri" w:cs="Calibri"/>
          <w:sz w:val="24"/>
          <w:szCs w:val="24"/>
        </w:rPr>
        <w:t xml:space="preserve"> and </w:t>
      </w:r>
      <w:proofErr w:type="spellStart"/>
      <w:r w:rsidRPr="00E2260F">
        <w:rPr>
          <w:rFonts w:ascii="Calibri" w:hAnsi="Calibri" w:cs="Calibri"/>
          <w:sz w:val="24"/>
          <w:szCs w:val="24"/>
        </w:rPr>
        <w:t>Anyim</w:t>
      </w:r>
      <w:proofErr w:type="spellEnd"/>
      <w:r w:rsidRPr="00E2260F">
        <w:rPr>
          <w:rFonts w:ascii="Calibri" w:hAnsi="Calibri" w:cs="Calibri"/>
          <w:sz w:val="24"/>
          <w:szCs w:val="24"/>
        </w:rPr>
        <w:t xml:space="preserve"> (2023) with slight modifications. </w:t>
      </w:r>
      <w:r w:rsidR="00754149" w:rsidRPr="00754149">
        <w:rPr>
          <w:rFonts w:ascii="Calibri" w:hAnsi="Calibri" w:cs="Calibri"/>
          <w:iCs/>
          <w:sz w:val="24"/>
          <w:szCs w:val="24"/>
          <w:highlight w:val="yellow"/>
        </w:rPr>
        <w:t>Two independent water samples were collected per site to provide biological replication, and each sample was plated in triplicate to ensure technical reproducibility of fungal counts.</w:t>
      </w:r>
      <w:r w:rsidR="00754149">
        <w:rPr>
          <w:rFonts w:ascii="Calibri" w:hAnsi="Calibri" w:cs="Calibri"/>
          <w:iCs/>
          <w:sz w:val="24"/>
          <w:szCs w:val="24"/>
        </w:rPr>
        <w:t xml:space="preserve"> </w:t>
      </w:r>
      <w:r w:rsidRPr="00E2260F">
        <w:rPr>
          <w:rFonts w:ascii="Calibri" w:hAnsi="Calibri" w:cs="Calibri"/>
          <w:sz w:val="24"/>
          <w:szCs w:val="24"/>
        </w:rPr>
        <w:t>Water samples were collected from three sites along the river flow:</w:t>
      </w:r>
    </w:p>
    <w:p w14:paraId="270BF3F6" w14:textId="77777777" w:rsidR="00E2260F" w:rsidRPr="00E2260F" w:rsidRDefault="00E2260F" w:rsidP="005E6E8E">
      <w:pPr>
        <w:numPr>
          <w:ilvl w:val="0"/>
          <w:numId w:val="2"/>
        </w:numPr>
        <w:spacing w:line="276" w:lineRule="auto"/>
        <w:jc w:val="both"/>
        <w:rPr>
          <w:rFonts w:ascii="Calibri" w:hAnsi="Calibri" w:cs="Calibri"/>
          <w:sz w:val="24"/>
          <w:szCs w:val="24"/>
        </w:rPr>
      </w:pPr>
      <w:r w:rsidRPr="00E2260F">
        <w:rPr>
          <w:rFonts w:ascii="Calibri" w:hAnsi="Calibri" w:cs="Calibri"/>
          <w:bCs/>
          <w:sz w:val="24"/>
          <w:szCs w:val="24"/>
        </w:rPr>
        <w:t>Point A:</w:t>
      </w:r>
      <w:r w:rsidRPr="00E2260F">
        <w:rPr>
          <w:rFonts w:ascii="Calibri" w:hAnsi="Calibri" w:cs="Calibri"/>
          <w:sz w:val="24"/>
          <w:szCs w:val="24"/>
        </w:rPr>
        <w:t xml:space="preserve"> Upstream above the abattoir effluent discharge</w:t>
      </w:r>
    </w:p>
    <w:p w14:paraId="109AE196" w14:textId="77777777" w:rsidR="00E2260F" w:rsidRPr="00E2260F" w:rsidRDefault="00E2260F" w:rsidP="005E6E8E">
      <w:pPr>
        <w:numPr>
          <w:ilvl w:val="0"/>
          <w:numId w:val="2"/>
        </w:numPr>
        <w:spacing w:line="276" w:lineRule="auto"/>
        <w:jc w:val="both"/>
        <w:rPr>
          <w:rFonts w:ascii="Calibri" w:hAnsi="Calibri" w:cs="Calibri"/>
          <w:sz w:val="24"/>
          <w:szCs w:val="24"/>
        </w:rPr>
      </w:pPr>
      <w:r w:rsidRPr="00E2260F">
        <w:rPr>
          <w:rFonts w:ascii="Calibri" w:hAnsi="Calibri" w:cs="Calibri"/>
          <w:bCs/>
          <w:sz w:val="24"/>
          <w:szCs w:val="24"/>
        </w:rPr>
        <w:t>Point B:</w:t>
      </w:r>
      <w:r w:rsidRPr="00E2260F">
        <w:rPr>
          <w:rFonts w:ascii="Calibri" w:hAnsi="Calibri" w:cs="Calibri"/>
          <w:sz w:val="24"/>
          <w:szCs w:val="24"/>
        </w:rPr>
        <w:t xml:space="preserve"> Effluent discharge point</w:t>
      </w:r>
    </w:p>
    <w:p w14:paraId="20CCFA55" w14:textId="77777777" w:rsidR="00E2260F" w:rsidRPr="00E2260F" w:rsidRDefault="00E2260F" w:rsidP="005E6E8E">
      <w:pPr>
        <w:numPr>
          <w:ilvl w:val="0"/>
          <w:numId w:val="2"/>
        </w:numPr>
        <w:spacing w:line="276" w:lineRule="auto"/>
        <w:jc w:val="both"/>
        <w:rPr>
          <w:rFonts w:ascii="Calibri" w:hAnsi="Calibri" w:cs="Calibri"/>
          <w:sz w:val="24"/>
          <w:szCs w:val="24"/>
        </w:rPr>
      </w:pPr>
      <w:r w:rsidRPr="00E2260F">
        <w:rPr>
          <w:rFonts w:ascii="Calibri" w:hAnsi="Calibri" w:cs="Calibri"/>
          <w:bCs/>
          <w:sz w:val="24"/>
          <w:szCs w:val="24"/>
        </w:rPr>
        <w:t>Point C:</w:t>
      </w:r>
      <w:r w:rsidRPr="00E2260F">
        <w:rPr>
          <w:rFonts w:ascii="Calibri" w:hAnsi="Calibri" w:cs="Calibri"/>
          <w:sz w:val="24"/>
          <w:szCs w:val="24"/>
        </w:rPr>
        <w:t xml:space="preserve"> Downstream of point B</w:t>
      </w:r>
    </w:p>
    <w:p w14:paraId="72AC4340"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Sampling points were approximately 100 meters apart. Two samples were collected per site, ensuring that each portion of the study population had an equal and independent chance of contributing to the fungal isolates.</w:t>
      </w:r>
    </w:p>
    <w:p w14:paraId="559CED2D" w14:textId="77777777" w:rsidR="00E2260F" w:rsidRPr="00E2260F" w:rsidRDefault="00E2260F" w:rsidP="005E6E8E">
      <w:pPr>
        <w:spacing w:line="276" w:lineRule="auto"/>
        <w:jc w:val="both"/>
        <w:rPr>
          <w:rFonts w:ascii="Calibri" w:hAnsi="Calibri" w:cs="Calibri"/>
          <w:sz w:val="24"/>
          <w:szCs w:val="24"/>
        </w:rPr>
      </w:pPr>
    </w:p>
    <w:p w14:paraId="0043CC2A"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Sample Collection</w:t>
      </w:r>
    </w:p>
    <w:p w14:paraId="43FC218D"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Water samples were aseptically collected at approximately 30 cm below the surface into sterile bijou bottles, following Seng </w:t>
      </w:r>
      <w:r w:rsidR="00CA22BB" w:rsidRPr="00CA22BB">
        <w:rPr>
          <w:rFonts w:ascii="Calibri" w:hAnsi="Calibri" w:cs="Calibri"/>
          <w:i/>
          <w:sz w:val="24"/>
          <w:szCs w:val="24"/>
        </w:rPr>
        <w:t>et al</w:t>
      </w:r>
      <w:r w:rsidRPr="00E2260F">
        <w:rPr>
          <w:rFonts w:ascii="Calibri" w:hAnsi="Calibri" w:cs="Calibri"/>
          <w:sz w:val="24"/>
          <w:szCs w:val="24"/>
        </w:rPr>
        <w:t>. (2018). Samples were labelled, transported in dark-</w:t>
      </w:r>
      <w:r w:rsidRPr="00E2260F">
        <w:rPr>
          <w:rFonts w:ascii="Calibri" w:hAnsi="Calibri" w:cs="Calibri"/>
          <w:sz w:val="24"/>
          <w:szCs w:val="24"/>
        </w:rPr>
        <w:lastRenderedPageBreak/>
        <w:t xml:space="preserve">cold containers, and analyzed at the Biotechnology Advanced Research Centre, </w:t>
      </w:r>
      <w:proofErr w:type="spellStart"/>
      <w:r w:rsidRPr="00E2260F">
        <w:rPr>
          <w:rFonts w:ascii="Calibri" w:hAnsi="Calibri" w:cs="Calibri"/>
          <w:sz w:val="24"/>
          <w:szCs w:val="24"/>
        </w:rPr>
        <w:t>Sheda</w:t>
      </w:r>
      <w:proofErr w:type="spellEnd"/>
      <w:r w:rsidRPr="00E2260F">
        <w:rPr>
          <w:rFonts w:ascii="Calibri" w:hAnsi="Calibri" w:cs="Calibri"/>
          <w:sz w:val="24"/>
          <w:szCs w:val="24"/>
        </w:rPr>
        <w:t xml:space="preserve"> Science and Technology Complex (SHESTCO), Kwali, FCT.</w:t>
      </w:r>
    </w:p>
    <w:p w14:paraId="3AA00434" w14:textId="77777777" w:rsidR="00E2260F" w:rsidRPr="00E2260F" w:rsidRDefault="00E2260F" w:rsidP="005E6E8E">
      <w:pPr>
        <w:spacing w:line="276" w:lineRule="auto"/>
        <w:jc w:val="both"/>
        <w:rPr>
          <w:rFonts w:ascii="Calibri" w:hAnsi="Calibri" w:cs="Calibri"/>
          <w:sz w:val="24"/>
          <w:szCs w:val="24"/>
        </w:rPr>
      </w:pPr>
    </w:p>
    <w:p w14:paraId="27CE08EC"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Sterilization and Media Preparation</w:t>
      </w:r>
    </w:p>
    <w:p w14:paraId="26390AE5" w14:textId="787BD412"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Glassware and bottles were sterilized in an autoclave at 121°C for 15 minutes. Inoculating loops were flame-sterilized, and work surfaces </w:t>
      </w:r>
      <w:r w:rsidR="00345DD8">
        <w:rPr>
          <w:rFonts w:ascii="Calibri" w:hAnsi="Calibri" w:cs="Calibri"/>
          <w:sz w:val="24"/>
          <w:szCs w:val="24"/>
        </w:rPr>
        <w:t xml:space="preserve">were </w:t>
      </w:r>
      <w:r w:rsidRPr="00E2260F">
        <w:rPr>
          <w:rFonts w:ascii="Calibri" w:hAnsi="Calibri" w:cs="Calibri"/>
          <w:sz w:val="24"/>
          <w:szCs w:val="24"/>
        </w:rPr>
        <w:t xml:space="preserve">disinfected with 70% ethanol. </w:t>
      </w:r>
      <w:proofErr w:type="spellStart"/>
      <w:r w:rsidRPr="00E2260F">
        <w:rPr>
          <w:rFonts w:ascii="Calibri" w:hAnsi="Calibri" w:cs="Calibri"/>
          <w:sz w:val="24"/>
          <w:szCs w:val="24"/>
        </w:rPr>
        <w:t>Sabouraud</w:t>
      </w:r>
      <w:proofErr w:type="spellEnd"/>
      <w:r w:rsidRPr="00E2260F">
        <w:rPr>
          <w:rFonts w:ascii="Calibri" w:hAnsi="Calibri" w:cs="Calibri"/>
          <w:sz w:val="24"/>
          <w:szCs w:val="24"/>
        </w:rPr>
        <w:t xml:space="preserve"> Dextrose Agar (SDA) was prepared according to the manufacturer’s instructions and supplemented with 0.1 g chloramphenicol to suppress bacterial growth (Abana </w:t>
      </w:r>
      <w:r w:rsidR="00CA22BB" w:rsidRPr="00CA22BB">
        <w:rPr>
          <w:rFonts w:ascii="Calibri" w:hAnsi="Calibri" w:cs="Calibri"/>
          <w:i/>
          <w:sz w:val="24"/>
          <w:szCs w:val="24"/>
        </w:rPr>
        <w:t>et al</w:t>
      </w:r>
      <w:r w:rsidRPr="00E2260F">
        <w:rPr>
          <w:rFonts w:ascii="Calibri" w:hAnsi="Calibri" w:cs="Calibri"/>
          <w:sz w:val="24"/>
          <w:szCs w:val="24"/>
        </w:rPr>
        <w:t>., 2024). Media were autoclaved at 121°C for 15 minutes, cooled to 45–50°</w:t>
      </w:r>
      <w:r w:rsidR="00345DD8">
        <w:rPr>
          <w:rFonts w:ascii="Calibri" w:hAnsi="Calibri" w:cs="Calibri"/>
          <w:sz w:val="24"/>
          <w:szCs w:val="24"/>
        </w:rPr>
        <w:t>C, poured into sterile plates (</w:t>
      </w:r>
      <w:r w:rsidRPr="00E2260F">
        <w:rPr>
          <w:rFonts w:ascii="Calibri" w:hAnsi="Calibri" w:cs="Calibri"/>
          <w:sz w:val="24"/>
          <w:szCs w:val="24"/>
        </w:rPr>
        <w:t>4 mm depth), swirled gently, and allowed to solidify before use (</w:t>
      </w:r>
      <w:proofErr w:type="spellStart"/>
      <w:r w:rsidR="00754149" w:rsidRPr="00754149">
        <w:rPr>
          <w:rFonts w:ascii="Calibri" w:hAnsi="Calibri" w:cs="Calibri"/>
          <w:sz w:val="24"/>
          <w:szCs w:val="24"/>
          <w:highlight w:val="yellow"/>
        </w:rPr>
        <w:t>Boi</w:t>
      </w:r>
      <w:proofErr w:type="spellEnd"/>
      <w:r w:rsidR="00754149" w:rsidRPr="00754149">
        <w:rPr>
          <w:rFonts w:ascii="Calibri" w:hAnsi="Calibri" w:cs="Calibri"/>
          <w:sz w:val="24"/>
          <w:szCs w:val="24"/>
          <w:highlight w:val="yellow"/>
        </w:rPr>
        <w:t xml:space="preserve"> </w:t>
      </w:r>
      <w:r w:rsidR="00754149" w:rsidRPr="00754149">
        <w:rPr>
          <w:rFonts w:ascii="Calibri" w:hAnsi="Calibri" w:cs="Calibri"/>
          <w:i/>
          <w:sz w:val="24"/>
          <w:szCs w:val="24"/>
          <w:highlight w:val="yellow"/>
        </w:rPr>
        <w:t>et al.,</w:t>
      </w:r>
      <w:r w:rsidR="00754149" w:rsidRPr="00754149">
        <w:rPr>
          <w:rFonts w:ascii="Calibri" w:hAnsi="Calibri" w:cs="Calibri"/>
          <w:sz w:val="24"/>
          <w:szCs w:val="24"/>
          <w:highlight w:val="yellow"/>
        </w:rPr>
        <w:t xml:space="preserve"> 2016;</w:t>
      </w:r>
      <w:r w:rsidR="00754149">
        <w:rPr>
          <w:rFonts w:ascii="Calibri" w:hAnsi="Calibri" w:cs="Calibri"/>
          <w:sz w:val="24"/>
          <w:szCs w:val="24"/>
        </w:rPr>
        <w:t xml:space="preserve"> </w:t>
      </w:r>
      <w:r w:rsidR="00206D0E" w:rsidRPr="00206D0E">
        <w:rPr>
          <w:rFonts w:ascii="Calibri" w:hAnsi="Calibri" w:cs="Calibri"/>
          <w:sz w:val="24"/>
          <w:szCs w:val="24"/>
          <w:highlight w:val="yellow"/>
        </w:rPr>
        <w:t xml:space="preserve">Nguyen </w:t>
      </w:r>
      <w:r w:rsidR="00206D0E" w:rsidRPr="00206D0E">
        <w:rPr>
          <w:rFonts w:ascii="Calibri" w:hAnsi="Calibri" w:cs="Calibri"/>
          <w:i/>
          <w:sz w:val="24"/>
          <w:szCs w:val="24"/>
          <w:highlight w:val="yellow"/>
        </w:rPr>
        <w:t>et al.,</w:t>
      </w:r>
      <w:r w:rsidR="00206D0E" w:rsidRPr="00206D0E">
        <w:rPr>
          <w:rFonts w:ascii="Calibri" w:hAnsi="Calibri" w:cs="Calibri"/>
          <w:sz w:val="24"/>
          <w:szCs w:val="24"/>
          <w:highlight w:val="yellow"/>
        </w:rPr>
        <w:t xml:space="preserve"> 2019;</w:t>
      </w:r>
      <w:r w:rsidR="00206D0E">
        <w:rPr>
          <w:rFonts w:ascii="Calibri" w:hAnsi="Calibri" w:cs="Calibri"/>
          <w:sz w:val="24"/>
          <w:szCs w:val="24"/>
        </w:rPr>
        <w:t xml:space="preserve"> </w:t>
      </w:r>
      <w:proofErr w:type="spellStart"/>
      <w:r w:rsidRPr="00E2260F">
        <w:rPr>
          <w:rFonts w:ascii="Calibri" w:hAnsi="Calibri" w:cs="Calibri"/>
          <w:sz w:val="24"/>
          <w:szCs w:val="24"/>
        </w:rPr>
        <w:t>Iweriolor</w:t>
      </w:r>
      <w:proofErr w:type="spellEnd"/>
      <w:r w:rsidRPr="00E2260F">
        <w:rPr>
          <w:rFonts w:ascii="Calibri" w:hAnsi="Calibri" w:cs="Calibri"/>
          <w:sz w:val="24"/>
          <w:szCs w:val="24"/>
        </w:rPr>
        <w:t xml:space="preserve"> &amp; </w:t>
      </w:r>
      <w:proofErr w:type="spellStart"/>
      <w:r w:rsidRPr="00E2260F">
        <w:rPr>
          <w:rFonts w:ascii="Calibri" w:hAnsi="Calibri" w:cs="Calibri"/>
          <w:sz w:val="24"/>
          <w:szCs w:val="24"/>
        </w:rPr>
        <w:t>Anyim</w:t>
      </w:r>
      <w:proofErr w:type="spellEnd"/>
      <w:r w:rsidRPr="00E2260F">
        <w:rPr>
          <w:rFonts w:ascii="Calibri" w:hAnsi="Calibri" w:cs="Calibri"/>
          <w:sz w:val="24"/>
          <w:szCs w:val="24"/>
        </w:rPr>
        <w:t>, 2023).</w:t>
      </w:r>
    </w:p>
    <w:p w14:paraId="7563BFC4" w14:textId="77777777" w:rsidR="00E2260F" w:rsidRPr="00E2260F" w:rsidRDefault="00E2260F" w:rsidP="005E6E8E">
      <w:pPr>
        <w:spacing w:line="276" w:lineRule="auto"/>
        <w:jc w:val="both"/>
        <w:rPr>
          <w:rFonts w:ascii="Calibri" w:hAnsi="Calibri" w:cs="Calibri"/>
          <w:sz w:val="24"/>
          <w:szCs w:val="24"/>
        </w:rPr>
      </w:pPr>
    </w:p>
    <w:p w14:paraId="0EC0B479"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Sample Preparation</w:t>
      </w:r>
    </w:p>
    <w:p w14:paraId="11D83996"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Serial dilutions were prepared for each water sample. One milliliter (1 mL) of water was added to 9 mL </w:t>
      </w:r>
      <w:r w:rsidR="00345DD8">
        <w:rPr>
          <w:rFonts w:ascii="Calibri" w:hAnsi="Calibri" w:cs="Calibri"/>
          <w:sz w:val="24"/>
          <w:szCs w:val="24"/>
        </w:rPr>
        <w:t xml:space="preserve">of </w:t>
      </w:r>
      <w:r w:rsidRPr="00E2260F">
        <w:rPr>
          <w:rFonts w:ascii="Calibri" w:hAnsi="Calibri" w:cs="Calibri"/>
          <w:sz w:val="24"/>
          <w:szCs w:val="24"/>
        </w:rPr>
        <w:t>sterile water to achieve a 10⁻¹ dilution. Subsequent 10-fold dilutions were prepared up to 10⁻⁵ by transferring 1 mL from the previous dilution into 9 mL sterile water.</w:t>
      </w:r>
    </w:p>
    <w:p w14:paraId="2F25E8BD" w14:textId="77777777" w:rsidR="00E2260F" w:rsidRDefault="00E2260F" w:rsidP="005E6E8E">
      <w:pPr>
        <w:spacing w:line="276" w:lineRule="auto"/>
        <w:jc w:val="both"/>
        <w:rPr>
          <w:rFonts w:ascii="Calibri" w:hAnsi="Calibri" w:cs="Calibri"/>
          <w:b/>
          <w:bCs/>
          <w:sz w:val="24"/>
          <w:szCs w:val="24"/>
        </w:rPr>
      </w:pPr>
    </w:p>
    <w:p w14:paraId="5C5E6BCE"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Isolation and Identification of Fungi</w:t>
      </w:r>
    </w:p>
    <w:p w14:paraId="2D5AB32D" w14:textId="5944E672"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One milliliter of each water sample was inoculated into 9 mL sterile </w:t>
      </w:r>
      <w:r w:rsidR="00697D13" w:rsidRPr="00E2260F">
        <w:rPr>
          <w:rFonts w:ascii="Calibri" w:hAnsi="Calibri" w:cs="Calibri"/>
          <w:sz w:val="24"/>
          <w:szCs w:val="24"/>
        </w:rPr>
        <w:t>chloramphenicol</w:t>
      </w:r>
      <w:r w:rsidR="00697D13">
        <w:rPr>
          <w:rFonts w:ascii="Calibri" w:hAnsi="Calibri" w:cs="Calibri"/>
          <w:sz w:val="24"/>
          <w:szCs w:val="24"/>
        </w:rPr>
        <w:t xml:space="preserve">-spiked </w:t>
      </w:r>
      <w:proofErr w:type="spellStart"/>
      <w:r w:rsidR="00697D13" w:rsidRPr="00E2260F">
        <w:rPr>
          <w:rFonts w:ascii="Calibri" w:hAnsi="Calibri" w:cs="Calibri"/>
          <w:sz w:val="24"/>
          <w:szCs w:val="24"/>
        </w:rPr>
        <w:t>Sabouraud</w:t>
      </w:r>
      <w:proofErr w:type="spellEnd"/>
      <w:r w:rsidRPr="00E2260F">
        <w:rPr>
          <w:rFonts w:ascii="Calibri" w:hAnsi="Calibri" w:cs="Calibri"/>
          <w:sz w:val="24"/>
          <w:szCs w:val="24"/>
        </w:rPr>
        <w:t xml:space="preserve"> Dextrose Broth and incubated for 72 hours at room temperature to maintain microbial viability. Serial dilutions were then plated on SDA in triplicate, and plates incubated at 28 ± 2°C in an inverted position until visible growth occurred. Fungal isolates were preserved on SDA slants at 4°C for subsequent analysis (</w:t>
      </w:r>
      <w:proofErr w:type="spellStart"/>
      <w:r w:rsidR="00754149" w:rsidRPr="00206D0E">
        <w:rPr>
          <w:rFonts w:ascii="Calibri" w:hAnsi="Calibri" w:cs="Calibri"/>
          <w:sz w:val="24"/>
          <w:szCs w:val="24"/>
          <w:highlight w:val="yellow"/>
        </w:rPr>
        <w:t>Boi</w:t>
      </w:r>
      <w:proofErr w:type="spellEnd"/>
      <w:r w:rsidR="00754149" w:rsidRPr="00206D0E">
        <w:rPr>
          <w:rFonts w:ascii="Calibri" w:hAnsi="Calibri" w:cs="Calibri"/>
          <w:sz w:val="24"/>
          <w:szCs w:val="24"/>
          <w:highlight w:val="yellow"/>
        </w:rPr>
        <w:t xml:space="preserve"> </w:t>
      </w:r>
      <w:r w:rsidR="00754149" w:rsidRPr="00206D0E">
        <w:rPr>
          <w:rFonts w:ascii="Calibri" w:hAnsi="Calibri" w:cs="Calibri"/>
          <w:i/>
          <w:sz w:val="24"/>
          <w:szCs w:val="24"/>
          <w:highlight w:val="yellow"/>
        </w:rPr>
        <w:t>et al.,</w:t>
      </w:r>
      <w:r w:rsidR="00754149" w:rsidRPr="00206D0E">
        <w:rPr>
          <w:rFonts w:ascii="Calibri" w:hAnsi="Calibri" w:cs="Calibri"/>
          <w:sz w:val="24"/>
          <w:szCs w:val="24"/>
          <w:highlight w:val="yellow"/>
        </w:rPr>
        <w:t xml:space="preserve"> 2016; </w:t>
      </w:r>
      <w:r w:rsidR="00206D0E" w:rsidRPr="00206D0E">
        <w:rPr>
          <w:rFonts w:ascii="Calibri" w:hAnsi="Calibri" w:cs="Calibri"/>
          <w:sz w:val="24"/>
          <w:szCs w:val="24"/>
          <w:highlight w:val="yellow"/>
        </w:rPr>
        <w:t xml:space="preserve">Nguyen </w:t>
      </w:r>
      <w:r w:rsidR="00206D0E" w:rsidRPr="00206D0E">
        <w:rPr>
          <w:rFonts w:ascii="Calibri" w:hAnsi="Calibri" w:cs="Calibri"/>
          <w:i/>
          <w:sz w:val="24"/>
          <w:szCs w:val="24"/>
          <w:highlight w:val="yellow"/>
        </w:rPr>
        <w:t>et al.,</w:t>
      </w:r>
      <w:r w:rsidR="00206D0E" w:rsidRPr="00206D0E">
        <w:rPr>
          <w:rFonts w:ascii="Calibri" w:hAnsi="Calibri" w:cs="Calibri"/>
          <w:sz w:val="24"/>
          <w:szCs w:val="24"/>
          <w:highlight w:val="yellow"/>
        </w:rPr>
        <w:t xml:space="preserve"> 2019;</w:t>
      </w:r>
      <w:r w:rsidR="00206D0E">
        <w:rPr>
          <w:rFonts w:ascii="Calibri" w:hAnsi="Calibri" w:cs="Calibri"/>
          <w:sz w:val="24"/>
          <w:szCs w:val="24"/>
        </w:rPr>
        <w:t xml:space="preserve"> </w:t>
      </w:r>
      <w:r w:rsidRPr="00E2260F">
        <w:rPr>
          <w:rFonts w:ascii="Calibri" w:hAnsi="Calibri" w:cs="Calibri"/>
          <w:sz w:val="24"/>
          <w:szCs w:val="24"/>
        </w:rPr>
        <w:t xml:space="preserve">Abana </w:t>
      </w:r>
      <w:r w:rsidR="00CA22BB" w:rsidRPr="00CA22BB">
        <w:rPr>
          <w:rFonts w:ascii="Calibri" w:hAnsi="Calibri" w:cs="Calibri"/>
          <w:i/>
          <w:sz w:val="24"/>
          <w:szCs w:val="24"/>
        </w:rPr>
        <w:t>et al</w:t>
      </w:r>
      <w:r w:rsidRPr="00E2260F">
        <w:rPr>
          <w:rFonts w:ascii="Calibri" w:hAnsi="Calibri" w:cs="Calibri"/>
          <w:sz w:val="24"/>
          <w:szCs w:val="24"/>
        </w:rPr>
        <w:t>., 2024). Colony-forming units (</w:t>
      </w:r>
      <w:r w:rsidR="00345DD8">
        <w:rPr>
          <w:rFonts w:ascii="Calibri" w:hAnsi="Calibri" w:cs="Calibri"/>
          <w:sz w:val="24"/>
          <w:szCs w:val="24"/>
        </w:rPr>
        <w:t>CFU</w:t>
      </w:r>
      <w:r w:rsidRPr="00E2260F">
        <w:rPr>
          <w:rFonts w:ascii="Calibri" w:hAnsi="Calibri" w:cs="Calibri"/>
          <w:sz w:val="24"/>
          <w:szCs w:val="24"/>
        </w:rPr>
        <w:t>/mL) were enumerated, and fungal load statistically estimated.</w:t>
      </w:r>
    </w:p>
    <w:p w14:paraId="0B988A0F" w14:textId="77777777" w:rsidR="00E2260F" w:rsidRPr="00E2260F" w:rsidRDefault="00E2260F" w:rsidP="005E6E8E">
      <w:pPr>
        <w:spacing w:line="276" w:lineRule="auto"/>
        <w:jc w:val="both"/>
        <w:rPr>
          <w:rFonts w:ascii="Calibri" w:hAnsi="Calibri" w:cs="Calibri"/>
          <w:sz w:val="24"/>
          <w:szCs w:val="24"/>
        </w:rPr>
      </w:pPr>
    </w:p>
    <w:p w14:paraId="75F52A94"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Morphological Examination of Fungi</w:t>
      </w:r>
    </w:p>
    <w:p w14:paraId="596F5465" w14:textId="50ED4CDB"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Fungal species were preliminarily identified based on colony morphology and microscopic characteristics. Lactophenol cotton blue staining was used for microscopic examination. A small portion of fungal mycelium was placed on a slide with lactophenol cotton blue, covered with a cover slip, and observed under x40 and x100 objectives. Species were identified by comparing morphological features to standard fungal atlases (</w:t>
      </w:r>
      <w:r w:rsidR="00206D0E" w:rsidRPr="00206D0E">
        <w:rPr>
          <w:rFonts w:ascii="Calibri" w:hAnsi="Calibri" w:cs="Calibri"/>
          <w:sz w:val="24"/>
          <w:szCs w:val="24"/>
          <w:highlight w:val="yellow"/>
        </w:rPr>
        <w:t xml:space="preserve">Nguyen </w:t>
      </w:r>
      <w:r w:rsidR="00206D0E" w:rsidRPr="00206D0E">
        <w:rPr>
          <w:rFonts w:ascii="Calibri" w:hAnsi="Calibri" w:cs="Calibri"/>
          <w:i/>
          <w:sz w:val="24"/>
          <w:szCs w:val="24"/>
          <w:highlight w:val="yellow"/>
        </w:rPr>
        <w:t>et al.,</w:t>
      </w:r>
      <w:r w:rsidR="00206D0E" w:rsidRPr="00206D0E">
        <w:rPr>
          <w:rFonts w:ascii="Calibri" w:hAnsi="Calibri" w:cs="Calibri"/>
          <w:sz w:val="24"/>
          <w:szCs w:val="24"/>
          <w:highlight w:val="yellow"/>
        </w:rPr>
        <w:t xml:space="preserve"> 2019</w:t>
      </w:r>
      <w:r w:rsidR="00206D0E">
        <w:rPr>
          <w:rFonts w:ascii="Calibri" w:hAnsi="Calibri" w:cs="Calibri"/>
          <w:sz w:val="24"/>
          <w:szCs w:val="24"/>
        </w:rPr>
        <w:t xml:space="preserve">; </w:t>
      </w:r>
      <w:proofErr w:type="spellStart"/>
      <w:r w:rsidRPr="00E2260F">
        <w:rPr>
          <w:rFonts w:ascii="Calibri" w:hAnsi="Calibri" w:cs="Calibri"/>
          <w:sz w:val="24"/>
          <w:szCs w:val="24"/>
        </w:rPr>
        <w:t>Manir</w:t>
      </w:r>
      <w:proofErr w:type="spellEnd"/>
      <w:r w:rsidRPr="00E2260F">
        <w:rPr>
          <w:rFonts w:ascii="Calibri" w:hAnsi="Calibri" w:cs="Calibri"/>
          <w:sz w:val="24"/>
          <w:szCs w:val="24"/>
        </w:rPr>
        <w:t xml:space="preserve"> </w:t>
      </w:r>
      <w:r w:rsidR="00CA22BB" w:rsidRPr="00CA22BB">
        <w:rPr>
          <w:rFonts w:ascii="Calibri" w:hAnsi="Calibri" w:cs="Calibri"/>
          <w:i/>
          <w:sz w:val="24"/>
          <w:szCs w:val="24"/>
        </w:rPr>
        <w:t>et al</w:t>
      </w:r>
      <w:r w:rsidRPr="00E2260F">
        <w:rPr>
          <w:rFonts w:ascii="Calibri" w:hAnsi="Calibri" w:cs="Calibri"/>
          <w:sz w:val="24"/>
          <w:szCs w:val="24"/>
        </w:rPr>
        <w:t xml:space="preserve">., 2020; Abana </w:t>
      </w:r>
      <w:r w:rsidR="00CA22BB" w:rsidRPr="00CA22BB">
        <w:rPr>
          <w:rFonts w:ascii="Calibri" w:hAnsi="Calibri" w:cs="Calibri"/>
          <w:i/>
          <w:sz w:val="24"/>
          <w:szCs w:val="24"/>
        </w:rPr>
        <w:t>et al</w:t>
      </w:r>
      <w:r w:rsidRPr="00E2260F">
        <w:rPr>
          <w:rFonts w:ascii="Calibri" w:hAnsi="Calibri" w:cs="Calibri"/>
          <w:sz w:val="24"/>
          <w:szCs w:val="24"/>
        </w:rPr>
        <w:t>., 2024).</w:t>
      </w:r>
    </w:p>
    <w:p w14:paraId="1F057E6F" w14:textId="77777777" w:rsidR="00E2260F" w:rsidRPr="00E2260F" w:rsidRDefault="00E2260F" w:rsidP="005E6E8E">
      <w:pPr>
        <w:spacing w:line="276" w:lineRule="auto"/>
        <w:jc w:val="both"/>
        <w:rPr>
          <w:rFonts w:ascii="Calibri" w:hAnsi="Calibri" w:cs="Calibri"/>
          <w:sz w:val="24"/>
          <w:szCs w:val="24"/>
        </w:rPr>
      </w:pPr>
    </w:p>
    <w:p w14:paraId="30D036B3"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lastRenderedPageBreak/>
        <w:t>Antifungal Susceptibility Testing</w:t>
      </w:r>
    </w:p>
    <w:p w14:paraId="3ECF4AB8"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The agar well diffusion method on SDA was used to evaluate antifungal susceptibility (Ogbonna </w:t>
      </w:r>
      <w:r w:rsidR="00CA22BB" w:rsidRPr="00CA22BB">
        <w:rPr>
          <w:rFonts w:ascii="Calibri" w:hAnsi="Calibri" w:cs="Calibri"/>
          <w:i/>
          <w:sz w:val="24"/>
          <w:szCs w:val="24"/>
        </w:rPr>
        <w:t>et al</w:t>
      </w:r>
      <w:r w:rsidRPr="00E2260F">
        <w:rPr>
          <w:rFonts w:ascii="Calibri" w:hAnsi="Calibri" w:cs="Calibri"/>
          <w:sz w:val="24"/>
          <w:szCs w:val="24"/>
        </w:rPr>
        <w:t xml:space="preserve">., 2022). Test isolates were regrown for 18–24 hours, spores harvested, suspended in sterile water, and standardized to 0.5 McFarland turbidity. A 0.1 mL aliquot of spore suspension (10⁴ dilution) was spread on SDA plates. Agar wells (8 mm) were filled with 0.1 mL antifungal agents (clotrimazole, ketoconazole, nystatin) at concentrations of 25 and 50 mg/mL (two-fold dilution). Plates were incubated at 25°C for 72 hours. Zones of inhibition were measured and interpreted as susceptible, intermediate, or resistant based on CLSI (2020) criteria (Ogbonna </w:t>
      </w:r>
      <w:r w:rsidR="00CA22BB" w:rsidRPr="00CA22BB">
        <w:rPr>
          <w:rFonts w:ascii="Calibri" w:hAnsi="Calibri" w:cs="Calibri"/>
          <w:i/>
          <w:sz w:val="24"/>
          <w:szCs w:val="24"/>
        </w:rPr>
        <w:t>et al</w:t>
      </w:r>
      <w:r w:rsidRPr="00E2260F">
        <w:rPr>
          <w:rFonts w:ascii="Calibri" w:hAnsi="Calibri" w:cs="Calibri"/>
          <w:sz w:val="24"/>
          <w:szCs w:val="24"/>
        </w:rPr>
        <w:t>., 2022).</w:t>
      </w:r>
    </w:p>
    <w:p w14:paraId="31723895" w14:textId="77777777" w:rsidR="005E6E8E" w:rsidRDefault="005E6E8E" w:rsidP="005E6E8E">
      <w:pPr>
        <w:spacing w:line="276" w:lineRule="auto"/>
        <w:jc w:val="both"/>
        <w:rPr>
          <w:rFonts w:ascii="Calibri" w:hAnsi="Calibri" w:cs="Calibri"/>
          <w:b/>
          <w:bCs/>
          <w:sz w:val="24"/>
          <w:szCs w:val="24"/>
        </w:rPr>
      </w:pPr>
    </w:p>
    <w:p w14:paraId="05F16767" w14:textId="77777777" w:rsidR="00E2260F" w:rsidRPr="00E2260F" w:rsidRDefault="00E2260F" w:rsidP="005E6E8E">
      <w:pPr>
        <w:spacing w:line="276" w:lineRule="auto"/>
        <w:jc w:val="both"/>
        <w:rPr>
          <w:rFonts w:ascii="Calibri" w:hAnsi="Calibri" w:cs="Calibri"/>
          <w:sz w:val="24"/>
          <w:szCs w:val="24"/>
        </w:rPr>
      </w:pPr>
      <w:r w:rsidRPr="005E6E8E">
        <w:rPr>
          <w:rFonts w:ascii="Calibri" w:hAnsi="Calibri" w:cs="Calibri"/>
          <w:bCs/>
          <w:sz w:val="24"/>
          <w:szCs w:val="24"/>
        </w:rPr>
        <w:t>Percentage occurrence of susceptibility</w:t>
      </w:r>
      <w:r w:rsidRPr="00E2260F">
        <w:rPr>
          <w:rFonts w:ascii="Calibri" w:hAnsi="Calibri" w:cs="Calibri"/>
          <w:sz w:val="24"/>
          <w:szCs w:val="24"/>
        </w:rPr>
        <w:t xml:space="preserve"> was calculated as:</w:t>
      </w:r>
    </w:p>
    <w:p w14:paraId="19188189" w14:textId="77777777" w:rsidR="00E2260F" w:rsidRPr="00E2260F" w:rsidRDefault="005E6E8E" w:rsidP="005E6E8E">
      <w:pPr>
        <w:spacing w:line="276" w:lineRule="auto"/>
        <w:jc w:val="both"/>
        <w:rPr>
          <w:rFonts w:ascii="Calibri" w:hAnsi="Calibri" w:cs="Calibri"/>
          <w:sz w:val="24"/>
          <w:szCs w:val="24"/>
        </w:rPr>
      </w:pPr>
      <m:oMathPara>
        <m:oMath>
          <m:r>
            <w:rPr>
              <w:rFonts w:ascii="Cambria Math" w:hAnsi="Cambria Math" w:cs="Cambria Math"/>
              <w:sz w:val="24"/>
              <w:szCs w:val="24"/>
            </w:rPr>
            <m:t>Percentage Occurence</m:t>
          </m:r>
          <m:r>
            <m:rPr>
              <m:sty m:val="p"/>
            </m:rPr>
            <w:rPr>
              <w:rFonts w:ascii="Cambria Math" w:hAnsi="Cambria Math" w:cs="Cambria Math"/>
              <w:sz w:val="24"/>
              <w:szCs w:val="24"/>
            </w:rPr>
            <m:t>=</m:t>
          </m:r>
          <m:f>
            <m:fPr>
              <m:ctrlPr>
                <w:rPr>
                  <w:rFonts w:ascii="Cambria Math" w:hAnsi="Cambria Math" w:cs="Calibri"/>
                  <w:sz w:val="24"/>
                  <w:szCs w:val="24"/>
                </w:rPr>
              </m:ctrlPr>
            </m:fPr>
            <m:num>
              <m:r>
                <m:rPr>
                  <m:sty m:val="p"/>
                </m:rPr>
                <w:rPr>
                  <w:rFonts w:ascii="Cambria Math" w:hAnsi="Cambria Math" w:cs="Cambria Math"/>
                  <w:sz w:val="24"/>
                  <w:szCs w:val="24"/>
                </w:rPr>
                <m:t>Number of Susceptible isolates</m:t>
              </m:r>
            </m:num>
            <m:den>
              <m:r>
                <m:rPr>
                  <m:sty m:val="p"/>
                </m:rPr>
                <w:rPr>
                  <w:rFonts w:ascii="Cambria Math" w:hAnsi="Cambria Math" w:cs="Cambria Math"/>
                  <w:sz w:val="24"/>
                  <w:szCs w:val="24"/>
                </w:rPr>
                <m:t>Total Number of isolates</m:t>
              </m:r>
            </m:den>
          </m:f>
          <m:r>
            <w:rPr>
              <w:rFonts w:ascii="Cambria Math" w:hAnsi="Cambria Math" w:cs="Calibri"/>
              <w:sz w:val="24"/>
              <w:szCs w:val="24"/>
            </w:rPr>
            <m:t xml:space="preserve"> x 100</m:t>
          </m:r>
        </m:oMath>
      </m:oMathPara>
    </w:p>
    <w:p w14:paraId="5C2E1133" w14:textId="77777777" w:rsidR="005E6E8E" w:rsidRDefault="005E6E8E" w:rsidP="005E6E8E">
      <w:pPr>
        <w:spacing w:line="276" w:lineRule="auto"/>
        <w:jc w:val="both"/>
        <w:rPr>
          <w:rFonts w:ascii="Calibri" w:hAnsi="Calibri" w:cs="Calibri"/>
          <w:b/>
          <w:bCs/>
          <w:sz w:val="24"/>
          <w:szCs w:val="24"/>
        </w:rPr>
      </w:pPr>
    </w:p>
    <w:p w14:paraId="6E56C6B6"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Molecular Identification of Fungi</w:t>
      </w:r>
    </w:p>
    <w:p w14:paraId="1212379F" w14:textId="77777777" w:rsidR="00E2260F" w:rsidRPr="005E6E8E" w:rsidRDefault="00E2260F" w:rsidP="005E6E8E">
      <w:pPr>
        <w:spacing w:line="276" w:lineRule="auto"/>
        <w:jc w:val="both"/>
        <w:rPr>
          <w:rFonts w:ascii="Calibri" w:hAnsi="Calibri" w:cs="Calibri"/>
          <w:bCs/>
          <w:i/>
          <w:sz w:val="24"/>
          <w:szCs w:val="24"/>
          <w:u w:val="single"/>
        </w:rPr>
      </w:pPr>
      <w:r w:rsidRPr="005E6E8E">
        <w:rPr>
          <w:rFonts w:ascii="Calibri" w:hAnsi="Calibri" w:cs="Calibri"/>
          <w:bCs/>
          <w:i/>
          <w:sz w:val="24"/>
          <w:szCs w:val="24"/>
          <w:u w:val="single"/>
        </w:rPr>
        <w:t>Genomic DNA Extraction</w:t>
      </w:r>
    </w:p>
    <w:p w14:paraId="5FEC79D8"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Fungal isolates were sub</w:t>
      </w:r>
      <w:r w:rsidR="00697D13">
        <w:rPr>
          <w:rFonts w:ascii="Calibri" w:hAnsi="Calibri" w:cs="Calibri"/>
          <w:sz w:val="24"/>
          <w:szCs w:val="24"/>
        </w:rPr>
        <w:t>-</w:t>
      </w:r>
      <w:r w:rsidRPr="00E2260F">
        <w:rPr>
          <w:rFonts w:ascii="Calibri" w:hAnsi="Calibri" w:cs="Calibri"/>
          <w:sz w:val="24"/>
          <w:szCs w:val="24"/>
        </w:rPr>
        <w:t xml:space="preserve">cultured on SDA for 120 hours at 28 ± 2°C. Genomic DNA was extracted using the CTAB method (Eke </w:t>
      </w:r>
      <w:r w:rsidR="00CA22BB" w:rsidRPr="00CA22BB">
        <w:rPr>
          <w:rFonts w:ascii="Calibri" w:hAnsi="Calibri" w:cs="Calibri"/>
          <w:i/>
          <w:sz w:val="24"/>
          <w:szCs w:val="24"/>
        </w:rPr>
        <w:t>et al</w:t>
      </w:r>
      <w:r w:rsidRPr="00E2260F">
        <w:rPr>
          <w:rFonts w:ascii="Calibri" w:hAnsi="Calibri" w:cs="Calibri"/>
          <w:sz w:val="24"/>
          <w:szCs w:val="24"/>
        </w:rPr>
        <w:t xml:space="preserve">., 2023). Fungal mycelium was ground, mixed with 700 µL pre-warmed CTAB buffer, </w:t>
      </w:r>
      <w:r w:rsidR="00345DD8">
        <w:rPr>
          <w:rFonts w:ascii="Calibri" w:hAnsi="Calibri" w:cs="Calibri"/>
          <w:sz w:val="24"/>
          <w:szCs w:val="24"/>
        </w:rPr>
        <w:t xml:space="preserve">and </w:t>
      </w:r>
      <w:r w:rsidRPr="00E2260F">
        <w:rPr>
          <w:rFonts w:ascii="Calibri" w:hAnsi="Calibri" w:cs="Calibri"/>
          <w:sz w:val="24"/>
          <w:szCs w:val="24"/>
        </w:rPr>
        <w:t xml:space="preserve">incubated at 65°C for 60 min with intermittent </w:t>
      </w:r>
      <w:proofErr w:type="spellStart"/>
      <w:r w:rsidRPr="00E2260F">
        <w:rPr>
          <w:rFonts w:ascii="Calibri" w:hAnsi="Calibri" w:cs="Calibri"/>
          <w:sz w:val="24"/>
          <w:szCs w:val="24"/>
        </w:rPr>
        <w:t>vortexing</w:t>
      </w:r>
      <w:proofErr w:type="spellEnd"/>
      <w:r w:rsidRPr="00E2260F">
        <w:rPr>
          <w:rFonts w:ascii="Calibri" w:hAnsi="Calibri" w:cs="Calibri"/>
          <w:sz w:val="24"/>
          <w:szCs w:val="24"/>
        </w:rPr>
        <w:t xml:space="preserve">. </w:t>
      </w:r>
      <w:proofErr w:type="spellStart"/>
      <w:proofErr w:type="gramStart"/>
      <w:r w:rsidRPr="00E2260F">
        <w:rPr>
          <w:rFonts w:ascii="Calibri" w:hAnsi="Calibri" w:cs="Calibri"/>
          <w:sz w:val="24"/>
          <w:szCs w:val="24"/>
        </w:rPr>
        <w:t>Chloroform:isoamyl</w:t>
      </w:r>
      <w:proofErr w:type="spellEnd"/>
      <w:proofErr w:type="gramEnd"/>
      <w:r w:rsidRPr="00E2260F">
        <w:rPr>
          <w:rFonts w:ascii="Calibri" w:hAnsi="Calibri" w:cs="Calibri"/>
          <w:sz w:val="24"/>
          <w:szCs w:val="24"/>
        </w:rPr>
        <w:t xml:space="preserve"> alcohol (600 µL) was added, centrifuged at 14,000 rpm for 5 min, and the supernatant precipitated with ice-cold isopropanol at −20°C for 60 min. DNA pellets were washed with 70% ethanol, dried, re</w:t>
      </w:r>
      <w:r w:rsidR="00697D13">
        <w:rPr>
          <w:rFonts w:ascii="Calibri" w:hAnsi="Calibri" w:cs="Calibri"/>
          <w:sz w:val="24"/>
          <w:szCs w:val="24"/>
        </w:rPr>
        <w:t>-</w:t>
      </w:r>
      <w:r w:rsidRPr="00E2260F">
        <w:rPr>
          <w:rFonts w:ascii="Calibri" w:hAnsi="Calibri" w:cs="Calibri"/>
          <w:sz w:val="24"/>
          <w:szCs w:val="24"/>
        </w:rPr>
        <w:t>suspended in 100 µL nuclease-free water, and stored at 4°C.</w:t>
      </w:r>
    </w:p>
    <w:p w14:paraId="0E0B3E52" w14:textId="77777777" w:rsidR="005E6E8E" w:rsidRDefault="005E6E8E" w:rsidP="005E6E8E">
      <w:pPr>
        <w:spacing w:line="276" w:lineRule="auto"/>
        <w:jc w:val="both"/>
        <w:rPr>
          <w:rFonts w:ascii="Calibri" w:hAnsi="Calibri" w:cs="Calibri"/>
          <w:b/>
          <w:bCs/>
          <w:sz w:val="24"/>
          <w:szCs w:val="24"/>
        </w:rPr>
      </w:pPr>
    </w:p>
    <w:p w14:paraId="60628403" w14:textId="77777777" w:rsidR="00E2260F" w:rsidRPr="005E6E8E" w:rsidRDefault="00E2260F" w:rsidP="005E6E8E">
      <w:pPr>
        <w:spacing w:line="276" w:lineRule="auto"/>
        <w:jc w:val="both"/>
        <w:rPr>
          <w:rFonts w:ascii="Calibri" w:hAnsi="Calibri" w:cs="Calibri"/>
          <w:bCs/>
          <w:i/>
          <w:sz w:val="24"/>
          <w:szCs w:val="24"/>
          <w:u w:val="single"/>
        </w:rPr>
      </w:pPr>
      <w:r w:rsidRPr="005E6E8E">
        <w:rPr>
          <w:rFonts w:ascii="Calibri" w:hAnsi="Calibri" w:cs="Calibri"/>
          <w:bCs/>
          <w:i/>
          <w:sz w:val="24"/>
          <w:szCs w:val="24"/>
          <w:u w:val="single"/>
        </w:rPr>
        <w:t>Agarose Gel Electrophoresis</w:t>
      </w:r>
    </w:p>
    <w:p w14:paraId="3E6F5815"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A 1% agarose gel with 5 µL ethidium bromide in 50 mL 1× TBE buffer was prepared. DNA samples and </w:t>
      </w:r>
      <w:r w:rsidR="00345DD8">
        <w:rPr>
          <w:rFonts w:ascii="Calibri" w:hAnsi="Calibri" w:cs="Calibri"/>
          <w:sz w:val="24"/>
          <w:szCs w:val="24"/>
        </w:rPr>
        <w:t xml:space="preserve">a </w:t>
      </w:r>
      <w:r w:rsidRPr="00E2260F">
        <w:rPr>
          <w:rFonts w:ascii="Calibri" w:hAnsi="Calibri" w:cs="Calibri"/>
          <w:sz w:val="24"/>
          <w:szCs w:val="24"/>
        </w:rPr>
        <w:t xml:space="preserve">1 kb ladder were loaded, and electrophoresis </w:t>
      </w:r>
      <w:r w:rsidR="00345DD8">
        <w:rPr>
          <w:rFonts w:ascii="Calibri" w:hAnsi="Calibri" w:cs="Calibri"/>
          <w:sz w:val="24"/>
          <w:szCs w:val="24"/>
        </w:rPr>
        <w:t xml:space="preserve">was </w:t>
      </w:r>
      <w:r w:rsidRPr="00E2260F">
        <w:rPr>
          <w:rFonts w:ascii="Calibri" w:hAnsi="Calibri" w:cs="Calibri"/>
          <w:sz w:val="24"/>
          <w:szCs w:val="24"/>
        </w:rPr>
        <w:t xml:space="preserve">conducted for 45 min. DNA bands were visualized using an Alpha </w:t>
      </w:r>
      <w:proofErr w:type="spellStart"/>
      <w:r w:rsidRPr="00E2260F">
        <w:rPr>
          <w:rFonts w:ascii="Calibri" w:hAnsi="Calibri" w:cs="Calibri"/>
          <w:sz w:val="24"/>
          <w:szCs w:val="24"/>
        </w:rPr>
        <w:t>Innotech</w:t>
      </w:r>
      <w:proofErr w:type="spellEnd"/>
      <w:r w:rsidRPr="00E2260F">
        <w:rPr>
          <w:rFonts w:ascii="Calibri" w:hAnsi="Calibri" w:cs="Calibri"/>
          <w:sz w:val="24"/>
          <w:szCs w:val="24"/>
        </w:rPr>
        <w:t xml:space="preserve"> Gel Documentation System.</w:t>
      </w:r>
    </w:p>
    <w:p w14:paraId="5092F42C" w14:textId="77777777" w:rsidR="005E6E8E" w:rsidRDefault="005E6E8E" w:rsidP="005E6E8E">
      <w:pPr>
        <w:spacing w:line="276" w:lineRule="auto"/>
        <w:jc w:val="both"/>
        <w:rPr>
          <w:rFonts w:ascii="Calibri" w:hAnsi="Calibri" w:cs="Calibri"/>
          <w:b/>
          <w:bCs/>
          <w:sz w:val="24"/>
          <w:szCs w:val="24"/>
        </w:rPr>
      </w:pPr>
    </w:p>
    <w:p w14:paraId="30AE0DF5" w14:textId="77777777" w:rsidR="00E2260F" w:rsidRPr="005E6E8E" w:rsidRDefault="00E2260F" w:rsidP="005E6E8E">
      <w:pPr>
        <w:spacing w:line="276" w:lineRule="auto"/>
        <w:jc w:val="both"/>
        <w:rPr>
          <w:rFonts w:ascii="Calibri" w:hAnsi="Calibri" w:cs="Calibri"/>
          <w:bCs/>
          <w:i/>
          <w:sz w:val="24"/>
          <w:szCs w:val="24"/>
          <w:u w:val="single"/>
        </w:rPr>
      </w:pPr>
      <w:r w:rsidRPr="005E6E8E">
        <w:rPr>
          <w:rFonts w:ascii="Calibri" w:hAnsi="Calibri" w:cs="Calibri"/>
          <w:bCs/>
          <w:i/>
          <w:sz w:val="24"/>
          <w:szCs w:val="24"/>
          <w:u w:val="single"/>
        </w:rPr>
        <w:t>PCR Amplification</w:t>
      </w:r>
    </w:p>
    <w:p w14:paraId="205A3EE8"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ITS region amplification was performed using ITS1 (5'-TCC GTA GGT GAA CCT GCG G-3') and ITS4 (5'-TCC TCC GCT TAT TGA TAT GC-3') primers (</w:t>
      </w:r>
      <w:proofErr w:type="spellStart"/>
      <w:r w:rsidRPr="00E2260F">
        <w:rPr>
          <w:rFonts w:ascii="Calibri" w:hAnsi="Calibri" w:cs="Calibri"/>
          <w:sz w:val="24"/>
          <w:szCs w:val="24"/>
        </w:rPr>
        <w:t>Inqaba</w:t>
      </w:r>
      <w:proofErr w:type="spellEnd"/>
      <w:r w:rsidRPr="00E2260F">
        <w:rPr>
          <w:rFonts w:ascii="Calibri" w:hAnsi="Calibri" w:cs="Calibri"/>
          <w:sz w:val="24"/>
          <w:szCs w:val="24"/>
        </w:rPr>
        <w:t xml:space="preserve"> Biotech, South Africa). Reaction mix (24 µL) contained 12.5 µL </w:t>
      </w:r>
      <w:proofErr w:type="spellStart"/>
      <w:r w:rsidRPr="00E2260F">
        <w:rPr>
          <w:rFonts w:ascii="Calibri" w:hAnsi="Calibri" w:cs="Calibri"/>
          <w:sz w:val="24"/>
          <w:szCs w:val="24"/>
        </w:rPr>
        <w:t>DreamTaq</w:t>
      </w:r>
      <w:proofErr w:type="spellEnd"/>
      <w:r w:rsidRPr="00E2260F">
        <w:rPr>
          <w:rFonts w:ascii="Calibri" w:hAnsi="Calibri" w:cs="Calibri"/>
          <w:sz w:val="24"/>
          <w:szCs w:val="24"/>
        </w:rPr>
        <w:t xml:space="preserve"> PCR master mix, 300 ng DNA, 0.4 µM primers, and 2 µL nuclease-free water. PCR conditions: initial denaturation 94°C for 5 min; 30 cycles of 94°C (denaturation, 60 s), 52°C (annealing, 60 s), 72°C (extension, 60 s); final extension 72°C for 10 </w:t>
      </w:r>
      <w:r w:rsidRPr="00E2260F">
        <w:rPr>
          <w:rFonts w:ascii="Calibri" w:hAnsi="Calibri" w:cs="Calibri"/>
          <w:sz w:val="24"/>
          <w:szCs w:val="24"/>
        </w:rPr>
        <w:lastRenderedPageBreak/>
        <w:t>min; storage at 4°C (</w:t>
      </w:r>
      <w:proofErr w:type="spellStart"/>
      <w:r w:rsidRPr="00E2260F">
        <w:rPr>
          <w:rFonts w:ascii="Calibri" w:hAnsi="Calibri" w:cs="Calibri"/>
          <w:sz w:val="24"/>
          <w:szCs w:val="24"/>
        </w:rPr>
        <w:t>Iweriolor</w:t>
      </w:r>
      <w:proofErr w:type="spellEnd"/>
      <w:r w:rsidRPr="00E2260F">
        <w:rPr>
          <w:rFonts w:ascii="Calibri" w:hAnsi="Calibri" w:cs="Calibri"/>
          <w:sz w:val="24"/>
          <w:szCs w:val="24"/>
        </w:rPr>
        <w:t xml:space="preserve"> &amp; </w:t>
      </w:r>
      <w:proofErr w:type="spellStart"/>
      <w:r w:rsidRPr="00E2260F">
        <w:rPr>
          <w:rFonts w:ascii="Calibri" w:hAnsi="Calibri" w:cs="Calibri"/>
          <w:sz w:val="24"/>
          <w:szCs w:val="24"/>
        </w:rPr>
        <w:t>Anyim</w:t>
      </w:r>
      <w:proofErr w:type="spellEnd"/>
      <w:r w:rsidRPr="00E2260F">
        <w:rPr>
          <w:rFonts w:ascii="Calibri" w:hAnsi="Calibri" w:cs="Calibri"/>
          <w:sz w:val="24"/>
          <w:szCs w:val="24"/>
        </w:rPr>
        <w:t>, 2023). Amplicons were checked on 1% agarose gel and visualized as described above.</w:t>
      </w:r>
    </w:p>
    <w:p w14:paraId="412C0806" w14:textId="77777777" w:rsidR="005E6E8E" w:rsidRDefault="005E6E8E" w:rsidP="005E6E8E">
      <w:pPr>
        <w:spacing w:line="276" w:lineRule="auto"/>
        <w:jc w:val="both"/>
        <w:rPr>
          <w:rFonts w:ascii="Calibri" w:hAnsi="Calibri" w:cs="Calibri"/>
          <w:b/>
          <w:bCs/>
          <w:sz w:val="24"/>
          <w:szCs w:val="24"/>
        </w:rPr>
      </w:pPr>
    </w:p>
    <w:p w14:paraId="513C9B6E" w14:textId="77777777" w:rsidR="00E2260F" w:rsidRPr="005E6E8E" w:rsidRDefault="00E2260F" w:rsidP="005E6E8E">
      <w:pPr>
        <w:spacing w:line="276" w:lineRule="auto"/>
        <w:jc w:val="both"/>
        <w:rPr>
          <w:rFonts w:ascii="Calibri" w:hAnsi="Calibri" w:cs="Calibri"/>
          <w:bCs/>
          <w:i/>
          <w:sz w:val="24"/>
          <w:szCs w:val="24"/>
          <w:u w:val="single"/>
        </w:rPr>
      </w:pPr>
      <w:r w:rsidRPr="005E6E8E">
        <w:rPr>
          <w:rFonts w:ascii="Calibri" w:hAnsi="Calibri" w:cs="Calibri"/>
          <w:bCs/>
          <w:i/>
          <w:sz w:val="24"/>
          <w:szCs w:val="24"/>
          <w:u w:val="single"/>
        </w:rPr>
        <w:t>Sequence Determination</w:t>
      </w:r>
    </w:p>
    <w:p w14:paraId="1D23AF38"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PCR products were purified using </w:t>
      </w:r>
      <w:proofErr w:type="spellStart"/>
      <w:r w:rsidRPr="00E2260F">
        <w:rPr>
          <w:rFonts w:ascii="Calibri" w:hAnsi="Calibri" w:cs="Calibri"/>
          <w:sz w:val="24"/>
          <w:szCs w:val="24"/>
        </w:rPr>
        <w:t>Zymo</w:t>
      </w:r>
      <w:proofErr w:type="spellEnd"/>
      <w:r w:rsidRPr="00E2260F">
        <w:rPr>
          <w:rFonts w:ascii="Calibri" w:hAnsi="Calibri" w:cs="Calibri"/>
          <w:sz w:val="24"/>
          <w:szCs w:val="24"/>
        </w:rPr>
        <w:t xml:space="preserve"> PCR Clean-up Kits and sequenced with an ABI 13130 automated sequencer (</w:t>
      </w:r>
      <w:proofErr w:type="spellStart"/>
      <w:r w:rsidRPr="00E2260F">
        <w:rPr>
          <w:rFonts w:ascii="Calibri" w:hAnsi="Calibri" w:cs="Calibri"/>
          <w:sz w:val="24"/>
          <w:szCs w:val="24"/>
        </w:rPr>
        <w:t>Inqaba</w:t>
      </w:r>
      <w:proofErr w:type="spellEnd"/>
      <w:r w:rsidRPr="00E2260F">
        <w:rPr>
          <w:rFonts w:ascii="Calibri" w:hAnsi="Calibri" w:cs="Calibri"/>
          <w:sz w:val="24"/>
          <w:szCs w:val="24"/>
        </w:rPr>
        <w:t xml:space="preserve"> </w:t>
      </w:r>
      <w:proofErr w:type="spellStart"/>
      <w:r w:rsidRPr="00E2260F">
        <w:rPr>
          <w:rFonts w:ascii="Calibri" w:hAnsi="Calibri" w:cs="Calibri"/>
          <w:sz w:val="24"/>
          <w:szCs w:val="24"/>
        </w:rPr>
        <w:t>Biotec</w:t>
      </w:r>
      <w:proofErr w:type="spellEnd"/>
      <w:r w:rsidRPr="00E2260F">
        <w:rPr>
          <w:rFonts w:ascii="Calibri" w:hAnsi="Calibri" w:cs="Calibri"/>
          <w:sz w:val="24"/>
          <w:szCs w:val="24"/>
        </w:rPr>
        <w:t>, Ibadan, Nigeria). Sequences were compared to GenBank ITS and 16S rRNA sequences using BLAST for species identification.</w:t>
      </w:r>
    </w:p>
    <w:p w14:paraId="5BDE6714" w14:textId="77777777" w:rsidR="009536DC" w:rsidRDefault="009536DC" w:rsidP="009536DC">
      <w:pPr>
        <w:spacing w:line="276" w:lineRule="auto"/>
        <w:jc w:val="both"/>
        <w:rPr>
          <w:rFonts w:ascii="Calibri" w:hAnsi="Calibri" w:cs="Calibri"/>
          <w:b/>
          <w:bCs/>
          <w:sz w:val="24"/>
          <w:szCs w:val="24"/>
        </w:rPr>
      </w:pPr>
    </w:p>
    <w:p w14:paraId="7E2556E8" w14:textId="301B65BD" w:rsidR="009536DC" w:rsidRPr="00D622D5" w:rsidRDefault="009536DC" w:rsidP="009536DC">
      <w:pPr>
        <w:spacing w:line="276" w:lineRule="auto"/>
        <w:jc w:val="both"/>
        <w:rPr>
          <w:rFonts w:ascii="Calibri" w:hAnsi="Calibri" w:cs="Calibri"/>
          <w:b/>
          <w:bCs/>
          <w:sz w:val="24"/>
          <w:szCs w:val="24"/>
          <w:highlight w:val="yellow"/>
        </w:rPr>
      </w:pPr>
      <w:r w:rsidRPr="00D622D5">
        <w:rPr>
          <w:rFonts w:ascii="Calibri" w:hAnsi="Calibri" w:cs="Calibri"/>
          <w:b/>
          <w:bCs/>
          <w:sz w:val="24"/>
          <w:szCs w:val="24"/>
          <w:highlight w:val="yellow"/>
        </w:rPr>
        <w:t xml:space="preserve">Physicochemical Analysis of Water samples </w:t>
      </w:r>
    </w:p>
    <w:p w14:paraId="7CC8AF96" w14:textId="5EEBA1CB" w:rsidR="009536DC" w:rsidRPr="00D622D5" w:rsidRDefault="009536DC" w:rsidP="009536DC">
      <w:pPr>
        <w:spacing w:line="276" w:lineRule="auto"/>
        <w:jc w:val="both"/>
        <w:rPr>
          <w:rFonts w:ascii="Calibri" w:hAnsi="Calibri" w:cs="Calibri"/>
          <w:sz w:val="24"/>
          <w:szCs w:val="24"/>
          <w:highlight w:val="yellow"/>
        </w:rPr>
      </w:pPr>
      <w:r w:rsidRPr="00D622D5">
        <w:rPr>
          <w:rFonts w:ascii="Calibri" w:hAnsi="Calibri" w:cs="Calibri"/>
          <w:sz w:val="24"/>
          <w:szCs w:val="24"/>
          <w:highlight w:val="yellow"/>
        </w:rPr>
        <w:t>The following physicochemical parameters were measured following standard methods (</w:t>
      </w:r>
      <w:proofErr w:type="spellStart"/>
      <w:r w:rsidR="00C15CE1" w:rsidRPr="00D622D5">
        <w:rPr>
          <w:rFonts w:ascii="Calibri" w:hAnsi="Calibri" w:cs="Calibri"/>
          <w:sz w:val="24"/>
          <w:szCs w:val="24"/>
          <w:highlight w:val="yellow"/>
        </w:rPr>
        <w:t>Boi</w:t>
      </w:r>
      <w:proofErr w:type="spellEnd"/>
      <w:r w:rsidR="00C15CE1" w:rsidRPr="00D622D5">
        <w:rPr>
          <w:rFonts w:ascii="Calibri" w:hAnsi="Calibri" w:cs="Calibri"/>
          <w:sz w:val="24"/>
          <w:szCs w:val="24"/>
          <w:highlight w:val="yellow"/>
        </w:rPr>
        <w:t xml:space="preserve"> </w:t>
      </w:r>
      <w:r w:rsidR="00C15CE1" w:rsidRPr="00D622D5">
        <w:rPr>
          <w:rFonts w:ascii="Calibri" w:hAnsi="Calibri" w:cs="Calibri"/>
          <w:i/>
          <w:sz w:val="24"/>
          <w:szCs w:val="24"/>
          <w:highlight w:val="yellow"/>
        </w:rPr>
        <w:t>et al.,</w:t>
      </w:r>
      <w:r w:rsidR="00C15CE1" w:rsidRPr="00D622D5">
        <w:rPr>
          <w:rFonts w:ascii="Calibri" w:hAnsi="Calibri" w:cs="Calibri"/>
          <w:sz w:val="24"/>
          <w:szCs w:val="24"/>
          <w:highlight w:val="yellow"/>
        </w:rPr>
        <w:t xml:space="preserve"> 2016; </w:t>
      </w:r>
      <w:r w:rsidRPr="00D622D5">
        <w:rPr>
          <w:rFonts w:ascii="Calibri" w:hAnsi="Calibri" w:cs="Calibri"/>
          <w:sz w:val="24"/>
          <w:szCs w:val="24"/>
          <w:highlight w:val="yellow"/>
        </w:rPr>
        <w:t xml:space="preserve">Seng </w:t>
      </w:r>
      <w:r w:rsidRPr="00D622D5">
        <w:rPr>
          <w:rFonts w:ascii="Calibri" w:hAnsi="Calibri" w:cs="Calibri"/>
          <w:i/>
          <w:sz w:val="24"/>
          <w:szCs w:val="24"/>
          <w:highlight w:val="yellow"/>
        </w:rPr>
        <w:t>et al.,</w:t>
      </w:r>
      <w:r w:rsidRPr="00D622D5">
        <w:rPr>
          <w:rFonts w:ascii="Calibri" w:hAnsi="Calibri" w:cs="Calibri"/>
          <w:sz w:val="24"/>
          <w:szCs w:val="24"/>
          <w:highlight w:val="yellow"/>
        </w:rPr>
        <w:t xml:space="preserve"> 2018; </w:t>
      </w:r>
      <w:r w:rsidR="00C15CE1" w:rsidRPr="00D622D5">
        <w:rPr>
          <w:rFonts w:ascii="Calibri" w:hAnsi="Calibri" w:cs="Calibri"/>
          <w:sz w:val="24"/>
          <w:szCs w:val="24"/>
          <w:highlight w:val="yellow"/>
        </w:rPr>
        <w:t xml:space="preserve">Nguyen </w:t>
      </w:r>
      <w:r w:rsidR="00C15CE1" w:rsidRPr="00D622D5">
        <w:rPr>
          <w:rFonts w:ascii="Calibri" w:hAnsi="Calibri" w:cs="Calibri"/>
          <w:i/>
          <w:sz w:val="24"/>
          <w:szCs w:val="24"/>
          <w:highlight w:val="yellow"/>
        </w:rPr>
        <w:t>et al.,</w:t>
      </w:r>
      <w:r w:rsidR="00C15CE1" w:rsidRPr="00D622D5">
        <w:rPr>
          <w:rFonts w:ascii="Calibri" w:hAnsi="Calibri" w:cs="Calibri"/>
          <w:sz w:val="24"/>
          <w:szCs w:val="24"/>
          <w:highlight w:val="yellow"/>
        </w:rPr>
        <w:t xml:space="preserve"> 2019</w:t>
      </w:r>
      <w:r w:rsidRPr="00D622D5">
        <w:rPr>
          <w:rFonts w:ascii="Calibri" w:hAnsi="Calibri" w:cs="Calibri"/>
          <w:sz w:val="24"/>
          <w:szCs w:val="24"/>
          <w:highlight w:val="yellow"/>
        </w:rPr>
        <w:t>):</w:t>
      </w:r>
    </w:p>
    <w:p w14:paraId="3A0513D7" w14:textId="77777777" w:rsidR="009536DC" w:rsidRPr="00D622D5" w:rsidRDefault="009536DC" w:rsidP="00C15CE1">
      <w:pPr>
        <w:spacing w:line="276" w:lineRule="auto"/>
        <w:jc w:val="both"/>
        <w:rPr>
          <w:rFonts w:ascii="Calibri" w:hAnsi="Calibri" w:cs="Calibri"/>
          <w:sz w:val="24"/>
          <w:szCs w:val="24"/>
          <w:highlight w:val="yellow"/>
        </w:rPr>
      </w:pPr>
      <w:r w:rsidRPr="00D622D5">
        <w:rPr>
          <w:rFonts w:ascii="Calibri" w:hAnsi="Calibri" w:cs="Calibri"/>
          <w:bCs/>
          <w:sz w:val="24"/>
          <w:szCs w:val="24"/>
          <w:highlight w:val="yellow"/>
          <w:u w:val="single"/>
        </w:rPr>
        <w:t>Temperature and pH:</w:t>
      </w:r>
      <w:r w:rsidRPr="00D622D5">
        <w:rPr>
          <w:rFonts w:ascii="Calibri" w:hAnsi="Calibri" w:cs="Calibri"/>
          <w:sz w:val="24"/>
          <w:szCs w:val="24"/>
          <w:highlight w:val="yellow"/>
        </w:rPr>
        <w:t xml:space="preserve"> Measured </w:t>
      </w:r>
      <w:r w:rsidRPr="00D622D5">
        <w:rPr>
          <w:rFonts w:ascii="Calibri" w:hAnsi="Calibri" w:cs="Calibri"/>
          <w:i/>
          <w:sz w:val="24"/>
          <w:szCs w:val="24"/>
          <w:highlight w:val="yellow"/>
        </w:rPr>
        <w:t>in situ</w:t>
      </w:r>
      <w:r w:rsidRPr="00D622D5">
        <w:rPr>
          <w:rFonts w:ascii="Calibri" w:hAnsi="Calibri" w:cs="Calibri"/>
          <w:sz w:val="24"/>
          <w:szCs w:val="24"/>
          <w:highlight w:val="yellow"/>
        </w:rPr>
        <w:t xml:space="preserve"> using a calibrated digital thermometer and pH meter (Hanna Instruments, USA).</w:t>
      </w:r>
    </w:p>
    <w:p w14:paraId="6FD6ECCE" w14:textId="77777777" w:rsidR="009536DC" w:rsidRPr="00D622D5" w:rsidRDefault="009536DC" w:rsidP="00C15CE1">
      <w:pPr>
        <w:spacing w:line="276" w:lineRule="auto"/>
        <w:jc w:val="both"/>
        <w:rPr>
          <w:rFonts w:ascii="Calibri" w:hAnsi="Calibri" w:cs="Calibri"/>
          <w:sz w:val="24"/>
          <w:szCs w:val="24"/>
          <w:highlight w:val="yellow"/>
        </w:rPr>
      </w:pPr>
      <w:r w:rsidRPr="00D622D5">
        <w:rPr>
          <w:rFonts w:ascii="Calibri" w:hAnsi="Calibri" w:cs="Calibri"/>
          <w:bCs/>
          <w:sz w:val="24"/>
          <w:szCs w:val="24"/>
          <w:highlight w:val="yellow"/>
          <w:u w:val="single"/>
        </w:rPr>
        <w:t>Electrical Conductivity (EC) and Total Dissolved Solids (TDS):</w:t>
      </w:r>
      <w:r w:rsidRPr="00D622D5">
        <w:rPr>
          <w:rFonts w:ascii="Calibri" w:hAnsi="Calibri" w:cs="Calibri"/>
          <w:sz w:val="24"/>
          <w:szCs w:val="24"/>
          <w:highlight w:val="yellow"/>
        </w:rPr>
        <w:t xml:space="preserve"> Determined using a portable conductivity meter.</w:t>
      </w:r>
    </w:p>
    <w:p w14:paraId="2347828A" w14:textId="77777777" w:rsidR="009536DC" w:rsidRPr="00D622D5" w:rsidRDefault="009536DC" w:rsidP="00C15CE1">
      <w:pPr>
        <w:spacing w:line="276" w:lineRule="auto"/>
        <w:jc w:val="both"/>
        <w:rPr>
          <w:rFonts w:ascii="Calibri" w:hAnsi="Calibri" w:cs="Calibri"/>
          <w:sz w:val="24"/>
          <w:szCs w:val="24"/>
          <w:highlight w:val="yellow"/>
        </w:rPr>
      </w:pPr>
      <w:r w:rsidRPr="00D622D5">
        <w:rPr>
          <w:rFonts w:ascii="Calibri" w:hAnsi="Calibri" w:cs="Calibri"/>
          <w:bCs/>
          <w:sz w:val="24"/>
          <w:szCs w:val="24"/>
          <w:highlight w:val="yellow"/>
          <w:u w:val="single"/>
        </w:rPr>
        <w:t>Turbidity:</w:t>
      </w:r>
      <w:r w:rsidRPr="00D622D5">
        <w:rPr>
          <w:rFonts w:ascii="Calibri" w:hAnsi="Calibri" w:cs="Calibri"/>
          <w:sz w:val="24"/>
          <w:szCs w:val="24"/>
          <w:highlight w:val="yellow"/>
        </w:rPr>
        <w:t xml:space="preserve"> Measured using a nephelometric turbidimeter, results expressed in NTU.</w:t>
      </w:r>
    </w:p>
    <w:p w14:paraId="0967AA99" w14:textId="77777777" w:rsidR="009536DC" w:rsidRPr="00D622D5" w:rsidRDefault="009536DC" w:rsidP="00C15CE1">
      <w:pPr>
        <w:spacing w:line="276" w:lineRule="auto"/>
        <w:jc w:val="both"/>
        <w:rPr>
          <w:rFonts w:ascii="Calibri" w:hAnsi="Calibri" w:cs="Calibri"/>
          <w:sz w:val="24"/>
          <w:szCs w:val="24"/>
          <w:highlight w:val="yellow"/>
        </w:rPr>
      </w:pPr>
      <w:r w:rsidRPr="00D622D5">
        <w:rPr>
          <w:rFonts w:ascii="Calibri" w:hAnsi="Calibri" w:cs="Calibri"/>
          <w:bCs/>
          <w:sz w:val="24"/>
          <w:szCs w:val="24"/>
          <w:highlight w:val="yellow"/>
          <w:u w:val="single"/>
        </w:rPr>
        <w:t>Dissolved Oxygen (DO):</w:t>
      </w:r>
      <w:r w:rsidRPr="00D622D5">
        <w:rPr>
          <w:rFonts w:ascii="Calibri" w:hAnsi="Calibri" w:cs="Calibri"/>
          <w:sz w:val="24"/>
          <w:szCs w:val="24"/>
          <w:highlight w:val="yellow"/>
        </w:rPr>
        <w:t xml:space="preserve"> Determined using the Winkler titration method.</w:t>
      </w:r>
    </w:p>
    <w:p w14:paraId="6908677A" w14:textId="77777777" w:rsidR="009536DC" w:rsidRPr="00D622D5" w:rsidRDefault="009536DC" w:rsidP="00C15CE1">
      <w:pPr>
        <w:spacing w:line="276" w:lineRule="auto"/>
        <w:jc w:val="both"/>
        <w:rPr>
          <w:rFonts w:ascii="Calibri" w:hAnsi="Calibri" w:cs="Calibri"/>
          <w:sz w:val="24"/>
          <w:szCs w:val="24"/>
          <w:highlight w:val="yellow"/>
        </w:rPr>
      </w:pPr>
      <w:r w:rsidRPr="00D622D5">
        <w:rPr>
          <w:rFonts w:ascii="Calibri" w:hAnsi="Calibri" w:cs="Calibri"/>
          <w:bCs/>
          <w:sz w:val="24"/>
          <w:szCs w:val="24"/>
          <w:highlight w:val="yellow"/>
          <w:u w:val="single"/>
        </w:rPr>
        <w:t>Biochemical Oxygen Demand (BOD):</w:t>
      </w:r>
      <w:r w:rsidRPr="00D622D5">
        <w:rPr>
          <w:rFonts w:ascii="Calibri" w:hAnsi="Calibri" w:cs="Calibri"/>
          <w:sz w:val="24"/>
          <w:szCs w:val="24"/>
          <w:highlight w:val="yellow"/>
        </w:rPr>
        <w:t xml:space="preserve"> Measured by incubating water samples at 20°C for five days and titrating remaining oxygen.</w:t>
      </w:r>
    </w:p>
    <w:p w14:paraId="0276A07F" w14:textId="77777777" w:rsidR="009536DC" w:rsidRPr="00D622D5" w:rsidRDefault="009536DC" w:rsidP="00C15CE1">
      <w:pPr>
        <w:spacing w:line="276" w:lineRule="auto"/>
        <w:jc w:val="both"/>
        <w:rPr>
          <w:rFonts w:ascii="Calibri" w:hAnsi="Calibri" w:cs="Calibri"/>
          <w:sz w:val="24"/>
          <w:szCs w:val="24"/>
          <w:highlight w:val="yellow"/>
        </w:rPr>
      </w:pPr>
      <w:r w:rsidRPr="00D622D5">
        <w:rPr>
          <w:rFonts w:ascii="Calibri" w:hAnsi="Calibri" w:cs="Calibri"/>
          <w:bCs/>
          <w:sz w:val="24"/>
          <w:szCs w:val="24"/>
          <w:highlight w:val="yellow"/>
          <w:u w:val="single"/>
        </w:rPr>
        <w:t>Chemical Oxygen Demand (COD):</w:t>
      </w:r>
      <w:r w:rsidRPr="00D622D5">
        <w:rPr>
          <w:rFonts w:ascii="Calibri" w:hAnsi="Calibri" w:cs="Calibri"/>
          <w:sz w:val="24"/>
          <w:szCs w:val="24"/>
          <w:highlight w:val="yellow"/>
        </w:rPr>
        <w:t xml:space="preserve"> Determined via the dichromate reflux method.</w:t>
      </w:r>
    </w:p>
    <w:p w14:paraId="1BF7CE34" w14:textId="77777777" w:rsidR="009536DC" w:rsidRPr="00D622D5" w:rsidRDefault="009536DC" w:rsidP="00C15CE1">
      <w:pPr>
        <w:spacing w:line="276" w:lineRule="auto"/>
        <w:jc w:val="both"/>
        <w:rPr>
          <w:rFonts w:ascii="Calibri" w:hAnsi="Calibri" w:cs="Calibri"/>
          <w:sz w:val="24"/>
          <w:szCs w:val="24"/>
          <w:highlight w:val="yellow"/>
        </w:rPr>
      </w:pPr>
      <w:r w:rsidRPr="00D622D5">
        <w:rPr>
          <w:rFonts w:ascii="Calibri" w:hAnsi="Calibri" w:cs="Calibri"/>
          <w:bCs/>
          <w:sz w:val="24"/>
          <w:szCs w:val="24"/>
          <w:highlight w:val="yellow"/>
          <w:u w:val="single"/>
        </w:rPr>
        <w:t>Total Suspended Solids (TSS):</w:t>
      </w:r>
      <w:r w:rsidRPr="00D622D5">
        <w:rPr>
          <w:rFonts w:ascii="Calibri" w:hAnsi="Calibri" w:cs="Calibri"/>
          <w:sz w:val="24"/>
          <w:szCs w:val="24"/>
          <w:highlight w:val="yellow"/>
        </w:rPr>
        <w:t xml:space="preserve"> Filtered and dried at 105°C, expressed in mg/L.</w:t>
      </w:r>
    </w:p>
    <w:p w14:paraId="0CAE5EDD" w14:textId="77777777" w:rsidR="009536DC" w:rsidRPr="00D622D5" w:rsidRDefault="009536DC" w:rsidP="00C15CE1">
      <w:pPr>
        <w:spacing w:line="276" w:lineRule="auto"/>
        <w:jc w:val="both"/>
        <w:rPr>
          <w:rFonts w:ascii="Calibri" w:hAnsi="Calibri" w:cs="Calibri"/>
          <w:sz w:val="24"/>
          <w:szCs w:val="24"/>
          <w:highlight w:val="yellow"/>
        </w:rPr>
      </w:pPr>
      <w:r w:rsidRPr="00D622D5">
        <w:rPr>
          <w:rFonts w:ascii="Calibri" w:hAnsi="Calibri" w:cs="Calibri"/>
          <w:bCs/>
          <w:sz w:val="24"/>
          <w:szCs w:val="24"/>
          <w:highlight w:val="yellow"/>
          <w:u w:val="single"/>
        </w:rPr>
        <w:t>Nutrients (Nitrate, Phosphate):</w:t>
      </w:r>
      <w:r w:rsidRPr="00D622D5">
        <w:rPr>
          <w:rFonts w:ascii="Calibri" w:hAnsi="Calibri" w:cs="Calibri"/>
          <w:sz w:val="24"/>
          <w:szCs w:val="24"/>
          <w:highlight w:val="yellow"/>
        </w:rPr>
        <w:t xml:space="preserve"> Analyzed using spectrophotometric methods (APHA, 2017).</w:t>
      </w:r>
    </w:p>
    <w:p w14:paraId="1879F0B8" w14:textId="77777777" w:rsidR="009536DC" w:rsidRPr="009536DC" w:rsidRDefault="009536DC" w:rsidP="00C15CE1">
      <w:pPr>
        <w:spacing w:line="276" w:lineRule="auto"/>
        <w:jc w:val="both"/>
        <w:rPr>
          <w:rFonts w:ascii="Calibri" w:hAnsi="Calibri" w:cs="Calibri"/>
          <w:sz w:val="24"/>
          <w:szCs w:val="24"/>
        </w:rPr>
      </w:pPr>
      <w:r w:rsidRPr="00D622D5">
        <w:rPr>
          <w:rFonts w:ascii="Calibri" w:hAnsi="Calibri" w:cs="Calibri"/>
          <w:bCs/>
          <w:sz w:val="24"/>
          <w:szCs w:val="24"/>
          <w:highlight w:val="yellow"/>
          <w:u w:val="single"/>
        </w:rPr>
        <w:t>Cations and Metals (Ca, Mg, Na, K, Fe, Cu, Pb):</w:t>
      </w:r>
      <w:r w:rsidRPr="00D622D5">
        <w:rPr>
          <w:rFonts w:ascii="Calibri" w:hAnsi="Calibri" w:cs="Calibri"/>
          <w:sz w:val="24"/>
          <w:szCs w:val="24"/>
          <w:highlight w:val="yellow"/>
        </w:rPr>
        <w:t xml:space="preserve"> Determined using atomic absorption spectrophotometry (AAS) following filtration and acid digestion of water samples.</w:t>
      </w:r>
    </w:p>
    <w:p w14:paraId="7D05AC2A" w14:textId="77777777" w:rsidR="00E2260F" w:rsidRPr="00E2260F" w:rsidRDefault="00E2260F" w:rsidP="005E6E8E">
      <w:pPr>
        <w:spacing w:line="276" w:lineRule="auto"/>
        <w:jc w:val="both"/>
        <w:rPr>
          <w:rFonts w:ascii="Calibri" w:hAnsi="Calibri" w:cs="Calibri"/>
          <w:sz w:val="24"/>
          <w:szCs w:val="24"/>
        </w:rPr>
      </w:pPr>
    </w:p>
    <w:p w14:paraId="5DAAC9A2" w14:textId="77777777" w:rsidR="00E2260F" w:rsidRPr="00E2260F" w:rsidRDefault="00E2260F" w:rsidP="005E6E8E">
      <w:pPr>
        <w:spacing w:line="276" w:lineRule="auto"/>
        <w:jc w:val="both"/>
        <w:rPr>
          <w:rFonts w:ascii="Calibri" w:hAnsi="Calibri" w:cs="Calibri"/>
          <w:b/>
          <w:bCs/>
          <w:sz w:val="24"/>
          <w:szCs w:val="24"/>
        </w:rPr>
      </w:pPr>
      <w:r w:rsidRPr="00E2260F">
        <w:rPr>
          <w:rFonts w:ascii="Calibri" w:hAnsi="Calibri" w:cs="Calibri"/>
          <w:b/>
          <w:bCs/>
          <w:sz w:val="24"/>
          <w:szCs w:val="24"/>
        </w:rPr>
        <w:t>Statistical Analysis</w:t>
      </w:r>
    </w:p>
    <w:p w14:paraId="7C0627C9" w14:textId="77777777" w:rsidR="00E2260F" w:rsidRPr="00E2260F" w:rsidRDefault="00E2260F" w:rsidP="005E6E8E">
      <w:pPr>
        <w:spacing w:line="276" w:lineRule="auto"/>
        <w:jc w:val="both"/>
        <w:rPr>
          <w:rFonts w:ascii="Calibri" w:hAnsi="Calibri" w:cs="Calibri"/>
          <w:sz w:val="24"/>
          <w:szCs w:val="24"/>
        </w:rPr>
      </w:pPr>
      <w:r w:rsidRPr="00E2260F">
        <w:rPr>
          <w:rFonts w:ascii="Calibri" w:hAnsi="Calibri" w:cs="Calibri"/>
          <w:sz w:val="24"/>
          <w:szCs w:val="24"/>
        </w:rPr>
        <w:t xml:space="preserve">Data were analyzed using one-way Analysis of Variance (ANOVA) in SPSS v30.0 at </w:t>
      </w:r>
      <w:r w:rsidR="0088374F" w:rsidRPr="0088374F">
        <w:rPr>
          <w:rFonts w:ascii="Calibri" w:hAnsi="Calibri" w:cs="Calibri"/>
          <w:i/>
          <w:sz w:val="24"/>
          <w:szCs w:val="24"/>
        </w:rPr>
        <w:t>p</w:t>
      </w:r>
      <w:r w:rsidR="0088374F">
        <w:rPr>
          <w:rFonts w:ascii="Calibri" w:hAnsi="Calibri" w:cs="Calibri"/>
          <w:sz w:val="24"/>
          <w:szCs w:val="24"/>
        </w:rPr>
        <w:t xml:space="preserve"> &lt; 0.05</w:t>
      </w:r>
      <w:r w:rsidRPr="00E2260F">
        <w:rPr>
          <w:rFonts w:ascii="Calibri" w:hAnsi="Calibri" w:cs="Calibri"/>
          <w:sz w:val="24"/>
          <w:szCs w:val="24"/>
        </w:rPr>
        <w:t>.</w:t>
      </w:r>
    </w:p>
    <w:p w14:paraId="1331455B" w14:textId="77777777" w:rsidR="00697D13" w:rsidRDefault="00697D13">
      <w:pPr>
        <w:rPr>
          <w:rFonts w:ascii="Calibri" w:hAnsi="Calibri" w:cs="Calibri"/>
          <w:b/>
          <w:sz w:val="24"/>
          <w:szCs w:val="24"/>
        </w:rPr>
      </w:pPr>
    </w:p>
    <w:p w14:paraId="643E66EF" w14:textId="77777777" w:rsidR="00E2260F" w:rsidRDefault="00F34256">
      <w:pPr>
        <w:rPr>
          <w:rFonts w:ascii="Calibri" w:hAnsi="Calibri" w:cs="Calibri"/>
          <w:b/>
          <w:sz w:val="24"/>
          <w:szCs w:val="24"/>
        </w:rPr>
      </w:pPr>
      <w:r w:rsidRPr="00F34256">
        <w:rPr>
          <w:rFonts w:ascii="Calibri" w:hAnsi="Calibri" w:cs="Calibri"/>
          <w:b/>
          <w:sz w:val="24"/>
          <w:szCs w:val="24"/>
        </w:rPr>
        <w:t>RESULTS</w:t>
      </w:r>
    </w:p>
    <w:p w14:paraId="48FFC57A" w14:textId="77777777" w:rsidR="00F34256" w:rsidRDefault="00F34256" w:rsidP="00F34256">
      <w:pPr>
        <w:spacing w:line="276" w:lineRule="auto"/>
        <w:jc w:val="both"/>
        <w:rPr>
          <w:rFonts w:ascii="Calibri" w:hAnsi="Calibri" w:cs="Calibri"/>
          <w:sz w:val="24"/>
          <w:szCs w:val="24"/>
        </w:rPr>
      </w:pPr>
      <w:r w:rsidRPr="00F34256">
        <w:rPr>
          <w:rFonts w:ascii="Calibri" w:hAnsi="Calibri" w:cs="Calibri"/>
          <w:sz w:val="24"/>
          <w:szCs w:val="24"/>
        </w:rPr>
        <w:t xml:space="preserve">The water samples collected from the three sampling points along the Gwagwalada River were subjected to microbiological analysis, and the fungal colonies were examined, with </w:t>
      </w:r>
      <w:r w:rsidRPr="00F34256">
        <w:rPr>
          <w:rFonts w:ascii="Calibri" w:hAnsi="Calibri" w:cs="Calibri"/>
          <w:sz w:val="24"/>
          <w:szCs w:val="24"/>
        </w:rPr>
        <w:lastRenderedPageBreak/>
        <w:t xml:space="preserve">representative cultures shown in Plate 1. The isolates were tentatively identified as </w:t>
      </w:r>
      <w:r w:rsidRPr="00F34256">
        <w:rPr>
          <w:rStyle w:val="Emphasis"/>
          <w:rFonts w:ascii="Calibri" w:hAnsi="Calibri" w:cs="Calibri"/>
          <w:sz w:val="24"/>
          <w:szCs w:val="24"/>
        </w:rPr>
        <w:t xml:space="preserve">Fusarium </w:t>
      </w:r>
      <w:proofErr w:type="spellStart"/>
      <w:r w:rsidRPr="00F34256">
        <w:rPr>
          <w:rStyle w:val="Emphasis"/>
          <w:rFonts w:ascii="Calibri" w:hAnsi="Calibri" w:cs="Calibri"/>
          <w:sz w:val="24"/>
          <w:szCs w:val="24"/>
        </w:rPr>
        <w:t>oxysporum</w:t>
      </w:r>
      <w:proofErr w:type="spellEnd"/>
      <w:r w:rsidRPr="00F34256">
        <w:rPr>
          <w:rFonts w:ascii="Calibri" w:hAnsi="Calibri" w:cs="Calibri"/>
          <w:sz w:val="24"/>
          <w:szCs w:val="24"/>
        </w:rPr>
        <w:t xml:space="preserve">, </w:t>
      </w:r>
      <w:r w:rsidRPr="00F34256">
        <w:rPr>
          <w:rStyle w:val="Emphasis"/>
          <w:rFonts w:ascii="Calibri" w:hAnsi="Calibri" w:cs="Calibri"/>
          <w:sz w:val="24"/>
          <w:szCs w:val="24"/>
        </w:rPr>
        <w:t xml:space="preserve">Aspergillus </w:t>
      </w:r>
      <w:proofErr w:type="spellStart"/>
      <w:r w:rsidRPr="00F34256">
        <w:rPr>
          <w:rStyle w:val="Emphasis"/>
          <w:rFonts w:ascii="Calibri" w:hAnsi="Calibri" w:cs="Calibri"/>
          <w:sz w:val="24"/>
          <w:szCs w:val="24"/>
        </w:rPr>
        <w:t>niger</w:t>
      </w:r>
      <w:proofErr w:type="spellEnd"/>
      <w:r w:rsidRPr="00F34256">
        <w:rPr>
          <w:rFonts w:ascii="Calibri" w:hAnsi="Calibri" w:cs="Calibri"/>
          <w:sz w:val="24"/>
          <w:szCs w:val="24"/>
        </w:rPr>
        <w:t xml:space="preserve">, and </w:t>
      </w:r>
      <w:r w:rsidRPr="00F34256">
        <w:rPr>
          <w:rStyle w:val="Emphasis"/>
          <w:rFonts w:ascii="Calibri" w:hAnsi="Calibri" w:cs="Calibri"/>
          <w:sz w:val="24"/>
          <w:szCs w:val="24"/>
        </w:rPr>
        <w:t>Aspergillus flavus</w:t>
      </w:r>
      <w:r w:rsidRPr="00F34256">
        <w:rPr>
          <w:rFonts w:ascii="Calibri" w:hAnsi="Calibri" w:cs="Calibri"/>
          <w:sz w:val="24"/>
          <w:szCs w:val="24"/>
        </w:rPr>
        <w:t>. Table 1 summarizes the macroscopic and microscopic morphological characteristics of the fungi recovered from the river water. Fungal species were detected at all sampling points: point A (upstream above the abattoir effluent discharge), point B (the effluent discharge point), and point C (downstream of the discharge point), indicating the presence and distribution of these fungi along the river continuum</w:t>
      </w:r>
      <w:r>
        <w:rPr>
          <w:rFonts w:ascii="Calibri" w:hAnsi="Calibri" w:cs="Calibri"/>
          <w:sz w:val="24"/>
          <w:szCs w:val="24"/>
        </w:rPr>
        <w:t>.</w:t>
      </w:r>
    </w:p>
    <w:p w14:paraId="1747AD51" w14:textId="77777777" w:rsidR="00F34256" w:rsidRPr="00F34256" w:rsidRDefault="00F34256" w:rsidP="00F34256">
      <w:pPr>
        <w:spacing w:line="276" w:lineRule="auto"/>
        <w:jc w:val="both"/>
        <w:rPr>
          <w:rFonts w:ascii="Calibri" w:hAnsi="Calibri" w:cs="Calibri"/>
          <w:sz w:val="24"/>
          <w:szCs w:val="24"/>
        </w:rPr>
      </w:pPr>
    </w:p>
    <w:p w14:paraId="33D0C7A8" w14:textId="77777777" w:rsidR="00F34256" w:rsidRPr="00F34256" w:rsidRDefault="00F34256" w:rsidP="00F34256">
      <w:pPr>
        <w:spacing w:after="0" w:line="240" w:lineRule="auto"/>
        <w:rPr>
          <w:rFonts w:ascii="Calibri" w:hAnsi="Calibri" w:cs="Calibri"/>
        </w:rPr>
      </w:pPr>
      <w:r w:rsidRPr="00F34256">
        <w:rPr>
          <w:rFonts w:ascii="Calibri" w:hAnsi="Calibri" w:cs="Calibri"/>
        </w:rPr>
        <w:t>Table 1. Macroscopic and Microscopic Characteristics of Fungi isolated</w:t>
      </w:r>
    </w:p>
    <w:tbl>
      <w:tblPr>
        <w:tblStyle w:val="TableGrid"/>
        <w:tblW w:w="9720" w:type="dxa"/>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
        <w:gridCol w:w="3478"/>
        <w:gridCol w:w="3640"/>
        <w:gridCol w:w="1703"/>
      </w:tblGrid>
      <w:tr w:rsidR="00F34256" w:rsidRPr="00F34256" w14:paraId="4FEC1EFC" w14:textId="77777777" w:rsidTr="00F34256">
        <w:tc>
          <w:tcPr>
            <w:tcW w:w="784" w:type="dxa"/>
            <w:tcBorders>
              <w:bottom w:val="single" w:sz="4" w:space="0" w:color="auto"/>
            </w:tcBorders>
            <w:vAlign w:val="center"/>
          </w:tcPr>
          <w:p w14:paraId="6B883997"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Isolates</w:t>
            </w:r>
          </w:p>
        </w:tc>
        <w:tc>
          <w:tcPr>
            <w:tcW w:w="3531" w:type="dxa"/>
            <w:tcBorders>
              <w:bottom w:val="single" w:sz="4" w:space="0" w:color="auto"/>
            </w:tcBorders>
            <w:vAlign w:val="center"/>
          </w:tcPr>
          <w:p w14:paraId="64165395"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Macroscopy</w:t>
            </w:r>
          </w:p>
        </w:tc>
        <w:tc>
          <w:tcPr>
            <w:tcW w:w="3690" w:type="dxa"/>
            <w:tcBorders>
              <w:bottom w:val="single" w:sz="4" w:space="0" w:color="auto"/>
            </w:tcBorders>
            <w:vAlign w:val="center"/>
          </w:tcPr>
          <w:p w14:paraId="4791738A"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Microscopy</w:t>
            </w:r>
          </w:p>
        </w:tc>
        <w:tc>
          <w:tcPr>
            <w:tcW w:w="1715" w:type="dxa"/>
            <w:tcBorders>
              <w:bottom w:val="single" w:sz="4" w:space="0" w:color="auto"/>
            </w:tcBorders>
            <w:vAlign w:val="center"/>
          </w:tcPr>
          <w:p w14:paraId="320A4B00"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Suspected organism</w:t>
            </w:r>
          </w:p>
        </w:tc>
      </w:tr>
      <w:tr w:rsidR="00F34256" w:rsidRPr="00F34256" w14:paraId="52F8658F" w14:textId="77777777" w:rsidTr="00F34256">
        <w:tc>
          <w:tcPr>
            <w:tcW w:w="784" w:type="dxa"/>
            <w:tcBorders>
              <w:top w:val="single" w:sz="4" w:space="0" w:color="auto"/>
              <w:bottom w:val="nil"/>
            </w:tcBorders>
            <w:vAlign w:val="center"/>
          </w:tcPr>
          <w:p w14:paraId="306D772D"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PAF</w:t>
            </w:r>
          </w:p>
        </w:tc>
        <w:tc>
          <w:tcPr>
            <w:tcW w:w="3531" w:type="dxa"/>
            <w:tcBorders>
              <w:top w:val="single" w:sz="4" w:space="0" w:color="auto"/>
              <w:bottom w:val="nil"/>
            </w:tcBorders>
            <w:vAlign w:val="center"/>
          </w:tcPr>
          <w:p w14:paraId="7281B3B7"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White colony with smooth edge, tuft surface and reverse side of the plate was brownish in color.</w:t>
            </w:r>
          </w:p>
        </w:tc>
        <w:tc>
          <w:tcPr>
            <w:tcW w:w="3690" w:type="dxa"/>
            <w:tcBorders>
              <w:top w:val="single" w:sz="4" w:space="0" w:color="auto"/>
              <w:bottom w:val="nil"/>
            </w:tcBorders>
            <w:vAlign w:val="center"/>
          </w:tcPr>
          <w:p w14:paraId="74D8606C"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 xml:space="preserve">Short conidiophores, slightly sickle-shaped macroconidia, and </w:t>
            </w:r>
            <w:proofErr w:type="spellStart"/>
            <w:r w:rsidRPr="00F34256">
              <w:rPr>
                <w:rFonts w:ascii="Calibri" w:hAnsi="Calibri" w:cs="Calibri"/>
              </w:rPr>
              <w:t>Multiseptate</w:t>
            </w:r>
            <w:proofErr w:type="spellEnd"/>
            <w:r w:rsidRPr="00F34256">
              <w:rPr>
                <w:rFonts w:ascii="Calibri" w:hAnsi="Calibri" w:cs="Calibri"/>
              </w:rPr>
              <w:t xml:space="preserve"> with 3-5 septate.</w:t>
            </w:r>
          </w:p>
        </w:tc>
        <w:tc>
          <w:tcPr>
            <w:tcW w:w="1715" w:type="dxa"/>
            <w:tcBorders>
              <w:top w:val="single" w:sz="4" w:space="0" w:color="auto"/>
              <w:bottom w:val="nil"/>
            </w:tcBorders>
            <w:vAlign w:val="center"/>
          </w:tcPr>
          <w:p w14:paraId="2BF813A2" w14:textId="77777777" w:rsidR="00F34256" w:rsidRPr="00F34256" w:rsidRDefault="00F34256" w:rsidP="00F34256">
            <w:pPr>
              <w:spacing w:line="240" w:lineRule="auto"/>
              <w:jc w:val="center"/>
              <w:rPr>
                <w:rFonts w:ascii="Calibri" w:hAnsi="Calibri" w:cs="Calibri"/>
              </w:rPr>
            </w:pPr>
            <w:r w:rsidRPr="00F34256">
              <w:rPr>
                <w:rFonts w:ascii="Calibri" w:hAnsi="Calibri" w:cs="Calibri"/>
                <w:i/>
              </w:rPr>
              <w:t xml:space="preserve">Fusarium </w:t>
            </w:r>
            <w:proofErr w:type="spellStart"/>
            <w:r w:rsidRPr="00F34256">
              <w:rPr>
                <w:rFonts w:ascii="Calibri" w:hAnsi="Calibri" w:cs="Calibri"/>
                <w:i/>
              </w:rPr>
              <w:t>oxysporum</w:t>
            </w:r>
            <w:proofErr w:type="spellEnd"/>
          </w:p>
          <w:p w14:paraId="67160631" w14:textId="77777777" w:rsidR="00F34256" w:rsidRPr="00F34256" w:rsidRDefault="00F34256" w:rsidP="00F34256">
            <w:pPr>
              <w:spacing w:line="240" w:lineRule="auto"/>
              <w:jc w:val="center"/>
              <w:rPr>
                <w:rFonts w:ascii="Calibri" w:hAnsi="Calibri" w:cs="Calibri"/>
              </w:rPr>
            </w:pPr>
          </w:p>
        </w:tc>
      </w:tr>
      <w:tr w:rsidR="00F34256" w:rsidRPr="00F34256" w14:paraId="10927551" w14:textId="77777777" w:rsidTr="00F34256">
        <w:tc>
          <w:tcPr>
            <w:tcW w:w="784" w:type="dxa"/>
            <w:tcBorders>
              <w:top w:val="nil"/>
            </w:tcBorders>
            <w:vAlign w:val="center"/>
          </w:tcPr>
          <w:p w14:paraId="1E5CFE09" w14:textId="77777777" w:rsidR="00F34256" w:rsidRPr="00F34256" w:rsidRDefault="00F34256" w:rsidP="00F34256">
            <w:pPr>
              <w:spacing w:line="240" w:lineRule="auto"/>
              <w:jc w:val="center"/>
              <w:rPr>
                <w:rFonts w:ascii="Calibri" w:hAnsi="Calibri" w:cs="Calibri"/>
              </w:rPr>
            </w:pPr>
          </w:p>
        </w:tc>
        <w:tc>
          <w:tcPr>
            <w:tcW w:w="3531" w:type="dxa"/>
            <w:tcBorders>
              <w:top w:val="nil"/>
            </w:tcBorders>
            <w:vAlign w:val="center"/>
          </w:tcPr>
          <w:p w14:paraId="708A6600" w14:textId="77777777" w:rsidR="00F34256" w:rsidRPr="00F34256" w:rsidRDefault="00F34256" w:rsidP="00F34256">
            <w:pPr>
              <w:spacing w:line="240" w:lineRule="auto"/>
              <w:jc w:val="center"/>
              <w:rPr>
                <w:rFonts w:ascii="Calibri" w:hAnsi="Calibri" w:cs="Calibri"/>
              </w:rPr>
            </w:pPr>
          </w:p>
        </w:tc>
        <w:tc>
          <w:tcPr>
            <w:tcW w:w="3690" w:type="dxa"/>
            <w:tcBorders>
              <w:top w:val="nil"/>
            </w:tcBorders>
            <w:vAlign w:val="center"/>
          </w:tcPr>
          <w:p w14:paraId="0877F9D3" w14:textId="77777777" w:rsidR="00F34256" w:rsidRPr="00F34256" w:rsidRDefault="00F34256" w:rsidP="00F34256">
            <w:pPr>
              <w:spacing w:line="240" w:lineRule="auto"/>
              <w:jc w:val="center"/>
              <w:rPr>
                <w:rFonts w:ascii="Calibri" w:hAnsi="Calibri" w:cs="Calibri"/>
              </w:rPr>
            </w:pPr>
          </w:p>
        </w:tc>
        <w:tc>
          <w:tcPr>
            <w:tcW w:w="1715" w:type="dxa"/>
            <w:tcBorders>
              <w:top w:val="nil"/>
            </w:tcBorders>
            <w:vAlign w:val="center"/>
          </w:tcPr>
          <w:p w14:paraId="7DB7D5D0" w14:textId="77777777" w:rsidR="00F34256" w:rsidRPr="00F34256" w:rsidRDefault="00F34256" w:rsidP="00F34256">
            <w:pPr>
              <w:spacing w:line="240" w:lineRule="auto"/>
              <w:jc w:val="center"/>
              <w:rPr>
                <w:rFonts w:ascii="Calibri" w:hAnsi="Calibri" w:cs="Calibri"/>
                <w:i/>
              </w:rPr>
            </w:pPr>
          </w:p>
        </w:tc>
      </w:tr>
      <w:tr w:rsidR="00F34256" w:rsidRPr="00F34256" w14:paraId="4DDA177B" w14:textId="77777777" w:rsidTr="00F34256">
        <w:tc>
          <w:tcPr>
            <w:tcW w:w="784" w:type="dxa"/>
            <w:tcBorders>
              <w:top w:val="nil"/>
            </w:tcBorders>
            <w:vAlign w:val="center"/>
          </w:tcPr>
          <w:p w14:paraId="5DAB5581"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PAF</w:t>
            </w:r>
          </w:p>
        </w:tc>
        <w:tc>
          <w:tcPr>
            <w:tcW w:w="3531" w:type="dxa"/>
            <w:tcBorders>
              <w:top w:val="nil"/>
            </w:tcBorders>
            <w:vAlign w:val="center"/>
          </w:tcPr>
          <w:p w14:paraId="10FC0EBB"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Colony were black, spread widely with whitish edge, densely spongy surface and plate reverse side was brown in color.</w:t>
            </w:r>
          </w:p>
        </w:tc>
        <w:tc>
          <w:tcPr>
            <w:tcW w:w="3690" w:type="dxa"/>
            <w:tcBorders>
              <w:top w:val="nil"/>
            </w:tcBorders>
            <w:vAlign w:val="center"/>
          </w:tcPr>
          <w:p w14:paraId="30CDDFBF"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Conidiophore were long, erected from the vesicle base with smooth hyaline and globe conidial heads.</w:t>
            </w:r>
          </w:p>
        </w:tc>
        <w:tc>
          <w:tcPr>
            <w:tcW w:w="1715" w:type="dxa"/>
            <w:tcBorders>
              <w:top w:val="nil"/>
            </w:tcBorders>
            <w:vAlign w:val="center"/>
          </w:tcPr>
          <w:p w14:paraId="650D649F" w14:textId="77777777" w:rsidR="00F34256" w:rsidRPr="00F34256" w:rsidRDefault="00F34256" w:rsidP="00F34256">
            <w:pPr>
              <w:spacing w:line="240" w:lineRule="auto"/>
              <w:jc w:val="center"/>
              <w:rPr>
                <w:rFonts w:ascii="Calibri" w:hAnsi="Calibri" w:cs="Calibri"/>
              </w:rPr>
            </w:pPr>
            <w:r w:rsidRPr="00F34256">
              <w:rPr>
                <w:rFonts w:ascii="Calibri" w:hAnsi="Calibri" w:cs="Calibri"/>
                <w:i/>
              </w:rPr>
              <w:t xml:space="preserve">Aspergillus </w:t>
            </w:r>
            <w:proofErr w:type="spellStart"/>
            <w:r w:rsidRPr="00F34256">
              <w:rPr>
                <w:rFonts w:ascii="Calibri" w:hAnsi="Calibri" w:cs="Calibri"/>
                <w:i/>
              </w:rPr>
              <w:t>niger</w:t>
            </w:r>
            <w:proofErr w:type="spellEnd"/>
          </w:p>
        </w:tc>
      </w:tr>
      <w:tr w:rsidR="00F34256" w:rsidRPr="00F34256" w14:paraId="4EACD954" w14:textId="77777777" w:rsidTr="00F34256">
        <w:tc>
          <w:tcPr>
            <w:tcW w:w="784" w:type="dxa"/>
            <w:tcBorders>
              <w:top w:val="nil"/>
            </w:tcBorders>
            <w:vAlign w:val="center"/>
          </w:tcPr>
          <w:p w14:paraId="42C39CDB" w14:textId="77777777" w:rsidR="00F34256" w:rsidRPr="00F34256" w:rsidRDefault="00F34256" w:rsidP="00F34256">
            <w:pPr>
              <w:spacing w:line="240" w:lineRule="auto"/>
              <w:jc w:val="center"/>
              <w:rPr>
                <w:rFonts w:ascii="Calibri" w:hAnsi="Calibri" w:cs="Calibri"/>
              </w:rPr>
            </w:pPr>
          </w:p>
        </w:tc>
        <w:tc>
          <w:tcPr>
            <w:tcW w:w="3531" w:type="dxa"/>
            <w:tcBorders>
              <w:top w:val="nil"/>
            </w:tcBorders>
            <w:vAlign w:val="center"/>
          </w:tcPr>
          <w:p w14:paraId="656548DC" w14:textId="77777777" w:rsidR="00F34256" w:rsidRPr="00F34256" w:rsidRDefault="00F34256" w:rsidP="00F34256">
            <w:pPr>
              <w:spacing w:line="240" w:lineRule="auto"/>
              <w:jc w:val="center"/>
              <w:rPr>
                <w:rFonts w:ascii="Calibri" w:hAnsi="Calibri" w:cs="Calibri"/>
              </w:rPr>
            </w:pPr>
          </w:p>
        </w:tc>
        <w:tc>
          <w:tcPr>
            <w:tcW w:w="3690" w:type="dxa"/>
            <w:tcBorders>
              <w:top w:val="nil"/>
            </w:tcBorders>
            <w:vAlign w:val="center"/>
          </w:tcPr>
          <w:p w14:paraId="79A90ED0" w14:textId="77777777" w:rsidR="00F34256" w:rsidRPr="00F34256" w:rsidRDefault="00F34256" w:rsidP="00F34256">
            <w:pPr>
              <w:spacing w:line="240" w:lineRule="auto"/>
              <w:jc w:val="center"/>
              <w:rPr>
                <w:rFonts w:ascii="Calibri" w:hAnsi="Calibri" w:cs="Calibri"/>
              </w:rPr>
            </w:pPr>
          </w:p>
        </w:tc>
        <w:tc>
          <w:tcPr>
            <w:tcW w:w="1715" w:type="dxa"/>
            <w:tcBorders>
              <w:top w:val="nil"/>
            </w:tcBorders>
            <w:vAlign w:val="center"/>
          </w:tcPr>
          <w:p w14:paraId="65AA3B2B" w14:textId="77777777" w:rsidR="00F34256" w:rsidRPr="00F34256" w:rsidRDefault="00F34256" w:rsidP="00F34256">
            <w:pPr>
              <w:spacing w:line="240" w:lineRule="auto"/>
              <w:jc w:val="center"/>
              <w:rPr>
                <w:rFonts w:ascii="Calibri" w:hAnsi="Calibri" w:cs="Calibri"/>
                <w:i/>
              </w:rPr>
            </w:pPr>
          </w:p>
        </w:tc>
      </w:tr>
      <w:tr w:rsidR="00F34256" w:rsidRPr="00F34256" w14:paraId="42FAE9B3" w14:textId="77777777" w:rsidTr="00F34256">
        <w:tc>
          <w:tcPr>
            <w:tcW w:w="784" w:type="dxa"/>
            <w:vAlign w:val="center"/>
          </w:tcPr>
          <w:p w14:paraId="581A5D41"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PBF</w:t>
            </w:r>
          </w:p>
        </w:tc>
        <w:tc>
          <w:tcPr>
            <w:tcW w:w="3531" w:type="dxa"/>
            <w:vAlign w:val="center"/>
          </w:tcPr>
          <w:p w14:paraId="06787C7B"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Colony were black, spread widely with whitish edge, densely spongy surface and plate reverse side was brown in color.</w:t>
            </w:r>
          </w:p>
        </w:tc>
        <w:tc>
          <w:tcPr>
            <w:tcW w:w="3690" w:type="dxa"/>
            <w:vAlign w:val="center"/>
          </w:tcPr>
          <w:p w14:paraId="574C2372"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Long conidiophore, erected from the vesicle base having smooth hyaline and conidia had globe shape.</w:t>
            </w:r>
          </w:p>
        </w:tc>
        <w:tc>
          <w:tcPr>
            <w:tcW w:w="1715" w:type="dxa"/>
            <w:vAlign w:val="center"/>
          </w:tcPr>
          <w:p w14:paraId="1EF89F10" w14:textId="77777777" w:rsidR="00F34256" w:rsidRPr="00F34256" w:rsidRDefault="00F34256" w:rsidP="00F34256">
            <w:pPr>
              <w:spacing w:line="240" w:lineRule="auto"/>
              <w:jc w:val="center"/>
              <w:rPr>
                <w:rFonts w:ascii="Calibri" w:hAnsi="Calibri" w:cs="Calibri"/>
              </w:rPr>
            </w:pPr>
            <w:r w:rsidRPr="00F34256">
              <w:rPr>
                <w:rFonts w:ascii="Calibri" w:hAnsi="Calibri" w:cs="Calibri"/>
                <w:i/>
              </w:rPr>
              <w:t xml:space="preserve">Aspergillus </w:t>
            </w:r>
            <w:proofErr w:type="spellStart"/>
            <w:r w:rsidRPr="00F34256">
              <w:rPr>
                <w:rFonts w:ascii="Calibri" w:hAnsi="Calibri" w:cs="Calibri"/>
                <w:i/>
              </w:rPr>
              <w:t>niger</w:t>
            </w:r>
            <w:proofErr w:type="spellEnd"/>
          </w:p>
        </w:tc>
      </w:tr>
      <w:tr w:rsidR="00F34256" w:rsidRPr="00F34256" w14:paraId="3D2D05EA" w14:textId="77777777" w:rsidTr="00F34256">
        <w:tc>
          <w:tcPr>
            <w:tcW w:w="784" w:type="dxa"/>
            <w:vAlign w:val="center"/>
          </w:tcPr>
          <w:p w14:paraId="2EE45D68" w14:textId="77777777" w:rsidR="00F34256" w:rsidRPr="00F34256" w:rsidRDefault="00F34256" w:rsidP="00F34256">
            <w:pPr>
              <w:spacing w:line="240" w:lineRule="auto"/>
              <w:jc w:val="center"/>
              <w:rPr>
                <w:rFonts w:ascii="Calibri" w:hAnsi="Calibri" w:cs="Calibri"/>
              </w:rPr>
            </w:pPr>
          </w:p>
        </w:tc>
        <w:tc>
          <w:tcPr>
            <w:tcW w:w="3531" w:type="dxa"/>
            <w:vAlign w:val="center"/>
          </w:tcPr>
          <w:p w14:paraId="09E02F68" w14:textId="77777777" w:rsidR="00F34256" w:rsidRPr="00F34256" w:rsidRDefault="00F34256" w:rsidP="00F34256">
            <w:pPr>
              <w:spacing w:line="240" w:lineRule="auto"/>
              <w:jc w:val="center"/>
              <w:rPr>
                <w:rFonts w:ascii="Calibri" w:hAnsi="Calibri" w:cs="Calibri"/>
              </w:rPr>
            </w:pPr>
          </w:p>
        </w:tc>
        <w:tc>
          <w:tcPr>
            <w:tcW w:w="3690" w:type="dxa"/>
            <w:vAlign w:val="center"/>
          </w:tcPr>
          <w:p w14:paraId="78876D56" w14:textId="77777777" w:rsidR="00F34256" w:rsidRPr="00F34256" w:rsidRDefault="00F34256" w:rsidP="00F34256">
            <w:pPr>
              <w:spacing w:line="240" w:lineRule="auto"/>
              <w:jc w:val="center"/>
              <w:rPr>
                <w:rFonts w:ascii="Calibri" w:hAnsi="Calibri" w:cs="Calibri"/>
              </w:rPr>
            </w:pPr>
          </w:p>
        </w:tc>
        <w:tc>
          <w:tcPr>
            <w:tcW w:w="1715" w:type="dxa"/>
            <w:vAlign w:val="center"/>
          </w:tcPr>
          <w:p w14:paraId="7E7A8429" w14:textId="77777777" w:rsidR="00F34256" w:rsidRPr="00F34256" w:rsidRDefault="00F34256" w:rsidP="00F34256">
            <w:pPr>
              <w:spacing w:line="240" w:lineRule="auto"/>
              <w:jc w:val="center"/>
              <w:rPr>
                <w:rFonts w:ascii="Calibri" w:hAnsi="Calibri" w:cs="Calibri"/>
                <w:i/>
              </w:rPr>
            </w:pPr>
          </w:p>
        </w:tc>
      </w:tr>
      <w:tr w:rsidR="00F34256" w:rsidRPr="00F34256" w14:paraId="2A58F4C5" w14:textId="77777777" w:rsidTr="00F34256">
        <w:tc>
          <w:tcPr>
            <w:tcW w:w="784" w:type="dxa"/>
            <w:vAlign w:val="center"/>
          </w:tcPr>
          <w:p w14:paraId="0348C6F1"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PCF</w:t>
            </w:r>
          </w:p>
        </w:tc>
        <w:tc>
          <w:tcPr>
            <w:tcW w:w="3531" w:type="dxa"/>
            <w:vAlign w:val="center"/>
          </w:tcPr>
          <w:p w14:paraId="1A04B25E"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Whitish colony, smooth edge, tuft surface and plate reverse side was brownish.</w:t>
            </w:r>
          </w:p>
        </w:tc>
        <w:tc>
          <w:tcPr>
            <w:tcW w:w="3690" w:type="dxa"/>
            <w:vAlign w:val="center"/>
          </w:tcPr>
          <w:p w14:paraId="413B7713"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 xml:space="preserve">Short conidiophores, slightly sickle-shaped macroconidia, and </w:t>
            </w:r>
            <w:proofErr w:type="spellStart"/>
            <w:r w:rsidRPr="00F34256">
              <w:rPr>
                <w:rFonts w:ascii="Calibri" w:hAnsi="Calibri" w:cs="Calibri"/>
              </w:rPr>
              <w:t>multiseptate</w:t>
            </w:r>
            <w:proofErr w:type="spellEnd"/>
            <w:r w:rsidRPr="00F34256">
              <w:rPr>
                <w:rFonts w:ascii="Calibri" w:hAnsi="Calibri" w:cs="Calibri"/>
              </w:rPr>
              <w:t xml:space="preserve"> with 3-5 septate.</w:t>
            </w:r>
          </w:p>
        </w:tc>
        <w:tc>
          <w:tcPr>
            <w:tcW w:w="1715" w:type="dxa"/>
            <w:vAlign w:val="center"/>
          </w:tcPr>
          <w:p w14:paraId="2153E3DA" w14:textId="77777777" w:rsidR="00F34256" w:rsidRPr="00F34256" w:rsidRDefault="00F34256" w:rsidP="00F34256">
            <w:pPr>
              <w:spacing w:line="240" w:lineRule="auto"/>
              <w:jc w:val="center"/>
              <w:rPr>
                <w:rFonts w:ascii="Calibri" w:hAnsi="Calibri" w:cs="Calibri"/>
              </w:rPr>
            </w:pPr>
            <w:r w:rsidRPr="00F34256">
              <w:rPr>
                <w:rFonts w:ascii="Calibri" w:hAnsi="Calibri" w:cs="Calibri"/>
                <w:i/>
              </w:rPr>
              <w:t xml:space="preserve">Fusarium </w:t>
            </w:r>
            <w:proofErr w:type="spellStart"/>
            <w:r w:rsidRPr="00F34256">
              <w:rPr>
                <w:rFonts w:ascii="Calibri" w:hAnsi="Calibri" w:cs="Calibri"/>
                <w:i/>
              </w:rPr>
              <w:t>oxysporum</w:t>
            </w:r>
            <w:proofErr w:type="spellEnd"/>
          </w:p>
        </w:tc>
      </w:tr>
      <w:tr w:rsidR="00F34256" w:rsidRPr="00F34256" w14:paraId="13328B6A" w14:textId="77777777" w:rsidTr="00F34256">
        <w:tc>
          <w:tcPr>
            <w:tcW w:w="784" w:type="dxa"/>
            <w:vAlign w:val="center"/>
          </w:tcPr>
          <w:p w14:paraId="31B2E37D" w14:textId="77777777" w:rsidR="00F34256" w:rsidRPr="00F34256" w:rsidRDefault="00F34256" w:rsidP="00F34256">
            <w:pPr>
              <w:spacing w:line="240" w:lineRule="auto"/>
              <w:jc w:val="center"/>
              <w:rPr>
                <w:rFonts w:ascii="Calibri" w:hAnsi="Calibri" w:cs="Calibri"/>
              </w:rPr>
            </w:pPr>
          </w:p>
        </w:tc>
        <w:tc>
          <w:tcPr>
            <w:tcW w:w="3531" w:type="dxa"/>
            <w:vAlign w:val="center"/>
          </w:tcPr>
          <w:p w14:paraId="36CDF58C" w14:textId="77777777" w:rsidR="00F34256" w:rsidRPr="00F34256" w:rsidRDefault="00F34256" w:rsidP="00F34256">
            <w:pPr>
              <w:spacing w:line="240" w:lineRule="auto"/>
              <w:jc w:val="center"/>
              <w:rPr>
                <w:rFonts w:ascii="Calibri" w:hAnsi="Calibri" w:cs="Calibri"/>
              </w:rPr>
            </w:pPr>
          </w:p>
        </w:tc>
        <w:tc>
          <w:tcPr>
            <w:tcW w:w="3690" w:type="dxa"/>
            <w:vAlign w:val="center"/>
          </w:tcPr>
          <w:p w14:paraId="1651CC1C" w14:textId="77777777" w:rsidR="00F34256" w:rsidRPr="00F34256" w:rsidRDefault="00F34256" w:rsidP="00F34256">
            <w:pPr>
              <w:spacing w:line="240" w:lineRule="auto"/>
              <w:jc w:val="center"/>
              <w:rPr>
                <w:rFonts w:ascii="Calibri" w:hAnsi="Calibri" w:cs="Calibri"/>
              </w:rPr>
            </w:pPr>
          </w:p>
        </w:tc>
        <w:tc>
          <w:tcPr>
            <w:tcW w:w="1715" w:type="dxa"/>
            <w:vAlign w:val="center"/>
          </w:tcPr>
          <w:p w14:paraId="5B101640" w14:textId="77777777" w:rsidR="00F34256" w:rsidRPr="00F34256" w:rsidRDefault="00F34256" w:rsidP="00F34256">
            <w:pPr>
              <w:spacing w:line="240" w:lineRule="auto"/>
              <w:jc w:val="center"/>
              <w:rPr>
                <w:rFonts w:ascii="Calibri" w:hAnsi="Calibri" w:cs="Calibri"/>
                <w:i/>
              </w:rPr>
            </w:pPr>
          </w:p>
        </w:tc>
      </w:tr>
      <w:tr w:rsidR="00F34256" w:rsidRPr="00F34256" w14:paraId="6C427BEE" w14:textId="77777777" w:rsidTr="00F34256">
        <w:tc>
          <w:tcPr>
            <w:tcW w:w="784" w:type="dxa"/>
            <w:vAlign w:val="center"/>
          </w:tcPr>
          <w:p w14:paraId="151B2625"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PCF</w:t>
            </w:r>
          </w:p>
        </w:tc>
        <w:tc>
          <w:tcPr>
            <w:tcW w:w="3531" w:type="dxa"/>
            <w:vAlign w:val="center"/>
          </w:tcPr>
          <w:p w14:paraId="4D931B9A"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Colony surface was granular, Olive green with white edges, and greenish coloration on the reverse of the plate.</w:t>
            </w:r>
          </w:p>
        </w:tc>
        <w:tc>
          <w:tcPr>
            <w:tcW w:w="3690" w:type="dxa"/>
            <w:vAlign w:val="center"/>
          </w:tcPr>
          <w:p w14:paraId="1F96CBB3" w14:textId="77777777" w:rsidR="00F34256" w:rsidRPr="00F34256" w:rsidRDefault="00F34256" w:rsidP="00F34256">
            <w:pPr>
              <w:spacing w:line="240" w:lineRule="auto"/>
              <w:jc w:val="center"/>
              <w:rPr>
                <w:rFonts w:ascii="Calibri" w:hAnsi="Calibri" w:cs="Calibri"/>
              </w:rPr>
            </w:pPr>
            <w:r w:rsidRPr="00F34256">
              <w:rPr>
                <w:rFonts w:ascii="Calibri" w:hAnsi="Calibri" w:cs="Calibri"/>
              </w:rPr>
              <w:t>Conidiophore was thick walled,   hyaline, erect, long, aseptate with vesicle at the top and having short conidial chains.</w:t>
            </w:r>
          </w:p>
        </w:tc>
        <w:tc>
          <w:tcPr>
            <w:tcW w:w="1715" w:type="dxa"/>
            <w:vAlign w:val="center"/>
          </w:tcPr>
          <w:p w14:paraId="771142F4" w14:textId="77777777" w:rsidR="00F34256" w:rsidRPr="00F34256" w:rsidRDefault="00F34256" w:rsidP="00F34256">
            <w:pPr>
              <w:spacing w:line="240" w:lineRule="auto"/>
              <w:jc w:val="center"/>
              <w:rPr>
                <w:rFonts w:ascii="Calibri" w:hAnsi="Calibri" w:cs="Calibri"/>
              </w:rPr>
            </w:pPr>
            <w:r w:rsidRPr="00F34256">
              <w:rPr>
                <w:rFonts w:ascii="Calibri" w:hAnsi="Calibri" w:cs="Calibri"/>
                <w:i/>
              </w:rPr>
              <w:t>Aspergillus flavus</w:t>
            </w:r>
          </w:p>
        </w:tc>
      </w:tr>
    </w:tbl>
    <w:p w14:paraId="4D994BE0" w14:textId="77777777" w:rsidR="00F34256" w:rsidRPr="00F34256" w:rsidRDefault="00F34256" w:rsidP="00F34256">
      <w:pPr>
        <w:spacing w:after="0" w:line="240" w:lineRule="auto"/>
        <w:rPr>
          <w:rFonts w:ascii="Calibri" w:hAnsi="Calibri" w:cs="Calibri"/>
        </w:rPr>
      </w:pPr>
    </w:p>
    <w:p w14:paraId="0D00B84E" w14:textId="77777777" w:rsidR="00F34256" w:rsidRPr="00F8377A" w:rsidRDefault="00F8377A" w:rsidP="00F8377A">
      <w:pPr>
        <w:spacing w:after="0" w:line="276" w:lineRule="auto"/>
        <w:jc w:val="both"/>
        <w:rPr>
          <w:rFonts w:ascii="Calibri" w:hAnsi="Calibri" w:cs="Calibri"/>
          <w:sz w:val="24"/>
          <w:szCs w:val="24"/>
        </w:rPr>
      </w:pPr>
      <w:r w:rsidRPr="00F8377A">
        <w:rPr>
          <w:rFonts w:ascii="Calibri" w:hAnsi="Calibri" w:cs="Calibri"/>
          <w:sz w:val="24"/>
          <w:szCs w:val="24"/>
        </w:rPr>
        <w:t xml:space="preserve">Table 2 presents the total fungal counts obtained from water samples collected at the three sampling points along the Gwagwalada River, which receives effluent from </w:t>
      </w:r>
      <w:r>
        <w:rPr>
          <w:rFonts w:ascii="Calibri" w:hAnsi="Calibri" w:cs="Calibri"/>
          <w:sz w:val="24"/>
          <w:szCs w:val="24"/>
        </w:rPr>
        <w:t xml:space="preserve">the </w:t>
      </w:r>
      <w:proofErr w:type="spellStart"/>
      <w:r w:rsidRPr="00F8377A">
        <w:rPr>
          <w:rFonts w:ascii="Calibri" w:hAnsi="Calibri" w:cs="Calibri"/>
          <w:sz w:val="24"/>
          <w:szCs w:val="24"/>
        </w:rPr>
        <w:t>Kutunku</w:t>
      </w:r>
      <w:proofErr w:type="spellEnd"/>
      <w:r w:rsidRPr="00F8377A">
        <w:rPr>
          <w:rFonts w:ascii="Calibri" w:hAnsi="Calibri" w:cs="Calibri"/>
          <w:sz w:val="24"/>
          <w:szCs w:val="24"/>
        </w:rPr>
        <w:t xml:space="preserve"> abattoir. The mean fungal plate counts (FPC) were highest at point C (downstream; 1.82 × 10⁷ </w:t>
      </w:r>
      <w:r w:rsidR="00345DD8">
        <w:rPr>
          <w:rFonts w:ascii="Calibri" w:hAnsi="Calibri" w:cs="Calibri"/>
          <w:sz w:val="24"/>
          <w:szCs w:val="24"/>
        </w:rPr>
        <w:t>CFU</w:t>
      </w:r>
      <w:r w:rsidRPr="00F8377A">
        <w:rPr>
          <w:rFonts w:ascii="Calibri" w:hAnsi="Calibri" w:cs="Calibri"/>
          <w:sz w:val="24"/>
          <w:szCs w:val="24"/>
        </w:rPr>
        <w:t xml:space="preserve">/mL), followed by point B (effluent discharge point; 3.9 × 10⁶ </w:t>
      </w:r>
      <w:r w:rsidR="00345DD8">
        <w:rPr>
          <w:rFonts w:ascii="Calibri" w:hAnsi="Calibri" w:cs="Calibri"/>
          <w:sz w:val="24"/>
          <w:szCs w:val="24"/>
        </w:rPr>
        <w:t>CFU</w:t>
      </w:r>
      <w:r w:rsidRPr="00F8377A">
        <w:rPr>
          <w:rFonts w:ascii="Calibri" w:hAnsi="Calibri" w:cs="Calibri"/>
          <w:sz w:val="24"/>
          <w:szCs w:val="24"/>
        </w:rPr>
        <w:t xml:space="preserve">/mL), and lowest at point A (upstream; 3.5 × 10⁶ </w:t>
      </w:r>
      <w:r w:rsidR="00345DD8">
        <w:rPr>
          <w:rFonts w:ascii="Calibri" w:hAnsi="Calibri" w:cs="Calibri"/>
          <w:sz w:val="24"/>
          <w:szCs w:val="24"/>
        </w:rPr>
        <w:t>CFU</w:t>
      </w:r>
      <w:r w:rsidRPr="00F8377A">
        <w:rPr>
          <w:rFonts w:ascii="Calibri" w:hAnsi="Calibri" w:cs="Calibri"/>
          <w:sz w:val="24"/>
          <w:szCs w:val="24"/>
        </w:rPr>
        <w:t>/mL), indicating a progressive increase in fungal load downstream of the abattoir discharge.</w:t>
      </w:r>
    </w:p>
    <w:p w14:paraId="6FAB3956" w14:textId="77777777" w:rsidR="00F8377A" w:rsidRPr="00F8377A" w:rsidRDefault="00F8377A" w:rsidP="00F8377A">
      <w:pPr>
        <w:pStyle w:val="NormalWeb"/>
        <w:spacing w:before="0" w:beforeAutospacing="0" w:after="0" w:afterAutospacing="0"/>
        <w:rPr>
          <w:rFonts w:ascii="Calibri" w:hAnsi="Calibri" w:cs="Calibri"/>
          <w:b/>
          <w:sz w:val="22"/>
          <w:szCs w:val="22"/>
        </w:rPr>
      </w:pPr>
      <w:r w:rsidRPr="00F8377A">
        <w:rPr>
          <w:rFonts w:ascii="Calibri" w:hAnsi="Calibri" w:cs="Calibri"/>
          <w:b/>
          <w:noProof/>
          <w:sz w:val="22"/>
          <w:szCs w:val="22"/>
        </w:rPr>
        <w:lastRenderedPageBreak/>
        <w:drawing>
          <wp:inline distT="0" distB="0" distL="0" distR="0" wp14:anchorId="0D17D00D" wp14:editId="659531C7">
            <wp:extent cx="5914417" cy="1925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0502" cy="1927937"/>
                    </a:xfrm>
                    <a:prstGeom prst="rect">
                      <a:avLst/>
                    </a:prstGeom>
                    <a:noFill/>
                    <a:ln>
                      <a:noFill/>
                    </a:ln>
                  </pic:spPr>
                </pic:pic>
              </a:graphicData>
            </a:graphic>
          </wp:inline>
        </w:drawing>
      </w:r>
    </w:p>
    <w:p w14:paraId="16C39081" w14:textId="77777777" w:rsidR="00F8377A" w:rsidRPr="00F8377A" w:rsidRDefault="00F8377A" w:rsidP="00F8377A">
      <w:pPr>
        <w:spacing w:after="0" w:line="240" w:lineRule="auto"/>
        <w:ind w:right="-732"/>
        <w:rPr>
          <w:rFonts w:ascii="Calibri" w:hAnsi="Calibri" w:cs="Calibri"/>
          <w:b/>
        </w:rPr>
      </w:pPr>
      <w:r w:rsidRPr="00F8377A">
        <w:rPr>
          <w:rFonts w:ascii="Calibri" w:hAnsi="Calibri" w:cs="Calibri"/>
        </w:rPr>
        <w:t>Plate 1.</w:t>
      </w:r>
      <w:r w:rsidRPr="00F8377A">
        <w:rPr>
          <w:rFonts w:ascii="Calibri" w:hAnsi="Calibri" w:cs="Calibri"/>
          <w:b/>
        </w:rPr>
        <w:t xml:space="preserve"> </w:t>
      </w:r>
      <w:r w:rsidRPr="00F8377A">
        <w:rPr>
          <w:rFonts w:ascii="Calibri" w:hAnsi="Calibri" w:cs="Calibri"/>
        </w:rPr>
        <w:t xml:space="preserve">Fungal plates (A: </w:t>
      </w:r>
      <w:r w:rsidRPr="00F8377A">
        <w:rPr>
          <w:rFonts w:ascii="Calibri" w:hAnsi="Calibri" w:cs="Calibri"/>
          <w:i/>
        </w:rPr>
        <w:t xml:space="preserve">Fusarium </w:t>
      </w:r>
      <w:proofErr w:type="spellStart"/>
      <w:r w:rsidRPr="00F8377A">
        <w:rPr>
          <w:rFonts w:ascii="Calibri" w:hAnsi="Calibri" w:cs="Calibri"/>
          <w:i/>
        </w:rPr>
        <w:t>oxysporum</w:t>
      </w:r>
      <w:proofErr w:type="spellEnd"/>
      <w:r w:rsidRPr="00F8377A">
        <w:rPr>
          <w:rFonts w:ascii="Calibri" w:hAnsi="Calibri" w:cs="Calibri"/>
          <w:i/>
        </w:rPr>
        <w:t xml:space="preserve">, </w:t>
      </w:r>
      <w:r w:rsidRPr="00F8377A">
        <w:rPr>
          <w:rFonts w:ascii="Calibri" w:hAnsi="Calibri" w:cs="Calibri"/>
        </w:rPr>
        <w:t xml:space="preserve">B: </w:t>
      </w:r>
      <w:r w:rsidRPr="00F8377A">
        <w:rPr>
          <w:rFonts w:ascii="Calibri" w:hAnsi="Calibri" w:cs="Calibri"/>
          <w:i/>
        </w:rPr>
        <w:t xml:space="preserve">Aspergillus </w:t>
      </w:r>
      <w:proofErr w:type="spellStart"/>
      <w:r w:rsidRPr="00F8377A">
        <w:rPr>
          <w:rFonts w:ascii="Calibri" w:hAnsi="Calibri" w:cs="Calibri"/>
          <w:i/>
        </w:rPr>
        <w:t>niger</w:t>
      </w:r>
      <w:proofErr w:type="spellEnd"/>
      <w:r w:rsidRPr="00F8377A">
        <w:rPr>
          <w:rFonts w:ascii="Calibri" w:hAnsi="Calibri" w:cs="Calibri"/>
          <w:i/>
        </w:rPr>
        <w:t xml:space="preserve">, </w:t>
      </w:r>
      <w:r w:rsidRPr="00F8377A">
        <w:rPr>
          <w:rFonts w:ascii="Calibri" w:hAnsi="Calibri" w:cs="Calibri"/>
        </w:rPr>
        <w:t xml:space="preserve">C: </w:t>
      </w:r>
      <w:r w:rsidRPr="00F8377A">
        <w:rPr>
          <w:rFonts w:ascii="Calibri" w:hAnsi="Calibri" w:cs="Calibri"/>
          <w:i/>
        </w:rPr>
        <w:t>Aspergillus flavus</w:t>
      </w:r>
      <w:r w:rsidRPr="00F8377A">
        <w:rPr>
          <w:rFonts w:ascii="Calibri" w:hAnsi="Calibri" w:cs="Calibri"/>
        </w:rPr>
        <w:t xml:space="preserve">) </w:t>
      </w:r>
      <w:r w:rsidRPr="00F8377A">
        <w:rPr>
          <w:rFonts w:ascii="Calibri" w:hAnsi="Calibri" w:cs="Calibri"/>
          <w:b/>
        </w:rPr>
        <w:t xml:space="preserve">                                </w:t>
      </w:r>
    </w:p>
    <w:p w14:paraId="678B6CDE" w14:textId="77777777" w:rsidR="00F8377A" w:rsidRPr="00F34256" w:rsidRDefault="00F8377A" w:rsidP="00F34256">
      <w:pPr>
        <w:spacing w:after="0" w:line="240" w:lineRule="auto"/>
        <w:rPr>
          <w:rFonts w:ascii="Calibri" w:hAnsi="Calibri" w:cs="Calibri"/>
        </w:rPr>
      </w:pPr>
    </w:p>
    <w:p w14:paraId="6ADC6FD7" w14:textId="77777777" w:rsidR="00F8377A" w:rsidRDefault="00F8377A" w:rsidP="00F34256">
      <w:pPr>
        <w:spacing w:after="0" w:line="240" w:lineRule="auto"/>
        <w:rPr>
          <w:rFonts w:ascii="Calibri" w:hAnsi="Calibri" w:cs="Calibri"/>
        </w:rPr>
      </w:pPr>
    </w:p>
    <w:p w14:paraId="25BB7A3A" w14:textId="77777777" w:rsidR="00F34256" w:rsidRPr="00F34256" w:rsidRDefault="00F34256" w:rsidP="00F34256">
      <w:pPr>
        <w:spacing w:after="0" w:line="240" w:lineRule="auto"/>
        <w:rPr>
          <w:rFonts w:ascii="Calibri" w:hAnsi="Calibri" w:cs="Calibri"/>
        </w:rPr>
      </w:pPr>
      <w:r w:rsidRPr="00F34256">
        <w:rPr>
          <w:rFonts w:ascii="Calibri" w:hAnsi="Calibri" w:cs="Calibri"/>
        </w:rPr>
        <w:t>Table 2. Total fungal count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2205"/>
        <w:gridCol w:w="2205"/>
        <w:gridCol w:w="2206"/>
      </w:tblGrid>
      <w:tr w:rsidR="00F34256" w:rsidRPr="00F34256" w14:paraId="508931D7" w14:textId="77777777" w:rsidTr="00345DD8">
        <w:trPr>
          <w:trHeight w:val="611"/>
        </w:trPr>
        <w:tc>
          <w:tcPr>
            <w:tcW w:w="2205" w:type="dxa"/>
            <w:tcBorders>
              <w:bottom w:val="single" w:sz="4" w:space="0" w:color="auto"/>
            </w:tcBorders>
            <w:vAlign w:val="center"/>
          </w:tcPr>
          <w:p w14:paraId="244CC4EF"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Sample</w:t>
            </w:r>
          </w:p>
        </w:tc>
        <w:tc>
          <w:tcPr>
            <w:tcW w:w="2205" w:type="dxa"/>
            <w:tcBorders>
              <w:bottom w:val="single" w:sz="4" w:space="0" w:color="auto"/>
            </w:tcBorders>
            <w:vAlign w:val="center"/>
          </w:tcPr>
          <w:p w14:paraId="302BD1B4"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Point A</w:t>
            </w:r>
          </w:p>
        </w:tc>
        <w:tc>
          <w:tcPr>
            <w:tcW w:w="2205" w:type="dxa"/>
            <w:tcBorders>
              <w:bottom w:val="single" w:sz="4" w:space="0" w:color="auto"/>
            </w:tcBorders>
            <w:vAlign w:val="center"/>
          </w:tcPr>
          <w:p w14:paraId="1C18A7CE"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Point B</w:t>
            </w:r>
          </w:p>
        </w:tc>
        <w:tc>
          <w:tcPr>
            <w:tcW w:w="2206" w:type="dxa"/>
            <w:tcBorders>
              <w:bottom w:val="single" w:sz="4" w:space="0" w:color="auto"/>
            </w:tcBorders>
            <w:vAlign w:val="center"/>
          </w:tcPr>
          <w:p w14:paraId="78EA5343"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Point C</w:t>
            </w:r>
          </w:p>
        </w:tc>
      </w:tr>
      <w:tr w:rsidR="00F34256" w:rsidRPr="00F34256" w14:paraId="4C74C9AF" w14:textId="77777777" w:rsidTr="00345DD8">
        <w:trPr>
          <w:trHeight w:val="624"/>
        </w:trPr>
        <w:tc>
          <w:tcPr>
            <w:tcW w:w="2205" w:type="dxa"/>
            <w:tcBorders>
              <w:top w:val="single" w:sz="4" w:space="0" w:color="auto"/>
              <w:bottom w:val="nil"/>
            </w:tcBorders>
            <w:vAlign w:val="center"/>
          </w:tcPr>
          <w:p w14:paraId="3A49F2BA"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FPC (</w:t>
            </w:r>
            <w:r w:rsidR="00345DD8">
              <w:rPr>
                <w:rFonts w:ascii="Calibri" w:hAnsi="Calibri" w:cs="Calibri"/>
              </w:rPr>
              <w:t>CFU</w:t>
            </w:r>
            <w:r w:rsidRPr="00F34256">
              <w:rPr>
                <w:rFonts w:ascii="Calibri" w:hAnsi="Calibri" w:cs="Calibri"/>
              </w:rPr>
              <w:t>/ml)</w:t>
            </w:r>
          </w:p>
        </w:tc>
        <w:tc>
          <w:tcPr>
            <w:tcW w:w="2205" w:type="dxa"/>
            <w:tcBorders>
              <w:top w:val="single" w:sz="4" w:space="0" w:color="auto"/>
              <w:bottom w:val="nil"/>
            </w:tcBorders>
            <w:vAlign w:val="center"/>
          </w:tcPr>
          <w:p w14:paraId="41F19972"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3.5 * 10</w:t>
            </w:r>
            <w:r w:rsidRPr="00F34256">
              <w:rPr>
                <w:rFonts w:ascii="Calibri" w:hAnsi="Calibri" w:cs="Calibri"/>
                <w:vertAlign w:val="superscript"/>
              </w:rPr>
              <w:t>6</w:t>
            </w:r>
          </w:p>
        </w:tc>
        <w:tc>
          <w:tcPr>
            <w:tcW w:w="2205" w:type="dxa"/>
            <w:tcBorders>
              <w:top w:val="single" w:sz="4" w:space="0" w:color="auto"/>
              <w:bottom w:val="nil"/>
            </w:tcBorders>
            <w:vAlign w:val="center"/>
          </w:tcPr>
          <w:p w14:paraId="6C987604"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3.9 * 10</w:t>
            </w:r>
            <w:r w:rsidRPr="00F34256">
              <w:rPr>
                <w:rFonts w:ascii="Calibri" w:hAnsi="Calibri" w:cs="Calibri"/>
                <w:vertAlign w:val="superscript"/>
              </w:rPr>
              <w:t>6</w:t>
            </w:r>
          </w:p>
        </w:tc>
        <w:tc>
          <w:tcPr>
            <w:tcW w:w="2206" w:type="dxa"/>
            <w:tcBorders>
              <w:top w:val="single" w:sz="4" w:space="0" w:color="auto"/>
              <w:bottom w:val="nil"/>
            </w:tcBorders>
            <w:vAlign w:val="center"/>
          </w:tcPr>
          <w:p w14:paraId="2FF45BDC"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1.82 * 10</w:t>
            </w:r>
            <w:r w:rsidRPr="00F34256">
              <w:rPr>
                <w:rFonts w:ascii="Calibri" w:hAnsi="Calibri" w:cs="Calibri"/>
                <w:vertAlign w:val="superscript"/>
              </w:rPr>
              <w:t>7</w:t>
            </w:r>
          </w:p>
        </w:tc>
      </w:tr>
      <w:tr w:rsidR="00F34256" w:rsidRPr="00F34256" w14:paraId="2720BE5A" w14:textId="77777777" w:rsidTr="00345DD8">
        <w:trPr>
          <w:trHeight w:val="611"/>
        </w:trPr>
        <w:tc>
          <w:tcPr>
            <w:tcW w:w="2205" w:type="dxa"/>
            <w:tcBorders>
              <w:top w:val="nil"/>
            </w:tcBorders>
            <w:vAlign w:val="center"/>
          </w:tcPr>
          <w:p w14:paraId="376A1258" w14:textId="77777777" w:rsidR="00F34256" w:rsidRPr="00F34256" w:rsidRDefault="00F34256" w:rsidP="00345DD8">
            <w:pPr>
              <w:spacing w:line="240" w:lineRule="auto"/>
              <w:jc w:val="center"/>
              <w:rPr>
                <w:rFonts w:ascii="Calibri" w:hAnsi="Calibri" w:cs="Calibri"/>
              </w:rPr>
            </w:pPr>
            <w:r w:rsidRPr="00F34256">
              <w:rPr>
                <w:rFonts w:ascii="Calibri" w:hAnsi="Calibri" w:cs="Calibri"/>
                <w:i/>
              </w:rPr>
              <w:t>P</w:t>
            </w:r>
            <w:r w:rsidRPr="00F34256">
              <w:rPr>
                <w:rFonts w:ascii="Calibri" w:hAnsi="Calibri" w:cs="Calibri"/>
              </w:rPr>
              <w:t>-value</w:t>
            </w:r>
          </w:p>
        </w:tc>
        <w:tc>
          <w:tcPr>
            <w:tcW w:w="2205" w:type="dxa"/>
            <w:tcBorders>
              <w:top w:val="nil"/>
            </w:tcBorders>
            <w:vAlign w:val="center"/>
          </w:tcPr>
          <w:p w14:paraId="7B4E96A7" w14:textId="77777777" w:rsidR="00F34256" w:rsidRPr="00F34256" w:rsidRDefault="00F34256" w:rsidP="00345DD8">
            <w:pPr>
              <w:spacing w:line="240" w:lineRule="auto"/>
              <w:jc w:val="center"/>
              <w:rPr>
                <w:rFonts w:ascii="Calibri" w:hAnsi="Calibri" w:cs="Calibri"/>
              </w:rPr>
            </w:pPr>
            <w:r w:rsidRPr="00F34256">
              <w:rPr>
                <w:rFonts w:ascii="Calibri" w:hAnsi="Calibri" w:cs="Calibri"/>
              </w:rPr>
              <w:t>&lt; 0.05</w:t>
            </w:r>
          </w:p>
        </w:tc>
        <w:tc>
          <w:tcPr>
            <w:tcW w:w="2205" w:type="dxa"/>
            <w:tcBorders>
              <w:top w:val="nil"/>
            </w:tcBorders>
            <w:vAlign w:val="center"/>
          </w:tcPr>
          <w:p w14:paraId="10F678F6" w14:textId="77777777" w:rsidR="00F34256" w:rsidRPr="00F34256" w:rsidRDefault="00F34256" w:rsidP="00345DD8">
            <w:pPr>
              <w:spacing w:line="240" w:lineRule="auto"/>
              <w:jc w:val="center"/>
              <w:rPr>
                <w:rFonts w:ascii="Calibri" w:hAnsi="Calibri" w:cs="Calibri"/>
              </w:rPr>
            </w:pPr>
          </w:p>
        </w:tc>
        <w:tc>
          <w:tcPr>
            <w:tcW w:w="2206" w:type="dxa"/>
            <w:tcBorders>
              <w:top w:val="nil"/>
            </w:tcBorders>
            <w:vAlign w:val="center"/>
          </w:tcPr>
          <w:p w14:paraId="5A8B253F" w14:textId="77777777" w:rsidR="00F34256" w:rsidRPr="00F34256" w:rsidRDefault="00F34256" w:rsidP="00345DD8">
            <w:pPr>
              <w:spacing w:line="240" w:lineRule="auto"/>
              <w:jc w:val="center"/>
              <w:rPr>
                <w:rFonts w:ascii="Calibri" w:hAnsi="Calibri" w:cs="Calibri"/>
              </w:rPr>
            </w:pPr>
          </w:p>
        </w:tc>
      </w:tr>
    </w:tbl>
    <w:p w14:paraId="2E333BB8" w14:textId="77777777" w:rsidR="00F34256" w:rsidRPr="00F34256" w:rsidRDefault="00F34256" w:rsidP="00F34256">
      <w:pPr>
        <w:spacing w:after="0" w:line="240" w:lineRule="auto"/>
        <w:rPr>
          <w:rFonts w:ascii="Calibri" w:hAnsi="Calibri" w:cs="Calibri"/>
        </w:rPr>
      </w:pPr>
      <w:r w:rsidRPr="00F34256">
        <w:rPr>
          <w:rFonts w:ascii="Calibri" w:hAnsi="Calibri" w:cs="Calibri"/>
        </w:rPr>
        <w:t xml:space="preserve"> Key: FPC = Fungal Plate Count, </w:t>
      </w:r>
      <w:r w:rsidR="00345DD8">
        <w:rPr>
          <w:rFonts w:ascii="Calibri" w:hAnsi="Calibri" w:cs="Calibri"/>
        </w:rPr>
        <w:t>CFU</w:t>
      </w:r>
      <w:r w:rsidRPr="00F34256">
        <w:rPr>
          <w:rFonts w:ascii="Calibri" w:hAnsi="Calibri" w:cs="Calibri"/>
        </w:rPr>
        <w:t>/ml = colony forming units per ml</w:t>
      </w:r>
    </w:p>
    <w:p w14:paraId="7E86BE15" w14:textId="77777777" w:rsidR="00F34256" w:rsidRPr="00F34256" w:rsidRDefault="00F34256" w:rsidP="00F34256">
      <w:pPr>
        <w:spacing w:after="0" w:line="240" w:lineRule="auto"/>
        <w:rPr>
          <w:rFonts w:ascii="Calibri" w:hAnsi="Calibri" w:cs="Calibri"/>
        </w:rPr>
      </w:pPr>
    </w:p>
    <w:p w14:paraId="12372D55" w14:textId="77777777" w:rsidR="00024A6D" w:rsidRDefault="00024A6D" w:rsidP="00024A6D">
      <w:pPr>
        <w:spacing w:after="0" w:line="276" w:lineRule="auto"/>
        <w:jc w:val="both"/>
        <w:rPr>
          <w:rFonts w:ascii="Calibri" w:hAnsi="Calibri" w:cs="Calibri"/>
          <w:sz w:val="24"/>
          <w:szCs w:val="24"/>
        </w:rPr>
      </w:pPr>
    </w:p>
    <w:p w14:paraId="69D2D989" w14:textId="77777777" w:rsidR="00F34256" w:rsidRPr="00024A6D" w:rsidRDefault="00024A6D" w:rsidP="00024A6D">
      <w:pPr>
        <w:spacing w:after="0" w:line="276" w:lineRule="auto"/>
        <w:jc w:val="both"/>
        <w:rPr>
          <w:rFonts w:ascii="Calibri" w:hAnsi="Calibri" w:cs="Calibri"/>
          <w:sz w:val="24"/>
          <w:szCs w:val="24"/>
        </w:rPr>
      </w:pPr>
      <w:r w:rsidRPr="00024A6D">
        <w:rPr>
          <w:rFonts w:ascii="Calibri" w:hAnsi="Calibri" w:cs="Calibri"/>
          <w:sz w:val="24"/>
          <w:szCs w:val="24"/>
        </w:rPr>
        <w:t xml:space="preserve">Table 3 shows the antifungal susceptibility profile of the fungal isolates recovered from </w:t>
      </w:r>
      <w:r>
        <w:rPr>
          <w:rFonts w:ascii="Calibri" w:hAnsi="Calibri" w:cs="Calibri"/>
          <w:sz w:val="24"/>
          <w:szCs w:val="24"/>
        </w:rPr>
        <w:t xml:space="preserve">the </w:t>
      </w:r>
      <w:r w:rsidRPr="00024A6D">
        <w:rPr>
          <w:rFonts w:ascii="Calibri" w:hAnsi="Calibri" w:cs="Calibri"/>
          <w:sz w:val="24"/>
          <w:szCs w:val="24"/>
        </w:rPr>
        <w:t xml:space="preserve">Gwagwalada River. All isolates, including </w:t>
      </w:r>
      <w:r w:rsidRPr="00024A6D">
        <w:rPr>
          <w:rFonts w:ascii="Calibri" w:hAnsi="Calibri" w:cs="Calibri"/>
          <w:i/>
          <w:iCs/>
          <w:sz w:val="24"/>
          <w:szCs w:val="24"/>
        </w:rPr>
        <w:t xml:space="preserve">Fusarium </w:t>
      </w:r>
      <w:proofErr w:type="spellStart"/>
      <w:r w:rsidRPr="00024A6D">
        <w:rPr>
          <w:rFonts w:ascii="Calibri" w:hAnsi="Calibri" w:cs="Calibri"/>
          <w:i/>
          <w:iCs/>
          <w:sz w:val="24"/>
          <w:szCs w:val="24"/>
        </w:rPr>
        <w:t>oxysporum</w:t>
      </w:r>
      <w:proofErr w:type="spellEnd"/>
      <w:r w:rsidRPr="00024A6D">
        <w:rPr>
          <w:rFonts w:ascii="Calibri" w:hAnsi="Calibri" w:cs="Calibri"/>
          <w:sz w:val="24"/>
          <w:szCs w:val="24"/>
        </w:rPr>
        <w:t xml:space="preserve">, </w:t>
      </w:r>
      <w:r w:rsidRPr="00024A6D">
        <w:rPr>
          <w:rFonts w:ascii="Calibri" w:hAnsi="Calibri" w:cs="Calibri"/>
          <w:i/>
          <w:iCs/>
          <w:sz w:val="24"/>
          <w:szCs w:val="24"/>
        </w:rPr>
        <w:t xml:space="preserve">Aspergillus </w:t>
      </w:r>
      <w:proofErr w:type="spellStart"/>
      <w:r w:rsidRPr="00024A6D">
        <w:rPr>
          <w:rFonts w:ascii="Calibri" w:hAnsi="Calibri" w:cs="Calibri"/>
          <w:i/>
          <w:iCs/>
          <w:sz w:val="24"/>
          <w:szCs w:val="24"/>
        </w:rPr>
        <w:t>niger</w:t>
      </w:r>
      <w:proofErr w:type="spellEnd"/>
      <w:r w:rsidRPr="00024A6D">
        <w:rPr>
          <w:rFonts w:ascii="Calibri" w:hAnsi="Calibri" w:cs="Calibri"/>
          <w:sz w:val="24"/>
          <w:szCs w:val="24"/>
        </w:rPr>
        <w:t xml:space="preserve">, and </w:t>
      </w:r>
      <w:r w:rsidRPr="00024A6D">
        <w:rPr>
          <w:rFonts w:ascii="Calibri" w:hAnsi="Calibri" w:cs="Calibri"/>
          <w:i/>
          <w:iCs/>
          <w:sz w:val="24"/>
          <w:szCs w:val="24"/>
        </w:rPr>
        <w:t>Aspergillus flavus</w:t>
      </w:r>
      <w:r w:rsidRPr="00024A6D">
        <w:rPr>
          <w:rFonts w:ascii="Calibri" w:hAnsi="Calibri" w:cs="Calibri"/>
          <w:sz w:val="24"/>
          <w:szCs w:val="24"/>
        </w:rPr>
        <w:t>, exhibited complete susceptibility to the tested antifungal agents</w:t>
      </w:r>
      <w:r>
        <w:rPr>
          <w:rFonts w:ascii="Calibri" w:hAnsi="Calibri" w:cs="Calibri"/>
          <w:sz w:val="24"/>
          <w:szCs w:val="24"/>
        </w:rPr>
        <w:t xml:space="preserve">, </w:t>
      </w:r>
      <w:r w:rsidRPr="00024A6D">
        <w:rPr>
          <w:rFonts w:ascii="Calibri" w:hAnsi="Calibri" w:cs="Calibri"/>
          <w:sz w:val="24"/>
          <w:szCs w:val="24"/>
        </w:rPr>
        <w:t>clotrimazole, ketoconazole, and nystatin</w:t>
      </w:r>
      <w:r>
        <w:rPr>
          <w:rFonts w:ascii="Calibri" w:hAnsi="Calibri" w:cs="Calibri"/>
          <w:sz w:val="24"/>
          <w:szCs w:val="24"/>
        </w:rPr>
        <w:t xml:space="preserve">, </w:t>
      </w:r>
      <w:r w:rsidRPr="00024A6D">
        <w:rPr>
          <w:rFonts w:ascii="Calibri" w:hAnsi="Calibri" w:cs="Calibri"/>
          <w:sz w:val="24"/>
          <w:szCs w:val="24"/>
        </w:rPr>
        <w:t>indicating their effectiveness against the river borne fungal species assessed in this study.</w:t>
      </w:r>
    </w:p>
    <w:p w14:paraId="58F05DCB" w14:textId="77777777" w:rsidR="00024A6D" w:rsidRDefault="00024A6D" w:rsidP="00F34256">
      <w:pPr>
        <w:spacing w:after="0" w:line="240" w:lineRule="auto"/>
        <w:rPr>
          <w:rFonts w:ascii="Calibri" w:hAnsi="Calibri" w:cs="Calibri"/>
        </w:rPr>
      </w:pPr>
    </w:p>
    <w:p w14:paraId="184B2CB6" w14:textId="77777777" w:rsidR="00024A6D" w:rsidRPr="00F34256" w:rsidRDefault="00024A6D" w:rsidP="00F34256">
      <w:pPr>
        <w:spacing w:after="0" w:line="240" w:lineRule="auto"/>
        <w:rPr>
          <w:rFonts w:ascii="Calibri" w:hAnsi="Calibri" w:cs="Calibri"/>
        </w:rPr>
      </w:pPr>
    </w:p>
    <w:p w14:paraId="16FEEE2E" w14:textId="77777777" w:rsidR="00F34256" w:rsidRPr="00F34256" w:rsidRDefault="00F34256" w:rsidP="00F34256">
      <w:pPr>
        <w:spacing w:after="0" w:line="240" w:lineRule="auto"/>
        <w:rPr>
          <w:rFonts w:ascii="Calibri" w:hAnsi="Calibri" w:cs="Calibri"/>
        </w:rPr>
      </w:pPr>
      <w:r w:rsidRPr="00F34256">
        <w:rPr>
          <w:rFonts w:ascii="Calibri" w:hAnsi="Calibri" w:cs="Calibri"/>
        </w:rPr>
        <w:t>Table 3. Antifungal susceptibility profile of fungal isolates (mm)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2255"/>
        <w:gridCol w:w="2256"/>
        <w:gridCol w:w="2256"/>
      </w:tblGrid>
      <w:tr w:rsidR="00F34256" w:rsidRPr="00F34256" w14:paraId="698512FC" w14:textId="77777777" w:rsidTr="00F8377A">
        <w:tc>
          <w:tcPr>
            <w:tcW w:w="2265" w:type="dxa"/>
            <w:tcBorders>
              <w:bottom w:val="single" w:sz="4" w:space="0" w:color="auto"/>
            </w:tcBorders>
            <w:vAlign w:val="center"/>
          </w:tcPr>
          <w:p w14:paraId="4D0406B2"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Isolate</w:t>
            </w:r>
          </w:p>
        </w:tc>
        <w:tc>
          <w:tcPr>
            <w:tcW w:w="2265" w:type="dxa"/>
            <w:tcBorders>
              <w:bottom w:val="single" w:sz="4" w:space="0" w:color="auto"/>
            </w:tcBorders>
            <w:vAlign w:val="center"/>
          </w:tcPr>
          <w:p w14:paraId="2E81A60B"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CLO</w:t>
            </w:r>
          </w:p>
        </w:tc>
        <w:tc>
          <w:tcPr>
            <w:tcW w:w="2266" w:type="dxa"/>
            <w:tcBorders>
              <w:bottom w:val="single" w:sz="4" w:space="0" w:color="auto"/>
            </w:tcBorders>
            <w:vAlign w:val="center"/>
          </w:tcPr>
          <w:p w14:paraId="3ECBC37F"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KET</w:t>
            </w:r>
          </w:p>
        </w:tc>
        <w:tc>
          <w:tcPr>
            <w:tcW w:w="2266" w:type="dxa"/>
            <w:tcBorders>
              <w:bottom w:val="single" w:sz="4" w:space="0" w:color="auto"/>
            </w:tcBorders>
            <w:vAlign w:val="center"/>
          </w:tcPr>
          <w:p w14:paraId="2A17AE43"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NYS</w:t>
            </w:r>
          </w:p>
        </w:tc>
      </w:tr>
      <w:tr w:rsidR="00F34256" w:rsidRPr="00F34256" w14:paraId="1FB9E293" w14:textId="77777777" w:rsidTr="00F8377A">
        <w:tc>
          <w:tcPr>
            <w:tcW w:w="2265" w:type="dxa"/>
            <w:tcBorders>
              <w:top w:val="single" w:sz="4" w:space="0" w:color="auto"/>
              <w:bottom w:val="nil"/>
            </w:tcBorders>
            <w:vAlign w:val="center"/>
          </w:tcPr>
          <w:p w14:paraId="313634CD" w14:textId="77777777" w:rsidR="00F34256" w:rsidRPr="00F34256" w:rsidRDefault="00F34256" w:rsidP="00F8377A">
            <w:pPr>
              <w:spacing w:line="360" w:lineRule="auto"/>
              <w:jc w:val="center"/>
              <w:rPr>
                <w:rFonts w:ascii="Calibri" w:hAnsi="Calibri" w:cs="Calibri"/>
                <w:i/>
              </w:rPr>
            </w:pPr>
            <w:proofErr w:type="spellStart"/>
            <w:r w:rsidRPr="00F34256">
              <w:rPr>
                <w:rFonts w:ascii="Calibri" w:hAnsi="Calibri" w:cs="Calibri"/>
                <w:i/>
              </w:rPr>
              <w:t>Fasarium</w:t>
            </w:r>
            <w:proofErr w:type="spellEnd"/>
            <w:r w:rsidRPr="00F34256">
              <w:rPr>
                <w:rFonts w:ascii="Calibri" w:hAnsi="Calibri" w:cs="Calibri"/>
                <w:i/>
              </w:rPr>
              <w:t xml:space="preserve"> </w:t>
            </w:r>
            <w:proofErr w:type="spellStart"/>
            <w:r w:rsidRPr="00F34256">
              <w:rPr>
                <w:rFonts w:ascii="Calibri" w:hAnsi="Calibri" w:cs="Calibri"/>
                <w:i/>
              </w:rPr>
              <w:t>oxysporum</w:t>
            </w:r>
            <w:proofErr w:type="spellEnd"/>
          </w:p>
        </w:tc>
        <w:tc>
          <w:tcPr>
            <w:tcW w:w="2265" w:type="dxa"/>
            <w:tcBorders>
              <w:top w:val="single" w:sz="4" w:space="0" w:color="auto"/>
              <w:bottom w:val="nil"/>
            </w:tcBorders>
            <w:vAlign w:val="center"/>
          </w:tcPr>
          <w:p w14:paraId="07945B7E"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25 (S)</w:t>
            </w:r>
          </w:p>
        </w:tc>
        <w:tc>
          <w:tcPr>
            <w:tcW w:w="2266" w:type="dxa"/>
            <w:tcBorders>
              <w:top w:val="single" w:sz="4" w:space="0" w:color="auto"/>
              <w:bottom w:val="nil"/>
            </w:tcBorders>
            <w:vAlign w:val="center"/>
          </w:tcPr>
          <w:p w14:paraId="61869B08"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13 (S)</w:t>
            </w:r>
          </w:p>
        </w:tc>
        <w:tc>
          <w:tcPr>
            <w:tcW w:w="2266" w:type="dxa"/>
            <w:tcBorders>
              <w:top w:val="single" w:sz="4" w:space="0" w:color="auto"/>
              <w:bottom w:val="nil"/>
            </w:tcBorders>
            <w:vAlign w:val="center"/>
          </w:tcPr>
          <w:p w14:paraId="03F66CD5"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23 (S)</w:t>
            </w:r>
          </w:p>
        </w:tc>
      </w:tr>
      <w:tr w:rsidR="00F34256" w:rsidRPr="00F34256" w14:paraId="3623511D" w14:textId="77777777" w:rsidTr="00F8377A">
        <w:tc>
          <w:tcPr>
            <w:tcW w:w="2265" w:type="dxa"/>
            <w:tcBorders>
              <w:top w:val="nil"/>
            </w:tcBorders>
            <w:vAlign w:val="center"/>
          </w:tcPr>
          <w:p w14:paraId="3935E7E9" w14:textId="77777777" w:rsidR="00F34256" w:rsidRPr="00F34256" w:rsidRDefault="00F34256" w:rsidP="00F8377A">
            <w:pPr>
              <w:spacing w:line="360" w:lineRule="auto"/>
              <w:jc w:val="center"/>
              <w:rPr>
                <w:rFonts w:ascii="Calibri" w:hAnsi="Calibri" w:cs="Calibri"/>
                <w:i/>
              </w:rPr>
            </w:pPr>
            <w:r w:rsidRPr="00F34256">
              <w:rPr>
                <w:rFonts w:ascii="Calibri" w:hAnsi="Calibri" w:cs="Calibri"/>
                <w:i/>
              </w:rPr>
              <w:t xml:space="preserve">Aspergillus </w:t>
            </w:r>
            <w:proofErr w:type="spellStart"/>
            <w:r w:rsidRPr="00F34256">
              <w:rPr>
                <w:rFonts w:ascii="Calibri" w:hAnsi="Calibri" w:cs="Calibri"/>
                <w:i/>
              </w:rPr>
              <w:t>niger</w:t>
            </w:r>
            <w:proofErr w:type="spellEnd"/>
          </w:p>
        </w:tc>
        <w:tc>
          <w:tcPr>
            <w:tcW w:w="2265" w:type="dxa"/>
            <w:tcBorders>
              <w:top w:val="nil"/>
            </w:tcBorders>
            <w:vAlign w:val="center"/>
          </w:tcPr>
          <w:p w14:paraId="640EAC8F"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21 (S)</w:t>
            </w:r>
          </w:p>
        </w:tc>
        <w:tc>
          <w:tcPr>
            <w:tcW w:w="2266" w:type="dxa"/>
            <w:tcBorders>
              <w:top w:val="nil"/>
            </w:tcBorders>
            <w:vAlign w:val="center"/>
          </w:tcPr>
          <w:p w14:paraId="21FEDEC4"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10 (S)</w:t>
            </w:r>
          </w:p>
        </w:tc>
        <w:tc>
          <w:tcPr>
            <w:tcW w:w="2266" w:type="dxa"/>
            <w:tcBorders>
              <w:top w:val="nil"/>
            </w:tcBorders>
            <w:vAlign w:val="center"/>
          </w:tcPr>
          <w:p w14:paraId="49B4BF7F"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20 (S)</w:t>
            </w:r>
          </w:p>
        </w:tc>
      </w:tr>
      <w:tr w:rsidR="00F34256" w:rsidRPr="00F34256" w14:paraId="0F4CD64D" w14:textId="77777777" w:rsidTr="00F8377A">
        <w:tc>
          <w:tcPr>
            <w:tcW w:w="2265" w:type="dxa"/>
            <w:vAlign w:val="center"/>
          </w:tcPr>
          <w:p w14:paraId="03EBA78C" w14:textId="77777777" w:rsidR="00F34256" w:rsidRPr="00F34256" w:rsidRDefault="00F34256" w:rsidP="00F8377A">
            <w:pPr>
              <w:spacing w:line="360" w:lineRule="auto"/>
              <w:jc w:val="center"/>
              <w:rPr>
                <w:rFonts w:ascii="Calibri" w:hAnsi="Calibri" w:cs="Calibri"/>
                <w:i/>
              </w:rPr>
            </w:pPr>
            <w:r w:rsidRPr="00F34256">
              <w:rPr>
                <w:rFonts w:ascii="Calibri" w:hAnsi="Calibri" w:cs="Calibri"/>
                <w:i/>
              </w:rPr>
              <w:t>Aspergillus flavus</w:t>
            </w:r>
          </w:p>
        </w:tc>
        <w:tc>
          <w:tcPr>
            <w:tcW w:w="2265" w:type="dxa"/>
            <w:vAlign w:val="center"/>
          </w:tcPr>
          <w:p w14:paraId="02874974"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22 (S)</w:t>
            </w:r>
          </w:p>
        </w:tc>
        <w:tc>
          <w:tcPr>
            <w:tcW w:w="2266" w:type="dxa"/>
            <w:vAlign w:val="center"/>
          </w:tcPr>
          <w:p w14:paraId="1B19A555"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23 (S)</w:t>
            </w:r>
          </w:p>
        </w:tc>
        <w:tc>
          <w:tcPr>
            <w:tcW w:w="2266" w:type="dxa"/>
            <w:vAlign w:val="center"/>
          </w:tcPr>
          <w:p w14:paraId="41E87E94" w14:textId="77777777" w:rsidR="00F34256" w:rsidRPr="00F34256" w:rsidRDefault="00F34256" w:rsidP="00F8377A">
            <w:pPr>
              <w:spacing w:line="360" w:lineRule="auto"/>
              <w:jc w:val="center"/>
              <w:rPr>
                <w:rFonts w:ascii="Calibri" w:hAnsi="Calibri" w:cs="Calibri"/>
              </w:rPr>
            </w:pPr>
            <w:r w:rsidRPr="00F34256">
              <w:rPr>
                <w:rFonts w:ascii="Calibri" w:hAnsi="Calibri" w:cs="Calibri"/>
              </w:rPr>
              <w:t>24 (S)</w:t>
            </w:r>
          </w:p>
        </w:tc>
      </w:tr>
    </w:tbl>
    <w:p w14:paraId="11C5F5FB" w14:textId="77777777" w:rsidR="00F34256" w:rsidRPr="00F34256" w:rsidRDefault="00F34256" w:rsidP="00F34256">
      <w:pPr>
        <w:spacing w:after="0" w:line="240" w:lineRule="auto"/>
        <w:rPr>
          <w:rFonts w:ascii="Calibri" w:hAnsi="Calibri" w:cs="Calibri"/>
        </w:rPr>
      </w:pPr>
      <w:r w:rsidRPr="00F34256">
        <w:rPr>
          <w:rFonts w:ascii="Calibri" w:hAnsi="Calibri" w:cs="Calibri"/>
        </w:rPr>
        <w:t xml:space="preserve">Key: CLO = </w:t>
      </w:r>
      <w:proofErr w:type="spellStart"/>
      <w:r w:rsidRPr="00F34256">
        <w:rPr>
          <w:rFonts w:ascii="Calibri" w:hAnsi="Calibri" w:cs="Calibri"/>
        </w:rPr>
        <w:t>Cotrimazole</w:t>
      </w:r>
      <w:proofErr w:type="spellEnd"/>
      <w:r w:rsidRPr="00F34256">
        <w:rPr>
          <w:rFonts w:ascii="Calibri" w:hAnsi="Calibri" w:cs="Calibri"/>
        </w:rPr>
        <w:t>, KET = Ketoconazole, NYS = Nystatin, S = Susceptible</w:t>
      </w:r>
    </w:p>
    <w:p w14:paraId="727A65E3" w14:textId="77777777" w:rsidR="00F34256" w:rsidRPr="00F34256" w:rsidRDefault="00F34256" w:rsidP="00F34256">
      <w:pPr>
        <w:spacing w:after="0" w:line="240" w:lineRule="auto"/>
        <w:rPr>
          <w:rFonts w:ascii="Calibri" w:hAnsi="Calibri" w:cs="Calibri"/>
        </w:rPr>
      </w:pPr>
    </w:p>
    <w:p w14:paraId="5CA3AF26" w14:textId="77777777" w:rsidR="00F34256" w:rsidRPr="00772F3B" w:rsidRDefault="00772F3B" w:rsidP="00772F3B">
      <w:pPr>
        <w:spacing w:after="0" w:line="276" w:lineRule="auto"/>
        <w:jc w:val="both"/>
        <w:rPr>
          <w:rFonts w:ascii="Calibri" w:hAnsi="Calibri" w:cs="Calibri"/>
          <w:sz w:val="24"/>
          <w:szCs w:val="24"/>
        </w:rPr>
      </w:pPr>
      <w:r w:rsidRPr="00772F3B">
        <w:rPr>
          <w:rFonts w:ascii="Calibri" w:hAnsi="Calibri" w:cs="Calibri"/>
          <w:sz w:val="24"/>
          <w:szCs w:val="24"/>
        </w:rPr>
        <w:t xml:space="preserve">Table 4 presents the percentage occurrence of antifungal susceptibility among the fungal isolates recovered from Gwagwalada River. The data indicate that all isolates, including </w:t>
      </w:r>
      <w:r w:rsidRPr="00772F3B">
        <w:rPr>
          <w:rFonts w:ascii="Calibri" w:hAnsi="Calibri" w:cs="Calibri"/>
          <w:i/>
          <w:iCs/>
          <w:sz w:val="24"/>
          <w:szCs w:val="24"/>
        </w:rPr>
        <w:t xml:space="preserve">Fusarium </w:t>
      </w:r>
      <w:proofErr w:type="spellStart"/>
      <w:r w:rsidRPr="00772F3B">
        <w:rPr>
          <w:rFonts w:ascii="Calibri" w:hAnsi="Calibri" w:cs="Calibri"/>
          <w:i/>
          <w:iCs/>
          <w:sz w:val="24"/>
          <w:szCs w:val="24"/>
        </w:rPr>
        <w:t>oxysporum</w:t>
      </w:r>
      <w:proofErr w:type="spellEnd"/>
      <w:r w:rsidRPr="00772F3B">
        <w:rPr>
          <w:rFonts w:ascii="Calibri" w:hAnsi="Calibri" w:cs="Calibri"/>
          <w:sz w:val="24"/>
          <w:szCs w:val="24"/>
        </w:rPr>
        <w:t xml:space="preserve">, </w:t>
      </w:r>
      <w:r w:rsidRPr="00772F3B">
        <w:rPr>
          <w:rFonts w:ascii="Calibri" w:hAnsi="Calibri" w:cs="Calibri"/>
          <w:i/>
          <w:iCs/>
          <w:sz w:val="24"/>
          <w:szCs w:val="24"/>
        </w:rPr>
        <w:t xml:space="preserve">Aspergillus </w:t>
      </w:r>
      <w:proofErr w:type="spellStart"/>
      <w:r w:rsidRPr="00772F3B">
        <w:rPr>
          <w:rFonts w:ascii="Calibri" w:hAnsi="Calibri" w:cs="Calibri"/>
          <w:i/>
          <w:iCs/>
          <w:sz w:val="24"/>
          <w:szCs w:val="24"/>
        </w:rPr>
        <w:t>niger</w:t>
      </w:r>
      <w:proofErr w:type="spellEnd"/>
      <w:r w:rsidRPr="00772F3B">
        <w:rPr>
          <w:rFonts w:ascii="Calibri" w:hAnsi="Calibri" w:cs="Calibri"/>
          <w:sz w:val="24"/>
          <w:szCs w:val="24"/>
        </w:rPr>
        <w:t xml:space="preserve">, and </w:t>
      </w:r>
      <w:r w:rsidRPr="00772F3B">
        <w:rPr>
          <w:rFonts w:ascii="Calibri" w:hAnsi="Calibri" w:cs="Calibri"/>
          <w:i/>
          <w:iCs/>
          <w:sz w:val="24"/>
          <w:szCs w:val="24"/>
        </w:rPr>
        <w:t>Aspergillus flavus</w:t>
      </w:r>
      <w:r w:rsidRPr="00772F3B">
        <w:rPr>
          <w:rFonts w:ascii="Calibri" w:hAnsi="Calibri" w:cs="Calibri"/>
          <w:sz w:val="24"/>
          <w:szCs w:val="24"/>
        </w:rPr>
        <w:t xml:space="preserve">, were 100% susceptible </w:t>
      </w:r>
      <w:r>
        <w:rPr>
          <w:rFonts w:ascii="Calibri" w:hAnsi="Calibri" w:cs="Calibri"/>
          <w:sz w:val="24"/>
          <w:szCs w:val="24"/>
        </w:rPr>
        <w:t xml:space="preserve">to the antifungal agents tested, </w:t>
      </w:r>
      <w:r w:rsidRPr="00772F3B">
        <w:rPr>
          <w:rFonts w:ascii="Calibri" w:hAnsi="Calibri" w:cs="Calibri"/>
          <w:sz w:val="24"/>
          <w:szCs w:val="24"/>
        </w:rPr>
        <w:t>clotrimazole, ketoconazole, and nystatin</w:t>
      </w:r>
      <w:r>
        <w:rPr>
          <w:rFonts w:ascii="Calibri" w:hAnsi="Calibri" w:cs="Calibri"/>
          <w:sz w:val="24"/>
          <w:szCs w:val="24"/>
        </w:rPr>
        <w:t xml:space="preserve">, </w:t>
      </w:r>
      <w:r w:rsidRPr="00772F3B">
        <w:rPr>
          <w:rFonts w:ascii="Calibri" w:hAnsi="Calibri" w:cs="Calibri"/>
          <w:sz w:val="24"/>
          <w:szCs w:val="24"/>
        </w:rPr>
        <w:t>demonstrating the consistent efficacy of these drugs against the river</w:t>
      </w:r>
      <w:r w:rsidR="0027119D">
        <w:rPr>
          <w:rFonts w:ascii="Calibri" w:hAnsi="Calibri" w:cs="Calibri"/>
          <w:sz w:val="24"/>
          <w:szCs w:val="24"/>
        </w:rPr>
        <w:t xml:space="preserve"> </w:t>
      </w:r>
      <w:r w:rsidRPr="00772F3B">
        <w:rPr>
          <w:rFonts w:ascii="Calibri" w:hAnsi="Calibri" w:cs="Calibri"/>
          <w:sz w:val="24"/>
          <w:szCs w:val="24"/>
        </w:rPr>
        <w:t>borne fungi.</w:t>
      </w:r>
    </w:p>
    <w:p w14:paraId="0E831E0C" w14:textId="77777777" w:rsidR="00F34256" w:rsidRPr="00F34256" w:rsidRDefault="00F34256" w:rsidP="00F34256">
      <w:pPr>
        <w:spacing w:after="0" w:line="240" w:lineRule="auto"/>
        <w:rPr>
          <w:rFonts w:ascii="Calibri" w:hAnsi="Calibri" w:cs="Calibri"/>
        </w:rPr>
      </w:pPr>
    </w:p>
    <w:p w14:paraId="572472A6" w14:textId="77777777" w:rsidR="00772F3B" w:rsidRDefault="00772F3B" w:rsidP="00F34256">
      <w:pPr>
        <w:spacing w:after="0" w:line="240" w:lineRule="auto"/>
        <w:rPr>
          <w:rFonts w:ascii="Calibri" w:hAnsi="Calibri" w:cs="Calibri"/>
        </w:rPr>
      </w:pPr>
    </w:p>
    <w:p w14:paraId="2C4F1E4D" w14:textId="77777777" w:rsidR="00F34256" w:rsidRPr="00F34256" w:rsidRDefault="00F34256" w:rsidP="00F34256">
      <w:pPr>
        <w:spacing w:after="0" w:line="240" w:lineRule="auto"/>
        <w:rPr>
          <w:rFonts w:ascii="Calibri" w:hAnsi="Calibri" w:cs="Calibri"/>
        </w:rPr>
      </w:pPr>
      <w:r w:rsidRPr="00F34256">
        <w:rPr>
          <w:rFonts w:ascii="Calibri" w:hAnsi="Calibri" w:cs="Calibri"/>
        </w:rPr>
        <w:lastRenderedPageBreak/>
        <w:t xml:space="preserve">Table 4. Percentage occurrence of the antifungal susceptibility tests on isolated </w:t>
      </w:r>
    </w:p>
    <w:tbl>
      <w:tblPr>
        <w:tblStyle w:val="TableGrid"/>
        <w:tblW w:w="912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3240"/>
        <w:gridCol w:w="2610"/>
        <w:gridCol w:w="1735"/>
      </w:tblGrid>
      <w:tr w:rsidR="00F34256" w:rsidRPr="00F34256" w14:paraId="566F9E72" w14:textId="77777777" w:rsidTr="00772F3B">
        <w:trPr>
          <w:trHeight w:val="557"/>
        </w:trPr>
        <w:tc>
          <w:tcPr>
            <w:tcW w:w="1540" w:type="dxa"/>
            <w:tcBorders>
              <w:top w:val="single" w:sz="4" w:space="0" w:color="auto"/>
              <w:bottom w:val="single" w:sz="4" w:space="0" w:color="auto"/>
            </w:tcBorders>
            <w:vAlign w:val="center"/>
          </w:tcPr>
          <w:p w14:paraId="724A3B33"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Antifungal</w:t>
            </w:r>
          </w:p>
        </w:tc>
        <w:tc>
          <w:tcPr>
            <w:tcW w:w="3240" w:type="dxa"/>
            <w:tcBorders>
              <w:top w:val="single" w:sz="4" w:space="0" w:color="auto"/>
              <w:bottom w:val="single" w:sz="4" w:space="0" w:color="auto"/>
            </w:tcBorders>
            <w:vAlign w:val="center"/>
          </w:tcPr>
          <w:p w14:paraId="24CDFB74"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Number of Susceptible Fungal</w:t>
            </w:r>
          </w:p>
        </w:tc>
        <w:tc>
          <w:tcPr>
            <w:tcW w:w="2610" w:type="dxa"/>
            <w:tcBorders>
              <w:top w:val="single" w:sz="4" w:space="0" w:color="auto"/>
              <w:bottom w:val="single" w:sz="4" w:space="0" w:color="auto"/>
            </w:tcBorders>
            <w:vAlign w:val="center"/>
          </w:tcPr>
          <w:p w14:paraId="0D346896"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Total number of Fungi</w:t>
            </w:r>
          </w:p>
        </w:tc>
        <w:tc>
          <w:tcPr>
            <w:tcW w:w="1735" w:type="dxa"/>
            <w:tcBorders>
              <w:top w:val="single" w:sz="4" w:space="0" w:color="auto"/>
              <w:bottom w:val="single" w:sz="4" w:space="0" w:color="auto"/>
            </w:tcBorders>
            <w:vAlign w:val="center"/>
          </w:tcPr>
          <w:p w14:paraId="2E9CF4FF"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Percentage Occurrence (%)</w:t>
            </w:r>
          </w:p>
        </w:tc>
      </w:tr>
      <w:tr w:rsidR="00F34256" w:rsidRPr="00F34256" w14:paraId="6ACACB87" w14:textId="77777777" w:rsidTr="00772F3B">
        <w:trPr>
          <w:trHeight w:val="402"/>
        </w:trPr>
        <w:tc>
          <w:tcPr>
            <w:tcW w:w="1540" w:type="dxa"/>
            <w:tcBorders>
              <w:top w:val="single" w:sz="4" w:space="0" w:color="auto"/>
            </w:tcBorders>
            <w:vAlign w:val="center"/>
          </w:tcPr>
          <w:p w14:paraId="131E6404"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Clotrimazole</w:t>
            </w:r>
          </w:p>
        </w:tc>
        <w:tc>
          <w:tcPr>
            <w:tcW w:w="3240" w:type="dxa"/>
            <w:tcBorders>
              <w:top w:val="single" w:sz="4" w:space="0" w:color="auto"/>
            </w:tcBorders>
            <w:vAlign w:val="center"/>
          </w:tcPr>
          <w:p w14:paraId="0FEFB6D0"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3</w:t>
            </w:r>
          </w:p>
        </w:tc>
        <w:tc>
          <w:tcPr>
            <w:tcW w:w="2610" w:type="dxa"/>
            <w:tcBorders>
              <w:top w:val="single" w:sz="4" w:space="0" w:color="auto"/>
            </w:tcBorders>
            <w:vAlign w:val="center"/>
          </w:tcPr>
          <w:p w14:paraId="7A44F65E"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3</w:t>
            </w:r>
          </w:p>
        </w:tc>
        <w:tc>
          <w:tcPr>
            <w:tcW w:w="1735" w:type="dxa"/>
            <w:tcBorders>
              <w:top w:val="single" w:sz="4" w:space="0" w:color="auto"/>
            </w:tcBorders>
            <w:vAlign w:val="center"/>
          </w:tcPr>
          <w:p w14:paraId="42AC65D1"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100</w:t>
            </w:r>
          </w:p>
        </w:tc>
      </w:tr>
      <w:tr w:rsidR="00F34256" w:rsidRPr="00F34256" w14:paraId="7C5CD60F" w14:textId="77777777" w:rsidTr="00772F3B">
        <w:trPr>
          <w:trHeight w:val="394"/>
        </w:trPr>
        <w:tc>
          <w:tcPr>
            <w:tcW w:w="1540" w:type="dxa"/>
            <w:vAlign w:val="center"/>
          </w:tcPr>
          <w:p w14:paraId="00EEFAA0"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Ketoconazole</w:t>
            </w:r>
          </w:p>
        </w:tc>
        <w:tc>
          <w:tcPr>
            <w:tcW w:w="3240" w:type="dxa"/>
            <w:vAlign w:val="center"/>
          </w:tcPr>
          <w:p w14:paraId="6B1173E9"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3</w:t>
            </w:r>
          </w:p>
        </w:tc>
        <w:tc>
          <w:tcPr>
            <w:tcW w:w="2610" w:type="dxa"/>
            <w:vAlign w:val="center"/>
          </w:tcPr>
          <w:p w14:paraId="17989CCC"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3</w:t>
            </w:r>
          </w:p>
        </w:tc>
        <w:tc>
          <w:tcPr>
            <w:tcW w:w="1735" w:type="dxa"/>
            <w:vAlign w:val="center"/>
          </w:tcPr>
          <w:p w14:paraId="54C3F362"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100</w:t>
            </w:r>
          </w:p>
        </w:tc>
      </w:tr>
      <w:tr w:rsidR="00F34256" w:rsidRPr="00F34256" w14:paraId="3F6BD3CE" w14:textId="77777777" w:rsidTr="00772F3B">
        <w:trPr>
          <w:trHeight w:val="394"/>
        </w:trPr>
        <w:tc>
          <w:tcPr>
            <w:tcW w:w="1540" w:type="dxa"/>
            <w:tcBorders>
              <w:bottom w:val="single" w:sz="4" w:space="0" w:color="auto"/>
            </w:tcBorders>
            <w:vAlign w:val="center"/>
          </w:tcPr>
          <w:p w14:paraId="108CE707"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Nystatin</w:t>
            </w:r>
          </w:p>
        </w:tc>
        <w:tc>
          <w:tcPr>
            <w:tcW w:w="3240" w:type="dxa"/>
            <w:tcBorders>
              <w:bottom w:val="single" w:sz="4" w:space="0" w:color="auto"/>
            </w:tcBorders>
            <w:vAlign w:val="center"/>
          </w:tcPr>
          <w:p w14:paraId="0887A87A"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3</w:t>
            </w:r>
          </w:p>
        </w:tc>
        <w:tc>
          <w:tcPr>
            <w:tcW w:w="2610" w:type="dxa"/>
            <w:tcBorders>
              <w:bottom w:val="single" w:sz="4" w:space="0" w:color="auto"/>
            </w:tcBorders>
            <w:vAlign w:val="center"/>
          </w:tcPr>
          <w:p w14:paraId="5756F4E2"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3</w:t>
            </w:r>
          </w:p>
        </w:tc>
        <w:tc>
          <w:tcPr>
            <w:tcW w:w="1735" w:type="dxa"/>
            <w:tcBorders>
              <w:bottom w:val="single" w:sz="4" w:space="0" w:color="auto"/>
            </w:tcBorders>
            <w:vAlign w:val="center"/>
          </w:tcPr>
          <w:p w14:paraId="3DFD7484" w14:textId="77777777" w:rsidR="00F34256" w:rsidRPr="00F34256" w:rsidRDefault="00F34256" w:rsidP="00772F3B">
            <w:pPr>
              <w:spacing w:line="240" w:lineRule="auto"/>
              <w:jc w:val="center"/>
              <w:rPr>
                <w:rFonts w:ascii="Calibri" w:hAnsi="Calibri" w:cs="Calibri"/>
              </w:rPr>
            </w:pPr>
            <w:r w:rsidRPr="00F34256">
              <w:rPr>
                <w:rFonts w:ascii="Calibri" w:hAnsi="Calibri" w:cs="Calibri"/>
              </w:rPr>
              <w:t>100</w:t>
            </w:r>
          </w:p>
        </w:tc>
      </w:tr>
    </w:tbl>
    <w:p w14:paraId="26A9563C" w14:textId="77777777" w:rsidR="00F34256" w:rsidRPr="00F34256" w:rsidRDefault="00F34256" w:rsidP="00F34256">
      <w:pPr>
        <w:spacing w:after="0" w:line="240" w:lineRule="auto"/>
        <w:rPr>
          <w:rFonts w:ascii="Calibri" w:hAnsi="Calibri" w:cs="Calibri"/>
        </w:rPr>
      </w:pPr>
    </w:p>
    <w:p w14:paraId="495E11D0" w14:textId="77777777" w:rsidR="00F34256" w:rsidRPr="003E325E" w:rsidRDefault="003E325E" w:rsidP="003E325E">
      <w:pPr>
        <w:spacing w:after="0" w:line="276" w:lineRule="auto"/>
        <w:jc w:val="both"/>
        <w:rPr>
          <w:rFonts w:ascii="Calibri" w:hAnsi="Calibri" w:cs="Calibri"/>
          <w:sz w:val="24"/>
          <w:szCs w:val="24"/>
        </w:rPr>
      </w:pPr>
      <w:r w:rsidRPr="003E325E">
        <w:rPr>
          <w:rFonts w:ascii="Calibri" w:hAnsi="Calibri" w:cs="Calibri"/>
          <w:sz w:val="24"/>
          <w:szCs w:val="24"/>
        </w:rPr>
        <w:t xml:space="preserve">Table 5 presents the molecular characterization of the fungal isolates from Gwagwalada River. BLAST analysis identified the isolates as </w:t>
      </w:r>
      <w:r w:rsidRPr="003E325E">
        <w:rPr>
          <w:rStyle w:val="Emphasis"/>
          <w:rFonts w:ascii="Calibri" w:hAnsi="Calibri" w:cs="Calibri"/>
          <w:sz w:val="24"/>
          <w:szCs w:val="24"/>
        </w:rPr>
        <w:t xml:space="preserve">Aspergillus </w:t>
      </w:r>
      <w:proofErr w:type="spellStart"/>
      <w:r w:rsidRPr="003E325E">
        <w:rPr>
          <w:rStyle w:val="Emphasis"/>
          <w:rFonts w:ascii="Calibri" w:hAnsi="Calibri" w:cs="Calibri"/>
          <w:sz w:val="24"/>
          <w:szCs w:val="24"/>
        </w:rPr>
        <w:t>niger</w:t>
      </w:r>
      <w:proofErr w:type="spellEnd"/>
      <w:r w:rsidRPr="003E325E">
        <w:rPr>
          <w:rFonts w:ascii="Calibri" w:hAnsi="Calibri" w:cs="Calibri"/>
          <w:sz w:val="24"/>
          <w:szCs w:val="24"/>
        </w:rPr>
        <w:t xml:space="preserve"> (JX110160.1), </w:t>
      </w:r>
      <w:r w:rsidRPr="003E325E">
        <w:rPr>
          <w:rStyle w:val="Emphasis"/>
          <w:rFonts w:ascii="Calibri" w:hAnsi="Calibri" w:cs="Calibri"/>
          <w:sz w:val="24"/>
          <w:szCs w:val="24"/>
        </w:rPr>
        <w:t>Aspergillus flavus</w:t>
      </w:r>
      <w:r w:rsidRPr="003E325E">
        <w:rPr>
          <w:rFonts w:ascii="Calibri" w:hAnsi="Calibri" w:cs="Calibri"/>
          <w:sz w:val="24"/>
          <w:szCs w:val="24"/>
        </w:rPr>
        <w:t xml:space="preserve"> (FJ654479.1), and </w:t>
      </w:r>
      <w:r w:rsidRPr="003E325E">
        <w:rPr>
          <w:rStyle w:val="Emphasis"/>
          <w:rFonts w:ascii="Calibri" w:hAnsi="Calibri" w:cs="Calibri"/>
          <w:sz w:val="24"/>
          <w:szCs w:val="24"/>
        </w:rPr>
        <w:t xml:space="preserve">Fusarium </w:t>
      </w:r>
      <w:proofErr w:type="spellStart"/>
      <w:r w:rsidRPr="003E325E">
        <w:rPr>
          <w:rStyle w:val="Emphasis"/>
          <w:rFonts w:ascii="Calibri" w:hAnsi="Calibri" w:cs="Calibri"/>
          <w:sz w:val="24"/>
          <w:szCs w:val="24"/>
        </w:rPr>
        <w:t>oxysporum</w:t>
      </w:r>
      <w:proofErr w:type="spellEnd"/>
      <w:r w:rsidRPr="003E325E">
        <w:rPr>
          <w:rFonts w:ascii="Calibri" w:hAnsi="Calibri" w:cs="Calibri"/>
          <w:sz w:val="24"/>
          <w:szCs w:val="24"/>
        </w:rPr>
        <w:t xml:space="preserve"> (JX089402.1). Agarose gel electrophoresis, performed in duplicate, and PCR amplification of genomic DNA are shown in Plate 2, confirming successful molecular identification.</w:t>
      </w:r>
    </w:p>
    <w:p w14:paraId="38DE467C" w14:textId="77777777" w:rsidR="00F34256" w:rsidRPr="00F34256" w:rsidRDefault="00F34256" w:rsidP="00F34256">
      <w:pPr>
        <w:spacing w:after="0" w:line="240" w:lineRule="auto"/>
        <w:rPr>
          <w:rFonts w:ascii="Calibri" w:hAnsi="Calibri" w:cs="Calibri"/>
        </w:rPr>
      </w:pPr>
    </w:p>
    <w:p w14:paraId="4242C86E" w14:textId="77777777" w:rsidR="00F34256" w:rsidRPr="00F34256" w:rsidRDefault="00F34256" w:rsidP="00F34256">
      <w:pPr>
        <w:spacing w:after="0" w:line="240" w:lineRule="auto"/>
        <w:rPr>
          <w:rFonts w:ascii="Calibri" w:hAnsi="Calibri" w:cs="Calibri"/>
        </w:rPr>
      </w:pPr>
      <w:r w:rsidRPr="00F34256">
        <w:rPr>
          <w:rFonts w:ascii="Calibri" w:hAnsi="Calibri" w:cs="Calibri"/>
        </w:rPr>
        <w:t>Table 5. Molecular identities of isolated fungi</w:t>
      </w:r>
    </w:p>
    <w:tbl>
      <w:tblPr>
        <w:tblStyle w:val="TableGrid"/>
        <w:tblW w:w="8922"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2160"/>
        <w:gridCol w:w="1350"/>
        <w:gridCol w:w="1350"/>
        <w:gridCol w:w="960"/>
        <w:gridCol w:w="1275"/>
        <w:gridCol w:w="1275"/>
      </w:tblGrid>
      <w:tr w:rsidR="00F34256" w:rsidRPr="00F34256" w14:paraId="51512861" w14:textId="77777777" w:rsidTr="009D4ADF">
        <w:tc>
          <w:tcPr>
            <w:tcW w:w="552" w:type="dxa"/>
            <w:tcBorders>
              <w:top w:val="single" w:sz="4" w:space="0" w:color="auto"/>
              <w:bottom w:val="single" w:sz="4" w:space="0" w:color="auto"/>
            </w:tcBorders>
            <w:vAlign w:val="center"/>
          </w:tcPr>
          <w:p w14:paraId="17100572"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S/N</w:t>
            </w:r>
          </w:p>
        </w:tc>
        <w:tc>
          <w:tcPr>
            <w:tcW w:w="2160" w:type="dxa"/>
            <w:tcBorders>
              <w:top w:val="single" w:sz="4" w:space="0" w:color="auto"/>
              <w:bottom w:val="single" w:sz="4" w:space="0" w:color="auto"/>
            </w:tcBorders>
            <w:vAlign w:val="center"/>
          </w:tcPr>
          <w:p w14:paraId="5CADA5F4"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Subject</w:t>
            </w:r>
          </w:p>
        </w:tc>
        <w:tc>
          <w:tcPr>
            <w:tcW w:w="1350" w:type="dxa"/>
            <w:tcBorders>
              <w:top w:val="single" w:sz="4" w:space="0" w:color="auto"/>
              <w:bottom w:val="single" w:sz="4" w:space="0" w:color="auto"/>
            </w:tcBorders>
            <w:vAlign w:val="center"/>
          </w:tcPr>
          <w:p w14:paraId="0CC45CAF"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Query ID (%)</w:t>
            </w:r>
          </w:p>
        </w:tc>
        <w:tc>
          <w:tcPr>
            <w:tcW w:w="1350" w:type="dxa"/>
            <w:tcBorders>
              <w:top w:val="single" w:sz="4" w:space="0" w:color="auto"/>
              <w:bottom w:val="single" w:sz="4" w:space="0" w:color="auto"/>
            </w:tcBorders>
            <w:vAlign w:val="center"/>
          </w:tcPr>
          <w:p w14:paraId="64244D49"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Query Cover (%)</w:t>
            </w:r>
          </w:p>
        </w:tc>
        <w:tc>
          <w:tcPr>
            <w:tcW w:w="960" w:type="dxa"/>
            <w:tcBorders>
              <w:top w:val="single" w:sz="4" w:space="0" w:color="auto"/>
              <w:bottom w:val="single" w:sz="4" w:space="0" w:color="auto"/>
            </w:tcBorders>
            <w:vAlign w:val="center"/>
          </w:tcPr>
          <w:p w14:paraId="5FB5CDB2"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E-value</w:t>
            </w:r>
          </w:p>
        </w:tc>
        <w:tc>
          <w:tcPr>
            <w:tcW w:w="1275" w:type="dxa"/>
            <w:tcBorders>
              <w:top w:val="single" w:sz="4" w:space="0" w:color="auto"/>
              <w:bottom w:val="single" w:sz="4" w:space="0" w:color="auto"/>
            </w:tcBorders>
            <w:vAlign w:val="center"/>
          </w:tcPr>
          <w:p w14:paraId="5CA1203F"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Query Length</w:t>
            </w:r>
          </w:p>
        </w:tc>
        <w:tc>
          <w:tcPr>
            <w:tcW w:w="1275" w:type="dxa"/>
            <w:tcBorders>
              <w:top w:val="single" w:sz="4" w:space="0" w:color="auto"/>
              <w:bottom w:val="single" w:sz="4" w:space="0" w:color="auto"/>
            </w:tcBorders>
            <w:vAlign w:val="center"/>
          </w:tcPr>
          <w:p w14:paraId="2C5EF105"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Accession No.</w:t>
            </w:r>
          </w:p>
        </w:tc>
      </w:tr>
      <w:tr w:rsidR="009D4ADF" w:rsidRPr="00F34256" w14:paraId="0372796F" w14:textId="77777777" w:rsidTr="009D4ADF">
        <w:tc>
          <w:tcPr>
            <w:tcW w:w="552" w:type="dxa"/>
            <w:tcBorders>
              <w:top w:val="single" w:sz="4" w:space="0" w:color="auto"/>
            </w:tcBorders>
            <w:vAlign w:val="center"/>
          </w:tcPr>
          <w:p w14:paraId="3186E9BB"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1</w:t>
            </w:r>
          </w:p>
        </w:tc>
        <w:tc>
          <w:tcPr>
            <w:tcW w:w="2160" w:type="dxa"/>
            <w:tcBorders>
              <w:top w:val="single" w:sz="4" w:space="0" w:color="auto"/>
            </w:tcBorders>
            <w:vAlign w:val="center"/>
          </w:tcPr>
          <w:p w14:paraId="1FC17245" w14:textId="77777777" w:rsidR="00F34256" w:rsidRPr="00F34256" w:rsidRDefault="00F34256" w:rsidP="009D4ADF">
            <w:pPr>
              <w:spacing w:line="240" w:lineRule="auto"/>
              <w:jc w:val="center"/>
              <w:rPr>
                <w:rFonts w:ascii="Calibri" w:hAnsi="Calibri" w:cs="Calibri"/>
                <w:i/>
              </w:rPr>
            </w:pPr>
            <w:r w:rsidRPr="00F34256">
              <w:rPr>
                <w:rFonts w:ascii="Calibri" w:hAnsi="Calibri" w:cs="Calibri"/>
                <w:i/>
              </w:rPr>
              <w:t xml:space="preserve">Aspergillus </w:t>
            </w:r>
            <w:proofErr w:type="spellStart"/>
            <w:r w:rsidRPr="00F34256">
              <w:rPr>
                <w:rFonts w:ascii="Calibri" w:hAnsi="Calibri" w:cs="Calibri"/>
                <w:i/>
              </w:rPr>
              <w:t>niger</w:t>
            </w:r>
            <w:proofErr w:type="spellEnd"/>
          </w:p>
        </w:tc>
        <w:tc>
          <w:tcPr>
            <w:tcW w:w="1350" w:type="dxa"/>
            <w:tcBorders>
              <w:top w:val="single" w:sz="4" w:space="0" w:color="auto"/>
            </w:tcBorders>
            <w:vAlign w:val="center"/>
          </w:tcPr>
          <w:p w14:paraId="5B49718B"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99.46</w:t>
            </w:r>
          </w:p>
        </w:tc>
        <w:tc>
          <w:tcPr>
            <w:tcW w:w="1350" w:type="dxa"/>
            <w:tcBorders>
              <w:top w:val="single" w:sz="4" w:space="0" w:color="auto"/>
            </w:tcBorders>
            <w:vAlign w:val="center"/>
          </w:tcPr>
          <w:p w14:paraId="2B95CF58"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99</w:t>
            </w:r>
          </w:p>
        </w:tc>
        <w:tc>
          <w:tcPr>
            <w:tcW w:w="960" w:type="dxa"/>
            <w:tcBorders>
              <w:top w:val="single" w:sz="4" w:space="0" w:color="auto"/>
            </w:tcBorders>
            <w:vAlign w:val="center"/>
          </w:tcPr>
          <w:p w14:paraId="2D402163"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0.0</w:t>
            </w:r>
          </w:p>
        </w:tc>
        <w:tc>
          <w:tcPr>
            <w:tcW w:w="1275" w:type="dxa"/>
            <w:tcBorders>
              <w:top w:val="single" w:sz="4" w:space="0" w:color="auto"/>
            </w:tcBorders>
            <w:vAlign w:val="center"/>
          </w:tcPr>
          <w:p w14:paraId="104D9235"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556</w:t>
            </w:r>
          </w:p>
        </w:tc>
        <w:tc>
          <w:tcPr>
            <w:tcW w:w="1275" w:type="dxa"/>
            <w:tcBorders>
              <w:top w:val="single" w:sz="4" w:space="0" w:color="auto"/>
            </w:tcBorders>
            <w:vAlign w:val="center"/>
          </w:tcPr>
          <w:p w14:paraId="0AEEBA6C"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JX110160.1</w:t>
            </w:r>
          </w:p>
        </w:tc>
      </w:tr>
      <w:tr w:rsidR="009D4ADF" w:rsidRPr="00F34256" w14:paraId="47A24839" w14:textId="77777777" w:rsidTr="009D4ADF">
        <w:tc>
          <w:tcPr>
            <w:tcW w:w="552" w:type="dxa"/>
            <w:vAlign w:val="center"/>
          </w:tcPr>
          <w:p w14:paraId="59A953A4"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2</w:t>
            </w:r>
          </w:p>
        </w:tc>
        <w:tc>
          <w:tcPr>
            <w:tcW w:w="2160" w:type="dxa"/>
            <w:vAlign w:val="center"/>
          </w:tcPr>
          <w:p w14:paraId="4FFA9CE2" w14:textId="77777777" w:rsidR="00F34256" w:rsidRPr="00F34256" w:rsidRDefault="00F34256" w:rsidP="009D4ADF">
            <w:pPr>
              <w:spacing w:line="240" w:lineRule="auto"/>
              <w:jc w:val="center"/>
              <w:rPr>
                <w:rFonts w:ascii="Calibri" w:hAnsi="Calibri" w:cs="Calibri"/>
                <w:i/>
              </w:rPr>
            </w:pPr>
            <w:r w:rsidRPr="00F34256">
              <w:rPr>
                <w:rFonts w:ascii="Calibri" w:hAnsi="Calibri" w:cs="Calibri"/>
                <w:i/>
              </w:rPr>
              <w:t>Aspergillus flavus</w:t>
            </w:r>
          </w:p>
        </w:tc>
        <w:tc>
          <w:tcPr>
            <w:tcW w:w="1350" w:type="dxa"/>
            <w:vAlign w:val="center"/>
          </w:tcPr>
          <w:p w14:paraId="5C616FED"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94.27</w:t>
            </w:r>
          </w:p>
        </w:tc>
        <w:tc>
          <w:tcPr>
            <w:tcW w:w="1350" w:type="dxa"/>
            <w:vAlign w:val="center"/>
          </w:tcPr>
          <w:p w14:paraId="210FD188"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100</w:t>
            </w:r>
          </w:p>
        </w:tc>
        <w:tc>
          <w:tcPr>
            <w:tcW w:w="960" w:type="dxa"/>
            <w:vAlign w:val="center"/>
          </w:tcPr>
          <w:p w14:paraId="76E62099"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0.0</w:t>
            </w:r>
          </w:p>
        </w:tc>
        <w:tc>
          <w:tcPr>
            <w:tcW w:w="1275" w:type="dxa"/>
            <w:vAlign w:val="center"/>
          </w:tcPr>
          <w:p w14:paraId="757D97BF"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437</w:t>
            </w:r>
          </w:p>
        </w:tc>
        <w:tc>
          <w:tcPr>
            <w:tcW w:w="1275" w:type="dxa"/>
            <w:vAlign w:val="center"/>
          </w:tcPr>
          <w:p w14:paraId="6E33787D"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FJ654479.1</w:t>
            </w:r>
          </w:p>
        </w:tc>
      </w:tr>
      <w:tr w:rsidR="009D4ADF" w:rsidRPr="00F34256" w14:paraId="487077B5" w14:textId="77777777" w:rsidTr="009D4ADF">
        <w:tc>
          <w:tcPr>
            <w:tcW w:w="552" w:type="dxa"/>
            <w:tcBorders>
              <w:bottom w:val="single" w:sz="4" w:space="0" w:color="auto"/>
            </w:tcBorders>
            <w:vAlign w:val="center"/>
          </w:tcPr>
          <w:p w14:paraId="37B99371"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3</w:t>
            </w:r>
          </w:p>
        </w:tc>
        <w:tc>
          <w:tcPr>
            <w:tcW w:w="2160" w:type="dxa"/>
            <w:tcBorders>
              <w:bottom w:val="single" w:sz="4" w:space="0" w:color="auto"/>
            </w:tcBorders>
            <w:vAlign w:val="center"/>
          </w:tcPr>
          <w:p w14:paraId="655A1CA2" w14:textId="77777777" w:rsidR="00F34256" w:rsidRPr="00F34256" w:rsidRDefault="00F34256" w:rsidP="009D4ADF">
            <w:pPr>
              <w:spacing w:line="240" w:lineRule="auto"/>
              <w:jc w:val="center"/>
              <w:rPr>
                <w:rFonts w:ascii="Calibri" w:hAnsi="Calibri" w:cs="Calibri"/>
                <w:i/>
              </w:rPr>
            </w:pPr>
            <w:r w:rsidRPr="00F34256">
              <w:rPr>
                <w:rFonts w:ascii="Calibri" w:hAnsi="Calibri" w:cs="Calibri"/>
                <w:i/>
              </w:rPr>
              <w:t xml:space="preserve">Fusarium </w:t>
            </w:r>
            <w:proofErr w:type="spellStart"/>
            <w:r w:rsidRPr="00F34256">
              <w:rPr>
                <w:rFonts w:ascii="Calibri" w:hAnsi="Calibri" w:cs="Calibri"/>
                <w:i/>
              </w:rPr>
              <w:t>oxysporum</w:t>
            </w:r>
            <w:proofErr w:type="spellEnd"/>
          </w:p>
        </w:tc>
        <w:tc>
          <w:tcPr>
            <w:tcW w:w="1350" w:type="dxa"/>
            <w:tcBorders>
              <w:bottom w:val="single" w:sz="4" w:space="0" w:color="auto"/>
            </w:tcBorders>
            <w:vAlign w:val="center"/>
          </w:tcPr>
          <w:p w14:paraId="4D0950BC"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99.72</w:t>
            </w:r>
          </w:p>
        </w:tc>
        <w:tc>
          <w:tcPr>
            <w:tcW w:w="1350" w:type="dxa"/>
            <w:tcBorders>
              <w:bottom w:val="single" w:sz="4" w:space="0" w:color="auto"/>
            </w:tcBorders>
            <w:vAlign w:val="center"/>
          </w:tcPr>
          <w:p w14:paraId="796B2CFC"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100</w:t>
            </w:r>
          </w:p>
        </w:tc>
        <w:tc>
          <w:tcPr>
            <w:tcW w:w="960" w:type="dxa"/>
            <w:tcBorders>
              <w:bottom w:val="single" w:sz="4" w:space="0" w:color="auto"/>
            </w:tcBorders>
            <w:vAlign w:val="center"/>
          </w:tcPr>
          <w:p w14:paraId="1FA9C6F2"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0.0</w:t>
            </w:r>
          </w:p>
        </w:tc>
        <w:tc>
          <w:tcPr>
            <w:tcW w:w="1275" w:type="dxa"/>
            <w:tcBorders>
              <w:bottom w:val="single" w:sz="4" w:space="0" w:color="auto"/>
            </w:tcBorders>
            <w:vAlign w:val="center"/>
          </w:tcPr>
          <w:p w14:paraId="4F41EE15"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357</w:t>
            </w:r>
          </w:p>
        </w:tc>
        <w:tc>
          <w:tcPr>
            <w:tcW w:w="1275" w:type="dxa"/>
            <w:tcBorders>
              <w:bottom w:val="single" w:sz="4" w:space="0" w:color="auto"/>
            </w:tcBorders>
            <w:vAlign w:val="center"/>
          </w:tcPr>
          <w:p w14:paraId="2F577000" w14:textId="77777777" w:rsidR="00F34256" w:rsidRPr="00F34256" w:rsidRDefault="00F34256" w:rsidP="009D4ADF">
            <w:pPr>
              <w:spacing w:line="240" w:lineRule="auto"/>
              <w:jc w:val="center"/>
              <w:rPr>
                <w:rFonts w:ascii="Calibri" w:hAnsi="Calibri" w:cs="Calibri"/>
              </w:rPr>
            </w:pPr>
            <w:r w:rsidRPr="00F34256">
              <w:rPr>
                <w:rFonts w:ascii="Calibri" w:hAnsi="Calibri" w:cs="Calibri"/>
              </w:rPr>
              <w:t>JX089402.1</w:t>
            </w:r>
          </w:p>
        </w:tc>
      </w:tr>
    </w:tbl>
    <w:p w14:paraId="1DAD2E14" w14:textId="77777777" w:rsidR="00F34256" w:rsidRPr="00F34256" w:rsidRDefault="00F34256" w:rsidP="00F34256">
      <w:pPr>
        <w:spacing w:after="0" w:line="240" w:lineRule="auto"/>
        <w:rPr>
          <w:rFonts w:ascii="Calibri" w:hAnsi="Calibri" w:cs="Calibri"/>
        </w:rPr>
      </w:pPr>
    </w:p>
    <w:p w14:paraId="17CD6825" w14:textId="77777777" w:rsidR="00B5514B" w:rsidRDefault="00B5514B" w:rsidP="00F34256">
      <w:pPr>
        <w:spacing w:after="0" w:line="240" w:lineRule="auto"/>
        <w:rPr>
          <w:rFonts w:ascii="Calibri" w:hAnsi="Calibri" w:cs="Calibri"/>
        </w:rPr>
      </w:pPr>
      <w:r>
        <w:rPr>
          <w:rFonts w:ascii="Calibri" w:hAnsi="Calibri" w:cs="Calibri"/>
        </w:rPr>
        <w:t xml:space="preserve">   </w:t>
      </w:r>
    </w:p>
    <w:p w14:paraId="3E2113BB" w14:textId="77777777" w:rsidR="00B5514B" w:rsidRDefault="00B5514B" w:rsidP="00F34256">
      <w:pPr>
        <w:spacing w:after="0" w:line="240" w:lineRule="auto"/>
        <w:rPr>
          <w:rFonts w:ascii="Calibri" w:hAnsi="Calibri" w:cs="Calibri"/>
        </w:rPr>
      </w:pPr>
    </w:p>
    <w:p w14:paraId="15FEC0EE" w14:textId="77777777" w:rsidR="00F34256" w:rsidRDefault="008C0FAC" w:rsidP="00F34256">
      <w:pPr>
        <w:spacing w:after="0" w:line="240" w:lineRule="auto"/>
        <w:rPr>
          <w:rFonts w:ascii="Calibri" w:hAnsi="Calibri" w:cs="Calibri"/>
        </w:rPr>
      </w:pPr>
      <w:r>
        <w:rPr>
          <w:rFonts w:ascii="Calibri" w:hAnsi="Calibri" w:cs="Calibri"/>
          <w:noProof/>
        </w:rPr>
        <w:drawing>
          <wp:inline distT="0" distB="0" distL="0" distR="0" wp14:anchorId="27A37BD5" wp14:editId="45D25A5E">
            <wp:extent cx="5727700" cy="3635375"/>
            <wp:effectExtent l="0" t="0" r="635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635375"/>
                    </a:xfrm>
                    <a:prstGeom prst="rect">
                      <a:avLst/>
                    </a:prstGeom>
                    <a:noFill/>
                    <a:ln>
                      <a:noFill/>
                    </a:ln>
                  </pic:spPr>
                </pic:pic>
              </a:graphicData>
            </a:graphic>
          </wp:inline>
        </w:drawing>
      </w:r>
    </w:p>
    <w:p w14:paraId="693C35B0" w14:textId="77777777" w:rsidR="008C0FAC" w:rsidRDefault="008C0FAC" w:rsidP="00F34256">
      <w:pPr>
        <w:spacing w:after="0" w:line="240" w:lineRule="auto"/>
        <w:rPr>
          <w:rFonts w:ascii="Calibri" w:hAnsi="Calibri" w:cs="Calibri"/>
        </w:rPr>
      </w:pPr>
      <w:r w:rsidRPr="008C0FAC">
        <w:rPr>
          <w:rFonts w:ascii="Calibri" w:hAnsi="Calibri" w:cs="Calibri"/>
        </w:rPr>
        <w:t xml:space="preserve">Plate 2: Agarose gel electrophoresis, A = Genomic DNA </w:t>
      </w:r>
      <w:r>
        <w:rPr>
          <w:rFonts w:ascii="Calibri" w:hAnsi="Calibri" w:cs="Calibri"/>
        </w:rPr>
        <w:t>(gDNA)</w:t>
      </w:r>
      <w:r w:rsidRPr="008C0FAC">
        <w:rPr>
          <w:rFonts w:ascii="Calibri" w:hAnsi="Calibri" w:cs="Calibri"/>
        </w:rPr>
        <w:t>, B = DNA Amplification (PCR)</w:t>
      </w:r>
    </w:p>
    <w:p w14:paraId="45E488DD" w14:textId="77777777" w:rsidR="008C0FAC" w:rsidRDefault="008C0FAC" w:rsidP="00F34256">
      <w:pPr>
        <w:spacing w:after="0" w:line="240" w:lineRule="auto"/>
        <w:rPr>
          <w:rFonts w:ascii="Calibri" w:hAnsi="Calibri" w:cs="Calibri"/>
        </w:rPr>
      </w:pPr>
    </w:p>
    <w:p w14:paraId="6B635DA6" w14:textId="77777777" w:rsidR="008C0FAC" w:rsidRPr="008C0FAC" w:rsidRDefault="008C0FAC" w:rsidP="00F34256">
      <w:pPr>
        <w:spacing w:after="0" w:line="240" w:lineRule="auto"/>
        <w:rPr>
          <w:rFonts w:ascii="Calibri" w:hAnsi="Calibri" w:cs="Calibri"/>
        </w:rPr>
      </w:pPr>
    </w:p>
    <w:p w14:paraId="5C93BDD3" w14:textId="3656DFEC" w:rsidR="00050B3D" w:rsidRPr="00050B3D" w:rsidRDefault="00050B3D" w:rsidP="00050B3D">
      <w:pPr>
        <w:spacing w:after="0" w:line="240" w:lineRule="auto"/>
        <w:rPr>
          <w:rFonts w:ascii="Calibri" w:hAnsi="Calibri" w:cs="Calibri"/>
          <w:highlight w:val="yellow"/>
        </w:rPr>
      </w:pPr>
      <w:r w:rsidRPr="00050B3D">
        <w:rPr>
          <w:rFonts w:ascii="Calibri" w:hAnsi="Calibri" w:cs="Calibri"/>
          <w:highlight w:val="yellow"/>
        </w:rPr>
        <w:t xml:space="preserve">Table 6. Physicochemical Parameters of Gwagwalada River Exposed to </w:t>
      </w:r>
      <w:proofErr w:type="spellStart"/>
      <w:r w:rsidRPr="00050B3D">
        <w:rPr>
          <w:rFonts w:ascii="Calibri" w:hAnsi="Calibri" w:cs="Calibri"/>
          <w:highlight w:val="yellow"/>
        </w:rPr>
        <w:t>Kutunku</w:t>
      </w:r>
      <w:proofErr w:type="spellEnd"/>
      <w:r w:rsidRPr="00050B3D">
        <w:rPr>
          <w:rFonts w:ascii="Calibri" w:hAnsi="Calibri" w:cs="Calibri"/>
          <w:highlight w:val="yellow"/>
        </w:rPr>
        <w:t xml:space="preserve"> abattoir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1663"/>
        <w:gridCol w:w="1778"/>
        <w:gridCol w:w="1749"/>
        <w:gridCol w:w="1784"/>
      </w:tblGrid>
      <w:tr w:rsidR="00050B3D" w:rsidRPr="00050B3D" w14:paraId="5AAF6733" w14:textId="77777777" w:rsidTr="00050B3D">
        <w:tc>
          <w:tcPr>
            <w:tcW w:w="2127" w:type="dxa"/>
            <w:tcBorders>
              <w:top w:val="single" w:sz="4" w:space="0" w:color="auto"/>
              <w:bottom w:val="single" w:sz="4" w:space="0" w:color="auto"/>
            </w:tcBorders>
            <w:vAlign w:val="center"/>
          </w:tcPr>
          <w:p w14:paraId="2AE61F3F" w14:textId="47CA4D65"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Parameter</w:t>
            </w:r>
          </w:p>
        </w:tc>
        <w:tc>
          <w:tcPr>
            <w:tcW w:w="1701" w:type="dxa"/>
            <w:tcBorders>
              <w:top w:val="single" w:sz="4" w:space="0" w:color="auto"/>
              <w:bottom w:val="single" w:sz="4" w:space="0" w:color="auto"/>
            </w:tcBorders>
            <w:vAlign w:val="center"/>
          </w:tcPr>
          <w:p w14:paraId="59497453"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Point A</w:t>
            </w:r>
          </w:p>
        </w:tc>
        <w:tc>
          <w:tcPr>
            <w:tcW w:w="1842" w:type="dxa"/>
            <w:tcBorders>
              <w:top w:val="single" w:sz="4" w:space="0" w:color="auto"/>
              <w:bottom w:val="single" w:sz="4" w:space="0" w:color="auto"/>
            </w:tcBorders>
            <w:vAlign w:val="center"/>
          </w:tcPr>
          <w:p w14:paraId="72007615"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Point B</w:t>
            </w:r>
          </w:p>
        </w:tc>
        <w:tc>
          <w:tcPr>
            <w:tcW w:w="1810" w:type="dxa"/>
            <w:tcBorders>
              <w:top w:val="single" w:sz="4" w:space="0" w:color="auto"/>
              <w:bottom w:val="single" w:sz="4" w:space="0" w:color="auto"/>
            </w:tcBorders>
            <w:vAlign w:val="center"/>
          </w:tcPr>
          <w:p w14:paraId="16BEECFB"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Point C</w:t>
            </w:r>
          </w:p>
        </w:tc>
        <w:tc>
          <w:tcPr>
            <w:tcW w:w="1870" w:type="dxa"/>
            <w:tcBorders>
              <w:top w:val="single" w:sz="4" w:space="0" w:color="auto"/>
              <w:bottom w:val="single" w:sz="4" w:space="0" w:color="auto"/>
            </w:tcBorders>
            <w:vAlign w:val="center"/>
          </w:tcPr>
          <w:p w14:paraId="35961BA5"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WHO Standard</w:t>
            </w:r>
          </w:p>
        </w:tc>
      </w:tr>
      <w:tr w:rsidR="00050B3D" w:rsidRPr="00050B3D" w14:paraId="16E676E5" w14:textId="77777777" w:rsidTr="00050B3D">
        <w:tc>
          <w:tcPr>
            <w:tcW w:w="2127" w:type="dxa"/>
            <w:tcBorders>
              <w:top w:val="single" w:sz="4" w:space="0" w:color="auto"/>
            </w:tcBorders>
            <w:vAlign w:val="center"/>
          </w:tcPr>
          <w:p w14:paraId="1616FCB3"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lastRenderedPageBreak/>
              <w:t>Temperature (</w:t>
            </w:r>
            <w:proofErr w:type="spellStart"/>
            <w:r w:rsidRPr="00050B3D">
              <w:rPr>
                <w:rFonts w:ascii="Calibri" w:hAnsi="Calibri" w:cs="Calibri"/>
                <w:sz w:val="22"/>
                <w:szCs w:val="22"/>
                <w:highlight w:val="yellow"/>
                <w:vertAlign w:val="superscript"/>
              </w:rPr>
              <w:t>o</w:t>
            </w:r>
            <w:r w:rsidRPr="00050B3D">
              <w:rPr>
                <w:rFonts w:ascii="Calibri" w:hAnsi="Calibri" w:cs="Calibri"/>
                <w:sz w:val="22"/>
                <w:szCs w:val="22"/>
                <w:highlight w:val="yellow"/>
              </w:rPr>
              <w:t>C</w:t>
            </w:r>
            <w:proofErr w:type="spellEnd"/>
            <w:r w:rsidRPr="00050B3D">
              <w:rPr>
                <w:rFonts w:ascii="Calibri" w:hAnsi="Calibri" w:cs="Calibri"/>
                <w:sz w:val="22"/>
                <w:szCs w:val="22"/>
                <w:highlight w:val="yellow"/>
              </w:rPr>
              <w:t>)</w:t>
            </w:r>
          </w:p>
        </w:tc>
        <w:tc>
          <w:tcPr>
            <w:tcW w:w="1701" w:type="dxa"/>
            <w:tcBorders>
              <w:top w:val="single" w:sz="4" w:space="0" w:color="auto"/>
            </w:tcBorders>
            <w:vAlign w:val="center"/>
          </w:tcPr>
          <w:p w14:paraId="0AE92B75" w14:textId="3707F681"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27.00 ± 0.58</w:t>
            </w:r>
          </w:p>
        </w:tc>
        <w:tc>
          <w:tcPr>
            <w:tcW w:w="1842" w:type="dxa"/>
            <w:tcBorders>
              <w:top w:val="single" w:sz="4" w:space="0" w:color="auto"/>
            </w:tcBorders>
            <w:vAlign w:val="center"/>
          </w:tcPr>
          <w:p w14:paraId="2E34E579" w14:textId="47889266"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26.00 ± 1.53</w:t>
            </w:r>
          </w:p>
        </w:tc>
        <w:tc>
          <w:tcPr>
            <w:tcW w:w="1810" w:type="dxa"/>
            <w:tcBorders>
              <w:top w:val="single" w:sz="4" w:space="0" w:color="auto"/>
            </w:tcBorders>
            <w:vAlign w:val="center"/>
          </w:tcPr>
          <w:p w14:paraId="3E540EC0" w14:textId="5D651D3B"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27.00 ± 1.15</w:t>
            </w:r>
          </w:p>
        </w:tc>
        <w:tc>
          <w:tcPr>
            <w:tcW w:w="1870" w:type="dxa"/>
            <w:tcBorders>
              <w:top w:val="single" w:sz="4" w:space="0" w:color="auto"/>
            </w:tcBorders>
            <w:vAlign w:val="center"/>
          </w:tcPr>
          <w:p w14:paraId="39C6B3A4"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25</w:t>
            </w:r>
          </w:p>
        </w:tc>
      </w:tr>
      <w:tr w:rsidR="00050B3D" w:rsidRPr="00050B3D" w14:paraId="442F1BCB" w14:textId="77777777" w:rsidTr="00050B3D">
        <w:tc>
          <w:tcPr>
            <w:tcW w:w="2127" w:type="dxa"/>
            <w:vAlign w:val="center"/>
          </w:tcPr>
          <w:p w14:paraId="226BDA47"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pH</w:t>
            </w:r>
          </w:p>
        </w:tc>
        <w:tc>
          <w:tcPr>
            <w:tcW w:w="1701" w:type="dxa"/>
            <w:vAlign w:val="center"/>
          </w:tcPr>
          <w:p w14:paraId="1EA19A48" w14:textId="0B1F59E5"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7.30 ± 0.18</w:t>
            </w:r>
          </w:p>
        </w:tc>
        <w:tc>
          <w:tcPr>
            <w:tcW w:w="1842" w:type="dxa"/>
            <w:vAlign w:val="center"/>
          </w:tcPr>
          <w:p w14:paraId="38A87062" w14:textId="4CC86A8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7.11 ± 0.02</w:t>
            </w:r>
          </w:p>
        </w:tc>
        <w:tc>
          <w:tcPr>
            <w:tcW w:w="1810" w:type="dxa"/>
            <w:vAlign w:val="center"/>
          </w:tcPr>
          <w:p w14:paraId="30EC2A3B" w14:textId="3FAB89B2"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7.08 ± 0.49</w:t>
            </w:r>
          </w:p>
        </w:tc>
        <w:tc>
          <w:tcPr>
            <w:tcW w:w="1870" w:type="dxa"/>
            <w:vAlign w:val="center"/>
          </w:tcPr>
          <w:p w14:paraId="6F1CEFF9"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6.5 – 8.5</w:t>
            </w:r>
          </w:p>
        </w:tc>
      </w:tr>
      <w:tr w:rsidR="00050B3D" w:rsidRPr="00050B3D" w14:paraId="697D8958" w14:textId="77777777" w:rsidTr="00050B3D">
        <w:tc>
          <w:tcPr>
            <w:tcW w:w="2127" w:type="dxa"/>
            <w:vAlign w:val="center"/>
          </w:tcPr>
          <w:p w14:paraId="5E4A09CB" w14:textId="32CE4489" w:rsidR="00050B3D" w:rsidRPr="00050B3D" w:rsidRDefault="00050B3D" w:rsidP="00050B3D">
            <w:pPr>
              <w:pStyle w:val="BodyText"/>
              <w:jc w:val="center"/>
              <w:rPr>
                <w:rFonts w:ascii="Calibri" w:hAnsi="Calibri" w:cs="Calibri"/>
                <w:sz w:val="22"/>
                <w:szCs w:val="22"/>
                <w:highlight w:val="yellow"/>
              </w:rPr>
            </w:pPr>
            <w:proofErr w:type="spellStart"/>
            <w:r w:rsidRPr="00050B3D">
              <w:rPr>
                <w:rFonts w:ascii="Calibri" w:hAnsi="Calibri" w:cs="Calibri"/>
                <w:sz w:val="22"/>
                <w:szCs w:val="22"/>
                <w:highlight w:val="yellow"/>
              </w:rPr>
              <w:t>Colour</w:t>
            </w:r>
            <w:proofErr w:type="spellEnd"/>
          </w:p>
        </w:tc>
        <w:tc>
          <w:tcPr>
            <w:tcW w:w="1701" w:type="dxa"/>
            <w:vAlign w:val="center"/>
          </w:tcPr>
          <w:p w14:paraId="5966A2C9"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Clear</w:t>
            </w:r>
          </w:p>
        </w:tc>
        <w:tc>
          <w:tcPr>
            <w:tcW w:w="1842" w:type="dxa"/>
            <w:vAlign w:val="center"/>
          </w:tcPr>
          <w:p w14:paraId="517FE464"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Slightly cloudy</w:t>
            </w:r>
          </w:p>
        </w:tc>
        <w:tc>
          <w:tcPr>
            <w:tcW w:w="1810" w:type="dxa"/>
            <w:vAlign w:val="center"/>
          </w:tcPr>
          <w:p w14:paraId="3269B555"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Clear</w:t>
            </w:r>
          </w:p>
        </w:tc>
        <w:tc>
          <w:tcPr>
            <w:tcW w:w="1870" w:type="dxa"/>
            <w:vAlign w:val="center"/>
          </w:tcPr>
          <w:p w14:paraId="1C5E5207"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w:t>
            </w:r>
          </w:p>
        </w:tc>
      </w:tr>
      <w:tr w:rsidR="00050B3D" w:rsidRPr="00050B3D" w14:paraId="5617D158" w14:textId="77777777" w:rsidTr="00050B3D">
        <w:tc>
          <w:tcPr>
            <w:tcW w:w="2127" w:type="dxa"/>
            <w:vAlign w:val="center"/>
          </w:tcPr>
          <w:p w14:paraId="100AD4A8"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EC (µScm</w:t>
            </w:r>
            <w:r w:rsidRPr="00050B3D">
              <w:rPr>
                <w:rFonts w:ascii="Calibri" w:hAnsi="Calibri" w:cs="Calibri"/>
                <w:sz w:val="22"/>
                <w:szCs w:val="22"/>
                <w:highlight w:val="yellow"/>
                <w:vertAlign w:val="superscript"/>
              </w:rPr>
              <w:t>-1</w:t>
            </w:r>
            <w:r w:rsidRPr="00050B3D">
              <w:rPr>
                <w:rFonts w:ascii="Calibri" w:hAnsi="Calibri" w:cs="Calibri"/>
                <w:sz w:val="22"/>
                <w:szCs w:val="22"/>
                <w:highlight w:val="yellow"/>
              </w:rPr>
              <w:t>)</w:t>
            </w:r>
          </w:p>
        </w:tc>
        <w:tc>
          <w:tcPr>
            <w:tcW w:w="1701" w:type="dxa"/>
            <w:vAlign w:val="center"/>
          </w:tcPr>
          <w:p w14:paraId="0A8CE2CA" w14:textId="2E281190"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279.50 ± 2.05</w:t>
            </w:r>
          </w:p>
        </w:tc>
        <w:tc>
          <w:tcPr>
            <w:tcW w:w="1842" w:type="dxa"/>
            <w:vAlign w:val="center"/>
          </w:tcPr>
          <w:p w14:paraId="59E503DF" w14:textId="52369A54"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299.00 ± 3.06</w:t>
            </w:r>
          </w:p>
        </w:tc>
        <w:tc>
          <w:tcPr>
            <w:tcW w:w="1810" w:type="dxa"/>
            <w:vAlign w:val="center"/>
          </w:tcPr>
          <w:p w14:paraId="41D26D76"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282.40 ± 3.32</w:t>
            </w:r>
          </w:p>
        </w:tc>
        <w:tc>
          <w:tcPr>
            <w:tcW w:w="1870" w:type="dxa"/>
            <w:vAlign w:val="center"/>
          </w:tcPr>
          <w:p w14:paraId="40BE0D7A"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400</w:t>
            </w:r>
          </w:p>
        </w:tc>
      </w:tr>
      <w:tr w:rsidR="00050B3D" w:rsidRPr="00050B3D" w14:paraId="77C67575" w14:textId="77777777" w:rsidTr="00050B3D">
        <w:tc>
          <w:tcPr>
            <w:tcW w:w="2127" w:type="dxa"/>
            <w:vAlign w:val="center"/>
          </w:tcPr>
          <w:p w14:paraId="6AC6F681"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Turbidity (NTU)</w:t>
            </w:r>
          </w:p>
        </w:tc>
        <w:tc>
          <w:tcPr>
            <w:tcW w:w="1701" w:type="dxa"/>
            <w:vAlign w:val="center"/>
          </w:tcPr>
          <w:p w14:paraId="6DEBB563"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45 ± 1.85</w:t>
            </w:r>
          </w:p>
        </w:tc>
        <w:tc>
          <w:tcPr>
            <w:tcW w:w="1842" w:type="dxa"/>
            <w:vAlign w:val="center"/>
          </w:tcPr>
          <w:p w14:paraId="069A80FE"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6.8± 1.60</w:t>
            </w:r>
          </w:p>
        </w:tc>
        <w:tc>
          <w:tcPr>
            <w:tcW w:w="1810" w:type="dxa"/>
            <w:vAlign w:val="center"/>
          </w:tcPr>
          <w:p w14:paraId="705344A5"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24 ± 1.86</w:t>
            </w:r>
          </w:p>
        </w:tc>
        <w:tc>
          <w:tcPr>
            <w:tcW w:w="1870" w:type="dxa"/>
            <w:vAlign w:val="center"/>
          </w:tcPr>
          <w:p w14:paraId="457D6CDF"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5</w:t>
            </w:r>
          </w:p>
        </w:tc>
      </w:tr>
      <w:tr w:rsidR="00050B3D" w:rsidRPr="00050B3D" w14:paraId="491854CB" w14:textId="77777777" w:rsidTr="00050B3D">
        <w:tc>
          <w:tcPr>
            <w:tcW w:w="2127" w:type="dxa"/>
            <w:vAlign w:val="center"/>
          </w:tcPr>
          <w:p w14:paraId="13951087"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DO (mg/L)</w:t>
            </w:r>
          </w:p>
        </w:tc>
        <w:tc>
          <w:tcPr>
            <w:tcW w:w="1701" w:type="dxa"/>
            <w:vAlign w:val="center"/>
          </w:tcPr>
          <w:p w14:paraId="58A7CACE"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4.57± 2.36</w:t>
            </w:r>
          </w:p>
        </w:tc>
        <w:tc>
          <w:tcPr>
            <w:tcW w:w="1842" w:type="dxa"/>
            <w:vAlign w:val="center"/>
          </w:tcPr>
          <w:p w14:paraId="381C30C8"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3.0 ± 0.10</w:t>
            </w:r>
          </w:p>
        </w:tc>
        <w:tc>
          <w:tcPr>
            <w:tcW w:w="1810" w:type="dxa"/>
            <w:vAlign w:val="center"/>
          </w:tcPr>
          <w:p w14:paraId="2C882A5F"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2.7± 0.20</w:t>
            </w:r>
          </w:p>
        </w:tc>
        <w:tc>
          <w:tcPr>
            <w:tcW w:w="1870" w:type="dxa"/>
            <w:vAlign w:val="center"/>
          </w:tcPr>
          <w:p w14:paraId="7ECE3D73"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6.5 – 8</w:t>
            </w:r>
          </w:p>
        </w:tc>
      </w:tr>
      <w:tr w:rsidR="00050B3D" w:rsidRPr="00050B3D" w14:paraId="78D5400F" w14:textId="77777777" w:rsidTr="00050B3D">
        <w:tc>
          <w:tcPr>
            <w:tcW w:w="2127" w:type="dxa"/>
            <w:vAlign w:val="center"/>
          </w:tcPr>
          <w:p w14:paraId="4579DEDD"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TDS (</w:t>
            </w:r>
            <w:proofErr w:type="spellStart"/>
            <w:r w:rsidRPr="00050B3D">
              <w:rPr>
                <w:rFonts w:ascii="Calibri" w:hAnsi="Calibri" w:cs="Calibri"/>
                <w:sz w:val="22"/>
                <w:szCs w:val="22"/>
                <w:highlight w:val="yellow"/>
              </w:rPr>
              <w:t>mgL</w:t>
            </w:r>
            <w:proofErr w:type="spellEnd"/>
            <w:r w:rsidRPr="00050B3D">
              <w:rPr>
                <w:rFonts w:ascii="Calibri" w:hAnsi="Calibri" w:cs="Calibri"/>
                <w:sz w:val="22"/>
                <w:szCs w:val="22"/>
                <w:highlight w:val="yellow"/>
              </w:rPr>
              <w:t>)</w:t>
            </w:r>
          </w:p>
        </w:tc>
        <w:tc>
          <w:tcPr>
            <w:tcW w:w="1701" w:type="dxa"/>
            <w:vAlign w:val="center"/>
          </w:tcPr>
          <w:p w14:paraId="6F67AC6F"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135.50± 2.00</w:t>
            </w:r>
          </w:p>
        </w:tc>
        <w:tc>
          <w:tcPr>
            <w:tcW w:w="1842" w:type="dxa"/>
            <w:vAlign w:val="center"/>
          </w:tcPr>
          <w:p w14:paraId="774F0A98"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146.5± 2.75</w:t>
            </w:r>
          </w:p>
        </w:tc>
        <w:tc>
          <w:tcPr>
            <w:tcW w:w="1810" w:type="dxa"/>
            <w:vAlign w:val="center"/>
          </w:tcPr>
          <w:p w14:paraId="2E565531"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139.40± 3.20</w:t>
            </w:r>
          </w:p>
        </w:tc>
        <w:tc>
          <w:tcPr>
            <w:tcW w:w="1870" w:type="dxa"/>
            <w:vAlign w:val="center"/>
          </w:tcPr>
          <w:p w14:paraId="410F08E6"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30</w:t>
            </w:r>
          </w:p>
        </w:tc>
      </w:tr>
      <w:tr w:rsidR="00050B3D" w:rsidRPr="00050B3D" w14:paraId="559B3818" w14:textId="77777777" w:rsidTr="00050B3D">
        <w:tc>
          <w:tcPr>
            <w:tcW w:w="2127" w:type="dxa"/>
            <w:vAlign w:val="center"/>
          </w:tcPr>
          <w:p w14:paraId="28077DDB"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TSS (mg/L)</w:t>
            </w:r>
          </w:p>
        </w:tc>
        <w:tc>
          <w:tcPr>
            <w:tcW w:w="1701" w:type="dxa"/>
            <w:vAlign w:val="center"/>
          </w:tcPr>
          <w:p w14:paraId="4273FE85"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62.10± 2.05</w:t>
            </w:r>
          </w:p>
        </w:tc>
        <w:tc>
          <w:tcPr>
            <w:tcW w:w="1842" w:type="dxa"/>
            <w:vAlign w:val="center"/>
          </w:tcPr>
          <w:p w14:paraId="76F8047D"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72.00± 0.50</w:t>
            </w:r>
          </w:p>
        </w:tc>
        <w:tc>
          <w:tcPr>
            <w:tcW w:w="1810" w:type="dxa"/>
            <w:vAlign w:val="center"/>
          </w:tcPr>
          <w:p w14:paraId="23D116E3"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108.00± 2.00</w:t>
            </w:r>
          </w:p>
        </w:tc>
        <w:tc>
          <w:tcPr>
            <w:tcW w:w="1870" w:type="dxa"/>
            <w:vAlign w:val="center"/>
          </w:tcPr>
          <w:p w14:paraId="2767D676"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30</w:t>
            </w:r>
          </w:p>
        </w:tc>
      </w:tr>
      <w:tr w:rsidR="00050B3D" w:rsidRPr="00050B3D" w14:paraId="56F10BB1" w14:textId="77777777" w:rsidTr="00050B3D">
        <w:tc>
          <w:tcPr>
            <w:tcW w:w="2127" w:type="dxa"/>
            <w:vAlign w:val="center"/>
          </w:tcPr>
          <w:p w14:paraId="3EC3D8A5"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BOD (mg/L)</w:t>
            </w:r>
          </w:p>
        </w:tc>
        <w:tc>
          <w:tcPr>
            <w:tcW w:w="1701" w:type="dxa"/>
            <w:vAlign w:val="center"/>
          </w:tcPr>
          <w:p w14:paraId="7A5B094E"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14.20± 1.75</w:t>
            </w:r>
          </w:p>
        </w:tc>
        <w:tc>
          <w:tcPr>
            <w:tcW w:w="1842" w:type="dxa"/>
            <w:vAlign w:val="center"/>
          </w:tcPr>
          <w:p w14:paraId="1180ED99"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13.00± 2.00</w:t>
            </w:r>
          </w:p>
        </w:tc>
        <w:tc>
          <w:tcPr>
            <w:tcW w:w="1810" w:type="dxa"/>
            <w:vAlign w:val="center"/>
          </w:tcPr>
          <w:p w14:paraId="1A27CE97"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12.67± 2.00</w:t>
            </w:r>
          </w:p>
        </w:tc>
        <w:tc>
          <w:tcPr>
            <w:tcW w:w="1870" w:type="dxa"/>
            <w:vAlign w:val="center"/>
          </w:tcPr>
          <w:p w14:paraId="042D3FB1"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30</w:t>
            </w:r>
          </w:p>
        </w:tc>
      </w:tr>
      <w:tr w:rsidR="00050B3D" w:rsidRPr="00050B3D" w14:paraId="7CF4B4AA" w14:textId="77777777" w:rsidTr="00050B3D">
        <w:tc>
          <w:tcPr>
            <w:tcW w:w="2127" w:type="dxa"/>
            <w:vAlign w:val="center"/>
          </w:tcPr>
          <w:p w14:paraId="785A6D73" w14:textId="13CB5A44"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COD (mg/L)</w:t>
            </w:r>
          </w:p>
        </w:tc>
        <w:tc>
          <w:tcPr>
            <w:tcW w:w="1701" w:type="dxa"/>
            <w:vAlign w:val="center"/>
          </w:tcPr>
          <w:p w14:paraId="4025C10D"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126.03±2.05</w:t>
            </w:r>
          </w:p>
        </w:tc>
        <w:tc>
          <w:tcPr>
            <w:tcW w:w="1842" w:type="dxa"/>
            <w:vAlign w:val="center"/>
          </w:tcPr>
          <w:p w14:paraId="036BD556"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69.00± 2.00</w:t>
            </w:r>
          </w:p>
        </w:tc>
        <w:tc>
          <w:tcPr>
            <w:tcW w:w="1810" w:type="dxa"/>
            <w:vAlign w:val="center"/>
          </w:tcPr>
          <w:p w14:paraId="5AE3EDE7"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60.03±1.95</w:t>
            </w:r>
          </w:p>
        </w:tc>
        <w:tc>
          <w:tcPr>
            <w:tcW w:w="1870" w:type="dxa"/>
            <w:vAlign w:val="center"/>
          </w:tcPr>
          <w:p w14:paraId="752A9074"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10 – 20</w:t>
            </w:r>
          </w:p>
        </w:tc>
      </w:tr>
      <w:tr w:rsidR="00050B3D" w:rsidRPr="00050B3D" w14:paraId="774894CE" w14:textId="77777777" w:rsidTr="00050B3D">
        <w:tc>
          <w:tcPr>
            <w:tcW w:w="2127" w:type="dxa"/>
            <w:vAlign w:val="center"/>
          </w:tcPr>
          <w:p w14:paraId="52C3C7C8"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Nitrate (mg/L)</w:t>
            </w:r>
          </w:p>
        </w:tc>
        <w:tc>
          <w:tcPr>
            <w:tcW w:w="1701" w:type="dxa"/>
            <w:vAlign w:val="center"/>
          </w:tcPr>
          <w:p w14:paraId="3BD41E65"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2.23± 0.03</w:t>
            </w:r>
          </w:p>
        </w:tc>
        <w:tc>
          <w:tcPr>
            <w:tcW w:w="1842" w:type="dxa"/>
            <w:vAlign w:val="center"/>
          </w:tcPr>
          <w:p w14:paraId="539EE141"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1.83± 0.17</w:t>
            </w:r>
          </w:p>
        </w:tc>
        <w:tc>
          <w:tcPr>
            <w:tcW w:w="1810" w:type="dxa"/>
            <w:vAlign w:val="center"/>
          </w:tcPr>
          <w:p w14:paraId="11346F48"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3.24± 0.05</w:t>
            </w:r>
          </w:p>
        </w:tc>
        <w:tc>
          <w:tcPr>
            <w:tcW w:w="1870" w:type="dxa"/>
            <w:vAlign w:val="center"/>
          </w:tcPr>
          <w:p w14:paraId="239DC984"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10 – 50</w:t>
            </w:r>
          </w:p>
        </w:tc>
      </w:tr>
      <w:tr w:rsidR="00050B3D" w:rsidRPr="00050B3D" w14:paraId="6EB4CBBC" w14:textId="77777777" w:rsidTr="00050B3D">
        <w:tc>
          <w:tcPr>
            <w:tcW w:w="2127" w:type="dxa"/>
            <w:vAlign w:val="center"/>
          </w:tcPr>
          <w:p w14:paraId="3681AA75"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Phosphate</w:t>
            </w:r>
          </w:p>
        </w:tc>
        <w:tc>
          <w:tcPr>
            <w:tcW w:w="1701" w:type="dxa"/>
            <w:vAlign w:val="center"/>
          </w:tcPr>
          <w:p w14:paraId="27751BA7"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8.65± 2.00</w:t>
            </w:r>
          </w:p>
        </w:tc>
        <w:tc>
          <w:tcPr>
            <w:tcW w:w="1842" w:type="dxa"/>
            <w:vAlign w:val="center"/>
          </w:tcPr>
          <w:p w14:paraId="52B2A4A4"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8.20± 2.10</w:t>
            </w:r>
          </w:p>
        </w:tc>
        <w:tc>
          <w:tcPr>
            <w:tcW w:w="1810" w:type="dxa"/>
            <w:vAlign w:val="center"/>
          </w:tcPr>
          <w:p w14:paraId="2A6312A7"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8.74± 1.95</w:t>
            </w:r>
          </w:p>
        </w:tc>
        <w:tc>
          <w:tcPr>
            <w:tcW w:w="1870" w:type="dxa"/>
            <w:vAlign w:val="center"/>
          </w:tcPr>
          <w:p w14:paraId="35CF59CD"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5</w:t>
            </w:r>
          </w:p>
        </w:tc>
      </w:tr>
      <w:tr w:rsidR="00050B3D" w:rsidRPr="00050B3D" w14:paraId="5FFBC89B" w14:textId="77777777" w:rsidTr="00050B3D">
        <w:tc>
          <w:tcPr>
            <w:tcW w:w="2127" w:type="dxa"/>
            <w:vAlign w:val="center"/>
          </w:tcPr>
          <w:p w14:paraId="28F8E954"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Magnesium (mg/L)</w:t>
            </w:r>
          </w:p>
        </w:tc>
        <w:tc>
          <w:tcPr>
            <w:tcW w:w="1701" w:type="dxa"/>
            <w:vAlign w:val="center"/>
          </w:tcPr>
          <w:p w14:paraId="701C0312"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3.96± 0.01</w:t>
            </w:r>
          </w:p>
        </w:tc>
        <w:tc>
          <w:tcPr>
            <w:tcW w:w="1842" w:type="dxa"/>
            <w:vAlign w:val="center"/>
          </w:tcPr>
          <w:p w14:paraId="7DAEB548"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3.83±0.01</w:t>
            </w:r>
          </w:p>
        </w:tc>
        <w:tc>
          <w:tcPr>
            <w:tcW w:w="1810" w:type="dxa"/>
            <w:vAlign w:val="center"/>
          </w:tcPr>
          <w:p w14:paraId="326D9327"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3.82± 0.19</w:t>
            </w:r>
          </w:p>
        </w:tc>
        <w:tc>
          <w:tcPr>
            <w:tcW w:w="1870" w:type="dxa"/>
            <w:vAlign w:val="center"/>
          </w:tcPr>
          <w:p w14:paraId="30B30CB8"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≤50</w:t>
            </w:r>
          </w:p>
        </w:tc>
      </w:tr>
      <w:tr w:rsidR="00050B3D" w:rsidRPr="00050B3D" w14:paraId="5A4E112E" w14:textId="77777777" w:rsidTr="00050B3D">
        <w:tc>
          <w:tcPr>
            <w:tcW w:w="2127" w:type="dxa"/>
            <w:vAlign w:val="center"/>
          </w:tcPr>
          <w:p w14:paraId="594BD360"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Calcium (mg/L)</w:t>
            </w:r>
          </w:p>
        </w:tc>
        <w:tc>
          <w:tcPr>
            <w:tcW w:w="1701" w:type="dxa"/>
            <w:vAlign w:val="center"/>
          </w:tcPr>
          <w:p w14:paraId="4CF8E763"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11.16±2.04</w:t>
            </w:r>
          </w:p>
        </w:tc>
        <w:tc>
          <w:tcPr>
            <w:tcW w:w="1842" w:type="dxa"/>
            <w:vAlign w:val="center"/>
          </w:tcPr>
          <w:p w14:paraId="03D18ED2"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15.55±0.05</w:t>
            </w:r>
          </w:p>
        </w:tc>
        <w:tc>
          <w:tcPr>
            <w:tcW w:w="1810" w:type="dxa"/>
            <w:vAlign w:val="center"/>
          </w:tcPr>
          <w:p w14:paraId="1960B734"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14.20±1.85</w:t>
            </w:r>
          </w:p>
        </w:tc>
        <w:tc>
          <w:tcPr>
            <w:tcW w:w="1870" w:type="dxa"/>
            <w:vAlign w:val="center"/>
          </w:tcPr>
          <w:p w14:paraId="2E61001C" w14:textId="7B529CB2"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75 – 200</w:t>
            </w:r>
          </w:p>
        </w:tc>
      </w:tr>
      <w:tr w:rsidR="00050B3D" w:rsidRPr="00050B3D" w14:paraId="3BF41B11" w14:textId="77777777" w:rsidTr="00050B3D">
        <w:tc>
          <w:tcPr>
            <w:tcW w:w="2127" w:type="dxa"/>
            <w:vAlign w:val="center"/>
          </w:tcPr>
          <w:p w14:paraId="7FF5F7D6"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Sodium (mg/L)</w:t>
            </w:r>
          </w:p>
        </w:tc>
        <w:tc>
          <w:tcPr>
            <w:tcW w:w="1701" w:type="dxa"/>
            <w:vAlign w:val="center"/>
          </w:tcPr>
          <w:p w14:paraId="1A31BCB0"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12.46±0.05</w:t>
            </w:r>
          </w:p>
        </w:tc>
        <w:tc>
          <w:tcPr>
            <w:tcW w:w="1842" w:type="dxa"/>
            <w:vAlign w:val="center"/>
          </w:tcPr>
          <w:p w14:paraId="01206DCE"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11.25±1.82</w:t>
            </w:r>
          </w:p>
        </w:tc>
        <w:tc>
          <w:tcPr>
            <w:tcW w:w="1810" w:type="dxa"/>
            <w:vAlign w:val="center"/>
          </w:tcPr>
          <w:p w14:paraId="54211E59"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11.90±0.60</w:t>
            </w:r>
          </w:p>
        </w:tc>
        <w:tc>
          <w:tcPr>
            <w:tcW w:w="1870" w:type="dxa"/>
            <w:vAlign w:val="center"/>
          </w:tcPr>
          <w:p w14:paraId="1596241D"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200</w:t>
            </w:r>
          </w:p>
        </w:tc>
      </w:tr>
      <w:tr w:rsidR="00050B3D" w:rsidRPr="00050B3D" w14:paraId="2AE20E59" w14:textId="77777777" w:rsidTr="00050B3D">
        <w:tc>
          <w:tcPr>
            <w:tcW w:w="2127" w:type="dxa"/>
            <w:vAlign w:val="center"/>
          </w:tcPr>
          <w:p w14:paraId="1EBF2D4D"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Potassium (mg/L)</w:t>
            </w:r>
          </w:p>
        </w:tc>
        <w:tc>
          <w:tcPr>
            <w:tcW w:w="1701" w:type="dxa"/>
            <w:vAlign w:val="center"/>
          </w:tcPr>
          <w:p w14:paraId="27399973"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8.65±2.00</w:t>
            </w:r>
          </w:p>
        </w:tc>
        <w:tc>
          <w:tcPr>
            <w:tcW w:w="1842" w:type="dxa"/>
            <w:vAlign w:val="center"/>
          </w:tcPr>
          <w:p w14:paraId="67C08646"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8.22±1.99</w:t>
            </w:r>
          </w:p>
        </w:tc>
        <w:tc>
          <w:tcPr>
            <w:tcW w:w="1810" w:type="dxa"/>
            <w:vAlign w:val="center"/>
          </w:tcPr>
          <w:p w14:paraId="5FEC1FCB"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8.73±0.01</w:t>
            </w:r>
          </w:p>
        </w:tc>
        <w:tc>
          <w:tcPr>
            <w:tcW w:w="1870" w:type="dxa"/>
            <w:vAlign w:val="center"/>
          </w:tcPr>
          <w:p w14:paraId="008C8BF6"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50</w:t>
            </w:r>
          </w:p>
        </w:tc>
      </w:tr>
      <w:tr w:rsidR="00050B3D" w:rsidRPr="00050B3D" w14:paraId="01765C7F" w14:textId="77777777" w:rsidTr="00050B3D">
        <w:tc>
          <w:tcPr>
            <w:tcW w:w="2127" w:type="dxa"/>
            <w:vAlign w:val="center"/>
          </w:tcPr>
          <w:p w14:paraId="3D4D25BB"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Copper (mg/L)</w:t>
            </w:r>
          </w:p>
        </w:tc>
        <w:tc>
          <w:tcPr>
            <w:tcW w:w="1701" w:type="dxa"/>
            <w:vAlign w:val="center"/>
          </w:tcPr>
          <w:p w14:paraId="53AD3B28"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0.11±0.01</w:t>
            </w:r>
          </w:p>
        </w:tc>
        <w:tc>
          <w:tcPr>
            <w:tcW w:w="1842" w:type="dxa"/>
            <w:vAlign w:val="center"/>
          </w:tcPr>
          <w:p w14:paraId="37C342F3"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0.18±0.01</w:t>
            </w:r>
          </w:p>
        </w:tc>
        <w:tc>
          <w:tcPr>
            <w:tcW w:w="1810" w:type="dxa"/>
            <w:vAlign w:val="center"/>
          </w:tcPr>
          <w:p w14:paraId="58EC40D0"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0.18±0.01</w:t>
            </w:r>
          </w:p>
        </w:tc>
        <w:tc>
          <w:tcPr>
            <w:tcW w:w="1870" w:type="dxa"/>
            <w:vAlign w:val="center"/>
          </w:tcPr>
          <w:p w14:paraId="7A7F51E9"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2</w:t>
            </w:r>
          </w:p>
        </w:tc>
      </w:tr>
      <w:tr w:rsidR="00050B3D" w:rsidRPr="00050B3D" w14:paraId="105104FE" w14:textId="77777777" w:rsidTr="00050B3D">
        <w:tc>
          <w:tcPr>
            <w:tcW w:w="2127" w:type="dxa"/>
            <w:vAlign w:val="center"/>
          </w:tcPr>
          <w:p w14:paraId="34C72990"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Iron (mg/L)</w:t>
            </w:r>
          </w:p>
        </w:tc>
        <w:tc>
          <w:tcPr>
            <w:tcW w:w="1701" w:type="dxa"/>
            <w:vAlign w:val="center"/>
          </w:tcPr>
          <w:p w14:paraId="57924058"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0.22±0.01</w:t>
            </w:r>
          </w:p>
        </w:tc>
        <w:tc>
          <w:tcPr>
            <w:tcW w:w="1842" w:type="dxa"/>
            <w:vAlign w:val="center"/>
          </w:tcPr>
          <w:p w14:paraId="20BB5CCE"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0.12±0.01</w:t>
            </w:r>
          </w:p>
        </w:tc>
        <w:tc>
          <w:tcPr>
            <w:tcW w:w="1810" w:type="dxa"/>
            <w:vAlign w:val="center"/>
          </w:tcPr>
          <w:p w14:paraId="4EE40B20" w14:textId="77777777" w:rsidR="00050B3D" w:rsidRPr="00050B3D" w:rsidRDefault="00050B3D" w:rsidP="00050B3D">
            <w:pPr>
              <w:pStyle w:val="BodyText"/>
              <w:jc w:val="center"/>
              <w:rPr>
                <w:rFonts w:ascii="Calibri" w:hAnsi="Calibri" w:cs="Calibri"/>
                <w:sz w:val="22"/>
                <w:szCs w:val="22"/>
                <w:highlight w:val="yellow"/>
              </w:rPr>
            </w:pPr>
            <w:r w:rsidRPr="00050B3D">
              <w:rPr>
                <w:rFonts w:ascii="Calibri" w:hAnsi="Calibri" w:cs="Calibri"/>
                <w:sz w:val="22"/>
                <w:szCs w:val="22"/>
                <w:highlight w:val="yellow"/>
              </w:rPr>
              <w:t>0.05±0.00</w:t>
            </w:r>
          </w:p>
        </w:tc>
        <w:tc>
          <w:tcPr>
            <w:tcW w:w="1870" w:type="dxa"/>
            <w:vAlign w:val="center"/>
          </w:tcPr>
          <w:p w14:paraId="1D8B9E9F"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0.3</w:t>
            </w:r>
          </w:p>
        </w:tc>
      </w:tr>
      <w:tr w:rsidR="00050B3D" w:rsidRPr="00050B3D" w14:paraId="49DEB42A" w14:textId="77777777" w:rsidTr="00050B3D">
        <w:tc>
          <w:tcPr>
            <w:tcW w:w="2127" w:type="dxa"/>
            <w:vAlign w:val="center"/>
          </w:tcPr>
          <w:p w14:paraId="0F3945D7"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Lead (mg/L)</w:t>
            </w:r>
          </w:p>
        </w:tc>
        <w:tc>
          <w:tcPr>
            <w:tcW w:w="1701" w:type="dxa"/>
            <w:vAlign w:val="center"/>
          </w:tcPr>
          <w:p w14:paraId="2338FA1C"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0.47±0.15</w:t>
            </w:r>
          </w:p>
        </w:tc>
        <w:tc>
          <w:tcPr>
            <w:tcW w:w="1842" w:type="dxa"/>
            <w:vAlign w:val="center"/>
          </w:tcPr>
          <w:p w14:paraId="5BDFD611"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-0.11±0.01</w:t>
            </w:r>
          </w:p>
        </w:tc>
        <w:tc>
          <w:tcPr>
            <w:tcW w:w="1810" w:type="dxa"/>
            <w:vAlign w:val="center"/>
          </w:tcPr>
          <w:p w14:paraId="35243879"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0.02±0.01</w:t>
            </w:r>
          </w:p>
        </w:tc>
        <w:tc>
          <w:tcPr>
            <w:tcW w:w="1870" w:type="dxa"/>
            <w:vAlign w:val="center"/>
          </w:tcPr>
          <w:p w14:paraId="49973BD2" w14:textId="77777777" w:rsidR="00050B3D" w:rsidRPr="00050B3D" w:rsidRDefault="00050B3D" w:rsidP="00050B3D">
            <w:pPr>
              <w:spacing w:line="240" w:lineRule="auto"/>
              <w:jc w:val="center"/>
              <w:rPr>
                <w:rFonts w:ascii="Calibri" w:hAnsi="Calibri" w:cs="Calibri"/>
                <w:highlight w:val="yellow"/>
              </w:rPr>
            </w:pPr>
            <w:r w:rsidRPr="00050B3D">
              <w:rPr>
                <w:rFonts w:ascii="Calibri" w:hAnsi="Calibri" w:cs="Calibri"/>
                <w:highlight w:val="yellow"/>
              </w:rPr>
              <w:t>0.1</w:t>
            </w:r>
          </w:p>
        </w:tc>
      </w:tr>
    </w:tbl>
    <w:tbl>
      <w:tblPr>
        <w:tblStyle w:val="TableGrid1"/>
        <w:tblW w:w="0" w:type="auto"/>
        <w:tblLook w:val="04A0" w:firstRow="1" w:lastRow="0" w:firstColumn="1" w:lastColumn="0" w:noHBand="0" w:noVBand="1"/>
      </w:tblPr>
      <w:tblGrid>
        <w:gridCol w:w="9026"/>
      </w:tblGrid>
      <w:tr w:rsidR="00050B3D" w:rsidRPr="00050B3D" w14:paraId="0158FDB4" w14:textId="77777777" w:rsidTr="007F69B3">
        <w:tc>
          <w:tcPr>
            <w:tcW w:w="9350" w:type="dxa"/>
            <w:tcBorders>
              <w:top w:val="single" w:sz="4" w:space="0" w:color="auto"/>
              <w:left w:val="nil"/>
              <w:bottom w:val="nil"/>
              <w:right w:val="nil"/>
            </w:tcBorders>
          </w:tcPr>
          <w:p w14:paraId="7FB29708" w14:textId="60D2B6CD" w:rsidR="00050B3D" w:rsidRPr="00050B3D" w:rsidRDefault="00050B3D" w:rsidP="00050B3D">
            <w:pPr>
              <w:spacing w:line="240" w:lineRule="auto"/>
              <w:rPr>
                <w:rFonts w:ascii="Calibri" w:hAnsi="Calibri" w:cs="Calibri"/>
              </w:rPr>
            </w:pPr>
            <w:r w:rsidRPr="00050B3D">
              <w:rPr>
                <w:rFonts w:ascii="Calibri" w:hAnsi="Calibri" w:cs="Calibri"/>
                <w:highlight w:val="yellow"/>
              </w:rPr>
              <w:t xml:space="preserve">WHO; World Health </w:t>
            </w:r>
            <w:proofErr w:type="spellStart"/>
            <w:r w:rsidRPr="00050B3D">
              <w:rPr>
                <w:rFonts w:ascii="Calibri" w:hAnsi="Calibri" w:cs="Calibri"/>
                <w:highlight w:val="yellow"/>
              </w:rPr>
              <w:t>Organisation</w:t>
            </w:r>
            <w:proofErr w:type="spellEnd"/>
            <w:r w:rsidRPr="00050B3D">
              <w:rPr>
                <w:rFonts w:ascii="Calibri" w:hAnsi="Calibri" w:cs="Calibri"/>
                <w:highlight w:val="yellow"/>
              </w:rPr>
              <w:t xml:space="preserve"> Standard, 2024</w:t>
            </w:r>
          </w:p>
        </w:tc>
      </w:tr>
    </w:tbl>
    <w:p w14:paraId="5E0CA190" w14:textId="77777777" w:rsidR="005D4B85" w:rsidRDefault="005D4B85" w:rsidP="005D4B85">
      <w:pPr>
        <w:spacing w:line="276" w:lineRule="auto"/>
        <w:jc w:val="both"/>
        <w:rPr>
          <w:rFonts w:ascii="Calibri" w:hAnsi="Calibri" w:cs="Calibri"/>
          <w:b/>
          <w:bCs/>
          <w:sz w:val="24"/>
          <w:szCs w:val="24"/>
        </w:rPr>
      </w:pPr>
    </w:p>
    <w:p w14:paraId="259EFFAF" w14:textId="77777777" w:rsidR="005D4B85" w:rsidRPr="005D4B85" w:rsidRDefault="005D4B85" w:rsidP="005D4B85">
      <w:pPr>
        <w:spacing w:line="276" w:lineRule="auto"/>
        <w:jc w:val="both"/>
        <w:rPr>
          <w:rFonts w:ascii="Calibri" w:hAnsi="Calibri" w:cs="Calibri"/>
          <w:b/>
          <w:bCs/>
          <w:sz w:val="24"/>
          <w:szCs w:val="24"/>
        </w:rPr>
      </w:pPr>
      <w:r w:rsidRPr="005D4B85">
        <w:rPr>
          <w:rFonts w:ascii="Calibri" w:hAnsi="Calibri" w:cs="Calibri"/>
          <w:b/>
          <w:bCs/>
          <w:sz w:val="24"/>
          <w:szCs w:val="24"/>
        </w:rPr>
        <w:t>DISCUSSION</w:t>
      </w:r>
    </w:p>
    <w:p w14:paraId="5FC3A567"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 xml:space="preserve">The present study investigated the fungal microbiological profile of water in the </w:t>
      </w:r>
      <w:r w:rsidRPr="005D4B85">
        <w:rPr>
          <w:rFonts w:ascii="Calibri" w:hAnsi="Calibri" w:cs="Calibri"/>
          <w:iCs/>
          <w:sz w:val="24"/>
          <w:szCs w:val="24"/>
        </w:rPr>
        <w:t>Gwagwalada River</w:t>
      </w:r>
      <w:r w:rsidRPr="005D4B85">
        <w:rPr>
          <w:rFonts w:ascii="Calibri" w:hAnsi="Calibri" w:cs="Calibri"/>
          <w:sz w:val="24"/>
          <w:szCs w:val="24"/>
        </w:rPr>
        <w:t xml:space="preserve"> receiving effluent from the </w:t>
      </w:r>
      <w:proofErr w:type="spellStart"/>
      <w:r w:rsidRPr="005D4B85">
        <w:rPr>
          <w:rFonts w:ascii="Calibri" w:hAnsi="Calibri" w:cs="Calibri"/>
          <w:sz w:val="24"/>
          <w:szCs w:val="24"/>
        </w:rPr>
        <w:t>Kutunku</w:t>
      </w:r>
      <w:proofErr w:type="spellEnd"/>
      <w:r w:rsidRPr="005D4B85">
        <w:rPr>
          <w:rFonts w:ascii="Calibri" w:hAnsi="Calibri" w:cs="Calibri"/>
          <w:sz w:val="24"/>
          <w:szCs w:val="24"/>
        </w:rPr>
        <w:t xml:space="preserve"> abattoir, Abuja, revealing high fungal loads and the presence of potentially pathogenic species such as </w:t>
      </w:r>
      <w:r w:rsidRPr="005D4B85">
        <w:rPr>
          <w:rFonts w:ascii="Calibri" w:hAnsi="Calibri" w:cs="Calibri"/>
          <w:i/>
          <w:iCs/>
          <w:sz w:val="24"/>
          <w:szCs w:val="24"/>
        </w:rPr>
        <w:t xml:space="preserve">Fusarium </w:t>
      </w:r>
      <w:proofErr w:type="spellStart"/>
      <w:r w:rsidRPr="005D4B85">
        <w:rPr>
          <w:rFonts w:ascii="Calibri" w:hAnsi="Calibri" w:cs="Calibri"/>
          <w:i/>
          <w:iCs/>
          <w:sz w:val="24"/>
          <w:szCs w:val="24"/>
        </w:rPr>
        <w:t>oxysporum</w:t>
      </w:r>
      <w:proofErr w:type="spellEnd"/>
      <w:r w:rsidRPr="005D4B85">
        <w:rPr>
          <w:rFonts w:ascii="Calibri" w:hAnsi="Calibri" w:cs="Calibri"/>
          <w:sz w:val="24"/>
          <w:szCs w:val="24"/>
        </w:rPr>
        <w:t xml:space="preserve">, </w:t>
      </w:r>
      <w:r w:rsidRPr="005D4B85">
        <w:rPr>
          <w:rFonts w:ascii="Calibri" w:hAnsi="Calibri" w:cs="Calibri"/>
          <w:i/>
          <w:iCs/>
          <w:sz w:val="24"/>
          <w:szCs w:val="24"/>
        </w:rPr>
        <w:t xml:space="preserve">Aspergillus </w:t>
      </w:r>
      <w:proofErr w:type="spellStart"/>
      <w:r w:rsidRPr="005D4B85">
        <w:rPr>
          <w:rFonts w:ascii="Calibri" w:hAnsi="Calibri" w:cs="Calibri"/>
          <w:i/>
          <w:iCs/>
          <w:sz w:val="24"/>
          <w:szCs w:val="24"/>
        </w:rPr>
        <w:t>niger</w:t>
      </w:r>
      <w:proofErr w:type="spellEnd"/>
      <w:r w:rsidRPr="005D4B85">
        <w:rPr>
          <w:rFonts w:ascii="Calibri" w:hAnsi="Calibri" w:cs="Calibri"/>
          <w:sz w:val="24"/>
          <w:szCs w:val="24"/>
        </w:rPr>
        <w:t xml:space="preserve">, and </w:t>
      </w:r>
      <w:r w:rsidRPr="005D4B85">
        <w:rPr>
          <w:rFonts w:ascii="Calibri" w:hAnsi="Calibri" w:cs="Calibri"/>
          <w:i/>
          <w:iCs/>
          <w:sz w:val="24"/>
          <w:szCs w:val="24"/>
        </w:rPr>
        <w:t>Aspergillus flavus</w:t>
      </w:r>
      <w:r w:rsidRPr="005D4B85">
        <w:rPr>
          <w:rFonts w:ascii="Calibri" w:hAnsi="Calibri" w:cs="Calibri"/>
          <w:sz w:val="24"/>
          <w:szCs w:val="24"/>
        </w:rPr>
        <w:t>. The findings have important implications for river water quality and public health, echoing broader trends in aquatic fungal contamination observed globally.</w:t>
      </w:r>
    </w:p>
    <w:p w14:paraId="6FAD4F89"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Fungi are natural components of aquatic ecosystems where they facilitate organic matter decomposition and nutrient cycling, yet elevated concentrations often reflect anthropogenic pollution. Research has increasingly shown that surface waters serve as reservoirs for diverse fungal communities, including opportunistic pathogens (</w:t>
      </w:r>
      <w:proofErr w:type="spellStart"/>
      <w:r w:rsidRPr="005D4B85">
        <w:rPr>
          <w:rFonts w:ascii="Calibri" w:hAnsi="Calibri" w:cs="Calibri"/>
          <w:sz w:val="24"/>
          <w:szCs w:val="24"/>
        </w:rPr>
        <w:t>Titilawo</w:t>
      </w:r>
      <w:proofErr w:type="spellEnd"/>
      <w:r w:rsidRPr="005D4B85">
        <w:rPr>
          <w:rFonts w:ascii="Calibri" w:hAnsi="Calibri" w:cs="Calibri"/>
          <w:sz w:val="24"/>
          <w:szCs w:val="24"/>
        </w:rPr>
        <w:t xml:space="preserve"> </w:t>
      </w:r>
      <w:r w:rsidR="00CA22BB" w:rsidRPr="00CA22BB">
        <w:rPr>
          <w:rFonts w:ascii="Calibri" w:hAnsi="Calibri" w:cs="Calibri"/>
          <w:i/>
          <w:sz w:val="24"/>
          <w:szCs w:val="24"/>
        </w:rPr>
        <w:t>et al</w:t>
      </w:r>
      <w:r w:rsidRPr="005D4B85">
        <w:rPr>
          <w:rFonts w:ascii="Calibri" w:hAnsi="Calibri" w:cs="Calibri"/>
          <w:sz w:val="24"/>
          <w:szCs w:val="24"/>
        </w:rPr>
        <w:t xml:space="preserve">., 2025). In Nigeria, surface waters impacted by human activities have been demonstrated to harbor </w:t>
      </w:r>
      <w:r>
        <w:rPr>
          <w:rFonts w:ascii="Calibri" w:hAnsi="Calibri" w:cs="Calibri"/>
          <w:sz w:val="24"/>
          <w:szCs w:val="24"/>
        </w:rPr>
        <w:t>multidrug-resistant</w:t>
      </w:r>
      <w:r w:rsidRPr="005D4B85">
        <w:rPr>
          <w:rFonts w:ascii="Calibri" w:hAnsi="Calibri" w:cs="Calibri"/>
          <w:sz w:val="24"/>
          <w:szCs w:val="24"/>
        </w:rPr>
        <w:t xml:space="preserve"> fungal species, indicating that contamination is widespread and not limited to clinical settings (</w:t>
      </w:r>
      <w:proofErr w:type="spellStart"/>
      <w:r w:rsidRPr="005D4B85">
        <w:rPr>
          <w:rFonts w:ascii="Calibri" w:hAnsi="Calibri" w:cs="Calibri"/>
          <w:sz w:val="24"/>
          <w:szCs w:val="24"/>
        </w:rPr>
        <w:t>Titilawo</w:t>
      </w:r>
      <w:proofErr w:type="spellEnd"/>
      <w:r w:rsidRPr="005D4B85">
        <w:rPr>
          <w:rFonts w:ascii="Calibri" w:hAnsi="Calibri" w:cs="Calibri"/>
          <w:sz w:val="24"/>
          <w:szCs w:val="24"/>
        </w:rPr>
        <w:t xml:space="preserve"> </w:t>
      </w:r>
      <w:r w:rsidR="00CA22BB" w:rsidRPr="00CA22BB">
        <w:rPr>
          <w:rFonts w:ascii="Calibri" w:hAnsi="Calibri" w:cs="Calibri"/>
          <w:i/>
          <w:sz w:val="24"/>
          <w:szCs w:val="24"/>
        </w:rPr>
        <w:t>et al</w:t>
      </w:r>
      <w:r w:rsidRPr="005D4B85">
        <w:rPr>
          <w:rFonts w:ascii="Calibri" w:hAnsi="Calibri" w:cs="Calibri"/>
          <w:sz w:val="24"/>
          <w:szCs w:val="24"/>
        </w:rPr>
        <w:t xml:space="preserve">., 2025). </w:t>
      </w:r>
    </w:p>
    <w:p w14:paraId="66D122EB" w14:textId="77777777" w:rsid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The significantly higher fungal counts downstream of the abattoir in this study align with patterns of contamination</w:t>
      </w:r>
      <w:r>
        <w:rPr>
          <w:rFonts w:ascii="Calibri" w:hAnsi="Calibri" w:cs="Calibri"/>
          <w:sz w:val="24"/>
          <w:szCs w:val="24"/>
        </w:rPr>
        <w:t xml:space="preserve"> reported in coupled wastewater or </w:t>
      </w:r>
      <w:r w:rsidRPr="005D4B85">
        <w:rPr>
          <w:rFonts w:ascii="Calibri" w:hAnsi="Calibri" w:cs="Calibri"/>
          <w:sz w:val="24"/>
          <w:szCs w:val="24"/>
        </w:rPr>
        <w:t>water body systems. Studies show that untreated abattoir effluents contribute organic matter and nutrients that stimulate microbial growth, potentially altering aquatic microbial community structures (</w:t>
      </w:r>
      <w:proofErr w:type="spellStart"/>
      <w:r w:rsidRPr="005D4B85">
        <w:rPr>
          <w:rFonts w:ascii="Calibri" w:hAnsi="Calibri" w:cs="Calibri"/>
          <w:sz w:val="24"/>
          <w:szCs w:val="24"/>
        </w:rPr>
        <w:t>Chinakwe</w:t>
      </w:r>
      <w:proofErr w:type="spellEnd"/>
      <w:r w:rsidRPr="005D4B85">
        <w:rPr>
          <w:rFonts w:ascii="Calibri" w:hAnsi="Calibri" w:cs="Calibri"/>
          <w:sz w:val="24"/>
          <w:szCs w:val="24"/>
        </w:rPr>
        <w:t xml:space="preserve"> </w:t>
      </w:r>
      <w:r w:rsidR="00CA22BB" w:rsidRPr="00CA22BB">
        <w:rPr>
          <w:rFonts w:ascii="Calibri" w:hAnsi="Calibri" w:cs="Calibri"/>
          <w:i/>
          <w:sz w:val="24"/>
          <w:szCs w:val="24"/>
        </w:rPr>
        <w:t>et al</w:t>
      </w:r>
      <w:r w:rsidRPr="005D4B85">
        <w:rPr>
          <w:rFonts w:ascii="Calibri" w:hAnsi="Calibri" w:cs="Calibri"/>
          <w:sz w:val="24"/>
          <w:szCs w:val="24"/>
        </w:rPr>
        <w:t>., 2022).</w:t>
      </w:r>
      <w:r w:rsidR="00BB78F7">
        <w:rPr>
          <w:rFonts w:ascii="Calibri" w:hAnsi="Calibri" w:cs="Calibri"/>
          <w:sz w:val="24"/>
          <w:szCs w:val="24"/>
        </w:rPr>
        <w:t xml:space="preserve"> </w:t>
      </w:r>
      <w:r w:rsidRPr="005D4B85">
        <w:rPr>
          <w:rFonts w:ascii="Calibri" w:hAnsi="Calibri" w:cs="Calibri"/>
          <w:sz w:val="24"/>
          <w:szCs w:val="24"/>
        </w:rPr>
        <w:t>Abattoir effluent is known to elevate biological and chemical pollutants in receiving waters, thereby degrading water quality. Although many studies focus on bacteria, less attention has been given to fungal contamination despite its health relevance. Research on wastewater discharge highlights that slaughterhouse waste contains high microbial loads, posing environmental contamination and health risks if untreated (</w:t>
      </w:r>
      <w:proofErr w:type="spellStart"/>
      <w:r w:rsidR="00BB78F7">
        <w:rPr>
          <w:rFonts w:ascii="Calibri" w:hAnsi="Calibri" w:cs="Calibri"/>
          <w:sz w:val="24"/>
          <w:szCs w:val="24"/>
        </w:rPr>
        <w:t>Awari</w:t>
      </w:r>
      <w:proofErr w:type="spellEnd"/>
      <w:r w:rsidR="00BB78F7">
        <w:rPr>
          <w:rFonts w:ascii="Calibri" w:hAnsi="Calibri" w:cs="Calibri"/>
          <w:sz w:val="24"/>
          <w:szCs w:val="24"/>
        </w:rPr>
        <w:t xml:space="preserve"> </w:t>
      </w:r>
      <w:r w:rsidR="00CA22BB" w:rsidRPr="00CA22BB">
        <w:rPr>
          <w:rFonts w:ascii="Calibri" w:hAnsi="Calibri" w:cs="Calibri"/>
          <w:i/>
          <w:sz w:val="24"/>
          <w:szCs w:val="24"/>
        </w:rPr>
        <w:t>et al</w:t>
      </w:r>
      <w:r w:rsidR="00BB78F7">
        <w:rPr>
          <w:rFonts w:ascii="Calibri" w:hAnsi="Calibri" w:cs="Calibri"/>
          <w:sz w:val="24"/>
          <w:szCs w:val="24"/>
        </w:rPr>
        <w:t xml:space="preserve">., </w:t>
      </w:r>
      <w:r w:rsidRPr="005D4B85">
        <w:rPr>
          <w:rFonts w:ascii="Calibri" w:hAnsi="Calibri" w:cs="Calibri"/>
          <w:sz w:val="24"/>
          <w:szCs w:val="24"/>
        </w:rPr>
        <w:t xml:space="preserve">2025). </w:t>
      </w:r>
    </w:p>
    <w:p w14:paraId="00357DCC"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lastRenderedPageBreak/>
        <w:t xml:space="preserve">The elevated fungal loads at the effluent discharge and downstream points in this study suggest a direct influence of abattoir waste on microbial proliferation. Such effects are consistent with findings from other regions: abattoir effluents can alter physicochemical conditions like oxygen demand and organic load, creating favorable conditions for fungi (Ndukwe </w:t>
      </w:r>
      <w:r w:rsidR="00CA22BB" w:rsidRPr="00CA22BB">
        <w:rPr>
          <w:rFonts w:ascii="Calibri" w:hAnsi="Calibri" w:cs="Calibri"/>
          <w:i/>
          <w:sz w:val="24"/>
          <w:szCs w:val="24"/>
        </w:rPr>
        <w:t>et al</w:t>
      </w:r>
      <w:r w:rsidRPr="005D4B85">
        <w:rPr>
          <w:rFonts w:ascii="Calibri" w:hAnsi="Calibri" w:cs="Calibri"/>
          <w:sz w:val="24"/>
          <w:szCs w:val="24"/>
        </w:rPr>
        <w:t xml:space="preserve">., 2023). Although Ndukwe </w:t>
      </w:r>
      <w:r w:rsidR="00CA22BB" w:rsidRPr="00CA22BB">
        <w:rPr>
          <w:rFonts w:ascii="Calibri" w:hAnsi="Calibri" w:cs="Calibri"/>
          <w:i/>
          <w:sz w:val="24"/>
          <w:szCs w:val="24"/>
        </w:rPr>
        <w:t>et al</w:t>
      </w:r>
      <w:r w:rsidRPr="005D4B85">
        <w:rPr>
          <w:rFonts w:ascii="Calibri" w:hAnsi="Calibri" w:cs="Calibri"/>
          <w:sz w:val="24"/>
          <w:szCs w:val="24"/>
        </w:rPr>
        <w:t>. (2023) did not focus on fungi, their work underscores how abattoir pollution disrupts river water quality, which indirectly supports increased microbial colonization.</w:t>
      </w:r>
    </w:p>
    <w:p w14:paraId="1F27A838"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 xml:space="preserve">The occurrence of medically relevant fungi such as </w:t>
      </w:r>
      <w:r w:rsidRPr="005D4B85">
        <w:rPr>
          <w:rFonts w:ascii="Calibri" w:hAnsi="Calibri" w:cs="Calibri"/>
          <w:i/>
          <w:iCs/>
          <w:sz w:val="24"/>
          <w:szCs w:val="24"/>
        </w:rPr>
        <w:t>Aspergillus</w:t>
      </w:r>
      <w:r w:rsidRPr="005D4B85">
        <w:rPr>
          <w:rFonts w:ascii="Calibri" w:hAnsi="Calibri" w:cs="Calibri"/>
          <w:sz w:val="24"/>
          <w:szCs w:val="24"/>
        </w:rPr>
        <w:t xml:space="preserve"> and </w:t>
      </w:r>
      <w:r w:rsidRPr="005D4B85">
        <w:rPr>
          <w:rFonts w:ascii="Calibri" w:hAnsi="Calibri" w:cs="Calibri"/>
          <w:i/>
          <w:iCs/>
          <w:sz w:val="24"/>
          <w:szCs w:val="24"/>
        </w:rPr>
        <w:t>Fusarium</w:t>
      </w:r>
      <w:r w:rsidRPr="005D4B85">
        <w:rPr>
          <w:rFonts w:ascii="Calibri" w:hAnsi="Calibri" w:cs="Calibri"/>
          <w:sz w:val="24"/>
          <w:szCs w:val="24"/>
        </w:rPr>
        <w:t xml:space="preserve"> in river water raises public health concerns, particularly in communities using untreated river water for domestic or recreational purposes. </w:t>
      </w:r>
      <w:r w:rsidRPr="005D4B85">
        <w:rPr>
          <w:rFonts w:ascii="Calibri" w:hAnsi="Calibri" w:cs="Calibri"/>
          <w:i/>
          <w:iCs/>
          <w:sz w:val="24"/>
          <w:szCs w:val="24"/>
        </w:rPr>
        <w:t>Aspergillus</w:t>
      </w:r>
      <w:r w:rsidRPr="005D4B85">
        <w:rPr>
          <w:rFonts w:ascii="Calibri" w:hAnsi="Calibri" w:cs="Calibri"/>
          <w:sz w:val="24"/>
          <w:szCs w:val="24"/>
        </w:rPr>
        <w:t xml:space="preserve"> species are associated with respiratory and allergic diseases, while </w:t>
      </w:r>
      <w:r w:rsidRPr="005D4B85">
        <w:rPr>
          <w:rFonts w:ascii="Calibri" w:hAnsi="Calibri" w:cs="Calibri"/>
          <w:i/>
          <w:iCs/>
          <w:sz w:val="24"/>
          <w:szCs w:val="24"/>
        </w:rPr>
        <w:t>Fusarium</w:t>
      </w:r>
      <w:r w:rsidRPr="005D4B85">
        <w:rPr>
          <w:rFonts w:ascii="Calibri" w:hAnsi="Calibri" w:cs="Calibri"/>
          <w:sz w:val="24"/>
          <w:szCs w:val="24"/>
        </w:rPr>
        <w:t xml:space="preserve"> species are known for their opportunistic infections in </w:t>
      </w:r>
      <w:r w:rsidR="0027119D">
        <w:rPr>
          <w:rFonts w:ascii="Calibri" w:hAnsi="Calibri" w:cs="Calibri"/>
          <w:sz w:val="24"/>
          <w:szCs w:val="24"/>
        </w:rPr>
        <w:t>immune-</w:t>
      </w:r>
      <w:r w:rsidRPr="005D4B85">
        <w:rPr>
          <w:rFonts w:ascii="Calibri" w:hAnsi="Calibri" w:cs="Calibri"/>
          <w:sz w:val="24"/>
          <w:szCs w:val="24"/>
        </w:rPr>
        <w:t>compromised individuals. Multidrug resistance among surface</w:t>
      </w:r>
      <w:r w:rsidRPr="005D4B85">
        <w:rPr>
          <w:rFonts w:ascii="Calibri" w:hAnsi="Calibri" w:cs="Calibri"/>
          <w:sz w:val="24"/>
          <w:szCs w:val="24"/>
        </w:rPr>
        <w:noBreakHyphen/>
        <w:t>water fungi has been documented recently, illustrating potential challenges for clinical management if infections arise (</w:t>
      </w:r>
      <w:proofErr w:type="spellStart"/>
      <w:r w:rsidRPr="005D4B85">
        <w:rPr>
          <w:rFonts w:ascii="Calibri" w:hAnsi="Calibri" w:cs="Calibri"/>
          <w:sz w:val="24"/>
          <w:szCs w:val="24"/>
        </w:rPr>
        <w:t>Titilawo</w:t>
      </w:r>
      <w:proofErr w:type="spellEnd"/>
      <w:r w:rsidRPr="005D4B85">
        <w:rPr>
          <w:rFonts w:ascii="Calibri" w:hAnsi="Calibri" w:cs="Calibri"/>
          <w:sz w:val="24"/>
          <w:szCs w:val="24"/>
        </w:rPr>
        <w:t xml:space="preserve"> </w:t>
      </w:r>
      <w:r w:rsidR="00CA22BB" w:rsidRPr="00CA22BB">
        <w:rPr>
          <w:rFonts w:ascii="Calibri" w:hAnsi="Calibri" w:cs="Calibri"/>
          <w:i/>
          <w:sz w:val="24"/>
          <w:szCs w:val="24"/>
        </w:rPr>
        <w:t>et al</w:t>
      </w:r>
      <w:r w:rsidRPr="005D4B85">
        <w:rPr>
          <w:rFonts w:ascii="Calibri" w:hAnsi="Calibri" w:cs="Calibri"/>
          <w:sz w:val="24"/>
          <w:szCs w:val="24"/>
        </w:rPr>
        <w:t xml:space="preserve">., 2025). </w:t>
      </w:r>
    </w:p>
    <w:p w14:paraId="4F6D2D28"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 xml:space="preserve">Moreover, fungal contamination in water sources could represent a vehicle for exposure to mycotoxins even where disease is not evident, as indicated by studies on mycotoxin occurrence in drinking water sources (Koko </w:t>
      </w:r>
      <w:r w:rsidR="00CA22BB" w:rsidRPr="00CA22BB">
        <w:rPr>
          <w:rFonts w:ascii="Calibri" w:hAnsi="Calibri" w:cs="Calibri"/>
          <w:i/>
          <w:sz w:val="24"/>
          <w:szCs w:val="24"/>
        </w:rPr>
        <w:t>et al</w:t>
      </w:r>
      <w:r w:rsidRPr="005D4B85">
        <w:rPr>
          <w:rFonts w:ascii="Calibri" w:hAnsi="Calibri" w:cs="Calibri"/>
          <w:sz w:val="24"/>
          <w:szCs w:val="24"/>
        </w:rPr>
        <w:t xml:space="preserve">., 2024). Although mycotoxins were not directly assessed in the present study, their potential presence in contaminated water supplies underscores the need for comprehensive water safety strategies. </w:t>
      </w:r>
    </w:p>
    <w:p w14:paraId="2A6A4454" w14:textId="77777777" w:rsid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The finding that all isolates were 100% susceptible to clotrimazole, ketoconazole, and nystatin suggests that at this time, these antifungal agents remain effective against fungi isolated from Gwagwalada River. This contrasts with reports of multidrug</w:t>
      </w:r>
      <w:r w:rsidRPr="005D4B85">
        <w:rPr>
          <w:rFonts w:ascii="Calibri" w:hAnsi="Calibri" w:cs="Calibri"/>
          <w:sz w:val="24"/>
          <w:szCs w:val="24"/>
        </w:rPr>
        <w:noBreakHyphen/>
        <w:t>resistant fungal isolates from surface waters in other Nigerian contexts, where high resistance to multiple antifungals was observed (</w:t>
      </w:r>
      <w:proofErr w:type="spellStart"/>
      <w:r w:rsidRPr="005D4B85">
        <w:rPr>
          <w:rFonts w:ascii="Calibri" w:hAnsi="Calibri" w:cs="Calibri"/>
          <w:sz w:val="24"/>
          <w:szCs w:val="24"/>
        </w:rPr>
        <w:t>Titilawo</w:t>
      </w:r>
      <w:proofErr w:type="spellEnd"/>
      <w:r w:rsidRPr="005D4B85">
        <w:rPr>
          <w:rFonts w:ascii="Calibri" w:hAnsi="Calibri" w:cs="Calibri"/>
          <w:sz w:val="24"/>
          <w:szCs w:val="24"/>
        </w:rPr>
        <w:t xml:space="preserve"> </w:t>
      </w:r>
      <w:r w:rsidR="00CA22BB" w:rsidRPr="00CA22BB">
        <w:rPr>
          <w:rFonts w:ascii="Calibri" w:hAnsi="Calibri" w:cs="Calibri"/>
          <w:i/>
          <w:sz w:val="24"/>
          <w:szCs w:val="24"/>
        </w:rPr>
        <w:t>et al</w:t>
      </w:r>
      <w:r w:rsidRPr="005D4B85">
        <w:rPr>
          <w:rFonts w:ascii="Calibri" w:hAnsi="Calibri" w:cs="Calibri"/>
          <w:sz w:val="24"/>
          <w:szCs w:val="24"/>
        </w:rPr>
        <w:t>., 2025). Such differences might reflect site</w:t>
      </w:r>
      <w:r w:rsidRPr="005D4B85">
        <w:rPr>
          <w:rFonts w:ascii="Calibri" w:hAnsi="Calibri" w:cs="Calibri"/>
          <w:sz w:val="24"/>
          <w:szCs w:val="24"/>
        </w:rPr>
        <w:noBreakHyphen/>
        <w:t xml:space="preserve">specific factors, including local pollution sources, antibiotic use patterns, or ecological pressures shaping resistance phenotypes. Continued monitoring is therefore essential to detect </w:t>
      </w:r>
      <w:r w:rsidR="007545B6">
        <w:rPr>
          <w:rFonts w:ascii="Calibri" w:hAnsi="Calibri" w:cs="Calibri"/>
          <w:sz w:val="24"/>
          <w:szCs w:val="24"/>
        </w:rPr>
        <w:t xml:space="preserve">the </w:t>
      </w:r>
      <w:r w:rsidRPr="005D4B85">
        <w:rPr>
          <w:rFonts w:ascii="Calibri" w:hAnsi="Calibri" w:cs="Calibri"/>
          <w:sz w:val="24"/>
          <w:szCs w:val="24"/>
        </w:rPr>
        <w:t xml:space="preserve">emergence of resistance, particularly given the global trend of increasing antimicrobial resistance in environmental fungi. </w:t>
      </w:r>
    </w:p>
    <w:p w14:paraId="1BDFB824" w14:textId="32D6E4D5" w:rsidR="0039239E" w:rsidRPr="0039239E" w:rsidRDefault="0039239E" w:rsidP="0039239E">
      <w:pPr>
        <w:spacing w:line="276" w:lineRule="auto"/>
        <w:jc w:val="both"/>
        <w:rPr>
          <w:rFonts w:ascii="Calibri" w:hAnsi="Calibri" w:cs="Calibri"/>
          <w:sz w:val="24"/>
          <w:szCs w:val="24"/>
        </w:rPr>
      </w:pPr>
      <w:r w:rsidRPr="0039239E">
        <w:rPr>
          <w:rFonts w:ascii="Calibri" w:hAnsi="Calibri" w:cs="Calibri"/>
          <w:sz w:val="24"/>
          <w:szCs w:val="24"/>
          <w:highlight w:val="yellow"/>
        </w:rPr>
        <w:t>The physicochemical assessment revealed notable variations across the sampling points (Table 6). While temperature and pH were within WHO permissible limits (25–27°C and 6.5–8.5, respectively), downstream point C showed elevated turbidity (24 NTU) and total suspended solids (108 mg/L), indicating increased particulate load likely due to abattoir effluent. Dissolved oxygen (DO) decreased from upstream (4.57 mg/L) to downstream (2.7 mg/L), reflecting oxygen consumption by microbial and organic matter decomposition (</w:t>
      </w:r>
      <w:proofErr w:type="spellStart"/>
      <w:r w:rsidRPr="0039239E">
        <w:rPr>
          <w:rFonts w:ascii="Calibri" w:hAnsi="Calibri" w:cs="Calibri"/>
          <w:sz w:val="24"/>
          <w:szCs w:val="24"/>
          <w:highlight w:val="yellow"/>
        </w:rPr>
        <w:t>Ndukwe</w:t>
      </w:r>
      <w:proofErr w:type="spellEnd"/>
      <w:r w:rsidRPr="0039239E">
        <w:rPr>
          <w:rFonts w:ascii="Calibri" w:hAnsi="Calibri" w:cs="Calibri"/>
          <w:sz w:val="24"/>
          <w:szCs w:val="24"/>
          <w:highlight w:val="yellow"/>
        </w:rPr>
        <w:t xml:space="preserve"> et al., 2023). BOD and COD measurements revealed contrasting trends, with BOD remaining below the WHO limit (≤30 mg/L) but COD peaking at 126 mg/L upstream, indicating the presence of chemically oxidizable organic compounds, potentially from abattoir waste. Nutrient analysis showed slightly elevated phosphates (8.65–8.74 mg/L) and nitrates (1.83–3.24 mg/L), highlighting anthropogenic input. Metal concentrations were largely within safe </w:t>
      </w:r>
      <w:r w:rsidRPr="0039239E">
        <w:rPr>
          <w:rFonts w:ascii="Calibri" w:hAnsi="Calibri" w:cs="Calibri"/>
          <w:sz w:val="24"/>
          <w:szCs w:val="24"/>
          <w:highlight w:val="yellow"/>
        </w:rPr>
        <w:lastRenderedPageBreak/>
        <w:t>limits except for lead at point A (0.47 mg/L), exceeding the WHO guideline of 0.1 mg/L, suggesting localized contamination risk. Overall, the physicochemical data corroborate the microbiological findings, as elevated organic matter and nutrient concentrations downstream provide favorable conditions for fungal proliferation. These results underscore the role of abattoir effluent in deteriorating water quality and shaping microbial community composition, consistent with previous studies (</w:t>
      </w:r>
      <w:proofErr w:type="spellStart"/>
      <w:r w:rsidRPr="0039239E">
        <w:rPr>
          <w:rFonts w:ascii="Calibri" w:hAnsi="Calibri" w:cs="Calibri"/>
          <w:sz w:val="24"/>
          <w:szCs w:val="24"/>
          <w:highlight w:val="yellow"/>
        </w:rPr>
        <w:t>Chinakwe</w:t>
      </w:r>
      <w:proofErr w:type="spellEnd"/>
      <w:r w:rsidRPr="0039239E">
        <w:rPr>
          <w:rFonts w:ascii="Calibri" w:hAnsi="Calibri" w:cs="Calibri"/>
          <w:sz w:val="24"/>
          <w:szCs w:val="24"/>
          <w:highlight w:val="yellow"/>
        </w:rPr>
        <w:t xml:space="preserve"> et al., 2022; Bakare-</w:t>
      </w:r>
      <w:proofErr w:type="spellStart"/>
      <w:r w:rsidRPr="0039239E">
        <w:rPr>
          <w:rFonts w:ascii="Calibri" w:hAnsi="Calibri" w:cs="Calibri"/>
          <w:sz w:val="24"/>
          <w:szCs w:val="24"/>
          <w:highlight w:val="yellow"/>
        </w:rPr>
        <w:t>Abidola</w:t>
      </w:r>
      <w:proofErr w:type="spellEnd"/>
      <w:r w:rsidRPr="0039239E">
        <w:rPr>
          <w:rFonts w:ascii="Calibri" w:hAnsi="Calibri" w:cs="Calibri"/>
          <w:sz w:val="24"/>
          <w:szCs w:val="24"/>
          <w:highlight w:val="yellow"/>
        </w:rPr>
        <w:t xml:space="preserve"> et al., 2025; </w:t>
      </w:r>
      <w:proofErr w:type="spellStart"/>
      <w:r w:rsidRPr="0039239E">
        <w:rPr>
          <w:rFonts w:ascii="Calibri" w:hAnsi="Calibri" w:cs="Calibri"/>
          <w:sz w:val="24"/>
          <w:szCs w:val="24"/>
          <w:highlight w:val="yellow"/>
        </w:rPr>
        <w:t>Awari</w:t>
      </w:r>
      <w:proofErr w:type="spellEnd"/>
      <w:r w:rsidRPr="0039239E">
        <w:rPr>
          <w:rFonts w:ascii="Calibri" w:hAnsi="Calibri" w:cs="Calibri"/>
          <w:sz w:val="24"/>
          <w:szCs w:val="24"/>
          <w:highlight w:val="yellow"/>
        </w:rPr>
        <w:t xml:space="preserve"> et al., 2025). Integrated physicochemical and microbiological assessment highlights the potential health risks associated with using untreated river water for domestic or recreational purposes.</w:t>
      </w:r>
    </w:p>
    <w:p w14:paraId="49CC1A77"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Studies examining fungal diversity in aquatic systems underscore the complexity of fungal communities and their sensitivity to environmental gradients. Aquatic fungal assemblages respond to factors like nutrient availability, pH, and organic pollution, which can shift community structure toward pollution</w:t>
      </w:r>
      <w:r w:rsidRPr="005D4B85">
        <w:rPr>
          <w:rFonts w:ascii="Calibri" w:hAnsi="Calibri" w:cs="Calibri"/>
          <w:sz w:val="24"/>
          <w:szCs w:val="24"/>
        </w:rPr>
        <w:noBreakHyphen/>
        <w:t xml:space="preserve">tolerant and potentially pathogenic taxa (Shen </w:t>
      </w:r>
      <w:r w:rsidR="00CA22BB" w:rsidRPr="00CA22BB">
        <w:rPr>
          <w:rFonts w:ascii="Calibri" w:hAnsi="Calibri" w:cs="Calibri"/>
          <w:i/>
          <w:sz w:val="24"/>
          <w:szCs w:val="24"/>
        </w:rPr>
        <w:t>et al</w:t>
      </w:r>
      <w:r w:rsidRPr="005D4B85">
        <w:rPr>
          <w:rFonts w:ascii="Calibri" w:hAnsi="Calibri" w:cs="Calibri"/>
          <w:sz w:val="24"/>
          <w:szCs w:val="24"/>
        </w:rPr>
        <w:t>., 2025). These dynamics are relevant to understanding the distribution of fungi along the Gwagwalada River, where effluent inputs likely create microhabitats that favor certain species.</w:t>
      </w:r>
    </w:p>
    <w:p w14:paraId="362019CD" w14:textId="77777777" w:rsidR="005D4B85" w:rsidRPr="005D4B85" w:rsidRDefault="005D4B85" w:rsidP="005D4B85">
      <w:pPr>
        <w:spacing w:line="276" w:lineRule="auto"/>
        <w:jc w:val="both"/>
        <w:rPr>
          <w:rFonts w:ascii="Calibri" w:hAnsi="Calibri" w:cs="Calibri"/>
          <w:sz w:val="24"/>
          <w:szCs w:val="24"/>
        </w:rPr>
      </w:pPr>
      <w:r w:rsidRPr="005D4B85">
        <w:rPr>
          <w:rFonts w:ascii="Calibri" w:hAnsi="Calibri" w:cs="Calibri"/>
          <w:sz w:val="24"/>
          <w:szCs w:val="24"/>
        </w:rPr>
        <w:t>Given the potential risks associated with contaminated surface waters, systematic monitoring of fungal contaminants should be integrated into broader water quality assessment frameworks. Regular surveillance can help detect shifts in microbial community composition and emergent resistance patterns, providing early warning for public health interventions. Water treatment measures, including effective effluent management and sanitation infrastructure, are vital to reducing fungal and other microbial pollutants in rivers receiving abattoir waste.</w:t>
      </w:r>
      <w:r w:rsidR="00BB78F7">
        <w:rPr>
          <w:rFonts w:ascii="Calibri" w:hAnsi="Calibri" w:cs="Calibri"/>
          <w:sz w:val="24"/>
          <w:szCs w:val="24"/>
        </w:rPr>
        <w:t xml:space="preserve"> </w:t>
      </w:r>
      <w:r w:rsidRPr="005D4B85">
        <w:rPr>
          <w:rFonts w:ascii="Calibri" w:hAnsi="Calibri" w:cs="Calibri"/>
          <w:sz w:val="24"/>
          <w:szCs w:val="24"/>
        </w:rPr>
        <w:t xml:space="preserve">Furthermore, public health education on the risks of using untreated river water can help mitigate exposure, especially for vulnerable populations such as children and </w:t>
      </w:r>
      <w:r w:rsidR="00BB78F7">
        <w:rPr>
          <w:rFonts w:ascii="Calibri" w:hAnsi="Calibri" w:cs="Calibri"/>
          <w:sz w:val="24"/>
          <w:szCs w:val="24"/>
        </w:rPr>
        <w:t>immune-</w:t>
      </w:r>
      <w:r w:rsidRPr="005D4B85">
        <w:rPr>
          <w:rFonts w:ascii="Calibri" w:hAnsi="Calibri" w:cs="Calibri"/>
          <w:sz w:val="24"/>
          <w:szCs w:val="24"/>
        </w:rPr>
        <w:t>compromised individuals.</w:t>
      </w:r>
    </w:p>
    <w:p w14:paraId="088AADC2" w14:textId="77777777" w:rsidR="00F34256" w:rsidRDefault="00F34256">
      <w:pPr>
        <w:rPr>
          <w:rFonts w:ascii="Calibri" w:hAnsi="Calibri" w:cs="Calibri"/>
          <w:b/>
          <w:sz w:val="24"/>
          <w:szCs w:val="24"/>
        </w:rPr>
      </w:pPr>
    </w:p>
    <w:p w14:paraId="4B38AE9D" w14:textId="77777777" w:rsidR="00302E88" w:rsidRPr="00302E88" w:rsidRDefault="0027119D" w:rsidP="00302E88">
      <w:pPr>
        <w:spacing w:line="276" w:lineRule="auto"/>
        <w:jc w:val="both"/>
        <w:rPr>
          <w:rFonts w:ascii="Calibri" w:hAnsi="Calibri" w:cs="Calibri"/>
          <w:sz w:val="24"/>
          <w:szCs w:val="24"/>
        </w:rPr>
      </w:pPr>
      <w:r>
        <w:rPr>
          <w:rFonts w:ascii="Calibri" w:hAnsi="Calibri" w:cs="Calibri"/>
          <w:b/>
          <w:bCs/>
          <w:sz w:val="24"/>
          <w:szCs w:val="24"/>
        </w:rPr>
        <w:t>CONCLUSION/</w:t>
      </w:r>
      <w:r w:rsidR="00F11C77" w:rsidRPr="00302E88">
        <w:rPr>
          <w:rFonts w:ascii="Calibri" w:hAnsi="Calibri" w:cs="Calibri"/>
          <w:b/>
          <w:bCs/>
          <w:sz w:val="24"/>
          <w:szCs w:val="24"/>
        </w:rPr>
        <w:t>RECOMMENDATION</w:t>
      </w:r>
      <w:r w:rsidR="00302E88" w:rsidRPr="00302E88">
        <w:rPr>
          <w:rFonts w:ascii="Calibri" w:hAnsi="Calibri" w:cs="Calibri"/>
          <w:b/>
          <w:sz w:val="24"/>
          <w:szCs w:val="24"/>
        </w:rPr>
        <w:br/>
      </w:r>
      <w:r w:rsidR="00302E88" w:rsidRPr="00302E88">
        <w:rPr>
          <w:rFonts w:ascii="Calibri" w:hAnsi="Calibri" w:cs="Calibri"/>
          <w:sz w:val="24"/>
          <w:szCs w:val="24"/>
        </w:rPr>
        <w:t xml:space="preserve">Based on the findings of high fungal loads and the presence of potentially pathogenic species in the Gwagwalada River, it is recommended that comprehensive and continuous microbiological monitoring programs be established. Regular surveillance of fungal populations, including molecular identification and antifungal susceptibility testing, will help detect shifts in community composition and the emergence of resistant strains. Effluent from </w:t>
      </w:r>
      <w:proofErr w:type="spellStart"/>
      <w:r w:rsidR="00302E88" w:rsidRPr="00302E88">
        <w:rPr>
          <w:rFonts w:ascii="Calibri" w:hAnsi="Calibri" w:cs="Calibri"/>
          <w:sz w:val="24"/>
          <w:szCs w:val="24"/>
        </w:rPr>
        <w:t>Kutunku</w:t>
      </w:r>
      <w:proofErr w:type="spellEnd"/>
      <w:r w:rsidR="00302E88" w:rsidRPr="00302E88">
        <w:rPr>
          <w:rFonts w:ascii="Calibri" w:hAnsi="Calibri" w:cs="Calibri"/>
          <w:sz w:val="24"/>
          <w:szCs w:val="24"/>
        </w:rPr>
        <w:t xml:space="preserve"> abattoir should undergo proper treatment before discharge to reduce microbial and chemical pollution, and water quality management practices should be enforced by regulatory authorities. Public health awareness campaigns are also essential to educate communities on the risks of using untreated river water for domestic or recreational purposes. Additionally, implementing effective sanitation and wastewater management infrastructure will minimize environmental contamination. Long-term ecological studies on </w:t>
      </w:r>
      <w:r w:rsidR="00302E88" w:rsidRPr="00302E88">
        <w:rPr>
          <w:rFonts w:ascii="Calibri" w:hAnsi="Calibri" w:cs="Calibri"/>
          <w:sz w:val="24"/>
          <w:szCs w:val="24"/>
        </w:rPr>
        <w:lastRenderedPageBreak/>
        <w:t>the impact of abattoir effluents on aquatic fungal communities are advised to inform policy decisions and safeguard both human health and ecosystem integrity</w:t>
      </w:r>
      <w:r w:rsidR="00302E88">
        <w:rPr>
          <w:rFonts w:ascii="Calibri" w:hAnsi="Calibri" w:cs="Calibri"/>
          <w:sz w:val="24"/>
          <w:szCs w:val="24"/>
        </w:rPr>
        <w:t>.</w:t>
      </w:r>
    </w:p>
    <w:p w14:paraId="588F8D48" w14:textId="77777777" w:rsidR="00D520AD" w:rsidRDefault="00D520AD" w:rsidP="00D520AD">
      <w:pPr>
        <w:rPr>
          <w:rFonts w:ascii="Calibri" w:hAnsi="Calibri" w:cs="Calibri"/>
          <w:b/>
          <w:bCs/>
          <w:sz w:val="24"/>
          <w:szCs w:val="24"/>
        </w:rPr>
      </w:pPr>
    </w:p>
    <w:p w14:paraId="2A07962E" w14:textId="77777777" w:rsidR="007A0365" w:rsidRPr="003D2685" w:rsidRDefault="007A0365" w:rsidP="003D2685">
      <w:pPr>
        <w:jc w:val="both"/>
        <w:rPr>
          <w:rFonts w:ascii="Calibri" w:hAnsi="Calibri" w:cs="Calibri"/>
          <w:b/>
          <w:sz w:val="24"/>
          <w:szCs w:val="24"/>
          <w:highlight w:val="yellow"/>
        </w:rPr>
      </w:pPr>
      <w:r w:rsidRPr="003D2685">
        <w:rPr>
          <w:rFonts w:ascii="Calibri" w:hAnsi="Calibri" w:cs="Calibri"/>
          <w:b/>
          <w:sz w:val="24"/>
          <w:szCs w:val="24"/>
          <w:highlight w:val="yellow"/>
        </w:rPr>
        <w:t>Disclaimer (Artificial intelligence)</w:t>
      </w:r>
    </w:p>
    <w:p w14:paraId="001924A7" w14:textId="77777777" w:rsidR="007A0365" w:rsidRPr="003D2685" w:rsidRDefault="007A0365" w:rsidP="003D2685">
      <w:pPr>
        <w:jc w:val="both"/>
        <w:rPr>
          <w:rFonts w:ascii="Calibri" w:hAnsi="Calibri" w:cs="Calibri"/>
          <w:sz w:val="24"/>
          <w:szCs w:val="24"/>
          <w:highlight w:val="yellow"/>
        </w:rPr>
      </w:pPr>
      <w:r w:rsidRPr="003D2685">
        <w:rPr>
          <w:rFonts w:ascii="Calibri" w:hAnsi="Calibri" w:cs="Calibri"/>
          <w:sz w:val="24"/>
          <w:szCs w:val="24"/>
          <w:highlight w:val="yellow"/>
        </w:rPr>
        <w:t>Author(s) hereby declare that NO generative AI technologies such as Large Language Models (</w:t>
      </w:r>
      <w:proofErr w:type="spellStart"/>
      <w:r w:rsidRPr="003D2685">
        <w:rPr>
          <w:rFonts w:ascii="Calibri" w:hAnsi="Calibri" w:cs="Calibri"/>
          <w:sz w:val="24"/>
          <w:szCs w:val="24"/>
          <w:highlight w:val="yellow"/>
        </w:rPr>
        <w:t>ChatGPT</w:t>
      </w:r>
      <w:proofErr w:type="spellEnd"/>
      <w:r w:rsidRPr="003D2685">
        <w:rPr>
          <w:rFonts w:ascii="Calibri" w:hAnsi="Calibri" w:cs="Calibri"/>
          <w:sz w:val="24"/>
          <w:szCs w:val="24"/>
          <w:highlight w:val="yellow"/>
        </w:rPr>
        <w:t xml:space="preserve">, COPILOT, etc.) and text-to-image generators have been used during the writing or editing of this manuscript. </w:t>
      </w:r>
    </w:p>
    <w:p w14:paraId="73521405" w14:textId="77777777" w:rsidR="00302E88" w:rsidRDefault="00302E88">
      <w:pPr>
        <w:rPr>
          <w:rFonts w:ascii="Calibri" w:hAnsi="Calibri" w:cs="Calibri"/>
          <w:b/>
          <w:sz w:val="24"/>
          <w:szCs w:val="24"/>
        </w:rPr>
      </w:pPr>
    </w:p>
    <w:p w14:paraId="2ED6EC58" w14:textId="77777777" w:rsidR="00D43EAD" w:rsidRPr="00126E35" w:rsidRDefault="00084359">
      <w:pPr>
        <w:rPr>
          <w:rFonts w:ascii="Calibri" w:hAnsi="Calibri" w:cs="Calibri"/>
          <w:b/>
          <w:sz w:val="24"/>
          <w:szCs w:val="24"/>
        </w:rPr>
      </w:pPr>
      <w:r w:rsidRPr="00126E35">
        <w:rPr>
          <w:rFonts w:ascii="Calibri" w:hAnsi="Calibri" w:cs="Calibri"/>
          <w:b/>
          <w:sz w:val="24"/>
          <w:szCs w:val="24"/>
        </w:rPr>
        <w:t xml:space="preserve">REFERENCES </w:t>
      </w:r>
    </w:p>
    <w:p w14:paraId="0635AE6F"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 xml:space="preserve">Abana, C. C., </w:t>
      </w:r>
      <w:proofErr w:type="spellStart"/>
      <w:r w:rsidRPr="006A05B2">
        <w:rPr>
          <w:rFonts w:ascii="Calibri" w:eastAsia="Times New Roman" w:hAnsi="Calibri" w:cs="Calibri"/>
          <w:bCs/>
          <w:color w:val="000000" w:themeColor="text1"/>
          <w:sz w:val="24"/>
          <w:szCs w:val="24"/>
        </w:rPr>
        <w:t>Anyamene</w:t>
      </w:r>
      <w:proofErr w:type="spellEnd"/>
      <w:r w:rsidRPr="006A05B2">
        <w:rPr>
          <w:rFonts w:ascii="Calibri" w:eastAsia="Times New Roman" w:hAnsi="Calibri" w:cs="Calibri"/>
          <w:bCs/>
          <w:color w:val="000000" w:themeColor="text1"/>
          <w:sz w:val="24"/>
          <w:szCs w:val="24"/>
        </w:rPr>
        <w:t xml:space="preserve">, C. O., </w:t>
      </w:r>
      <w:proofErr w:type="spellStart"/>
      <w:r w:rsidRPr="006A05B2">
        <w:rPr>
          <w:rFonts w:ascii="Calibri" w:eastAsia="Times New Roman" w:hAnsi="Calibri" w:cs="Calibri"/>
          <w:bCs/>
          <w:color w:val="000000" w:themeColor="text1"/>
          <w:sz w:val="24"/>
          <w:szCs w:val="24"/>
        </w:rPr>
        <w:t>Ezebialu</w:t>
      </w:r>
      <w:proofErr w:type="spellEnd"/>
      <w:r w:rsidRPr="006A05B2">
        <w:rPr>
          <w:rFonts w:ascii="Calibri" w:eastAsia="Times New Roman" w:hAnsi="Calibri" w:cs="Calibri"/>
          <w:bCs/>
          <w:color w:val="000000" w:themeColor="text1"/>
          <w:sz w:val="24"/>
          <w:szCs w:val="24"/>
        </w:rPr>
        <w:t xml:space="preserve">, C. U., Okonkwo, N. N., </w:t>
      </w:r>
      <w:proofErr w:type="spellStart"/>
      <w:r w:rsidRPr="006A05B2">
        <w:rPr>
          <w:rFonts w:ascii="Calibri" w:eastAsia="Times New Roman" w:hAnsi="Calibri" w:cs="Calibri"/>
          <w:bCs/>
          <w:color w:val="000000" w:themeColor="text1"/>
          <w:sz w:val="24"/>
          <w:szCs w:val="24"/>
        </w:rPr>
        <w:t>Umeoduagu</w:t>
      </w:r>
      <w:proofErr w:type="spellEnd"/>
      <w:r w:rsidRPr="006A05B2">
        <w:rPr>
          <w:rFonts w:ascii="Calibri" w:eastAsia="Times New Roman" w:hAnsi="Calibri" w:cs="Calibri"/>
          <w:bCs/>
          <w:color w:val="000000" w:themeColor="text1"/>
          <w:sz w:val="24"/>
          <w:szCs w:val="24"/>
        </w:rPr>
        <w:t xml:space="preserve">, N. D., </w:t>
      </w:r>
      <w:proofErr w:type="spellStart"/>
      <w:r w:rsidRPr="006A05B2">
        <w:rPr>
          <w:rFonts w:ascii="Calibri" w:eastAsia="Times New Roman" w:hAnsi="Calibri" w:cs="Calibri"/>
          <w:bCs/>
          <w:color w:val="000000" w:themeColor="text1"/>
          <w:sz w:val="24"/>
          <w:szCs w:val="24"/>
        </w:rPr>
        <w:t>Egurefa</w:t>
      </w:r>
      <w:proofErr w:type="spellEnd"/>
      <w:r w:rsidRPr="006A05B2">
        <w:rPr>
          <w:rFonts w:ascii="Calibri" w:eastAsia="Times New Roman" w:hAnsi="Calibri" w:cs="Calibri"/>
          <w:bCs/>
          <w:color w:val="000000" w:themeColor="text1"/>
          <w:sz w:val="24"/>
          <w:szCs w:val="24"/>
        </w:rPr>
        <w:t xml:space="preserve">, S. O., Okoli, F. A., </w:t>
      </w:r>
      <w:proofErr w:type="spellStart"/>
      <w:r w:rsidRPr="006A05B2">
        <w:rPr>
          <w:rFonts w:ascii="Calibri" w:eastAsia="Times New Roman" w:hAnsi="Calibri" w:cs="Calibri"/>
          <w:bCs/>
          <w:color w:val="000000" w:themeColor="text1"/>
          <w:sz w:val="24"/>
          <w:szCs w:val="24"/>
        </w:rPr>
        <w:t>Udenweze</w:t>
      </w:r>
      <w:proofErr w:type="spellEnd"/>
      <w:r w:rsidRPr="006A05B2">
        <w:rPr>
          <w:rFonts w:ascii="Calibri" w:eastAsia="Times New Roman" w:hAnsi="Calibri" w:cs="Calibri"/>
          <w:bCs/>
          <w:color w:val="000000" w:themeColor="text1"/>
          <w:sz w:val="24"/>
          <w:szCs w:val="24"/>
        </w:rPr>
        <w:t xml:space="preserve">, E. C., &amp; </w:t>
      </w:r>
      <w:proofErr w:type="spellStart"/>
      <w:r w:rsidRPr="006A05B2">
        <w:rPr>
          <w:rFonts w:ascii="Calibri" w:eastAsia="Times New Roman" w:hAnsi="Calibri" w:cs="Calibri"/>
          <w:bCs/>
          <w:color w:val="000000" w:themeColor="text1"/>
          <w:sz w:val="24"/>
          <w:szCs w:val="24"/>
        </w:rPr>
        <w:t>Awari</w:t>
      </w:r>
      <w:proofErr w:type="spellEnd"/>
      <w:r w:rsidRPr="006A05B2">
        <w:rPr>
          <w:rFonts w:ascii="Calibri" w:eastAsia="Times New Roman" w:hAnsi="Calibri" w:cs="Calibri"/>
          <w:bCs/>
          <w:color w:val="000000" w:themeColor="text1"/>
          <w:sz w:val="24"/>
          <w:szCs w:val="24"/>
        </w:rPr>
        <w:t>, V. G. (2024). Isolation and identification of bacteria and fungi from selected rivers and lake. ISAR Journal of Science &amp; Technology, 2(4), 29–35.</w:t>
      </w:r>
    </w:p>
    <w:p w14:paraId="54719038"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 xml:space="preserve">Al-Afify, A. D. G., Abdo, M. H., Othman, A. A., &amp; Hassan, K. H. (2023). Water quality and microbiological assessment of </w:t>
      </w:r>
      <w:proofErr w:type="spellStart"/>
      <w:r w:rsidRPr="006A05B2">
        <w:rPr>
          <w:rFonts w:ascii="Calibri" w:eastAsia="Times New Roman" w:hAnsi="Calibri" w:cs="Calibri"/>
          <w:bCs/>
          <w:color w:val="000000" w:themeColor="text1"/>
          <w:sz w:val="24"/>
          <w:szCs w:val="24"/>
        </w:rPr>
        <w:t>Burullus</w:t>
      </w:r>
      <w:proofErr w:type="spellEnd"/>
      <w:r w:rsidRPr="006A05B2">
        <w:rPr>
          <w:rFonts w:ascii="Calibri" w:eastAsia="Times New Roman" w:hAnsi="Calibri" w:cs="Calibri"/>
          <w:bCs/>
          <w:color w:val="000000" w:themeColor="text1"/>
          <w:sz w:val="24"/>
          <w:szCs w:val="24"/>
        </w:rPr>
        <w:t xml:space="preserve"> Lake and its surrounding drains. Water, Air, &amp; Soil Pollution, 234, 385. https://doi.org/10.1007/s11270-023-06351-3</w:t>
      </w:r>
    </w:p>
    <w:p w14:paraId="23B6A184"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Awari</w:t>
      </w:r>
      <w:proofErr w:type="spellEnd"/>
      <w:r w:rsidRPr="006A05B2">
        <w:rPr>
          <w:rFonts w:ascii="Calibri" w:eastAsia="Times New Roman" w:hAnsi="Calibri" w:cs="Calibri"/>
          <w:bCs/>
          <w:color w:val="000000" w:themeColor="text1"/>
          <w:sz w:val="24"/>
          <w:szCs w:val="24"/>
        </w:rPr>
        <w:t xml:space="preserve">, V. G., </w:t>
      </w:r>
      <w:proofErr w:type="spellStart"/>
      <w:r w:rsidRPr="006A05B2">
        <w:rPr>
          <w:rFonts w:ascii="Calibri" w:eastAsia="Times New Roman" w:hAnsi="Calibri" w:cs="Calibri"/>
          <w:bCs/>
          <w:color w:val="000000" w:themeColor="text1"/>
          <w:sz w:val="24"/>
          <w:szCs w:val="24"/>
        </w:rPr>
        <w:t>Ofunnwa</w:t>
      </w:r>
      <w:proofErr w:type="spellEnd"/>
      <w:r w:rsidRPr="006A05B2">
        <w:rPr>
          <w:rFonts w:ascii="Calibri" w:eastAsia="Times New Roman" w:hAnsi="Calibri" w:cs="Calibri"/>
          <w:bCs/>
          <w:color w:val="000000" w:themeColor="text1"/>
          <w:sz w:val="24"/>
          <w:szCs w:val="24"/>
        </w:rPr>
        <w:t xml:space="preserve">, J. P., </w:t>
      </w:r>
      <w:proofErr w:type="spellStart"/>
      <w:r w:rsidRPr="006A05B2">
        <w:rPr>
          <w:rFonts w:ascii="Calibri" w:eastAsia="Times New Roman" w:hAnsi="Calibri" w:cs="Calibri"/>
          <w:bCs/>
          <w:color w:val="000000" w:themeColor="text1"/>
          <w:sz w:val="24"/>
          <w:szCs w:val="24"/>
        </w:rPr>
        <w:t>Nwozor</w:t>
      </w:r>
      <w:proofErr w:type="spellEnd"/>
      <w:r w:rsidRPr="006A05B2">
        <w:rPr>
          <w:rFonts w:ascii="Calibri" w:eastAsia="Times New Roman" w:hAnsi="Calibri" w:cs="Calibri"/>
          <w:bCs/>
          <w:color w:val="000000" w:themeColor="text1"/>
          <w:sz w:val="24"/>
          <w:szCs w:val="24"/>
        </w:rPr>
        <w:t xml:space="preserve">, N. C., Soludo, O. C., Imo, K. I., </w:t>
      </w:r>
      <w:proofErr w:type="spellStart"/>
      <w:r w:rsidRPr="006A05B2">
        <w:rPr>
          <w:rFonts w:ascii="Calibri" w:eastAsia="Times New Roman" w:hAnsi="Calibri" w:cs="Calibri"/>
          <w:bCs/>
          <w:color w:val="000000" w:themeColor="text1"/>
          <w:sz w:val="24"/>
          <w:szCs w:val="24"/>
        </w:rPr>
        <w:t>Nwajiobi</w:t>
      </w:r>
      <w:proofErr w:type="spellEnd"/>
      <w:r w:rsidRPr="006A05B2">
        <w:rPr>
          <w:rFonts w:ascii="Calibri" w:eastAsia="Times New Roman" w:hAnsi="Calibri" w:cs="Calibri"/>
          <w:bCs/>
          <w:color w:val="000000" w:themeColor="text1"/>
          <w:sz w:val="24"/>
          <w:szCs w:val="24"/>
        </w:rPr>
        <w:t xml:space="preserve">, F. O., Chukwu, A. U., Agu, K. C., </w:t>
      </w:r>
      <w:proofErr w:type="spellStart"/>
      <w:r w:rsidRPr="006A05B2">
        <w:rPr>
          <w:rFonts w:ascii="Calibri" w:eastAsia="Times New Roman" w:hAnsi="Calibri" w:cs="Calibri"/>
          <w:bCs/>
          <w:color w:val="000000" w:themeColor="text1"/>
          <w:sz w:val="24"/>
          <w:szCs w:val="24"/>
        </w:rPr>
        <w:t>Ogujiofor</w:t>
      </w:r>
      <w:proofErr w:type="spellEnd"/>
      <w:r w:rsidRPr="006A05B2">
        <w:rPr>
          <w:rFonts w:ascii="Calibri" w:eastAsia="Times New Roman" w:hAnsi="Calibri" w:cs="Calibri"/>
          <w:bCs/>
          <w:color w:val="000000" w:themeColor="text1"/>
          <w:sz w:val="24"/>
          <w:szCs w:val="24"/>
        </w:rPr>
        <w:t xml:space="preserve">, F. I., Awah, N. S., &amp; Agor, T. M. (2025). Microbiological investigation of wastewater discharge from Temple and </w:t>
      </w:r>
      <w:proofErr w:type="spellStart"/>
      <w:r w:rsidRPr="006A05B2">
        <w:rPr>
          <w:rFonts w:ascii="Calibri" w:eastAsia="Times New Roman" w:hAnsi="Calibri" w:cs="Calibri"/>
          <w:bCs/>
          <w:color w:val="000000" w:themeColor="text1"/>
          <w:sz w:val="24"/>
          <w:szCs w:val="24"/>
        </w:rPr>
        <w:t>Nkwelle</w:t>
      </w:r>
      <w:proofErr w:type="spellEnd"/>
      <w:r w:rsidRPr="006A05B2">
        <w:rPr>
          <w:rFonts w:ascii="Calibri" w:eastAsia="Times New Roman" w:hAnsi="Calibri" w:cs="Calibri"/>
          <w:bCs/>
          <w:color w:val="000000" w:themeColor="text1"/>
          <w:sz w:val="24"/>
          <w:szCs w:val="24"/>
        </w:rPr>
        <w:t xml:space="preserve"> abattoir. International Journal of Multidisciplinary Approach Research and Science, 3(3), 845–859. https://doi.org/10.59653/ijmars.v3i03.1851</w:t>
      </w:r>
    </w:p>
    <w:p w14:paraId="305F1162"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Babič, M. N., &amp; Gunde-Cimerman, N. (2021). Water-transmitted fungi are involved in degradation of concrete drinking water storage tanks. Microorganisms, 9(1), 160. https://doi.org/10.3390/microorganisms9010160</w:t>
      </w:r>
    </w:p>
    <w:p w14:paraId="4A2A9A91"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Bakare-</w:t>
      </w:r>
      <w:proofErr w:type="spellStart"/>
      <w:r w:rsidRPr="006A05B2">
        <w:rPr>
          <w:rFonts w:ascii="Calibri" w:eastAsia="Times New Roman" w:hAnsi="Calibri" w:cs="Calibri"/>
          <w:bCs/>
          <w:color w:val="000000" w:themeColor="text1"/>
          <w:sz w:val="24"/>
          <w:szCs w:val="24"/>
        </w:rPr>
        <w:t>Abidola</w:t>
      </w:r>
      <w:proofErr w:type="spellEnd"/>
      <w:r w:rsidRPr="006A05B2">
        <w:rPr>
          <w:rFonts w:ascii="Calibri" w:eastAsia="Times New Roman" w:hAnsi="Calibri" w:cs="Calibri"/>
          <w:bCs/>
          <w:color w:val="000000" w:themeColor="text1"/>
          <w:sz w:val="24"/>
          <w:szCs w:val="24"/>
        </w:rPr>
        <w:t xml:space="preserve">, T., </w:t>
      </w:r>
      <w:proofErr w:type="spellStart"/>
      <w:r w:rsidRPr="006A05B2">
        <w:rPr>
          <w:rFonts w:ascii="Calibri" w:eastAsia="Times New Roman" w:hAnsi="Calibri" w:cs="Calibri"/>
          <w:bCs/>
          <w:color w:val="000000" w:themeColor="text1"/>
          <w:sz w:val="24"/>
          <w:szCs w:val="24"/>
        </w:rPr>
        <w:t>Elabor</w:t>
      </w:r>
      <w:proofErr w:type="spellEnd"/>
      <w:r w:rsidRPr="006A05B2">
        <w:rPr>
          <w:rFonts w:ascii="Calibri" w:eastAsia="Times New Roman" w:hAnsi="Calibri" w:cs="Calibri"/>
          <w:bCs/>
          <w:color w:val="000000" w:themeColor="text1"/>
          <w:sz w:val="24"/>
          <w:szCs w:val="24"/>
        </w:rPr>
        <w:t xml:space="preserve">, I., Onwuchekwa, N., Onwuchekwa, C., Oladeji, J., Olawale, A. O., &amp; </w:t>
      </w:r>
      <w:proofErr w:type="spellStart"/>
      <w:r w:rsidRPr="006A05B2">
        <w:rPr>
          <w:rFonts w:ascii="Calibri" w:eastAsia="Times New Roman" w:hAnsi="Calibri" w:cs="Calibri"/>
          <w:bCs/>
          <w:color w:val="000000" w:themeColor="text1"/>
          <w:sz w:val="24"/>
          <w:szCs w:val="24"/>
        </w:rPr>
        <w:t>Adeiza</w:t>
      </w:r>
      <w:proofErr w:type="spellEnd"/>
      <w:r w:rsidRPr="006A05B2">
        <w:rPr>
          <w:rFonts w:ascii="Calibri" w:eastAsia="Times New Roman" w:hAnsi="Calibri" w:cs="Calibri"/>
          <w:bCs/>
          <w:color w:val="000000" w:themeColor="text1"/>
          <w:sz w:val="24"/>
          <w:szCs w:val="24"/>
        </w:rPr>
        <w:t>, A. A. (2025). Environmental impact assessment of abattoir wastewater. Path of Science, 11(6), 5001–5014. https://doi.org/10.22178/pos.11916</w:t>
      </w:r>
    </w:p>
    <w:p w14:paraId="487D0E86" w14:textId="7F4C1EFB" w:rsidR="00754149" w:rsidRPr="00754149" w:rsidRDefault="00754149"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highlight w:val="yellow"/>
        </w:rPr>
      </w:pPr>
      <w:proofErr w:type="spellStart"/>
      <w:r w:rsidRPr="00754149">
        <w:rPr>
          <w:rFonts w:ascii="Calibri" w:eastAsia="Times New Roman" w:hAnsi="Calibri" w:cs="Calibri"/>
          <w:bCs/>
          <w:color w:val="000000" w:themeColor="text1"/>
          <w:sz w:val="24"/>
          <w:szCs w:val="24"/>
          <w:highlight w:val="yellow"/>
        </w:rPr>
        <w:t>Boi</w:t>
      </w:r>
      <w:proofErr w:type="spellEnd"/>
      <w:r w:rsidRPr="00754149">
        <w:rPr>
          <w:rFonts w:ascii="Calibri" w:eastAsia="Times New Roman" w:hAnsi="Calibri" w:cs="Calibri"/>
          <w:bCs/>
          <w:color w:val="000000" w:themeColor="text1"/>
          <w:sz w:val="24"/>
          <w:szCs w:val="24"/>
          <w:highlight w:val="yellow"/>
        </w:rPr>
        <w:t xml:space="preserve">, P., Amalfitano, S., Manti, A., </w:t>
      </w:r>
      <w:proofErr w:type="spellStart"/>
      <w:r w:rsidRPr="00754149">
        <w:rPr>
          <w:rFonts w:ascii="Calibri" w:eastAsia="Times New Roman" w:hAnsi="Calibri" w:cs="Calibri"/>
          <w:bCs/>
          <w:color w:val="000000" w:themeColor="text1"/>
          <w:sz w:val="24"/>
          <w:szCs w:val="24"/>
          <w:highlight w:val="yellow"/>
        </w:rPr>
        <w:t>Semprucci</w:t>
      </w:r>
      <w:proofErr w:type="spellEnd"/>
      <w:r w:rsidRPr="00754149">
        <w:rPr>
          <w:rFonts w:ascii="Calibri" w:eastAsia="Times New Roman" w:hAnsi="Calibri" w:cs="Calibri"/>
          <w:bCs/>
          <w:color w:val="000000" w:themeColor="text1"/>
          <w:sz w:val="24"/>
          <w:szCs w:val="24"/>
          <w:highlight w:val="yellow"/>
        </w:rPr>
        <w:t xml:space="preserve">, F., </w:t>
      </w:r>
      <w:proofErr w:type="spellStart"/>
      <w:r w:rsidRPr="00754149">
        <w:rPr>
          <w:rFonts w:ascii="Calibri" w:eastAsia="Times New Roman" w:hAnsi="Calibri" w:cs="Calibri"/>
          <w:bCs/>
          <w:color w:val="000000" w:themeColor="text1"/>
          <w:sz w:val="24"/>
          <w:szCs w:val="24"/>
          <w:highlight w:val="yellow"/>
        </w:rPr>
        <w:t>Sisti</w:t>
      </w:r>
      <w:proofErr w:type="spellEnd"/>
      <w:r w:rsidRPr="00754149">
        <w:rPr>
          <w:rFonts w:ascii="Calibri" w:eastAsia="Times New Roman" w:hAnsi="Calibri" w:cs="Calibri"/>
          <w:bCs/>
          <w:color w:val="000000" w:themeColor="text1"/>
          <w:sz w:val="24"/>
          <w:szCs w:val="24"/>
          <w:highlight w:val="yellow"/>
        </w:rPr>
        <w:t xml:space="preserve">, D., </w:t>
      </w:r>
      <w:proofErr w:type="spellStart"/>
      <w:r w:rsidRPr="00754149">
        <w:rPr>
          <w:rFonts w:ascii="Calibri" w:eastAsia="Times New Roman" w:hAnsi="Calibri" w:cs="Calibri"/>
          <w:bCs/>
          <w:color w:val="000000" w:themeColor="text1"/>
          <w:sz w:val="24"/>
          <w:szCs w:val="24"/>
          <w:highlight w:val="yellow"/>
        </w:rPr>
        <w:t>Rocchi</w:t>
      </w:r>
      <w:proofErr w:type="spellEnd"/>
      <w:r w:rsidRPr="00754149">
        <w:rPr>
          <w:rFonts w:ascii="Calibri" w:eastAsia="Times New Roman" w:hAnsi="Calibri" w:cs="Calibri"/>
          <w:bCs/>
          <w:color w:val="000000" w:themeColor="text1"/>
          <w:sz w:val="24"/>
          <w:szCs w:val="24"/>
          <w:highlight w:val="yellow"/>
        </w:rPr>
        <w:t xml:space="preserve">, M. B., Balsamo, M., &amp; Papa, S. (2016). </w:t>
      </w:r>
      <w:r w:rsidRPr="00754149">
        <w:rPr>
          <w:rFonts w:ascii="Calibri" w:eastAsia="Times New Roman" w:hAnsi="Calibri" w:cs="Calibri"/>
          <w:bCs/>
          <w:iCs/>
          <w:color w:val="000000" w:themeColor="text1"/>
          <w:sz w:val="24"/>
          <w:szCs w:val="24"/>
          <w:highlight w:val="yellow"/>
        </w:rPr>
        <w:t>Strategies for water quality assessment: a multiparametric analysis of microbiological changes in river waters</w:t>
      </w:r>
      <w:r w:rsidRPr="00754149">
        <w:rPr>
          <w:rFonts w:ascii="Calibri" w:eastAsia="Times New Roman" w:hAnsi="Calibri" w:cs="Calibri"/>
          <w:bCs/>
          <w:color w:val="000000" w:themeColor="text1"/>
          <w:sz w:val="24"/>
          <w:szCs w:val="24"/>
          <w:highlight w:val="yellow"/>
        </w:rPr>
        <w:t xml:space="preserve">. </w:t>
      </w:r>
      <w:r w:rsidRPr="00754149">
        <w:rPr>
          <w:rFonts w:ascii="Calibri" w:eastAsia="Times New Roman" w:hAnsi="Calibri" w:cs="Calibri"/>
          <w:bCs/>
          <w:iCs/>
          <w:color w:val="000000" w:themeColor="text1"/>
          <w:sz w:val="24"/>
          <w:szCs w:val="24"/>
          <w:highlight w:val="yellow"/>
        </w:rPr>
        <w:t>River Research and Applications</w:t>
      </w:r>
      <w:r w:rsidRPr="00754149">
        <w:rPr>
          <w:rFonts w:ascii="Calibri" w:eastAsia="Times New Roman" w:hAnsi="Calibri" w:cs="Calibri"/>
          <w:bCs/>
          <w:color w:val="000000" w:themeColor="text1"/>
          <w:sz w:val="24"/>
          <w:szCs w:val="24"/>
          <w:highlight w:val="yellow"/>
        </w:rPr>
        <w:t>, 32(3), 490–500. doi:10.1002/rra.2872</w:t>
      </w:r>
    </w:p>
    <w:p w14:paraId="5F788ED5"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Buitrago-</w:t>
      </w:r>
      <w:proofErr w:type="spellStart"/>
      <w:r w:rsidRPr="006A05B2">
        <w:rPr>
          <w:rFonts w:ascii="Calibri" w:eastAsia="Times New Roman" w:hAnsi="Calibri" w:cs="Calibri"/>
          <w:bCs/>
          <w:color w:val="000000" w:themeColor="text1"/>
          <w:sz w:val="24"/>
          <w:szCs w:val="24"/>
        </w:rPr>
        <w:t>Zuluaga</w:t>
      </w:r>
      <w:proofErr w:type="spellEnd"/>
      <w:r w:rsidRPr="006A05B2">
        <w:rPr>
          <w:rFonts w:ascii="Calibri" w:eastAsia="Times New Roman" w:hAnsi="Calibri" w:cs="Calibri"/>
          <w:bCs/>
          <w:color w:val="000000" w:themeColor="text1"/>
          <w:sz w:val="24"/>
          <w:szCs w:val="24"/>
        </w:rPr>
        <w:t>, C., Osorio-Giraldo, C. V., &amp; Peñuela-Martínez, A. E. (2025). Identification of filamentous fungi present in prolonged fermentations of Coffea arabica L. var. Castillo. Applied Microbiology, 5(4), 114. https://doi.org/10.3390/applmicrobiol5040114</w:t>
      </w:r>
    </w:p>
    <w:p w14:paraId="2F0C5945"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Chinakwe</w:t>
      </w:r>
      <w:proofErr w:type="spellEnd"/>
      <w:r w:rsidRPr="006A05B2">
        <w:rPr>
          <w:rFonts w:ascii="Calibri" w:eastAsia="Times New Roman" w:hAnsi="Calibri" w:cs="Calibri"/>
          <w:bCs/>
          <w:color w:val="000000" w:themeColor="text1"/>
          <w:sz w:val="24"/>
          <w:szCs w:val="24"/>
        </w:rPr>
        <w:t xml:space="preserve">, E. C., Nwogwugwu, N. U., Ihejirika, C. E., </w:t>
      </w:r>
      <w:proofErr w:type="spellStart"/>
      <w:r w:rsidRPr="006A05B2">
        <w:rPr>
          <w:rFonts w:ascii="Calibri" w:eastAsia="Times New Roman" w:hAnsi="Calibri" w:cs="Calibri"/>
          <w:bCs/>
          <w:color w:val="000000" w:themeColor="text1"/>
          <w:sz w:val="24"/>
          <w:szCs w:val="24"/>
        </w:rPr>
        <w:t>Ngumah</w:t>
      </w:r>
      <w:proofErr w:type="spellEnd"/>
      <w:r w:rsidRPr="006A05B2">
        <w:rPr>
          <w:rFonts w:ascii="Calibri" w:eastAsia="Times New Roman" w:hAnsi="Calibri" w:cs="Calibri"/>
          <w:bCs/>
          <w:color w:val="000000" w:themeColor="text1"/>
          <w:sz w:val="24"/>
          <w:szCs w:val="24"/>
        </w:rPr>
        <w:t xml:space="preserve">, J. C., Mike-Anosike, E. E., </w:t>
      </w:r>
      <w:proofErr w:type="spellStart"/>
      <w:r w:rsidRPr="006A05B2">
        <w:rPr>
          <w:rFonts w:ascii="Calibri" w:eastAsia="Times New Roman" w:hAnsi="Calibri" w:cs="Calibri"/>
          <w:bCs/>
          <w:color w:val="000000" w:themeColor="text1"/>
          <w:sz w:val="24"/>
          <w:szCs w:val="24"/>
        </w:rPr>
        <w:t>Ajugwo</w:t>
      </w:r>
      <w:proofErr w:type="spellEnd"/>
      <w:r w:rsidRPr="006A05B2">
        <w:rPr>
          <w:rFonts w:ascii="Calibri" w:eastAsia="Times New Roman" w:hAnsi="Calibri" w:cs="Calibri"/>
          <w:bCs/>
          <w:color w:val="000000" w:themeColor="text1"/>
          <w:sz w:val="24"/>
          <w:szCs w:val="24"/>
        </w:rPr>
        <w:t xml:space="preserve">, G. C., &amp; Iwuji, J. C. (2022). Physico-chemical and microbiological qualities of </w:t>
      </w:r>
      <w:r w:rsidRPr="006A05B2">
        <w:rPr>
          <w:rFonts w:ascii="Calibri" w:eastAsia="Times New Roman" w:hAnsi="Calibri" w:cs="Calibri"/>
          <w:bCs/>
          <w:color w:val="000000" w:themeColor="text1"/>
          <w:sz w:val="24"/>
          <w:szCs w:val="24"/>
        </w:rPr>
        <w:lastRenderedPageBreak/>
        <w:t xml:space="preserve">abattoir wastewater in </w:t>
      </w:r>
      <w:proofErr w:type="spellStart"/>
      <w:r w:rsidRPr="006A05B2">
        <w:rPr>
          <w:rFonts w:ascii="Calibri" w:eastAsia="Times New Roman" w:hAnsi="Calibri" w:cs="Calibri"/>
          <w:bCs/>
          <w:color w:val="000000" w:themeColor="text1"/>
          <w:sz w:val="24"/>
          <w:szCs w:val="24"/>
        </w:rPr>
        <w:t>Egbu</w:t>
      </w:r>
      <w:proofErr w:type="spellEnd"/>
      <w:r w:rsidRPr="006A05B2">
        <w:rPr>
          <w:rFonts w:ascii="Calibri" w:eastAsia="Times New Roman" w:hAnsi="Calibri" w:cs="Calibri"/>
          <w:bCs/>
          <w:color w:val="000000" w:themeColor="text1"/>
          <w:sz w:val="24"/>
          <w:szCs w:val="24"/>
        </w:rPr>
        <w:t>, Imo State, Nigeria. Microbiology Research Journal International, 32(4), 31–36. https://doi.org/10.9734/mrji/2022/v32i430383</w:t>
      </w:r>
    </w:p>
    <w:p w14:paraId="07C98862"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Dizge</w:t>
      </w:r>
      <w:proofErr w:type="spellEnd"/>
      <w:r w:rsidRPr="006A05B2">
        <w:rPr>
          <w:rFonts w:ascii="Calibri" w:eastAsia="Times New Roman" w:hAnsi="Calibri" w:cs="Calibri"/>
          <w:bCs/>
          <w:color w:val="000000" w:themeColor="text1"/>
          <w:sz w:val="24"/>
          <w:szCs w:val="24"/>
        </w:rPr>
        <w:t xml:space="preserve">, E. M., &amp; </w:t>
      </w:r>
      <w:proofErr w:type="spellStart"/>
      <w:r w:rsidRPr="006A05B2">
        <w:rPr>
          <w:rFonts w:ascii="Calibri" w:eastAsia="Times New Roman" w:hAnsi="Calibri" w:cs="Calibri"/>
          <w:bCs/>
          <w:color w:val="000000" w:themeColor="text1"/>
          <w:sz w:val="24"/>
          <w:szCs w:val="24"/>
        </w:rPr>
        <w:t>Göksay</w:t>
      </w:r>
      <w:proofErr w:type="spellEnd"/>
      <w:r w:rsidRPr="006A05B2">
        <w:rPr>
          <w:rFonts w:ascii="Calibri" w:eastAsia="Times New Roman" w:hAnsi="Calibri" w:cs="Calibri"/>
          <w:bCs/>
          <w:color w:val="000000" w:themeColor="text1"/>
          <w:sz w:val="24"/>
          <w:szCs w:val="24"/>
        </w:rPr>
        <w:t xml:space="preserve"> </w:t>
      </w:r>
      <w:proofErr w:type="spellStart"/>
      <w:r w:rsidRPr="006A05B2">
        <w:rPr>
          <w:rFonts w:ascii="Calibri" w:eastAsia="Times New Roman" w:hAnsi="Calibri" w:cs="Calibri"/>
          <w:bCs/>
          <w:color w:val="000000" w:themeColor="text1"/>
          <w:sz w:val="24"/>
          <w:szCs w:val="24"/>
        </w:rPr>
        <w:t>Kadaifçiler</w:t>
      </w:r>
      <w:proofErr w:type="spellEnd"/>
      <w:r w:rsidRPr="006A05B2">
        <w:rPr>
          <w:rFonts w:ascii="Calibri" w:eastAsia="Times New Roman" w:hAnsi="Calibri" w:cs="Calibri"/>
          <w:bCs/>
          <w:color w:val="000000" w:themeColor="text1"/>
          <w:sz w:val="24"/>
          <w:szCs w:val="24"/>
        </w:rPr>
        <w:t xml:space="preserve">, D. (2025). Fungal contamination in residential water systems: A comparative study between hot and </w:t>
      </w:r>
      <w:proofErr w:type="gramStart"/>
      <w:r w:rsidRPr="006A05B2">
        <w:rPr>
          <w:rFonts w:ascii="Calibri" w:eastAsia="Times New Roman" w:hAnsi="Calibri" w:cs="Calibri"/>
          <w:bCs/>
          <w:color w:val="000000" w:themeColor="text1"/>
          <w:sz w:val="24"/>
          <w:szCs w:val="24"/>
        </w:rPr>
        <w:t>cold water</w:t>
      </w:r>
      <w:proofErr w:type="gramEnd"/>
      <w:r w:rsidRPr="006A05B2">
        <w:rPr>
          <w:rFonts w:ascii="Calibri" w:eastAsia="Times New Roman" w:hAnsi="Calibri" w:cs="Calibri"/>
          <w:bCs/>
          <w:color w:val="000000" w:themeColor="text1"/>
          <w:sz w:val="24"/>
          <w:szCs w:val="24"/>
        </w:rPr>
        <w:t xml:space="preserve"> samples. Trakya University Journal of Natural Sciences, 26(1), 61–72. https://doi.org/10.23902/trkjnat.1576675</w:t>
      </w:r>
    </w:p>
    <w:p w14:paraId="5981C2AF"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 xml:space="preserve">Eke, C. G., Asemota, U. K., </w:t>
      </w:r>
      <w:proofErr w:type="spellStart"/>
      <w:r w:rsidRPr="006A05B2">
        <w:rPr>
          <w:rFonts w:ascii="Calibri" w:eastAsia="Times New Roman" w:hAnsi="Calibri" w:cs="Calibri"/>
          <w:bCs/>
          <w:color w:val="000000" w:themeColor="text1"/>
          <w:sz w:val="24"/>
          <w:szCs w:val="24"/>
        </w:rPr>
        <w:t>Ukandu</w:t>
      </w:r>
      <w:proofErr w:type="spellEnd"/>
      <w:r w:rsidRPr="006A05B2">
        <w:rPr>
          <w:rFonts w:ascii="Calibri" w:eastAsia="Times New Roman" w:hAnsi="Calibri" w:cs="Calibri"/>
          <w:bCs/>
          <w:color w:val="000000" w:themeColor="text1"/>
          <w:sz w:val="24"/>
          <w:szCs w:val="24"/>
        </w:rPr>
        <w:t xml:space="preserve">, U. U., Omokhuale, F. M., &amp; Etuk-Udo, G. A. (2023). Molecular identification of bacterial flora from </w:t>
      </w:r>
      <w:proofErr w:type="spellStart"/>
      <w:r w:rsidRPr="006A05B2">
        <w:rPr>
          <w:rFonts w:ascii="Calibri" w:eastAsia="Times New Roman" w:hAnsi="Calibri" w:cs="Calibri"/>
          <w:bCs/>
          <w:color w:val="000000" w:themeColor="text1"/>
          <w:sz w:val="24"/>
          <w:szCs w:val="24"/>
        </w:rPr>
        <w:t>Clarias</w:t>
      </w:r>
      <w:proofErr w:type="spellEnd"/>
      <w:r w:rsidRPr="006A05B2">
        <w:rPr>
          <w:rFonts w:ascii="Calibri" w:eastAsia="Times New Roman" w:hAnsi="Calibri" w:cs="Calibri"/>
          <w:bCs/>
          <w:color w:val="000000" w:themeColor="text1"/>
          <w:sz w:val="24"/>
          <w:szCs w:val="24"/>
        </w:rPr>
        <w:t xml:space="preserve"> </w:t>
      </w:r>
      <w:proofErr w:type="spellStart"/>
      <w:r w:rsidRPr="006A05B2">
        <w:rPr>
          <w:rFonts w:ascii="Calibri" w:eastAsia="Times New Roman" w:hAnsi="Calibri" w:cs="Calibri"/>
          <w:bCs/>
          <w:color w:val="000000" w:themeColor="text1"/>
          <w:sz w:val="24"/>
          <w:szCs w:val="24"/>
        </w:rPr>
        <w:t>gariepinus</w:t>
      </w:r>
      <w:proofErr w:type="spellEnd"/>
      <w:r w:rsidRPr="006A05B2">
        <w:rPr>
          <w:rFonts w:ascii="Calibri" w:eastAsia="Times New Roman" w:hAnsi="Calibri" w:cs="Calibri"/>
          <w:bCs/>
          <w:color w:val="000000" w:themeColor="text1"/>
          <w:sz w:val="24"/>
          <w:szCs w:val="24"/>
        </w:rPr>
        <w:t xml:space="preserve"> gastrointestinal tract within Abuja metropolis. Proceedings of the Biotechnology Society of Nigeria 35th Annual Conference.</w:t>
      </w:r>
    </w:p>
    <w:p w14:paraId="62169E6C"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 xml:space="preserve">Hussain, F., Salam, I., Memon, Z., Abdullah, M., Abbas, G., Akbar, M., Hussain, A., Majeed, M., Ali, K., &amp; Moda, H. M. (2024). Occurrence of fungal microbial contamination in drinking water of a megacity of Karachi (Pakistan) and their </w:t>
      </w:r>
      <w:proofErr w:type="spellStart"/>
      <w:r w:rsidRPr="006A05B2">
        <w:rPr>
          <w:rFonts w:ascii="Calibri" w:eastAsia="Times New Roman" w:hAnsi="Calibri" w:cs="Calibri"/>
          <w:bCs/>
          <w:color w:val="000000" w:themeColor="text1"/>
          <w:sz w:val="24"/>
          <w:szCs w:val="24"/>
        </w:rPr>
        <w:t>physico</w:t>
      </w:r>
      <w:proofErr w:type="spellEnd"/>
      <w:r w:rsidRPr="006A05B2">
        <w:rPr>
          <w:rFonts w:ascii="Calibri" w:eastAsia="Times New Roman" w:hAnsi="Calibri" w:cs="Calibri"/>
          <w:bCs/>
          <w:color w:val="000000" w:themeColor="text1"/>
          <w:sz w:val="24"/>
          <w:szCs w:val="24"/>
        </w:rPr>
        <w:t xml:space="preserve">-chemical control. </w:t>
      </w:r>
      <w:proofErr w:type="spellStart"/>
      <w:r w:rsidRPr="006A05B2">
        <w:rPr>
          <w:rFonts w:ascii="Calibri" w:eastAsia="Times New Roman" w:hAnsi="Calibri" w:cs="Calibri"/>
          <w:bCs/>
          <w:color w:val="000000" w:themeColor="text1"/>
          <w:sz w:val="24"/>
          <w:szCs w:val="24"/>
        </w:rPr>
        <w:t>Heliyon</w:t>
      </w:r>
      <w:proofErr w:type="spellEnd"/>
      <w:r w:rsidRPr="006A05B2">
        <w:rPr>
          <w:rFonts w:ascii="Calibri" w:eastAsia="Times New Roman" w:hAnsi="Calibri" w:cs="Calibri"/>
          <w:bCs/>
          <w:color w:val="000000" w:themeColor="text1"/>
          <w:sz w:val="24"/>
          <w:szCs w:val="24"/>
        </w:rPr>
        <w:t>, 10(7), e28926. https://doi.org/10.1016/j.heliyon.2024.e28926</w:t>
      </w:r>
    </w:p>
    <w:p w14:paraId="18C86FD3"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Iweriolor</w:t>
      </w:r>
      <w:proofErr w:type="spellEnd"/>
      <w:r w:rsidRPr="006A05B2">
        <w:rPr>
          <w:rFonts w:ascii="Calibri" w:eastAsia="Times New Roman" w:hAnsi="Calibri" w:cs="Calibri"/>
          <w:bCs/>
          <w:color w:val="000000" w:themeColor="text1"/>
          <w:sz w:val="24"/>
          <w:szCs w:val="24"/>
        </w:rPr>
        <w:t xml:space="preserve">, S. N., &amp; Anyiam, I. V. (2023). Microbiological assessment and antibiotic susceptibility of </w:t>
      </w:r>
      <w:proofErr w:type="spellStart"/>
      <w:r w:rsidRPr="006A05B2">
        <w:rPr>
          <w:rFonts w:ascii="Calibri" w:eastAsia="Times New Roman" w:hAnsi="Calibri" w:cs="Calibri"/>
          <w:bCs/>
          <w:color w:val="000000" w:themeColor="text1"/>
          <w:sz w:val="24"/>
          <w:szCs w:val="24"/>
        </w:rPr>
        <w:t>Orogodo</w:t>
      </w:r>
      <w:proofErr w:type="spellEnd"/>
      <w:r w:rsidRPr="006A05B2">
        <w:rPr>
          <w:rFonts w:ascii="Calibri" w:eastAsia="Times New Roman" w:hAnsi="Calibri" w:cs="Calibri"/>
          <w:bCs/>
          <w:color w:val="000000" w:themeColor="text1"/>
          <w:sz w:val="24"/>
          <w:szCs w:val="24"/>
        </w:rPr>
        <w:t xml:space="preserve"> River exposed to abattoir effluent in Delta State, Nigeria. South Asian Journal of Research in Microbiology, 17(4), 24–36.</w:t>
      </w:r>
    </w:p>
    <w:p w14:paraId="5C76BC48"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 xml:space="preserve">Koko, D. T., Alfred, M. O., </w:t>
      </w:r>
      <w:proofErr w:type="spellStart"/>
      <w:r w:rsidRPr="006A05B2">
        <w:rPr>
          <w:rFonts w:ascii="Calibri" w:eastAsia="Times New Roman" w:hAnsi="Calibri" w:cs="Calibri"/>
          <w:bCs/>
          <w:color w:val="000000" w:themeColor="text1"/>
          <w:sz w:val="24"/>
          <w:szCs w:val="24"/>
        </w:rPr>
        <w:t>Bolujoko</w:t>
      </w:r>
      <w:proofErr w:type="spellEnd"/>
      <w:r w:rsidRPr="006A05B2">
        <w:rPr>
          <w:rFonts w:ascii="Calibri" w:eastAsia="Times New Roman" w:hAnsi="Calibri" w:cs="Calibri"/>
          <w:bCs/>
          <w:color w:val="000000" w:themeColor="text1"/>
          <w:sz w:val="24"/>
          <w:szCs w:val="24"/>
        </w:rPr>
        <w:t xml:space="preserve">, N., </w:t>
      </w:r>
      <w:proofErr w:type="spellStart"/>
      <w:r w:rsidRPr="006A05B2">
        <w:rPr>
          <w:rFonts w:ascii="Calibri" w:eastAsia="Times New Roman" w:hAnsi="Calibri" w:cs="Calibri"/>
          <w:bCs/>
          <w:color w:val="000000" w:themeColor="text1"/>
          <w:sz w:val="24"/>
          <w:szCs w:val="24"/>
        </w:rPr>
        <w:t>Olorunnisola</w:t>
      </w:r>
      <w:proofErr w:type="spellEnd"/>
      <w:r w:rsidRPr="006A05B2">
        <w:rPr>
          <w:rFonts w:ascii="Calibri" w:eastAsia="Times New Roman" w:hAnsi="Calibri" w:cs="Calibri"/>
          <w:bCs/>
          <w:color w:val="000000" w:themeColor="text1"/>
          <w:sz w:val="24"/>
          <w:szCs w:val="24"/>
        </w:rPr>
        <w:t xml:space="preserve">, D. O., </w:t>
      </w:r>
      <w:proofErr w:type="spellStart"/>
      <w:r w:rsidRPr="006A05B2">
        <w:rPr>
          <w:rFonts w:ascii="Calibri" w:eastAsia="Times New Roman" w:hAnsi="Calibri" w:cs="Calibri"/>
          <w:bCs/>
          <w:color w:val="000000" w:themeColor="text1"/>
          <w:sz w:val="24"/>
          <w:szCs w:val="24"/>
        </w:rPr>
        <w:t>Otitoju</w:t>
      </w:r>
      <w:proofErr w:type="spellEnd"/>
      <w:r w:rsidRPr="006A05B2">
        <w:rPr>
          <w:rFonts w:ascii="Calibri" w:eastAsia="Times New Roman" w:hAnsi="Calibri" w:cs="Calibri"/>
          <w:bCs/>
          <w:color w:val="000000" w:themeColor="text1"/>
          <w:sz w:val="24"/>
          <w:szCs w:val="24"/>
        </w:rPr>
        <w:t xml:space="preserve">, O. B., </w:t>
      </w:r>
      <w:proofErr w:type="spellStart"/>
      <w:r w:rsidRPr="006A05B2">
        <w:rPr>
          <w:rFonts w:ascii="Calibri" w:eastAsia="Times New Roman" w:hAnsi="Calibri" w:cs="Calibri"/>
          <w:bCs/>
          <w:color w:val="000000" w:themeColor="text1"/>
          <w:sz w:val="24"/>
          <w:szCs w:val="24"/>
        </w:rPr>
        <w:t>Msagati</w:t>
      </w:r>
      <w:proofErr w:type="spellEnd"/>
      <w:r w:rsidRPr="006A05B2">
        <w:rPr>
          <w:rFonts w:ascii="Calibri" w:eastAsia="Times New Roman" w:hAnsi="Calibri" w:cs="Calibri"/>
          <w:bCs/>
          <w:color w:val="000000" w:themeColor="text1"/>
          <w:sz w:val="24"/>
          <w:szCs w:val="24"/>
        </w:rPr>
        <w:t xml:space="preserve">, T. A. M., </w:t>
      </w:r>
      <w:proofErr w:type="spellStart"/>
      <w:r w:rsidRPr="006A05B2">
        <w:rPr>
          <w:rFonts w:ascii="Calibri" w:eastAsia="Times New Roman" w:hAnsi="Calibri" w:cs="Calibri"/>
          <w:bCs/>
          <w:color w:val="000000" w:themeColor="text1"/>
          <w:sz w:val="24"/>
          <w:szCs w:val="24"/>
        </w:rPr>
        <w:t>Omorogie</w:t>
      </w:r>
      <w:proofErr w:type="spellEnd"/>
      <w:r w:rsidRPr="006A05B2">
        <w:rPr>
          <w:rFonts w:ascii="Calibri" w:eastAsia="Times New Roman" w:hAnsi="Calibri" w:cs="Calibri"/>
          <w:bCs/>
          <w:color w:val="000000" w:themeColor="text1"/>
          <w:sz w:val="24"/>
          <w:szCs w:val="24"/>
        </w:rPr>
        <w:t xml:space="preserve">, M. O., </w:t>
      </w:r>
      <w:proofErr w:type="spellStart"/>
      <w:r w:rsidRPr="006A05B2">
        <w:rPr>
          <w:rFonts w:ascii="Calibri" w:eastAsia="Times New Roman" w:hAnsi="Calibri" w:cs="Calibri"/>
          <w:bCs/>
          <w:color w:val="000000" w:themeColor="text1"/>
          <w:sz w:val="24"/>
          <w:szCs w:val="24"/>
        </w:rPr>
        <w:t>Ogunlaja</w:t>
      </w:r>
      <w:proofErr w:type="spellEnd"/>
      <w:r w:rsidRPr="006A05B2">
        <w:rPr>
          <w:rFonts w:ascii="Calibri" w:eastAsia="Times New Roman" w:hAnsi="Calibri" w:cs="Calibri"/>
          <w:bCs/>
          <w:color w:val="000000" w:themeColor="text1"/>
          <w:sz w:val="24"/>
          <w:szCs w:val="24"/>
        </w:rPr>
        <w:t xml:space="preserve">, A., </w:t>
      </w:r>
      <w:proofErr w:type="spellStart"/>
      <w:r w:rsidRPr="006A05B2">
        <w:rPr>
          <w:rFonts w:ascii="Calibri" w:eastAsia="Times New Roman" w:hAnsi="Calibri" w:cs="Calibri"/>
          <w:bCs/>
          <w:color w:val="000000" w:themeColor="text1"/>
          <w:sz w:val="24"/>
          <w:szCs w:val="24"/>
        </w:rPr>
        <w:t>Olukanni</w:t>
      </w:r>
      <w:proofErr w:type="spellEnd"/>
      <w:r w:rsidRPr="006A05B2">
        <w:rPr>
          <w:rFonts w:ascii="Calibri" w:eastAsia="Times New Roman" w:hAnsi="Calibri" w:cs="Calibri"/>
          <w:bCs/>
          <w:color w:val="000000" w:themeColor="text1"/>
          <w:sz w:val="24"/>
          <w:szCs w:val="24"/>
        </w:rPr>
        <w:t xml:space="preserve">, O. D., &amp; </w:t>
      </w:r>
      <w:proofErr w:type="spellStart"/>
      <w:r w:rsidRPr="006A05B2">
        <w:rPr>
          <w:rFonts w:ascii="Calibri" w:eastAsia="Times New Roman" w:hAnsi="Calibri" w:cs="Calibri"/>
          <w:bCs/>
          <w:color w:val="000000" w:themeColor="text1"/>
          <w:sz w:val="24"/>
          <w:szCs w:val="24"/>
        </w:rPr>
        <w:t>Unuabonah</w:t>
      </w:r>
      <w:proofErr w:type="spellEnd"/>
      <w:r w:rsidRPr="006A05B2">
        <w:rPr>
          <w:rFonts w:ascii="Calibri" w:eastAsia="Times New Roman" w:hAnsi="Calibri" w:cs="Calibri"/>
          <w:bCs/>
          <w:color w:val="000000" w:themeColor="text1"/>
          <w:sz w:val="24"/>
          <w:szCs w:val="24"/>
        </w:rPr>
        <w:t>, E. I. (2024). Prevalence and health risk evaluations of mycotoxins in drinking water sources in Nigeria. RSC Advances, 14, 34435–34447. https://doi.org/10.1039/D4RA04866K</w:t>
      </w:r>
    </w:p>
    <w:p w14:paraId="5221ECB3"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Liang, F. (2025). Research progress on fungi and their spore in-activation in different water bodies. Desalination and Water Treatment, 321, 101007. https://doi.org/10.1016/j.dwt.2025.101007</w:t>
      </w:r>
    </w:p>
    <w:p w14:paraId="7A8260FF"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Manir, A., Gul, M., Achakzai, S. K., Gul, S., Khan, A. N., Ashiq, K., Tabassim, U., &amp; Hameed, N. (2020). Isolation of bacteria and fungi from effluent from Gusau modern abattoir. Bulletin of Environment, Pharmacology and Life Sciences, 9(2), 45–54.</w:t>
      </w:r>
    </w:p>
    <w:p w14:paraId="76D00BE5"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 xml:space="preserve">Ndukwe, M. K., </w:t>
      </w:r>
      <w:proofErr w:type="spellStart"/>
      <w:r w:rsidRPr="006A05B2">
        <w:rPr>
          <w:rFonts w:ascii="Calibri" w:eastAsia="Times New Roman" w:hAnsi="Calibri" w:cs="Calibri"/>
          <w:bCs/>
          <w:color w:val="000000" w:themeColor="text1"/>
          <w:sz w:val="24"/>
          <w:szCs w:val="24"/>
        </w:rPr>
        <w:t>Igara</w:t>
      </w:r>
      <w:proofErr w:type="spellEnd"/>
      <w:r w:rsidRPr="006A05B2">
        <w:rPr>
          <w:rFonts w:ascii="Calibri" w:eastAsia="Times New Roman" w:hAnsi="Calibri" w:cs="Calibri"/>
          <w:bCs/>
          <w:color w:val="000000" w:themeColor="text1"/>
          <w:sz w:val="24"/>
          <w:szCs w:val="24"/>
        </w:rPr>
        <w:t xml:space="preserve">, C. E., </w:t>
      </w:r>
      <w:proofErr w:type="spellStart"/>
      <w:r w:rsidRPr="006A05B2">
        <w:rPr>
          <w:rFonts w:ascii="Calibri" w:eastAsia="Times New Roman" w:hAnsi="Calibri" w:cs="Calibri"/>
          <w:bCs/>
          <w:color w:val="000000" w:themeColor="text1"/>
          <w:sz w:val="24"/>
          <w:szCs w:val="24"/>
        </w:rPr>
        <w:t>Nkama</w:t>
      </w:r>
      <w:proofErr w:type="spellEnd"/>
      <w:r w:rsidRPr="006A05B2">
        <w:rPr>
          <w:rFonts w:ascii="Calibri" w:eastAsia="Times New Roman" w:hAnsi="Calibri" w:cs="Calibri"/>
          <w:bCs/>
          <w:color w:val="000000" w:themeColor="text1"/>
          <w:sz w:val="24"/>
          <w:szCs w:val="24"/>
        </w:rPr>
        <w:t xml:space="preserve">, O. J., Ibe, C. O., Okoro, O. E., </w:t>
      </w:r>
      <w:proofErr w:type="spellStart"/>
      <w:r w:rsidRPr="006A05B2">
        <w:rPr>
          <w:rFonts w:ascii="Calibri" w:eastAsia="Times New Roman" w:hAnsi="Calibri" w:cs="Calibri"/>
          <w:bCs/>
          <w:color w:val="000000" w:themeColor="text1"/>
          <w:sz w:val="24"/>
          <w:szCs w:val="24"/>
        </w:rPr>
        <w:t>Nnnachi</w:t>
      </w:r>
      <w:proofErr w:type="spellEnd"/>
      <w:r w:rsidRPr="006A05B2">
        <w:rPr>
          <w:rFonts w:ascii="Calibri" w:eastAsia="Times New Roman" w:hAnsi="Calibri" w:cs="Calibri"/>
          <w:bCs/>
          <w:color w:val="000000" w:themeColor="text1"/>
          <w:sz w:val="24"/>
          <w:szCs w:val="24"/>
        </w:rPr>
        <w:t xml:space="preserve">, E. O., &amp; </w:t>
      </w:r>
      <w:proofErr w:type="spellStart"/>
      <w:r w:rsidRPr="006A05B2">
        <w:rPr>
          <w:rFonts w:ascii="Calibri" w:eastAsia="Times New Roman" w:hAnsi="Calibri" w:cs="Calibri"/>
          <w:bCs/>
          <w:color w:val="000000" w:themeColor="text1"/>
          <w:sz w:val="24"/>
          <w:szCs w:val="24"/>
        </w:rPr>
        <w:t>Atiaetuk</w:t>
      </w:r>
      <w:proofErr w:type="spellEnd"/>
      <w:r w:rsidRPr="006A05B2">
        <w:rPr>
          <w:rFonts w:ascii="Calibri" w:eastAsia="Times New Roman" w:hAnsi="Calibri" w:cs="Calibri"/>
          <w:bCs/>
          <w:color w:val="000000" w:themeColor="text1"/>
          <w:sz w:val="24"/>
          <w:szCs w:val="24"/>
        </w:rPr>
        <w:t xml:space="preserve">, I. E. (2023). Effect of abattoir waste on surface water quality parameters of </w:t>
      </w:r>
      <w:proofErr w:type="spellStart"/>
      <w:r w:rsidRPr="006A05B2">
        <w:rPr>
          <w:rFonts w:ascii="Calibri" w:eastAsia="Times New Roman" w:hAnsi="Calibri" w:cs="Calibri"/>
          <w:bCs/>
          <w:color w:val="000000" w:themeColor="text1"/>
          <w:sz w:val="24"/>
          <w:szCs w:val="24"/>
        </w:rPr>
        <w:t>Iwofe</w:t>
      </w:r>
      <w:proofErr w:type="spellEnd"/>
      <w:r w:rsidRPr="006A05B2">
        <w:rPr>
          <w:rFonts w:ascii="Calibri" w:eastAsia="Times New Roman" w:hAnsi="Calibri" w:cs="Calibri"/>
          <w:bCs/>
          <w:color w:val="000000" w:themeColor="text1"/>
          <w:sz w:val="24"/>
          <w:szCs w:val="24"/>
        </w:rPr>
        <w:t xml:space="preserve"> River, Port Harcourt, Rivers State, Nigeria. Journal of Geography, Environment and Earth Science International, 27(9), 93–101. https://doi.org/10.9734/jgeesi/2023/v27i9708</w:t>
      </w:r>
    </w:p>
    <w:p w14:paraId="7C287E0D" w14:textId="5D51E841" w:rsidR="00206D0E" w:rsidRPr="00206D0E" w:rsidRDefault="00206D0E"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highlight w:val="yellow"/>
        </w:rPr>
      </w:pPr>
      <w:r w:rsidRPr="00206D0E">
        <w:rPr>
          <w:rFonts w:ascii="Calibri" w:eastAsia="Times New Roman" w:hAnsi="Calibri" w:cs="Calibri"/>
          <w:bCs/>
          <w:color w:val="000000" w:themeColor="text1"/>
          <w:sz w:val="24"/>
          <w:szCs w:val="24"/>
          <w:highlight w:val="yellow"/>
        </w:rPr>
        <w:t>Nguyen, K. T., Nguyen, H. M., Truong, C. K., Ahmed, M. B., Huang, Y., &amp; Zhou, J. L. (2019). Chemical and microbiological risk assessment of urban river water quality in Vietnam. Environmental geochemistry and health, 41(6), 2559-2575.</w:t>
      </w:r>
    </w:p>
    <w:p w14:paraId="26655ABC"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Ningombam</w:t>
      </w:r>
      <w:proofErr w:type="spellEnd"/>
      <w:r w:rsidRPr="006A05B2">
        <w:rPr>
          <w:rFonts w:ascii="Calibri" w:eastAsia="Times New Roman" w:hAnsi="Calibri" w:cs="Calibri"/>
          <w:bCs/>
          <w:color w:val="000000" w:themeColor="text1"/>
          <w:sz w:val="24"/>
          <w:szCs w:val="24"/>
        </w:rPr>
        <w:t>, L. (2025). Fungal bioremediation in environmental pollution and recent advances. Environmental Biotechnology Reviews. https://doi.org/10.1007/s44274-025-00267-x</w:t>
      </w:r>
    </w:p>
    <w:p w14:paraId="1956B298"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Nkenna</w:t>
      </w:r>
      <w:proofErr w:type="spellEnd"/>
      <w:r w:rsidRPr="006A05B2">
        <w:rPr>
          <w:rFonts w:ascii="Calibri" w:eastAsia="Times New Roman" w:hAnsi="Calibri" w:cs="Calibri"/>
          <w:bCs/>
          <w:color w:val="000000" w:themeColor="text1"/>
          <w:sz w:val="24"/>
          <w:szCs w:val="24"/>
        </w:rPr>
        <w:t>, C. U. (2023). Profile of fungi isolated from domestic water used by street vendors: The public health implication. Clinical Medicine and Health Research Journal, 3(4), 480–484. https://doi.org/10.18535/cmhrj.v3i4.201</w:t>
      </w:r>
    </w:p>
    <w:p w14:paraId="2E0E31F5"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lastRenderedPageBreak/>
        <w:t>Nwogwugwu</w:t>
      </w:r>
      <w:proofErr w:type="spellEnd"/>
      <w:r w:rsidRPr="006A05B2">
        <w:rPr>
          <w:rFonts w:ascii="Calibri" w:eastAsia="Times New Roman" w:hAnsi="Calibri" w:cs="Calibri"/>
          <w:bCs/>
          <w:color w:val="000000" w:themeColor="text1"/>
          <w:sz w:val="24"/>
          <w:szCs w:val="24"/>
        </w:rPr>
        <w:t xml:space="preserve">, N. R., </w:t>
      </w:r>
      <w:proofErr w:type="spellStart"/>
      <w:r w:rsidRPr="006A05B2">
        <w:rPr>
          <w:rFonts w:ascii="Calibri" w:eastAsia="Times New Roman" w:hAnsi="Calibri" w:cs="Calibri"/>
          <w:bCs/>
          <w:color w:val="000000" w:themeColor="text1"/>
          <w:sz w:val="24"/>
          <w:szCs w:val="24"/>
        </w:rPr>
        <w:t>Obire</w:t>
      </w:r>
      <w:proofErr w:type="spellEnd"/>
      <w:r w:rsidRPr="006A05B2">
        <w:rPr>
          <w:rFonts w:ascii="Calibri" w:eastAsia="Times New Roman" w:hAnsi="Calibri" w:cs="Calibri"/>
          <w:bCs/>
          <w:color w:val="000000" w:themeColor="text1"/>
          <w:sz w:val="24"/>
          <w:szCs w:val="24"/>
        </w:rPr>
        <w:t xml:space="preserve">, O., &amp; </w:t>
      </w:r>
      <w:proofErr w:type="spellStart"/>
      <w:r w:rsidRPr="006A05B2">
        <w:rPr>
          <w:rFonts w:ascii="Calibri" w:eastAsia="Times New Roman" w:hAnsi="Calibri" w:cs="Calibri"/>
          <w:bCs/>
          <w:color w:val="000000" w:themeColor="text1"/>
          <w:sz w:val="24"/>
          <w:szCs w:val="24"/>
        </w:rPr>
        <w:t>Nrior</w:t>
      </w:r>
      <w:proofErr w:type="spellEnd"/>
      <w:r w:rsidRPr="006A05B2">
        <w:rPr>
          <w:rFonts w:ascii="Calibri" w:eastAsia="Times New Roman" w:hAnsi="Calibri" w:cs="Calibri"/>
          <w:bCs/>
          <w:color w:val="000000" w:themeColor="text1"/>
          <w:sz w:val="24"/>
          <w:szCs w:val="24"/>
        </w:rPr>
        <w:t xml:space="preserve">, R. R. (2024). Prevalence and antifungal profile of fungi isolated from drinking water sources in </w:t>
      </w:r>
      <w:proofErr w:type="spellStart"/>
      <w:r w:rsidRPr="006A05B2">
        <w:rPr>
          <w:rFonts w:ascii="Calibri" w:eastAsia="Times New Roman" w:hAnsi="Calibri" w:cs="Calibri"/>
          <w:bCs/>
          <w:color w:val="000000" w:themeColor="text1"/>
          <w:sz w:val="24"/>
          <w:szCs w:val="24"/>
        </w:rPr>
        <w:t>Gbam</w:t>
      </w:r>
      <w:proofErr w:type="spellEnd"/>
      <w:r w:rsidRPr="006A05B2">
        <w:rPr>
          <w:rFonts w:ascii="Calibri" w:eastAsia="Times New Roman" w:hAnsi="Calibri" w:cs="Calibri"/>
          <w:bCs/>
          <w:color w:val="000000" w:themeColor="text1"/>
          <w:sz w:val="24"/>
          <w:szCs w:val="24"/>
        </w:rPr>
        <w:t>, Tai, Nigeria. International Journal of Microbiology and Applied Sciences, 3(1), 281–287.</w:t>
      </w:r>
    </w:p>
    <w:p w14:paraId="719F5B71"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 xml:space="preserve">Ogbonna, S. I., Akani, N. P., Williams, J. O., &amp; </w:t>
      </w:r>
      <w:proofErr w:type="spellStart"/>
      <w:r w:rsidRPr="006A05B2">
        <w:rPr>
          <w:rFonts w:ascii="Calibri" w:eastAsia="Times New Roman" w:hAnsi="Calibri" w:cs="Calibri"/>
          <w:bCs/>
          <w:color w:val="000000" w:themeColor="text1"/>
          <w:sz w:val="24"/>
          <w:szCs w:val="24"/>
        </w:rPr>
        <w:t>Peekate</w:t>
      </w:r>
      <w:proofErr w:type="spellEnd"/>
      <w:r w:rsidRPr="006A05B2">
        <w:rPr>
          <w:rFonts w:ascii="Calibri" w:eastAsia="Times New Roman" w:hAnsi="Calibri" w:cs="Calibri"/>
          <w:bCs/>
          <w:color w:val="000000" w:themeColor="text1"/>
          <w:sz w:val="24"/>
          <w:szCs w:val="24"/>
        </w:rPr>
        <w:t>, L. P. (2022). Distribution and fluconazole susceptibility pattern of fungi isolated from saloon equipment in Rivers State, Nigeria. International Journal of Health &amp; Pharmaceutical Research, 7(1), 56–66. https://doi.org/10.56201/ijhpr.v7.no12022.pg56.66</w:t>
      </w:r>
    </w:p>
    <w:p w14:paraId="0983FD48"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Priscillia, E., Abu, M., Abel, U. O., &amp; Adewumi, T. (2021). Structural exploration of aeromagnetic data over part of Gwagwalada, Abuja for potential mineral targets using derivative filters. Journal of Geological Research, 3(3), 45.</w:t>
      </w:r>
    </w:p>
    <w:p w14:paraId="2798771E"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Ramadan, L., &amp; Harb, M. (2025). Fungi as an emerging waterborne health concern: Impact of treated wastewater discharge versus aerosolization. Environmental Science: Processes &amp; Impacts, 27, 1103–1119. https://doi.org/10.1039/D5EM00020C</w:t>
      </w:r>
    </w:p>
    <w:p w14:paraId="1F1E8A13"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Seng, Y. C., Rath, T., Lim, S., Eav, C., &amp; Phan, K. (2018). Assessment of physicochemical properties of the river water in Phnom Penh and its suburban area. Bulletin of the Cambodian Chemical Society, 9, 29–35.</w:t>
      </w:r>
    </w:p>
    <w:p w14:paraId="71A3BC03"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proofErr w:type="spellStart"/>
      <w:r w:rsidRPr="006A05B2">
        <w:rPr>
          <w:rFonts w:ascii="Calibri" w:eastAsia="Times New Roman" w:hAnsi="Calibri" w:cs="Calibri"/>
          <w:bCs/>
          <w:color w:val="000000" w:themeColor="text1"/>
          <w:sz w:val="24"/>
          <w:szCs w:val="24"/>
        </w:rPr>
        <w:t>Titilawo</w:t>
      </w:r>
      <w:proofErr w:type="spellEnd"/>
      <w:r w:rsidRPr="006A05B2">
        <w:rPr>
          <w:rFonts w:ascii="Calibri" w:eastAsia="Times New Roman" w:hAnsi="Calibri" w:cs="Calibri"/>
          <w:bCs/>
          <w:color w:val="000000" w:themeColor="text1"/>
          <w:sz w:val="24"/>
          <w:szCs w:val="24"/>
        </w:rPr>
        <w:t xml:space="preserve">, M. A., </w:t>
      </w:r>
      <w:proofErr w:type="spellStart"/>
      <w:r w:rsidRPr="006A05B2">
        <w:rPr>
          <w:rFonts w:ascii="Calibri" w:eastAsia="Times New Roman" w:hAnsi="Calibri" w:cs="Calibri"/>
          <w:bCs/>
          <w:color w:val="000000" w:themeColor="text1"/>
          <w:sz w:val="24"/>
          <w:szCs w:val="24"/>
        </w:rPr>
        <w:t>Akinniranye</w:t>
      </w:r>
      <w:proofErr w:type="spellEnd"/>
      <w:r w:rsidRPr="006A05B2">
        <w:rPr>
          <w:rFonts w:ascii="Calibri" w:eastAsia="Times New Roman" w:hAnsi="Calibri" w:cs="Calibri"/>
          <w:bCs/>
          <w:color w:val="000000" w:themeColor="text1"/>
          <w:sz w:val="24"/>
          <w:szCs w:val="24"/>
        </w:rPr>
        <w:t xml:space="preserve">, B. O., Ajani, T. F., </w:t>
      </w:r>
      <w:proofErr w:type="spellStart"/>
      <w:r w:rsidRPr="006A05B2">
        <w:rPr>
          <w:rFonts w:ascii="Calibri" w:eastAsia="Times New Roman" w:hAnsi="Calibri" w:cs="Calibri"/>
          <w:bCs/>
          <w:color w:val="000000" w:themeColor="text1"/>
          <w:sz w:val="24"/>
          <w:szCs w:val="24"/>
        </w:rPr>
        <w:t>Titilawo</w:t>
      </w:r>
      <w:proofErr w:type="spellEnd"/>
      <w:r w:rsidRPr="006A05B2">
        <w:rPr>
          <w:rFonts w:ascii="Calibri" w:eastAsia="Times New Roman" w:hAnsi="Calibri" w:cs="Calibri"/>
          <w:bCs/>
          <w:color w:val="000000" w:themeColor="text1"/>
          <w:sz w:val="24"/>
          <w:szCs w:val="24"/>
        </w:rPr>
        <w:t xml:space="preserve">, Y., Olaitan, J. O., &amp; </w:t>
      </w:r>
      <w:proofErr w:type="spellStart"/>
      <w:r w:rsidRPr="006A05B2">
        <w:rPr>
          <w:rFonts w:ascii="Calibri" w:eastAsia="Times New Roman" w:hAnsi="Calibri" w:cs="Calibri"/>
          <w:bCs/>
          <w:color w:val="000000" w:themeColor="text1"/>
          <w:sz w:val="24"/>
          <w:szCs w:val="24"/>
        </w:rPr>
        <w:t>Adebooye</w:t>
      </w:r>
      <w:proofErr w:type="spellEnd"/>
      <w:r w:rsidRPr="006A05B2">
        <w:rPr>
          <w:rFonts w:ascii="Calibri" w:eastAsia="Times New Roman" w:hAnsi="Calibri" w:cs="Calibri"/>
          <w:bCs/>
          <w:color w:val="000000" w:themeColor="text1"/>
          <w:sz w:val="24"/>
          <w:szCs w:val="24"/>
        </w:rPr>
        <w:t>, C. O. (2025). Surface waters are hotspots of multidrug resistant fungi: Insight from selected waterbodies in Osun State, Nigeria. Total Environment Microbiology, 1(4), 100035. https://doi.org/10.1016/j.temicr.2025.100035</w:t>
      </w:r>
    </w:p>
    <w:p w14:paraId="3170B960" w14:textId="77777777" w:rsidR="006A05B2" w:rsidRPr="006A05B2" w:rsidRDefault="006A05B2" w:rsidP="00D114DC">
      <w:pPr>
        <w:numPr>
          <w:ilvl w:val="0"/>
          <w:numId w:val="1"/>
        </w:numPr>
        <w:spacing w:before="100" w:beforeAutospacing="1" w:after="100" w:afterAutospacing="1" w:line="276" w:lineRule="auto"/>
        <w:jc w:val="both"/>
        <w:rPr>
          <w:rFonts w:ascii="Calibri" w:eastAsia="Times New Roman" w:hAnsi="Calibri" w:cs="Calibri"/>
          <w:bCs/>
          <w:color w:val="000000" w:themeColor="text1"/>
          <w:sz w:val="24"/>
          <w:szCs w:val="24"/>
        </w:rPr>
      </w:pPr>
      <w:r w:rsidRPr="006A05B2">
        <w:rPr>
          <w:rFonts w:ascii="Calibri" w:eastAsia="Times New Roman" w:hAnsi="Calibri" w:cs="Calibri"/>
          <w:bCs/>
          <w:color w:val="000000" w:themeColor="text1"/>
          <w:sz w:val="24"/>
          <w:szCs w:val="24"/>
        </w:rPr>
        <w:t>Vega, E. C., Dávila, M. A. M., Castillo, P. Z., Espinoza, O. C., &amp; Barrientos, M. R. Z. (2023). Population growth and water consumption: Chachapoyas case, 2011–2021. Journal of Law and Sustainable Development, 11(11), e1156. https://doi.org/10.55908/sdgs.v11i11.1156</w:t>
      </w:r>
    </w:p>
    <w:p w14:paraId="4C845C22" w14:textId="77777777" w:rsidR="00B95B23" w:rsidRPr="00BB78F7" w:rsidRDefault="006A05B2" w:rsidP="00D114DC">
      <w:pPr>
        <w:numPr>
          <w:ilvl w:val="0"/>
          <w:numId w:val="1"/>
        </w:numPr>
        <w:spacing w:before="100" w:beforeAutospacing="1" w:after="100" w:afterAutospacing="1" w:line="276" w:lineRule="auto"/>
        <w:jc w:val="both"/>
        <w:rPr>
          <w:rFonts w:ascii="Calibri" w:eastAsia="Times New Roman" w:hAnsi="Calibri" w:cs="Calibri"/>
          <w:color w:val="000000" w:themeColor="text1"/>
          <w:sz w:val="24"/>
          <w:szCs w:val="24"/>
        </w:rPr>
      </w:pPr>
      <w:r w:rsidRPr="006A05B2">
        <w:rPr>
          <w:rFonts w:ascii="Calibri" w:eastAsia="Times New Roman" w:hAnsi="Calibri" w:cs="Calibri"/>
          <w:bCs/>
          <w:color w:val="000000" w:themeColor="text1"/>
          <w:sz w:val="24"/>
          <w:szCs w:val="24"/>
        </w:rPr>
        <w:t xml:space="preserve">Weldon, C. (2025). Ecology and life cycles of aquatic pathogenic fungi. In N. J. Smit &amp; B. Sures (Eds.), Aquatic parasitology: Ecological and environmental concepts and implications of marine and freshwater parasites (pp. </w:t>
      </w:r>
      <w:r w:rsidR="00686CB3">
        <w:rPr>
          <w:rFonts w:ascii="Calibri" w:eastAsia="Times New Roman" w:hAnsi="Calibri" w:cs="Calibri"/>
          <w:bCs/>
          <w:color w:val="000000" w:themeColor="text1"/>
          <w:sz w:val="24"/>
          <w:szCs w:val="24"/>
        </w:rPr>
        <w:t>71-88</w:t>
      </w:r>
      <w:r w:rsidRPr="006A05B2">
        <w:rPr>
          <w:rFonts w:ascii="Calibri" w:eastAsia="Times New Roman" w:hAnsi="Calibri" w:cs="Calibri"/>
          <w:bCs/>
          <w:color w:val="000000" w:themeColor="text1"/>
          <w:sz w:val="24"/>
          <w:szCs w:val="24"/>
        </w:rPr>
        <w:t>). Springer. https://doi.org/10.1007/978-3-031-83903-0_4</w:t>
      </w:r>
    </w:p>
    <w:p w14:paraId="0CCF7067" w14:textId="77777777" w:rsidR="00BB78F7" w:rsidRPr="00BB78F7" w:rsidRDefault="00BB78F7" w:rsidP="00846F2E">
      <w:pPr>
        <w:spacing w:before="100" w:beforeAutospacing="1" w:after="100" w:afterAutospacing="1" w:line="240" w:lineRule="auto"/>
        <w:ind w:left="720"/>
        <w:jc w:val="both"/>
        <w:rPr>
          <w:rFonts w:ascii="Calibri" w:eastAsia="Times New Roman" w:hAnsi="Calibri" w:cs="Calibri"/>
          <w:color w:val="000000" w:themeColor="text1"/>
          <w:sz w:val="24"/>
          <w:szCs w:val="24"/>
        </w:rPr>
      </w:pPr>
    </w:p>
    <w:sectPr w:rsidR="00BB78F7" w:rsidRPr="00BB78F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53723" w14:textId="77777777" w:rsidR="00782CDA" w:rsidRDefault="00782CDA" w:rsidP="000817C7">
      <w:pPr>
        <w:spacing w:after="0" w:line="240" w:lineRule="auto"/>
      </w:pPr>
      <w:r>
        <w:separator/>
      </w:r>
    </w:p>
  </w:endnote>
  <w:endnote w:type="continuationSeparator" w:id="0">
    <w:p w14:paraId="1A6D903E" w14:textId="77777777" w:rsidR="00782CDA" w:rsidRDefault="00782CDA" w:rsidP="0008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0522" w14:textId="77777777" w:rsidR="000817C7" w:rsidRDefault="00081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DA30" w14:textId="77777777" w:rsidR="000817C7" w:rsidRDefault="00081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6B91" w14:textId="77777777" w:rsidR="000817C7" w:rsidRDefault="0008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9B8F0" w14:textId="77777777" w:rsidR="00782CDA" w:rsidRDefault="00782CDA" w:rsidP="000817C7">
      <w:pPr>
        <w:spacing w:after="0" w:line="240" w:lineRule="auto"/>
      </w:pPr>
      <w:r>
        <w:separator/>
      </w:r>
    </w:p>
  </w:footnote>
  <w:footnote w:type="continuationSeparator" w:id="0">
    <w:p w14:paraId="3F64E1E8" w14:textId="77777777" w:rsidR="00782CDA" w:rsidRDefault="00782CDA" w:rsidP="00081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4A806" w14:textId="1873007B" w:rsidR="000817C7" w:rsidRDefault="00782CDA">
    <w:pPr>
      <w:pStyle w:val="Header"/>
    </w:pPr>
    <w:r>
      <w:rPr>
        <w:noProof/>
      </w:rPr>
      <w:pict w14:anchorId="08C8B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4832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E67F" w14:textId="74344B9C" w:rsidR="000817C7" w:rsidRDefault="00782CDA">
    <w:pPr>
      <w:pStyle w:val="Header"/>
    </w:pPr>
    <w:r>
      <w:rPr>
        <w:noProof/>
      </w:rPr>
      <w:pict w14:anchorId="7D31A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4832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0FA7" w14:textId="1C3D2028" w:rsidR="000817C7" w:rsidRDefault="00782CDA">
    <w:pPr>
      <w:pStyle w:val="Header"/>
    </w:pPr>
    <w:r>
      <w:rPr>
        <w:noProof/>
      </w:rPr>
      <w:pict w14:anchorId="3BF0B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4832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31C61"/>
    <w:multiLevelType w:val="multilevel"/>
    <w:tmpl w:val="BE08B2B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68320B"/>
    <w:multiLevelType w:val="multilevel"/>
    <w:tmpl w:val="0C40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9252F3"/>
    <w:multiLevelType w:val="multilevel"/>
    <w:tmpl w:val="E55A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21"/>
    <w:rsid w:val="00024A6D"/>
    <w:rsid w:val="00050B3D"/>
    <w:rsid w:val="0007452B"/>
    <w:rsid w:val="000817C7"/>
    <w:rsid w:val="00084359"/>
    <w:rsid w:val="000D7C0F"/>
    <w:rsid w:val="00126E35"/>
    <w:rsid w:val="00206D0E"/>
    <w:rsid w:val="002409F6"/>
    <w:rsid w:val="0027119D"/>
    <w:rsid w:val="00302D07"/>
    <w:rsid w:val="00302E88"/>
    <w:rsid w:val="00345DD8"/>
    <w:rsid w:val="00372B3D"/>
    <w:rsid w:val="00387BFA"/>
    <w:rsid w:val="0039239E"/>
    <w:rsid w:val="003D2685"/>
    <w:rsid w:val="003E325E"/>
    <w:rsid w:val="00454783"/>
    <w:rsid w:val="00471F81"/>
    <w:rsid w:val="00591434"/>
    <w:rsid w:val="005D4B85"/>
    <w:rsid w:val="005E6E8E"/>
    <w:rsid w:val="00676A4F"/>
    <w:rsid w:val="00686CB3"/>
    <w:rsid w:val="00692955"/>
    <w:rsid w:val="00697D13"/>
    <w:rsid w:val="006A05B2"/>
    <w:rsid w:val="00754149"/>
    <w:rsid w:val="007545B6"/>
    <w:rsid w:val="00772F3B"/>
    <w:rsid w:val="00782CDA"/>
    <w:rsid w:val="007A0365"/>
    <w:rsid w:val="007A0D5D"/>
    <w:rsid w:val="00846F2E"/>
    <w:rsid w:val="0088374F"/>
    <w:rsid w:val="008C0FAC"/>
    <w:rsid w:val="009536DC"/>
    <w:rsid w:val="009A67C0"/>
    <w:rsid w:val="009D4ADF"/>
    <w:rsid w:val="00A239B2"/>
    <w:rsid w:val="00A30D21"/>
    <w:rsid w:val="00A43A15"/>
    <w:rsid w:val="00A87A27"/>
    <w:rsid w:val="00AA33C4"/>
    <w:rsid w:val="00B5514B"/>
    <w:rsid w:val="00B95B23"/>
    <w:rsid w:val="00BB78F7"/>
    <w:rsid w:val="00C15CE1"/>
    <w:rsid w:val="00CA22BB"/>
    <w:rsid w:val="00CF5B97"/>
    <w:rsid w:val="00D114DC"/>
    <w:rsid w:val="00D43EAD"/>
    <w:rsid w:val="00D520AD"/>
    <w:rsid w:val="00D622D5"/>
    <w:rsid w:val="00D97E88"/>
    <w:rsid w:val="00E2260F"/>
    <w:rsid w:val="00EF23E9"/>
    <w:rsid w:val="00F0176E"/>
    <w:rsid w:val="00F11C77"/>
    <w:rsid w:val="00F34256"/>
    <w:rsid w:val="00F8377A"/>
    <w:rsid w:val="00FC0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257A1D"/>
  <w15:chartTrackingRefBased/>
  <w15:docId w15:val="{29796764-54F8-4C70-A04A-9F54D38E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0D21"/>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E2260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D43E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260F"/>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0D21"/>
    <w:pPr>
      <w:ind w:left="720"/>
      <w:contextualSpacing/>
    </w:pPr>
  </w:style>
  <w:style w:type="paragraph" w:styleId="NormalWeb">
    <w:name w:val="Normal (Web)"/>
    <w:basedOn w:val="Normal"/>
    <w:uiPriority w:val="99"/>
    <w:unhideWhenUsed/>
    <w:rsid w:val="00A30D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0D21"/>
    <w:rPr>
      <w:b/>
      <w:bCs/>
    </w:rPr>
  </w:style>
  <w:style w:type="character" w:styleId="Emphasis">
    <w:name w:val="Emphasis"/>
    <w:basedOn w:val="DefaultParagraphFont"/>
    <w:uiPriority w:val="20"/>
    <w:qFormat/>
    <w:rsid w:val="00A30D21"/>
    <w:rPr>
      <w:i/>
      <w:iCs/>
    </w:rPr>
  </w:style>
  <w:style w:type="character" w:customStyle="1" w:styleId="Heading2Char">
    <w:name w:val="Heading 2 Char"/>
    <w:basedOn w:val="DefaultParagraphFont"/>
    <w:link w:val="Heading2"/>
    <w:uiPriority w:val="9"/>
    <w:rsid w:val="00D43EAD"/>
    <w:rPr>
      <w:rFonts w:ascii="Times New Roman" w:eastAsia="Times New Roman" w:hAnsi="Times New Roman" w:cs="Times New Roman"/>
      <w:b/>
      <w:bCs/>
      <w:kern w:val="0"/>
      <w:sz w:val="36"/>
      <w:szCs w:val="36"/>
      <w:lang w:val="en-US"/>
      <w14:ligatures w14:val="none"/>
    </w:rPr>
  </w:style>
  <w:style w:type="character" w:styleId="Hyperlink">
    <w:name w:val="Hyperlink"/>
    <w:basedOn w:val="DefaultParagraphFont"/>
    <w:uiPriority w:val="99"/>
    <w:unhideWhenUsed/>
    <w:rsid w:val="00692955"/>
    <w:rPr>
      <w:color w:val="467886" w:themeColor="hyperlink"/>
      <w:u w:val="single"/>
    </w:rPr>
  </w:style>
  <w:style w:type="character" w:customStyle="1" w:styleId="Heading1Char">
    <w:name w:val="Heading 1 Char"/>
    <w:basedOn w:val="DefaultParagraphFont"/>
    <w:link w:val="Heading1"/>
    <w:uiPriority w:val="9"/>
    <w:rsid w:val="00E2260F"/>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E2260F"/>
    <w:rPr>
      <w:rFonts w:asciiTheme="majorHAnsi" w:eastAsiaTheme="majorEastAsia" w:hAnsiTheme="majorHAnsi" w:cstheme="majorBidi"/>
      <w:color w:val="0A2F40" w:themeColor="accent1" w:themeShade="7F"/>
      <w:kern w:val="0"/>
      <w:lang w:val="en-US"/>
      <w14:ligatures w14:val="none"/>
    </w:rPr>
  </w:style>
  <w:style w:type="table" w:styleId="TableGrid">
    <w:name w:val="Table Grid"/>
    <w:basedOn w:val="TableNormal"/>
    <w:uiPriority w:val="39"/>
    <w:rsid w:val="00F34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5B23"/>
    <w:pPr>
      <w:spacing w:after="0" w:line="240" w:lineRule="auto"/>
    </w:pPr>
    <w:rPr>
      <w:rFonts w:ascii="Calibri" w:eastAsia="Calibri" w:hAnsi="Calibri" w:cs="Times New Roman"/>
      <w:kern w:val="0"/>
      <w:sz w:val="22"/>
      <w:szCs w:val="22"/>
      <w:lang w:val="en-US"/>
      <w14:ligatures w14:val="none"/>
    </w:rPr>
  </w:style>
  <w:style w:type="character" w:customStyle="1" w:styleId="UnresolvedMention1">
    <w:name w:val="Unresolved Mention1"/>
    <w:basedOn w:val="DefaultParagraphFont"/>
    <w:uiPriority w:val="99"/>
    <w:semiHidden/>
    <w:unhideWhenUsed/>
    <w:rsid w:val="007A0D5D"/>
    <w:rPr>
      <w:color w:val="605E5C"/>
      <w:shd w:val="clear" w:color="auto" w:fill="E1DFDD"/>
    </w:rPr>
  </w:style>
  <w:style w:type="paragraph" w:styleId="Header">
    <w:name w:val="header"/>
    <w:basedOn w:val="Normal"/>
    <w:link w:val="HeaderChar"/>
    <w:uiPriority w:val="99"/>
    <w:unhideWhenUsed/>
    <w:rsid w:val="0008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7C7"/>
    <w:rPr>
      <w:kern w:val="0"/>
      <w:sz w:val="22"/>
      <w:szCs w:val="22"/>
      <w:lang w:val="en-US"/>
      <w14:ligatures w14:val="none"/>
    </w:rPr>
  </w:style>
  <w:style w:type="paragraph" w:styleId="Footer">
    <w:name w:val="footer"/>
    <w:basedOn w:val="Normal"/>
    <w:link w:val="FooterChar"/>
    <w:uiPriority w:val="99"/>
    <w:unhideWhenUsed/>
    <w:rsid w:val="0008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7C7"/>
    <w:rPr>
      <w:kern w:val="0"/>
      <w:sz w:val="22"/>
      <w:szCs w:val="22"/>
      <w:lang w:val="en-US"/>
      <w14:ligatures w14:val="none"/>
    </w:rPr>
  </w:style>
  <w:style w:type="paragraph" w:styleId="BodyText">
    <w:name w:val="Body Text"/>
    <w:basedOn w:val="Normal"/>
    <w:link w:val="BodyTextChar"/>
    <w:uiPriority w:val="1"/>
    <w:qFormat/>
    <w:rsid w:val="00050B3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050B3D"/>
    <w:rPr>
      <w:rFonts w:ascii="Times New Roman" w:eastAsia="Times New Roman" w:hAnsi="Times New Roman" w:cs="Times New Roman"/>
      <w:kern w:val="0"/>
      <w:sz w:val="20"/>
      <w:szCs w:val="20"/>
      <w:lang w:val="en-US"/>
      <w14:ligatures w14:val="none"/>
    </w:rPr>
  </w:style>
  <w:style w:type="table" w:customStyle="1" w:styleId="TableGrid1">
    <w:name w:val="Table Grid1"/>
    <w:basedOn w:val="TableNormal"/>
    <w:next w:val="TableGrid"/>
    <w:uiPriority w:val="39"/>
    <w:rsid w:val="00050B3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2547">
      <w:bodyDiv w:val="1"/>
      <w:marLeft w:val="0"/>
      <w:marRight w:val="0"/>
      <w:marTop w:val="0"/>
      <w:marBottom w:val="0"/>
      <w:divBdr>
        <w:top w:val="none" w:sz="0" w:space="0" w:color="auto"/>
        <w:left w:val="none" w:sz="0" w:space="0" w:color="auto"/>
        <w:bottom w:val="none" w:sz="0" w:space="0" w:color="auto"/>
        <w:right w:val="none" w:sz="0" w:space="0" w:color="auto"/>
      </w:divBdr>
    </w:div>
    <w:div w:id="359747251">
      <w:bodyDiv w:val="1"/>
      <w:marLeft w:val="0"/>
      <w:marRight w:val="0"/>
      <w:marTop w:val="0"/>
      <w:marBottom w:val="0"/>
      <w:divBdr>
        <w:top w:val="none" w:sz="0" w:space="0" w:color="auto"/>
        <w:left w:val="none" w:sz="0" w:space="0" w:color="auto"/>
        <w:bottom w:val="none" w:sz="0" w:space="0" w:color="auto"/>
        <w:right w:val="none" w:sz="0" w:space="0" w:color="auto"/>
      </w:divBdr>
    </w:div>
    <w:div w:id="473134639">
      <w:bodyDiv w:val="1"/>
      <w:marLeft w:val="0"/>
      <w:marRight w:val="0"/>
      <w:marTop w:val="0"/>
      <w:marBottom w:val="0"/>
      <w:divBdr>
        <w:top w:val="none" w:sz="0" w:space="0" w:color="auto"/>
        <w:left w:val="none" w:sz="0" w:space="0" w:color="auto"/>
        <w:bottom w:val="none" w:sz="0" w:space="0" w:color="auto"/>
        <w:right w:val="none" w:sz="0" w:space="0" w:color="auto"/>
      </w:divBdr>
    </w:div>
    <w:div w:id="734010822">
      <w:bodyDiv w:val="1"/>
      <w:marLeft w:val="0"/>
      <w:marRight w:val="0"/>
      <w:marTop w:val="0"/>
      <w:marBottom w:val="0"/>
      <w:divBdr>
        <w:top w:val="none" w:sz="0" w:space="0" w:color="auto"/>
        <w:left w:val="none" w:sz="0" w:space="0" w:color="auto"/>
        <w:bottom w:val="none" w:sz="0" w:space="0" w:color="auto"/>
        <w:right w:val="none" w:sz="0" w:space="0" w:color="auto"/>
      </w:divBdr>
    </w:div>
    <w:div w:id="1057358118">
      <w:bodyDiv w:val="1"/>
      <w:marLeft w:val="0"/>
      <w:marRight w:val="0"/>
      <w:marTop w:val="0"/>
      <w:marBottom w:val="0"/>
      <w:divBdr>
        <w:top w:val="none" w:sz="0" w:space="0" w:color="auto"/>
        <w:left w:val="none" w:sz="0" w:space="0" w:color="auto"/>
        <w:bottom w:val="none" w:sz="0" w:space="0" w:color="auto"/>
        <w:right w:val="none" w:sz="0" w:space="0" w:color="auto"/>
      </w:divBdr>
    </w:div>
    <w:div w:id="1157501036">
      <w:bodyDiv w:val="1"/>
      <w:marLeft w:val="0"/>
      <w:marRight w:val="0"/>
      <w:marTop w:val="0"/>
      <w:marBottom w:val="0"/>
      <w:divBdr>
        <w:top w:val="none" w:sz="0" w:space="0" w:color="auto"/>
        <w:left w:val="none" w:sz="0" w:space="0" w:color="auto"/>
        <w:bottom w:val="none" w:sz="0" w:space="0" w:color="auto"/>
        <w:right w:val="none" w:sz="0" w:space="0" w:color="auto"/>
      </w:divBdr>
    </w:div>
    <w:div w:id="1218054216">
      <w:bodyDiv w:val="1"/>
      <w:marLeft w:val="0"/>
      <w:marRight w:val="0"/>
      <w:marTop w:val="0"/>
      <w:marBottom w:val="0"/>
      <w:divBdr>
        <w:top w:val="none" w:sz="0" w:space="0" w:color="auto"/>
        <w:left w:val="none" w:sz="0" w:space="0" w:color="auto"/>
        <w:bottom w:val="none" w:sz="0" w:space="0" w:color="auto"/>
        <w:right w:val="none" w:sz="0" w:space="0" w:color="auto"/>
      </w:divBdr>
    </w:div>
    <w:div w:id="1374185093">
      <w:bodyDiv w:val="1"/>
      <w:marLeft w:val="0"/>
      <w:marRight w:val="0"/>
      <w:marTop w:val="0"/>
      <w:marBottom w:val="0"/>
      <w:divBdr>
        <w:top w:val="none" w:sz="0" w:space="0" w:color="auto"/>
        <w:left w:val="none" w:sz="0" w:space="0" w:color="auto"/>
        <w:bottom w:val="none" w:sz="0" w:space="0" w:color="auto"/>
        <w:right w:val="none" w:sz="0" w:space="0" w:color="auto"/>
      </w:divBdr>
    </w:div>
    <w:div w:id="1398479710">
      <w:bodyDiv w:val="1"/>
      <w:marLeft w:val="0"/>
      <w:marRight w:val="0"/>
      <w:marTop w:val="0"/>
      <w:marBottom w:val="0"/>
      <w:divBdr>
        <w:top w:val="none" w:sz="0" w:space="0" w:color="auto"/>
        <w:left w:val="none" w:sz="0" w:space="0" w:color="auto"/>
        <w:bottom w:val="none" w:sz="0" w:space="0" w:color="auto"/>
        <w:right w:val="none" w:sz="0" w:space="0" w:color="auto"/>
      </w:divBdr>
    </w:div>
    <w:div w:id="1515415108">
      <w:bodyDiv w:val="1"/>
      <w:marLeft w:val="0"/>
      <w:marRight w:val="0"/>
      <w:marTop w:val="0"/>
      <w:marBottom w:val="0"/>
      <w:divBdr>
        <w:top w:val="none" w:sz="0" w:space="0" w:color="auto"/>
        <w:left w:val="none" w:sz="0" w:space="0" w:color="auto"/>
        <w:bottom w:val="none" w:sz="0" w:space="0" w:color="auto"/>
        <w:right w:val="none" w:sz="0" w:space="0" w:color="auto"/>
      </w:divBdr>
    </w:div>
    <w:div w:id="1710229351">
      <w:bodyDiv w:val="1"/>
      <w:marLeft w:val="0"/>
      <w:marRight w:val="0"/>
      <w:marTop w:val="0"/>
      <w:marBottom w:val="0"/>
      <w:divBdr>
        <w:top w:val="none" w:sz="0" w:space="0" w:color="auto"/>
        <w:left w:val="none" w:sz="0" w:space="0" w:color="auto"/>
        <w:bottom w:val="none" w:sz="0" w:space="0" w:color="auto"/>
        <w:right w:val="none" w:sz="0" w:space="0" w:color="auto"/>
      </w:divBdr>
    </w:div>
    <w:div w:id="1792045683">
      <w:bodyDiv w:val="1"/>
      <w:marLeft w:val="0"/>
      <w:marRight w:val="0"/>
      <w:marTop w:val="0"/>
      <w:marBottom w:val="0"/>
      <w:divBdr>
        <w:top w:val="none" w:sz="0" w:space="0" w:color="auto"/>
        <w:left w:val="none" w:sz="0" w:space="0" w:color="auto"/>
        <w:bottom w:val="none" w:sz="0" w:space="0" w:color="auto"/>
        <w:right w:val="none" w:sz="0" w:space="0" w:color="auto"/>
      </w:divBdr>
      <w:divsChild>
        <w:div w:id="1446534897">
          <w:marLeft w:val="0"/>
          <w:marRight w:val="0"/>
          <w:marTop w:val="120"/>
          <w:marBottom w:val="120"/>
          <w:divBdr>
            <w:top w:val="none" w:sz="0" w:space="0" w:color="auto"/>
            <w:left w:val="none" w:sz="0" w:space="0" w:color="auto"/>
            <w:bottom w:val="none" w:sz="0" w:space="0" w:color="auto"/>
            <w:right w:val="none" w:sz="0" w:space="0" w:color="auto"/>
          </w:divBdr>
        </w:div>
      </w:divsChild>
    </w:div>
    <w:div w:id="1905871898">
      <w:bodyDiv w:val="1"/>
      <w:marLeft w:val="0"/>
      <w:marRight w:val="0"/>
      <w:marTop w:val="0"/>
      <w:marBottom w:val="0"/>
      <w:divBdr>
        <w:top w:val="none" w:sz="0" w:space="0" w:color="auto"/>
        <w:left w:val="none" w:sz="0" w:space="0" w:color="auto"/>
        <w:bottom w:val="none" w:sz="0" w:space="0" w:color="auto"/>
        <w:right w:val="none" w:sz="0" w:space="0" w:color="auto"/>
      </w:divBdr>
      <w:divsChild>
        <w:div w:id="1865747683">
          <w:marLeft w:val="0"/>
          <w:marRight w:val="0"/>
          <w:marTop w:val="120"/>
          <w:marBottom w:val="120"/>
          <w:divBdr>
            <w:top w:val="none" w:sz="0" w:space="0" w:color="auto"/>
            <w:left w:val="none" w:sz="0" w:space="0" w:color="auto"/>
            <w:bottom w:val="none" w:sz="0" w:space="0" w:color="auto"/>
            <w:right w:val="none" w:sz="0" w:space="0" w:color="auto"/>
          </w:divBdr>
        </w:div>
      </w:divsChild>
    </w:div>
    <w:div w:id="1933321920">
      <w:bodyDiv w:val="1"/>
      <w:marLeft w:val="0"/>
      <w:marRight w:val="0"/>
      <w:marTop w:val="0"/>
      <w:marBottom w:val="0"/>
      <w:divBdr>
        <w:top w:val="none" w:sz="0" w:space="0" w:color="auto"/>
        <w:left w:val="none" w:sz="0" w:space="0" w:color="auto"/>
        <w:bottom w:val="none" w:sz="0" w:space="0" w:color="auto"/>
        <w:right w:val="none" w:sz="0" w:space="0" w:color="auto"/>
      </w:divBdr>
    </w:div>
    <w:div w:id="20563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1317</TotalTime>
  <Pages>15</Pages>
  <Words>5303</Words>
  <Characters>30230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43</cp:revision>
  <dcterms:created xsi:type="dcterms:W3CDTF">2026-01-28T11:36:00Z</dcterms:created>
  <dcterms:modified xsi:type="dcterms:W3CDTF">2026-02-13T11:41:00Z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eb9bc42e-fef7-4f5b-b9ef-f92450d40bac</vt:lpwstr>
  </property>
</Properties>
</file>