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A3912" w14:textId="359B1DE4" w:rsidR="00E761C4" w:rsidRPr="00E761C4" w:rsidRDefault="00E761C4" w:rsidP="00B91FA6">
      <w:pPr>
        <w:pStyle w:val="NoSpacing"/>
        <w:spacing w:line="276" w:lineRule="auto"/>
        <w:rPr>
          <w:rFonts w:ascii="Arial" w:hAnsi="Arial" w:cs="Arial"/>
          <w:b/>
          <w:bCs/>
          <w:sz w:val="36"/>
          <w:szCs w:val="36"/>
          <w:u w:val="single"/>
        </w:rPr>
      </w:pPr>
      <w:r w:rsidRPr="00E761C4">
        <w:rPr>
          <w:rFonts w:ascii="Arial" w:hAnsi="Arial" w:cs="Arial"/>
          <w:b/>
          <w:bCs/>
          <w:sz w:val="36"/>
          <w:szCs w:val="36"/>
          <w:u w:val="single"/>
        </w:rPr>
        <w:t>Original Research Article</w:t>
      </w:r>
    </w:p>
    <w:p w14:paraId="3E48C3E3" w14:textId="77777777" w:rsidR="00E761C4" w:rsidRDefault="00E761C4" w:rsidP="00B91FA6">
      <w:pPr>
        <w:pStyle w:val="NoSpacing"/>
        <w:spacing w:line="276" w:lineRule="auto"/>
        <w:rPr>
          <w:rFonts w:ascii="Arial" w:hAnsi="Arial" w:cs="Arial"/>
          <w:b/>
          <w:bCs/>
          <w:sz w:val="36"/>
          <w:szCs w:val="36"/>
        </w:rPr>
      </w:pPr>
    </w:p>
    <w:p w14:paraId="37C4D0AC" w14:textId="17F21CD5" w:rsidR="00BB40B0" w:rsidRPr="004F63C6" w:rsidRDefault="00BB40B0" w:rsidP="00E761C4">
      <w:pPr>
        <w:pStyle w:val="NoSpacing"/>
        <w:spacing w:line="276" w:lineRule="auto"/>
        <w:jc w:val="right"/>
        <w:rPr>
          <w:rFonts w:ascii="Arial" w:hAnsi="Arial" w:cs="Arial"/>
          <w:b/>
          <w:bCs/>
          <w:sz w:val="36"/>
          <w:szCs w:val="36"/>
        </w:rPr>
      </w:pPr>
      <w:r w:rsidRPr="004F63C6">
        <w:rPr>
          <w:rFonts w:ascii="Arial" w:hAnsi="Arial" w:cs="Arial"/>
          <w:b/>
          <w:bCs/>
          <w:sz w:val="36"/>
          <w:szCs w:val="36"/>
        </w:rPr>
        <w:t xml:space="preserve">High-frequency somatic embryogenesis and molecular validation of genetic fidelity in </w:t>
      </w:r>
      <w:proofErr w:type="spellStart"/>
      <w:r w:rsidRPr="004F63C6">
        <w:rPr>
          <w:rFonts w:ascii="Arial" w:hAnsi="Arial" w:cs="Arial"/>
          <w:b/>
          <w:bCs/>
          <w:i/>
          <w:iCs/>
          <w:sz w:val="36"/>
          <w:szCs w:val="36"/>
        </w:rPr>
        <w:t>Kaempferia</w:t>
      </w:r>
      <w:proofErr w:type="spellEnd"/>
      <w:r w:rsidRPr="004F63C6">
        <w:rPr>
          <w:rFonts w:ascii="Arial" w:hAnsi="Arial" w:cs="Arial"/>
          <w:b/>
          <w:bCs/>
          <w:i/>
          <w:iCs/>
          <w:sz w:val="36"/>
          <w:szCs w:val="36"/>
        </w:rPr>
        <w:t xml:space="preserve"> </w:t>
      </w:r>
      <w:proofErr w:type="spellStart"/>
      <w:r w:rsidRPr="004F63C6">
        <w:rPr>
          <w:rFonts w:ascii="Arial" w:hAnsi="Arial" w:cs="Arial"/>
          <w:b/>
          <w:bCs/>
          <w:i/>
          <w:iCs/>
          <w:sz w:val="36"/>
          <w:szCs w:val="36"/>
        </w:rPr>
        <w:t>marginata</w:t>
      </w:r>
      <w:proofErr w:type="spellEnd"/>
      <w:r w:rsidRPr="004F63C6">
        <w:rPr>
          <w:rFonts w:ascii="Arial" w:hAnsi="Arial" w:cs="Arial"/>
          <w:b/>
          <w:bCs/>
          <w:sz w:val="36"/>
          <w:szCs w:val="36"/>
        </w:rPr>
        <w:t xml:space="preserve"> Carey ex Roscoe: An endangered medicinal plant</w:t>
      </w:r>
    </w:p>
    <w:p w14:paraId="213910BF" w14:textId="77777777" w:rsidR="004F63C6" w:rsidRDefault="004F63C6" w:rsidP="00BB40B0">
      <w:pPr>
        <w:pStyle w:val="NoSpacing"/>
        <w:spacing w:line="276" w:lineRule="auto"/>
        <w:jc w:val="both"/>
        <w:rPr>
          <w:rFonts w:ascii="Arial" w:hAnsi="Arial" w:cs="Arial"/>
          <w:sz w:val="24"/>
          <w:szCs w:val="24"/>
        </w:rPr>
      </w:pPr>
    </w:p>
    <w:p w14:paraId="7B550D5E" w14:textId="77777777" w:rsidR="00E761C4" w:rsidRPr="004D3374" w:rsidRDefault="00E761C4" w:rsidP="00BB40B0">
      <w:pPr>
        <w:pStyle w:val="NoSpacing"/>
        <w:spacing w:line="276" w:lineRule="auto"/>
        <w:jc w:val="both"/>
        <w:rPr>
          <w:rFonts w:ascii="Arial" w:hAnsi="Arial" w:cs="Arial"/>
        </w:rPr>
      </w:pPr>
    </w:p>
    <w:p w14:paraId="65CF6005" w14:textId="77777777" w:rsidR="004F63C6" w:rsidRDefault="004F63C6" w:rsidP="00993933">
      <w:pPr>
        <w:pStyle w:val="NoSpacing"/>
        <w:spacing w:line="276" w:lineRule="auto"/>
        <w:jc w:val="both"/>
        <w:rPr>
          <w:rFonts w:ascii="Arial" w:hAnsi="Arial" w:cs="Arial"/>
          <w:sz w:val="24"/>
          <w:szCs w:val="24"/>
        </w:rPr>
      </w:pPr>
    </w:p>
    <w:p w14:paraId="13708F21" w14:textId="0110E043" w:rsidR="004F63C6" w:rsidRPr="004D3374" w:rsidRDefault="00D40195" w:rsidP="00993933">
      <w:pPr>
        <w:pStyle w:val="NoSpacing"/>
        <w:spacing w:line="276" w:lineRule="auto"/>
        <w:jc w:val="both"/>
        <w:rPr>
          <w:rFonts w:ascii="Arial" w:hAnsi="Arial" w:cs="Arial"/>
          <w:b/>
          <w:bCs/>
        </w:rPr>
      </w:pPr>
      <w:r w:rsidRPr="004D3374">
        <w:rPr>
          <w:rFonts w:ascii="Arial" w:hAnsi="Arial" w:cs="Arial"/>
          <w:b/>
          <w:bCs/>
        </w:rPr>
        <w:t xml:space="preserve">ABSTRACT: </w:t>
      </w:r>
    </w:p>
    <w:p w14:paraId="1E3230CF" w14:textId="1AC0ABEC" w:rsidR="004F63C6" w:rsidRDefault="00001E1B" w:rsidP="00993933">
      <w:pPr>
        <w:pStyle w:val="NoSpacing"/>
        <w:spacing w:line="276"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6432" behindDoc="0" locked="0" layoutInCell="1" allowOverlap="1" wp14:anchorId="6C9037A0" wp14:editId="4BD661A2">
                <wp:simplePos x="0" y="0"/>
                <wp:positionH relativeFrom="column">
                  <wp:posOffset>9525</wp:posOffset>
                </wp:positionH>
                <wp:positionV relativeFrom="paragraph">
                  <wp:posOffset>99695</wp:posOffset>
                </wp:positionV>
                <wp:extent cx="5753100" cy="2019300"/>
                <wp:effectExtent l="0" t="0" r="19050" b="19050"/>
                <wp:wrapNone/>
                <wp:docPr id="1042235737" name="Text Box 2"/>
                <wp:cNvGraphicFramePr/>
                <a:graphic xmlns:a="http://schemas.openxmlformats.org/drawingml/2006/main">
                  <a:graphicData uri="http://schemas.microsoft.com/office/word/2010/wordprocessingShape">
                    <wps:wsp>
                      <wps:cNvSpPr txBox="1"/>
                      <wps:spPr>
                        <a:xfrm>
                          <a:off x="0" y="0"/>
                          <a:ext cx="5753100" cy="2019300"/>
                        </a:xfrm>
                        <a:prstGeom prst="rect">
                          <a:avLst/>
                        </a:prstGeom>
                        <a:solidFill>
                          <a:schemeClr val="lt1"/>
                        </a:solidFill>
                        <a:ln w="6350">
                          <a:solidFill>
                            <a:prstClr val="black"/>
                          </a:solidFill>
                        </a:ln>
                      </wps:spPr>
                      <wps:txbx>
                        <w:txbxContent>
                          <w:p w14:paraId="32273886" w14:textId="73775BB4" w:rsidR="00001E1B" w:rsidRPr="00001E1B" w:rsidRDefault="00001E1B" w:rsidP="00001E1B">
                            <w:pPr>
                              <w:jc w:val="both"/>
                              <w:rPr>
                                <w:rFonts w:ascii="Arial" w:hAnsi="Arial" w:cs="Arial"/>
                                <w:sz w:val="20"/>
                                <w:szCs w:val="20"/>
                              </w:rPr>
                            </w:pPr>
                            <w:proofErr w:type="spellStart"/>
                            <w:r w:rsidRPr="00253014">
                              <w:rPr>
                                <w:rFonts w:ascii="Arial" w:hAnsi="Arial" w:cs="Arial"/>
                                <w:i/>
                                <w:iCs/>
                                <w:sz w:val="20"/>
                                <w:szCs w:val="20"/>
                              </w:rPr>
                              <w:t>Kaempferia</w:t>
                            </w:r>
                            <w:proofErr w:type="spellEnd"/>
                            <w:r w:rsidRPr="00253014">
                              <w:rPr>
                                <w:rFonts w:ascii="Arial" w:hAnsi="Arial" w:cs="Arial"/>
                                <w:i/>
                                <w:iCs/>
                                <w:sz w:val="20"/>
                                <w:szCs w:val="20"/>
                              </w:rPr>
                              <w:t xml:space="preserve"> </w:t>
                            </w:r>
                            <w:proofErr w:type="spellStart"/>
                            <w:r w:rsidRPr="00253014">
                              <w:rPr>
                                <w:rFonts w:ascii="Arial" w:hAnsi="Arial" w:cs="Arial"/>
                                <w:i/>
                                <w:iCs/>
                                <w:sz w:val="20"/>
                                <w:szCs w:val="20"/>
                              </w:rPr>
                              <w:t>marginata</w:t>
                            </w:r>
                            <w:proofErr w:type="spellEnd"/>
                            <w:r w:rsidRPr="00253014">
                              <w:rPr>
                                <w:rFonts w:ascii="Arial" w:hAnsi="Arial" w:cs="Arial"/>
                                <w:sz w:val="20"/>
                                <w:szCs w:val="20"/>
                              </w:rPr>
                              <w:t xml:space="preserve"> Carey ex Roscoe is a valuable medicinal plant currently threatened by over-exploitation and habitat loss. We established an efficient in vitro micropropagation protocol via somatic embryogenesis. Rhizome buds were cultured on </w:t>
                            </w:r>
                            <w:proofErr w:type="spellStart"/>
                            <w:r w:rsidRPr="00253014">
                              <w:rPr>
                                <w:rFonts w:ascii="Arial" w:hAnsi="Arial" w:cs="Arial"/>
                                <w:sz w:val="20"/>
                                <w:szCs w:val="20"/>
                              </w:rPr>
                              <w:t>Murashige</w:t>
                            </w:r>
                            <w:proofErr w:type="spellEnd"/>
                            <w:r w:rsidRPr="00253014">
                              <w:rPr>
                                <w:rFonts w:ascii="Arial" w:hAnsi="Arial" w:cs="Arial"/>
                                <w:sz w:val="20"/>
                                <w:szCs w:val="20"/>
                              </w:rPr>
                              <w:t xml:space="preserve"> and Skoog (MS) medium supplemented with varying concentrations of auxins and </w:t>
                            </w:r>
                            <w:proofErr w:type="spellStart"/>
                            <w:r w:rsidRPr="00253014">
                              <w:rPr>
                                <w:rFonts w:ascii="Arial" w:hAnsi="Arial" w:cs="Arial"/>
                                <w:sz w:val="20"/>
                                <w:szCs w:val="20"/>
                              </w:rPr>
                              <w:t>cytokinins</w:t>
                            </w:r>
                            <w:proofErr w:type="spellEnd"/>
                            <w:r w:rsidRPr="00253014">
                              <w:rPr>
                                <w:rFonts w:ascii="Arial" w:hAnsi="Arial" w:cs="Arial"/>
                                <w:sz w:val="20"/>
                                <w:szCs w:val="20"/>
                              </w:rPr>
                              <w:t>. The highest frequency of callus induction (87.00 ± 0.10%)—producing friable, embryogenic callus—and subsequent shoot regeneration (7.5 ± 0.16 shoots/explant) was achieved with 2.0 mgL</w:t>
                            </w:r>
                            <w:r w:rsidRPr="00253014">
                              <w:rPr>
                                <w:rFonts w:ascii="Cambria Math" w:hAnsi="Cambria Math" w:cs="Cambria Math"/>
                                <w:sz w:val="20"/>
                                <w:szCs w:val="20"/>
                              </w:rPr>
                              <w:t>⁻</w:t>
                            </w:r>
                            <w:r w:rsidRPr="00253014">
                              <w:rPr>
                                <w:rFonts w:ascii="Arial" w:hAnsi="Arial" w:cs="Arial"/>
                                <w:sz w:val="20"/>
                                <w:szCs w:val="20"/>
                              </w:rPr>
                              <w:t>¹ α-naphthalene acetic acid (NAA). Histological analysis confirmed the ontogeny of somatic embryos progressing from globular to torpedo stages. For multiplication, a combination of 4.0 mgL</w:t>
                            </w:r>
                            <w:r w:rsidRPr="00253014">
                              <w:rPr>
                                <w:rFonts w:ascii="Cambria Math" w:hAnsi="Cambria Math" w:cs="Cambria Math"/>
                                <w:sz w:val="20"/>
                                <w:szCs w:val="20"/>
                              </w:rPr>
                              <w:t>⁻</w:t>
                            </w:r>
                            <w:r w:rsidRPr="00253014">
                              <w:rPr>
                                <w:rFonts w:ascii="Arial" w:hAnsi="Arial" w:cs="Arial"/>
                                <w:sz w:val="20"/>
                                <w:szCs w:val="20"/>
                              </w:rPr>
                              <w:t>¹ 6-benzylaminopurine (BAP) and 1.0 mg L</w:t>
                            </w:r>
                            <w:r w:rsidRPr="00253014">
                              <w:rPr>
                                <w:rFonts w:ascii="Cambria Math" w:hAnsi="Cambria Math" w:cs="Cambria Math"/>
                                <w:sz w:val="20"/>
                                <w:szCs w:val="20"/>
                              </w:rPr>
                              <w:t>⁻</w:t>
                            </w:r>
                            <w:r w:rsidRPr="00253014">
                              <w:rPr>
                                <w:rFonts w:ascii="Arial" w:hAnsi="Arial" w:cs="Arial"/>
                                <w:sz w:val="20"/>
                                <w:szCs w:val="20"/>
                              </w:rPr>
                              <w:t>¹ NAA yielded the maximum number of shoots (16.35 ± 0.22) within 4 weeks. Genetic stability was assessed using 25 RAPD and 11 ISSR primers, which generated 84 and 76 reproducible bands, respectively. All profiles were monomorphic across regenerants and the mother plant, confirming true-to-type propagation suitable for large-scale conservation and commercial utilization.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9037A0" id="_x0000_t202" coordsize="21600,21600" o:spt="202" path="m,l,21600r21600,l21600,xe">
                <v:stroke joinstyle="miter"/>
                <v:path gradientshapeok="t" o:connecttype="rect"/>
              </v:shapetype>
              <v:shape id="Text Box 2" o:spid="_x0000_s1026" type="#_x0000_t202" style="position:absolute;left:0;text-align:left;margin-left:.75pt;margin-top:7.85pt;width:453pt;height:15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" fillcolor="white [3201]" strokeweight=".5pt">
                <v:textbox>
                  <w:txbxContent>
                    <w:p w14:paraId="32273886" w14:textId="73775BB4" w:rsidR="00001E1B" w:rsidRPr="00001E1B" w:rsidRDefault="00001E1B" w:rsidP="00001E1B">
                      <w:pPr>
                        <w:jc w:val="both"/>
                        <w:rPr>
                          <w:rFonts w:ascii="Arial" w:hAnsi="Arial" w:cs="Arial"/>
                          <w:sz w:val="20"/>
                          <w:szCs w:val="20"/>
                        </w:rPr>
                      </w:pPr>
                      <w:proofErr w:type="spellStart"/>
                      <w:r w:rsidRPr="00253014">
                        <w:rPr>
                          <w:rFonts w:ascii="Arial" w:hAnsi="Arial" w:cs="Arial"/>
                          <w:i/>
                          <w:iCs/>
                          <w:sz w:val="20"/>
                          <w:szCs w:val="20"/>
                        </w:rPr>
                        <w:t>Kaempferia</w:t>
                      </w:r>
                      <w:proofErr w:type="spellEnd"/>
                      <w:r w:rsidRPr="00253014">
                        <w:rPr>
                          <w:rFonts w:ascii="Arial" w:hAnsi="Arial" w:cs="Arial"/>
                          <w:i/>
                          <w:iCs/>
                          <w:sz w:val="20"/>
                          <w:szCs w:val="20"/>
                        </w:rPr>
                        <w:t xml:space="preserve"> </w:t>
                      </w:r>
                      <w:proofErr w:type="spellStart"/>
                      <w:r w:rsidRPr="00253014">
                        <w:rPr>
                          <w:rFonts w:ascii="Arial" w:hAnsi="Arial" w:cs="Arial"/>
                          <w:i/>
                          <w:iCs/>
                          <w:sz w:val="20"/>
                          <w:szCs w:val="20"/>
                        </w:rPr>
                        <w:t>marginata</w:t>
                      </w:r>
                      <w:proofErr w:type="spellEnd"/>
                      <w:r w:rsidRPr="00253014">
                        <w:rPr>
                          <w:rFonts w:ascii="Arial" w:hAnsi="Arial" w:cs="Arial"/>
                          <w:sz w:val="20"/>
                          <w:szCs w:val="20"/>
                        </w:rPr>
                        <w:t xml:space="preserve"> Carey ex Roscoe is a valuable medicinal plant currently threatened by over-exploitation and habitat loss. We established an efficient in vitro micropropagation protocol via somatic embryogenesis. Rhizome buds were cultured on </w:t>
                      </w:r>
                      <w:proofErr w:type="spellStart"/>
                      <w:r w:rsidRPr="00253014">
                        <w:rPr>
                          <w:rFonts w:ascii="Arial" w:hAnsi="Arial" w:cs="Arial"/>
                          <w:sz w:val="20"/>
                          <w:szCs w:val="20"/>
                        </w:rPr>
                        <w:t>Murashige</w:t>
                      </w:r>
                      <w:proofErr w:type="spellEnd"/>
                      <w:r w:rsidRPr="00253014">
                        <w:rPr>
                          <w:rFonts w:ascii="Arial" w:hAnsi="Arial" w:cs="Arial"/>
                          <w:sz w:val="20"/>
                          <w:szCs w:val="20"/>
                        </w:rPr>
                        <w:t xml:space="preserve"> and Skoog (MS) medium supplemented with varying concentrations of auxins and </w:t>
                      </w:r>
                      <w:proofErr w:type="spellStart"/>
                      <w:r w:rsidRPr="00253014">
                        <w:rPr>
                          <w:rFonts w:ascii="Arial" w:hAnsi="Arial" w:cs="Arial"/>
                          <w:sz w:val="20"/>
                          <w:szCs w:val="20"/>
                        </w:rPr>
                        <w:t>cytokinins</w:t>
                      </w:r>
                      <w:proofErr w:type="spellEnd"/>
                      <w:r w:rsidRPr="00253014">
                        <w:rPr>
                          <w:rFonts w:ascii="Arial" w:hAnsi="Arial" w:cs="Arial"/>
                          <w:sz w:val="20"/>
                          <w:szCs w:val="20"/>
                        </w:rPr>
                        <w:t>. The highest frequency of callus induction (87.00 ± 0.10%)—producing friable, embryogenic callus—and subsequent shoot regeneration (7.5 ± 0.16 shoots/explant) was achieved with 2.0 mgL</w:t>
                      </w:r>
                      <w:r w:rsidRPr="00253014">
                        <w:rPr>
                          <w:rFonts w:ascii="Cambria Math" w:hAnsi="Cambria Math" w:cs="Cambria Math"/>
                          <w:sz w:val="20"/>
                          <w:szCs w:val="20"/>
                        </w:rPr>
                        <w:t>⁻</w:t>
                      </w:r>
                      <w:r w:rsidRPr="00253014">
                        <w:rPr>
                          <w:rFonts w:ascii="Arial" w:hAnsi="Arial" w:cs="Arial"/>
                          <w:sz w:val="20"/>
                          <w:szCs w:val="20"/>
                        </w:rPr>
                        <w:t>¹ α-naphthalene acetic acid (NAA). Histological analysis confirmed the ontogeny of somatic embryos progressing from globular to torpedo stages. For multiplication, a combination of 4.0 mgL</w:t>
                      </w:r>
                      <w:r w:rsidRPr="00253014">
                        <w:rPr>
                          <w:rFonts w:ascii="Cambria Math" w:hAnsi="Cambria Math" w:cs="Cambria Math"/>
                          <w:sz w:val="20"/>
                          <w:szCs w:val="20"/>
                        </w:rPr>
                        <w:t>⁻</w:t>
                      </w:r>
                      <w:r w:rsidRPr="00253014">
                        <w:rPr>
                          <w:rFonts w:ascii="Arial" w:hAnsi="Arial" w:cs="Arial"/>
                          <w:sz w:val="20"/>
                          <w:szCs w:val="20"/>
                        </w:rPr>
                        <w:t>¹ 6-benzylaminopurine (BAP) and 1.0 mg L</w:t>
                      </w:r>
                      <w:r w:rsidRPr="00253014">
                        <w:rPr>
                          <w:rFonts w:ascii="Cambria Math" w:hAnsi="Cambria Math" w:cs="Cambria Math"/>
                          <w:sz w:val="20"/>
                          <w:szCs w:val="20"/>
                        </w:rPr>
                        <w:t>⁻</w:t>
                      </w:r>
                      <w:r w:rsidRPr="00253014">
                        <w:rPr>
                          <w:rFonts w:ascii="Arial" w:hAnsi="Arial" w:cs="Arial"/>
                          <w:sz w:val="20"/>
                          <w:szCs w:val="20"/>
                        </w:rPr>
                        <w:t>¹ NAA yielded the maximum number of shoots (16.35 ± 0.22) within 4 weeks. Genetic stability was assessed using 25 RAPD and 11 ISSR primers, which generated 84 and 76 reproducible bands, respectively. All profiles were monomorphic across regenerants and the mother plant, confirming true-to-type propagation suitable for large-scale conservation and commercial utilization.</w:t>
                      </w:r>
                    </w:p>
                  </w:txbxContent>
                </v:textbox>
              </v:shape>
            </w:pict>
          </mc:Fallback>
        </mc:AlternateContent>
      </w:r>
    </w:p>
    <w:p w14:paraId="698A5F7D" w14:textId="54ED961E" w:rsidR="004F63C6" w:rsidRDefault="004F63C6" w:rsidP="00993933">
      <w:pPr>
        <w:pStyle w:val="NoSpacing"/>
        <w:spacing w:line="276" w:lineRule="auto"/>
        <w:jc w:val="both"/>
        <w:rPr>
          <w:rFonts w:ascii="Arial" w:hAnsi="Arial" w:cs="Arial"/>
          <w:sz w:val="24"/>
          <w:szCs w:val="24"/>
        </w:rPr>
      </w:pPr>
    </w:p>
    <w:p w14:paraId="0EFBE3D4" w14:textId="38A38AFB" w:rsidR="004F63C6" w:rsidRDefault="004F63C6" w:rsidP="00993933">
      <w:pPr>
        <w:pStyle w:val="NoSpacing"/>
        <w:spacing w:line="276" w:lineRule="auto"/>
        <w:jc w:val="both"/>
        <w:rPr>
          <w:rFonts w:ascii="Arial" w:hAnsi="Arial" w:cs="Arial"/>
          <w:sz w:val="24"/>
          <w:szCs w:val="24"/>
        </w:rPr>
      </w:pPr>
    </w:p>
    <w:p w14:paraId="2A6B1258" w14:textId="77777777" w:rsidR="004F63C6" w:rsidRDefault="004F63C6" w:rsidP="00993933">
      <w:pPr>
        <w:pStyle w:val="NoSpacing"/>
        <w:spacing w:line="276" w:lineRule="auto"/>
        <w:jc w:val="both"/>
        <w:rPr>
          <w:rFonts w:ascii="Arial" w:hAnsi="Arial" w:cs="Arial"/>
          <w:sz w:val="24"/>
          <w:szCs w:val="24"/>
        </w:rPr>
      </w:pPr>
    </w:p>
    <w:p w14:paraId="189A4627" w14:textId="77777777" w:rsidR="004F63C6" w:rsidRDefault="004F63C6" w:rsidP="00993933">
      <w:pPr>
        <w:pStyle w:val="NoSpacing"/>
        <w:spacing w:line="276" w:lineRule="auto"/>
        <w:jc w:val="both"/>
        <w:rPr>
          <w:rFonts w:ascii="Arial" w:hAnsi="Arial" w:cs="Arial"/>
          <w:sz w:val="24"/>
          <w:szCs w:val="24"/>
        </w:rPr>
      </w:pPr>
    </w:p>
    <w:p w14:paraId="2189C9AB" w14:textId="77777777" w:rsidR="004F63C6" w:rsidRDefault="004F63C6" w:rsidP="00993933">
      <w:pPr>
        <w:pStyle w:val="NoSpacing"/>
        <w:spacing w:line="276" w:lineRule="auto"/>
        <w:jc w:val="both"/>
        <w:rPr>
          <w:rFonts w:ascii="Arial" w:hAnsi="Arial" w:cs="Arial"/>
          <w:sz w:val="24"/>
          <w:szCs w:val="24"/>
        </w:rPr>
      </w:pPr>
    </w:p>
    <w:p w14:paraId="412BA4A0" w14:textId="77777777" w:rsidR="004F63C6" w:rsidRDefault="004F63C6" w:rsidP="00993933">
      <w:pPr>
        <w:pStyle w:val="NoSpacing"/>
        <w:spacing w:line="276" w:lineRule="auto"/>
        <w:jc w:val="both"/>
        <w:rPr>
          <w:rFonts w:ascii="Arial" w:hAnsi="Arial" w:cs="Arial"/>
          <w:sz w:val="24"/>
          <w:szCs w:val="24"/>
        </w:rPr>
      </w:pPr>
    </w:p>
    <w:p w14:paraId="2E1F81B2" w14:textId="77777777" w:rsidR="004F63C6" w:rsidRDefault="004F63C6" w:rsidP="00993933">
      <w:pPr>
        <w:pStyle w:val="NoSpacing"/>
        <w:spacing w:line="276" w:lineRule="auto"/>
        <w:jc w:val="both"/>
        <w:rPr>
          <w:rFonts w:ascii="Arial" w:hAnsi="Arial" w:cs="Arial"/>
          <w:sz w:val="24"/>
          <w:szCs w:val="24"/>
        </w:rPr>
      </w:pPr>
    </w:p>
    <w:p w14:paraId="0EB51966" w14:textId="77777777" w:rsidR="004F63C6" w:rsidRDefault="004F63C6" w:rsidP="00993933">
      <w:pPr>
        <w:pStyle w:val="NoSpacing"/>
        <w:spacing w:line="276" w:lineRule="auto"/>
        <w:jc w:val="both"/>
        <w:rPr>
          <w:rFonts w:ascii="Arial" w:hAnsi="Arial" w:cs="Arial"/>
          <w:sz w:val="24"/>
          <w:szCs w:val="24"/>
        </w:rPr>
      </w:pPr>
    </w:p>
    <w:p w14:paraId="0583FB9D" w14:textId="77777777" w:rsidR="004F63C6" w:rsidRDefault="004F63C6" w:rsidP="00993933">
      <w:pPr>
        <w:pStyle w:val="NoSpacing"/>
        <w:spacing w:line="276" w:lineRule="auto"/>
        <w:jc w:val="both"/>
        <w:rPr>
          <w:rFonts w:ascii="Arial" w:hAnsi="Arial" w:cs="Arial"/>
          <w:sz w:val="24"/>
          <w:szCs w:val="24"/>
        </w:rPr>
      </w:pPr>
    </w:p>
    <w:p w14:paraId="60142C6F" w14:textId="77777777" w:rsidR="004F63C6" w:rsidRDefault="004F63C6" w:rsidP="00993933">
      <w:pPr>
        <w:pStyle w:val="NoSpacing"/>
        <w:spacing w:line="276" w:lineRule="auto"/>
        <w:jc w:val="both"/>
        <w:rPr>
          <w:rFonts w:ascii="Arial" w:hAnsi="Arial" w:cs="Arial"/>
          <w:sz w:val="24"/>
          <w:szCs w:val="24"/>
        </w:rPr>
      </w:pPr>
    </w:p>
    <w:p w14:paraId="7FAD33D5" w14:textId="77777777" w:rsidR="00001E1B" w:rsidRDefault="00001E1B" w:rsidP="004F63C6">
      <w:pPr>
        <w:pStyle w:val="NoSpacing"/>
        <w:spacing w:line="276" w:lineRule="auto"/>
        <w:jc w:val="both"/>
        <w:rPr>
          <w:rFonts w:ascii="Arial" w:hAnsi="Arial" w:cs="Arial"/>
          <w:i/>
          <w:iCs/>
          <w:sz w:val="20"/>
          <w:szCs w:val="20"/>
        </w:rPr>
      </w:pPr>
    </w:p>
    <w:p w14:paraId="78037046" w14:textId="1799BB25" w:rsidR="004F63C6" w:rsidRPr="00D40195" w:rsidRDefault="004F63C6" w:rsidP="004F63C6">
      <w:pPr>
        <w:pStyle w:val="NoSpacing"/>
        <w:spacing w:line="276" w:lineRule="auto"/>
        <w:jc w:val="both"/>
        <w:rPr>
          <w:rFonts w:ascii="Arial" w:hAnsi="Arial" w:cs="Arial"/>
          <w:i/>
          <w:iCs/>
          <w:sz w:val="24"/>
          <w:szCs w:val="24"/>
        </w:rPr>
      </w:pPr>
      <w:r w:rsidRPr="00D40195">
        <w:rPr>
          <w:rFonts w:ascii="Arial" w:hAnsi="Arial" w:cs="Arial"/>
          <w:i/>
          <w:iCs/>
          <w:sz w:val="20"/>
          <w:szCs w:val="20"/>
        </w:rPr>
        <w:t>Keywords:</w:t>
      </w:r>
      <w:r w:rsidRPr="00D40195">
        <w:rPr>
          <w:rFonts w:ascii="Arial" w:hAnsi="Arial" w:cs="Arial"/>
          <w:i/>
          <w:iCs/>
          <w:sz w:val="24"/>
          <w:szCs w:val="24"/>
        </w:rPr>
        <w:t xml:space="preserve"> </w:t>
      </w:r>
      <w:r w:rsidRPr="00D40195">
        <w:rPr>
          <w:rFonts w:ascii="Arial" w:hAnsi="Arial" w:cs="Arial"/>
          <w:i/>
          <w:iCs/>
          <w:sz w:val="20"/>
          <w:szCs w:val="20"/>
        </w:rPr>
        <w:t xml:space="preserve">Genetic fidelity, </w:t>
      </w:r>
      <w:proofErr w:type="spellStart"/>
      <w:r w:rsidRPr="00D40195">
        <w:rPr>
          <w:rFonts w:ascii="Arial" w:hAnsi="Arial" w:cs="Arial"/>
          <w:i/>
          <w:iCs/>
          <w:sz w:val="20"/>
          <w:szCs w:val="20"/>
        </w:rPr>
        <w:t>Kaempferia</w:t>
      </w:r>
      <w:proofErr w:type="spellEnd"/>
      <w:r w:rsidRPr="00D40195">
        <w:rPr>
          <w:rFonts w:ascii="Arial" w:hAnsi="Arial" w:cs="Arial"/>
          <w:i/>
          <w:iCs/>
          <w:sz w:val="20"/>
          <w:szCs w:val="20"/>
        </w:rPr>
        <w:t xml:space="preserve"> </w:t>
      </w:r>
      <w:proofErr w:type="spellStart"/>
      <w:r w:rsidRPr="00D40195">
        <w:rPr>
          <w:rFonts w:ascii="Arial" w:hAnsi="Arial" w:cs="Arial"/>
          <w:i/>
          <w:iCs/>
          <w:sz w:val="20"/>
          <w:szCs w:val="20"/>
        </w:rPr>
        <w:t>marginata</w:t>
      </w:r>
      <w:proofErr w:type="spellEnd"/>
      <w:r w:rsidRPr="00D40195">
        <w:rPr>
          <w:rFonts w:ascii="Arial" w:hAnsi="Arial" w:cs="Arial"/>
          <w:i/>
          <w:iCs/>
          <w:sz w:val="20"/>
          <w:szCs w:val="20"/>
        </w:rPr>
        <w:t>, ISSR, RAPD, Somatic embryogenesis, Micropropagation.</w:t>
      </w:r>
    </w:p>
    <w:p w14:paraId="7710A6CA" w14:textId="77777777" w:rsidR="00375094" w:rsidRDefault="00375094" w:rsidP="00993933">
      <w:pPr>
        <w:pStyle w:val="NoSpacing"/>
        <w:spacing w:line="276" w:lineRule="auto"/>
        <w:jc w:val="both"/>
        <w:rPr>
          <w:rFonts w:ascii="Arial" w:hAnsi="Arial" w:cs="Arial"/>
          <w:b/>
          <w:bCs/>
        </w:rPr>
      </w:pPr>
    </w:p>
    <w:p w14:paraId="3B273B80" w14:textId="6C49324F" w:rsidR="009C6485" w:rsidRPr="004D3374" w:rsidRDefault="00D40195" w:rsidP="00993933">
      <w:pPr>
        <w:pStyle w:val="NoSpacing"/>
        <w:spacing w:line="276" w:lineRule="auto"/>
        <w:jc w:val="both"/>
        <w:rPr>
          <w:rFonts w:ascii="Arial" w:hAnsi="Arial" w:cs="Arial"/>
          <w:b/>
          <w:bCs/>
        </w:rPr>
      </w:pPr>
      <w:r w:rsidRPr="004D3374">
        <w:rPr>
          <w:rFonts w:ascii="Arial" w:hAnsi="Arial" w:cs="Arial"/>
          <w:b/>
          <w:bCs/>
        </w:rPr>
        <w:t>1.INTRODUCTION</w:t>
      </w:r>
    </w:p>
    <w:p w14:paraId="01EF59F2" w14:textId="77777777" w:rsidR="00375094" w:rsidRDefault="00993933" w:rsidP="00993933">
      <w:pPr>
        <w:pStyle w:val="NoSpacing"/>
        <w:spacing w:line="276" w:lineRule="auto"/>
        <w:jc w:val="both"/>
        <w:rPr>
          <w:rFonts w:ascii="Arial" w:hAnsi="Arial" w:cs="Arial"/>
          <w:sz w:val="20"/>
          <w:szCs w:val="20"/>
        </w:rPr>
      </w:pPr>
      <w:proofErr w:type="spellStart"/>
      <w:r w:rsidRPr="004D3374">
        <w:rPr>
          <w:rFonts w:ascii="Arial" w:hAnsi="Arial" w:cs="Arial"/>
          <w:i/>
          <w:iCs/>
          <w:sz w:val="20"/>
          <w:szCs w:val="20"/>
        </w:rPr>
        <w:t>Kaempferia</w:t>
      </w:r>
      <w:proofErr w:type="spellEnd"/>
      <w:r w:rsidRPr="004D3374">
        <w:rPr>
          <w:rFonts w:ascii="Arial" w:hAnsi="Arial" w:cs="Arial"/>
          <w:i/>
          <w:iCs/>
          <w:sz w:val="20"/>
          <w:szCs w:val="20"/>
        </w:rPr>
        <w:t xml:space="preserve"> </w:t>
      </w:r>
      <w:proofErr w:type="spellStart"/>
      <w:r w:rsidRPr="004D3374">
        <w:rPr>
          <w:rFonts w:ascii="Arial" w:hAnsi="Arial" w:cs="Arial"/>
          <w:i/>
          <w:iCs/>
          <w:sz w:val="20"/>
          <w:szCs w:val="20"/>
        </w:rPr>
        <w:t>marginata</w:t>
      </w:r>
      <w:proofErr w:type="spellEnd"/>
      <w:r w:rsidRPr="004D3374">
        <w:rPr>
          <w:rFonts w:ascii="Arial" w:hAnsi="Arial" w:cs="Arial"/>
          <w:sz w:val="20"/>
          <w:szCs w:val="20"/>
        </w:rPr>
        <w:t xml:space="preserve"> Carey ex Roscoe (</w:t>
      </w:r>
      <w:proofErr w:type="spellStart"/>
      <w:r w:rsidRPr="004D3374">
        <w:rPr>
          <w:rFonts w:ascii="Arial" w:hAnsi="Arial" w:cs="Arial"/>
          <w:sz w:val="20"/>
          <w:szCs w:val="20"/>
        </w:rPr>
        <w:t>Zingiberaceae</w:t>
      </w:r>
      <w:proofErr w:type="spellEnd"/>
      <w:r w:rsidRPr="004D3374">
        <w:rPr>
          <w:rFonts w:ascii="Arial" w:hAnsi="Arial" w:cs="Arial"/>
          <w:sz w:val="20"/>
          <w:szCs w:val="20"/>
        </w:rPr>
        <w:t xml:space="preserve">) is an aromatic, perennial, rhizomatous herb widely distributed in China, India (specifically the </w:t>
      </w:r>
      <w:proofErr w:type="spellStart"/>
      <w:r w:rsidRPr="004D3374">
        <w:rPr>
          <w:rFonts w:ascii="Arial" w:hAnsi="Arial" w:cs="Arial"/>
          <w:sz w:val="20"/>
          <w:szCs w:val="20"/>
        </w:rPr>
        <w:t>Northeastern</w:t>
      </w:r>
      <w:proofErr w:type="spellEnd"/>
      <w:r w:rsidRPr="004D3374">
        <w:rPr>
          <w:rFonts w:ascii="Arial" w:hAnsi="Arial" w:cs="Arial"/>
          <w:sz w:val="20"/>
          <w:szCs w:val="20"/>
        </w:rPr>
        <w:t xml:space="preserve"> region), Myanmar, and Thailand. It shares a similar growth habit with </w:t>
      </w:r>
      <w:proofErr w:type="spellStart"/>
      <w:r w:rsidRPr="004D3374">
        <w:rPr>
          <w:rFonts w:ascii="Arial" w:hAnsi="Arial" w:cs="Arial"/>
          <w:i/>
          <w:iCs/>
          <w:sz w:val="20"/>
          <w:szCs w:val="20"/>
        </w:rPr>
        <w:t>Kaempferia</w:t>
      </w:r>
      <w:proofErr w:type="spellEnd"/>
      <w:r w:rsidRPr="004D3374">
        <w:rPr>
          <w:rFonts w:ascii="Arial" w:hAnsi="Arial" w:cs="Arial"/>
          <w:i/>
          <w:iCs/>
          <w:sz w:val="20"/>
          <w:szCs w:val="20"/>
        </w:rPr>
        <w:t xml:space="preserve"> </w:t>
      </w:r>
      <w:proofErr w:type="spellStart"/>
      <w:r w:rsidRPr="004D3374">
        <w:rPr>
          <w:rFonts w:ascii="Arial" w:hAnsi="Arial" w:cs="Arial"/>
          <w:i/>
          <w:iCs/>
          <w:sz w:val="20"/>
          <w:szCs w:val="20"/>
        </w:rPr>
        <w:t>galanga</w:t>
      </w:r>
      <w:proofErr w:type="spellEnd"/>
      <w:r w:rsidRPr="004D3374">
        <w:rPr>
          <w:rFonts w:ascii="Arial" w:hAnsi="Arial" w:cs="Arial"/>
          <w:sz w:val="20"/>
          <w:szCs w:val="20"/>
        </w:rPr>
        <w:t xml:space="preserve"> and is highly valued in traditional medicine. The rhizomes possess ethnomedicinal importance for treating allergies, fever, swellings, toothache, and gastric ailments. Phytochemical investigations have revealed that the genus </w:t>
      </w:r>
      <w:proofErr w:type="spellStart"/>
      <w:r w:rsidRPr="004D3374">
        <w:rPr>
          <w:rFonts w:ascii="Arial" w:hAnsi="Arial" w:cs="Arial"/>
          <w:i/>
          <w:iCs/>
          <w:sz w:val="20"/>
          <w:szCs w:val="20"/>
        </w:rPr>
        <w:t>Kaempferia</w:t>
      </w:r>
      <w:proofErr w:type="spellEnd"/>
      <w:r w:rsidRPr="004D3374">
        <w:rPr>
          <w:rFonts w:ascii="Arial" w:hAnsi="Arial" w:cs="Arial"/>
          <w:sz w:val="20"/>
          <w:szCs w:val="20"/>
        </w:rPr>
        <w:t xml:space="preserve"> is rich in bioactive constituents, including cyclohexane oxide derivatives, cinnamates, flavonoids, and diterpenes </w:t>
      </w:r>
    </w:p>
    <w:p w14:paraId="4EC4CC80" w14:textId="3046DF5E"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t xml:space="preserve">such as </w:t>
      </w:r>
      <w:proofErr w:type="spellStart"/>
      <w:r w:rsidRPr="004D3374">
        <w:rPr>
          <w:rFonts w:ascii="Arial" w:hAnsi="Arial" w:cs="Arial"/>
          <w:sz w:val="20"/>
          <w:szCs w:val="20"/>
        </w:rPr>
        <w:t>sandaracopimaradiene</w:t>
      </w:r>
      <w:proofErr w:type="spellEnd"/>
      <w:r w:rsidRPr="004D3374">
        <w:rPr>
          <w:rFonts w:ascii="Arial" w:hAnsi="Arial" w:cs="Arial"/>
          <w:sz w:val="20"/>
          <w:szCs w:val="20"/>
        </w:rPr>
        <w:t>, which exhibit significant anti-inflammatory, antimicrobial, and</w:t>
      </w:r>
      <w:r w:rsidR="00375094">
        <w:rPr>
          <w:rFonts w:ascii="Arial" w:hAnsi="Arial" w:cs="Arial"/>
          <w:sz w:val="20"/>
          <w:szCs w:val="20"/>
        </w:rPr>
        <w:t xml:space="preserve"> </w:t>
      </w:r>
      <w:r w:rsidRPr="004D3374">
        <w:rPr>
          <w:rFonts w:ascii="Arial" w:hAnsi="Arial" w:cs="Arial"/>
          <w:sz w:val="20"/>
          <w:szCs w:val="20"/>
        </w:rPr>
        <w:t>antioxidant activities (</w:t>
      </w:r>
      <w:proofErr w:type="spellStart"/>
      <w:r w:rsidRPr="004D3374">
        <w:rPr>
          <w:rFonts w:ascii="Arial" w:hAnsi="Arial" w:cs="Arial"/>
          <w:sz w:val="20"/>
          <w:szCs w:val="20"/>
        </w:rPr>
        <w:t>Thongnest</w:t>
      </w:r>
      <w:proofErr w:type="spellEnd"/>
      <w:r w:rsidRPr="004D3374">
        <w:rPr>
          <w:rFonts w:ascii="Arial" w:hAnsi="Arial" w:cs="Arial"/>
          <w:sz w:val="20"/>
          <w:szCs w:val="20"/>
        </w:rPr>
        <w:t xml:space="preserve"> </w:t>
      </w:r>
      <w:r w:rsidRPr="00253014">
        <w:rPr>
          <w:rFonts w:ascii="Arial" w:hAnsi="Arial" w:cs="Arial"/>
          <w:i/>
          <w:iCs/>
          <w:sz w:val="20"/>
          <w:szCs w:val="20"/>
        </w:rPr>
        <w:t>et al.,</w:t>
      </w:r>
      <w:r w:rsidRPr="004D3374">
        <w:rPr>
          <w:rFonts w:ascii="Arial" w:hAnsi="Arial" w:cs="Arial"/>
          <w:sz w:val="20"/>
          <w:szCs w:val="20"/>
        </w:rPr>
        <w:t xml:space="preserve"> 2005; </w:t>
      </w:r>
      <w:proofErr w:type="spellStart"/>
      <w:r w:rsidRPr="004D3374">
        <w:rPr>
          <w:rFonts w:ascii="Arial" w:hAnsi="Arial" w:cs="Arial"/>
          <w:sz w:val="20"/>
          <w:szCs w:val="20"/>
        </w:rPr>
        <w:t>Madaka</w:t>
      </w:r>
      <w:proofErr w:type="spellEnd"/>
      <w:r w:rsidRPr="004D3374">
        <w:rPr>
          <w:rFonts w:ascii="Arial" w:hAnsi="Arial" w:cs="Arial"/>
          <w:sz w:val="20"/>
          <w:szCs w:val="20"/>
        </w:rPr>
        <w:t xml:space="preserve"> &amp; </w:t>
      </w:r>
      <w:proofErr w:type="spellStart"/>
      <w:r w:rsidRPr="004D3374">
        <w:rPr>
          <w:rFonts w:ascii="Arial" w:hAnsi="Arial" w:cs="Arial"/>
          <w:sz w:val="20"/>
          <w:szCs w:val="20"/>
        </w:rPr>
        <w:t>Tewtrakul</w:t>
      </w:r>
      <w:proofErr w:type="spellEnd"/>
      <w:r w:rsidRPr="004D3374">
        <w:rPr>
          <w:rFonts w:ascii="Arial" w:hAnsi="Arial" w:cs="Arial"/>
          <w:sz w:val="20"/>
          <w:szCs w:val="20"/>
        </w:rPr>
        <w:t xml:space="preserve">, 2011; </w:t>
      </w:r>
      <w:proofErr w:type="spellStart"/>
      <w:r w:rsidRPr="004D3374">
        <w:rPr>
          <w:rFonts w:ascii="Arial" w:hAnsi="Arial" w:cs="Arial"/>
          <w:sz w:val="20"/>
          <w:szCs w:val="20"/>
        </w:rPr>
        <w:t>Elshamy</w:t>
      </w:r>
      <w:proofErr w:type="spellEnd"/>
      <w:r w:rsidRPr="004D3374">
        <w:rPr>
          <w:rFonts w:ascii="Arial" w:hAnsi="Arial" w:cs="Arial"/>
          <w:sz w:val="20"/>
          <w:szCs w:val="20"/>
        </w:rPr>
        <w:t xml:space="preserve"> </w:t>
      </w:r>
      <w:r w:rsidRPr="00253014">
        <w:rPr>
          <w:rFonts w:ascii="Arial" w:hAnsi="Arial" w:cs="Arial"/>
          <w:i/>
          <w:iCs/>
          <w:sz w:val="20"/>
          <w:szCs w:val="20"/>
        </w:rPr>
        <w:t>et al.,</w:t>
      </w:r>
      <w:r w:rsidRPr="004D3374">
        <w:rPr>
          <w:rFonts w:ascii="Arial" w:hAnsi="Arial" w:cs="Arial"/>
          <w:sz w:val="20"/>
          <w:szCs w:val="20"/>
        </w:rPr>
        <w:t xml:space="preserve"> 2023).</w:t>
      </w:r>
    </w:p>
    <w:p w14:paraId="5FD469B9" w14:textId="77777777"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t xml:space="preserve">Despite its therapeutic potential, natural populations of </w:t>
      </w:r>
      <w:r w:rsidRPr="004D3374">
        <w:rPr>
          <w:rFonts w:ascii="Arial" w:hAnsi="Arial" w:cs="Arial"/>
          <w:i/>
          <w:iCs/>
          <w:sz w:val="20"/>
          <w:szCs w:val="20"/>
        </w:rPr>
        <w:t xml:space="preserve">K. </w:t>
      </w:r>
      <w:proofErr w:type="spellStart"/>
      <w:r w:rsidRPr="004D3374">
        <w:rPr>
          <w:rFonts w:ascii="Arial" w:hAnsi="Arial" w:cs="Arial"/>
          <w:i/>
          <w:iCs/>
          <w:sz w:val="20"/>
          <w:szCs w:val="20"/>
        </w:rPr>
        <w:t>marginata</w:t>
      </w:r>
      <w:proofErr w:type="spellEnd"/>
      <w:r w:rsidRPr="004D3374">
        <w:rPr>
          <w:rFonts w:ascii="Arial" w:hAnsi="Arial" w:cs="Arial"/>
          <w:sz w:val="20"/>
          <w:szCs w:val="20"/>
        </w:rPr>
        <w:t xml:space="preserve"> are under severe threat. The species is heavily exploited for pharmaceutical purposes, and its natural habitat in Manipur is degrading due to "Jhum" (shifting) cultivation and lack of organized farming practices (Kishor, 2012). Natural propagation via rhizomes is slow, season-dependent, and prone to soil-borne pathogens, necessitating the development of efficient biotechnological interventions for conservation and mass production.</w:t>
      </w:r>
    </w:p>
    <w:p w14:paraId="45E8BCFB" w14:textId="77777777"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t xml:space="preserve">While in vitro micropropagation protocols utilizing organogenesis have been reported for related species such as </w:t>
      </w:r>
      <w:r w:rsidRPr="004D3374">
        <w:rPr>
          <w:rFonts w:ascii="Arial" w:hAnsi="Arial" w:cs="Arial"/>
          <w:i/>
          <w:iCs/>
          <w:sz w:val="20"/>
          <w:szCs w:val="20"/>
        </w:rPr>
        <w:t xml:space="preserve">K. </w:t>
      </w:r>
      <w:proofErr w:type="spellStart"/>
      <w:r w:rsidRPr="004D3374">
        <w:rPr>
          <w:rFonts w:ascii="Arial" w:hAnsi="Arial" w:cs="Arial"/>
          <w:i/>
          <w:iCs/>
          <w:sz w:val="20"/>
          <w:szCs w:val="20"/>
        </w:rPr>
        <w:t>galanga</w:t>
      </w:r>
      <w:proofErr w:type="spellEnd"/>
      <w:r w:rsidRPr="004D3374">
        <w:rPr>
          <w:rFonts w:ascii="Arial" w:hAnsi="Arial" w:cs="Arial"/>
          <w:sz w:val="20"/>
          <w:szCs w:val="20"/>
        </w:rPr>
        <w:t xml:space="preserve"> (Lakshmi &amp; </w:t>
      </w:r>
      <w:proofErr w:type="spellStart"/>
      <w:r w:rsidRPr="004D3374">
        <w:rPr>
          <w:rFonts w:ascii="Arial" w:hAnsi="Arial" w:cs="Arial"/>
          <w:sz w:val="20"/>
          <w:szCs w:val="20"/>
        </w:rPr>
        <w:t>Mythili</w:t>
      </w:r>
      <w:proofErr w:type="spellEnd"/>
      <w:r w:rsidRPr="004D3374">
        <w:rPr>
          <w:rFonts w:ascii="Arial" w:hAnsi="Arial" w:cs="Arial"/>
          <w:sz w:val="20"/>
          <w:szCs w:val="20"/>
        </w:rPr>
        <w:t xml:space="preserve">, 2003) and </w:t>
      </w:r>
      <w:r w:rsidRPr="004D3374">
        <w:rPr>
          <w:rFonts w:ascii="Arial" w:hAnsi="Arial" w:cs="Arial"/>
          <w:i/>
          <w:iCs/>
          <w:sz w:val="20"/>
          <w:szCs w:val="20"/>
        </w:rPr>
        <w:t xml:space="preserve">K. </w:t>
      </w:r>
      <w:proofErr w:type="spellStart"/>
      <w:r w:rsidRPr="004D3374">
        <w:rPr>
          <w:rFonts w:ascii="Arial" w:hAnsi="Arial" w:cs="Arial"/>
          <w:i/>
          <w:iCs/>
          <w:sz w:val="20"/>
          <w:szCs w:val="20"/>
        </w:rPr>
        <w:t>parviflora</w:t>
      </w:r>
      <w:proofErr w:type="spellEnd"/>
      <w:r w:rsidRPr="004D3374">
        <w:rPr>
          <w:rFonts w:ascii="Arial" w:hAnsi="Arial" w:cs="Arial"/>
          <w:sz w:val="20"/>
          <w:szCs w:val="20"/>
        </w:rPr>
        <w:t xml:space="preserve"> (Rahman </w:t>
      </w:r>
      <w:r w:rsidRPr="00253014">
        <w:rPr>
          <w:rFonts w:ascii="Arial" w:hAnsi="Arial" w:cs="Arial"/>
          <w:i/>
          <w:iCs/>
          <w:sz w:val="20"/>
          <w:szCs w:val="20"/>
        </w:rPr>
        <w:t>et al</w:t>
      </w:r>
      <w:r w:rsidRPr="00253014">
        <w:rPr>
          <w:rFonts w:ascii="Arial" w:hAnsi="Arial" w:cs="Arial"/>
          <w:sz w:val="20"/>
          <w:szCs w:val="20"/>
        </w:rPr>
        <w:t>.,</w:t>
      </w:r>
      <w:r w:rsidRPr="004D3374">
        <w:rPr>
          <w:rFonts w:ascii="Arial" w:hAnsi="Arial" w:cs="Arial"/>
          <w:sz w:val="20"/>
          <w:szCs w:val="20"/>
        </w:rPr>
        <w:t xml:space="preserve"> 2023), reports on somatic embryogenesis for </w:t>
      </w:r>
      <w:r w:rsidRPr="004D3374">
        <w:rPr>
          <w:rFonts w:ascii="Arial" w:hAnsi="Arial" w:cs="Arial"/>
          <w:i/>
          <w:iCs/>
          <w:sz w:val="20"/>
          <w:szCs w:val="20"/>
        </w:rPr>
        <w:t xml:space="preserve">K. </w:t>
      </w:r>
      <w:proofErr w:type="spellStart"/>
      <w:r w:rsidRPr="004D3374">
        <w:rPr>
          <w:rFonts w:ascii="Arial" w:hAnsi="Arial" w:cs="Arial"/>
          <w:i/>
          <w:iCs/>
          <w:sz w:val="20"/>
          <w:szCs w:val="20"/>
        </w:rPr>
        <w:t>marginata</w:t>
      </w:r>
      <w:proofErr w:type="spellEnd"/>
      <w:r w:rsidRPr="004D3374">
        <w:rPr>
          <w:rFonts w:ascii="Arial" w:hAnsi="Arial" w:cs="Arial"/>
          <w:sz w:val="20"/>
          <w:szCs w:val="20"/>
        </w:rPr>
        <w:t xml:space="preserve"> remain limited. Somatic embryogenesis is often preferred over organogenesis for large-scale propagation as it offers higher multiplication rates and the potential for producing synthetic seeds (Jayanthi &amp; Mandal, 2001; </w:t>
      </w:r>
      <w:proofErr w:type="spellStart"/>
      <w:r w:rsidRPr="004D3374">
        <w:rPr>
          <w:rFonts w:ascii="Arial" w:hAnsi="Arial" w:cs="Arial"/>
          <w:sz w:val="20"/>
          <w:szCs w:val="20"/>
        </w:rPr>
        <w:t>Tokuhara</w:t>
      </w:r>
      <w:proofErr w:type="spellEnd"/>
      <w:r w:rsidRPr="004D3374">
        <w:rPr>
          <w:rFonts w:ascii="Arial" w:hAnsi="Arial" w:cs="Arial"/>
          <w:sz w:val="20"/>
          <w:szCs w:val="20"/>
        </w:rPr>
        <w:t xml:space="preserve"> &amp; </w:t>
      </w:r>
      <w:proofErr w:type="spellStart"/>
      <w:r w:rsidRPr="004D3374">
        <w:rPr>
          <w:rFonts w:ascii="Arial" w:hAnsi="Arial" w:cs="Arial"/>
          <w:sz w:val="20"/>
          <w:szCs w:val="20"/>
        </w:rPr>
        <w:t>Mii</w:t>
      </w:r>
      <w:proofErr w:type="spellEnd"/>
      <w:r w:rsidRPr="004D3374">
        <w:rPr>
          <w:rFonts w:ascii="Arial" w:hAnsi="Arial" w:cs="Arial"/>
          <w:sz w:val="20"/>
          <w:szCs w:val="20"/>
        </w:rPr>
        <w:t>, 2001).</w:t>
      </w:r>
    </w:p>
    <w:p w14:paraId="11CD926B" w14:textId="77777777" w:rsidR="00993933" w:rsidRPr="004D3374" w:rsidRDefault="00993933" w:rsidP="00993933">
      <w:pPr>
        <w:pStyle w:val="NoSpacing"/>
        <w:spacing w:line="276" w:lineRule="auto"/>
        <w:jc w:val="both"/>
        <w:rPr>
          <w:rFonts w:ascii="Arial" w:hAnsi="Arial" w:cs="Arial"/>
          <w:sz w:val="20"/>
          <w:szCs w:val="20"/>
        </w:rPr>
      </w:pPr>
      <w:r w:rsidRPr="004D3374">
        <w:rPr>
          <w:rFonts w:ascii="Arial" w:hAnsi="Arial" w:cs="Arial"/>
          <w:sz w:val="20"/>
          <w:szCs w:val="20"/>
        </w:rPr>
        <w:lastRenderedPageBreak/>
        <w:t xml:space="preserve">However, the maintenance of genetic uniformity is a critical prerequisite for the commercial application of tissue culture-derived plants. Long-term in vitro culture can induce </w:t>
      </w:r>
      <w:proofErr w:type="spellStart"/>
      <w:r w:rsidRPr="004D3374">
        <w:rPr>
          <w:rFonts w:ascii="Arial" w:hAnsi="Arial" w:cs="Arial"/>
          <w:sz w:val="20"/>
          <w:szCs w:val="20"/>
        </w:rPr>
        <w:t>somaclonal</w:t>
      </w:r>
      <w:proofErr w:type="spellEnd"/>
      <w:r w:rsidRPr="004D3374">
        <w:rPr>
          <w:rFonts w:ascii="Arial" w:hAnsi="Arial" w:cs="Arial"/>
          <w:sz w:val="20"/>
          <w:szCs w:val="20"/>
        </w:rPr>
        <w:t xml:space="preserve"> variation, which is undesirable for conservation and pharmaceutical quality control. Molecular markers, particularly Random Amplified Polymorphic DNA (RAPD) and Inter Simple Sequence Repeats (ISSR), are established tools for assessing genetic fidelity due to their simplicity, cost-effectiveness, and ability to detect variation across the genome (Williams </w:t>
      </w:r>
      <w:r w:rsidRPr="00253014">
        <w:rPr>
          <w:rFonts w:ascii="Arial" w:hAnsi="Arial" w:cs="Arial"/>
          <w:i/>
          <w:iCs/>
          <w:sz w:val="20"/>
          <w:szCs w:val="20"/>
        </w:rPr>
        <w:t>et al.,</w:t>
      </w:r>
      <w:r w:rsidRPr="004D3374">
        <w:rPr>
          <w:rFonts w:ascii="Arial" w:hAnsi="Arial" w:cs="Arial"/>
          <w:sz w:val="20"/>
          <w:szCs w:val="20"/>
        </w:rPr>
        <w:t xml:space="preserve"> 1990; </w:t>
      </w:r>
      <w:proofErr w:type="spellStart"/>
      <w:r w:rsidRPr="004D3374">
        <w:rPr>
          <w:rFonts w:ascii="Arial" w:hAnsi="Arial" w:cs="Arial"/>
          <w:sz w:val="20"/>
          <w:szCs w:val="20"/>
        </w:rPr>
        <w:t>Zietkiewicz</w:t>
      </w:r>
      <w:proofErr w:type="spellEnd"/>
      <w:r w:rsidRPr="004D3374">
        <w:rPr>
          <w:rFonts w:ascii="Arial" w:hAnsi="Arial" w:cs="Arial"/>
          <w:sz w:val="20"/>
          <w:szCs w:val="20"/>
        </w:rPr>
        <w:t xml:space="preserve"> </w:t>
      </w:r>
      <w:r w:rsidRPr="00253014">
        <w:rPr>
          <w:rFonts w:ascii="Arial" w:hAnsi="Arial" w:cs="Arial"/>
          <w:i/>
          <w:iCs/>
          <w:sz w:val="20"/>
          <w:szCs w:val="20"/>
        </w:rPr>
        <w:t>et al.,</w:t>
      </w:r>
      <w:r w:rsidRPr="004D3374">
        <w:rPr>
          <w:rFonts w:ascii="Arial" w:hAnsi="Arial" w:cs="Arial"/>
          <w:sz w:val="20"/>
          <w:szCs w:val="20"/>
        </w:rPr>
        <w:t xml:space="preserve"> 1994; Sahoo </w:t>
      </w:r>
      <w:r w:rsidRPr="00253014">
        <w:rPr>
          <w:rFonts w:ascii="Arial" w:hAnsi="Arial" w:cs="Arial"/>
          <w:i/>
          <w:iCs/>
          <w:sz w:val="20"/>
          <w:szCs w:val="20"/>
        </w:rPr>
        <w:t>et al.,</w:t>
      </w:r>
      <w:r w:rsidRPr="004A3E37">
        <w:rPr>
          <w:rFonts w:ascii="Arial" w:hAnsi="Arial" w:cs="Arial"/>
          <w:i/>
          <w:iCs/>
          <w:sz w:val="20"/>
          <w:szCs w:val="20"/>
        </w:rPr>
        <w:t xml:space="preserve"> </w:t>
      </w:r>
      <w:r w:rsidRPr="004D3374">
        <w:rPr>
          <w:rFonts w:ascii="Arial" w:hAnsi="Arial" w:cs="Arial"/>
          <w:sz w:val="20"/>
          <w:szCs w:val="20"/>
        </w:rPr>
        <w:t>2023).</w:t>
      </w:r>
    </w:p>
    <w:p w14:paraId="73A36784" w14:textId="48BE0BA4" w:rsidR="00993933" w:rsidRPr="004F63C6" w:rsidRDefault="00993933" w:rsidP="00993933">
      <w:pPr>
        <w:pStyle w:val="NoSpacing"/>
        <w:spacing w:line="276" w:lineRule="auto"/>
        <w:jc w:val="both"/>
        <w:rPr>
          <w:rFonts w:ascii="Arial" w:hAnsi="Arial" w:cs="Arial"/>
          <w:sz w:val="24"/>
          <w:szCs w:val="24"/>
        </w:rPr>
      </w:pPr>
      <w:r w:rsidRPr="004D3374">
        <w:rPr>
          <w:rFonts w:ascii="Arial" w:hAnsi="Arial" w:cs="Arial"/>
          <w:sz w:val="20"/>
          <w:szCs w:val="20"/>
        </w:rPr>
        <w:t xml:space="preserve">In view of the above, this study was undertaken to standardize a high-frequency somatic embryogenesis protocol for </w:t>
      </w:r>
      <w:r w:rsidRPr="00DF588C">
        <w:rPr>
          <w:rFonts w:ascii="Arial" w:hAnsi="Arial" w:cs="Arial"/>
          <w:i/>
          <w:iCs/>
          <w:sz w:val="20"/>
          <w:szCs w:val="20"/>
        </w:rPr>
        <w:t xml:space="preserve">K. </w:t>
      </w:r>
      <w:proofErr w:type="spellStart"/>
      <w:r w:rsidRPr="00DF588C">
        <w:rPr>
          <w:rFonts w:ascii="Arial" w:hAnsi="Arial" w:cs="Arial"/>
          <w:i/>
          <w:iCs/>
          <w:sz w:val="20"/>
          <w:szCs w:val="20"/>
        </w:rPr>
        <w:t>marginata</w:t>
      </w:r>
      <w:proofErr w:type="spellEnd"/>
      <w:r w:rsidRPr="004D3374">
        <w:rPr>
          <w:rFonts w:ascii="Arial" w:hAnsi="Arial" w:cs="Arial"/>
          <w:sz w:val="20"/>
          <w:szCs w:val="20"/>
        </w:rPr>
        <w:t xml:space="preserve"> and to validate the genetic fidelity of the regenerated plantlets using RAPD and ISSR markers.</w:t>
      </w:r>
    </w:p>
    <w:p w14:paraId="4F1E96B4" w14:textId="77777777" w:rsidR="00375094" w:rsidRDefault="00375094" w:rsidP="00993933">
      <w:pPr>
        <w:pStyle w:val="NoSpacing"/>
        <w:spacing w:line="276" w:lineRule="auto"/>
        <w:jc w:val="both"/>
        <w:rPr>
          <w:rFonts w:ascii="Arial" w:hAnsi="Arial" w:cs="Arial"/>
          <w:sz w:val="24"/>
          <w:szCs w:val="24"/>
        </w:rPr>
      </w:pPr>
    </w:p>
    <w:p w14:paraId="1C6FCCED" w14:textId="1798D79C" w:rsidR="00993933" w:rsidRPr="00375094" w:rsidRDefault="00D40195" w:rsidP="00993933">
      <w:pPr>
        <w:pStyle w:val="NoSpacing"/>
        <w:spacing w:line="276" w:lineRule="auto"/>
        <w:jc w:val="both"/>
        <w:rPr>
          <w:rFonts w:ascii="Arial" w:hAnsi="Arial" w:cs="Arial"/>
          <w:b/>
          <w:bCs/>
        </w:rPr>
      </w:pPr>
      <w:r w:rsidRPr="00375094">
        <w:rPr>
          <w:rFonts w:ascii="Arial" w:hAnsi="Arial" w:cs="Arial"/>
          <w:b/>
          <w:bCs/>
        </w:rPr>
        <w:t>2. MATERIALS AND METHODS</w:t>
      </w:r>
    </w:p>
    <w:p w14:paraId="0B77103A" w14:textId="77777777" w:rsidR="00375094" w:rsidRDefault="00375094" w:rsidP="00993933">
      <w:pPr>
        <w:pStyle w:val="NoSpacing"/>
        <w:spacing w:line="276" w:lineRule="auto"/>
        <w:jc w:val="both"/>
        <w:rPr>
          <w:rFonts w:ascii="Arial" w:hAnsi="Arial" w:cs="Arial"/>
          <w:b/>
          <w:bCs/>
        </w:rPr>
      </w:pPr>
    </w:p>
    <w:p w14:paraId="284A0D41" w14:textId="619F3CB4" w:rsidR="00993933" w:rsidRPr="00375094" w:rsidRDefault="00D40195" w:rsidP="00993933">
      <w:pPr>
        <w:pStyle w:val="NoSpacing"/>
        <w:spacing w:line="276" w:lineRule="auto"/>
        <w:jc w:val="both"/>
        <w:rPr>
          <w:rFonts w:ascii="Arial" w:hAnsi="Arial" w:cs="Arial"/>
          <w:b/>
          <w:bCs/>
        </w:rPr>
      </w:pPr>
      <w:r w:rsidRPr="00375094">
        <w:rPr>
          <w:rFonts w:ascii="Arial" w:hAnsi="Arial" w:cs="Arial"/>
          <w:b/>
          <w:bCs/>
        </w:rPr>
        <w:t>2.1 PLANT MATERIAL AND SURFACE STERILIZATION:</w:t>
      </w:r>
    </w:p>
    <w:p w14:paraId="73808D94" w14:textId="24A05CE8" w:rsidR="00993933" w:rsidRPr="00375094" w:rsidRDefault="00993933" w:rsidP="00993933">
      <w:pPr>
        <w:pStyle w:val="NoSpacing"/>
        <w:spacing w:line="276" w:lineRule="auto"/>
        <w:jc w:val="both"/>
        <w:rPr>
          <w:rFonts w:ascii="Arial" w:hAnsi="Arial" w:cs="Arial"/>
          <w:sz w:val="20"/>
          <w:szCs w:val="20"/>
        </w:rPr>
      </w:pPr>
      <w:r w:rsidRPr="00375094">
        <w:rPr>
          <w:rFonts w:ascii="Arial" w:hAnsi="Arial" w:cs="Arial"/>
          <w:sz w:val="20"/>
          <w:szCs w:val="20"/>
        </w:rPr>
        <w:t xml:space="preserve">Rhizomes of </w:t>
      </w:r>
      <w:r w:rsidRPr="00375094">
        <w:rPr>
          <w:rFonts w:ascii="Arial" w:hAnsi="Arial" w:cs="Arial"/>
          <w:i/>
          <w:iCs/>
          <w:sz w:val="20"/>
          <w:szCs w:val="20"/>
        </w:rPr>
        <w:t xml:space="preserve">K. </w:t>
      </w:r>
      <w:proofErr w:type="spellStart"/>
      <w:r w:rsidRPr="00375094">
        <w:rPr>
          <w:rFonts w:ascii="Arial" w:hAnsi="Arial" w:cs="Arial"/>
          <w:i/>
          <w:iCs/>
          <w:sz w:val="20"/>
          <w:szCs w:val="20"/>
        </w:rPr>
        <w:t>marginata</w:t>
      </w:r>
      <w:proofErr w:type="spellEnd"/>
      <w:r w:rsidRPr="00375094">
        <w:rPr>
          <w:rFonts w:ascii="Arial" w:hAnsi="Arial" w:cs="Arial"/>
          <w:sz w:val="20"/>
          <w:szCs w:val="20"/>
        </w:rPr>
        <w:t xml:space="preserve"> were collected from the hills in the sub-tropical forest of </w:t>
      </w:r>
      <w:proofErr w:type="spellStart"/>
      <w:r w:rsidRPr="00375094">
        <w:rPr>
          <w:rFonts w:ascii="Arial" w:hAnsi="Arial" w:cs="Arial"/>
          <w:sz w:val="20"/>
          <w:szCs w:val="20"/>
        </w:rPr>
        <w:t>Keithelmanbi</w:t>
      </w:r>
      <w:proofErr w:type="spellEnd"/>
      <w:r w:rsidRPr="00375094">
        <w:rPr>
          <w:rFonts w:ascii="Arial" w:hAnsi="Arial" w:cs="Arial"/>
          <w:sz w:val="20"/>
          <w:szCs w:val="20"/>
        </w:rPr>
        <w:t xml:space="preserve"> in the western periphery of Imphal Valley of Manipur, India (23˚50’ –25˚42’ N and 92˚58’ – 94˚45’ E). The rhizomes were incubated in autoclaved sand at 27±2°C under a 16h light/8h dark photoperiod. After two weeks, sprouting buds were excised and washed under running tap water for 20 minutes to remove contaminants. The explants were treated with </w:t>
      </w:r>
      <w:proofErr w:type="spellStart"/>
      <w:r w:rsidRPr="00375094">
        <w:rPr>
          <w:rFonts w:ascii="Arial" w:hAnsi="Arial" w:cs="Arial"/>
          <w:sz w:val="20"/>
          <w:szCs w:val="20"/>
        </w:rPr>
        <w:t>Labklin</w:t>
      </w:r>
      <w:proofErr w:type="spellEnd"/>
      <w:r w:rsidRPr="00375094">
        <w:rPr>
          <w:rFonts w:ascii="Arial" w:hAnsi="Arial" w:cs="Arial"/>
          <w:sz w:val="20"/>
          <w:szCs w:val="20"/>
        </w:rPr>
        <w:t xml:space="preserve"> detergent (SD Fine-Chem Ltd., Mumbai) for 15 minutes, rinsed thoroughly, and surface sterilized with 0.2% mercuric chloride (HgCl</w:t>
      </w:r>
      <w:r w:rsidRPr="00DF588C">
        <w:rPr>
          <w:rFonts w:ascii="Arial" w:hAnsi="Arial" w:cs="Arial"/>
          <w:sz w:val="20"/>
          <w:szCs w:val="20"/>
          <w:vertAlign w:val="subscript"/>
        </w:rPr>
        <w:t>2</w:t>
      </w:r>
      <w:r w:rsidRPr="00375094">
        <w:rPr>
          <w:rFonts w:ascii="Arial" w:hAnsi="Arial" w:cs="Arial"/>
          <w:sz w:val="20"/>
          <w:szCs w:val="20"/>
        </w:rPr>
        <w:t>)</w:t>
      </w:r>
      <w:r w:rsidR="00687271" w:rsidRPr="00375094">
        <w:rPr>
          <w:rFonts w:ascii="Arial" w:hAnsi="Arial" w:cs="Arial"/>
          <w:sz w:val="20"/>
          <w:szCs w:val="20"/>
        </w:rPr>
        <w:t xml:space="preserve"> for 15 minutes inside a laminar airflow cabinet. Finally, explants were rinsed five times with sterile double-distilled water, and the outer leaf sheaths were removed before inoculation.</w:t>
      </w:r>
    </w:p>
    <w:p w14:paraId="011F64E9" w14:textId="77777777" w:rsidR="00375094" w:rsidRDefault="00375094" w:rsidP="00993933">
      <w:pPr>
        <w:pStyle w:val="NoSpacing"/>
        <w:spacing w:line="276" w:lineRule="auto"/>
        <w:jc w:val="both"/>
        <w:rPr>
          <w:rFonts w:ascii="Arial" w:hAnsi="Arial" w:cs="Arial"/>
          <w:sz w:val="24"/>
          <w:szCs w:val="24"/>
        </w:rPr>
      </w:pPr>
    </w:p>
    <w:p w14:paraId="4F506A9E" w14:textId="3DE272DE"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2.2 CULTURE MEDIA AND CONDITIONS: </w:t>
      </w:r>
    </w:p>
    <w:p w14:paraId="5A552FE6" w14:textId="56532873"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 xml:space="preserve">Explants were inoculated on </w:t>
      </w:r>
      <w:proofErr w:type="spellStart"/>
      <w:r w:rsidRPr="00375094">
        <w:rPr>
          <w:rFonts w:ascii="Arial" w:hAnsi="Arial" w:cs="Arial"/>
          <w:sz w:val="20"/>
          <w:szCs w:val="20"/>
        </w:rPr>
        <w:t>Murashige</w:t>
      </w:r>
      <w:proofErr w:type="spellEnd"/>
      <w:r w:rsidRPr="00375094">
        <w:rPr>
          <w:rFonts w:ascii="Arial" w:hAnsi="Arial" w:cs="Arial"/>
          <w:sz w:val="20"/>
          <w:szCs w:val="20"/>
        </w:rPr>
        <w:t xml:space="preserve"> and Skoog (MS) basal medium (1962) supplemented with 30 gLˉ¹ sucrose (</w:t>
      </w:r>
      <w:proofErr w:type="spellStart"/>
      <w:r w:rsidRPr="00375094">
        <w:rPr>
          <w:rFonts w:ascii="Arial" w:hAnsi="Arial" w:cs="Arial"/>
          <w:sz w:val="20"/>
          <w:szCs w:val="20"/>
        </w:rPr>
        <w:t>HiMedia</w:t>
      </w:r>
      <w:proofErr w:type="spellEnd"/>
      <w:r w:rsidRPr="00375094">
        <w:rPr>
          <w:rFonts w:ascii="Arial" w:hAnsi="Arial" w:cs="Arial"/>
          <w:sz w:val="20"/>
          <w:szCs w:val="20"/>
        </w:rPr>
        <w:t>, Mumbai, India) and 8.0 gLˉ¹ agar (</w:t>
      </w:r>
      <w:proofErr w:type="spellStart"/>
      <w:r w:rsidRPr="00375094">
        <w:rPr>
          <w:rFonts w:ascii="Arial" w:hAnsi="Arial" w:cs="Arial"/>
          <w:sz w:val="20"/>
          <w:szCs w:val="20"/>
        </w:rPr>
        <w:t>HiMedia</w:t>
      </w:r>
      <w:proofErr w:type="spellEnd"/>
      <w:r w:rsidRPr="00375094">
        <w:rPr>
          <w:rFonts w:ascii="Arial" w:hAnsi="Arial" w:cs="Arial"/>
          <w:sz w:val="20"/>
          <w:szCs w:val="20"/>
        </w:rPr>
        <w:t>, Mumbai, India). The medium was fortified with varying concentrations of plant growth regulators (PGRs-Sigma, St. Louis, USA): 1.0-4.0mgLˉ¹ 6-benzyl-amino-purine (BAP), 0.5-2.5 mgLˉ¹ α- naphthalene acetic acid (NAA), 1.0-4.0 mgLˉ¹ kinetin, 0.5-2.5 mgLˉ¹ indole acetic acid (IAA)</w:t>
      </w:r>
      <w:r w:rsidR="00DF588C">
        <w:rPr>
          <w:rFonts w:ascii="Arial" w:hAnsi="Arial" w:cs="Arial"/>
          <w:sz w:val="20"/>
          <w:szCs w:val="20"/>
        </w:rPr>
        <w:t xml:space="preserve"> and</w:t>
      </w:r>
      <w:r w:rsidRPr="00375094">
        <w:rPr>
          <w:rFonts w:ascii="Arial" w:hAnsi="Arial" w:cs="Arial"/>
          <w:sz w:val="20"/>
          <w:szCs w:val="20"/>
        </w:rPr>
        <w:t xml:space="preserve"> 0.5-2.5 mgLˉ¹ 2,4- </w:t>
      </w:r>
      <w:proofErr w:type="spellStart"/>
      <w:r w:rsidRPr="00375094">
        <w:rPr>
          <w:rFonts w:ascii="Arial" w:hAnsi="Arial" w:cs="Arial"/>
          <w:sz w:val="20"/>
          <w:szCs w:val="20"/>
        </w:rPr>
        <w:t>Dichlorophenoxyacetic</w:t>
      </w:r>
      <w:proofErr w:type="spellEnd"/>
      <w:r w:rsidRPr="00375094">
        <w:rPr>
          <w:rFonts w:ascii="Arial" w:hAnsi="Arial" w:cs="Arial"/>
          <w:sz w:val="20"/>
          <w:szCs w:val="20"/>
        </w:rPr>
        <w:t xml:space="preserve"> acid (2,4-D). The pH was adjusted to 5.8 prior to autoclaving at 121 °C for 20 minutes. Cultures were maintained at 25±2°C under a 16-hour photoperiod.</w:t>
      </w:r>
    </w:p>
    <w:p w14:paraId="47F96B4C" w14:textId="77777777" w:rsidR="00375094" w:rsidRDefault="00375094" w:rsidP="00993933">
      <w:pPr>
        <w:pStyle w:val="NoSpacing"/>
        <w:spacing w:line="276" w:lineRule="auto"/>
        <w:jc w:val="both"/>
        <w:rPr>
          <w:rFonts w:ascii="Arial" w:hAnsi="Arial" w:cs="Arial"/>
          <w:sz w:val="24"/>
          <w:szCs w:val="24"/>
        </w:rPr>
      </w:pPr>
    </w:p>
    <w:p w14:paraId="2000815B" w14:textId="5AAEE80F"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2.3 CALLUS INDUCTION AND SOMATIC EMBRYOGENESIS: </w:t>
      </w:r>
    </w:p>
    <w:p w14:paraId="1A3C2D6D" w14:textId="621D4931"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 xml:space="preserve">Shoot-tip segments (1–2 mm) were cultured on MS medium supplemented with NAA, 2,4-D, or IAA </w:t>
      </w:r>
      <w:r w:rsidR="009B7A43" w:rsidRPr="00375094">
        <w:rPr>
          <w:rFonts w:ascii="Arial" w:hAnsi="Arial" w:cs="Arial"/>
          <w:sz w:val="20"/>
          <w:szCs w:val="20"/>
        </w:rPr>
        <w:t>(</w:t>
      </w:r>
      <w:r w:rsidRPr="00375094">
        <w:rPr>
          <w:rFonts w:ascii="Arial" w:hAnsi="Arial" w:cs="Arial"/>
          <w:sz w:val="20"/>
          <w:szCs w:val="20"/>
        </w:rPr>
        <w:t xml:space="preserve">0.5-2.5 </w:t>
      </w:r>
      <w:r w:rsidRPr="000C261A">
        <w:rPr>
          <w:rFonts w:ascii="Arial" w:hAnsi="Arial" w:cs="Arial"/>
          <w:sz w:val="20"/>
          <w:szCs w:val="20"/>
        </w:rPr>
        <w:t>mgLˉ¹</w:t>
      </w:r>
      <w:r w:rsidR="009B7A43" w:rsidRPr="00375094">
        <w:rPr>
          <w:rFonts w:ascii="Arial" w:hAnsi="Arial" w:cs="Arial"/>
          <w:sz w:val="20"/>
          <w:szCs w:val="20"/>
        </w:rPr>
        <w:t>)</w:t>
      </w:r>
      <w:r w:rsidRPr="00375094">
        <w:rPr>
          <w:rFonts w:ascii="Arial" w:hAnsi="Arial" w:cs="Arial"/>
          <w:sz w:val="20"/>
          <w:szCs w:val="20"/>
        </w:rPr>
        <w:t xml:space="preserve"> for callus initiation. Callus formation was recorded after 8 weeks. For somatic embryo maturation and shoot regeneration, </w:t>
      </w:r>
      <w:proofErr w:type="spellStart"/>
      <w:r w:rsidRPr="00375094">
        <w:rPr>
          <w:rFonts w:ascii="Arial" w:hAnsi="Arial" w:cs="Arial"/>
          <w:sz w:val="20"/>
          <w:szCs w:val="20"/>
        </w:rPr>
        <w:t>calli</w:t>
      </w:r>
      <w:proofErr w:type="spellEnd"/>
      <w:r w:rsidRPr="00375094">
        <w:rPr>
          <w:rFonts w:ascii="Arial" w:hAnsi="Arial" w:cs="Arial"/>
          <w:sz w:val="20"/>
          <w:szCs w:val="20"/>
        </w:rPr>
        <w:t xml:space="preserve"> were </w:t>
      </w:r>
      <w:proofErr w:type="spellStart"/>
      <w:r w:rsidRPr="00375094">
        <w:rPr>
          <w:rFonts w:ascii="Arial" w:hAnsi="Arial" w:cs="Arial"/>
          <w:sz w:val="20"/>
          <w:szCs w:val="20"/>
        </w:rPr>
        <w:t>subcultured</w:t>
      </w:r>
      <w:proofErr w:type="spellEnd"/>
      <w:r w:rsidRPr="00375094">
        <w:rPr>
          <w:rFonts w:ascii="Arial" w:hAnsi="Arial" w:cs="Arial"/>
          <w:sz w:val="20"/>
          <w:szCs w:val="20"/>
        </w:rPr>
        <w:t xml:space="preserve"> onto MS medium containing combinations of BAP, NAA, and Kinetin. </w:t>
      </w:r>
      <w:proofErr w:type="spellStart"/>
      <w:r w:rsidRPr="00375094">
        <w:rPr>
          <w:rFonts w:ascii="Arial" w:hAnsi="Arial" w:cs="Arial"/>
          <w:sz w:val="20"/>
          <w:szCs w:val="20"/>
        </w:rPr>
        <w:t>Subculturing</w:t>
      </w:r>
      <w:proofErr w:type="spellEnd"/>
      <w:r w:rsidRPr="00375094">
        <w:rPr>
          <w:rFonts w:ascii="Arial" w:hAnsi="Arial" w:cs="Arial"/>
          <w:sz w:val="20"/>
          <w:szCs w:val="20"/>
        </w:rPr>
        <w:t xml:space="preserve"> was performed every 4 weeks.</w:t>
      </w:r>
    </w:p>
    <w:p w14:paraId="206194AE" w14:textId="77777777" w:rsidR="00375094" w:rsidRDefault="00375094" w:rsidP="00993933">
      <w:pPr>
        <w:pStyle w:val="NoSpacing"/>
        <w:spacing w:line="276" w:lineRule="auto"/>
        <w:jc w:val="both"/>
        <w:rPr>
          <w:rFonts w:ascii="Arial" w:hAnsi="Arial" w:cs="Arial"/>
          <w:b/>
          <w:bCs/>
        </w:rPr>
      </w:pPr>
    </w:p>
    <w:p w14:paraId="5AC02030" w14:textId="529EB705"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2.4 SHOOT MULTIPLICATION: </w:t>
      </w:r>
    </w:p>
    <w:p w14:paraId="272F780A" w14:textId="179FCB0D"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 xml:space="preserve">Regenerated </w:t>
      </w:r>
      <w:proofErr w:type="spellStart"/>
      <w:r w:rsidRPr="00375094">
        <w:rPr>
          <w:rFonts w:ascii="Arial" w:hAnsi="Arial" w:cs="Arial"/>
          <w:sz w:val="20"/>
          <w:szCs w:val="20"/>
        </w:rPr>
        <w:t>microshoots</w:t>
      </w:r>
      <w:proofErr w:type="spellEnd"/>
      <w:r w:rsidRPr="00375094">
        <w:rPr>
          <w:rFonts w:ascii="Arial" w:hAnsi="Arial" w:cs="Arial"/>
          <w:sz w:val="20"/>
          <w:szCs w:val="20"/>
        </w:rPr>
        <w:t xml:space="preserve"> (5–7 cm) were separated and transferred to fresh MS medium supplemented with optimal concentrations of BAP and NAA for further multiplication.</w:t>
      </w:r>
    </w:p>
    <w:p w14:paraId="086F3236" w14:textId="77777777" w:rsidR="00375094" w:rsidRDefault="00375094" w:rsidP="00993933">
      <w:pPr>
        <w:pStyle w:val="NoSpacing"/>
        <w:spacing w:line="276" w:lineRule="auto"/>
        <w:jc w:val="both"/>
        <w:rPr>
          <w:rFonts w:ascii="Arial" w:hAnsi="Arial" w:cs="Arial"/>
          <w:sz w:val="24"/>
          <w:szCs w:val="24"/>
        </w:rPr>
      </w:pPr>
    </w:p>
    <w:p w14:paraId="0004E1F7" w14:textId="312F4ED0" w:rsidR="00335687" w:rsidRPr="00375094" w:rsidRDefault="00D40195" w:rsidP="00993933">
      <w:pPr>
        <w:pStyle w:val="NoSpacing"/>
        <w:spacing w:line="276" w:lineRule="auto"/>
        <w:jc w:val="both"/>
        <w:rPr>
          <w:rFonts w:ascii="Arial" w:hAnsi="Arial" w:cs="Arial"/>
          <w:b/>
          <w:bCs/>
        </w:rPr>
      </w:pPr>
      <w:r w:rsidRPr="00375094">
        <w:rPr>
          <w:rFonts w:ascii="Arial" w:hAnsi="Arial" w:cs="Arial"/>
          <w:b/>
          <w:bCs/>
        </w:rPr>
        <w:t xml:space="preserve">2.5 MOLECULAR PROFILING: </w:t>
      </w:r>
    </w:p>
    <w:p w14:paraId="015E0A39" w14:textId="153DD444"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Genomic DNA was extracted from young leaves of the mother plant and 15 randomly selected regenerants using the CTAB method (Doyle &amp; Doyle, 1987). DNA quality was checked on 0.8% agarose gel and quantified using a Nanodrop Spectrophotometer (ND2000).</w:t>
      </w:r>
    </w:p>
    <w:p w14:paraId="71551216" w14:textId="77777777" w:rsidR="00D40195" w:rsidRDefault="00D40195" w:rsidP="00993933">
      <w:pPr>
        <w:pStyle w:val="NoSpacing"/>
        <w:spacing w:line="276" w:lineRule="auto"/>
        <w:jc w:val="both"/>
        <w:rPr>
          <w:rFonts w:ascii="Arial" w:hAnsi="Arial" w:cs="Arial"/>
          <w:sz w:val="20"/>
          <w:szCs w:val="20"/>
        </w:rPr>
      </w:pPr>
    </w:p>
    <w:p w14:paraId="3D156E4E" w14:textId="7F376B3D" w:rsidR="00D40195" w:rsidRPr="00D40195" w:rsidRDefault="00D40195" w:rsidP="00993933">
      <w:pPr>
        <w:pStyle w:val="NoSpacing"/>
        <w:spacing w:line="276" w:lineRule="auto"/>
        <w:jc w:val="both"/>
        <w:rPr>
          <w:rFonts w:ascii="Arial" w:hAnsi="Arial" w:cs="Arial"/>
          <w:b/>
          <w:bCs/>
          <w:sz w:val="20"/>
          <w:szCs w:val="20"/>
        </w:rPr>
      </w:pPr>
      <w:r w:rsidRPr="00D40195">
        <w:rPr>
          <w:rFonts w:ascii="Arial" w:hAnsi="Arial" w:cs="Arial"/>
          <w:b/>
          <w:bCs/>
          <w:sz w:val="20"/>
          <w:szCs w:val="20"/>
        </w:rPr>
        <w:t xml:space="preserve">2.5.1 RAPD ANALYSIS: </w:t>
      </w:r>
    </w:p>
    <w:p w14:paraId="04B1E928" w14:textId="523457B4" w:rsidR="00687271" w:rsidRPr="00375094" w:rsidRDefault="00687271" w:rsidP="00993933">
      <w:pPr>
        <w:pStyle w:val="NoSpacing"/>
        <w:spacing w:line="276" w:lineRule="auto"/>
        <w:jc w:val="both"/>
        <w:rPr>
          <w:rFonts w:ascii="Arial" w:hAnsi="Arial" w:cs="Arial"/>
          <w:sz w:val="20"/>
          <w:szCs w:val="20"/>
        </w:rPr>
      </w:pPr>
      <w:r w:rsidRPr="00375094">
        <w:rPr>
          <w:rFonts w:ascii="Arial" w:hAnsi="Arial" w:cs="Arial"/>
          <w:sz w:val="20"/>
          <w:szCs w:val="20"/>
        </w:rPr>
        <w:t xml:space="preserve">PCR amplification was performed using 25 random </w:t>
      </w:r>
      <w:proofErr w:type="spellStart"/>
      <w:r w:rsidRPr="00375094">
        <w:rPr>
          <w:rFonts w:ascii="Arial" w:hAnsi="Arial" w:cs="Arial"/>
          <w:sz w:val="20"/>
          <w:szCs w:val="20"/>
        </w:rPr>
        <w:t>decamer</w:t>
      </w:r>
      <w:proofErr w:type="spellEnd"/>
      <w:r w:rsidRPr="00375094">
        <w:rPr>
          <w:rFonts w:ascii="Arial" w:hAnsi="Arial" w:cs="Arial"/>
          <w:sz w:val="20"/>
          <w:szCs w:val="20"/>
        </w:rPr>
        <w:t xml:space="preserve"> primers (Operon Technologies, USA)</w:t>
      </w:r>
      <w:r w:rsidR="009B7A43" w:rsidRPr="00375094">
        <w:rPr>
          <w:rFonts w:ascii="Arial" w:hAnsi="Arial" w:cs="Arial"/>
          <w:sz w:val="20"/>
          <w:szCs w:val="20"/>
        </w:rPr>
        <w:t xml:space="preserve"> (Table</w:t>
      </w:r>
      <w:r w:rsidR="00D207C5" w:rsidRPr="00375094">
        <w:rPr>
          <w:rFonts w:ascii="Arial" w:hAnsi="Arial" w:cs="Arial"/>
          <w:sz w:val="20"/>
          <w:szCs w:val="20"/>
        </w:rPr>
        <w:t xml:space="preserve"> 3</w:t>
      </w:r>
      <w:r w:rsidR="009B7A43" w:rsidRPr="00375094">
        <w:rPr>
          <w:rFonts w:ascii="Arial" w:hAnsi="Arial" w:cs="Arial"/>
          <w:sz w:val="20"/>
          <w:szCs w:val="20"/>
        </w:rPr>
        <w:t>)</w:t>
      </w:r>
      <w:r w:rsidRPr="00375094">
        <w:rPr>
          <w:rFonts w:ascii="Arial" w:hAnsi="Arial" w:cs="Arial"/>
          <w:sz w:val="20"/>
          <w:szCs w:val="20"/>
        </w:rPr>
        <w:t xml:space="preserve">. The reaction mixture </w:t>
      </w:r>
      <w:r w:rsidR="00B27C86" w:rsidRPr="00375094">
        <w:rPr>
          <w:rFonts w:ascii="Arial" w:hAnsi="Arial" w:cs="Arial"/>
          <w:sz w:val="20"/>
          <w:szCs w:val="20"/>
        </w:rPr>
        <w:t>(25 µl</w:t>
      </w:r>
      <w:r w:rsidRPr="00375094">
        <w:rPr>
          <w:rFonts w:ascii="Arial" w:hAnsi="Arial" w:cs="Arial"/>
          <w:sz w:val="20"/>
          <w:szCs w:val="20"/>
        </w:rPr>
        <w:t xml:space="preserve">) contained 50 ng template DNA, 10X PCR buffer, 1.5 mM </w:t>
      </w:r>
      <w:r w:rsidR="00B27C86" w:rsidRPr="00375094">
        <w:rPr>
          <w:rFonts w:ascii="Arial" w:hAnsi="Arial" w:cs="Arial"/>
          <w:sz w:val="20"/>
          <w:szCs w:val="20"/>
        </w:rPr>
        <w:t>MgCl</w:t>
      </w:r>
      <w:r w:rsidR="00B27C86" w:rsidRPr="00375094">
        <w:rPr>
          <w:rFonts w:ascii="Arial" w:hAnsi="Arial" w:cs="Arial"/>
          <w:sz w:val="20"/>
          <w:szCs w:val="20"/>
          <w:vertAlign w:val="subscript"/>
        </w:rPr>
        <w:t>2</w:t>
      </w:r>
      <w:r w:rsidRPr="00375094">
        <w:rPr>
          <w:rFonts w:ascii="Arial" w:hAnsi="Arial" w:cs="Arial"/>
          <w:sz w:val="20"/>
          <w:szCs w:val="20"/>
        </w:rPr>
        <w:t xml:space="preserve">, </w:t>
      </w:r>
      <w:r w:rsidR="00B27C86" w:rsidRPr="00375094">
        <w:rPr>
          <w:rFonts w:ascii="Arial" w:hAnsi="Arial" w:cs="Arial"/>
          <w:sz w:val="20"/>
          <w:szCs w:val="20"/>
        </w:rPr>
        <w:t xml:space="preserve">200µM </w:t>
      </w:r>
      <w:r w:rsidRPr="00375094">
        <w:rPr>
          <w:rFonts w:ascii="Arial" w:hAnsi="Arial" w:cs="Arial"/>
          <w:sz w:val="20"/>
          <w:szCs w:val="20"/>
        </w:rPr>
        <w:t xml:space="preserve">dNTPs, 10 </w:t>
      </w:r>
      <w:proofErr w:type="spellStart"/>
      <w:r w:rsidRPr="00375094">
        <w:rPr>
          <w:rFonts w:ascii="Arial" w:hAnsi="Arial" w:cs="Arial"/>
          <w:sz w:val="20"/>
          <w:szCs w:val="20"/>
        </w:rPr>
        <w:t>picomol</w:t>
      </w:r>
      <w:proofErr w:type="spellEnd"/>
      <w:r w:rsidRPr="00375094">
        <w:rPr>
          <w:rFonts w:ascii="Arial" w:hAnsi="Arial" w:cs="Arial"/>
          <w:sz w:val="20"/>
          <w:szCs w:val="20"/>
        </w:rPr>
        <w:t xml:space="preserve"> primer, and 1 U </w:t>
      </w:r>
      <w:proofErr w:type="spellStart"/>
      <w:r w:rsidRPr="00375094">
        <w:rPr>
          <w:rFonts w:ascii="Arial" w:hAnsi="Arial" w:cs="Arial"/>
          <w:sz w:val="20"/>
          <w:szCs w:val="20"/>
        </w:rPr>
        <w:t>Taq</w:t>
      </w:r>
      <w:proofErr w:type="spellEnd"/>
      <w:r w:rsidRPr="00375094">
        <w:rPr>
          <w:rFonts w:ascii="Arial" w:hAnsi="Arial" w:cs="Arial"/>
          <w:sz w:val="20"/>
          <w:szCs w:val="20"/>
        </w:rPr>
        <w:t xml:space="preserve"> polymerase. Thermal cycling conditions: </w:t>
      </w:r>
      <w:r w:rsidR="00B27C86" w:rsidRPr="00375094">
        <w:rPr>
          <w:rFonts w:ascii="Arial" w:hAnsi="Arial" w:cs="Arial"/>
          <w:sz w:val="20"/>
          <w:szCs w:val="20"/>
        </w:rPr>
        <w:t xml:space="preserve">94ºC </w:t>
      </w:r>
      <w:r w:rsidRPr="00375094">
        <w:rPr>
          <w:rFonts w:ascii="Arial" w:hAnsi="Arial" w:cs="Arial"/>
          <w:sz w:val="20"/>
          <w:szCs w:val="20"/>
        </w:rPr>
        <w:t xml:space="preserve">for 5 min, </w:t>
      </w:r>
      <w:r w:rsidRPr="00375094">
        <w:rPr>
          <w:rFonts w:ascii="Arial" w:hAnsi="Arial" w:cs="Arial"/>
          <w:sz w:val="20"/>
          <w:szCs w:val="20"/>
        </w:rPr>
        <w:lastRenderedPageBreak/>
        <w:t xml:space="preserve">followed by 35 cycles of </w:t>
      </w:r>
      <w:r w:rsidR="00B27C86" w:rsidRPr="00375094">
        <w:rPr>
          <w:rFonts w:ascii="Arial" w:hAnsi="Arial" w:cs="Arial"/>
          <w:sz w:val="20"/>
          <w:szCs w:val="20"/>
        </w:rPr>
        <w:t xml:space="preserve">94ºC </w:t>
      </w:r>
      <w:r w:rsidRPr="00375094">
        <w:rPr>
          <w:rFonts w:ascii="Arial" w:hAnsi="Arial" w:cs="Arial"/>
          <w:sz w:val="20"/>
          <w:szCs w:val="20"/>
        </w:rPr>
        <w:t xml:space="preserve">(1 min), </w:t>
      </w:r>
      <w:r w:rsidR="00B27C86" w:rsidRPr="00375094">
        <w:rPr>
          <w:rFonts w:ascii="Arial" w:hAnsi="Arial" w:cs="Arial"/>
          <w:sz w:val="20"/>
          <w:szCs w:val="20"/>
        </w:rPr>
        <w:t xml:space="preserve">37ºC </w:t>
      </w:r>
      <w:r w:rsidRPr="00375094">
        <w:rPr>
          <w:rFonts w:ascii="Arial" w:hAnsi="Arial" w:cs="Arial"/>
          <w:sz w:val="20"/>
          <w:szCs w:val="20"/>
        </w:rPr>
        <w:t xml:space="preserve">(1 min), and </w:t>
      </w:r>
      <w:r w:rsidR="00B27C86" w:rsidRPr="00375094">
        <w:rPr>
          <w:rFonts w:ascii="Arial" w:hAnsi="Arial" w:cs="Arial"/>
          <w:sz w:val="20"/>
          <w:szCs w:val="20"/>
        </w:rPr>
        <w:t xml:space="preserve">72ºC </w:t>
      </w:r>
      <w:r w:rsidRPr="00375094">
        <w:rPr>
          <w:rFonts w:ascii="Arial" w:hAnsi="Arial" w:cs="Arial"/>
          <w:sz w:val="20"/>
          <w:szCs w:val="20"/>
        </w:rPr>
        <w:t xml:space="preserve">(2 min), with a final extension at </w:t>
      </w:r>
      <w:r w:rsidR="00B27C86" w:rsidRPr="00375094">
        <w:rPr>
          <w:rFonts w:ascii="Arial" w:hAnsi="Arial" w:cs="Arial"/>
          <w:sz w:val="20"/>
          <w:szCs w:val="20"/>
        </w:rPr>
        <w:t xml:space="preserve">72ºC </w:t>
      </w:r>
      <w:r w:rsidRPr="00375094">
        <w:rPr>
          <w:rFonts w:ascii="Arial" w:hAnsi="Arial" w:cs="Arial"/>
          <w:sz w:val="20"/>
          <w:szCs w:val="20"/>
        </w:rPr>
        <w:t>for 7 min.</w:t>
      </w:r>
    </w:p>
    <w:p w14:paraId="138B7CB8" w14:textId="77777777" w:rsidR="00D40195" w:rsidRDefault="00D40195" w:rsidP="00B27C86">
      <w:pPr>
        <w:pStyle w:val="NoSpacing"/>
        <w:spacing w:line="276" w:lineRule="auto"/>
        <w:jc w:val="both"/>
        <w:rPr>
          <w:rFonts w:ascii="Arial" w:hAnsi="Arial" w:cs="Arial"/>
          <w:b/>
          <w:bCs/>
          <w:sz w:val="20"/>
          <w:szCs w:val="20"/>
        </w:rPr>
      </w:pPr>
    </w:p>
    <w:p w14:paraId="293CBF2D" w14:textId="7CDAF3F5" w:rsidR="00D40195" w:rsidRPr="00D40195" w:rsidRDefault="00D40195" w:rsidP="00B27C86">
      <w:pPr>
        <w:pStyle w:val="NoSpacing"/>
        <w:spacing w:line="276" w:lineRule="auto"/>
        <w:jc w:val="both"/>
        <w:rPr>
          <w:rFonts w:ascii="Arial" w:hAnsi="Arial" w:cs="Arial"/>
          <w:b/>
          <w:bCs/>
          <w:sz w:val="20"/>
          <w:szCs w:val="20"/>
        </w:rPr>
      </w:pPr>
      <w:r w:rsidRPr="00D40195">
        <w:rPr>
          <w:rFonts w:ascii="Arial" w:hAnsi="Arial" w:cs="Arial"/>
          <w:b/>
          <w:bCs/>
          <w:sz w:val="20"/>
          <w:szCs w:val="20"/>
        </w:rPr>
        <w:t xml:space="preserve">2.5.2 ISSR ANALYSIS: </w:t>
      </w:r>
    </w:p>
    <w:p w14:paraId="3210C2DB" w14:textId="14D42283" w:rsidR="00B27C86" w:rsidRPr="00375094" w:rsidRDefault="00B27C86" w:rsidP="00B27C86">
      <w:pPr>
        <w:pStyle w:val="NoSpacing"/>
        <w:spacing w:line="276" w:lineRule="auto"/>
        <w:jc w:val="both"/>
        <w:rPr>
          <w:rFonts w:ascii="Arial" w:hAnsi="Arial" w:cs="Arial"/>
          <w:sz w:val="20"/>
          <w:szCs w:val="20"/>
        </w:rPr>
      </w:pPr>
      <w:r w:rsidRPr="00375094">
        <w:rPr>
          <w:rFonts w:ascii="Arial" w:hAnsi="Arial" w:cs="Arial"/>
          <w:sz w:val="20"/>
          <w:szCs w:val="20"/>
        </w:rPr>
        <w:t>A total of 20 ISSR primers were screened, of which 11 produced clear, scorable bands. PCR components were identical to RAPD, but annealing temperatures were optimized for each primer (Table 4). Amplified products were resolved on 1.8% agarose gels stained with ethidium bromide (0.5µg/ml) and visualized under a Gel Documentation system.</w:t>
      </w:r>
    </w:p>
    <w:p w14:paraId="103CB414" w14:textId="77777777" w:rsidR="00375094" w:rsidRDefault="00375094" w:rsidP="00B27C86">
      <w:pPr>
        <w:pStyle w:val="NoSpacing"/>
        <w:spacing w:line="276" w:lineRule="auto"/>
        <w:jc w:val="both"/>
        <w:rPr>
          <w:rFonts w:ascii="Arial" w:hAnsi="Arial" w:cs="Arial"/>
          <w:sz w:val="24"/>
          <w:szCs w:val="24"/>
        </w:rPr>
      </w:pPr>
    </w:p>
    <w:p w14:paraId="58967A11" w14:textId="564394AE" w:rsidR="00335687" w:rsidRPr="00375094" w:rsidRDefault="00D40195" w:rsidP="00B27C86">
      <w:pPr>
        <w:pStyle w:val="NoSpacing"/>
        <w:spacing w:line="276" w:lineRule="auto"/>
        <w:jc w:val="both"/>
        <w:rPr>
          <w:rFonts w:ascii="Arial" w:hAnsi="Arial" w:cs="Arial"/>
          <w:b/>
          <w:bCs/>
        </w:rPr>
      </w:pPr>
      <w:r w:rsidRPr="00375094">
        <w:rPr>
          <w:rFonts w:ascii="Arial" w:hAnsi="Arial" w:cs="Arial"/>
          <w:b/>
          <w:bCs/>
        </w:rPr>
        <w:t xml:space="preserve">2.6 STATISTICAL ANALYSIS: </w:t>
      </w:r>
    </w:p>
    <w:p w14:paraId="3DB57C4C" w14:textId="565D691E" w:rsidR="00B27C86" w:rsidRPr="00375094" w:rsidRDefault="00B27C86" w:rsidP="00B27C86">
      <w:pPr>
        <w:pStyle w:val="NoSpacing"/>
        <w:spacing w:line="276" w:lineRule="auto"/>
        <w:jc w:val="both"/>
        <w:rPr>
          <w:rFonts w:ascii="Arial" w:hAnsi="Arial" w:cs="Arial"/>
          <w:sz w:val="20"/>
          <w:szCs w:val="20"/>
        </w:rPr>
      </w:pPr>
      <w:r w:rsidRPr="00375094">
        <w:rPr>
          <w:rFonts w:ascii="Arial" w:hAnsi="Arial" w:cs="Arial"/>
          <w:sz w:val="20"/>
          <w:szCs w:val="20"/>
        </w:rPr>
        <w:t xml:space="preserve">Experiments followed a completely randomized design (CRD) with 20 replicates per treatment. Data were </w:t>
      </w:r>
      <w:r w:rsidR="006527A2" w:rsidRPr="00375094">
        <w:rPr>
          <w:rFonts w:ascii="Arial" w:hAnsi="Arial" w:cs="Arial"/>
          <w:sz w:val="20"/>
          <w:szCs w:val="20"/>
        </w:rPr>
        <w:t>analysed</w:t>
      </w:r>
      <w:r w:rsidRPr="00375094">
        <w:rPr>
          <w:rFonts w:ascii="Arial" w:hAnsi="Arial" w:cs="Arial"/>
          <w:sz w:val="20"/>
          <w:szCs w:val="20"/>
        </w:rPr>
        <w:t xml:space="preserve"> using ANOVA, and means were separated using Tukey’s test at p &lt; 0.05 (SPSS v.17).</w:t>
      </w:r>
    </w:p>
    <w:p w14:paraId="6569DCEB" w14:textId="77777777" w:rsidR="00375094" w:rsidRDefault="00375094" w:rsidP="00B27C86">
      <w:pPr>
        <w:pStyle w:val="NoSpacing"/>
        <w:spacing w:line="276" w:lineRule="auto"/>
        <w:jc w:val="both"/>
        <w:rPr>
          <w:rFonts w:ascii="Arial" w:hAnsi="Arial" w:cs="Arial"/>
          <w:sz w:val="24"/>
          <w:szCs w:val="24"/>
        </w:rPr>
      </w:pPr>
    </w:p>
    <w:p w14:paraId="72C21B35" w14:textId="3F5F76A8" w:rsidR="00BA5FCC" w:rsidRDefault="00D40195" w:rsidP="00DF2118">
      <w:pPr>
        <w:pStyle w:val="NoSpacing"/>
        <w:spacing w:line="276" w:lineRule="auto"/>
        <w:jc w:val="both"/>
        <w:rPr>
          <w:rFonts w:ascii="Arial" w:hAnsi="Arial" w:cs="Arial"/>
          <w:b/>
          <w:bCs/>
        </w:rPr>
      </w:pPr>
      <w:r w:rsidRPr="00375094">
        <w:rPr>
          <w:rFonts w:ascii="Arial" w:hAnsi="Arial" w:cs="Arial"/>
          <w:b/>
          <w:bCs/>
        </w:rPr>
        <w:t>3. RESULTS AND DISCUSSION</w:t>
      </w:r>
    </w:p>
    <w:p w14:paraId="63DA0656" w14:textId="77777777" w:rsidR="00DF2118" w:rsidRPr="00BA5FCC" w:rsidRDefault="00DF2118" w:rsidP="00DF2118">
      <w:pPr>
        <w:pStyle w:val="NoSpacing"/>
        <w:spacing w:line="276" w:lineRule="auto"/>
        <w:jc w:val="both"/>
        <w:rPr>
          <w:rFonts w:ascii="Arial" w:hAnsi="Arial" w:cs="Arial"/>
          <w:sz w:val="20"/>
          <w:szCs w:val="20"/>
        </w:rPr>
      </w:pPr>
    </w:p>
    <w:p w14:paraId="7517C2E1" w14:textId="77777777" w:rsidR="00DF2118" w:rsidRPr="00DF2118" w:rsidRDefault="00BA5FCC" w:rsidP="00BA5FCC">
      <w:pPr>
        <w:pStyle w:val="NoSpacing"/>
        <w:spacing w:line="276" w:lineRule="auto"/>
        <w:jc w:val="both"/>
        <w:rPr>
          <w:rFonts w:ascii="Arial" w:hAnsi="Arial" w:cs="Arial"/>
        </w:rPr>
      </w:pPr>
      <w:r w:rsidRPr="00DF2118">
        <w:rPr>
          <w:rFonts w:ascii="Arial" w:hAnsi="Arial" w:cs="Arial"/>
          <w:b/>
          <w:bCs/>
        </w:rPr>
        <w:t>3.1 In vitro Embryogenesis and Propagation</w:t>
      </w:r>
      <w:r w:rsidR="00DF2118" w:rsidRPr="00DF2118">
        <w:rPr>
          <w:rFonts w:ascii="Arial" w:hAnsi="Arial" w:cs="Arial"/>
          <w:b/>
          <w:bCs/>
        </w:rPr>
        <w:t>:</w:t>
      </w:r>
      <w:r w:rsidRPr="00DF2118">
        <w:rPr>
          <w:rFonts w:ascii="Arial" w:hAnsi="Arial" w:cs="Arial"/>
        </w:rPr>
        <w:t xml:space="preserve"> </w:t>
      </w:r>
    </w:p>
    <w:p w14:paraId="1B9AAA6E" w14:textId="6CBFA3F1" w:rsidR="00BA5FCC" w:rsidRPr="00BA5FCC" w:rsidRDefault="00BA5FCC" w:rsidP="00BA5FCC">
      <w:pPr>
        <w:pStyle w:val="NoSpacing"/>
        <w:spacing w:line="276" w:lineRule="auto"/>
        <w:jc w:val="both"/>
        <w:rPr>
          <w:rFonts w:ascii="Arial" w:hAnsi="Arial" w:cs="Arial"/>
          <w:sz w:val="20"/>
          <w:szCs w:val="20"/>
        </w:rPr>
      </w:pPr>
      <w:r w:rsidRPr="00BA5FCC">
        <w:rPr>
          <w:rFonts w:ascii="Arial" w:hAnsi="Arial" w:cs="Arial"/>
          <w:sz w:val="20"/>
          <w:szCs w:val="20"/>
        </w:rPr>
        <w:t>The explants (rhizome buds) responded within 15 days of inoculation on MS media supplemented with various growth regulators. The induced callus was characteristically friable and pale yellow in colo</w:t>
      </w:r>
      <w:r w:rsidR="00DF2118">
        <w:rPr>
          <w:rFonts w:ascii="Arial" w:hAnsi="Arial" w:cs="Arial"/>
          <w:sz w:val="20"/>
          <w:szCs w:val="20"/>
        </w:rPr>
        <w:t>u</w:t>
      </w:r>
      <w:r w:rsidRPr="00BA5FCC">
        <w:rPr>
          <w:rFonts w:ascii="Arial" w:hAnsi="Arial" w:cs="Arial"/>
          <w:sz w:val="20"/>
          <w:szCs w:val="20"/>
        </w:rPr>
        <w:t>r (Fig. 1b), which is indicative of embryogenic potential</w:t>
      </w:r>
      <w:r w:rsidR="00375014">
        <w:rPr>
          <w:rFonts w:ascii="Arial" w:hAnsi="Arial" w:cs="Arial"/>
          <w:sz w:val="20"/>
          <w:szCs w:val="20"/>
        </w:rPr>
        <w:t xml:space="preserve">, </w:t>
      </w:r>
      <w:r w:rsidR="00375014" w:rsidRPr="00375014">
        <w:rPr>
          <w:rFonts w:ascii="Arial" w:hAnsi="Arial" w:cs="Arial"/>
          <w:sz w:val="20"/>
          <w:szCs w:val="20"/>
        </w:rPr>
        <w:t>a morphological trait recently corroborated in other medicinal species (</w:t>
      </w:r>
      <w:proofErr w:type="spellStart"/>
      <w:r w:rsidR="00375014" w:rsidRPr="00375014">
        <w:rPr>
          <w:rFonts w:ascii="Arial" w:hAnsi="Arial" w:cs="Arial"/>
          <w:sz w:val="20"/>
          <w:szCs w:val="20"/>
        </w:rPr>
        <w:t>Kudikala</w:t>
      </w:r>
      <w:proofErr w:type="spellEnd"/>
      <w:r w:rsidR="00375014" w:rsidRPr="00375014">
        <w:rPr>
          <w:rFonts w:ascii="Arial" w:hAnsi="Arial" w:cs="Arial"/>
          <w:sz w:val="20"/>
          <w:szCs w:val="20"/>
        </w:rPr>
        <w:t xml:space="preserve"> </w:t>
      </w:r>
      <w:r w:rsidR="00375014" w:rsidRPr="00375014">
        <w:rPr>
          <w:rFonts w:ascii="Arial" w:hAnsi="Arial" w:cs="Arial"/>
          <w:i/>
          <w:iCs/>
          <w:sz w:val="20"/>
          <w:szCs w:val="20"/>
        </w:rPr>
        <w:t>et al.</w:t>
      </w:r>
      <w:r w:rsidR="00375014" w:rsidRPr="00375014">
        <w:rPr>
          <w:rFonts w:ascii="Arial" w:hAnsi="Arial" w:cs="Arial"/>
          <w:sz w:val="20"/>
          <w:szCs w:val="20"/>
        </w:rPr>
        <w:t>, 2020).</w:t>
      </w:r>
      <w:r w:rsidRPr="00BA5FCC">
        <w:rPr>
          <w:rFonts w:ascii="Arial" w:hAnsi="Arial" w:cs="Arial"/>
          <w:sz w:val="20"/>
          <w:szCs w:val="20"/>
        </w:rPr>
        <w:t xml:space="preserve"> Among the auxins tested, NAA was found to be significantly more effective than 2,4-D or IAA for callus proliferation and subsequent embryogenesis (Table 1). The highest frequency of callus induction (87.00 ± 0.10%) was achieved on MS medium supplemented with 2.0 mgL</w:t>
      </w:r>
      <w:r w:rsidRPr="00BA5FCC">
        <w:rPr>
          <w:rFonts w:ascii="Cambria Math" w:hAnsi="Cambria Math" w:cs="Cambria Math"/>
          <w:sz w:val="20"/>
          <w:szCs w:val="20"/>
        </w:rPr>
        <w:t>⁻</w:t>
      </w:r>
      <w:r w:rsidRPr="00BA5FCC">
        <w:rPr>
          <w:rFonts w:ascii="Arial" w:hAnsi="Arial" w:cs="Arial"/>
          <w:sz w:val="20"/>
          <w:szCs w:val="20"/>
        </w:rPr>
        <w:t>¹ NAA.</w:t>
      </w:r>
    </w:p>
    <w:p w14:paraId="7DDC4DC0" w14:textId="21BE5E38" w:rsidR="00BA5FCC" w:rsidRPr="00BA5FCC" w:rsidRDefault="00BA5FCC" w:rsidP="00BA5FCC">
      <w:pPr>
        <w:pStyle w:val="NoSpacing"/>
        <w:spacing w:line="276" w:lineRule="auto"/>
        <w:jc w:val="both"/>
        <w:rPr>
          <w:rFonts w:ascii="Arial" w:hAnsi="Arial" w:cs="Arial"/>
          <w:sz w:val="20"/>
          <w:szCs w:val="20"/>
        </w:rPr>
      </w:pPr>
      <w:r w:rsidRPr="00BA5FCC">
        <w:rPr>
          <w:rFonts w:ascii="Arial" w:hAnsi="Arial" w:cs="Arial"/>
          <w:sz w:val="20"/>
          <w:szCs w:val="20"/>
        </w:rPr>
        <w:t xml:space="preserve">Histological analysis confirmed the ontogeny of somatic embryos initiating from the peripheral layers of the callus. These embryos exhibited progressive development through distinct developmental stages—from globular to heart-shaped and finally to the torpedo stage (Fig. 1c–f)—before maturing into plantlets. While 2,4-D is often considered the primary inducer for somatic embryogenesis in many species, our results demonstrated the superiority of NAA. This aligns with findings in </w:t>
      </w:r>
      <w:proofErr w:type="spellStart"/>
      <w:r w:rsidRPr="00DF2118">
        <w:rPr>
          <w:rFonts w:ascii="Arial" w:hAnsi="Arial" w:cs="Arial"/>
          <w:i/>
          <w:iCs/>
          <w:sz w:val="20"/>
          <w:szCs w:val="20"/>
        </w:rPr>
        <w:t>Trachyspermum</w:t>
      </w:r>
      <w:proofErr w:type="spellEnd"/>
      <w:r w:rsidRPr="00DF2118">
        <w:rPr>
          <w:rFonts w:ascii="Arial" w:hAnsi="Arial" w:cs="Arial"/>
          <w:i/>
          <w:iCs/>
          <w:sz w:val="20"/>
          <w:szCs w:val="20"/>
        </w:rPr>
        <w:t xml:space="preserve"> </w:t>
      </w:r>
      <w:proofErr w:type="spellStart"/>
      <w:r w:rsidRPr="00DF2118">
        <w:rPr>
          <w:rFonts w:ascii="Arial" w:hAnsi="Arial" w:cs="Arial"/>
          <w:i/>
          <w:iCs/>
          <w:sz w:val="20"/>
          <w:szCs w:val="20"/>
        </w:rPr>
        <w:t>ammi</w:t>
      </w:r>
      <w:proofErr w:type="spellEnd"/>
      <w:r w:rsidRPr="00BA5FCC">
        <w:rPr>
          <w:rFonts w:ascii="Arial" w:hAnsi="Arial" w:cs="Arial"/>
          <w:sz w:val="20"/>
          <w:szCs w:val="20"/>
        </w:rPr>
        <w:t xml:space="preserve"> (Sehgal &amp; Abbas, 1994) and Cassava (</w:t>
      </w:r>
      <w:proofErr w:type="spellStart"/>
      <w:r w:rsidRPr="00BA5FCC">
        <w:rPr>
          <w:rFonts w:ascii="Arial" w:hAnsi="Arial" w:cs="Arial"/>
          <w:sz w:val="20"/>
          <w:szCs w:val="20"/>
        </w:rPr>
        <w:t>Sofiari</w:t>
      </w:r>
      <w:proofErr w:type="spellEnd"/>
      <w:r w:rsidRPr="00BA5FCC">
        <w:rPr>
          <w:rFonts w:ascii="Arial" w:hAnsi="Arial" w:cs="Arial"/>
          <w:sz w:val="20"/>
          <w:szCs w:val="20"/>
        </w:rPr>
        <w:t xml:space="preserve"> </w:t>
      </w:r>
      <w:r w:rsidRPr="00DF2118">
        <w:rPr>
          <w:rFonts w:ascii="Arial" w:hAnsi="Arial" w:cs="Arial"/>
          <w:i/>
          <w:iCs/>
          <w:sz w:val="20"/>
          <w:szCs w:val="20"/>
        </w:rPr>
        <w:t>et al.</w:t>
      </w:r>
      <w:r w:rsidRPr="00BA5FCC">
        <w:rPr>
          <w:rFonts w:ascii="Arial" w:hAnsi="Arial" w:cs="Arial"/>
          <w:sz w:val="20"/>
          <w:szCs w:val="20"/>
        </w:rPr>
        <w:t xml:space="preserve">, 1998). Crucially, recent work by Rahman </w:t>
      </w:r>
      <w:r w:rsidRPr="00DF2118">
        <w:rPr>
          <w:rFonts w:ascii="Arial" w:hAnsi="Arial" w:cs="Arial"/>
          <w:i/>
          <w:iCs/>
          <w:sz w:val="20"/>
          <w:szCs w:val="20"/>
        </w:rPr>
        <w:t>et al.</w:t>
      </w:r>
      <w:r w:rsidRPr="00BA5FCC">
        <w:rPr>
          <w:rFonts w:ascii="Arial" w:hAnsi="Arial" w:cs="Arial"/>
          <w:sz w:val="20"/>
          <w:szCs w:val="20"/>
        </w:rPr>
        <w:t xml:space="preserve"> (2023) on the related species </w:t>
      </w:r>
      <w:proofErr w:type="spellStart"/>
      <w:r w:rsidRPr="00D72820">
        <w:rPr>
          <w:rFonts w:ascii="Arial" w:hAnsi="Arial" w:cs="Arial"/>
          <w:i/>
          <w:iCs/>
          <w:sz w:val="20"/>
          <w:szCs w:val="20"/>
        </w:rPr>
        <w:t>Kaempferia</w:t>
      </w:r>
      <w:proofErr w:type="spellEnd"/>
      <w:r w:rsidRPr="00D72820">
        <w:rPr>
          <w:rFonts w:ascii="Arial" w:hAnsi="Arial" w:cs="Arial"/>
          <w:i/>
          <w:iCs/>
          <w:sz w:val="20"/>
          <w:szCs w:val="20"/>
        </w:rPr>
        <w:t xml:space="preserve"> </w:t>
      </w:r>
      <w:proofErr w:type="spellStart"/>
      <w:r w:rsidRPr="00D72820">
        <w:rPr>
          <w:rFonts w:ascii="Arial" w:hAnsi="Arial" w:cs="Arial"/>
          <w:i/>
          <w:iCs/>
          <w:sz w:val="20"/>
          <w:szCs w:val="20"/>
        </w:rPr>
        <w:t>parviflora</w:t>
      </w:r>
      <w:proofErr w:type="spellEnd"/>
      <w:r w:rsidRPr="00BA5FCC">
        <w:rPr>
          <w:rFonts w:ascii="Arial" w:hAnsi="Arial" w:cs="Arial"/>
          <w:sz w:val="20"/>
          <w:szCs w:val="20"/>
        </w:rPr>
        <w:t xml:space="preserve"> also highlighted the efficacy of specific auxin treatments in inducing somatic embryogenesis from meristematic tissues, supporting our observation that </w:t>
      </w:r>
      <w:proofErr w:type="spellStart"/>
      <w:r w:rsidRPr="00DF2118">
        <w:rPr>
          <w:rFonts w:ascii="Arial" w:hAnsi="Arial" w:cs="Arial"/>
          <w:i/>
          <w:iCs/>
          <w:sz w:val="20"/>
          <w:szCs w:val="20"/>
        </w:rPr>
        <w:t>Kaempferia</w:t>
      </w:r>
      <w:proofErr w:type="spellEnd"/>
      <w:r w:rsidRPr="00BA5FCC">
        <w:rPr>
          <w:rFonts w:ascii="Arial" w:hAnsi="Arial" w:cs="Arial"/>
          <w:sz w:val="20"/>
          <w:szCs w:val="20"/>
        </w:rPr>
        <w:t xml:space="preserve"> species may respond more </w:t>
      </w:r>
      <w:r w:rsidR="00CE0FE6" w:rsidRPr="00BA5FCC">
        <w:rPr>
          <w:rFonts w:ascii="Arial" w:hAnsi="Arial" w:cs="Arial"/>
          <w:sz w:val="20"/>
          <w:szCs w:val="20"/>
        </w:rPr>
        <w:t>favourably</w:t>
      </w:r>
      <w:r w:rsidRPr="00BA5FCC">
        <w:rPr>
          <w:rFonts w:ascii="Arial" w:hAnsi="Arial" w:cs="Arial"/>
          <w:sz w:val="20"/>
          <w:szCs w:val="20"/>
        </w:rPr>
        <w:t xml:space="preserve"> to NAA than the traditional 2,4-D protocols.</w:t>
      </w:r>
    </w:p>
    <w:p w14:paraId="14CF7B03" w14:textId="4246E5DA" w:rsidR="00BA5FCC" w:rsidRPr="00BA5FCC" w:rsidRDefault="00BA5FCC" w:rsidP="00BA5FCC">
      <w:pPr>
        <w:pStyle w:val="NoSpacing"/>
        <w:spacing w:line="276" w:lineRule="auto"/>
        <w:jc w:val="both"/>
        <w:rPr>
          <w:rFonts w:ascii="Arial" w:hAnsi="Arial" w:cs="Arial"/>
          <w:sz w:val="20"/>
          <w:szCs w:val="20"/>
        </w:rPr>
      </w:pPr>
      <w:r w:rsidRPr="00BA5FCC">
        <w:rPr>
          <w:rFonts w:ascii="Arial" w:hAnsi="Arial" w:cs="Arial"/>
          <w:sz w:val="20"/>
          <w:szCs w:val="20"/>
        </w:rPr>
        <w:t xml:space="preserve">The efficacy of NAA over 2,4-D in this study may be attributed to its metabolic pathway. As noted by </w:t>
      </w:r>
      <w:proofErr w:type="spellStart"/>
      <w:r w:rsidRPr="00BA5FCC">
        <w:rPr>
          <w:rFonts w:ascii="Arial" w:hAnsi="Arial" w:cs="Arial"/>
          <w:sz w:val="20"/>
          <w:szCs w:val="20"/>
        </w:rPr>
        <w:t>Peeters</w:t>
      </w:r>
      <w:proofErr w:type="spellEnd"/>
      <w:r w:rsidRPr="00BA5FCC">
        <w:rPr>
          <w:rFonts w:ascii="Arial" w:hAnsi="Arial" w:cs="Arial"/>
          <w:sz w:val="20"/>
          <w:szCs w:val="20"/>
        </w:rPr>
        <w:t xml:space="preserve"> </w:t>
      </w:r>
      <w:r w:rsidRPr="00DF2118">
        <w:rPr>
          <w:rFonts w:ascii="Arial" w:hAnsi="Arial" w:cs="Arial"/>
          <w:i/>
          <w:iCs/>
          <w:sz w:val="20"/>
          <w:szCs w:val="20"/>
        </w:rPr>
        <w:t>et al.</w:t>
      </w:r>
      <w:r w:rsidRPr="00BA5FCC">
        <w:rPr>
          <w:rFonts w:ascii="Arial" w:hAnsi="Arial" w:cs="Arial"/>
          <w:sz w:val="20"/>
          <w:szCs w:val="20"/>
        </w:rPr>
        <w:t xml:space="preserve"> (1991), the uptake and utilization of NAA are generally faster than other auxins, potentially leading to earlier maturation of somatic embryos. Conversely, 2,4-D is known to have persistence issues that can inhibit embryo maturation during consecutive subcultures (Zimmermann, 1993; Martin, 2003</w:t>
      </w:r>
      <w:r w:rsidR="00375014">
        <w:rPr>
          <w:rFonts w:ascii="Arial" w:hAnsi="Arial" w:cs="Arial"/>
          <w:sz w:val="20"/>
          <w:szCs w:val="20"/>
        </w:rPr>
        <w:t xml:space="preserve">; </w:t>
      </w:r>
      <w:r w:rsidR="00375014" w:rsidRPr="00375014">
        <w:rPr>
          <w:rFonts w:ascii="Arial" w:hAnsi="Arial" w:cs="Arial"/>
          <w:sz w:val="20"/>
          <w:szCs w:val="20"/>
        </w:rPr>
        <w:t xml:space="preserve">Vishal </w:t>
      </w:r>
      <w:r w:rsidR="00375014" w:rsidRPr="00375014">
        <w:rPr>
          <w:rFonts w:ascii="Arial" w:hAnsi="Arial" w:cs="Arial"/>
          <w:i/>
          <w:iCs/>
          <w:sz w:val="20"/>
          <w:szCs w:val="20"/>
        </w:rPr>
        <w:t>et al.</w:t>
      </w:r>
      <w:r w:rsidR="00375014" w:rsidRPr="00375014">
        <w:rPr>
          <w:rFonts w:ascii="Arial" w:hAnsi="Arial" w:cs="Arial"/>
          <w:sz w:val="20"/>
          <w:szCs w:val="20"/>
        </w:rPr>
        <w:t>, 2024</w:t>
      </w:r>
      <w:r w:rsidRPr="00BA5FCC">
        <w:rPr>
          <w:rFonts w:ascii="Arial" w:hAnsi="Arial" w:cs="Arial"/>
          <w:sz w:val="20"/>
          <w:szCs w:val="20"/>
        </w:rPr>
        <w:t>).</w:t>
      </w:r>
    </w:p>
    <w:p w14:paraId="76AEEE10" w14:textId="77777777" w:rsidR="00BA5FCC" w:rsidRPr="00BA5FCC" w:rsidRDefault="00BA5FCC" w:rsidP="00BA5FCC">
      <w:pPr>
        <w:pStyle w:val="NoSpacing"/>
        <w:spacing w:line="276" w:lineRule="auto"/>
        <w:jc w:val="both"/>
        <w:rPr>
          <w:rFonts w:ascii="Arial" w:hAnsi="Arial" w:cs="Arial"/>
          <w:sz w:val="20"/>
          <w:szCs w:val="20"/>
        </w:rPr>
      </w:pPr>
    </w:p>
    <w:p w14:paraId="39CF8AE0" w14:textId="77777777" w:rsidR="00DF2118" w:rsidRPr="00DF2118" w:rsidRDefault="00BA5FCC" w:rsidP="00BA5FCC">
      <w:pPr>
        <w:pStyle w:val="NoSpacing"/>
        <w:spacing w:line="276" w:lineRule="auto"/>
        <w:jc w:val="both"/>
        <w:rPr>
          <w:rFonts w:ascii="Arial" w:hAnsi="Arial" w:cs="Arial"/>
        </w:rPr>
      </w:pPr>
      <w:r w:rsidRPr="00DF2118">
        <w:rPr>
          <w:rFonts w:ascii="Arial" w:hAnsi="Arial" w:cs="Arial"/>
          <w:b/>
          <w:bCs/>
        </w:rPr>
        <w:t>3.2 Shoot Multiplication</w:t>
      </w:r>
      <w:r w:rsidR="00DF2118" w:rsidRPr="00DF2118">
        <w:rPr>
          <w:rFonts w:ascii="Arial" w:hAnsi="Arial" w:cs="Arial"/>
          <w:b/>
          <w:bCs/>
        </w:rPr>
        <w:t>:</w:t>
      </w:r>
      <w:r w:rsidRPr="00DF2118">
        <w:rPr>
          <w:rFonts w:ascii="Arial" w:hAnsi="Arial" w:cs="Arial"/>
        </w:rPr>
        <w:t xml:space="preserve"> </w:t>
      </w:r>
    </w:p>
    <w:p w14:paraId="2FEFE30F" w14:textId="31197CA5" w:rsidR="00BA5FCC" w:rsidRPr="00BA5FCC" w:rsidRDefault="00BA5FCC" w:rsidP="00BA5FCC">
      <w:pPr>
        <w:pStyle w:val="NoSpacing"/>
        <w:spacing w:line="276" w:lineRule="auto"/>
        <w:jc w:val="both"/>
        <w:rPr>
          <w:rFonts w:ascii="Arial" w:hAnsi="Arial" w:cs="Arial"/>
          <w:sz w:val="20"/>
          <w:szCs w:val="20"/>
        </w:rPr>
      </w:pPr>
      <w:r w:rsidRPr="00BA5FCC">
        <w:rPr>
          <w:rFonts w:ascii="Arial" w:hAnsi="Arial" w:cs="Arial"/>
          <w:sz w:val="20"/>
          <w:szCs w:val="20"/>
        </w:rPr>
        <w:t xml:space="preserve">Upon transfer to regeneration media, the somatic embryos converted into vigorous shoots. The synergistic combination of </w:t>
      </w:r>
      <w:proofErr w:type="spellStart"/>
      <w:r w:rsidRPr="00BA5FCC">
        <w:rPr>
          <w:rFonts w:ascii="Arial" w:hAnsi="Arial" w:cs="Arial"/>
          <w:sz w:val="20"/>
          <w:szCs w:val="20"/>
        </w:rPr>
        <w:t>cytokinins</w:t>
      </w:r>
      <w:proofErr w:type="spellEnd"/>
      <w:r w:rsidRPr="00BA5FCC">
        <w:rPr>
          <w:rFonts w:ascii="Arial" w:hAnsi="Arial" w:cs="Arial"/>
          <w:sz w:val="20"/>
          <w:szCs w:val="20"/>
        </w:rPr>
        <w:t xml:space="preserve"> and auxins played a critical role in this phase. The maximum number of shoots (16.35 ± 0.22) was obtained on MS medium fortified with 4.0 mgL</w:t>
      </w:r>
      <w:r w:rsidRPr="00BA5FCC">
        <w:rPr>
          <w:rFonts w:ascii="Cambria Math" w:hAnsi="Cambria Math" w:cs="Cambria Math"/>
          <w:sz w:val="20"/>
          <w:szCs w:val="20"/>
        </w:rPr>
        <w:t>⁻</w:t>
      </w:r>
      <w:r w:rsidRPr="00BA5FCC">
        <w:rPr>
          <w:rFonts w:ascii="Arial" w:hAnsi="Arial" w:cs="Arial"/>
          <w:sz w:val="20"/>
          <w:szCs w:val="20"/>
        </w:rPr>
        <w:t>¹ BAP and 1.0 mgL</w:t>
      </w:r>
      <w:r w:rsidRPr="00BA5FCC">
        <w:rPr>
          <w:rFonts w:ascii="Cambria Math" w:hAnsi="Cambria Math" w:cs="Cambria Math"/>
          <w:sz w:val="20"/>
          <w:szCs w:val="20"/>
        </w:rPr>
        <w:t>⁻</w:t>
      </w:r>
      <w:r w:rsidRPr="00BA5FCC">
        <w:rPr>
          <w:rFonts w:ascii="Arial" w:hAnsi="Arial" w:cs="Arial"/>
          <w:sz w:val="20"/>
          <w:szCs w:val="20"/>
        </w:rPr>
        <w:t>¹ NAA within 4 weeks (Table 2).</w:t>
      </w:r>
    </w:p>
    <w:p w14:paraId="4771019B" w14:textId="2988105A" w:rsidR="00BA5FCC" w:rsidRPr="00BA5FCC" w:rsidRDefault="00BA5FCC" w:rsidP="00BA5FCC">
      <w:pPr>
        <w:pStyle w:val="NoSpacing"/>
        <w:spacing w:line="276" w:lineRule="auto"/>
        <w:jc w:val="both"/>
        <w:rPr>
          <w:rFonts w:ascii="Arial" w:hAnsi="Arial" w:cs="Arial"/>
          <w:sz w:val="20"/>
          <w:szCs w:val="20"/>
        </w:rPr>
      </w:pPr>
      <w:r w:rsidRPr="00BA5FCC">
        <w:rPr>
          <w:rFonts w:ascii="Arial" w:hAnsi="Arial" w:cs="Arial"/>
          <w:sz w:val="20"/>
          <w:szCs w:val="20"/>
        </w:rPr>
        <w:t xml:space="preserve">This finding is consistent with established protocols for the </w:t>
      </w:r>
      <w:proofErr w:type="spellStart"/>
      <w:r w:rsidRPr="00BA5FCC">
        <w:rPr>
          <w:rFonts w:ascii="Arial" w:hAnsi="Arial" w:cs="Arial"/>
          <w:sz w:val="20"/>
          <w:szCs w:val="20"/>
        </w:rPr>
        <w:t>Zingiberaceae</w:t>
      </w:r>
      <w:proofErr w:type="spellEnd"/>
      <w:r w:rsidRPr="00BA5FCC">
        <w:rPr>
          <w:rFonts w:ascii="Arial" w:hAnsi="Arial" w:cs="Arial"/>
          <w:sz w:val="20"/>
          <w:szCs w:val="20"/>
        </w:rPr>
        <w:t xml:space="preserve"> family, including </w:t>
      </w:r>
      <w:r w:rsidRPr="00DF2118">
        <w:rPr>
          <w:rFonts w:ascii="Arial" w:hAnsi="Arial" w:cs="Arial"/>
          <w:i/>
          <w:iCs/>
          <w:sz w:val="20"/>
          <w:szCs w:val="20"/>
        </w:rPr>
        <w:t>Curcuma spp.</w:t>
      </w:r>
      <w:r w:rsidRPr="00BA5FCC">
        <w:rPr>
          <w:rFonts w:ascii="Arial" w:hAnsi="Arial" w:cs="Arial"/>
          <w:sz w:val="20"/>
          <w:szCs w:val="20"/>
        </w:rPr>
        <w:t xml:space="preserve"> (Balachandran </w:t>
      </w:r>
      <w:r w:rsidRPr="00DF2118">
        <w:rPr>
          <w:rFonts w:ascii="Arial" w:hAnsi="Arial" w:cs="Arial"/>
          <w:i/>
          <w:iCs/>
          <w:sz w:val="20"/>
          <w:szCs w:val="20"/>
        </w:rPr>
        <w:t>et al.</w:t>
      </w:r>
      <w:r w:rsidRPr="00BA5FCC">
        <w:rPr>
          <w:rFonts w:ascii="Arial" w:hAnsi="Arial" w:cs="Arial"/>
          <w:sz w:val="20"/>
          <w:szCs w:val="20"/>
        </w:rPr>
        <w:t xml:space="preserve">, 1990; </w:t>
      </w:r>
      <w:proofErr w:type="spellStart"/>
      <w:r w:rsidRPr="00BA5FCC">
        <w:rPr>
          <w:rFonts w:ascii="Arial" w:hAnsi="Arial" w:cs="Arial"/>
          <w:sz w:val="20"/>
          <w:szCs w:val="20"/>
        </w:rPr>
        <w:t>Sunitibala</w:t>
      </w:r>
      <w:proofErr w:type="spellEnd"/>
      <w:r w:rsidRPr="00BA5FCC">
        <w:rPr>
          <w:rFonts w:ascii="Arial" w:hAnsi="Arial" w:cs="Arial"/>
          <w:sz w:val="20"/>
          <w:szCs w:val="20"/>
        </w:rPr>
        <w:t xml:space="preserve"> </w:t>
      </w:r>
      <w:r w:rsidRPr="00DF2118">
        <w:rPr>
          <w:rFonts w:ascii="Arial" w:hAnsi="Arial" w:cs="Arial"/>
          <w:i/>
          <w:iCs/>
          <w:sz w:val="20"/>
          <w:szCs w:val="20"/>
        </w:rPr>
        <w:t>et al.</w:t>
      </w:r>
      <w:r w:rsidRPr="00BA5FCC">
        <w:rPr>
          <w:rFonts w:ascii="Arial" w:hAnsi="Arial" w:cs="Arial"/>
          <w:sz w:val="20"/>
          <w:szCs w:val="20"/>
        </w:rPr>
        <w:t xml:space="preserve">, 2001) and </w:t>
      </w:r>
      <w:proofErr w:type="spellStart"/>
      <w:r w:rsidRPr="00DF2118">
        <w:rPr>
          <w:rFonts w:ascii="Arial" w:hAnsi="Arial" w:cs="Arial"/>
          <w:i/>
          <w:iCs/>
          <w:sz w:val="20"/>
          <w:szCs w:val="20"/>
        </w:rPr>
        <w:t>Alpinia</w:t>
      </w:r>
      <w:proofErr w:type="spellEnd"/>
      <w:r w:rsidRPr="00DF2118">
        <w:rPr>
          <w:rFonts w:ascii="Arial" w:hAnsi="Arial" w:cs="Arial"/>
          <w:i/>
          <w:iCs/>
          <w:sz w:val="20"/>
          <w:szCs w:val="20"/>
        </w:rPr>
        <w:t xml:space="preserve"> </w:t>
      </w:r>
      <w:proofErr w:type="spellStart"/>
      <w:r w:rsidRPr="00DF2118">
        <w:rPr>
          <w:rFonts w:ascii="Arial" w:hAnsi="Arial" w:cs="Arial"/>
          <w:i/>
          <w:iCs/>
          <w:sz w:val="20"/>
          <w:szCs w:val="20"/>
        </w:rPr>
        <w:t>calcarata</w:t>
      </w:r>
      <w:proofErr w:type="spellEnd"/>
      <w:r w:rsidRPr="00BA5FCC">
        <w:rPr>
          <w:rFonts w:ascii="Arial" w:hAnsi="Arial" w:cs="Arial"/>
          <w:sz w:val="20"/>
          <w:szCs w:val="20"/>
        </w:rPr>
        <w:t xml:space="preserve"> (</w:t>
      </w:r>
      <w:proofErr w:type="spellStart"/>
      <w:r w:rsidRPr="00BA5FCC">
        <w:rPr>
          <w:rFonts w:ascii="Arial" w:hAnsi="Arial" w:cs="Arial"/>
          <w:sz w:val="20"/>
          <w:szCs w:val="20"/>
        </w:rPr>
        <w:t>Agretious</w:t>
      </w:r>
      <w:proofErr w:type="spellEnd"/>
      <w:r w:rsidRPr="00BA5FCC">
        <w:rPr>
          <w:rFonts w:ascii="Arial" w:hAnsi="Arial" w:cs="Arial"/>
          <w:sz w:val="20"/>
          <w:szCs w:val="20"/>
        </w:rPr>
        <w:t xml:space="preserve"> </w:t>
      </w:r>
      <w:r w:rsidRPr="00DF2118">
        <w:rPr>
          <w:rFonts w:ascii="Arial" w:hAnsi="Arial" w:cs="Arial"/>
          <w:i/>
          <w:iCs/>
          <w:sz w:val="20"/>
          <w:szCs w:val="20"/>
        </w:rPr>
        <w:t>et al.</w:t>
      </w:r>
      <w:r w:rsidRPr="00BA5FCC">
        <w:rPr>
          <w:rFonts w:ascii="Arial" w:hAnsi="Arial" w:cs="Arial"/>
          <w:sz w:val="20"/>
          <w:szCs w:val="20"/>
        </w:rPr>
        <w:t xml:space="preserve">, 1996). </w:t>
      </w:r>
      <w:r w:rsidR="00E05D41" w:rsidRPr="00E05D41">
        <w:rPr>
          <w:rFonts w:ascii="Arial" w:hAnsi="Arial" w:cs="Arial"/>
          <w:sz w:val="20"/>
          <w:szCs w:val="20"/>
        </w:rPr>
        <w:t xml:space="preserve">More recently, Sahoo </w:t>
      </w:r>
      <w:r w:rsidR="00E05D41" w:rsidRPr="00E05D41">
        <w:rPr>
          <w:rFonts w:ascii="Arial" w:hAnsi="Arial" w:cs="Arial"/>
          <w:i/>
          <w:iCs/>
          <w:sz w:val="20"/>
          <w:szCs w:val="20"/>
        </w:rPr>
        <w:t>et al.</w:t>
      </w:r>
      <w:r w:rsidR="00E05D41" w:rsidRPr="00E05D41">
        <w:rPr>
          <w:rFonts w:ascii="Arial" w:hAnsi="Arial" w:cs="Arial"/>
          <w:sz w:val="20"/>
          <w:szCs w:val="20"/>
        </w:rPr>
        <w:t xml:space="preserve"> (2023) and </w:t>
      </w:r>
      <w:proofErr w:type="spellStart"/>
      <w:r w:rsidR="00E05D41" w:rsidRPr="00E05D41">
        <w:rPr>
          <w:rFonts w:ascii="Arial" w:hAnsi="Arial" w:cs="Arial"/>
          <w:sz w:val="20"/>
          <w:szCs w:val="20"/>
        </w:rPr>
        <w:t>Nonthalee</w:t>
      </w:r>
      <w:proofErr w:type="spellEnd"/>
      <w:r w:rsidR="00E05D41" w:rsidRPr="00E05D41">
        <w:rPr>
          <w:rFonts w:ascii="Arial" w:hAnsi="Arial" w:cs="Arial"/>
          <w:sz w:val="20"/>
          <w:szCs w:val="20"/>
        </w:rPr>
        <w:t xml:space="preserve"> </w:t>
      </w:r>
      <w:r w:rsidR="00E05D41" w:rsidRPr="00E05D41">
        <w:rPr>
          <w:rFonts w:ascii="Arial" w:hAnsi="Arial" w:cs="Arial"/>
          <w:i/>
          <w:iCs/>
          <w:sz w:val="20"/>
          <w:szCs w:val="20"/>
        </w:rPr>
        <w:t>et al.</w:t>
      </w:r>
      <w:r w:rsidR="00E05D41" w:rsidRPr="00E05D41">
        <w:rPr>
          <w:rFonts w:ascii="Arial" w:hAnsi="Arial" w:cs="Arial"/>
          <w:sz w:val="20"/>
          <w:szCs w:val="20"/>
        </w:rPr>
        <w:t xml:space="preserve"> (2025) have confirmed the efficiency of BAP and NAA combinations for high-frequency shoot multiplication in </w:t>
      </w:r>
      <w:proofErr w:type="spellStart"/>
      <w:r w:rsidR="00E05D41" w:rsidRPr="005B3FE9">
        <w:rPr>
          <w:rFonts w:ascii="Arial" w:hAnsi="Arial" w:cs="Arial"/>
          <w:i/>
          <w:iCs/>
          <w:sz w:val="20"/>
          <w:szCs w:val="20"/>
        </w:rPr>
        <w:t>Alpinia</w:t>
      </w:r>
      <w:proofErr w:type="spellEnd"/>
      <w:r w:rsidR="00E05D41" w:rsidRPr="00E05D41">
        <w:rPr>
          <w:rFonts w:ascii="Arial" w:hAnsi="Arial" w:cs="Arial"/>
          <w:sz w:val="20"/>
          <w:szCs w:val="20"/>
        </w:rPr>
        <w:t xml:space="preserve"> and </w:t>
      </w:r>
      <w:proofErr w:type="spellStart"/>
      <w:r w:rsidR="00E05D41" w:rsidRPr="005B3FE9">
        <w:rPr>
          <w:rFonts w:ascii="Arial" w:hAnsi="Arial" w:cs="Arial"/>
          <w:i/>
          <w:iCs/>
          <w:sz w:val="20"/>
          <w:szCs w:val="20"/>
        </w:rPr>
        <w:t>Kaempferia</w:t>
      </w:r>
      <w:proofErr w:type="spellEnd"/>
      <w:r w:rsidR="00E05D41" w:rsidRPr="00E05D41">
        <w:rPr>
          <w:rFonts w:ascii="Arial" w:hAnsi="Arial" w:cs="Arial"/>
          <w:sz w:val="20"/>
          <w:szCs w:val="20"/>
        </w:rPr>
        <w:t xml:space="preserve"> species, respectively.</w:t>
      </w:r>
      <w:r w:rsidR="00E05D41">
        <w:rPr>
          <w:rFonts w:ascii="Arial" w:hAnsi="Arial" w:cs="Arial"/>
          <w:sz w:val="20"/>
          <w:szCs w:val="20"/>
        </w:rPr>
        <w:t xml:space="preserve"> </w:t>
      </w:r>
      <w:r w:rsidRPr="00BA5FCC">
        <w:rPr>
          <w:rFonts w:ascii="Arial" w:hAnsi="Arial" w:cs="Arial"/>
          <w:sz w:val="20"/>
          <w:szCs w:val="20"/>
        </w:rPr>
        <w:t>Our data supports the observation that higher cytokinin concentrations combined with lower auxin levels effectively promote simultaneous shoot multiplication and rooting</w:t>
      </w:r>
      <w:r w:rsidR="00E05D41">
        <w:rPr>
          <w:rFonts w:ascii="Arial" w:hAnsi="Arial" w:cs="Arial"/>
          <w:sz w:val="20"/>
          <w:szCs w:val="20"/>
        </w:rPr>
        <w:t xml:space="preserve"> (</w:t>
      </w:r>
      <w:proofErr w:type="spellStart"/>
      <w:r w:rsidR="00E05D41" w:rsidRPr="00BA5FCC">
        <w:rPr>
          <w:rFonts w:ascii="Arial" w:hAnsi="Arial" w:cs="Arial"/>
          <w:sz w:val="20"/>
          <w:szCs w:val="20"/>
        </w:rPr>
        <w:t>Misra</w:t>
      </w:r>
      <w:proofErr w:type="spellEnd"/>
      <w:r w:rsidR="00E05D41" w:rsidRPr="00BA5FCC">
        <w:rPr>
          <w:rFonts w:ascii="Arial" w:hAnsi="Arial" w:cs="Arial"/>
          <w:sz w:val="20"/>
          <w:szCs w:val="20"/>
        </w:rPr>
        <w:t xml:space="preserve"> </w:t>
      </w:r>
      <w:r w:rsidR="00E05D41" w:rsidRPr="00DF2118">
        <w:rPr>
          <w:rFonts w:ascii="Arial" w:hAnsi="Arial" w:cs="Arial"/>
          <w:i/>
          <w:iCs/>
          <w:sz w:val="20"/>
          <w:szCs w:val="20"/>
        </w:rPr>
        <w:t>et al.</w:t>
      </w:r>
      <w:r w:rsidR="00E05D41" w:rsidRPr="00BA5FCC">
        <w:rPr>
          <w:rFonts w:ascii="Arial" w:hAnsi="Arial" w:cs="Arial"/>
          <w:sz w:val="20"/>
          <w:szCs w:val="20"/>
        </w:rPr>
        <w:t xml:space="preserve"> 2004</w:t>
      </w:r>
      <w:r w:rsidR="00E05D41">
        <w:rPr>
          <w:rFonts w:ascii="Arial" w:hAnsi="Arial" w:cs="Arial"/>
          <w:sz w:val="20"/>
          <w:szCs w:val="20"/>
        </w:rPr>
        <w:t>;</w:t>
      </w:r>
      <w:r w:rsidR="00E05D41" w:rsidRPr="00BA5FCC">
        <w:rPr>
          <w:rFonts w:ascii="Arial" w:hAnsi="Arial" w:cs="Arial"/>
          <w:sz w:val="20"/>
          <w:szCs w:val="20"/>
        </w:rPr>
        <w:t xml:space="preserve"> Vidya </w:t>
      </w:r>
      <w:r w:rsidR="00E05D41" w:rsidRPr="00DF2118">
        <w:rPr>
          <w:rFonts w:ascii="Arial" w:hAnsi="Arial" w:cs="Arial"/>
          <w:i/>
          <w:iCs/>
          <w:sz w:val="20"/>
          <w:szCs w:val="20"/>
        </w:rPr>
        <w:t>et al.</w:t>
      </w:r>
      <w:r w:rsidR="00E05D41" w:rsidRPr="00BA5FCC">
        <w:rPr>
          <w:rFonts w:ascii="Arial" w:hAnsi="Arial" w:cs="Arial"/>
          <w:sz w:val="20"/>
          <w:szCs w:val="20"/>
        </w:rPr>
        <w:t xml:space="preserve"> 2005</w:t>
      </w:r>
      <w:r w:rsidR="00E05D41">
        <w:rPr>
          <w:rFonts w:ascii="Arial" w:hAnsi="Arial" w:cs="Arial"/>
          <w:sz w:val="20"/>
          <w:szCs w:val="20"/>
        </w:rPr>
        <w:t>;</w:t>
      </w:r>
      <w:r w:rsidR="00E05D41" w:rsidRPr="00BA5FCC">
        <w:rPr>
          <w:rFonts w:ascii="Arial" w:hAnsi="Arial" w:cs="Arial"/>
          <w:sz w:val="20"/>
          <w:szCs w:val="20"/>
        </w:rPr>
        <w:t xml:space="preserve"> </w:t>
      </w:r>
      <w:r w:rsidR="00E05D41" w:rsidRPr="00E05D41">
        <w:rPr>
          <w:rFonts w:ascii="Arial" w:hAnsi="Arial" w:cs="Arial"/>
          <w:sz w:val="20"/>
          <w:szCs w:val="20"/>
        </w:rPr>
        <w:t xml:space="preserve">Ahmed </w:t>
      </w:r>
      <w:r w:rsidR="00E05D41" w:rsidRPr="00E05D41">
        <w:rPr>
          <w:rFonts w:ascii="Arial" w:hAnsi="Arial" w:cs="Arial"/>
          <w:i/>
          <w:iCs/>
          <w:sz w:val="20"/>
          <w:szCs w:val="20"/>
        </w:rPr>
        <w:t>et al.</w:t>
      </w:r>
      <w:r w:rsidR="00E05D41" w:rsidRPr="00E05D41">
        <w:rPr>
          <w:rFonts w:ascii="Arial" w:hAnsi="Arial" w:cs="Arial"/>
          <w:sz w:val="20"/>
          <w:szCs w:val="20"/>
        </w:rPr>
        <w:t>, 2016</w:t>
      </w:r>
      <w:r w:rsidR="00E05D41">
        <w:rPr>
          <w:rFonts w:ascii="Arial" w:hAnsi="Arial" w:cs="Arial"/>
          <w:sz w:val="20"/>
          <w:szCs w:val="20"/>
        </w:rPr>
        <w:t>)</w:t>
      </w:r>
      <w:r w:rsidRPr="00BA5FCC">
        <w:rPr>
          <w:rFonts w:ascii="Arial" w:hAnsi="Arial" w:cs="Arial"/>
          <w:sz w:val="20"/>
          <w:szCs w:val="20"/>
        </w:rPr>
        <w:t xml:space="preserve">. This dual efficiency reduces the need for a separate rooting step, thereby shortening the protocol timeline—a critical factor for commercial viability. As emphasized in a recent comprehensive review by </w:t>
      </w:r>
      <w:proofErr w:type="spellStart"/>
      <w:r w:rsidR="005B3FE9" w:rsidRPr="00815042">
        <w:rPr>
          <w:rFonts w:ascii="Arial" w:hAnsi="Arial" w:cs="Arial"/>
          <w:sz w:val="20"/>
          <w:szCs w:val="20"/>
        </w:rPr>
        <w:t>Elshamy</w:t>
      </w:r>
      <w:proofErr w:type="spellEnd"/>
      <w:r w:rsidR="005B3FE9" w:rsidRPr="00DF2118">
        <w:rPr>
          <w:rFonts w:ascii="Arial" w:hAnsi="Arial" w:cs="Arial"/>
          <w:i/>
          <w:iCs/>
          <w:sz w:val="20"/>
          <w:szCs w:val="20"/>
        </w:rPr>
        <w:t xml:space="preserve"> </w:t>
      </w:r>
      <w:r w:rsidRPr="00DF2118">
        <w:rPr>
          <w:rFonts w:ascii="Arial" w:hAnsi="Arial" w:cs="Arial"/>
          <w:i/>
          <w:iCs/>
          <w:sz w:val="20"/>
          <w:szCs w:val="20"/>
        </w:rPr>
        <w:t>et al.</w:t>
      </w:r>
      <w:r w:rsidRPr="00BA5FCC">
        <w:rPr>
          <w:rFonts w:ascii="Arial" w:hAnsi="Arial" w:cs="Arial"/>
          <w:sz w:val="20"/>
          <w:szCs w:val="20"/>
        </w:rPr>
        <w:t xml:space="preserve"> (2023), the development of such efficient, scalable </w:t>
      </w:r>
      <w:r w:rsidRPr="00BA5FCC">
        <w:rPr>
          <w:rFonts w:ascii="Arial" w:hAnsi="Arial" w:cs="Arial"/>
          <w:sz w:val="20"/>
          <w:szCs w:val="20"/>
        </w:rPr>
        <w:lastRenderedPageBreak/>
        <w:t xml:space="preserve">micropropagation protocols is urgent to meet the industrial demand for bioactive compounds in </w:t>
      </w:r>
      <w:proofErr w:type="spellStart"/>
      <w:r w:rsidRPr="00DF2118">
        <w:rPr>
          <w:rFonts w:ascii="Arial" w:hAnsi="Arial" w:cs="Arial"/>
          <w:i/>
          <w:iCs/>
          <w:sz w:val="20"/>
          <w:szCs w:val="20"/>
        </w:rPr>
        <w:t>Kaempferia</w:t>
      </w:r>
      <w:proofErr w:type="spellEnd"/>
      <w:r w:rsidRPr="00BA5FCC">
        <w:rPr>
          <w:rFonts w:ascii="Arial" w:hAnsi="Arial" w:cs="Arial"/>
          <w:sz w:val="20"/>
          <w:szCs w:val="20"/>
        </w:rPr>
        <w:t xml:space="preserve"> species without depleting wild populations.</w:t>
      </w:r>
    </w:p>
    <w:p w14:paraId="555784A1" w14:textId="77777777" w:rsidR="00BA5FCC" w:rsidRPr="00BA5FCC" w:rsidRDefault="00BA5FCC" w:rsidP="00BA5FCC">
      <w:pPr>
        <w:pStyle w:val="NoSpacing"/>
        <w:spacing w:line="276" w:lineRule="auto"/>
        <w:jc w:val="both"/>
        <w:rPr>
          <w:rFonts w:ascii="Arial" w:hAnsi="Arial" w:cs="Arial"/>
          <w:sz w:val="20"/>
          <w:szCs w:val="20"/>
        </w:rPr>
      </w:pPr>
    </w:p>
    <w:p w14:paraId="315CAB93" w14:textId="77777777" w:rsidR="00DF2118" w:rsidRDefault="00BA5FCC" w:rsidP="00BA5FCC">
      <w:pPr>
        <w:pStyle w:val="NoSpacing"/>
        <w:spacing w:line="276" w:lineRule="auto"/>
        <w:jc w:val="both"/>
        <w:rPr>
          <w:rFonts w:ascii="Arial" w:hAnsi="Arial" w:cs="Arial"/>
          <w:sz w:val="20"/>
          <w:szCs w:val="20"/>
        </w:rPr>
      </w:pPr>
      <w:r w:rsidRPr="00DF2118">
        <w:rPr>
          <w:rFonts w:ascii="Arial" w:hAnsi="Arial" w:cs="Arial"/>
          <w:b/>
          <w:bCs/>
        </w:rPr>
        <w:t>3.3 Assessment of Genetic Fidelity</w:t>
      </w:r>
      <w:r w:rsidR="00DF2118" w:rsidRPr="00DF2118">
        <w:rPr>
          <w:rFonts w:ascii="Arial" w:hAnsi="Arial" w:cs="Arial"/>
          <w:b/>
          <w:bCs/>
        </w:rPr>
        <w:t>:</w:t>
      </w:r>
      <w:r w:rsidRPr="00BA5FCC">
        <w:rPr>
          <w:rFonts w:ascii="Arial" w:hAnsi="Arial" w:cs="Arial"/>
          <w:sz w:val="20"/>
          <w:szCs w:val="20"/>
        </w:rPr>
        <w:t xml:space="preserve"> </w:t>
      </w:r>
    </w:p>
    <w:p w14:paraId="1987EEDB" w14:textId="699C6F09" w:rsidR="00BA5FCC" w:rsidRPr="00BA5FCC" w:rsidRDefault="00BA5FCC" w:rsidP="00BA5FCC">
      <w:pPr>
        <w:pStyle w:val="NoSpacing"/>
        <w:spacing w:line="276" w:lineRule="auto"/>
        <w:jc w:val="both"/>
        <w:rPr>
          <w:rFonts w:ascii="Arial" w:hAnsi="Arial" w:cs="Arial"/>
          <w:sz w:val="20"/>
          <w:szCs w:val="20"/>
        </w:rPr>
      </w:pPr>
      <w:r w:rsidRPr="00BA5FCC">
        <w:rPr>
          <w:rFonts w:ascii="Arial" w:hAnsi="Arial" w:cs="Arial"/>
          <w:sz w:val="20"/>
          <w:szCs w:val="20"/>
        </w:rPr>
        <w:t xml:space="preserve">A critical limitation of long-term in vitro culture is the risk of </w:t>
      </w:r>
      <w:proofErr w:type="spellStart"/>
      <w:r w:rsidRPr="00BA5FCC">
        <w:rPr>
          <w:rFonts w:ascii="Arial" w:hAnsi="Arial" w:cs="Arial"/>
          <w:sz w:val="20"/>
          <w:szCs w:val="20"/>
        </w:rPr>
        <w:t>somaclonal</w:t>
      </w:r>
      <w:proofErr w:type="spellEnd"/>
      <w:r w:rsidRPr="00BA5FCC">
        <w:rPr>
          <w:rFonts w:ascii="Arial" w:hAnsi="Arial" w:cs="Arial"/>
          <w:sz w:val="20"/>
          <w:szCs w:val="20"/>
        </w:rPr>
        <w:t xml:space="preserve"> variation, which can compromise the pharmaceutical quality of medicinal plants. Therefore, validating the genetic uniformity of the regenerants was a primary objective of this study.</w:t>
      </w:r>
    </w:p>
    <w:p w14:paraId="0EE2FD49" w14:textId="77777777" w:rsidR="00BA5FCC" w:rsidRPr="00BA5FCC" w:rsidRDefault="00BA5FCC" w:rsidP="00BA5FCC">
      <w:pPr>
        <w:pStyle w:val="NoSpacing"/>
        <w:spacing w:line="276" w:lineRule="auto"/>
        <w:jc w:val="both"/>
        <w:rPr>
          <w:rFonts w:ascii="Arial" w:hAnsi="Arial" w:cs="Arial"/>
          <w:sz w:val="20"/>
          <w:szCs w:val="20"/>
        </w:rPr>
      </w:pPr>
    </w:p>
    <w:p w14:paraId="5FE25F87" w14:textId="77777777" w:rsidR="00DF2118" w:rsidRDefault="00BA5FCC" w:rsidP="00BA5FCC">
      <w:pPr>
        <w:pStyle w:val="NoSpacing"/>
        <w:spacing w:line="276" w:lineRule="auto"/>
        <w:jc w:val="both"/>
        <w:rPr>
          <w:rFonts w:ascii="Arial" w:hAnsi="Arial" w:cs="Arial"/>
          <w:b/>
          <w:bCs/>
          <w:sz w:val="20"/>
          <w:szCs w:val="20"/>
        </w:rPr>
      </w:pPr>
      <w:r w:rsidRPr="00DF2118">
        <w:rPr>
          <w:rFonts w:ascii="Arial" w:hAnsi="Arial" w:cs="Arial"/>
          <w:b/>
          <w:bCs/>
          <w:sz w:val="20"/>
          <w:szCs w:val="20"/>
        </w:rPr>
        <w:t>3.3.1 RAPD Analysis</w:t>
      </w:r>
      <w:r w:rsidR="00DF2118">
        <w:rPr>
          <w:rFonts w:ascii="Arial" w:hAnsi="Arial" w:cs="Arial"/>
          <w:b/>
          <w:bCs/>
          <w:sz w:val="20"/>
          <w:szCs w:val="20"/>
        </w:rPr>
        <w:t>:</w:t>
      </w:r>
    </w:p>
    <w:p w14:paraId="351B9610" w14:textId="0A77B40F" w:rsidR="00BA5FCC" w:rsidRPr="00BA5FCC" w:rsidRDefault="00BA5FCC" w:rsidP="00BA5FCC">
      <w:pPr>
        <w:pStyle w:val="NoSpacing"/>
        <w:spacing w:line="276" w:lineRule="auto"/>
        <w:jc w:val="both"/>
        <w:rPr>
          <w:rFonts w:ascii="Arial" w:hAnsi="Arial" w:cs="Arial"/>
          <w:sz w:val="20"/>
          <w:szCs w:val="20"/>
        </w:rPr>
      </w:pPr>
      <w:r w:rsidRPr="00BA5FCC">
        <w:rPr>
          <w:rFonts w:ascii="Arial" w:hAnsi="Arial" w:cs="Arial"/>
          <w:sz w:val="20"/>
          <w:szCs w:val="20"/>
        </w:rPr>
        <w:t>Out of 25 screened primers, 15 produced reproducible and distinct bands ranging from 300 to 1800 bp. The number of bands varied from 2 to 9 per primer, with an average of 5.6 bands. A total of 84 bands were generated, all of which were monomorphic across the mother plant and the 15 randomly selected regenerants (Fig. 2a; Table 3).</w:t>
      </w:r>
    </w:p>
    <w:p w14:paraId="7E58B4A8" w14:textId="77777777" w:rsidR="00BA5FCC" w:rsidRPr="00BA5FCC" w:rsidRDefault="00BA5FCC" w:rsidP="00BA5FCC">
      <w:pPr>
        <w:pStyle w:val="NoSpacing"/>
        <w:spacing w:line="276" w:lineRule="auto"/>
        <w:jc w:val="both"/>
        <w:rPr>
          <w:rFonts w:ascii="Arial" w:hAnsi="Arial" w:cs="Arial"/>
          <w:sz w:val="20"/>
          <w:szCs w:val="20"/>
        </w:rPr>
      </w:pPr>
    </w:p>
    <w:p w14:paraId="0BE62E36" w14:textId="77777777" w:rsidR="00DF2118" w:rsidRDefault="00BA5FCC" w:rsidP="00BA5FCC">
      <w:pPr>
        <w:pStyle w:val="NoSpacing"/>
        <w:spacing w:line="276" w:lineRule="auto"/>
        <w:jc w:val="both"/>
        <w:rPr>
          <w:rFonts w:ascii="Arial" w:hAnsi="Arial" w:cs="Arial"/>
          <w:sz w:val="20"/>
          <w:szCs w:val="20"/>
        </w:rPr>
      </w:pPr>
      <w:r w:rsidRPr="00DF2118">
        <w:rPr>
          <w:rFonts w:ascii="Arial" w:hAnsi="Arial" w:cs="Arial"/>
          <w:b/>
          <w:bCs/>
          <w:sz w:val="20"/>
          <w:szCs w:val="20"/>
        </w:rPr>
        <w:t>3.3.2 ISSR Analysis</w:t>
      </w:r>
      <w:r w:rsidRPr="00BA5FCC">
        <w:rPr>
          <w:rFonts w:ascii="Arial" w:hAnsi="Arial" w:cs="Arial"/>
          <w:sz w:val="20"/>
          <w:szCs w:val="20"/>
        </w:rPr>
        <w:t xml:space="preserve"> </w:t>
      </w:r>
    </w:p>
    <w:p w14:paraId="2C1790DC" w14:textId="2D435A26" w:rsidR="00BA5FCC" w:rsidRPr="00BA5FCC" w:rsidRDefault="00BA5FCC" w:rsidP="00BA5FCC">
      <w:pPr>
        <w:pStyle w:val="NoSpacing"/>
        <w:spacing w:line="276" w:lineRule="auto"/>
        <w:jc w:val="both"/>
        <w:rPr>
          <w:rFonts w:ascii="Arial" w:hAnsi="Arial" w:cs="Arial"/>
          <w:sz w:val="20"/>
          <w:szCs w:val="20"/>
        </w:rPr>
      </w:pPr>
      <w:r w:rsidRPr="00BA5FCC">
        <w:rPr>
          <w:rFonts w:ascii="Arial" w:hAnsi="Arial" w:cs="Arial"/>
          <w:sz w:val="20"/>
          <w:szCs w:val="20"/>
        </w:rPr>
        <w:t>ISSR markers, known for their high reproducibility, further corroborated the RAPD results. The 11 selected primers yielded 76 scorable bands, ranging from 2 to 13 bands per primer (average 6.5). Similar to the RAPD profiles, the ISSR banding patterns were identical for all samples (Fig. 2b; Table 4).</w:t>
      </w:r>
    </w:p>
    <w:p w14:paraId="708317BB" w14:textId="00CBFE7F" w:rsidR="00375094" w:rsidRPr="00375094" w:rsidRDefault="00BA5FCC" w:rsidP="00375094">
      <w:pPr>
        <w:pStyle w:val="NoSpacing"/>
        <w:spacing w:line="276" w:lineRule="auto"/>
        <w:jc w:val="both"/>
        <w:rPr>
          <w:rFonts w:ascii="Arial" w:hAnsi="Arial" w:cs="Arial"/>
          <w:sz w:val="20"/>
          <w:szCs w:val="20"/>
        </w:rPr>
      </w:pPr>
      <w:r w:rsidRPr="00BA5FCC">
        <w:rPr>
          <w:rFonts w:ascii="Arial" w:hAnsi="Arial" w:cs="Arial"/>
          <w:sz w:val="20"/>
          <w:szCs w:val="20"/>
        </w:rPr>
        <w:t xml:space="preserve">The absence of polymorphic bands in both marker systems indicates that high genetic fidelity was maintained throughout the somatic embryogenesis process. This stability is likely due to the use of an organized embryogenic pathway rather than organogenesis via undifferentiated callus, which is more prone to variation. </w:t>
      </w:r>
      <w:r w:rsidR="00C76BC8" w:rsidRPr="00C76BC8">
        <w:rPr>
          <w:rFonts w:ascii="Arial" w:hAnsi="Arial" w:cs="Arial"/>
          <w:sz w:val="20"/>
          <w:szCs w:val="20"/>
        </w:rPr>
        <w:t xml:space="preserve">These results align with numerous studies confirming genetic uniformity in </w:t>
      </w:r>
      <w:proofErr w:type="spellStart"/>
      <w:r w:rsidR="00C76BC8" w:rsidRPr="00C76BC8">
        <w:rPr>
          <w:rFonts w:ascii="Arial" w:hAnsi="Arial" w:cs="Arial"/>
          <w:sz w:val="20"/>
          <w:szCs w:val="20"/>
        </w:rPr>
        <w:t>micropropagated</w:t>
      </w:r>
      <w:proofErr w:type="spellEnd"/>
      <w:r w:rsidR="00C76BC8" w:rsidRPr="00C76BC8">
        <w:rPr>
          <w:rFonts w:ascii="Arial" w:hAnsi="Arial" w:cs="Arial"/>
          <w:sz w:val="20"/>
          <w:szCs w:val="20"/>
        </w:rPr>
        <w:t xml:space="preserve"> plants using RAPD and ISSR markers. While earlier reports established the reliability of these markers in species such as </w:t>
      </w:r>
      <w:proofErr w:type="spellStart"/>
      <w:r w:rsidR="00C76BC8" w:rsidRPr="00B070F1">
        <w:rPr>
          <w:rFonts w:ascii="Arial" w:hAnsi="Arial" w:cs="Arial"/>
          <w:i/>
          <w:iCs/>
          <w:sz w:val="20"/>
          <w:szCs w:val="20"/>
        </w:rPr>
        <w:t>Populus</w:t>
      </w:r>
      <w:proofErr w:type="spellEnd"/>
      <w:r w:rsidR="00C76BC8" w:rsidRPr="00C76BC8">
        <w:rPr>
          <w:rFonts w:ascii="Arial" w:hAnsi="Arial" w:cs="Arial"/>
          <w:sz w:val="20"/>
          <w:szCs w:val="20"/>
        </w:rPr>
        <w:t xml:space="preserve"> (Rani </w:t>
      </w:r>
      <w:r w:rsidR="00C76BC8" w:rsidRPr="00B070F1">
        <w:rPr>
          <w:rFonts w:ascii="Arial" w:hAnsi="Arial" w:cs="Arial"/>
          <w:i/>
          <w:iCs/>
          <w:sz w:val="20"/>
          <w:szCs w:val="20"/>
        </w:rPr>
        <w:t>et al.</w:t>
      </w:r>
      <w:r w:rsidR="00C76BC8" w:rsidRPr="00C76BC8">
        <w:rPr>
          <w:rFonts w:ascii="Arial" w:hAnsi="Arial" w:cs="Arial"/>
          <w:sz w:val="20"/>
          <w:szCs w:val="20"/>
        </w:rPr>
        <w:t xml:space="preserve">, 1995) and </w:t>
      </w:r>
      <w:proofErr w:type="spellStart"/>
      <w:r w:rsidR="00C76BC8" w:rsidRPr="00B070F1">
        <w:rPr>
          <w:rFonts w:ascii="Arial" w:hAnsi="Arial" w:cs="Arial"/>
          <w:i/>
          <w:iCs/>
          <w:sz w:val="20"/>
          <w:szCs w:val="20"/>
        </w:rPr>
        <w:t>Swertia</w:t>
      </w:r>
      <w:proofErr w:type="spellEnd"/>
      <w:r w:rsidR="00C76BC8" w:rsidRPr="00B070F1">
        <w:rPr>
          <w:rFonts w:ascii="Arial" w:hAnsi="Arial" w:cs="Arial"/>
          <w:i/>
          <w:iCs/>
          <w:sz w:val="20"/>
          <w:szCs w:val="20"/>
        </w:rPr>
        <w:t xml:space="preserve"> </w:t>
      </w:r>
      <w:proofErr w:type="spellStart"/>
      <w:r w:rsidR="00C76BC8" w:rsidRPr="00B070F1">
        <w:rPr>
          <w:rFonts w:ascii="Arial" w:hAnsi="Arial" w:cs="Arial"/>
          <w:i/>
          <w:iCs/>
          <w:sz w:val="20"/>
          <w:szCs w:val="20"/>
        </w:rPr>
        <w:t>chirayita</w:t>
      </w:r>
      <w:proofErr w:type="spellEnd"/>
      <w:r w:rsidR="00C76BC8" w:rsidRPr="00C76BC8">
        <w:rPr>
          <w:rFonts w:ascii="Arial" w:hAnsi="Arial" w:cs="Arial"/>
          <w:sz w:val="20"/>
          <w:szCs w:val="20"/>
        </w:rPr>
        <w:t xml:space="preserve"> (Joshi &amp; Dhawan, 2007), recent investigations have further validated their utility in medicinal and commercial plants like </w:t>
      </w:r>
      <w:r w:rsidR="00C76BC8" w:rsidRPr="00B070F1">
        <w:rPr>
          <w:rFonts w:ascii="Arial" w:hAnsi="Arial" w:cs="Arial"/>
          <w:i/>
          <w:iCs/>
          <w:sz w:val="20"/>
          <w:szCs w:val="20"/>
        </w:rPr>
        <w:t xml:space="preserve">Cassia </w:t>
      </w:r>
      <w:proofErr w:type="spellStart"/>
      <w:r w:rsidR="00C76BC8" w:rsidRPr="00B070F1">
        <w:rPr>
          <w:rFonts w:ascii="Arial" w:hAnsi="Arial" w:cs="Arial"/>
          <w:i/>
          <w:iCs/>
          <w:sz w:val="20"/>
          <w:szCs w:val="20"/>
        </w:rPr>
        <w:t>alata</w:t>
      </w:r>
      <w:proofErr w:type="spellEnd"/>
      <w:r w:rsidR="00C76BC8" w:rsidRPr="00C76BC8">
        <w:rPr>
          <w:rFonts w:ascii="Arial" w:hAnsi="Arial" w:cs="Arial"/>
          <w:sz w:val="20"/>
          <w:szCs w:val="20"/>
        </w:rPr>
        <w:t xml:space="preserve"> (Ahmed </w:t>
      </w:r>
      <w:r w:rsidR="00C76BC8" w:rsidRPr="00B070F1">
        <w:rPr>
          <w:rFonts w:ascii="Arial" w:hAnsi="Arial" w:cs="Arial"/>
          <w:i/>
          <w:iCs/>
          <w:sz w:val="20"/>
          <w:szCs w:val="20"/>
        </w:rPr>
        <w:t>et al.</w:t>
      </w:r>
      <w:r w:rsidR="00C76BC8" w:rsidRPr="00C76BC8">
        <w:rPr>
          <w:rFonts w:ascii="Arial" w:hAnsi="Arial" w:cs="Arial"/>
          <w:sz w:val="20"/>
          <w:szCs w:val="20"/>
        </w:rPr>
        <w:t xml:space="preserve">, 2016), </w:t>
      </w:r>
      <w:r w:rsidR="00C76BC8" w:rsidRPr="00B070F1">
        <w:rPr>
          <w:rFonts w:ascii="Arial" w:hAnsi="Arial" w:cs="Arial"/>
          <w:i/>
          <w:iCs/>
          <w:sz w:val="20"/>
          <w:szCs w:val="20"/>
        </w:rPr>
        <w:t>Annona reticulata</w:t>
      </w:r>
      <w:r w:rsidR="00C76BC8" w:rsidRPr="00C76BC8">
        <w:rPr>
          <w:rFonts w:ascii="Arial" w:hAnsi="Arial" w:cs="Arial"/>
          <w:sz w:val="20"/>
          <w:szCs w:val="20"/>
        </w:rPr>
        <w:t xml:space="preserve"> (</w:t>
      </w:r>
      <w:proofErr w:type="spellStart"/>
      <w:r w:rsidR="00C76BC8" w:rsidRPr="00C76BC8">
        <w:rPr>
          <w:rFonts w:ascii="Arial" w:hAnsi="Arial" w:cs="Arial"/>
          <w:sz w:val="20"/>
          <w:szCs w:val="20"/>
        </w:rPr>
        <w:t>Kudikala</w:t>
      </w:r>
      <w:proofErr w:type="spellEnd"/>
      <w:r w:rsidR="00C76BC8" w:rsidRPr="00C76BC8">
        <w:rPr>
          <w:rFonts w:ascii="Arial" w:hAnsi="Arial" w:cs="Arial"/>
          <w:sz w:val="20"/>
          <w:szCs w:val="20"/>
        </w:rPr>
        <w:t xml:space="preserve"> </w:t>
      </w:r>
      <w:r w:rsidR="00C76BC8" w:rsidRPr="00B070F1">
        <w:rPr>
          <w:rFonts w:ascii="Arial" w:hAnsi="Arial" w:cs="Arial"/>
          <w:i/>
          <w:iCs/>
          <w:sz w:val="20"/>
          <w:szCs w:val="20"/>
        </w:rPr>
        <w:t>et al.</w:t>
      </w:r>
      <w:r w:rsidR="00C76BC8" w:rsidRPr="00C76BC8">
        <w:rPr>
          <w:rFonts w:ascii="Arial" w:hAnsi="Arial" w:cs="Arial"/>
          <w:sz w:val="20"/>
          <w:szCs w:val="20"/>
        </w:rPr>
        <w:t xml:space="preserve">, 2020), </w:t>
      </w:r>
      <w:proofErr w:type="spellStart"/>
      <w:r w:rsidR="00C76BC8" w:rsidRPr="00B070F1">
        <w:rPr>
          <w:rFonts w:ascii="Arial" w:hAnsi="Arial" w:cs="Arial"/>
          <w:i/>
          <w:iCs/>
          <w:sz w:val="20"/>
          <w:szCs w:val="20"/>
        </w:rPr>
        <w:t>Dendrocalamus</w:t>
      </w:r>
      <w:proofErr w:type="spellEnd"/>
      <w:r w:rsidR="00C76BC8" w:rsidRPr="00B070F1">
        <w:rPr>
          <w:rFonts w:ascii="Arial" w:hAnsi="Arial" w:cs="Arial"/>
          <w:i/>
          <w:iCs/>
          <w:sz w:val="20"/>
          <w:szCs w:val="20"/>
        </w:rPr>
        <w:t xml:space="preserve"> </w:t>
      </w:r>
      <w:proofErr w:type="spellStart"/>
      <w:r w:rsidR="00C76BC8" w:rsidRPr="00B070F1">
        <w:rPr>
          <w:rFonts w:ascii="Arial" w:hAnsi="Arial" w:cs="Arial"/>
          <w:i/>
          <w:iCs/>
          <w:sz w:val="20"/>
          <w:szCs w:val="20"/>
        </w:rPr>
        <w:t>strictus</w:t>
      </w:r>
      <w:proofErr w:type="spellEnd"/>
      <w:r w:rsidR="00C76BC8" w:rsidRPr="00C76BC8">
        <w:rPr>
          <w:rFonts w:ascii="Arial" w:hAnsi="Arial" w:cs="Arial"/>
          <w:sz w:val="20"/>
          <w:szCs w:val="20"/>
        </w:rPr>
        <w:t xml:space="preserve"> (Goyal </w:t>
      </w:r>
      <w:r w:rsidR="00C76BC8" w:rsidRPr="00B070F1">
        <w:rPr>
          <w:rFonts w:ascii="Arial" w:hAnsi="Arial" w:cs="Arial"/>
          <w:i/>
          <w:iCs/>
          <w:sz w:val="20"/>
          <w:szCs w:val="20"/>
        </w:rPr>
        <w:t>et al.</w:t>
      </w:r>
      <w:r w:rsidR="00C76BC8" w:rsidRPr="00C76BC8">
        <w:rPr>
          <w:rFonts w:ascii="Arial" w:hAnsi="Arial" w:cs="Arial"/>
          <w:sz w:val="20"/>
          <w:szCs w:val="20"/>
        </w:rPr>
        <w:t xml:space="preserve">, 2023), and </w:t>
      </w:r>
      <w:proofErr w:type="spellStart"/>
      <w:r w:rsidR="00C801AE" w:rsidRPr="00C801AE">
        <w:rPr>
          <w:rFonts w:ascii="Arial" w:hAnsi="Arial" w:cs="Arial"/>
          <w:i/>
          <w:iCs/>
          <w:sz w:val="20"/>
          <w:szCs w:val="20"/>
        </w:rPr>
        <w:t>Carica</w:t>
      </w:r>
      <w:proofErr w:type="spellEnd"/>
      <w:r w:rsidR="00C801AE" w:rsidRPr="00C801AE">
        <w:rPr>
          <w:rFonts w:ascii="Arial" w:hAnsi="Arial" w:cs="Arial"/>
          <w:i/>
          <w:iCs/>
          <w:sz w:val="20"/>
          <w:szCs w:val="20"/>
        </w:rPr>
        <w:t xml:space="preserve"> papaya </w:t>
      </w:r>
      <w:r w:rsidR="00C801AE" w:rsidRPr="00C801AE">
        <w:rPr>
          <w:rFonts w:ascii="Arial" w:hAnsi="Arial" w:cs="Arial"/>
          <w:sz w:val="20"/>
          <w:szCs w:val="20"/>
        </w:rPr>
        <w:t xml:space="preserve">(Vishal </w:t>
      </w:r>
      <w:r w:rsidR="00C801AE" w:rsidRPr="00C801AE">
        <w:rPr>
          <w:rFonts w:ascii="Arial" w:hAnsi="Arial" w:cs="Arial"/>
          <w:i/>
          <w:iCs/>
          <w:sz w:val="20"/>
          <w:szCs w:val="20"/>
        </w:rPr>
        <w:t>et al.</w:t>
      </w:r>
      <w:r w:rsidR="00C801AE" w:rsidRPr="00C801AE">
        <w:rPr>
          <w:rFonts w:ascii="Arial" w:hAnsi="Arial" w:cs="Arial"/>
          <w:sz w:val="20"/>
          <w:szCs w:val="20"/>
        </w:rPr>
        <w:t>, 2024).</w:t>
      </w:r>
      <w:r w:rsidR="00C801AE" w:rsidRPr="00C801AE">
        <w:rPr>
          <w:rFonts w:ascii="Arial" w:hAnsi="Arial" w:cs="Arial"/>
          <w:i/>
          <w:iCs/>
          <w:sz w:val="20"/>
          <w:szCs w:val="20"/>
        </w:rPr>
        <w:t xml:space="preserve"> </w:t>
      </w:r>
      <w:proofErr w:type="gramStart"/>
      <w:r w:rsidR="00C801AE" w:rsidRPr="00C801AE">
        <w:rPr>
          <w:rFonts w:ascii="Arial" w:hAnsi="Arial" w:cs="Arial"/>
          <w:sz w:val="20"/>
          <w:szCs w:val="20"/>
        </w:rPr>
        <w:t>Specifically</w:t>
      </w:r>
      <w:proofErr w:type="gramEnd"/>
      <w:r w:rsidR="00C801AE" w:rsidRPr="00C801AE">
        <w:rPr>
          <w:rFonts w:ascii="Arial" w:hAnsi="Arial" w:cs="Arial"/>
          <w:sz w:val="20"/>
          <w:szCs w:val="20"/>
        </w:rPr>
        <w:t xml:space="preserve"> for this genus, our results are in strong agreement with Sahoo </w:t>
      </w:r>
      <w:r w:rsidR="00C801AE" w:rsidRPr="00C801AE">
        <w:rPr>
          <w:rFonts w:ascii="Arial" w:hAnsi="Arial" w:cs="Arial"/>
          <w:i/>
          <w:iCs/>
          <w:sz w:val="20"/>
          <w:szCs w:val="20"/>
        </w:rPr>
        <w:t>et al.</w:t>
      </w:r>
      <w:r w:rsidR="00C801AE" w:rsidRPr="00C801AE">
        <w:rPr>
          <w:rFonts w:ascii="Arial" w:hAnsi="Arial" w:cs="Arial"/>
          <w:sz w:val="20"/>
          <w:szCs w:val="20"/>
        </w:rPr>
        <w:t xml:space="preserve"> (2023) and </w:t>
      </w:r>
      <w:proofErr w:type="spellStart"/>
      <w:r w:rsidR="00C801AE" w:rsidRPr="00C801AE">
        <w:rPr>
          <w:rFonts w:ascii="Arial" w:hAnsi="Arial" w:cs="Arial"/>
          <w:sz w:val="20"/>
          <w:szCs w:val="20"/>
        </w:rPr>
        <w:t>Nonthalee</w:t>
      </w:r>
      <w:proofErr w:type="spellEnd"/>
      <w:r w:rsidR="00C801AE" w:rsidRPr="00C801AE">
        <w:rPr>
          <w:rFonts w:ascii="Arial" w:hAnsi="Arial" w:cs="Arial"/>
          <w:sz w:val="20"/>
          <w:szCs w:val="20"/>
        </w:rPr>
        <w:t xml:space="preserve"> </w:t>
      </w:r>
      <w:r w:rsidR="00C801AE" w:rsidRPr="00C801AE">
        <w:rPr>
          <w:rFonts w:ascii="Arial" w:hAnsi="Arial" w:cs="Arial"/>
          <w:i/>
          <w:iCs/>
          <w:sz w:val="20"/>
          <w:szCs w:val="20"/>
        </w:rPr>
        <w:t>et al.</w:t>
      </w:r>
      <w:r w:rsidR="00C801AE" w:rsidRPr="00C801AE">
        <w:rPr>
          <w:rFonts w:ascii="Arial" w:hAnsi="Arial" w:cs="Arial"/>
          <w:sz w:val="20"/>
          <w:szCs w:val="20"/>
        </w:rPr>
        <w:t xml:space="preserve"> (2025), who demonstrated high genetic stability in </w:t>
      </w:r>
      <w:proofErr w:type="spellStart"/>
      <w:r w:rsidR="00C801AE" w:rsidRPr="006D16E1">
        <w:rPr>
          <w:rFonts w:ascii="Arial" w:hAnsi="Arial" w:cs="Arial"/>
          <w:i/>
          <w:iCs/>
          <w:sz w:val="20"/>
          <w:szCs w:val="20"/>
        </w:rPr>
        <w:t>Kaempferia</w:t>
      </w:r>
      <w:proofErr w:type="spellEnd"/>
      <w:r w:rsidR="00C801AE" w:rsidRPr="00C801AE">
        <w:rPr>
          <w:rFonts w:ascii="Arial" w:hAnsi="Arial" w:cs="Arial"/>
          <w:sz w:val="20"/>
          <w:szCs w:val="20"/>
        </w:rPr>
        <w:t xml:space="preserve"> and </w:t>
      </w:r>
      <w:proofErr w:type="spellStart"/>
      <w:r w:rsidR="00C801AE" w:rsidRPr="006D16E1">
        <w:rPr>
          <w:rFonts w:ascii="Arial" w:hAnsi="Arial" w:cs="Arial"/>
          <w:i/>
          <w:iCs/>
          <w:sz w:val="20"/>
          <w:szCs w:val="20"/>
        </w:rPr>
        <w:t>Alpinia</w:t>
      </w:r>
      <w:proofErr w:type="spellEnd"/>
      <w:r w:rsidR="00C801AE" w:rsidRPr="00C801AE">
        <w:rPr>
          <w:rFonts w:ascii="Arial" w:hAnsi="Arial" w:cs="Arial"/>
          <w:sz w:val="20"/>
          <w:szCs w:val="20"/>
        </w:rPr>
        <w:t xml:space="preserve"> species using similar markers</w:t>
      </w:r>
      <w:r w:rsidR="00C801AE" w:rsidRPr="00C801AE">
        <w:rPr>
          <w:rFonts w:ascii="Arial" w:hAnsi="Arial" w:cs="Arial"/>
          <w:i/>
          <w:iCs/>
          <w:sz w:val="20"/>
          <w:szCs w:val="20"/>
        </w:rPr>
        <w:t>.</w:t>
      </w:r>
      <w:r w:rsidR="00C801AE">
        <w:rPr>
          <w:rFonts w:ascii="Arial" w:hAnsi="Arial" w:cs="Arial"/>
          <w:sz w:val="20"/>
          <w:szCs w:val="20"/>
        </w:rPr>
        <w:t xml:space="preserve"> </w:t>
      </w:r>
      <w:r w:rsidR="0072258B" w:rsidRPr="0072258B">
        <w:rPr>
          <w:rFonts w:ascii="Arial" w:hAnsi="Arial" w:cs="Arial"/>
          <w:sz w:val="20"/>
          <w:szCs w:val="20"/>
        </w:rPr>
        <w:t>The confirmed genetic consistency suggests that this protocol is suitable for the commercial production of true-to-type elite clones and germplasm conservation.</w:t>
      </w:r>
    </w:p>
    <w:p w14:paraId="53785EEB" w14:textId="77777777" w:rsidR="00375094" w:rsidRDefault="00375094" w:rsidP="00B95D8E">
      <w:pPr>
        <w:pStyle w:val="NoSpacing"/>
        <w:spacing w:line="276" w:lineRule="auto"/>
        <w:jc w:val="both"/>
        <w:rPr>
          <w:rFonts w:ascii="Arial" w:hAnsi="Arial" w:cs="Arial"/>
          <w:sz w:val="24"/>
          <w:szCs w:val="24"/>
        </w:rPr>
      </w:pPr>
    </w:p>
    <w:p w14:paraId="3B5385BD" w14:textId="77777777" w:rsidR="003E0A01" w:rsidRPr="003E0A01" w:rsidRDefault="003E0A01" w:rsidP="003E0A01">
      <w:pPr>
        <w:pStyle w:val="NoSpacing"/>
        <w:spacing w:line="276" w:lineRule="auto"/>
        <w:jc w:val="both"/>
        <w:rPr>
          <w:rFonts w:ascii="Arial" w:hAnsi="Arial" w:cs="Arial"/>
          <w:b/>
          <w:bCs/>
          <w:sz w:val="20"/>
          <w:szCs w:val="20"/>
        </w:rPr>
      </w:pPr>
      <w:r w:rsidRPr="003E0A01">
        <w:rPr>
          <w:rFonts w:ascii="Arial" w:hAnsi="Arial" w:cs="Arial"/>
          <w:b/>
          <w:bCs/>
          <w:sz w:val="20"/>
          <w:szCs w:val="20"/>
        </w:rPr>
        <w:t>Table 1. Effects of different growth regulator combinations in MS medium on callus induction from rhizome buds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68"/>
        <w:gridCol w:w="1317"/>
        <w:gridCol w:w="1663"/>
        <w:gridCol w:w="2554"/>
        <w:gridCol w:w="1914"/>
      </w:tblGrid>
      <w:tr w:rsidR="003E0A01" w:rsidRPr="003E0A01" w14:paraId="7FAC614F" w14:textId="77777777" w:rsidTr="003E0A01">
        <w:trPr>
          <w:trHeight w:val="386"/>
          <w:jc w:val="center"/>
        </w:trPr>
        <w:tc>
          <w:tcPr>
            <w:tcW w:w="0" w:type="auto"/>
            <w:gridSpan w:val="3"/>
          </w:tcPr>
          <w:p w14:paraId="0E3E7868" w14:textId="77777777" w:rsidR="003E0A01" w:rsidRPr="003E0A01" w:rsidRDefault="003E0A01" w:rsidP="001A22C5">
            <w:pPr>
              <w:pStyle w:val="TableParagraph"/>
              <w:spacing w:before="29"/>
              <w:ind w:left="1127"/>
              <w:jc w:val="left"/>
              <w:rPr>
                <w:rFonts w:ascii="Arial" w:hAnsi="Arial" w:cs="Arial"/>
                <w:b/>
                <w:sz w:val="20"/>
                <w:szCs w:val="20"/>
              </w:rPr>
            </w:pPr>
            <w:r w:rsidRPr="003E0A01">
              <w:rPr>
                <w:rFonts w:ascii="Arial" w:hAnsi="Arial" w:cs="Arial"/>
                <w:b/>
                <w:sz w:val="20"/>
                <w:szCs w:val="20"/>
              </w:rPr>
              <w:t>Growth regulator (mgL</w:t>
            </w:r>
            <w:r w:rsidRPr="003E0A01">
              <w:rPr>
                <w:rFonts w:ascii="Arial" w:hAnsi="Arial" w:cs="Arial"/>
                <w:b/>
                <w:sz w:val="20"/>
                <w:szCs w:val="20"/>
                <w:vertAlign w:val="superscript"/>
              </w:rPr>
              <w:t>-1</w:t>
            </w:r>
            <w:r w:rsidRPr="003E0A01">
              <w:rPr>
                <w:rFonts w:ascii="Arial" w:hAnsi="Arial" w:cs="Arial"/>
                <w:b/>
                <w:sz w:val="20"/>
                <w:szCs w:val="20"/>
              </w:rPr>
              <w:t>)</w:t>
            </w:r>
          </w:p>
        </w:tc>
        <w:tc>
          <w:tcPr>
            <w:tcW w:w="0" w:type="auto"/>
            <w:vMerge w:val="restart"/>
          </w:tcPr>
          <w:p w14:paraId="0D9DF1F8" w14:textId="3E5D3CE6" w:rsidR="003E0A01" w:rsidRPr="003E0A01" w:rsidRDefault="003E0A01" w:rsidP="001A22C5">
            <w:pPr>
              <w:pStyle w:val="TableParagraph"/>
              <w:spacing w:before="180"/>
              <w:ind w:left="701" w:right="350" w:hanging="468"/>
              <w:jc w:val="left"/>
              <w:rPr>
                <w:rFonts w:ascii="Arial" w:hAnsi="Arial" w:cs="Arial"/>
                <w:b/>
                <w:sz w:val="20"/>
                <w:szCs w:val="20"/>
              </w:rPr>
            </w:pPr>
            <w:r w:rsidRPr="003E0A01">
              <w:rPr>
                <w:rFonts w:ascii="Arial" w:hAnsi="Arial" w:cs="Arial"/>
                <w:b/>
                <w:sz w:val="20"/>
                <w:szCs w:val="20"/>
              </w:rPr>
              <w:t xml:space="preserve">Percent of </w:t>
            </w:r>
            <w:r>
              <w:rPr>
                <w:rFonts w:ascii="Arial" w:hAnsi="Arial" w:cs="Arial"/>
                <w:b/>
                <w:sz w:val="20"/>
                <w:szCs w:val="20"/>
              </w:rPr>
              <w:t>c</w:t>
            </w:r>
            <w:r w:rsidRPr="003E0A01">
              <w:rPr>
                <w:rFonts w:ascii="Arial" w:hAnsi="Arial" w:cs="Arial"/>
                <w:b/>
                <w:sz w:val="20"/>
                <w:szCs w:val="20"/>
              </w:rPr>
              <w:t>allusing response</w:t>
            </w:r>
          </w:p>
        </w:tc>
        <w:tc>
          <w:tcPr>
            <w:tcW w:w="0" w:type="auto"/>
            <w:vMerge w:val="restart"/>
          </w:tcPr>
          <w:p w14:paraId="7F5875CE" w14:textId="77777777" w:rsidR="003E0A01" w:rsidRPr="003E0A01" w:rsidRDefault="003E0A01" w:rsidP="003E0A01">
            <w:pPr>
              <w:pStyle w:val="TableParagraph"/>
              <w:spacing w:before="180"/>
              <w:ind w:left="121" w:right="213" w:hanging="21"/>
              <w:rPr>
                <w:rFonts w:ascii="Arial" w:hAnsi="Arial" w:cs="Arial"/>
                <w:b/>
                <w:sz w:val="20"/>
                <w:szCs w:val="20"/>
              </w:rPr>
            </w:pPr>
            <w:r w:rsidRPr="003E0A01">
              <w:rPr>
                <w:rFonts w:ascii="Arial" w:hAnsi="Arial" w:cs="Arial"/>
                <w:b/>
                <w:sz w:val="20"/>
                <w:szCs w:val="20"/>
              </w:rPr>
              <w:t>Mean no. of shoots formed</w:t>
            </w:r>
          </w:p>
        </w:tc>
      </w:tr>
      <w:tr w:rsidR="003E0A01" w:rsidRPr="003E0A01" w14:paraId="45569B84" w14:textId="77777777" w:rsidTr="003E0A01">
        <w:trPr>
          <w:trHeight w:val="386"/>
          <w:jc w:val="center"/>
        </w:trPr>
        <w:tc>
          <w:tcPr>
            <w:tcW w:w="0" w:type="auto"/>
          </w:tcPr>
          <w:p w14:paraId="131E0F1C" w14:textId="77777777" w:rsidR="003E0A01" w:rsidRPr="003E0A01" w:rsidRDefault="003E0A01" w:rsidP="001A22C5">
            <w:pPr>
              <w:pStyle w:val="TableParagraph"/>
              <w:spacing w:before="29"/>
              <w:ind w:left="564" w:right="560"/>
              <w:rPr>
                <w:rFonts w:ascii="Arial" w:hAnsi="Arial" w:cs="Arial"/>
                <w:b/>
                <w:sz w:val="20"/>
                <w:szCs w:val="20"/>
              </w:rPr>
            </w:pPr>
            <w:r w:rsidRPr="003E0A01">
              <w:rPr>
                <w:rFonts w:ascii="Arial" w:hAnsi="Arial" w:cs="Arial"/>
                <w:b/>
                <w:sz w:val="20"/>
                <w:szCs w:val="20"/>
              </w:rPr>
              <w:t>NAA</w:t>
            </w:r>
          </w:p>
        </w:tc>
        <w:tc>
          <w:tcPr>
            <w:tcW w:w="0" w:type="auto"/>
          </w:tcPr>
          <w:p w14:paraId="03365EF2" w14:textId="77777777" w:rsidR="003E0A01" w:rsidRPr="003E0A01" w:rsidRDefault="003E0A01" w:rsidP="001A22C5">
            <w:pPr>
              <w:pStyle w:val="TableParagraph"/>
              <w:spacing w:before="29"/>
              <w:ind w:left="473" w:right="464"/>
              <w:rPr>
                <w:rFonts w:ascii="Arial" w:hAnsi="Arial" w:cs="Arial"/>
                <w:b/>
                <w:sz w:val="20"/>
                <w:szCs w:val="20"/>
              </w:rPr>
            </w:pPr>
            <w:r w:rsidRPr="003E0A01">
              <w:rPr>
                <w:rFonts w:ascii="Arial" w:hAnsi="Arial" w:cs="Arial"/>
                <w:b/>
                <w:sz w:val="20"/>
                <w:szCs w:val="20"/>
              </w:rPr>
              <w:t>2,4 – D</w:t>
            </w:r>
          </w:p>
        </w:tc>
        <w:tc>
          <w:tcPr>
            <w:tcW w:w="0" w:type="auto"/>
          </w:tcPr>
          <w:p w14:paraId="57E51F1D" w14:textId="77777777" w:rsidR="003E0A01" w:rsidRPr="003E0A01" w:rsidRDefault="003E0A01" w:rsidP="001A22C5">
            <w:pPr>
              <w:pStyle w:val="TableParagraph"/>
              <w:spacing w:before="29"/>
              <w:ind w:left="655" w:right="653"/>
              <w:rPr>
                <w:rFonts w:ascii="Arial" w:hAnsi="Arial" w:cs="Arial"/>
                <w:b/>
                <w:sz w:val="20"/>
                <w:szCs w:val="20"/>
              </w:rPr>
            </w:pPr>
            <w:r w:rsidRPr="003E0A01">
              <w:rPr>
                <w:rFonts w:ascii="Arial" w:hAnsi="Arial" w:cs="Arial"/>
                <w:b/>
                <w:sz w:val="20"/>
                <w:szCs w:val="20"/>
              </w:rPr>
              <w:t>IAA</w:t>
            </w:r>
          </w:p>
        </w:tc>
        <w:tc>
          <w:tcPr>
            <w:tcW w:w="0" w:type="auto"/>
            <w:vMerge/>
            <w:tcBorders>
              <w:top w:val="nil"/>
            </w:tcBorders>
          </w:tcPr>
          <w:p w14:paraId="0BE77408" w14:textId="77777777" w:rsidR="003E0A01" w:rsidRPr="003E0A01" w:rsidRDefault="003E0A01" w:rsidP="001A22C5">
            <w:pPr>
              <w:rPr>
                <w:rFonts w:ascii="Arial" w:hAnsi="Arial" w:cs="Arial"/>
                <w:sz w:val="20"/>
                <w:szCs w:val="20"/>
              </w:rPr>
            </w:pPr>
          </w:p>
        </w:tc>
        <w:tc>
          <w:tcPr>
            <w:tcW w:w="0" w:type="auto"/>
            <w:vMerge/>
            <w:tcBorders>
              <w:top w:val="nil"/>
            </w:tcBorders>
          </w:tcPr>
          <w:p w14:paraId="495B0EE1" w14:textId="77777777" w:rsidR="003E0A01" w:rsidRPr="003E0A01" w:rsidRDefault="003E0A01" w:rsidP="001A22C5">
            <w:pPr>
              <w:rPr>
                <w:rFonts w:ascii="Arial" w:hAnsi="Arial" w:cs="Arial"/>
                <w:sz w:val="20"/>
                <w:szCs w:val="20"/>
              </w:rPr>
            </w:pPr>
          </w:p>
        </w:tc>
      </w:tr>
      <w:tr w:rsidR="003E0A01" w:rsidRPr="003E0A01" w14:paraId="7148CCD4" w14:textId="77777777" w:rsidTr="003E0A01">
        <w:trPr>
          <w:trHeight w:val="386"/>
          <w:jc w:val="center"/>
        </w:trPr>
        <w:tc>
          <w:tcPr>
            <w:tcW w:w="0" w:type="auto"/>
          </w:tcPr>
          <w:p w14:paraId="2698DF43" w14:textId="77777777" w:rsidR="003E0A01" w:rsidRPr="003E0A01" w:rsidRDefault="003E0A01" w:rsidP="001A22C5">
            <w:pPr>
              <w:pStyle w:val="TableParagraph"/>
              <w:spacing w:before="24"/>
              <w:ind w:left="564" w:right="554"/>
              <w:rPr>
                <w:rFonts w:ascii="Arial" w:hAnsi="Arial" w:cs="Arial"/>
                <w:sz w:val="20"/>
                <w:szCs w:val="20"/>
              </w:rPr>
            </w:pPr>
            <w:r w:rsidRPr="003E0A01">
              <w:rPr>
                <w:rFonts w:ascii="Arial" w:hAnsi="Arial" w:cs="Arial"/>
                <w:sz w:val="20"/>
                <w:szCs w:val="20"/>
              </w:rPr>
              <w:t>0.5</w:t>
            </w:r>
          </w:p>
        </w:tc>
        <w:tc>
          <w:tcPr>
            <w:tcW w:w="0" w:type="auto"/>
          </w:tcPr>
          <w:p w14:paraId="51B9CBAE" w14:textId="77777777" w:rsidR="003E0A01" w:rsidRPr="003E0A01" w:rsidRDefault="003E0A01" w:rsidP="001A22C5">
            <w:pPr>
              <w:pStyle w:val="TableParagraph"/>
              <w:spacing w:before="24"/>
              <w:rPr>
                <w:rFonts w:ascii="Arial" w:hAnsi="Arial" w:cs="Arial"/>
                <w:sz w:val="20"/>
                <w:szCs w:val="20"/>
              </w:rPr>
            </w:pPr>
            <w:r w:rsidRPr="003E0A01">
              <w:rPr>
                <w:rFonts w:ascii="Arial" w:hAnsi="Arial" w:cs="Arial"/>
                <w:w w:val="99"/>
                <w:sz w:val="20"/>
                <w:szCs w:val="20"/>
              </w:rPr>
              <w:t>-</w:t>
            </w:r>
          </w:p>
        </w:tc>
        <w:tc>
          <w:tcPr>
            <w:tcW w:w="0" w:type="auto"/>
          </w:tcPr>
          <w:p w14:paraId="5FC7B0D8"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0AD8381F"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51.50±0.09e</w:t>
            </w:r>
          </w:p>
        </w:tc>
        <w:tc>
          <w:tcPr>
            <w:tcW w:w="0" w:type="auto"/>
            <w:vAlign w:val="bottom"/>
          </w:tcPr>
          <w:p w14:paraId="23EDB516" w14:textId="77777777" w:rsidR="003E0A01" w:rsidRPr="003E0A01" w:rsidRDefault="003E0A01" w:rsidP="001A22C5">
            <w:pPr>
              <w:pStyle w:val="TableParagraph"/>
              <w:spacing w:before="24"/>
              <w:ind w:left="15"/>
              <w:rPr>
                <w:rFonts w:ascii="Arial" w:hAnsi="Arial" w:cs="Arial"/>
                <w:sz w:val="20"/>
                <w:szCs w:val="20"/>
              </w:rPr>
            </w:pPr>
            <w:r w:rsidRPr="003E0A01">
              <w:rPr>
                <w:rFonts w:ascii="Arial" w:hAnsi="Arial" w:cs="Arial"/>
                <w:sz w:val="20"/>
                <w:szCs w:val="20"/>
              </w:rPr>
              <w:t>0.00e</w:t>
            </w:r>
          </w:p>
        </w:tc>
      </w:tr>
      <w:tr w:rsidR="003E0A01" w:rsidRPr="003E0A01" w14:paraId="551A7D1D" w14:textId="77777777" w:rsidTr="003E0A01">
        <w:trPr>
          <w:trHeight w:val="386"/>
          <w:jc w:val="center"/>
        </w:trPr>
        <w:tc>
          <w:tcPr>
            <w:tcW w:w="0" w:type="auto"/>
          </w:tcPr>
          <w:p w14:paraId="10E6D7EE" w14:textId="77777777" w:rsidR="003E0A01" w:rsidRPr="003E0A01" w:rsidRDefault="003E0A01" w:rsidP="001A22C5">
            <w:pPr>
              <w:pStyle w:val="TableParagraph"/>
              <w:spacing w:before="26"/>
              <w:ind w:left="564" w:right="554"/>
              <w:rPr>
                <w:rFonts w:ascii="Arial" w:hAnsi="Arial" w:cs="Arial"/>
                <w:sz w:val="20"/>
                <w:szCs w:val="20"/>
              </w:rPr>
            </w:pPr>
            <w:r w:rsidRPr="003E0A01">
              <w:rPr>
                <w:rFonts w:ascii="Arial" w:hAnsi="Arial" w:cs="Arial"/>
                <w:sz w:val="20"/>
                <w:szCs w:val="20"/>
              </w:rPr>
              <w:t>1.0</w:t>
            </w:r>
          </w:p>
        </w:tc>
        <w:tc>
          <w:tcPr>
            <w:tcW w:w="0" w:type="auto"/>
          </w:tcPr>
          <w:p w14:paraId="02F68322" w14:textId="77777777" w:rsidR="003E0A01" w:rsidRPr="003E0A01" w:rsidRDefault="003E0A01" w:rsidP="001A22C5">
            <w:pPr>
              <w:pStyle w:val="TableParagraph"/>
              <w:spacing w:before="26"/>
              <w:rPr>
                <w:rFonts w:ascii="Arial" w:hAnsi="Arial" w:cs="Arial"/>
                <w:sz w:val="20"/>
                <w:szCs w:val="20"/>
              </w:rPr>
            </w:pPr>
            <w:r w:rsidRPr="003E0A01">
              <w:rPr>
                <w:rFonts w:ascii="Arial" w:hAnsi="Arial" w:cs="Arial"/>
                <w:w w:val="99"/>
                <w:sz w:val="20"/>
                <w:szCs w:val="20"/>
              </w:rPr>
              <w:t>-</w:t>
            </w:r>
          </w:p>
        </w:tc>
        <w:tc>
          <w:tcPr>
            <w:tcW w:w="0" w:type="auto"/>
          </w:tcPr>
          <w:p w14:paraId="46114F45" w14:textId="77777777" w:rsidR="003E0A01" w:rsidRPr="003E0A01" w:rsidRDefault="003E0A01" w:rsidP="001A22C5">
            <w:pPr>
              <w:pStyle w:val="TableParagraph"/>
              <w:spacing w:before="26"/>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11AF272" w14:textId="77777777" w:rsidR="003E0A01" w:rsidRPr="003E0A01" w:rsidRDefault="003E0A01" w:rsidP="001A22C5">
            <w:pPr>
              <w:pStyle w:val="TableParagraph"/>
              <w:spacing w:before="26"/>
              <w:ind w:left="573" w:right="566"/>
              <w:rPr>
                <w:rFonts w:ascii="Arial" w:hAnsi="Arial" w:cs="Arial"/>
                <w:sz w:val="20"/>
                <w:szCs w:val="20"/>
              </w:rPr>
            </w:pPr>
            <w:r w:rsidRPr="003E0A01">
              <w:rPr>
                <w:rFonts w:ascii="Arial" w:hAnsi="Arial" w:cs="Arial"/>
                <w:sz w:val="20"/>
                <w:szCs w:val="20"/>
              </w:rPr>
              <w:t>56.23±0.12e</w:t>
            </w:r>
          </w:p>
        </w:tc>
        <w:tc>
          <w:tcPr>
            <w:tcW w:w="0" w:type="auto"/>
            <w:vAlign w:val="bottom"/>
          </w:tcPr>
          <w:p w14:paraId="21D3CADE" w14:textId="77777777" w:rsidR="003E0A01" w:rsidRPr="003E0A01" w:rsidRDefault="003E0A01" w:rsidP="001A22C5">
            <w:pPr>
              <w:pStyle w:val="TableParagraph"/>
              <w:spacing w:before="26"/>
              <w:ind w:left="0" w:right="530"/>
              <w:jc w:val="right"/>
              <w:rPr>
                <w:rFonts w:ascii="Arial" w:hAnsi="Arial" w:cs="Arial"/>
                <w:sz w:val="20"/>
                <w:szCs w:val="20"/>
              </w:rPr>
            </w:pPr>
            <w:r w:rsidRPr="003E0A01">
              <w:rPr>
                <w:rFonts w:ascii="Arial" w:hAnsi="Arial" w:cs="Arial"/>
                <w:sz w:val="20"/>
                <w:szCs w:val="20"/>
              </w:rPr>
              <w:t>1.09±0.19d</w:t>
            </w:r>
          </w:p>
        </w:tc>
      </w:tr>
      <w:tr w:rsidR="003E0A01" w:rsidRPr="003E0A01" w14:paraId="3E1A5D81" w14:textId="77777777" w:rsidTr="003E0A01">
        <w:trPr>
          <w:trHeight w:val="401"/>
          <w:jc w:val="center"/>
        </w:trPr>
        <w:tc>
          <w:tcPr>
            <w:tcW w:w="0" w:type="auto"/>
          </w:tcPr>
          <w:p w14:paraId="743EB2E6" w14:textId="77777777" w:rsidR="003E0A01" w:rsidRPr="003E0A01" w:rsidRDefault="003E0A01" w:rsidP="001A22C5">
            <w:pPr>
              <w:pStyle w:val="TableParagraph"/>
              <w:spacing w:before="34"/>
              <w:ind w:left="564" w:right="554"/>
              <w:rPr>
                <w:rFonts w:ascii="Arial" w:hAnsi="Arial" w:cs="Arial"/>
                <w:sz w:val="20"/>
                <w:szCs w:val="20"/>
              </w:rPr>
            </w:pPr>
            <w:r w:rsidRPr="003E0A01">
              <w:rPr>
                <w:rFonts w:ascii="Arial" w:hAnsi="Arial" w:cs="Arial"/>
                <w:sz w:val="20"/>
                <w:szCs w:val="20"/>
              </w:rPr>
              <w:t>1.5</w:t>
            </w:r>
          </w:p>
        </w:tc>
        <w:tc>
          <w:tcPr>
            <w:tcW w:w="0" w:type="auto"/>
          </w:tcPr>
          <w:p w14:paraId="24621AF1" w14:textId="77777777" w:rsidR="003E0A01" w:rsidRPr="003E0A01" w:rsidRDefault="003E0A01" w:rsidP="001A22C5">
            <w:pPr>
              <w:pStyle w:val="TableParagraph"/>
              <w:spacing w:before="34"/>
              <w:rPr>
                <w:rFonts w:ascii="Arial" w:hAnsi="Arial" w:cs="Arial"/>
                <w:sz w:val="20"/>
                <w:szCs w:val="20"/>
              </w:rPr>
            </w:pPr>
            <w:r w:rsidRPr="003E0A01">
              <w:rPr>
                <w:rFonts w:ascii="Arial" w:hAnsi="Arial" w:cs="Arial"/>
                <w:w w:val="99"/>
                <w:sz w:val="20"/>
                <w:szCs w:val="20"/>
              </w:rPr>
              <w:t>-</w:t>
            </w:r>
          </w:p>
        </w:tc>
        <w:tc>
          <w:tcPr>
            <w:tcW w:w="0" w:type="auto"/>
          </w:tcPr>
          <w:p w14:paraId="62B04CEA" w14:textId="77777777" w:rsidR="003E0A01" w:rsidRPr="003E0A01" w:rsidRDefault="003E0A01" w:rsidP="001A22C5">
            <w:pPr>
              <w:pStyle w:val="TableParagraph"/>
              <w:spacing w:before="3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083A425" w14:textId="77777777" w:rsidR="003E0A01" w:rsidRPr="003E0A01" w:rsidRDefault="003E0A01" w:rsidP="001A22C5">
            <w:pPr>
              <w:pStyle w:val="TableParagraph"/>
              <w:spacing w:before="34"/>
              <w:ind w:left="574" w:right="566"/>
              <w:rPr>
                <w:rFonts w:ascii="Arial" w:hAnsi="Arial" w:cs="Arial"/>
                <w:sz w:val="20"/>
                <w:szCs w:val="20"/>
              </w:rPr>
            </w:pPr>
            <w:r w:rsidRPr="003E0A01">
              <w:rPr>
                <w:rFonts w:ascii="Arial" w:hAnsi="Arial" w:cs="Arial"/>
                <w:sz w:val="20"/>
                <w:szCs w:val="20"/>
              </w:rPr>
              <w:t>69.13±0.05d</w:t>
            </w:r>
          </w:p>
        </w:tc>
        <w:tc>
          <w:tcPr>
            <w:tcW w:w="0" w:type="auto"/>
            <w:vAlign w:val="bottom"/>
          </w:tcPr>
          <w:p w14:paraId="753CF1EF" w14:textId="77777777" w:rsidR="003E0A01" w:rsidRPr="003E0A01" w:rsidRDefault="003E0A01" w:rsidP="001A22C5">
            <w:pPr>
              <w:pStyle w:val="TableParagraph"/>
              <w:spacing w:before="34"/>
              <w:ind w:left="0" w:right="530"/>
              <w:jc w:val="right"/>
              <w:rPr>
                <w:rFonts w:ascii="Arial" w:hAnsi="Arial" w:cs="Arial"/>
                <w:sz w:val="20"/>
                <w:szCs w:val="20"/>
              </w:rPr>
            </w:pPr>
            <w:r w:rsidRPr="003E0A01">
              <w:rPr>
                <w:rFonts w:ascii="Arial" w:hAnsi="Arial" w:cs="Arial"/>
                <w:sz w:val="20"/>
                <w:szCs w:val="20"/>
              </w:rPr>
              <w:t>3.14±0.21b</w:t>
            </w:r>
          </w:p>
        </w:tc>
      </w:tr>
      <w:tr w:rsidR="003E0A01" w:rsidRPr="003E0A01" w14:paraId="38DDA5D9" w14:textId="77777777" w:rsidTr="003E0A01">
        <w:trPr>
          <w:trHeight w:val="386"/>
          <w:jc w:val="center"/>
        </w:trPr>
        <w:tc>
          <w:tcPr>
            <w:tcW w:w="0" w:type="auto"/>
          </w:tcPr>
          <w:p w14:paraId="1481E520" w14:textId="77777777" w:rsidR="003E0A01" w:rsidRPr="003E0A01" w:rsidRDefault="003E0A01" w:rsidP="001A22C5">
            <w:pPr>
              <w:pStyle w:val="TableParagraph"/>
              <w:spacing w:before="24"/>
              <w:ind w:left="564" w:right="554"/>
              <w:rPr>
                <w:rFonts w:ascii="Arial" w:hAnsi="Arial" w:cs="Arial"/>
                <w:sz w:val="20"/>
                <w:szCs w:val="20"/>
              </w:rPr>
            </w:pPr>
            <w:r w:rsidRPr="003E0A01">
              <w:rPr>
                <w:rFonts w:ascii="Arial" w:hAnsi="Arial" w:cs="Arial"/>
                <w:sz w:val="20"/>
                <w:szCs w:val="20"/>
              </w:rPr>
              <w:t>2.0</w:t>
            </w:r>
          </w:p>
        </w:tc>
        <w:tc>
          <w:tcPr>
            <w:tcW w:w="0" w:type="auto"/>
          </w:tcPr>
          <w:p w14:paraId="563FA622" w14:textId="77777777" w:rsidR="003E0A01" w:rsidRPr="003E0A01" w:rsidRDefault="003E0A01" w:rsidP="001A22C5">
            <w:pPr>
              <w:pStyle w:val="TableParagraph"/>
              <w:spacing w:before="24"/>
              <w:rPr>
                <w:rFonts w:ascii="Arial" w:hAnsi="Arial" w:cs="Arial"/>
                <w:sz w:val="20"/>
                <w:szCs w:val="20"/>
              </w:rPr>
            </w:pPr>
            <w:r w:rsidRPr="003E0A01">
              <w:rPr>
                <w:rFonts w:ascii="Arial" w:hAnsi="Arial" w:cs="Arial"/>
                <w:w w:val="99"/>
                <w:sz w:val="20"/>
                <w:szCs w:val="20"/>
              </w:rPr>
              <w:t>-</w:t>
            </w:r>
          </w:p>
        </w:tc>
        <w:tc>
          <w:tcPr>
            <w:tcW w:w="0" w:type="auto"/>
          </w:tcPr>
          <w:p w14:paraId="62D55851"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DA9FFD5" w14:textId="77777777" w:rsidR="003E0A01" w:rsidRPr="003E0A01" w:rsidRDefault="003E0A01" w:rsidP="001A22C5">
            <w:pPr>
              <w:pStyle w:val="TableParagraph"/>
              <w:spacing w:before="24"/>
              <w:ind w:left="568" w:right="566"/>
              <w:rPr>
                <w:rFonts w:ascii="Arial" w:hAnsi="Arial" w:cs="Arial"/>
                <w:sz w:val="20"/>
                <w:szCs w:val="20"/>
              </w:rPr>
            </w:pPr>
            <w:r w:rsidRPr="003E0A01">
              <w:rPr>
                <w:rFonts w:ascii="Arial" w:hAnsi="Arial" w:cs="Arial"/>
                <w:sz w:val="20"/>
                <w:szCs w:val="20"/>
              </w:rPr>
              <w:t>87.00±0.10a</w:t>
            </w:r>
          </w:p>
        </w:tc>
        <w:tc>
          <w:tcPr>
            <w:tcW w:w="0" w:type="auto"/>
            <w:vAlign w:val="bottom"/>
          </w:tcPr>
          <w:p w14:paraId="6DC85123" w14:textId="77777777" w:rsidR="003E0A01" w:rsidRPr="003E0A01" w:rsidRDefault="003E0A01" w:rsidP="001A22C5">
            <w:pPr>
              <w:pStyle w:val="TableParagraph"/>
              <w:spacing w:before="24"/>
              <w:ind w:left="0" w:right="585"/>
              <w:jc w:val="right"/>
              <w:rPr>
                <w:rFonts w:ascii="Arial" w:hAnsi="Arial" w:cs="Arial"/>
                <w:sz w:val="20"/>
                <w:szCs w:val="20"/>
              </w:rPr>
            </w:pPr>
            <w:r w:rsidRPr="003E0A01">
              <w:rPr>
                <w:rFonts w:ascii="Arial" w:hAnsi="Arial" w:cs="Arial"/>
                <w:sz w:val="20"/>
                <w:szCs w:val="20"/>
              </w:rPr>
              <w:t>7.50±0.16a</w:t>
            </w:r>
          </w:p>
        </w:tc>
      </w:tr>
      <w:tr w:rsidR="003E0A01" w:rsidRPr="003E0A01" w14:paraId="097A7B80" w14:textId="77777777" w:rsidTr="003E0A01">
        <w:trPr>
          <w:trHeight w:val="399"/>
          <w:jc w:val="center"/>
        </w:trPr>
        <w:tc>
          <w:tcPr>
            <w:tcW w:w="0" w:type="auto"/>
          </w:tcPr>
          <w:p w14:paraId="2A3052AB" w14:textId="77777777" w:rsidR="003E0A01" w:rsidRPr="003E0A01" w:rsidRDefault="003E0A01" w:rsidP="001A22C5">
            <w:pPr>
              <w:pStyle w:val="TableParagraph"/>
              <w:spacing w:before="31"/>
              <w:ind w:left="564" w:right="554"/>
              <w:rPr>
                <w:rFonts w:ascii="Arial" w:hAnsi="Arial" w:cs="Arial"/>
                <w:sz w:val="20"/>
                <w:szCs w:val="20"/>
              </w:rPr>
            </w:pPr>
            <w:r w:rsidRPr="003E0A01">
              <w:rPr>
                <w:rFonts w:ascii="Arial" w:hAnsi="Arial" w:cs="Arial"/>
                <w:sz w:val="20"/>
                <w:szCs w:val="20"/>
              </w:rPr>
              <w:t>2.5</w:t>
            </w:r>
          </w:p>
        </w:tc>
        <w:tc>
          <w:tcPr>
            <w:tcW w:w="0" w:type="auto"/>
          </w:tcPr>
          <w:p w14:paraId="1AE045FC" w14:textId="77777777" w:rsidR="003E0A01" w:rsidRPr="003E0A01" w:rsidRDefault="003E0A01" w:rsidP="001A22C5">
            <w:pPr>
              <w:pStyle w:val="TableParagraph"/>
              <w:spacing w:before="31"/>
              <w:rPr>
                <w:rFonts w:ascii="Arial" w:hAnsi="Arial" w:cs="Arial"/>
                <w:sz w:val="20"/>
                <w:szCs w:val="20"/>
              </w:rPr>
            </w:pPr>
            <w:r w:rsidRPr="003E0A01">
              <w:rPr>
                <w:rFonts w:ascii="Arial" w:hAnsi="Arial" w:cs="Arial"/>
                <w:w w:val="99"/>
                <w:sz w:val="20"/>
                <w:szCs w:val="20"/>
              </w:rPr>
              <w:t>-</w:t>
            </w:r>
          </w:p>
        </w:tc>
        <w:tc>
          <w:tcPr>
            <w:tcW w:w="0" w:type="auto"/>
          </w:tcPr>
          <w:p w14:paraId="28E9A28D" w14:textId="77777777" w:rsidR="003E0A01" w:rsidRPr="003E0A01" w:rsidRDefault="003E0A01" w:rsidP="001A22C5">
            <w:pPr>
              <w:pStyle w:val="TableParagraph"/>
              <w:spacing w:before="31"/>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60DB212" w14:textId="77777777" w:rsidR="003E0A01" w:rsidRPr="003E0A01" w:rsidRDefault="003E0A01" w:rsidP="001A22C5">
            <w:pPr>
              <w:pStyle w:val="TableParagraph"/>
              <w:spacing w:before="31"/>
              <w:ind w:left="573" w:right="566"/>
              <w:rPr>
                <w:rFonts w:ascii="Arial" w:hAnsi="Arial" w:cs="Arial"/>
                <w:sz w:val="20"/>
                <w:szCs w:val="20"/>
              </w:rPr>
            </w:pPr>
            <w:r w:rsidRPr="003E0A01">
              <w:rPr>
                <w:rFonts w:ascii="Arial" w:hAnsi="Arial" w:cs="Arial"/>
                <w:sz w:val="20"/>
                <w:szCs w:val="20"/>
              </w:rPr>
              <w:t>60.45±0.24d</w:t>
            </w:r>
          </w:p>
        </w:tc>
        <w:tc>
          <w:tcPr>
            <w:tcW w:w="0" w:type="auto"/>
            <w:vAlign w:val="bottom"/>
          </w:tcPr>
          <w:p w14:paraId="767534E0" w14:textId="77777777" w:rsidR="003E0A01" w:rsidRPr="003E0A01" w:rsidRDefault="003E0A01" w:rsidP="001A22C5">
            <w:pPr>
              <w:pStyle w:val="TableParagraph"/>
              <w:spacing w:before="31"/>
              <w:ind w:left="15"/>
              <w:rPr>
                <w:rFonts w:ascii="Arial" w:hAnsi="Arial" w:cs="Arial"/>
                <w:sz w:val="20"/>
                <w:szCs w:val="20"/>
              </w:rPr>
            </w:pPr>
            <w:r w:rsidRPr="003E0A01">
              <w:rPr>
                <w:rFonts w:ascii="Arial" w:hAnsi="Arial" w:cs="Arial"/>
                <w:sz w:val="20"/>
                <w:szCs w:val="20"/>
              </w:rPr>
              <w:t>0.00e</w:t>
            </w:r>
          </w:p>
        </w:tc>
      </w:tr>
      <w:tr w:rsidR="003E0A01" w:rsidRPr="003E0A01" w14:paraId="2A6895B7" w14:textId="77777777" w:rsidTr="003E0A01">
        <w:trPr>
          <w:trHeight w:val="401"/>
          <w:jc w:val="center"/>
        </w:trPr>
        <w:tc>
          <w:tcPr>
            <w:tcW w:w="0" w:type="auto"/>
          </w:tcPr>
          <w:p w14:paraId="3AE0965F"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54F58F2E" w14:textId="77777777" w:rsidR="003E0A01" w:rsidRPr="003E0A01" w:rsidRDefault="003E0A01" w:rsidP="001A22C5">
            <w:pPr>
              <w:pStyle w:val="TableParagraph"/>
              <w:spacing w:before="34"/>
              <w:ind w:left="471" w:right="464"/>
              <w:rPr>
                <w:rFonts w:ascii="Arial" w:hAnsi="Arial" w:cs="Arial"/>
                <w:sz w:val="20"/>
                <w:szCs w:val="20"/>
              </w:rPr>
            </w:pPr>
            <w:r w:rsidRPr="003E0A01">
              <w:rPr>
                <w:rFonts w:ascii="Arial" w:hAnsi="Arial" w:cs="Arial"/>
                <w:sz w:val="20"/>
                <w:szCs w:val="20"/>
              </w:rPr>
              <w:t>0.5</w:t>
            </w:r>
          </w:p>
        </w:tc>
        <w:tc>
          <w:tcPr>
            <w:tcW w:w="0" w:type="auto"/>
          </w:tcPr>
          <w:p w14:paraId="6B82BB4A" w14:textId="77777777" w:rsidR="003E0A01" w:rsidRPr="003E0A01" w:rsidRDefault="003E0A01" w:rsidP="001A22C5">
            <w:pPr>
              <w:pStyle w:val="TableParagraph"/>
              <w:spacing w:before="3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1157EF16" w14:textId="77777777" w:rsidR="003E0A01" w:rsidRPr="003E0A01" w:rsidRDefault="003E0A01" w:rsidP="001A22C5">
            <w:pPr>
              <w:pStyle w:val="TableParagraph"/>
              <w:spacing w:before="34"/>
              <w:ind w:left="571" w:right="566"/>
              <w:rPr>
                <w:rFonts w:ascii="Arial" w:hAnsi="Arial" w:cs="Arial"/>
                <w:sz w:val="20"/>
                <w:szCs w:val="20"/>
              </w:rPr>
            </w:pPr>
            <w:r w:rsidRPr="003E0A01">
              <w:rPr>
                <w:rFonts w:ascii="Arial" w:hAnsi="Arial" w:cs="Arial"/>
                <w:sz w:val="20"/>
                <w:szCs w:val="20"/>
              </w:rPr>
              <w:t>62.27±0.18d</w:t>
            </w:r>
          </w:p>
        </w:tc>
        <w:tc>
          <w:tcPr>
            <w:tcW w:w="0" w:type="auto"/>
            <w:vAlign w:val="bottom"/>
          </w:tcPr>
          <w:p w14:paraId="757BD35D"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r w:rsidR="003E0A01" w:rsidRPr="003E0A01" w14:paraId="3C941A24" w14:textId="77777777" w:rsidTr="003E0A01">
        <w:trPr>
          <w:trHeight w:val="386"/>
          <w:jc w:val="center"/>
        </w:trPr>
        <w:tc>
          <w:tcPr>
            <w:tcW w:w="0" w:type="auto"/>
          </w:tcPr>
          <w:p w14:paraId="09445BEF" w14:textId="77777777" w:rsidR="003E0A01" w:rsidRPr="003E0A01" w:rsidRDefault="003E0A01" w:rsidP="001A22C5">
            <w:pPr>
              <w:pStyle w:val="TableParagraph"/>
              <w:spacing w:before="24"/>
              <w:ind w:left="8"/>
              <w:rPr>
                <w:rFonts w:ascii="Arial" w:hAnsi="Arial" w:cs="Arial"/>
                <w:sz w:val="20"/>
                <w:szCs w:val="20"/>
              </w:rPr>
            </w:pPr>
            <w:r w:rsidRPr="003E0A01">
              <w:rPr>
                <w:rFonts w:ascii="Arial" w:hAnsi="Arial" w:cs="Arial"/>
                <w:w w:val="99"/>
                <w:sz w:val="20"/>
                <w:szCs w:val="20"/>
              </w:rPr>
              <w:t>-</w:t>
            </w:r>
          </w:p>
        </w:tc>
        <w:tc>
          <w:tcPr>
            <w:tcW w:w="0" w:type="auto"/>
          </w:tcPr>
          <w:p w14:paraId="1E879A1F" w14:textId="77777777" w:rsidR="003E0A01" w:rsidRPr="003E0A01" w:rsidRDefault="003E0A01" w:rsidP="001A22C5">
            <w:pPr>
              <w:pStyle w:val="TableParagraph"/>
              <w:spacing w:before="24"/>
              <w:ind w:left="471" w:right="464"/>
              <w:rPr>
                <w:rFonts w:ascii="Arial" w:hAnsi="Arial" w:cs="Arial"/>
                <w:sz w:val="20"/>
                <w:szCs w:val="20"/>
              </w:rPr>
            </w:pPr>
            <w:r w:rsidRPr="003E0A01">
              <w:rPr>
                <w:rFonts w:ascii="Arial" w:hAnsi="Arial" w:cs="Arial"/>
                <w:sz w:val="20"/>
                <w:szCs w:val="20"/>
              </w:rPr>
              <w:t>1.0</w:t>
            </w:r>
          </w:p>
        </w:tc>
        <w:tc>
          <w:tcPr>
            <w:tcW w:w="0" w:type="auto"/>
          </w:tcPr>
          <w:p w14:paraId="533056E0"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0081B163"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80.19±0.08b</w:t>
            </w:r>
          </w:p>
        </w:tc>
        <w:tc>
          <w:tcPr>
            <w:tcW w:w="0" w:type="auto"/>
            <w:vAlign w:val="bottom"/>
          </w:tcPr>
          <w:p w14:paraId="0A7EC68F" w14:textId="77777777" w:rsidR="003E0A01" w:rsidRPr="003E0A01" w:rsidRDefault="003E0A01" w:rsidP="001A22C5">
            <w:pPr>
              <w:pStyle w:val="TableParagraph"/>
              <w:spacing w:before="24"/>
              <w:ind w:left="0" w:right="530"/>
              <w:jc w:val="right"/>
              <w:rPr>
                <w:rFonts w:ascii="Arial" w:hAnsi="Arial" w:cs="Arial"/>
                <w:sz w:val="20"/>
                <w:szCs w:val="20"/>
              </w:rPr>
            </w:pPr>
            <w:r w:rsidRPr="003E0A01">
              <w:rPr>
                <w:rFonts w:ascii="Arial" w:hAnsi="Arial" w:cs="Arial"/>
                <w:sz w:val="20"/>
                <w:szCs w:val="20"/>
              </w:rPr>
              <w:t>2.21±0.05c</w:t>
            </w:r>
          </w:p>
        </w:tc>
      </w:tr>
      <w:tr w:rsidR="003E0A01" w:rsidRPr="003E0A01" w14:paraId="5DF4438F" w14:textId="77777777" w:rsidTr="003E0A01">
        <w:trPr>
          <w:trHeight w:val="398"/>
          <w:jc w:val="center"/>
        </w:trPr>
        <w:tc>
          <w:tcPr>
            <w:tcW w:w="0" w:type="auto"/>
          </w:tcPr>
          <w:p w14:paraId="18BBB348" w14:textId="77777777" w:rsidR="003E0A01" w:rsidRPr="003E0A01" w:rsidRDefault="003E0A01" w:rsidP="001A22C5">
            <w:pPr>
              <w:pStyle w:val="TableParagraph"/>
              <w:spacing w:before="31"/>
              <w:ind w:left="8"/>
              <w:rPr>
                <w:rFonts w:ascii="Arial" w:hAnsi="Arial" w:cs="Arial"/>
                <w:sz w:val="20"/>
                <w:szCs w:val="20"/>
              </w:rPr>
            </w:pPr>
            <w:r w:rsidRPr="003E0A01">
              <w:rPr>
                <w:rFonts w:ascii="Arial" w:hAnsi="Arial" w:cs="Arial"/>
                <w:w w:val="99"/>
                <w:sz w:val="20"/>
                <w:szCs w:val="20"/>
              </w:rPr>
              <w:t>-</w:t>
            </w:r>
          </w:p>
        </w:tc>
        <w:tc>
          <w:tcPr>
            <w:tcW w:w="0" w:type="auto"/>
          </w:tcPr>
          <w:p w14:paraId="73D98501" w14:textId="77777777" w:rsidR="003E0A01" w:rsidRPr="003E0A01" w:rsidRDefault="003E0A01" w:rsidP="001A22C5">
            <w:pPr>
              <w:pStyle w:val="TableParagraph"/>
              <w:spacing w:before="31"/>
              <w:ind w:left="471" w:right="464"/>
              <w:rPr>
                <w:rFonts w:ascii="Arial" w:hAnsi="Arial" w:cs="Arial"/>
                <w:sz w:val="20"/>
                <w:szCs w:val="20"/>
              </w:rPr>
            </w:pPr>
            <w:r w:rsidRPr="003E0A01">
              <w:rPr>
                <w:rFonts w:ascii="Arial" w:hAnsi="Arial" w:cs="Arial"/>
                <w:sz w:val="20"/>
                <w:szCs w:val="20"/>
              </w:rPr>
              <w:t>1.5</w:t>
            </w:r>
          </w:p>
        </w:tc>
        <w:tc>
          <w:tcPr>
            <w:tcW w:w="0" w:type="auto"/>
          </w:tcPr>
          <w:p w14:paraId="7AD06BE0" w14:textId="77777777" w:rsidR="003E0A01" w:rsidRPr="003E0A01" w:rsidRDefault="003E0A01" w:rsidP="001A22C5">
            <w:pPr>
              <w:pStyle w:val="TableParagraph"/>
              <w:spacing w:before="31"/>
              <w:ind w:left="7"/>
              <w:rPr>
                <w:rFonts w:ascii="Arial" w:hAnsi="Arial" w:cs="Arial"/>
                <w:sz w:val="20"/>
                <w:szCs w:val="20"/>
              </w:rPr>
            </w:pPr>
            <w:r w:rsidRPr="003E0A01">
              <w:rPr>
                <w:rFonts w:ascii="Arial" w:hAnsi="Arial" w:cs="Arial"/>
                <w:w w:val="99"/>
                <w:sz w:val="20"/>
                <w:szCs w:val="20"/>
              </w:rPr>
              <w:t>-</w:t>
            </w:r>
          </w:p>
        </w:tc>
        <w:tc>
          <w:tcPr>
            <w:tcW w:w="0" w:type="auto"/>
            <w:vAlign w:val="bottom"/>
          </w:tcPr>
          <w:p w14:paraId="28C75B99" w14:textId="77777777" w:rsidR="003E0A01" w:rsidRPr="003E0A01" w:rsidRDefault="003E0A01" w:rsidP="001A22C5">
            <w:pPr>
              <w:pStyle w:val="TableParagraph"/>
              <w:spacing w:before="31"/>
              <w:ind w:left="573" w:right="566"/>
              <w:rPr>
                <w:rFonts w:ascii="Arial" w:hAnsi="Arial" w:cs="Arial"/>
                <w:sz w:val="20"/>
                <w:szCs w:val="20"/>
              </w:rPr>
            </w:pPr>
            <w:r w:rsidRPr="003E0A01">
              <w:rPr>
                <w:rFonts w:ascii="Arial" w:hAnsi="Arial" w:cs="Arial"/>
                <w:sz w:val="20"/>
                <w:szCs w:val="20"/>
              </w:rPr>
              <w:t>73.33±0.13c</w:t>
            </w:r>
          </w:p>
        </w:tc>
        <w:tc>
          <w:tcPr>
            <w:tcW w:w="0" w:type="auto"/>
            <w:vAlign w:val="bottom"/>
          </w:tcPr>
          <w:p w14:paraId="0311D3BA" w14:textId="77777777" w:rsidR="003E0A01" w:rsidRPr="003E0A01" w:rsidRDefault="003E0A01" w:rsidP="001A22C5">
            <w:pPr>
              <w:pStyle w:val="TableParagraph"/>
              <w:spacing w:before="31"/>
              <w:ind w:left="0" w:right="530"/>
              <w:jc w:val="right"/>
              <w:rPr>
                <w:rFonts w:ascii="Arial" w:hAnsi="Arial" w:cs="Arial"/>
                <w:sz w:val="20"/>
                <w:szCs w:val="20"/>
              </w:rPr>
            </w:pPr>
            <w:r w:rsidRPr="003E0A01">
              <w:rPr>
                <w:rFonts w:ascii="Arial" w:hAnsi="Arial" w:cs="Arial"/>
                <w:sz w:val="20"/>
                <w:szCs w:val="20"/>
              </w:rPr>
              <w:t>1.27±0.13d</w:t>
            </w:r>
          </w:p>
        </w:tc>
      </w:tr>
      <w:tr w:rsidR="003E0A01" w:rsidRPr="003E0A01" w14:paraId="058C5D86" w14:textId="77777777" w:rsidTr="003E0A01">
        <w:trPr>
          <w:trHeight w:val="401"/>
          <w:jc w:val="center"/>
        </w:trPr>
        <w:tc>
          <w:tcPr>
            <w:tcW w:w="0" w:type="auto"/>
          </w:tcPr>
          <w:p w14:paraId="7ED0BF9B"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29539B6A" w14:textId="77777777" w:rsidR="003E0A01" w:rsidRPr="003E0A01" w:rsidRDefault="003E0A01" w:rsidP="001A22C5">
            <w:pPr>
              <w:pStyle w:val="TableParagraph"/>
              <w:spacing w:before="34"/>
              <w:ind w:left="471" w:right="464"/>
              <w:rPr>
                <w:rFonts w:ascii="Arial" w:hAnsi="Arial" w:cs="Arial"/>
                <w:sz w:val="20"/>
                <w:szCs w:val="20"/>
              </w:rPr>
            </w:pPr>
            <w:r w:rsidRPr="003E0A01">
              <w:rPr>
                <w:rFonts w:ascii="Arial" w:hAnsi="Arial" w:cs="Arial"/>
                <w:sz w:val="20"/>
                <w:szCs w:val="20"/>
              </w:rPr>
              <w:t>2.0</w:t>
            </w:r>
          </w:p>
        </w:tc>
        <w:tc>
          <w:tcPr>
            <w:tcW w:w="0" w:type="auto"/>
          </w:tcPr>
          <w:p w14:paraId="077DFFF6" w14:textId="77777777" w:rsidR="003E0A01" w:rsidRPr="003E0A01" w:rsidRDefault="003E0A01" w:rsidP="001A22C5">
            <w:pPr>
              <w:pStyle w:val="TableParagraph"/>
              <w:spacing w:before="3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07D13AAA" w14:textId="77777777" w:rsidR="003E0A01" w:rsidRPr="003E0A01" w:rsidRDefault="003E0A01" w:rsidP="001A22C5">
            <w:pPr>
              <w:pStyle w:val="TableParagraph"/>
              <w:spacing w:before="34"/>
              <w:ind w:left="573" w:right="566"/>
              <w:rPr>
                <w:rFonts w:ascii="Arial" w:hAnsi="Arial" w:cs="Arial"/>
                <w:sz w:val="20"/>
                <w:szCs w:val="20"/>
              </w:rPr>
            </w:pPr>
            <w:r w:rsidRPr="003E0A01">
              <w:rPr>
                <w:rFonts w:ascii="Arial" w:hAnsi="Arial" w:cs="Arial"/>
                <w:sz w:val="20"/>
                <w:szCs w:val="20"/>
              </w:rPr>
              <w:t>55.05±0.09e</w:t>
            </w:r>
          </w:p>
        </w:tc>
        <w:tc>
          <w:tcPr>
            <w:tcW w:w="0" w:type="auto"/>
            <w:vAlign w:val="bottom"/>
          </w:tcPr>
          <w:p w14:paraId="00C44B60"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r w:rsidR="003E0A01" w:rsidRPr="003E0A01" w14:paraId="05873D9E" w14:textId="77777777" w:rsidTr="003E0A01">
        <w:trPr>
          <w:trHeight w:val="386"/>
          <w:jc w:val="center"/>
        </w:trPr>
        <w:tc>
          <w:tcPr>
            <w:tcW w:w="0" w:type="auto"/>
          </w:tcPr>
          <w:p w14:paraId="74EC8145" w14:textId="77777777" w:rsidR="003E0A01" w:rsidRPr="003E0A01" w:rsidRDefault="003E0A01" w:rsidP="001A22C5">
            <w:pPr>
              <w:pStyle w:val="TableParagraph"/>
              <w:spacing w:before="24"/>
              <w:ind w:left="8"/>
              <w:rPr>
                <w:rFonts w:ascii="Arial" w:hAnsi="Arial" w:cs="Arial"/>
                <w:sz w:val="20"/>
                <w:szCs w:val="20"/>
              </w:rPr>
            </w:pPr>
            <w:r w:rsidRPr="003E0A01">
              <w:rPr>
                <w:rFonts w:ascii="Arial" w:hAnsi="Arial" w:cs="Arial"/>
                <w:w w:val="99"/>
                <w:sz w:val="20"/>
                <w:szCs w:val="20"/>
              </w:rPr>
              <w:lastRenderedPageBreak/>
              <w:t>-</w:t>
            </w:r>
          </w:p>
        </w:tc>
        <w:tc>
          <w:tcPr>
            <w:tcW w:w="0" w:type="auto"/>
          </w:tcPr>
          <w:p w14:paraId="3028241E" w14:textId="77777777" w:rsidR="003E0A01" w:rsidRPr="003E0A01" w:rsidRDefault="003E0A01" w:rsidP="001A22C5">
            <w:pPr>
              <w:pStyle w:val="TableParagraph"/>
              <w:spacing w:before="24"/>
              <w:ind w:left="471" w:right="464"/>
              <w:rPr>
                <w:rFonts w:ascii="Arial" w:hAnsi="Arial" w:cs="Arial"/>
                <w:sz w:val="20"/>
                <w:szCs w:val="20"/>
              </w:rPr>
            </w:pPr>
            <w:r w:rsidRPr="003E0A01">
              <w:rPr>
                <w:rFonts w:ascii="Arial" w:hAnsi="Arial" w:cs="Arial"/>
                <w:sz w:val="20"/>
                <w:szCs w:val="20"/>
              </w:rPr>
              <w:t>2.5</w:t>
            </w:r>
          </w:p>
        </w:tc>
        <w:tc>
          <w:tcPr>
            <w:tcW w:w="0" w:type="auto"/>
          </w:tcPr>
          <w:p w14:paraId="0EFE6AA5" w14:textId="77777777" w:rsidR="003E0A01" w:rsidRPr="003E0A01" w:rsidRDefault="003E0A01" w:rsidP="001A22C5">
            <w:pPr>
              <w:pStyle w:val="TableParagraph"/>
              <w:spacing w:before="24"/>
              <w:ind w:left="7"/>
              <w:rPr>
                <w:rFonts w:ascii="Arial" w:hAnsi="Arial" w:cs="Arial"/>
                <w:sz w:val="20"/>
                <w:szCs w:val="20"/>
              </w:rPr>
            </w:pPr>
            <w:r w:rsidRPr="003E0A01">
              <w:rPr>
                <w:rFonts w:ascii="Arial" w:hAnsi="Arial" w:cs="Arial"/>
                <w:w w:val="99"/>
                <w:sz w:val="20"/>
                <w:szCs w:val="20"/>
              </w:rPr>
              <w:t>-</w:t>
            </w:r>
          </w:p>
        </w:tc>
        <w:tc>
          <w:tcPr>
            <w:tcW w:w="0" w:type="auto"/>
            <w:vAlign w:val="bottom"/>
          </w:tcPr>
          <w:p w14:paraId="514DE3F4"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49.45±0.14e</w:t>
            </w:r>
          </w:p>
        </w:tc>
        <w:tc>
          <w:tcPr>
            <w:tcW w:w="0" w:type="auto"/>
            <w:vAlign w:val="bottom"/>
          </w:tcPr>
          <w:p w14:paraId="342EE155" w14:textId="77777777" w:rsidR="003E0A01" w:rsidRPr="003E0A01" w:rsidRDefault="003E0A01" w:rsidP="001A22C5">
            <w:pPr>
              <w:pStyle w:val="TableParagraph"/>
              <w:spacing w:before="24"/>
              <w:ind w:left="15"/>
              <w:rPr>
                <w:rFonts w:ascii="Arial" w:hAnsi="Arial" w:cs="Arial"/>
                <w:sz w:val="20"/>
                <w:szCs w:val="20"/>
              </w:rPr>
            </w:pPr>
            <w:r w:rsidRPr="003E0A01">
              <w:rPr>
                <w:rFonts w:ascii="Arial" w:hAnsi="Arial" w:cs="Arial"/>
                <w:sz w:val="20"/>
                <w:szCs w:val="20"/>
              </w:rPr>
              <w:t>0.00e</w:t>
            </w:r>
          </w:p>
        </w:tc>
      </w:tr>
      <w:tr w:rsidR="003E0A01" w:rsidRPr="003E0A01" w14:paraId="73BE47A6" w14:textId="77777777" w:rsidTr="003E0A01">
        <w:trPr>
          <w:trHeight w:val="399"/>
          <w:jc w:val="center"/>
        </w:trPr>
        <w:tc>
          <w:tcPr>
            <w:tcW w:w="0" w:type="auto"/>
          </w:tcPr>
          <w:p w14:paraId="305391AB" w14:textId="77777777" w:rsidR="003E0A01" w:rsidRPr="003E0A01" w:rsidRDefault="003E0A01" w:rsidP="001A22C5">
            <w:pPr>
              <w:pStyle w:val="TableParagraph"/>
              <w:spacing w:before="31"/>
              <w:ind w:left="8"/>
              <w:rPr>
                <w:rFonts w:ascii="Arial" w:hAnsi="Arial" w:cs="Arial"/>
                <w:sz w:val="20"/>
                <w:szCs w:val="20"/>
              </w:rPr>
            </w:pPr>
            <w:r w:rsidRPr="003E0A01">
              <w:rPr>
                <w:rFonts w:ascii="Arial" w:hAnsi="Arial" w:cs="Arial"/>
                <w:w w:val="99"/>
                <w:sz w:val="20"/>
                <w:szCs w:val="20"/>
              </w:rPr>
              <w:t>-</w:t>
            </w:r>
          </w:p>
        </w:tc>
        <w:tc>
          <w:tcPr>
            <w:tcW w:w="0" w:type="auto"/>
          </w:tcPr>
          <w:p w14:paraId="11081A9A" w14:textId="77777777" w:rsidR="003E0A01" w:rsidRPr="003E0A01" w:rsidRDefault="003E0A01" w:rsidP="001A22C5">
            <w:pPr>
              <w:pStyle w:val="TableParagraph"/>
              <w:spacing w:before="31"/>
              <w:rPr>
                <w:rFonts w:ascii="Arial" w:hAnsi="Arial" w:cs="Arial"/>
                <w:sz w:val="20"/>
                <w:szCs w:val="20"/>
              </w:rPr>
            </w:pPr>
            <w:r w:rsidRPr="003E0A01">
              <w:rPr>
                <w:rFonts w:ascii="Arial" w:hAnsi="Arial" w:cs="Arial"/>
                <w:w w:val="99"/>
                <w:sz w:val="20"/>
                <w:szCs w:val="20"/>
              </w:rPr>
              <w:t>-</w:t>
            </w:r>
          </w:p>
        </w:tc>
        <w:tc>
          <w:tcPr>
            <w:tcW w:w="0" w:type="auto"/>
          </w:tcPr>
          <w:p w14:paraId="7EF13260" w14:textId="77777777" w:rsidR="003E0A01" w:rsidRPr="003E0A01" w:rsidRDefault="003E0A01" w:rsidP="001A22C5">
            <w:pPr>
              <w:pStyle w:val="TableParagraph"/>
              <w:spacing w:before="31"/>
              <w:ind w:left="655" w:right="647"/>
              <w:rPr>
                <w:rFonts w:ascii="Arial" w:hAnsi="Arial" w:cs="Arial"/>
                <w:sz w:val="20"/>
                <w:szCs w:val="20"/>
              </w:rPr>
            </w:pPr>
            <w:r w:rsidRPr="003E0A01">
              <w:rPr>
                <w:rFonts w:ascii="Arial" w:hAnsi="Arial" w:cs="Arial"/>
                <w:sz w:val="20"/>
                <w:szCs w:val="20"/>
              </w:rPr>
              <w:t>0.5</w:t>
            </w:r>
          </w:p>
        </w:tc>
        <w:tc>
          <w:tcPr>
            <w:tcW w:w="0" w:type="auto"/>
            <w:vAlign w:val="bottom"/>
          </w:tcPr>
          <w:p w14:paraId="06268211" w14:textId="77777777" w:rsidR="003E0A01" w:rsidRPr="003E0A01" w:rsidRDefault="003E0A01" w:rsidP="001A22C5">
            <w:pPr>
              <w:pStyle w:val="TableParagraph"/>
              <w:spacing w:before="31"/>
              <w:ind w:left="573" w:right="566"/>
              <w:rPr>
                <w:rFonts w:ascii="Arial" w:hAnsi="Arial" w:cs="Arial"/>
                <w:sz w:val="20"/>
                <w:szCs w:val="20"/>
              </w:rPr>
            </w:pPr>
            <w:r w:rsidRPr="003E0A01">
              <w:rPr>
                <w:rFonts w:ascii="Arial" w:hAnsi="Arial" w:cs="Arial"/>
                <w:sz w:val="20"/>
                <w:szCs w:val="20"/>
              </w:rPr>
              <w:t>58.09±0.05e</w:t>
            </w:r>
          </w:p>
        </w:tc>
        <w:tc>
          <w:tcPr>
            <w:tcW w:w="0" w:type="auto"/>
            <w:vAlign w:val="bottom"/>
          </w:tcPr>
          <w:p w14:paraId="0E587CF4" w14:textId="77777777" w:rsidR="003E0A01" w:rsidRPr="003E0A01" w:rsidRDefault="003E0A01" w:rsidP="001A22C5">
            <w:pPr>
              <w:pStyle w:val="TableParagraph"/>
              <w:spacing w:before="31"/>
              <w:ind w:left="15"/>
              <w:rPr>
                <w:rFonts w:ascii="Arial" w:hAnsi="Arial" w:cs="Arial"/>
                <w:sz w:val="20"/>
                <w:szCs w:val="20"/>
              </w:rPr>
            </w:pPr>
            <w:r w:rsidRPr="003E0A01">
              <w:rPr>
                <w:rFonts w:ascii="Arial" w:hAnsi="Arial" w:cs="Arial"/>
                <w:sz w:val="20"/>
                <w:szCs w:val="20"/>
              </w:rPr>
              <w:t>0.00e</w:t>
            </w:r>
          </w:p>
        </w:tc>
      </w:tr>
      <w:tr w:rsidR="003E0A01" w:rsidRPr="003E0A01" w14:paraId="548F4117" w14:textId="77777777" w:rsidTr="003E0A01">
        <w:trPr>
          <w:trHeight w:val="401"/>
          <w:jc w:val="center"/>
        </w:trPr>
        <w:tc>
          <w:tcPr>
            <w:tcW w:w="0" w:type="auto"/>
          </w:tcPr>
          <w:p w14:paraId="65CF8F2F"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66B4DCDB" w14:textId="77777777" w:rsidR="003E0A01" w:rsidRPr="003E0A01" w:rsidRDefault="003E0A01" w:rsidP="001A22C5">
            <w:pPr>
              <w:pStyle w:val="TableParagraph"/>
              <w:spacing w:before="34"/>
              <w:rPr>
                <w:rFonts w:ascii="Arial" w:hAnsi="Arial" w:cs="Arial"/>
                <w:sz w:val="20"/>
                <w:szCs w:val="20"/>
              </w:rPr>
            </w:pPr>
            <w:r w:rsidRPr="003E0A01">
              <w:rPr>
                <w:rFonts w:ascii="Arial" w:hAnsi="Arial" w:cs="Arial"/>
                <w:w w:val="99"/>
                <w:sz w:val="20"/>
                <w:szCs w:val="20"/>
              </w:rPr>
              <w:t>-</w:t>
            </w:r>
          </w:p>
        </w:tc>
        <w:tc>
          <w:tcPr>
            <w:tcW w:w="0" w:type="auto"/>
          </w:tcPr>
          <w:p w14:paraId="4389B525" w14:textId="77777777" w:rsidR="003E0A01" w:rsidRPr="003E0A01" w:rsidRDefault="003E0A01" w:rsidP="001A22C5">
            <w:pPr>
              <w:pStyle w:val="TableParagraph"/>
              <w:spacing w:before="34"/>
              <w:ind w:left="655" w:right="647"/>
              <w:rPr>
                <w:rFonts w:ascii="Arial" w:hAnsi="Arial" w:cs="Arial"/>
                <w:sz w:val="20"/>
                <w:szCs w:val="20"/>
              </w:rPr>
            </w:pPr>
            <w:r w:rsidRPr="003E0A01">
              <w:rPr>
                <w:rFonts w:ascii="Arial" w:hAnsi="Arial" w:cs="Arial"/>
                <w:sz w:val="20"/>
                <w:szCs w:val="20"/>
              </w:rPr>
              <w:t>1.0</w:t>
            </w:r>
          </w:p>
        </w:tc>
        <w:tc>
          <w:tcPr>
            <w:tcW w:w="0" w:type="auto"/>
            <w:vAlign w:val="bottom"/>
          </w:tcPr>
          <w:p w14:paraId="14F72263" w14:textId="77777777" w:rsidR="003E0A01" w:rsidRPr="003E0A01" w:rsidRDefault="003E0A01" w:rsidP="001A22C5">
            <w:pPr>
              <w:pStyle w:val="TableParagraph"/>
              <w:spacing w:before="34"/>
              <w:ind w:left="574" w:right="566"/>
              <w:rPr>
                <w:rFonts w:ascii="Arial" w:hAnsi="Arial" w:cs="Arial"/>
                <w:sz w:val="20"/>
                <w:szCs w:val="20"/>
              </w:rPr>
            </w:pPr>
            <w:r w:rsidRPr="003E0A01">
              <w:rPr>
                <w:rFonts w:ascii="Arial" w:hAnsi="Arial" w:cs="Arial"/>
                <w:sz w:val="20"/>
                <w:szCs w:val="20"/>
              </w:rPr>
              <w:t>71.15±0.12c</w:t>
            </w:r>
          </w:p>
        </w:tc>
        <w:tc>
          <w:tcPr>
            <w:tcW w:w="0" w:type="auto"/>
            <w:vAlign w:val="bottom"/>
          </w:tcPr>
          <w:p w14:paraId="67EEF08D"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r w:rsidR="003E0A01" w:rsidRPr="003E0A01" w14:paraId="3D626284" w14:textId="77777777" w:rsidTr="003E0A01">
        <w:trPr>
          <w:trHeight w:val="386"/>
          <w:jc w:val="center"/>
        </w:trPr>
        <w:tc>
          <w:tcPr>
            <w:tcW w:w="0" w:type="auto"/>
          </w:tcPr>
          <w:p w14:paraId="16C0F077" w14:textId="77777777" w:rsidR="003E0A01" w:rsidRPr="003E0A01" w:rsidRDefault="003E0A01" w:rsidP="001A22C5">
            <w:pPr>
              <w:pStyle w:val="TableParagraph"/>
              <w:spacing w:before="24"/>
              <w:ind w:left="8"/>
              <w:rPr>
                <w:rFonts w:ascii="Arial" w:hAnsi="Arial" w:cs="Arial"/>
                <w:sz w:val="20"/>
                <w:szCs w:val="20"/>
              </w:rPr>
            </w:pPr>
            <w:r w:rsidRPr="003E0A01">
              <w:rPr>
                <w:rFonts w:ascii="Arial" w:hAnsi="Arial" w:cs="Arial"/>
                <w:w w:val="99"/>
                <w:sz w:val="20"/>
                <w:szCs w:val="20"/>
              </w:rPr>
              <w:t>-</w:t>
            </w:r>
          </w:p>
        </w:tc>
        <w:tc>
          <w:tcPr>
            <w:tcW w:w="0" w:type="auto"/>
          </w:tcPr>
          <w:p w14:paraId="02D5C84C" w14:textId="77777777" w:rsidR="003E0A01" w:rsidRPr="003E0A01" w:rsidRDefault="003E0A01" w:rsidP="001A22C5">
            <w:pPr>
              <w:pStyle w:val="TableParagraph"/>
              <w:spacing w:before="24"/>
              <w:rPr>
                <w:rFonts w:ascii="Arial" w:hAnsi="Arial" w:cs="Arial"/>
                <w:sz w:val="20"/>
                <w:szCs w:val="20"/>
              </w:rPr>
            </w:pPr>
            <w:r w:rsidRPr="003E0A01">
              <w:rPr>
                <w:rFonts w:ascii="Arial" w:hAnsi="Arial" w:cs="Arial"/>
                <w:w w:val="99"/>
                <w:sz w:val="20"/>
                <w:szCs w:val="20"/>
              </w:rPr>
              <w:t>-</w:t>
            </w:r>
          </w:p>
        </w:tc>
        <w:tc>
          <w:tcPr>
            <w:tcW w:w="0" w:type="auto"/>
          </w:tcPr>
          <w:p w14:paraId="5E71AE86" w14:textId="77777777" w:rsidR="003E0A01" w:rsidRPr="003E0A01" w:rsidRDefault="003E0A01" w:rsidP="001A22C5">
            <w:pPr>
              <w:pStyle w:val="TableParagraph"/>
              <w:spacing w:before="24"/>
              <w:ind w:left="655" w:right="647"/>
              <w:rPr>
                <w:rFonts w:ascii="Arial" w:hAnsi="Arial" w:cs="Arial"/>
                <w:sz w:val="20"/>
                <w:szCs w:val="20"/>
              </w:rPr>
            </w:pPr>
            <w:r w:rsidRPr="003E0A01">
              <w:rPr>
                <w:rFonts w:ascii="Arial" w:hAnsi="Arial" w:cs="Arial"/>
                <w:sz w:val="20"/>
                <w:szCs w:val="20"/>
              </w:rPr>
              <w:t>1.5</w:t>
            </w:r>
          </w:p>
        </w:tc>
        <w:tc>
          <w:tcPr>
            <w:tcW w:w="0" w:type="auto"/>
            <w:vAlign w:val="bottom"/>
          </w:tcPr>
          <w:p w14:paraId="4A413D3F" w14:textId="77777777" w:rsidR="003E0A01" w:rsidRPr="003E0A01" w:rsidRDefault="003E0A01" w:rsidP="001A22C5">
            <w:pPr>
              <w:pStyle w:val="TableParagraph"/>
              <w:spacing w:before="24"/>
              <w:ind w:left="573" w:right="566"/>
              <w:rPr>
                <w:rFonts w:ascii="Arial" w:hAnsi="Arial" w:cs="Arial"/>
                <w:sz w:val="20"/>
                <w:szCs w:val="20"/>
              </w:rPr>
            </w:pPr>
            <w:r w:rsidRPr="003E0A01">
              <w:rPr>
                <w:rFonts w:ascii="Arial" w:hAnsi="Arial" w:cs="Arial"/>
                <w:sz w:val="20"/>
                <w:szCs w:val="20"/>
              </w:rPr>
              <w:t>78.37±0.01b</w:t>
            </w:r>
          </w:p>
        </w:tc>
        <w:tc>
          <w:tcPr>
            <w:tcW w:w="0" w:type="auto"/>
            <w:vAlign w:val="bottom"/>
          </w:tcPr>
          <w:p w14:paraId="43D78050" w14:textId="77777777" w:rsidR="003E0A01" w:rsidRPr="003E0A01" w:rsidRDefault="003E0A01" w:rsidP="001A22C5">
            <w:pPr>
              <w:pStyle w:val="TableParagraph"/>
              <w:spacing w:before="24"/>
              <w:ind w:left="0" w:right="530"/>
              <w:jc w:val="right"/>
              <w:rPr>
                <w:rFonts w:ascii="Arial" w:hAnsi="Arial" w:cs="Arial"/>
                <w:sz w:val="20"/>
                <w:szCs w:val="20"/>
              </w:rPr>
            </w:pPr>
            <w:r w:rsidRPr="003E0A01">
              <w:rPr>
                <w:rFonts w:ascii="Arial" w:hAnsi="Arial" w:cs="Arial"/>
                <w:sz w:val="20"/>
                <w:szCs w:val="20"/>
              </w:rPr>
              <w:t>3.20±0.11b</w:t>
            </w:r>
          </w:p>
        </w:tc>
      </w:tr>
      <w:tr w:rsidR="003E0A01" w:rsidRPr="003E0A01" w14:paraId="0F0D892F" w14:textId="77777777" w:rsidTr="003E0A01">
        <w:trPr>
          <w:trHeight w:val="399"/>
          <w:jc w:val="center"/>
        </w:trPr>
        <w:tc>
          <w:tcPr>
            <w:tcW w:w="0" w:type="auto"/>
          </w:tcPr>
          <w:p w14:paraId="026A398C" w14:textId="77777777" w:rsidR="003E0A01" w:rsidRPr="003E0A01" w:rsidRDefault="003E0A01" w:rsidP="001A22C5">
            <w:pPr>
              <w:pStyle w:val="TableParagraph"/>
              <w:spacing w:before="31"/>
              <w:ind w:left="8"/>
              <w:rPr>
                <w:rFonts w:ascii="Arial" w:hAnsi="Arial" w:cs="Arial"/>
                <w:sz w:val="20"/>
                <w:szCs w:val="20"/>
              </w:rPr>
            </w:pPr>
            <w:r w:rsidRPr="003E0A01">
              <w:rPr>
                <w:rFonts w:ascii="Arial" w:hAnsi="Arial" w:cs="Arial"/>
                <w:w w:val="99"/>
                <w:sz w:val="20"/>
                <w:szCs w:val="20"/>
              </w:rPr>
              <w:t>-</w:t>
            </w:r>
          </w:p>
        </w:tc>
        <w:tc>
          <w:tcPr>
            <w:tcW w:w="0" w:type="auto"/>
          </w:tcPr>
          <w:p w14:paraId="402E704C" w14:textId="77777777" w:rsidR="003E0A01" w:rsidRPr="003E0A01" w:rsidRDefault="003E0A01" w:rsidP="001A22C5">
            <w:pPr>
              <w:pStyle w:val="TableParagraph"/>
              <w:spacing w:before="31"/>
              <w:rPr>
                <w:rFonts w:ascii="Arial" w:hAnsi="Arial" w:cs="Arial"/>
                <w:sz w:val="20"/>
                <w:szCs w:val="20"/>
              </w:rPr>
            </w:pPr>
            <w:r w:rsidRPr="003E0A01">
              <w:rPr>
                <w:rFonts w:ascii="Arial" w:hAnsi="Arial" w:cs="Arial"/>
                <w:w w:val="99"/>
                <w:sz w:val="20"/>
                <w:szCs w:val="20"/>
              </w:rPr>
              <w:t>-</w:t>
            </w:r>
          </w:p>
        </w:tc>
        <w:tc>
          <w:tcPr>
            <w:tcW w:w="0" w:type="auto"/>
          </w:tcPr>
          <w:p w14:paraId="5096F58B" w14:textId="77777777" w:rsidR="003E0A01" w:rsidRPr="003E0A01" w:rsidRDefault="003E0A01" w:rsidP="001A22C5">
            <w:pPr>
              <w:pStyle w:val="TableParagraph"/>
              <w:spacing w:before="31"/>
              <w:ind w:left="655" w:right="647"/>
              <w:rPr>
                <w:rFonts w:ascii="Arial" w:hAnsi="Arial" w:cs="Arial"/>
                <w:sz w:val="20"/>
                <w:szCs w:val="20"/>
              </w:rPr>
            </w:pPr>
            <w:r w:rsidRPr="003E0A01">
              <w:rPr>
                <w:rFonts w:ascii="Arial" w:hAnsi="Arial" w:cs="Arial"/>
                <w:sz w:val="20"/>
                <w:szCs w:val="20"/>
              </w:rPr>
              <w:t>2.0</w:t>
            </w:r>
          </w:p>
        </w:tc>
        <w:tc>
          <w:tcPr>
            <w:tcW w:w="0" w:type="auto"/>
            <w:vAlign w:val="bottom"/>
          </w:tcPr>
          <w:p w14:paraId="4A56AF7C" w14:textId="77777777" w:rsidR="003E0A01" w:rsidRPr="003E0A01" w:rsidRDefault="003E0A01" w:rsidP="001A22C5">
            <w:pPr>
              <w:pStyle w:val="TableParagraph"/>
              <w:spacing w:before="31"/>
              <w:ind w:left="571" w:right="566"/>
              <w:rPr>
                <w:rFonts w:ascii="Arial" w:hAnsi="Arial" w:cs="Arial"/>
                <w:sz w:val="20"/>
                <w:szCs w:val="20"/>
              </w:rPr>
            </w:pPr>
            <w:r w:rsidRPr="003E0A01">
              <w:rPr>
                <w:rFonts w:ascii="Arial" w:hAnsi="Arial" w:cs="Arial"/>
                <w:sz w:val="20"/>
                <w:szCs w:val="20"/>
              </w:rPr>
              <w:t>63.50±0.10d</w:t>
            </w:r>
          </w:p>
        </w:tc>
        <w:tc>
          <w:tcPr>
            <w:tcW w:w="0" w:type="auto"/>
            <w:vAlign w:val="bottom"/>
          </w:tcPr>
          <w:p w14:paraId="7A9707A7" w14:textId="77777777" w:rsidR="003E0A01" w:rsidRPr="003E0A01" w:rsidRDefault="003E0A01" w:rsidP="001A22C5">
            <w:pPr>
              <w:pStyle w:val="TableParagraph"/>
              <w:spacing w:before="31"/>
              <w:ind w:left="0" w:right="530"/>
              <w:jc w:val="right"/>
              <w:rPr>
                <w:rFonts w:ascii="Arial" w:hAnsi="Arial" w:cs="Arial"/>
                <w:sz w:val="20"/>
                <w:szCs w:val="20"/>
              </w:rPr>
            </w:pPr>
            <w:r w:rsidRPr="003E0A01">
              <w:rPr>
                <w:rFonts w:ascii="Arial" w:hAnsi="Arial" w:cs="Arial"/>
                <w:sz w:val="20"/>
                <w:szCs w:val="20"/>
              </w:rPr>
              <w:t>1.15±0.21d</w:t>
            </w:r>
          </w:p>
        </w:tc>
      </w:tr>
      <w:tr w:rsidR="003E0A01" w:rsidRPr="003E0A01" w14:paraId="2A85A817" w14:textId="77777777" w:rsidTr="003E0A01">
        <w:trPr>
          <w:trHeight w:val="401"/>
          <w:jc w:val="center"/>
        </w:trPr>
        <w:tc>
          <w:tcPr>
            <w:tcW w:w="0" w:type="auto"/>
          </w:tcPr>
          <w:p w14:paraId="155478C3" w14:textId="77777777" w:rsidR="003E0A01" w:rsidRPr="003E0A01" w:rsidRDefault="003E0A01" w:rsidP="001A22C5">
            <w:pPr>
              <w:pStyle w:val="TableParagraph"/>
              <w:spacing w:before="34"/>
              <w:ind w:left="8"/>
              <w:rPr>
                <w:rFonts w:ascii="Arial" w:hAnsi="Arial" w:cs="Arial"/>
                <w:sz w:val="20"/>
                <w:szCs w:val="20"/>
              </w:rPr>
            </w:pPr>
            <w:r w:rsidRPr="003E0A01">
              <w:rPr>
                <w:rFonts w:ascii="Arial" w:hAnsi="Arial" w:cs="Arial"/>
                <w:w w:val="99"/>
                <w:sz w:val="20"/>
                <w:szCs w:val="20"/>
              </w:rPr>
              <w:t>-</w:t>
            </w:r>
          </w:p>
        </w:tc>
        <w:tc>
          <w:tcPr>
            <w:tcW w:w="0" w:type="auto"/>
          </w:tcPr>
          <w:p w14:paraId="64A99C84" w14:textId="77777777" w:rsidR="003E0A01" w:rsidRPr="003E0A01" w:rsidRDefault="003E0A01" w:rsidP="001A22C5">
            <w:pPr>
              <w:pStyle w:val="TableParagraph"/>
              <w:spacing w:before="34"/>
              <w:rPr>
                <w:rFonts w:ascii="Arial" w:hAnsi="Arial" w:cs="Arial"/>
                <w:sz w:val="20"/>
                <w:szCs w:val="20"/>
              </w:rPr>
            </w:pPr>
            <w:r w:rsidRPr="003E0A01">
              <w:rPr>
                <w:rFonts w:ascii="Arial" w:hAnsi="Arial" w:cs="Arial"/>
                <w:w w:val="99"/>
                <w:sz w:val="20"/>
                <w:szCs w:val="20"/>
              </w:rPr>
              <w:t>-</w:t>
            </w:r>
          </w:p>
        </w:tc>
        <w:tc>
          <w:tcPr>
            <w:tcW w:w="0" w:type="auto"/>
          </w:tcPr>
          <w:p w14:paraId="59E65F53" w14:textId="77777777" w:rsidR="003E0A01" w:rsidRPr="003E0A01" w:rsidRDefault="003E0A01" w:rsidP="001A22C5">
            <w:pPr>
              <w:pStyle w:val="TableParagraph"/>
              <w:spacing w:before="34"/>
              <w:ind w:left="655" w:right="647"/>
              <w:rPr>
                <w:rFonts w:ascii="Arial" w:hAnsi="Arial" w:cs="Arial"/>
                <w:sz w:val="20"/>
                <w:szCs w:val="20"/>
              </w:rPr>
            </w:pPr>
            <w:r w:rsidRPr="003E0A01">
              <w:rPr>
                <w:rFonts w:ascii="Arial" w:hAnsi="Arial" w:cs="Arial"/>
                <w:sz w:val="20"/>
                <w:szCs w:val="20"/>
              </w:rPr>
              <w:t>2.5</w:t>
            </w:r>
          </w:p>
        </w:tc>
        <w:tc>
          <w:tcPr>
            <w:tcW w:w="0" w:type="auto"/>
            <w:vAlign w:val="bottom"/>
          </w:tcPr>
          <w:p w14:paraId="75E3D827" w14:textId="77777777" w:rsidR="003E0A01" w:rsidRPr="003E0A01" w:rsidRDefault="003E0A01" w:rsidP="001A22C5">
            <w:pPr>
              <w:pStyle w:val="TableParagraph"/>
              <w:spacing w:before="34"/>
              <w:ind w:left="573" w:right="566"/>
              <w:rPr>
                <w:rFonts w:ascii="Arial" w:hAnsi="Arial" w:cs="Arial"/>
                <w:sz w:val="20"/>
                <w:szCs w:val="20"/>
              </w:rPr>
            </w:pPr>
            <w:r w:rsidRPr="003E0A01">
              <w:rPr>
                <w:rFonts w:ascii="Arial" w:hAnsi="Arial" w:cs="Arial"/>
                <w:sz w:val="20"/>
                <w:szCs w:val="20"/>
              </w:rPr>
              <w:t>60.35±0.19d</w:t>
            </w:r>
          </w:p>
        </w:tc>
        <w:tc>
          <w:tcPr>
            <w:tcW w:w="0" w:type="auto"/>
            <w:vAlign w:val="bottom"/>
          </w:tcPr>
          <w:p w14:paraId="40E84AAD" w14:textId="77777777" w:rsidR="003E0A01" w:rsidRPr="003E0A01" w:rsidRDefault="003E0A01" w:rsidP="001A22C5">
            <w:pPr>
              <w:pStyle w:val="TableParagraph"/>
              <w:spacing w:before="34"/>
              <w:ind w:left="15"/>
              <w:rPr>
                <w:rFonts w:ascii="Arial" w:hAnsi="Arial" w:cs="Arial"/>
                <w:sz w:val="20"/>
                <w:szCs w:val="20"/>
              </w:rPr>
            </w:pPr>
            <w:r w:rsidRPr="003E0A01">
              <w:rPr>
                <w:rFonts w:ascii="Arial" w:hAnsi="Arial" w:cs="Arial"/>
                <w:sz w:val="20"/>
                <w:szCs w:val="20"/>
              </w:rPr>
              <w:t>0.00e</w:t>
            </w:r>
          </w:p>
        </w:tc>
      </w:tr>
    </w:tbl>
    <w:p w14:paraId="648E3AA4" w14:textId="77777777" w:rsidR="003E0A01" w:rsidRPr="003E0A01" w:rsidRDefault="003E0A01" w:rsidP="003E0A01">
      <w:pPr>
        <w:pStyle w:val="NoSpacing"/>
        <w:spacing w:line="276" w:lineRule="auto"/>
        <w:jc w:val="both"/>
        <w:rPr>
          <w:rFonts w:ascii="Arial" w:hAnsi="Arial" w:cs="Arial"/>
          <w:sz w:val="20"/>
          <w:szCs w:val="20"/>
        </w:rPr>
      </w:pPr>
    </w:p>
    <w:p w14:paraId="67D99E25" w14:textId="77777777" w:rsidR="003E0A01" w:rsidRDefault="003E0A01" w:rsidP="003E0A01">
      <w:pPr>
        <w:pStyle w:val="NoSpacing"/>
        <w:spacing w:line="276" w:lineRule="auto"/>
        <w:jc w:val="both"/>
        <w:rPr>
          <w:rFonts w:ascii="Arial" w:hAnsi="Arial" w:cs="Arial"/>
          <w:sz w:val="20"/>
          <w:szCs w:val="20"/>
        </w:rPr>
      </w:pPr>
    </w:p>
    <w:p w14:paraId="46D91AAF" w14:textId="77777777" w:rsidR="003E0A01" w:rsidRDefault="003E0A01" w:rsidP="003E0A01">
      <w:pPr>
        <w:pStyle w:val="NoSpacing"/>
        <w:spacing w:line="276" w:lineRule="auto"/>
        <w:jc w:val="both"/>
        <w:rPr>
          <w:rFonts w:ascii="Arial" w:hAnsi="Arial" w:cs="Arial"/>
          <w:sz w:val="20"/>
          <w:szCs w:val="20"/>
        </w:rPr>
      </w:pPr>
    </w:p>
    <w:p w14:paraId="3F6C9FF0" w14:textId="1DCED6BC" w:rsidR="003E0A01" w:rsidRPr="003E0A01" w:rsidRDefault="003E0A01" w:rsidP="003E0A01">
      <w:pPr>
        <w:pStyle w:val="NoSpacing"/>
        <w:spacing w:line="276" w:lineRule="auto"/>
        <w:jc w:val="both"/>
        <w:rPr>
          <w:rFonts w:ascii="Arial" w:hAnsi="Arial" w:cs="Arial"/>
          <w:b/>
          <w:bCs/>
          <w:sz w:val="20"/>
          <w:szCs w:val="20"/>
        </w:rPr>
      </w:pPr>
      <w:r w:rsidRPr="003E0A01">
        <w:rPr>
          <w:rFonts w:ascii="Arial" w:hAnsi="Arial" w:cs="Arial"/>
          <w:b/>
          <w:bCs/>
          <w:sz w:val="20"/>
          <w:szCs w:val="20"/>
        </w:rPr>
        <w:t>Table 2. Effects of different growth regulator combinations in MS medium on shoot regeneration from rhizome buds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328"/>
        <w:gridCol w:w="1335"/>
        <w:gridCol w:w="1342"/>
        <w:gridCol w:w="2426"/>
        <w:gridCol w:w="2585"/>
      </w:tblGrid>
      <w:tr w:rsidR="003E0A01" w:rsidRPr="003E0A01" w14:paraId="76B98032" w14:textId="77777777" w:rsidTr="003A5332">
        <w:trPr>
          <w:trHeight w:val="467"/>
          <w:jc w:val="center"/>
        </w:trPr>
        <w:tc>
          <w:tcPr>
            <w:tcW w:w="0" w:type="auto"/>
            <w:gridSpan w:val="3"/>
            <w:vAlign w:val="center"/>
          </w:tcPr>
          <w:p w14:paraId="4540856A" w14:textId="77777777" w:rsidR="003E0A01" w:rsidRPr="003E0A01" w:rsidRDefault="003E0A01" w:rsidP="003A5332">
            <w:pPr>
              <w:pStyle w:val="TableParagraph"/>
              <w:ind w:left="705"/>
              <w:rPr>
                <w:rFonts w:ascii="Arial" w:hAnsi="Arial" w:cs="Arial"/>
                <w:b/>
                <w:sz w:val="20"/>
                <w:szCs w:val="20"/>
              </w:rPr>
            </w:pPr>
            <w:r w:rsidRPr="003E0A01">
              <w:rPr>
                <w:rFonts w:ascii="Arial" w:hAnsi="Arial" w:cs="Arial"/>
                <w:b/>
                <w:sz w:val="20"/>
                <w:szCs w:val="20"/>
              </w:rPr>
              <w:t>Growth regulator (mgL</w:t>
            </w:r>
            <w:r w:rsidRPr="003E0A01">
              <w:rPr>
                <w:rFonts w:ascii="Arial" w:hAnsi="Arial" w:cs="Arial"/>
                <w:b/>
                <w:sz w:val="20"/>
                <w:szCs w:val="20"/>
                <w:vertAlign w:val="superscript"/>
              </w:rPr>
              <w:t>-1</w:t>
            </w:r>
            <w:r w:rsidRPr="003E0A01">
              <w:rPr>
                <w:rFonts w:ascii="Arial" w:hAnsi="Arial" w:cs="Arial"/>
                <w:b/>
                <w:sz w:val="20"/>
                <w:szCs w:val="20"/>
              </w:rPr>
              <w:t>)</w:t>
            </w:r>
          </w:p>
        </w:tc>
        <w:tc>
          <w:tcPr>
            <w:tcW w:w="0" w:type="auto"/>
            <w:vMerge w:val="restart"/>
            <w:vAlign w:val="center"/>
          </w:tcPr>
          <w:p w14:paraId="574B1B6F" w14:textId="77777777" w:rsidR="003E0A01" w:rsidRPr="003E0A01" w:rsidRDefault="003E0A01" w:rsidP="003A5332">
            <w:pPr>
              <w:pStyle w:val="TableParagraph"/>
              <w:spacing w:line="276" w:lineRule="auto"/>
              <w:ind w:left="151" w:right="99" w:hanging="82"/>
              <w:rPr>
                <w:rFonts w:ascii="Arial" w:hAnsi="Arial" w:cs="Arial"/>
                <w:b/>
                <w:sz w:val="20"/>
                <w:szCs w:val="20"/>
              </w:rPr>
            </w:pPr>
            <w:r w:rsidRPr="003E0A01">
              <w:rPr>
                <w:rFonts w:ascii="Arial" w:hAnsi="Arial" w:cs="Arial"/>
                <w:b/>
                <w:sz w:val="20"/>
                <w:szCs w:val="20"/>
              </w:rPr>
              <w:t>Frequency of shoot regeneration (%)</w:t>
            </w:r>
          </w:p>
        </w:tc>
        <w:tc>
          <w:tcPr>
            <w:tcW w:w="0" w:type="auto"/>
            <w:vMerge w:val="restart"/>
            <w:vAlign w:val="center"/>
          </w:tcPr>
          <w:p w14:paraId="776848B0" w14:textId="77777777" w:rsidR="003E0A01" w:rsidRPr="003E0A01" w:rsidRDefault="003E0A01" w:rsidP="003A5332">
            <w:pPr>
              <w:pStyle w:val="TableParagraph"/>
              <w:spacing w:line="276" w:lineRule="auto"/>
              <w:ind w:left="268" w:right="272" w:hanging="105"/>
              <w:rPr>
                <w:rFonts w:ascii="Arial" w:hAnsi="Arial" w:cs="Arial"/>
                <w:b/>
                <w:sz w:val="20"/>
                <w:szCs w:val="20"/>
              </w:rPr>
            </w:pPr>
            <w:r w:rsidRPr="003E0A01">
              <w:rPr>
                <w:rFonts w:ascii="Arial" w:hAnsi="Arial" w:cs="Arial"/>
                <w:b/>
                <w:sz w:val="20"/>
                <w:szCs w:val="20"/>
              </w:rPr>
              <w:t>Mean number of shoots / explants</w:t>
            </w:r>
          </w:p>
        </w:tc>
      </w:tr>
      <w:tr w:rsidR="003E0A01" w:rsidRPr="003E0A01" w14:paraId="45B21DAA" w14:textId="77777777" w:rsidTr="003E0A01">
        <w:trPr>
          <w:trHeight w:val="259"/>
          <w:jc w:val="center"/>
        </w:trPr>
        <w:tc>
          <w:tcPr>
            <w:tcW w:w="0" w:type="auto"/>
          </w:tcPr>
          <w:p w14:paraId="4577EC89" w14:textId="77777777" w:rsidR="003E0A01" w:rsidRPr="003E0A01" w:rsidRDefault="003E0A01" w:rsidP="001A22C5">
            <w:pPr>
              <w:pStyle w:val="TableParagraph"/>
              <w:spacing w:before="12" w:line="224" w:lineRule="exact"/>
              <w:ind w:left="444" w:right="440"/>
              <w:jc w:val="left"/>
              <w:rPr>
                <w:rFonts w:ascii="Arial" w:hAnsi="Arial" w:cs="Arial"/>
                <w:b/>
                <w:sz w:val="20"/>
                <w:szCs w:val="20"/>
              </w:rPr>
            </w:pPr>
            <w:r w:rsidRPr="003E0A01">
              <w:rPr>
                <w:rFonts w:ascii="Arial" w:hAnsi="Arial" w:cs="Arial"/>
                <w:b/>
                <w:sz w:val="20"/>
                <w:szCs w:val="20"/>
              </w:rPr>
              <w:t>NAA</w:t>
            </w:r>
          </w:p>
        </w:tc>
        <w:tc>
          <w:tcPr>
            <w:tcW w:w="0" w:type="auto"/>
          </w:tcPr>
          <w:p w14:paraId="24BA0CAD" w14:textId="77777777" w:rsidR="003E0A01" w:rsidRPr="003E0A01" w:rsidRDefault="003E0A01" w:rsidP="001A22C5">
            <w:pPr>
              <w:pStyle w:val="TableParagraph"/>
              <w:spacing w:before="12" w:line="224" w:lineRule="exact"/>
              <w:ind w:left="452" w:right="450"/>
              <w:rPr>
                <w:rFonts w:ascii="Arial" w:hAnsi="Arial" w:cs="Arial"/>
                <w:b/>
                <w:sz w:val="20"/>
                <w:szCs w:val="20"/>
              </w:rPr>
            </w:pPr>
            <w:r w:rsidRPr="003E0A01">
              <w:rPr>
                <w:rFonts w:ascii="Arial" w:hAnsi="Arial" w:cs="Arial"/>
                <w:b/>
                <w:sz w:val="20"/>
                <w:szCs w:val="20"/>
              </w:rPr>
              <w:t>BAP</w:t>
            </w:r>
          </w:p>
        </w:tc>
        <w:tc>
          <w:tcPr>
            <w:tcW w:w="0" w:type="auto"/>
          </w:tcPr>
          <w:p w14:paraId="10851893" w14:textId="77777777" w:rsidR="003E0A01" w:rsidRPr="003E0A01" w:rsidRDefault="003E0A01" w:rsidP="001A22C5">
            <w:pPr>
              <w:pStyle w:val="TableParagraph"/>
              <w:spacing w:before="12" w:line="224" w:lineRule="exact"/>
              <w:ind w:left="327" w:right="327"/>
              <w:rPr>
                <w:rFonts w:ascii="Arial" w:hAnsi="Arial" w:cs="Arial"/>
                <w:b/>
                <w:sz w:val="20"/>
                <w:szCs w:val="20"/>
              </w:rPr>
            </w:pPr>
            <w:r w:rsidRPr="003E0A01">
              <w:rPr>
                <w:rFonts w:ascii="Arial" w:hAnsi="Arial" w:cs="Arial"/>
                <w:b/>
                <w:sz w:val="20"/>
                <w:szCs w:val="20"/>
              </w:rPr>
              <w:t>Kinetin</w:t>
            </w:r>
          </w:p>
        </w:tc>
        <w:tc>
          <w:tcPr>
            <w:tcW w:w="0" w:type="auto"/>
            <w:vMerge/>
            <w:tcBorders>
              <w:top w:val="nil"/>
            </w:tcBorders>
          </w:tcPr>
          <w:p w14:paraId="5D0C7D11" w14:textId="77777777" w:rsidR="003E0A01" w:rsidRPr="003E0A01" w:rsidRDefault="003E0A01" w:rsidP="001A22C5">
            <w:pPr>
              <w:rPr>
                <w:rFonts w:ascii="Arial" w:hAnsi="Arial" w:cs="Arial"/>
                <w:sz w:val="20"/>
                <w:szCs w:val="20"/>
              </w:rPr>
            </w:pPr>
          </w:p>
        </w:tc>
        <w:tc>
          <w:tcPr>
            <w:tcW w:w="0" w:type="auto"/>
            <w:vMerge/>
            <w:tcBorders>
              <w:top w:val="nil"/>
            </w:tcBorders>
          </w:tcPr>
          <w:p w14:paraId="4326E1D2" w14:textId="77777777" w:rsidR="003E0A01" w:rsidRPr="003E0A01" w:rsidRDefault="003E0A01" w:rsidP="001A22C5">
            <w:pPr>
              <w:rPr>
                <w:rFonts w:ascii="Arial" w:hAnsi="Arial" w:cs="Arial"/>
                <w:sz w:val="20"/>
                <w:szCs w:val="20"/>
              </w:rPr>
            </w:pPr>
          </w:p>
        </w:tc>
      </w:tr>
      <w:tr w:rsidR="003E0A01" w:rsidRPr="003E0A01" w14:paraId="145FF070" w14:textId="77777777" w:rsidTr="003E0A01">
        <w:trPr>
          <w:trHeight w:val="467"/>
          <w:jc w:val="center"/>
        </w:trPr>
        <w:tc>
          <w:tcPr>
            <w:tcW w:w="0" w:type="auto"/>
          </w:tcPr>
          <w:p w14:paraId="5D28DD92"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03C90994"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2.0</w:t>
            </w:r>
          </w:p>
        </w:tc>
        <w:tc>
          <w:tcPr>
            <w:tcW w:w="0" w:type="auto"/>
          </w:tcPr>
          <w:p w14:paraId="52811695"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3D4C253A" w14:textId="77777777" w:rsidR="003E0A01" w:rsidRPr="003E0A01" w:rsidRDefault="003E0A01" w:rsidP="003E0A01">
            <w:pPr>
              <w:pStyle w:val="TableParagraph"/>
              <w:spacing w:line="225" w:lineRule="exact"/>
              <w:ind w:left="106" w:right="339"/>
              <w:rPr>
                <w:rFonts w:ascii="Arial" w:hAnsi="Arial" w:cs="Arial"/>
                <w:sz w:val="20"/>
                <w:szCs w:val="20"/>
              </w:rPr>
            </w:pPr>
            <w:r w:rsidRPr="003E0A01">
              <w:rPr>
                <w:rFonts w:ascii="Arial" w:hAnsi="Arial" w:cs="Arial"/>
                <w:sz w:val="20"/>
                <w:szCs w:val="20"/>
              </w:rPr>
              <w:t>61.50±0.22b</w:t>
            </w:r>
          </w:p>
        </w:tc>
        <w:tc>
          <w:tcPr>
            <w:tcW w:w="0" w:type="auto"/>
            <w:vAlign w:val="center"/>
          </w:tcPr>
          <w:p w14:paraId="2D3CE668" w14:textId="77777777" w:rsidR="003E0A01" w:rsidRPr="003E0A01" w:rsidRDefault="003E0A01" w:rsidP="003E0A01">
            <w:pPr>
              <w:pStyle w:val="TableParagraph"/>
              <w:spacing w:line="225" w:lineRule="exact"/>
              <w:ind w:left="163" w:right="369"/>
              <w:rPr>
                <w:rFonts w:ascii="Arial" w:hAnsi="Arial" w:cs="Arial"/>
                <w:sz w:val="20"/>
                <w:szCs w:val="20"/>
              </w:rPr>
            </w:pPr>
            <w:r w:rsidRPr="003E0A01">
              <w:rPr>
                <w:rFonts w:ascii="Arial" w:hAnsi="Arial" w:cs="Arial"/>
                <w:sz w:val="20"/>
                <w:szCs w:val="20"/>
              </w:rPr>
              <w:t>12.30±0.12b</w:t>
            </w:r>
          </w:p>
        </w:tc>
      </w:tr>
      <w:tr w:rsidR="003E0A01" w:rsidRPr="003E0A01" w14:paraId="009DC177" w14:textId="77777777" w:rsidTr="003E0A01">
        <w:trPr>
          <w:trHeight w:val="470"/>
          <w:jc w:val="center"/>
        </w:trPr>
        <w:tc>
          <w:tcPr>
            <w:tcW w:w="0" w:type="auto"/>
          </w:tcPr>
          <w:p w14:paraId="3F97A532"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37A944F5"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4.0</w:t>
            </w:r>
          </w:p>
        </w:tc>
        <w:tc>
          <w:tcPr>
            <w:tcW w:w="0" w:type="auto"/>
          </w:tcPr>
          <w:p w14:paraId="73C74404"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3E894590" w14:textId="77777777" w:rsidR="003E0A01" w:rsidRPr="003E0A01" w:rsidRDefault="003E0A01" w:rsidP="003E0A01">
            <w:pPr>
              <w:pStyle w:val="TableParagraph"/>
              <w:spacing w:line="228" w:lineRule="exact"/>
              <w:ind w:left="0" w:right="339"/>
              <w:rPr>
                <w:rFonts w:ascii="Arial" w:hAnsi="Arial" w:cs="Arial"/>
                <w:sz w:val="20"/>
                <w:szCs w:val="20"/>
              </w:rPr>
            </w:pPr>
            <w:r w:rsidRPr="003E0A01">
              <w:rPr>
                <w:rFonts w:ascii="Arial" w:hAnsi="Arial" w:cs="Arial"/>
                <w:sz w:val="20"/>
                <w:szCs w:val="20"/>
              </w:rPr>
              <w:t>81.75±0.14a</w:t>
            </w:r>
          </w:p>
        </w:tc>
        <w:tc>
          <w:tcPr>
            <w:tcW w:w="0" w:type="auto"/>
            <w:vAlign w:val="center"/>
          </w:tcPr>
          <w:p w14:paraId="333E85BF" w14:textId="77777777" w:rsidR="003E0A01" w:rsidRPr="003E0A01" w:rsidRDefault="003E0A01" w:rsidP="003E0A01">
            <w:pPr>
              <w:pStyle w:val="TableParagraph"/>
              <w:spacing w:line="228" w:lineRule="exact"/>
              <w:ind w:left="163" w:right="369"/>
              <w:rPr>
                <w:rFonts w:ascii="Arial" w:hAnsi="Arial" w:cs="Arial"/>
                <w:sz w:val="20"/>
                <w:szCs w:val="20"/>
              </w:rPr>
            </w:pPr>
            <w:r w:rsidRPr="003E0A01">
              <w:rPr>
                <w:rFonts w:ascii="Arial" w:hAnsi="Arial" w:cs="Arial"/>
                <w:sz w:val="20"/>
                <w:szCs w:val="20"/>
              </w:rPr>
              <w:t>16.35±0.22a</w:t>
            </w:r>
          </w:p>
        </w:tc>
      </w:tr>
      <w:tr w:rsidR="003E0A01" w:rsidRPr="003E0A01" w14:paraId="6FCD1BF0" w14:textId="77777777" w:rsidTr="003E0A01">
        <w:trPr>
          <w:trHeight w:val="470"/>
          <w:jc w:val="center"/>
        </w:trPr>
        <w:tc>
          <w:tcPr>
            <w:tcW w:w="0" w:type="auto"/>
          </w:tcPr>
          <w:p w14:paraId="3F1393E0"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6D1CC134"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6.0</w:t>
            </w:r>
          </w:p>
        </w:tc>
        <w:tc>
          <w:tcPr>
            <w:tcW w:w="0" w:type="auto"/>
          </w:tcPr>
          <w:p w14:paraId="032CE27A"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6BF91C16"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46.00±0.01c</w:t>
            </w:r>
          </w:p>
        </w:tc>
        <w:tc>
          <w:tcPr>
            <w:tcW w:w="0" w:type="auto"/>
            <w:vAlign w:val="center"/>
          </w:tcPr>
          <w:p w14:paraId="4EB779EB" w14:textId="77777777" w:rsidR="003E0A01" w:rsidRPr="003E0A01" w:rsidRDefault="003E0A01" w:rsidP="003E0A01">
            <w:pPr>
              <w:pStyle w:val="TableParagraph"/>
              <w:spacing w:line="225" w:lineRule="exact"/>
              <w:ind w:left="305" w:right="369"/>
              <w:rPr>
                <w:rFonts w:ascii="Arial" w:hAnsi="Arial" w:cs="Arial"/>
                <w:sz w:val="20"/>
                <w:szCs w:val="20"/>
              </w:rPr>
            </w:pPr>
            <w:r w:rsidRPr="003E0A01">
              <w:rPr>
                <w:rFonts w:ascii="Arial" w:hAnsi="Arial" w:cs="Arial"/>
                <w:sz w:val="20"/>
                <w:szCs w:val="20"/>
              </w:rPr>
              <w:t>9.20±0.09d</w:t>
            </w:r>
          </w:p>
        </w:tc>
      </w:tr>
      <w:tr w:rsidR="003E0A01" w:rsidRPr="003E0A01" w14:paraId="5B74304F" w14:textId="77777777" w:rsidTr="003E0A01">
        <w:trPr>
          <w:trHeight w:val="467"/>
          <w:jc w:val="center"/>
        </w:trPr>
        <w:tc>
          <w:tcPr>
            <w:tcW w:w="0" w:type="auto"/>
          </w:tcPr>
          <w:p w14:paraId="2AB5B1C9"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17723F91" w14:textId="77777777" w:rsidR="003E0A01" w:rsidRPr="003E0A01" w:rsidRDefault="003E0A01" w:rsidP="001A22C5">
            <w:pPr>
              <w:pStyle w:val="TableParagraph"/>
              <w:spacing w:before="53"/>
              <w:ind w:left="452" w:right="445"/>
              <w:rPr>
                <w:rFonts w:ascii="Arial" w:hAnsi="Arial" w:cs="Arial"/>
                <w:sz w:val="20"/>
                <w:szCs w:val="20"/>
              </w:rPr>
            </w:pPr>
            <w:r w:rsidRPr="003E0A01">
              <w:rPr>
                <w:rFonts w:ascii="Arial" w:hAnsi="Arial" w:cs="Arial"/>
                <w:sz w:val="20"/>
                <w:szCs w:val="20"/>
              </w:rPr>
              <w:t>8.0</w:t>
            </w:r>
          </w:p>
        </w:tc>
        <w:tc>
          <w:tcPr>
            <w:tcW w:w="0" w:type="auto"/>
          </w:tcPr>
          <w:p w14:paraId="14FD6576" w14:textId="77777777" w:rsidR="003E0A01" w:rsidRPr="003E0A01" w:rsidRDefault="003E0A01" w:rsidP="001A22C5">
            <w:pPr>
              <w:pStyle w:val="TableParagraph"/>
              <w:spacing w:before="53"/>
              <w:ind w:left="3"/>
              <w:rPr>
                <w:rFonts w:ascii="Arial" w:hAnsi="Arial" w:cs="Arial"/>
                <w:sz w:val="20"/>
                <w:szCs w:val="20"/>
              </w:rPr>
            </w:pPr>
            <w:r w:rsidRPr="003E0A01">
              <w:rPr>
                <w:rFonts w:ascii="Arial" w:hAnsi="Arial" w:cs="Arial"/>
                <w:w w:val="99"/>
                <w:sz w:val="20"/>
                <w:szCs w:val="20"/>
              </w:rPr>
              <w:t>-</w:t>
            </w:r>
          </w:p>
        </w:tc>
        <w:tc>
          <w:tcPr>
            <w:tcW w:w="0" w:type="auto"/>
            <w:vAlign w:val="center"/>
          </w:tcPr>
          <w:p w14:paraId="582A13CB"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40.75±0.19d</w:t>
            </w:r>
          </w:p>
        </w:tc>
        <w:tc>
          <w:tcPr>
            <w:tcW w:w="0" w:type="auto"/>
            <w:vAlign w:val="center"/>
          </w:tcPr>
          <w:p w14:paraId="614627DD" w14:textId="77777777" w:rsidR="003E0A01" w:rsidRPr="003E0A01" w:rsidRDefault="003E0A01" w:rsidP="003E0A01">
            <w:pPr>
              <w:pStyle w:val="TableParagraph"/>
              <w:spacing w:line="225" w:lineRule="exact"/>
              <w:ind w:left="305" w:right="369"/>
              <w:rPr>
                <w:rFonts w:ascii="Arial" w:hAnsi="Arial" w:cs="Arial"/>
                <w:sz w:val="20"/>
                <w:szCs w:val="20"/>
              </w:rPr>
            </w:pPr>
            <w:r w:rsidRPr="003E0A01">
              <w:rPr>
                <w:rFonts w:ascii="Arial" w:hAnsi="Arial" w:cs="Arial"/>
                <w:sz w:val="20"/>
                <w:szCs w:val="20"/>
              </w:rPr>
              <w:t>8.15±0.08e</w:t>
            </w:r>
          </w:p>
        </w:tc>
      </w:tr>
      <w:tr w:rsidR="003E0A01" w:rsidRPr="003E0A01" w14:paraId="5498918E" w14:textId="77777777" w:rsidTr="003E0A01">
        <w:trPr>
          <w:trHeight w:val="470"/>
          <w:jc w:val="center"/>
        </w:trPr>
        <w:tc>
          <w:tcPr>
            <w:tcW w:w="0" w:type="auto"/>
          </w:tcPr>
          <w:p w14:paraId="136E3D8A"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073B8DC2"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12BA0EEA"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2.0</w:t>
            </w:r>
          </w:p>
        </w:tc>
        <w:tc>
          <w:tcPr>
            <w:tcW w:w="0" w:type="auto"/>
            <w:vAlign w:val="center"/>
          </w:tcPr>
          <w:p w14:paraId="06DAECC5" w14:textId="77777777" w:rsidR="003E0A01" w:rsidRPr="003E0A01" w:rsidRDefault="003E0A01" w:rsidP="003E0A01">
            <w:pPr>
              <w:pStyle w:val="TableParagraph"/>
              <w:spacing w:line="228" w:lineRule="exact"/>
              <w:ind w:left="0" w:right="339"/>
              <w:rPr>
                <w:rFonts w:ascii="Arial" w:hAnsi="Arial" w:cs="Arial"/>
                <w:sz w:val="20"/>
                <w:szCs w:val="20"/>
              </w:rPr>
            </w:pPr>
            <w:r w:rsidRPr="003E0A01">
              <w:rPr>
                <w:rFonts w:ascii="Arial" w:hAnsi="Arial" w:cs="Arial"/>
                <w:sz w:val="20"/>
                <w:szCs w:val="20"/>
              </w:rPr>
              <w:t>56.25±0.23b</w:t>
            </w:r>
          </w:p>
        </w:tc>
        <w:tc>
          <w:tcPr>
            <w:tcW w:w="0" w:type="auto"/>
            <w:vAlign w:val="center"/>
          </w:tcPr>
          <w:p w14:paraId="17B9F92A" w14:textId="77777777" w:rsidR="003E0A01" w:rsidRPr="003E0A01" w:rsidRDefault="003E0A01" w:rsidP="003E0A01">
            <w:pPr>
              <w:pStyle w:val="TableParagraph"/>
              <w:spacing w:line="228" w:lineRule="exact"/>
              <w:ind w:left="305" w:right="369"/>
              <w:rPr>
                <w:rFonts w:ascii="Arial" w:hAnsi="Arial" w:cs="Arial"/>
                <w:sz w:val="20"/>
                <w:szCs w:val="20"/>
              </w:rPr>
            </w:pPr>
            <w:r w:rsidRPr="003E0A01">
              <w:rPr>
                <w:rFonts w:ascii="Arial" w:hAnsi="Arial" w:cs="Arial"/>
                <w:sz w:val="20"/>
                <w:szCs w:val="20"/>
              </w:rPr>
              <w:t>11.25±0.09c</w:t>
            </w:r>
          </w:p>
        </w:tc>
      </w:tr>
      <w:tr w:rsidR="003E0A01" w:rsidRPr="003E0A01" w14:paraId="1AFFE307" w14:textId="77777777" w:rsidTr="003E0A01">
        <w:trPr>
          <w:trHeight w:val="470"/>
          <w:jc w:val="center"/>
        </w:trPr>
        <w:tc>
          <w:tcPr>
            <w:tcW w:w="0" w:type="auto"/>
          </w:tcPr>
          <w:p w14:paraId="7C14D17E"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45B5D7F8"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6C2B0F0C"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4.0</w:t>
            </w:r>
          </w:p>
        </w:tc>
        <w:tc>
          <w:tcPr>
            <w:tcW w:w="0" w:type="auto"/>
            <w:vAlign w:val="center"/>
          </w:tcPr>
          <w:p w14:paraId="4AED23EA"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51.25±0.11c</w:t>
            </w:r>
          </w:p>
        </w:tc>
        <w:tc>
          <w:tcPr>
            <w:tcW w:w="0" w:type="auto"/>
            <w:vAlign w:val="center"/>
          </w:tcPr>
          <w:p w14:paraId="068798DC" w14:textId="77777777" w:rsidR="003E0A01" w:rsidRPr="003E0A01" w:rsidRDefault="003E0A01" w:rsidP="003E0A01">
            <w:pPr>
              <w:pStyle w:val="TableParagraph"/>
              <w:spacing w:line="225" w:lineRule="exact"/>
              <w:ind w:left="305" w:right="369"/>
              <w:rPr>
                <w:rFonts w:ascii="Arial" w:hAnsi="Arial" w:cs="Arial"/>
                <w:sz w:val="20"/>
                <w:szCs w:val="20"/>
              </w:rPr>
            </w:pPr>
            <w:r w:rsidRPr="003E0A01">
              <w:rPr>
                <w:rFonts w:ascii="Arial" w:hAnsi="Arial" w:cs="Arial"/>
                <w:sz w:val="20"/>
                <w:szCs w:val="20"/>
              </w:rPr>
              <w:t>10.25±0.10c</w:t>
            </w:r>
          </w:p>
        </w:tc>
      </w:tr>
      <w:tr w:rsidR="003E0A01" w:rsidRPr="003E0A01" w14:paraId="2A72A632" w14:textId="77777777" w:rsidTr="003E0A01">
        <w:trPr>
          <w:trHeight w:val="470"/>
          <w:jc w:val="center"/>
        </w:trPr>
        <w:tc>
          <w:tcPr>
            <w:tcW w:w="0" w:type="auto"/>
          </w:tcPr>
          <w:p w14:paraId="65B5325F"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735A5481"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6B68CB94"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6.0</w:t>
            </w:r>
          </w:p>
        </w:tc>
        <w:tc>
          <w:tcPr>
            <w:tcW w:w="0" w:type="auto"/>
            <w:vAlign w:val="center"/>
          </w:tcPr>
          <w:p w14:paraId="2E56CA34" w14:textId="77777777"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41.25±0.21d</w:t>
            </w:r>
          </w:p>
        </w:tc>
        <w:tc>
          <w:tcPr>
            <w:tcW w:w="0" w:type="auto"/>
            <w:vAlign w:val="center"/>
          </w:tcPr>
          <w:p w14:paraId="5297F3D9" w14:textId="77777777" w:rsidR="003E0A01" w:rsidRPr="003E0A01" w:rsidRDefault="003E0A01" w:rsidP="003E0A01">
            <w:pPr>
              <w:pStyle w:val="TableParagraph"/>
              <w:spacing w:line="225" w:lineRule="exact"/>
              <w:ind w:left="447" w:right="369"/>
              <w:rPr>
                <w:rFonts w:ascii="Arial" w:hAnsi="Arial" w:cs="Arial"/>
                <w:sz w:val="20"/>
                <w:szCs w:val="20"/>
              </w:rPr>
            </w:pPr>
            <w:r w:rsidRPr="003E0A01">
              <w:rPr>
                <w:rFonts w:ascii="Arial" w:hAnsi="Arial" w:cs="Arial"/>
                <w:sz w:val="20"/>
                <w:szCs w:val="20"/>
              </w:rPr>
              <w:t>8.25±0.14e</w:t>
            </w:r>
          </w:p>
        </w:tc>
      </w:tr>
      <w:tr w:rsidR="003E0A01" w:rsidRPr="003E0A01" w14:paraId="7793F6DD" w14:textId="77777777" w:rsidTr="003E0A01">
        <w:trPr>
          <w:trHeight w:val="467"/>
          <w:jc w:val="center"/>
        </w:trPr>
        <w:tc>
          <w:tcPr>
            <w:tcW w:w="0" w:type="auto"/>
          </w:tcPr>
          <w:p w14:paraId="0B5EA841" w14:textId="77777777" w:rsidR="003E0A01" w:rsidRPr="003E0A01" w:rsidRDefault="003E0A01" w:rsidP="001A22C5">
            <w:pPr>
              <w:pStyle w:val="TableParagraph"/>
              <w:spacing w:before="53"/>
              <w:ind w:left="444" w:right="434"/>
              <w:rPr>
                <w:rFonts w:ascii="Arial" w:hAnsi="Arial" w:cs="Arial"/>
                <w:sz w:val="20"/>
                <w:szCs w:val="20"/>
              </w:rPr>
            </w:pPr>
            <w:r w:rsidRPr="003E0A01">
              <w:rPr>
                <w:rFonts w:ascii="Arial" w:hAnsi="Arial" w:cs="Arial"/>
                <w:sz w:val="20"/>
                <w:szCs w:val="20"/>
              </w:rPr>
              <w:t>1.0</w:t>
            </w:r>
          </w:p>
        </w:tc>
        <w:tc>
          <w:tcPr>
            <w:tcW w:w="0" w:type="auto"/>
          </w:tcPr>
          <w:p w14:paraId="49698228" w14:textId="77777777" w:rsidR="003E0A01" w:rsidRPr="003E0A01" w:rsidRDefault="003E0A01" w:rsidP="001A22C5">
            <w:pPr>
              <w:pStyle w:val="TableParagraph"/>
              <w:spacing w:before="53"/>
              <w:rPr>
                <w:rFonts w:ascii="Arial" w:hAnsi="Arial" w:cs="Arial"/>
                <w:sz w:val="20"/>
                <w:szCs w:val="20"/>
              </w:rPr>
            </w:pPr>
            <w:r w:rsidRPr="003E0A01">
              <w:rPr>
                <w:rFonts w:ascii="Arial" w:hAnsi="Arial" w:cs="Arial"/>
                <w:w w:val="99"/>
                <w:sz w:val="20"/>
                <w:szCs w:val="20"/>
              </w:rPr>
              <w:t>-</w:t>
            </w:r>
          </w:p>
        </w:tc>
        <w:tc>
          <w:tcPr>
            <w:tcW w:w="0" w:type="auto"/>
          </w:tcPr>
          <w:p w14:paraId="6FB30960" w14:textId="77777777" w:rsidR="003E0A01" w:rsidRPr="003E0A01" w:rsidRDefault="003E0A01" w:rsidP="001A22C5">
            <w:pPr>
              <w:pStyle w:val="TableParagraph"/>
              <w:spacing w:before="53"/>
              <w:ind w:left="327" w:right="323"/>
              <w:rPr>
                <w:rFonts w:ascii="Arial" w:hAnsi="Arial" w:cs="Arial"/>
                <w:sz w:val="20"/>
                <w:szCs w:val="20"/>
              </w:rPr>
            </w:pPr>
            <w:r w:rsidRPr="003E0A01">
              <w:rPr>
                <w:rFonts w:ascii="Arial" w:hAnsi="Arial" w:cs="Arial"/>
                <w:sz w:val="20"/>
                <w:szCs w:val="20"/>
              </w:rPr>
              <w:t>8.0</w:t>
            </w:r>
          </w:p>
        </w:tc>
        <w:tc>
          <w:tcPr>
            <w:tcW w:w="0" w:type="auto"/>
            <w:vAlign w:val="center"/>
          </w:tcPr>
          <w:p w14:paraId="427BA7B4" w14:textId="4B514F9A" w:rsidR="003E0A01" w:rsidRPr="003E0A01" w:rsidRDefault="003E0A01" w:rsidP="003E0A01">
            <w:pPr>
              <w:pStyle w:val="TableParagraph"/>
              <w:spacing w:line="225" w:lineRule="exact"/>
              <w:ind w:left="0" w:right="339"/>
              <w:rPr>
                <w:rFonts w:ascii="Arial" w:hAnsi="Arial" w:cs="Arial"/>
                <w:sz w:val="20"/>
                <w:szCs w:val="20"/>
              </w:rPr>
            </w:pPr>
            <w:r w:rsidRPr="003E0A01">
              <w:rPr>
                <w:rFonts w:ascii="Arial" w:hAnsi="Arial" w:cs="Arial"/>
                <w:sz w:val="20"/>
                <w:szCs w:val="20"/>
              </w:rPr>
              <w:t>36.50±0.06e</w:t>
            </w:r>
          </w:p>
        </w:tc>
        <w:tc>
          <w:tcPr>
            <w:tcW w:w="0" w:type="auto"/>
            <w:vAlign w:val="center"/>
          </w:tcPr>
          <w:p w14:paraId="1CDD79BD" w14:textId="77777777" w:rsidR="003E0A01" w:rsidRPr="003E0A01" w:rsidRDefault="003E0A01" w:rsidP="003E0A01">
            <w:pPr>
              <w:pStyle w:val="TableParagraph"/>
              <w:spacing w:line="225" w:lineRule="exact"/>
              <w:ind w:left="447" w:right="369"/>
              <w:rPr>
                <w:rFonts w:ascii="Arial" w:hAnsi="Arial" w:cs="Arial"/>
                <w:sz w:val="20"/>
                <w:szCs w:val="20"/>
              </w:rPr>
            </w:pPr>
            <w:r w:rsidRPr="003E0A01">
              <w:rPr>
                <w:rFonts w:ascii="Arial" w:hAnsi="Arial" w:cs="Arial"/>
                <w:sz w:val="20"/>
                <w:szCs w:val="20"/>
              </w:rPr>
              <w:t>7.30±0.14f</w:t>
            </w:r>
          </w:p>
        </w:tc>
      </w:tr>
    </w:tbl>
    <w:p w14:paraId="6624FA1C" w14:textId="77777777" w:rsidR="003E0A01" w:rsidRDefault="003E0A01" w:rsidP="003E0A01">
      <w:pPr>
        <w:pStyle w:val="NoSpacing"/>
        <w:spacing w:line="276" w:lineRule="auto"/>
        <w:jc w:val="both"/>
        <w:rPr>
          <w:rFonts w:ascii="Arial" w:hAnsi="Arial" w:cs="Arial"/>
          <w:sz w:val="20"/>
          <w:szCs w:val="20"/>
        </w:rPr>
      </w:pPr>
    </w:p>
    <w:p w14:paraId="027266C3" w14:textId="5DF39EEE" w:rsidR="003E0A01" w:rsidRPr="003E0A01" w:rsidRDefault="003E0A01" w:rsidP="003E0A01">
      <w:pPr>
        <w:pStyle w:val="NoSpacing"/>
        <w:spacing w:line="276" w:lineRule="auto"/>
        <w:jc w:val="both"/>
        <w:rPr>
          <w:rFonts w:ascii="Arial" w:hAnsi="Arial" w:cs="Arial"/>
          <w:b/>
          <w:bCs/>
          <w:sz w:val="20"/>
          <w:szCs w:val="20"/>
        </w:rPr>
      </w:pPr>
      <w:r w:rsidRPr="003E0A01">
        <w:rPr>
          <w:rFonts w:ascii="Arial" w:hAnsi="Arial" w:cs="Arial"/>
          <w:b/>
          <w:bCs/>
          <w:sz w:val="20"/>
          <w:szCs w:val="20"/>
        </w:rPr>
        <w:t>Table 3. List of RAPD primers used in the present study</w:t>
      </w:r>
    </w:p>
    <w:p w14:paraId="79DCFEA9" w14:textId="77777777" w:rsidR="003E0A01" w:rsidRPr="003E0A01" w:rsidRDefault="003E0A01" w:rsidP="003E0A01">
      <w:pPr>
        <w:pStyle w:val="NoSpacing"/>
        <w:spacing w:line="276" w:lineRule="auto"/>
        <w:jc w:val="both"/>
        <w:rPr>
          <w:rFonts w:ascii="Arial" w:hAnsi="Arial" w:cs="Arial"/>
          <w:sz w:val="20"/>
          <w:szCs w:val="20"/>
        </w:rPr>
      </w:pPr>
    </w:p>
    <w:tbl>
      <w:tblPr>
        <w:tblStyle w:val="TableGrid"/>
        <w:tblW w:w="4720" w:type="pct"/>
        <w:tblLook w:val="04A0" w:firstRow="1" w:lastRow="0" w:firstColumn="1" w:lastColumn="0" w:noHBand="0" w:noVBand="1"/>
      </w:tblPr>
      <w:tblGrid>
        <w:gridCol w:w="988"/>
        <w:gridCol w:w="1563"/>
        <w:gridCol w:w="2129"/>
        <w:gridCol w:w="1845"/>
        <w:gridCol w:w="1986"/>
      </w:tblGrid>
      <w:tr w:rsidR="003E0A01" w:rsidRPr="003E0A01" w14:paraId="6EA1C48B" w14:textId="77777777" w:rsidTr="001A22C5">
        <w:trPr>
          <w:trHeight w:val="904"/>
        </w:trPr>
        <w:tc>
          <w:tcPr>
            <w:tcW w:w="580" w:type="pct"/>
            <w:vAlign w:val="center"/>
          </w:tcPr>
          <w:p w14:paraId="2E227F9A" w14:textId="77777777" w:rsidR="003E0A01" w:rsidRPr="003E0A01" w:rsidRDefault="003E0A01" w:rsidP="003A5332">
            <w:pPr>
              <w:pStyle w:val="NoSpacing"/>
              <w:spacing w:line="276" w:lineRule="auto"/>
              <w:jc w:val="center"/>
              <w:rPr>
                <w:rFonts w:ascii="Arial" w:hAnsi="Arial" w:cs="Arial"/>
                <w:sz w:val="20"/>
                <w:szCs w:val="20"/>
              </w:rPr>
            </w:pPr>
            <w:proofErr w:type="spellStart"/>
            <w:r w:rsidRPr="003E0A01">
              <w:rPr>
                <w:rFonts w:ascii="Arial" w:hAnsi="Arial" w:cs="Arial"/>
                <w:b/>
                <w:bCs/>
                <w:sz w:val="20"/>
                <w:szCs w:val="20"/>
              </w:rPr>
              <w:t>Sl</w:t>
            </w:r>
            <w:proofErr w:type="spellEnd"/>
            <w:r w:rsidRPr="003E0A01">
              <w:rPr>
                <w:rFonts w:ascii="Arial" w:hAnsi="Arial" w:cs="Arial"/>
                <w:b/>
                <w:bCs/>
                <w:sz w:val="20"/>
                <w:szCs w:val="20"/>
              </w:rPr>
              <w:t xml:space="preserve"> no.</w:t>
            </w:r>
          </w:p>
        </w:tc>
        <w:tc>
          <w:tcPr>
            <w:tcW w:w="918" w:type="pct"/>
            <w:vAlign w:val="center"/>
          </w:tcPr>
          <w:p w14:paraId="7C85F834"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Primer</w:t>
            </w:r>
          </w:p>
        </w:tc>
        <w:tc>
          <w:tcPr>
            <w:tcW w:w="1251" w:type="pct"/>
            <w:vAlign w:val="center"/>
          </w:tcPr>
          <w:p w14:paraId="3A8FEB1C"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Sequence 5’-3’</w:t>
            </w:r>
          </w:p>
        </w:tc>
        <w:tc>
          <w:tcPr>
            <w:tcW w:w="1084" w:type="pct"/>
            <w:vAlign w:val="center"/>
          </w:tcPr>
          <w:p w14:paraId="3E3B73B4"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Total no. of bands</w:t>
            </w:r>
          </w:p>
        </w:tc>
        <w:tc>
          <w:tcPr>
            <w:tcW w:w="1167" w:type="pct"/>
            <w:vAlign w:val="center"/>
          </w:tcPr>
          <w:p w14:paraId="09D294C3"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Total no. of monomorphic bands</w:t>
            </w:r>
          </w:p>
        </w:tc>
      </w:tr>
      <w:tr w:rsidR="003E0A01" w:rsidRPr="003E0A01" w14:paraId="508E8612" w14:textId="77777777" w:rsidTr="001A22C5">
        <w:trPr>
          <w:trHeight w:val="301"/>
        </w:trPr>
        <w:tc>
          <w:tcPr>
            <w:tcW w:w="580" w:type="pct"/>
            <w:vAlign w:val="center"/>
          </w:tcPr>
          <w:p w14:paraId="4EFE022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w:t>
            </w:r>
          </w:p>
        </w:tc>
        <w:tc>
          <w:tcPr>
            <w:tcW w:w="918" w:type="pct"/>
            <w:vAlign w:val="center"/>
          </w:tcPr>
          <w:p w14:paraId="01A677F4"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OPA-01</w:t>
            </w:r>
          </w:p>
        </w:tc>
        <w:tc>
          <w:tcPr>
            <w:tcW w:w="1251" w:type="pct"/>
            <w:vAlign w:val="center"/>
          </w:tcPr>
          <w:p w14:paraId="6A548BE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CAGGCCCTTC</w:t>
            </w:r>
          </w:p>
        </w:tc>
        <w:tc>
          <w:tcPr>
            <w:tcW w:w="1084" w:type="pct"/>
            <w:vAlign w:val="center"/>
          </w:tcPr>
          <w:p w14:paraId="4888FD75"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4A70483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0FD424EF" w14:textId="77777777" w:rsidTr="001A22C5">
        <w:trPr>
          <w:trHeight w:val="301"/>
        </w:trPr>
        <w:tc>
          <w:tcPr>
            <w:tcW w:w="580" w:type="pct"/>
            <w:vAlign w:val="center"/>
          </w:tcPr>
          <w:p w14:paraId="06BA4D9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2</w:t>
            </w:r>
          </w:p>
        </w:tc>
        <w:tc>
          <w:tcPr>
            <w:tcW w:w="918" w:type="pct"/>
            <w:vAlign w:val="center"/>
          </w:tcPr>
          <w:p w14:paraId="343E4BC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OPA-12</w:t>
            </w:r>
          </w:p>
        </w:tc>
        <w:tc>
          <w:tcPr>
            <w:tcW w:w="1251" w:type="pct"/>
            <w:vAlign w:val="center"/>
          </w:tcPr>
          <w:p w14:paraId="54EEE40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TCGGCGATAG</w:t>
            </w:r>
          </w:p>
        </w:tc>
        <w:tc>
          <w:tcPr>
            <w:tcW w:w="1084" w:type="pct"/>
            <w:vAlign w:val="center"/>
          </w:tcPr>
          <w:p w14:paraId="6BAF5B6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c>
          <w:tcPr>
            <w:tcW w:w="1167" w:type="pct"/>
            <w:vAlign w:val="center"/>
          </w:tcPr>
          <w:p w14:paraId="41525D5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r>
      <w:tr w:rsidR="003E0A01" w:rsidRPr="003E0A01" w14:paraId="3D2C77BF" w14:textId="77777777" w:rsidTr="001A22C5">
        <w:trPr>
          <w:trHeight w:val="285"/>
        </w:trPr>
        <w:tc>
          <w:tcPr>
            <w:tcW w:w="580" w:type="pct"/>
            <w:vAlign w:val="center"/>
          </w:tcPr>
          <w:p w14:paraId="5899932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3</w:t>
            </w:r>
          </w:p>
        </w:tc>
        <w:tc>
          <w:tcPr>
            <w:tcW w:w="918" w:type="pct"/>
            <w:vAlign w:val="center"/>
          </w:tcPr>
          <w:p w14:paraId="16AE3C92"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OPA-14</w:t>
            </w:r>
          </w:p>
        </w:tc>
        <w:tc>
          <w:tcPr>
            <w:tcW w:w="1251" w:type="pct"/>
            <w:vAlign w:val="center"/>
          </w:tcPr>
          <w:p w14:paraId="35566FE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TCTGTGCTGG</w:t>
            </w:r>
          </w:p>
        </w:tc>
        <w:tc>
          <w:tcPr>
            <w:tcW w:w="1084" w:type="pct"/>
            <w:vAlign w:val="center"/>
          </w:tcPr>
          <w:p w14:paraId="500EBF1D"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c>
          <w:tcPr>
            <w:tcW w:w="1167" w:type="pct"/>
            <w:vAlign w:val="center"/>
          </w:tcPr>
          <w:p w14:paraId="60C6941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r>
      <w:tr w:rsidR="003E0A01" w:rsidRPr="003E0A01" w14:paraId="299AA289" w14:textId="77777777" w:rsidTr="001A22C5">
        <w:trPr>
          <w:trHeight w:val="301"/>
        </w:trPr>
        <w:tc>
          <w:tcPr>
            <w:tcW w:w="580" w:type="pct"/>
            <w:vAlign w:val="center"/>
          </w:tcPr>
          <w:p w14:paraId="6DFAAD1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4</w:t>
            </w:r>
          </w:p>
        </w:tc>
        <w:tc>
          <w:tcPr>
            <w:tcW w:w="918" w:type="pct"/>
            <w:vAlign w:val="center"/>
          </w:tcPr>
          <w:p w14:paraId="44CFD30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OPA-18</w:t>
            </w:r>
          </w:p>
        </w:tc>
        <w:tc>
          <w:tcPr>
            <w:tcW w:w="1251" w:type="pct"/>
            <w:vAlign w:val="center"/>
          </w:tcPr>
          <w:p w14:paraId="73DF94D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AGGTGACCGT</w:t>
            </w:r>
          </w:p>
        </w:tc>
        <w:tc>
          <w:tcPr>
            <w:tcW w:w="1084" w:type="pct"/>
            <w:vAlign w:val="center"/>
          </w:tcPr>
          <w:p w14:paraId="635F2D5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c>
          <w:tcPr>
            <w:tcW w:w="1167" w:type="pct"/>
            <w:vAlign w:val="center"/>
          </w:tcPr>
          <w:p w14:paraId="555B460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r>
      <w:tr w:rsidR="003E0A01" w:rsidRPr="003E0A01" w14:paraId="04E9C6EB" w14:textId="77777777" w:rsidTr="001A22C5">
        <w:trPr>
          <w:trHeight w:val="301"/>
        </w:trPr>
        <w:tc>
          <w:tcPr>
            <w:tcW w:w="580" w:type="pct"/>
            <w:vAlign w:val="center"/>
          </w:tcPr>
          <w:p w14:paraId="2C5A1E63"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5</w:t>
            </w:r>
          </w:p>
        </w:tc>
        <w:tc>
          <w:tcPr>
            <w:tcW w:w="918" w:type="pct"/>
            <w:vAlign w:val="center"/>
          </w:tcPr>
          <w:p w14:paraId="184C93C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OPB-01</w:t>
            </w:r>
          </w:p>
        </w:tc>
        <w:tc>
          <w:tcPr>
            <w:tcW w:w="1251" w:type="pct"/>
            <w:vAlign w:val="center"/>
          </w:tcPr>
          <w:p w14:paraId="4CCE350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GTTTCGCTCC</w:t>
            </w:r>
          </w:p>
        </w:tc>
        <w:tc>
          <w:tcPr>
            <w:tcW w:w="1084" w:type="pct"/>
            <w:vAlign w:val="center"/>
          </w:tcPr>
          <w:p w14:paraId="1DD4169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c>
          <w:tcPr>
            <w:tcW w:w="1167" w:type="pct"/>
            <w:vAlign w:val="center"/>
          </w:tcPr>
          <w:p w14:paraId="6C72A326"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r>
      <w:tr w:rsidR="003E0A01" w:rsidRPr="003E0A01" w14:paraId="1824E32A" w14:textId="77777777" w:rsidTr="001A22C5">
        <w:trPr>
          <w:trHeight w:val="301"/>
        </w:trPr>
        <w:tc>
          <w:tcPr>
            <w:tcW w:w="580" w:type="pct"/>
            <w:vAlign w:val="center"/>
          </w:tcPr>
          <w:p w14:paraId="1780DE3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6</w:t>
            </w:r>
          </w:p>
        </w:tc>
        <w:tc>
          <w:tcPr>
            <w:tcW w:w="918" w:type="pct"/>
            <w:vAlign w:val="center"/>
          </w:tcPr>
          <w:p w14:paraId="45DAC53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OPB-07</w:t>
            </w:r>
          </w:p>
        </w:tc>
        <w:tc>
          <w:tcPr>
            <w:tcW w:w="1251" w:type="pct"/>
            <w:vAlign w:val="center"/>
          </w:tcPr>
          <w:p w14:paraId="74CBCC6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GGTGACGCAG</w:t>
            </w:r>
          </w:p>
        </w:tc>
        <w:tc>
          <w:tcPr>
            <w:tcW w:w="1084" w:type="pct"/>
            <w:vAlign w:val="center"/>
          </w:tcPr>
          <w:p w14:paraId="496C8E7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c>
          <w:tcPr>
            <w:tcW w:w="1167" w:type="pct"/>
            <w:vAlign w:val="center"/>
          </w:tcPr>
          <w:p w14:paraId="64A1396C"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r>
      <w:tr w:rsidR="003E0A01" w:rsidRPr="003E0A01" w14:paraId="42DD544C" w14:textId="77777777" w:rsidTr="001A22C5">
        <w:trPr>
          <w:trHeight w:val="285"/>
        </w:trPr>
        <w:tc>
          <w:tcPr>
            <w:tcW w:w="580" w:type="pct"/>
            <w:vAlign w:val="center"/>
          </w:tcPr>
          <w:p w14:paraId="5A2B908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7</w:t>
            </w:r>
          </w:p>
        </w:tc>
        <w:tc>
          <w:tcPr>
            <w:tcW w:w="918" w:type="pct"/>
            <w:vAlign w:val="center"/>
          </w:tcPr>
          <w:p w14:paraId="545590A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OPC-05</w:t>
            </w:r>
          </w:p>
        </w:tc>
        <w:tc>
          <w:tcPr>
            <w:tcW w:w="1251" w:type="pct"/>
            <w:vAlign w:val="center"/>
          </w:tcPr>
          <w:p w14:paraId="719BDE5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GATGACCGCC</w:t>
            </w:r>
          </w:p>
        </w:tc>
        <w:tc>
          <w:tcPr>
            <w:tcW w:w="1084" w:type="pct"/>
            <w:vAlign w:val="center"/>
          </w:tcPr>
          <w:p w14:paraId="03AD90D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349B3F6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42D49D07" w14:textId="77777777" w:rsidTr="001A22C5">
        <w:trPr>
          <w:trHeight w:val="301"/>
        </w:trPr>
        <w:tc>
          <w:tcPr>
            <w:tcW w:w="580" w:type="pct"/>
            <w:vAlign w:val="center"/>
          </w:tcPr>
          <w:p w14:paraId="3FF7D2A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8</w:t>
            </w:r>
          </w:p>
        </w:tc>
        <w:tc>
          <w:tcPr>
            <w:tcW w:w="918" w:type="pct"/>
            <w:vAlign w:val="center"/>
          </w:tcPr>
          <w:p w14:paraId="215A4CB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OPC-07</w:t>
            </w:r>
          </w:p>
        </w:tc>
        <w:tc>
          <w:tcPr>
            <w:tcW w:w="1251" w:type="pct"/>
            <w:vAlign w:val="center"/>
          </w:tcPr>
          <w:p w14:paraId="203D7A0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GTCCCGACGA</w:t>
            </w:r>
          </w:p>
        </w:tc>
        <w:tc>
          <w:tcPr>
            <w:tcW w:w="1084" w:type="pct"/>
            <w:vAlign w:val="center"/>
          </w:tcPr>
          <w:p w14:paraId="717EE97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167" w:type="pct"/>
            <w:vAlign w:val="center"/>
          </w:tcPr>
          <w:p w14:paraId="2CD0017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66F5C14C" w14:textId="77777777" w:rsidTr="001A22C5">
        <w:trPr>
          <w:trHeight w:val="301"/>
        </w:trPr>
        <w:tc>
          <w:tcPr>
            <w:tcW w:w="580" w:type="pct"/>
            <w:vAlign w:val="center"/>
          </w:tcPr>
          <w:p w14:paraId="7198DFD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9</w:t>
            </w:r>
          </w:p>
        </w:tc>
        <w:tc>
          <w:tcPr>
            <w:tcW w:w="918" w:type="pct"/>
            <w:vAlign w:val="center"/>
          </w:tcPr>
          <w:p w14:paraId="10D14F0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OPC-09</w:t>
            </w:r>
          </w:p>
        </w:tc>
        <w:tc>
          <w:tcPr>
            <w:tcW w:w="1251" w:type="pct"/>
            <w:vAlign w:val="center"/>
          </w:tcPr>
          <w:p w14:paraId="48D23B8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CTCACCGTCC</w:t>
            </w:r>
          </w:p>
        </w:tc>
        <w:tc>
          <w:tcPr>
            <w:tcW w:w="1084" w:type="pct"/>
            <w:vAlign w:val="center"/>
          </w:tcPr>
          <w:p w14:paraId="44427E6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c>
          <w:tcPr>
            <w:tcW w:w="1167" w:type="pct"/>
            <w:vAlign w:val="center"/>
          </w:tcPr>
          <w:p w14:paraId="45F8703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8</w:t>
            </w:r>
          </w:p>
        </w:tc>
      </w:tr>
      <w:tr w:rsidR="003E0A01" w:rsidRPr="003E0A01" w14:paraId="46D37EB9" w14:textId="77777777" w:rsidTr="001A22C5">
        <w:trPr>
          <w:trHeight w:val="301"/>
        </w:trPr>
        <w:tc>
          <w:tcPr>
            <w:tcW w:w="580" w:type="pct"/>
            <w:vAlign w:val="center"/>
          </w:tcPr>
          <w:p w14:paraId="7D05803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10</w:t>
            </w:r>
          </w:p>
        </w:tc>
        <w:tc>
          <w:tcPr>
            <w:tcW w:w="918" w:type="pct"/>
            <w:vAlign w:val="center"/>
          </w:tcPr>
          <w:p w14:paraId="57147E4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OPC-11</w:t>
            </w:r>
          </w:p>
        </w:tc>
        <w:tc>
          <w:tcPr>
            <w:tcW w:w="1251" w:type="pct"/>
            <w:vAlign w:val="center"/>
          </w:tcPr>
          <w:p w14:paraId="483CF13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AAAGCTGCGG</w:t>
            </w:r>
          </w:p>
        </w:tc>
        <w:tc>
          <w:tcPr>
            <w:tcW w:w="1084" w:type="pct"/>
            <w:vAlign w:val="center"/>
          </w:tcPr>
          <w:p w14:paraId="64FE7DC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122C415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7333EFD3" w14:textId="77777777" w:rsidTr="001A22C5">
        <w:trPr>
          <w:trHeight w:val="285"/>
        </w:trPr>
        <w:tc>
          <w:tcPr>
            <w:tcW w:w="580" w:type="pct"/>
            <w:vAlign w:val="center"/>
          </w:tcPr>
          <w:p w14:paraId="3AB14A1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11</w:t>
            </w:r>
          </w:p>
        </w:tc>
        <w:tc>
          <w:tcPr>
            <w:tcW w:w="918" w:type="pct"/>
            <w:vAlign w:val="center"/>
          </w:tcPr>
          <w:p w14:paraId="3E730CE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OPC-13</w:t>
            </w:r>
          </w:p>
        </w:tc>
        <w:tc>
          <w:tcPr>
            <w:tcW w:w="1251" w:type="pct"/>
            <w:vAlign w:val="center"/>
          </w:tcPr>
          <w:p w14:paraId="5EC2992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AAGCCTCGTC</w:t>
            </w:r>
          </w:p>
        </w:tc>
        <w:tc>
          <w:tcPr>
            <w:tcW w:w="1084" w:type="pct"/>
            <w:vAlign w:val="center"/>
          </w:tcPr>
          <w:p w14:paraId="6A7AB04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167" w:type="pct"/>
            <w:vAlign w:val="center"/>
          </w:tcPr>
          <w:p w14:paraId="7FC993B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4BD3ABD0" w14:textId="77777777" w:rsidTr="001A22C5">
        <w:trPr>
          <w:trHeight w:val="301"/>
        </w:trPr>
        <w:tc>
          <w:tcPr>
            <w:tcW w:w="580" w:type="pct"/>
            <w:vAlign w:val="center"/>
          </w:tcPr>
          <w:p w14:paraId="2A845BA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12</w:t>
            </w:r>
          </w:p>
        </w:tc>
        <w:tc>
          <w:tcPr>
            <w:tcW w:w="918" w:type="pct"/>
            <w:vAlign w:val="center"/>
          </w:tcPr>
          <w:p w14:paraId="32BDD69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OPD-20</w:t>
            </w:r>
          </w:p>
        </w:tc>
        <w:tc>
          <w:tcPr>
            <w:tcW w:w="1251" w:type="pct"/>
            <w:vAlign w:val="center"/>
          </w:tcPr>
          <w:p w14:paraId="37DE110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ACCCGGTCAC</w:t>
            </w:r>
          </w:p>
        </w:tc>
        <w:tc>
          <w:tcPr>
            <w:tcW w:w="1084" w:type="pct"/>
            <w:vAlign w:val="center"/>
          </w:tcPr>
          <w:p w14:paraId="5D413AB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9</w:t>
            </w:r>
          </w:p>
        </w:tc>
        <w:tc>
          <w:tcPr>
            <w:tcW w:w="1167" w:type="pct"/>
            <w:vAlign w:val="center"/>
          </w:tcPr>
          <w:p w14:paraId="2A77AA7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9</w:t>
            </w:r>
          </w:p>
        </w:tc>
      </w:tr>
      <w:tr w:rsidR="003E0A01" w:rsidRPr="003E0A01" w14:paraId="653E2C19" w14:textId="77777777" w:rsidTr="001A22C5">
        <w:trPr>
          <w:trHeight w:val="301"/>
        </w:trPr>
        <w:tc>
          <w:tcPr>
            <w:tcW w:w="580" w:type="pct"/>
            <w:vAlign w:val="center"/>
          </w:tcPr>
          <w:p w14:paraId="12732BD3"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lastRenderedPageBreak/>
              <w:t>13</w:t>
            </w:r>
          </w:p>
        </w:tc>
        <w:tc>
          <w:tcPr>
            <w:tcW w:w="918" w:type="pct"/>
            <w:vAlign w:val="center"/>
          </w:tcPr>
          <w:p w14:paraId="6764E84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OPD-18</w:t>
            </w:r>
          </w:p>
        </w:tc>
        <w:tc>
          <w:tcPr>
            <w:tcW w:w="1251" w:type="pct"/>
            <w:vAlign w:val="center"/>
          </w:tcPr>
          <w:p w14:paraId="25301FE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GAGAGCCAAC</w:t>
            </w:r>
          </w:p>
        </w:tc>
        <w:tc>
          <w:tcPr>
            <w:tcW w:w="1084" w:type="pct"/>
            <w:vAlign w:val="center"/>
          </w:tcPr>
          <w:p w14:paraId="42456DB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c>
          <w:tcPr>
            <w:tcW w:w="1167" w:type="pct"/>
            <w:vAlign w:val="center"/>
          </w:tcPr>
          <w:p w14:paraId="7C8DC15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7</w:t>
            </w:r>
          </w:p>
        </w:tc>
      </w:tr>
      <w:tr w:rsidR="003E0A01" w:rsidRPr="003E0A01" w14:paraId="0F3FC08F" w14:textId="77777777" w:rsidTr="001A22C5">
        <w:trPr>
          <w:trHeight w:val="301"/>
        </w:trPr>
        <w:tc>
          <w:tcPr>
            <w:tcW w:w="580" w:type="pct"/>
            <w:vAlign w:val="center"/>
          </w:tcPr>
          <w:p w14:paraId="1D2E95A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14</w:t>
            </w:r>
          </w:p>
        </w:tc>
        <w:tc>
          <w:tcPr>
            <w:tcW w:w="918" w:type="pct"/>
            <w:vAlign w:val="center"/>
          </w:tcPr>
          <w:p w14:paraId="1F30B21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OPAM-01</w:t>
            </w:r>
          </w:p>
        </w:tc>
        <w:tc>
          <w:tcPr>
            <w:tcW w:w="1251" w:type="pct"/>
            <w:vAlign w:val="center"/>
          </w:tcPr>
          <w:p w14:paraId="2A2DD914"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TCACGTACGG</w:t>
            </w:r>
          </w:p>
        </w:tc>
        <w:tc>
          <w:tcPr>
            <w:tcW w:w="1084" w:type="pct"/>
            <w:vAlign w:val="center"/>
          </w:tcPr>
          <w:p w14:paraId="3BEDA63D"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270F411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77B4CAA1" w14:textId="77777777" w:rsidTr="001A22C5">
        <w:trPr>
          <w:trHeight w:val="301"/>
        </w:trPr>
        <w:tc>
          <w:tcPr>
            <w:tcW w:w="580" w:type="pct"/>
            <w:vAlign w:val="center"/>
          </w:tcPr>
          <w:p w14:paraId="1BCAD4D7"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15</w:t>
            </w:r>
          </w:p>
        </w:tc>
        <w:tc>
          <w:tcPr>
            <w:tcW w:w="918" w:type="pct"/>
            <w:vAlign w:val="center"/>
          </w:tcPr>
          <w:p w14:paraId="4F53F9F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OPAM-18</w:t>
            </w:r>
          </w:p>
        </w:tc>
        <w:tc>
          <w:tcPr>
            <w:tcW w:w="1251" w:type="pct"/>
            <w:vAlign w:val="center"/>
          </w:tcPr>
          <w:p w14:paraId="63AA86D3"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ACGGGACTCT</w:t>
            </w:r>
          </w:p>
        </w:tc>
        <w:tc>
          <w:tcPr>
            <w:tcW w:w="1084" w:type="pct"/>
            <w:vAlign w:val="center"/>
          </w:tcPr>
          <w:p w14:paraId="200328A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c>
          <w:tcPr>
            <w:tcW w:w="1167" w:type="pct"/>
            <w:vAlign w:val="center"/>
          </w:tcPr>
          <w:p w14:paraId="343BDDB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w:t>
            </w:r>
          </w:p>
        </w:tc>
      </w:tr>
      <w:tr w:rsidR="003E0A01" w:rsidRPr="003E0A01" w14:paraId="28C17961" w14:textId="77777777" w:rsidTr="001A22C5">
        <w:trPr>
          <w:trHeight w:val="285"/>
        </w:trPr>
        <w:tc>
          <w:tcPr>
            <w:tcW w:w="580" w:type="pct"/>
            <w:vAlign w:val="center"/>
          </w:tcPr>
          <w:p w14:paraId="6DCE81F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b/>
                <w:bCs/>
                <w:sz w:val="20"/>
                <w:szCs w:val="20"/>
              </w:rPr>
              <w:t>Total</w:t>
            </w:r>
          </w:p>
        </w:tc>
        <w:tc>
          <w:tcPr>
            <w:tcW w:w="918" w:type="pct"/>
            <w:vAlign w:val="center"/>
          </w:tcPr>
          <w:p w14:paraId="265BD358" w14:textId="77777777" w:rsidR="003E0A01" w:rsidRPr="003E0A01" w:rsidRDefault="003E0A01" w:rsidP="001A22C5">
            <w:pPr>
              <w:pStyle w:val="NoSpacing"/>
              <w:spacing w:line="276" w:lineRule="auto"/>
              <w:jc w:val="both"/>
              <w:rPr>
                <w:rFonts w:ascii="Arial" w:hAnsi="Arial" w:cs="Arial"/>
                <w:sz w:val="20"/>
                <w:szCs w:val="20"/>
              </w:rPr>
            </w:pPr>
          </w:p>
        </w:tc>
        <w:tc>
          <w:tcPr>
            <w:tcW w:w="1251" w:type="pct"/>
            <w:vAlign w:val="center"/>
          </w:tcPr>
          <w:p w14:paraId="2BC793E3" w14:textId="77777777" w:rsidR="003E0A01" w:rsidRPr="003E0A01" w:rsidRDefault="003E0A01" w:rsidP="001A22C5">
            <w:pPr>
              <w:pStyle w:val="NoSpacing"/>
              <w:spacing w:line="276" w:lineRule="auto"/>
              <w:jc w:val="both"/>
              <w:rPr>
                <w:rFonts w:ascii="Arial" w:hAnsi="Arial" w:cs="Arial"/>
                <w:sz w:val="20"/>
                <w:szCs w:val="20"/>
              </w:rPr>
            </w:pPr>
          </w:p>
        </w:tc>
        <w:tc>
          <w:tcPr>
            <w:tcW w:w="1084" w:type="pct"/>
            <w:vAlign w:val="center"/>
          </w:tcPr>
          <w:p w14:paraId="228138C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b/>
                <w:bCs/>
                <w:sz w:val="20"/>
                <w:szCs w:val="20"/>
              </w:rPr>
              <w:t>84</w:t>
            </w:r>
          </w:p>
        </w:tc>
        <w:tc>
          <w:tcPr>
            <w:tcW w:w="1167" w:type="pct"/>
            <w:vAlign w:val="center"/>
          </w:tcPr>
          <w:p w14:paraId="526C889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b/>
                <w:bCs/>
                <w:sz w:val="20"/>
                <w:szCs w:val="20"/>
              </w:rPr>
              <w:t>84</w:t>
            </w:r>
          </w:p>
        </w:tc>
      </w:tr>
    </w:tbl>
    <w:p w14:paraId="215A3444" w14:textId="77777777" w:rsidR="003E0A01" w:rsidRPr="003E0A01" w:rsidRDefault="003E0A01" w:rsidP="003E0A01">
      <w:pPr>
        <w:pStyle w:val="NoSpacing"/>
        <w:spacing w:line="276" w:lineRule="auto"/>
        <w:jc w:val="both"/>
        <w:rPr>
          <w:rFonts w:ascii="Arial" w:hAnsi="Arial" w:cs="Arial"/>
          <w:sz w:val="20"/>
          <w:szCs w:val="20"/>
        </w:rPr>
      </w:pPr>
    </w:p>
    <w:p w14:paraId="1C93C6C2" w14:textId="77777777" w:rsidR="003E0A01" w:rsidRPr="003E0A01" w:rsidRDefault="003E0A01" w:rsidP="003E0A01">
      <w:pPr>
        <w:pStyle w:val="NoSpacing"/>
        <w:spacing w:line="276" w:lineRule="auto"/>
        <w:jc w:val="both"/>
        <w:rPr>
          <w:rFonts w:ascii="Arial" w:hAnsi="Arial" w:cs="Arial"/>
          <w:sz w:val="20"/>
          <w:szCs w:val="20"/>
        </w:rPr>
      </w:pPr>
    </w:p>
    <w:p w14:paraId="5A3B9315" w14:textId="77777777" w:rsidR="003E0A01" w:rsidRPr="003A5332" w:rsidRDefault="003E0A01" w:rsidP="003E0A01">
      <w:pPr>
        <w:pStyle w:val="NoSpacing"/>
        <w:spacing w:line="276" w:lineRule="auto"/>
        <w:jc w:val="both"/>
        <w:rPr>
          <w:rFonts w:ascii="Arial" w:hAnsi="Arial" w:cs="Arial"/>
          <w:b/>
          <w:bCs/>
          <w:sz w:val="20"/>
          <w:szCs w:val="20"/>
        </w:rPr>
      </w:pPr>
      <w:r w:rsidRPr="003A5332">
        <w:rPr>
          <w:rFonts w:ascii="Arial" w:hAnsi="Arial" w:cs="Arial"/>
          <w:b/>
          <w:bCs/>
          <w:sz w:val="20"/>
          <w:szCs w:val="20"/>
        </w:rPr>
        <w:t>Table 4. List of ISSR primers used in the present study</w:t>
      </w:r>
    </w:p>
    <w:p w14:paraId="3A867C7F" w14:textId="77777777" w:rsidR="003E0A01" w:rsidRPr="003E0A01" w:rsidRDefault="003E0A01" w:rsidP="003E0A01">
      <w:pPr>
        <w:pStyle w:val="NoSpacing"/>
        <w:spacing w:line="276"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56"/>
        <w:gridCol w:w="1123"/>
        <w:gridCol w:w="3321"/>
        <w:gridCol w:w="996"/>
        <w:gridCol w:w="1024"/>
        <w:gridCol w:w="1596"/>
      </w:tblGrid>
      <w:tr w:rsidR="003E0A01" w:rsidRPr="003E0A01" w14:paraId="4F2ED50D" w14:textId="77777777" w:rsidTr="001A22C5">
        <w:tc>
          <w:tcPr>
            <w:tcW w:w="956" w:type="dxa"/>
            <w:vAlign w:val="center"/>
          </w:tcPr>
          <w:p w14:paraId="5462F53E" w14:textId="77777777" w:rsidR="003E0A01" w:rsidRPr="003E0A01" w:rsidRDefault="003E0A01" w:rsidP="003A5332">
            <w:pPr>
              <w:pStyle w:val="NoSpacing"/>
              <w:spacing w:line="276" w:lineRule="auto"/>
              <w:jc w:val="center"/>
              <w:rPr>
                <w:rFonts w:ascii="Arial" w:hAnsi="Arial" w:cs="Arial"/>
                <w:sz w:val="20"/>
                <w:szCs w:val="20"/>
              </w:rPr>
            </w:pPr>
            <w:proofErr w:type="spellStart"/>
            <w:r w:rsidRPr="003E0A01">
              <w:rPr>
                <w:rFonts w:ascii="Arial" w:hAnsi="Arial" w:cs="Arial"/>
                <w:b/>
                <w:bCs/>
                <w:sz w:val="20"/>
                <w:szCs w:val="20"/>
              </w:rPr>
              <w:t>Sl</w:t>
            </w:r>
            <w:proofErr w:type="spellEnd"/>
            <w:r w:rsidRPr="003E0A01">
              <w:rPr>
                <w:rFonts w:ascii="Arial" w:hAnsi="Arial" w:cs="Arial"/>
                <w:b/>
                <w:bCs/>
                <w:sz w:val="20"/>
                <w:szCs w:val="20"/>
              </w:rPr>
              <w:t xml:space="preserve"> no.</w:t>
            </w:r>
          </w:p>
        </w:tc>
        <w:tc>
          <w:tcPr>
            <w:tcW w:w="1123" w:type="dxa"/>
            <w:vAlign w:val="center"/>
          </w:tcPr>
          <w:p w14:paraId="736734F2"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Primer Name</w:t>
            </w:r>
          </w:p>
        </w:tc>
        <w:tc>
          <w:tcPr>
            <w:tcW w:w="3321" w:type="dxa"/>
            <w:vAlign w:val="center"/>
          </w:tcPr>
          <w:p w14:paraId="5967178E"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Sequence 5’-3’</w:t>
            </w:r>
          </w:p>
        </w:tc>
        <w:tc>
          <w:tcPr>
            <w:tcW w:w="996" w:type="dxa"/>
            <w:vAlign w:val="center"/>
          </w:tcPr>
          <w:p w14:paraId="62FF954D"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Ann. Temp (°C)</w:t>
            </w:r>
          </w:p>
        </w:tc>
        <w:tc>
          <w:tcPr>
            <w:tcW w:w="1024" w:type="dxa"/>
            <w:vAlign w:val="center"/>
          </w:tcPr>
          <w:p w14:paraId="020F8856" w14:textId="77777777" w:rsidR="003E0A01" w:rsidRPr="003E0A01" w:rsidRDefault="003E0A01" w:rsidP="003A5332">
            <w:pPr>
              <w:pStyle w:val="NoSpacing"/>
              <w:spacing w:line="276" w:lineRule="auto"/>
              <w:jc w:val="center"/>
              <w:rPr>
                <w:rFonts w:ascii="Arial" w:hAnsi="Arial" w:cs="Arial"/>
                <w:sz w:val="20"/>
                <w:szCs w:val="20"/>
              </w:rPr>
            </w:pPr>
            <w:r w:rsidRPr="003E0A01">
              <w:rPr>
                <w:rFonts w:ascii="Arial" w:hAnsi="Arial" w:cs="Arial"/>
                <w:b/>
                <w:bCs/>
                <w:sz w:val="20"/>
                <w:szCs w:val="20"/>
              </w:rPr>
              <w:t>Total no. of bands</w:t>
            </w:r>
          </w:p>
        </w:tc>
        <w:tc>
          <w:tcPr>
            <w:tcW w:w="1596" w:type="dxa"/>
            <w:vAlign w:val="bottom"/>
          </w:tcPr>
          <w:p w14:paraId="28EE0B28" w14:textId="77777777" w:rsidR="003E0A01" w:rsidRPr="003E0A01" w:rsidRDefault="003E0A01" w:rsidP="003A5332">
            <w:pPr>
              <w:pStyle w:val="NoSpacing"/>
              <w:spacing w:line="276" w:lineRule="auto"/>
              <w:jc w:val="center"/>
              <w:rPr>
                <w:rFonts w:ascii="Arial" w:hAnsi="Arial" w:cs="Arial"/>
                <w:b/>
                <w:bCs/>
                <w:sz w:val="20"/>
                <w:szCs w:val="20"/>
              </w:rPr>
            </w:pPr>
            <w:r w:rsidRPr="003E0A01">
              <w:rPr>
                <w:rFonts w:ascii="Arial" w:hAnsi="Arial" w:cs="Arial"/>
                <w:b/>
                <w:bCs/>
                <w:sz w:val="20"/>
                <w:szCs w:val="20"/>
              </w:rPr>
              <w:t>Total no. of monomorphic bands</w:t>
            </w:r>
          </w:p>
        </w:tc>
      </w:tr>
      <w:tr w:rsidR="003E0A01" w:rsidRPr="003E0A01" w14:paraId="36BAA800" w14:textId="77777777" w:rsidTr="001A22C5">
        <w:tc>
          <w:tcPr>
            <w:tcW w:w="956" w:type="dxa"/>
            <w:vAlign w:val="center"/>
          </w:tcPr>
          <w:p w14:paraId="52B02432"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w:t>
            </w:r>
          </w:p>
        </w:tc>
        <w:tc>
          <w:tcPr>
            <w:tcW w:w="1123" w:type="dxa"/>
            <w:vAlign w:val="center"/>
          </w:tcPr>
          <w:p w14:paraId="4A696F2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ISSR-6</w:t>
            </w:r>
          </w:p>
        </w:tc>
        <w:tc>
          <w:tcPr>
            <w:tcW w:w="3321" w:type="dxa"/>
            <w:vAlign w:val="center"/>
          </w:tcPr>
          <w:p w14:paraId="49D9EE9A"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CACACACACACAAG</w:t>
            </w:r>
          </w:p>
        </w:tc>
        <w:tc>
          <w:tcPr>
            <w:tcW w:w="996" w:type="dxa"/>
            <w:vAlign w:val="center"/>
          </w:tcPr>
          <w:p w14:paraId="48A3761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45</w:t>
            </w:r>
          </w:p>
        </w:tc>
        <w:tc>
          <w:tcPr>
            <w:tcW w:w="1024" w:type="dxa"/>
            <w:vAlign w:val="center"/>
          </w:tcPr>
          <w:p w14:paraId="41F54823"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c>
          <w:tcPr>
            <w:tcW w:w="1596" w:type="dxa"/>
            <w:vAlign w:val="center"/>
          </w:tcPr>
          <w:p w14:paraId="79DD380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r>
      <w:tr w:rsidR="003E0A01" w:rsidRPr="003E0A01" w14:paraId="0DF428FC" w14:textId="77777777" w:rsidTr="001A22C5">
        <w:tc>
          <w:tcPr>
            <w:tcW w:w="956" w:type="dxa"/>
            <w:vAlign w:val="center"/>
          </w:tcPr>
          <w:p w14:paraId="31CBEAD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2</w:t>
            </w:r>
          </w:p>
        </w:tc>
        <w:tc>
          <w:tcPr>
            <w:tcW w:w="1123" w:type="dxa"/>
            <w:vAlign w:val="center"/>
          </w:tcPr>
          <w:p w14:paraId="76FCB74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UBC-811</w:t>
            </w:r>
          </w:p>
        </w:tc>
        <w:tc>
          <w:tcPr>
            <w:tcW w:w="3321" w:type="dxa"/>
            <w:vAlign w:val="center"/>
          </w:tcPr>
          <w:p w14:paraId="580F3C9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GAGAGAGAGAGAGAGAC</w:t>
            </w:r>
          </w:p>
        </w:tc>
        <w:tc>
          <w:tcPr>
            <w:tcW w:w="996" w:type="dxa"/>
            <w:vAlign w:val="center"/>
          </w:tcPr>
          <w:p w14:paraId="5B93353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50</w:t>
            </w:r>
          </w:p>
        </w:tc>
        <w:tc>
          <w:tcPr>
            <w:tcW w:w="1024" w:type="dxa"/>
            <w:vAlign w:val="center"/>
          </w:tcPr>
          <w:p w14:paraId="396D046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11</w:t>
            </w:r>
          </w:p>
        </w:tc>
        <w:tc>
          <w:tcPr>
            <w:tcW w:w="1596" w:type="dxa"/>
            <w:vAlign w:val="center"/>
          </w:tcPr>
          <w:p w14:paraId="264DB3B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11</w:t>
            </w:r>
          </w:p>
        </w:tc>
      </w:tr>
      <w:tr w:rsidR="003E0A01" w:rsidRPr="003E0A01" w14:paraId="7924376D" w14:textId="77777777" w:rsidTr="001A22C5">
        <w:tc>
          <w:tcPr>
            <w:tcW w:w="956" w:type="dxa"/>
            <w:vAlign w:val="center"/>
          </w:tcPr>
          <w:p w14:paraId="6AD4F32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3</w:t>
            </w:r>
          </w:p>
        </w:tc>
        <w:tc>
          <w:tcPr>
            <w:tcW w:w="1123" w:type="dxa"/>
            <w:vAlign w:val="center"/>
          </w:tcPr>
          <w:p w14:paraId="06822F4A"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IG-10</w:t>
            </w:r>
          </w:p>
        </w:tc>
        <w:tc>
          <w:tcPr>
            <w:tcW w:w="3321" w:type="dxa"/>
            <w:vAlign w:val="center"/>
          </w:tcPr>
          <w:p w14:paraId="4B5CDBDC"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AGAGAGAGAGAGAGAGC</w:t>
            </w:r>
          </w:p>
        </w:tc>
        <w:tc>
          <w:tcPr>
            <w:tcW w:w="996" w:type="dxa"/>
            <w:vAlign w:val="center"/>
          </w:tcPr>
          <w:p w14:paraId="446B66A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56.4</w:t>
            </w:r>
          </w:p>
        </w:tc>
        <w:tc>
          <w:tcPr>
            <w:tcW w:w="1024" w:type="dxa"/>
            <w:vAlign w:val="center"/>
          </w:tcPr>
          <w:p w14:paraId="674F004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13</w:t>
            </w:r>
          </w:p>
        </w:tc>
        <w:tc>
          <w:tcPr>
            <w:tcW w:w="1596" w:type="dxa"/>
            <w:vAlign w:val="center"/>
          </w:tcPr>
          <w:p w14:paraId="5CCB2A57"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13</w:t>
            </w:r>
          </w:p>
        </w:tc>
      </w:tr>
      <w:tr w:rsidR="003E0A01" w:rsidRPr="003E0A01" w14:paraId="6294E87B" w14:textId="77777777" w:rsidTr="001A22C5">
        <w:tc>
          <w:tcPr>
            <w:tcW w:w="956" w:type="dxa"/>
            <w:vAlign w:val="center"/>
          </w:tcPr>
          <w:p w14:paraId="7D6F390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4</w:t>
            </w:r>
          </w:p>
        </w:tc>
        <w:tc>
          <w:tcPr>
            <w:tcW w:w="1123" w:type="dxa"/>
            <w:vAlign w:val="center"/>
          </w:tcPr>
          <w:p w14:paraId="2EEC634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ISSR 10/15</w:t>
            </w:r>
          </w:p>
        </w:tc>
        <w:tc>
          <w:tcPr>
            <w:tcW w:w="3321" w:type="dxa"/>
            <w:vAlign w:val="center"/>
          </w:tcPr>
          <w:p w14:paraId="3DA9F74F"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CCCGTGTGTGTGTGT</w:t>
            </w:r>
          </w:p>
        </w:tc>
        <w:tc>
          <w:tcPr>
            <w:tcW w:w="996" w:type="dxa"/>
            <w:vAlign w:val="center"/>
          </w:tcPr>
          <w:p w14:paraId="3C815AF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52.2</w:t>
            </w:r>
          </w:p>
        </w:tc>
        <w:tc>
          <w:tcPr>
            <w:tcW w:w="1024" w:type="dxa"/>
            <w:vAlign w:val="center"/>
          </w:tcPr>
          <w:p w14:paraId="498C1B63"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3</w:t>
            </w:r>
          </w:p>
        </w:tc>
        <w:tc>
          <w:tcPr>
            <w:tcW w:w="1596" w:type="dxa"/>
            <w:vAlign w:val="center"/>
          </w:tcPr>
          <w:p w14:paraId="1F03746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3</w:t>
            </w:r>
          </w:p>
        </w:tc>
      </w:tr>
      <w:tr w:rsidR="003E0A01" w:rsidRPr="003E0A01" w14:paraId="2F688E15" w14:textId="77777777" w:rsidTr="001A22C5">
        <w:tc>
          <w:tcPr>
            <w:tcW w:w="956" w:type="dxa"/>
            <w:vAlign w:val="center"/>
          </w:tcPr>
          <w:p w14:paraId="05A7B3D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5</w:t>
            </w:r>
          </w:p>
        </w:tc>
        <w:tc>
          <w:tcPr>
            <w:tcW w:w="1123" w:type="dxa"/>
            <w:vAlign w:val="center"/>
          </w:tcPr>
          <w:p w14:paraId="0DAA197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IG-19</w:t>
            </w:r>
          </w:p>
        </w:tc>
        <w:tc>
          <w:tcPr>
            <w:tcW w:w="3321" w:type="dxa"/>
            <w:vAlign w:val="center"/>
          </w:tcPr>
          <w:p w14:paraId="519EC69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TGGAACACACACACACAC</w:t>
            </w:r>
          </w:p>
        </w:tc>
        <w:tc>
          <w:tcPr>
            <w:tcW w:w="996" w:type="dxa"/>
            <w:vAlign w:val="center"/>
          </w:tcPr>
          <w:p w14:paraId="53354DB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55.1</w:t>
            </w:r>
          </w:p>
        </w:tc>
        <w:tc>
          <w:tcPr>
            <w:tcW w:w="1024" w:type="dxa"/>
            <w:vAlign w:val="center"/>
          </w:tcPr>
          <w:p w14:paraId="3EF374E5"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596" w:type="dxa"/>
            <w:vAlign w:val="center"/>
          </w:tcPr>
          <w:p w14:paraId="1CD841F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7769E780" w14:textId="77777777" w:rsidTr="001A22C5">
        <w:tc>
          <w:tcPr>
            <w:tcW w:w="956" w:type="dxa"/>
            <w:vAlign w:val="center"/>
          </w:tcPr>
          <w:p w14:paraId="591F892E"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6</w:t>
            </w:r>
          </w:p>
        </w:tc>
        <w:tc>
          <w:tcPr>
            <w:tcW w:w="1123" w:type="dxa"/>
            <w:vAlign w:val="center"/>
          </w:tcPr>
          <w:p w14:paraId="29DE837A"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IG-09</w:t>
            </w:r>
          </w:p>
        </w:tc>
        <w:tc>
          <w:tcPr>
            <w:tcW w:w="3321" w:type="dxa"/>
            <w:vAlign w:val="center"/>
          </w:tcPr>
          <w:p w14:paraId="5866AA06"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AGAGAGAGAGAGAGAGT</w:t>
            </w:r>
          </w:p>
        </w:tc>
        <w:tc>
          <w:tcPr>
            <w:tcW w:w="996" w:type="dxa"/>
            <w:vAlign w:val="center"/>
          </w:tcPr>
          <w:p w14:paraId="759585B0"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52.2</w:t>
            </w:r>
          </w:p>
        </w:tc>
        <w:tc>
          <w:tcPr>
            <w:tcW w:w="1024" w:type="dxa"/>
            <w:vAlign w:val="center"/>
          </w:tcPr>
          <w:p w14:paraId="0436A52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c>
          <w:tcPr>
            <w:tcW w:w="1596" w:type="dxa"/>
            <w:vAlign w:val="center"/>
          </w:tcPr>
          <w:p w14:paraId="3F6A988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r>
      <w:tr w:rsidR="003E0A01" w:rsidRPr="003E0A01" w14:paraId="28EF8FF8" w14:textId="77777777" w:rsidTr="001A22C5">
        <w:tc>
          <w:tcPr>
            <w:tcW w:w="956" w:type="dxa"/>
            <w:vAlign w:val="center"/>
          </w:tcPr>
          <w:p w14:paraId="34E31AC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7</w:t>
            </w:r>
          </w:p>
        </w:tc>
        <w:tc>
          <w:tcPr>
            <w:tcW w:w="1123" w:type="dxa"/>
            <w:vAlign w:val="center"/>
          </w:tcPr>
          <w:p w14:paraId="07861E5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IG-14</w:t>
            </w:r>
          </w:p>
        </w:tc>
        <w:tc>
          <w:tcPr>
            <w:tcW w:w="3321" w:type="dxa"/>
            <w:vAlign w:val="center"/>
          </w:tcPr>
          <w:p w14:paraId="3F46498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GAGAGAGAGAGAGAGAT</w:t>
            </w:r>
          </w:p>
        </w:tc>
        <w:tc>
          <w:tcPr>
            <w:tcW w:w="996" w:type="dxa"/>
            <w:vAlign w:val="center"/>
          </w:tcPr>
          <w:p w14:paraId="068028D9"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50.1</w:t>
            </w:r>
          </w:p>
        </w:tc>
        <w:tc>
          <w:tcPr>
            <w:tcW w:w="1024" w:type="dxa"/>
            <w:vAlign w:val="center"/>
          </w:tcPr>
          <w:p w14:paraId="7DABCE0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596" w:type="dxa"/>
            <w:vAlign w:val="center"/>
          </w:tcPr>
          <w:p w14:paraId="430B70B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07FDFB2D" w14:textId="77777777" w:rsidTr="001A22C5">
        <w:tc>
          <w:tcPr>
            <w:tcW w:w="956" w:type="dxa"/>
            <w:vAlign w:val="center"/>
          </w:tcPr>
          <w:p w14:paraId="0972EA2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8</w:t>
            </w:r>
          </w:p>
        </w:tc>
        <w:tc>
          <w:tcPr>
            <w:tcW w:w="1123" w:type="dxa"/>
            <w:vAlign w:val="center"/>
          </w:tcPr>
          <w:p w14:paraId="188C769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IG-05</w:t>
            </w:r>
          </w:p>
        </w:tc>
        <w:tc>
          <w:tcPr>
            <w:tcW w:w="3321" w:type="dxa"/>
            <w:vAlign w:val="center"/>
          </w:tcPr>
          <w:p w14:paraId="5FAF263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GACAGACAGACAGACA</w:t>
            </w:r>
          </w:p>
        </w:tc>
        <w:tc>
          <w:tcPr>
            <w:tcW w:w="996" w:type="dxa"/>
            <w:vAlign w:val="center"/>
          </w:tcPr>
          <w:p w14:paraId="5D5A339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49</w:t>
            </w:r>
          </w:p>
        </w:tc>
        <w:tc>
          <w:tcPr>
            <w:tcW w:w="1024" w:type="dxa"/>
            <w:vAlign w:val="center"/>
          </w:tcPr>
          <w:p w14:paraId="687A34B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c>
          <w:tcPr>
            <w:tcW w:w="1596" w:type="dxa"/>
            <w:vAlign w:val="center"/>
          </w:tcPr>
          <w:p w14:paraId="33456344"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6</w:t>
            </w:r>
          </w:p>
        </w:tc>
      </w:tr>
      <w:tr w:rsidR="003E0A01" w:rsidRPr="003E0A01" w14:paraId="008BC859" w14:textId="77777777" w:rsidTr="001A22C5">
        <w:tc>
          <w:tcPr>
            <w:tcW w:w="956" w:type="dxa"/>
            <w:vAlign w:val="center"/>
          </w:tcPr>
          <w:p w14:paraId="3599AE29"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9</w:t>
            </w:r>
          </w:p>
        </w:tc>
        <w:tc>
          <w:tcPr>
            <w:tcW w:w="1123" w:type="dxa"/>
            <w:vAlign w:val="center"/>
          </w:tcPr>
          <w:p w14:paraId="63BB394D"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ISSCR-16</w:t>
            </w:r>
          </w:p>
        </w:tc>
        <w:tc>
          <w:tcPr>
            <w:tcW w:w="3321" w:type="dxa"/>
            <w:vAlign w:val="center"/>
          </w:tcPr>
          <w:p w14:paraId="20923A1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GAGAGAGAGAGAGAGAGAT</w:t>
            </w:r>
          </w:p>
        </w:tc>
        <w:tc>
          <w:tcPr>
            <w:tcW w:w="996" w:type="dxa"/>
            <w:vAlign w:val="center"/>
          </w:tcPr>
          <w:p w14:paraId="24CAFBD1"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57</w:t>
            </w:r>
          </w:p>
        </w:tc>
        <w:tc>
          <w:tcPr>
            <w:tcW w:w="1024" w:type="dxa"/>
            <w:vAlign w:val="center"/>
          </w:tcPr>
          <w:p w14:paraId="1A2B3FA5"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c>
          <w:tcPr>
            <w:tcW w:w="1596" w:type="dxa"/>
            <w:vAlign w:val="center"/>
          </w:tcPr>
          <w:p w14:paraId="083551B2"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w:t>
            </w:r>
          </w:p>
        </w:tc>
      </w:tr>
      <w:tr w:rsidR="003E0A01" w:rsidRPr="003E0A01" w14:paraId="18AD0DC9" w14:textId="77777777" w:rsidTr="001A22C5">
        <w:tc>
          <w:tcPr>
            <w:tcW w:w="956" w:type="dxa"/>
            <w:vAlign w:val="center"/>
          </w:tcPr>
          <w:p w14:paraId="0D91B808"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10</w:t>
            </w:r>
          </w:p>
        </w:tc>
        <w:tc>
          <w:tcPr>
            <w:tcW w:w="1123" w:type="dxa"/>
            <w:vAlign w:val="center"/>
          </w:tcPr>
          <w:p w14:paraId="2A4DB924"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ISSCR-10</w:t>
            </w:r>
          </w:p>
        </w:tc>
        <w:tc>
          <w:tcPr>
            <w:tcW w:w="3321" w:type="dxa"/>
            <w:vAlign w:val="center"/>
          </w:tcPr>
          <w:p w14:paraId="02C45BD5"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GAGAGAGAGAGACC</w:t>
            </w:r>
          </w:p>
        </w:tc>
        <w:tc>
          <w:tcPr>
            <w:tcW w:w="996" w:type="dxa"/>
            <w:vAlign w:val="center"/>
          </w:tcPr>
          <w:p w14:paraId="4203A99F"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45.6</w:t>
            </w:r>
          </w:p>
        </w:tc>
        <w:tc>
          <w:tcPr>
            <w:tcW w:w="1024" w:type="dxa"/>
            <w:vAlign w:val="center"/>
          </w:tcPr>
          <w:p w14:paraId="218F138B"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c>
          <w:tcPr>
            <w:tcW w:w="1596" w:type="dxa"/>
            <w:vAlign w:val="center"/>
          </w:tcPr>
          <w:p w14:paraId="08ED74F8"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2</w:t>
            </w:r>
          </w:p>
        </w:tc>
      </w:tr>
      <w:tr w:rsidR="003E0A01" w:rsidRPr="003E0A01" w14:paraId="399876D9" w14:textId="77777777" w:rsidTr="001A22C5">
        <w:tc>
          <w:tcPr>
            <w:tcW w:w="956" w:type="dxa"/>
            <w:vAlign w:val="center"/>
          </w:tcPr>
          <w:p w14:paraId="41F69AA2"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11</w:t>
            </w:r>
          </w:p>
        </w:tc>
        <w:tc>
          <w:tcPr>
            <w:tcW w:w="1123" w:type="dxa"/>
            <w:vAlign w:val="center"/>
          </w:tcPr>
          <w:p w14:paraId="2C96FEB0"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UBC-826</w:t>
            </w:r>
          </w:p>
        </w:tc>
        <w:tc>
          <w:tcPr>
            <w:tcW w:w="3321" w:type="dxa"/>
            <w:vAlign w:val="center"/>
          </w:tcPr>
          <w:p w14:paraId="37B56481"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sz w:val="20"/>
                <w:szCs w:val="20"/>
              </w:rPr>
              <w:t>ACACACACACACACACC</w:t>
            </w:r>
          </w:p>
        </w:tc>
        <w:tc>
          <w:tcPr>
            <w:tcW w:w="996" w:type="dxa"/>
            <w:vAlign w:val="center"/>
          </w:tcPr>
          <w:p w14:paraId="44DD760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50</w:t>
            </w:r>
          </w:p>
        </w:tc>
        <w:tc>
          <w:tcPr>
            <w:tcW w:w="1024" w:type="dxa"/>
            <w:vAlign w:val="center"/>
          </w:tcPr>
          <w:p w14:paraId="7F063AEA"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c>
          <w:tcPr>
            <w:tcW w:w="1596" w:type="dxa"/>
            <w:vAlign w:val="center"/>
          </w:tcPr>
          <w:p w14:paraId="2D0F28A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sz w:val="20"/>
                <w:szCs w:val="20"/>
              </w:rPr>
              <w:t>10</w:t>
            </w:r>
          </w:p>
        </w:tc>
      </w:tr>
      <w:tr w:rsidR="003E0A01" w:rsidRPr="003E0A01" w14:paraId="32D24A64" w14:textId="77777777" w:rsidTr="001A22C5">
        <w:tc>
          <w:tcPr>
            <w:tcW w:w="956" w:type="dxa"/>
            <w:vAlign w:val="center"/>
          </w:tcPr>
          <w:p w14:paraId="2914424B" w14:textId="77777777" w:rsidR="003E0A01" w:rsidRPr="003E0A01" w:rsidRDefault="003E0A01" w:rsidP="001A22C5">
            <w:pPr>
              <w:pStyle w:val="NoSpacing"/>
              <w:spacing w:line="276" w:lineRule="auto"/>
              <w:jc w:val="both"/>
              <w:rPr>
                <w:rFonts w:ascii="Arial" w:hAnsi="Arial" w:cs="Arial"/>
                <w:sz w:val="20"/>
                <w:szCs w:val="20"/>
              </w:rPr>
            </w:pPr>
            <w:r w:rsidRPr="003E0A01">
              <w:rPr>
                <w:rFonts w:ascii="Arial" w:hAnsi="Arial" w:cs="Arial"/>
                <w:b/>
                <w:bCs/>
                <w:sz w:val="20"/>
                <w:szCs w:val="20"/>
              </w:rPr>
              <w:t>Total</w:t>
            </w:r>
          </w:p>
        </w:tc>
        <w:tc>
          <w:tcPr>
            <w:tcW w:w="1123" w:type="dxa"/>
            <w:vAlign w:val="center"/>
          </w:tcPr>
          <w:p w14:paraId="093FFA76" w14:textId="77777777" w:rsidR="003E0A01" w:rsidRPr="003E0A01" w:rsidRDefault="003E0A01" w:rsidP="001A22C5">
            <w:pPr>
              <w:pStyle w:val="NoSpacing"/>
              <w:spacing w:line="276" w:lineRule="auto"/>
              <w:jc w:val="both"/>
              <w:rPr>
                <w:rFonts w:ascii="Arial" w:hAnsi="Arial" w:cs="Arial"/>
                <w:sz w:val="20"/>
                <w:szCs w:val="20"/>
              </w:rPr>
            </w:pPr>
          </w:p>
        </w:tc>
        <w:tc>
          <w:tcPr>
            <w:tcW w:w="3321" w:type="dxa"/>
            <w:vAlign w:val="center"/>
          </w:tcPr>
          <w:p w14:paraId="767831B8" w14:textId="77777777" w:rsidR="003E0A01" w:rsidRPr="003E0A01" w:rsidRDefault="003E0A01" w:rsidP="001A22C5">
            <w:pPr>
              <w:pStyle w:val="NoSpacing"/>
              <w:spacing w:line="276" w:lineRule="auto"/>
              <w:jc w:val="both"/>
              <w:rPr>
                <w:rFonts w:ascii="Arial" w:hAnsi="Arial" w:cs="Arial"/>
                <w:sz w:val="20"/>
                <w:szCs w:val="20"/>
              </w:rPr>
            </w:pPr>
          </w:p>
        </w:tc>
        <w:tc>
          <w:tcPr>
            <w:tcW w:w="996" w:type="dxa"/>
            <w:vAlign w:val="center"/>
          </w:tcPr>
          <w:p w14:paraId="7C184A2A" w14:textId="77777777" w:rsidR="003E0A01" w:rsidRPr="003E0A01" w:rsidRDefault="003E0A01" w:rsidP="001A22C5">
            <w:pPr>
              <w:pStyle w:val="NoSpacing"/>
              <w:spacing w:line="276" w:lineRule="auto"/>
              <w:jc w:val="center"/>
              <w:rPr>
                <w:rFonts w:ascii="Arial" w:hAnsi="Arial" w:cs="Arial"/>
                <w:sz w:val="20"/>
                <w:szCs w:val="20"/>
              </w:rPr>
            </w:pPr>
          </w:p>
        </w:tc>
        <w:tc>
          <w:tcPr>
            <w:tcW w:w="1024" w:type="dxa"/>
            <w:vAlign w:val="center"/>
          </w:tcPr>
          <w:p w14:paraId="4AE223DE" w14:textId="77777777" w:rsidR="003E0A01" w:rsidRPr="003E0A01" w:rsidRDefault="003E0A01" w:rsidP="001A22C5">
            <w:pPr>
              <w:pStyle w:val="NoSpacing"/>
              <w:spacing w:line="276" w:lineRule="auto"/>
              <w:jc w:val="center"/>
              <w:rPr>
                <w:rFonts w:ascii="Arial" w:hAnsi="Arial" w:cs="Arial"/>
                <w:sz w:val="20"/>
                <w:szCs w:val="20"/>
              </w:rPr>
            </w:pPr>
            <w:r w:rsidRPr="003E0A01">
              <w:rPr>
                <w:rFonts w:ascii="Arial" w:hAnsi="Arial" w:cs="Arial"/>
                <w:b/>
                <w:bCs/>
                <w:sz w:val="20"/>
                <w:szCs w:val="20"/>
              </w:rPr>
              <w:t>76</w:t>
            </w:r>
          </w:p>
        </w:tc>
        <w:tc>
          <w:tcPr>
            <w:tcW w:w="1596" w:type="dxa"/>
            <w:vAlign w:val="center"/>
          </w:tcPr>
          <w:p w14:paraId="6086EA2A" w14:textId="77777777" w:rsidR="003E0A01" w:rsidRPr="003E0A01" w:rsidRDefault="003E0A01" w:rsidP="001A22C5">
            <w:pPr>
              <w:pStyle w:val="NoSpacing"/>
              <w:spacing w:line="276" w:lineRule="auto"/>
              <w:jc w:val="center"/>
              <w:rPr>
                <w:rFonts w:ascii="Arial" w:hAnsi="Arial" w:cs="Arial"/>
                <w:b/>
                <w:bCs/>
                <w:sz w:val="20"/>
                <w:szCs w:val="20"/>
              </w:rPr>
            </w:pPr>
            <w:r w:rsidRPr="003E0A01">
              <w:rPr>
                <w:rFonts w:ascii="Arial" w:hAnsi="Arial" w:cs="Arial"/>
                <w:b/>
                <w:bCs/>
                <w:sz w:val="20"/>
                <w:szCs w:val="20"/>
              </w:rPr>
              <w:t>76</w:t>
            </w:r>
          </w:p>
        </w:tc>
      </w:tr>
    </w:tbl>
    <w:p w14:paraId="17759413" w14:textId="77777777" w:rsidR="00375094" w:rsidRDefault="00375094" w:rsidP="00B95D8E">
      <w:pPr>
        <w:pStyle w:val="NoSpacing"/>
        <w:spacing w:line="276" w:lineRule="auto"/>
        <w:jc w:val="both"/>
        <w:rPr>
          <w:rFonts w:ascii="Arial" w:hAnsi="Arial" w:cs="Arial"/>
          <w:sz w:val="24"/>
          <w:szCs w:val="24"/>
        </w:rPr>
      </w:pPr>
    </w:p>
    <w:p w14:paraId="7C880FC7" w14:textId="473980D7" w:rsidR="003A5332" w:rsidRDefault="003A5332" w:rsidP="00B95D8E">
      <w:pPr>
        <w:pStyle w:val="NoSpacing"/>
        <w:spacing w:line="276" w:lineRule="auto"/>
        <w:jc w:val="both"/>
        <w:rPr>
          <w:rFonts w:ascii="Arial" w:hAnsi="Arial" w:cs="Arial"/>
          <w:b/>
          <w:bCs/>
        </w:rPr>
      </w:pPr>
      <w:r w:rsidRPr="00BB40B0">
        <w:rPr>
          <w:noProof/>
          <w:sz w:val="24"/>
          <w:szCs w:val="24"/>
        </w:rPr>
        <w:lastRenderedPageBreak/>
        <w:drawing>
          <wp:anchor distT="0" distB="0" distL="0" distR="0" simplePos="0" relativeHeight="251661312" behindDoc="0" locked="0" layoutInCell="1" allowOverlap="1" wp14:anchorId="041092C6" wp14:editId="4AF7D6D7">
            <wp:simplePos x="0" y="0"/>
            <wp:positionH relativeFrom="margin">
              <wp:posOffset>1114425</wp:posOffset>
            </wp:positionH>
            <wp:positionV relativeFrom="paragraph">
              <wp:posOffset>191770</wp:posOffset>
            </wp:positionV>
            <wp:extent cx="3343275" cy="4844415"/>
            <wp:effectExtent l="0" t="0" r="9525"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3343275" cy="4844415"/>
                    </a:xfrm>
                    <a:prstGeom prst="rect">
                      <a:avLst/>
                    </a:prstGeom>
                  </pic:spPr>
                </pic:pic>
              </a:graphicData>
            </a:graphic>
            <wp14:sizeRelH relativeFrom="margin">
              <wp14:pctWidth>0</wp14:pctWidth>
            </wp14:sizeRelH>
            <wp14:sizeRelV relativeFrom="margin">
              <wp14:pctHeight>0</wp14:pctHeight>
            </wp14:sizeRelV>
          </wp:anchor>
        </w:drawing>
      </w:r>
    </w:p>
    <w:p w14:paraId="402BBDCF" w14:textId="77777777" w:rsidR="00CE0FE6" w:rsidRDefault="00CE0FE6" w:rsidP="00B95D8E">
      <w:pPr>
        <w:pStyle w:val="NoSpacing"/>
        <w:spacing w:line="276" w:lineRule="auto"/>
        <w:jc w:val="both"/>
        <w:rPr>
          <w:rFonts w:ascii="Arial" w:hAnsi="Arial" w:cs="Arial"/>
          <w:sz w:val="20"/>
          <w:szCs w:val="20"/>
        </w:rPr>
      </w:pPr>
    </w:p>
    <w:p w14:paraId="3EB596FC" w14:textId="1F3144DE" w:rsidR="003A5332" w:rsidRPr="003A5332" w:rsidRDefault="003A5332" w:rsidP="00B95D8E">
      <w:pPr>
        <w:pStyle w:val="NoSpacing"/>
        <w:spacing w:line="276" w:lineRule="auto"/>
        <w:jc w:val="both"/>
        <w:rPr>
          <w:rFonts w:ascii="Arial" w:hAnsi="Arial" w:cs="Arial"/>
          <w:sz w:val="20"/>
          <w:szCs w:val="20"/>
        </w:rPr>
      </w:pPr>
      <w:r w:rsidRPr="003A5332">
        <w:rPr>
          <w:rFonts w:ascii="Arial" w:hAnsi="Arial" w:cs="Arial"/>
          <w:sz w:val="20"/>
          <w:szCs w:val="20"/>
        </w:rPr>
        <w:t xml:space="preserve">Figure1. (a) Healthy explants, (b) Induction of callus (c) Globular stage (d) Heart shape stage (e) Torpedo stage (f) Regenerating </w:t>
      </w:r>
      <w:proofErr w:type="spellStart"/>
      <w:r w:rsidRPr="003A5332">
        <w:rPr>
          <w:rFonts w:ascii="Arial" w:hAnsi="Arial" w:cs="Arial"/>
          <w:sz w:val="20"/>
          <w:szCs w:val="20"/>
        </w:rPr>
        <w:t>microshoot</w:t>
      </w:r>
      <w:proofErr w:type="spellEnd"/>
      <w:r w:rsidRPr="003A5332">
        <w:rPr>
          <w:rFonts w:ascii="Arial" w:hAnsi="Arial" w:cs="Arial"/>
          <w:sz w:val="20"/>
          <w:szCs w:val="20"/>
        </w:rPr>
        <w:t xml:space="preserve"> (g) Regeneration of shoots from callus and (h) Multiple shoots formation</w:t>
      </w:r>
    </w:p>
    <w:p w14:paraId="29DC51E6" w14:textId="74D7AE99" w:rsidR="003A5332" w:rsidRDefault="003A5332" w:rsidP="00B95D8E">
      <w:pPr>
        <w:pStyle w:val="NoSpacing"/>
        <w:spacing w:line="276" w:lineRule="auto"/>
        <w:jc w:val="both"/>
        <w:rPr>
          <w:rFonts w:ascii="Arial" w:hAnsi="Arial" w:cs="Arial"/>
          <w:b/>
          <w:bCs/>
        </w:rPr>
      </w:pPr>
      <w:r w:rsidRPr="00BB40B0">
        <w:rPr>
          <w:noProof/>
          <w:sz w:val="24"/>
          <w:szCs w:val="24"/>
        </w:rPr>
        <w:lastRenderedPageBreak/>
        <w:drawing>
          <wp:anchor distT="0" distB="0" distL="0" distR="0" simplePos="0" relativeHeight="251663360" behindDoc="1" locked="0" layoutInCell="1" allowOverlap="1" wp14:anchorId="115209B6" wp14:editId="760E15E3">
            <wp:simplePos x="0" y="0"/>
            <wp:positionH relativeFrom="margin">
              <wp:align>left</wp:align>
            </wp:positionH>
            <wp:positionV relativeFrom="paragraph">
              <wp:posOffset>0</wp:posOffset>
            </wp:positionV>
            <wp:extent cx="5462270" cy="3679190"/>
            <wp:effectExtent l="0" t="0" r="5080" b="0"/>
            <wp:wrapTight wrapText="bothSides">
              <wp:wrapPolygon edited="0">
                <wp:start x="0" y="0"/>
                <wp:lineTo x="0" y="21473"/>
                <wp:lineTo x="21545" y="21473"/>
                <wp:lineTo x="21545" y="0"/>
                <wp:lineTo x="0" y="0"/>
              </wp:wrapPolygon>
            </wp:wrapTight>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5462270" cy="3679190"/>
                    </a:xfrm>
                    <a:prstGeom prst="rect">
                      <a:avLst/>
                    </a:prstGeom>
                  </pic:spPr>
                </pic:pic>
              </a:graphicData>
            </a:graphic>
            <wp14:sizeRelH relativeFrom="margin">
              <wp14:pctWidth>0</wp14:pctWidth>
            </wp14:sizeRelH>
            <wp14:sizeRelV relativeFrom="margin">
              <wp14:pctHeight>0</wp14:pctHeight>
            </wp14:sizeRelV>
          </wp:anchor>
        </w:drawing>
      </w:r>
    </w:p>
    <w:p w14:paraId="262E7144" w14:textId="77777777" w:rsidR="003A5332" w:rsidRDefault="003A5332" w:rsidP="00B95D8E">
      <w:pPr>
        <w:pStyle w:val="NoSpacing"/>
        <w:spacing w:line="276" w:lineRule="auto"/>
        <w:jc w:val="both"/>
        <w:rPr>
          <w:rFonts w:ascii="Arial" w:hAnsi="Arial" w:cs="Arial"/>
          <w:b/>
          <w:bCs/>
        </w:rPr>
      </w:pPr>
    </w:p>
    <w:p w14:paraId="6D2E4BB7" w14:textId="77777777" w:rsidR="003A5332" w:rsidRDefault="003A5332" w:rsidP="00B95D8E">
      <w:pPr>
        <w:pStyle w:val="NoSpacing"/>
        <w:spacing w:line="276" w:lineRule="auto"/>
        <w:jc w:val="both"/>
        <w:rPr>
          <w:rFonts w:ascii="Arial" w:hAnsi="Arial" w:cs="Arial"/>
          <w:b/>
          <w:bCs/>
        </w:rPr>
      </w:pPr>
    </w:p>
    <w:p w14:paraId="50BC369B" w14:textId="77777777" w:rsidR="003A5332" w:rsidRDefault="003A5332" w:rsidP="00B95D8E">
      <w:pPr>
        <w:pStyle w:val="NoSpacing"/>
        <w:spacing w:line="276" w:lineRule="auto"/>
        <w:jc w:val="both"/>
        <w:rPr>
          <w:rFonts w:ascii="Arial" w:hAnsi="Arial" w:cs="Arial"/>
          <w:b/>
          <w:bCs/>
        </w:rPr>
      </w:pPr>
    </w:p>
    <w:p w14:paraId="72D5D877" w14:textId="77777777" w:rsidR="003A5332" w:rsidRDefault="003A5332" w:rsidP="00B95D8E">
      <w:pPr>
        <w:pStyle w:val="NoSpacing"/>
        <w:spacing w:line="276" w:lineRule="auto"/>
        <w:jc w:val="both"/>
        <w:rPr>
          <w:rFonts w:ascii="Arial" w:hAnsi="Arial" w:cs="Arial"/>
          <w:b/>
          <w:bCs/>
        </w:rPr>
      </w:pPr>
    </w:p>
    <w:p w14:paraId="3BFCC51C" w14:textId="77777777" w:rsidR="003A5332" w:rsidRDefault="003A5332" w:rsidP="00B95D8E">
      <w:pPr>
        <w:pStyle w:val="NoSpacing"/>
        <w:spacing w:line="276" w:lineRule="auto"/>
        <w:jc w:val="both"/>
        <w:rPr>
          <w:rFonts w:ascii="Arial" w:hAnsi="Arial" w:cs="Arial"/>
          <w:b/>
          <w:bCs/>
        </w:rPr>
      </w:pPr>
    </w:p>
    <w:p w14:paraId="26AF9324" w14:textId="77777777" w:rsidR="003A5332" w:rsidRDefault="003A5332" w:rsidP="00B95D8E">
      <w:pPr>
        <w:pStyle w:val="NoSpacing"/>
        <w:spacing w:line="276" w:lineRule="auto"/>
        <w:jc w:val="both"/>
        <w:rPr>
          <w:rFonts w:ascii="Arial" w:hAnsi="Arial" w:cs="Arial"/>
          <w:b/>
          <w:bCs/>
        </w:rPr>
      </w:pPr>
    </w:p>
    <w:p w14:paraId="4CD9F9EE" w14:textId="77777777" w:rsidR="003A5332" w:rsidRDefault="003A5332" w:rsidP="00B95D8E">
      <w:pPr>
        <w:pStyle w:val="NoSpacing"/>
        <w:spacing w:line="276" w:lineRule="auto"/>
        <w:jc w:val="both"/>
        <w:rPr>
          <w:rFonts w:ascii="Arial" w:hAnsi="Arial" w:cs="Arial"/>
          <w:b/>
          <w:bCs/>
        </w:rPr>
      </w:pPr>
    </w:p>
    <w:p w14:paraId="3A9A4D06" w14:textId="77777777" w:rsidR="003A5332" w:rsidRDefault="003A5332" w:rsidP="00B95D8E">
      <w:pPr>
        <w:pStyle w:val="NoSpacing"/>
        <w:spacing w:line="276" w:lineRule="auto"/>
        <w:jc w:val="both"/>
        <w:rPr>
          <w:rFonts w:ascii="Arial" w:hAnsi="Arial" w:cs="Arial"/>
          <w:b/>
          <w:bCs/>
        </w:rPr>
      </w:pPr>
    </w:p>
    <w:p w14:paraId="5A6F07C8" w14:textId="77777777" w:rsidR="003A5332" w:rsidRDefault="003A5332" w:rsidP="00B95D8E">
      <w:pPr>
        <w:pStyle w:val="NoSpacing"/>
        <w:spacing w:line="276" w:lineRule="auto"/>
        <w:jc w:val="both"/>
        <w:rPr>
          <w:rFonts w:ascii="Arial" w:hAnsi="Arial" w:cs="Arial"/>
          <w:b/>
          <w:bCs/>
        </w:rPr>
      </w:pPr>
    </w:p>
    <w:p w14:paraId="078D9EAD" w14:textId="77777777" w:rsidR="003A5332" w:rsidRDefault="003A5332" w:rsidP="00B95D8E">
      <w:pPr>
        <w:pStyle w:val="NoSpacing"/>
        <w:spacing w:line="276" w:lineRule="auto"/>
        <w:jc w:val="both"/>
        <w:rPr>
          <w:rFonts w:ascii="Arial" w:hAnsi="Arial" w:cs="Arial"/>
          <w:b/>
          <w:bCs/>
        </w:rPr>
      </w:pPr>
    </w:p>
    <w:p w14:paraId="0F290D50" w14:textId="77777777" w:rsidR="003A5332" w:rsidRDefault="003A5332" w:rsidP="00B95D8E">
      <w:pPr>
        <w:pStyle w:val="NoSpacing"/>
        <w:spacing w:line="276" w:lineRule="auto"/>
        <w:jc w:val="both"/>
        <w:rPr>
          <w:rFonts w:ascii="Arial" w:hAnsi="Arial" w:cs="Arial"/>
          <w:b/>
          <w:bCs/>
        </w:rPr>
      </w:pPr>
    </w:p>
    <w:p w14:paraId="08D0C4FF" w14:textId="77777777" w:rsidR="003A5332" w:rsidRDefault="003A5332" w:rsidP="00B95D8E">
      <w:pPr>
        <w:pStyle w:val="NoSpacing"/>
        <w:spacing w:line="276" w:lineRule="auto"/>
        <w:jc w:val="both"/>
        <w:rPr>
          <w:rFonts w:ascii="Arial" w:hAnsi="Arial" w:cs="Arial"/>
          <w:b/>
          <w:bCs/>
        </w:rPr>
      </w:pPr>
    </w:p>
    <w:p w14:paraId="51662D2D" w14:textId="77777777" w:rsidR="003A5332" w:rsidRDefault="003A5332" w:rsidP="00B95D8E">
      <w:pPr>
        <w:pStyle w:val="NoSpacing"/>
        <w:spacing w:line="276" w:lineRule="auto"/>
        <w:jc w:val="both"/>
        <w:rPr>
          <w:rFonts w:ascii="Arial" w:hAnsi="Arial" w:cs="Arial"/>
          <w:b/>
          <w:bCs/>
        </w:rPr>
      </w:pPr>
    </w:p>
    <w:p w14:paraId="457F4CBF" w14:textId="77777777" w:rsidR="003A5332" w:rsidRDefault="003A5332" w:rsidP="00B95D8E">
      <w:pPr>
        <w:pStyle w:val="NoSpacing"/>
        <w:spacing w:line="276" w:lineRule="auto"/>
        <w:jc w:val="both"/>
        <w:rPr>
          <w:rFonts w:ascii="Arial" w:hAnsi="Arial" w:cs="Arial"/>
          <w:b/>
          <w:bCs/>
        </w:rPr>
      </w:pPr>
    </w:p>
    <w:p w14:paraId="624A96CF" w14:textId="77777777" w:rsidR="003A5332" w:rsidRDefault="003A5332" w:rsidP="00B95D8E">
      <w:pPr>
        <w:pStyle w:val="NoSpacing"/>
        <w:spacing w:line="276" w:lineRule="auto"/>
        <w:jc w:val="both"/>
        <w:rPr>
          <w:rFonts w:ascii="Arial" w:hAnsi="Arial" w:cs="Arial"/>
          <w:b/>
          <w:bCs/>
        </w:rPr>
      </w:pPr>
    </w:p>
    <w:p w14:paraId="25D04A03" w14:textId="77777777" w:rsidR="003A5332" w:rsidRDefault="003A5332" w:rsidP="00B95D8E">
      <w:pPr>
        <w:pStyle w:val="NoSpacing"/>
        <w:spacing w:line="276" w:lineRule="auto"/>
        <w:jc w:val="both"/>
        <w:rPr>
          <w:rFonts w:ascii="Arial" w:hAnsi="Arial" w:cs="Arial"/>
          <w:b/>
          <w:bCs/>
        </w:rPr>
      </w:pPr>
    </w:p>
    <w:p w14:paraId="12545659" w14:textId="77777777" w:rsidR="003A5332" w:rsidRDefault="003A5332" w:rsidP="00B95D8E">
      <w:pPr>
        <w:pStyle w:val="NoSpacing"/>
        <w:spacing w:line="276" w:lineRule="auto"/>
        <w:jc w:val="both"/>
        <w:rPr>
          <w:rFonts w:ascii="Arial" w:hAnsi="Arial" w:cs="Arial"/>
          <w:b/>
          <w:bCs/>
        </w:rPr>
      </w:pPr>
    </w:p>
    <w:p w14:paraId="230E5D7A" w14:textId="77777777" w:rsidR="003A5332" w:rsidRDefault="003A5332" w:rsidP="00B95D8E">
      <w:pPr>
        <w:pStyle w:val="NoSpacing"/>
        <w:spacing w:line="276" w:lineRule="auto"/>
        <w:jc w:val="both"/>
        <w:rPr>
          <w:rFonts w:ascii="Arial" w:hAnsi="Arial" w:cs="Arial"/>
          <w:b/>
          <w:bCs/>
        </w:rPr>
      </w:pPr>
    </w:p>
    <w:p w14:paraId="148D018A" w14:textId="77777777" w:rsidR="003A5332" w:rsidRDefault="003A5332" w:rsidP="00B95D8E">
      <w:pPr>
        <w:pStyle w:val="NoSpacing"/>
        <w:spacing w:line="276" w:lineRule="auto"/>
        <w:jc w:val="both"/>
        <w:rPr>
          <w:rFonts w:ascii="Arial" w:hAnsi="Arial" w:cs="Arial"/>
          <w:b/>
          <w:bCs/>
        </w:rPr>
      </w:pPr>
    </w:p>
    <w:p w14:paraId="69141633" w14:textId="36826AC6" w:rsidR="003A5332" w:rsidRPr="003A5332" w:rsidRDefault="003A5332" w:rsidP="00B95D8E">
      <w:pPr>
        <w:pStyle w:val="NoSpacing"/>
        <w:spacing w:line="276" w:lineRule="auto"/>
        <w:jc w:val="both"/>
        <w:rPr>
          <w:rFonts w:ascii="Arial" w:hAnsi="Arial" w:cs="Arial"/>
          <w:sz w:val="20"/>
          <w:szCs w:val="20"/>
        </w:rPr>
      </w:pPr>
      <w:r w:rsidRPr="003A5332">
        <w:rPr>
          <w:rFonts w:ascii="Arial" w:hAnsi="Arial" w:cs="Arial"/>
          <w:b/>
          <w:bCs/>
          <w:sz w:val="20"/>
          <w:szCs w:val="20"/>
        </w:rPr>
        <w:t>Figure 2a)</w:t>
      </w:r>
      <w:r w:rsidRPr="003A5332">
        <w:rPr>
          <w:rFonts w:ascii="Arial" w:hAnsi="Arial" w:cs="Arial"/>
          <w:sz w:val="20"/>
          <w:szCs w:val="20"/>
        </w:rPr>
        <w:t xml:space="preserve"> RAPD profile of </w:t>
      </w:r>
      <w:proofErr w:type="spellStart"/>
      <w:r w:rsidRPr="003A5332">
        <w:rPr>
          <w:rFonts w:ascii="Arial" w:hAnsi="Arial" w:cs="Arial"/>
          <w:sz w:val="20"/>
          <w:szCs w:val="20"/>
        </w:rPr>
        <w:t>micropropagated</w:t>
      </w:r>
      <w:proofErr w:type="spellEnd"/>
      <w:r w:rsidRPr="003A5332">
        <w:rPr>
          <w:rFonts w:ascii="Arial" w:hAnsi="Arial" w:cs="Arial"/>
          <w:sz w:val="20"/>
          <w:szCs w:val="20"/>
        </w:rPr>
        <w:t xml:space="preserve"> </w:t>
      </w:r>
      <w:proofErr w:type="spellStart"/>
      <w:r w:rsidRPr="003A5332">
        <w:rPr>
          <w:rFonts w:ascii="Arial" w:hAnsi="Arial" w:cs="Arial"/>
          <w:i/>
          <w:iCs/>
          <w:sz w:val="20"/>
          <w:szCs w:val="20"/>
        </w:rPr>
        <w:t>Kaempferia</w:t>
      </w:r>
      <w:proofErr w:type="spellEnd"/>
      <w:r w:rsidRPr="003A5332">
        <w:rPr>
          <w:rFonts w:ascii="Arial" w:hAnsi="Arial" w:cs="Arial"/>
          <w:i/>
          <w:iCs/>
          <w:sz w:val="20"/>
          <w:szCs w:val="20"/>
        </w:rPr>
        <w:t xml:space="preserve"> </w:t>
      </w:r>
      <w:proofErr w:type="spellStart"/>
      <w:r w:rsidRPr="003A5332">
        <w:rPr>
          <w:rFonts w:ascii="Arial" w:hAnsi="Arial" w:cs="Arial"/>
          <w:i/>
          <w:iCs/>
          <w:sz w:val="20"/>
          <w:szCs w:val="20"/>
        </w:rPr>
        <w:t>marginata</w:t>
      </w:r>
      <w:proofErr w:type="spellEnd"/>
      <w:r w:rsidRPr="003A5332">
        <w:rPr>
          <w:rFonts w:ascii="Arial" w:hAnsi="Arial" w:cs="Arial"/>
          <w:sz w:val="20"/>
          <w:szCs w:val="20"/>
        </w:rPr>
        <w:t xml:space="preserve"> using OPAM-01.  M-Marker: 1- Mother plant: 2 to 16- Regenerants from callus.</w:t>
      </w:r>
    </w:p>
    <w:p w14:paraId="3EE195A4" w14:textId="14F33C30" w:rsidR="003A5332" w:rsidRDefault="003A5332" w:rsidP="00B95D8E">
      <w:pPr>
        <w:pStyle w:val="NoSpacing"/>
        <w:spacing w:line="276" w:lineRule="auto"/>
        <w:jc w:val="both"/>
        <w:rPr>
          <w:rFonts w:ascii="Arial" w:hAnsi="Arial" w:cs="Arial"/>
          <w:b/>
          <w:bCs/>
        </w:rPr>
      </w:pPr>
      <w:r w:rsidRPr="00BB40B0">
        <w:rPr>
          <w:noProof/>
          <w:sz w:val="24"/>
          <w:szCs w:val="24"/>
        </w:rPr>
        <w:drawing>
          <wp:anchor distT="0" distB="0" distL="0" distR="0" simplePos="0" relativeHeight="251665408" behindDoc="0" locked="0" layoutInCell="1" allowOverlap="1" wp14:anchorId="305C4FDA" wp14:editId="1D1BCF0E">
            <wp:simplePos x="0" y="0"/>
            <wp:positionH relativeFrom="margin">
              <wp:posOffset>160655</wp:posOffset>
            </wp:positionH>
            <wp:positionV relativeFrom="paragraph">
              <wp:posOffset>336550</wp:posOffset>
            </wp:positionV>
            <wp:extent cx="5372100" cy="3237865"/>
            <wp:effectExtent l="0" t="0" r="0" b="635"/>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5372100" cy="3237865"/>
                    </a:xfrm>
                    <a:prstGeom prst="rect">
                      <a:avLst/>
                    </a:prstGeom>
                  </pic:spPr>
                </pic:pic>
              </a:graphicData>
            </a:graphic>
            <wp14:sizeRelH relativeFrom="margin">
              <wp14:pctWidth>0</wp14:pctWidth>
            </wp14:sizeRelH>
            <wp14:sizeRelV relativeFrom="margin">
              <wp14:pctHeight>0</wp14:pctHeight>
            </wp14:sizeRelV>
          </wp:anchor>
        </w:drawing>
      </w:r>
    </w:p>
    <w:p w14:paraId="1C194400" w14:textId="70054349" w:rsidR="003A5332" w:rsidRDefault="003A5332" w:rsidP="00B95D8E">
      <w:pPr>
        <w:pStyle w:val="NoSpacing"/>
        <w:spacing w:line="276" w:lineRule="auto"/>
        <w:jc w:val="both"/>
        <w:rPr>
          <w:rFonts w:ascii="Arial" w:hAnsi="Arial" w:cs="Arial"/>
          <w:b/>
          <w:bCs/>
        </w:rPr>
      </w:pPr>
    </w:p>
    <w:p w14:paraId="4E4C61D0" w14:textId="455651FD" w:rsidR="003A5332" w:rsidRPr="003A5332" w:rsidRDefault="003A5332" w:rsidP="003A5332">
      <w:pPr>
        <w:rPr>
          <w:rFonts w:ascii="Arial" w:eastAsiaTheme="minorHAnsi" w:hAnsi="Arial" w:cs="Arial"/>
          <w:kern w:val="2"/>
          <w:sz w:val="20"/>
          <w:szCs w:val="20"/>
          <w:lang w:val="en-IN"/>
          <w14:ligatures w14:val="standardContextual"/>
        </w:rPr>
      </w:pPr>
      <w:r w:rsidRPr="001E5D52">
        <w:rPr>
          <w:rFonts w:ascii="Arial" w:hAnsi="Arial" w:cs="Arial"/>
          <w:b/>
          <w:bCs/>
          <w:sz w:val="20"/>
          <w:szCs w:val="20"/>
        </w:rPr>
        <w:t>Figure 2</w:t>
      </w:r>
      <w:r w:rsidRPr="001E5D52">
        <w:rPr>
          <w:rFonts w:ascii="Arial" w:eastAsiaTheme="minorHAnsi" w:hAnsi="Arial" w:cs="Arial"/>
          <w:b/>
          <w:bCs/>
          <w:kern w:val="2"/>
          <w:sz w:val="20"/>
          <w:szCs w:val="20"/>
          <w:lang w:val="en-IN"/>
          <w14:ligatures w14:val="standardContextual"/>
        </w:rPr>
        <w:t>b)</w:t>
      </w:r>
      <w:r w:rsidRPr="003A5332">
        <w:rPr>
          <w:rFonts w:ascii="Arial" w:eastAsiaTheme="minorHAnsi" w:hAnsi="Arial" w:cs="Arial"/>
          <w:kern w:val="2"/>
          <w:sz w:val="20"/>
          <w:szCs w:val="20"/>
          <w:lang w:val="en-IN"/>
          <w14:ligatures w14:val="standardContextual"/>
        </w:rPr>
        <w:t xml:space="preserve"> ISSR profile of </w:t>
      </w:r>
      <w:proofErr w:type="spellStart"/>
      <w:r w:rsidRPr="003A5332">
        <w:rPr>
          <w:rFonts w:ascii="Arial" w:eastAsiaTheme="minorHAnsi" w:hAnsi="Arial" w:cs="Arial"/>
          <w:kern w:val="2"/>
          <w:sz w:val="20"/>
          <w:szCs w:val="20"/>
          <w:lang w:val="en-IN"/>
          <w14:ligatures w14:val="standardContextual"/>
        </w:rPr>
        <w:t>micropropagated</w:t>
      </w:r>
      <w:proofErr w:type="spellEnd"/>
      <w:r w:rsidRPr="003A5332">
        <w:rPr>
          <w:rFonts w:ascii="Arial" w:eastAsiaTheme="minorHAnsi" w:hAnsi="Arial" w:cs="Arial"/>
          <w:kern w:val="2"/>
          <w:sz w:val="20"/>
          <w:szCs w:val="20"/>
          <w:lang w:val="en-IN"/>
          <w14:ligatures w14:val="standardContextual"/>
        </w:rPr>
        <w:t xml:space="preserve"> </w:t>
      </w:r>
      <w:proofErr w:type="spellStart"/>
      <w:r w:rsidRPr="003A5332">
        <w:rPr>
          <w:rFonts w:ascii="Arial" w:eastAsiaTheme="minorHAnsi" w:hAnsi="Arial" w:cs="Arial"/>
          <w:i/>
          <w:iCs/>
          <w:kern w:val="2"/>
          <w:sz w:val="20"/>
          <w:szCs w:val="20"/>
          <w:lang w:val="en-IN"/>
          <w14:ligatures w14:val="standardContextual"/>
        </w:rPr>
        <w:t>Kaempferia</w:t>
      </w:r>
      <w:proofErr w:type="spellEnd"/>
      <w:r w:rsidRPr="003A5332">
        <w:rPr>
          <w:rFonts w:ascii="Arial" w:eastAsiaTheme="minorHAnsi" w:hAnsi="Arial" w:cs="Arial"/>
          <w:i/>
          <w:iCs/>
          <w:kern w:val="2"/>
          <w:sz w:val="20"/>
          <w:szCs w:val="20"/>
          <w:lang w:val="en-IN"/>
          <w14:ligatures w14:val="standardContextual"/>
        </w:rPr>
        <w:t xml:space="preserve"> </w:t>
      </w:r>
      <w:proofErr w:type="spellStart"/>
      <w:r w:rsidRPr="003A5332">
        <w:rPr>
          <w:rFonts w:ascii="Arial" w:eastAsiaTheme="minorHAnsi" w:hAnsi="Arial" w:cs="Arial"/>
          <w:i/>
          <w:iCs/>
          <w:kern w:val="2"/>
          <w:sz w:val="20"/>
          <w:szCs w:val="20"/>
          <w:lang w:val="en-IN"/>
          <w14:ligatures w14:val="standardContextual"/>
        </w:rPr>
        <w:t>marginata</w:t>
      </w:r>
      <w:proofErr w:type="spellEnd"/>
      <w:r w:rsidRPr="003A5332">
        <w:rPr>
          <w:rFonts w:ascii="Arial" w:eastAsiaTheme="minorHAnsi" w:hAnsi="Arial" w:cs="Arial"/>
          <w:kern w:val="2"/>
          <w:sz w:val="20"/>
          <w:szCs w:val="20"/>
          <w:lang w:val="en-IN"/>
          <w14:ligatures w14:val="standardContextual"/>
        </w:rPr>
        <w:t xml:space="preserve"> using IG-12. M-Marker: 1- Mother plant: 2 to 16- Regenerants from callus.</w:t>
      </w:r>
    </w:p>
    <w:p w14:paraId="59615D98" w14:textId="77777777" w:rsidR="003A5332" w:rsidRDefault="003A5332" w:rsidP="00B95D8E">
      <w:pPr>
        <w:pStyle w:val="NoSpacing"/>
        <w:spacing w:line="276" w:lineRule="auto"/>
        <w:jc w:val="both"/>
        <w:rPr>
          <w:rFonts w:ascii="Arial" w:hAnsi="Arial" w:cs="Arial"/>
          <w:b/>
          <w:bCs/>
        </w:rPr>
      </w:pPr>
    </w:p>
    <w:p w14:paraId="61DE3A22" w14:textId="470177D2" w:rsidR="00B95D8E" w:rsidRPr="00375094" w:rsidRDefault="001E5D52" w:rsidP="00B95D8E">
      <w:pPr>
        <w:pStyle w:val="NoSpacing"/>
        <w:spacing w:line="276" w:lineRule="auto"/>
        <w:jc w:val="both"/>
        <w:rPr>
          <w:rFonts w:ascii="Arial" w:hAnsi="Arial" w:cs="Arial"/>
          <w:b/>
          <w:bCs/>
        </w:rPr>
      </w:pPr>
      <w:r w:rsidRPr="00375094">
        <w:rPr>
          <w:rFonts w:ascii="Arial" w:hAnsi="Arial" w:cs="Arial"/>
          <w:b/>
          <w:bCs/>
        </w:rPr>
        <w:t>4. CONCLUSION</w:t>
      </w:r>
    </w:p>
    <w:p w14:paraId="4BC800E7" w14:textId="691D7AC6" w:rsidR="00B95D8E" w:rsidRPr="00375094" w:rsidRDefault="00B95D8E" w:rsidP="00B95D8E">
      <w:pPr>
        <w:pStyle w:val="NoSpacing"/>
        <w:spacing w:line="276" w:lineRule="auto"/>
        <w:jc w:val="both"/>
        <w:rPr>
          <w:rFonts w:ascii="Arial" w:hAnsi="Arial" w:cs="Arial"/>
          <w:sz w:val="20"/>
          <w:szCs w:val="20"/>
        </w:rPr>
      </w:pPr>
      <w:r w:rsidRPr="00375094">
        <w:rPr>
          <w:rFonts w:ascii="Arial" w:hAnsi="Arial" w:cs="Arial"/>
          <w:sz w:val="20"/>
          <w:szCs w:val="20"/>
        </w:rPr>
        <w:t xml:space="preserve">In conclusion, the present study establishes a highly efficient and reproducible protocol for the micropropagation of the endangered medicinal plant </w:t>
      </w:r>
      <w:proofErr w:type="spellStart"/>
      <w:r w:rsidRPr="00375094">
        <w:rPr>
          <w:rFonts w:ascii="Arial" w:hAnsi="Arial" w:cs="Arial"/>
          <w:i/>
          <w:iCs/>
          <w:sz w:val="20"/>
          <w:szCs w:val="20"/>
        </w:rPr>
        <w:t>Kaempferia</w:t>
      </w:r>
      <w:proofErr w:type="spellEnd"/>
      <w:r w:rsidRPr="00375094">
        <w:rPr>
          <w:rFonts w:ascii="Arial" w:hAnsi="Arial" w:cs="Arial"/>
          <w:i/>
          <w:iCs/>
          <w:sz w:val="20"/>
          <w:szCs w:val="20"/>
        </w:rPr>
        <w:t xml:space="preserve"> </w:t>
      </w:r>
      <w:proofErr w:type="spellStart"/>
      <w:r w:rsidRPr="00375094">
        <w:rPr>
          <w:rFonts w:ascii="Arial" w:hAnsi="Arial" w:cs="Arial"/>
          <w:i/>
          <w:iCs/>
          <w:sz w:val="20"/>
          <w:szCs w:val="20"/>
        </w:rPr>
        <w:t>marginata</w:t>
      </w:r>
      <w:proofErr w:type="spellEnd"/>
      <w:r w:rsidRPr="00375094">
        <w:rPr>
          <w:rFonts w:ascii="Arial" w:hAnsi="Arial" w:cs="Arial"/>
          <w:sz w:val="20"/>
          <w:szCs w:val="20"/>
        </w:rPr>
        <w:t xml:space="preserve"> via somatic embryogenesis. </w:t>
      </w:r>
      <w:r w:rsidRPr="00375094">
        <w:rPr>
          <w:rFonts w:ascii="Arial" w:hAnsi="Arial" w:cs="Arial"/>
          <w:sz w:val="20"/>
          <w:szCs w:val="20"/>
        </w:rPr>
        <w:lastRenderedPageBreak/>
        <w:t>The results demonstrate that MS medium supplemented with 2.0 mgL</w:t>
      </w:r>
      <w:r w:rsidRPr="00375094">
        <w:rPr>
          <w:rFonts w:ascii="Arial" w:hAnsi="Arial" w:cs="Arial"/>
          <w:sz w:val="20"/>
          <w:szCs w:val="20"/>
          <w:vertAlign w:val="superscript"/>
        </w:rPr>
        <w:t>-1</w:t>
      </w:r>
      <w:r w:rsidRPr="00375094">
        <w:rPr>
          <w:rFonts w:ascii="Arial" w:hAnsi="Arial" w:cs="Arial"/>
          <w:sz w:val="20"/>
          <w:szCs w:val="20"/>
        </w:rPr>
        <w:t xml:space="preserve"> NAA is optimal for the induction of embryogenic callus, while a combination of 4.0 mgL</w:t>
      </w:r>
      <w:r w:rsidRPr="00375094">
        <w:rPr>
          <w:rFonts w:ascii="Arial" w:hAnsi="Arial" w:cs="Arial"/>
          <w:sz w:val="20"/>
          <w:szCs w:val="20"/>
          <w:vertAlign w:val="superscript"/>
        </w:rPr>
        <w:t>-1</w:t>
      </w:r>
      <w:r w:rsidRPr="00375094">
        <w:rPr>
          <w:rFonts w:ascii="Arial" w:hAnsi="Arial" w:cs="Arial"/>
          <w:sz w:val="20"/>
          <w:szCs w:val="20"/>
        </w:rPr>
        <w:t xml:space="preserve"> BAP and 1.0 mgL</w:t>
      </w:r>
      <w:r w:rsidRPr="00375094">
        <w:rPr>
          <w:rFonts w:ascii="Arial" w:hAnsi="Arial" w:cs="Arial"/>
          <w:sz w:val="20"/>
          <w:szCs w:val="20"/>
          <w:vertAlign w:val="superscript"/>
        </w:rPr>
        <w:t>-1</w:t>
      </w:r>
      <w:r w:rsidRPr="00375094">
        <w:rPr>
          <w:rFonts w:ascii="Arial" w:hAnsi="Arial" w:cs="Arial"/>
          <w:sz w:val="20"/>
          <w:szCs w:val="20"/>
        </w:rPr>
        <w:t xml:space="preserve"> NAA maximizes shoot multiplication </w:t>
      </w:r>
      <w:r w:rsidR="003A5332">
        <w:rPr>
          <w:rFonts w:ascii="Arial" w:hAnsi="Arial" w:cs="Arial"/>
          <w:sz w:val="20"/>
          <w:szCs w:val="20"/>
        </w:rPr>
        <w:t>[</w:t>
      </w:r>
      <w:r w:rsidRPr="00375094">
        <w:rPr>
          <w:rFonts w:ascii="Arial" w:hAnsi="Arial" w:cs="Arial"/>
          <w:sz w:val="20"/>
          <w:szCs w:val="20"/>
        </w:rPr>
        <w:t>(16.35 ± 0.22) shoots/explant</w:t>
      </w:r>
      <w:r w:rsidR="003A5332">
        <w:rPr>
          <w:rFonts w:ascii="Arial" w:hAnsi="Arial" w:cs="Arial"/>
          <w:sz w:val="20"/>
          <w:szCs w:val="20"/>
        </w:rPr>
        <w:t>]</w:t>
      </w:r>
      <w:r w:rsidRPr="00375094">
        <w:rPr>
          <w:rFonts w:ascii="Arial" w:hAnsi="Arial" w:cs="Arial"/>
          <w:sz w:val="20"/>
          <w:szCs w:val="20"/>
        </w:rPr>
        <w:t xml:space="preserve">. Crucially, the molecular assessment using RAPD and ISSR markers confirmed that the regenerated plantlets are genetically identical to the mother plant, exhibiting 100% monomorphism. This lack of </w:t>
      </w:r>
      <w:proofErr w:type="spellStart"/>
      <w:r w:rsidRPr="00375094">
        <w:rPr>
          <w:rFonts w:ascii="Arial" w:hAnsi="Arial" w:cs="Arial"/>
          <w:sz w:val="20"/>
          <w:szCs w:val="20"/>
        </w:rPr>
        <w:t>somaclonal</w:t>
      </w:r>
      <w:proofErr w:type="spellEnd"/>
      <w:r w:rsidRPr="00375094">
        <w:rPr>
          <w:rFonts w:ascii="Arial" w:hAnsi="Arial" w:cs="Arial"/>
          <w:sz w:val="20"/>
          <w:szCs w:val="20"/>
        </w:rPr>
        <w:t xml:space="preserve"> variation validates the protocol's suitability for commercial applications where clonal fidelity is paramount. Consequently, this method provides a potent tool for the mass propagation of true-to-type elite clones, facilitating both the sustainable supply of pharmaceutical raw materials and the conservation of this valuable germplasm in its natural habitat.</w:t>
      </w:r>
    </w:p>
    <w:p w14:paraId="000ECBFA" w14:textId="0B8C0927" w:rsidR="000120C3" w:rsidRDefault="000120C3" w:rsidP="009C3108">
      <w:pPr>
        <w:pStyle w:val="NoSpacing"/>
        <w:spacing w:line="276" w:lineRule="auto"/>
        <w:jc w:val="both"/>
        <w:rPr>
          <w:rFonts w:ascii="Arial" w:hAnsi="Arial" w:cs="Arial"/>
          <w:sz w:val="20"/>
          <w:szCs w:val="20"/>
        </w:rPr>
      </w:pPr>
    </w:p>
    <w:p w14:paraId="1647C4F5" w14:textId="77777777" w:rsidR="00F27A54" w:rsidRDefault="00F27A54" w:rsidP="009C3108">
      <w:pPr>
        <w:pStyle w:val="NoSpacing"/>
        <w:spacing w:line="276" w:lineRule="auto"/>
        <w:jc w:val="both"/>
        <w:rPr>
          <w:rFonts w:ascii="Arial" w:hAnsi="Arial" w:cs="Arial"/>
          <w:sz w:val="20"/>
          <w:szCs w:val="20"/>
        </w:rPr>
      </w:pPr>
    </w:p>
    <w:p w14:paraId="43652333" w14:textId="77777777" w:rsidR="000120C3" w:rsidRPr="000120C3" w:rsidRDefault="000120C3" w:rsidP="000120C3">
      <w:pPr>
        <w:pStyle w:val="NoSpacing"/>
        <w:spacing w:line="276" w:lineRule="auto"/>
        <w:jc w:val="both"/>
        <w:rPr>
          <w:rFonts w:ascii="Arial" w:hAnsi="Arial" w:cs="Arial"/>
          <w:sz w:val="20"/>
          <w:szCs w:val="20"/>
        </w:rPr>
      </w:pPr>
      <w:r w:rsidRPr="000120C3">
        <w:rPr>
          <w:rFonts w:ascii="Arial" w:hAnsi="Arial" w:cs="Arial"/>
          <w:sz w:val="20"/>
          <w:szCs w:val="20"/>
        </w:rPr>
        <w:t>COMPETING INTERESTS DISCLAIMER:</w:t>
      </w:r>
    </w:p>
    <w:p w14:paraId="1AC0BB84" w14:textId="79FD883D" w:rsidR="000120C3" w:rsidRDefault="000120C3" w:rsidP="000120C3">
      <w:pPr>
        <w:pStyle w:val="NoSpacing"/>
        <w:spacing w:line="276" w:lineRule="auto"/>
        <w:jc w:val="both"/>
        <w:rPr>
          <w:rFonts w:ascii="Arial" w:hAnsi="Arial" w:cs="Arial"/>
          <w:sz w:val="20"/>
          <w:szCs w:val="20"/>
        </w:rPr>
      </w:pPr>
      <w:r w:rsidRPr="000120C3">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0E608ACB" w14:textId="28B94053" w:rsidR="002664B6" w:rsidRDefault="002664B6" w:rsidP="000120C3">
      <w:pPr>
        <w:pStyle w:val="NoSpacing"/>
        <w:spacing w:line="276" w:lineRule="auto"/>
        <w:jc w:val="both"/>
        <w:rPr>
          <w:rFonts w:ascii="Arial" w:hAnsi="Arial" w:cs="Arial"/>
          <w:sz w:val="20"/>
          <w:szCs w:val="20"/>
        </w:rPr>
      </w:pPr>
    </w:p>
    <w:p w14:paraId="7DDAA408" w14:textId="77777777" w:rsidR="002664B6" w:rsidRPr="002664B6" w:rsidRDefault="002664B6" w:rsidP="002664B6">
      <w:pPr>
        <w:pStyle w:val="NoSpacing"/>
        <w:spacing w:line="276" w:lineRule="auto"/>
        <w:jc w:val="both"/>
        <w:rPr>
          <w:rFonts w:ascii="Arial" w:hAnsi="Arial" w:cs="Arial"/>
          <w:b/>
          <w:sz w:val="20"/>
          <w:szCs w:val="20"/>
        </w:rPr>
      </w:pPr>
      <w:r w:rsidRPr="002664B6">
        <w:rPr>
          <w:rFonts w:ascii="Arial" w:hAnsi="Arial" w:cs="Arial"/>
          <w:b/>
          <w:sz w:val="20"/>
          <w:szCs w:val="20"/>
        </w:rPr>
        <w:t>Disclaimer (Artificial intelligence)</w:t>
      </w:r>
    </w:p>
    <w:p w14:paraId="65E57AEE" w14:textId="1F9C10C0" w:rsidR="002664B6" w:rsidRDefault="002664B6" w:rsidP="002664B6">
      <w:pPr>
        <w:pStyle w:val="NoSpacing"/>
        <w:spacing w:line="276" w:lineRule="auto"/>
        <w:jc w:val="both"/>
        <w:rPr>
          <w:rFonts w:ascii="Arial" w:hAnsi="Arial" w:cs="Arial"/>
          <w:sz w:val="20"/>
          <w:szCs w:val="20"/>
        </w:rPr>
      </w:pPr>
      <w:r w:rsidRPr="002664B6">
        <w:rPr>
          <w:rFonts w:ascii="Arial" w:hAnsi="Arial" w:cs="Arial"/>
          <w:sz w:val="20"/>
          <w:szCs w:val="20"/>
        </w:rPr>
        <w:t>Author(s) hereby declare that NO generative AI technologies such as Large Language Models (</w:t>
      </w:r>
      <w:proofErr w:type="spellStart"/>
      <w:r w:rsidRPr="002664B6">
        <w:rPr>
          <w:rFonts w:ascii="Arial" w:hAnsi="Arial" w:cs="Arial"/>
          <w:sz w:val="20"/>
          <w:szCs w:val="20"/>
        </w:rPr>
        <w:t>ChatGPT</w:t>
      </w:r>
      <w:proofErr w:type="spellEnd"/>
      <w:r w:rsidRPr="002664B6">
        <w:rPr>
          <w:rFonts w:ascii="Arial" w:hAnsi="Arial" w:cs="Arial"/>
          <w:sz w:val="20"/>
          <w:szCs w:val="20"/>
        </w:rPr>
        <w:t>, COPILOT, etc.) and text-to-image generators have been used during the writing or editing of this manuscript.</w:t>
      </w:r>
    </w:p>
    <w:p w14:paraId="59C8A436" w14:textId="77777777" w:rsidR="00253014" w:rsidRPr="001F242A" w:rsidRDefault="00253014" w:rsidP="000120C3">
      <w:pPr>
        <w:pStyle w:val="NoSpacing"/>
        <w:spacing w:line="276" w:lineRule="auto"/>
        <w:jc w:val="both"/>
        <w:rPr>
          <w:rFonts w:ascii="Arial" w:hAnsi="Arial" w:cs="Arial"/>
          <w:sz w:val="20"/>
          <w:szCs w:val="20"/>
        </w:rPr>
      </w:pPr>
    </w:p>
    <w:p w14:paraId="2BD64560" w14:textId="77777777" w:rsidR="001E5D52" w:rsidRDefault="001E5D52" w:rsidP="009C3108">
      <w:pPr>
        <w:pStyle w:val="NoSpacing"/>
        <w:spacing w:line="276" w:lineRule="auto"/>
        <w:jc w:val="both"/>
        <w:rPr>
          <w:rFonts w:ascii="Arial" w:hAnsi="Arial" w:cs="Arial"/>
          <w:b/>
          <w:bCs/>
          <w:sz w:val="24"/>
          <w:szCs w:val="24"/>
        </w:rPr>
      </w:pPr>
      <w:bookmarkStart w:id="0" w:name="_GoBack"/>
      <w:bookmarkEnd w:id="0"/>
    </w:p>
    <w:p w14:paraId="676E788B" w14:textId="00FC6869" w:rsidR="009C3108" w:rsidRPr="004F63C6" w:rsidRDefault="00815042" w:rsidP="009C3108">
      <w:pPr>
        <w:pStyle w:val="NoSpacing"/>
        <w:spacing w:line="276" w:lineRule="auto"/>
        <w:jc w:val="both"/>
        <w:rPr>
          <w:rFonts w:ascii="Arial" w:hAnsi="Arial" w:cs="Arial"/>
          <w:b/>
          <w:bCs/>
          <w:sz w:val="24"/>
          <w:szCs w:val="24"/>
        </w:rPr>
      </w:pPr>
      <w:r w:rsidRPr="004F63C6">
        <w:rPr>
          <w:rFonts w:ascii="Arial" w:hAnsi="Arial" w:cs="Arial"/>
          <w:b/>
          <w:bCs/>
          <w:sz w:val="24"/>
          <w:szCs w:val="24"/>
        </w:rPr>
        <w:t>REFERENCES</w:t>
      </w:r>
    </w:p>
    <w:p w14:paraId="5F9DB2AC" w14:textId="6F562FCC" w:rsidR="00C76BC8" w:rsidRDefault="00C76BC8" w:rsidP="00815042">
      <w:pPr>
        <w:pStyle w:val="NoSpacing"/>
        <w:spacing w:line="276" w:lineRule="auto"/>
        <w:jc w:val="both"/>
        <w:rPr>
          <w:rFonts w:ascii="Arial" w:hAnsi="Arial" w:cs="Arial"/>
          <w:sz w:val="20"/>
          <w:szCs w:val="20"/>
        </w:rPr>
      </w:pPr>
      <w:r w:rsidRPr="00C76BC8">
        <w:rPr>
          <w:rFonts w:ascii="Arial" w:hAnsi="Arial" w:cs="Arial"/>
          <w:sz w:val="20"/>
          <w:szCs w:val="20"/>
        </w:rPr>
        <w:t xml:space="preserve">Ahmed, M. R., Anis, M., </w:t>
      </w:r>
      <w:proofErr w:type="spellStart"/>
      <w:r w:rsidRPr="00C76BC8">
        <w:rPr>
          <w:rFonts w:ascii="Arial" w:hAnsi="Arial" w:cs="Arial"/>
          <w:sz w:val="20"/>
          <w:szCs w:val="20"/>
        </w:rPr>
        <w:t>Alatar</w:t>
      </w:r>
      <w:proofErr w:type="spellEnd"/>
      <w:r w:rsidRPr="00C76BC8">
        <w:rPr>
          <w:rFonts w:ascii="Arial" w:hAnsi="Arial" w:cs="Arial"/>
          <w:sz w:val="20"/>
          <w:szCs w:val="20"/>
        </w:rPr>
        <w:t xml:space="preserve">, A. A., &amp; Faisal, M. (2016). In vitro clonal propagation and evaluation of genetic fidelity using RAPD and ISSR marker in </w:t>
      </w:r>
      <w:proofErr w:type="spellStart"/>
      <w:r w:rsidRPr="00C76BC8">
        <w:rPr>
          <w:rFonts w:ascii="Arial" w:hAnsi="Arial" w:cs="Arial"/>
          <w:sz w:val="20"/>
          <w:szCs w:val="20"/>
        </w:rPr>
        <w:t>micropropagated</w:t>
      </w:r>
      <w:proofErr w:type="spellEnd"/>
      <w:r w:rsidRPr="00C76BC8">
        <w:rPr>
          <w:rFonts w:ascii="Arial" w:hAnsi="Arial" w:cs="Arial"/>
          <w:sz w:val="20"/>
          <w:szCs w:val="20"/>
        </w:rPr>
        <w:t xml:space="preserve"> plants of </w:t>
      </w:r>
      <w:r w:rsidRPr="00C76BC8">
        <w:rPr>
          <w:rFonts w:ascii="Arial" w:hAnsi="Arial" w:cs="Arial"/>
          <w:i/>
          <w:iCs/>
          <w:sz w:val="20"/>
          <w:szCs w:val="20"/>
        </w:rPr>
        <w:t xml:space="preserve">Cassia </w:t>
      </w:r>
      <w:proofErr w:type="spellStart"/>
      <w:r w:rsidRPr="00C76BC8">
        <w:rPr>
          <w:rFonts w:ascii="Arial" w:hAnsi="Arial" w:cs="Arial"/>
          <w:i/>
          <w:iCs/>
          <w:sz w:val="20"/>
          <w:szCs w:val="20"/>
        </w:rPr>
        <w:t>alata</w:t>
      </w:r>
      <w:proofErr w:type="spellEnd"/>
      <w:r w:rsidRPr="00C76BC8">
        <w:rPr>
          <w:rFonts w:ascii="Arial" w:hAnsi="Arial" w:cs="Arial"/>
          <w:sz w:val="20"/>
          <w:szCs w:val="20"/>
        </w:rPr>
        <w:t xml:space="preserve"> L.: a potential medicinal plant</w:t>
      </w:r>
      <w:r w:rsidRPr="00C76BC8">
        <w:rPr>
          <w:rFonts w:ascii="Arial" w:hAnsi="Arial" w:cs="Arial"/>
          <w:i/>
          <w:iCs/>
          <w:sz w:val="20"/>
          <w:szCs w:val="20"/>
        </w:rPr>
        <w:t>. Agroforestry Systems, 91(4)</w:t>
      </w:r>
      <w:r w:rsidRPr="00C76BC8">
        <w:rPr>
          <w:rFonts w:ascii="Arial" w:hAnsi="Arial" w:cs="Arial"/>
          <w:sz w:val="20"/>
          <w:szCs w:val="20"/>
        </w:rPr>
        <w:t>, 637–647.</w:t>
      </w:r>
    </w:p>
    <w:p w14:paraId="3CA2E831" w14:textId="7D026305" w:rsidR="00815042" w:rsidRPr="00E9315C" w:rsidRDefault="00815042" w:rsidP="00815042">
      <w:pPr>
        <w:pStyle w:val="NoSpacing"/>
        <w:spacing w:line="276" w:lineRule="auto"/>
        <w:jc w:val="both"/>
        <w:rPr>
          <w:rFonts w:ascii="Arial" w:hAnsi="Arial" w:cs="Arial"/>
          <w:sz w:val="20"/>
          <w:szCs w:val="20"/>
        </w:rPr>
      </w:pPr>
      <w:proofErr w:type="spellStart"/>
      <w:r w:rsidRPr="00E9315C">
        <w:rPr>
          <w:rFonts w:ascii="Arial" w:hAnsi="Arial" w:cs="Arial"/>
          <w:sz w:val="20"/>
          <w:szCs w:val="20"/>
        </w:rPr>
        <w:t>Agretious</w:t>
      </w:r>
      <w:proofErr w:type="spellEnd"/>
      <w:r w:rsidRPr="00E9315C">
        <w:rPr>
          <w:rFonts w:ascii="Arial" w:hAnsi="Arial" w:cs="Arial"/>
          <w:sz w:val="20"/>
          <w:szCs w:val="20"/>
        </w:rPr>
        <w:t xml:space="preserve">, T. K., Martin, K. P., &amp; Hariharan, M. (1996). In vitro clonal multiplication of </w:t>
      </w:r>
      <w:proofErr w:type="spellStart"/>
      <w:r w:rsidRPr="00E9315C">
        <w:rPr>
          <w:rFonts w:ascii="Arial" w:hAnsi="Arial" w:cs="Arial"/>
          <w:i/>
          <w:iCs/>
          <w:sz w:val="20"/>
          <w:szCs w:val="20"/>
        </w:rPr>
        <w:t>Alpinia</w:t>
      </w:r>
      <w:proofErr w:type="spellEnd"/>
      <w:r w:rsidRPr="00E9315C">
        <w:rPr>
          <w:rFonts w:ascii="Arial" w:hAnsi="Arial" w:cs="Arial"/>
          <w:i/>
          <w:iCs/>
          <w:sz w:val="20"/>
          <w:szCs w:val="20"/>
        </w:rPr>
        <w:t xml:space="preserve"> </w:t>
      </w:r>
      <w:proofErr w:type="spellStart"/>
      <w:r w:rsidRPr="00E9315C">
        <w:rPr>
          <w:rFonts w:ascii="Arial" w:hAnsi="Arial" w:cs="Arial"/>
          <w:i/>
          <w:iCs/>
          <w:sz w:val="20"/>
          <w:szCs w:val="20"/>
        </w:rPr>
        <w:t>calcarata</w:t>
      </w:r>
      <w:proofErr w:type="spellEnd"/>
      <w:r w:rsidRPr="00E9315C">
        <w:rPr>
          <w:rFonts w:ascii="Arial" w:hAnsi="Arial" w:cs="Arial"/>
          <w:sz w:val="20"/>
          <w:szCs w:val="20"/>
        </w:rPr>
        <w:t xml:space="preserve"> Roscoe. </w:t>
      </w:r>
      <w:proofErr w:type="spellStart"/>
      <w:r w:rsidRPr="00E9315C">
        <w:rPr>
          <w:rFonts w:ascii="Arial" w:hAnsi="Arial" w:cs="Arial"/>
          <w:i/>
          <w:iCs/>
          <w:sz w:val="20"/>
          <w:szCs w:val="20"/>
        </w:rPr>
        <w:t>Phytomorphology</w:t>
      </w:r>
      <w:proofErr w:type="spellEnd"/>
      <w:r w:rsidRPr="00E9315C">
        <w:rPr>
          <w:rFonts w:ascii="Arial" w:hAnsi="Arial" w:cs="Arial"/>
          <w:i/>
          <w:iCs/>
          <w:sz w:val="20"/>
          <w:szCs w:val="20"/>
        </w:rPr>
        <w:t>, 46</w:t>
      </w:r>
      <w:r w:rsidR="00E9315C" w:rsidRPr="00E9315C">
        <w:rPr>
          <w:rFonts w:ascii="Arial" w:hAnsi="Arial" w:cs="Arial"/>
          <w:i/>
          <w:iCs/>
          <w:sz w:val="20"/>
          <w:szCs w:val="20"/>
        </w:rPr>
        <w:t>(2)</w:t>
      </w:r>
      <w:r w:rsidRPr="00E9315C">
        <w:rPr>
          <w:rFonts w:ascii="Arial" w:hAnsi="Arial" w:cs="Arial"/>
          <w:sz w:val="20"/>
          <w:szCs w:val="20"/>
        </w:rPr>
        <w:t>, 133–138.</w:t>
      </w:r>
    </w:p>
    <w:p w14:paraId="50B2713F" w14:textId="3AAACE20" w:rsidR="00815042" w:rsidRPr="00815042" w:rsidRDefault="00815042" w:rsidP="00815042">
      <w:pPr>
        <w:pStyle w:val="NoSpacing"/>
        <w:spacing w:line="276" w:lineRule="auto"/>
        <w:jc w:val="both"/>
        <w:rPr>
          <w:rFonts w:ascii="Arial" w:hAnsi="Arial" w:cs="Arial"/>
          <w:sz w:val="20"/>
          <w:szCs w:val="20"/>
        </w:rPr>
      </w:pPr>
      <w:r w:rsidRPr="00E9315C">
        <w:rPr>
          <w:rFonts w:ascii="Arial" w:hAnsi="Arial" w:cs="Arial"/>
          <w:sz w:val="20"/>
          <w:szCs w:val="20"/>
        </w:rPr>
        <w:t xml:space="preserve">Balachandran, S. M., Bhat, S. R., &amp; </w:t>
      </w:r>
      <w:proofErr w:type="spellStart"/>
      <w:r w:rsidRPr="00E9315C">
        <w:rPr>
          <w:rFonts w:ascii="Arial" w:hAnsi="Arial" w:cs="Arial"/>
          <w:sz w:val="20"/>
          <w:szCs w:val="20"/>
        </w:rPr>
        <w:t>Chandel</w:t>
      </w:r>
      <w:proofErr w:type="spellEnd"/>
      <w:r w:rsidRPr="00E9315C">
        <w:rPr>
          <w:rFonts w:ascii="Arial" w:hAnsi="Arial" w:cs="Arial"/>
          <w:sz w:val="20"/>
          <w:szCs w:val="20"/>
        </w:rPr>
        <w:t>, K. P. S. (1990). In vitro clonal multiplication of turmeric (</w:t>
      </w:r>
      <w:r w:rsidRPr="00E9315C">
        <w:rPr>
          <w:rFonts w:ascii="Arial" w:hAnsi="Arial" w:cs="Arial"/>
          <w:i/>
          <w:iCs/>
          <w:sz w:val="20"/>
          <w:szCs w:val="20"/>
        </w:rPr>
        <w:t>Curcuma</w:t>
      </w:r>
      <w:r w:rsidRPr="00E9315C">
        <w:rPr>
          <w:rFonts w:ascii="Arial" w:hAnsi="Arial" w:cs="Arial"/>
          <w:sz w:val="20"/>
          <w:szCs w:val="20"/>
        </w:rPr>
        <w:t xml:space="preserve"> spp.) and ginger (</w:t>
      </w:r>
      <w:proofErr w:type="spellStart"/>
      <w:r w:rsidRPr="00E9315C">
        <w:rPr>
          <w:rFonts w:ascii="Arial" w:hAnsi="Arial" w:cs="Arial"/>
          <w:i/>
          <w:iCs/>
          <w:sz w:val="20"/>
          <w:szCs w:val="20"/>
        </w:rPr>
        <w:t>Zingiber</w:t>
      </w:r>
      <w:proofErr w:type="spellEnd"/>
      <w:r w:rsidRPr="00E9315C">
        <w:rPr>
          <w:rFonts w:ascii="Arial" w:hAnsi="Arial" w:cs="Arial"/>
          <w:i/>
          <w:iCs/>
          <w:sz w:val="20"/>
          <w:szCs w:val="20"/>
        </w:rPr>
        <w:t xml:space="preserve"> </w:t>
      </w:r>
      <w:proofErr w:type="spellStart"/>
      <w:r w:rsidRPr="00E9315C">
        <w:rPr>
          <w:rFonts w:ascii="Arial" w:hAnsi="Arial" w:cs="Arial"/>
          <w:i/>
          <w:iCs/>
          <w:sz w:val="20"/>
          <w:szCs w:val="20"/>
        </w:rPr>
        <w:t>officinale</w:t>
      </w:r>
      <w:proofErr w:type="spellEnd"/>
      <w:r w:rsidRPr="00E9315C">
        <w:rPr>
          <w:rFonts w:ascii="Arial" w:hAnsi="Arial" w:cs="Arial"/>
          <w:sz w:val="20"/>
          <w:szCs w:val="20"/>
        </w:rPr>
        <w:t xml:space="preserve"> </w:t>
      </w:r>
      <w:proofErr w:type="spellStart"/>
      <w:r w:rsidRPr="00E9315C">
        <w:rPr>
          <w:rFonts w:ascii="Arial" w:hAnsi="Arial" w:cs="Arial"/>
          <w:sz w:val="20"/>
          <w:szCs w:val="20"/>
        </w:rPr>
        <w:t>Rosc</w:t>
      </w:r>
      <w:proofErr w:type="spellEnd"/>
      <w:r w:rsidRPr="00E9315C">
        <w:rPr>
          <w:rFonts w:ascii="Arial" w:hAnsi="Arial" w:cs="Arial"/>
          <w:sz w:val="20"/>
          <w:szCs w:val="20"/>
        </w:rPr>
        <w:t xml:space="preserve">.). </w:t>
      </w:r>
      <w:r w:rsidRPr="00E9315C">
        <w:rPr>
          <w:rFonts w:ascii="Arial" w:hAnsi="Arial" w:cs="Arial"/>
          <w:i/>
          <w:iCs/>
          <w:sz w:val="20"/>
          <w:szCs w:val="20"/>
        </w:rPr>
        <w:t>Plant Cell Reports, 8</w:t>
      </w:r>
      <w:r w:rsidR="00E9315C" w:rsidRPr="00E9315C">
        <w:rPr>
          <w:rFonts w:ascii="Arial" w:hAnsi="Arial" w:cs="Arial"/>
          <w:i/>
          <w:iCs/>
          <w:sz w:val="20"/>
          <w:szCs w:val="20"/>
        </w:rPr>
        <w:t>(9)</w:t>
      </w:r>
      <w:r w:rsidRPr="00E9315C">
        <w:rPr>
          <w:rFonts w:ascii="Arial" w:hAnsi="Arial" w:cs="Arial"/>
          <w:sz w:val="20"/>
          <w:szCs w:val="20"/>
        </w:rPr>
        <w:t>, 521–524.</w:t>
      </w:r>
    </w:p>
    <w:p w14:paraId="68AF68BB" w14:textId="6647783E"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Doyle, J. J., &amp; Doyle, J. L. (1987). A rapid DNA isolation procedure for small quantities of fresh leaf tissue. </w:t>
      </w:r>
      <w:r w:rsidRPr="00815042">
        <w:rPr>
          <w:rFonts w:ascii="Arial" w:hAnsi="Arial" w:cs="Arial"/>
          <w:i/>
          <w:iCs/>
          <w:sz w:val="20"/>
          <w:szCs w:val="20"/>
        </w:rPr>
        <w:t>Phytochemical Bulletin, 19</w:t>
      </w:r>
      <w:r w:rsidR="00E9315C" w:rsidRPr="00E9315C">
        <w:rPr>
          <w:rFonts w:ascii="Arial" w:hAnsi="Arial" w:cs="Arial"/>
          <w:i/>
          <w:iCs/>
          <w:sz w:val="20"/>
          <w:szCs w:val="20"/>
        </w:rPr>
        <w:t>(1)</w:t>
      </w:r>
      <w:r w:rsidRPr="00815042">
        <w:rPr>
          <w:rFonts w:ascii="Arial" w:hAnsi="Arial" w:cs="Arial"/>
          <w:sz w:val="20"/>
          <w:szCs w:val="20"/>
        </w:rPr>
        <w:t>, 11–15.</w:t>
      </w:r>
    </w:p>
    <w:p w14:paraId="2C51CEE3" w14:textId="7777777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Elshamy</w:t>
      </w:r>
      <w:proofErr w:type="spellEnd"/>
      <w:r w:rsidRPr="00815042">
        <w:rPr>
          <w:rFonts w:ascii="Arial" w:hAnsi="Arial" w:cs="Arial"/>
          <w:sz w:val="20"/>
          <w:szCs w:val="20"/>
        </w:rPr>
        <w:t xml:space="preserve">, A. I., Singh, A., Singh, N., Singh, S., Srivastava, R. P., Singh, L., Verma, P. C., </w:t>
      </w:r>
      <w:proofErr w:type="spellStart"/>
      <w:r w:rsidRPr="00815042">
        <w:rPr>
          <w:rFonts w:ascii="Arial" w:hAnsi="Arial" w:cs="Arial"/>
          <w:sz w:val="20"/>
          <w:szCs w:val="20"/>
        </w:rPr>
        <w:t>Devkota</w:t>
      </w:r>
      <w:proofErr w:type="spellEnd"/>
      <w:r w:rsidRPr="00815042">
        <w:rPr>
          <w:rFonts w:ascii="Arial" w:hAnsi="Arial" w:cs="Arial"/>
          <w:sz w:val="20"/>
          <w:szCs w:val="20"/>
        </w:rPr>
        <w:t xml:space="preserve">, H. P., Rahman, L., </w:t>
      </w:r>
      <w:proofErr w:type="spellStart"/>
      <w:r w:rsidRPr="00815042">
        <w:rPr>
          <w:rFonts w:ascii="Arial" w:hAnsi="Arial" w:cs="Arial"/>
          <w:sz w:val="20"/>
          <w:szCs w:val="20"/>
        </w:rPr>
        <w:t>Rajak</w:t>
      </w:r>
      <w:proofErr w:type="spellEnd"/>
      <w:r w:rsidRPr="00815042">
        <w:rPr>
          <w:rFonts w:ascii="Arial" w:hAnsi="Arial" w:cs="Arial"/>
          <w:sz w:val="20"/>
          <w:szCs w:val="20"/>
        </w:rPr>
        <w:t xml:space="preserve">, B. K., Singh, A., &amp; Saxena, G. (2023). The industrially important genus </w:t>
      </w:r>
      <w:proofErr w:type="spellStart"/>
      <w:r w:rsidRPr="00815042">
        <w:rPr>
          <w:rFonts w:ascii="Arial" w:hAnsi="Arial" w:cs="Arial"/>
          <w:i/>
          <w:iCs/>
          <w:sz w:val="20"/>
          <w:szCs w:val="20"/>
        </w:rPr>
        <w:t>Kaempferia</w:t>
      </w:r>
      <w:proofErr w:type="spellEnd"/>
      <w:r w:rsidRPr="00815042">
        <w:rPr>
          <w:rFonts w:ascii="Arial" w:hAnsi="Arial" w:cs="Arial"/>
          <w:sz w:val="20"/>
          <w:szCs w:val="20"/>
        </w:rPr>
        <w:t xml:space="preserve">: An ethnopharmacological review. </w:t>
      </w:r>
      <w:r w:rsidRPr="00815042">
        <w:rPr>
          <w:rFonts w:ascii="Arial" w:hAnsi="Arial" w:cs="Arial"/>
          <w:i/>
          <w:iCs/>
          <w:sz w:val="20"/>
          <w:szCs w:val="20"/>
        </w:rPr>
        <w:t>Frontiers in Pharmacology, 14</w:t>
      </w:r>
      <w:r w:rsidRPr="00815042">
        <w:rPr>
          <w:rFonts w:ascii="Arial" w:hAnsi="Arial" w:cs="Arial"/>
          <w:sz w:val="20"/>
          <w:szCs w:val="20"/>
        </w:rPr>
        <w:t>, 1099523.</w:t>
      </w:r>
    </w:p>
    <w:p w14:paraId="597AA518" w14:textId="34E6C820"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Goto</w:t>
      </w:r>
      <w:proofErr w:type="spellEnd"/>
      <w:r w:rsidRPr="00815042">
        <w:rPr>
          <w:rFonts w:ascii="Arial" w:hAnsi="Arial" w:cs="Arial"/>
          <w:sz w:val="20"/>
          <w:szCs w:val="20"/>
        </w:rPr>
        <w:t xml:space="preserve">, S., Thakur, R. C., &amp; Ishii, K. (1998). Determination of genetic stability in long-term </w:t>
      </w:r>
      <w:proofErr w:type="spellStart"/>
      <w:r w:rsidRPr="00815042">
        <w:rPr>
          <w:rFonts w:ascii="Arial" w:hAnsi="Arial" w:cs="Arial"/>
          <w:sz w:val="20"/>
          <w:szCs w:val="20"/>
        </w:rPr>
        <w:t>micropropagated</w:t>
      </w:r>
      <w:proofErr w:type="spellEnd"/>
      <w:r w:rsidRPr="00815042">
        <w:rPr>
          <w:rFonts w:ascii="Arial" w:hAnsi="Arial" w:cs="Arial"/>
          <w:sz w:val="20"/>
          <w:szCs w:val="20"/>
        </w:rPr>
        <w:t xml:space="preserve"> shoots of </w:t>
      </w:r>
      <w:r w:rsidRPr="00815042">
        <w:rPr>
          <w:rFonts w:ascii="Arial" w:hAnsi="Arial" w:cs="Arial"/>
          <w:i/>
          <w:iCs/>
          <w:sz w:val="20"/>
          <w:szCs w:val="20"/>
        </w:rPr>
        <w:t xml:space="preserve">Pinus </w:t>
      </w:r>
      <w:proofErr w:type="spellStart"/>
      <w:r w:rsidRPr="00815042">
        <w:rPr>
          <w:rFonts w:ascii="Arial" w:hAnsi="Arial" w:cs="Arial"/>
          <w:i/>
          <w:iCs/>
          <w:sz w:val="20"/>
          <w:szCs w:val="20"/>
        </w:rPr>
        <w:t>thunbergii</w:t>
      </w:r>
      <w:proofErr w:type="spellEnd"/>
      <w:r w:rsidRPr="00815042">
        <w:rPr>
          <w:rFonts w:ascii="Arial" w:hAnsi="Arial" w:cs="Arial"/>
          <w:sz w:val="20"/>
          <w:szCs w:val="20"/>
        </w:rPr>
        <w:t xml:space="preserve"> Parl. using RAPD markers. </w:t>
      </w:r>
      <w:r w:rsidRPr="00815042">
        <w:rPr>
          <w:rFonts w:ascii="Arial" w:hAnsi="Arial" w:cs="Arial"/>
          <w:i/>
          <w:iCs/>
          <w:sz w:val="20"/>
          <w:szCs w:val="20"/>
        </w:rPr>
        <w:t>Plant Cell Reports, 18</w:t>
      </w:r>
      <w:r w:rsidR="00E9315C" w:rsidRPr="00E9315C">
        <w:t xml:space="preserve"> </w:t>
      </w:r>
      <w:r w:rsidR="00E9315C" w:rsidRPr="00E9315C">
        <w:rPr>
          <w:rFonts w:ascii="Arial" w:hAnsi="Arial" w:cs="Arial"/>
          <w:i/>
          <w:iCs/>
          <w:sz w:val="20"/>
          <w:szCs w:val="20"/>
        </w:rPr>
        <w:t>(3)</w:t>
      </w:r>
      <w:r w:rsidRPr="00815042">
        <w:rPr>
          <w:rFonts w:ascii="Arial" w:hAnsi="Arial" w:cs="Arial"/>
          <w:sz w:val="20"/>
          <w:szCs w:val="20"/>
        </w:rPr>
        <w:t>, 193–197.</w:t>
      </w:r>
    </w:p>
    <w:p w14:paraId="65266A24" w14:textId="3E9B268B" w:rsidR="00B16BC0" w:rsidRDefault="00B16BC0" w:rsidP="00815042">
      <w:pPr>
        <w:pStyle w:val="NoSpacing"/>
        <w:spacing w:line="276" w:lineRule="auto"/>
        <w:jc w:val="both"/>
        <w:rPr>
          <w:rFonts w:ascii="Arial" w:hAnsi="Arial" w:cs="Arial"/>
          <w:sz w:val="20"/>
          <w:szCs w:val="20"/>
        </w:rPr>
      </w:pPr>
      <w:r w:rsidRPr="00B16BC0">
        <w:rPr>
          <w:rFonts w:ascii="Arial" w:hAnsi="Arial" w:cs="Arial"/>
          <w:sz w:val="20"/>
          <w:szCs w:val="20"/>
        </w:rPr>
        <w:t xml:space="preserve">Goyal, A. K., Pradhan, S., </w:t>
      </w:r>
      <w:proofErr w:type="spellStart"/>
      <w:r w:rsidRPr="00B16BC0">
        <w:rPr>
          <w:rFonts w:ascii="Arial" w:hAnsi="Arial" w:cs="Arial"/>
          <w:sz w:val="20"/>
          <w:szCs w:val="20"/>
        </w:rPr>
        <w:t>Basistha</w:t>
      </w:r>
      <w:proofErr w:type="spellEnd"/>
      <w:r w:rsidRPr="00B16BC0">
        <w:rPr>
          <w:rFonts w:ascii="Arial" w:hAnsi="Arial" w:cs="Arial"/>
          <w:sz w:val="20"/>
          <w:szCs w:val="20"/>
        </w:rPr>
        <w:t xml:space="preserve">, B. C., &amp; Sen, A. (2023). Micropropagation and assessment of genetic fidelity of </w:t>
      </w:r>
      <w:proofErr w:type="spellStart"/>
      <w:r w:rsidRPr="00B16BC0">
        <w:rPr>
          <w:rFonts w:ascii="Arial" w:hAnsi="Arial" w:cs="Arial"/>
          <w:i/>
          <w:iCs/>
          <w:sz w:val="20"/>
          <w:szCs w:val="20"/>
        </w:rPr>
        <w:t>Dendrocalamus</w:t>
      </w:r>
      <w:proofErr w:type="spellEnd"/>
      <w:r w:rsidRPr="00B16BC0">
        <w:rPr>
          <w:rFonts w:ascii="Arial" w:hAnsi="Arial" w:cs="Arial"/>
          <w:i/>
          <w:iCs/>
          <w:sz w:val="20"/>
          <w:szCs w:val="20"/>
        </w:rPr>
        <w:t xml:space="preserve"> </w:t>
      </w:r>
      <w:proofErr w:type="spellStart"/>
      <w:r w:rsidRPr="00B16BC0">
        <w:rPr>
          <w:rFonts w:ascii="Arial" w:hAnsi="Arial" w:cs="Arial"/>
          <w:i/>
          <w:iCs/>
          <w:sz w:val="20"/>
          <w:szCs w:val="20"/>
        </w:rPr>
        <w:t>strictus</w:t>
      </w:r>
      <w:proofErr w:type="spellEnd"/>
      <w:r w:rsidRPr="00B16BC0">
        <w:rPr>
          <w:rFonts w:ascii="Arial" w:hAnsi="Arial" w:cs="Arial"/>
          <w:sz w:val="20"/>
          <w:szCs w:val="20"/>
        </w:rPr>
        <w:t xml:space="preserve"> (</w:t>
      </w:r>
      <w:proofErr w:type="spellStart"/>
      <w:r w:rsidRPr="00B16BC0">
        <w:rPr>
          <w:rFonts w:ascii="Arial" w:hAnsi="Arial" w:cs="Arial"/>
          <w:sz w:val="20"/>
          <w:szCs w:val="20"/>
        </w:rPr>
        <w:t>Roxb</w:t>
      </w:r>
      <w:proofErr w:type="spellEnd"/>
      <w:r w:rsidRPr="00B16BC0">
        <w:rPr>
          <w:rFonts w:ascii="Arial" w:hAnsi="Arial" w:cs="Arial"/>
          <w:sz w:val="20"/>
          <w:szCs w:val="20"/>
        </w:rPr>
        <w:t xml:space="preserve">.) </w:t>
      </w:r>
      <w:proofErr w:type="spellStart"/>
      <w:r w:rsidRPr="00B16BC0">
        <w:rPr>
          <w:rFonts w:ascii="Arial" w:hAnsi="Arial" w:cs="Arial"/>
          <w:sz w:val="20"/>
          <w:szCs w:val="20"/>
        </w:rPr>
        <w:t>Nees</w:t>
      </w:r>
      <w:proofErr w:type="spellEnd"/>
      <w:r w:rsidRPr="00B16BC0">
        <w:rPr>
          <w:rFonts w:ascii="Arial" w:hAnsi="Arial" w:cs="Arial"/>
          <w:sz w:val="20"/>
          <w:szCs w:val="20"/>
        </w:rPr>
        <w:t xml:space="preserve"> using RAPD and ISSR markers. Proceedings of the National Academy of Sciences, India Section B: </w:t>
      </w:r>
      <w:r w:rsidRPr="00B16BC0">
        <w:rPr>
          <w:rFonts w:ascii="Arial" w:hAnsi="Arial" w:cs="Arial"/>
          <w:i/>
          <w:iCs/>
          <w:sz w:val="20"/>
          <w:szCs w:val="20"/>
        </w:rPr>
        <w:t>Biological Sciences, 93</w:t>
      </w:r>
      <w:r w:rsidRPr="00B16BC0">
        <w:rPr>
          <w:rFonts w:ascii="Arial" w:hAnsi="Arial" w:cs="Arial"/>
          <w:sz w:val="20"/>
          <w:szCs w:val="20"/>
        </w:rPr>
        <w:t>, 123–132.</w:t>
      </w:r>
    </w:p>
    <w:p w14:paraId="511C6043" w14:textId="248A352B"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Hosoki</w:t>
      </w:r>
      <w:proofErr w:type="spellEnd"/>
      <w:r w:rsidRPr="00815042">
        <w:rPr>
          <w:rFonts w:ascii="Arial" w:hAnsi="Arial" w:cs="Arial"/>
          <w:sz w:val="20"/>
          <w:szCs w:val="20"/>
        </w:rPr>
        <w:t>, T., &amp; Sagawa, Y. (1977). Clonal propagation of Ginger (</w:t>
      </w:r>
      <w:proofErr w:type="spellStart"/>
      <w:r w:rsidRPr="00815042">
        <w:rPr>
          <w:rFonts w:ascii="Arial" w:hAnsi="Arial" w:cs="Arial"/>
          <w:i/>
          <w:iCs/>
          <w:sz w:val="20"/>
          <w:szCs w:val="20"/>
        </w:rPr>
        <w:t>Zingiber</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officinale</w:t>
      </w:r>
      <w:proofErr w:type="spellEnd"/>
      <w:r w:rsidRPr="00815042">
        <w:rPr>
          <w:rFonts w:ascii="Arial" w:hAnsi="Arial" w:cs="Arial"/>
          <w:sz w:val="20"/>
          <w:szCs w:val="20"/>
        </w:rPr>
        <w:t xml:space="preserve"> </w:t>
      </w:r>
      <w:proofErr w:type="spellStart"/>
      <w:r w:rsidRPr="00815042">
        <w:rPr>
          <w:rFonts w:ascii="Arial" w:hAnsi="Arial" w:cs="Arial"/>
          <w:sz w:val="20"/>
          <w:szCs w:val="20"/>
        </w:rPr>
        <w:t>Rosc</w:t>
      </w:r>
      <w:proofErr w:type="spellEnd"/>
      <w:r w:rsidRPr="00815042">
        <w:rPr>
          <w:rFonts w:ascii="Arial" w:hAnsi="Arial" w:cs="Arial"/>
          <w:sz w:val="20"/>
          <w:szCs w:val="20"/>
        </w:rPr>
        <w:t xml:space="preserve">.) through tissue culture. </w:t>
      </w:r>
      <w:proofErr w:type="spellStart"/>
      <w:r w:rsidRPr="00815042">
        <w:rPr>
          <w:rFonts w:ascii="Arial" w:hAnsi="Arial" w:cs="Arial"/>
          <w:i/>
          <w:iCs/>
          <w:sz w:val="20"/>
          <w:szCs w:val="20"/>
        </w:rPr>
        <w:t>HortScience</w:t>
      </w:r>
      <w:proofErr w:type="spellEnd"/>
      <w:r w:rsidRPr="00815042">
        <w:rPr>
          <w:rFonts w:ascii="Arial" w:hAnsi="Arial" w:cs="Arial"/>
          <w:i/>
          <w:iCs/>
          <w:sz w:val="20"/>
          <w:szCs w:val="20"/>
        </w:rPr>
        <w:t>, 12</w:t>
      </w:r>
      <w:r w:rsidR="00E9315C" w:rsidRPr="00E9315C">
        <w:rPr>
          <w:rFonts w:ascii="Arial" w:hAnsi="Arial" w:cs="Arial"/>
          <w:i/>
          <w:iCs/>
          <w:sz w:val="20"/>
          <w:szCs w:val="20"/>
        </w:rPr>
        <w:t>(5)</w:t>
      </w:r>
      <w:r w:rsidRPr="00815042">
        <w:rPr>
          <w:rFonts w:ascii="Arial" w:hAnsi="Arial" w:cs="Arial"/>
          <w:sz w:val="20"/>
          <w:szCs w:val="20"/>
        </w:rPr>
        <w:t>, 451–452.</w:t>
      </w:r>
    </w:p>
    <w:p w14:paraId="48A5BC50" w14:textId="2815DD5C"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Jayanthi, M., &amp; Mandal, P. K. (2001). Plant regeneration through somatic embryogenesis and rapid analysis of regenerated plants in </w:t>
      </w:r>
      <w:proofErr w:type="spellStart"/>
      <w:r w:rsidRPr="00815042">
        <w:rPr>
          <w:rFonts w:ascii="Arial" w:hAnsi="Arial" w:cs="Arial"/>
          <w:i/>
          <w:iCs/>
          <w:sz w:val="20"/>
          <w:szCs w:val="20"/>
        </w:rPr>
        <w:t>Tylophora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indica</w:t>
      </w:r>
      <w:proofErr w:type="spellEnd"/>
      <w:r w:rsidRPr="00815042">
        <w:rPr>
          <w:rFonts w:ascii="Arial" w:hAnsi="Arial" w:cs="Arial"/>
          <w:sz w:val="20"/>
          <w:szCs w:val="20"/>
        </w:rPr>
        <w:t xml:space="preserve"> (</w:t>
      </w:r>
      <w:proofErr w:type="spellStart"/>
      <w:r w:rsidRPr="00815042">
        <w:rPr>
          <w:rFonts w:ascii="Arial" w:hAnsi="Arial" w:cs="Arial"/>
          <w:sz w:val="20"/>
          <w:szCs w:val="20"/>
        </w:rPr>
        <w:t>Burm</w:t>
      </w:r>
      <w:proofErr w:type="spellEnd"/>
      <w:r w:rsidRPr="00815042">
        <w:rPr>
          <w:rFonts w:ascii="Arial" w:hAnsi="Arial" w:cs="Arial"/>
          <w:sz w:val="20"/>
          <w:szCs w:val="20"/>
        </w:rPr>
        <w:t xml:space="preserve">. F. </w:t>
      </w:r>
      <w:proofErr w:type="spellStart"/>
      <w:r w:rsidRPr="00815042">
        <w:rPr>
          <w:rFonts w:ascii="Arial" w:hAnsi="Arial" w:cs="Arial"/>
          <w:sz w:val="20"/>
          <w:szCs w:val="20"/>
        </w:rPr>
        <w:t>Merril</w:t>
      </w:r>
      <w:proofErr w:type="spellEnd"/>
      <w:r w:rsidRPr="00815042">
        <w:rPr>
          <w:rFonts w:ascii="Arial" w:hAnsi="Arial" w:cs="Arial"/>
          <w:sz w:val="20"/>
          <w:szCs w:val="20"/>
        </w:rPr>
        <w:t xml:space="preserve">). </w:t>
      </w:r>
      <w:r w:rsidRPr="00815042">
        <w:rPr>
          <w:rFonts w:ascii="Arial" w:hAnsi="Arial" w:cs="Arial"/>
          <w:i/>
          <w:iCs/>
          <w:sz w:val="20"/>
          <w:szCs w:val="20"/>
        </w:rPr>
        <w:t>In Vitro Cellular &amp; Developmental Biology - Plant, 37</w:t>
      </w:r>
      <w:r w:rsidR="00E9315C" w:rsidRPr="00E9315C">
        <w:rPr>
          <w:rFonts w:ascii="Arial" w:hAnsi="Arial" w:cs="Arial"/>
          <w:i/>
          <w:iCs/>
          <w:sz w:val="20"/>
          <w:szCs w:val="20"/>
        </w:rPr>
        <w:t>(5)</w:t>
      </w:r>
      <w:r w:rsidRPr="00815042">
        <w:rPr>
          <w:rFonts w:ascii="Arial" w:hAnsi="Arial" w:cs="Arial"/>
          <w:sz w:val="20"/>
          <w:szCs w:val="20"/>
        </w:rPr>
        <w:t>, 576–580.</w:t>
      </w:r>
    </w:p>
    <w:p w14:paraId="193617F7" w14:textId="414DCFC4"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Joshi, P., &amp; Dhawan, V. (2007). Assessment of genetic fidelity of </w:t>
      </w:r>
      <w:proofErr w:type="spellStart"/>
      <w:r w:rsidRPr="00815042">
        <w:rPr>
          <w:rFonts w:ascii="Arial" w:hAnsi="Arial" w:cs="Arial"/>
          <w:sz w:val="20"/>
          <w:szCs w:val="20"/>
        </w:rPr>
        <w:t>micropropagated</w:t>
      </w:r>
      <w:proofErr w:type="spellEnd"/>
      <w:r w:rsidRPr="00815042">
        <w:rPr>
          <w:rFonts w:ascii="Arial" w:hAnsi="Arial" w:cs="Arial"/>
          <w:sz w:val="20"/>
          <w:szCs w:val="20"/>
        </w:rPr>
        <w:t xml:space="preserve"> </w:t>
      </w:r>
      <w:proofErr w:type="spellStart"/>
      <w:r w:rsidRPr="00815042">
        <w:rPr>
          <w:rFonts w:ascii="Arial" w:hAnsi="Arial" w:cs="Arial"/>
          <w:i/>
          <w:iCs/>
          <w:sz w:val="20"/>
          <w:szCs w:val="20"/>
        </w:rPr>
        <w:t>Swertia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chirayita</w:t>
      </w:r>
      <w:proofErr w:type="spellEnd"/>
      <w:r w:rsidRPr="00815042">
        <w:rPr>
          <w:rFonts w:ascii="Arial" w:hAnsi="Arial" w:cs="Arial"/>
          <w:sz w:val="20"/>
          <w:szCs w:val="20"/>
        </w:rPr>
        <w:t xml:space="preserve"> plantlets by ISSR marker assay. </w:t>
      </w:r>
      <w:proofErr w:type="spellStart"/>
      <w:r w:rsidRPr="00815042">
        <w:rPr>
          <w:rFonts w:ascii="Arial" w:hAnsi="Arial" w:cs="Arial"/>
          <w:i/>
          <w:iCs/>
          <w:sz w:val="20"/>
          <w:szCs w:val="20"/>
        </w:rPr>
        <w:t>Biologia</w:t>
      </w:r>
      <w:proofErr w:type="spellEnd"/>
      <w:r w:rsidRPr="00815042">
        <w:rPr>
          <w:rFonts w:ascii="Arial" w:hAnsi="Arial" w:cs="Arial"/>
          <w:i/>
          <w:iCs/>
          <w:sz w:val="20"/>
          <w:szCs w:val="20"/>
        </w:rPr>
        <w:t xml:space="preserve"> Plantarum, 51</w:t>
      </w:r>
      <w:r w:rsidR="00E9315C" w:rsidRPr="00E9315C">
        <w:rPr>
          <w:rFonts w:ascii="Arial" w:hAnsi="Arial" w:cs="Arial"/>
          <w:i/>
          <w:iCs/>
          <w:sz w:val="20"/>
          <w:szCs w:val="20"/>
        </w:rPr>
        <w:t>(1)</w:t>
      </w:r>
      <w:r w:rsidRPr="00815042">
        <w:rPr>
          <w:rFonts w:ascii="Arial" w:hAnsi="Arial" w:cs="Arial"/>
          <w:sz w:val="20"/>
          <w:szCs w:val="20"/>
        </w:rPr>
        <w:t>, 22–26.</w:t>
      </w:r>
    </w:p>
    <w:p w14:paraId="4B421C79" w14:textId="43551535"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Kishor, R. (2012). Rediscovery of </w:t>
      </w:r>
      <w:proofErr w:type="spellStart"/>
      <w:r w:rsidRPr="00815042">
        <w:rPr>
          <w:rFonts w:ascii="Arial" w:hAnsi="Arial" w:cs="Arial"/>
          <w:i/>
          <w:iCs/>
          <w:sz w:val="20"/>
          <w:szCs w:val="20"/>
        </w:rPr>
        <w:t>Kaempferia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marginata</w:t>
      </w:r>
      <w:proofErr w:type="spellEnd"/>
      <w:r w:rsidRPr="00815042">
        <w:rPr>
          <w:rFonts w:ascii="Arial" w:hAnsi="Arial" w:cs="Arial"/>
          <w:sz w:val="20"/>
          <w:szCs w:val="20"/>
        </w:rPr>
        <w:t xml:space="preserve"> (</w:t>
      </w:r>
      <w:proofErr w:type="spellStart"/>
      <w:r w:rsidRPr="00815042">
        <w:rPr>
          <w:rFonts w:ascii="Arial" w:hAnsi="Arial" w:cs="Arial"/>
          <w:sz w:val="20"/>
          <w:szCs w:val="20"/>
        </w:rPr>
        <w:t>Zingiberaceae</w:t>
      </w:r>
      <w:proofErr w:type="spellEnd"/>
      <w:r w:rsidRPr="00815042">
        <w:rPr>
          <w:rFonts w:ascii="Arial" w:hAnsi="Arial" w:cs="Arial"/>
          <w:sz w:val="20"/>
          <w:szCs w:val="20"/>
        </w:rPr>
        <w:t xml:space="preserve">) after a lapse of 100 years from India. </w:t>
      </w:r>
      <w:proofErr w:type="spellStart"/>
      <w:r w:rsidRPr="00815042">
        <w:rPr>
          <w:rFonts w:ascii="Arial" w:hAnsi="Arial" w:cs="Arial"/>
          <w:i/>
          <w:iCs/>
          <w:sz w:val="20"/>
          <w:szCs w:val="20"/>
        </w:rPr>
        <w:t>Rheedea</w:t>
      </w:r>
      <w:proofErr w:type="spellEnd"/>
      <w:r w:rsidRPr="00815042">
        <w:rPr>
          <w:rFonts w:ascii="Arial" w:hAnsi="Arial" w:cs="Arial"/>
          <w:i/>
          <w:iCs/>
          <w:sz w:val="20"/>
          <w:szCs w:val="20"/>
        </w:rPr>
        <w:t>, 22</w:t>
      </w:r>
      <w:r w:rsidR="002A095D" w:rsidRPr="002A095D">
        <w:rPr>
          <w:rFonts w:ascii="Arial" w:hAnsi="Arial" w:cs="Arial"/>
          <w:i/>
          <w:iCs/>
          <w:sz w:val="20"/>
          <w:szCs w:val="20"/>
        </w:rPr>
        <w:t>(1)</w:t>
      </w:r>
      <w:r w:rsidRPr="00815042">
        <w:rPr>
          <w:rFonts w:ascii="Arial" w:hAnsi="Arial" w:cs="Arial"/>
          <w:sz w:val="20"/>
          <w:szCs w:val="20"/>
        </w:rPr>
        <w:t>, 28–31.</w:t>
      </w:r>
    </w:p>
    <w:p w14:paraId="0EBA3705" w14:textId="4C60C50A" w:rsidR="00C76BC8" w:rsidRDefault="00C76BC8" w:rsidP="00815042">
      <w:pPr>
        <w:pStyle w:val="NoSpacing"/>
        <w:spacing w:line="276" w:lineRule="auto"/>
        <w:jc w:val="both"/>
        <w:rPr>
          <w:rFonts w:ascii="Arial" w:hAnsi="Arial" w:cs="Arial"/>
          <w:sz w:val="20"/>
          <w:szCs w:val="20"/>
        </w:rPr>
      </w:pPr>
      <w:proofErr w:type="spellStart"/>
      <w:r w:rsidRPr="00C76BC8">
        <w:rPr>
          <w:rFonts w:ascii="Arial" w:hAnsi="Arial" w:cs="Arial"/>
          <w:sz w:val="20"/>
          <w:szCs w:val="20"/>
        </w:rPr>
        <w:t>Kudikala</w:t>
      </w:r>
      <w:proofErr w:type="spellEnd"/>
      <w:r w:rsidRPr="00C76BC8">
        <w:rPr>
          <w:rFonts w:ascii="Arial" w:hAnsi="Arial" w:cs="Arial"/>
          <w:sz w:val="20"/>
          <w:szCs w:val="20"/>
        </w:rPr>
        <w:t xml:space="preserve">, H., </w:t>
      </w:r>
      <w:proofErr w:type="spellStart"/>
      <w:r w:rsidRPr="00C76BC8">
        <w:rPr>
          <w:rFonts w:ascii="Arial" w:hAnsi="Arial" w:cs="Arial"/>
          <w:sz w:val="20"/>
          <w:szCs w:val="20"/>
        </w:rPr>
        <w:t>Jogam</w:t>
      </w:r>
      <w:proofErr w:type="spellEnd"/>
      <w:r w:rsidRPr="00C76BC8">
        <w:rPr>
          <w:rFonts w:ascii="Arial" w:hAnsi="Arial" w:cs="Arial"/>
          <w:sz w:val="20"/>
          <w:szCs w:val="20"/>
        </w:rPr>
        <w:t xml:space="preserve">, P., </w:t>
      </w:r>
      <w:proofErr w:type="spellStart"/>
      <w:r w:rsidRPr="00C76BC8">
        <w:rPr>
          <w:rFonts w:ascii="Arial" w:hAnsi="Arial" w:cs="Arial"/>
          <w:sz w:val="20"/>
          <w:szCs w:val="20"/>
        </w:rPr>
        <w:t>Sirikonda</w:t>
      </w:r>
      <w:proofErr w:type="spellEnd"/>
      <w:r w:rsidRPr="00C76BC8">
        <w:rPr>
          <w:rFonts w:ascii="Arial" w:hAnsi="Arial" w:cs="Arial"/>
          <w:sz w:val="20"/>
          <w:szCs w:val="20"/>
        </w:rPr>
        <w:t xml:space="preserve">, A., Mood, K., &amp; </w:t>
      </w:r>
      <w:proofErr w:type="spellStart"/>
      <w:r w:rsidRPr="00C76BC8">
        <w:rPr>
          <w:rFonts w:ascii="Arial" w:hAnsi="Arial" w:cs="Arial"/>
          <w:sz w:val="20"/>
          <w:szCs w:val="20"/>
        </w:rPr>
        <w:t>Allini</w:t>
      </w:r>
      <w:proofErr w:type="spellEnd"/>
      <w:r w:rsidRPr="00C76BC8">
        <w:rPr>
          <w:rFonts w:ascii="Arial" w:hAnsi="Arial" w:cs="Arial"/>
          <w:sz w:val="20"/>
          <w:szCs w:val="20"/>
        </w:rPr>
        <w:t xml:space="preserve">, V. R. (2020). In vitro micropropagation and genetic fidelity studies using </w:t>
      </w:r>
      <w:proofErr w:type="spellStart"/>
      <w:r w:rsidRPr="00C76BC8">
        <w:rPr>
          <w:rFonts w:ascii="Arial" w:hAnsi="Arial" w:cs="Arial"/>
          <w:sz w:val="20"/>
          <w:szCs w:val="20"/>
        </w:rPr>
        <w:t>SCoT</w:t>
      </w:r>
      <w:proofErr w:type="spellEnd"/>
      <w:r w:rsidRPr="00C76BC8">
        <w:rPr>
          <w:rFonts w:ascii="Arial" w:hAnsi="Arial" w:cs="Arial"/>
          <w:sz w:val="20"/>
          <w:szCs w:val="20"/>
        </w:rPr>
        <w:t xml:space="preserve"> and ISSR primers in </w:t>
      </w:r>
      <w:r w:rsidRPr="00C76BC8">
        <w:rPr>
          <w:rFonts w:ascii="Arial" w:hAnsi="Arial" w:cs="Arial"/>
          <w:i/>
          <w:iCs/>
          <w:sz w:val="20"/>
          <w:szCs w:val="20"/>
        </w:rPr>
        <w:t>Annona reticulata</w:t>
      </w:r>
      <w:r w:rsidRPr="00C76BC8">
        <w:rPr>
          <w:rFonts w:ascii="Arial" w:hAnsi="Arial" w:cs="Arial"/>
          <w:sz w:val="20"/>
          <w:szCs w:val="20"/>
        </w:rPr>
        <w:t xml:space="preserve"> L.: an important medicinal plant. </w:t>
      </w:r>
      <w:proofErr w:type="spellStart"/>
      <w:r w:rsidRPr="00C76BC8">
        <w:rPr>
          <w:rFonts w:ascii="Arial" w:hAnsi="Arial" w:cs="Arial"/>
          <w:i/>
          <w:iCs/>
          <w:sz w:val="20"/>
          <w:szCs w:val="20"/>
        </w:rPr>
        <w:t>Vegetos</w:t>
      </w:r>
      <w:proofErr w:type="spellEnd"/>
      <w:r w:rsidRPr="00C76BC8">
        <w:rPr>
          <w:rFonts w:ascii="Arial" w:hAnsi="Arial" w:cs="Arial"/>
          <w:i/>
          <w:iCs/>
          <w:sz w:val="20"/>
          <w:szCs w:val="20"/>
        </w:rPr>
        <w:t>, 33</w:t>
      </w:r>
      <w:r w:rsidRPr="00C76BC8">
        <w:rPr>
          <w:rFonts w:ascii="Arial" w:hAnsi="Arial" w:cs="Arial"/>
          <w:sz w:val="20"/>
          <w:szCs w:val="20"/>
        </w:rPr>
        <w:t>, 566–577.</w:t>
      </w:r>
    </w:p>
    <w:p w14:paraId="424B1B35" w14:textId="5874AA68"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lastRenderedPageBreak/>
        <w:t xml:space="preserve">Lakshmi, M., &amp; </w:t>
      </w:r>
      <w:proofErr w:type="spellStart"/>
      <w:r w:rsidRPr="00815042">
        <w:rPr>
          <w:rFonts w:ascii="Arial" w:hAnsi="Arial" w:cs="Arial"/>
          <w:sz w:val="20"/>
          <w:szCs w:val="20"/>
        </w:rPr>
        <w:t>Mythili</w:t>
      </w:r>
      <w:proofErr w:type="spellEnd"/>
      <w:r w:rsidRPr="00815042">
        <w:rPr>
          <w:rFonts w:ascii="Arial" w:hAnsi="Arial" w:cs="Arial"/>
          <w:sz w:val="20"/>
          <w:szCs w:val="20"/>
        </w:rPr>
        <w:t xml:space="preserve">, S. (2003). Somatic embryogenesis and regeneration of callus cultures of </w:t>
      </w:r>
      <w:proofErr w:type="spellStart"/>
      <w:r w:rsidRPr="00815042">
        <w:rPr>
          <w:rFonts w:ascii="Arial" w:hAnsi="Arial" w:cs="Arial"/>
          <w:i/>
          <w:iCs/>
          <w:sz w:val="20"/>
          <w:szCs w:val="20"/>
        </w:rPr>
        <w:t>Kaempferia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galanga</w:t>
      </w:r>
      <w:proofErr w:type="spellEnd"/>
      <w:r w:rsidRPr="00815042">
        <w:rPr>
          <w:rFonts w:ascii="Arial" w:hAnsi="Arial" w:cs="Arial"/>
          <w:sz w:val="20"/>
          <w:szCs w:val="20"/>
        </w:rPr>
        <w:t xml:space="preserve"> – medicinal plant. </w:t>
      </w:r>
      <w:r w:rsidRPr="00815042">
        <w:rPr>
          <w:rFonts w:ascii="Arial" w:hAnsi="Arial" w:cs="Arial"/>
          <w:i/>
          <w:iCs/>
          <w:sz w:val="20"/>
          <w:szCs w:val="20"/>
        </w:rPr>
        <w:t>Journal of Medicinal and Aromatic Plants, 25</w:t>
      </w:r>
      <w:r w:rsidR="002A095D" w:rsidRPr="002A095D">
        <w:rPr>
          <w:rFonts w:ascii="Arial" w:hAnsi="Arial" w:cs="Arial"/>
          <w:i/>
          <w:iCs/>
          <w:sz w:val="20"/>
          <w:szCs w:val="20"/>
        </w:rPr>
        <w:t>(4)</w:t>
      </w:r>
      <w:r w:rsidRPr="00815042">
        <w:rPr>
          <w:rFonts w:ascii="Arial" w:hAnsi="Arial" w:cs="Arial"/>
          <w:sz w:val="20"/>
          <w:szCs w:val="20"/>
        </w:rPr>
        <w:t>, 947–951.</w:t>
      </w:r>
    </w:p>
    <w:p w14:paraId="565FA482" w14:textId="79ED9B66"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Madaka</w:t>
      </w:r>
      <w:proofErr w:type="spellEnd"/>
      <w:r w:rsidRPr="00815042">
        <w:rPr>
          <w:rFonts w:ascii="Arial" w:hAnsi="Arial" w:cs="Arial"/>
          <w:sz w:val="20"/>
          <w:szCs w:val="20"/>
        </w:rPr>
        <w:t xml:space="preserve">, F., &amp; </w:t>
      </w:r>
      <w:proofErr w:type="spellStart"/>
      <w:r w:rsidRPr="00815042">
        <w:rPr>
          <w:rFonts w:ascii="Arial" w:hAnsi="Arial" w:cs="Arial"/>
          <w:sz w:val="20"/>
          <w:szCs w:val="20"/>
        </w:rPr>
        <w:t>Tewtrakul</w:t>
      </w:r>
      <w:proofErr w:type="spellEnd"/>
      <w:r w:rsidRPr="00815042">
        <w:rPr>
          <w:rFonts w:ascii="Arial" w:hAnsi="Arial" w:cs="Arial"/>
          <w:sz w:val="20"/>
          <w:szCs w:val="20"/>
        </w:rPr>
        <w:t xml:space="preserve">, S. (2011). Anti-allergic activity of some selected plants in the genus </w:t>
      </w:r>
      <w:proofErr w:type="spellStart"/>
      <w:r w:rsidRPr="00815042">
        <w:rPr>
          <w:rFonts w:ascii="Arial" w:hAnsi="Arial" w:cs="Arial"/>
          <w:i/>
          <w:iCs/>
          <w:sz w:val="20"/>
          <w:szCs w:val="20"/>
        </w:rPr>
        <w:t>Boesenbergia</w:t>
      </w:r>
      <w:proofErr w:type="spellEnd"/>
      <w:r w:rsidRPr="00815042">
        <w:rPr>
          <w:rFonts w:ascii="Arial" w:hAnsi="Arial" w:cs="Arial"/>
          <w:sz w:val="20"/>
          <w:szCs w:val="20"/>
        </w:rPr>
        <w:t xml:space="preserve"> and </w:t>
      </w:r>
      <w:proofErr w:type="spellStart"/>
      <w:r w:rsidRPr="00815042">
        <w:rPr>
          <w:rFonts w:ascii="Arial" w:hAnsi="Arial" w:cs="Arial"/>
          <w:i/>
          <w:iCs/>
          <w:sz w:val="20"/>
          <w:szCs w:val="20"/>
        </w:rPr>
        <w:t>Kaempferia</w:t>
      </w:r>
      <w:proofErr w:type="spellEnd"/>
      <w:r w:rsidRPr="00815042">
        <w:rPr>
          <w:rFonts w:ascii="Arial" w:hAnsi="Arial" w:cs="Arial"/>
          <w:sz w:val="20"/>
          <w:szCs w:val="20"/>
        </w:rPr>
        <w:t xml:space="preserve">. </w:t>
      </w:r>
      <w:proofErr w:type="spellStart"/>
      <w:r w:rsidRPr="00815042">
        <w:rPr>
          <w:rFonts w:ascii="Arial" w:hAnsi="Arial" w:cs="Arial"/>
          <w:i/>
          <w:iCs/>
          <w:sz w:val="20"/>
          <w:szCs w:val="20"/>
        </w:rPr>
        <w:t>Songklanakarin</w:t>
      </w:r>
      <w:proofErr w:type="spellEnd"/>
      <w:r w:rsidRPr="00815042">
        <w:rPr>
          <w:rFonts w:ascii="Arial" w:hAnsi="Arial" w:cs="Arial"/>
          <w:i/>
          <w:iCs/>
          <w:sz w:val="20"/>
          <w:szCs w:val="20"/>
        </w:rPr>
        <w:t xml:space="preserve"> Journal of Science and Technology, 33</w:t>
      </w:r>
      <w:r w:rsidR="002A095D" w:rsidRPr="002A095D">
        <w:rPr>
          <w:rFonts w:ascii="Arial" w:hAnsi="Arial" w:cs="Arial"/>
          <w:i/>
          <w:iCs/>
          <w:sz w:val="20"/>
          <w:szCs w:val="20"/>
        </w:rPr>
        <w:t>(3)</w:t>
      </w:r>
      <w:r w:rsidRPr="00815042">
        <w:rPr>
          <w:rFonts w:ascii="Arial" w:hAnsi="Arial" w:cs="Arial"/>
          <w:sz w:val="20"/>
          <w:szCs w:val="20"/>
        </w:rPr>
        <w:t>, 301–304.</w:t>
      </w:r>
    </w:p>
    <w:p w14:paraId="2E36EA6A" w14:textId="01CE09EC"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Martin, K. P. (2003). Plant regeneration through somatic embryogenesis on </w:t>
      </w:r>
      <w:proofErr w:type="spellStart"/>
      <w:r w:rsidRPr="00815042">
        <w:rPr>
          <w:rFonts w:ascii="Arial" w:hAnsi="Arial" w:cs="Arial"/>
          <w:i/>
          <w:iCs/>
          <w:sz w:val="20"/>
          <w:szCs w:val="20"/>
        </w:rPr>
        <w:t>Holostemma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adakodien</w:t>
      </w:r>
      <w:proofErr w:type="spellEnd"/>
      <w:r w:rsidRPr="00815042">
        <w:rPr>
          <w:rFonts w:ascii="Arial" w:hAnsi="Arial" w:cs="Arial"/>
          <w:sz w:val="20"/>
          <w:szCs w:val="20"/>
        </w:rPr>
        <w:t xml:space="preserve">, a rare medicinal plant. </w:t>
      </w:r>
      <w:r w:rsidRPr="00815042">
        <w:rPr>
          <w:rFonts w:ascii="Arial" w:hAnsi="Arial" w:cs="Arial"/>
          <w:i/>
          <w:iCs/>
          <w:sz w:val="20"/>
          <w:szCs w:val="20"/>
        </w:rPr>
        <w:t>Plant Cell, Tissue and Organ Culture, 72</w:t>
      </w:r>
      <w:r w:rsidR="002A095D" w:rsidRPr="002A095D">
        <w:t xml:space="preserve"> </w:t>
      </w:r>
      <w:r w:rsidR="002A095D" w:rsidRPr="002A095D">
        <w:rPr>
          <w:rFonts w:ascii="Arial" w:hAnsi="Arial" w:cs="Arial"/>
          <w:i/>
          <w:iCs/>
          <w:sz w:val="20"/>
          <w:szCs w:val="20"/>
        </w:rPr>
        <w:t>(1)</w:t>
      </w:r>
      <w:r w:rsidRPr="00815042">
        <w:rPr>
          <w:rFonts w:ascii="Arial" w:hAnsi="Arial" w:cs="Arial"/>
          <w:sz w:val="20"/>
          <w:szCs w:val="20"/>
        </w:rPr>
        <w:t>, 79–82.</w:t>
      </w:r>
    </w:p>
    <w:p w14:paraId="0BCBC086" w14:textId="08F24EEF"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Martins, M., </w:t>
      </w:r>
      <w:proofErr w:type="spellStart"/>
      <w:r w:rsidRPr="00815042">
        <w:rPr>
          <w:rFonts w:ascii="Arial" w:hAnsi="Arial" w:cs="Arial"/>
          <w:sz w:val="20"/>
          <w:szCs w:val="20"/>
        </w:rPr>
        <w:t>Sarmento</w:t>
      </w:r>
      <w:proofErr w:type="spellEnd"/>
      <w:r w:rsidRPr="00815042">
        <w:rPr>
          <w:rFonts w:ascii="Arial" w:hAnsi="Arial" w:cs="Arial"/>
          <w:sz w:val="20"/>
          <w:szCs w:val="20"/>
        </w:rPr>
        <w:t xml:space="preserve">, D., &amp; Oliveira, M. M. (2004). Genetic stability of </w:t>
      </w:r>
      <w:proofErr w:type="spellStart"/>
      <w:r w:rsidRPr="00815042">
        <w:rPr>
          <w:rFonts w:ascii="Arial" w:hAnsi="Arial" w:cs="Arial"/>
          <w:sz w:val="20"/>
          <w:szCs w:val="20"/>
        </w:rPr>
        <w:t>micropropagated</w:t>
      </w:r>
      <w:proofErr w:type="spellEnd"/>
      <w:r w:rsidRPr="00815042">
        <w:rPr>
          <w:rFonts w:ascii="Arial" w:hAnsi="Arial" w:cs="Arial"/>
          <w:sz w:val="20"/>
          <w:szCs w:val="20"/>
        </w:rPr>
        <w:t xml:space="preserve"> almond plantlets, as assessed by RAPD and ISSR markers. </w:t>
      </w:r>
      <w:r w:rsidRPr="00815042">
        <w:rPr>
          <w:rFonts w:ascii="Arial" w:hAnsi="Arial" w:cs="Arial"/>
          <w:i/>
          <w:iCs/>
          <w:sz w:val="20"/>
          <w:szCs w:val="20"/>
        </w:rPr>
        <w:t>Plant Cell Reports, 23</w:t>
      </w:r>
      <w:r w:rsidR="002A095D" w:rsidRPr="002A095D">
        <w:rPr>
          <w:rFonts w:ascii="Arial" w:hAnsi="Arial" w:cs="Arial"/>
          <w:i/>
          <w:iCs/>
          <w:sz w:val="20"/>
          <w:szCs w:val="20"/>
        </w:rPr>
        <w:t>(7)</w:t>
      </w:r>
      <w:r w:rsidRPr="00815042">
        <w:rPr>
          <w:rFonts w:ascii="Arial" w:hAnsi="Arial" w:cs="Arial"/>
          <w:sz w:val="20"/>
          <w:szCs w:val="20"/>
        </w:rPr>
        <w:t>, 492–496.</w:t>
      </w:r>
    </w:p>
    <w:p w14:paraId="22A58A41" w14:textId="2793E024"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Misra</w:t>
      </w:r>
      <w:proofErr w:type="spellEnd"/>
      <w:r w:rsidRPr="00815042">
        <w:rPr>
          <w:rFonts w:ascii="Arial" w:hAnsi="Arial" w:cs="Arial"/>
          <w:sz w:val="20"/>
          <w:szCs w:val="20"/>
        </w:rPr>
        <w:t xml:space="preserve">, P., Datta, S. K., Johri, J. K., Singh, H. B., &amp; Srivastava, A. (2004). An improved method for in vitro largescale propagation of </w:t>
      </w:r>
      <w:r w:rsidRPr="00815042">
        <w:rPr>
          <w:rFonts w:ascii="Arial" w:hAnsi="Arial" w:cs="Arial"/>
          <w:i/>
          <w:iCs/>
          <w:sz w:val="20"/>
          <w:szCs w:val="20"/>
        </w:rPr>
        <w:t xml:space="preserve">Piper </w:t>
      </w:r>
      <w:proofErr w:type="spellStart"/>
      <w:r w:rsidRPr="00815042">
        <w:rPr>
          <w:rFonts w:ascii="Arial" w:hAnsi="Arial" w:cs="Arial"/>
          <w:i/>
          <w:iCs/>
          <w:sz w:val="20"/>
          <w:szCs w:val="20"/>
        </w:rPr>
        <w:t>betle</w:t>
      </w:r>
      <w:proofErr w:type="spellEnd"/>
      <w:r w:rsidRPr="00815042">
        <w:rPr>
          <w:rFonts w:ascii="Arial" w:hAnsi="Arial" w:cs="Arial"/>
          <w:sz w:val="20"/>
          <w:szCs w:val="20"/>
        </w:rPr>
        <w:t xml:space="preserve"> L. </w:t>
      </w:r>
      <w:r w:rsidRPr="00815042">
        <w:rPr>
          <w:rFonts w:ascii="Arial" w:hAnsi="Arial" w:cs="Arial"/>
          <w:i/>
          <w:iCs/>
          <w:sz w:val="20"/>
          <w:szCs w:val="20"/>
        </w:rPr>
        <w:t>Journal of Plant Biochemistry and Biotechnology, 13</w:t>
      </w:r>
      <w:r w:rsidR="002A095D" w:rsidRPr="002A095D">
        <w:rPr>
          <w:rFonts w:ascii="Arial" w:hAnsi="Arial" w:cs="Arial"/>
          <w:i/>
          <w:iCs/>
          <w:sz w:val="20"/>
          <w:szCs w:val="20"/>
        </w:rPr>
        <w:t>(2)</w:t>
      </w:r>
      <w:r w:rsidRPr="00815042">
        <w:rPr>
          <w:rFonts w:ascii="Arial" w:hAnsi="Arial" w:cs="Arial"/>
          <w:sz w:val="20"/>
          <w:szCs w:val="20"/>
        </w:rPr>
        <w:t>, 161–164.</w:t>
      </w:r>
    </w:p>
    <w:p w14:paraId="43B5B495" w14:textId="10014A78" w:rsidR="00815042" w:rsidRPr="00815042" w:rsidRDefault="00815042" w:rsidP="00815042">
      <w:pPr>
        <w:pStyle w:val="NoSpacing"/>
        <w:spacing w:line="276" w:lineRule="auto"/>
        <w:jc w:val="both"/>
        <w:rPr>
          <w:rFonts w:ascii="Arial" w:hAnsi="Arial" w:cs="Arial"/>
          <w:sz w:val="20"/>
          <w:szCs w:val="20"/>
        </w:rPr>
      </w:pPr>
      <w:proofErr w:type="spellStart"/>
      <w:r w:rsidRPr="002A095D">
        <w:rPr>
          <w:rFonts w:ascii="Arial" w:hAnsi="Arial" w:cs="Arial"/>
          <w:sz w:val="20"/>
          <w:szCs w:val="20"/>
        </w:rPr>
        <w:t>Murashige</w:t>
      </w:r>
      <w:proofErr w:type="spellEnd"/>
      <w:r w:rsidRPr="002A095D">
        <w:rPr>
          <w:rFonts w:ascii="Arial" w:hAnsi="Arial" w:cs="Arial"/>
          <w:sz w:val="20"/>
          <w:szCs w:val="20"/>
        </w:rPr>
        <w:t xml:space="preserve">, T., &amp; Skoog, F. (1962). A revised medium for rapid growth and bioassays with tobacco tissue cultures. </w:t>
      </w:r>
      <w:proofErr w:type="spellStart"/>
      <w:r w:rsidRPr="002A095D">
        <w:rPr>
          <w:rFonts w:ascii="Arial" w:hAnsi="Arial" w:cs="Arial"/>
          <w:i/>
          <w:iCs/>
          <w:sz w:val="20"/>
          <w:szCs w:val="20"/>
        </w:rPr>
        <w:t>Physiologia</w:t>
      </w:r>
      <w:proofErr w:type="spellEnd"/>
      <w:r w:rsidRPr="002A095D">
        <w:rPr>
          <w:rFonts w:ascii="Arial" w:hAnsi="Arial" w:cs="Arial"/>
          <w:i/>
          <w:iCs/>
          <w:sz w:val="20"/>
          <w:szCs w:val="20"/>
        </w:rPr>
        <w:t xml:space="preserve"> Plantarum, 15</w:t>
      </w:r>
      <w:r w:rsidR="002A095D" w:rsidRPr="002A095D">
        <w:t xml:space="preserve"> </w:t>
      </w:r>
      <w:r w:rsidR="002A095D" w:rsidRPr="002A095D">
        <w:rPr>
          <w:rFonts w:ascii="Arial" w:hAnsi="Arial" w:cs="Arial"/>
          <w:i/>
          <w:iCs/>
          <w:sz w:val="20"/>
          <w:szCs w:val="20"/>
        </w:rPr>
        <w:t>(3)</w:t>
      </w:r>
      <w:r w:rsidRPr="002A095D">
        <w:rPr>
          <w:rFonts w:ascii="Arial" w:hAnsi="Arial" w:cs="Arial"/>
          <w:sz w:val="20"/>
          <w:szCs w:val="20"/>
        </w:rPr>
        <w:t>, 473–479.</w:t>
      </w:r>
    </w:p>
    <w:p w14:paraId="7794B77E" w14:textId="72AD6A94" w:rsidR="00C76BC8" w:rsidRDefault="00C76BC8" w:rsidP="00815042">
      <w:pPr>
        <w:pStyle w:val="NoSpacing"/>
        <w:spacing w:line="276" w:lineRule="auto"/>
        <w:jc w:val="both"/>
        <w:rPr>
          <w:rFonts w:ascii="Arial" w:hAnsi="Arial" w:cs="Arial"/>
          <w:sz w:val="20"/>
          <w:szCs w:val="20"/>
        </w:rPr>
      </w:pPr>
      <w:proofErr w:type="spellStart"/>
      <w:r w:rsidRPr="00C76BC8">
        <w:rPr>
          <w:rFonts w:ascii="Arial" w:hAnsi="Arial" w:cs="Arial"/>
          <w:sz w:val="20"/>
          <w:szCs w:val="20"/>
        </w:rPr>
        <w:t>Nonthalee</w:t>
      </w:r>
      <w:proofErr w:type="spellEnd"/>
      <w:r w:rsidRPr="00C76BC8">
        <w:rPr>
          <w:rFonts w:ascii="Arial" w:hAnsi="Arial" w:cs="Arial"/>
          <w:sz w:val="20"/>
          <w:szCs w:val="20"/>
        </w:rPr>
        <w:t xml:space="preserve">, S., </w:t>
      </w:r>
      <w:proofErr w:type="spellStart"/>
      <w:r w:rsidRPr="00C76BC8">
        <w:rPr>
          <w:rFonts w:ascii="Arial" w:hAnsi="Arial" w:cs="Arial"/>
          <w:sz w:val="20"/>
          <w:szCs w:val="20"/>
        </w:rPr>
        <w:t>Saensouk</w:t>
      </w:r>
      <w:proofErr w:type="spellEnd"/>
      <w:r w:rsidRPr="00C76BC8">
        <w:rPr>
          <w:rFonts w:ascii="Arial" w:hAnsi="Arial" w:cs="Arial"/>
          <w:sz w:val="20"/>
          <w:szCs w:val="20"/>
        </w:rPr>
        <w:t xml:space="preserve">, S., </w:t>
      </w:r>
      <w:proofErr w:type="spellStart"/>
      <w:r w:rsidRPr="00C76BC8">
        <w:rPr>
          <w:rFonts w:ascii="Arial" w:hAnsi="Arial" w:cs="Arial"/>
          <w:sz w:val="20"/>
          <w:szCs w:val="20"/>
        </w:rPr>
        <w:t>Maneechai</w:t>
      </w:r>
      <w:proofErr w:type="spellEnd"/>
      <w:r w:rsidRPr="00C76BC8">
        <w:rPr>
          <w:rFonts w:ascii="Arial" w:hAnsi="Arial" w:cs="Arial"/>
          <w:sz w:val="20"/>
          <w:szCs w:val="20"/>
        </w:rPr>
        <w:t xml:space="preserve">, S., &amp; </w:t>
      </w:r>
      <w:proofErr w:type="spellStart"/>
      <w:r w:rsidRPr="00C76BC8">
        <w:rPr>
          <w:rFonts w:ascii="Arial" w:hAnsi="Arial" w:cs="Arial"/>
          <w:sz w:val="20"/>
          <w:szCs w:val="20"/>
        </w:rPr>
        <w:t>Saensouk</w:t>
      </w:r>
      <w:proofErr w:type="spellEnd"/>
      <w:r w:rsidRPr="00C76BC8">
        <w:rPr>
          <w:rFonts w:ascii="Arial" w:hAnsi="Arial" w:cs="Arial"/>
          <w:sz w:val="20"/>
          <w:szCs w:val="20"/>
        </w:rPr>
        <w:t xml:space="preserve">, P. (2025). A tissue culture technique for rapid clonal propagation, </w:t>
      </w:r>
      <w:proofErr w:type="spellStart"/>
      <w:r w:rsidRPr="00C76BC8">
        <w:rPr>
          <w:rFonts w:ascii="Arial" w:hAnsi="Arial" w:cs="Arial"/>
          <w:sz w:val="20"/>
          <w:szCs w:val="20"/>
        </w:rPr>
        <w:t>microrhizome</w:t>
      </w:r>
      <w:proofErr w:type="spellEnd"/>
      <w:r w:rsidRPr="00C76BC8">
        <w:rPr>
          <w:rFonts w:ascii="Arial" w:hAnsi="Arial" w:cs="Arial"/>
          <w:sz w:val="20"/>
          <w:szCs w:val="20"/>
        </w:rPr>
        <w:t xml:space="preserve"> induction, and RAPD analysis of </w:t>
      </w:r>
      <w:proofErr w:type="spellStart"/>
      <w:r w:rsidRPr="00C76BC8">
        <w:rPr>
          <w:rFonts w:ascii="Arial" w:hAnsi="Arial" w:cs="Arial"/>
          <w:i/>
          <w:iCs/>
          <w:sz w:val="20"/>
          <w:szCs w:val="20"/>
        </w:rPr>
        <w:t>Kaempferia</w:t>
      </w:r>
      <w:proofErr w:type="spellEnd"/>
      <w:r w:rsidRPr="00C76BC8">
        <w:rPr>
          <w:rFonts w:ascii="Arial" w:hAnsi="Arial" w:cs="Arial"/>
          <w:i/>
          <w:iCs/>
          <w:sz w:val="20"/>
          <w:szCs w:val="20"/>
        </w:rPr>
        <w:t xml:space="preserve"> </w:t>
      </w:r>
      <w:proofErr w:type="spellStart"/>
      <w:r w:rsidRPr="00C76BC8">
        <w:rPr>
          <w:rFonts w:ascii="Arial" w:hAnsi="Arial" w:cs="Arial"/>
          <w:i/>
          <w:iCs/>
          <w:sz w:val="20"/>
          <w:szCs w:val="20"/>
        </w:rPr>
        <w:t>grandifolia</w:t>
      </w:r>
      <w:proofErr w:type="spellEnd"/>
      <w:r w:rsidRPr="00C76BC8">
        <w:rPr>
          <w:rFonts w:ascii="Arial" w:hAnsi="Arial" w:cs="Arial"/>
          <w:sz w:val="20"/>
          <w:szCs w:val="20"/>
        </w:rPr>
        <w:t xml:space="preserve"> </w:t>
      </w:r>
      <w:proofErr w:type="spellStart"/>
      <w:r w:rsidRPr="00C76BC8">
        <w:rPr>
          <w:rFonts w:ascii="Arial" w:hAnsi="Arial" w:cs="Arial"/>
          <w:sz w:val="20"/>
          <w:szCs w:val="20"/>
        </w:rPr>
        <w:t>Saensouk</w:t>
      </w:r>
      <w:proofErr w:type="spellEnd"/>
      <w:r w:rsidRPr="00C76BC8">
        <w:rPr>
          <w:rFonts w:ascii="Arial" w:hAnsi="Arial" w:cs="Arial"/>
          <w:sz w:val="20"/>
          <w:szCs w:val="20"/>
        </w:rPr>
        <w:t xml:space="preserve"> &amp; </w:t>
      </w:r>
      <w:proofErr w:type="spellStart"/>
      <w:r w:rsidRPr="00C76BC8">
        <w:rPr>
          <w:rFonts w:ascii="Arial" w:hAnsi="Arial" w:cs="Arial"/>
          <w:sz w:val="20"/>
          <w:szCs w:val="20"/>
        </w:rPr>
        <w:t>Jenjittikul</w:t>
      </w:r>
      <w:proofErr w:type="spellEnd"/>
      <w:r w:rsidRPr="00C76BC8">
        <w:rPr>
          <w:rFonts w:ascii="Arial" w:hAnsi="Arial" w:cs="Arial"/>
          <w:sz w:val="20"/>
          <w:szCs w:val="20"/>
        </w:rPr>
        <w:t xml:space="preserve">—a rare plant species in Thailand. </w:t>
      </w:r>
      <w:proofErr w:type="spellStart"/>
      <w:r w:rsidRPr="00C76BC8">
        <w:rPr>
          <w:rFonts w:ascii="Arial" w:hAnsi="Arial" w:cs="Arial"/>
          <w:i/>
          <w:iCs/>
          <w:sz w:val="20"/>
          <w:szCs w:val="20"/>
        </w:rPr>
        <w:t>Horticulturae</w:t>
      </w:r>
      <w:proofErr w:type="spellEnd"/>
      <w:r w:rsidRPr="00C76BC8">
        <w:rPr>
          <w:rFonts w:ascii="Arial" w:hAnsi="Arial" w:cs="Arial"/>
          <w:i/>
          <w:iCs/>
          <w:sz w:val="20"/>
          <w:szCs w:val="20"/>
        </w:rPr>
        <w:t>, 11(1)</w:t>
      </w:r>
      <w:r w:rsidRPr="00C76BC8">
        <w:rPr>
          <w:rFonts w:ascii="Arial" w:hAnsi="Arial" w:cs="Arial"/>
          <w:sz w:val="20"/>
          <w:szCs w:val="20"/>
        </w:rPr>
        <w:t xml:space="preserve">, </w:t>
      </w:r>
      <w:r>
        <w:rPr>
          <w:rFonts w:ascii="Arial" w:hAnsi="Arial" w:cs="Arial"/>
          <w:sz w:val="20"/>
          <w:szCs w:val="20"/>
        </w:rPr>
        <w:t>1-14</w:t>
      </w:r>
    </w:p>
    <w:p w14:paraId="2CDD9138" w14:textId="01DE98AB"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Rahman, Z. A., Ahmad, N. A. S., </w:t>
      </w:r>
      <w:proofErr w:type="spellStart"/>
      <w:r w:rsidRPr="00815042">
        <w:rPr>
          <w:rFonts w:ascii="Arial" w:hAnsi="Arial" w:cs="Arial"/>
          <w:sz w:val="20"/>
          <w:szCs w:val="20"/>
        </w:rPr>
        <w:t>Basirun</w:t>
      </w:r>
      <w:proofErr w:type="spellEnd"/>
      <w:r w:rsidRPr="00815042">
        <w:rPr>
          <w:rFonts w:ascii="Arial" w:hAnsi="Arial" w:cs="Arial"/>
          <w:sz w:val="20"/>
          <w:szCs w:val="20"/>
        </w:rPr>
        <w:t xml:space="preserve">, N. N. A., &amp; Othman, A. N. (2023). Regeneration of </w:t>
      </w:r>
      <w:proofErr w:type="spellStart"/>
      <w:r w:rsidRPr="00815042">
        <w:rPr>
          <w:rFonts w:ascii="Arial" w:hAnsi="Arial" w:cs="Arial"/>
          <w:i/>
          <w:iCs/>
          <w:sz w:val="20"/>
          <w:szCs w:val="20"/>
        </w:rPr>
        <w:t>Kaempferia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parviflora</w:t>
      </w:r>
      <w:proofErr w:type="spellEnd"/>
      <w:r w:rsidRPr="00815042">
        <w:rPr>
          <w:rFonts w:ascii="Arial" w:hAnsi="Arial" w:cs="Arial"/>
          <w:sz w:val="20"/>
          <w:szCs w:val="20"/>
        </w:rPr>
        <w:t xml:space="preserve"> from Meristem through Somatic Embryogenesis. </w:t>
      </w:r>
      <w:r w:rsidRPr="00815042">
        <w:rPr>
          <w:rFonts w:ascii="Arial" w:hAnsi="Arial" w:cs="Arial"/>
          <w:i/>
          <w:iCs/>
          <w:sz w:val="20"/>
          <w:szCs w:val="20"/>
        </w:rPr>
        <w:t>European Journal of Applied Sciences, 11</w:t>
      </w:r>
      <w:r w:rsidR="002A095D" w:rsidRPr="002A095D">
        <w:rPr>
          <w:rFonts w:ascii="Arial" w:hAnsi="Arial" w:cs="Arial"/>
          <w:i/>
          <w:iCs/>
          <w:sz w:val="20"/>
          <w:szCs w:val="20"/>
        </w:rPr>
        <w:t>(4)</w:t>
      </w:r>
      <w:r w:rsidRPr="00815042">
        <w:rPr>
          <w:rFonts w:ascii="Arial" w:hAnsi="Arial" w:cs="Arial"/>
          <w:sz w:val="20"/>
          <w:szCs w:val="20"/>
        </w:rPr>
        <w:t>, 84–93.</w:t>
      </w:r>
    </w:p>
    <w:p w14:paraId="4B18EA0F" w14:textId="0A29C061"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Rani, V., </w:t>
      </w:r>
      <w:proofErr w:type="spellStart"/>
      <w:r w:rsidRPr="00815042">
        <w:rPr>
          <w:rFonts w:ascii="Arial" w:hAnsi="Arial" w:cs="Arial"/>
          <w:sz w:val="20"/>
          <w:szCs w:val="20"/>
        </w:rPr>
        <w:t>Parida</w:t>
      </w:r>
      <w:proofErr w:type="spellEnd"/>
      <w:r w:rsidRPr="00815042">
        <w:rPr>
          <w:rFonts w:ascii="Arial" w:hAnsi="Arial" w:cs="Arial"/>
          <w:sz w:val="20"/>
          <w:szCs w:val="20"/>
        </w:rPr>
        <w:t xml:space="preserve">, A., &amp; Raina, S. N. (1995). Random amplified polymorphic DNA (RAPD) markers for genetic analysis in </w:t>
      </w:r>
      <w:proofErr w:type="spellStart"/>
      <w:r w:rsidRPr="00815042">
        <w:rPr>
          <w:rFonts w:ascii="Arial" w:hAnsi="Arial" w:cs="Arial"/>
          <w:sz w:val="20"/>
          <w:szCs w:val="20"/>
        </w:rPr>
        <w:t>micropropagated</w:t>
      </w:r>
      <w:proofErr w:type="spellEnd"/>
      <w:r w:rsidRPr="00815042">
        <w:rPr>
          <w:rFonts w:ascii="Arial" w:hAnsi="Arial" w:cs="Arial"/>
          <w:sz w:val="20"/>
          <w:szCs w:val="20"/>
        </w:rPr>
        <w:t xml:space="preserve"> plants of </w:t>
      </w:r>
      <w:proofErr w:type="spellStart"/>
      <w:r w:rsidRPr="00815042">
        <w:rPr>
          <w:rFonts w:ascii="Arial" w:hAnsi="Arial" w:cs="Arial"/>
          <w:i/>
          <w:iCs/>
          <w:sz w:val="20"/>
          <w:szCs w:val="20"/>
        </w:rPr>
        <w:t>Populus</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deltoides</w:t>
      </w:r>
      <w:proofErr w:type="spellEnd"/>
      <w:r w:rsidRPr="00815042">
        <w:rPr>
          <w:rFonts w:ascii="Arial" w:hAnsi="Arial" w:cs="Arial"/>
          <w:sz w:val="20"/>
          <w:szCs w:val="20"/>
        </w:rPr>
        <w:t xml:space="preserve"> Marsh. </w:t>
      </w:r>
      <w:r w:rsidRPr="00815042">
        <w:rPr>
          <w:rFonts w:ascii="Arial" w:hAnsi="Arial" w:cs="Arial"/>
          <w:i/>
          <w:iCs/>
          <w:sz w:val="20"/>
          <w:szCs w:val="20"/>
        </w:rPr>
        <w:t>Plant Cell Reports, 14</w:t>
      </w:r>
      <w:r w:rsidR="002A095D" w:rsidRPr="002A095D">
        <w:rPr>
          <w:rFonts w:ascii="Arial" w:hAnsi="Arial" w:cs="Arial"/>
          <w:i/>
          <w:iCs/>
          <w:sz w:val="20"/>
          <w:szCs w:val="20"/>
        </w:rPr>
        <w:t>(7)</w:t>
      </w:r>
      <w:r w:rsidRPr="00815042">
        <w:rPr>
          <w:rFonts w:ascii="Arial" w:hAnsi="Arial" w:cs="Arial"/>
          <w:sz w:val="20"/>
          <w:szCs w:val="20"/>
        </w:rPr>
        <w:t>, 459–462.</w:t>
      </w:r>
    </w:p>
    <w:p w14:paraId="15D81DB0" w14:textId="579CF140"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Sahoo, S., Panda, S. P., Nayak, S., &amp; Kar, B. (2023). Molecular profiling of therapeutically important </w:t>
      </w:r>
      <w:proofErr w:type="spellStart"/>
      <w:r w:rsidRPr="00815042">
        <w:rPr>
          <w:rFonts w:ascii="Arial" w:hAnsi="Arial" w:cs="Arial"/>
          <w:i/>
          <w:iCs/>
          <w:sz w:val="20"/>
          <w:szCs w:val="20"/>
        </w:rPr>
        <w:t>Alpinia</w:t>
      </w:r>
      <w:proofErr w:type="spellEnd"/>
      <w:r w:rsidRPr="00815042">
        <w:rPr>
          <w:rFonts w:ascii="Arial" w:hAnsi="Arial" w:cs="Arial"/>
          <w:sz w:val="20"/>
          <w:szCs w:val="20"/>
        </w:rPr>
        <w:t xml:space="preserve"> and </w:t>
      </w:r>
      <w:proofErr w:type="spellStart"/>
      <w:r w:rsidRPr="00815042">
        <w:rPr>
          <w:rFonts w:ascii="Arial" w:hAnsi="Arial" w:cs="Arial"/>
          <w:i/>
          <w:iCs/>
          <w:sz w:val="20"/>
          <w:szCs w:val="20"/>
        </w:rPr>
        <w:t>Kaempferia</w:t>
      </w:r>
      <w:proofErr w:type="spellEnd"/>
      <w:r w:rsidRPr="00815042">
        <w:rPr>
          <w:rFonts w:ascii="Arial" w:hAnsi="Arial" w:cs="Arial"/>
          <w:sz w:val="20"/>
          <w:szCs w:val="20"/>
        </w:rPr>
        <w:t xml:space="preserve"> species using RAPD, ISSR, and SSR markers. </w:t>
      </w:r>
      <w:proofErr w:type="spellStart"/>
      <w:r w:rsidRPr="00815042">
        <w:rPr>
          <w:rFonts w:ascii="Arial" w:hAnsi="Arial" w:cs="Arial"/>
          <w:i/>
          <w:iCs/>
          <w:sz w:val="20"/>
          <w:szCs w:val="20"/>
        </w:rPr>
        <w:t>Vegetos</w:t>
      </w:r>
      <w:proofErr w:type="spellEnd"/>
      <w:r w:rsidRPr="00815042">
        <w:rPr>
          <w:rFonts w:ascii="Arial" w:hAnsi="Arial" w:cs="Arial"/>
          <w:i/>
          <w:iCs/>
          <w:sz w:val="20"/>
          <w:szCs w:val="20"/>
        </w:rPr>
        <w:t>, 36</w:t>
      </w:r>
      <w:r w:rsidR="002A095D" w:rsidRPr="002A095D">
        <w:rPr>
          <w:rFonts w:ascii="Arial" w:hAnsi="Arial" w:cs="Arial"/>
          <w:i/>
          <w:iCs/>
          <w:sz w:val="20"/>
          <w:szCs w:val="20"/>
        </w:rPr>
        <w:t>(1)</w:t>
      </w:r>
      <w:r w:rsidRPr="00815042">
        <w:rPr>
          <w:rFonts w:ascii="Arial" w:hAnsi="Arial" w:cs="Arial"/>
          <w:sz w:val="20"/>
          <w:szCs w:val="20"/>
        </w:rPr>
        <w:t>, 1–12.</w:t>
      </w:r>
    </w:p>
    <w:p w14:paraId="1EF7B36B" w14:textId="4DB28D9E"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Sehgal, C. B., &amp; Syed Abbas, N. (1994). Somatic embryogenesis and plant regeneration from hypocotyl tissue of </w:t>
      </w:r>
      <w:proofErr w:type="spellStart"/>
      <w:r w:rsidRPr="00815042">
        <w:rPr>
          <w:rFonts w:ascii="Arial" w:hAnsi="Arial" w:cs="Arial"/>
          <w:i/>
          <w:iCs/>
          <w:sz w:val="20"/>
          <w:szCs w:val="20"/>
        </w:rPr>
        <w:t>Trachyspermum</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ammi</w:t>
      </w:r>
      <w:proofErr w:type="spellEnd"/>
      <w:r w:rsidRPr="00815042">
        <w:rPr>
          <w:rFonts w:ascii="Arial" w:hAnsi="Arial" w:cs="Arial"/>
          <w:sz w:val="20"/>
          <w:szCs w:val="20"/>
        </w:rPr>
        <w:t xml:space="preserve"> (L.) Sprague. </w:t>
      </w:r>
      <w:proofErr w:type="spellStart"/>
      <w:r w:rsidRPr="00815042">
        <w:rPr>
          <w:rFonts w:ascii="Arial" w:hAnsi="Arial" w:cs="Arial"/>
          <w:i/>
          <w:iCs/>
          <w:sz w:val="20"/>
          <w:szCs w:val="20"/>
        </w:rPr>
        <w:t>Phytomorphology</w:t>
      </w:r>
      <w:proofErr w:type="spellEnd"/>
      <w:r w:rsidRPr="00815042">
        <w:rPr>
          <w:rFonts w:ascii="Arial" w:hAnsi="Arial" w:cs="Arial"/>
          <w:i/>
          <w:iCs/>
          <w:sz w:val="20"/>
          <w:szCs w:val="20"/>
        </w:rPr>
        <w:t>, 44</w:t>
      </w:r>
      <w:r w:rsidR="002A095D" w:rsidRPr="002A095D">
        <w:rPr>
          <w:rFonts w:ascii="Arial" w:hAnsi="Arial" w:cs="Arial"/>
          <w:i/>
          <w:iCs/>
          <w:sz w:val="20"/>
          <w:szCs w:val="20"/>
        </w:rPr>
        <w:t>(3-4)</w:t>
      </w:r>
      <w:r w:rsidRPr="00815042">
        <w:rPr>
          <w:rFonts w:ascii="Arial" w:hAnsi="Arial" w:cs="Arial"/>
          <w:sz w:val="20"/>
          <w:szCs w:val="20"/>
        </w:rPr>
        <w:t>, 265–271.</w:t>
      </w:r>
    </w:p>
    <w:p w14:paraId="1FAAD87B" w14:textId="6E468198"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Sofiari</w:t>
      </w:r>
      <w:proofErr w:type="spellEnd"/>
      <w:r w:rsidRPr="00815042">
        <w:rPr>
          <w:rFonts w:ascii="Arial" w:hAnsi="Arial" w:cs="Arial"/>
          <w:sz w:val="20"/>
          <w:szCs w:val="20"/>
        </w:rPr>
        <w:t xml:space="preserve">, E., </w:t>
      </w:r>
      <w:proofErr w:type="spellStart"/>
      <w:r w:rsidRPr="00815042">
        <w:rPr>
          <w:rFonts w:ascii="Arial" w:hAnsi="Arial" w:cs="Arial"/>
          <w:sz w:val="20"/>
          <w:szCs w:val="20"/>
        </w:rPr>
        <w:t>Raemakers</w:t>
      </w:r>
      <w:proofErr w:type="spellEnd"/>
      <w:r w:rsidRPr="00815042">
        <w:rPr>
          <w:rFonts w:ascii="Arial" w:hAnsi="Arial" w:cs="Arial"/>
          <w:sz w:val="20"/>
          <w:szCs w:val="20"/>
        </w:rPr>
        <w:t xml:space="preserve">, C., </w:t>
      </w:r>
      <w:proofErr w:type="spellStart"/>
      <w:r w:rsidRPr="00815042">
        <w:rPr>
          <w:rFonts w:ascii="Arial" w:hAnsi="Arial" w:cs="Arial"/>
          <w:sz w:val="20"/>
          <w:szCs w:val="20"/>
        </w:rPr>
        <w:t>Bergervoet</w:t>
      </w:r>
      <w:proofErr w:type="spellEnd"/>
      <w:r w:rsidRPr="00815042">
        <w:rPr>
          <w:rFonts w:ascii="Arial" w:hAnsi="Arial" w:cs="Arial"/>
          <w:sz w:val="20"/>
          <w:szCs w:val="20"/>
        </w:rPr>
        <w:t xml:space="preserve">, J., Jacobsen, E., &amp; Visser, R. (1998). Plant regeneration from protoplasts isolated from friable embryogenic callus of cassava. </w:t>
      </w:r>
      <w:r w:rsidRPr="00815042">
        <w:rPr>
          <w:rFonts w:ascii="Arial" w:hAnsi="Arial" w:cs="Arial"/>
          <w:i/>
          <w:iCs/>
          <w:sz w:val="20"/>
          <w:szCs w:val="20"/>
        </w:rPr>
        <w:t>Plant Cell Reports, 18</w:t>
      </w:r>
      <w:r w:rsidR="002A095D" w:rsidRPr="002A095D">
        <w:rPr>
          <w:rFonts w:ascii="Arial" w:hAnsi="Arial" w:cs="Arial"/>
          <w:i/>
          <w:iCs/>
          <w:sz w:val="20"/>
          <w:szCs w:val="20"/>
        </w:rPr>
        <w:t>(2)</w:t>
      </w:r>
      <w:r w:rsidRPr="00815042">
        <w:rPr>
          <w:rFonts w:ascii="Arial" w:hAnsi="Arial" w:cs="Arial"/>
          <w:sz w:val="20"/>
          <w:szCs w:val="20"/>
        </w:rPr>
        <w:t>, 159–165.</w:t>
      </w:r>
    </w:p>
    <w:p w14:paraId="783F9A88" w14:textId="4B3830DB"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Sunitibala</w:t>
      </w:r>
      <w:proofErr w:type="spellEnd"/>
      <w:r w:rsidRPr="00815042">
        <w:rPr>
          <w:rFonts w:ascii="Arial" w:hAnsi="Arial" w:cs="Arial"/>
          <w:sz w:val="20"/>
          <w:szCs w:val="20"/>
        </w:rPr>
        <w:t xml:space="preserve">, H., Damayanti, M., &amp; Sharma, G. J. (2001). In vitro propagation and rhizome formation in </w:t>
      </w:r>
      <w:r w:rsidRPr="00815042">
        <w:rPr>
          <w:rFonts w:ascii="Arial" w:hAnsi="Arial" w:cs="Arial"/>
          <w:i/>
          <w:iCs/>
          <w:sz w:val="20"/>
          <w:szCs w:val="20"/>
        </w:rPr>
        <w:t>Curcuma longa</w:t>
      </w:r>
      <w:r w:rsidRPr="00815042">
        <w:rPr>
          <w:rFonts w:ascii="Arial" w:hAnsi="Arial" w:cs="Arial"/>
          <w:sz w:val="20"/>
          <w:szCs w:val="20"/>
        </w:rPr>
        <w:t xml:space="preserve"> Linn. </w:t>
      </w:r>
      <w:proofErr w:type="spellStart"/>
      <w:r w:rsidRPr="00815042">
        <w:rPr>
          <w:rFonts w:ascii="Arial" w:hAnsi="Arial" w:cs="Arial"/>
          <w:i/>
          <w:iCs/>
          <w:sz w:val="20"/>
          <w:szCs w:val="20"/>
        </w:rPr>
        <w:t>Cytobios</w:t>
      </w:r>
      <w:proofErr w:type="spellEnd"/>
      <w:r w:rsidRPr="00815042">
        <w:rPr>
          <w:rFonts w:ascii="Arial" w:hAnsi="Arial" w:cs="Arial"/>
          <w:i/>
          <w:iCs/>
          <w:sz w:val="20"/>
          <w:szCs w:val="20"/>
        </w:rPr>
        <w:t>, 105</w:t>
      </w:r>
      <w:r w:rsidR="002A095D" w:rsidRPr="002A095D">
        <w:rPr>
          <w:rFonts w:ascii="Arial" w:hAnsi="Arial" w:cs="Arial"/>
          <w:sz w:val="20"/>
          <w:szCs w:val="20"/>
        </w:rPr>
        <w:t>(409)</w:t>
      </w:r>
      <w:r w:rsidR="002A095D">
        <w:rPr>
          <w:rFonts w:ascii="Arial" w:hAnsi="Arial" w:cs="Arial"/>
          <w:sz w:val="20"/>
          <w:szCs w:val="20"/>
        </w:rPr>
        <w:t>,</w:t>
      </w:r>
      <w:r w:rsidRPr="00815042">
        <w:rPr>
          <w:rFonts w:ascii="Arial" w:hAnsi="Arial" w:cs="Arial"/>
          <w:sz w:val="20"/>
          <w:szCs w:val="20"/>
        </w:rPr>
        <w:t xml:space="preserve"> 71–82.</w:t>
      </w:r>
    </w:p>
    <w:p w14:paraId="3B1847EC" w14:textId="6B88BB97"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Thongnest</w:t>
      </w:r>
      <w:proofErr w:type="spellEnd"/>
      <w:r w:rsidRPr="00815042">
        <w:rPr>
          <w:rFonts w:ascii="Arial" w:hAnsi="Arial" w:cs="Arial"/>
          <w:sz w:val="20"/>
          <w:szCs w:val="20"/>
        </w:rPr>
        <w:t xml:space="preserve">, S., Mahidol, C., </w:t>
      </w:r>
      <w:proofErr w:type="spellStart"/>
      <w:r w:rsidRPr="00815042">
        <w:rPr>
          <w:rFonts w:ascii="Arial" w:hAnsi="Arial" w:cs="Arial"/>
          <w:sz w:val="20"/>
          <w:szCs w:val="20"/>
        </w:rPr>
        <w:t>Sutthivaiyakit</w:t>
      </w:r>
      <w:proofErr w:type="spellEnd"/>
      <w:r w:rsidRPr="00815042">
        <w:rPr>
          <w:rFonts w:ascii="Arial" w:hAnsi="Arial" w:cs="Arial"/>
          <w:sz w:val="20"/>
          <w:szCs w:val="20"/>
        </w:rPr>
        <w:t xml:space="preserve">, S., &amp; </w:t>
      </w:r>
      <w:proofErr w:type="spellStart"/>
      <w:r w:rsidRPr="00815042">
        <w:rPr>
          <w:rFonts w:ascii="Arial" w:hAnsi="Arial" w:cs="Arial"/>
          <w:sz w:val="20"/>
          <w:szCs w:val="20"/>
        </w:rPr>
        <w:t>Ruchirawat</w:t>
      </w:r>
      <w:proofErr w:type="spellEnd"/>
      <w:r w:rsidRPr="00815042">
        <w:rPr>
          <w:rFonts w:ascii="Arial" w:hAnsi="Arial" w:cs="Arial"/>
          <w:sz w:val="20"/>
          <w:szCs w:val="20"/>
        </w:rPr>
        <w:t xml:space="preserve">, S. (2005). Oxygenated </w:t>
      </w:r>
      <w:proofErr w:type="spellStart"/>
      <w:r w:rsidRPr="00815042">
        <w:rPr>
          <w:rFonts w:ascii="Arial" w:hAnsi="Arial" w:cs="Arial"/>
          <w:sz w:val="20"/>
          <w:szCs w:val="20"/>
        </w:rPr>
        <w:t>Pimarane</w:t>
      </w:r>
      <w:proofErr w:type="spellEnd"/>
      <w:r w:rsidRPr="00815042">
        <w:rPr>
          <w:rFonts w:ascii="Arial" w:hAnsi="Arial" w:cs="Arial"/>
          <w:sz w:val="20"/>
          <w:szCs w:val="20"/>
        </w:rPr>
        <w:t xml:space="preserve"> Diterpenes from </w:t>
      </w:r>
      <w:proofErr w:type="spellStart"/>
      <w:r w:rsidRPr="00815042">
        <w:rPr>
          <w:rFonts w:ascii="Arial" w:hAnsi="Arial" w:cs="Arial"/>
          <w:i/>
          <w:iCs/>
          <w:sz w:val="20"/>
          <w:szCs w:val="20"/>
        </w:rPr>
        <w:t>Kaempferia</w:t>
      </w:r>
      <w:proofErr w:type="spellEnd"/>
      <w:r w:rsidRPr="00815042">
        <w:rPr>
          <w:rFonts w:ascii="Arial" w:hAnsi="Arial" w:cs="Arial"/>
          <w:i/>
          <w:iCs/>
          <w:sz w:val="20"/>
          <w:szCs w:val="20"/>
        </w:rPr>
        <w:t xml:space="preserve"> </w:t>
      </w:r>
      <w:proofErr w:type="spellStart"/>
      <w:r w:rsidRPr="00815042">
        <w:rPr>
          <w:rFonts w:ascii="Arial" w:hAnsi="Arial" w:cs="Arial"/>
          <w:i/>
          <w:iCs/>
          <w:sz w:val="20"/>
          <w:szCs w:val="20"/>
        </w:rPr>
        <w:t>marginata</w:t>
      </w:r>
      <w:proofErr w:type="spellEnd"/>
      <w:r w:rsidRPr="00815042">
        <w:rPr>
          <w:rFonts w:ascii="Arial" w:hAnsi="Arial" w:cs="Arial"/>
          <w:sz w:val="20"/>
          <w:szCs w:val="20"/>
        </w:rPr>
        <w:t xml:space="preserve">. </w:t>
      </w:r>
      <w:r w:rsidRPr="00815042">
        <w:rPr>
          <w:rFonts w:ascii="Arial" w:hAnsi="Arial" w:cs="Arial"/>
          <w:i/>
          <w:iCs/>
          <w:sz w:val="20"/>
          <w:szCs w:val="20"/>
        </w:rPr>
        <w:t>Journal of Natural Products, 68</w:t>
      </w:r>
      <w:r w:rsidR="002A095D" w:rsidRPr="002A095D">
        <w:rPr>
          <w:rFonts w:ascii="Arial" w:hAnsi="Arial" w:cs="Arial"/>
          <w:i/>
          <w:iCs/>
          <w:sz w:val="20"/>
          <w:szCs w:val="20"/>
        </w:rPr>
        <w:t>(11)</w:t>
      </w:r>
      <w:r w:rsidRPr="00815042">
        <w:rPr>
          <w:rFonts w:ascii="Arial" w:hAnsi="Arial" w:cs="Arial"/>
          <w:sz w:val="20"/>
          <w:szCs w:val="20"/>
        </w:rPr>
        <w:t>, 1632–1636.</w:t>
      </w:r>
    </w:p>
    <w:p w14:paraId="2D8BED98" w14:textId="153282EE"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Tokuhara</w:t>
      </w:r>
      <w:proofErr w:type="spellEnd"/>
      <w:r w:rsidRPr="00815042">
        <w:rPr>
          <w:rFonts w:ascii="Arial" w:hAnsi="Arial" w:cs="Arial"/>
          <w:sz w:val="20"/>
          <w:szCs w:val="20"/>
        </w:rPr>
        <w:t xml:space="preserve">, K., &amp; </w:t>
      </w:r>
      <w:proofErr w:type="spellStart"/>
      <w:r w:rsidRPr="00815042">
        <w:rPr>
          <w:rFonts w:ascii="Arial" w:hAnsi="Arial" w:cs="Arial"/>
          <w:sz w:val="20"/>
          <w:szCs w:val="20"/>
        </w:rPr>
        <w:t>Mii</w:t>
      </w:r>
      <w:proofErr w:type="spellEnd"/>
      <w:r w:rsidRPr="00815042">
        <w:rPr>
          <w:rFonts w:ascii="Arial" w:hAnsi="Arial" w:cs="Arial"/>
          <w:sz w:val="20"/>
          <w:szCs w:val="20"/>
        </w:rPr>
        <w:t xml:space="preserve">, M. (2001). Induction of embryogenic callus and cell suspension culture from shoot tips excised from flower stalk buds in </w:t>
      </w:r>
      <w:r w:rsidRPr="00815042">
        <w:rPr>
          <w:rFonts w:ascii="Arial" w:hAnsi="Arial" w:cs="Arial"/>
          <w:i/>
          <w:iCs/>
          <w:sz w:val="20"/>
          <w:szCs w:val="20"/>
        </w:rPr>
        <w:t>Phalaenopsis</w:t>
      </w:r>
      <w:r w:rsidRPr="00815042">
        <w:rPr>
          <w:rFonts w:ascii="Arial" w:hAnsi="Arial" w:cs="Arial"/>
          <w:sz w:val="20"/>
          <w:szCs w:val="20"/>
        </w:rPr>
        <w:t xml:space="preserve"> (</w:t>
      </w:r>
      <w:proofErr w:type="spellStart"/>
      <w:r w:rsidRPr="00815042">
        <w:rPr>
          <w:rFonts w:ascii="Arial" w:hAnsi="Arial" w:cs="Arial"/>
          <w:sz w:val="20"/>
          <w:szCs w:val="20"/>
        </w:rPr>
        <w:t>Orchidaceae</w:t>
      </w:r>
      <w:proofErr w:type="spellEnd"/>
      <w:r w:rsidRPr="00815042">
        <w:rPr>
          <w:rFonts w:ascii="Arial" w:hAnsi="Arial" w:cs="Arial"/>
          <w:sz w:val="20"/>
          <w:szCs w:val="20"/>
        </w:rPr>
        <w:t xml:space="preserve">). </w:t>
      </w:r>
      <w:r w:rsidRPr="00815042">
        <w:rPr>
          <w:rFonts w:ascii="Arial" w:hAnsi="Arial" w:cs="Arial"/>
          <w:i/>
          <w:iCs/>
          <w:sz w:val="20"/>
          <w:szCs w:val="20"/>
        </w:rPr>
        <w:t>In Vitro Cellular &amp; Developmental Biology - Plant, 37</w:t>
      </w:r>
      <w:r w:rsidR="002A095D" w:rsidRPr="002A095D">
        <w:rPr>
          <w:rFonts w:ascii="Arial" w:hAnsi="Arial" w:cs="Arial"/>
          <w:i/>
          <w:iCs/>
          <w:sz w:val="20"/>
          <w:szCs w:val="20"/>
        </w:rPr>
        <w:t>(4)</w:t>
      </w:r>
      <w:r w:rsidRPr="00815042">
        <w:rPr>
          <w:rFonts w:ascii="Arial" w:hAnsi="Arial" w:cs="Arial"/>
          <w:sz w:val="20"/>
          <w:szCs w:val="20"/>
        </w:rPr>
        <w:t>, 457–461.</w:t>
      </w:r>
    </w:p>
    <w:p w14:paraId="6C26B748" w14:textId="50BB2D61" w:rsidR="00815042" w:rsidRPr="00815042" w:rsidRDefault="00815042" w:rsidP="00815042">
      <w:pPr>
        <w:pStyle w:val="NoSpacing"/>
        <w:spacing w:line="276" w:lineRule="auto"/>
        <w:jc w:val="both"/>
        <w:rPr>
          <w:rFonts w:ascii="Arial" w:hAnsi="Arial" w:cs="Arial"/>
          <w:sz w:val="20"/>
          <w:szCs w:val="20"/>
        </w:rPr>
      </w:pPr>
      <w:r w:rsidRPr="002A095D">
        <w:rPr>
          <w:rFonts w:ascii="Arial" w:hAnsi="Arial" w:cs="Arial"/>
          <w:sz w:val="20"/>
          <w:szCs w:val="20"/>
        </w:rPr>
        <w:t xml:space="preserve">Vidya, S. M., Krishna, V., </w:t>
      </w:r>
      <w:proofErr w:type="spellStart"/>
      <w:r w:rsidRPr="002A095D">
        <w:rPr>
          <w:rFonts w:ascii="Arial" w:hAnsi="Arial" w:cs="Arial"/>
          <w:sz w:val="20"/>
          <w:szCs w:val="20"/>
        </w:rPr>
        <w:t>Manjunatha</w:t>
      </w:r>
      <w:proofErr w:type="spellEnd"/>
      <w:r w:rsidRPr="002A095D">
        <w:rPr>
          <w:rFonts w:ascii="Arial" w:hAnsi="Arial" w:cs="Arial"/>
          <w:sz w:val="20"/>
          <w:szCs w:val="20"/>
        </w:rPr>
        <w:t xml:space="preserve">, B. K., &amp; </w:t>
      </w:r>
      <w:proofErr w:type="spellStart"/>
      <w:r w:rsidRPr="002A095D">
        <w:rPr>
          <w:rFonts w:ascii="Arial" w:hAnsi="Arial" w:cs="Arial"/>
          <w:sz w:val="20"/>
          <w:szCs w:val="20"/>
        </w:rPr>
        <w:t>Shankarmurthy</w:t>
      </w:r>
      <w:proofErr w:type="spellEnd"/>
      <w:r w:rsidRPr="002A095D">
        <w:rPr>
          <w:rFonts w:ascii="Arial" w:hAnsi="Arial" w:cs="Arial"/>
          <w:sz w:val="20"/>
          <w:szCs w:val="20"/>
        </w:rPr>
        <w:t xml:space="preserve">, K. (2005). Micropropagation of </w:t>
      </w:r>
      <w:proofErr w:type="spellStart"/>
      <w:r w:rsidRPr="002A095D">
        <w:rPr>
          <w:rFonts w:ascii="Arial" w:hAnsi="Arial" w:cs="Arial"/>
          <w:i/>
          <w:iCs/>
          <w:sz w:val="20"/>
          <w:szCs w:val="20"/>
        </w:rPr>
        <w:t>Entada</w:t>
      </w:r>
      <w:proofErr w:type="spellEnd"/>
      <w:r w:rsidRPr="002A095D">
        <w:rPr>
          <w:rFonts w:ascii="Arial" w:hAnsi="Arial" w:cs="Arial"/>
          <w:i/>
          <w:iCs/>
          <w:sz w:val="20"/>
          <w:szCs w:val="20"/>
        </w:rPr>
        <w:t xml:space="preserve"> </w:t>
      </w:r>
      <w:proofErr w:type="spellStart"/>
      <w:r w:rsidRPr="002A095D">
        <w:rPr>
          <w:rFonts w:ascii="Arial" w:hAnsi="Arial" w:cs="Arial"/>
          <w:i/>
          <w:iCs/>
          <w:sz w:val="20"/>
          <w:szCs w:val="20"/>
        </w:rPr>
        <w:t>pursaetha</w:t>
      </w:r>
      <w:proofErr w:type="spellEnd"/>
      <w:r w:rsidRPr="002A095D">
        <w:rPr>
          <w:rFonts w:ascii="Arial" w:hAnsi="Arial" w:cs="Arial"/>
          <w:sz w:val="20"/>
          <w:szCs w:val="20"/>
        </w:rPr>
        <w:t xml:space="preserve"> DC- An endangered medicinal plant of Western Ghats. </w:t>
      </w:r>
      <w:r w:rsidRPr="002A095D">
        <w:rPr>
          <w:rFonts w:ascii="Arial" w:hAnsi="Arial" w:cs="Arial"/>
          <w:i/>
          <w:iCs/>
          <w:sz w:val="20"/>
          <w:szCs w:val="20"/>
        </w:rPr>
        <w:t>Indian Journal of Biotechnology, 4</w:t>
      </w:r>
      <w:r w:rsidR="002A095D" w:rsidRPr="002A095D">
        <w:t xml:space="preserve"> </w:t>
      </w:r>
      <w:r w:rsidR="002A095D" w:rsidRPr="002A095D">
        <w:rPr>
          <w:rFonts w:ascii="Arial" w:hAnsi="Arial" w:cs="Arial"/>
          <w:i/>
          <w:iCs/>
          <w:sz w:val="20"/>
          <w:szCs w:val="20"/>
        </w:rPr>
        <w:t>(4)</w:t>
      </w:r>
      <w:r w:rsidRPr="002A095D">
        <w:rPr>
          <w:rFonts w:ascii="Arial" w:hAnsi="Arial" w:cs="Arial"/>
          <w:sz w:val="20"/>
          <w:szCs w:val="20"/>
        </w:rPr>
        <w:t>, 561–564.</w:t>
      </w:r>
    </w:p>
    <w:p w14:paraId="68CFEDB0" w14:textId="391FAC6A" w:rsidR="00C801AE" w:rsidRDefault="00C801AE" w:rsidP="00815042">
      <w:pPr>
        <w:pStyle w:val="NoSpacing"/>
        <w:spacing w:line="276" w:lineRule="auto"/>
        <w:jc w:val="both"/>
        <w:rPr>
          <w:rFonts w:ascii="Arial" w:hAnsi="Arial" w:cs="Arial"/>
          <w:sz w:val="20"/>
          <w:szCs w:val="20"/>
        </w:rPr>
      </w:pPr>
      <w:r w:rsidRPr="00C801AE">
        <w:rPr>
          <w:rFonts w:ascii="Arial" w:hAnsi="Arial" w:cs="Arial"/>
          <w:sz w:val="20"/>
          <w:szCs w:val="20"/>
        </w:rPr>
        <w:t xml:space="preserve">Vishal, Sidhu, G. S., Gaikwad, P. N., Mann, S. S., Gill, M. S., &amp; Manchanda, P. (2024). Optimized protocol for high-frequency papaya propagation: morpho-stereomicroscopic analysis and genetic fidelity assessment. </w:t>
      </w:r>
      <w:r w:rsidRPr="00C801AE">
        <w:rPr>
          <w:rFonts w:ascii="Arial" w:hAnsi="Arial" w:cs="Arial"/>
          <w:i/>
          <w:iCs/>
          <w:sz w:val="20"/>
          <w:szCs w:val="20"/>
        </w:rPr>
        <w:t>Plant Cell, Tissue and Organ Culture, 156(3)</w:t>
      </w:r>
      <w:r w:rsidRPr="00C801AE">
        <w:rPr>
          <w:rFonts w:ascii="Arial" w:hAnsi="Arial" w:cs="Arial"/>
          <w:sz w:val="20"/>
          <w:szCs w:val="20"/>
        </w:rPr>
        <w:t xml:space="preserve">, </w:t>
      </w:r>
      <w:r>
        <w:rPr>
          <w:rFonts w:ascii="Arial" w:hAnsi="Arial" w:cs="Arial"/>
          <w:sz w:val="20"/>
          <w:szCs w:val="20"/>
        </w:rPr>
        <w:t>81</w:t>
      </w:r>
      <w:r w:rsidRPr="00C801AE">
        <w:rPr>
          <w:rFonts w:ascii="Arial" w:hAnsi="Arial" w:cs="Arial"/>
          <w:sz w:val="20"/>
          <w:szCs w:val="20"/>
        </w:rPr>
        <w:t>.</w:t>
      </w:r>
    </w:p>
    <w:p w14:paraId="245247E8" w14:textId="2CEF0642"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Wakhlu</w:t>
      </w:r>
      <w:proofErr w:type="spellEnd"/>
      <w:r w:rsidRPr="00815042">
        <w:rPr>
          <w:rFonts w:ascii="Arial" w:hAnsi="Arial" w:cs="Arial"/>
          <w:sz w:val="20"/>
          <w:szCs w:val="20"/>
        </w:rPr>
        <w:t xml:space="preserve">, A. K., &amp; Sharma, R. K. (1998). Micropropagation of </w:t>
      </w:r>
      <w:r w:rsidRPr="00815042">
        <w:rPr>
          <w:rFonts w:ascii="Arial" w:hAnsi="Arial" w:cs="Arial"/>
          <w:i/>
          <w:iCs/>
          <w:sz w:val="20"/>
          <w:szCs w:val="20"/>
        </w:rPr>
        <w:t xml:space="preserve">Heracleum </w:t>
      </w:r>
      <w:proofErr w:type="spellStart"/>
      <w:r w:rsidRPr="00815042">
        <w:rPr>
          <w:rFonts w:ascii="Arial" w:hAnsi="Arial" w:cs="Arial"/>
          <w:i/>
          <w:iCs/>
          <w:sz w:val="20"/>
          <w:szCs w:val="20"/>
        </w:rPr>
        <w:t>candicans</w:t>
      </w:r>
      <w:proofErr w:type="spellEnd"/>
      <w:r w:rsidRPr="00815042">
        <w:rPr>
          <w:rFonts w:ascii="Arial" w:hAnsi="Arial" w:cs="Arial"/>
          <w:sz w:val="20"/>
          <w:szCs w:val="20"/>
        </w:rPr>
        <w:t xml:space="preserve"> Wall: a rare medicinal herb. </w:t>
      </w:r>
      <w:r w:rsidRPr="00815042">
        <w:rPr>
          <w:rFonts w:ascii="Arial" w:hAnsi="Arial" w:cs="Arial"/>
          <w:i/>
          <w:iCs/>
          <w:sz w:val="20"/>
          <w:szCs w:val="20"/>
        </w:rPr>
        <w:t>In Vitro Cellular &amp; Developmental Biology - Plant, 35</w:t>
      </w:r>
      <w:r w:rsidR="002A095D" w:rsidRPr="002A095D">
        <w:rPr>
          <w:rFonts w:ascii="Arial" w:hAnsi="Arial" w:cs="Arial"/>
          <w:i/>
          <w:iCs/>
          <w:sz w:val="20"/>
          <w:szCs w:val="20"/>
        </w:rPr>
        <w:t>(1)</w:t>
      </w:r>
      <w:r w:rsidRPr="00815042">
        <w:rPr>
          <w:rFonts w:ascii="Arial" w:hAnsi="Arial" w:cs="Arial"/>
          <w:sz w:val="20"/>
          <w:szCs w:val="20"/>
        </w:rPr>
        <w:t>, 79–80.</w:t>
      </w:r>
    </w:p>
    <w:p w14:paraId="039D67C7" w14:textId="57B0ECE0" w:rsidR="00815042" w:rsidRPr="00815042" w:rsidRDefault="00815042" w:rsidP="00815042">
      <w:pPr>
        <w:pStyle w:val="NoSpacing"/>
        <w:spacing w:line="276" w:lineRule="auto"/>
        <w:jc w:val="both"/>
        <w:rPr>
          <w:rFonts w:ascii="Arial" w:hAnsi="Arial" w:cs="Arial"/>
          <w:sz w:val="20"/>
          <w:szCs w:val="20"/>
        </w:rPr>
      </w:pPr>
      <w:r w:rsidRPr="002A095D">
        <w:rPr>
          <w:rFonts w:ascii="Arial" w:hAnsi="Arial" w:cs="Arial"/>
          <w:sz w:val="20"/>
          <w:szCs w:val="20"/>
        </w:rPr>
        <w:t xml:space="preserve">Williams, J. G. K., </w:t>
      </w:r>
      <w:proofErr w:type="spellStart"/>
      <w:r w:rsidRPr="002A095D">
        <w:rPr>
          <w:rFonts w:ascii="Arial" w:hAnsi="Arial" w:cs="Arial"/>
          <w:sz w:val="20"/>
          <w:szCs w:val="20"/>
        </w:rPr>
        <w:t>Kubelik</w:t>
      </w:r>
      <w:proofErr w:type="spellEnd"/>
      <w:r w:rsidRPr="002A095D">
        <w:rPr>
          <w:rFonts w:ascii="Arial" w:hAnsi="Arial" w:cs="Arial"/>
          <w:sz w:val="20"/>
          <w:szCs w:val="20"/>
        </w:rPr>
        <w:t xml:space="preserve">, A. R., </w:t>
      </w:r>
      <w:proofErr w:type="spellStart"/>
      <w:r w:rsidRPr="002A095D">
        <w:rPr>
          <w:rFonts w:ascii="Arial" w:hAnsi="Arial" w:cs="Arial"/>
          <w:sz w:val="20"/>
          <w:szCs w:val="20"/>
        </w:rPr>
        <w:t>Livak</w:t>
      </w:r>
      <w:proofErr w:type="spellEnd"/>
      <w:r w:rsidRPr="002A095D">
        <w:rPr>
          <w:rFonts w:ascii="Arial" w:hAnsi="Arial" w:cs="Arial"/>
          <w:sz w:val="20"/>
          <w:szCs w:val="20"/>
        </w:rPr>
        <w:t xml:space="preserve">, K. J., </w:t>
      </w:r>
      <w:proofErr w:type="spellStart"/>
      <w:r w:rsidRPr="002A095D">
        <w:rPr>
          <w:rFonts w:ascii="Arial" w:hAnsi="Arial" w:cs="Arial"/>
          <w:sz w:val="20"/>
          <w:szCs w:val="20"/>
        </w:rPr>
        <w:t>Rafalski</w:t>
      </w:r>
      <w:proofErr w:type="spellEnd"/>
      <w:r w:rsidRPr="002A095D">
        <w:rPr>
          <w:rFonts w:ascii="Arial" w:hAnsi="Arial" w:cs="Arial"/>
          <w:sz w:val="20"/>
          <w:szCs w:val="20"/>
        </w:rPr>
        <w:t xml:space="preserve">, J. A., &amp; Tingey, S. V. (1990). DNA polymorphisms amplified by arbitrary primers are useful as genetic markers. </w:t>
      </w:r>
      <w:r w:rsidRPr="002A095D">
        <w:rPr>
          <w:rFonts w:ascii="Arial" w:hAnsi="Arial" w:cs="Arial"/>
          <w:i/>
          <w:iCs/>
          <w:sz w:val="20"/>
          <w:szCs w:val="20"/>
        </w:rPr>
        <w:t>Nucleic Acids Research, 18</w:t>
      </w:r>
      <w:r w:rsidR="002A095D" w:rsidRPr="002A095D">
        <w:rPr>
          <w:rFonts w:ascii="Arial" w:hAnsi="Arial" w:cs="Arial"/>
          <w:i/>
          <w:iCs/>
          <w:sz w:val="20"/>
          <w:szCs w:val="20"/>
        </w:rPr>
        <w:t>(22)</w:t>
      </w:r>
      <w:r w:rsidRPr="002A095D">
        <w:rPr>
          <w:rFonts w:ascii="Arial" w:hAnsi="Arial" w:cs="Arial"/>
          <w:sz w:val="20"/>
          <w:szCs w:val="20"/>
        </w:rPr>
        <w:t>, 6531–6535.</w:t>
      </w:r>
    </w:p>
    <w:p w14:paraId="48A2DE43" w14:textId="00613911" w:rsidR="00815042" w:rsidRPr="00815042" w:rsidRDefault="00815042" w:rsidP="00815042">
      <w:pPr>
        <w:pStyle w:val="NoSpacing"/>
        <w:spacing w:line="276" w:lineRule="auto"/>
        <w:jc w:val="both"/>
        <w:rPr>
          <w:rFonts w:ascii="Arial" w:hAnsi="Arial" w:cs="Arial"/>
          <w:sz w:val="20"/>
          <w:szCs w:val="20"/>
        </w:rPr>
      </w:pPr>
      <w:proofErr w:type="spellStart"/>
      <w:r w:rsidRPr="00815042">
        <w:rPr>
          <w:rFonts w:ascii="Arial" w:hAnsi="Arial" w:cs="Arial"/>
          <w:sz w:val="20"/>
          <w:szCs w:val="20"/>
        </w:rPr>
        <w:t>Zietkiewicz</w:t>
      </w:r>
      <w:proofErr w:type="spellEnd"/>
      <w:r w:rsidRPr="00815042">
        <w:rPr>
          <w:rFonts w:ascii="Arial" w:hAnsi="Arial" w:cs="Arial"/>
          <w:sz w:val="20"/>
          <w:szCs w:val="20"/>
        </w:rPr>
        <w:t xml:space="preserve">, E., </w:t>
      </w:r>
      <w:proofErr w:type="spellStart"/>
      <w:r w:rsidRPr="00815042">
        <w:rPr>
          <w:rFonts w:ascii="Arial" w:hAnsi="Arial" w:cs="Arial"/>
          <w:sz w:val="20"/>
          <w:szCs w:val="20"/>
        </w:rPr>
        <w:t>Rafalski</w:t>
      </w:r>
      <w:proofErr w:type="spellEnd"/>
      <w:r w:rsidRPr="00815042">
        <w:rPr>
          <w:rFonts w:ascii="Arial" w:hAnsi="Arial" w:cs="Arial"/>
          <w:sz w:val="20"/>
          <w:szCs w:val="20"/>
        </w:rPr>
        <w:t xml:space="preserve">, A., &amp; </w:t>
      </w:r>
      <w:proofErr w:type="spellStart"/>
      <w:r w:rsidRPr="00815042">
        <w:rPr>
          <w:rFonts w:ascii="Arial" w:hAnsi="Arial" w:cs="Arial"/>
          <w:sz w:val="20"/>
          <w:szCs w:val="20"/>
        </w:rPr>
        <w:t>Labuda</w:t>
      </w:r>
      <w:proofErr w:type="spellEnd"/>
      <w:r w:rsidRPr="00815042">
        <w:rPr>
          <w:rFonts w:ascii="Arial" w:hAnsi="Arial" w:cs="Arial"/>
          <w:sz w:val="20"/>
          <w:szCs w:val="20"/>
        </w:rPr>
        <w:t xml:space="preserve">, D. (1994). Genomic fingerprinting by simple sequence repeat (SSR)-anchored polymerase chain reaction amplification. </w:t>
      </w:r>
      <w:r w:rsidRPr="00815042">
        <w:rPr>
          <w:rFonts w:ascii="Arial" w:hAnsi="Arial" w:cs="Arial"/>
          <w:i/>
          <w:iCs/>
          <w:sz w:val="20"/>
          <w:szCs w:val="20"/>
        </w:rPr>
        <w:t>Genomics, 20</w:t>
      </w:r>
      <w:r w:rsidR="0091102A" w:rsidRPr="0091102A">
        <w:rPr>
          <w:rFonts w:ascii="Arial" w:hAnsi="Arial" w:cs="Arial"/>
          <w:i/>
          <w:iCs/>
          <w:sz w:val="20"/>
          <w:szCs w:val="20"/>
        </w:rPr>
        <w:t>(2)</w:t>
      </w:r>
      <w:r w:rsidRPr="00815042">
        <w:rPr>
          <w:rFonts w:ascii="Arial" w:hAnsi="Arial" w:cs="Arial"/>
          <w:sz w:val="20"/>
          <w:szCs w:val="20"/>
        </w:rPr>
        <w:t>, 176–183.</w:t>
      </w:r>
    </w:p>
    <w:p w14:paraId="2B35872F" w14:textId="6910088C" w:rsidR="00815042" w:rsidRPr="00815042" w:rsidRDefault="00815042" w:rsidP="00815042">
      <w:pPr>
        <w:pStyle w:val="NoSpacing"/>
        <w:spacing w:line="276" w:lineRule="auto"/>
        <w:jc w:val="both"/>
        <w:rPr>
          <w:rFonts w:ascii="Arial" w:hAnsi="Arial" w:cs="Arial"/>
          <w:sz w:val="20"/>
          <w:szCs w:val="20"/>
        </w:rPr>
      </w:pPr>
      <w:r w:rsidRPr="00815042">
        <w:rPr>
          <w:rFonts w:ascii="Arial" w:hAnsi="Arial" w:cs="Arial"/>
          <w:sz w:val="20"/>
          <w:szCs w:val="20"/>
        </w:rPr>
        <w:t xml:space="preserve">Zimmermann, J. L. (1993). Somatic embryogenesis: A model for early development in higher plants. </w:t>
      </w:r>
      <w:r w:rsidRPr="00815042">
        <w:rPr>
          <w:rFonts w:ascii="Arial" w:hAnsi="Arial" w:cs="Arial"/>
          <w:i/>
          <w:iCs/>
          <w:sz w:val="20"/>
          <w:szCs w:val="20"/>
        </w:rPr>
        <w:t>Plant Cell, 5</w:t>
      </w:r>
      <w:r w:rsidR="0091102A" w:rsidRPr="0091102A">
        <w:rPr>
          <w:rFonts w:ascii="Arial" w:hAnsi="Arial" w:cs="Arial"/>
          <w:i/>
          <w:iCs/>
          <w:sz w:val="20"/>
          <w:szCs w:val="20"/>
        </w:rPr>
        <w:t>(10)</w:t>
      </w:r>
      <w:r w:rsidRPr="00815042">
        <w:rPr>
          <w:rFonts w:ascii="Arial" w:hAnsi="Arial" w:cs="Arial"/>
          <w:sz w:val="20"/>
          <w:szCs w:val="20"/>
        </w:rPr>
        <w:t>, 1411–1423.</w:t>
      </w:r>
    </w:p>
    <w:p w14:paraId="6130F309" w14:textId="6D71AA65" w:rsidR="00583DBC" w:rsidRPr="004F63C6" w:rsidRDefault="00583DBC" w:rsidP="00815042">
      <w:pPr>
        <w:pStyle w:val="NoSpacing"/>
        <w:spacing w:line="276" w:lineRule="auto"/>
        <w:jc w:val="both"/>
        <w:rPr>
          <w:rFonts w:ascii="Arial" w:hAnsi="Arial" w:cs="Arial"/>
          <w:sz w:val="24"/>
          <w:szCs w:val="24"/>
        </w:rPr>
      </w:pPr>
    </w:p>
    <w:sectPr w:rsidR="00583DBC" w:rsidRPr="004F63C6" w:rsidSect="00F27A5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091D9" w14:textId="77777777" w:rsidR="007811EF" w:rsidRDefault="007811EF" w:rsidP="003B4FD7">
      <w:r>
        <w:separator/>
      </w:r>
    </w:p>
  </w:endnote>
  <w:endnote w:type="continuationSeparator" w:id="0">
    <w:p w14:paraId="79929515" w14:textId="77777777" w:rsidR="007811EF" w:rsidRDefault="007811EF" w:rsidP="003B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14869"/>
      <w:docPartObj>
        <w:docPartGallery w:val="Page Numbers (Bottom of Page)"/>
        <w:docPartUnique/>
      </w:docPartObj>
    </w:sdtPr>
    <w:sdtEndPr>
      <w:rPr>
        <w:noProof/>
      </w:rPr>
    </w:sdtEndPr>
    <w:sdtContent>
      <w:p w14:paraId="21EBD80A" w14:textId="26E19CE2" w:rsidR="003B4FD7" w:rsidRDefault="003B4F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73CBFE" w14:textId="77777777" w:rsidR="003B4FD7" w:rsidRDefault="003B4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FADA6" w14:textId="77777777" w:rsidR="007811EF" w:rsidRDefault="007811EF" w:rsidP="003B4FD7">
      <w:r>
        <w:separator/>
      </w:r>
    </w:p>
  </w:footnote>
  <w:footnote w:type="continuationSeparator" w:id="0">
    <w:p w14:paraId="657D63AB" w14:textId="77777777" w:rsidR="007811EF" w:rsidRDefault="007811EF" w:rsidP="003B4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032B4"/>
    <w:multiLevelType w:val="hybridMultilevel"/>
    <w:tmpl w:val="CECC0C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E6C5E54"/>
    <w:multiLevelType w:val="hybridMultilevel"/>
    <w:tmpl w:val="0DEEB07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GxNDA3NjOwMLK0MLZQ0lEKTi0uzszPAykwrAUAQecD2ywAAAA="/>
  </w:docVars>
  <w:rsids>
    <w:rsidRoot w:val="00094066"/>
    <w:rsid w:val="00001E1B"/>
    <w:rsid w:val="000120C3"/>
    <w:rsid w:val="00023BEE"/>
    <w:rsid w:val="00036379"/>
    <w:rsid w:val="00056355"/>
    <w:rsid w:val="00094066"/>
    <w:rsid w:val="000C261A"/>
    <w:rsid w:val="000F3D4F"/>
    <w:rsid w:val="0014192A"/>
    <w:rsid w:val="001845ED"/>
    <w:rsid w:val="001B2A9D"/>
    <w:rsid w:val="001C4F05"/>
    <w:rsid w:val="001E5D52"/>
    <w:rsid w:val="001E6E71"/>
    <w:rsid w:val="001F242A"/>
    <w:rsid w:val="00205E7E"/>
    <w:rsid w:val="00213C77"/>
    <w:rsid w:val="0022301C"/>
    <w:rsid w:val="00253014"/>
    <w:rsid w:val="00261E9E"/>
    <w:rsid w:val="0026634A"/>
    <w:rsid w:val="002664B6"/>
    <w:rsid w:val="00285BFD"/>
    <w:rsid w:val="00293CCD"/>
    <w:rsid w:val="00297A31"/>
    <w:rsid w:val="002A095D"/>
    <w:rsid w:val="002A547C"/>
    <w:rsid w:val="00335687"/>
    <w:rsid w:val="00375014"/>
    <w:rsid w:val="00375094"/>
    <w:rsid w:val="00384135"/>
    <w:rsid w:val="003A5332"/>
    <w:rsid w:val="003B0239"/>
    <w:rsid w:val="003B4FD7"/>
    <w:rsid w:val="003E0A01"/>
    <w:rsid w:val="00414B5E"/>
    <w:rsid w:val="00477053"/>
    <w:rsid w:val="004A3E37"/>
    <w:rsid w:val="004D1422"/>
    <w:rsid w:val="004D1A6F"/>
    <w:rsid w:val="004D3374"/>
    <w:rsid w:val="004D6F33"/>
    <w:rsid w:val="004F63C6"/>
    <w:rsid w:val="00527550"/>
    <w:rsid w:val="005548BD"/>
    <w:rsid w:val="00583DBC"/>
    <w:rsid w:val="005935C8"/>
    <w:rsid w:val="005B3FE9"/>
    <w:rsid w:val="005F02BC"/>
    <w:rsid w:val="00610D1D"/>
    <w:rsid w:val="00615936"/>
    <w:rsid w:val="00630E2C"/>
    <w:rsid w:val="006459D3"/>
    <w:rsid w:val="006527A2"/>
    <w:rsid w:val="00687271"/>
    <w:rsid w:val="006A29E8"/>
    <w:rsid w:val="006B0235"/>
    <w:rsid w:val="006D16E1"/>
    <w:rsid w:val="006F6028"/>
    <w:rsid w:val="0072258B"/>
    <w:rsid w:val="0073776C"/>
    <w:rsid w:val="007547B3"/>
    <w:rsid w:val="00764F5E"/>
    <w:rsid w:val="00771AE6"/>
    <w:rsid w:val="007811EF"/>
    <w:rsid w:val="007B63D6"/>
    <w:rsid w:val="007C3441"/>
    <w:rsid w:val="00815042"/>
    <w:rsid w:val="0082216E"/>
    <w:rsid w:val="00826136"/>
    <w:rsid w:val="008722AE"/>
    <w:rsid w:val="00893098"/>
    <w:rsid w:val="008A2722"/>
    <w:rsid w:val="008A5A88"/>
    <w:rsid w:val="008B36D1"/>
    <w:rsid w:val="0091102A"/>
    <w:rsid w:val="009170A3"/>
    <w:rsid w:val="00965984"/>
    <w:rsid w:val="00993933"/>
    <w:rsid w:val="009B7A43"/>
    <w:rsid w:val="009C3108"/>
    <w:rsid w:val="009C6485"/>
    <w:rsid w:val="009F2661"/>
    <w:rsid w:val="00A2021A"/>
    <w:rsid w:val="00A7065C"/>
    <w:rsid w:val="00AA504D"/>
    <w:rsid w:val="00B070F1"/>
    <w:rsid w:val="00B16BC0"/>
    <w:rsid w:val="00B25FE3"/>
    <w:rsid w:val="00B27C86"/>
    <w:rsid w:val="00B31BDF"/>
    <w:rsid w:val="00B41223"/>
    <w:rsid w:val="00B90FCC"/>
    <w:rsid w:val="00B91FA6"/>
    <w:rsid w:val="00B95D8E"/>
    <w:rsid w:val="00BA5FCC"/>
    <w:rsid w:val="00BB1A60"/>
    <w:rsid w:val="00BB40B0"/>
    <w:rsid w:val="00C76BC8"/>
    <w:rsid w:val="00C801AE"/>
    <w:rsid w:val="00C822EA"/>
    <w:rsid w:val="00CB5614"/>
    <w:rsid w:val="00CE0FE6"/>
    <w:rsid w:val="00D0541A"/>
    <w:rsid w:val="00D17BF5"/>
    <w:rsid w:val="00D207C5"/>
    <w:rsid w:val="00D40195"/>
    <w:rsid w:val="00D716FB"/>
    <w:rsid w:val="00D72820"/>
    <w:rsid w:val="00DC0062"/>
    <w:rsid w:val="00DF2118"/>
    <w:rsid w:val="00DF588C"/>
    <w:rsid w:val="00E05D41"/>
    <w:rsid w:val="00E215C2"/>
    <w:rsid w:val="00E51370"/>
    <w:rsid w:val="00E761C4"/>
    <w:rsid w:val="00E9315C"/>
    <w:rsid w:val="00EB494B"/>
    <w:rsid w:val="00F056DE"/>
    <w:rsid w:val="00F27A54"/>
    <w:rsid w:val="00F37C0D"/>
    <w:rsid w:val="00F64A59"/>
    <w:rsid w:val="00FB1B41"/>
    <w:rsid w:val="00FB38BA"/>
    <w:rsid w:val="00FC6347"/>
    <w:rsid w:val="00FC63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82FB"/>
  <w15:chartTrackingRefBased/>
  <w15:docId w15:val="{9EF0FEC5-5C04-431F-93D2-540843EA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35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940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40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40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40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40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40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40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40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40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40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40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40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40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40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40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40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40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4066"/>
    <w:rPr>
      <w:rFonts w:eastAsiaTheme="majorEastAsia" w:cstheme="majorBidi"/>
      <w:color w:val="272727" w:themeColor="text1" w:themeTint="D8"/>
    </w:rPr>
  </w:style>
  <w:style w:type="paragraph" w:styleId="Title">
    <w:name w:val="Title"/>
    <w:basedOn w:val="Normal"/>
    <w:next w:val="Normal"/>
    <w:link w:val="TitleChar"/>
    <w:uiPriority w:val="10"/>
    <w:qFormat/>
    <w:rsid w:val="000940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40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40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40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4066"/>
    <w:pPr>
      <w:spacing w:before="160"/>
      <w:jc w:val="center"/>
    </w:pPr>
    <w:rPr>
      <w:i/>
      <w:iCs/>
      <w:color w:val="404040" w:themeColor="text1" w:themeTint="BF"/>
    </w:rPr>
  </w:style>
  <w:style w:type="character" w:customStyle="1" w:styleId="QuoteChar">
    <w:name w:val="Quote Char"/>
    <w:basedOn w:val="DefaultParagraphFont"/>
    <w:link w:val="Quote"/>
    <w:uiPriority w:val="29"/>
    <w:rsid w:val="00094066"/>
    <w:rPr>
      <w:i/>
      <w:iCs/>
      <w:color w:val="404040" w:themeColor="text1" w:themeTint="BF"/>
    </w:rPr>
  </w:style>
  <w:style w:type="paragraph" w:styleId="ListParagraph">
    <w:name w:val="List Paragraph"/>
    <w:basedOn w:val="Normal"/>
    <w:uiPriority w:val="34"/>
    <w:qFormat/>
    <w:rsid w:val="00094066"/>
    <w:pPr>
      <w:ind w:left="720"/>
      <w:contextualSpacing/>
    </w:pPr>
  </w:style>
  <w:style w:type="character" w:styleId="IntenseEmphasis">
    <w:name w:val="Intense Emphasis"/>
    <w:basedOn w:val="DefaultParagraphFont"/>
    <w:uiPriority w:val="21"/>
    <w:qFormat/>
    <w:rsid w:val="00094066"/>
    <w:rPr>
      <w:i/>
      <w:iCs/>
      <w:color w:val="2F5496" w:themeColor="accent1" w:themeShade="BF"/>
    </w:rPr>
  </w:style>
  <w:style w:type="paragraph" w:styleId="IntenseQuote">
    <w:name w:val="Intense Quote"/>
    <w:basedOn w:val="Normal"/>
    <w:next w:val="Normal"/>
    <w:link w:val="IntenseQuoteChar"/>
    <w:uiPriority w:val="30"/>
    <w:qFormat/>
    <w:rsid w:val="000940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4066"/>
    <w:rPr>
      <w:i/>
      <w:iCs/>
      <w:color w:val="2F5496" w:themeColor="accent1" w:themeShade="BF"/>
    </w:rPr>
  </w:style>
  <w:style w:type="character" w:styleId="IntenseReference">
    <w:name w:val="Intense Reference"/>
    <w:basedOn w:val="DefaultParagraphFont"/>
    <w:uiPriority w:val="32"/>
    <w:qFormat/>
    <w:rsid w:val="00094066"/>
    <w:rPr>
      <w:b/>
      <w:bCs/>
      <w:smallCaps/>
      <w:color w:val="2F5496" w:themeColor="accent1" w:themeShade="BF"/>
      <w:spacing w:val="5"/>
    </w:rPr>
  </w:style>
  <w:style w:type="paragraph" w:styleId="NoSpacing">
    <w:name w:val="No Spacing"/>
    <w:uiPriority w:val="1"/>
    <w:qFormat/>
    <w:rsid w:val="00993933"/>
    <w:pPr>
      <w:spacing w:after="0" w:line="240" w:lineRule="auto"/>
    </w:pPr>
  </w:style>
  <w:style w:type="paragraph" w:customStyle="1" w:styleId="TableParagraph">
    <w:name w:val="Table Paragraph"/>
    <w:basedOn w:val="Normal"/>
    <w:uiPriority w:val="1"/>
    <w:qFormat/>
    <w:rsid w:val="00FC6356"/>
    <w:pPr>
      <w:ind w:left="5"/>
      <w:jc w:val="center"/>
    </w:pPr>
    <w:rPr>
      <w:rFonts w:ascii="Arial Unicode MS" w:eastAsia="Arial Unicode MS" w:hAnsi="Arial Unicode MS" w:cs="Arial Unicode MS"/>
    </w:rPr>
  </w:style>
  <w:style w:type="table" w:styleId="TableGrid">
    <w:name w:val="Table Grid"/>
    <w:basedOn w:val="TableNormal"/>
    <w:uiPriority w:val="39"/>
    <w:rsid w:val="00D20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FD7"/>
    <w:pPr>
      <w:tabs>
        <w:tab w:val="center" w:pos="4513"/>
        <w:tab w:val="right" w:pos="9026"/>
      </w:tabs>
    </w:pPr>
  </w:style>
  <w:style w:type="character" w:customStyle="1" w:styleId="HeaderChar">
    <w:name w:val="Header Char"/>
    <w:basedOn w:val="DefaultParagraphFont"/>
    <w:link w:val="Header"/>
    <w:uiPriority w:val="99"/>
    <w:rsid w:val="003B4FD7"/>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3B4FD7"/>
    <w:pPr>
      <w:tabs>
        <w:tab w:val="center" w:pos="4513"/>
        <w:tab w:val="right" w:pos="9026"/>
      </w:tabs>
    </w:pPr>
  </w:style>
  <w:style w:type="character" w:customStyle="1" w:styleId="FooterChar">
    <w:name w:val="Footer Char"/>
    <w:basedOn w:val="DefaultParagraphFont"/>
    <w:link w:val="Footer"/>
    <w:uiPriority w:val="99"/>
    <w:rsid w:val="003B4FD7"/>
    <w:rPr>
      <w:rFonts w:ascii="Times New Roman" w:eastAsia="Times New Roman" w:hAnsi="Times New Roman" w:cs="Times New Roman"/>
      <w:kern w:val="0"/>
      <w:lang w:val="en-US"/>
      <w14:ligatures w14:val="none"/>
    </w:rPr>
  </w:style>
  <w:style w:type="character" w:styleId="LineNumber">
    <w:name w:val="line number"/>
    <w:basedOn w:val="DefaultParagraphFont"/>
    <w:uiPriority w:val="99"/>
    <w:semiHidden/>
    <w:unhideWhenUsed/>
    <w:rsid w:val="00583DBC"/>
  </w:style>
  <w:style w:type="character" w:styleId="Hyperlink">
    <w:name w:val="Hyperlink"/>
    <w:basedOn w:val="DefaultParagraphFont"/>
    <w:uiPriority w:val="99"/>
    <w:unhideWhenUsed/>
    <w:rsid w:val="00E761C4"/>
    <w:rPr>
      <w:color w:val="0563C1" w:themeColor="hyperlink"/>
      <w:u w:val="single"/>
    </w:rPr>
  </w:style>
  <w:style w:type="character" w:styleId="UnresolvedMention">
    <w:name w:val="Unresolved Mention"/>
    <w:basedOn w:val="DefaultParagraphFont"/>
    <w:uiPriority w:val="99"/>
    <w:semiHidden/>
    <w:unhideWhenUsed/>
    <w:rsid w:val="00E76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75B4B-0799-42BD-BDEB-39929DCBD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10</Pages>
  <Words>3414</Words>
  <Characters>19460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henary chongtham</dc:creator>
  <cp:keywords/>
  <dc:description/>
  <cp:lastModifiedBy>SDI 1020</cp:lastModifiedBy>
  <cp:revision>21</cp:revision>
  <dcterms:created xsi:type="dcterms:W3CDTF">2026-01-29T14:14:00Z</dcterms:created>
  <dcterms:modified xsi:type="dcterms:W3CDTF">2026-02-02T07:27:00Z</dcterms:modified>
</cp:coreProperties>
</file>