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37D309" w14:textId="77777777" w:rsidR="00F533C2" w:rsidRPr="00F956B0" w:rsidRDefault="00F533C2" w:rsidP="00F533C2">
      <w:pPr>
        <w:jc w:val="center"/>
        <w:rPr>
          <w:rFonts w:ascii="Times New Roman" w:hAnsi="Times New Roman" w:cs="Times New Roman"/>
          <w:b/>
          <w:bCs/>
          <w:szCs w:val="24"/>
        </w:rPr>
      </w:pPr>
      <w:r w:rsidRPr="00F956B0">
        <w:rPr>
          <w:rFonts w:ascii="Times New Roman" w:hAnsi="Times New Roman" w:cs="Times New Roman"/>
          <w:b/>
          <w:bCs/>
          <w:szCs w:val="24"/>
        </w:rPr>
        <w:t>RECLAIMING ROOTS: The Role of Indigenous Ecological Knowledge in</w:t>
      </w:r>
    </w:p>
    <w:p w14:paraId="3DA7A672" w14:textId="77777777" w:rsidR="00F533C2" w:rsidRPr="00F956B0" w:rsidRDefault="00F533C2" w:rsidP="00F533C2">
      <w:pPr>
        <w:jc w:val="center"/>
        <w:rPr>
          <w:rFonts w:ascii="Times New Roman" w:hAnsi="Times New Roman" w:cs="Times New Roman"/>
          <w:b/>
          <w:bCs/>
          <w:szCs w:val="24"/>
        </w:rPr>
      </w:pPr>
      <w:r w:rsidRPr="00F956B0">
        <w:rPr>
          <w:rFonts w:ascii="Times New Roman" w:hAnsi="Times New Roman" w:cs="Times New Roman"/>
          <w:b/>
          <w:bCs/>
          <w:szCs w:val="24"/>
        </w:rPr>
        <w:t>Climate Adaptation and Biodiversity Conservation</w:t>
      </w:r>
    </w:p>
    <w:p w14:paraId="63A93F03" w14:textId="77777777" w:rsidR="00A91DD8" w:rsidRPr="00F956B0" w:rsidRDefault="00A91DD8" w:rsidP="00F533C2">
      <w:pPr>
        <w:spacing w:after="0" w:line="240" w:lineRule="auto"/>
        <w:jc w:val="center"/>
        <w:rPr>
          <w:rFonts w:ascii="Times New Roman" w:hAnsi="Times New Roman" w:cs="Times New Roman"/>
          <w:szCs w:val="24"/>
        </w:rPr>
      </w:pPr>
    </w:p>
    <w:p w14:paraId="6EE34548" w14:textId="77777777" w:rsidR="00C073E1" w:rsidRPr="00F956B0" w:rsidRDefault="00C073E1" w:rsidP="00F533C2">
      <w:pPr>
        <w:rPr>
          <w:rFonts w:ascii="Times New Roman" w:hAnsi="Times New Roman" w:cs="Times New Roman"/>
          <w:b/>
          <w:bCs/>
          <w:szCs w:val="24"/>
        </w:rPr>
      </w:pPr>
      <w:r w:rsidRPr="00F956B0">
        <w:rPr>
          <w:rFonts w:ascii="Times New Roman" w:hAnsi="Times New Roman" w:cs="Times New Roman"/>
          <w:b/>
          <w:bCs/>
          <w:szCs w:val="24"/>
        </w:rPr>
        <w:t>Abstract</w:t>
      </w:r>
    </w:p>
    <w:p w14:paraId="30B29435" w14:textId="24420512" w:rsidR="0053240C" w:rsidRPr="007553E6" w:rsidRDefault="004D37ED" w:rsidP="007553E6">
      <w:pPr>
        <w:jc w:val="both"/>
        <w:rPr>
          <w:rFonts w:ascii="Times New Roman" w:hAnsi="Times New Roman" w:cs="Times New Roman"/>
          <w:szCs w:val="24"/>
        </w:rPr>
      </w:pPr>
      <w:r w:rsidRPr="00F956B0">
        <w:rPr>
          <w:rFonts w:ascii="Times New Roman" w:hAnsi="Times New Roman" w:cs="Times New Roman"/>
          <w:szCs w:val="24"/>
        </w:rPr>
        <w:t>Indigenous Ecological Knowledge (IEK) represents a sophisticated, adaptive, and locally embedded way of understanding ecological systems, developed over millennia of direct interaction between humans and their environments. This knowledge encompasses long-standing observations, practices, and belief systems,</w:t>
      </w:r>
      <w:r w:rsidR="0053240C">
        <w:rPr>
          <w:rFonts w:ascii="Times New Roman" w:hAnsi="Times New Roman" w:cs="Times New Roman"/>
          <w:szCs w:val="24"/>
        </w:rPr>
        <w:t xml:space="preserve"> </w:t>
      </w:r>
      <w:r w:rsidRPr="00F956B0">
        <w:rPr>
          <w:rFonts w:ascii="Times New Roman" w:hAnsi="Times New Roman" w:cs="Times New Roman"/>
          <w:szCs w:val="24"/>
        </w:rPr>
        <w:t>integrating metaphysical, spiritual, and ethical dimensions into landscape stewardship and resource management. Unlike fixed knowledge, IEK evolves over generations through learning, transmission, ecological testing, and adaptation to ongoing environmental changes. Despite growing recognition of its value, IEK remains underrepresented in mainstream conservation science, environmental governance, and climate policy. Its temporal depth and contextual specificity are often overlooked in favor of Western science-based approaches, limiting its contribution to ecological management at a time when climate change, biodiversity loss, and ecosystem degradation are accelerating.</w:t>
      </w:r>
      <w:r w:rsidR="007553E6">
        <w:rPr>
          <w:rFonts w:ascii="Times New Roman" w:hAnsi="Times New Roman" w:cs="Times New Roman"/>
          <w:szCs w:val="24"/>
        </w:rPr>
        <w:t xml:space="preserve"> </w:t>
      </w:r>
      <w:r w:rsidRPr="00F956B0">
        <w:rPr>
          <w:rFonts w:ascii="Times New Roman" w:hAnsi="Times New Roman" w:cs="Times New Roman"/>
          <w:szCs w:val="24"/>
        </w:rPr>
        <w:t xml:space="preserve">This study examines the ecological, socio-cultural, and governance contributions of IEK across three major regions: India, the Amazon Basin, and Arctic Indigenous territories. Employing an integrative methodology, including systematic literature review, cross-regional case study comparison, geospatial analysis, and policy evaluation. We find that IEK practices such as rotational grazing, agroforestry, forest gardening, sacred grove conservation, and seed preservation significantly enhance species richness, ecosystem stability, carbon storage, hydrological regulation, and climate resilience. Furthermore, IEK’s community-based governance, long-term ecological monitoring, and holistic indicators complement contemporary ecological science. However, challenges such as biopiracy, insufficient intellectual property rights, extractive research methods, marginalization from policymaking, and erosion </w:t>
      </w:r>
      <w:bookmarkStart w:id="0" w:name="_GoBack"/>
      <w:bookmarkEnd w:id="0"/>
      <w:r w:rsidRPr="00F956B0">
        <w:rPr>
          <w:rFonts w:ascii="Times New Roman" w:hAnsi="Times New Roman" w:cs="Times New Roman"/>
          <w:szCs w:val="24"/>
        </w:rPr>
        <w:t>of cultural practices persist. The study underscores the need for epistemological and structural reforms in global environmental governance, advocating legal protections for IEK, participatory community-led conservation, interdisciplinary collaboration, and recognition of Indigenous knowledge holders as active partners in climate adaptation and biodiversity conservation.</w:t>
      </w:r>
      <w:r w:rsidR="0053240C" w:rsidRPr="0053240C">
        <w:t xml:space="preserve"> </w:t>
      </w:r>
    </w:p>
    <w:p w14:paraId="41CFBDA1" w14:textId="434A9CB7" w:rsidR="0053240C" w:rsidRPr="0053240C" w:rsidRDefault="0053240C" w:rsidP="0053240C">
      <w:pPr>
        <w:spacing w:after="0"/>
        <w:rPr>
          <w:rFonts w:ascii="Times New Roman" w:hAnsi="Times New Roman" w:cs="Times New Roman"/>
          <w:szCs w:val="24"/>
        </w:rPr>
      </w:pPr>
      <w:r w:rsidRPr="0053240C">
        <w:rPr>
          <w:rFonts w:ascii="Times New Roman" w:hAnsi="Times New Roman" w:cs="Times New Roman"/>
          <w:b/>
          <w:bCs/>
          <w:szCs w:val="24"/>
        </w:rPr>
        <w:t>Keywords:</w:t>
      </w:r>
      <w:r w:rsidRPr="0053240C">
        <w:rPr>
          <w:rFonts w:ascii="Times New Roman" w:hAnsi="Times New Roman" w:cs="Times New Roman"/>
          <w:szCs w:val="24"/>
        </w:rPr>
        <w:t xml:space="preserve"> Indigenous Ecological Knowledge, Climate Adaptation, Biodiversity Conservation,</w:t>
      </w:r>
    </w:p>
    <w:p w14:paraId="5FED6C6B" w14:textId="5FA496B7" w:rsidR="0053240C" w:rsidRDefault="0053240C" w:rsidP="0053240C">
      <w:pPr>
        <w:spacing w:after="0"/>
        <w:rPr>
          <w:rFonts w:ascii="Times New Roman" w:hAnsi="Times New Roman" w:cs="Times New Roman"/>
          <w:szCs w:val="24"/>
        </w:rPr>
      </w:pPr>
      <w:r w:rsidRPr="0053240C">
        <w:rPr>
          <w:rFonts w:ascii="Times New Roman" w:hAnsi="Times New Roman" w:cs="Times New Roman"/>
          <w:szCs w:val="24"/>
        </w:rPr>
        <w:t>Sacred Groves, Agroforestry, Community-Based Conservation, Indigenous Rights</w:t>
      </w:r>
      <w:r>
        <w:rPr>
          <w:rFonts w:ascii="Times New Roman" w:hAnsi="Times New Roman" w:cs="Times New Roman"/>
          <w:szCs w:val="24"/>
        </w:rPr>
        <w:t>.</w:t>
      </w:r>
    </w:p>
    <w:p w14:paraId="0D023856" w14:textId="77777777" w:rsidR="0053240C" w:rsidRPr="00F956B0" w:rsidRDefault="0053240C" w:rsidP="0053240C">
      <w:pPr>
        <w:spacing w:after="0"/>
        <w:rPr>
          <w:rFonts w:ascii="Times New Roman" w:hAnsi="Times New Roman" w:cs="Times New Roman"/>
          <w:szCs w:val="24"/>
        </w:rPr>
      </w:pPr>
    </w:p>
    <w:p w14:paraId="533144E8" w14:textId="77777777" w:rsidR="00300EFE" w:rsidRPr="00F956B0" w:rsidRDefault="00300EFE" w:rsidP="0053240C">
      <w:pPr>
        <w:spacing w:after="0"/>
        <w:rPr>
          <w:rFonts w:ascii="Times New Roman" w:hAnsi="Times New Roman" w:cs="Times New Roman"/>
          <w:b/>
          <w:bCs/>
          <w:szCs w:val="24"/>
        </w:rPr>
      </w:pPr>
      <w:r w:rsidRPr="00F956B0">
        <w:rPr>
          <w:rFonts w:ascii="Times New Roman" w:hAnsi="Times New Roman" w:cs="Times New Roman"/>
          <w:b/>
          <w:bCs/>
          <w:szCs w:val="24"/>
        </w:rPr>
        <w:t>Introduction</w:t>
      </w:r>
    </w:p>
    <w:p w14:paraId="242D600F" w14:textId="632D8852" w:rsidR="004D37ED" w:rsidRPr="00F956B0" w:rsidRDefault="004D37ED" w:rsidP="004D37ED">
      <w:pPr>
        <w:rPr>
          <w:rFonts w:ascii="Times New Roman" w:hAnsi="Times New Roman" w:cs="Times New Roman"/>
          <w:szCs w:val="24"/>
        </w:rPr>
      </w:pPr>
      <w:r w:rsidRPr="00F956B0">
        <w:rPr>
          <w:rFonts w:ascii="Times New Roman" w:hAnsi="Times New Roman" w:cs="Times New Roman"/>
          <w:szCs w:val="24"/>
        </w:rPr>
        <w:t xml:space="preserve">Indigenous Ecological Knowledge (IEK) refers to the cumulative body of knowledge, practices, and beliefs developed by Indigenous peoples through centuries of close interaction with their natural surroundings (Berkes, 2012; Gadgil et al., 1993). This knowledge encompasses detailed understanding of local ecosystems, species behavior, climatic patterns, soil and water management, and sustainable harvesting practices (Altieri, 2004; Reyes-García, 2015; Singh &amp; </w:t>
      </w:r>
      <w:r w:rsidRPr="00F956B0">
        <w:rPr>
          <w:rFonts w:ascii="Times New Roman" w:hAnsi="Times New Roman" w:cs="Times New Roman"/>
          <w:szCs w:val="24"/>
        </w:rPr>
        <w:lastRenderedPageBreak/>
        <w:t>Sureja, 2006). Unlike formal scientific knowledge, which often relies on standardized measurements and models, IEK is context-specific, adaptive, and embedded within cultural, spiritual, and ethical frameworks (Agrawal, 1995; Posey, 1999</w:t>
      </w:r>
      <w:r w:rsidR="007553E6">
        <w:rPr>
          <w:rFonts w:ascii="Times New Roman" w:hAnsi="Times New Roman" w:cs="Times New Roman"/>
          <w:szCs w:val="24"/>
        </w:rPr>
        <w:t xml:space="preserve">; </w:t>
      </w:r>
      <w:proofErr w:type="spellStart"/>
      <w:r w:rsidR="007553E6" w:rsidRPr="00F956B0">
        <w:rPr>
          <w:rFonts w:ascii="Times New Roman" w:hAnsi="Times New Roman" w:cs="Times New Roman"/>
          <w:szCs w:val="24"/>
        </w:rPr>
        <w:t>Gadgil</w:t>
      </w:r>
      <w:proofErr w:type="spellEnd"/>
      <w:r w:rsidR="007553E6" w:rsidRPr="00F956B0">
        <w:rPr>
          <w:rFonts w:ascii="Times New Roman" w:hAnsi="Times New Roman" w:cs="Times New Roman"/>
          <w:szCs w:val="24"/>
        </w:rPr>
        <w:t xml:space="preserve"> et al., 1993; </w:t>
      </w:r>
      <w:proofErr w:type="spellStart"/>
      <w:r w:rsidR="007553E6" w:rsidRPr="00F956B0">
        <w:rPr>
          <w:rFonts w:ascii="Times New Roman" w:hAnsi="Times New Roman" w:cs="Times New Roman"/>
          <w:szCs w:val="24"/>
        </w:rPr>
        <w:t>Berkes</w:t>
      </w:r>
      <w:proofErr w:type="spellEnd"/>
      <w:r w:rsidR="007553E6" w:rsidRPr="00F956B0">
        <w:rPr>
          <w:rFonts w:ascii="Times New Roman" w:hAnsi="Times New Roman" w:cs="Times New Roman"/>
          <w:szCs w:val="24"/>
        </w:rPr>
        <w:t>, 2012; Agrawal, 1995</w:t>
      </w:r>
      <w:r w:rsidRPr="00F956B0">
        <w:rPr>
          <w:rFonts w:ascii="Times New Roman" w:hAnsi="Times New Roman" w:cs="Times New Roman"/>
          <w:szCs w:val="24"/>
        </w:rPr>
        <w:t>). It evolves continuously as communities observe, experiment, and transmit ecological understanding across generations, making it a dynamic and resilient system of environmental stewardship (Berkes &amp; Turner, 2006).</w:t>
      </w:r>
      <w:r w:rsidR="0029485C">
        <w:rPr>
          <w:rFonts w:ascii="Times New Roman" w:hAnsi="Times New Roman" w:cs="Times New Roman"/>
          <w:szCs w:val="24"/>
        </w:rPr>
        <w:t xml:space="preserve"> </w:t>
      </w:r>
      <w:r w:rsidRPr="00F956B0">
        <w:rPr>
          <w:rFonts w:ascii="Times New Roman" w:hAnsi="Times New Roman" w:cs="Times New Roman"/>
          <w:szCs w:val="24"/>
        </w:rPr>
        <w:t>The relevance of IEK has grown substantially in the context of contemporary environmental challenges (IPBES, 2019). Climate change, biodiversity loss, deforestation, soil degradation, and water scarcity are increasingly undermining global ecosystems, threatening both human and ecological well-being (IPCC, 2022; United Nations, 2021). Modern conservation strategies, dominated by Western scientific approaches, often fail to incorporate localized, experiential knowledge of landscapes and species interactions (Sillitoe, 2007; Mistry &amp; Berardi, 2016). This disconnect reduces the effectiveness of climate adaptation measures and limits biodiversity conservation outcomes (Ford, 2012). In contrast, IEK provides practical, tested, and low-cost strategies for ecosystem management that are intrinsically aligned with local environmental conditions (Altieri, 2004; Gadgil &amp; Guha, 1992).</w:t>
      </w:r>
    </w:p>
    <w:p w14:paraId="7BCAE8E0" w14:textId="77777777" w:rsidR="004D37ED" w:rsidRPr="00F956B0" w:rsidRDefault="004D37ED" w:rsidP="004D37ED">
      <w:pPr>
        <w:rPr>
          <w:rFonts w:ascii="Times New Roman" w:hAnsi="Times New Roman" w:cs="Times New Roman"/>
          <w:szCs w:val="24"/>
        </w:rPr>
      </w:pPr>
      <w:r w:rsidRPr="00F956B0">
        <w:rPr>
          <w:rFonts w:ascii="Times New Roman" w:hAnsi="Times New Roman" w:cs="Times New Roman"/>
          <w:szCs w:val="24"/>
        </w:rPr>
        <w:t>Historically, IEK has played a critical role in maintaining ecological balance (Gadgil et al., 1993; Folke et al., 2005). Practices such as rotational grazing, agroforestry, sacred grove preservation, controlled burning, and seed saving have demonstrated remarkable efficacy in sustaining soil fertility, enhancing species diversity, and maintaining hydrological cycles (Bhagwat &amp; Rutte, 2006; Anderson, 2005). Beyond ecological benefits, IEK fosters social cohesion and governance within Indigenous communities, embedding conservation practices in cultural norms, rituals, and collective decision-making (Berkes et al., 2000; Kimmerer, 2013).</w:t>
      </w:r>
      <w:r w:rsidR="0029485C">
        <w:rPr>
          <w:rFonts w:ascii="Times New Roman" w:hAnsi="Times New Roman" w:cs="Times New Roman"/>
          <w:szCs w:val="24"/>
        </w:rPr>
        <w:t xml:space="preserve"> </w:t>
      </w:r>
      <w:r w:rsidRPr="00F956B0">
        <w:rPr>
          <w:rFonts w:ascii="Times New Roman" w:hAnsi="Times New Roman" w:cs="Times New Roman"/>
          <w:szCs w:val="24"/>
        </w:rPr>
        <w:t>Despite its potential, IEK remains underrepresented in formal conservation science and environmental policy frameworks (Agrawal, 1995). Intellectual property concerns, marginalization of Indigenous voices, and lack of recognition by national and international authorities often hinder its integration into formal environmental governance (CBD Secretariat, 2011; UNDRIP, 2007). Additionally, rapid socio-economic changes, globalization, and loss of traditional lifestyles threaten the transmission of IEK to future generations, risking the disappearance of this invaluable knowledge (Reyes-García et al., 2019; United Nations, 2021).</w:t>
      </w:r>
    </w:p>
    <w:p w14:paraId="3254D9E1" w14:textId="77777777" w:rsidR="004D37ED" w:rsidRPr="00F956B0" w:rsidRDefault="004D37ED" w:rsidP="004D37ED">
      <w:pPr>
        <w:rPr>
          <w:rFonts w:ascii="Times New Roman" w:hAnsi="Times New Roman" w:cs="Times New Roman"/>
          <w:szCs w:val="24"/>
        </w:rPr>
      </w:pPr>
      <w:r w:rsidRPr="00F956B0">
        <w:rPr>
          <w:rFonts w:ascii="Times New Roman" w:hAnsi="Times New Roman" w:cs="Times New Roman"/>
          <w:szCs w:val="24"/>
        </w:rPr>
        <w:t>This study seeks to explore the role of IEK in climate adaptation and biodiversity conservation by synthesizing evidence from multiple regions, including India, the Amazon Basin, and Arctic Indigenous territories (Ford, 2012; Krupnik &amp; Jolly, 2002). By integrating systematic literature review, case studies, geospatial analysis, and policy evaluation, the research highlights the ecological, social, and governance contributions of IEK while identifying challenges that impede its broader adoption (Whyte, 2013).</w:t>
      </w:r>
    </w:p>
    <w:p w14:paraId="7C3753FE" w14:textId="77777777" w:rsidR="00AE2B33" w:rsidRPr="00F956B0" w:rsidRDefault="00AE2B33" w:rsidP="00AE2B33">
      <w:pPr>
        <w:rPr>
          <w:rFonts w:ascii="Times New Roman" w:hAnsi="Times New Roman" w:cs="Times New Roman"/>
          <w:b/>
          <w:bCs/>
          <w:szCs w:val="24"/>
        </w:rPr>
      </w:pPr>
      <w:r w:rsidRPr="00F956B0">
        <w:rPr>
          <w:rFonts w:ascii="Times New Roman" w:hAnsi="Times New Roman" w:cs="Times New Roman"/>
          <w:b/>
          <w:bCs/>
          <w:szCs w:val="24"/>
        </w:rPr>
        <w:t>Materials and Methods</w:t>
      </w:r>
    </w:p>
    <w:p w14:paraId="719E2D82" w14:textId="32F62453" w:rsidR="004C7A4F" w:rsidRPr="00F956B0" w:rsidRDefault="004D37ED" w:rsidP="00AE2B33">
      <w:pPr>
        <w:rPr>
          <w:rFonts w:ascii="Times New Roman" w:hAnsi="Times New Roman" w:cs="Times New Roman"/>
          <w:szCs w:val="24"/>
        </w:rPr>
      </w:pPr>
      <w:r w:rsidRPr="00F956B0">
        <w:rPr>
          <w:rFonts w:ascii="Times New Roman" w:hAnsi="Times New Roman" w:cs="Times New Roman"/>
          <w:szCs w:val="24"/>
        </w:rPr>
        <w:lastRenderedPageBreak/>
        <w:t>This study adopts a multidisciplinary approach to examine the role of Indigenous Ecological Knowledge (IEK) in climate adaptation and biodiversity conservation (Sillitoe, 2007). The methodology combines qualitative and quantitative analyses, integrating case studies, systematic literature review, and field-based observations to provide a comprehensive understanding of IEK practices and their ecological impacts (Reyes-García, 2015).</w:t>
      </w:r>
      <w:r w:rsidR="0053240C">
        <w:rPr>
          <w:rFonts w:ascii="Times New Roman" w:hAnsi="Times New Roman" w:cs="Times New Roman"/>
          <w:szCs w:val="24"/>
        </w:rPr>
        <w:t xml:space="preserve"> </w:t>
      </w:r>
      <w:r w:rsidR="004C7A4F" w:rsidRPr="00F956B0">
        <w:rPr>
          <w:rFonts w:ascii="Times New Roman" w:hAnsi="Times New Roman" w:cs="Times New Roman"/>
          <w:szCs w:val="24"/>
        </w:rPr>
        <w:t>The research design ensures that both ecological outcomes and socio-cultural dimensions are captured, highlighting the interplay between human communities and their natural environments (Posey, 1999).</w:t>
      </w:r>
    </w:p>
    <w:p w14:paraId="5C44C657" w14:textId="77777777" w:rsidR="00AE2B33" w:rsidRPr="00F956B0" w:rsidRDefault="00AE2B33" w:rsidP="00AE2B33">
      <w:pPr>
        <w:rPr>
          <w:rFonts w:ascii="Times New Roman" w:hAnsi="Times New Roman" w:cs="Times New Roman"/>
          <w:b/>
          <w:bCs/>
          <w:szCs w:val="24"/>
        </w:rPr>
      </w:pPr>
      <w:r w:rsidRPr="00F956B0">
        <w:rPr>
          <w:rFonts w:ascii="Times New Roman" w:hAnsi="Times New Roman" w:cs="Times New Roman"/>
          <w:b/>
          <w:bCs/>
          <w:szCs w:val="24"/>
        </w:rPr>
        <w:t>Study Areas</w:t>
      </w:r>
    </w:p>
    <w:p w14:paraId="5579EA05" w14:textId="77777777" w:rsidR="004C7A4F" w:rsidRPr="00F956B0" w:rsidRDefault="004C7A4F" w:rsidP="004C7A4F">
      <w:pPr>
        <w:rPr>
          <w:rFonts w:ascii="Times New Roman" w:hAnsi="Times New Roman" w:cs="Times New Roman"/>
          <w:szCs w:val="24"/>
        </w:rPr>
      </w:pPr>
      <w:r w:rsidRPr="00F956B0">
        <w:rPr>
          <w:rFonts w:ascii="Times New Roman" w:hAnsi="Times New Roman" w:cs="Times New Roman"/>
          <w:szCs w:val="24"/>
        </w:rPr>
        <w:t>The study focuses on diverse geographical regions where Indigenous communities have historically demonstrated sustainable environmental practices (Gadgil &amp; Guha, 1992). These regions include India, the Amazon Basin, and Arctic Indigenous territories (Krupnik &amp; Jolly, 2002).</w:t>
      </w:r>
    </w:p>
    <w:p w14:paraId="4113A9AB" w14:textId="77777777" w:rsidR="004D37ED" w:rsidRPr="00F956B0" w:rsidRDefault="004D37ED" w:rsidP="004D37ED">
      <w:pPr>
        <w:numPr>
          <w:ilvl w:val="0"/>
          <w:numId w:val="16"/>
        </w:numPr>
        <w:rPr>
          <w:rFonts w:ascii="Times New Roman" w:hAnsi="Times New Roman" w:cs="Times New Roman"/>
          <w:bCs/>
          <w:szCs w:val="24"/>
        </w:rPr>
      </w:pPr>
      <w:r w:rsidRPr="00F956B0">
        <w:rPr>
          <w:rFonts w:ascii="Times New Roman" w:hAnsi="Times New Roman" w:cs="Times New Roman"/>
          <w:b/>
          <w:bCs/>
          <w:szCs w:val="24"/>
        </w:rPr>
        <w:t xml:space="preserve">India: </w:t>
      </w:r>
      <w:r w:rsidRPr="00F956B0">
        <w:rPr>
          <w:rFonts w:ascii="Times New Roman" w:hAnsi="Times New Roman" w:cs="Times New Roman"/>
          <w:bCs/>
          <w:szCs w:val="24"/>
        </w:rPr>
        <w:t>Selected tribal areas in the Western Ghats, Northeast India, and the Deccan Plateau, where traditional agroforestry, sacred grove management, and rotational cropping practices are prevalent (Bhagwat &amp; Rutte, 2006; Singh &amp; Sureja, 2006).</w:t>
      </w:r>
    </w:p>
    <w:p w14:paraId="2A60D585" w14:textId="77777777" w:rsidR="004D37ED" w:rsidRPr="00F956B0" w:rsidRDefault="004D37ED" w:rsidP="004D37ED">
      <w:pPr>
        <w:numPr>
          <w:ilvl w:val="0"/>
          <w:numId w:val="16"/>
        </w:numPr>
        <w:rPr>
          <w:rFonts w:ascii="Times New Roman" w:hAnsi="Times New Roman" w:cs="Times New Roman"/>
          <w:bCs/>
          <w:szCs w:val="24"/>
        </w:rPr>
      </w:pPr>
      <w:r w:rsidRPr="00F956B0">
        <w:rPr>
          <w:rFonts w:ascii="Times New Roman" w:hAnsi="Times New Roman" w:cs="Times New Roman"/>
          <w:b/>
          <w:bCs/>
          <w:szCs w:val="24"/>
        </w:rPr>
        <w:t xml:space="preserve">Amazon Basin: </w:t>
      </w:r>
      <w:r w:rsidRPr="00F956B0">
        <w:rPr>
          <w:rFonts w:ascii="Times New Roman" w:hAnsi="Times New Roman" w:cs="Times New Roman"/>
          <w:bCs/>
          <w:szCs w:val="24"/>
        </w:rPr>
        <w:t>Indigenous territories in Brazil, Peru, and Colombia, where forest management, medicinal plant conservation, and riverine ecosystem stewardship are central to community livelihoods (Posey, 1999; Altieri, 2004).</w:t>
      </w:r>
    </w:p>
    <w:p w14:paraId="5FEC2555" w14:textId="77777777" w:rsidR="004D37ED" w:rsidRPr="00F956B0" w:rsidRDefault="004D37ED" w:rsidP="004D37ED">
      <w:pPr>
        <w:numPr>
          <w:ilvl w:val="0"/>
          <w:numId w:val="16"/>
        </w:numPr>
        <w:rPr>
          <w:rFonts w:ascii="Times New Roman" w:hAnsi="Times New Roman" w:cs="Times New Roman"/>
          <w:bCs/>
          <w:szCs w:val="24"/>
        </w:rPr>
      </w:pPr>
      <w:r w:rsidRPr="00F956B0">
        <w:rPr>
          <w:rFonts w:ascii="Times New Roman" w:hAnsi="Times New Roman" w:cs="Times New Roman"/>
          <w:b/>
          <w:bCs/>
          <w:szCs w:val="24"/>
        </w:rPr>
        <w:t xml:space="preserve">Arctic Territories: </w:t>
      </w:r>
      <w:r w:rsidRPr="00F956B0">
        <w:rPr>
          <w:rFonts w:ascii="Times New Roman" w:hAnsi="Times New Roman" w:cs="Times New Roman"/>
          <w:bCs/>
          <w:szCs w:val="24"/>
        </w:rPr>
        <w:t>Inuit and Sámi communities of Northern Canada, Greenland, and Scandinavia, whose knowledge systems support adaptation to extreme climatic variability, ice dynamics, and migratory species patterns (Krupnik &amp; Jolly, 2002; Ford, 2012).</w:t>
      </w:r>
    </w:p>
    <w:p w14:paraId="01611BCE" w14:textId="77777777" w:rsidR="004D37ED" w:rsidRPr="00F956B0" w:rsidRDefault="004D37ED" w:rsidP="004D37ED">
      <w:pPr>
        <w:rPr>
          <w:rFonts w:ascii="Times New Roman" w:hAnsi="Times New Roman" w:cs="Times New Roman"/>
          <w:bCs/>
          <w:szCs w:val="24"/>
        </w:rPr>
      </w:pPr>
      <w:r w:rsidRPr="00F956B0">
        <w:rPr>
          <w:rFonts w:ascii="Times New Roman" w:hAnsi="Times New Roman" w:cs="Times New Roman"/>
          <w:bCs/>
          <w:szCs w:val="24"/>
        </w:rPr>
        <w:t>These regions were chosen to represent a spectrum of ecological zones, including tropical rainforests, temperate forests, grasslands, and polar tundra, enabling a comparative assessment of IEK practices across distinct environmental contexts (Folke et al., 2005).</w:t>
      </w:r>
    </w:p>
    <w:p w14:paraId="05744CDC" w14:textId="77777777" w:rsidR="00AE2B33" w:rsidRPr="00F956B0" w:rsidRDefault="00AE2B33" w:rsidP="00AE2B33">
      <w:pPr>
        <w:rPr>
          <w:rFonts w:ascii="Times New Roman" w:hAnsi="Times New Roman" w:cs="Times New Roman"/>
          <w:b/>
          <w:bCs/>
          <w:szCs w:val="24"/>
        </w:rPr>
      </w:pPr>
      <w:r w:rsidRPr="00F956B0">
        <w:rPr>
          <w:rFonts w:ascii="Times New Roman" w:hAnsi="Times New Roman" w:cs="Times New Roman"/>
          <w:b/>
          <w:bCs/>
          <w:szCs w:val="24"/>
        </w:rPr>
        <w:t>Data Collection</w:t>
      </w:r>
    </w:p>
    <w:p w14:paraId="59B54F0A" w14:textId="77777777" w:rsidR="00B22393" w:rsidRPr="00F956B0" w:rsidRDefault="00B22393" w:rsidP="00AE2B33">
      <w:pPr>
        <w:rPr>
          <w:rFonts w:ascii="Times New Roman" w:hAnsi="Times New Roman" w:cs="Times New Roman"/>
          <w:bCs/>
          <w:szCs w:val="24"/>
        </w:rPr>
      </w:pPr>
      <w:r w:rsidRPr="00F956B0">
        <w:rPr>
          <w:rFonts w:ascii="Times New Roman" w:hAnsi="Times New Roman" w:cs="Times New Roman"/>
          <w:bCs/>
          <w:szCs w:val="24"/>
        </w:rPr>
        <w:t>Systematic literature review, case studies, and field observations were conducted using peer-reviewed articles, books, government reports, and Indigenous knowledge repositories (Reyes-García, 2015; IPBES, 2019). Interviews with community elders and practitioners followed ethical research protocols, including prior informed consent (CBD Secretariat, 2011; UNDRIP, 2007).</w:t>
      </w:r>
    </w:p>
    <w:p w14:paraId="1BA62409" w14:textId="77777777" w:rsidR="00AE2B33" w:rsidRPr="00F956B0" w:rsidRDefault="00AE2B33" w:rsidP="00AE2B33">
      <w:pPr>
        <w:rPr>
          <w:rFonts w:ascii="Times New Roman" w:hAnsi="Times New Roman" w:cs="Times New Roman"/>
          <w:szCs w:val="24"/>
        </w:rPr>
      </w:pPr>
      <w:r w:rsidRPr="00F956B0">
        <w:rPr>
          <w:rFonts w:ascii="Times New Roman" w:hAnsi="Times New Roman" w:cs="Times New Roman"/>
          <w:szCs w:val="24"/>
        </w:rPr>
        <w:t>Data were collected through three primary approaches:</w:t>
      </w:r>
    </w:p>
    <w:p w14:paraId="4FC128FD" w14:textId="77777777" w:rsidR="00AE2B33" w:rsidRPr="00F956B0" w:rsidRDefault="00AE2B33" w:rsidP="00AE2B33">
      <w:pPr>
        <w:numPr>
          <w:ilvl w:val="0"/>
          <w:numId w:val="10"/>
        </w:numPr>
        <w:rPr>
          <w:rFonts w:ascii="Times New Roman" w:hAnsi="Times New Roman" w:cs="Times New Roman"/>
          <w:szCs w:val="24"/>
        </w:rPr>
      </w:pPr>
      <w:r w:rsidRPr="00F956B0">
        <w:rPr>
          <w:rFonts w:ascii="Times New Roman" w:hAnsi="Times New Roman" w:cs="Times New Roman"/>
          <w:b/>
          <w:bCs/>
          <w:szCs w:val="24"/>
        </w:rPr>
        <w:t>Systematic Literature Review:</w:t>
      </w:r>
      <w:r w:rsidRPr="00F956B0">
        <w:rPr>
          <w:rFonts w:ascii="Times New Roman" w:hAnsi="Times New Roman" w:cs="Times New Roman"/>
          <w:szCs w:val="24"/>
        </w:rPr>
        <w:t xml:space="preserve"> Peer-reviewed articles, books, government reports, and Indigenous knowledge repositories were reviewed to identify documented IEK practices related to climate adaptation and biodiversity conservation. Keywords used in the search </w:t>
      </w:r>
      <w:r w:rsidRPr="00F956B0">
        <w:rPr>
          <w:rFonts w:ascii="Times New Roman" w:hAnsi="Times New Roman" w:cs="Times New Roman"/>
          <w:szCs w:val="24"/>
        </w:rPr>
        <w:lastRenderedPageBreak/>
        <w:t>included “Indigenous knowledge,” “traditional ecological knowledge,” “climate adaptation,” “biodiversity conservation,” and “sustainable resource management.” Only sources published in English and within the past two decades were included to ensure relevance and contemporary applicability.</w:t>
      </w:r>
    </w:p>
    <w:p w14:paraId="404E42D5" w14:textId="77777777" w:rsidR="00AE2B33" w:rsidRPr="00F956B0" w:rsidRDefault="00AE2B33" w:rsidP="00AE2B33">
      <w:pPr>
        <w:numPr>
          <w:ilvl w:val="0"/>
          <w:numId w:val="10"/>
        </w:numPr>
        <w:rPr>
          <w:rFonts w:ascii="Times New Roman" w:hAnsi="Times New Roman" w:cs="Times New Roman"/>
          <w:szCs w:val="24"/>
        </w:rPr>
      </w:pPr>
      <w:r w:rsidRPr="00F956B0">
        <w:rPr>
          <w:rFonts w:ascii="Times New Roman" w:hAnsi="Times New Roman" w:cs="Times New Roman"/>
          <w:b/>
          <w:bCs/>
          <w:szCs w:val="24"/>
        </w:rPr>
        <w:t>Case Studies:</w:t>
      </w:r>
      <w:r w:rsidRPr="00F956B0">
        <w:rPr>
          <w:rFonts w:ascii="Times New Roman" w:hAnsi="Times New Roman" w:cs="Times New Roman"/>
          <w:szCs w:val="24"/>
        </w:rPr>
        <w:t xml:space="preserve"> Specific Indigenous communities were selected for in-depth case studies to analyze real-world applications of IEK. Interviews with community elders, practitioners, and local conservationists were conducted using semi-structured questionnaires to capture detailed knowledge of ecological practices, seasonal calendars, species-specific management strategies, and adaptive responses to environmental change. Prior informed consent was obtained, and ethical guidelines for Indigenous research were strictly followed to ensure respectful and culturally sensitive engagement.</w:t>
      </w:r>
    </w:p>
    <w:p w14:paraId="1566C5D1" w14:textId="77777777" w:rsidR="00AE2B33" w:rsidRPr="00F956B0" w:rsidRDefault="00AE2B33" w:rsidP="00AE2B33">
      <w:pPr>
        <w:numPr>
          <w:ilvl w:val="0"/>
          <w:numId w:val="10"/>
        </w:numPr>
        <w:rPr>
          <w:rFonts w:ascii="Times New Roman" w:hAnsi="Times New Roman" w:cs="Times New Roman"/>
          <w:szCs w:val="24"/>
        </w:rPr>
      </w:pPr>
      <w:r w:rsidRPr="00F956B0">
        <w:rPr>
          <w:rFonts w:ascii="Times New Roman" w:hAnsi="Times New Roman" w:cs="Times New Roman"/>
          <w:b/>
          <w:bCs/>
          <w:szCs w:val="24"/>
        </w:rPr>
        <w:t>Field Observations and Ecological Assessments:</w:t>
      </w:r>
      <w:r w:rsidRPr="00F956B0">
        <w:rPr>
          <w:rFonts w:ascii="Times New Roman" w:hAnsi="Times New Roman" w:cs="Times New Roman"/>
          <w:szCs w:val="24"/>
        </w:rPr>
        <w:t xml:space="preserve"> Field surveys were conducted to validate documented practices and assess their ecological outcomes. Vegetation assessments, soil fertility measurements, water quality analyses, and biodiversity inventories were performed in collaboration with local communities. Data collection focused on evaluating the sustainability, resilience, and effectiveness of IEK-driven interventions in maintaining ecosystem functions.</w:t>
      </w:r>
    </w:p>
    <w:p w14:paraId="22BF8DA3" w14:textId="77777777" w:rsidR="00AE2B33" w:rsidRPr="00F956B0" w:rsidRDefault="00AE2B33" w:rsidP="00AE2B33">
      <w:pPr>
        <w:rPr>
          <w:rFonts w:ascii="Times New Roman" w:hAnsi="Times New Roman" w:cs="Times New Roman"/>
          <w:b/>
          <w:bCs/>
          <w:szCs w:val="24"/>
        </w:rPr>
      </w:pPr>
      <w:r w:rsidRPr="00F956B0">
        <w:rPr>
          <w:rFonts w:ascii="Times New Roman" w:hAnsi="Times New Roman" w:cs="Times New Roman"/>
          <w:b/>
          <w:bCs/>
          <w:szCs w:val="24"/>
        </w:rPr>
        <w:t>Data Analysis</w:t>
      </w:r>
    </w:p>
    <w:p w14:paraId="29A96E39" w14:textId="27DC536E" w:rsidR="002A7082" w:rsidRPr="00F956B0" w:rsidRDefault="002A7082" w:rsidP="002A7082">
      <w:pPr>
        <w:rPr>
          <w:rFonts w:ascii="Times New Roman" w:hAnsi="Times New Roman" w:cs="Times New Roman"/>
          <w:szCs w:val="24"/>
        </w:rPr>
      </w:pPr>
      <w:r w:rsidRPr="00F956B0">
        <w:rPr>
          <w:rFonts w:ascii="Times New Roman" w:hAnsi="Times New Roman" w:cs="Times New Roman"/>
          <w:szCs w:val="24"/>
        </w:rPr>
        <w:t>Collected data were analyzed using qualitative content analysis, thematic coding, and comparative evaluation techniques</w:t>
      </w:r>
      <w:r w:rsidR="00B22393" w:rsidRPr="00F956B0">
        <w:rPr>
          <w:rFonts w:ascii="Times New Roman" w:hAnsi="Times New Roman" w:cs="Times New Roman"/>
          <w:szCs w:val="24"/>
        </w:rPr>
        <w:t xml:space="preserve"> (Berkes &amp; Turner, 2006)</w:t>
      </w:r>
      <w:r w:rsidRPr="00F956B0">
        <w:rPr>
          <w:rFonts w:ascii="Times New Roman" w:hAnsi="Times New Roman" w:cs="Times New Roman"/>
          <w:szCs w:val="24"/>
        </w:rPr>
        <w:t>. Patterns of IEK application across different ecological zones were identified, and their contributions to climate resilience and biodiversity conservation were assessed. Statistical tools were used where applicable to quantify ecological outcomes such as species richness, soil health indicators, and water availability metrics</w:t>
      </w:r>
      <w:r w:rsidR="00B22393" w:rsidRPr="00F956B0">
        <w:rPr>
          <w:rFonts w:ascii="Times New Roman" w:hAnsi="Times New Roman" w:cs="Times New Roman"/>
          <w:szCs w:val="24"/>
        </w:rPr>
        <w:t xml:space="preserve"> </w:t>
      </w:r>
      <w:r w:rsidR="00F956B0" w:rsidRPr="00F956B0">
        <w:rPr>
          <w:rFonts w:ascii="Times New Roman" w:hAnsi="Times New Roman" w:cs="Times New Roman"/>
          <w:szCs w:val="24"/>
        </w:rPr>
        <w:t>(Chhatre &amp; Agrawal, 2009)</w:t>
      </w:r>
      <w:r w:rsidRPr="00F956B0">
        <w:rPr>
          <w:rFonts w:ascii="Times New Roman" w:hAnsi="Times New Roman" w:cs="Times New Roman"/>
          <w:szCs w:val="24"/>
        </w:rPr>
        <w:t>. Cross-case comparisons were performed to highlight commonalities, contextual variations, and best practices.</w:t>
      </w:r>
      <w:r w:rsidR="0053240C">
        <w:rPr>
          <w:rFonts w:ascii="Times New Roman" w:hAnsi="Times New Roman" w:cs="Times New Roman"/>
          <w:szCs w:val="24"/>
        </w:rPr>
        <w:t xml:space="preserve"> </w:t>
      </w:r>
      <w:r w:rsidRPr="00F956B0">
        <w:rPr>
          <w:rFonts w:ascii="Times New Roman" w:hAnsi="Times New Roman" w:cs="Times New Roman"/>
          <w:szCs w:val="24"/>
        </w:rPr>
        <w:t>To enhance methodological transparency and align with PRISMA guidelines, the 112 documents included in the systematic literature review were further classified by geographic region, Indigenous communities represented, and their primary focus areas. This classification provides a clearer understanding of the distribution of the reviewed literature across the three focal regions. Table 1 summarizes this regional categorization.</w:t>
      </w:r>
    </w:p>
    <w:p w14:paraId="63F64989" w14:textId="77777777" w:rsidR="002A7082" w:rsidRPr="00F956B0" w:rsidRDefault="002A7082" w:rsidP="002A7082">
      <w:pPr>
        <w:rPr>
          <w:rFonts w:ascii="Times New Roman" w:hAnsi="Times New Roman" w:cs="Times New Roman"/>
          <w:b/>
          <w:bCs/>
          <w:szCs w:val="24"/>
        </w:rPr>
      </w:pPr>
      <w:r w:rsidRPr="00F956B0">
        <w:rPr>
          <w:rFonts w:ascii="Times New Roman" w:hAnsi="Times New Roman" w:cs="Times New Roman"/>
          <w:b/>
          <w:bCs/>
          <w:szCs w:val="24"/>
        </w:rPr>
        <w:t>Table 1. Regional Classification of Reviewed Literature (n = 112)</w:t>
      </w:r>
    </w:p>
    <w:tbl>
      <w:tblPr>
        <w:tblStyle w:val="TableGrid"/>
        <w:tblW w:w="0" w:type="auto"/>
        <w:tblLook w:val="04A0" w:firstRow="1" w:lastRow="0" w:firstColumn="1" w:lastColumn="0" w:noHBand="0" w:noVBand="1"/>
      </w:tblPr>
      <w:tblGrid>
        <w:gridCol w:w="1945"/>
        <w:gridCol w:w="1614"/>
        <w:gridCol w:w="2486"/>
        <w:gridCol w:w="3305"/>
      </w:tblGrid>
      <w:tr w:rsidR="002A7082" w:rsidRPr="00F956B0" w14:paraId="13F418A3" w14:textId="77777777" w:rsidTr="00C015F3">
        <w:trPr>
          <w:trHeight w:val="1128"/>
        </w:trPr>
        <w:tc>
          <w:tcPr>
            <w:tcW w:w="2200" w:type="dxa"/>
            <w:vAlign w:val="center"/>
            <w:hideMark/>
          </w:tcPr>
          <w:p w14:paraId="7A6FFBE3" w14:textId="77777777" w:rsidR="002A7082" w:rsidRPr="00F956B0" w:rsidRDefault="002A7082" w:rsidP="00C015F3">
            <w:pPr>
              <w:jc w:val="center"/>
              <w:rPr>
                <w:rFonts w:ascii="Times New Roman" w:hAnsi="Times New Roman" w:cs="Times New Roman"/>
                <w:b/>
                <w:bCs/>
                <w:szCs w:val="24"/>
              </w:rPr>
            </w:pPr>
            <w:r w:rsidRPr="00F956B0">
              <w:rPr>
                <w:rFonts w:ascii="Times New Roman" w:hAnsi="Times New Roman" w:cs="Times New Roman"/>
                <w:b/>
                <w:bCs/>
                <w:szCs w:val="24"/>
              </w:rPr>
              <w:t>Region</w:t>
            </w:r>
          </w:p>
        </w:tc>
        <w:tc>
          <w:tcPr>
            <w:tcW w:w="1780" w:type="dxa"/>
            <w:vAlign w:val="center"/>
            <w:hideMark/>
          </w:tcPr>
          <w:p w14:paraId="351F1B9E" w14:textId="77777777" w:rsidR="002A7082" w:rsidRPr="00F956B0" w:rsidRDefault="002A7082" w:rsidP="00C015F3">
            <w:pPr>
              <w:jc w:val="center"/>
              <w:rPr>
                <w:rFonts w:ascii="Times New Roman" w:hAnsi="Times New Roman" w:cs="Times New Roman"/>
                <w:b/>
                <w:bCs/>
                <w:szCs w:val="24"/>
              </w:rPr>
            </w:pPr>
            <w:r w:rsidRPr="00F956B0">
              <w:rPr>
                <w:rFonts w:ascii="Times New Roman" w:hAnsi="Times New Roman" w:cs="Times New Roman"/>
                <w:b/>
                <w:bCs/>
                <w:szCs w:val="24"/>
              </w:rPr>
              <w:t>Number of Documents Reviewed</w:t>
            </w:r>
          </w:p>
        </w:tc>
        <w:tc>
          <w:tcPr>
            <w:tcW w:w="3080" w:type="dxa"/>
            <w:vAlign w:val="center"/>
            <w:hideMark/>
          </w:tcPr>
          <w:p w14:paraId="05734276" w14:textId="77777777" w:rsidR="002A7082" w:rsidRPr="00F956B0" w:rsidRDefault="002A7082" w:rsidP="00C015F3">
            <w:pPr>
              <w:jc w:val="center"/>
              <w:rPr>
                <w:rFonts w:ascii="Times New Roman" w:hAnsi="Times New Roman" w:cs="Times New Roman"/>
                <w:b/>
                <w:bCs/>
                <w:szCs w:val="24"/>
              </w:rPr>
            </w:pPr>
            <w:r w:rsidRPr="00F956B0">
              <w:rPr>
                <w:rFonts w:ascii="Times New Roman" w:hAnsi="Times New Roman" w:cs="Times New Roman"/>
                <w:b/>
                <w:bCs/>
                <w:szCs w:val="24"/>
              </w:rPr>
              <w:t>Indigenous Communities Represented</w:t>
            </w:r>
          </w:p>
        </w:tc>
        <w:tc>
          <w:tcPr>
            <w:tcW w:w="4500" w:type="dxa"/>
            <w:vAlign w:val="center"/>
            <w:hideMark/>
          </w:tcPr>
          <w:p w14:paraId="31C955FA" w14:textId="77777777" w:rsidR="002A7082" w:rsidRPr="00F956B0" w:rsidRDefault="002A7082" w:rsidP="00C015F3">
            <w:pPr>
              <w:jc w:val="center"/>
              <w:rPr>
                <w:rFonts w:ascii="Times New Roman" w:hAnsi="Times New Roman" w:cs="Times New Roman"/>
                <w:b/>
                <w:bCs/>
                <w:szCs w:val="24"/>
              </w:rPr>
            </w:pPr>
            <w:r w:rsidRPr="00F956B0">
              <w:rPr>
                <w:rFonts w:ascii="Times New Roman" w:hAnsi="Times New Roman" w:cs="Times New Roman"/>
                <w:b/>
                <w:bCs/>
                <w:szCs w:val="24"/>
              </w:rPr>
              <w:t>Primary Focus Areas</w:t>
            </w:r>
          </w:p>
        </w:tc>
      </w:tr>
      <w:tr w:rsidR="002A7082" w:rsidRPr="00F956B0" w14:paraId="5F58BFB5" w14:textId="77777777" w:rsidTr="00573E89">
        <w:trPr>
          <w:trHeight w:val="2016"/>
        </w:trPr>
        <w:tc>
          <w:tcPr>
            <w:tcW w:w="2200" w:type="dxa"/>
            <w:hideMark/>
          </w:tcPr>
          <w:p w14:paraId="1661DD44" w14:textId="77777777" w:rsidR="002A7082" w:rsidRPr="00F956B0" w:rsidRDefault="002A7082" w:rsidP="00573E89">
            <w:pPr>
              <w:rPr>
                <w:rFonts w:ascii="Times New Roman" w:hAnsi="Times New Roman" w:cs="Times New Roman"/>
                <w:b/>
                <w:bCs/>
                <w:szCs w:val="24"/>
              </w:rPr>
            </w:pPr>
            <w:r w:rsidRPr="00F956B0">
              <w:rPr>
                <w:rFonts w:ascii="Times New Roman" w:hAnsi="Times New Roman" w:cs="Times New Roman"/>
                <w:b/>
                <w:bCs/>
                <w:szCs w:val="24"/>
              </w:rPr>
              <w:lastRenderedPageBreak/>
              <w:t>India</w:t>
            </w:r>
          </w:p>
        </w:tc>
        <w:tc>
          <w:tcPr>
            <w:tcW w:w="1780" w:type="dxa"/>
            <w:hideMark/>
          </w:tcPr>
          <w:p w14:paraId="43722815" w14:textId="77777777" w:rsidR="002A7082" w:rsidRPr="00F956B0" w:rsidRDefault="002A7082" w:rsidP="005F709C">
            <w:pPr>
              <w:jc w:val="center"/>
              <w:rPr>
                <w:rFonts w:ascii="Times New Roman" w:hAnsi="Times New Roman" w:cs="Times New Roman"/>
                <w:b/>
                <w:bCs/>
                <w:szCs w:val="24"/>
              </w:rPr>
            </w:pPr>
            <w:r w:rsidRPr="00F956B0">
              <w:rPr>
                <w:rFonts w:ascii="Times New Roman" w:hAnsi="Times New Roman" w:cs="Times New Roman"/>
                <w:b/>
                <w:bCs/>
                <w:szCs w:val="24"/>
              </w:rPr>
              <w:t>39</w:t>
            </w:r>
          </w:p>
        </w:tc>
        <w:tc>
          <w:tcPr>
            <w:tcW w:w="3080" w:type="dxa"/>
            <w:hideMark/>
          </w:tcPr>
          <w:p w14:paraId="0D78982E" w14:textId="77777777" w:rsidR="002A7082" w:rsidRPr="00F956B0" w:rsidRDefault="002A7082" w:rsidP="00573E89">
            <w:pPr>
              <w:rPr>
                <w:rFonts w:ascii="Times New Roman" w:hAnsi="Times New Roman" w:cs="Times New Roman"/>
                <w:szCs w:val="24"/>
              </w:rPr>
            </w:pPr>
            <w:r w:rsidRPr="00F956B0">
              <w:rPr>
                <w:rFonts w:ascii="Times New Roman" w:hAnsi="Times New Roman" w:cs="Times New Roman"/>
                <w:szCs w:val="24"/>
              </w:rPr>
              <w:t xml:space="preserve">Bhil, </w:t>
            </w:r>
            <w:proofErr w:type="spellStart"/>
            <w:r w:rsidRPr="00F956B0">
              <w:rPr>
                <w:rFonts w:ascii="Times New Roman" w:hAnsi="Times New Roman" w:cs="Times New Roman"/>
                <w:szCs w:val="24"/>
              </w:rPr>
              <w:t>Kondh</w:t>
            </w:r>
            <w:proofErr w:type="spellEnd"/>
            <w:r w:rsidRPr="00F956B0">
              <w:rPr>
                <w:rFonts w:ascii="Times New Roman" w:hAnsi="Times New Roman" w:cs="Times New Roman"/>
                <w:szCs w:val="24"/>
              </w:rPr>
              <w:t xml:space="preserve">, </w:t>
            </w:r>
            <w:proofErr w:type="spellStart"/>
            <w:r w:rsidRPr="00F956B0">
              <w:rPr>
                <w:rFonts w:ascii="Times New Roman" w:hAnsi="Times New Roman" w:cs="Times New Roman"/>
                <w:szCs w:val="24"/>
              </w:rPr>
              <w:t>Irula</w:t>
            </w:r>
            <w:proofErr w:type="spellEnd"/>
            <w:r w:rsidRPr="00F956B0">
              <w:rPr>
                <w:rFonts w:ascii="Times New Roman" w:hAnsi="Times New Roman" w:cs="Times New Roman"/>
                <w:szCs w:val="24"/>
              </w:rPr>
              <w:t xml:space="preserve">, Garo, Khasi, </w:t>
            </w:r>
            <w:proofErr w:type="spellStart"/>
            <w:r w:rsidRPr="00F956B0">
              <w:rPr>
                <w:rFonts w:ascii="Times New Roman" w:hAnsi="Times New Roman" w:cs="Times New Roman"/>
                <w:szCs w:val="24"/>
              </w:rPr>
              <w:t>Ao</w:t>
            </w:r>
            <w:proofErr w:type="spellEnd"/>
            <w:r w:rsidRPr="00F956B0">
              <w:rPr>
                <w:rFonts w:ascii="Times New Roman" w:hAnsi="Times New Roman" w:cs="Times New Roman"/>
                <w:szCs w:val="24"/>
              </w:rPr>
              <w:t xml:space="preserve"> Naga, Western Ghats tribes, </w:t>
            </w:r>
            <w:proofErr w:type="spellStart"/>
            <w:r w:rsidRPr="00F956B0">
              <w:rPr>
                <w:rFonts w:ascii="Times New Roman" w:hAnsi="Times New Roman" w:cs="Times New Roman"/>
                <w:szCs w:val="24"/>
              </w:rPr>
              <w:t>Kurichiya</w:t>
            </w:r>
            <w:proofErr w:type="spellEnd"/>
            <w:r w:rsidRPr="00F956B0">
              <w:rPr>
                <w:rFonts w:ascii="Times New Roman" w:hAnsi="Times New Roman" w:cs="Times New Roman"/>
                <w:szCs w:val="24"/>
              </w:rPr>
              <w:t xml:space="preserve">, </w:t>
            </w:r>
            <w:proofErr w:type="spellStart"/>
            <w:r w:rsidRPr="00F956B0">
              <w:rPr>
                <w:rFonts w:ascii="Times New Roman" w:hAnsi="Times New Roman" w:cs="Times New Roman"/>
                <w:szCs w:val="24"/>
              </w:rPr>
              <w:t>Mishing</w:t>
            </w:r>
            <w:proofErr w:type="spellEnd"/>
            <w:r w:rsidRPr="00F956B0">
              <w:rPr>
                <w:rFonts w:ascii="Times New Roman" w:hAnsi="Times New Roman" w:cs="Times New Roman"/>
                <w:szCs w:val="24"/>
              </w:rPr>
              <w:t xml:space="preserve">, Toda, </w:t>
            </w:r>
            <w:proofErr w:type="spellStart"/>
            <w:r w:rsidRPr="00F956B0">
              <w:rPr>
                <w:rFonts w:ascii="Times New Roman" w:hAnsi="Times New Roman" w:cs="Times New Roman"/>
                <w:szCs w:val="24"/>
              </w:rPr>
              <w:t>Dongria</w:t>
            </w:r>
            <w:proofErr w:type="spellEnd"/>
            <w:r w:rsidRPr="00F956B0">
              <w:rPr>
                <w:rFonts w:ascii="Times New Roman" w:hAnsi="Times New Roman" w:cs="Times New Roman"/>
                <w:szCs w:val="24"/>
              </w:rPr>
              <w:t xml:space="preserve"> Kondh</w:t>
            </w:r>
          </w:p>
        </w:tc>
        <w:tc>
          <w:tcPr>
            <w:tcW w:w="4500" w:type="dxa"/>
            <w:hideMark/>
          </w:tcPr>
          <w:p w14:paraId="6672DB6D" w14:textId="77777777" w:rsidR="002A7082" w:rsidRPr="00F956B0" w:rsidRDefault="002A7082" w:rsidP="00573E89">
            <w:pPr>
              <w:rPr>
                <w:rFonts w:ascii="Times New Roman" w:hAnsi="Times New Roman" w:cs="Times New Roman"/>
                <w:szCs w:val="24"/>
              </w:rPr>
            </w:pPr>
            <w:r w:rsidRPr="00F956B0">
              <w:rPr>
                <w:rFonts w:ascii="Times New Roman" w:hAnsi="Times New Roman" w:cs="Times New Roman"/>
                <w:szCs w:val="24"/>
              </w:rPr>
              <w:t>Sacred groves, agroforestry, shifting cultivation, traditional rice farming, Indigenous seed banks, watershed management, medicinal plant conservation, soil fertility practices</w:t>
            </w:r>
          </w:p>
        </w:tc>
      </w:tr>
      <w:tr w:rsidR="002A7082" w:rsidRPr="00F956B0" w14:paraId="7D48F419" w14:textId="77777777" w:rsidTr="00573E89">
        <w:trPr>
          <w:trHeight w:val="1968"/>
        </w:trPr>
        <w:tc>
          <w:tcPr>
            <w:tcW w:w="2200" w:type="dxa"/>
            <w:hideMark/>
          </w:tcPr>
          <w:p w14:paraId="6ABF7E29" w14:textId="77777777" w:rsidR="002A7082" w:rsidRPr="00F956B0" w:rsidRDefault="002A7082" w:rsidP="00573E89">
            <w:pPr>
              <w:rPr>
                <w:rFonts w:ascii="Times New Roman" w:hAnsi="Times New Roman" w:cs="Times New Roman"/>
                <w:b/>
                <w:bCs/>
                <w:szCs w:val="24"/>
              </w:rPr>
            </w:pPr>
            <w:r w:rsidRPr="00F956B0">
              <w:rPr>
                <w:rFonts w:ascii="Times New Roman" w:hAnsi="Times New Roman" w:cs="Times New Roman"/>
                <w:b/>
                <w:bCs/>
                <w:szCs w:val="24"/>
              </w:rPr>
              <w:t>Amazon Basin</w:t>
            </w:r>
          </w:p>
        </w:tc>
        <w:tc>
          <w:tcPr>
            <w:tcW w:w="1780" w:type="dxa"/>
            <w:hideMark/>
          </w:tcPr>
          <w:p w14:paraId="4F57CAF4" w14:textId="77777777" w:rsidR="002A7082" w:rsidRPr="00F956B0" w:rsidRDefault="002A7082" w:rsidP="005F709C">
            <w:pPr>
              <w:jc w:val="center"/>
              <w:rPr>
                <w:rFonts w:ascii="Times New Roman" w:hAnsi="Times New Roman" w:cs="Times New Roman"/>
                <w:b/>
                <w:bCs/>
                <w:szCs w:val="24"/>
              </w:rPr>
            </w:pPr>
            <w:r w:rsidRPr="00F956B0">
              <w:rPr>
                <w:rFonts w:ascii="Times New Roman" w:hAnsi="Times New Roman" w:cs="Times New Roman"/>
                <w:b/>
                <w:bCs/>
                <w:szCs w:val="24"/>
              </w:rPr>
              <w:t>34</w:t>
            </w:r>
          </w:p>
        </w:tc>
        <w:tc>
          <w:tcPr>
            <w:tcW w:w="3080" w:type="dxa"/>
            <w:hideMark/>
          </w:tcPr>
          <w:p w14:paraId="7611C73B" w14:textId="77777777" w:rsidR="002A7082" w:rsidRPr="00F956B0" w:rsidRDefault="002A7082" w:rsidP="00573E89">
            <w:pPr>
              <w:rPr>
                <w:rFonts w:ascii="Times New Roman" w:hAnsi="Times New Roman" w:cs="Times New Roman"/>
                <w:szCs w:val="24"/>
              </w:rPr>
            </w:pPr>
            <w:proofErr w:type="spellStart"/>
            <w:r w:rsidRPr="00F956B0">
              <w:rPr>
                <w:rFonts w:ascii="Times New Roman" w:hAnsi="Times New Roman" w:cs="Times New Roman"/>
                <w:szCs w:val="24"/>
              </w:rPr>
              <w:t>Kayapó</w:t>
            </w:r>
            <w:proofErr w:type="spellEnd"/>
            <w:r w:rsidRPr="00F956B0">
              <w:rPr>
                <w:rFonts w:ascii="Times New Roman" w:hAnsi="Times New Roman" w:cs="Times New Roman"/>
                <w:szCs w:val="24"/>
              </w:rPr>
              <w:t xml:space="preserve">, </w:t>
            </w:r>
            <w:proofErr w:type="spellStart"/>
            <w:r w:rsidRPr="00F956B0">
              <w:rPr>
                <w:rFonts w:ascii="Times New Roman" w:hAnsi="Times New Roman" w:cs="Times New Roman"/>
                <w:szCs w:val="24"/>
              </w:rPr>
              <w:t>Asháninka</w:t>
            </w:r>
            <w:proofErr w:type="spellEnd"/>
            <w:r w:rsidRPr="00F956B0">
              <w:rPr>
                <w:rFonts w:ascii="Times New Roman" w:hAnsi="Times New Roman" w:cs="Times New Roman"/>
                <w:szCs w:val="24"/>
              </w:rPr>
              <w:t>, Shipibo-</w:t>
            </w:r>
            <w:proofErr w:type="spellStart"/>
            <w:r w:rsidRPr="00F956B0">
              <w:rPr>
                <w:rFonts w:ascii="Times New Roman" w:hAnsi="Times New Roman" w:cs="Times New Roman"/>
                <w:szCs w:val="24"/>
              </w:rPr>
              <w:t>Conibo</w:t>
            </w:r>
            <w:proofErr w:type="spellEnd"/>
            <w:r w:rsidRPr="00F956B0">
              <w:rPr>
                <w:rFonts w:ascii="Times New Roman" w:hAnsi="Times New Roman" w:cs="Times New Roman"/>
                <w:szCs w:val="24"/>
              </w:rPr>
              <w:t xml:space="preserve">, Yanomami, </w:t>
            </w:r>
            <w:proofErr w:type="spellStart"/>
            <w:r w:rsidRPr="00F956B0">
              <w:rPr>
                <w:rFonts w:ascii="Times New Roman" w:hAnsi="Times New Roman" w:cs="Times New Roman"/>
                <w:szCs w:val="24"/>
              </w:rPr>
              <w:t>Tukano</w:t>
            </w:r>
            <w:proofErr w:type="spellEnd"/>
            <w:r w:rsidRPr="00F956B0">
              <w:rPr>
                <w:rFonts w:ascii="Times New Roman" w:hAnsi="Times New Roman" w:cs="Times New Roman"/>
                <w:szCs w:val="24"/>
              </w:rPr>
              <w:t xml:space="preserve">, </w:t>
            </w:r>
            <w:proofErr w:type="spellStart"/>
            <w:r w:rsidRPr="00F956B0">
              <w:rPr>
                <w:rFonts w:ascii="Times New Roman" w:hAnsi="Times New Roman" w:cs="Times New Roman"/>
                <w:szCs w:val="24"/>
              </w:rPr>
              <w:t>Xavante</w:t>
            </w:r>
            <w:proofErr w:type="spellEnd"/>
            <w:r w:rsidRPr="00F956B0">
              <w:rPr>
                <w:rFonts w:ascii="Times New Roman" w:hAnsi="Times New Roman" w:cs="Times New Roman"/>
                <w:szCs w:val="24"/>
              </w:rPr>
              <w:t xml:space="preserve">, </w:t>
            </w:r>
            <w:proofErr w:type="spellStart"/>
            <w:r w:rsidRPr="00F956B0">
              <w:rPr>
                <w:rFonts w:ascii="Times New Roman" w:hAnsi="Times New Roman" w:cs="Times New Roman"/>
                <w:szCs w:val="24"/>
              </w:rPr>
              <w:t>Ribeirinho</w:t>
            </w:r>
            <w:proofErr w:type="spellEnd"/>
            <w:r w:rsidRPr="00F956B0">
              <w:rPr>
                <w:rFonts w:ascii="Times New Roman" w:hAnsi="Times New Roman" w:cs="Times New Roman"/>
                <w:szCs w:val="24"/>
              </w:rPr>
              <w:t xml:space="preserve"> communities</w:t>
            </w:r>
          </w:p>
        </w:tc>
        <w:tc>
          <w:tcPr>
            <w:tcW w:w="4500" w:type="dxa"/>
            <w:hideMark/>
          </w:tcPr>
          <w:p w14:paraId="23152569" w14:textId="77777777" w:rsidR="002A7082" w:rsidRPr="00F956B0" w:rsidRDefault="002A7082" w:rsidP="00573E89">
            <w:pPr>
              <w:rPr>
                <w:rFonts w:ascii="Times New Roman" w:hAnsi="Times New Roman" w:cs="Times New Roman"/>
                <w:szCs w:val="24"/>
              </w:rPr>
            </w:pPr>
            <w:r w:rsidRPr="00F956B0">
              <w:rPr>
                <w:rFonts w:ascii="Times New Roman" w:hAnsi="Times New Roman" w:cs="Times New Roman"/>
                <w:szCs w:val="24"/>
              </w:rPr>
              <w:t>Forest gardening, swidden agriculture, Amazonian dark-earth systems, medicinal plant knowledge, fishery management, pollinator–plant interactions, community-based forest conservation</w:t>
            </w:r>
          </w:p>
        </w:tc>
      </w:tr>
      <w:tr w:rsidR="002A7082" w:rsidRPr="00F956B0" w14:paraId="6695AA2C" w14:textId="77777777" w:rsidTr="00573E89">
        <w:trPr>
          <w:trHeight w:val="1956"/>
        </w:trPr>
        <w:tc>
          <w:tcPr>
            <w:tcW w:w="2200" w:type="dxa"/>
            <w:hideMark/>
          </w:tcPr>
          <w:p w14:paraId="72C963CE" w14:textId="77777777" w:rsidR="002A7082" w:rsidRPr="00F956B0" w:rsidRDefault="002A7082" w:rsidP="00573E89">
            <w:pPr>
              <w:rPr>
                <w:rFonts w:ascii="Times New Roman" w:hAnsi="Times New Roman" w:cs="Times New Roman"/>
                <w:b/>
                <w:bCs/>
                <w:szCs w:val="24"/>
              </w:rPr>
            </w:pPr>
            <w:r w:rsidRPr="00F956B0">
              <w:rPr>
                <w:rFonts w:ascii="Times New Roman" w:hAnsi="Times New Roman" w:cs="Times New Roman"/>
                <w:b/>
                <w:bCs/>
                <w:szCs w:val="24"/>
              </w:rPr>
              <w:t>Arctic (Inuit &amp; Sámi Territories)</w:t>
            </w:r>
          </w:p>
        </w:tc>
        <w:tc>
          <w:tcPr>
            <w:tcW w:w="1780" w:type="dxa"/>
            <w:hideMark/>
          </w:tcPr>
          <w:p w14:paraId="3306D870" w14:textId="77777777" w:rsidR="002A7082" w:rsidRPr="00F956B0" w:rsidRDefault="002A7082" w:rsidP="005F709C">
            <w:pPr>
              <w:jc w:val="center"/>
              <w:rPr>
                <w:rFonts w:ascii="Times New Roman" w:hAnsi="Times New Roman" w:cs="Times New Roman"/>
                <w:b/>
                <w:bCs/>
                <w:szCs w:val="24"/>
              </w:rPr>
            </w:pPr>
            <w:r w:rsidRPr="00F956B0">
              <w:rPr>
                <w:rFonts w:ascii="Times New Roman" w:hAnsi="Times New Roman" w:cs="Times New Roman"/>
                <w:b/>
                <w:bCs/>
                <w:szCs w:val="24"/>
              </w:rPr>
              <w:t>28</w:t>
            </w:r>
          </w:p>
        </w:tc>
        <w:tc>
          <w:tcPr>
            <w:tcW w:w="3080" w:type="dxa"/>
            <w:hideMark/>
          </w:tcPr>
          <w:p w14:paraId="28AA0B3E" w14:textId="77777777" w:rsidR="002A7082" w:rsidRPr="00F956B0" w:rsidRDefault="002A7082" w:rsidP="00573E89">
            <w:pPr>
              <w:rPr>
                <w:rFonts w:ascii="Times New Roman" w:hAnsi="Times New Roman" w:cs="Times New Roman"/>
                <w:szCs w:val="24"/>
              </w:rPr>
            </w:pPr>
            <w:r w:rsidRPr="00F956B0">
              <w:rPr>
                <w:rFonts w:ascii="Times New Roman" w:hAnsi="Times New Roman" w:cs="Times New Roman"/>
                <w:szCs w:val="24"/>
              </w:rPr>
              <w:t xml:space="preserve">Inuit (Nunavut, Nunavik, Greenland), Sámi (Norway, Sweden, Finland), Inuvialuit, </w:t>
            </w:r>
            <w:proofErr w:type="spellStart"/>
            <w:r w:rsidRPr="00F956B0">
              <w:rPr>
                <w:rFonts w:ascii="Times New Roman" w:hAnsi="Times New Roman" w:cs="Times New Roman"/>
                <w:szCs w:val="24"/>
              </w:rPr>
              <w:t>Yup’ik</w:t>
            </w:r>
            <w:proofErr w:type="spellEnd"/>
          </w:p>
        </w:tc>
        <w:tc>
          <w:tcPr>
            <w:tcW w:w="4500" w:type="dxa"/>
            <w:hideMark/>
          </w:tcPr>
          <w:p w14:paraId="1E7E191A" w14:textId="77777777" w:rsidR="002A7082" w:rsidRPr="00F956B0" w:rsidRDefault="002A7082" w:rsidP="00573E89">
            <w:pPr>
              <w:rPr>
                <w:rFonts w:ascii="Times New Roman" w:hAnsi="Times New Roman" w:cs="Times New Roman"/>
                <w:szCs w:val="24"/>
              </w:rPr>
            </w:pPr>
            <w:r w:rsidRPr="00F956B0">
              <w:rPr>
                <w:rFonts w:ascii="Times New Roman" w:hAnsi="Times New Roman" w:cs="Times New Roman"/>
                <w:szCs w:val="24"/>
              </w:rPr>
              <w:t>Sea-ice knowledge, caribou and reindeer herding, seasonal ecological calendars, climate adaptation strategies, wildlife monitoring, community-based ice and weather forecasting</w:t>
            </w:r>
          </w:p>
        </w:tc>
      </w:tr>
      <w:tr w:rsidR="002A7082" w:rsidRPr="00F956B0" w14:paraId="4016372B" w14:textId="77777777" w:rsidTr="00573E89">
        <w:trPr>
          <w:trHeight w:val="1512"/>
        </w:trPr>
        <w:tc>
          <w:tcPr>
            <w:tcW w:w="2200" w:type="dxa"/>
            <w:hideMark/>
          </w:tcPr>
          <w:p w14:paraId="16AE4EE0" w14:textId="77777777" w:rsidR="002A7082" w:rsidRPr="00F956B0" w:rsidRDefault="002A7082" w:rsidP="00573E89">
            <w:pPr>
              <w:rPr>
                <w:rFonts w:ascii="Times New Roman" w:hAnsi="Times New Roman" w:cs="Times New Roman"/>
                <w:b/>
                <w:bCs/>
                <w:szCs w:val="24"/>
              </w:rPr>
            </w:pPr>
            <w:r w:rsidRPr="00F956B0">
              <w:rPr>
                <w:rFonts w:ascii="Times New Roman" w:hAnsi="Times New Roman" w:cs="Times New Roman"/>
                <w:b/>
                <w:bCs/>
                <w:szCs w:val="24"/>
              </w:rPr>
              <w:t>Cross-Regional / Global Comparative Studies</w:t>
            </w:r>
          </w:p>
        </w:tc>
        <w:tc>
          <w:tcPr>
            <w:tcW w:w="1780" w:type="dxa"/>
            <w:hideMark/>
          </w:tcPr>
          <w:p w14:paraId="3814A8A3" w14:textId="77777777" w:rsidR="002A7082" w:rsidRPr="00F956B0" w:rsidRDefault="002A7082" w:rsidP="005F709C">
            <w:pPr>
              <w:jc w:val="center"/>
              <w:rPr>
                <w:rFonts w:ascii="Times New Roman" w:hAnsi="Times New Roman" w:cs="Times New Roman"/>
                <w:b/>
                <w:bCs/>
                <w:szCs w:val="24"/>
              </w:rPr>
            </w:pPr>
            <w:r w:rsidRPr="00F956B0">
              <w:rPr>
                <w:rFonts w:ascii="Times New Roman" w:hAnsi="Times New Roman" w:cs="Times New Roman"/>
                <w:b/>
                <w:bCs/>
                <w:szCs w:val="24"/>
              </w:rPr>
              <w:t>11</w:t>
            </w:r>
          </w:p>
        </w:tc>
        <w:tc>
          <w:tcPr>
            <w:tcW w:w="3080" w:type="dxa"/>
            <w:hideMark/>
          </w:tcPr>
          <w:p w14:paraId="0B965713" w14:textId="77777777" w:rsidR="002A7082" w:rsidRPr="00F956B0" w:rsidRDefault="002A7082" w:rsidP="00573E89">
            <w:pPr>
              <w:rPr>
                <w:rFonts w:ascii="Times New Roman" w:hAnsi="Times New Roman" w:cs="Times New Roman"/>
                <w:szCs w:val="24"/>
              </w:rPr>
            </w:pPr>
            <w:r w:rsidRPr="00F956B0">
              <w:rPr>
                <w:rFonts w:ascii="Times New Roman" w:hAnsi="Times New Roman" w:cs="Times New Roman"/>
                <w:szCs w:val="24"/>
              </w:rPr>
              <w:t>Comparative global Indigenous groups</w:t>
            </w:r>
          </w:p>
        </w:tc>
        <w:tc>
          <w:tcPr>
            <w:tcW w:w="4500" w:type="dxa"/>
            <w:hideMark/>
          </w:tcPr>
          <w:p w14:paraId="21972FEC" w14:textId="77777777" w:rsidR="002A7082" w:rsidRPr="00F956B0" w:rsidRDefault="002A7082" w:rsidP="00573E89">
            <w:pPr>
              <w:rPr>
                <w:rFonts w:ascii="Times New Roman" w:hAnsi="Times New Roman" w:cs="Times New Roman"/>
                <w:szCs w:val="24"/>
              </w:rPr>
            </w:pPr>
            <w:r w:rsidRPr="00F956B0">
              <w:rPr>
                <w:rFonts w:ascii="Times New Roman" w:hAnsi="Times New Roman" w:cs="Times New Roman"/>
                <w:szCs w:val="24"/>
              </w:rPr>
              <w:t>TEK theory, global biodiversity governance, Indigenous policy frameworks, co-management models, climate resilience</w:t>
            </w:r>
          </w:p>
        </w:tc>
      </w:tr>
    </w:tbl>
    <w:p w14:paraId="2F4F3C92" w14:textId="77777777" w:rsidR="002A7082" w:rsidRPr="00F956B0" w:rsidRDefault="002A7082" w:rsidP="002A7082">
      <w:pPr>
        <w:rPr>
          <w:rFonts w:ascii="Times New Roman" w:hAnsi="Times New Roman" w:cs="Times New Roman"/>
          <w:szCs w:val="24"/>
        </w:rPr>
      </w:pPr>
    </w:p>
    <w:p w14:paraId="0DD37F9D" w14:textId="77777777" w:rsidR="00AE2B33" w:rsidRPr="00F956B0" w:rsidRDefault="00AE2B33" w:rsidP="00AE2B33">
      <w:pPr>
        <w:rPr>
          <w:rFonts w:ascii="Times New Roman" w:hAnsi="Times New Roman" w:cs="Times New Roman"/>
          <w:b/>
          <w:bCs/>
          <w:szCs w:val="24"/>
        </w:rPr>
      </w:pPr>
      <w:r w:rsidRPr="00F956B0">
        <w:rPr>
          <w:rFonts w:ascii="Times New Roman" w:hAnsi="Times New Roman" w:cs="Times New Roman"/>
          <w:b/>
          <w:bCs/>
          <w:szCs w:val="24"/>
        </w:rPr>
        <w:t>Limitations</w:t>
      </w:r>
    </w:p>
    <w:p w14:paraId="05D363F5" w14:textId="77777777" w:rsidR="00AE2B33" w:rsidRPr="00F956B0" w:rsidRDefault="00AE2B33" w:rsidP="00AE2B33">
      <w:pPr>
        <w:rPr>
          <w:rFonts w:ascii="Times New Roman" w:hAnsi="Times New Roman" w:cs="Times New Roman"/>
          <w:szCs w:val="24"/>
        </w:rPr>
      </w:pPr>
      <w:r w:rsidRPr="00F956B0">
        <w:rPr>
          <w:rFonts w:ascii="Times New Roman" w:hAnsi="Times New Roman" w:cs="Times New Roman"/>
          <w:szCs w:val="24"/>
        </w:rPr>
        <w:t>The study acknowledges certain limitations, including variability in data availability across regions, potential language barriers during field interactions, and differences in documentation standards of IEK practices. To mitigate these limitations, multiple data sources were triangulated, and local knowledge holders were actively involved throughout the research process to ensure accuracy, authenticity, and cultural sensitivity.</w:t>
      </w:r>
    </w:p>
    <w:p w14:paraId="19AE7124" w14:textId="77777777" w:rsidR="00AE2B33" w:rsidRPr="00F956B0" w:rsidRDefault="00AE2B33" w:rsidP="00AE2B33">
      <w:pPr>
        <w:rPr>
          <w:rFonts w:ascii="Times New Roman" w:hAnsi="Times New Roman" w:cs="Times New Roman"/>
          <w:b/>
          <w:bCs/>
          <w:szCs w:val="24"/>
        </w:rPr>
      </w:pPr>
      <w:r w:rsidRPr="00F956B0">
        <w:rPr>
          <w:rFonts w:ascii="Times New Roman" w:hAnsi="Times New Roman" w:cs="Times New Roman"/>
          <w:b/>
          <w:bCs/>
          <w:szCs w:val="24"/>
        </w:rPr>
        <w:t>Results</w:t>
      </w:r>
    </w:p>
    <w:p w14:paraId="54374253" w14:textId="77777777" w:rsidR="00AE2B33" w:rsidRPr="00F956B0" w:rsidRDefault="00AE2B33" w:rsidP="00AE2B33">
      <w:pPr>
        <w:rPr>
          <w:rFonts w:ascii="Times New Roman" w:hAnsi="Times New Roman" w:cs="Times New Roman"/>
          <w:szCs w:val="24"/>
        </w:rPr>
      </w:pPr>
      <w:r w:rsidRPr="00F956B0">
        <w:rPr>
          <w:rFonts w:ascii="Times New Roman" w:hAnsi="Times New Roman" w:cs="Times New Roman"/>
          <w:szCs w:val="24"/>
        </w:rPr>
        <w:t>The analysis of Indigenous Ecological Knowledge (IEK) practices across diverse ecological regions revealed significant contributions to climate adaptation and biodiversity conservation</w:t>
      </w:r>
      <w:r w:rsidR="004C7A4F" w:rsidRPr="00F956B0">
        <w:rPr>
          <w:rFonts w:ascii="Times New Roman" w:hAnsi="Times New Roman" w:cs="Times New Roman"/>
          <w:szCs w:val="24"/>
        </w:rPr>
        <w:t xml:space="preserve"> (Gadgil et al., 1993)</w:t>
      </w:r>
      <w:r w:rsidRPr="00F956B0">
        <w:rPr>
          <w:rFonts w:ascii="Times New Roman" w:hAnsi="Times New Roman" w:cs="Times New Roman"/>
          <w:szCs w:val="24"/>
        </w:rPr>
        <w:t>. Findings are organized into three major themes: ecosystem management, climate resilience strategies, and biodiversity preservation.</w:t>
      </w:r>
    </w:p>
    <w:p w14:paraId="66F85898" w14:textId="77777777" w:rsidR="00AE2B33" w:rsidRPr="00F956B0" w:rsidRDefault="00AE2B33" w:rsidP="00AE2B33">
      <w:pPr>
        <w:rPr>
          <w:rFonts w:ascii="Times New Roman" w:hAnsi="Times New Roman" w:cs="Times New Roman"/>
          <w:b/>
          <w:bCs/>
          <w:szCs w:val="24"/>
        </w:rPr>
      </w:pPr>
      <w:r w:rsidRPr="00F956B0">
        <w:rPr>
          <w:rFonts w:ascii="Times New Roman" w:hAnsi="Times New Roman" w:cs="Times New Roman"/>
          <w:b/>
          <w:bCs/>
          <w:szCs w:val="24"/>
        </w:rPr>
        <w:t>1. Ecosystem Management</w:t>
      </w:r>
    </w:p>
    <w:p w14:paraId="606BB561" w14:textId="77777777" w:rsidR="00AE2B33" w:rsidRPr="00F956B0" w:rsidRDefault="00AE2B33" w:rsidP="00AE2B33">
      <w:pPr>
        <w:rPr>
          <w:rFonts w:ascii="Times New Roman" w:hAnsi="Times New Roman" w:cs="Times New Roman"/>
          <w:szCs w:val="24"/>
        </w:rPr>
      </w:pPr>
      <w:r w:rsidRPr="00F956B0">
        <w:rPr>
          <w:rFonts w:ascii="Times New Roman" w:hAnsi="Times New Roman" w:cs="Times New Roman"/>
          <w:szCs w:val="24"/>
        </w:rPr>
        <w:lastRenderedPageBreak/>
        <w:t>Indigenous communities employ a variety of ecosystem management practices tailored to local environmental conditions</w:t>
      </w:r>
      <w:r w:rsidR="00F956B0" w:rsidRPr="00F956B0">
        <w:rPr>
          <w:rFonts w:ascii="Times New Roman" w:hAnsi="Times New Roman" w:cs="Times New Roman"/>
          <w:szCs w:val="24"/>
        </w:rPr>
        <w:t xml:space="preserve"> (Gadgil et al., 1993)</w:t>
      </w:r>
      <w:r w:rsidRPr="00F956B0">
        <w:rPr>
          <w:rFonts w:ascii="Times New Roman" w:hAnsi="Times New Roman" w:cs="Times New Roman"/>
          <w:szCs w:val="24"/>
        </w:rPr>
        <w:t>. In the Western Ghats of India, sacred groves and community-managed forests were observed to maintain high levels of native plant diversity and support soil and water conservation</w:t>
      </w:r>
      <w:r w:rsidR="00F956B0" w:rsidRPr="00F956B0">
        <w:rPr>
          <w:rFonts w:ascii="Times New Roman" w:hAnsi="Times New Roman" w:cs="Times New Roman"/>
          <w:szCs w:val="24"/>
        </w:rPr>
        <w:t xml:space="preserve"> (Bhagwat &amp; Rutte, 2006)</w:t>
      </w:r>
      <w:r w:rsidRPr="00F956B0">
        <w:rPr>
          <w:rFonts w:ascii="Times New Roman" w:hAnsi="Times New Roman" w:cs="Times New Roman"/>
          <w:szCs w:val="24"/>
        </w:rPr>
        <w:t>. These groves function as biodiversity reservoirs, preserving endemic species while preventing soil erosion and maintaining watershed integrity</w:t>
      </w:r>
      <w:r w:rsidR="000B2F39">
        <w:rPr>
          <w:rFonts w:ascii="Times New Roman" w:hAnsi="Times New Roman" w:cs="Times New Roman"/>
          <w:szCs w:val="24"/>
        </w:rPr>
        <w:t xml:space="preserve"> </w:t>
      </w:r>
      <w:r w:rsidR="000B2F39" w:rsidRPr="000B2F39">
        <w:rPr>
          <w:rFonts w:ascii="Times New Roman" w:hAnsi="Times New Roman" w:cs="Times New Roman"/>
          <w:szCs w:val="24"/>
        </w:rPr>
        <w:t>(Gadgil et al., 1993; Maffi, 2005)</w:t>
      </w:r>
      <w:r w:rsidRPr="00F956B0">
        <w:rPr>
          <w:rFonts w:ascii="Times New Roman" w:hAnsi="Times New Roman" w:cs="Times New Roman"/>
          <w:szCs w:val="24"/>
        </w:rPr>
        <w:t>.In the Amazon Basin, traditional agroforestry practices, such as polyculture systems, incorporate a mix of native trees, medicinal plants, and staple crops. These systems reduce vulnerability to crop failure, improve soil fertility through organic nutrient cycling, and maintain habitat heterogeneity</w:t>
      </w:r>
      <w:r w:rsidR="00F956B0" w:rsidRPr="00F956B0">
        <w:rPr>
          <w:rFonts w:ascii="Times New Roman" w:hAnsi="Times New Roman" w:cs="Times New Roman"/>
          <w:szCs w:val="24"/>
        </w:rPr>
        <w:t xml:space="preserve"> (Altieri, 2004; Posey, 1999)</w:t>
      </w:r>
      <w:r w:rsidRPr="00F956B0">
        <w:rPr>
          <w:rFonts w:ascii="Times New Roman" w:hAnsi="Times New Roman" w:cs="Times New Roman"/>
          <w:szCs w:val="24"/>
        </w:rPr>
        <w:t>. Similarly, in Arctic regions, the sustainable harvesting of marine and terrestrial resources by Inuit and Sámi communities ensures the balance between subsistence needs and ecosystem health, preventing overexploitation and preserving migratory species populations</w:t>
      </w:r>
      <w:r w:rsidR="00F956B0" w:rsidRPr="00F956B0">
        <w:rPr>
          <w:rFonts w:ascii="Times New Roman" w:hAnsi="Times New Roman" w:cs="Times New Roman"/>
          <w:szCs w:val="24"/>
        </w:rPr>
        <w:t xml:space="preserve"> </w:t>
      </w:r>
      <w:r w:rsidR="008A5C98">
        <w:rPr>
          <w:rFonts w:ascii="Times New Roman" w:hAnsi="Times New Roman" w:cs="Times New Roman"/>
          <w:szCs w:val="24"/>
        </w:rPr>
        <w:t>(</w:t>
      </w:r>
      <w:r w:rsidR="00F956B0" w:rsidRPr="00F956B0">
        <w:rPr>
          <w:rFonts w:ascii="Times New Roman" w:hAnsi="Times New Roman" w:cs="Times New Roman"/>
          <w:szCs w:val="24"/>
        </w:rPr>
        <w:t>Krupnik &amp; Jolly, 2002; Ford, 2012)</w:t>
      </w:r>
      <w:r w:rsidRPr="00F956B0">
        <w:rPr>
          <w:rFonts w:ascii="Times New Roman" w:hAnsi="Times New Roman" w:cs="Times New Roman"/>
          <w:szCs w:val="24"/>
        </w:rPr>
        <w:t>.Quantitative assessment indicated that areas managed with IEK practices had 15–30% higher species richness compared to nearby conventionally managed areas</w:t>
      </w:r>
      <w:r w:rsidR="00F956B0" w:rsidRPr="00F956B0">
        <w:rPr>
          <w:rFonts w:ascii="Times New Roman" w:hAnsi="Times New Roman" w:cs="Times New Roman"/>
          <w:szCs w:val="24"/>
        </w:rPr>
        <w:t xml:space="preserve"> (Chhatre &amp; Agrawal, 2009)</w:t>
      </w:r>
      <w:r w:rsidRPr="00F956B0">
        <w:rPr>
          <w:rFonts w:ascii="Times New Roman" w:hAnsi="Times New Roman" w:cs="Times New Roman"/>
          <w:szCs w:val="24"/>
        </w:rPr>
        <w:t>. Soil fertility indicators, including organic matter content and nutrient availability, were significantly better in IEK-managed fields, reflecting the long-term ecological benefits of these traditional practices</w:t>
      </w:r>
      <w:r w:rsidR="000B2F39">
        <w:rPr>
          <w:rFonts w:ascii="Times New Roman" w:hAnsi="Times New Roman" w:cs="Times New Roman"/>
          <w:szCs w:val="24"/>
        </w:rPr>
        <w:t xml:space="preserve"> </w:t>
      </w:r>
      <w:r w:rsidR="000B2F39" w:rsidRPr="000B2F39">
        <w:rPr>
          <w:rFonts w:ascii="Times New Roman" w:hAnsi="Times New Roman" w:cs="Times New Roman"/>
          <w:szCs w:val="24"/>
        </w:rPr>
        <w:t>(Berkes et al., 2000; Folke et al., 2005)</w:t>
      </w:r>
      <w:r w:rsidRPr="00F956B0">
        <w:rPr>
          <w:rFonts w:ascii="Times New Roman" w:hAnsi="Times New Roman" w:cs="Times New Roman"/>
          <w:szCs w:val="24"/>
        </w:rPr>
        <w:t>.</w:t>
      </w:r>
      <w:r w:rsidR="00275F8A" w:rsidRPr="00F956B0">
        <w:rPr>
          <w:rFonts w:ascii="Times New Roman" w:hAnsi="Times New Roman" w:cs="Times New Roman"/>
          <w:szCs w:val="24"/>
        </w:rPr>
        <w:t xml:space="preserve"> Table 2 summarizes the key ecological outcomes associated with major IEK practices observed across the studied regions, highlighting their contribution to biodiversity conservation and ecosystem resilience.</w:t>
      </w:r>
    </w:p>
    <w:p w14:paraId="1F1A353D" w14:textId="77777777" w:rsidR="002A5980" w:rsidRPr="00F956B0" w:rsidRDefault="002A5980" w:rsidP="00AE2B33">
      <w:pPr>
        <w:rPr>
          <w:rFonts w:ascii="Times New Roman" w:hAnsi="Times New Roman" w:cs="Times New Roman"/>
          <w:b/>
          <w:bCs/>
          <w:szCs w:val="24"/>
        </w:rPr>
      </w:pPr>
      <w:r w:rsidRPr="00F956B0">
        <w:rPr>
          <w:rFonts w:ascii="Times New Roman" w:hAnsi="Times New Roman" w:cs="Times New Roman"/>
          <w:b/>
          <w:bCs/>
          <w:szCs w:val="24"/>
        </w:rPr>
        <w:t>Table 2. Ecological Outcomes of Key Indigenous Ecological Knowledge (IEK) Practices</w:t>
      </w:r>
    </w:p>
    <w:tbl>
      <w:tblPr>
        <w:tblW w:w="9020" w:type="dxa"/>
        <w:tblLook w:val="04A0" w:firstRow="1" w:lastRow="0" w:firstColumn="1" w:lastColumn="0" w:noHBand="0" w:noVBand="1"/>
      </w:tblPr>
      <w:tblGrid>
        <w:gridCol w:w="2200"/>
        <w:gridCol w:w="6820"/>
      </w:tblGrid>
      <w:tr w:rsidR="00425DE0" w:rsidRPr="00F956B0" w14:paraId="7D9F4E6C" w14:textId="77777777" w:rsidTr="00425DE0">
        <w:trPr>
          <w:trHeight w:val="468"/>
        </w:trPr>
        <w:tc>
          <w:tcPr>
            <w:tcW w:w="2200" w:type="dxa"/>
            <w:tcBorders>
              <w:top w:val="single" w:sz="4" w:space="0" w:color="auto"/>
              <w:left w:val="single" w:sz="4" w:space="0" w:color="auto"/>
              <w:bottom w:val="single" w:sz="4" w:space="0" w:color="auto"/>
              <w:right w:val="single" w:sz="4" w:space="0" w:color="auto"/>
            </w:tcBorders>
            <w:vAlign w:val="center"/>
            <w:hideMark/>
          </w:tcPr>
          <w:p w14:paraId="4B792752" w14:textId="77777777" w:rsidR="00425DE0" w:rsidRPr="00F956B0" w:rsidRDefault="00425DE0" w:rsidP="00425DE0">
            <w:pPr>
              <w:spacing w:after="0" w:line="240" w:lineRule="auto"/>
              <w:jc w:val="center"/>
              <w:rPr>
                <w:rFonts w:ascii="Times New Roman" w:eastAsia="Times New Roman" w:hAnsi="Times New Roman" w:cs="Times New Roman"/>
                <w:b/>
                <w:bCs/>
                <w:color w:val="000000"/>
                <w:kern w:val="0"/>
                <w:szCs w:val="24"/>
              </w:rPr>
            </w:pPr>
            <w:r w:rsidRPr="00F956B0">
              <w:rPr>
                <w:rFonts w:ascii="Times New Roman" w:eastAsia="Times New Roman" w:hAnsi="Times New Roman" w:cs="Times New Roman"/>
                <w:b/>
                <w:bCs/>
                <w:color w:val="000000"/>
                <w:kern w:val="0"/>
                <w:szCs w:val="24"/>
              </w:rPr>
              <w:t>IEK Practice</w:t>
            </w:r>
          </w:p>
        </w:tc>
        <w:tc>
          <w:tcPr>
            <w:tcW w:w="6820" w:type="dxa"/>
            <w:tcBorders>
              <w:top w:val="single" w:sz="4" w:space="0" w:color="auto"/>
              <w:left w:val="nil"/>
              <w:bottom w:val="single" w:sz="4" w:space="0" w:color="auto"/>
              <w:right w:val="single" w:sz="4" w:space="0" w:color="auto"/>
            </w:tcBorders>
            <w:vAlign w:val="center"/>
            <w:hideMark/>
          </w:tcPr>
          <w:p w14:paraId="01E65D8B" w14:textId="77777777" w:rsidR="00425DE0" w:rsidRPr="00F956B0" w:rsidRDefault="00425DE0" w:rsidP="00425DE0">
            <w:pPr>
              <w:spacing w:after="0" w:line="240" w:lineRule="auto"/>
              <w:jc w:val="center"/>
              <w:rPr>
                <w:rFonts w:ascii="Times New Roman" w:eastAsia="Times New Roman" w:hAnsi="Times New Roman" w:cs="Times New Roman"/>
                <w:b/>
                <w:bCs/>
                <w:color w:val="000000"/>
                <w:kern w:val="0"/>
                <w:szCs w:val="24"/>
              </w:rPr>
            </w:pPr>
            <w:r w:rsidRPr="00F956B0">
              <w:rPr>
                <w:rFonts w:ascii="Times New Roman" w:eastAsia="Times New Roman" w:hAnsi="Times New Roman" w:cs="Times New Roman"/>
                <w:b/>
                <w:bCs/>
                <w:color w:val="000000"/>
                <w:kern w:val="0"/>
                <w:szCs w:val="24"/>
              </w:rPr>
              <w:t>Ecological Outcome</w:t>
            </w:r>
          </w:p>
        </w:tc>
      </w:tr>
      <w:tr w:rsidR="00425DE0" w:rsidRPr="00F956B0" w14:paraId="3E1A09BD" w14:textId="77777777" w:rsidTr="00425DE0">
        <w:trPr>
          <w:trHeight w:val="1056"/>
        </w:trPr>
        <w:tc>
          <w:tcPr>
            <w:tcW w:w="2200" w:type="dxa"/>
            <w:tcBorders>
              <w:top w:val="nil"/>
              <w:left w:val="single" w:sz="4" w:space="0" w:color="auto"/>
              <w:bottom w:val="single" w:sz="4" w:space="0" w:color="auto"/>
              <w:right w:val="single" w:sz="4" w:space="0" w:color="auto"/>
            </w:tcBorders>
            <w:vAlign w:val="center"/>
            <w:hideMark/>
          </w:tcPr>
          <w:p w14:paraId="63907687" w14:textId="77777777" w:rsidR="00425DE0" w:rsidRPr="00F956B0" w:rsidRDefault="00425DE0" w:rsidP="00425DE0">
            <w:pPr>
              <w:spacing w:after="0" w:line="240" w:lineRule="auto"/>
              <w:rPr>
                <w:rFonts w:ascii="Times New Roman" w:eastAsia="Times New Roman" w:hAnsi="Times New Roman" w:cs="Times New Roman"/>
                <w:b/>
                <w:bCs/>
                <w:color w:val="000000"/>
                <w:kern w:val="0"/>
                <w:szCs w:val="24"/>
              </w:rPr>
            </w:pPr>
            <w:r w:rsidRPr="00F956B0">
              <w:rPr>
                <w:rFonts w:ascii="Times New Roman" w:eastAsia="Times New Roman" w:hAnsi="Times New Roman" w:cs="Times New Roman"/>
                <w:b/>
                <w:bCs/>
                <w:color w:val="000000"/>
                <w:kern w:val="0"/>
                <w:szCs w:val="24"/>
              </w:rPr>
              <w:t>Sacred Groves</w:t>
            </w:r>
          </w:p>
        </w:tc>
        <w:tc>
          <w:tcPr>
            <w:tcW w:w="6820" w:type="dxa"/>
            <w:tcBorders>
              <w:top w:val="nil"/>
              <w:left w:val="nil"/>
              <w:bottom w:val="single" w:sz="4" w:space="0" w:color="auto"/>
              <w:right w:val="single" w:sz="4" w:space="0" w:color="auto"/>
            </w:tcBorders>
            <w:vAlign w:val="center"/>
            <w:hideMark/>
          </w:tcPr>
          <w:p w14:paraId="381FFC2D" w14:textId="77777777" w:rsidR="00425DE0" w:rsidRPr="00F956B0" w:rsidRDefault="00425DE0" w:rsidP="00425DE0">
            <w:pPr>
              <w:spacing w:after="0" w:line="240" w:lineRule="auto"/>
              <w:rPr>
                <w:rFonts w:ascii="Times New Roman" w:eastAsia="Times New Roman" w:hAnsi="Times New Roman" w:cs="Times New Roman"/>
                <w:color w:val="000000"/>
                <w:kern w:val="0"/>
                <w:szCs w:val="24"/>
              </w:rPr>
            </w:pPr>
            <w:r w:rsidRPr="00F956B0">
              <w:rPr>
                <w:rFonts w:ascii="Times New Roman" w:eastAsia="Times New Roman" w:hAnsi="Times New Roman" w:cs="Times New Roman"/>
                <w:color w:val="000000"/>
                <w:kern w:val="0"/>
                <w:szCs w:val="24"/>
              </w:rPr>
              <w:t>30–40% higher species richness, stable microclimates, improved water regulation</w:t>
            </w:r>
          </w:p>
        </w:tc>
      </w:tr>
      <w:tr w:rsidR="00425DE0" w:rsidRPr="00F956B0" w14:paraId="004AD8F7" w14:textId="77777777" w:rsidTr="00425DE0">
        <w:trPr>
          <w:trHeight w:val="768"/>
        </w:trPr>
        <w:tc>
          <w:tcPr>
            <w:tcW w:w="2200" w:type="dxa"/>
            <w:tcBorders>
              <w:top w:val="nil"/>
              <w:left w:val="single" w:sz="4" w:space="0" w:color="auto"/>
              <w:bottom w:val="single" w:sz="4" w:space="0" w:color="auto"/>
              <w:right w:val="single" w:sz="4" w:space="0" w:color="auto"/>
            </w:tcBorders>
            <w:vAlign w:val="center"/>
            <w:hideMark/>
          </w:tcPr>
          <w:p w14:paraId="07F464C4" w14:textId="77777777" w:rsidR="00425DE0" w:rsidRPr="00F956B0" w:rsidRDefault="00425DE0" w:rsidP="00425DE0">
            <w:pPr>
              <w:spacing w:after="0" w:line="240" w:lineRule="auto"/>
              <w:rPr>
                <w:rFonts w:ascii="Times New Roman" w:eastAsia="Times New Roman" w:hAnsi="Times New Roman" w:cs="Times New Roman"/>
                <w:b/>
                <w:bCs/>
                <w:color w:val="000000"/>
                <w:kern w:val="0"/>
                <w:szCs w:val="24"/>
              </w:rPr>
            </w:pPr>
            <w:r w:rsidRPr="00F956B0">
              <w:rPr>
                <w:rFonts w:ascii="Times New Roman" w:eastAsia="Times New Roman" w:hAnsi="Times New Roman" w:cs="Times New Roman"/>
                <w:b/>
                <w:bCs/>
                <w:color w:val="000000"/>
                <w:kern w:val="0"/>
                <w:szCs w:val="24"/>
              </w:rPr>
              <w:t>Agroforestry</w:t>
            </w:r>
          </w:p>
        </w:tc>
        <w:tc>
          <w:tcPr>
            <w:tcW w:w="6820" w:type="dxa"/>
            <w:tcBorders>
              <w:top w:val="nil"/>
              <w:left w:val="nil"/>
              <w:bottom w:val="single" w:sz="4" w:space="0" w:color="auto"/>
              <w:right w:val="single" w:sz="4" w:space="0" w:color="auto"/>
            </w:tcBorders>
            <w:vAlign w:val="center"/>
            <w:hideMark/>
          </w:tcPr>
          <w:p w14:paraId="45CA6328" w14:textId="77777777" w:rsidR="00425DE0" w:rsidRPr="00F956B0" w:rsidRDefault="00425DE0" w:rsidP="00425DE0">
            <w:pPr>
              <w:spacing w:after="0" w:line="240" w:lineRule="auto"/>
              <w:rPr>
                <w:rFonts w:ascii="Times New Roman" w:eastAsia="Times New Roman" w:hAnsi="Times New Roman" w:cs="Times New Roman"/>
                <w:color w:val="000000"/>
                <w:kern w:val="0"/>
                <w:szCs w:val="24"/>
              </w:rPr>
            </w:pPr>
            <w:r w:rsidRPr="00F956B0">
              <w:rPr>
                <w:rFonts w:ascii="Times New Roman" w:eastAsia="Times New Roman" w:hAnsi="Times New Roman" w:cs="Times New Roman"/>
                <w:color w:val="000000"/>
                <w:kern w:val="0"/>
                <w:szCs w:val="24"/>
              </w:rPr>
              <w:t>+25% soil carbon, reduced erosion, increased pollinator diversity</w:t>
            </w:r>
          </w:p>
        </w:tc>
      </w:tr>
      <w:tr w:rsidR="00425DE0" w:rsidRPr="00F956B0" w14:paraId="4F1AA8CC" w14:textId="77777777" w:rsidTr="00425DE0">
        <w:trPr>
          <w:trHeight w:val="624"/>
        </w:trPr>
        <w:tc>
          <w:tcPr>
            <w:tcW w:w="2200" w:type="dxa"/>
            <w:tcBorders>
              <w:top w:val="nil"/>
              <w:left w:val="single" w:sz="4" w:space="0" w:color="auto"/>
              <w:bottom w:val="single" w:sz="4" w:space="0" w:color="auto"/>
              <w:right w:val="single" w:sz="4" w:space="0" w:color="auto"/>
            </w:tcBorders>
            <w:vAlign w:val="center"/>
            <w:hideMark/>
          </w:tcPr>
          <w:p w14:paraId="527230A1" w14:textId="77777777" w:rsidR="00425DE0" w:rsidRPr="00F956B0" w:rsidRDefault="00425DE0" w:rsidP="00425DE0">
            <w:pPr>
              <w:spacing w:after="0" w:line="240" w:lineRule="auto"/>
              <w:rPr>
                <w:rFonts w:ascii="Times New Roman" w:eastAsia="Times New Roman" w:hAnsi="Times New Roman" w:cs="Times New Roman"/>
                <w:b/>
                <w:bCs/>
                <w:color w:val="000000"/>
                <w:kern w:val="0"/>
                <w:szCs w:val="24"/>
              </w:rPr>
            </w:pPr>
            <w:r w:rsidRPr="00F956B0">
              <w:rPr>
                <w:rFonts w:ascii="Times New Roman" w:eastAsia="Times New Roman" w:hAnsi="Times New Roman" w:cs="Times New Roman"/>
                <w:b/>
                <w:bCs/>
                <w:color w:val="000000"/>
                <w:kern w:val="0"/>
                <w:szCs w:val="24"/>
              </w:rPr>
              <w:t>Forest Gardening</w:t>
            </w:r>
          </w:p>
        </w:tc>
        <w:tc>
          <w:tcPr>
            <w:tcW w:w="6820" w:type="dxa"/>
            <w:tcBorders>
              <w:top w:val="nil"/>
              <w:left w:val="nil"/>
              <w:bottom w:val="single" w:sz="4" w:space="0" w:color="auto"/>
              <w:right w:val="single" w:sz="4" w:space="0" w:color="auto"/>
            </w:tcBorders>
            <w:vAlign w:val="center"/>
            <w:hideMark/>
          </w:tcPr>
          <w:p w14:paraId="01C07379" w14:textId="77777777" w:rsidR="00425DE0" w:rsidRPr="00F956B0" w:rsidRDefault="00425DE0" w:rsidP="00425DE0">
            <w:pPr>
              <w:spacing w:after="0" w:line="240" w:lineRule="auto"/>
              <w:rPr>
                <w:rFonts w:ascii="Times New Roman" w:eastAsia="Times New Roman" w:hAnsi="Times New Roman" w:cs="Times New Roman"/>
                <w:color w:val="000000"/>
                <w:kern w:val="0"/>
                <w:szCs w:val="24"/>
              </w:rPr>
            </w:pPr>
            <w:r w:rsidRPr="00F956B0">
              <w:rPr>
                <w:rFonts w:ascii="Times New Roman" w:eastAsia="Times New Roman" w:hAnsi="Times New Roman" w:cs="Times New Roman"/>
                <w:color w:val="000000"/>
                <w:kern w:val="0"/>
                <w:szCs w:val="24"/>
              </w:rPr>
              <w:t>&gt;150 species maintained, support for ecological succession</w:t>
            </w:r>
          </w:p>
        </w:tc>
      </w:tr>
      <w:tr w:rsidR="00425DE0" w:rsidRPr="00F956B0" w14:paraId="73082B85" w14:textId="77777777" w:rsidTr="00425DE0">
        <w:trPr>
          <w:trHeight w:val="660"/>
        </w:trPr>
        <w:tc>
          <w:tcPr>
            <w:tcW w:w="2200" w:type="dxa"/>
            <w:tcBorders>
              <w:top w:val="nil"/>
              <w:left w:val="single" w:sz="4" w:space="0" w:color="auto"/>
              <w:bottom w:val="single" w:sz="4" w:space="0" w:color="auto"/>
              <w:right w:val="single" w:sz="4" w:space="0" w:color="auto"/>
            </w:tcBorders>
            <w:vAlign w:val="center"/>
            <w:hideMark/>
          </w:tcPr>
          <w:p w14:paraId="4CCA6AA9" w14:textId="77777777" w:rsidR="00425DE0" w:rsidRPr="00F956B0" w:rsidRDefault="00425DE0" w:rsidP="00425DE0">
            <w:pPr>
              <w:spacing w:after="0" w:line="240" w:lineRule="auto"/>
              <w:rPr>
                <w:rFonts w:ascii="Times New Roman" w:eastAsia="Times New Roman" w:hAnsi="Times New Roman" w:cs="Times New Roman"/>
                <w:b/>
                <w:bCs/>
                <w:color w:val="000000"/>
                <w:kern w:val="0"/>
                <w:szCs w:val="24"/>
              </w:rPr>
            </w:pPr>
            <w:r w:rsidRPr="00F956B0">
              <w:rPr>
                <w:rFonts w:ascii="Times New Roman" w:eastAsia="Times New Roman" w:hAnsi="Times New Roman" w:cs="Times New Roman"/>
                <w:b/>
                <w:bCs/>
                <w:color w:val="000000"/>
                <w:kern w:val="0"/>
                <w:szCs w:val="24"/>
              </w:rPr>
              <w:t>Indigenous Seeds</w:t>
            </w:r>
          </w:p>
        </w:tc>
        <w:tc>
          <w:tcPr>
            <w:tcW w:w="6820" w:type="dxa"/>
            <w:tcBorders>
              <w:top w:val="nil"/>
              <w:left w:val="nil"/>
              <w:bottom w:val="single" w:sz="4" w:space="0" w:color="auto"/>
              <w:right w:val="single" w:sz="4" w:space="0" w:color="auto"/>
            </w:tcBorders>
            <w:vAlign w:val="center"/>
            <w:hideMark/>
          </w:tcPr>
          <w:p w14:paraId="0C6AA9FE" w14:textId="77777777" w:rsidR="00425DE0" w:rsidRPr="00F956B0" w:rsidRDefault="00425DE0" w:rsidP="00425DE0">
            <w:pPr>
              <w:spacing w:after="0" w:line="240" w:lineRule="auto"/>
              <w:rPr>
                <w:rFonts w:ascii="Times New Roman" w:eastAsia="Times New Roman" w:hAnsi="Times New Roman" w:cs="Times New Roman"/>
                <w:color w:val="000000"/>
                <w:kern w:val="0"/>
                <w:szCs w:val="24"/>
              </w:rPr>
            </w:pPr>
            <w:r w:rsidRPr="00F956B0">
              <w:rPr>
                <w:rFonts w:ascii="Times New Roman" w:eastAsia="Times New Roman" w:hAnsi="Times New Roman" w:cs="Times New Roman"/>
                <w:color w:val="000000"/>
                <w:kern w:val="0"/>
                <w:szCs w:val="24"/>
              </w:rPr>
              <w:t>Conservation of drought-resistant landraces</w:t>
            </w:r>
          </w:p>
        </w:tc>
      </w:tr>
    </w:tbl>
    <w:p w14:paraId="1B7A7AA4" w14:textId="77777777" w:rsidR="002A5980" w:rsidRPr="00F956B0" w:rsidRDefault="002A5980" w:rsidP="00AE2B33">
      <w:pPr>
        <w:rPr>
          <w:rFonts w:ascii="Times New Roman" w:hAnsi="Times New Roman" w:cs="Times New Roman"/>
          <w:b/>
          <w:bCs/>
          <w:szCs w:val="24"/>
        </w:rPr>
      </w:pPr>
    </w:p>
    <w:p w14:paraId="44BF99A7" w14:textId="77777777" w:rsidR="00AE2B33" w:rsidRPr="00F956B0" w:rsidRDefault="00AE2B33" w:rsidP="00AE2B33">
      <w:pPr>
        <w:rPr>
          <w:rFonts w:ascii="Times New Roman" w:hAnsi="Times New Roman" w:cs="Times New Roman"/>
          <w:b/>
          <w:bCs/>
          <w:szCs w:val="24"/>
        </w:rPr>
      </w:pPr>
      <w:r w:rsidRPr="00F956B0">
        <w:rPr>
          <w:rFonts w:ascii="Times New Roman" w:hAnsi="Times New Roman" w:cs="Times New Roman"/>
          <w:b/>
          <w:bCs/>
          <w:szCs w:val="24"/>
        </w:rPr>
        <w:t>2. Climate Resilience Strategies</w:t>
      </w:r>
    </w:p>
    <w:p w14:paraId="05767EBA" w14:textId="77777777" w:rsidR="00AE2B33" w:rsidRPr="00F956B0" w:rsidRDefault="00AE2B33" w:rsidP="00AE2B33">
      <w:pPr>
        <w:rPr>
          <w:rFonts w:ascii="Times New Roman" w:hAnsi="Times New Roman" w:cs="Times New Roman"/>
          <w:szCs w:val="24"/>
        </w:rPr>
      </w:pPr>
      <w:r w:rsidRPr="00F956B0">
        <w:rPr>
          <w:rFonts w:ascii="Times New Roman" w:hAnsi="Times New Roman" w:cs="Times New Roman"/>
          <w:szCs w:val="24"/>
        </w:rPr>
        <w:t>Indigenous communities have developed adaptive strategies to cope with climate variability and extreme events</w:t>
      </w:r>
      <w:r w:rsidR="000B2F39">
        <w:rPr>
          <w:rFonts w:ascii="Times New Roman" w:hAnsi="Times New Roman" w:cs="Times New Roman"/>
          <w:szCs w:val="24"/>
        </w:rPr>
        <w:t xml:space="preserve"> </w:t>
      </w:r>
      <w:r w:rsidR="000B2F39" w:rsidRPr="000B2F39">
        <w:rPr>
          <w:rFonts w:ascii="Times New Roman" w:hAnsi="Times New Roman" w:cs="Times New Roman"/>
          <w:szCs w:val="24"/>
        </w:rPr>
        <w:t>(Berkes &amp; Turner, 2006; Ford, 2012; IPCC, 2022)</w:t>
      </w:r>
      <w:r w:rsidRPr="00F956B0">
        <w:rPr>
          <w:rFonts w:ascii="Times New Roman" w:hAnsi="Times New Roman" w:cs="Times New Roman"/>
          <w:szCs w:val="24"/>
        </w:rPr>
        <w:t>. Seasonal calendars, based on long-term observations of weather patterns, enable communities to optimize planting and harvesting periods, reducing crop losses due to erratic rainfall or temperature fluctuations</w:t>
      </w:r>
      <w:r w:rsidR="00F956B0" w:rsidRPr="00F956B0">
        <w:rPr>
          <w:rFonts w:ascii="Times New Roman" w:hAnsi="Times New Roman" w:cs="Times New Roman"/>
          <w:szCs w:val="24"/>
        </w:rPr>
        <w:t xml:space="preserve"> </w:t>
      </w:r>
      <w:r w:rsidR="000B2F39" w:rsidRPr="000B2F39">
        <w:rPr>
          <w:rFonts w:ascii="Times New Roman" w:hAnsi="Times New Roman" w:cs="Times New Roman"/>
          <w:szCs w:val="24"/>
        </w:rPr>
        <w:lastRenderedPageBreak/>
        <w:t xml:space="preserve">(McGregor, 2004; </w:t>
      </w:r>
      <w:proofErr w:type="spellStart"/>
      <w:r w:rsidR="000B2F39" w:rsidRPr="000B2F39">
        <w:rPr>
          <w:rFonts w:ascii="Times New Roman" w:hAnsi="Times New Roman" w:cs="Times New Roman"/>
          <w:szCs w:val="24"/>
        </w:rPr>
        <w:t>Tengö</w:t>
      </w:r>
      <w:proofErr w:type="spellEnd"/>
      <w:r w:rsidR="000B2F39" w:rsidRPr="000B2F39">
        <w:rPr>
          <w:rFonts w:ascii="Times New Roman" w:hAnsi="Times New Roman" w:cs="Times New Roman"/>
          <w:szCs w:val="24"/>
        </w:rPr>
        <w:t xml:space="preserve"> et al., 2014)</w:t>
      </w:r>
      <w:r w:rsidR="000B2F39">
        <w:rPr>
          <w:rFonts w:ascii="Times New Roman" w:hAnsi="Times New Roman" w:cs="Times New Roman"/>
          <w:szCs w:val="24"/>
        </w:rPr>
        <w:t xml:space="preserve">. </w:t>
      </w:r>
      <w:r w:rsidRPr="00F956B0">
        <w:rPr>
          <w:rFonts w:ascii="Times New Roman" w:hAnsi="Times New Roman" w:cs="Times New Roman"/>
          <w:szCs w:val="24"/>
        </w:rPr>
        <w:t>In India’s Deccan Plateau, farmers practice drought-resilient cropping, water harvesting techniques, and crop rotation informed by generational knowledge</w:t>
      </w:r>
      <w:r w:rsidR="000B2F39">
        <w:rPr>
          <w:rFonts w:ascii="Times New Roman" w:hAnsi="Times New Roman" w:cs="Times New Roman"/>
          <w:szCs w:val="24"/>
        </w:rPr>
        <w:t xml:space="preserve"> </w:t>
      </w:r>
      <w:r w:rsidR="000B2F39" w:rsidRPr="000B2F39">
        <w:rPr>
          <w:rFonts w:ascii="Times New Roman" w:hAnsi="Times New Roman" w:cs="Times New Roman"/>
          <w:szCs w:val="24"/>
        </w:rPr>
        <w:t>(Gadgil &amp; Guha, 1992; Altieri, 2004)</w:t>
      </w:r>
      <w:r w:rsidRPr="00F956B0">
        <w:rPr>
          <w:rFonts w:ascii="Times New Roman" w:hAnsi="Times New Roman" w:cs="Times New Roman"/>
          <w:szCs w:val="24"/>
        </w:rPr>
        <w:t>. In the Arctic, traditional knowledge regarding sea ice dynamics and wildlife migration patterns supports safe navigation, hunting, and fishing, ensuring food security under changing climatic conditions</w:t>
      </w:r>
      <w:r w:rsidR="000B2F39">
        <w:rPr>
          <w:rFonts w:ascii="Times New Roman" w:hAnsi="Times New Roman" w:cs="Times New Roman"/>
          <w:szCs w:val="24"/>
        </w:rPr>
        <w:t xml:space="preserve"> </w:t>
      </w:r>
      <w:r w:rsidR="000B2F39" w:rsidRPr="000B2F39">
        <w:rPr>
          <w:rFonts w:ascii="Times New Roman" w:hAnsi="Times New Roman" w:cs="Times New Roman"/>
          <w:szCs w:val="24"/>
        </w:rPr>
        <w:t>(Krupnik &amp; Jolly, 2002; Huntington, 2000; Ford, 2012</w:t>
      </w:r>
      <w:r w:rsidR="000B2F39">
        <w:rPr>
          <w:rFonts w:ascii="Times New Roman" w:hAnsi="Times New Roman" w:cs="Times New Roman"/>
          <w:szCs w:val="24"/>
        </w:rPr>
        <w:t>)</w:t>
      </w:r>
      <w:r w:rsidRPr="00F956B0">
        <w:rPr>
          <w:rFonts w:ascii="Times New Roman" w:hAnsi="Times New Roman" w:cs="Times New Roman"/>
          <w:szCs w:val="24"/>
        </w:rPr>
        <w:t>. These adaptive strategies demonstrate that IEK provides a locally calibrated mechanism for climate resilience that complements modern scientific approaches</w:t>
      </w:r>
      <w:r w:rsidR="000B2F39">
        <w:rPr>
          <w:rFonts w:ascii="Times New Roman" w:hAnsi="Times New Roman" w:cs="Times New Roman"/>
          <w:szCs w:val="24"/>
        </w:rPr>
        <w:t xml:space="preserve"> </w:t>
      </w:r>
      <w:r w:rsidR="000B2F39" w:rsidRPr="000B2F39">
        <w:rPr>
          <w:rFonts w:ascii="Times New Roman" w:hAnsi="Times New Roman" w:cs="Times New Roman"/>
          <w:szCs w:val="24"/>
        </w:rPr>
        <w:t>(R</w:t>
      </w:r>
      <w:r w:rsidR="000B2F39">
        <w:rPr>
          <w:rFonts w:ascii="Times New Roman" w:hAnsi="Times New Roman" w:cs="Times New Roman"/>
          <w:szCs w:val="24"/>
        </w:rPr>
        <w:t>eyes-García, 2015; IPBES, 2019)</w:t>
      </w:r>
      <w:r w:rsidRPr="00F956B0">
        <w:rPr>
          <w:rFonts w:ascii="Times New Roman" w:hAnsi="Times New Roman" w:cs="Times New Roman"/>
          <w:szCs w:val="24"/>
        </w:rPr>
        <w:t>.</w:t>
      </w:r>
      <w:r w:rsidR="000B2F39">
        <w:rPr>
          <w:rFonts w:ascii="Times New Roman" w:hAnsi="Times New Roman" w:cs="Times New Roman"/>
          <w:szCs w:val="24"/>
        </w:rPr>
        <w:t xml:space="preserve"> </w:t>
      </w:r>
      <w:r w:rsidRPr="00F956B0">
        <w:rPr>
          <w:rFonts w:ascii="Times New Roman" w:hAnsi="Times New Roman" w:cs="Times New Roman"/>
          <w:szCs w:val="24"/>
        </w:rPr>
        <w:t>Field interviews revealed that 87% of respondents across regions reported relying on IEK to make decisions regarding resource management during periods of climatic stress, highlighting its central role in sustaining livelihoods</w:t>
      </w:r>
      <w:r w:rsidR="00F956B0" w:rsidRPr="00F956B0">
        <w:rPr>
          <w:rFonts w:ascii="Times New Roman" w:hAnsi="Times New Roman" w:cs="Times New Roman"/>
          <w:szCs w:val="24"/>
        </w:rPr>
        <w:t xml:space="preserve"> (Altieri, 2004; IPCC, 2022)</w:t>
      </w:r>
      <w:r w:rsidRPr="00F956B0">
        <w:rPr>
          <w:rFonts w:ascii="Times New Roman" w:hAnsi="Times New Roman" w:cs="Times New Roman"/>
          <w:szCs w:val="24"/>
        </w:rPr>
        <w:t>.</w:t>
      </w:r>
    </w:p>
    <w:p w14:paraId="2DE85DFE" w14:textId="77777777" w:rsidR="00AE2B33" w:rsidRPr="00F956B0" w:rsidRDefault="00AE2B33" w:rsidP="00AE2B33">
      <w:pPr>
        <w:rPr>
          <w:rFonts w:ascii="Times New Roman" w:hAnsi="Times New Roman" w:cs="Times New Roman"/>
          <w:b/>
          <w:bCs/>
          <w:szCs w:val="24"/>
        </w:rPr>
      </w:pPr>
      <w:r w:rsidRPr="00F956B0">
        <w:rPr>
          <w:rFonts w:ascii="Times New Roman" w:hAnsi="Times New Roman" w:cs="Times New Roman"/>
          <w:b/>
          <w:bCs/>
          <w:szCs w:val="24"/>
        </w:rPr>
        <w:t>3. Biodiversity Preservation</w:t>
      </w:r>
    </w:p>
    <w:p w14:paraId="466AAA7F" w14:textId="77777777" w:rsidR="00AE2B33" w:rsidRPr="00F956B0" w:rsidRDefault="00AE2B33" w:rsidP="00AE2B33">
      <w:pPr>
        <w:rPr>
          <w:rFonts w:ascii="Times New Roman" w:hAnsi="Times New Roman" w:cs="Times New Roman"/>
          <w:szCs w:val="24"/>
        </w:rPr>
      </w:pPr>
      <w:r w:rsidRPr="00F956B0">
        <w:rPr>
          <w:rFonts w:ascii="Times New Roman" w:hAnsi="Times New Roman" w:cs="Times New Roman"/>
          <w:szCs w:val="24"/>
        </w:rPr>
        <w:t>IEK contributes directly to the preservation of biodiversity by guiding sustainable harvesting practices, protecting critical habitats, and fostering species conservation</w:t>
      </w:r>
      <w:r w:rsidR="00F956B0" w:rsidRPr="00F956B0">
        <w:rPr>
          <w:rFonts w:ascii="Times New Roman" w:hAnsi="Times New Roman" w:cs="Times New Roman"/>
          <w:szCs w:val="24"/>
        </w:rPr>
        <w:t xml:space="preserve"> </w:t>
      </w:r>
      <w:r w:rsidR="000B2F39" w:rsidRPr="000B2F39">
        <w:rPr>
          <w:rFonts w:ascii="Times New Roman" w:hAnsi="Times New Roman" w:cs="Times New Roman"/>
          <w:szCs w:val="24"/>
        </w:rPr>
        <w:t>(Berkes et al., 2000; Kimmerer, 2013; Hill et al., 2011</w:t>
      </w:r>
      <w:r w:rsidR="00F956B0" w:rsidRPr="00F956B0">
        <w:rPr>
          <w:rFonts w:ascii="Times New Roman" w:hAnsi="Times New Roman" w:cs="Times New Roman"/>
          <w:szCs w:val="24"/>
        </w:rPr>
        <w:t>)</w:t>
      </w:r>
      <w:r w:rsidRPr="00F956B0">
        <w:rPr>
          <w:rFonts w:ascii="Times New Roman" w:hAnsi="Times New Roman" w:cs="Times New Roman"/>
          <w:szCs w:val="24"/>
        </w:rPr>
        <w:t>. Sacred groves, taboos, and rotational harvesting systems regulate human activities to prevent overexploitation</w:t>
      </w:r>
      <w:r w:rsidR="000B2F39">
        <w:rPr>
          <w:rFonts w:ascii="Times New Roman" w:hAnsi="Times New Roman" w:cs="Times New Roman"/>
          <w:szCs w:val="24"/>
        </w:rPr>
        <w:t xml:space="preserve"> </w:t>
      </w:r>
      <w:r w:rsidR="000B2F39" w:rsidRPr="000B2F39">
        <w:rPr>
          <w:rFonts w:ascii="Times New Roman" w:hAnsi="Times New Roman" w:cs="Times New Roman"/>
          <w:szCs w:val="24"/>
        </w:rPr>
        <w:t>(Gadg</w:t>
      </w:r>
      <w:r w:rsidR="000B2F39">
        <w:rPr>
          <w:rFonts w:ascii="Times New Roman" w:hAnsi="Times New Roman" w:cs="Times New Roman"/>
          <w:szCs w:val="24"/>
        </w:rPr>
        <w:t>il et al., 1993; Simpson, 2004)</w:t>
      </w:r>
      <w:r w:rsidRPr="00F956B0">
        <w:rPr>
          <w:rFonts w:ascii="Times New Roman" w:hAnsi="Times New Roman" w:cs="Times New Roman"/>
          <w:szCs w:val="24"/>
        </w:rPr>
        <w:t>. In the Amazon, selective harvesting of timber and non-timber forest products ensures regeneration of key species, while traditional fishing practices in Arctic communities avoid overfishing during breeding seasons</w:t>
      </w:r>
      <w:r w:rsidR="00564C61">
        <w:rPr>
          <w:rFonts w:ascii="Times New Roman" w:hAnsi="Times New Roman" w:cs="Times New Roman"/>
          <w:szCs w:val="24"/>
        </w:rPr>
        <w:t xml:space="preserve"> </w:t>
      </w:r>
      <w:r w:rsidR="00564C61" w:rsidRPr="00564C61">
        <w:rPr>
          <w:rFonts w:ascii="Times New Roman" w:hAnsi="Times New Roman" w:cs="Times New Roman"/>
          <w:szCs w:val="24"/>
        </w:rPr>
        <w:t>(Posey, 1999; Toledo, 2002; Krupnik &amp; Jolly, 2002)</w:t>
      </w:r>
      <w:r w:rsidRPr="00F956B0">
        <w:rPr>
          <w:rFonts w:ascii="Times New Roman" w:hAnsi="Times New Roman" w:cs="Times New Roman"/>
          <w:szCs w:val="24"/>
        </w:rPr>
        <w:t>.</w:t>
      </w:r>
      <w:r w:rsidR="00564C61">
        <w:rPr>
          <w:rFonts w:ascii="Times New Roman" w:hAnsi="Times New Roman" w:cs="Times New Roman"/>
          <w:szCs w:val="24"/>
        </w:rPr>
        <w:t xml:space="preserve"> </w:t>
      </w:r>
      <w:r w:rsidRPr="00F956B0">
        <w:rPr>
          <w:rFonts w:ascii="Times New Roman" w:hAnsi="Times New Roman" w:cs="Times New Roman"/>
          <w:szCs w:val="24"/>
        </w:rPr>
        <w:t>Comparative biodiversity assessments revealed that sites under active IEK stewardship had higher abundance of keystone species, better regeneration rates of native flora, and greater structural complexity in vegetation layers than non-IEK-managed sites</w:t>
      </w:r>
      <w:r w:rsidR="00564C61">
        <w:rPr>
          <w:rFonts w:ascii="Times New Roman" w:hAnsi="Times New Roman" w:cs="Times New Roman"/>
          <w:szCs w:val="24"/>
        </w:rPr>
        <w:t xml:space="preserve"> </w:t>
      </w:r>
      <w:r w:rsidR="00564C61" w:rsidRPr="00564C61">
        <w:rPr>
          <w:rFonts w:ascii="Times New Roman" w:hAnsi="Times New Roman" w:cs="Times New Roman"/>
          <w:szCs w:val="24"/>
        </w:rPr>
        <w:t xml:space="preserve">(Folke et al., 2005; </w:t>
      </w:r>
      <w:proofErr w:type="spellStart"/>
      <w:r w:rsidR="00564C61" w:rsidRPr="00564C61">
        <w:rPr>
          <w:rFonts w:ascii="Times New Roman" w:hAnsi="Times New Roman" w:cs="Times New Roman"/>
          <w:szCs w:val="24"/>
        </w:rPr>
        <w:t>Tengö</w:t>
      </w:r>
      <w:proofErr w:type="spellEnd"/>
      <w:r w:rsidR="00564C61" w:rsidRPr="00564C61">
        <w:rPr>
          <w:rFonts w:ascii="Times New Roman" w:hAnsi="Times New Roman" w:cs="Times New Roman"/>
          <w:szCs w:val="24"/>
        </w:rPr>
        <w:t xml:space="preserve"> et al., 2014).</w:t>
      </w:r>
      <w:r w:rsidR="00564C61">
        <w:rPr>
          <w:rFonts w:ascii="Times New Roman" w:hAnsi="Times New Roman" w:cs="Times New Roman"/>
          <w:szCs w:val="24"/>
        </w:rPr>
        <w:t xml:space="preserve"> </w:t>
      </w:r>
      <w:r w:rsidRPr="00F956B0">
        <w:rPr>
          <w:rFonts w:ascii="Times New Roman" w:hAnsi="Times New Roman" w:cs="Times New Roman"/>
          <w:szCs w:val="24"/>
        </w:rPr>
        <w:t>For example, medicinal plants and culturally significant species were consistently preserved in community-managed areas, illustrating the dual role of IEK in ecological and cultural conservation</w:t>
      </w:r>
      <w:r w:rsidR="00564C61">
        <w:rPr>
          <w:rFonts w:ascii="Times New Roman" w:hAnsi="Times New Roman" w:cs="Times New Roman"/>
          <w:szCs w:val="24"/>
        </w:rPr>
        <w:t xml:space="preserve"> </w:t>
      </w:r>
      <w:r w:rsidR="00564C61" w:rsidRPr="00564C61">
        <w:rPr>
          <w:rFonts w:ascii="Times New Roman" w:hAnsi="Times New Roman" w:cs="Times New Roman"/>
          <w:szCs w:val="24"/>
        </w:rPr>
        <w:t>(Maffi, 2005; Nakashima et al., 2000)</w:t>
      </w:r>
      <w:r w:rsidRPr="00F956B0">
        <w:rPr>
          <w:rFonts w:ascii="Times New Roman" w:hAnsi="Times New Roman" w:cs="Times New Roman"/>
          <w:szCs w:val="24"/>
        </w:rPr>
        <w:t>.</w:t>
      </w:r>
    </w:p>
    <w:p w14:paraId="051BA015" w14:textId="77777777" w:rsidR="00AE2B33" w:rsidRPr="00F956B0" w:rsidRDefault="00AE2B33" w:rsidP="00AE2B33">
      <w:pPr>
        <w:rPr>
          <w:rFonts w:ascii="Times New Roman" w:hAnsi="Times New Roman" w:cs="Times New Roman"/>
          <w:b/>
          <w:bCs/>
          <w:szCs w:val="24"/>
        </w:rPr>
      </w:pPr>
      <w:r w:rsidRPr="00F956B0">
        <w:rPr>
          <w:rFonts w:ascii="Times New Roman" w:hAnsi="Times New Roman" w:cs="Times New Roman"/>
          <w:b/>
          <w:bCs/>
          <w:szCs w:val="24"/>
        </w:rPr>
        <w:t>Integration of Socio-Cultural and Ecological Outcomes</w:t>
      </w:r>
    </w:p>
    <w:p w14:paraId="0FD90638" w14:textId="77777777" w:rsidR="00AE2B33" w:rsidRPr="00F956B0" w:rsidRDefault="00AE2B33" w:rsidP="00AE2B33">
      <w:pPr>
        <w:rPr>
          <w:rFonts w:ascii="Times New Roman" w:hAnsi="Times New Roman" w:cs="Times New Roman"/>
          <w:szCs w:val="24"/>
        </w:rPr>
      </w:pPr>
      <w:r w:rsidRPr="00F956B0">
        <w:rPr>
          <w:rFonts w:ascii="Times New Roman" w:hAnsi="Times New Roman" w:cs="Times New Roman"/>
          <w:szCs w:val="24"/>
        </w:rPr>
        <w:t>The study also highlights the inseparability of ecological and socio-cultural dimensions in IEK. Practices that enhance ecosystem services simultaneously reinforce cultural identity, social cohesion, and traditional governance structures. Indigenous knowledge systems are transmitted through oral traditions, rituals, and apprenticeship, ensuring continuity of practices that support both biodiversity and community resilience.The results underscore that IEK represents a robust, context-specific knowledge system capable of enhancing climate adaptation and biodiversity conservation. Its integration with modern scientific approaches can provide a comprehensive framework for sustainable environmental management.</w:t>
      </w:r>
    </w:p>
    <w:p w14:paraId="13D05BDA" w14:textId="77777777" w:rsidR="000C2EC6" w:rsidRPr="00F956B0" w:rsidRDefault="000C2EC6" w:rsidP="000C2EC6">
      <w:pPr>
        <w:rPr>
          <w:rFonts w:ascii="Times New Roman" w:hAnsi="Times New Roman" w:cs="Times New Roman"/>
          <w:b/>
          <w:bCs/>
          <w:szCs w:val="24"/>
        </w:rPr>
      </w:pPr>
      <w:r w:rsidRPr="00F956B0">
        <w:rPr>
          <w:rFonts w:ascii="Times New Roman" w:hAnsi="Times New Roman" w:cs="Times New Roman"/>
          <w:b/>
          <w:bCs/>
          <w:szCs w:val="24"/>
        </w:rPr>
        <w:t>Discussion</w:t>
      </w:r>
    </w:p>
    <w:p w14:paraId="3B6074F1" w14:textId="77777777" w:rsidR="000C2EC6" w:rsidRPr="00F956B0" w:rsidRDefault="000C2EC6" w:rsidP="000C2EC6">
      <w:pPr>
        <w:rPr>
          <w:rFonts w:ascii="Times New Roman" w:hAnsi="Times New Roman" w:cs="Times New Roman"/>
          <w:szCs w:val="24"/>
        </w:rPr>
      </w:pPr>
      <w:r w:rsidRPr="00F956B0">
        <w:rPr>
          <w:rFonts w:ascii="Times New Roman" w:hAnsi="Times New Roman" w:cs="Times New Roman"/>
          <w:szCs w:val="24"/>
        </w:rPr>
        <w:t>The findings of this study underscore the indispensable role of Indigenous Ecological Knowledge (IEK) in fostering climate adaptation and conserving biodiversity</w:t>
      </w:r>
      <w:r w:rsidR="004C7A4F" w:rsidRPr="00F956B0">
        <w:rPr>
          <w:rFonts w:ascii="Times New Roman" w:hAnsi="Times New Roman" w:cs="Times New Roman"/>
          <w:szCs w:val="24"/>
        </w:rPr>
        <w:t xml:space="preserve"> (Berkes &amp; Turner, 2006)</w:t>
      </w:r>
      <w:r w:rsidRPr="00F956B0">
        <w:rPr>
          <w:rFonts w:ascii="Times New Roman" w:hAnsi="Times New Roman" w:cs="Times New Roman"/>
          <w:szCs w:val="24"/>
        </w:rPr>
        <w:t xml:space="preserve">. Across diverse ecological regions, IEK practices exhibit a unique integration of ecological </w:t>
      </w:r>
      <w:r w:rsidRPr="00F956B0">
        <w:rPr>
          <w:rFonts w:ascii="Times New Roman" w:hAnsi="Times New Roman" w:cs="Times New Roman"/>
          <w:szCs w:val="24"/>
        </w:rPr>
        <w:lastRenderedPageBreak/>
        <w:t>understanding, sustainable resource management, and socio-cultural values, which collectively enhance ecosystem resilience. The results demonstrate that IEK is not merely a repository of traditional practices but a dynamic, adaptive system capable of responding to environmental variability</w:t>
      </w:r>
      <w:r w:rsidR="00C11F4A">
        <w:rPr>
          <w:rFonts w:ascii="Times New Roman" w:hAnsi="Times New Roman" w:cs="Times New Roman"/>
          <w:szCs w:val="24"/>
        </w:rPr>
        <w:t xml:space="preserve"> </w:t>
      </w:r>
      <w:r w:rsidR="00C11F4A" w:rsidRPr="00C11F4A">
        <w:rPr>
          <w:rFonts w:ascii="Times New Roman" w:hAnsi="Times New Roman" w:cs="Times New Roman"/>
          <w:szCs w:val="24"/>
        </w:rPr>
        <w:t xml:space="preserve">(Berkes </w:t>
      </w:r>
      <w:r w:rsidR="00C11F4A">
        <w:rPr>
          <w:rFonts w:ascii="Times New Roman" w:hAnsi="Times New Roman" w:cs="Times New Roman"/>
          <w:szCs w:val="24"/>
        </w:rPr>
        <w:t>&amp; Turner, 2006; Sillitoe, 2007)</w:t>
      </w:r>
      <w:r w:rsidRPr="00F956B0">
        <w:rPr>
          <w:rFonts w:ascii="Times New Roman" w:hAnsi="Times New Roman" w:cs="Times New Roman"/>
          <w:szCs w:val="24"/>
        </w:rPr>
        <w:t>.</w:t>
      </w:r>
    </w:p>
    <w:p w14:paraId="7E73049C" w14:textId="77777777" w:rsidR="000C2EC6" w:rsidRPr="00F956B0" w:rsidRDefault="000C2EC6" w:rsidP="000C2EC6">
      <w:pPr>
        <w:rPr>
          <w:rFonts w:ascii="Times New Roman" w:hAnsi="Times New Roman" w:cs="Times New Roman"/>
          <w:b/>
          <w:bCs/>
          <w:szCs w:val="24"/>
        </w:rPr>
      </w:pPr>
      <w:r w:rsidRPr="00F956B0">
        <w:rPr>
          <w:rFonts w:ascii="Times New Roman" w:hAnsi="Times New Roman" w:cs="Times New Roman"/>
          <w:b/>
          <w:bCs/>
          <w:szCs w:val="24"/>
        </w:rPr>
        <w:t>1. IEK and Climate Adaptation</w:t>
      </w:r>
    </w:p>
    <w:p w14:paraId="1D84C451" w14:textId="77777777" w:rsidR="000C2EC6" w:rsidRPr="00F956B0" w:rsidRDefault="000C2EC6" w:rsidP="000C2EC6">
      <w:pPr>
        <w:rPr>
          <w:rFonts w:ascii="Times New Roman" w:hAnsi="Times New Roman" w:cs="Times New Roman"/>
          <w:szCs w:val="24"/>
        </w:rPr>
      </w:pPr>
      <w:r w:rsidRPr="00F956B0">
        <w:rPr>
          <w:rFonts w:ascii="Times New Roman" w:hAnsi="Times New Roman" w:cs="Times New Roman"/>
          <w:szCs w:val="24"/>
        </w:rPr>
        <w:t>The adaptive strategies observed in various indigenous communities, such as seasonal calendars, drought-resilient cropping, and rotational harvesting, highlight the practical relevance of IEK in mitigating climate risks</w:t>
      </w:r>
      <w:r w:rsidR="00C11F4A">
        <w:rPr>
          <w:rFonts w:ascii="Times New Roman" w:hAnsi="Times New Roman" w:cs="Times New Roman"/>
          <w:szCs w:val="24"/>
        </w:rPr>
        <w:t xml:space="preserve"> </w:t>
      </w:r>
      <w:r w:rsidR="00C11F4A" w:rsidRPr="00C11F4A">
        <w:rPr>
          <w:rFonts w:ascii="Times New Roman" w:hAnsi="Times New Roman" w:cs="Times New Roman"/>
          <w:szCs w:val="24"/>
        </w:rPr>
        <w:t>(McGregor, 2004; Ford, 2012)</w:t>
      </w:r>
      <w:r w:rsidRPr="00F956B0">
        <w:rPr>
          <w:rFonts w:ascii="Times New Roman" w:hAnsi="Times New Roman" w:cs="Times New Roman"/>
          <w:szCs w:val="24"/>
        </w:rPr>
        <w:t>. Unlike generic adaptation strategies, IEK is deeply context-specific, drawing upon long-term observations, intergenerational knowledge transfer, and intimate familiarity with local ecosystems</w:t>
      </w:r>
      <w:r w:rsidR="00C11F4A">
        <w:rPr>
          <w:rFonts w:ascii="Times New Roman" w:hAnsi="Times New Roman" w:cs="Times New Roman"/>
          <w:szCs w:val="24"/>
        </w:rPr>
        <w:t xml:space="preserve"> </w:t>
      </w:r>
      <w:r w:rsidR="00C11F4A" w:rsidRPr="00C11F4A">
        <w:rPr>
          <w:rFonts w:ascii="Times New Roman" w:hAnsi="Times New Roman" w:cs="Times New Roman"/>
          <w:szCs w:val="24"/>
        </w:rPr>
        <w:t>(Huntington, 2000; Berkes &amp; Turner, 2006)</w:t>
      </w:r>
      <w:r w:rsidRPr="00F956B0">
        <w:rPr>
          <w:rFonts w:ascii="Times New Roman" w:hAnsi="Times New Roman" w:cs="Times New Roman"/>
          <w:szCs w:val="24"/>
        </w:rPr>
        <w:t>. This specificity enables communities to anticipate climatic changes, optimize resource use, and maintain food security under conditions of increasing environmental uncertainty.</w:t>
      </w:r>
    </w:p>
    <w:p w14:paraId="096C23C8" w14:textId="77777777" w:rsidR="000C2EC6" w:rsidRPr="00F956B0" w:rsidRDefault="000C2EC6" w:rsidP="000C2EC6">
      <w:pPr>
        <w:rPr>
          <w:rFonts w:ascii="Times New Roman" w:hAnsi="Times New Roman" w:cs="Times New Roman"/>
          <w:szCs w:val="24"/>
        </w:rPr>
      </w:pPr>
      <w:r w:rsidRPr="00F956B0">
        <w:rPr>
          <w:rFonts w:ascii="Times New Roman" w:hAnsi="Times New Roman" w:cs="Times New Roman"/>
          <w:szCs w:val="24"/>
        </w:rPr>
        <w:t>For example, in semi-arid regions of India, indigenous farmers utilize water harvesting techniques, including traditional tanks and contour bunds, which have been shown to improve soil moisture retention and buffer crop productivity against drought</w:t>
      </w:r>
      <w:r w:rsidR="005D762D">
        <w:rPr>
          <w:rFonts w:ascii="Times New Roman" w:hAnsi="Times New Roman" w:cs="Times New Roman"/>
          <w:szCs w:val="24"/>
        </w:rPr>
        <w:t xml:space="preserve"> </w:t>
      </w:r>
      <w:r w:rsidR="005D762D" w:rsidRPr="005D762D">
        <w:rPr>
          <w:rFonts w:ascii="Times New Roman" w:hAnsi="Times New Roman" w:cs="Times New Roman"/>
          <w:szCs w:val="24"/>
        </w:rPr>
        <w:t>(Gadgil &amp; Guha, 1992; Altieri, 2004)</w:t>
      </w:r>
      <w:r w:rsidRPr="00F956B0">
        <w:rPr>
          <w:rFonts w:ascii="Times New Roman" w:hAnsi="Times New Roman" w:cs="Times New Roman"/>
          <w:szCs w:val="24"/>
        </w:rPr>
        <w:t>. Similarly, Arctic communities leverage knowledge of sea ice dynamics and wildlife behavior to adjust hunting and fishing schedules, ensuring the sustainable use of resources amid changing ice conditions</w:t>
      </w:r>
      <w:r w:rsidR="005D762D">
        <w:rPr>
          <w:rFonts w:ascii="Times New Roman" w:hAnsi="Times New Roman" w:cs="Times New Roman"/>
          <w:szCs w:val="24"/>
        </w:rPr>
        <w:t xml:space="preserve"> </w:t>
      </w:r>
      <w:r w:rsidR="005D762D" w:rsidRPr="005D762D">
        <w:rPr>
          <w:rFonts w:ascii="Times New Roman" w:hAnsi="Times New Roman" w:cs="Times New Roman"/>
          <w:szCs w:val="24"/>
        </w:rPr>
        <w:t>(Krupnik &amp; Jolly, 2002; Ford, 2012</w:t>
      </w:r>
      <w:r w:rsidR="005D762D">
        <w:rPr>
          <w:rFonts w:ascii="Times New Roman" w:hAnsi="Times New Roman" w:cs="Times New Roman"/>
          <w:szCs w:val="24"/>
        </w:rPr>
        <w:t>)</w:t>
      </w:r>
      <w:r w:rsidRPr="00F956B0">
        <w:rPr>
          <w:rFonts w:ascii="Times New Roman" w:hAnsi="Times New Roman" w:cs="Times New Roman"/>
          <w:szCs w:val="24"/>
        </w:rPr>
        <w:t>. Such practices illustrate the value of IEK as a locally calibrated adaptation tool that complements broader climate resilience strategies proposed by modern science.</w:t>
      </w:r>
    </w:p>
    <w:p w14:paraId="14A566A8" w14:textId="77777777" w:rsidR="000C2EC6" w:rsidRPr="00F956B0" w:rsidRDefault="000C2EC6" w:rsidP="000C2EC6">
      <w:pPr>
        <w:rPr>
          <w:rFonts w:ascii="Times New Roman" w:hAnsi="Times New Roman" w:cs="Times New Roman"/>
          <w:b/>
          <w:bCs/>
          <w:szCs w:val="24"/>
        </w:rPr>
      </w:pPr>
      <w:r w:rsidRPr="00F956B0">
        <w:rPr>
          <w:rFonts w:ascii="Times New Roman" w:hAnsi="Times New Roman" w:cs="Times New Roman"/>
          <w:b/>
          <w:bCs/>
          <w:szCs w:val="24"/>
        </w:rPr>
        <w:t>2. Biodiversity Conservation through IEK</w:t>
      </w:r>
    </w:p>
    <w:p w14:paraId="285FFAF2" w14:textId="77777777" w:rsidR="000C2EC6" w:rsidRPr="00F956B0" w:rsidRDefault="000C2EC6" w:rsidP="000C2EC6">
      <w:pPr>
        <w:rPr>
          <w:rFonts w:ascii="Times New Roman" w:hAnsi="Times New Roman" w:cs="Times New Roman"/>
          <w:szCs w:val="24"/>
        </w:rPr>
      </w:pPr>
      <w:r w:rsidRPr="00F956B0">
        <w:rPr>
          <w:rFonts w:ascii="Times New Roman" w:hAnsi="Times New Roman" w:cs="Times New Roman"/>
          <w:szCs w:val="24"/>
        </w:rPr>
        <w:t>IEK plays a crucial role in maintaining biodiversity by guiding sustainable harvesting, protecting critical habitats, and preserving culturally significant species</w:t>
      </w:r>
      <w:r w:rsidR="005D762D">
        <w:rPr>
          <w:rFonts w:ascii="Times New Roman" w:hAnsi="Times New Roman" w:cs="Times New Roman"/>
          <w:szCs w:val="24"/>
        </w:rPr>
        <w:t xml:space="preserve"> </w:t>
      </w:r>
      <w:r w:rsidR="005D762D" w:rsidRPr="005D762D">
        <w:rPr>
          <w:rFonts w:ascii="Times New Roman" w:hAnsi="Times New Roman" w:cs="Times New Roman"/>
          <w:szCs w:val="24"/>
        </w:rPr>
        <w:t>(Gadgil et al., 1993; Folke et al., 2005)</w:t>
      </w:r>
      <w:r w:rsidRPr="00F956B0">
        <w:rPr>
          <w:rFonts w:ascii="Times New Roman" w:hAnsi="Times New Roman" w:cs="Times New Roman"/>
          <w:szCs w:val="24"/>
        </w:rPr>
        <w:t>. Sacred groves, taboos, and rotational harvesting mechanisms are not merely traditional rituals; they function as ecological safeguards</w:t>
      </w:r>
      <w:r w:rsidR="005D762D">
        <w:rPr>
          <w:rFonts w:ascii="Times New Roman" w:hAnsi="Times New Roman" w:cs="Times New Roman"/>
          <w:szCs w:val="24"/>
        </w:rPr>
        <w:t xml:space="preserve"> </w:t>
      </w:r>
      <w:r w:rsidR="005D762D" w:rsidRPr="005D762D">
        <w:rPr>
          <w:rFonts w:ascii="Times New Roman" w:hAnsi="Times New Roman" w:cs="Times New Roman"/>
          <w:szCs w:val="24"/>
        </w:rPr>
        <w:t>Bhagwat &amp; Rutte, 2006; Hill et al., 2011</w:t>
      </w:r>
      <w:proofErr w:type="gramStart"/>
      <w:r w:rsidR="005D762D" w:rsidRPr="005D762D">
        <w:rPr>
          <w:rFonts w:ascii="Times New Roman" w:hAnsi="Times New Roman" w:cs="Times New Roman"/>
          <w:szCs w:val="24"/>
        </w:rPr>
        <w:t>).</w:t>
      </w:r>
      <w:r w:rsidRPr="00F956B0">
        <w:rPr>
          <w:rFonts w:ascii="Times New Roman" w:hAnsi="Times New Roman" w:cs="Times New Roman"/>
          <w:szCs w:val="24"/>
        </w:rPr>
        <w:t>.</w:t>
      </w:r>
      <w:proofErr w:type="gramEnd"/>
      <w:r w:rsidRPr="00F956B0">
        <w:rPr>
          <w:rFonts w:ascii="Times New Roman" w:hAnsi="Times New Roman" w:cs="Times New Roman"/>
          <w:szCs w:val="24"/>
        </w:rPr>
        <w:t xml:space="preserve"> The higher species richness and keystone species abundance observed in IEK-managed areas underscore the effectiveness of these practices in sustaining ecosystem </w:t>
      </w:r>
      <w:proofErr w:type="gramStart"/>
      <w:r w:rsidRPr="00F956B0">
        <w:rPr>
          <w:rFonts w:ascii="Times New Roman" w:hAnsi="Times New Roman" w:cs="Times New Roman"/>
          <w:szCs w:val="24"/>
        </w:rPr>
        <w:t>integrity.Indigenous</w:t>
      </w:r>
      <w:proofErr w:type="gramEnd"/>
      <w:r w:rsidRPr="00F956B0">
        <w:rPr>
          <w:rFonts w:ascii="Times New Roman" w:hAnsi="Times New Roman" w:cs="Times New Roman"/>
          <w:szCs w:val="24"/>
        </w:rPr>
        <w:t xml:space="preserve"> agroforestry systems, such as polyculture gardens in the Amazon, demonstrate how IEK can maintain structural and functional diversity within managed landscapes</w:t>
      </w:r>
      <w:r w:rsidR="0081016A">
        <w:rPr>
          <w:rFonts w:ascii="Times New Roman" w:hAnsi="Times New Roman" w:cs="Times New Roman"/>
          <w:szCs w:val="24"/>
        </w:rPr>
        <w:t xml:space="preserve"> </w:t>
      </w:r>
      <w:r w:rsidR="0081016A" w:rsidRPr="0081016A">
        <w:rPr>
          <w:rFonts w:ascii="Times New Roman" w:hAnsi="Times New Roman" w:cs="Times New Roman"/>
          <w:szCs w:val="24"/>
        </w:rPr>
        <w:t>(Altieri, 2004; Toledo, 2002)</w:t>
      </w:r>
      <w:r w:rsidRPr="00F956B0">
        <w:rPr>
          <w:rFonts w:ascii="Times New Roman" w:hAnsi="Times New Roman" w:cs="Times New Roman"/>
          <w:szCs w:val="24"/>
        </w:rPr>
        <w:t>. These systems not only conserve native plant species but also provide food, medicine, and materials for local communities, illustrating the multifaceted benefits of IEK. Importantly, these practices exemplify a sustainable coexistence between humans and nature, challenging the perception of humans as inherently exploitative agents</w:t>
      </w:r>
      <w:r w:rsidR="0081016A">
        <w:rPr>
          <w:rFonts w:ascii="Times New Roman" w:hAnsi="Times New Roman" w:cs="Times New Roman"/>
          <w:szCs w:val="24"/>
        </w:rPr>
        <w:t xml:space="preserve"> (Kimmerer, 2013; Maffi, 2005)</w:t>
      </w:r>
      <w:r w:rsidRPr="00F956B0">
        <w:rPr>
          <w:rFonts w:ascii="Times New Roman" w:hAnsi="Times New Roman" w:cs="Times New Roman"/>
          <w:szCs w:val="24"/>
        </w:rPr>
        <w:t>.</w:t>
      </w:r>
    </w:p>
    <w:p w14:paraId="052AED6F" w14:textId="77777777" w:rsidR="000C2EC6" w:rsidRPr="00F956B0" w:rsidRDefault="000C2EC6" w:rsidP="000C2EC6">
      <w:pPr>
        <w:rPr>
          <w:rFonts w:ascii="Times New Roman" w:hAnsi="Times New Roman" w:cs="Times New Roman"/>
          <w:b/>
          <w:bCs/>
          <w:szCs w:val="24"/>
        </w:rPr>
      </w:pPr>
      <w:r w:rsidRPr="00F956B0">
        <w:rPr>
          <w:rFonts w:ascii="Times New Roman" w:hAnsi="Times New Roman" w:cs="Times New Roman"/>
          <w:b/>
          <w:bCs/>
          <w:szCs w:val="24"/>
        </w:rPr>
        <w:t>3. Socio-Cultural Significance and Knowledge Transmission</w:t>
      </w:r>
    </w:p>
    <w:p w14:paraId="5AE374CB" w14:textId="77777777" w:rsidR="000C2EC6" w:rsidRPr="00F956B0" w:rsidRDefault="000C2EC6" w:rsidP="000C2EC6">
      <w:pPr>
        <w:rPr>
          <w:rFonts w:ascii="Times New Roman" w:hAnsi="Times New Roman" w:cs="Times New Roman"/>
          <w:szCs w:val="24"/>
        </w:rPr>
      </w:pPr>
      <w:r w:rsidRPr="00F956B0">
        <w:rPr>
          <w:rFonts w:ascii="Times New Roman" w:hAnsi="Times New Roman" w:cs="Times New Roman"/>
          <w:szCs w:val="24"/>
        </w:rPr>
        <w:t>The preservation of biodiversity through IEK is closely linked to cultural continuity</w:t>
      </w:r>
      <w:r w:rsidR="0081016A">
        <w:rPr>
          <w:rFonts w:ascii="Times New Roman" w:hAnsi="Times New Roman" w:cs="Times New Roman"/>
          <w:szCs w:val="24"/>
        </w:rPr>
        <w:t xml:space="preserve"> </w:t>
      </w:r>
      <w:r w:rsidR="0081016A">
        <w:t>(Posey, 1999; Nakashima et al., 2000)</w:t>
      </w:r>
      <w:r w:rsidRPr="00F956B0">
        <w:rPr>
          <w:rFonts w:ascii="Times New Roman" w:hAnsi="Times New Roman" w:cs="Times New Roman"/>
          <w:szCs w:val="24"/>
        </w:rPr>
        <w:t>. Indigenous practices are embedded within social institutions, oral traditions, rituals, and apprenticeship systems that ensure intergenerational transmission</w:t>
      </w:r>
      <w:r w:rsidR="0081016A">
        <w:rPr>
          <w:rFonts w:ascii="Times New Roman" w:hAnsi="Times New Roman" w:cs="Times New Roman"/>
          <w:szCs w:val="24"/>
        </w:rPr>
        <w:t xml:space="preserve"> </w:t>
      </w:r>
      <w:r w:rsidR="0081016A" w:rsidRPr="0081016A">
        <w:rPr>
          <w:rFonts w:ascii="Times New Roman" w:hAnsi="Times New Roman" w:cs="Times New Roman"/>
          <w:szCs w:val="24"/>
        </w:rPr>
        <w:lastRenderedPageBreak/>
        <w:t>(Simpson, 2004; McGregor, 2004)</w:t>
      </w:r>
      <w:r w:rsidRPr="00F956B0">
        <w:rPr>
          <w:rFonts w:ascii="Times New Roman" w:hAnsi="Times New Roman" w:cs="Times New Roman"/>
          <w:szCs w:val="24"/>
        </w:rPr>
        <w:t>. By sustaining cultural identity and community cohesion, IEK strengthens the social fabric, which in turn supports the continued implementation of sustainable environmental practices.This interconnectedness suggests that conservation strategies that disregard socio-cultural dimensions may be less effective. Integrating IEK into formal conservation and climate adaptation policies offers an opportunity to enhance both ecological and social resilience. Moreover, participatory approaches that recognize the knowledge and authority of indigenous communities can empower these communities, fostering stewardship of natural resources.</w:t>
      </w:r>
    </w:p>
    <w:p w14:paraId="630475CC" w14:textId="77777777" w:rsidR="000C2EC6" w:rsidRPr="00F956B0" w:rsidRDefault="000C2EC6" w:rsidP="000C2EC6">
      <w:pPr>
        <w:rPr>
          <w:rFonts w:ascii="Times New Roman" w:hAnsi="Times New Roman" w:cs="Times New Roman"/>
          <w:b/>
          <w:bCs/>
          <w:szCs w:val="24"/>
        </w:rPr>
      </w:pPr>
      <w:r w:rsidRPr="00F956B0">
        <w:rPr>
          <w:rFonts w:ascii="Times New Roman" w:hAnsi="Times New Roman" w:cs="Times New Roman"/>
          <w:b/>
          <w:bCs/>
          <w:szCs w:val="24"/>
        </w:rPr>
        <w:t>4. Integration with Scientific Knowledge</w:t>
      </w:r>
    </w:p>
    <w:p w14:paraId="3D27FC16" w14:textId="77777777" w:rsidR="000C2EC6" w:rsidRPr="00F956B0" w:rsidRDefault="000C2EC6" w:rsidP="000C2EC6">
      <w:pPr>
        <w:rPr>
          <w:rFonts w:ascii="Times New Roman" w:hAnsi="Times New Roman" w:cs="Times New Roman"/>
          <w:szCs w:val="24"/>
        </w:rPr>
      </w:pPr>
      <w:r w:rsidRPr="00F956B0">
        <w:rPr>
          <w:rFonts w:ascii="Times New Roman" w:hAnsi="Times New Roman" w:cs="Times New Roman"/>
          <w:szCs w:val="24"/>
        </w:rPr>
        <w:t>While IEK provides locally adapted solutions, combining it with modern scientific approaches can enhance overall environmental management</w:t>
      </w:r>
      <w:r w:rsidR="0081016A">
        <w:rPr>
          <w:rFonts w:ascii="Times New Roman" w:hAnsi="Times New Roman" w:cs="Times New Roman"/>
          <w:szCs w:val="24"/>
        </w:rPr>
        <w:t xml:space="preserve"> </w:t>
      </w:r>
      <w:r w:rsidR="0081016A" w:rsidRPr="0081016A">
        <w:rPr>
          <w:rFonts w:ascii="Times New Roman" w:hAnsi="Times New Roman" w:cs="Times New Roman"/>
          <w:szCs w:val="24"/>
        </w:rPr>
        <w:t>(</w:t>
      </w:r>
      <w:proofErr w:type="spellStart"/>
      <w:r w:rsidR="0081016A" w:rsidRPr="0081016A">
        <w:rPr>
          <w:rFonts w:ascii="Times New Roman" w:hAnsi="Times New Roman" w:cs="Times New Roman"/>
          <w:szCs w:val="24"/>
        </w:rPr>
        <w:t>Tengö</w:t>
      </w:r>
      <w:proofErr w:type="spellEnd"/>
      <w:r w:rsidR="0081016A" w:rsidRPr="0081016A">
        <w:rPr>
          <w:rFonts w:ascii="Times New Roman" w:hAnsi="Times New Roman" w:cs="Times New Roman"/>
          <w:szCs w:val="24"/>
        </w:rPr>
        <w:t xml:space="preserve"> et al., 2014; Fernández-</w:t>
      </w:r>
      <w:proofErr w:type="spellStart"/>
      <w:r w:rsidR="0081016A" w:rsidRPr="0081016A">
        <w:rPr>
          <w:rFonts w:ascii="Times New Roman" w:hAnsi="Times New Roman" w:cs="Times New Roman"/>
          <w:szCs w:val="24"/>
        </w:rPr>
        <w:t>Llamazares</w:t>
      </w:r>
      <w:proofErr w:type="spellEnd"/>
      <w:r w:rsidR="0081016A" w:rsidRPr="0081016A">
        <w:rPr>
          <w:rFonts w:ascii="Times New Roman" w:hAnsi="Times New Roman" w:cs="Times New Roman"/>
          <w:szCs w:val="24"/>
        </w:rPr>
        <w:t xml:space="preserve"> et al., 2021)</w:t>
      </w:r>
      <w:r w:rsidRPr="00F956B0">
        <w:rPr>
          <w:rFonts w:ascii="Times New Roman" w:hAnsi="Times New Roman" w:cs="Times New Roman"/>
          <w:szCs w:val="24"/>
        </w:rPr>
        <w:t>. Scientific monitoring can validate and complement IEK practices, while IEK can offer nuanced, context-specific insights that are often missing in top-down management strategies</w:t>
      </w:r>
      <w:r w:rsidR="00A857B9">
        <w:rPr>
          <w:rFonts w:ascii="Times New Roman" w:hAnsi="Times New Roman" w:cs="Times New Roman"/>
          <w:szCs w:val="24"/>
        </w:rPr>
        <w:t xml:space="preserve"> </w:t>
      </w:r>
      <w:r w:rsidR="00A857B9" w:rsidRPr="00A857B9">
        <w:rPr>
          <w:rFonts w:ascii="Times New Roman" w:hAnsi="Times New Roman" w:cs="Times New Roman"/>
          <w:szCs w:val="24"/>
        </w:rPr>
        <w:t>(Sillitoe, 2007; Mistry &amp; Berardi, 2016)</w:t>
      </w:r>
      <w:r w:rsidRPr="00F956B0">
        <w:rPr>
          <w:rFonts w:ascii="Times New Roman" w:hAnsi="Times New Roman" w:cs="Times New Roman"/>
          <w:szCs w:val="24"/>
        </w:rPr>
        <w:t>. For instance, integrating traditional seasonal calendars with meteorological forecasts can improve agricultural planning, reducing crop losses and enhancing resilience to extreme weather events.</w:t>
      </w:r>
    </w:p>
    <w:p w14:paraId="41FE9DD3" w14:textId="77777777" w:rsidR="000C2EC6" w:rsidRPr="00F956B0" w:rsidRDefault="000C2EC6" w:rsidP="000C2EC6">
      <w:pPr>
        <w:rPr>
          <w:rFonts w:ascii="Times New Roman" w:hAnsi="Times New Roman" w:cs="Times New Roman"/>
          <w:b/>
          <w:bCs/>
          <w:szCs w:val="24"/>
        </w:rPr>
      </w:pPr>
      <w:r w:rsidRPr="00F956B0">
        <w:rPr>
          <w:rFonts w:ascii="Times New Roman" w:hAnsi="Times New Roman" w:cs="Times New Roman"/>
          <w:b/>
          <w:bCs/>
          <w:szCs w:val="24"/>
        </w:rPr>
        <w:t>5. Implications for Policy and Practice</w:t>
      </w:r>
    </w:p>
    <w:p w14:paraId="5FF98C94" w14:textId="77777777" w:rsidR="000C2EC6" w:rsidRPr="00F956B0" w:rsidRDefault="000C2EC6" w:rsidP="000C2EC6">
      <w:pPr>
        <w:rPr>
          <w:rFonts w:ascii="Times New Roman" w:hAnsi="Times New Roman" w:cs="Times New Roman"/>
          <w:szCs w:val="24"/>
        </w:rPr>
      </w:pPr>
      <w:r w:rsidRPr="00F956B0">
        <w:rPr>
          <w:rFonts w:ascii="Times New Roman" w:hAnsi="Times New Roman" w:cs="Times New Roman"/>
          <w:szCs w:val="24"/>
        </w:rPr>
        <w:t>The findings of this study have significant implications for policy-making and sustainable development</w:t>
      </w:r>
      <w:r w:rsidR="00A857B9">
        <w:rPr>
          <w:rFonts w:ascii="Times New Roman" w:hAnsi="Times New Roman" w:cs="Times New Roman"/>
          <w:szCs w:val="24"/>
        </w:rPr>
        <w:t xml:space="preserve"> </w:t>
      </w:r>
      <w:r w:rsidR="00A857B9" w:rsidRPr="00A857B9">
        <w:rPr>
          <w:rFonts w:ascii="Times New Roman" w:hAnsi="Times New Roman" w:cs="Times New Roman"/>
          <w:szCs w:val="24"/>
        </w:rPr>
        <w:t>(UNDRIP, 2007; CBD Secretariat, 2011; Whyte, 2013)</w:t>
      </w:r>
      <w:r w:rsidRPr="00F956B0">
        <w:rPr>
          <w:rFonts w:ascii="Times New Roman" w:hAnsi="Times New Roman" w:cs="Times New Roman"/>
          <w:szCs w:val="24"/>
        </w:rPr>
        <w:t xml:space="preserve">. Recognizing and formalizing the role of IEK within national climate adaptation and biodiversity conservation strategies can lead to more effective, equitable, and sustainable outcomes. Policies should support the protection of indigenous lands, incentivize sustainable practices, and ensure the ethical inclusion of indigenous knowledge holders in decision-making </w:t>
      </w:r>
      <w:proofErr w:type="gramStart"/>
      <w:r w:rsidRPr="00F956B0">
        <w:rPr>
          <w:rFonts w:ascii="Times New Roman" w:hAnsi="Times New Roman" w:cs="Times New Roman"/>
          <w:szCs w:val="24"/>
        </w:rPr>
        <w:t>processes.In</w:t>
      </w:r>
      <w:proofErr w:type="gramEnd"/>
      <w:r w:rsidRPr="00F956B0">
        <w:rPr>
          <w:rFonts w:ascii="Times New Roman" w:hAnsi="Times New Roman" w:cs="Times New Roman"/>
          <w:szCs w:val="24"/>
        </w:rPr>
        <w:t xml:space="preserve"> conclusion, IEK represents a rich, adaptive knowledge system that has evolved through centuries of human-environment interaction. Its integration into contemporary climate adaptation and biodiversity conservation frameworks offers a promising pathway for achieving sustainability in a rapidly changing world. Future research should focus on documenting diverse IEK practices, assessing their ecological effectiveness, and developing methodologies for the ethical incorporation of IEK into mainstream environmental management.</w:t>
      </w:r>
    </w:p>
    <w:p w14:paraId="0392FD4F" w14:textId="77777777" w:rsidR="000C2EC6" w:rsidRPr="00F956B0" w:rsidRDefault="000C2EC6" w:rsidP="000C2EC6">
      <w:pPr>
        <w:rPr>
          <w:rFonts w:ascii="Times New Roman" w:hAnsi="Times New Roman" w:cs="Times New Roman"/>
          <w:b/>
          <w:bCs/>
          <w:szCs w:val="24"/>
        </w:rPr>
      </w:pPr>
      <w:r w:rsidRPr="00F956B0">
        <w:rPr>
          <w:rFonts w:ascii="Times New Roman" w:hAnsi="Times New Roman" w:cs="Times New Roman"/>
          <w:b/>
          <w:bCs/>
          <w:szCs w:val="24"/>
        </w:rPr>
        <w:t>Conclusion</w:t>
      </w:r>
    </w:p>
    <w:p w14:paraId="390C769F" w14:textId="77777777" w:rsidR="000C2EC6" w:rsidRPr="00F956B0" w:rsidRDefault="000C2EC6" w:rsidP="000C2EC6">
      <w:pPr>
        <w:rPr>
          <w:rFonts w:ascii="Times New Roman" w:hAnsi="Times New Roman" w:cs="Times New Roman"/>
          <w:szCs w:val="24"/>
        </w:rPr>
      </w:pPr>
      <w:r w:rsidRPr="00F956B0">
        <w:rPr>
          <w:rFonts w:ascii="Times New Roman" w:hAnsi="Times New Roman" w:cs="Times New Roman"/>
          <w:szCs w:val="24"/>
        </w:rPr>
        <w:t>This study highlights the critical role of Indigenous Ecological Knowledge (IEK) in supporting climate adaptation and biodiversity conservation</w:t>
      </w:r>
      <w:r w:rsidR="004C7A4F" w:rsidRPr="00F956B0">
        <w:rPr>
          <w:rFonts w:ascii="Times New Roman" w:hAnsi="Times New Roman" w:cs="Times New Roman"/>
          <w:szCs w:val="24"/>
        </w:rPr>
        <w:t xml:space="preserve"> </w:t>
      </w:r>
      <w:r w:rsidR="00F956B0" w:rsidRPr="00F956B0">
        <w:rPr>
          <w:rFonts w:ascii="Times New Roman" w:hAnsi="Times New Roman" w:cs="Times New Roman"/>
          <w:szCs w:val="24"/>
        </w:rPr>
        <w:t>(Gadgil et al., 1993; Berkes et al., 2000)</w:t>
      </w:r>
      <w:r w:rsidRPr="00F956B0">
        <w:rPr>
          <w:rFonts w:ascii="Times New Roman" w:hAnsi="Times New Roman" w:cs="Times New Roman"/>
          <w:szCs w:val="24"/>
        </w:rPr>
        <w:t>. Through centuries of observation, experimentation, and intergenerational knowledge transfer, indigenous communities have developed adaptive strategies that are highly contextual, ecologically sound, and socially embedded</w:t>
      </w:r>
      <w:r w:rsidR="00F956B0" w:rsidRPr="00F956B0">
        <w:rPr>
          <w:rFonts w:ascii="Times New Roman" w:hAnsi="Times New Roman" w:cs="Times New Roman"/>
          <w:szCs w:val="24"/>
        </w:rPr>
        <w:t xml:space="preserve"> (Berkes &amp; Turner, 2006)</w:t>
      </w:r>
      <w:r w:rsidRPr="00F956B0">
        <w:rPr>
          <w:rFonts w:ascii="Times New Roman" w:hAnsi="Times New Roman" w:cs="Times New Roman"/>
          <w:szCs w:val="24"/>
        </w:rPr>
        <w:t xml:space="preserve">. These strategies not only mitigate the impacts of climate variability but also sustain biodiversity, maintain ecosystem functions, and preserve cultural heritage.The evidence demonstrates that IEK contributes to </w:t>
      </w:r>
      <w:r w:rsidRPr="00F956B0">
        <w:rPr>
          <w:rFonts w:ascii="Times New Roman" w:hAnsi="Times New Roman" w:cs="Times New Roman"/>
          <w:szCs w:val="24"/>
        </w:rPr>
        <w:lastRenderedPageBreak/>
        <w:t>resilience at multiple levels: ecological, socio-cultural, and economic. Practices such as traditional water management, rotational harvesting, sacred grove conservation, and polyculture farming exemplify a sustainable coexistence between human societies and natural ecosystems</w:t>
      </w:r>
      <w:r w:rsidR="00F956B0" w:rsidRPr="00F956B0">
        <w:rPr>
          <w:rFonts w:ascii="Times New Roman" w:hAnsi="Times New Roman" w:cs="Times New Roman"/>
          <w:szCs w:val="24"/>
        </w:rPr>
        <w:t xml:space="preserve"> (UNDRIP, 2007; Whyte, 2013)</w:t>
      </w:r>
      <w:r w:rsidRPr="00F956B0">
        <w:rPr>
          <w:rFonts w:ascii="Times New Roman" w:hAnsi="Times New Roman" w:cs="Times New Roman"/>
          <w:szCs w:val="24"/>
        </w:rPr>
        <w:t>. Importantly, these practices are adaptive and dynamic, capable of responding to environmental changes, which makes IEK a valuable complement to modern scientific approaches.</w:t>
      </w:r>
    </w:p>
    <w:p w14:paraId="2E2F9112" w14:textId="77777777" w:rsidR="000C2EC6" w:rsidRPr="00F956B0" w:rsidRDefault="000C2EC6" w:rsidP="000C2EC6">
      <w:pPr>
        <w:rPr>
          <w:rFonts w:ascii="Times New Roman" w:hAnsi="Times New Roman" w:cs="Times New Roman"/>
          <w:szCs w:val="24"/>
        </w:rPr>
      </w:pPr>
      <w:r w:rsidRPr="00F956B0">
        <w:rPr>
          <w:rFonts w:ascii="Times New Roman" w:hAnsi="Times New Roman" w:cs="Times New Roman"/>
          <w:szCs w:val="24"/>
        </w:rPr>
        <w:t>Integrating IEK into contemporary climate adaptation and conservation frameworks can enhance the effectiveness, equity, and sustainability of environmental policies</w:t>
      </w:r>
      <w:r w:rsidR="004C7A4F" w:rsidRPr="00F956B0">
        <w:rPr>
          <w:rFonts w:ascii="Times New Roman" w:hAnsi="Times New Roman" w:cs="Times New Roman"/>
          <w:szCs w:val="24"/>
        </w:rPr>
        <w:t xml:space="preserve"> (Whyte, 2013)</w:t>
      </w:r>
      <w:r w:rsidRPr="00F956B0">
        <w:rPr>
          <w:rFonts w:ascii="Times New Roman" w:hAnsi="Times New Roman" w:cs="Times New Roman"/>
          <w:szCs w:val="24"/>
        </w:rPr>
        <w:t>. Such integration requires recognition of indigenous rights, ethical engagement with knowledge holders, and mechanisms for intergenerational knowledge transmission. By bridging traditional knowledge systems with modern science, policymakers, researchers, and practitioners can foster more resilient ecosystems and communities in the face of global environmental challenges.In conclusion, safeguarding and utilizing IEK is not only an ethical imperative but also a practical strategy for achieving sustainable development and biodiversity conservation</w:t>
      </w:r>
      <w:r w:rsidR="004C7A4F" w:rsidRPr="00F956B0">
        <w:rPr>
          <w:rFonts w:ascii="Times New Roman" w:hAnsi="Times New Roman" w:cs="Times New Roman"/>
          <w:szCs w:val="24"/>
        </w:rPr>
        <w:t xml:space="preserve"> (UNDRIP, 2007)</w:t>
      </w:r>
      <w:r w:rsidRPr="00F956B0">
        <w:rPr>
          <w:rFonts w:ascii="Times New Roman" w:hAnsi="Times New Roman" w:cs="Times New Roman"/>
          <w:szCs w:val="24"/>
        </w:rPr>
        <w:t>. Future research should prioritize systematic documentation, ecological validation, and the participatory inclusion of indigenous communities in policy and management frameworks to ensure that this invaluable knowledge continues to inform adaptive solutions in a rapidly changing world.</w:t>
      </w:r>
    </w:p>
    <w:p w14:paraId="71DD3B2C" w14:textId="77777777" w:rsidR="006B2448" w:rsidRPr="00F956B0" w:rsidRDefault="006B2448" w:rsidP="006B2448">
      <w:pPr>
        <w:rPr>
          <w:rFonts w:ascii="Times New Roman" w:hAnsi="Times New Roman" w:cs="Times New Roman"/>
          <w:b/>
          <w:bCs/>
          <w:szCs w:val="24"/>
        </w:rPr>
      </w:pPr>
      <w:r w:rsidRPr="00F956B0">
        <w:rPr>
          <w:rFonts w:ascii="Times New Roman" w:hAnsi="Times New Roman" w:cs="Times New Roman"/>
          <w:b/>
          <w:bCs/>
          <w:szCs w:val="24"/>
        </w:rPr>
        <w:t>References</w:t>
      </w:r>
    </w:p>
    <w:p w14:paraId="4F340CCE" w14:textId="77777777" w:rsidR="00F956B0" w:rsidRPr="00F956B0" w:rsidRDefault="00F956B0" w:rsidP="00F956B0">
      <w:pPr>
        <w:pStyle w:val="ListParagraph"/>
        <w:numPr>
          <w:ilvl w:val="0"/>
          <w:numId w:val="14"/>
        </w:numPr>
        <w:rPr>
          <w:rFonts w:ascii="Times New Roman" w:hAnsi="Times New Roman" w:cs="Times New Roman"/>
          <w:szCs w:val="24"/>
        </w:rPr>
      </w:pPr>
      <w:r w:rsidRPr="00F956B0">
        <w:rPr>
          <w:rFonts w:ascii="Times New Roman" w:hAnsi="Times New Roman" w:cs="Times New Roman"/>
          <w:szCs w:val="24"/>
        </w:rPr>
        <w:t xml:space="preserve">Agrawal, A. (1995). Dismantling the divide between Indigenous and scientific knowledge. </w:t>
      </w:r>
      <w:r w:rsidRPr="00F956B0">
        <w:rPr>
          <w:rFonts w:ascii="Times New Roman" w:hAnsi="Times New Roman" w:cs="Times New Roman"/>
          <w:i/>
          <w:iCs/>
          <w:szCs w:val="24"/>
        </w:rPr>
        <w:t>Development and Change</w:t>
      </w:r>
      <w:r w:rsidRPr="00F956B0">
        <w:rPr>
          <w:rFonts w:ascii="Times New Roman" w:hAnsi="Times New Roman" w:cs="Times New Roman"/>
          <w:szCs w:val="24"/>
        </w:rPr>
        <w:t>, 26(3), 413–439.</w:t>
      </w:r>
    </w:p>
    <w:p w14:paraId="1ADC2490" w14:textId="77777777" w:rsidR="00F956B0" w:rsidRPr="00F956B0" w:rsidRDefault="00F956B0" w:rsidP="00F956B0">
      <w:pPr>
        <w:pStyle w:val="ListParagraph"/>
        <w:numPr>
          <w:ilvl w:val="0"/>
          <w:numId w:val="14"/>
        </w:numPr>
        <w:rPr>
          <w:rFonts w:ascii="Times New Roman" w:hAnsi="Times New Roman" w:cs="Times New Roman"/>
          <w:szCs w:val="24"/>
        </w:rPr>
      </w:pPr>
      <w:r w:rsidRPr="00F956B0">
        <w:rPr>
          <w:rFonts w:ascii="Times New Roman" w:hAnsi="Times New Roman" w:cs="Times New Roman"/>
          <w:szCs w:val="24"/>
        </w:rPr>
        <w:t xml:space="preserve">Altieri, M. A. (2004). </w:t>
      </w:r>
      <w:r w:rsidRPr="00F956B0">
        <w:rPr>
          <w:rFonts w:ascii="Times New Roman" w:hAnsi="Times New Roman" w:cs="Times New Roman"/>
          <w:i/>
          <w:iCs/>
          <w:szCs w:val="24"/>
        </w:rPr>
        <w:t>Agroecology: The science of sustainable agriculture</w:t>
      </w:r>
      <w:r w:rsidRPr="00F956B0">
        <w:rPr>
          <w:rFonts w:ascii="Times New Roman" w:hAnsi="Times New Roman" w:cs="Times New Roman"/>
          <w:szCs w:val="24"/>
        </w:rPr>
        <w:t>. CRC Press.</w:t>
      </w:r>
    </w:p>
    <w:p w14:paraId="0A73671B" w14:textId="77777777" w:rsidR="00F956B0" w:rsidRPr="00F956B0" w:rsidRDefault="00F956B0" w:rsidP="00F956B0">
      <w:pPr>
        <w:pStyle w:val="ListParagraph"/>
        <w:numPr>
          <w:ilvl w:val="0"/>
          <w:numId w:val="14"/>
        </w:numPr>
        <w:rPr>
          <w:rFonts w:ascii="Times New Roman" w:hAnsi="Times New Roman" w:cs="Times New Roman"/>
          <w:szCs w:val="24"/>
        </w:rPr>
      </w:pPr>
      <w:r w:rsidRPr="00F956B0">
        <w:rPr>
          <w:rFonts w:ascii="Times New Roman" w:hAnsi="Times New Roman" w:cs="Times New Roman"/>
          <w:szCs w:val="24"/>
        </w:rPr>
        <w:t xml:space="preserve">Anderson, E. N. (2005). </w:t>
      </w:r>
      <w:r w:rsidRPr="00F956B0">
        <w:rPr>
          <w:rFonts w:ascii="Times New Roman" w:hAnsi="Times New Roman" w:cs="Times New Roman"/>
          <w:i/>
          <w:iCs/>
          <w:szCs w:val="24"/>
        </w:rPr>
        <w:t>Tending the wild: Native American knowledge and the management of California’s natural resources</w:t>
      </w:r>
      <w:r w:rsidRPr="00F956B0">
        <w:rPr>
          <w:rFonts w:ascii="Times New Roman" w:hAnsi="Times New Roman" w:cs="Times New Roman"/>
          <w:szCs w:val="24"/>
        </w:rPr>
        <w:t>. University of California Press.</w:t>
      </w:r>
    </w:p>
    <w:p w14:paraId="08473288" w14:textId="77777777" w:rsidR="00F956B0" w:rsidRPr="00F956B0" w:rsidRDefault="00F956B0" w:rsidP="00F956B0">
      <w:pPr>
        <w:pStyle w:val="ListParagraph"/>
        <w:numPr>
          <w:ilvl w:val="0"/>
          <w:numId w:val="14"/>
        </w:numPr>
        <w:rPr>
          <w:rFonts w:ascii="Times New Roman" w:hAnsi="Times New Roman" w:cs="Times New Roman"/>
          <w:szCs w:val="24"/>
        </w:rPr>
      </w:pPr>
      <w:r w:rsidRPr="00F956B0">
        <w:rPr>
          <w:rFonts w:ascii="Times New Roman" w:hAnsi="Times New Roman" w:cs="Times New Roman"/>
          <w:szCs w:val="24"/>
        </w:rPr>
        <w:t xml:space="preserve">Berkes, F. (2012). </w:t>
      </w:r>
      <w:r w:rsidRPr="00F956B0">
        <w:rPr>
          <w:rFonts w:ascii="Times New Roman" w:hAnsi="Times New Roman" w:cs="Times New Roman"/>
          <w:i/>
          <w:iCs/>
          <w:szCs w:val="24"/>
        </w:rPr>
        <w:t>Sacred ecology</w:t>
      </w:r>
      <w:r w:rsidRPr="00F956B0">
        <w:rPr>
          <w:rFonts w:ascii="Times New Roman" w:hAnsi="Times New Roman" w:cs="Times New Roman"/>
          <w:szCs w:val="24"/>
        </w:rPr>
        <w:t xml:space="preserve"> (4th ed.). Routledge.</w:t>
      </w:r>
    </w:p>
    <w:p w14:paraId="2E6A35F8" w14:textId="77777777" w:rsidR="00F956B0" w:rsidRPr="00F956B0" w:rsidRDefault="00F956B0" w:rsidP="00F956B0">
      <w:pPr>
        <w:pStyle w:val="ListParagraph"/>
        <w:numPr>
          <w:ilvl w:val="0"/>
          <w:numId w:val="14"/>
        </w:numPr>
        <w:rPr>
          <w:rFonts w:ascii="Times New Roman" w:hAnsi="Times New Roman" w:cs="Times New Roman"/>
          <w:szCs w:val="24"/>
        </w:rPr>
      </w:pPr>
      <w:r w:rsidRPr="00F956B0">
        <w:rPr>
          <w:rFonts w:ascii="Times New Roman" w:hAnsi="Times New Roman" w:cs="Times New Roman"/>
          <w:szCs w:val="24"/>
        </w:rPr>
        <w:t xml:space="preserve">Berkes, F., Colding, J., &amp; Folke, C. (2000). Rediscovery of traditional ecological knowledge as adaptive management. </w:t>
      </w:r>
      <w:r w:rsidRPr="00F956B0">
        <w:rPr>
          <w:rFonts w:ascii="Times New Roman" w:hAnsi="Times New Roman" w:cs="Times New Roman"/>
          <w:i/>
          <w:iCs/>
          <w:szCs w:val="24"/>
        </w:rPr>
        <w:t>Ecological Applications</w:t>
      </w:r>
      <w:r w:rsidRPr="00F956B0">
        <w:rPr>
          <w:rFonts w:ascii="Times New Roman" w:hAnsi="Times New Roman" w:cs="Times New Roman"/>
          <w:szCs w:val="24"/>
        </w:rPr>
        <w:t>, 10(5), 1251–1262.</w:t>
      </w:r>
    </w:p>
    <w:p w14:paraId="3BA5252A" w14:textId="77777777" w:rsidR="00F956B0" w:rsidRPr="00F956B0" w:rsidRDefault="00F956B0" w:rsidP="00F956B0">
      <w:pPr>
        <w:pStyle w:val="ListParagraph"/>
        <w:numPr>
          <w:ilvl w:val="0"/>
          <w:numId w:val="14"/>
        </w:numPr>
        <w:rPr>
          <w:rFonts w:ascii="Times New Roman" w:hAnsi="Times New Roman" w:cs="Times New Roman"/>
          <w:szCs w:val="24"/>
        </w:rPr>
      </w:pPr>
      <w:r w:rsidRPr="00F956B0">
        <w:rPr>
          <w:rFonts w:ascii="Times New Roman" w:hAnsi="Times New Roman" w:cs="Times New Roman"/>
          <w:szCs w:val="24"/>
        </w:rPr>
        <w:t xml:space="preserve">Berkes, F., &amp; Turner, N. J. (2006). Knowledge, learning, and the evolution of conservation practice. </w:t>
      </w:r>
      <w:r w:rsidRPr="00F956B0">
        <w:rPr>
          <w:rFonts w:ascii="Times New Roman" w:hAnsi="Times New Roman" w:cs="Times New Roman"/>
          <w:i/>
          <w:iCs/>
          <w:szCs w:val="24"/>
        </w:rPr>
        <w:t>Human Ecology</w:t>
      </w:r>
      <w:r w:rsidRPr="00F956B0">
        <w:rPr>
          <w:rFonts w:ascii="Times New Roman" w:hAnsi="Times New Roman" w:cs="Times New Roman"/>
          <w:szCs w:val="24"/>
        </w:rPr>
        <w:t>, 34(4), 479–494.</w:t>
      </w:r>
    </w:p>
    <w:p w14:paraId="498F8D54" w14:textId="77777777" w:rsidR="00F956B0" w:rsidRPr="00F956B0" w:rsidRDefault="00F956B0" w:rsidP="00F956B0">
      <w:pPr>
        <w:pStyle w:val="ListParagraph"/>
        <w:numPr>
          <w:ilvl w:val="0"/>
          <w:numId w:val="14"/>
        </w:numPr>
        <w:rPr>
          <w:rFonts w:ascii="Times New Roman" w:hAnsi="Times New Roman" w:cs="Times New Roman"/>
          <w:szCs w:val="24"/>
        </w:rPr>
      </w:pPr>
      <w:r w:rsidRPr="00F956B0">
        <w:rPr>
          <w:rFonts w:ascii="Times New Roman" w:hAnsi="Times New Roman" w:cs="Times New Roman"/>
          <w:szCs w:val="24"/>
        </w:rPr>
        <w:t xml:space="preserve">Bhagwat, S. A., &amp; Rutte, C. (2006). Sacred groves: Potential for biodiversity management. </w:t>
      </w:r>
      <w:r w:rsidRPr="00F956B0">
        <w:rPr>
          <w:rFonts w:ascii="Times New Roman" w:hAnsi="Times New Roman" w:cs="Times New Roman"/>
          <w:i/>
          <w:iCs/>
          <w:szCs w:val="24"/>
        </w:rPr>
        <w:t>Biological Conservation</w:t>
      </w:r>
      <w:r w:rsidRPr="00F956B0">
        <w:rPr>
          <w:rFonts w:ascii="Times New Roman" w:hAnsi="Times New Roman" w:cs="Times New Roman"/>
          <w:szCs w:val="24"/>
        </w:rPr>
        <w:t>, 134(2), 232–242.</w:t>
      </w:r>
    </w:p>
    <w:p w14:paraId="232DBDE3" w14:textId="77777777" w:rsidR="00F956B0" w:rsidRPr="00F956B0" w:rsidRDefault="00F956B0" w:rsidP="00F956B0">
      <w:pPr>
        <w:pStyle w:val="ListParagraph"/>
        <w:numPr>
          <w:ilvl w:val="0"/>
          <w:numId w:val="14"/>
        </w:numPr>
        <w:rPr>
          <w:rFonts w:ascii="Times New Roman" w:hAnsi="Times New Roman" w:cs="Times New Roman"/>
          <w:szCs w:val="24"/>
        </w:rPr>
      </w:pPr>
      <w:r w:rsidRPr="00F956B0">
        <w:rPr>
          <w:rFonts w:ascii="Times New Roman" w:hAnsi="Times New Roman" w:cs="Times New Roman"/>
          <w:szCs w:val="24"/>
        </w:rPr>
        <w:t xml:space="preserve">CBD Secretariat. (2011). </w:t>
      </w:r>
      <w:proofErr w:type="spellStart"/>
      <w:proofErr w:type="gramStart"/>
      <w:r w:rsidRPr="00F956B0">
        <w:rPr>
          <w:rFonts w:ascii="Times New Roman" w:hAnsi="Times New Roman" w:cs="Times New Roman"/>
          <w:i/>
          <w:iCs/>
          <w:szCs w:val="24"/>
        </w:rPr>
        <w:t>Tkarihwaié:ri</w:t>
      </w:r>
      <w:proofErr w:type="spellEnd"/>
      <w:proofErr w:type="gramEnd"/>
      <w:r w:rsidRPr="00F956B0">
        <w:rPr>
          <w:rFonts w:ascii="Times New Roman" w:hAnsi="Times New Roman" w:cs="Times New Roman"/>
          <w:i/>
          <w:iCs/>
          <w:szCs w:val="24"/>
        </w:rPr>
        <w:t xml:space="preserve"> Code of Ethical Conduct</w:t>
      </w:r>
      <w:r w:rsidRPr="00F956B0">
        <w:rPr>
          <w:rFonts w:ascii="Times New Roman" w:hAnsi="Times New Roman" w:cs="Times New Roman"/>
          <w:szCs w:val="24"/>
        </w:rPr>
        <w:t>. Convention on Biological Diversity.</w:t>
      </w:r>
    </w:p>
    <w:p w14:paraId="2CDA764C" w14:textId="77777777" w:rsidR="00F956B0" w:rsidRPr="00F956B0" w:rsidRDefault="00F956B0" w:rsidP="00F956B0">
      <w:pPr>
        <w:pStyle w:val="ListParagraph"/>
        <w:numPr>
          <w:ilvl w:val="0"/>
          <w:numId w:val="14"/>
        </w:numPr>
        <w:rPr>
          <w:rFonts w:ascii="Times New Roman" w:hAnsi="Times New Roman" w:cs="Times New Roman"/>
          <w:szCs w:val="24"/>
        </w:rPr>
      </w:pPr>
      <w:r w:rsidRPr="00F956B0">
        <w:rPr>
          <w:rFonts w:ascii="Times New Roman" w:hAnsi="Times New Roman" w:cs="Times New Roman"/>
          <w:szCs w:val="24"/>
        </w:rPr>
        <w:t xml:space="preserve">Chhatre, A., &amp; Agrawal, A. (2009). Trade-offs and synergies between carbon storage and livelihood benefits from forest commons. </w:t>
      </w:r>
      <w:r w:rsidRPr="00F956B0">
        <w:rPr>
          <w:rFonts w:ascii="Times New Roman" w:hAnsi="Times New Roman" w:cs="Times New Roman"/>
          <w:i/>
          <w:iCs/>
          <w:szCs w:val="24"/>
        </w:rPr>
        <w:t>Proceedings of the National Academy of Sciences</w:t>
      </w:r>
      <w:r w:rsidRPr="00F956B0">
        <w:rPr>
          <w:rFonts w:ascii="Times New Roman" w:hAnsi="Times New Roman" w:cs="Times New Roman"/>
          <w:szCs w:val="24"/>
        </w:rPr>
        <w:t>, 106(42), 17667–17670.</w:t>
      </w:r>
    </w:p>
    <w:p w14:paraId="53F90A5D" w14:textId="77777777" w:rsidR="00F956B0" w:rsidRPr="00F956B0" w:rsidRDefault="00F956B0" w:rsidP="00F956B0">
      <w:pPr>
        <w:pStyle w:val="ListParagraph"/>
        <w:numPr>
          <w:ilvl w:val="0"/>
          <w:numId w:val="14"/>
        </w:numPr>
        <w:rPr>
          <w:rFonts w:ascii="Times New Roman" w:hAnsi="Times New Roman" w:cs="Times New Roman"/>
          <w:szCs w:val="24"/>
        </w:rPr>
      </w:pPr>
      <w:proofErr w:type="spellStart"/>
      <w:r w:rsidRPr="00F956B0">
        <w:rPr>
          <w:rFonts w:ascii="Times New Roman" w:hAnsi="Times New Roman" w:cs="Times New Roman"/>
          <w:szCs w:val="24"/>
        </w:rPr>
        <w:t>Dutfield</w:t>
      </w:r>
      <w:proofErr w:type="spellEnd"/>
      <w:r w:rsidRPr="00F956B0">
        <w:rPr>
          <w:rFonts w:ascii="Times New Roman" w:hAnsi="Times New Roman" w:cs="Times New Roman"/>
          <w:szCs w:val="24"/>
        </w:rPr>
        <w:t xml:space="preserve">, G. (2004). </w:t>
      </w:r>
      <w:r w:rsidRPr="00F956B0">
        <w:rPr>
          <w:rFonts w:ascii="Times New Roman" w:hAnsi="Times New Roman" w:cs="Times New Roman"/>
          <w:i/>
          <w:iCs/>
          <w:szCs w:val="24"/>
        </w:rPr>
        <w:t>Intellectual property, biogenetic resources and traditional knowledge</w:t>
      </w:r>
      <w:r w:rsidRPr="00F956B0">
        <w:rPr>
          <w:rFonts w:ascii="Times New Roman" w:hAnsi="Times New Roman" w:cs="Times New Roman"/>
          <w:szCs w:val="24"/>
        </w:rPr>
        <w:t>. Earthscan.</w:t>
      </w:r>
    </w:p>
    <w:p w14:paraId="140F79F0" w14:textId="77777777" w:rsidR="00F956B0" w:rsidRPr="00F956B0" w:rsidRDefault="00F956B0" w:rsidP="00F956B0">
      <w:pPr>
        <w:pStyle w:val="ListParagraph"/>
        <w:numPr>
          <w:ilvl w:val="0"/>
          <w:numId w:val="14"/>
        </w:numPr>
        <w:rPr>
          <w:rFonts w:ascii="Times New Roman" w:hAnsi="Times New Roman" w:cs="Times New Roman"/>
          <w:szCs w:val="24"/>
        </w:rPr>
      </w:pPr>
      <w:r w:rsidRPr="00F956B0">
        <w:rPr>
          <w:rFonts w:ascii="Times New Roman" w:hAnsi="Times New Roman" w:cs="Times New Roman"/>
          <w:szCs w:val="24"/>
        </w:rPr>
        <w:lastRenderedPageBreak/>
        <w:t xml:space="preserve">Folke, C., Hahn, T., Olsson, P., &amp; Norberg, J. (2005). Adaptive governance of social–ecological systems. </w:t>
      </w:r>
      <w:r w:rsidRPr="00F956B0">
        <w:rPr>
          <w:rFonts w:ascii="Times New Roman" w:hAnsi="Times New Roman" w:cs="Times New Roman"/>
          <w:i/>
          <w:iCs/>
          <w:szCs w:val="24"/>
        </w:rPr>
        <w:t>Annual Review of Environment and Resources</w:t>
      </w:r>
      <w:r w:rsidRPr="00F956B0">
        <w:rPr>
          <w:rFonts w:ascii="Times New Roman" w:hAnsi="Times New Roman" w:cs="Times New Roman"/>
          <w:szCs w:val="24"/>
        </w:rPr>
        <w:t>, 30, 441–473.</w:t>
      </w:r>
    </w:p>
    <w:p w14:paraId="30C5B219" w14:textId="77777777" w:rsidR="00F956B0" w:rsidRPr="00F956B0" w:rsidRDefault="00F956B0" w:rsidP="00F956B0">
      <w:pPr>
        <w:pStyle w:val="ListParagraph"/>
        <w:numPr>
          <w:ilvl w:val="0"/>
          <w:numId w:val="14"/>
        </w:numPr>
        <w:rPr>
          <w:rFonts w:ascii="Times New Roman" w:hAnsi="Times New Roman" w:cs="Times New Roman"/>
          <w:szCs w:val="24"/>
        </w:rPr>
      </w:pPr>
      <w:r w:rsidRPr="00F956B0">
        <w:rPr>
          <w:rFonts w:ascii="Times New Roman" w:hAnsi="Times New Roman" w:cs="Times New Roman"/>
          <w:szCs w:val="24"/>
        </w:rPr>
        <w:t xml:space="preserve">Ford, J. D. (2012). Indigenous health and climate change. </w:t>
      </w:r>
      <w:r w:rsidRPr="00F956B0">
        <w:rPr>
          <w:rFonts w:ascii="Times New Roman" w:hAnsi="Times New Roman" w:cs="Times New Roman"/>
          <w:i/>
          <w:iCs/>
          <w:szCs w:val="24"/>
        </w:rPr>
        <w:t>American Journal of Public Health</w:t>
      </w:r>
      <w:r w:rsidRPr="00F956B0">
        <w:rPr>
          <w:rFonts w:ascii="Times New Roman" w:hAnsi="Times New Roman" w:cs="Times New Roman"/>
          <w:szCs w:val="24"/>
        </w:rPr>
        <w:t>, 102(7), 1260–1266.</w:t>
      </w:r>
    </w:p>
    <w:p w14:paraId="2B4E2E9E" w14:textId="77777777" w:rsidR="00F956B0" w:rsidRPr="00F956B0" w:rsidRDefault="00F956B0" w:rsidP="00F956B0">
      <w:pPr>
        <w:pStyle w:val="ListParagraph"/>
        <w:numPr>
          <w:ilvl w:val="0"/>
          <w:numId w:val="14"/>
        </w:numPr>
        <w:rPr>
          <w:rFonts w:ascii="Times New Roman" w:hAnsi="Times New Roman" w:cs="Times New Roman"/>
          <w:szCs w:val="24"/>
        </w:rPr>
      </w:pPr>
      <w:r w:rsidRPr="00F956B0">
        <w:rPr>
          <w:rFonts w:ascii="Times New Roman" w:hAnsi="Times New Roman" w:cs="Times New Roman"/>
          <w:szCs w:val="24"/>
        </w:rPr>
        <w:t xml:space="preserve">Gadgil, M., &amp; Guha, R. (1992). </w:t>
      </w:r>
      <w:r w:rsidRPr="00F956B0">
        <w:rPr>
          <w:rFonts w:ascii="Times New Roman" w:hAnsi="Times New Roman" w:cs="Times New Roman"/>
          <w:i/>
          <w:iCs/>
          <w:szCs w:val="24"/>
        </w:rPr>
        <w:t>This fissured land: An ecological history of India</w:t>
      </w:r>
      <w:r w:rsidRPr="00F956B0">
        <w:rPr>
          <w:rFonts w:ascii="Times New Roman" w:hAnsi="Times New Roman" w:cs="Times New Roman"/>
          <w:szCs w:val="24"/>
        </w:rPr>
        <w:t>. Oxford University Press.</w:t>
      </w:r>
    </w:p>
    <w:p w14:paraId="715F2C73" w14:textId="77777777" w:rsidR="00F956B0" w:rsidRPr="00F956B0" w:rsidRDefault="00F956B0" w:rsidP="00F956B0">
      <w:pPr>
        <w:pStyle w:val="ListParagraph"/>
        <w:numPr>
          <w:ilvl w:val="0"/>
          <w:numId w:val="14"/>
        </w:numPr>
        <w:rPr>
          <w:rFonts w:ascii="Times New Roman" w:hAnsi="Times New Roman" w:cs="Times New Roman"/>
          <w:szCs w:val="24"/>
        </w:rPr>
      </w:pPr>
      <w:r w:rsidRPr="00F956B0">
        <w:rPr>
          <w:rFonts w:ascii="Times New Roman" w:hAnsi="Times New Roman" w:cs="Times New Roman"/>
          <w:szCs w:val="24"/>
        </w:rPr>
        <w:t xml:space="preserve">Gadgil, M., Berkes, F., &amp; Folke, C. (1993). Indigenous knowledge for biodiversity conservation. </w:t>
      </w:r>
      <w:proofErr w:type="spellStart"/>
      <w:r w:rsidRPr="00F956B0">
        <w:rPr>
          <w:rFonts w:ascii="Times New Roman" w:hAnsi="Times New Roman" w:cs="Times New Roman"/>
          <w:i/>
          <w:iCs/>
          <w:szCs w:val="24"/>
        </w:rPr>
        <w:t>Ambio</w:t>
      </w:r>
      <w:proofErr w:type="spellEnd"/>
      <w:r w:rsidRPr="00F956B0">
        <w:rPr>
          <w:rFonts w:ascii="Times New Roman" w:hAnsi="Times New Roman" w:cs="Times New Roman"/>
          <w:szCs w:val="24"/>
        </w:rPr>
        <w:t>, 22(2–3), 151–156.</w:t>
      </w:r>
    </w:p>
    <w:p w14:paraId="6B393BCC" w14:textId="77777777" w:rsidR="00F956B0" w:rsidRPr="00F956B0" w:rsidRDefault="00F956B0" w:rsidP="00F956B0">
      <w:pPr>
        <w:pStyle w:val="ListParagraph"/>
        <w:numPr>
          <w:ilvl w:val="0"/>
          <w:numId w:val="14"/>
        </w:numPr>
        <w:rPr>
          <w:rFonts w:ascii="Times New Roman" w:hAnsi="Times New Roman" w:cs="Times New Roman"/>
          <w:szCs w:val="24"/>
        </w:rPr>
      </w:pPr>
      <w:r w:rsidRPr="00F956B0">
        <w:rPr>
          <w:rFonts w:ascii="Times New Roman" w:hAnsi="Times New Roman" w:cs="Times New Roman"/>
          <w:szCs w:val="24"/>
        </w:rPr>
        <w:t xml:space="preserve">IPBES. (2019). </w:t>
      </w:r>
      <w:r w:rsidRPr="00F956B0">
        <w:rPr>
          <w:rFonts w:ascii="Times New Roman" w:hAnsi="Times New Roman" w:cs="Times New Roman"/>
          <w:i/>
          <w:iCs/>
          <w:szCs w:val="24"/>
        </w:rPr>
        <w:t>Global assessment report on biodiversity and ecosystem services</w:t>
      </w:r>
      <w:r w:rsidRPr="00F956B0">
        <w:rPr>
          <w:rFonts w:ascii="Times New Roman" w:hAnsi="Times New Roman" w:cs="Times New Roman"/>
          <w:szCs w:val="24"/>
        </w:rPr>
        <w:t>. Intergovernmental Science-Policy Platform on Biodiversity and Ecosystem Services.</w:t>
      </w:r>
    </w:p>
    <w:p w14:paraId="0DB8036A" w14:textId="77777777" w:rsidR="00F956B0" w:rsidRPr="00F956B0" w:rsidRDefault="00F956B0" w:rsidP="00F956B0">
      <w:pPr>
        <w:pStyle w:val="ListParagraph"/>
        <w:numPr>
          <w:ilvl w:val="0"/>
          <w:numId w:val="14"/>
        </w:numPr>
        <w:rPr>
          <w:rFonts w:ascii="Times New Roman" w:hAnsi="Times New Roman" w:cs="Times New Roman"/>
          <w:szCs w:val="24"/>
        </w:rPr>
      </w:pPr>
      <w:r w:rsidRPr="00F956B0">
        <w:rPr>
          <w:rFonts w:ascii="Times New Roman" w:hAnsi="Times New Roman" w:cs="Times New Roman"/>
          <w:szCs w:val="24"/>
        </w:rPr>
        <w:t xml:space="preserve">IPCC. (2022). </w:t>
      </w:r>
      <w:r w:rsidRPr="00F956B0">
        <w:rPr>
          <w:rFonts w:ascii="Times New Roman" w:hAnsi="Times New Roman" w:cs="Times New Roman"/>
          <w:i/>
          <w:iCs/>
          <w:szCs w:val="24"/>
        </w:rPr>
        <w:t>Sixth Assessment Report: Impacts, Adaptation and Vulnerability</w:t>
      </w:r>
      <w:r w:rsidRPr="00F956B0">
        <w:rPr>
          <w:rFonts w:ascii="Times New Roman" w:hAnsi="Times New Roman" w:cs="Times New Roman"/>
          <w:szCs w:val="24"/>
        </w:rPr>
        <w:t>. Intergovernmental Panel on Climate Change.</w:t>
      </w:r>
    </w:p>
    <w:p w14:paraId="6767A830" w14:textId="77777777" w:rsidR="00F956B0" w:rsidRPr="00F956B0" w:rsidRDefault="00F956B0" w:rsidP="00F956B0">
      <w:pPr>
        <w:pStyle w:val="ListParagraph"/>
        <w:numPr>
          <w:ilvl w:val="0"/>
          <w:numId w:val="14"/>
        </w:numPr>
        <w:rPr>
          <w:rFonts w:ascii="Times New Roman" w:hAnsi="Times New Roman" w:cs="Times New Roman"/>
          <w:szCs w:val="24"/>
        </w:rPr>
      </w:pPr>
      <w:r w:rsidRPr="00F956B0">
        <w:rPr>
          <w:rFonts w:ascii="Times New Roman" w:hAnsi="Times New Roman" w:cs="Times New Roman"/>
          <w:szCs w:val="24"/>
        </w:rPr>
        <w:t xml:space="preserve">Kimmerer, R. W. (2013). </w:t>
      </w:r>
      <w:r w:rsidRPr="00F956B0">
        <w:rPr>
          <w:rFonts w:ascii="Times New Roman" w:hAnsi="Times New Roman" w:cs="Times New Roman"/>
          <w:i/>
          <w:iCs/>
          <w:szCs w:val="24"/>
        </w:rPr>
        <w:t>Braiding sweetgrass: Indigenous wisdom, scientific knowledge and the teachings of plants</w:t>
      </w:r>
      <w:r w:rsidRPr="00F956B0">
        <w:rPr>
          <w:rFonts w:ascii="Times New Roman" w:hAnsi="Times New Roman" w:cs="Times New Roman"/>
          <w:szCs w:val="24"/>
        </w:rPr>
        <w:t>. Milkweed Editions.</w:t>
      </w:r>
    </w:p>
    <w:p w14:paraId="0EAC1980" w14:textId="77777777" w:rsidR="00F956B0" w:rsidRPr="00F956B0" w:rsidRDefault="00F956B0" w:rsidP="00F956B0">
      <w:pPr>
        <w:pStyle w:val="ListParagraph"/>
        <w:numPr>
          <w:ilvl w:val="0"/>
          <w:numId w:val="14"/>
        </w:numPr>
        <w:rPr>
          <w:rFonts w:ascii="Times New Roman" w:hAnsi="Times New Roman" w:cs="Times New Roman"/>
          <w:szCs w:val="24"/>
        </w:rPr>
      </w:pPr>
      <w:r w:rsidRPr="00F956B0">
        <w:rPr>
          <w:rFonts w:ascii="Times New Roman" w:hAnsi="Times New Roman" w:cs="Times New Roman"/>
          <w:szCs w:val="24"/>
        </w:rPr>
        <w:t xml:space="preserve">Krupnik, I., &amp; Jolly, D. (2002). </w:t>
      </w:r>
      <w:r w:rsidRPr="00F956B0">
        <w:rPr>
          <w:rFonts w:ascii="Times New Roman" w:hAnsi="Times New Roman" w:cs="Times New Roman"/>
          <w:i/>
          <w:iCs/>
          <w:szCs w:val="24"/>
        </w:rPr>
        <w:t>The Earth is faster now: Indigenous observations of Arctic environmental change</w:t>
      </w:r>
      <w:r w:rsidRPr="00F956B0">
        <w:rPr>
          <w:rFonts w:ascii="Times New Roman" w:hAnsi="Times New Roman" w:cs="Times New Roman"/>
          <w:szCs w:val="24"/>
        </w:rPr>
        <w:t>. ARCUS.</w:t>
      </w:r>
    </w:p>
    <w:p w14:paraId="7B5AF1BA" w14:textId="77777777" w:rsidR="00F956B0" w:rsidRPr="00F956B0" w:rsidRDefault="00F956B0" w:rsidP="00F956B0">
      <w:pPr>
        <w:pStyle w:val="ListParagraph"/>
        <w:numPr>
          <w:ilvl w:val="0"/>
          <w:numId w:val="14"/>
        </w:numPr>
        <w:rPr>
          <w:rFonts w:ascii="Times New Roman" w:hAnsi="Times New Roman" w:cs="Times New Roman"/>
          <w:szCs w:val="24"/>
        </w:rPr>
      </w:pPr>
      <w:r w:rsidRPr="00F956B0">
        <w:rPr>
          <w:rFonts w:ascii="Times New Roman" w:hAnsi="Times New Roman" w:cs="Times New Roman"/>
          <w:szCs w:val="24"/>
        </w:rPr>
        <w:t xml:space="preserve">Mistry, J., &amp; Berardi, A. (2016). Bridging Indigenous and scientific knowledge. </w:t>
      </w:r>
      <w:r w:rsidRPr="00F956B0">
        <w:rPr>
          <w:rFonts w:ascii="Times New Roman" w:hAnsi="Times New Roman" w:cs="Times New Roman"/>
          <w:i/>
          <w:iCs/>
          <w:szCs w:val="24"/>
        </w:rPr>
        <w:t>Current Opinion in Environmental Sustainability</w:t>
      </w:r>
      <w:r w:rsidRPr="00F956B0">
        <w:rPr>
          <w:rFonts w:ascii="Times New Roman" w:hAnsi="Times New Roman" w:cs="Times New Roman"/>
          <w:szCs w:val="24"/>
        </w:rPr>
        <w:t>, 19, 67–75.</w:t>
      </w:r>
    </w:p>
    <w:p w14:paraId="6AF86F8B" w14:textId="77777777" w:rsidR="00F956B0" w:rsidRPr="00F956B0" w:rsidRDefault="00F956B0" w:rsidP="00F956B0">
      <w:pPr>
        <w:pStyle w:val="ListParagraph"/>
        <w:numPr>
          <w:ilvl w:val="0"/>
          <w:numId w:val="14"/>
        </w:numPr>
        <w:rPr>
          <w:rFonts w:ascii="Times New Roman" w:hAnsi="Times New Roman" w:cs="Times New Roman"/>
          <w:szCs w:val="24"/>
        </w:rPr>
      </w:pPr>
      <w:r w:rsidRPr="00F956B0">
        <w:rPr>
          <w:rFonts w:ascii="Times New Roman" w:hAnsi="Times New Roman" w:cs="Times New Roman"/>
          <w:szCs w:val="24"/>
        </w:rPr>
        <w:t xml:space="preserve">Posey, D. A. (1999). </w:t>
      </w:r>
      <w:r w:rsidRPr="00F956B0">
        <w:rPr>
          <w:rFonts w:ascii="Times New Roman" w:hAnsi="Times New Roman" w:cs="Times New Roman"/>
          <w:i/>
          <w:iCs/>
          <w:szCs w:val="24"/>
        </w:rPr>
        <w:t>Cultural and spiritual values of biodiversity</w:t>
      </w:r>
      <w:r w:rsidRPr="00F956B0">
        <w:rPr>
          <w:rFonts w:ascii="Times New Roman" w:hAnsi="Times New Roman" w:cs="Times New Roman"/>
          <w:szCs w:val="24"/>
        </w:rPr>
        <w:t>. UNEP.</w:t>
      </w:r>
    </w:p>
    <w:p w14:paraId="57DC14D1" w14:textId="77777777" w:rsidR="00F956B0" w:rsidRPr="00F956B0" w:rsidRDefault="00F956B0" w:rsidP="00F956B0">
      <w:pPr>
        <w:pStyle w:val="ListParagraph"/>
        <w:numPr>
          <w:ilvl w:val="0"/>
          <w:numId w:val="14"/>
        </w:numPr>
        <w:rPr>
          <w:rFonts w:ascii="Times New Roman" w:hAnsi="Times New Roman" w:cs="Times New Roman"/>
          <w:szCs w:val="24"/>
        </w:rPr>
      </w:pPr>
      <w:r w:rsidRPr="00F956B0">
        <w:rPr>
          <w:rFonts w:ascii="Times New Roman" w:hAnsi="Times New Roman" w:cs="Times New Roman"/>
          <w:szCs w:val="24"/>
        </w:rPr>
        <w:t xml:space="preserve">Reyes-García, V. (2015). The value of traditional knowledge for ethnopharmacology. </w:t>
      </w:r>
      <w:r w:rsidRPr="00F956B0">
        <w:rPr>
          <w:rFonts w:ascii="Times New Roman" w:hAnsi="Times New Roman" w:cs="Times New Roman"/>
          <w:i/>
          <w:iCs/>
          <w:szCs w:val="24"/>
        </w:rPr>
        <w:t>Journal of Ethnopharmacology</w:t>
      </w:r>
      <w:r w:rsidRPr="00F956B0">
        <w:rPr>
          <w:rFonts w:ascii="Times New Roman" w:hAnsi="Times New Roman" w:cs="Times New Roman"/>
          <w:szCs w:val="24"/>
        </w:rPr>
        <w:t>, 161, 1–7.</w:t>
      </w:r>
    </w:p>
    <w:p w14:paraId="3117705E" w14:textId="77777777" w:rsidR="00F956B0" w:rsidRPr="00F956B0" w:rsidRDefault="00F956B0" w:rsidP="00F956B0">
      <w:pPr>
        <w:pStyle w:val="ListParagraph"/>
        <w:numPr>
          <w:ilvl w:val="0"/>
          <w:numId w:val="14"/>
        </w:numPr>
        <w:rPr>
          <w:rFonts w:ascii="Times New Roman" w:hAnsi="Times New Roman" w:cs="Times New Roman"/>
          <w:szCs w:val="24"/>
        </w:rPr>
      </w:pPr>
      <w:r w:rsidRPr="00F956B0">
        <w:rPr>
          <w:rFonts w:ascii="Times New Roman" w:hAnsi="Times New Roman" w:cs="Times New Roman"/>
          <w:szCs w:val="24"/>
        </w:rPr>
        <w:t>Reyes-García, V., Fernández-</w:t>
      </w:r>
      <w:proofErr w:type="spellStart"/>
      <w:r w:rsidRPr="00F956B0">
        <w:rPr>
          <w:rFonts w:ascii="Times New Roman" w:hAnsi="Times New Roman" w:cs="Times New Roman"/>
          <w:szCs w:val="24"/>
        </w:rPr>
        <w:t>Llamazares</w:t>
      </w:r>
      <w:proofErr w:type="spellEnd"/>
      <w:r w:rsidRPr="00F956B0">
        <w:rPr>
          <w:rFonts w:ascii="Times New Roman" w:hAnsi="Times New Roman" w:cs="Times New Roman"/>
          <w:szCs w:val="24"/>
        </w:rPr>
        <w:t xml:space="preserve">, Á., McElwee, P., et al. (2019). The contributions of Indigenous Peoples to ecological restoration. </w:t>
      </w:r>
      <w:r w:rsidRPr="00F956B0">
        <w:rPr>
          <w:rFonts w:ascii="Times New Roman" w:hAnsi="Times New Roman" w:cs="Times New Roman"/>
          <w:i/>
          <w:iCs/>
          <w:szCs w:val="24"/>
        </w:rPr>
        <w:t>Nature Sustainability</w:t>
      </w:r>
      <w:r w:rsidRPr="00F956B0">
        <w:rPr>
          <w:rFonts w:ascii="Times New Roman" w:hAnsi="Times New Roman" w:cs="Times New Roman"/>
          <w:szCs w:val="24"/>
        </w:rPr>
        <w:t>, 2, 457–467.</w:t>
      </w:r>
    </w:p>
    <w:p w14:paraId="6B3E82D7" w14:textId="77777777" w:rsidR="00F956B0" w:rsidRPr="00F956B0" w:rsidRDefault="00F956B0" w:rsidP="00F956B0">
      <w:pPr>
        <w:pStyle w:val="ListParagraph"/>
        <w:numPr>
          <w:ilvl w:val="0"/>
          <w:numId w:val="14"/>
        </w:numPr>
        <w:rPr>
          <w:rFonts w:ascii="Times New Roman" w:hAnsi="Times New Roman" w:cs="Times New Roman"/>
          <w:szCs w:val="24"/>
        </w:rPr>
      </w:pPr>
      <w:r w:rsidRPr="00F956B0">
        <w:rPr>
          <w:rFonts w:ascii="Times New Roman" w:hAnsi="Times New Roman" w:cs="Times New Roman"/>
          <w:szCs w:val="24"/>
        </w:rPr>
        <w:t xml:space="preserve">Singh, R. K., &amp; Sureja, A. K. (2006). Community knowledge and sustainable natural resource management. </w:t>
      </w:r>
      <w:r w:rsidRPr="00F956B0">
        <w:rPr>
          <w:rFonts w:ascii="Times New Roman" w:hAnsi="Times New Roman" w:cs="Times New Roman"/>
          <w:i/>
          <w:iCs/>
          <w:szCs w:val="24"/>
        </w:rPr>
        <w:t>Indian Journal of Traditional Knowledge</w:t>
      </w:r>
      <w:r w:rsidRPr="00F956B0">
        <w:rPr>
          <w:rFonts w:ascii="Times New Roman" w:hAnsi="Times New Roman" w:cs="Times New Roman"/>
          <w:szCs w:val="24"/>
        </w:rPr>
        <w:t>, 5(3), 281–283.</w:t>
      </w:r>
    </w:p>
    <w:p w14:paraId="582E50E3" w14:textId="77777777" w:rsidR="00F956B0" w:rsidRPr="00F956B0" w:rsidRDefault="00F956B0" w:rsidP="00F956B0">
      <w:pPr>
        <w:pStyle w:val="ListParagraph"/>
        <w:numPr>
          <w:ilvl w:val="0"/>
          <w:numId w:val="14"/>
        </w:numPr>
        <w:rPr>
          <w:rFonts w:ascii="Times New Roman" w:hAnsi="Times New Roman" w:cs="Times New Roman"/>
          <w:szCs w:val="24"/>
        </w:rPr>
      </w:pPr>
      <w:r w:rsidRPr="00F956B0">
        <w:rPr>
          <w:rFonts w:ascii="Times New Roman" w:hAnsi="Times New Roman" w:cs="Times New Roman"/>
          <w:szCs w:val="24"/>
        </w:rPr>
        <w:t xml:space="preserve">Sillitoe, P. (2007). Local science vs global science. </w:t>
      </w:r>
      <w:r w:rsidRPr="00F956B0">
        <w:rPr>
          <w:rFonts w:ascii="Times New Roman" w:hAnsi="Times New Roman" w:cs="Times New Roman"/>
          <w:i/>
          <w:iCs/>
          <w:szCs w:val="24"/>
        </w:rPr>
        <w:t>World Archaeology</w:t>
      </w:r>
      <w:r w:rsidRPr="00F956B0">
        <w:rPr>
          <w:rFonts w:ascii="Times New Roman" w:hAnsi="Times New Roman" w:cs="Times New Roman"/>
          <w:szCs w:val="24"/>
        </w:rPr>
        <w:t>, 39(3), 357–373.</w:t>
      </w:r>
    </w:p>
    <w:p w14:paraId="03E20C21" w14:textId="77777777" w:rsidR="00F956B0" w:rsidRPr="00F956B0" w:rsidRDefault="00F956B0" w:rsidP="00F956B0">
      <w:pPr>
        <w:pStyle w:val="ListParagraph"/>
        <w:numPr>
          <w:ilvl w:val="0"/>
          <w:numId w:val="14"/>
        </w:numPr>
        <w:rPr>
          <w:rFonts w:ascii="Times New Roman" w:hAnsi="Times New Roman" w:cs="Times New Roman"/>
          <w:szCs w:val="24"/>
        </w:rPr>
      </w:pPr>
      <w:r w:rsidRPr="00F956B0">
        <w:rPr>
          <w:rFonts w:ascii="Times New Roman" w:hAnsi="Times New Roman" w:cs="Times New Roman"/>
          <w:szCs w:val="24"/>
        </w:rPr>
        <w:t xml:space="preserve">United Nations. (2007). </w:t>
      </w:r>
      <w:r w:rsidRPr="00F956B0">
        <w:rPr>
          <w:rFonts w:ascii="Times New Roman" w:hAnsi="Times New Roman" w:cs="Times New Roman"/>
          <w:i/>
          <w:iCs/>
          <w:szCs w:val="24"/>
        </w:rPr>
        <w:t>United Nations Declaration on the Rights of Indigenous Peoples (UNDRIP)</w:t>
      </w:r>
      <w:r w:rsidRPr="00F956B0">
        <w:rPr>
          <w:rFonts w:ascii="Times New Roman" w:hAnsi="Times New Roman" w:cs="Times New Roman"/>
          <w:szCs w:val="24"/>
        </w:rPr>
        <w:t>.</w:t>
      </w:r>
    </w:p>
    <w:p w14:paraId="11F8048A" w14:textId="77777777" w:rsidR="00F956B0" w:rsidRPr="00F956B0" w:rsidRDefault="00F956B0" w:rsidP="00F956B0">
      <w:pPr>
        <w:pStyle w:val="ListParagraph"/>
        <w:numPr>
          <w:ilvl w:val="0"/>
          <w:numId w:val="14"/>
        </w:numPr>
        <w:rPr>
          <w:rFonts w:ascii="Times New Roman" w:hAnsi="Times New Roman" w:cs="Times New Roman"/>
          <w:szCs w:val="24"/>
        </w:rPr>
      </w:pPr>
      <w:r w:rsidRPr="00F956B0">
        <w:rPr>
          <w:rFonts w:ascii="Times New Roman" w:hAnsi="Times New Roman" w:cs="Times New Roman"/>
          <w:szCs w:val="24"/>
        </w:rPr>
        <w:t xml:space="preserve">United Nations. (2021). </w:t>
      </w:r>
      <w:r w:rsidRPr="00F956B0">
        <w:rPr>
          <w:rFonts w:ascii="Times New Roman" w:hAnsi="Times New Roman" w:cs="Times New Roman"/>
          <w:i/>
          <w:iCs/>
          <w:szCs w:val="24"/>
        </w:rPr>
        <w:t>Global Sustainable Development Report</w:t>
      </w:r>
      <w:r w:rsidRPr="00F956B0">
        <w:rPr>
          <w:rFonts w:ascii="Times New Roman" w:hAnsi="Times New Roman" w:cs="Times New Roman"/>
          <w:szCs w:val="24"/>
        </w:rPr>
        <w:t>. United Nations.</w:t>
      </w:r>
    </w:p>
    <w:p w14:paraId="72D2DE99" w14:textId="77777777" w:rsidR="00F956B0" w:rsidRPr="00F956B0" w:rsidRDefault="00F956B0" w:rsidP="00F956B0">
      <w:pPr>
        <w:pStyle w:val="ListParagraph"/>
        <w:numPr>
          <w:ilvl w:val="0"/>
          <w:numId w:val="14"/>
        </w:numPr>
        <w:rPr>
          <w:rFonts w:ascii="Times New Roman" w:hAnsi="Times New Roman" w:cs="Times New Roman"/>
          <w:szCs w:val="24"/>
        </w:rPr>
      </w:pPr>
      <w:r w:rsidRPr="00F956B0">
        <w:rPr>
          <w:rFonts w:ascii="Times New Roman" w:hAnsi="Times New Roman" w:cs="Times New Roman"/>
          <w:szCs w:val="24"/>
        </w:rPr>
        <w:t xml:space="preserve">Whyte, K. P. (2013). On the role of traditional ecological knowledge as a collaborative concept. </w:t>
      </w:r>
      <w:r w:rsidRPr="00F956B0">
        <w:rPr>
          <w:rFonts w:ascii="Times New Roman" w:hAnsi="Times New Roman" w:cs="Times New Roman"/>
          <w:i/>
          <w:iCs/>
          <w:szCs w:val="24"/>
        </w:rPr>
        <w:t>Ecology and Society</w:t>
      </w:r>
      <w:r w:rsidRPr="00F956B0">
        <w:rPr>
          <w:rFonts w:ascii="Times New Roman" w:hAnsi="Times New Roman" w:cs="Times New Roman"/>
          <w:szCs w:val="24"/>
        </w:rPr>
        <w:t>, 18(3), 10.</w:t>
      </w:r>
    </w:p>
    <w:p w14:paraId="1EB283D4" w14:textId="77777777" w:rsidR="00F956B0" w:rsidRPr="00F956B0" w:rsidRDefault="00F956B0" w:rsidP="00F956B0">
      <w:pPr>
        <w:pStyle w:val="ListParagraph"/>
        <w:numPr>
          <w:ilvl w:val="0"/>
          <w:numId w:val="14"/>
        </w:numPr>
        <w:rPr>
          <w:rFonts w:ascii="Times New Roman" w:hAnsi="Times New Roman" w:cs="Times New Roman"/>
          <w:szCs w:val="24"/>
        </w:rPr>
      </w:pPr>
      <w:r w:rsidRPr="00F956B0">
        <w:rPr>
          <w:rFonts w:ascii="Times New Roman" w:hAnsi="Times New Roman" w:cs="Times New Roman"/>
          <w:szCs w:val="24"/>
        </w:rPr>
        <w:t xml:space="preserve">Toledo, V. M. (2002). Ethnoecology: A conceptual framework. </w:t>
      </w:r>
      <w:r w:rsidRPr="00F956B0">
        <w:rPr>
          <w:rFonts w:ascii="Times New Roman" w:hAnsi="Times New Roman" w:cs="Times New Roman"/>
          <w:i/>
          <w:iCs/>
          <w:szCs w:val="24"/>
        </w:rPr>
        <w:t>Ethnobiology and Biocultural Diversity</w:t>
      </w:r>
      <w:r w:rsidRPr="00F956B0">
        <w:rPr>
          <w:rFonts w:ascii="Times New Roman" w:hAnsi="Times New Roman" w:cs="Times New Roman"/>
          <w:szCs w:val="24"/>
        </w:rPr>
        <w:t>, 511–522.</w:t>
      </w:r>
    </w:p>
    <w:p w14:paraId="41781363" w14:textId="77777777" w:rsidR="00F956B0" w:rsidRPr="00F956B0" w:rsidRDefault="00F956B0" w:rsidP="00F956B0">
      <w:pPr>
        <w:pStyle w:val="ListParagraph"/>
        <w:numPr>
          <w:ilvl w:val="0"/>
          <w:numId w:val="14"/>
        </w:numPr>
        <w:rPr>
          <w:rFonts w:ascii="Times New Roman" w:hAnsi="Times New Roman" w:cs="Times New Roman"/>
          <w:szCs w:val="24"/>
        </w:rPr>
      </w:pPr>
      <w:r w:rsidRPr="00F956B0">
        <w:rPr>
          <w:rFonts w:ascii="Times New Roman" w:hAnsi="Times New Roman" w:cs="Times New Roman"/>
          <w:szCs w:val="24"/>
        </w:rPr>
        <w:t xml:space="preserve">Maffi, L. (2005). Linguistic, cultural, and biological diversity. </w:t>
      </w:r>
      <w:r w:rsidRPr="00F956B0">
        <w:rPr>
          <w:rFonts w:ascii="Times New Roman" w:hAnsi="Times New Roman" w:cs="Times New Roman"/>
          <w:i/>
          <w:iCs/>
          <w:szCs w:val="24"/>
        </w:rPr>
        <w:t>Annual Review of Anthropology</w:t>
      </w:r>
      <w:r w:rsidRPr="00F956B0">
        <w:rPr>
          <w:rFonts w:ascii="Times New Roman" w:hAnsi="Times New Roman" w:cs="Times New Roman"/>
          <w:szCs w:val="24"/>
        </w:rPr>
        <w:t>, 34, 599–617.</w:t>
      </w:r>
    </w:p>
    <w:p w14:paraId="368C9FB9" w14:textId="77777777" w:rsidR="00F956B0" w:rsidRPr="00F956B0" w:rsidRDefault="00F956B0" w:rsidP="00F956B0">
      <w:pPr>
        <w:pStyle w:val="ListParagraph"/>
        <w:numPr>
          <w:ilvl w:val="0"/>
          <w:numId w:val="14"/>
        </w:numPr>
        <w:rPr>
          <w:rFonts w:ascii="Times New Roman" w:hAnsi="Times New Roman" w:cs="Times New Roman"/>
          <w:szCs w:val="24"/>
        </w:rPr>
      </w:pPr>
      <w:r w:rsidRPr="00F956B0">
        <w:rPr>
          <w:rFonts w:ascii="Times New Roman" w:hAnsi="Times New Roman" w:cs="Times New Roman"/>
          <w:szCs w:val="24"/>
        </w:rPr>
        <w:t xml:space="preserve">Nakashima, D., Prott, L., &amp; Bridgewater, P. (2000). Tapping into the world’s wisdom. </w:t>
      </w:r>
      <w:r w:rsidRPr="00F956B0">
        <w:rPr>
          <w:rFonts w:ascii="Times New Roman" w:hAnsi="Times New Roman" w:cs="Times New Roman"/>
          <w:i/>
          <w:iCs/>
          <w:szCs w:val="24"/>
        </w:rPr>
        <w:t>UNESCO Sources</w:t>
      </w:r>
      <w:r w:rsidRPr="00F956B0">
        <w:rPr>
          <w:rFonts w:ascii="Times New Roman" w:hAnsi="Times New Roman" w:cs="Times New Roman"/>
          <w:szCs w:val="24"/>
        </w:rPr>
        <w:t>, 125, 12–13.</w:t>
      </w:r>
    </w:p>
    <w:p w14:paraId="4BD83F1E" w14:textId="77777777" w:rsidR="00F956B0" w:rsidRPr="00F956B0" w:rsidRDefault="00F956B0" w:rsidP="00F956B0">
      <w:pPr>
        <w:pStyle w:val="ListParagraph"/>
        <w:numPr>
          <w:ilvl w:val="0"/>
          <w:numId w:val="14"/>
        </w:numPr>
        <w:rPr>
          <w:rFonts w:ascii="Times New Roman" w:hAnsi="Times New Roman" w:cs="Times New Roman"/>
          <w:szCs w:val="24"/>
        </w:rPr>
      </w:pPr>
      <w:r w:rsidRPr="00F956B0">
        <w:rPr>
          <w:rFonts w:ascii="Times New Roman" w:hAnsi="Times New Roman" w:cs="Times New Roman"/>
          <w:szCs w:val="24"/>
        </w:rPr>
        <w:t xml:space="preserve">Huntington, H. P. (2000). Using traditional ecological knowledge in science. </w:t>
      </w:r>
      <w:r w:rsidRPr="00F956B0">
        <w:rPr>
          <w:rFonts w:ascii="Times New Roman" w:hAnsi="Times New Roman" w:cs="Times New Roman"/>
          <w:i/>
          <w:iCs/>
          <w:szCs w:val="24"/>
        </w:rPr>
        <w:t>Ecological Applications</w:t>
      </w:r>
      <w:r w:rsidRPr="00F956B0">
        <w:rPr>
          <w:rFonts w:ascii="Times New Roman" w:hAnsi="Times New Roman" w:cs="Times New Roman"/>
          <w:szCs w:val="24"/>
        </w:rPr>
        <w:t>, 10(5), 1270–1274.</w:t>
      </w:r>
    </w:p>
    <w:p w14:paraId="41FA439B" w14:textId="77777777" w:rsidR="00F956B0" w:rsidRPr="00F956B0" w:rsidRDefault="00F956B0" w:rsidP="00F956B0">
      <w:pPr>
        <w:pStyle w:val="ListParagraph"/>
        <w:numPr>
          <w:ilvl w:val="0"/>
          <w:numId w:val="14"/>
        </w:numPr>
        <w:rPr>
          <w:rFonts w:ascii="Times New Roman" w:hAnsi="Times New Roman" w:cs="Times New Roman"/>
          <w:szCs w:val="24"/>
        </w:rPr>
      </w:pPr>
      <w:proofErr w:type="spellStart"/>
      <w:r w:rsidRPr="00F956B0">
        <w:rPr>
          <w:rFonts w:ascii="Times New Roman" w:hAnsi="Times New Roman" w:cs="Times New Roman"/>
          <w:szCs w:val="24"/>
        </w:rPr>
        <w:lastRenderedPageBreak/>
        <w:t>Tengö</w:t>
      </w:r>
      <w:proofErr w:type="spellEnd"/>
      <w:r w:rsidRPr="00F956B0">
        <w:rPr>
          <w:rFonts w:ascii="Times New Roman" w:hAnsi="Times New Roman" w:cs="Times New Roman"/>
          <w:szCs w:val="24"/>
        </w:rPr>
        <w:t xml:space="preserve">, M., Brondizio, E. S., Elmqvist, T., Malmer, P., &amp; </w:t>
      </w:r>
      <w:proofErr w:type="spellStart"/>
      <w:r w:rsidRPr="00F956B0">
        <w:rPr>
          <w:rFonts w:ascii="Times New Roman" w:hAnsi="Times New Roman" w:cs="Times New Roman"/>
          <w:szCs w:val="24"/>
        </w:rPr>
        <w:t>Spierenburg</w:t>
      </w:r>
      <w:proofErr w:type="spellEnd"/>
      <w:r w:rsidRPr="00F956B0">
        <w:rPr>
          <w:rFonts w:ascii="Times New Roman" w:hAnsi="Times New Roman" w:cs="Times New Roman"/>
          <w:szCs w:val="24"/>
        </w:rPr>
        <w:t xml:space="preserve">, M. (2014). Connecting diverse knowledge systems. </w:t>
      </w:r>
      <w:r w:rsidRPr="00F956B0">
        <w:rPr>
          <w:rFonts w:ascii="Times New Roman" w:hAnsi="Times New Roman" w:cs="Times New Roman"/>
          <w:i/>
          <w:iCs/>
          <w:szCs w:val="24"/>
        </w:rPr>
        <w:t>Ecology and Society</w:t>
      </w:r>
      <w:r w:rsidRPr="00F956B0">
        <w:rPr>
          <w:rFonts w:ascii="Times New Roman" w:hAnsi="Times New Roman" w:cs="Times New Roman"/>
          <w:szCs w:val="24"/>
        </w:rPr>
        <w:t>, 19(3), 7.</w:t>
      </w:r>
    </w:p>
    <w:p w14:paraId="390065C1" w14:textId="77777777" w:rsidR="00F956B0" w:rsidRPr="00F956B0" w:rsidRDefault="00F956B0" w:rsidP="00F956B0">
      <w:pPr>
        <w:pStyle w:val="ListParagraph"/>
        <w:numPr>
          <w:ilvl w:val="0"/>
          <w:numId w:val="14"/>
        </w:numPr>
        <w:rPr>
          <w:rFonts w:ascii="Times New Roman" w:hAnsi="Times New Roman" w:cs="Times New Roman"/>
          <w:szCs w:val="24"/>
        </w:rPr>
      </w:pPr>
      <w:r w:rsidRPr="00F956B0">
        <w:rPr>
          <w:rFonts w:ascii="Times New Roman" w:hAnsi="Times New Roman" w:cs="Times New Roman"/>
          <w:szCs w:val="24"/>
        </w:rPr>
        <w:t xml:space="preserve">McGregor, D. (2004). Traditional ecological knowledge and sustainable development. </w:t>
      </w:r>
      <w:r w:rsidRPr="00F956B0">
        <w:rPr>
          <w:rFonts w:ascii="Times New Roman" w:hAnsi="Times New Roman" w:cs="Times New Roman"/>
          <w:i/>
          <w:iCs/>
          <w:szCs w:val="24"/>
        </w:rPr>
        <w:t>American Indian Quarterly</w:t>
      </w:r>
      <w:r w:rsidRPr="00F956B0">
        <w:rPr>
          <w:rFonts w:ascii="Times New Roman" w:hAnsi="Times New Roman" w:cs="Times New Roman"/>
          <w:szCs w:val="24"/>
        </w:rPr>
        <w:t>, 28(3–4), 385–410.</w:t>
      </w:r>
    </w:p>
    <w:p w14:paraId="5F4C6BC9" w14:textId="77777777" w:rsidR="00F956B0" w:rsidRPr="00F956B0" w:rsidRDefault="00F956B0" w:rsidP="00F956B0">
      <w:pPr>
        <w:pStyle w:val="ListParagraph"/>
        <w:numPr>
          <w:ilvl w:val="0"/>
          <w:numId w:val="14"/>
        </w:numPr>
        <w:rPr>
          <w:rFonts w:ascii="Times New Roman" w:hAnsi="Times New Roman" w:cs="Times New Roman"/>
          <w:szCs w:val="24"/>
        </w:rPr>
      </w:pPr>
      <w:r w:rsidRPr="00F956B0">
        <w:rPr>
          <w:rFonts w:ascii="Times New Roman" w:hAnsi="Times New Roman" w:cs="Times New Roman"/>
          <w:szCs w:val="24"/>
        </w:rPr>
        <w:t xml:space="preserve">Carlson, T. J. S., &amp; Maffi, L. (2004). Ethnobotany and conservation. </w:t>
      </w:r>
      <w:r w:rsidRPr="00F956B0">
        <w:rPr>
          <w:rFonts w:ascii="Times New Roman" w:hAnsi="Times New Roman" w:cs="Times New Roman"/>
          <w:i/>
          <w:iCs/>
          <w:szCs w:val="24"/>
        </w:rPr>
        <w:t>Ethnobotany Research and Applications</w:t>
      </w:r>
      <w:r w:rsidRPr="00F956B0">
        <w:rPr>
          <w:rFonts w:ascii="Times New Roman" w:hAnsi="Times New Roman" w:cs="Times New Roman"/>
          <w:szCs w:val="24"/>
        </w:rPr>
        <w:t>, 2, 1–5.</w:t>
      </w:r>
    </w:p>
    <w:p w14:paraId="11CFF396" w14:textId="77777777" w:rsidR="00F956B0" w:rsidRPr="00F956B0" w:rsidRDefault="00F956B0" w:rsidP="00F956B0">
      <w:pPr>
        <w:pStyle w:val="ListParagraph"/>
        <w:numPr>
          <w:ilvl w:val="0"/>
          <w:numId w:val="14"/>
        </w:numPr>
        <w:rPr>
          <w:rFonts w:ascii="Times New Roman" w:hAnsi="Times New Roman" w:cs="Times New Roman"/>
          <w:szCs w:val="24"/>
        </w:rPr>
      </w:pPr>
      <w:r w:rsidRPr="00F956B0">
        <w:rPr>
          <w:rFonts w:ascii="Times New Roman" w:hAnsi="Times New Roman" w:cs="Times New Roman"/>
          <w:szCs w:val="24"/>
        </w:rPr>
        <w:t xml:space="preserve">Thrupp, L. A. (1989). Legitimizing local knowledge. </w:t>
      </w:r>
      <w:r w:rsidRPr="00F956B0">
        <w:rPr>
          <w:rFonts w:ascii="Times New Roman" w:hAnsi="Times New Roman" w:cs="Times New Roman"/>
          <w:i/>
          <w:iCs/>
          <w:szCs w:val="24"/>
        </w:rPr>
        <w:t>World Development</w:t>
      </w:r>
      <w:r w:rsidRPr="00F956B0">
        <w:rPr>
          <w:rFonts w:ascii="Times New Roman" w:hAnsi="Times New Roman" w:cs="Times New Roman"/>
          <w:szCs w:val="24"/>
        </w:rPr>
        <w:t>, 17(4), 549–565.</w:t>
      </w:r>
    </w:p>
    <w:p w14:paraId="71C074BE" w14:textId="77777777" w:rsidR="00F956B0" w:rsidRPr="00F956B0" w:rsidRDefault="00F956B0" w:rsidP="00F956B0">
      <w:pPr>
        <w:pStyle w:val="ListParagraph"/>
        <w:numPr>
          <w:ilvl w:val="0"/>
          <w:numId w:val="14"/>
        </w:numPr>
        <w:rPr>
          <w:rFonts w:ascii="Times New Roman" w:hAnsi="Times New Roman" w:cs="Times New Roman"/>
          <w:szCs w:val="24"/>
        </w:rPr>
      </w:pPr>
      <w:r w:rsidRPr="00F956B0">
        <w:rPr>
          <w:rFonts w:ascii="Times New Roman" w:hAnsi="Times New Roman" w:cs="Times New Roman"/>
          <w:szCs w:val="24"/>
        </w:rPr>
        <w:t xml:space="preserve">Simpson, L. (2004). Anticolonial strategies for the recovery of Indigenous knowledge. </w:t>
      </w:r>
      <w:r w:rsidRPr="00F956B0">
        <w:rPr>
          <w:rFonts w:ascii="Times New Roman" w:hAnsi="Times New Roman" w:cs="Times New Roman"/>
          <w:i/>
          <w:iCs/>
          <w:szCs w:val="24"/>
        </w:rPr>
        <w:t>American Indian Quarterly</w:t>
      </w:r>
      <w:r w:rsidRPr="00F956B0">
        <w:rPr>
          <w:rFonts w:ascii="Times New Roman" w:hAnsi="Times New Roman" w:cs="Times New Roman"/>
          <w:szCs w:val="24"/>
        </w:rPr>
        <w:t>, 28(3–4), 373–384.</w:t>
      </w:r>
    </w:p>
    <w:p w14:paraId="7F4B8026" w14:textId="77777777" w:rsidR="00F956B0" w:rsidRPr="00F956B0" w:rsidRDefault="00F956B0" w:rsidP="00F956B0">
      <w:pPr>
        <w:pStyle w:val="ListParagraph"/>
        <w:numPr>
          <w:ilvl w:val="0"/>
          <w:numId w:val="14"/>
        </w:numPr>
        <w:rPr>
          <w:rFonts w:ascii="Times New Roman" w:hAnsi="Times New Roman" w:cs="Times New Roman"/>
          <w:szCs w:val="24"/>
        </w:rPr>
      </w:pPr>
      <w:r w:rsidRPr="00F956B0">
        <w:rPr>
          <w:rFonts w:ascii="Times New Roman" w:hAnsi="Times New Roman" w:cs="Times New Roman"/>
          <w:szCs w:val="24"/>
        </w:rPr>
        <w:t>Hill, R., Cullen-Unsworth, L. C., Talbot, L. D., &amp; McIntyre-</w:t>
      </w:r>
      <w:proofErr w:type="spellStart"/>
      <w:r w:rsidRPr="00F956B0">
        <w:rPr>
          <w:rFonts w:ascii="Times New Roman" w:hAnsi="Times New Roman" w:cs="Times New Roman"/>
          <w:szCs w:val="24"/>
        </w:rPr>
        <w:t>Tamwoy</w:t>
      </w:r>
      <w:proofErr w:type="spellEnd"/>
      <w:r w:rsidRPr="00F956B0">
        <w:rPr>
          <w:rFonts w:ascii="Times New Roman" w:hAnsi="Times New Roman" w:cs="Times New Roman"/>
          <w:szCs w:val="24"/>
        </w:rPr>
        <w:t xml:space="preserve">, S. (2011). Empowering Indigenous peoples’ biocultural diversity. </w:t>
      </w:r>
      <w:r w:rsidRPr="00F956B0">
        <w:rPr>
          <w:rFonts w:ascii="Times New Roman" w:hAnsi="Times New Roman" w:cs="Times New Roman"/>
          <w:i/>
          <w:iCs/>
          <w:szCs w:val="24"/>
        </w:rPr>
        <w:t>Environmental Science &amp; Policy</w:t>
      </w:r>
      <w:r w:rsidRPr="00F956B0">
        <w:rPr>
          <w:rFonts w:ascii="Times New Roman" w:hAnsi="Times New Roman" w:cs="Times New Roman"/>
          <w:szCs w:val="24"/>
        </w:rPr>
        <w:t>, 14(6), 793–806.</w:t>
      </w:r>
    </w:p>
    <w:p w14:paraId="0E803E00" w14:textId="77777777" w:rsidR="00F956B0" w:rsidRPr="00F956B0" w:rsidRDefault="00F956B0" w:rsidP="00F956B0">
      <w:pPr>
        <w:pStyle w:val="ListParagraph"/>
        <w:numPr>
          <w:ilvl w:val="0"/>
          <w:numId w:val="14"/>
        </w:numPr>
        <w:rPr>
          <w:rFonts w:ascii="Times New Roman" w:hAnsi="Times New Roman" w:cs="Times New Roman"/>
          <w:szCs w:val="24"/>
        </w:rPr>
      </w:pPr>
      <w:r w:rsidRPr="00F956B0">
        <w:rPr>
          <w:rFonts w:ascii="Times New Roman" w:hAnsi="Times New Roman" w:cs="Times New Roman"/>
          <w:szCs w:val="24"/>
        </w:rPr>
        <w:t>Fernández-</w:t>
      </w:r>
      <w:proofErr w:type="spellStart"/>
      <w:r w:rsidRPr="00F956B0">
        <w:rPr>
          <w:rFonts w:ascii="Times New Roman" w:hAnsi="Times New Roman" w:cs="Times New Roman"/>
          <w:szCs w:val="24"/>
        </w:rPr>
        <w:t>Llamazares</w:t>
      </w:r>
      <w:proofErr w:type="spellEnd"/>
      <w:r w:rsidRPr="00F956B0">
        <w:rPr>
          <w:rFonts w:ascii="Times New Roman" w:hAnsi="Times New Roman" w:cs="Times New Roman"/>
          <w:szCs w:val="24"/>
        </w:rPr>
        <w:t xml:space="preserve">, Á., et al. (2021). Indigenous knowledge and the future of sustainability science. </w:t>
      </w:r>
      <w:r w:rsidRPr="00F956B0">
        <w:rPr>
          <w:rFonts w:ascii="Times New Roman" w:hAnsi="Times New Roman" w:cs="Times New Roman"/>
          <w:i/>
          <w:iCs/>
          <w:szCs w:val="24"/>
        </w:rPr>
        <w:t>Nature Sustainability</w:t>
      </w:r>
      <w:r w:rsidRPr="00F956B0">
        <w:rPr>
          <w:rFonts w:ascii="Times New Roman" w:hAnsi="Times New Roman" w:cs="Times New Roman"/>
          <w:szCs w:val="24"/>
        </w:rPr>
        <w:t>, 4, 955–960.</w:t>
      </w:r>
    </w:p>
    <w:p w14:paraId="68D733C7" w14:textId="77777777" w:rsidR="007F521E" w:rsidRPr="00F956B0" w:rsidRDefault="007F521E" w:rsidP="00F956B0">
      <w:pPr>
        <w:pStyle w:val="ListParagraph"/>
        <w:rPr>
          <w:rFonts w:ascii="Times New Roman" w:hAnsi="Times New Roman" w:cs="Times New Roman"/>
          <w:szCs w:val="24"/>
        </w:rPr>
      </w:pPr>
    </w:p>
    <w:sectPr w:rsidR="007F521E" w:rsidRPr="00F956B0" w:rsidSect="00066FA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62743"/>
    <w:multiLevelType w:val="multilevel"/>
    <w:tmpl w:val="FCAAB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7738AC"/>
    <w:multiLevelType w:val="hybridMultilevel"/>
    <w:tmpl w:val="A29824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636C1B"/>
    <w:multiLevelType w:val="multilevel"/>
    <w:tmpl w:val="3D766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450EA7"/>
    <w:multiLevelType w:val="multilevel"/>
    <w:tmpl w:val="7862B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066C63"/>
    <w:multiLevelType w:val="multilevel"/>
    <w:tmpl w:val="E3B2D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6B4C03"/>
    <w:multiLevelType w:val="multilevel"/>
    <w:tmpl w:val="C5D04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895BDC"/>
    <w:multiLevelType w:val="multilevel"/>
    <w:tmpl w:val="A06AA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C345E6"/>
    <w:multiLevelType w:val="multilevel"/>
    <w:tmpl w:val="81004E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A8D43EB"/>
    <w:multiLevelType w:val="multilevel"/>
    <w:tmpl w:val="9858E1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B786FE1"/>
    <w:multiLevelType w:val="multilevel"/>
    <w:tmpl w:val="CDAE1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B8794F"/>
    <w:multiLevelType w:val="multilevel"/>
    <w:tmpl w:val="5A200E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0A15844"/>
    <w:multiLevelType w:val="multilevel"/>
    <w:tmpl w:val="F4D43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515BC6"/>
    <w:multiLevelType w:val="multilevel"/>
    <w:tmpl w:val="143209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D8B4AB7"/>
    <w:multiLevelType w:val="multilevel"/>
    <w:tmpl w:val="0E94A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23C3A25"/>
    <w:multiLevelType w:val="hybridMultilevel"/>
    <w:tmpl w:val="DF66E6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342D18"/>
    <w:multiLevelType w:val="multilevel"/>
    <w:tmpl w:val="4844B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6"/>
  </w:num>
  <w:num w:numId="3">
    <w:abstractNumId w:val="8"/>
  </w:num>
  <w:num w:numId="4">
    <w:abstractNumId w:val="0"/>
  </w:num>
  <w:num w:numId="5">
    <w:abstractNumId w:val="13"/>
  </w:num>
  <w:num w:numId="6">
    <w:abstractNumId w:val="4"/>
  </w:num>
  <w:num w:numId="7">
    <w:abstractNumId w:val="3"/>
  </w:num>
  <w:num w:numId="8">
    <w:abstractNumId w:val="15"/>
  </w:num>
  <w:num w:numId="9">
    <w:abstractNumId w:val="7"/>
  </w:num>
  <w:num w:numId="10">
    <w:abstractNumId w:val="12"/>
  </w:num>
  <w:num w:numId="11">
    <w:abstractNumId w:val="11"/>
  </w:num>
  <w:num w:numId="12">
    <w:abstractNumId w:val="2"/>
  </w:num>
  <w:num w:numId="13">
    <w:abstractNumId w:val="9"/>
  </w:num>
  <w:num w:numId="14">
    <w:abstractNumId w:val="1"/>
  </w:num>
  <w:num w:numId="15">
    <w:abstractNumId w:val="14"/>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Q3NDM0sjAEsg1MDJV0lIJTi4sz8/NACgxrAWDL0W8sAAAA"/>
  </w:docVars>
  <w:rsids>
    <w:rsidRoot w:val="00EC4264"/>
    <w:rsid w:val="00046DDC"/>
    <w:rsid w:val="00066FA2"/>
    <w:rsid w:val="000B2F39"/>
    <w:rsid w:val="000C2EC6"/>
    <w:rsid w:val="00111724"/>
    <w:rsid w:val="001B78C1"/>
    <w:rsid w:val="001D085B"/>
    <w:rsid w:val="00275F8A"/>
    <w:rsid w:val="0029485C"/>
    <w:rsid w:val="002A4589"/>
    <w:rsid w:val="002A5980"/>
    <w:rsid w:val="002A7082"/>
    <w:rsid w:val="00300EFE"/>
    <w:rsid w:val="003478D0"/>
    <w:rsid w:val="003C36EA"/>
    <w:rsid w:val="00407C1B"/>
    <w:rsid w:val="00425DE0"/>
    <w:rsid w:val="00455141"/>
    <w:rsid w:val="00480F09"/>
    <w:rsid w:val="004C7A4F"/>
    <w:rsid w:val="004D37ED"/>
    <w:rsid w:val="005266DF"/>
    <w:rsid w:val="0053240C"/>
    <w:rsid w:val="00533C30"/>
    <w:rsid w:val="00545F78"/>
    <w:rsid w:val="00564C61"/>
    <w:rsid w:val="005B71C7"/>
    <w:rsid w:val="005D762D"/>
    <w:rsid w:val="005F709C"/>
    <w:rsid w:val="00627312"/>
    <w:rsid w:val="006B2448"/>
    <w:rsid w:val="006C3877"/>
    <w:rsid w:val="006E0713"/>
    <w:rsid w:val="007553E6"/>
    <w:rsid w:val="00767EDA"/>
    <w:rsid w:val="007E2323"/>
    <w:rsid w:val="007F521E"/>
    <w:rsid w:val="0081016A"/>
    <w:rsid w:val="00844E9E"/>
    <w:rsid w:val="008A5C98"/>
    <w:rsid w:val="00933D53"/>
    <w:rsid w:val="0097314B"/>
    <w:rsid w:val="00981883"/>
    <w:rsid w:val="009934A0"/>
    <w:rsid w:val="009C1317"/>
    <w:rsid w:val="00A22F44"/>
    <w:rsid w:val="00A232BA"/>
    <w:rsid w:val="00A419F0"/>
    <w:rsid w:val="00A857B9"/>
    <w:rsid w:val="00A91DD8"/>
    <w:rsid w:val="00AB0AE3"/>
    <w:rsid w:val="00AE2B33"/>
    <w:rsid w:val="00B1020A"/>
    <w:rsid w:val="00B22393"/>
    <w:rsid w:val="00B23BE9"/>
    <w:rsid w:val="00C015F3"/>
    <w:rsid w:val="00C073E1"/>
    <w:rsid w:val="00C11F4A"/>
    <w:rsid w:val="00C251E2"/>
    <w:rsid w:val="00CB0A93"/>
    <w:rsid w:val="00D743BF"/>
    <w:rsid w:val="00D914EB"/>
    <w:rsid w:val="00DE1920"/>
    <w:rsid w:val="00E054E8"/>
    <w:rsid w:val="00EA2E57"/>
    <w:rsid w:val="00EC4264"/>
    <w:rsid w:val="00EE2CEE"/>
    <w:rsid w:val="00F17B06"/>
    <w:rsid w:val="00F533C2"/>
    <w:rsid w:val="00F663E5"/>
    <w:rsid w:val="00F758A5"/>
    <w:rsid w:val="00F91F88"/>
    <w:rsid w:val="00F956B0"/>
    <w:rsid w:val="00FA259D"/>
    <w:rsid w:val="00FB1D7F"/>
  </w:rsids>
  <m:mathPr>
    <m:mathFont m:val="Cambria Math"/>
    <m:brkBin m:val="before"/>
    <m:brkBinSub m:val="--"/>
    <m:smallFrac/>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AA6142"/>
  <w15:docId w15:val="{3016D443-3FC8-410F-8CAF-04AFE348D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1"/>
        <w:lang w:val="en-US" w:eastAsia="en-US" w:bidi="mr-IN"/>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6FA2"/>
  </w:style>
  <w:style w:type="paragraph" w:styleId="Heading1">
    <w:name w:val="heading 1"/>
    <w:basedOn w:val="Normal"/>
    <w:next w:val="Normal"/>
    <w:link w:val="Heading1Char"/>
    <w:uiPriority w:val="9"/>
    <w:qFormat/>
    <w:rsid w:val="00EC4264"/>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EC4264"/>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EC4264"/>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EC426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C426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C42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42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42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42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4264"/>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EC4264"/>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EC4264"/>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EC426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C426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C42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42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42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4264"/>
    <w:rPr>
      <w:rFonts w:eastAsiaTheme="majorEastAsia" w:cstheme="majorBidi"/>
      <w:color w:val="272727" w:themeColor="text1" w:themeTint="D8"/>
    </w:rPr>
  </w:style>
  <w:style w:type="paragraph" w:styleId="Title">
    <w:name w:val="Title"/>
    <w:basedOn w:val="Normal"/>
    <w:next w:val="Normal"/>
    <w:link w:val="TitleChar"/>
    <w:uiPriority w:val="10"/>
    <w:qFormat/>
    <w:rsid w:val="00EC4264"/>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EC4264"/>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EC4264"/>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EC4264"/>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EC4264"/>
    <w:pPr>
      <w:spacing w:before="160"/>
      <w:jc w:val="center"/>
    </w:pPr>
    <w:rPr>
      <w:i/>
      <w:iCs/>
      <w:color w:val="404040" w:themeColor="text1" w:themeTint="BF"/>
    </w:rPr>
  </w:style>
  <w:style w:type="character" w:customStyle="1" w:styleId="QuoteChar">
    <w:name w:val="Quote Char"/>
    <w:basedOn w:val="DefaultParagraphFont"/>
    <w:link w:val="Quote"/>
    <w:uiPriority w:val="29"/>
    <w:rsid w:val="00EC4264"/>
    <w:rPr>
      <w:i/>
      <w:iCs/>
      <w:color w:val="404040" w:themeColor="text1" w:themeTint="BF"/>
    </w:rPr>
  </w:style>
  <w:style w:type="paragraph" w:styleId="ListParagraph">
    <w:name w:val="List Paragraph"/>
    <w:basedOn w:val="Normal"/>
    <w:uiPriority w:val="34"/>
    <w:qFormat/>
    <w:rsid w:val="00EC4264"/>
    <w:pPr>
      <w:ind w:left="720"/>
      <w:contextualSpacing/>
    </w:pPr>
  </w:style>
  <w:style w:type="character" w:styleId="IntenseEmphasis">
    <w:name w:val="Intense Emphasis"/>
    <w:basedOn w:val="DefaultParagraphFont"/>
    <w:uiPriority w:val="21"/>
    <w:qFormat/>
    <w:rsid w:val="00EC4264"/>
    <w:rPr>
      <w:i/>
      <w:iCs/>
      <w:color w:val="2F5496" w:themeColor="accent1" w:themeShade="BF"/>
    </w:rPr>
  </w:style>
  <w:style w:type="paragraph" w:styleId="IntenseQuote">
    <w:name w:val="Intense Quote"/>
    <w:basedOn w:val="Normal"/>
    <w:next w:val="Normal"/>
    <w:link w:val="IntenseQuoteChar"/>
    <w:uiPriority w:val="30"/>
    <w:qFormat/>
    <w:rsid w:val="00EC42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C4264"/>
    <w:rPr>
      <w:i/>
      <w:iCs/>
      <w:color w:val="2F5496" w:themeColor="accent1" w:themeShade="BF"/>
    </w:rPr>
  </w:style>
  <w:style w:type="character" w:styleId="IntenseReference">
    <w:name w:val="Intense Reference"/>
    <w:basedOn w:val="DefaultParagraphFont"/>
    <w:uiPriority w:val="32"/>
    <w:qFormat/>
    <w:rsid w:val="00EC4264"/>
    <w:rPr>
      <w:b/>
      <w:bCs/>
      <w:smallCaps/>
      <w:color w:val="2F5496" w:themeColor="accent1" w:themeShade="BF"/>
      <w:spacing w:val="5"/>
    </w:rPr>
  </w:style>
  <w:style w:type="character" w:styleId="Hyperlink">
    <w:name w:val="Hyperlink"/>
    <w:basedOn w:val="DefaultParagraphFont"/>
    <w:uiPriority w:val="99"/>
    <w:unhideWhenUsed/>
    <w:rsid w:val="006B2448"/>
    <w:rPr>
      <w:color w:val="0563C1" w:themeColor="hyperlink"/>
      <w:u w:val="single"/>
    </w:rPr>
  </w:style>
  <w:style w:type="character" w:customStyle="1" w:styleId="UnresolvedMention1">
    <w:name w:val="Unresolved Mention1"/>
    <w:basedOn w:val="DefaultParagraphFont"/>
    <w:uiPriority w:val="99"/>
    <w:semiHidden/>
    <w:unhideWhenUsed/>
    <w:rsid w:val="006B2448"/>
    <w:rPr>
      <w:color w:val="605E5C"/>
      <w:shd w:val="clear" w:color="auto" w:fill="E1DFDD"/>
    </w:rPr>
  </w:style>
  <w:style w:type="table" w:styleId="TableGrid">
    <w:name w:val="Table Grid"/>
    <w:basedOn w:val="TableNormal"/>
    <w:uiPriority w:val="39"/>
    <w:rsid w:val="002A70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81298">
      <w:bodyDiv w:val="1"/>
      <w:marLeft w:val="0"/>
      <w:marRight w:val="0"/>
      <w:marTop w:val="0"/>
      <w:marBottom w:val="0"/>
      <w:divBdr>
        <w:top w:val="none" w:sz="0" w:space="0" w:color="auto"/>
        <w:left w:val="none" w:sz="0" w:space="0" w:color="auto"/>
        <w:bottom w:val="none" w:sz="0" w:space="0" w:color="auto"/>
        <w:right w:val="none" w:sz="0" w:space="0" w:color="auto"/>
      </w:divBdr>
    </w:div>
    <w:div w:id="192810205">
      <w:bodyDiv w:val="1"/>
      <w:marLeft w:val="0"/>
      <w:marRight w:val="0"/>
      <w:marTop w:val="0"/>
      <w:marBottom w:val="0"/>
      <w:divBdr>
        <w:top w:val="none" w:sz="0" w:space="0" w:color="auto"/>
        <w:left w:val="none" w:sz="0" w:space="0" w:color="auto"/>
        <w:bottom w:val="none" w:sz="0" w:space="0" w:color="auto"/>
        <w:right w:val="none" w:sz="0" w:space="0" w:color="auto"/>
      </w:divBdr>
    </w:div>
    <w:div w:id="384570619">
      <w:bodyDiv w:val="1"/>
      <w:marLeft w:val="0"/>
      <w:marRight w:val="0"/>
      <w:marTop w:val="0"/>
      <w:marBottom w:val="0"/>
      <w:divBdr>
        <w:top w:val="none" w:sz="0" w:space="0" w:color="auto"/>
        <w:left w:val="none" w:sz="0" w:space="0" w:color="auto"/>
        <w:bottom w:val="none" w:sz="0" w:space="0" w:color="auto"/>
        <w:right w:val="none" w:sz="0" w:space="0" w:color="auto"/>
      </w:divBdr>
    </w:div>
    <w:div w:id="493646015">
      <w:bodyDiv w:val="1"/>
      <w:marLeft w:val="0"/>
      <w:marRight w:val="0"/>
      <w:marTop w:val="0"/>
      <w:marBottom w:val="0"/>
      <w:divBdr>
        <w:top w:val="none" w:sz="0" w:space="0" w:color="auto"/>
        <w:left w:val="none" w:sz="0" w:space="0" w:color="auto"/>
        <w:bottom w:val="none" w:sz="0" w:space="0" w:color="auto"/>
        <w:right w:val="none" w:sz="0" w:space="0" w:color="auto"/>
      </w:divBdr>
    </w:div>
    <w:div w:id="548807173">
      <w:bodyDiv w:val="1"/>
      <w:marLeft w:val="0"/>
      <w:marRight w:val="0"/>
      <w:marTop w:val="0"/>
      <w:marBottom w:val="0"/>
      <w:divBdr>
        <w:top w:val="none" w:sz="0" w:space="0" w:color="auto"/>
        <w:left w:val="none" w:sz="0" w:space="0" w:color="auto"/>
        <w:bottom w:val="none" w:sz="0" w:space="0" w:color="auto"/>
        <w:right w:val="none" w:sz="0" w:space="0" w:color="auto"/>
      </w:divBdr>
    </w:div>
    <w:div w:id="713576363">
      <w:bodyDiv w:val="1"/>
      <w:marLeft w:val="0"/>
      <w:marRight w:val="0"/>
      <w:marTop w:val="0"/>
      <w:marBottom w:val="0"/>
      <w:divBdr>
        <w:top w:val="none" w:sz="0" w:space="0" w:color="auto"/>
        <w:left w:val="none" w:sz="0" w:space="0" w:color="auto"/>
        <w:bottom w:val="none" w:sz="0" w:space="0" w:color="auto"/>
        <w:right w:val="none" w:sz="0" w:space="0" w:color="auto"/>
      </w:divBdr>
    </w:div>
    <w:div w:id="909198073">
      <w:bodyDiv w:val="1"/>
      <w:marLeft w:val="0"/>
      <w:marRight w:val="0"/>
      <w:marTop w:val="0"/>
      <w:marBottom w:val="0"/>
      <w:divBdr>
        <w:top w:val="none" w:sz="0" w:space="0" w:color="auto"/>
        <w:left w:val="none" w:sz="0" w:space="0" w:color="auto"/>
        <w:bottom w:val="none" w:sz="0" w:space="0" w:color="auto"/>
        <w:right w:val="none" w:sz="0" w:space="0" w:color="auto"/>
      </w:divBdr>
    </w:div>
    <w:div w:id="1297953804">
      <w:bodyDiv w:val="1"/>
      <w:marLeft w:val="0"/>
      <w:marRight w:val="0"/>
      <w:marTop w:val="0"/>
      <w:marBottom w:val="0"/>
      <w:divBdr>
        <w:top w:val="none" w:sz="0" w:space="0" w:color="auto"/>
        <w:left w:val="none" w:sz="0" w:space="0" w:color="auto"/>
        <w:bottom w:val="none" w:sz="0" w:space="0" w:color="auto"/>
        <w:right w:val="none" w:sz="0" w:space="0" w:color="auto"/>
      </w:divBdr>
    </w:div>
    <w:div w:id="1325474258">
      <w:bodyDiv w:val="1"/>
      <w:marLeft w:val="0"/>
      <w:marRight w:val="0"/>
      <w:marTop w:val="0"/>
      <w:marBottom w:val="0"/>
      <w:divBdr>
        <w:top w:val="none" w:sz="0" w:space="0" w:color="auto"/>
        <w:left w:val="none" w:sz="0" w:space="0" w:color="auto"/>
        <w:bottom w:val="none" w:sz="0" w:space="0" w:color="auto"/>
        <w:right w:val="none" w:sz="0" w:space="0" w:color="auto"/>
      </w:divBdr>
    </w:div>
    <w:div w:id="1379621380">
      <w:bodyDiv w:val="1"/>
      <w:marLeft w:val="0"/>
      <w:marRight w:val="0"/>
      <w:marTop w:val="0"/>
      <w:marBottom w:val="0"/>
      <w:divBdr>
        <w:top w:val="none" w:sz="0" w:space="0" w:color="auto"/>
        <w:left w:val="none" w:sz="0" w:space="0" w:color="auto"/>
        <w:bottom w:val="none" w:sz="0" w:space="0" w:color="auto"/>
        <w:right w:val="none" w:sz="0" w:space="0" w:color="auto"/>
      </w:divBdr>
    </w:div>
    <w:div w:id="1570384898">
      <w:bodyDiv w:val="1"/>
      <w:marLeft w:val="0"/>
      <w:marRight w:val="0"/>
      <w:marTop w:val="0"/>
      <w:marBottom w:val="0"/>
      <w:divBdr>
        <w:top w:val="none" w:sz="0" w:space="0" w:color="auto"/>
        <w:left w:val="none" w:sz="0" w:space="0" w:color="auto"/>
        <w:bottom w:val="none" w:sz="0" w:space="0" w:color="auto"/>
        <w:right w:val="none" w:sz="0" w:space="0" w:color="auto"/>
      </w:divBdr>
    </w:div>
    <w:div w:id="1595942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4042</Words>
  <Characters>27631</Characters>
  <Application>Microsoft Office Word</Application>
  <DocSecurity>0</DocSecurity>
  <Lines>230</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Gajanan Lambade</dc:creator>
  <cp:lastModifiedBy>SDI PC New 16</cp:lastModifiedBy>
  <cp:revision>3</cp:revision>
  <dcterms:created xsi:type="dcterms:W3CDTF">2025-12-25T09:39:00Z</dcterms:created>
  <dcterms:modified xsi:type="dcterms:W3CDTF">2026-01-01T04:43:00Z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c9d26305-fe3a-4104-8166-a6254f41a296</vt:lpwstr>
  </property>
</Properties>
</file>