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C3" w:rsidRPr="001D75AE" w:rsidRDefault="00C34BE5" w:rsidP="001D75AE">
      <w:pPr>
        <w:pStyle w:val="Author"/>
        <w:spacing w:line="240" w:lineRule="auto"/>
        <w:jc w:val="left"/>
        <w:rPr>
          <w:rFonts w:ascii="Arial" w:hAnsi="Arial" w:cs="Arial"/>
          <w:sz w:val="36"/>
          <w:szCs w:val="36"/>
        </w:rPr>
      </w:pPr>
      <w:r w:rsidRPr="001D75AE">
        <w:rPr>
          <w:rFonts w:ascii="Arial" w:hAnsi="Arial" w:cs="Arial"/>
          <w:sz w:val="36"/>
          <w:szCs w:val="36"/>
        </w:rPr>
        <w:t>Vitamin B12 Deficiency: Biological Mech</w:t>
      </w:r>
      <w:r w:rsidR="001D75AE" w:rsidRPr="001D75AE">
        <w:rPr>
          <w:rFonts w:ascii="Arial" w:hAnsi="Arial" w:cs="Arial"/>
          <w:sz w:val="36"/>
          <w:szCs w:val="36"/>
        </w:rPr>
        <w:t>anisms, Diagnostic Developments</w:t>
      </w:r>
      <w:r w:rsidRPr="001D75AE">
        <w:rPr>
          <w:rFonts w:ascii="Arial" w:hAnsi="Arial" w:cs="Arial"/>
          <w:sz w:val="36"/>
          <w:szCs w:val="36"/>
        </w:rPr>
        <w:t xml:space="preserve"> and Evidence-Su</w:t>
      </w:r>
      <w:r w:rsidR="001D75AE" w:rsidRPr="001D75AE">
        <w:rPr>
          <w:rFonts w:ascii="Arial" w:hAnsi="Arial" w:cs="Arial"/>
          <w:sz w:val="36"/>
          <w:szCs w:val="36"/>
        </w:rPr>
        <w:t>pported Therapeutic Approaches:</w:t>
      </w:r>
      <w:r w:rsidRPr="001D75AE">
        <w:rPr>
          <w:rFonts w:ascii="Arial" w:hAnsi="Arial" w:cs="Arial"/>
          <w:sz w:val="36"/>
          <w:szCs w:val="36"/>
        </w:rPr>
        <w:t xml:space="preserve"> A Comprehensive Review</w:t>
      </w:r>
    </w:p>
    <w:p w:rsidR="0011564E" w:rsidRPr="001D75AE" w:rsidRDefault="0011564E" w:rsidP="00136643">
      <w:pPr>
        <w:pStyle w:val="Author"/>
        <w:spacing w:line="240" w:lineRule="auto"/>
        <w:rPr>
          <w:rFonts w:ascii="Arial" w:hAnsi="Arial" w:cs="Arial"/>
        </w:rPr>
      </w:pPr>
    </w:p>
    <w:p w:rsidR="00557AC6" w:rsidRPr="001D75AE" w:rsidRDefault="00557AC6" w:rsidP="00136643">
      <w:pPr>
        <w:pStyle w:val="Author"/>
        <w:spacing w:line="240" w:lineRule="auto"/>
        <w:rPr>
          <w:rFonts w:ascii="Arial" w:hAnsi="Arial" w:cs="Arial"/>
          <w:b w:val="0"/>
          <w:i/>
          <w:sz w:val="16"/>
        </w:rPr>
      </w:pPr>
    </w:p>
    <w:p w:rsidR="00557AC6" w:rsidRPr="001D75AE" w:rsidRDefault="00557AC6" w:rsidP="00136643">
      <w:pPr>
        <w:pStyle w:val="Author"/>
        <w:spacing w:line="240" w:lineRule="auto"/>
        <w:rPr>
          <w:rFonts w:ascii="Arial" w:hAnsi="Arial" w:cs="Arial"/>
          <w:b w:val="0"/>
          <w:i/>
          <w:sz w:val="16"/>
        </w:rPr>
      </w:pPr>
    </w:p>
    <w:p w:rsidR="00557AC6" w:rsidRPr="001D75AE" w:rsidRDefault="00557AC6" w:rsidP="00136643">
      <w:pPr>
        <w:pStyle w:val="Author"/>
        <w:spacing w:line="240" w:lineRule="auto"/>
        <w:rPr>
          <w:rFonts w:ascii="Arial" w:hAnsi="Arial" w:cs="Arial"/>
          <w:b w:val="0"/>
          <w:i/>
          <w:sz w:val="16"/>
        </w:rPr>
      </w:pPr>
    </w:p>
    <w:p w:rsidR="00557AC6" w:rsidRPr="001D75AE" w:rsidRDefault="00557AC6" w:rsidP="00136643">
      <w:pPr>
        <w:pStyle w:val="Author"/>
        <w:spacing w:line="240" w:lineRule="auto"/>
        <w:rPr>
          <w:rFonts w:ascii="Arial" w:hAnsi="Arial" w:cs="Arial"/>
          <w:b w:val="0"/>
          <w:i/>
          <w:sz w:val="16"/>
        </w:rPr>
      </w:pPr>
    </w:p>
    <w:p w:rsidR="00557AC6" w:rsidRPr="001D75AE" w:rsidRDefault="00557AC6" w:rsidP="00136643">
      <w:pPr>
        <w:pStyle w:val="Author"/>
        <w:spacing w:line="240" w:lineRule="auto"/>
        <w:rPr>
          <w:rFonts w:ascii="Arial" w:hAnsi="Arial" w:cs="Arial"/>
          <w:b w:val="0"/>
          <w:i/>
          <w:sz w:val="16"/>
        </w:rPr>
      </w:pPr>
    </w:p>
    <w:p w:rsidR="00557AC6" w:rsidRPr="001D75AE" w:rsidRDefault="00557AC6" w:rsidP="00136643">
      <w:pPr>
        <w:pStyle w:val="Author"/>
        <w:spacing w:line="240" w:lineRule="auto"/>
        <w:rPr>
          <w:rFonts w:ascii="Arial" w:hAnsi="Arial" w:cs="Arial"/>
          <w:b w:val="0"/>
          <w:i/>
          <w:sz w:val="16"/>
        </w:rPr>
      </w:pPr>
    </w:p>
    <w:p w:rsidR="00B01FCD" w:rsidRPr="001D75AE" w:rsidRDefault="00BB49FF" w:rsidP="00441B6F">
      <w:pPr>
        <w:pStyle w:val="Copyright"/>
        <w:spacing w:after="0" w:line="240" w:lineRule="auto"/>
        <w:jc w:val="both"/>
        <w:rPr>
          <w:rFonts w:ascii="Arial" w:hAnsi="Arial" w:cs="Arial"/>
        </w:rPr>
        <w:sectPr w:rsidR="00B01FCD" w:rsidRPr="001D75AE" w:rsidSect="00964E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D75AE">
        <w:rPr>
          <w:rFonts w:ascii="Arial" w:hAnsi="Arial" w:cs="Arial"/>
          <w:noProof/>
        </w:rPr>
      </w:r>
      <w:r w:rsidRPr="001D75AE">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strokeweight="1.5pt">
            <w10:wrap type="none"/>
            <w10:anchorlock/>
          </v:shape>
        </w:pict>
      </w:r>
      <w:r w:rsidR="00FB3A86" w:rsidRPr="001D75AE">
        <w:rPr>
          <w:rFonts w:ascii="Arial" w:hAnsi="Arial" w:cs="Arial"/>
        </w:rPr>
        <w:t>.</w:t>
      </w:r>
    </w:p>
    <w:p w:rsidR="00136643" w:rsidRPr="001D75AE" w:rsidRDefault="00136643" w:rsidP="00441B6F">
      <w:pPr>
        <w:pStyle w:val="AbstHead"/>
        <w:spacing w:after="0"/>
        <w:jc w:val="both"/>
        <w:rPr>
          <w:rFonts w:ascii="Arial" w:hAnsi="Arial" w:cs="Arial"/>
        </w:rPr>
      </w:pPr>
    </w:p>
    <w:p w:rsidR="00B01FCD" w:rsidRPr="001D75AE" w:rsidRDefault="00B01FCD" w:rsidP="00441B6F">
      <w:pPr>
        <w:pStyle w:val="AbstHead"/>
        <w:spacing w:after="0"/>
        <w:jc w:val="both"/>
        <w:rPr>
          <w:rFonts w:ascii="Arial" w:hAnsi="Arial" w:cs="Arial"/>
        </w:rPr>
      </w:pPr>
      <w:r w:rsidRPr="001D75AE">
        <w:rPr>
          <w:rFonts w:ascii="Arial" w:hAnsi="Arial" w:cs="Arial"/>
        </w:rPr>
        <w:t>ABSTRACT</w:t>
      </w:r>
    </w:p>
    <w:p w:rsidR="00790ADA" w:rsidRPr="001D75A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D75AE" w:rsidTr="001E44FE">
        <w:tc>
          <w:tcPr>
            <w:tcW w:w="9576" w:type="dxa"/>
            <w:shd w:val="clear" w:color="auto" w:fill="F2F2F2"/>
          </w:tcPr>
          <w:p w:rsidR="00384B2F" w:rsidRPr="001D75AE" w:rsidRDefault="00384B2F" w:rsidP="00384B2F">
            <w:pPr>
              <w:jc w:val="both"/>
              <w:rPr>
                <w:rFonts w:ascii="Arial" w:hAnsi="Arial" w:cs="Arial"/>
              </w:rPr>
            </w:pPr>
            <w:r w:rsidRPr="001D75AE">
              <w:rPr>
                <w:rFonts w:ascii="Arial" w:hAnsi="Arial" w:cs="Arial"/>
              </w:rPr>
              <w:t>Cobalamin, often known as vitamin B12, is a water-soluble vitamin that is necessary for one-carbon metabolism, erythropoiesis, DNA synthesis, and neurological integrity. Vitamin B12 deficiency is still a major global health issue despite its vital physiological functions; it is particularly common in vegetarians, pregnant women, babies, older adults, and people with metabolic or gastrointestinal diseases. The current research on vitamin B12 deficiency's epidemiology, biochemical roles, absorption methods, etiology, clinical manifestations, diagnostic indicators, and treatment options is compiled in this review. With the growing recognition of subclinical insufficiency, proper identification requires the use of functional biomarkers like homocysteine and methylmalonic acid. Clinical consequences include neuropathy, megaloblastic anemia, adverse pregnancy outcomes, and delayed cognitive development. High-dose oral medicine, Sucrosomial formulations, and better screening techniques are examples of treatment innovations that have improved management outcomes.In high-risk communities, public health interventions like targeted supplementation and dietary fortification are still crucial.  Greater availability and preventative measures are supported by ongoing advancements in molecular biology and biotechnological production.  In general, minimizing the long-term neurological and systemic effects of vitamin B12 insufficiency requires early diagnosis and immediate action.</w:t>
            </w:r>
          </w:p>
          <w:p w:rsidR="00505F06" w:rsidRPr="001D75AE" w:rsidRDefault="00505F06" w:rsidP="00441B6F">
            <w:pPr>
              <w:pStyle w:val="Body"/>
              <w:spacing w:after="0"/>
              <w:rPr>
                <w:rFonts w:ascii="Arial" w:eastAsia="Calibri" w:hAnsi="Arial" w:cs="Arial"/>
                <w:szCs w:val="22"/>
              </w:rPr>
            </w:pPr>
          </w:p>
        </w:tc>
      </w:tr>
    </w:tbl>
    <w:p w:rsidR="00636EB2" w:rsidRPr="001D75AE" w:rsidRDefault="00636EB2" w:rsidP="00441B6F">
      <w:pPr>
        <w:pStyle w:val="Body"/>
        <w:spacing w:after="0"/>
        <w:rPr>
          <w:rFonts w:ascii="Arial" w:hAnsi="Arial" w:cs="Arial"/>
          <w:i/>
        </w:rPr>
      </w:pPr>
    </w:p>
    <w:p w:rsidR="00BF5155" w:rsidRPr="001D75AE" w:rsidRDefault="0035337A" w:rsidP="00441B6F">
      <w:pPr>
        <w:pStyle w:val="Body"/>
        <w:spacing w:after="0"/>
        <w:rPr>
          <w:rFonts w:ascii="Arial" w:hAnsi="Arial" w:cs="Arial"/>
          <w:i/>
        </w:rPr>
      </w:pPr>
      <w:r w:rsidRPr="001D75AE">
        <w:rPr>
          <w:rFonts w:ascii="Arial" w:hAnsi="Arial" w:cs="Arial"/>
          <w:i/>
        </w:rPr>
        <w:t>Keywords: Vitamin B12 Deficiency, Megaloblastic Anemia, Homocysteine, Methylmalonic acid, Diagnostic Biomarker, Holotranscobalamine, Therapeutic Supplementation</w:t>
      </w:r>
    </w:p>
    <w:p w:rsidR="00BF5155" w:rsidRPr="001D75AE" w:rsidRDefault="00BF5155" w:rsidP="00441B6F">
      <w:pPr>
        <w:pStyle w:val="Body"/>
        <w:spacing w:after="0"/>
        <w:rPr>
          <w:rFonts w:ascii="Arial" w:hAnsi="Arial" w:cs="Arial"/>
          <w:i/>
          <w:sz w:val="18"/>
        </w:rPr>
      </w:pPr>
    </w:p>
    <w:p w:rsidR="00505F06" w:rsidRPr="001D75AE" w:rsidRDefault="00505F06" w:rsidP="00441B6F">
      <w:pPr>
        <w:pStyle w:val="Body"/>
        <w:spacing w:after="0"/>
        <w:rPr>
          <w:rFonts w:ascii="Arial" w:hAnsi="Arial" w:cs="Arial"/>
          <w:i/>
        </w:rPr>
      </w:pPr>
    </w:p>
    <w:p w:rsidR="00BF5155" w:rsidRPr="001D75AE" w:rsidRDefault="00902823" w:rsidP="005B4A37">
      <w:pPr>
        <w:pStyle w:val="AbstHead"/>
        <w:spacing w:after="0"/>
        <w:jc w:val="both"/>
        <w:rPr>
          <w:rFonts w:ascii="Arial" w:hAnsi="Arial" w:cs="Arial"/>
        </w:rPr>
      </w:pPr>
      <w:r w:rsidRPr="001D75AE">
        <w:rPr>
          <w:rFonts w:ascii="Arial" w:hAnsi="Arial" w:cs="Arial"/>
        </w:rPr>
        <w:t xml:space="preserve">1. </w:t>
      </w:r>
      <w:r w:rsidR="00B01FCD" w:rsidRPr="001D75AE">
        <w:rPr>
          <w:rFonts w:ascii="Arial" w:hAnsi="Arial" w:cs="Arial"/>
        </w:rPr>
        <w:t>INTRODUCTION</w:t>
      </w:r>
    </w:p>
    <w:p w:rsidR="00BF5155" w:rsidRPr="001D75AE" w:rsidRDefault="00BF5155" w:rsidP="00BF5155">
      <w:pPr>
        <w:pStyle w:val="Normal1"/>
        <w:spacing w:line="240" w:lineRule="auto"/>
        <w:jc w:val="both"/>
        <w:rPr>
          <w:rFonts w:eastAsia="Times New Roman"/>
          <w:sz w:val="20"/>
          <w:szCs w:val="20"/>
        </w:rPr>
      </w:pPr>
      <w:r w:rsidRPr="001D75AE">
        <w:rPr>
          <w:rFonts w:eastAsia="Times New Roman"/>
          <w:sz w:val="20"/>
          <w:szCs w:val="20"/>
        </w:rPr>
        <w:t xml:space="preserve">Cobalamin or vitamin B12 is a water-soluble vitamin that is needed to maintain the health of a human being, with significant roles in the synthesis of DNA, the formation of red blood cells, neurological functioning, and one-carbon metabolism. This has enabled it to be used as a cofactor in important enzymatic reactions because of its unusual chemical structure that contains a cobalt atom in the centre of a corrin ring. Although </w:t>
      </w:r>
      <w:bookmarkStart w:id="0" w:name="_Hlk214087765"/>
      <w:r w:rsidRPr="001D75AE">
        <w:rPr>
          <w:rFonts w:eastAsia="Times New Roman"/>
          <w:sz w:val="20"/>
          <w:szCs w:val="20"/>
        </w:rPr>
        <w:t xml:space="preserve">vitamin B12 </w:t>
      </w:r>
      <w:bookmarkEnd w:id="0"/>
      <w:r w:rsidRPr="001D75AE">
        <w:rPr>
          <w:rFonts w:eastAsia="Times New Roman"/>
          <w:sz w:val="20"/>
          <w:szCs w:val="20"/>
        </w:rPr>
        <w:t>has very significant functions, it is a global health problem and the rate of vitamin B12 deficiency is rising among all population groups, particularly vegetarians, vegans, pregnant women, older individuals and individuals with gastrointestinal diseases or genetic defects that impair absorption and metabolism of vitamin B12. Its deficiency has both direct and indirect influences on the hematological, neurological, metabolic and developmental health and therefore, the significance of knowing its biochemistry, absorption and its clinical relevance.</w:t>
      </w:r>
    </w:p>
    <w:p w:rsidR="0098778A" w:rsidRPr="001D75AE" w:rsidRDefault="0098778A" w:rsidP="00BF5155">
      <w:pPr>
        <w:pStyle w:val="Normal1"/>
        <w:spacing w:line="240" w:lineRule="auto"/>
        <w:jc w:val="both"/>
        <w:rPr>
          <w:rFonts w:eastAsia="Times New Roman"/>
          <w:sz w:val="20"/>
          <w:szCs w:val="20"/>
        </w:rPr>
      </w:pPr>
    </w:p>
    <w:p w:rsidR="0098778A" w:rsidRPr="001D75AE" w:rsidRDefault="0098778A" w:rsidP="0098778A">
      <w:pPr>
        <w:pStyle w:val="Normal1"/>
        <w:spacing w:line="240" w:lineRule="auto"/>
        <w:jc w:val="both"/>
        <w:rPr>
          <w:rFonts w:eastAsia="Times New Roman"/>
          <w:b/>
        </w:rPr>
      </w:pPr>
      <w:r w:rsidRPr="001D75AE">
        <w:rPr>
          <w:rFonts w:eastAsia="Times New Roman"/>
          <w:b/>
        </w:rPr>
        <w:t>1.</w:t>
      </w:r>
      <w:r w:rsidR="009E3C4E" w:rsidRPr="001D75AE">
        <w:rPr>
          <w:rFonts w:eastAsia="Times New Roman"/>
          <w:b/>
        </w:rPr>
        <w:t>1</w:t>
      </w:r>
      <w:r w:rsidRPr="001D75AE">
        <w:rPr>
          <w:rFonts w:eastAsia="Times New Roman"/>
          <w:b/>
        </w:rPr>
        <w:t>. Epidemiology</w:t>
      </w:r>
    </w:p>
    <w:p w:rsidR="0098778A" w:rsidRPr="001D75AE" w:rsidRDefault="0098778A" w:rsidP="0098778A">
      <w:pPr>
        <w:pStyle w:val="Normal1"/>
        <w:spacing w:line="240" w:lineRule="auto"/>
        <w:jc w:val="both"/>
        <w:rPr>
          <w:rFonts w:eastAsia="Times New Roman"/>
          <w:b/>
          <w:sz w:val="20"/>
          <w:szCs w:val="20"/>
        </w:rPr>
      </w:pPr>
      <w:r w:rsidRPr="001D75AE">
        <w:rPr>
          <w:rFonts w:eastAsia="Times New Roman"/>
          <w:sz w:val="20"/>
          <w:szCs w:val="20"/>
        </w:rPr>
        <w:t xml:space="preserve">Vitamin B12 deficiency is a significant problem of public health in the world. It affects approximately 6 to 12% of the population of the developed countries and even higher, greater than 40 to 60 in the developing countries, mainly in South Asia and sub-Saharan Africa. At-risk groups encompass vegetarians and vegans, pregnant women, children, the elderly </w:t>
      </w:r>
      <w:r w:rsidRPr="001D75AE">
        <w:rPr>
          <w:rFonts w:eastAsia="Times New Roman"/>
          <w:sz w:val="20"/>
          <w:szCs w:val="20"/>
        </w:rPr>
        <w:lastRenderedPageBreak/>
        <w:t xml:space="preserve">people and people with chronic illnesses. The quiet but widespread prevalence of subclinical vitamin B12 deficiency in the adult population of India </w:t>
      </w:r>
      <w:r w:rsidRPr="001D75AE">
        <w:t>emphasizes</w:t>
      </w:r>
      <w:r w:rsidRPr="001D75AE">
        <w:rPr>
          <w:rFonts w:eastAsia="Times New Roman"/>
          <w:sz w:val="20"/>
          <w:szCs w:val="20"/>
        </w:rPr>
        <w:t xml:space="preserve"> the necessity for targeted screening strategies in high-risk groups (Singla et al. 2019)[1] and (Parikh F. 2025)[</w:t>
      </w:r>
      <w:r w:rsidR="00664916" w:rsidRPr="001D75AE">
        <w:rPr>
          <w:rFonts w:eastAsia="Times New Roman"/>
          <w:sz w:val="20"/>
          <w:szCs w:val="20"/>
        </w:rPr>
        <w:t>2</w:t>
      </w:r>
      <w:r w:rsidRPr="001D75AE">
        <w:rPr>
          <w:rFonts w:eastAsia="Times New Roman"/>
          <w:sz w:val="20"/>
          <w:szCs w:val="20"/>
        </w:rPr>
        <w:t>].</w:t>
      </w:r>
      <w:r w:rsidRPr="001D75AE">
        <w:rPr>
          <w:sz w:val="20"/>
          <w:szCs w:val="20"/>
        </w:rPr>
        <w:t xml:space="preserve"> Research indicated that the prevalence of vitamin B12 deficiency was notably elevated in infants between 6 to 11 months, marking this age range as particularly susceptible during the initial phase of complementary feeding. The researchers emphasize the importance of conducting regular screenings during infancy and early childhood and suggest that administering a single intramuscular dose of vitamin B12 at birth may be advantageous in areas with a high prevalence of deficiency and restricted access to diagnostic testing</w:t>
      </w:r>
      <w:r w:rsidRPr="001D75AE">
        <w:rPr>
          <w:color w:val="222222"/>
          <w:sz w:val="20"/>
          <w:szCs w:val="20"/>
          <w:shd w:val="clear" w:color="auto" w:fill="FFFFFF"/>
        </w:rPr>
        <w:t xml:space="preserve"> (Elgormus Y</w:t>
      </w:r>
      <w:r w:rsidRPr="001D75AE">
        <w:rPr>
          <w:sz w:val="20"/>
          <w:szCs w:val="20"/>
        </w:rPr>
        <w:t xml:space="preserve"> et al 2023)[3]. The vitamin B12 deficiency in children often presents as megaloblastic anemia, with some developing pancytopenia. It can cause neurological symptoms due to impaired myelin synthesis, which may become irreversible if untreated. Deficiency also affects somatic growth. Risk factors include poor dietary intake and malabsorption, and both oral and parenteral supplementation are effective, </w:t>
      </w:r>
      <w:r w:rsidRPr="001D75AE">
        <w:t xml:space="preserve">which is </w:t>
      </w:r>
      <w:r w:rsidRPr="001D75AE">
        <w:rPr>
          <w:sz w:val="20"/>
          <w:szCs w:val="20"/>
        </w:rPr>
        <w:t>highlighting the need for awareness and preventive strategies (Mandal and Chandra 2025)[</w:t>
      </w:r>
      <w:r w:rsidR="00664916" w:rsidRPr="001D75AE">
        <w:rPr>
          <w:sz w:val="20"/>
          <w:szCs w:val="20"/>
        </w:rPr>
        <w:t>4</w:t>
      </w:r>
      <w:r w:rsidRPr="001D75AE">
        <w:rPr>
          <w:sz w:val="20"/>
          <w:szCs w:val="20"/>
        </w:rPr>
        <w:t>].A study evaluating 238 individuals with low serum cobalamin levels (&lt;200 ng/L) reported significant improvements in sleep duration, sleep quality, and overall quality of life following two months of vitamin B</w:t>
      </w:r>
      <w:r w:rsidRPr="001D75AE">
        <w:rPr>
          <w:rFonts w:ascii="Cambria Math" w:hAnsi="Cambria Math" w:cs="Cambria Math"/>
          <w:sz w:val="20"/>
          <w:szCs w:val="20"/>
        </w:rPr>
        <w:t>12</w:t>
      </w:r>
      <w:r w:rsidRPr="001D75AE">
        <w:rPr>
          <w:sz w:val="20"/>
          <w:szCs w:val="20"/>
        </w:rPr>
        <w:t xml:space="preserve"> supplementation. Mean sleep duration increased from 6.46 ± 1.87 to 7.44 ± 1.42 hours, and Pittsburgh Sleep Quality Index (PSQI) scores decreased from 9.77 ± 5.01 to 4.31 ± 3.59. Improvements were also noted across multiple Short Form-36 Health Survey (SF-36) subscales, indicating enhanced physical and mental well-being (Adem Durmaz and Melek Topaloğlu 2024) [</w:t>
      </w:r>
      <w:r w:rsidR="00664916" w:rsidRPr="001D75AE">
        <w:rPr>
          <w:sz w:val="20"/>
          <w:szCs w:val="20"/>
        </w:rPr>
        <w:t>5</w:t>
      </w:r>
      <w:r w:rsidRPr="001D75AE">
        <w:rPr>
          <w:sz w:val="20"/>
          <w:szCs w:val="20"/>
        </w:rPr>
        <w:t xml:space="preserve">].  </w:t>
      </w:r>
    </w:p>
    <w:p w:rsidR="0098778A" w:rsidRPr="001D75AE" w:rsidRDefault="0098778A" w:rsidP="00BF5155">
      <w:pPr>
        <w:pStyle w:val="Normal1"/>
        <w:spacing w:line="240" w:lineRule="auto"/>
        <w:jc w:val="both"/>
        <w:rPr>
          <w:rFonts w:eastAsia="Times New Roman"/>
          <w:sz w:val="20"/>
          <w:szCs w:val="20"/>
        </w:rPr>
      </w:pPr>
    </w:p>
    <w:p w:rsidR="00BF5155" w:rsidRPr="001D75AE" w:rsidRDefault="00BF5155" w:rsidP="00BF5155">
      <w:pPr>
        <w:pStyle w:val="Normal1"/>
        <w:spacing w:line="240" w:lineRule="auto"/>
        <w:jc w:val="both"/>
        <w:rPr>
          <w:rFonts w:eastAsia="Times New Roman"/>
          <w:sz w:val="20"/>
          <w:szCs w:val="20"/>
        </w:rPr>
      </w:pPr>
    </w:p>
    <w:p w:rsidR="00BF5155" w:rsidRPr="001D75AE" w:rsidRDefault="00BF5155" w:rsidP="00BF5155">
      <w:pPr>
        <w:pStyle w:val="Normal1"/>
        <w:spacing w:line="240" w:lineRule="auto"/>
        <w:jc w:val="both"/>
        <w:rPr>
          <w:rFonts w:eastAsia="Times New Roman"/>
          <w:b/>
        </w:rPr>
      </w:pPr>
      <w:r w:rsidRPr="001D75AE">
        <w:rPr>
          <w:rFonts w:eastAsia="Times New Roman"/>
          <w:b/>
        </w:rPr>
        <w:t>1.</w:t>
      </w:r>
      <w:r w:rsidR="009E3C4E" w:rsidRPr="001D75AE">
        <w:rPr>
          <w:rFonts w:eastAsia="Times New Roman"/>
          <w:b/>
        </w:rPr>
        <w:t>2</w:t>
      </w:r>
      <w:r w:rsidRPr="001D75AE">
        <w:rPr>
          <w:rFonts w:eastAsia="Times New Roman"/>
          <w:b/>
        </w:rPr>
        <w:t xml:space="preserve"> Chemical Structure and Biological Significance:</w:t>
      </w:r>
    </w:p>
    <w:p w:rsidR="00562789" w:rsidRPr="001D75AE" w:rsidRDefault="00562789" w:rsidP="00562789">
      <w:pPr>
        <w:rPr>
          <w:rFonts w:ascii="Times New Roman" w:hAnsi="Times New Roman"/>
          <w:sz w:val="24"/>
          <w:szCs w:val="24"/>
        </w:rPr>
      </w:pPr>
      <w:r w:rsidRPr="001D75AE">
        <w:t xml:space="preserve">Vitamin B12 (cobalamin) is an essential dietary micronutrient that humans cannot synthesize and must obtain from food, primarily of animal origin, and its significance in supporting both simple and complex biochemical processes in the body. </w:t>
      </w:r>
      <w:r w:rsidR="00BF5155" w:rsidRPr="001D75AE">
        <w:t>Cobalamin is the only vitamin with a cobalt atom attached to the corrin ring that allows it to serve in enzymatic reac</w:t>
      </w:r>
      <w:r w:rsidRPr="001D75AE">
        <w:t>tions as an essential cofactor</w:t>
      </w:r>
      <w:r w:rsidR="003F27E9" w:rsidRPr="001D75AE">
        <w:t>(O’Leary and Samman 2020)[</w:t>
      </w:r>
      <w:r w:rsidR="00664916" w:rsidRPr="001D75AE">
        <w:t>6</w:t>
      </w:r>
      <w:r w:rsidR="003F27E9" w:rsidRPr="001D75AE">
        <w:t>] and (Fang et al. 2022)[</w:t>
      </w:r>
      <w:r w:rsidR="00664916" w:rsidRPr="001D75AE">
        <w:t>7</w:t>
      </w:r>
      <w:r w:rsidRPr="001D75AE">
        <w:rPr>
          <w:rFonts w:ascii="Times New Roman" w:hAnsi="Times New Roman"/>
          <w:sz w:val="24"/>
          <w:szCs w:val="24"/>
        </w:rPr>
        <w:t xml:space="preserve">]. </w:t>
      </w:r>
      <w:r w:rsidRPr="001D75AE">
        <w:rPr>
          <w:rFonts w:ascii="Arial" w:hAnsi="Arial" w:cs="Arial"/>
        </w:rPr>
        <w:t>It is noted that vitamin B12 exists in various chemical forms, including cyanocobalamin, hydroxocobalamin, adenosylcobalamin, and methylcobalamin (TemovaRakuša et al. 2022) [</w:t>
      </w:r>
      <w:r w:rsidR="00664916" w:rsidRPr="001D75AE">
        <w:rPr>
          <w:rFonts w:ascii="Arial" w:hAnsi="Arial" w:cs="Arial"/>
        </w:rPr>
        <w:t>8</w:t>
      </w:r>
      <w:r w:rsidRPr="001D75AE">
        <w:rPr>
          <w:rFonts w:ascii="Arial" w:hAnsi="Arial" w:cs="Arial"/>
        </w:rPr>
        <w:t>].</w:t>
      </w:r>
    </w:p>
    <w:p w:rsidR="00BF5155" w:rsidRPr="001D75AE" w:rsidRDefault="00BF5155" w:rsidP="00BF5155">
      <w:pPr>
        <w:pStyle w:val="Normal1"/>
        <w:spacing w:line="240" w:lineRule="auto"/>
        <w:jc w:val="both"/>
        <w:rPr>
          <w:rFonts w:eastAsia="Times New Roman"/>
          <w:sz w:val="20"/>
          <w:szCs w:val="20"/>
        </w:rPr>
      </w:pPr>
      <w:r w:rsidRPr="001D75AE">
        <w:rPr>
          <w:rFonts w:eastAsia="Times New Roman"/>
          <w:sz w:val="20"/>
          <w:szCs w:val="20"/>
        </w:rPr>
        <w:t xml:space="preserve">It contributes to processes that are critical to cellular and systemic health, such as the synthesis of </w:t>
      </w:r>
      <w:r w:rsidR="00016BB7" w:rsidRPr="001D75AE">
        <w:rPr>
          <w:rFonts w:eastAsia="Times New Roman"/>
          <w:sz w:val="20"/>
          <w:szCs w:val="20"/>
        </w:rPr>
        <w:t>Deoxyribonucleic acid (DNA)</w:t>
      </w:r>
      <w:r w:rsidRPr="001D75AE">
        <w:rPr>
          <w:rFonts w:eastAsia="Times New Roman"/>
          <w:sz w:val="20"/>
          <w:szCs w:val="20"/>
        </w:rPr>
        <w:t xml:space="preserve">, methylation reactions, and energy metabolism. These responses are very critical to the sustenance of normal hematopoietic, neurological, and general metabolic homeostasis. The biological importance of vitamin B12 is not limited to the fundamental metabolic process and has been linked to cognitive health in old age, heart activity and the development of the fetus. </w:t>
      </w:r>
    </w:p>
    <w:p w:rsidR="003F27E9" w:rsidRPr="001D75AE" w:rsidRDefault="003F27E9" w:rsidP="00BF5155">
      <w:pPr>
        <w:pStyle w:val="Normal1"/>
        <w:spacing w:line="240" w:lineRule="auto"/>
        <w:jc w:val="both"/>
        <w:rPr>
          <w:rFonts w:eastAsia="Times New Roman"/>
          <w:sz w:val="20"/>
          <w:szCs w:val="20"/>
        </w:rPr>
      </w:pPr>
    </w:p>
    <w:p w:rsidR="003F27E9" w:rsidRPr="001D75AE" w:rsidRDefault="00BF5155" w:rsidP="00BF5155">
      <w:pPr>
        <w:pStyle w:val="Normal1"/>
        <w:spacing w:line="240" w:lineRule="auto"/>
        <w:jc w:val="both"/>
        <w:rPr>
          <w:rFonts w:eastAsia="Times New Roman"/>
        </w:rPr>
      </w:pPr>
      <w:r w:rsidRPr="001D75AE">
        <w:rPr>
          <w:rFonts w:eastAsia="Times New Roman"/>
          <w:b/>
        </w:rPr>
        <w:t>1</w:t>
      </w:r>
      <w:r w:rsidR="009E3C4E" w:rsidRPr="001D75AE">
        <w:rPr>
          <w:rFonts w:eastAsia="Times New Roman"/>
          <w:b/>
        </w:rPr>
        <w:t>.3.</w:t>
      </w:r>
      <w:r w:rsidRPr="001D75AE">
        <w:rPr>
          <w:rFonts w:eastAsia="Times New Roman"/>
          <w:b/>
        </w:rPr>
        <w:t xml:space="preserve"> Metabolic Functions</w:t>
      </w:r>
      <w:r w:rsidRPr="001D75AE">
        <w:rPr>
          <w:rFonts w:eastAsia="Times New Roman"/>
        </w:rPr>
        <w:t>:</w:t>
      </w:r>
    </w:p>
    <w:p w:rsidR="00DB3ABF" w:rsidRPr="001D75AE" w:rsidRDefault="00562789" w:rsidP="00DB3ABF">
      <w:pPr>
        <w:pStyle w:val="Normal1"/>
        <w:spacing w:line="240" w:lineRule="auto"/>
        <w:jc w:val="both"/>
        <w:rPr>
          <w:rFonts w:eastAsia="Times New Roman"/>
          <w:sz w:val="20"/>
          <w:szCs w:val="20"/>
        </w:rPr>
      </w:pPr>
      <w:r w:rsidRPr="001D75AE">
        <w:rPr>
          <w:sz w:val="20"/>
          <w:szCs w:val="20"/>
          <w:shd w:val="clear" w:color="auto" w:fill="FFFFFF"/>
        </w:rPr>
        <w:t>Vitamin B</w:t>
      </w:r>
      <w:r w:rsidRPr="001D75AE">
        <w:rPr>
          <w:rFonts w:ascii="Cambria Math" w:hAnsi="Cambria Math" w:cs="Cambria Math"/>
          <w:sz w:val="20"/>
          <w:szCs w:val="20"/>
          <w:shd w:val="clear" w:color="auto" w:fill="FFFFFF"/>
        </w:rPr>
        <w:t>₁₂</w:t>
      </w:r>
      <w:r w:rsidRPr="001D75AE">
        <w:rPr>
          <w:sz w:val="20"/>
          <w:szCs w:val="20"/>
          <w:shd w:val="clear" w:color="auto" w:fill="FFFFFF"/>
        </w:rPr>
        <w:t xml:space="preserve"> deficiency has been linked not only to haematological and neurological disorders but also to metabolic disturbances such as insulin resistance and body-composition changes. Its deficiency disrupts the activity of methionine synthase, resulting in homocysteine accumulation, and impairs methylmalonyl-CoA mutase, leading to elevated methylmalonic acid, ultimately causing myelin damage, abnormal DNA synthesis, and megaloblastic anemia (Lopes et al. 2019) [</w:t>
      </w:r>
      <w:r w:rsidR="00664916" w:rsidRPr="001D75AE">
        <w:rPr>
          <w:sz w:val="20"/>
          <w:szCs w:val="20"/>
          <w:shd w:val="clear" w:color="auto" w:fill="FFFFFF"/>
        </w:rPr>
        <w:t>9</w:t>
      </w:r>
      <w:r w:rsidRPr="001D75AE">
        <w:rPr>
          <w:sz w:val="20"/>
          <w:szCs w:val="20"/>
          <w:shd w:val="clear" w:color="auto" w:fill="FFFFFF"/>
        </w:rPr>
        <w:t>].</w:t>
      </w:r>
      <w:r w:rsidR="00BF5155" w:rsidRPr="001D75AE">
        <w:rPr>
          <w:rFonts w:eastAsia="Times New Roman"/>
          <w:sz w:val="20"/>
          <w:szCs w:val="20"/>
        </w:rPr>
        <w:t xml:space="preserve">The vitamin B12 facilitates two important enzyme reactions during the methylation of methionine synthase and in a second reaction with methylmalonic acid mutase. The catalyst of the remethylation of homocysteine into methionine is methionine synthetase a process that is central to DNA synthesis, methylation reaction and multiplication of cells. The disruption of this pathway results in hyperhomocysteinemia which has been associated with cardiovascular diseases, mental impairment and complications during pregnancy. </w:t>
      </w:r>
      <w:r w:rsidR="00016BB7" w:rsidRPr="001D75AE">
        <w:rPr>
          <w:rFonts w:eastAsia="Times New Roman"/>
          <w:sz w:val="20"/>
          <w:szCs w:val="20"/>
        </w:rPr>
        <w:t>(</w:t>
      </w:r>
      <w:r w:rsidR="00BF5155" w:rsidRPr="001D75AE">
        <w:rPr>
          <w:rFonts w:eastAsia="Times New Roman"/>
          <w:sz w:val="20"/>
          <w:szCs w:val="20"/>
        </w:rPr>
        <w:t>Methylmalonyl-CoA</w:t>
      </w:r>
      <w:r w:rsidR="00016BB7" w:rsidRPr="001D75AE">
        <w:rPr>
          <w:rFonts w:eastAsia="Times New Roman"/>
          <w:sz w:val="20"/>
          <w:szCs w:val="20"/>
        </w:rPr>
        <w:t>) Methymalonyl-Coenzyme A</w:t>
      </w:r>
      <w:r w:rsidR="00BF5155" w:rsidRPr="001D75AE">
        <w:rPr>
          <w:rFonts w:eastAsia="Times New Roman"/>
          <w:sz w:val="20"/>
          <w:szCs w:val="20"/>
        </w:rPr>
        <w:t xml:space="preserve"> mutase accomplishes the conversion of methylmalonyl-CoA to succinyl-CoA and links the metabolism of the amino acid and fatty acid to the tricarboxylic acid cycle. Absence of such a reaction results in the build-up of methylmalonic acid, and the latter is an approachable biomarker of B12 deficiency and induces a metabolic disharmony. The importance of these pathways is well established in the literature, which extensively explores the downstream consequences of B12 deficiency </w:t>
      </w:r>
      <w:r w:rsidR="00BF5155" w:rsidRPr="001D75AE">
        <w:rPr>
          <w:sz w:val="20"/>
          <w:szCs w:val="20"/>
        </w:rPr>
        <w:t>leads to the accumulation of branched-chain fatty acids in cell membranes, which, when deposited in neurons, result in neurological manifestations</w:t>
      </w:r>
      <w:r w:rsidR="00BF5155" w:rsidRPr="001D75AE">
        <w:rPr>
          <w:rFonts w:eastAsia="Times New Roman"/>
          <w:sz w:val="20"/>
          <w:szCs w:val="20"/>
        </w:rPr>
        <w:t xml:space="preserve"> cardiovascular, and metabolic health(</w:t>
      </w:r>
      <w:r w:rsidR="00EB0A2F" w:rsidRPr="001D75AE">
        <w:rPr>
          <w:rFonts w:eastAsia="Times New Roman"/>
          <w:sz w:val="20"/>
          <w:szCs w:val="20"/>
        </w:rPr>
        <w:t>Zhao et al. 2022)[</w:t>
      </w:r>
      <w:r w:rsidR="00664916" w:rsidRPr="001D75AE">
        <w:rPr>
          <w:rFonts w:eastAsia="Times New Roman"/>
          <w:sz w:val="20"/>
          <w:szCs w:val="20"/>
        </w:rPr>
        <w:t>10</w:t>
      </w:r>
      <w:r w:rsidR="00BF5155" w:rsidRPr="001D75AE">
        <w:rPr>
          <w:rFonts w:eastAsia="Times New Roman"/>
          <w:sz w:val="20"/>
          <w:szCs w:val="20"/>
        </w:rPr>
        <w:t>] (</w:t>
      </w:r>
      <w:r w:rsidR="00EB0A2F" w:rsidRPr="001D75AE">
        <w:rPr>
          <w:rFonts w:eastAsia="Times New Roman"/>
          <w:sz w:val="20"/>
          <w:szCs w:val="20"/>
        </w:rPr>
        <w:t>Sayedali et al. 2023)[</w:t>
      </w:r>
      <w:r w:rsidR="00664916" w:rsidRPr="001D75AE">
        <w:rPr>
          <w:rFonts w:eastAsia="Times New Roman"/>
          <w:sz w:val="20"/>
          <w:szCs w:val="20"/>
        </w:rPr>
        <w:t>11</w:t>
      </w:r>
      <w:r w:rsidR="00BF5155" w:rsidRPr="001D75AE">
        <w:rPr>
          <w:rFonts w:eastAsia="Times New Roman"/>
          <w:sz w:val="20"/>
          <w:szCs w:val="20"/>
        </w:rPr>
        <w:t>]</w:t>
      </w:r>
      <w:r w:rsidR="00BF5155" w:rsidRPr="001D75AE">
        <w:rPr>
          <w:sz w:val="20"/>
          <w:szCs w:val="20"/>
        </w:rPr>
        <w:t xml:space="preserve"> (Sri</w:t>
      </w:r>
      <w:r w:rsidR="00664916" w:rsidRPr="001D75AE">
        <w:rPr>
          <w:sz w:val="20"/>
          <w:szCs w:val="20"/>
        </w:rPr>
        <w:t>van</w:t>
      </w:r>
      <w:r w:rsidR="00BF5155" w:rsidRPr="001D75AE">
        <w:rPr>
          <w:sz w:val="20"/>
          <w:szCs w:val="20"/>
        </w:rPr>
        <w:t>iNutakki et al. 2023)</w:t>
      </w:r>
      <w:r w:rsidR="00EB0A2F" w:rsidRPr="001D75AE">
        <w:rPr>
          <w:sz w:val="20"/>
          <w:szCs w:val="20"/>
        </w:rPr>
        <w:t>[</w:t>
      </w:r>
      <w:r w:rsidR="00664916" w:rsidRPr="001D75AE">
        <w:rPr>
          <w:sz w:val="20"/>
          <w:szCs w:val="20"/>
        </w:rPr>
        <w:t>12</w:t>
      </w:r>
      <w:r w:rsidR="00EB0A2F" w:rsidRPr="001D75AE">
        <w:rPr>
          <w:sz w:val="20"/>
          <w:szCs w:val="20"/>
        </w:rPr>
        <w:t>]</w:t>
      </w:r>
      <w:r w:rsidR="00BF5155" w:rsidRPr="001D75AE">
        <w:rPr>
          <w:rFonts w:eastAsia="Times New Roman"/>
          <w:sz w:val="20"/>
          <w:szCs w:val="20"/>
        </w:rPr>
        <w:t>.</w:t>
      </w:r>
    </w:p>
    <w:p w:rsidR="00AE6BF4" w:rsidRPr="001D75AE" w:rsidRDefault="00AE6BF4" w:rsidP="00AE6BF4">
      <w:pPr>
        <w:pStyle w:val="Normal1"/>
        <w:spacing w:line="240" w:lineRule="auto"/>
        <w:jc w:val="both"/>
        <w:rPr>
          <w:rFonts w:eastAsia="Times New Roman"/>
          <w:sz w:val="20"/>
          <w:szCs w:val="20"/>
        </w:rPr>
      </w:pPr>
      <w:r w:rsidRPr="001D75AE">
        <w:rPr>
          <w:rFonts w:eastAsia="Times New Roman"/>
          <w:sz w:val="20"/>
          <w:szCs w:val="20"/>
        </w:rPr>
        <w:t>.</w:t>
      </w:r>
    </w:p>
    <w:p w:rsidR="00BF5155" w:rsidRPr="001D75AE" w:rsidRDefault="00BF5155" w:rsidP="00BF5155">
      <w:pPr>
        <w:pStyle w:val="Normal1"/>
        <w:spacing w:line="240" w:lineRule="auto"/>
        <w:jc w:val="both"/>
        <w:rPr>
          <w:sz w:val="20"/>
          <w:szCs w:val="20"/>
          <w:shd w:val="clear" w:color="auto" w:fill="FFFFFF"/>
        </w:rPr>
      </w:pPr>
    </w:p>
    <w:p w:rsidR="00BF5155" w:rsidRPr="001D75AE" w:rsidRDefault="00BF5155" w:rsidP="00BF5155">
      <w:pPr>
        <w:pStyle w:val="Normal1"/>
        <w:spacing w:line="240" w:lineRule="auto"/>
        <w:jc w:val="both"/>
        <w:rPr>
          <w:rFonts w:eastAsia="Times New Roman"/>
          <w:sz w:val="20"/>
          <w:szCs w:val="20"/>
        </w:rPr>
      </w:pPr>
    </w:p>
    <w:p w:rsidR="00BF5155" w:rsidRPr="001D75AE" w:rsidRDefault="00BF5155" w:rsidP="00BF5155">
      <w:pPr>
        <w:pStyle w:val="Normal1"/>
        <w:spacing w:line="240" w:lineRule="auto"/>
        <w:jc w:val="both"/>
        <w:rPr>
          <w:rFonts w:eastAsia="Times New Roman"/>
          <w:b/>
        </w:rPr>
      </w:pPr>
      <w:r w:rsidRPr="001D75AE">
        <w:rPr>
          <w:rFonts w:eastAsia="Times New Roman"/>
          <w:b/>
        </w:rPr>
        <w:t>1.</w:t>
      </w:r>
      <w:r w:rsidR="009E3C4E" w:rsidRPr="001D75AE">
        <w:rPr>
          <w:rFonts w:eastAsia="Times New Roman"/>
          <w:b/>
        </w:rPr>
        <w:t>4</w:t>
      </w:r>
      <w:r w:rsidRPr="001D75AE">
        <w:rPr>
          <w:rFonts w:eastAsia="Times New Roman"/>
          <w:b/>
        </w:rPr>
        <w:t>. Absorptive and Transportation Mechanisms:</w:t>
      </w:r>
    </w:p>
    <w:p w:rsidR="00AE6BF4" w:rsidRPr="001D75AE" w:rsidRDefault="00C2409C" w:rsidP="00AE6BF4">
      <w:pPr>
        <w:pStyle w:val="Normal1"/>
        <w:spacing w:line="240" w:lineRule="auto"/>
        <w:jc w:val="both"/>
        <w:rPr>
          <w:sz w:val="20"/>
          <w:szCs w:val="20"/>
        </w:rPr>
      </w:pPr>
      <w:r w:rsidRPr="001D75AE">
        <w:rPr>
          <w:rFonts w:eastAsia="Times New Roman"/>
          <w:sz w:val="20"/>
          <w:szCs w:val="20"/>
        </w:rPr>
        <w:t xml:space="preserve">Vitamin B12 absorption is an extremely complicated process, which entails coordination of gastric, pancreatic and intestinal elements. </w:t>
      </w:r>
      <w:r w:rsidR="001F3840" w:rsidRPr="001D75AE">
        <w:rPr>
          <w:rFonts w:eastAsia="Times New Roman"/>
          <w:sz w:val="20"/>
          <w:szCs w:val="20"/>
        </w:rPr>
        <w:t xml:space="preserve">Vitamin B12 </w:t>
      </w:r>
      <w:r w:rsidR="001F3840" w:rsidRPr="001D75AE">
        <w:rPr>
          <w:sz w:val="20"/>
          <w:szCs w:val="20"/>
        </w:rPr>
        <w:t>(cobalamin) obtained from animal-based foods undergoes a multi-step process involving its release from dietary proteins, binding to intrinsic factor, absorption in the ileum, transport through transcobalamins, and subsequent conversion into the active cofactor forms methylcobalamin and 5-deoxyadenosylcobalamin, (</w:t>
      </w:r>
      <w:r w:rsidR="001F3840" w:rsidRPr="001D75AE">
        <w:rPr>
          <w:rFonts w:eastAsia="Times New Roman"/>
          <w:sz w:val="20"/>
          <w:szCs w:val="20"/>
        </w:rPr>
        <w:t>Chatterji, N., &amp; Saraswat</w:t>
      </w:r>
      <w:r w:rsidR="001F3840" w:rsidRPr="001D75AE">
        <w:rPr>
          <w:sz w:val="20"/>
          <w:szCs w:val="20"/>
        </w:rPr>
        <w:t xml:space="preserve"> 2022) [</w:t>
      </w:r>
      <w:r w:rsidR="00AD17A6" w:rsidRPr="001D75AE">
        <w:rPr>
          <w:sz w:val="20"/>
          <w:szCs w:val="20"/>
        </w:rPr>
        <w:t>13</w:t>
      </w:r>
      <w:r w:rsidR="001F3840" w:rsidRPr="001D75AE">
        <w:rPr>
          <w:sz w:val="20"/>
          <w:szCs w:val="20"/>
        </w:rPr>
        <w:t>]</w:t>
      </w:r>
      <w:r w:rsidR="00BF5155" w:rsidRPr="001D75AE">
        <w:rPr>
          <w:rFonts w:eastAsia="Times New Roman"/>
          <w:sz w:val="20"/>
          <w:szCs w:val="20"/>
        </w:rPr>
        <w:t xml:space="preserve">. Dietary vitamin B12 that is predominantly present in animal food is initially bound to proteins. In the stomach, vitamin B12 is released by gastric acid and pepsin in the same way as these proteins bound with vitamin B12 </w:t>
      </w:r>
      <w:r w:rsidR="00BF5155" w:rsidRPr="001D75AE">
        <w:rPr>
          <w:rFonts w:eastAsia="Times New Roman"/>
          <w:sz w:val="20"/>
          <w:szCs w:val="20"/>
        </w:rPr>
        <w:lastRenderedPageBreak/>
        <w:t>before being degraded, as the vitamin B12 is bound to haptocorrin. The pancreatic enzymes degrade haptocorrin in the small intestine allow the binding of cobalamin to intrinsic factor, a glycoprotein that gastric parietal cells secrete. Receptor-mediated endocytosis occurs in the distal ileum, taking up the vitamin B12 -intrinsic factor complex. Once absorbed, vitamin B12 is affixed to a protein known as transcobalamin II which is employed in ferrying vitamin B12 to its respective target tissues such as the liver, bone marrow and nervous system. Clinical vitamin B12 deficiency can arise from disruptions at any stage of its absorption or metabolism, including dietary inadequacy, malabsorption syndromes, gastrointestinal surgeries, chronic medication use, and genetic defects(</w:t>
      </w:r>
      <w:r w:rsidR="00EB0A2F" w:rsidRPr="001D75AE">
        <w:rPr>
          <w:rFonts w:eastAsia="Times New Roman"/>
          <w:sz w:val="20"/>
          <w:szCs w:val="20"/>
        </w:rPr>
        <w:t>Fang et al. 20</w:t>
      </w:r>
      <w:r w:rsidR="00AD17A6" w:rsidRPr="001D75AE">
        <w:rPr>
          <w:rFonts w:eastAsia="Times New Roman"/>
          <w:sz w:val="20"/>
          <w:szCs w:val="20"/>
        </w:rPr>
        <w:t>17</w:t>
      </w:r>
      <w:r w:rsidR="00EB0A2F" w:rsidRPr="001D75AE">
        <w:rPr>
          <w:rFonts w:eastAsia="Times New Roman"/>
          <w:sz w:val="20"/>
          <w:szCs w:val="20"/>
        </w:rPr>
        <w:t>)[</w:t>
      </w:r>
      <w:r w:rsidR="00AD17A6" w:rsidRPr="001D75AE">
        <w:rPr>
          <w:rFonts w:eastAsia="Times New Roman"/>
          <w:sz w:val="20"/>
          <w:szCs w:val="20"/>
        </w:rPr>
        <w:t>7</w:t>
      </w:r>
      <w:r w:rsidR="00BF5155" w:rsidRPr="001D75AE">
        <w:rPr>
          <w:rFonts w:eastAsia="Times New Roman"/>
          <w:sz w:val="20"/>
          <w:szCs w:val="20"/>
        </w:rPr>
        <w:t>] and (</w:t>
      </w:r>
      <w:r w:rsidR="00EB0A2F" w:rsidRPr="001D75AE">
        <w:rPr>
          <w:rFonts w:eastAsia="Times New Roman"/>
          <w:sz w:val="20"/>
          <w:szCs w:val="20"/>
        </w:rPr>
        <w:t>Carmel 2019)[</w:t>
      </w:r>
      <w:r w:rsidR="00AD17A6" w:rsidRPr="001D75AE">
        <w:rPr>
          <w:rFonts w:eastAsia="Times New Roman"/>
          <w:sz w:val="20"/>
          <w:szCs w:val="20"/>
        </w:rPr>
        <w:t>14</w:t>
      </w:r>
      <w:r w:rsidR="00BF5155" w:rsidRPr="001D75AE">
        <w:rPr>
          <w:rFonts w:eastAsia="Times New Roman"/>
          <w:sz w:val="20"/>
          <w:szCs w:val="20"/>
        </w:rPr>
        <w:t>].</w:t>
      </w:r>
      <w:r w:rsidR="006263E0" w:rsidRPr="001D75AE">
        <w:rPr>
          <w:sz w:val="20"/>
          <w:szCs w:val="20"/>
        </w:rPr>
        <w:t>Colonic absorption, together with the very low daily excretion of vitamin B</w:t>
      </w:r>
      <w:r w:rsidR="00016BB7" w:rsidRPr="001D75AE">
        <w:rPr>
          <w:sz w:val="20"/>
          <w:szCs w:val="20"/>
        </w:rPr>
        <w:t>12</w:t>
      </w:r>
      <w:r w:rsidR="006263E0" w:rsidRPr="001D75AE">
        <w:rPr>
          <w:sz w:val="20"/>
          <w:szCs w:val="20"/>
        </w:rPr>
        <w:t>, may help keep B</w:t>
      </w:r>
      <w:r w:rsidR="00016BB7" w:rsidRPr="001D75AE">
        <w:rPr>
          <w:sz w:val="20"/>
          <w:szCs w:val="20"/>
        </w:rPr>
        <w:t>12</w:t>
      </w:r>
      <w:r w:rsidR="006263E0" w:rsidRPr="001D75AE">
        <w:rPr>
          <w:sz w:val="20"/>
          <w:szCs w:val="20"/>
        </w:rPr>
        <w:t xml:space="preserve"> levels stable in those who don't eat enough of it, which could explain why many vegetarian populations have reasonably stable B</w:t>
      </w:r>
      <w:r w:rsidR="00016BB7" w:rsidRPr="001D75AE">
        <w:rPr>
          <w:sz w:val="20"/>
          <w:szCs w:val="20"/>
        </w:rPr>
        <w:t xml:space="preserve">12 </w:t>
      </w:r>
      <w:r w:rsidR="006263E0" w:rsidRPr="001D75AE">
        <w:rPr>
          <w:sz w:val="20"/>
          <w:szCs w:val="20"/>
        </w:rPr>
        <w:t>levels(Kurpad.et al 2023)[</w:t>
      </w:r>
      <w:r w:rsidR="00AD17A6" w:rsidRPr="001D75AE">
        <w:rPr>
          <w:sz w:val="20"/>
          <w:szCs w:val="20"/>
        </w:rPr>
        <w:t>15</w:t>
      </w:r>
      <w:r w:rsidR="006263E0" w:rsidRPr="001D75AE">
        <w:rPr>
          <w:sz w:val="20"/>
          <w:szCs w:val="20"/>
        </w:rPr>
        <w:t>]</w:t>
      </w:r>
      <w:r w:rsidR="00DA7AE6" w:rsidRPr="001D75AE">
        <w:t>.</w:t>
      </w:r>
    </w:p>
    <w:p w:rsidR="00AE6BF4" w:rsidRPr="001D75AE" w:rsidRDefault="00AE6BF4" w:rsidP="00AE6BF4">
      <w:pPr>
        <w:pStyle w:val="Normal1"/>
        <w:spacing w:line="240" w:lineRule="auto"/>
        <w:jc w:val="both"/>
        <w:rPr>
          <w:rFonts w:eastAsia="Times New Roman"/>
          <w:sz w:val="20"/>
          <w:szCs w:val="20"/>
        </w:rPr>
      </w:pPr>
    </w:p>
    <w:p w:rsidR="005B4A37" w:rsidRPr="001D75AE" w:rsidRDefault="00BF5155" w:rsidP="005B4A37">
      <w:pPr>
        <w:pStyle w:val="Normal1"/>
        <w:spacing w:line="240" w:lineRule="auto"/>
        <w:jc w:val="both"/>
        <w:rPr>
          <w:b/>
        </w:rPr>
      </w:pPr>
      <w:r w:rsidRPr="001D75AE">
        <w:rPr>
          <w:rFonts w:eastAsia="Times New Roman"/>
          <w:b/>
        </w:rPr>
        <w:t>1.</w:t>
      </w:r>
      <w:r w:rsidR="009E3C4E" w:rsidRPr="001D75AE">
        <w:rPr>
          <w:rFonts w:eastAsia="Times New Roman"/>
          <w:b/>
        </w:rPr>
        <w:t>5</w:t>
      </w:r>
      <w:r w:rsidRPr="001D75AE">
        <w:rPr>
          <w:rFonts w:eastAsia="Times New Roman"/>
          <w:b/>
        </w:rPr>
        <w:t xml:space="preserve">. </w:t>
      </w:r>
      <w:r w:rsidRPr="001D75AE">
        <w:rPr>
          <w:b/>
        </w:rPr>
        <w:t>Etiology and Risk Factors</w:t>
      </w:r>
    </w:p>
    <w:p w:rsidR="00BF5155" w:rsidRPr="001D75AE" w:rsidRDefault="00BF5155" w:rsidP="005B4A37">
      <w:pPr>
        <w:pStyle w:val="Normal1"/>
        <w:spacing w:line="240" w:lineRule="auto"/>
        <w:jc w:val="both"/>
        <w:rPr>
          <w:rFonts w:eastAsia="Times New Roman"/>
          <w:b/>
        </w:rPr>
      </w:pPr>
      <w:r w:rsidRPr="001D75AE">
        <w:rPr>
          <w:sz w:val="20"/>
          <w:szCs w:val="20"/>
        </w:rPr>
        <w:t xml:space="preserve">Many factors cause the deficiency of vitamin B12. Deficiency is quite common, especially in individuals with low intake of animal foods (e.g., vegans, vegetarians), the elderly (due to malabsorption), and those with gastrointestinal disorders. One of the main causes of vegetarians and vegans is dietary insufficiency because bodily vitamin B12 in vegetarian food is not bioavailable. Consequences include haematological abnormalities (such as megaloblastic </w:t>
      </w:r>
      <w:r w:rsidR="0019055A" w:rsidRPr="001D75AE">
        <w:rPr>
          <w:sz w:val="20"/>
          <w:szCs w:val="20"/>
        </w:rPr>
        <w:t>anemia</w:t>
      </w:r>
      <w:r w:rsidRPr="001D75AE">
        <w:rPr>
          <w:sz w:val="20"/>
          <w:szCs w:val="20"/>
        </w:rPr>
        <w:t>), neurological damage (e.g., neuropathy, cognitive decline) and emerging associations with adverse pregnancy outcomes, vascular disease, bone and eye health</w:t>
      </w:r>
      <w:r w:rsidR="00DA7AE6" w:rsidRPr="001D75AE">
        <w:rPr>
          <w:sz w:val="20"/>
          <w:szCs w:val="20"/>
        </w:rPr>
        <w:t xml:space="preserve">. </w:t>
      </w:r>
      <w:r w:rsidRPr="001D75AE">
        <w:rPr>
          <w:sz w:val="20"/>
          <w:szCs w:val="20"/>
        </w:rPr>
        <w:t>Cobalamin uptake is reduced in a variety of malabsorption syndromes, including pernicious anemia, celiac disease and Crohn's disease and after surgery to the gastrointestinal tract. Other factors that are leading to reduced absorption are chronic use of drugs such as metformin and proton pump inhibitors</w:t>
      </w:r>
      <w:r w:rsidR="00DA7AE6" w:rsidRPr="001D75AE">
        <w:rPr>
          <w:sz w:val="20"/>
          <w:szCs w:val="20"/>
        </w:rPr>
        <w:t>(PPI)</w:t>
      </w:r>
      <w:r w:rsidRPr="001D75AE">
        <w:rPr>
          <w:sz w:val="20"/>
          <w:szCs w:val="20"/>
        </w:rPr>
        <w:t>. Moreover, defects of genetic nature in terms of cobalamin transportation and the use of enzymes can trigger a deficiency. Clinically, vitamin B12 deficiency often presents with macrocytic anaemia, hyper-segmented neutrophils, fatigue, pallor, glossitis, peripheral neuropathy, ataxia, and even neuropsychiatric changes(Lopes et al., 2019)</w:t>
      </w:r>
      <w:r w:rsidR="0055397A" w:rsidRPr="001D75AE">
        <w:t>[</w:t>
      </w:r>
      <w:r w:rsidR="00AD17A6" w:rsidRPr="001D75AE">
        <w:t>9</w:t>
      </w:r>
      <w:r w:rsidR="0055397A" w:rsidRPr="001D75AE">
        <w:t>].</w:t>
      </w:r>
    </w:p>
    <w:p w:rsidR="00B55A60" w:rsidRPr="001D75AE" w:rsidRDefault="00BF5155" w:rsidP="00B55A60">
      <w:pPr>
        <w:pStyle w:val="Normal1"/>
        <w:spacing w:line="240" w:lineRule="auto"/>
        <w:jc w:val="both"/>
        <w:rPr>
          <w:color w:val="000000" w:themeColor="text1"/>
          <w:lang w:val="en-IN"/>
        </w:rPr>
      </w:pPr>
      <w:r w:rsidRPr="001D75AE">
        <w:rPr>
          <w:sz w:val="20"/>
          <w:szCs w:val="20"/>
        </w:rPr>
        <w:t>On laboratory evaluationserum B</w:t>
      </w:r>
      <w:r w:rsidR="00016BB7" w:rsidRPr="001D75AE">
        <w:rPr>
          <w:sz w:val="20"/>
          <w:szCs w:val="20"/>
        </w:rPr>
        <w:t>12</w:t>
      </w:r>
      <w:r w:rsidRPr="001D75AE">
        <w:rPr>
          <w:sz w:val="20"/>
          <w:szCs w:val="20"/>
        </w:rPr>
        <w:t xml:space="preserve">, methylmalonic acid (MMA), and homocysteine </w:t>
      </w:r>
      <w:r w:rsidR="0055397A" w:rsidRPr="001D75AE">
        <w:rPr>
          <w:sz w:val="20"/>
          <w:szCs w:val="20"/>
        </w:rPr>
        <w:t>is</w:t>
      </w:r>
      <w:r w:rsidRPr="001D75AE">
        <w:rPr>
          <w:sz w:val="20"/>
          <w:szCs w:val="20"/>
        </w:rPr>
        <w:t xml:space="preserve"> important</w:t>
      </w:r>
      <w:r w:rsidR="0055397A" w:rsidRPr="001D75AE">
        <w:rPr>
          <w:sz w:val="20"/>
          <w:szCs w:val="20"/>
        </w:rPr>
        <w:t xml:space="preserve">. </w:t>
      </w:r>
      <w:r w:rsidRPr="001D75AE">
        <w:rPr>
          <w:sz w:val="20"/>
          <w:szCs w:val="20"/>
        </w:rPr>
        <w:t>MMA and homocysteine are elevated in true deficiency, making them useful functional markers (Lopes et al., 2019)</w:t>
      </w:r>
      <w:r w:rsidR="00EB0A2F" w:rsidRPr="001D75AE">
        <w:rPr>
          <w:sz w:val="20"/>
          <w:szCs w:val="20"/>
        </w:rPr>
        <w:t>[</w:t>
      </w:r>
      <w:r w:rsidR="0042385C" w:rsidRPr="001D75AE">
        <w:rPr>
          <w:sz w:val="20"/>
          <w:szCs w:val="20"/>
        </w:rPr>
        <w:t>9</w:t>
      </w:r>
      <w:r w:rsidR="00EB0A2F" w:rsidRPr="001D75AE">
        <w:rPr>
          <w:sz w:val="20"/>
          <w:szCs w:val="20"/>
        </w:rPr>
        <w:t>]</w:t>
      </w:r>
      <w:r w:rsidR="00DA7AE6" w:rsidRPr="001D75AE">
        <w:rPr>
          <w:sz w:val="20"/>
          <w:szCs w:val="20"/>
        </w:rPr>
        <w:t xml:space="preserve">. </w:t>
      </w:r>
      <w:r w:rsidRPr="001D75AE">
        <w:rPr>
          <w:sz w:val="20"/>
          <w:szCs w:val="20"/>
        </w:rPr>
        <w:t>A systematic review examining daily vitamin B12 losses and absorption efficiency reported that approximately 0.13% ± 0.03% of total body stores are lost per day, corresponding to an estimated 1.4–5.1 µg daily loss in healthy adults and older individuals, as demonstrated (Doets et al. 2013)</w:t>
      </w:r>
      <w:r w:rsidR="00EB0A2F" w:rsidRPr="001D75AE">
        <w:rPr>
          <w:sz w:val="20"/>
          <w:szCs w:val="20"/>
        </w:rPr>
        <w:t>[1</w:t>
      </w:r>
      <w:r w:rsidR="00AE6BF4" w:rsidRPr="001D75AE">
        <w:rPr>
          <w:sz w:val="20"/>
          <w:szCs w:val="20"/>
        </w:rPr>
        <w:t>6</w:t>
      </w:r>
      <w:r w:rsidR="00EB0A2F" w:rsidRPr="001D75AE">
        <w:rPr>
          <w:sz w:val="20"/>
          <w:szCs w:val="20"/>
        </w:rPr>
        <w:t>].</w:t>
      </w:r>
      <w:r w:rsidRPr="001D75AE">
        <w:rPr>
          <w:sz w:val="20"/>
          <w:szCs w:val="20"/>
        </w:rPr>
        <w:t>On absorption</w:t>
      </w:r>
      <w:r w:rsidR="0055397A" w:rsidRPr="001D75AE">
        <w:rPr>
          <w:sz w:val="20"/>
          <w:szCs w:val="20"/>
        </w:rPr>
        <w:t xml:space="preserve"> the </w:t>
      </w:r>
      <w:r w:rsidRPr="001D75AE">
        <w:rPr>
          <w:sz w:val="20"/>
          <w:szCs w:val="20"/>
        </w:rPr>
        <w:t>bioavailability, report a very wide rang</w:t>
      </w:r>
      <w:r w:rsidR="00DA7AE6" w:rsidRPr="001D75AE">
        <w:rPr>
          <w:sz w:val="20"/>
          <w:szCs w:val="20"/>
        </w:rPr>
        <w:t>e</w:t>
      </w:r>
      <w:r w:rsidRPr="001D75AE">
        <w:rPr>
          <w:sz w:val="20"/>
          <w:szCs w:val="20"/>
        </w:rPr>
        <w:t xml:space="preserve"> from as low as </w:t>
      </w:r>
      <w:r w:rsidRPr="001D75AE">
        <w:rPr>
          <w:rStyle w:val="Strong"/>
          <w:sz w:val="20"/>
          <w:szCs w:val="20"/>
        </w:rPr>
        <w:t>4.5%</w:t>
      </w:r>
      <w:r w:rsidRPr="001D75AE">
        <w:rPr>
          <w:sz w:val="20"/>
          <w:szCs w:val="20"/>
        </w:rPr>
        <w:t xml:space="preserve"> (for a 38 µg dose from liver) to </w:t>
      </w:r>
      <w:r w:rsidRPr="001D75AE">
        <w:rPr>
          <w:rStyle w:val="Strong"/>
          <w:sz w:val="20"/>
          <w:szCs w:val="20"/>
        </w:rPr>
        <w:t>83%</w:t>
      </w:r>
      <w:r w:rsidRPr="001D75AE">
        <w:rPr>
          <w:sz w:val="20"/>
          <w:szCs w:val="20"/>
        </w:rPr>
        <w:t xml:space="preserve"> (for a 3.0 µg dose from mutton meat).</w:t>
      </w:r>
      <w:r w:rsidR="00DA7AE6" w:rsidRPr="001D75AE">
        <w:rPr>
          <w:sz w:val="20"/>
          <w:szCs w:val="20"/>
        </w:rPr>
        <w:t xml:space="preserve"> Overt and subclinical vitamin B12 deficiency is particularly prevalent in populations with high rates of dietary restrictions and gastrointestinal disorders, as shown in population-based studies(Gupta et al. 2024) [1</w:t>
      </w:r>
      <w:r w:rsidR="00AE6BF4" w:rsidRPr="001D75AE">
        <w:rPr>
          <w:sz w:val="20"/>
          <w:szCs w:val="20"/>
        </w:rPr>
        <w:t>7</w:t>
      </w:r>
      <w:r w:rsidR="00DA7AE6" w:rsidRPr="001D75AE">
        <w:rPr>
          <w:sz w:val="20"/>
          <w:szCs w:val="20"/>
        </w:rPr>
        <w:t>] and (Mukhtar, M., Mohamed, Y., et al. 2024) [1</w:t>
      </w:r>
      <w:r w:rsidR="00AE6BF4" w:rsidRPr="001D75AE">
        <w:rPr>
          <w:sz w:val="20"/>
          <w:szCs w:val="20"/>
        </w:rPr>
        <w:t>8</w:t>
      </w:r>
      <w:r w:rsidR="00DA7AE6" w:rsidRPr="001D75AE">
        <w:rPr>
          <w:sz w:val="20"/>
          <w:szCs w:val="20"/>
        </w:rPr>
        <w:t>].</w:t>
      </w:r>
    </w:p>
    <w:p w:rsidR="00B55A60" w:rsidRPr="001D75AE" w:rsidRDefault="00B55A60" w:rsidP="00B55A60">
      <w:pPr>
        <w:pStyle w:val="Normal1"/>
        <w:spacing w:line="240" w:lineRule="auto"/>
        <w:jc w:val="both"/>
        <w:rPr>
          <w:rFonts w:eastAsia="Times New Roman"/>
          <w:color w:val="000000" w:themeColor="text1"/>
          <w:sz w:val="20"/>
          <w:szCs w:val="20"/>
          <w:lang w:val="en-IN"/>
        </w:rPr>
      </w:pPr>
      <w:r w:rsidRPr="001D75AE">
        <w:rPr>
          <w:rFonts w:eastAsia="Times New Roman"/>
          <w:color w:val="000000" w:themeColor="text1"/>
          <w:sz w:val="20"/>
          <w:szCs w:val="20"/>
          <w:lang w:val="en-IN"/>
        </w:rPr>
        <w:t>According to a study on "Vitamin B12 Deficiency induced by Nitrous Oxide and Myelopathy," two female patients, aged 22 and 35, reported neurological issues as a result of long-term recreational nitrous oxide use. Even when serum B12 levels appear borderline, nitrous oxide can cause functional B12 insufficiency and myelopathy by oxidizing vitamin B12's active form, interfering with methionine synthase activity, and reducing myelin production. The 35-year-old woman had very low B12, significantly high homocysteine and methylmalonic acid, and leg weakness and swelling. Her spinal MRI showed no acute lesions, though she improved with intramuscular B12, vitamin D supplements, and physical therapy.</w:t>
      </w:r>
    </w:p>
    <w:p w:rsidR="00B55A60" w:rsidRPr="001D75AE" w:rsidRDefault="00B55A60" w:rsidP="00B55A60">
      <w:pPr>
        <w:pStyle w:val="Normal1"/>
        <w:spacing w:line="240" w:lineRule="auto"/>
        <w:jc w:val="both"/>
        <w:rPr>
          <w:rFonts w:eastAsia="Times New Roman"/>
          <w:color w:val="000000" w:themeColor="text1"/>
          <w:sz w:val="20"/>
          <w:szCs w:val="20"/>
        </w:rPr>
      </w:pPr>
      <w:r w:rsidRPr="001D75AE">
        <w:rPr>
          <w:rFonts w:eastAsia="Times New Roman"/>
          <w:color w:val="000000" w:themeColor="text1"/>
          <w:sz w:val="20"/>
          <w:szCs w:val="20"/>
        </w:rPr>
        <w:t>The 22-year-old patient exhibited escalating stiffness in the legs, tingling and cramping in the hands, along with low levels of B12 and MRI findings showing T2 hyperintensities in both the brain and dorsal spinal cord indicative of demyelination; she also showed improvement following B12 treatment and rehabilitation. In this context, N</w:t>
      </w:r>
      <w:r w:rsidRPr="001D75AE">
        <w:rPr>
          <w:rFonts w:ascii="Cambria Math" w:eastAsia="Times New Roman" w:hAnsi="Cambria Math" w:cs="Cambria Math"/>
          <w:color w:val="000000" w:themeColor="text1"/>
          <w:sz w:val="20"/>
          <w:szCs w:val="20"/>
        </w:rPr>
        <w:t>₂</w:t>
      </w:r>
      <w:r w:rsidRPr="001D75AE">
        <w:rPr>
          <w:rFonts w:eastAsia="Times New Roman"/>
          <w:color w:val="000000" w:themeColor="text1"/>
          <w:sz w:val="20"/>
          <w:szCs w:val="20"/>
        </w:rPr>
        <w:t>O oxidizes the cobalt atom in cobalamin (vitamin B12), transforming active methylcobalamin into inactive variants. This disruption hinders the function of methionine synthase — a crucial enzyme for methylation processes, including those necessary for myelin production. Consequently, this leads to demyelination (particularly in the dorsal/posterior columns of the spinal cord), resulting in a loss of vibration and positional sense, ataxia, weakness, spasticity, and in some cases, may progress to full-blown myelopathy or subacute combined degeneration (SCD).</w:t>
      </w:r>
    </w:p>
    <w:p w:rsidR="00BF5155" w:rsidRPr="001D75AE" w:rsidRDefault="00B55A60" w:rsidP="00C464AC">
      <w:pPr>
        <w:pStyle w:val="Normal1"/>
        <w:spacing w:line="240" w:lineRule="auto"/>
        <w:jc w:val="both"/>
        <w:rPr>
          <w:rFonts w:eastAsia="Times New Roman"/>
          <w:color w:val="000000" w:themeColor="text1"/>
          <w:sz w:val="20"/>
          <w:szCs w:val="20"/>
          <w:lang w:val="en-IN"/>
        </w:rPr>
      </w:pPr>
      <w:r w:rsidRPr="001D75AE">
        <w:rPr>
          <w:rFonts w:eastAsia="Times New Roman"/>
          <w:color w:val="000000" w:themeColor="text1"/>
          <w:sz w:val="20"/>
          <w:szCs w:val="20"/>
          <w:lang w:val="en-IN"/>
        </w:rPr>
        <w:t>The study emphasizes that nitrous oxide overuse can cause significant neurotoxicity, often presenting as dorsal column dysfunction or subacute combined degeneration, and that early recognition, biochemical evaluation beyond serum B12 alone, and prompt treatment are essential to prevent persistent or irreversible neurological deficits</w:t>
      </w:r>
      <w:r w:rsidR="00C464AC" w:rsidRPr="001D75AE">
        <w:rPr>
          <w:rFonts w:eastAsia="Times New Roman"/>
          <w:color w:val="000000" w:themeColor="text1"/>
          <w:sz w:val="20"/>
          <w:szCs w:val="20"/>
          <w:lang w:val="en-IN"/>
        </w:rPr>
        <w:t xml:space="preserve"> (Barmak et al.2024)[19].</w:t>
      </w:r>
    </w:p>
    <w:p w:rsidR="00BF5155" w:rsidRPr="001D75AE" w:rsidRDefault="00BF5155" w:rsidP="00BF5155">
      <w:pPr>
        <w:pStyle w:val="Normal1"/>
        <w:spacing w:line="240" w:lineRule="auto"/>
        <w:jc w:val="both"/>
        <w:rPr>
          <w:rFonts w:eastAsia="Times New Roman"/>
          <w:sz w:val="20"/>
          <w:szCs w:val="20"/>
        </w:rPr>
      </w:pPr>
    </w:p>
    <w:p w:rsidR="005B4A37" w:rsidRPr="001D75AE" w:rsidRDefault="00EE7BA9" w:rsidP="00BF5155">
      <w:pPr>
        <w:pStyle w:val="Normal1"/>
        <w:spacing w:line="240" w:lineRule="auto"/>
        <w:jc w:val="both"/>
        <w:rPr>
          <w:rFonts w:eastAsia="Times New Roman"/>
          <w:b/>
        </w:rPr>
      </w:pPr>
      <w:r w:rsidRPr="001D75AE">
        <w:rPr>
          <w:rFonts w:eastAsia="Times New Roman"/>
          <w:b/>
        </w:rPr>
        <w:t>1.</w:t>
      </w:r>
      <w:r w:rsidR="00BF5155" w:rsidRPr="001D75AE">
        <w:rPr>
          <w:rFonts w:eastAsia="Times New Roman"/>
          <w:b/>
        </w:rPr>
        <w:t>6. Clinical Manifestations</w:t>
      </w:r>
    </w:p>
    <w:p w:rsidR="00BF5155" w:rsidRPr="001D75AE" w:rsidRDefault="00BF5155" w:rsidP="00BF5155">
      <w:pPr>
        <w:pStyle w:val="Normal1"/>
        <w:spacing w:line="240" w:lineRule="auto"/>
        <w:jc w:val="both"/>
        <w:rPr>
          <w:rFonts w:eastAsia="Times New Roman"/>
          <w:b/>
        </w:rPr>
      </w:pPr>
      <w:r w:rsidRPr="001D75AE">
        <w:rPr>
          <w:rFonts w:eastAsia="Times New Roman"/>
          <w:sz w:val="20"/>
          <w:szCs w:val="20"/>
        </w:rPr>
        <w:t xml:space="preserve">Vitamin B12 deficiency has a wide range of clinical manifestations. </w:t>
      </w:r>
      <w:r w:rsidRPr="001D75AE">
        <w:rPr>
          <w:sz w:val="20"/>
          <w:szCs w:val="20"/>
        </w:rPr>
        <w:t xml:space="preserve">Clinical conditions such as autoimmune gastritis/Pernicious anemia, gastric surgery, malabsorption syndromes, vegetarian/vegan diets, and certain drugs (e.g., metformin, proton-pump inhibitors) </w:t>
      </w:r>
      <w:r w:rsidR="0019055A" w:rsidRPr="001D75AE">
        <w:rPr>
          <w:sz w:val="20"/>
          <w:szCs w:val="20"/>
        </w:rPr>
        <w:t>increased</w:t>
      </w:r>
      <w:r w:rsidRPr="001D75AE">
        <w:rPr>
          <w:sz w:val="20"/>
          <w:szCs w:val="20"/>
        </w:rPr>
        <w:t xml:space="preserve"> risk of deficiency. </w:t>
      </w:r>
      <w:r w:rsidR="00A33295" w:rsidRPr="001D75AE">
        <w:rPr>
          <w:rFonts w:eastAsia="Times New Roman"/>
          <w:sz w:val="20"/>
          <w:szCs w:val="20"/>
        </w:rPr>
        <w:t>Babies born to mothers with vitamin B12 deficiency might develop slowly in terms of cognitive and motor development. Glossitis, gastrointestinal issues and augmented cardiovascular danger mediated by high levels of homocysteine are systemic manifestations of the disease. The multi-system involvement of vitamin B12 deficiency often complicates early diagnosis due to its subtle or nonspecific clinical presentation (Alruwaili et al. 2023) [</w:t>
      </w:r>
      <w:r w:rsidR="00C464AC" w:rsidRPr="001D75AE">
        <w:rPr>
          <w:rFonts w:eastAsia="Times New Roman"/>
          <w:sz w:val="20"/>
          <w:szCs w:val="20"/>
        </w:rPr>
        <w:t>20</w:t>
      </w:r>
      <w:r w:rsidR="00A33295" w:rsidRPr="001D75AE">
        <w:rPr>
          <w:rFonts w:eastAsia="Times New Roman"/>
          <w:sz w:val="20"/>
          <w:szCs w:val="20"/>
        </w:rPr>
        <w:t>].</w:t>
      </w:r>
      <w:r w:rsidRPr="001D75AE">
        <w:rPr>
          <w:rFonts w:eastAsia="Times New Roman"/>
          <w:sz w:val="20"/>
          <w:szCs w:val="20"/>
        </w:rPr>
        <w:t xml:space="preserve">Hematologically, the deficiency results in Megaloblastic anemia, which is the presence of macrocytic erythrocytes, unproductive erythropoiesis, fatigue, pallor and cardiovascular strain. There are neurological presentations that comprise peripheral neuropathy and impairment of the brain, mood disorders and in </w:t>
      </w:r>
      <w:r w:rsidRPr="001D75AE">
        <w:rPr>
          <w:rFonts w:eastAsia="Times New Roman"/>
          <w:sz w:val="20"/>
          <w:szCs w:val="20"/>
        </w:rPr>
        <w:lastRenderedPageBreak/>
        <w:t xml:space="preserve">severe cases, subacute combined degeneration of the spinal cord. In humans, higher serum vitamin B12 levels have been associated with lower concentrations of </w:t>
      </w:r>
      <w:r w:rsidR="00016BB7" w:rsidRPr="001D75AE">
        <w:rPr>
          <w:rFonts w:eastAsia="Times New Roman"/>
          <w:sz w:val="20"/>
          <w:szCs w:val="20"/>
        </w:rPr>
        <w:t>Interleukin-6 (</w:t>
      </w:r>
      <w:r w:rsidRPr="001D75AE">
        <w:rPr>
          <w:rFonts w:eastAsia="Times New Roman"/>
          <w:sz w:val="20"/>
          <w:szCs w:val="20"/>
        </w:rPr>
        <w:t>IL-6</w:t>
      </w:r>
      <w:r w:rsidR="00016BB7" w:rsidRPr="001D75AE">
        <w:rPr>
          <w:rFonts w:eastAsia="Times New Roman"/>
          <w:sz w:val="20"/>
          <w:szCs w:val="20"/>
        </w:rPr>
        <w:t>)</w:t>
      </w:r>
      <w:r w:rsidRPr="001D75AE">
        <w:rPr>
          <w:rFonts w:eastAsia="Times New Roman"/>
          <w:sz w:val="20"/>
          <w:szCs w:val="20"/>
        </w:rPr>
        <w:t xml:space="preserve"> and </w:t>
      </w:r>
      <w:r w:rsidR="00016BB7" w:rsidRPr="001D75AE">
        <w:rPr>
          <w:rFonts w:eastAsia="Times New Roman"/>
          <w:sz w:val="20"/>
          <w:szCs w:val="20"/>
        </w:rPr>
        <w:t>C-Reactive protein (</w:t>
      </w:r>
      <w:r w:rsidRPr="001D75AE">
        <w:rPr>
          <w:rFonts w:eastAsia="Times New Roman"/>
          <w:sz w:val="20"/>
          <w:szCs w:val="20"/>
        </w:rPr>
        <w:t>CRP</w:t>
      </w:r>
      <w:r w:rsidR="00016BB7" w:rsidRPr="001D75AE">
        <w:rPr>
          <w:rFonts w:eastAsia="Times New Roman"/>
          <w:sz w:val="20"/>
          <w:szCs w:val="20"/>
        </w:rPr>
        <w:t>)</w:t>
      </w:r>
      <w:r w:rsidRPr="001D75AE">
        <w:rPr>
          <w:rFonts w:eastAsia="Times New Roman"/>
          <w:sz w:val="20"/>
          <w:szCs w:val="20"/>
        </w:rPr>
        <w:t xml:space="preserve"> after adjustment for confounders, indicating an inverse relationship between circulating vitamin B12 and inflammatory markers(Domínguez-López et al. 2024)</w:t>
      </w:r>
      <w:r w:rsidR="00C67500" w:rsidRPr="001D75AE">
        <w:rPr>
          <w:rFonts w:eastAsia="Times New Roman"/>
          <w:sz w:val="20"/>
          <w:szCs w:val="20"/>
        </w:rPr>
        <w:t>[</w:t>
      </w:r>
      <w:r w:rsidR="00AD17A6" w:rsidRPr="001D75AE">
        <w:rPr>
          <w:rFonts w:eastAsia="Times New Roman"/>
          <w:sz w:val="20"/>
          <w:szCs w:val="20"/>
        </w:rPr>
        <w:t>2</w:t>
      </w:r>
      <w:r w:rsidR="00C464AC" w:rsidRPr="001D75AE">
        <w:rPr>
          <w:rFonts w:eastAsia="Times New Roman"/>
          <w:sz w:val="20"/>
          <w:szCs w:val="20"/>
        </w:rPr>
        <w:t>1</w:t>
      </w:r>
      <w:r w:rsidR="00C67500" w:rsidRPr="001D75AE">
        <w:rPr>
          <w:rFonts w:eastAsia="Times New Roman"/>
          <w:sz w:val="20"/>
          <w:szCs w:val="20"/>
        </w:rPr>
        <w:t>]</w:t>
      </w:r>
      <w:r w:rsidRPr="001D75AE">
        <w:rPr>
          <w:rFonts w:eastAsia="Times New Roman"/>
          <w:sz w:val="20"/>
          <w:szCs w:val="20"/>
        </w:rPr>
        <w:t>.</w:t>
      </w:r>
    </w:p>
    <w:p w:rsidR="0074396A" w:rsidRPr="001D75AE" w:rsidRDefault="0074396A" w:rsidP="00BF5155">
      <w:pPr>
        <w:pStyle w:val="Normal1"/>
        <w:spacing w:line="240" w:lineRule="auto"/>
        <w:jc w:val="both"/>
        <w:rPr>
          <w:rFonts w:eastAsia="Times New Roman"/>
          <w:sz w:val="20"/>
          <w:szCs w:val="20"/>
        </w:rPr>
      </w:pPr>
    </w:p>
    <w:p w:rsidR="005B4A37" w:rsidRPr="001D75AE" w:rsidRDefault="00EE7BA9" w:rsidP="005B4A37">
      <w:pPr>
        <w:pStyle w:val="Normal1"/>
        <w:spacing w:line="240" w:lineRule="auto"/>
        <w:jc w:val="both"/>
        <w:rPr>
          <w:rFonts w:eastAsia="Times New Roman"/>
          <w:b/>
        </w:rPr>
      </w:pPr>
      <w:r w:rsidRPr="001D75AE">
        <w:rPr>
          <w:rFonts w:eastAsia="Times New Roman"/>
          <w:b/>
        </w:rPr>
        <w:t>1.</w:t>
      </w:r>
      <w:r w:rsidR="00BF5155" w:rsidRPr="001D75AE">
        <w:rPr>
          <w:rFonts w:eastAsia="Times New Roman"/>
          <w:b/>
        </w:rPr>
        <w:t>7. Diagnostic Approaches</w:t>
      </w:r>
    </w:p>
    <w:p w:rsidR="00BF5155" w:rsidRPr="001D75AE" w:rsidRDefault="00BF5155" w:rsidP="005B4A37">
      <w:pPr>
        <w:pStyle w:val="Normal1"/>
        <w:spacing w:line="240" w:lineRule="auto"/>
        <w:jc w:val="both"/>
        <w:rPr>
          <w:rFonts w:eastAsia="Times New Roman"/>
          <w:b/>
        </w:rPr>
      </w:pPr>
      <w:r w:rsidRPr="001D75AE">
        <w:rPr>
          <w:sz w:val="20"/>
          <w:szCs w:val="20"/>
        </w:rPr>
        <w:t>The level of serum B12 is not always a reliable measure of deficiency because normal levels circulating in the body can be insufficient to refill tissue hoards. The assessment can be done more accurately with the help of functional biomarkers, such as methylmalonic acid and homocysteine. High concentrations of such metabolites indicate dysfunction of enzymes that require vitamin B12. The biologically active fraction of vitamin B12 (holotranscobalamin II) has become a sensitive early marker. Diagnostic accuracy is improved with the use of a comprehensive evaluation based on these biomarkers and especially among high-risk populations. The combination of multiple biomarkers is essential to prevent delayed diagnosis and subsequent complications(Niklewicz et al., 2024)</w:t>
      </w:r>
      <w:r w:rsidR="00C67500" w:rsidRPr="001D75AE">
        <w:rPr>
          <w:sz w:val="20"/>
          <w:szCs w:val="20"/>
        </w:rPr>
        <w:t>[</w:t>
      </w:r>
      <w:r w:rsidR="00AD17A6" w:rsidRPr="001D75AE">
        <w:rPr>
          <w:sz w:val="20"/>
          <w:szCs w:val="20"/>
        </w:rPr>
        <w:t>2</w:t>
      </w:r>
      <w:r w:rsidR="00C464AC" w:rsidRPr="001D75AE">
        <w:rPr>
          <w:sz w:val="20"/>
          <w:szCs w:val="20"/>
        </w:rPr>
        <w:t>2</w:t>
      </w:r>
      <w:r w:rsidRPr="001D75AE">
        <w:rPr>
          <w:sz w:val="20"/>
          <w:szCs w:val="20"/>
        </w:rPr>
        <w:t>]. Type 2 diabetes mellitus patients on long-term high-dose metformin were found to have significantly elevated homocysteine levels, consistent with known concerns about reduced vitamin B</w:t>
      </w:r>
      <w:r w:rsidR="00016BB7" w:rsidRPr="001D75AE">
        <w:rPr>
          <w:sz w:val="20"/>
          <w:szCs w:val="20"/>
        </w:rPr>
        <w:t>12</w:t>
      </w:r>
      <w:r w:rsidRPr="001D75AE">
        <w:rPr>
          <w:sz w:val="20"/>
          <w:szCs w:val="20"/>
        </w:rPr>
        <w:t xml:space="preserve"> bioavailability in this population. Interestingly, this cohort also exhibited lower methylmalonic acid levels and higher concentrations of transcobalamin and holo-transcobalamin compared to controls—an atypical pattern that does not align with classical B</w:t>
      </w:r>
      <w:r w:rsidR="00016BB7" w:rsidRPr="001D75AE">
        <w:rPr>
          <w:sz w:val="20"/>
          <w:szCs w:val="20"/>
        </w:rPr>
        <w:t>12</w:t>
      </w:r>
      <w:r w:rsidRPr="001D75AE">
        <w:rPr>
          <w:sz w:val="20"/>
          <w:szCs w:val="20"/>
        </w:rPr>
        <w:t xml:space="preserve"> deficiency profiles</w:t>
      </w:r>
      <w:r w:rsidR="00016BB7" w:rsidRPr="001D75AE">
        <w:rPr>
          <w:sz w:val="20"/>
          <w:szCs w:val="20"/>
        </w:rPr>
        <w:t xml:space="preserve"> (</w:t>
      </w:r>
      <w:r w:rsidRPr="001D75AE">
        <w:rPr>
          <w:sz w:val="20"/>
          <w:szCs w:val="20"/>
        </w:rPr>
        <w:t>Mukhtar et al. 2024)</w:t>
      </w:r>
      <w:r w:rsidR="00C67500" w:rsidRPr="001D75AE">
        <w:rPr>
          <w:sz w:val="20"/>
          <w:szCs w:val="20"/>
        </w:rPr>
        <w:t>[1</w:t>
      </w:r>
      <w:r w:rsidR="00AE6BF4" w:rsidRPr="001D75AE">
        <w:rPr>
          <w:sz w:val="20"/>
          <w:szCs w:val="20"/>
        </w:rPr>
        <w:t>8</w:t>
      </w:r>
      <w:r w:rsidR="00C67500" w:rsidRPr="001D75AE">
        <w:rPr>
          <w:sz w:val="20"/>
          <w:szCs w:val="20"/>
        </w:rPr>
        <w:t>]</w:t>
      </w:r>
      <w:r w:rsidRPr="001D75AE">
        <w:rPr>
          <w:sz w:val="20"/>
          <w:szCs w:val="20"/>
        </w:rPr>
        <w:t>. These findings suggest complexity in B</w:t>
      </w:r>
      <w:r w:rsidR="00016BB7" w:rsidRPr="001D75AE">
        <w:rPr>
          <w:sz w:val="20"/>
          <w:szCs w:val="20"/>
        </w:rPr>
        <w:t>12</w:t>
      </w:r>
      <w:r w:rsidRPr="001D75AE">
        <w:rPr>
          <w:sz w:val="20"/>
          <w:szCs w:val="20"/>
        </w:rPr>
        <w:t xml:space="preserve"> metabolism under metformin therapy, </w:t>
      </w:r>
      <w:r w:rsidR="00016BB7" w:rsidRPr="001D75AE">
        <w:rPr>
          <w:sz w:val="20"/>
          <w:szCs w:val="20"/>
        </w:rPr>
        <w:t>Holotranscobalamin (</w:t>
      </w:r>
      <w:r w:rsidRPr="001D75AE">
        <w:rPr>
          <w:sz w:val="20"/>
          <w:szCs w:val="20"/>
        </w:rPr>
        <w:t>HoloTC</w:t>
      </w:r>
      <w:r w:rsidR="00016BB7" w:rsidRPr="001D75AE">
        <w:rPr>
          <w:sz w:val="20"/>
          <w:szCs w:val="20"/>
        </w:rPr>
        <w:t>)</w:t>
      </w:r>
      <w:r w:rsidRPr="001D75AE">
        <w:rPr>
          <w:sz w:val="20"/>
          <w:szCs w:val="20"/>
        </w:rPr>
        <w:t xml:space="preserve"> (often called “active vitamin B12”) provides earlier indication of B</w:t>
      </w:r>
      <w:r w:rsidR="00016BB7" w:rsidRPr="001D75AE">
        <w:rPr>
          <w:sz w:val="20"/>
          <w:szCs w:val="20"/>
        </w:rPr>
        <w:t>12</w:t>
      </w:r>
      <w:r w:rsidRPr="001D75AE">
        <w:rPr>
          <w:sz w:val="20"/>
          <w:szCs w:val="20"/>
        </w:rPr>
        <w:t xml:space="preserve"> status changes (especially in pregnancy and infancy) and is less bound by certain protein interferences (Sobczyńska-Malefora et al., 2021)</w:t>
      </w:r>
      <w:r w:rsidR="00C67500" w:rsidRPr="001D75AE">
        <w:rPr>
          <w:sz w:val="20"/>
          <w:szCs w:val="20"/>
        </w:rPr>
        <w:t>[2</w:t>
      </w:r>
      <w:r w:rsidR="00C464AC" w:rsidRPr="001D75AE">
        <w:rPr>
          <w:sz w:val="20"/>
          <w:szCs w:val="20"/>
        </w:rPr>
        <w:t>3</w:t>
      </w:r>
      <w:r w:rsidR="00C67500" w:rsidRPr="001D75AE">
        <w:rPr>
          <w:sz w:val="20"/>
          <w:szCs w:val="20"/>
        </w:rPr>
        <w:t>]</w:t>
      </w:r>
      <w:r w:rsidR="00016BB7" w:rsidRPr="001D75AE">
        <w:rPr>
          <w:sz w:val="20"/>
          <w:szCs w:val="20"/>
        </w:rPr>
        <w:t xml:space="preserve">. </w:t>
      </w:r>
      <w:r w:rsidRPr="001D75AE">
        <w:rPr>
          <w:sz w:val="20"/>
          <w:szCs w:val="20"/>
        </w:rPr>
        <w:t>Vitamin B12 supplementation was found to be effective in correcting metformin-associated B12 deficiency, consistently improving serum B12 levels and reducing related clinical manifestations. The routine monitoring and timely supplementation can significantly prevent long-term neurological and hematological complications in metformin users, thereby supporting integration of vitamin B12 assessment into diabetes management protocols (Pratama et al., 2022)</w:t>
      </w:r>
      <w:r w:rsidR="00C67500" w:rsidRPr="001D75AE">
        <w:rPr>
          <w:sz w:val="20"/>
          <w:szCs w:val="20"/>
        </w:rPr>
        <w:t>[2</w:t>
      </w:r>
      <w:r w:rsidR="00C464AC" w:rsidRPr="001D75AE">
        <w:rPr>
          <w:sz w:val="20"/>
          <w:szCs w:val="20"/>
        </w:rPr>
        <w:t>4</w:t>
      </w:r>
      <w:r w:rsidR="00AD17A6" w:rsidRPr="001D75AE">
        <w:rPr>
          <w:sz w:val="20"/>
          <w:szCs w:val="20"/>
        </w:rPr>
        <w:t>]</w:t>
      </w:r>
      <w:r w:rsidRPr="001D75AE">
        <w:rPr>
          <w:sz w:val="20"/>
          <w:szCs w:val="20"/>
        </w:rPr>
        <w:t>.</w:t>
      </w:r>
    </w:p>
    <w:p w:rsidR="00BF5155" w:rsidRPr="001D75AE" w:rsidRDefault="00BF5155" w:rsidP="006C31EC">
      <w:pPr>
        <w:pStyle w:val="NormalWeb"/>
        <w:jc w:val="both"/>
        <w:rPr>
          <w:rFonts w:ascii="Arial" w:hAnsi="Arial" w:cs="Arial"/>
          <w:sz w:val="20"/>
          <w:szCs w:val="20"/>
        </w:rPr>
      </w:pPr>
      <w:r w:rsidRPr="001D75AE">
        <w:rPr>
          <w:rFonts w:ascii="Arial" w:hAnsi="Arial" w:cs="Arial"/>
          <w:sz w:val="20"/>
          <w:szCs w:val="20"/>
        </w:rPr>
        <w:t xml:space="preserve">MMA and </w:t>
      </w:r>
      <w:r w:rsidR="006C31EC" w:rsidRPr="001D75AE">
        <w:rPr>
          <w:rFonts w:ascii="Arial" w:hAnsi="Arial" w:cs="Arial"/>
          <w:sz w:val="20"/>
          <w:szCs w:val="20"/>
        </w:rPr>
        <w:t>Total homocysteine (</w:t>
      </w:r>
      <w:r w:rsidRPr="001D75AE">
        <w:rPr>
          <w:rFonts w:ascii="Arial" w:hAnsi="Arial" w:cs="Arial"/>
          <w:sz w:val="20"/>
          <w:szCs w:val="20"/>
        </w:rPr>
        <w:t>tHcy</w:t>
      </w:r>
      <w:r w:rsidR="006C31EC" w:rsidRPr="001D75AE">
        <w:rPr>
          <w:rFonts w:ascii="Arial" w:hAnsi="Arial" w:cs="Arial"/>
          <w:sz w:val="20"/>
          <w:szCs w:val="20"/>
        </w:rPr>
        <w:t>)</w:t>
      </w:r>
      <w:r w:rsidRPr="001D75AE">
        <w:rPr>
          <w:rFonts w:ascii="Arial" w:hAnsi="Arial" w:cs="Arial"/>
          <w:sz w:val="20"/>
          <w:szCs w:val="20"/>
        </w:rPr>
        <w:t xml:space="preserve"> are metabolic markers and can detect functional deficiency even when serum vitamin B12 is “normal”, but their interpretation is complicated by renal insufficiency, folate/ </w:t>
      </w:r>
      <w:r w:rsidR="006C31EC" w:rsidRPr="001D75AE">
        <w:rPr>
          <w:rFonts w:ascii="Arial" w:hAnsi="Arial" w:cs="Arial"/>
          <w:sz w:val="20"/>
          <w:szCs w:val="20"/>
        </w:rPr>
        <w:t>Pyridoxine (</w:t>
      </w:r>
      <w:r w:rsidRPr="001D75AE">
        <w:rPr>
          <w:rFonts w:ascii="Arial" w:hAnsi="Arial" w:cs="Arial"/>
          <w:sz w:val="20"/>
          <w:szCs w:val="20"/>
        </w:rPr>
        <w:t>B6</w:t>
      </w:r>
      <w:r w:rsidR="006C31EC" w:rsidRPr="001D75AE">
        <w:rPr>
          <w:rFonts w:ascii="Arial" w:hAnsi="Arial" w:cs="Arial"/>
          <w:sz w:val="20"/>
          <w:szCs w:val="20"/>
        </w:rPr>
        <w:t xml:space="preserve">) </w:t>
      </w:r>
      <w:r w:rsidRPr="001D75AE">
        <w:rPr>
          <w:rFonts w:ascii="Arial" w:hAnsi="Arial" w:cs="Arial"/>
          <w:sz w:val="20"/>
          <w:szCs w:val="20"/>
        </w:rPr>
        <w:t>/ riboflavin status (Sobczyńska-Malefora et al., 2021)</w:t>
      </w:r>
      <w:r w:rsidR="00C67500" w:rsidRPr="001D75AE">
        <w:rPr>
          <w:rFonts w:ascii="Arial" w:hAnsi="Arial" w:cs="Arial"/>
          <w:sz w:val="20"/>
          <w:szCs w:val="20"/>
        </w:rPr>
        <w:t>[2</w:t>
      </w:r>
      <w:r w:rsidR="00C464AC" w:rsidRPr="001D75AE">
        <w:rPr>
          <w:rFonts w:ascii="Arial" w:hAnsi="Arial" w:cs="Arial"/>
          <w:sz w:val="20"/>
          <w:szCs w:val="20"/>
        </w:rPr>
        <w:t>3</w:t>
      </w:r>
      <w:r w:rsidR="00C67500" w:rsidRPr="001D75AE">
        <w:rPr>
          <w:rFonts w:ascii="Arial" w:hAnsi="Arial" w:cs="Arial"/>
          <w:sz w:val="20"/>
          <w:szCs w:val="20"/>
        </w:rPr>
        <w:t>]</w:t>
      </w:r>
      <w:r w:rsidRPr="001D75AE">
        <w:rPr>
          <w:rFonts w:ascii="Arial" w:hAnsi="Arial" w:cs="Arial"/>
          <w:sz w:val="20"/>
          <w:szCs w:val="20"/>
        </w:rPr>
        <w:t>. The clinical symptoms often come before classical lab abnormalities, and that diagnosis shouldn’t rely solely on serum vitamin B12 levels. They emphasis combining clinical assessment with appropriate lab markers (serum B12, methylmalonic acid, homocysteine) and incorporating risk factors (lifestyle, medications, disease history)</w:t>
      </w:r>
      <w:r w:rsidR="00296A87" w:rsidRPr="001D75AE">
        <w:rPr>
          <w:rFonts w:ascii="Arial" w:hAnsi="Arial" w:cs="Arial"/>
          <w:sz w:val="20"/>
          <w:szCs w:val="20"/>
        </w:rPr>
        <w:t xml:space="preserve"> shown in Table 1 below</w:t>
      </w:r>
      <w:r w:rsidRPr="001D75AE">
        <w:rPr>
          <w:rFonts w:ascii="Arial" w:hAnsi="Arial" w:cs="Arial"/>
          <w:sz w:val="20"/>
          <w:szCs w:val="20"/>
        </w:rPr>
        <w:t xml:space="preserve">. </w:t>
      </w:r>
    </w:p>
    <w:p w:rsidR="0074396A" w:rsidRPr="001D75AE" w:rsidRDefault="00636AAB" w:rsidP="0074396A">
      <w:pPr>
        <w:pStyle w:val="NormalWeb"/>
        <w:spacing w:before="0" w:beforeAutospacing="0" w:after="0" w:afterAutospacing="0"/>
        <w:rPr>
          <w:rFonts w:ascii="Arial" w:hAnsi="Arial" w:cs="Arial"/>
          <w:sz w:val="22"/>
          <w:szCs w:val="22"/>
        </w:rPr>
      </w:pPr>
      <w:r w:rsidRPr="001D75AE">
        <w:rPr>
          <w:rFonts w:ascii="Arial" w:hAnsi="Arial" w:cs="Arial"/>
          <w:b/>
        </w:rPr>
        <w:t xml:space="preserve">Table 1. </w:t>
      </w:r>
      <w:r w:rsidR="0074396A" w:rsidRPr="001D75AE">
        <w:rPr>
          <w:rStyle w:val="Strong"/>
          <w:rFonts w:ascii="Arial" w:hAnsi="Arial" w:cs="Arial"/>
          <w:sz w:val="22"/>
          <w:szCs w:val="22"/>
        </w:rPr>
        <w:t>Overview of Key Laboratory Biomarkers Used in the Diagnosis of Cobalamin Deficiency</w:t>
      </w:r>
    </w:p>
    <w:tbl>
      <w:tblPr>
        <w:tblStyle w:val="LightShading1"/>
        <w:tblW w:w="8373" w:type="dxa"/>
        <w:shd w:val="clear" w:color="auto" w:fill="FFFFFF" w:themeFill="background1"/>
        <w:tblLayout w:type="fixed"/>
        <w:tblLook w:val="04A0"/>
      </w:tblPr>
      <w:tblGrid>
        <w:gridCol w:w="2029"/>
        <w:gridCol w:w="1655"/>
        <w:gridCol w:w="1559"/>
        <w:gridCol w:w="1493"/>
        <w:gridCol w:w="1637"/>
      </w:tblGrid>
      <w:tr w:rsidR="00636AAB" w:rsidRPr="001D75AE" w:rsidTr="00636AAB">
        <w:trPr>
          <w:cnfStyle w:val="100000000000"/>
          <w:trHeight w:val="25"/>
        </w:trPr>
        <w:tc>
          <w:tcPr>
            <w:cnfStyle w:val="001000000000"/>
            <w:tcW w:w="2029" w:type="dxa"/>
          </w:tcPr>
          <w:p w:rsidR="00636AAB" w:rsidRPr="001D75AE" w:rsidRDefault="00636AAB" w:rsidP="0077529E">
            <w:pPr>
              <w:pStyle w:val="NormalWeb"/>
              <w:spacing w:line="480" w:lineRule="auto"/>
              <w:jc w:val="center"/>
              <w:rPr>
                <w:rFonts w:ascii="Arial" w:hAnsi="Arial"/>
                <w:sz w:val="20"/>
                <w:szCs w:val="20"/>
              </w:rPr>
            </w:pPr>
            <w:r w:rsidRPr="001D75AE">
              <w:rPr>
                <w:rFonts w:ascii="Arial" w:hAnsi="Arial"/>
                <w:sz w:val="20"/>
                <w:szCs w:val="20"/>
              </w:rPr>
              <w:t>Biomarker</w:t>
            </w:r>
          </w:p>
        </w:tc>
        <w:tc>
          <w:tcPr>
            <w:tcW w:w="1655" w:type="dxa"/>
          </w:tcPr>
          <w:p w:rsidR="00636AAB" w:rsidRPr="001D75AE" w:rsidRDefault="00636AAB" w:rsidP="0077529E">
            <w:pPr>
              <w:pStyle w:val="NormalWeb"/>
              <w:spacing w:line="480" w:lineRule="auto"/>
              <w:jc w:val="center"/>
              <w:cnfStyle w:val="100000000000"/>
              <w:rPr>
                <w:rFonts w:ascii="Arial" w:hAnsi="Arial"/>
                <w:sz w:val="20"/>
                <w:szCs w:val="20"/>
              </w:rPr>
            </w:pPr>
            <w:r w:rsidRPr="001D75AE">
              <w:rPr>
                <w:rFonts w:ascii="Arial" w:hAnsi="Arial"/>
                <w:sz w:val="20"/>
                <w:szCs w:val="20"/>
              </w:rPr>
              <w:t>What it measures</w:t>
            </w:r>
          </w:p>
        </w:tc>
        <w:tc>
          <w:tcPr>
            <w:tcW w:w="1559" w:type="dxa"/>
          </w:tcPr>
          <w:p w:rsidR="00636AAB" w:rsidRPr="001D75AE" w:rsidRDefault="00636AAB" w:rsidP="0077529E">
            <w:pPr>
              <w:pStyle w:val="NormalWeb"/>
              <w:tabs>
                <w:tab w:val="left" w:pos="240"/>
                <w:tab w:val="center" w:pos="751"/>
              </w:tabs>
              <w:spacing w:line="480" w:lineRule="auto"/>
              <w:cnfStyle w:val="100000000000"/>
              <w:rPr>
                <w:rFonts w:ascii="Arial" w:hAnsi="Arial"/>
                <w:sz w:val="20"/>
                <w:szCs w:val="20"/>
              </w:rPr>
            </w:pPr>
            <w:r w:rsidRPr="001D75AE">
              <w:rPr>
                <w:rFonts w:ascii="Arial" w:hAnsi="Arial"/>
                <w:sz w:val="20"/>
                <w:szCs w:val="20"/>
              </w:rPr>
              <w:tab/>
            </w:r>
            <w:r w:rsidRPr="001D75AE">
              <w:rPr>
                <w:rFonts w:ascii="Arial" w:hAnsi="Arial"/>
                <w:sz w:val="20"/>
                <w:szCs w:val="20"/>
              </w:rPr>
              <w:tab/>
              <w:t>Strengths</w:t>
            </w:r>
          </w:p>
        </w:tc>
        <w:tc>
          <w:tcPr>
            <w:tcW w:w="1493" w:type="dxa"/>
          </w:tcPr>
          <w:p w:rsidR="00636AAB" w:rsidRPr="001D75AE" w:rsidRDefault="00636AAB" w:rsidP="0077529E">
            <w:pPr>
              <w:pStyle w:val="NormalWeb"/>
              <w:spacing w:line="480" w:lineRule="auto"/>
              <w:jc w:val="center"/>
              <w:cnfStyle w:val="100000000000"/>
              <w:rPr>
                <w:rFonts w:ascii="Arial" w:hAnsi="Arial"/>
                <w:sz w:val="20"/>
                <w:szCs w:val="20"/>
              </w:rPr>
            </w:pPr>
            <w:r w:rsidRPr="001D75AE">
              <w:rPr>
                <w:rFonts w:ascii="Arial" w:hAnsi="Arial"/>
                <w:sz w:val="20"/>
                <w:szCs w:val="20"/>
              </w:rPr>
              <w:t>Limitations</w:t>
            </w:r>
          </w:p>
        </w:tc>
        <w:tc>
          <w:tcPr>
            <w:tcW w:w="1637" w:type="dxa"/>
          </w:tcPr>
          <w:p w:rsidR="00636AAB" w:rsidRPr="001D75AE" w:rsidRDefault="00636AAB" w:rsidP="0077529E">
            <w:pPr>
              <w:pStyle w:val="NormalWeb"/>
              <w:spacing w:line="480" w:lineRule="auto"/>
              <w:jc w:val="center"/>
              <w:cnfStyle w:val="100000000000"/>
              <w:rPr>
                <w:rFonts w:ascii="Arial" w:hAnsi="Arial"/>
                <w:sz w:val="20"/>
                <w:szCs w:val="20"/>
              </w:rPr>
            </w:pPr>
            <w:r w:rsidRPr="001D75AE">
              <w:rPr>
                <w:rFonts w:ascii="Arial" w:hAnsi="Arial"/>
                <w:sz w:val="20"/>
                <w:szCs w:val="20"/>
              </w:rPr>
              <w:t>Clinical notes</w:t>
            </w:r>
          </w:p>
        </w:tc>
      </w:tr>
      <w:tr w:rsidR="00636AAB" w:rsidRPr="001D75AE" w:rsidTr="00636AAB">
        <w:trPr>
          <w:cnfStyle w:val="000000100000"/>
          <w:trHeight w:val="25"/>
        </w:trPr>
        <w:tc>
          <w:tcPr>
            <w:cnfStyle w:val="001000000000"/>
            <w:tcW w:w="2029" w:type="dxa"/>
            <w:shd w:val="clear" w:color="auto" w:fill="FFFFFF" w:themeFill="background1"/>
          </w:tcPr>
          <w:p w:rsidR="00636AAB" w:rsidRPr="001D75AE" w:rsidRDefault="00636AAB" w:rsidP="0077529E">
            <w:pPr>
              <w:spacing w:line="480" w:lineRule="auto"/>
              <w:rPr>
                <w:rFonts w:ascii="Arial" w:hAnsi="Arial"/>
                <w:sz w:val="20"/>
                <w:szCs w:val="20"/>
              </w:rPr>
            </w:pPr>
            <w:r w:rsidRPr="001D75AE">
              <w:rPr>
                <w:rFonts w:ascii="Arial" w:hAnsi="Arial"/>
                <w:sz w:val="20"/>
                <w:szCs w:val="20"/>
              </w:rPr>
              <w:t>Total serum B</w:t>
            </w:r>
            <w:r w:rsidRPr="001D75AE">
              <w:rPr>
                <w:rFonts w:ascii="Cambria Math" w:hAnsi="Cambria Math" w:cs="Cambria Math"/>
                <w:sz w:val="20"/>
                <w:szCs w:val="20"/>
              </w:rPr>
              <w:t>₁₂</w:t>
            </w:r>
          </w:p>
        </w:tc>
        <w:tc>
          <w:tcPr>
            <w:tcW w:w="1655" w:type="dxa"/>
            <w:shd w:val="clear" w:color="auto" w:fill="FFFFFF" w:themeFill="background1"/>
          </w:tcPr>
          <w:p w:rsidR="00636AAB" w:rsidRPr="001D75AE" w:rsidRDefault="00636AAB" w:rsidP="0077529E">
            <w:pPr>
              <w:spacing w:line="480" w:lineRule="auto"/>
              <w:cnfStyle w:val="000000100000"/>
              <w:rPr>
                <w:rFonts w:ascii="Arial" w:hAnsi="Arial"/>
                <w:sz w:val="20"/>
                <w:szCs w:val="20"/>
              </w:rPr>
            </w:pPr>
            <w:r w:rsidRPr="001D75AE">
              <w:rPr>
                <w:rFonts w:ascii="Arial" w:hAnsi="Arial"/>
                <w:sz w:val="20"/>
                <w:szCs w:val="20"/>
              </w:rPr>
              <w:t>The total cobalamin concentration in serum (bound to all carrier proteins)</w:t>
            </w:r>
          </w:p>
        </w:tc>
        <w:tc>
          <w:tcPr>
            <w:tcW w:w="1559" w:type="dxa"/>
            <w:shd w:val="clear" w:color="auto" w:fill="FFFFFF" w:themeFill="background1"/>
          </w:tcPr>
          <w:p w:rsidR="00636AAB" w:rsidRPr="001D75AE" w:rsidRDefault="00636AAB" w:rsidP="0077529E">
            <w:pPr>
              <w:spacing w:line="480" w:lineRule="auto"/>
              <w:cnfStyle w:val="000000100000"/>
              <w:rPr>
                <w:rFonts w:ascii="Arial" w:hAnsi="Arial"/>
                <w:sz w:val="20"/>
                <w:szCs w:val="20"/>
              </w:rPr>
            </w:pPr>
            <w:r w:rsidRPr="001D75AE">
              <w:rPr>
                <w:rFonts w:ascii="Arial" w:hAnsi="Arial"/>
                <w:sz w:val="20"/>
                <w:szCs w:val="20"/>
              </w:rPr>
              <w:t>Widely available, first-line screening test</w:t>
            </w:r>
          </w:p>
        </w:tc>
        <w:tc>
          <w:tcPr>
            <w:tcW w:w="1493" w:type="dxa"/>
            <w:shd w:val="clear" w:color="auto" w:fill="FFFFFF" w:themeFill="background1"/>
          </w:tcPr>
          <w:p w:rsidR="00636AAB" w:rsidRPr="001D75AE" w:rsidRDefault="00636AAB" w:rsidP="0077529E">
            <w:pPr>
              <w:spacing w:line="480" w:lineRule="auto"/>
              <w:cnfStyle w:val="000000100000"/>
              <w:rPr>
                <w:rFonts w:ascii="Arial" w:hAnsi="Arial"/>
                <w:sz w:val="20"/>
                <w:szCs w:val="20"/>
              </w:rPr>
            </w:pPr>
            <w:r w:rsidRPr="001D75AE">
              <w:rPr>
                <w:rFonts w:ascii="Arial" w:hAnsi="Arial"/>
                <w:sz w:val="20"/>
                <w:szCs w:val="20"/>
              </w:rPr>
              <w:t xml:space="preserve">Low sensitivity and specificity; may appear “normal” even when deficiency is present; affected by binding proteins and </w:t>
            </w:r>
            <w:r w:rsidRPr="001D75AE">
              <w:rPr>
                <w:rFonts w:ascii="Arial" w:hAnsi="Arial"/>
                <w:sz w:val="20"/>
                <w:szCs w:val="20"/>
              </w:rPr>
              <w:lastRenderedPageBreak/>
              <w:t>non-functional analogs</w:t>
            </w:r>
          </w:p>
        </w:tc>
        <w:tc>
          <w:tcPr>
            <w:tcW w:w="1637" w:type="dxa"/>
            <w:shd w:val="clear" w:color="auto" w:fill="FFFFFF" w:themeFill="background1"/>
          </w:tcPr>
          <w:p w:rsidR="00636AAB" w:rsidRPr="001D75AE" w:rsidRDefault="00636AAB" w:rsidP="0077529E">
            <w:pPr>
              <w:spacing w:line="480" w:lineRule="auto"/>
              <w:cnfStyle w:val="000000100000"/>
              <w:rPr>
                <w:rFonts w:ascii="Arial" w:hAnsi="Arial"/>
                <w:sz w:val="20"/>
                <w:szCs w:val="20"/>
              </w:rPr>
            </w:pPr>
            <w:r w:rsidRPr="001D75AE">
              <w:rPr>
                <w:rFonts w:ascii="Arial" w:hAnsi="Arial"/>
                <w:sz w:val="20"/>
                <w:szCs w:val="20"/>
              </w:rPr>
              <w:lastRenderedPageBreak/>
              <w:t>A normal result does not rule out deficiency — consider further testing if clinical suspicion remains</w:t>
            </w:r>
          </w:p>
        </w:tc>
      </w:tr>
      <w:tr w:rsidR="00636AAB" w:rsidRPr="001D75AE" w:rsidTr="00636AAB">
        <w:trPr>
          <w:trHeight w:val="537"/>
        </w:trPr>
        <w:tc>
          <w:tcPr>
            <w:cnfStyle w:val="001000000000"/>
            <w:tcW w:w="2029" w:type="dxa"/>
          </w:tcPr>
          <w:p w:rsidR="00636AAB" w:rsidRPr="001D75AE" w:rsidRDefault="00636AAB" w:rsidP="0077529E">
            <w:pPr>
              <w:pStyle w:val="NormalWeb"/>
              <w:spacing w:line="480" w:lineRule="auto"/>
              <w:jc w:val="center"/>
              <w:rPr>
                <w:rFonts w:ascii="Arial" w:hAnsi="Arial"/>
                <w:b w:val="0"/>
                <w:bCs w:val="0"/>
                <w:sz w:val="20"/>
                <w:szCs w:val="20"/>
              </w:rPr>
            </w:pPr>
            <w:r w:rsidRPr="001D75AE">
              <w:rPr>
                <w:rFonts w:ascii="Arial" w:hAnsi="Arial"/>
                <w:sz w:val="20"/>
                <w:szCs w:val="20"/>
              </w:rPr>
              <w:lastRenderedPageBreak/>
              <w:t>Holotranscobalmin</w:t>
            </w:r>
          </w:p>
          <w:p w:rsidR="00636AAB" w:rsidRPr="001D75AE" w:rsidRDefault="00636AAB" w:rsidP="0077529E">
            <w:pPr>
              <w:pStyle w:val="NormalWeb"/>
              <w:spacing w:line="480" w:lineRule="auto"/>
              <w:jc w:val="center"/>
              <w:rPr>
                <w:rFonts w:ascii="Arial" w:hAnsi="Arial"/>
                <w:sz w:val="20"/>
                <w:szCs w:val="20"/>
              </w:rPr>
            </w:pPr>
            <w:r w:rsidRPr="001D75AE">
              <w:rPr>
                <w:rFonts w:ascii="Arial" w:hAnsi="Arial"/>
                <w:sz w:val="20"/>
                <w:szCs w:val="20"/>
              </w:rPr>
              <w:t>(holoTC, “active B</w:t>
            </w:r>
            <w:r w:rsidRPr="001D75AE">
              <w:rPr>
                <w:rFonts w:ascii="Cambria Math" w:hAnsi="Cambria Math" w:cs="Cambria Math"/>
                <w:sz w:val="20"/>
                <w:szCs w:val="20"/>
              </w:rPr>
              <w:t>₁₂</w:t>
            </w:r>
            <w:r w:rsidRPr="001D75AE">
              <w:rPr>
                <w:rFonts w:ascii="Arial" w:hAnsi="Arial"/>
                <w:sz w:val="20"/>
                <w:szCs w:val="20"/>
              </w:rPr>
              <w:t>”)</w:t>
            </w:r>
          </w:p>
        </w:tc>
        <w:tc>
          <w:tcPr>
            <w:tcW w:w="1655" w:type="dxa"/>
          </w:tcPr>
          <w:p w:rsidR="00636AAB" w:rsidRPr="001D75AE" w:rsidRDefault="00636AAB" w:rsidP="0077529E">
            <w:pPr>
              <w:pStyle w:val="NormalWeb"/>
              <w:spacing w:line="480" w:lineRule="auto"/>
              <w:jc w:val="both"/>
              <w:cnfStyle w:val="000000000000"/>
              <w:rPr>
                <w:rFonts w:ascii="Arial" w:hAnsi="Arial"/>
                <w:sz w:val="20"/>
                <w:szCs w:val="20"/>
              </w:rPr>
            </w:pPr>
            <w:r w:rsidRPr="001D75AE">
              <w:rPr>
                <w:rFonts w:ascii="Arial" w:hAnsi="Arial"/>
                <w:sz w:val="20"/>
                <w:szCs w:val="20"/>
              </w:rPr>
              <w:t>The fraction of B</w:t>
            </w:r>
            <w:r w:rsidRPr="001D75AE">
              <w:rPr>
                <w:rFonts w:ascii="Cambria Math" w:hAnsi="Cambria Math" w:cs="Cambria Math"/>
                <w:sz w:val="20"/>
                <w:szCs w:val="20"/>
              </w:rPr>
              <w:t>₁₂</w:t>
            </w:r>
            <w:r w:rsidRPr="001D75AE">
              <w:rPr>
                <w:rFonts w:ascii="Arial" w:hAnsi="Arial"/>
                <w:sz w:val="20"/>
                <w:szCs w:val="20"/>
              </w:rPr>
              <w:t xml:space="preserve"> bound to transcobalamin (the portion available for cellular uptake)</w:t>
            </w:r>
          </w:p>
        </w:tc>
        <w:tc>
          <w:tcPr>
            <w:tcW w:w="1559" w:type="dxa"/>
          </w:tcPr>
          <w:p w:rsidR="00636AAB" w:rsidRPr="001D75AE" w:rsidRDefault="00636AAB" w:rsidP="0077529E">
            <w:pPr>
              <w:pStyle w:val="NormalWeb"/>
              <w:spacing w:line="480" w:lineRule="auto"/>
              <w:jc w:val="both"/>
              <w:cnfStyle w:val="000000000000"/>
              <w:rPr>
                <w:rFonts w:ascii="Arial" w:hAnsi="Arial"/>
                <w:sz w:val="20"/>
                <w:szCs w:val="20"/>
              </w:rPr>
            </w:pPr>
            <w:r w:rsidRPr="001D75AE">
              <w:rPr>
                <w:rFonts w:ascii="Arial" w:hAnsi="Arial"/>
                <w:sz w:val="20"/>
                <w:szCs w:val="20"/>
              </w:rPr>
              <w:t>More responsive to recent changes in intake/absorption; earlier indicator of negative vitamin B12 balance</w:t>
            </w:r>
          </w:p>
        </w:tc>
        <w:tc>
          <w:tcPr>
            <w:tcW w:w="1493" w:type="dxa"/>
          </w:tcPr>
          <w:p w:rsidR="00636AAB" w:rsidRPr="001D75AE" w:rsidRDefault="00636AAB" w:rsidP="0077529E">
            <w:pPr>
              <w:pStyle w:val="NormalWeb"/>
              <w:spacing w:line="480" w:lineRule="auto"/>
              <w:jc w:val="both"/>
              <w:cnfStyle w:val="000000000000"/>
              <w:rPr>
                <w:rFonts w:ascii="Arial" w:hAnsi="Arial"/>
                <w:sz w:val="20"/>
                <w:szCs w:val="20"/>
              </w:rPr>
            </w:pPr>
            <w:r w:rsidRPr="001D75AE">
              <w:rPr>
                <w:rFonts w:ascii="Arial" w:hAnsi="Arial"/>
                <w:sz w:val="20"/>
                <w:szCs w:val="20"/>
              </w:rPr>
              <w:t xml:space="preserve">Less widely used; fewer </w:t>
            </w:r>
            <w:r w:rsidR="0019055A" w:rsidRPr="001D75AE">
              <w:rPr>
                <w:rFonts w:ascii="Arial" w:hAnsi="Arial"/>
                <w:sz w:val="20"/>
                <w:szCs w:val="20"/>
              </w:rPr>
              <w:t>standardized</w:t>
            </w:r>
            <w:r w:rsidRPr="001D75AE">
              <w:rPr>
                <w:rFonts w:ascii="Arial" w:hAnsi="Arial"/>
                <w:sz w:val="20"/>
                <w:szCs w:val="20"/>
              </w:rPr>
              <w:t xml:space="preserve"> reference ranges; may be influenced by other factors</w:t>
            </w:r>
          </w:p>
        </w:tc>
        <w:tc>
          <w:tcPr>
            <w:tcW w:w="1637" w:type="dxa"/>
          </w:tcPr>
          <w:p w:rsidR="00636AAB" w:rsidRPr="001D75AE" w:rsidRDefault="00636AAB" w:rsidP="0077529E">
            <w:pPr>
              <w:pStyle w:val="NormalWeb"/>
              <w:spacing w:line="480" w:lineRule="auto"/>
              <w:jc w:val="both"/>
              <w:cnfStyle w:val="000000000000"/>
              <w:rPr>
                <w:rFonts w:ascii="Arial" w:hAnsi="Arial"/>
                <w:sz w:val="20"/>
                <w:szCs w:val="20"/>
              </w:rPr>
            </w:pPr>
            <w:r w:rsidRPr="001D75AE">
              <w:rPr>
                <w:rFonts w:ascii="Arial" w:hAnsi="Arial"/>
                <w:sz w:val="20"/>
                <w:szCs w:val="20"/>
              </w:rPr>
              <w:t>Low holoTC may be an early sign of deficiency even if total B</w:t>
            </w:r>
            <w:r w:rsidRPr="001D75AE">
              <w:rPr>
                <w:rFonts w:ascii="Cambria Math" w:hAnsi="Cambria Math" w:cs="Cambria Math"/>
                <w:sz w:val="20"/>
                <w:szCs w:val="20"/>
              </w:rPr>
              <w:t>₁₂</w:t>
            </w:r>
            <w:r w:rsidRPr="001D75AE">
              <w:rPr>
                <w:rFonts w:ascii="Arial" w:hAnsi="Arial"/>
                <w:sz w:val="20"/>
                <w:szCs w:val="20"/>
              </w:rPr>
              <w:t xml:space="preserve"> is “normal</w:t>
            </w:r>
          </w:p>
        </w:tc>
      </w:tr>
      <w:tr w:rsidR="00636AAB" w:rsidRPr="001D75AE" w:rsidTr="00636AAB">
        <w:trPr>
          <w:cnfStyle w:val="000000100000"/>
          <w:trHeight w:val="592"/>
        </w:trPr>
        <w:tc>
          <w:tcPr>
            <w:cnfStyle w:val="001000000000"/>
            <w:tcW w:w="2029" w:type="dxa"/>
            <w:shd w:val="clear" w:color="auto" w:fill="FFFFFF" w:themeFill="background1"/>
          </w:tcPr>
          <w:p w:rsidR="00636AAB" w:rsidRPr="001D75AE" w:rsidRDefault="00636AAB" w:rsidP="0077529E">
            <w:pPr>
              <w:pStyle w:val="NormalWeb"/>
              <w:spacing w:line="480" w:lineRule="auto"/>
              <w:jc w:val="both"/>
              <w:rPr>
                <w:rFonts w:ascii="Arial" w:hAnsi="Arial"/>
                <w:sz w:val="20"/>
                <w:szCs w:val="20"/>
              </w:rPr>
            </w:pPr>
            <w:r w:rsidRPr="001D75AE">
              <w:rPr>
                <w:rFonts w:ascii="Arial" w:hAnsi="Arial"/>
                <w:sz w:val="20"/>
                <w:szCs w:val="20"/>
              </w:rPr>
              <w:t>Methylmalonic acid (MMA)</w:t>
            </w:r>
          </w:p>
        </w:tc>
        <w:tc>
          <w:tcPr>
            <w:tcW w:w="1655" w:type="dxa"/>
            <w:shd w:val="clear" w:color="auto" w:fill="FFFFFF" w:themeFill="background1"/>
          </w:tcPr>
          <w:p w:rsidR="00636AAB" w:rsidRPr="001D75AE" w:rsidRDefault="00636AAB" w:rsidP="0077529E">
            <w:pPr>
              <w:pStyle w:val="NormalWeb"/>
              <w:spacing w:line="480" w:lineRule="auto"/>
              <w:jc w:val="both"/>
              <w:cnfStyle w:val="000000100000"/>
              <w:rPr>
                <w:rFonts w:ascii="Arial" w:hAnsi="Arial"/>
                <w:sz w:val="20"/>
                <w:szCs w:val="20"/>
              </w:rPr>
            </w:pPr>
            <w:r w:rsidRPr="001D75AE">
              <w:rPr>
                <w:rFonts w:ascii="Arial" w:hAnsi="Arial"/>
                <w:sz w:val="20"/>
                <w:szCs w:val="20"/>
              </w:rPr>
              <w:t>A metabolic marker: rises when intracellular vitamin B12 deficiency impairs conversion of methylmalonyl-CoA → succinyl-CoA</w:t>
            </w:r>
          </w:p>
        </w:tc>
        <w:tc>
          <w:tcPr>
            <w:tcW w:w="1559" w:type="dxa"/>
            <w:shd w:val="clear" w:color="auto" w:fill="FFFFFF" w:themeFill="background1"/>
          </w:tcPr>
          <w:p w:rsidR="00636AAB" w:rsidRPr="001D75AE" w:rsidRDefault="00636AAB" w:rsidP="0077529E">
            <w:pPr>
              <w:pStyle w:val="NormalWeb"/>
              <w:spacing w:line="480" w:lineRule="auto"/>
              <w:jc w:val="both"/>
              <w:cnfStyle w:val="000000100000"/>
              <w:rPr>
                <w:rFonts w:ascii="Arial" w:hAnsi="Arial"/>
                <w:sz w:val="20"/>
                <w:szCs w:val="20"/>
              </w:rPr>
            </w:pPr>
            <w:r w:rsidRPr="001D75AE">
              <w:rPr>
                <w:rFonts w:ascii="Arial" w:hAnsi="Arial"/>
                <w:sz w:val="20"/>
                <w:szCs w:val="20"/>
              </w:rPr>
              <w:t>Detects functional vitamin B12 deficiency even when serum vitamin B12 is normal; good specificity</w:t>
            </w:r>
          </w:p>
        </w:tc>
        <w:tc>
          <w:tcPr>
            <w:tcW w:w="1493" w:type="dxa"/>
            <w:shd w:val="clear" w:color="auto" w:fill="FFFFFF" w:themeFill="background1"/>
          </w:tcPr>
          <w:p w:rsidR="00636AAB" w:rsidRPr="001D75AE" w:rsidRDefault="00636AAB" w:rsidP="0077529E">
            <w:pPr>
              <w:pStyle w:val="NormalWeb"/>
              <w:spacing w:line="480" w:lineRule="auto"/>
              <w:jc w:val="both"/>
              <w:cnfStyle w:val="000000100000"/>
              <w:rPr>
                <w:rFonts w:ascii="Arial" w:hAnsi="Arial"/>
                <w:sz w:val="20"/>
                <w:szCs w:val="20"/>
              </w:rPr>
            </w:pPr>
            <w:r w:rsidRPr="001D75AE">
              <w:rPr>
                <w:rFonts w:ascii="Arial" w:hAnsi="Arial"/>
                <w:sz w:val="20"/>
                <w:szCs w:val="20"/>
              </w:rPr>
              <w:t>Elevated by renal impairment, some other metabolic disorders; slightly more expensive test</w:t>
            </w:r>
          </w:p>
        </w:tc>
        <w:tc>
          <w:tcPr>
            <w:tcW w:w="1637" w:type="dxa"/>
            <w:shd w:val="clear" w:color="auto" w:fill="FFFFFF" w:themeFill="background1"/>
          </w:tcPr>
          <w:p w:rsidR="00636AAB" w:rsidRPr="001D75AE" w:rsidRDefault="00636AAB" w:rsidP="0077529E">
            <w:pPr>
              <w:pStyle w:val="NormalWeb"/>
              <w:spacing w:line="480" w:lineRule="auto"/>
              <w:jc w:val="both"/>
              <w:cnfStyle w:val="000000100000"/>
              <w:rPr>
                <w:rFonts w:ascii="Arial" w:hAnsi="Arial"/>
                <w:sz w:val="20"/>
                <w:szCs w:val="20"/>
              </w:rPr>
            </w:pPr>
            <w:r w:rsidRPr="001D75AE">
              <w:rPr>
                <w:rFonts w:ascii="Arial" w:hAnsi="Arial"/>
                <w:sz w:val="20"/>
                <w:szCs w:val="20"/>
              </w:rPr>
              <w:t>Elevated MMA suggests tissue/functional B</w:t>
            </w:r>
            <w:r w:rsidRPr="001D75AE">
              <w:rPr>
                <w:rFonts w:ascii="Cambria Math" w:hAnsi="Cambria Math" w:cs="Cambria Math"/>
                <w:sz w:val="20"/>
                <w:szCs w:val="20"/>
              </w:rPr>
              <w:t>₁₂</w:t>
            </w:r>
            <w:r w:rsidRPr="001D75AE">
              <w:rPr>
                <w:rFonts w:ascii="Arial" w:hAnsi="Arial"/>
                <w:sz w:val="20"/>
                <w:szCs w:val="20"/>
              </w:rPr>
              <w:t xml:space="preserve"> deficiency; interpret in context of renal function</w:t>
            </w:r>
          </w:p>
        </w:tc>
      </w:tr>
      <w:tr w:rsidR="00636AAB" w:rsidRPr="001D75AE" w:rsidTr="00636AAB">
        <w:trPr>
          <w:trHeight w:val="431"/>
        </w:trPr>
        <w:tc>
          <w:tcPr>
            <w:cnfStyle w:val="001000000000"/>
            <w:tcW w:w="2029" w:type="dxa"/>
          </w:tcPr>
          <w:p w:rsidR="00636AAB" w:rsidRPr="001D75AE" w:rsidRDefault="00636AAB" w:rsidP="0077529E">
            <w:pPr>
              <w:pStyle w:val="NormalWeb"/>
              <w:spacing w:line="480" w:lineRule="auto"/>
              <w:jc w:val="center"/>
              <w:rPr>
                <w:rFonts w:ascii="Arial" w:hAnsi="Arial"/>
                <w:sz w:val="20"/>
                <w:szCs w:val="20"/>
              </w:rPr>
            </w:pPr>
            <w:r w:rsidRPr="001D75AE">
              <w:rPr>
                <w:rFonts w:ascii="Arial" w:hAnsi="Arial"/>
                <w:sz w:val="20"/>
                <w:szCs w:val="20"/>
              </w:rPr>
              <w:t>Total homocysteine (tHcy)</w:t>
            </w:r>
          </w:p>
        </w:tc>
        <w:tc>
          <w:tcPr>
            <w:tcW w:w="1655" w:type="dxa"/>
          </w:tcPr>
          <w:p w:rsidR="00636AAB" w:rsidRPr="001D75AE" w:rsidRDefault="00636AAB" w:rsidP="0077529E">
            <w:pPr>
              <w:pStyle w:val="NormalWeb"/>
              <w:spacing w:line="480" w:lineRule="auto"/>
              <w:jc w:val="center"/>
              <w:cnfStyle w:val="000000000000"/>
              <w:rPr>
                <w:rFonts w:ascii="Arial" w:hAnsi="Arial"/>
                <w:sz w:val="20"/>
                <w:szCs w:val="20"/>
              </w:rPr>
            </w:pPr>
            <w:r w:rsidRPr="001D75AE">
              <w:rPr>
                <w:rFonts w:ascii="Arial" w:hAnsi="Arial"/>
                <w:sz w:val="20"/>
                <w:szCs w:val="20"/>
              </w:rPr>
              <w:t xml:space="preserve">A metabolic marker: rises when remethylation (requiring vitamin B12 and folate) is </w:t>
            </w:r>
            <w:r w:rsidRPr="001D75AE">
              <w:rPr>
                <w:rFonts w:ascii="Arial" w:hAnsi="Arial"/>
                <w:sz w:val="20"/>
                <w:szCs w:val="20"/>
              </w:rPr>
              <w:lastRenderedPageBreak/>
              <w:t>impaired</w:t>
            </w:r>
          </w:p>
        </w:tc>
        <w:tc>
          <w:tcPr>
            <w:tcW w:w="1559" w:type="dxa"/>
          </w:tcPr>
          <w:p w:rsidR="00636AAB" w:rsidRPr="001D75AE" w:rsidRDefault="00636AAB" w:rsidP="0077529E">
            <w:pPr>
              <w:pStyle w:val="NormalWeb"/>
              <w:spacing w:line="480" w:lineRule="auto"/>
              <w:jc w:val="both"/>
              <w:cnfStyle w:val="000000000000"/>
              <w:rPr>
                <w:rFonts w:ascii="Arial" w:hAnsi="Arial"/>
                <w:sz w:val="20"/>
                <w:szCs w:val="20"/>
              </w:rPr>
            </w:pPr>
            <w:r w:rsidRPr="001D75AE">
              <w:rPr>
                <w:rFonts w:ascii="Arial" w:hAnsi="Arial"/>
                <w:sz w:val="20"/>
                <w:szCs w:val="20"/>
              </w:rPr>
              <w:lastRenderedPageBreak/>
              <w:t>Useful when combined with other markers; indicates remethylationpathway stress</w:t>
            </w:r>
          </w:p>
        </w:tc>
        <w:tc>
          <w:tcPr>
            <w:tcW w:w="1493" w:type="dxa"/>
          </w:tcPr>
          <w:p w:rsidR="00636AAB" w:rsidRPr="001D75AE" w:rsidRDefault="00636AAB" w:rsidP="0077529E">
            <w:pPr>
              <w:pStyle w:val="NormalWeb"/>
              <w:spacing w:line="480" w:lineRule="auto"/>
              <w:jc w:val="both"/>
              <w:cnfStyle w:val="000000000000"/>
              <w:rPr>
                <w:rFonts w:ascii="Arial" w:hAnsi="Arial"/>
                <w:sz w:val="20"/>
                <w:szCs w:val="20"/>
              </w:rPr>
            </w:pPr>
            <w:r w:rsidRPr="001D75AE">
              <w:rPr>
                <w:rFonts w:ascii="Arial" w:hAnsi="Arial"/>
                <w:sz w:val="20"/>
                <w:szCs w:val="20"/>
              </w:rPr>
              <w:t>Less specific: elevated in folate deficiency, B</w:t>
            </w:r>
            <w:r w:rsidRPr="001D75AE">
              <w:rPr>
                <w:rFonts w:ascii="Cambria Math" w:hAnsi="Cambria Math" w:cs="Cambria Math"/>
                <w:sz w:val="20"/>
                <w:szCs w:val="20"/>
              </w:rPr>
              <w:t>₆</w:t>
            </w:r>
            <w:r w:rsidRPr="001D75AE">
              <w:rPr>
                <w:rFonts w:ascii="Arial" w:hAnsi="Arial"/>
                <w:sz w:val="20"/>
                <w:szCs w:val="20"/>
              </w:rPr>
              <w:t xml:space="preserve"> deficiency, renal disease, other causes</w:t>
            </w:r>
          </w:p>
        </w:tc>
        <w:tc>
          <w:tcPr>
            <w:tcW w:w="1637" w:type="dxa"/>
          </w:tcPr>
          <w:p w:rsidR="00636AAB" w:rsidRPr="001D75AE" w:rsidRDefault="00636AAB" w:rsidP="0077529E">
            <w:pPr>
              <w:pStyle w:val="NormalWeb"/>
              <w:spacing w:line="480" w:lineRule="auto"/>
              <w:jc w:val="both"/>
              <w:cnfStyle w:val="000000000000"/>
              <w:rPr>
                <w:rFonts w:ascii="Arial" w:hAnsi="Arial"/>
                <w:sz w:val="20"/>
                <w:szCs w:val="20"/>
              </w:rPr>
            </w:pPr>
            <w:r w:rsidRPr="001D75AE">
              <w:rPr>
                <w:rFonts w:ascii="Arial" w:hAnsi="Arial"/>
                <w:sz w:val="20"/>
                <w:szCs w:val="20"/>
              </w:rPr>
              <w:t xml:space="preserve">Elevated tHcy may suggest vitamin B12 deficiency but must interpret with folate/B6/renal </w:t>
            </w:r>
            <w:r w:rsidRPr="001D75AE">
              <w:rPr>
                <w:rFonts w:ascii="Arial" w:hAnsi="Arial"/>
                <w:sz w:val="20"/>
                <w:szCs w:val="20"/>
              </w:rPr>
              <w:lastRenderedPageBreak/>
              <w:t>status</w:t>
            </w:r>
          </w:p>
        </w:tc>
      </w:tr>
    </w:tbl>
    <w:p w:rsidR="00BF5155" w:rsidRPr="001D75AE" w:rsidRDefault="00BF5155" w:rsidP="00BF5155">
      <w:pPr>
        <w:pStyle w:val="Normal1"/>
        <w:spacing w:line="240" w:lineRule="auto"/>
        <w:jc w:val="both"/>
        <w:rPr>
          <w:rFonts w:eastAsia="Times New Roman"/>
          <w:sz w:val="20"/>
          <w:szCs w:val="20"/>
        </w:rPr>
      </w:pPr>
    </w:p>
    <w:p w:rsidR="005B4A37" w:rsidRPr="001D75AE" w:rsidRDefault="00EE7BA9" w:rsidP="005B4A37">
      <w:pPr>
        <w:pStyle w:val="Normal1"/>
        <w:spacing w:line="240" w:lineRule="auto"/>
        <w:jc w:val="both"/>
        <w:rPr>
          <w:rFonts w:eastAsia="Times New Roman"/>
          <w:b/>
        </w:rPr>
      </w:pPr>
      <w:r w:rsidRPr="001D75AE">
        <w:rPr>
          <w:rFonts w:eastAsia="Times New Roman"/>
          <w:b/>
        </w:rPr>
        <w:t>1.</w:t>
      </w:r>
      <w:r w:rsidR="00BF5155" w:rsidRPr="001D75AE">
        <w:rPr>
          <w:rFonts w:eastAsia="Times New Roman"/>
          <w:b/>
        </w:rPr>
        <w:t>8. Therapeutic Strategies</w:t>
      </w:r>
    </w:p>
    <w:p w:rsidR="00AE6BF4" w:rsidRPr="001D75AE" w:rsidRDefault="00555DB9" w:rsidP="00AE6BF4">
      <w:pPr>
        <w:pStyle w:val="Normal1"/>
        <w:spacing w:line="240" w:lineRule="auto"/>
        <w:jc w:val="both"/>
        <w:rPr>
          <w:rFonts w:eastAsia="Times New Roman"/>
          <w:b/>
        </w:rPr>
      </w:pPr>
      <w:r w:rsidRPr="001D75AE">
        <w:rPr>
          <w:sz w:val="20"/>
          <w:szCs w:val="20"/>
        </w:rPr>
        <w:t>Vitamin B</w:t>
      </w:r>
      <w:r w:rsidRPr="001D75AE">
        <w:rPr>
          <w:rFonts w:ascii="Cambria Math" w:hAnsi="Cambria Math"/>
          <w:sz w:val="20"/>
          <w:szCs w:val="20"/>
        </w:rPr>
        <w:t>₁₂</w:t>
      </w:r>
      <w:r w:rsidRPr="001D75AE">
        <w:rPr>
          <w:sz w:val="20"/>
          <w:szCs w:val="20"/>
        </w:rPr>
        <w:t xml:space="preserve"> deficiency can be treated via oral, sublingual, or parenteral (intramuscular/subcutaneous) supplementation. While intramuscular injections were long preferred — particularly in individuals with malabsorption or severe deficiency — recent evidence shows that high-dose oral supplementation can be effective even without intrinsic factor. For example, randomized controlled trials have found that daily oral doses (1000–2000 µg) over several months produced hematological and neurological responses comparable to intramuscular therapy.</w:t>
      </w:r>
      <w:r w:rsidR="00BF5155" w:rsidRPr="001D75AE">
        <w:rPr>
          <w:rFonts w:eastAsia="Times New Roman"/>
          <w:sz w:val="20"/>
          <w:szCs w:val="20"/>
        </w:rPr>
        <w:t>New preparations, including Sucrosomial vitamin B12, have enhanced bioavailability, patient compliance, and clinical performance. Oral supplementation has the potential to provide hematological and neurological outcomes comparable to parenteral therapy, and ensuring adequate prenatal intake is crucial for expectant mothers to prevent adverse fetal consequences such as neural tube defects and impaired neurodevelopment(</w:t>
      </w:r>
      <w:r w:rsidR="00C67500" w:rsidRPr="001D75AE">
        <w:rPr>
          <w:rFonts w:eastAsia="Times New Roman"/>
          <w:sz w:val="20"/>
          <w:szCs w:val="20"/>
        </w:rPr>
        <w:t>Chatterjee</w:t>
      </w:r>
      <w:r w:rsidR="0042385C" w:rsidRPr="001D75AE">
        <w:rPr>
          <w:rFonts w:eastAsia="Times New Roman"/>
          <w:sz w:val="20"/>
          <w:szCs w:val="20"/>
        </w:rPr>
        <w:t>&amp; Saraswat</w:t>
      </w:r>
      <w:r w:rsidR="00C67500" w:rsidRPr="001D75AE">
        <w:rPr>
          <w:rFonts w:eastAsia="Times New Roman"/>
          <w:sz w:val="20"/>
          <w:szCs w:val="20"/>
        </w:rPr>
        <w:t xml:space="preserve"> 2022)[</w:t>
      </w:r>
      <w:r w:rsidR="00AD17A6" w:rsidRPr="001D75AE">
        <w:rPr>
          <w:rFonts w:eastAsia="Times New Roman"/>
          <w:sz w:val="20"/>
          <w:szCs w:val="20"/>
        </w:rPr>
        <w:t>13</w:t>
      </w:r>
      <w:r w:rsidR="00BF5155" w:rsidRPr="001D75AE">
        <w:rPr>
          <w:rFonts w:eastAsia="Times New Roman"/>
          <w:sz w:val="20"/>
          <w:szCs w:val="20"/>
        </w:rPr>
        <w:t>] and (Biswas et al. 2024)</w:t>
      </w:r>
      <w:r w:rsidR="00C67500" w:rsidRPr="001D75AE">
        <w:rPr>
          <w:rFonts w:eastAsia="Times New Roman"/>
          <w:sz w:val="20"/>
          <w:szCs w:val="20"/>
        </w:rPr>
        <w:t>[2</w:t>
      </w:r>
      <w:r w:rsidR="00C464AC" w:rsidRPr="001D75AE">
        <w:rPr>
          <w:rFonts w:eastAsia="Times New Roman"/>
          <w:sz w:val="20"/>
          <w:szCs w:val="20"/>
        </w:rPr>
        <w:t>5</w:t>
      </w:r>
      <w:r w:rsidR="00C67500" w:rsidRPr="001D75AE">
        <w:rPr>
          <w:rFonts w:eastAsia="Times New Roman"/>
          <w:sz w:val="20"/>
          <w:szCs w:val="20"/>
        </w:rPr>
        <w:t>]</w:t>
      </w:r>
      <w:r w:rsidR="00BF5155" w:rsidRPr="001D75AE">
        <w:rPr>
          <w:rFonts w:eastAsia="Times New Roman"/>
          <w:sz w:val="20"/>
          <w:szCs w:val="20"/>
        </w:rPr>
        <w:t>.It is recommended that individuals consider regular consumption of vitamin B12, as even non-vegetarian</w:t>
      </w:r>
      <w:r w:rsidR="00296A87" w:rsidRPr="001D75AE">
        <w:rPr>
          <w:rFonts w:eastAsia="Times New Roman"/>
          <w:sz w:val="20"/>
          <w:szCs w:val="20"/>
        </w:rPr>
        <w:t>s</w:t>
      </w:r>
      <w:r w:rsidR="00BF5155" w:rsidRPr="001D75AE">
        <w:rPr>
          <w:rFonts w:eastAsia="Times New Roman"/>
          <w:sz w:val="20"/>
          <w:szCs w:val="20"/>
        </w:rPr>
        <w:t>—despite access to animal-derived foods—may still exhibit deficiency, indicating that dietary intake alone may not ensure sufficiency therefore, screening or supplementation may be necessary for high-risk groups such as young adults with dietary restrictions or possible malabsorption (Sri</w:t>
      </w:r>
      <w:r w:rsidR="00AD17A6" w:rsidRPr="001D75AE">
        <w:rPr>
          <w:rFonts w:eastAsia="Times New Roman"/>
          <w:sz w:val="20"/>
          <w:szCs w:val="20"/>
        </w:rPr>
        <w:t>vani</w:t>
      </w:r>
      <w:r w:rsidR="00BF5155" w:rsidRPr="001D75AE">
        <w:rPr>
          <w:rFonts w:eastAsia="Times New Roman"/>
          <w:sz w:val="20"/>
          <w:szCs w:val="20"/>
        </w:rPr>
        <w:t>Nutakki et al. 2023)</w:t>
      </w:r>
      <w:r w:rsidR="00C67500" w:rsidRPr="001D75AE">
        <w:rPr>
          <w:rFonts w:eastAsia="Times New Roman"/>
          <w:sz w:val="20"/>
          <w:szCs w:val="20"/>
        </w:rPr>
        <w:t>[</w:t>
      </w:r>
      <w:r w:rsidR="00AD17A6" w:rsidRPr="001D75AE">
        <w:rPr>
          <w:rFonts w:eastAsia="Times New Roman"/>
          <w:sz w:val="20"/>
          <w:szCs w:val="20"/>
        </w:rPr>
        <w:t>12</w:t>
      </w:r>
      <w:r w:rsidR="00C67500" w:rsidRPr="001D75AE">
        <w:rPr>
          <w:rFonts w:eastAsia="Times New Roman"/>
          <w:sz w:val="20"/>
          <w:szCs w:val="20"/>
        </w:rPr>
        <w:t>]</w:t>
      </w:r>
      <w:r w:rsidR="00BF5155" w:rsidRPr="001D75AE">
        <w:rPr>
          <w:rFonts w:eastAsia="Times New Roman"/>
          <w:sz w:val="20"/>
          <w:szCs w:val="20"/>
        </w:rPr>
        <w:t>.The treatment depends on underlying cause. For example, in dietary deficiency an adequate oral B</w:t>
      </w:r>
      <w:r w:rsidR="006C31EC" w:rsidRPr="001D75AE">
        <w:rPr>
          <w:rFonts w:eastAsia="Times New Roman"/>
          <w:sz w:val="20"/>
          <w:szCs w:val="20"/>
        </w:rPr>
        <w:t>12</w:t>
      </w:r>
      <w:r w:rsidR="00BF5155" w:rsidRPr="001D75AE">
        <w:rPr>
          <w:rFonts w:eastAsia="Times New Roman"/>
          <w:sz w:val="20"/>
          <w:szCs w:val="20"/>
        </w:rPr>
        <w:t xml:space="preserve"> supplementation may suffice; but in malabsorption (e.g., pernicious </w:t>
      </w:r>
      <w:r w:rsidR="0019055A" w:rsidRPr="001D75AE">
        <w:rPr>
          <w:rFonts w:eastAsia="Times New Roman"/>
          <w:sz w:val="20"/>
          <w:szCs w:val="20"/>
        </w:rPr>
        <w:t>anemia</w:t>
      </w:r>
      <w:r w:rsidR="00BF5155" w:rsidRPr="001D75AE">
        <w:rPr>
          <w:rFonts w:eastAsia="Times New Roman"/>
          <w:sz w:val="20"/>
          <w:szCs w:val="20"/>
        </w:rPr>
        <w:t>, post-gastrectomy) parenteral administration is required.</w:t>
      </w:r>
      <w:r w:rsidR="00296A87" w:rsidRPr="001D75AE">
        <w:rPr>
          <w:sz w:val="20"/>
          <w:szCs w:val="20"/>
        </w:rPr>
        <w:t xml:space="preserve"> Treatment recommendations differentiate severity, with severe or acute presentations requiring initial parenteral vitamin B12, followed by long-term high-dose oral therapy depending on the underlying cause and absorption status. Prophylactic supplementation is advised for individuals at increased risk, such as those with malabsorption or on specific medications. Still its seen that </w:t>
      </w:r>
      <w:r w:rsidR="00296A87" w:rsidRPr="001D75AE">
        <w:rPr>
          <w:rStyle w:val="Strong"/>
          <w:b w:val="0"/>
          <w:bCs w:val="0"/>
          <w:sz w:val="20"/>
          <w:szCs w:val="20"/>
        </w:rPr>
        <w:t>High-dose oral B12 supplementation is effective</w:t>
      </w:r>
      <w:r w:rsidR="00296A87" w:rsidRPr="001D75AE">
        <w:rPr>
          <w:sz w:val="20"/>
          <w:szCs w:val="20"/>
        </w:rPr>
        <w:t xml:space="preserve"> and comparable to intramuscular therapy in most cases (Al Amin, A. 2023) [2</w:t>
      </w:r>
      <w:r w:rsidR="00C464AC" w:rsidRPr="001D75AE">
        <w:rPr>
          <w:sz w:val="20"/>
          <w:szCs w:val="20"/>
        </w:rPr>
        <w:t>6</w:t>
      </w:r>
      <w:r w:rsidR="00296A87" w:rsidRPr="001D75AE">
        <w:rPr>
          <w:sz w:val="20"/>
          <w:szCs w:val="20"/>
        </w:rPr>
        <w:t>].</w:t>
      </w:r>
      <w:r w:rsidRPr="001D75AE">
        <w:rPr>
          <w:sz w:val="20"/>
          <w:szCs w:val="20"/>
          <w:lang w:val="en-IN"/>
        </w:rPr>
        <w:t xml:space="preserve"> Upon administration of vitamin B12 therapy, both clinical symptoms and haematological parameters improved significantly, highlighting the efficacy of timely supplementation. The importance of early recognition of subtle symptoms, especially in populations at risk, since delayed treatment may lead to irreversible neurological damage. And also note that routine screening and awareness programs could help reduce the burden of deficiency-related morbidity </w:t>
      </w:r>
      <w:r w:rsidRPr="001D75AE">
        <w:rPr>
          <w:sz w:val="20"/>
          <w:szCs w:val="20"/>
        </w:rPr>
        <w:t>(Aher et. al. 2024) [2</w:t>
      </w:r>
      <w:r w:rsidR="00C464AC" w:rsidRPr="001D75AE">
        <w:rPr>
          <w:sz w:val="20"/>
          <w:szCs w:val="20"/>
        </w:rPr>
        <w:t>7</w:t>
      </w:r>
      <w:r w:rsidRPr="001D75AE">
        <w:rPr>
          <w:sz w:val="20"/>
          <w:szCs w:val="20"/>
        </w:rPr>
        <w:t>]. Because of absorption limitations, relatively high oral doses of vitamin B12 may be required for instance, 50–100 µg of cyanocobalamin daily or 2000 µg weekly can adequately meet the approximate daily requirement of 2.4 µg for healthy vegetarians.</w:t>
      </w:r>
      <w:r w:rsidR="00296A87" w:rsidRPr="001D75AE">
        <w:rPr>
          <w:sz w:val="20"/>
          <w:szCs w:val="20"/>
        </w:rPr>
        <w:t xml:space="preserve"> (Obeid et al. 2024) [2</w:t>
      </w:r>
      <w:r w:rsidR="00C464AC" w:rsidRPr="001D75AE">
        <w:rPr>
          <w:sz w:val="20"/>
          <w:szCs w:val="20"/>
        </w:rPr>
        <w:t>8</w:t>
      </w:r>
      <w:r w:rsidR="00296A87" w:rsidRPr="001D75AE">
        <w:rPr>
          <w:sz w:val="20"/>
          <w:szCs w:val="20"/>
        </w:rPr>
        <w:t xml:space="preserve">]. </w:t>
      </w:r>
      <w:r w:rsidR="00AE6BF4" w:rsidRPr="001D75AE">
        <w:rPr>
          <w:sz w:val="20"/>
          <w:szCs w:val="20"/>
        </w:rPr>
        <w:t xml:space="preserve">Cyanocobalamin, a synthetic and well-studied form of </w:t>
      </w:r>
      <w:r w:rsidR="00AE6BF4" w:rsidRPr="001D75AE">
        <w:rPr>
          <w:sz w:val="20"/>
          <w:szCs w:val="20"/>
          <w:lang w:val="en-IN"/>
        </w:rPr>
        <w:t xml:space="preserve">vitamin B12, </w:t>
      </w:r>
      <w:r w:rsidR="00AE6BF4" w:rsidRPr="001D75AE">
        <w:rPr>
          <w:sz w:val="20"/>
          <w:szCs w:val="20"/>
        </w:rPr>
        <w:t>is cost-effective and suitable for long-term supplementation. However, certain combinations—such as multivitamins containing vitamin C or copper—may degrade vitamin B12 or produce inactive forms, potentially impairing absorption (Rizzo, G. et al., 2016) [2</w:t>
      </w:r>
      <w:r w:rsidR="00C464AC" w:rsidRPr="001D75AE">
        <w:rPr>
          <w:sz w:val="20"/>
          <w:szCs w:val="20"/>
        </w:rPr>
        <w:t>9</w:t>
      </w:r>
      <w:r w:rsidR="00AE6BF4" w:rsidRPr="001D75AE">
        <w:rPr>
          <w:sz w:val="20"/>
          <w:szCs w:val="20"/>
        </w:rPr>
        <w:t>]. The need for organizational and educational improvements within healthcare systems to support effective implementation of these strategies is also emphasized</w:t>
      </w:r>
    </w:p>
    <w:p w:rsidR="00AE6BF4" w:rsidRPr="001D75AE" w:rsidRDefault="00AE6BF4" w:rsidP="00AE6BF4">
      <w:pPr>
        <w:pStyle w:val="Normal1"/>
        <w:spacing w:line="240" w:lineRule="auto"/>
        <w:jc w:val="both"/>
        <w:rPr>
          <w:rFonts w:eastAsia="Times New Roman"/>
          <w:sz w:val="20"/>
          <w:szCs w:val="20"/>
        </w:rPr>
      </w:pPr>
    </w:p>
    <w:p w:rsidR="00BF5155" w:rsidRPr="001D75AE" w:rsidRDefault="00BF5155" w:rsidP="00BF5155">
      <w:pPr>
        <w:pStyle w:val="Normal1"/>
        <w:spacing w:line="240" w:lineRule="auto"/>
        <w:jc w:val="both"/>
        <w:rPr>
          <w:rFonts w:eastAsia="Times New Roman"/>
          <w:sz w:val="20"/>
          <w:szCs w:val="20"/>
        </w:rPr>
      </w:pPr>
    </w:p>
    <w:p w:rsidR="00BF5155" w:rsidRPr="001D75AE" w:rsidRDefault="00BF5155" w:rsidP="00BF5155">
      <w:pPr>
        <w:pStyle w:val="Normal1"/>
        <w:spacing w:line="240" w:lineRule="auto"/>
        <w:jc w:val="both"/>
        <w:rPr>
          <w:rFonts w:eastAsia="Times New Roman"/>
          <w:sz w:val="20"/>
          <w:szCs w:val="20"/>
        </w:rPr>
      </w:pPr>
    </w:p>
    <w:p w:rsidR="005B4A37" w:rsidRPr="001D75AE" w:rsidRDefault="00EE7BA9" w:rsidP="005B4A37">
      <w:pPr>
        <w:pStyle w:val="Normal1"/>
        <w:spacing w:line="240" w:lineRule="auto"/>
        <w:jc w:val="both"/>
        <w:rPr>
          <w:rFonts w:eastAsia="Times New Roman"/>
          <w:b/>
        </w:rPr>
      </w:pPr>
      <w:r w:rsidRPr="001D75AE">
        <w:rPr>
          <w:rFonts w:eastAsia="Times New Roman"/>
          <w:b/>
        </w:rPr>
        <w:t>1.</w:t>
      </w:r>
      <w:r w:rsidR="00BF5155" w:rsidRPr="001D75AE">
        <w:rPr>
          <w:rFonts w:eastAsia="Times New Roman"/>
          <w:b/>
        </w:rPr>
        <w:t>9. Health and nutrition services: Public health and fortification</w:t>
      </w:r>
    </w:p>
    <w:p w:rsidR="00555DB9" w:rsidRPr="001D75AE" w:rsidRDefault="00BF5155" w:rsidP="00555DB9">
      <w:pPr>
        <w:pStyle w:val="Normal1"/>
        <w:spacing w:line="240" w:lineRule="auto"/>
        <w:jc w:val="both"/>
        <w:rPr>
          <w:sz w:val="20"/>
          <w:szCs w:val="20"/>
          <w:lang w:val="en-IN" w:eastAsia="en-IN"/>
        </w:rPr>
      </w:pPr>
      <w:r w:rsidRPr="001D75AE">
        <w:rPr>
          <w:sz w:val="20"/>
          <w:szCs w:val="20"/>
        </w:rPr>
        <w:t>Vitamin B12 deficiency is an important population health problem, especially in groups of people who have a high prevalence of vegetarianism or have low access to animal-based foods. To minimize the prevalence of deficiency, various interventions have been used in most regions through public health programs, which include food fortification, supplementation programs, diversification campaigns and community education. The usefulness of fortification methods—particularly in staple foods—to help vulnerable groups achieve adequate vitamin B12 intake, along with the need for awareness campaigns and population-based screening to reduce long-term morbidity from clinical and subclinical deficiencies(</w:t>
      </w:r>
      <w:r w:rsidR="00C67500" w:rsidRPr="001D75AE">
        <w:rPr>
          <w:sz w:val="20"/>
          <w:szCs w:val="20"/>
        </w:rPr>
        <w:t>Pawlak et al. 2013)[</w:t>
      </w:r>
      <w:r w:rsidR="00523CDD" w:rsidRPr="001D75AE">
        <w:rPr>
          <w:sz w:val="20"/>
          <w:szCs w:val="20"/>
        </w:rPr>
        <w:t>30</w:t>
      </w:r>
      <w:r w:rsidRPr="001D75AE">
        <w:rPr>
          <w:sz w:val="20"/>
          <w:szCs w:val="20"/>
        </w:rPr>
        <w:t>]</w:t>
      </w:r>
      <w:r w:rsidRPr="001D75AE">
        <w:rPr>
          <w:rStyle w:val="Strong"/>
          <w:sz w:val="20"/>
          <w:szCs w:val="20"/>
        </w:rPr>
        <w:t xml:space="preserve">. </w:t>
      </w:r>
      <w:r w:rsidR="00296A87" w:rsidRPr="001D75AE">
        <w:rPr>
          <w:sz w:val="20"/>
          <w:szCs w:val="20"/>
        </w:rPr>
        <w:t>Vitamin B12</w:t>
      </w:r>
      <w:r w:rsidRPr="001D75AE">
        <w:rPr>
          <w:sz w:val="20"/>
          <w:szCs w:val="20"/>
        </w:rPr>
        <w:t xml:space="preserve"> deficiency remains under-diagnosed even among high-risk groups, and reliance on classical hematologic markers such as elevated </w:t>
      </w:r>
      <w:r w:rsidR="006C31EC" w:rsidRPr="001D75AE">
        <w:rPr>
          <w:sz w:val="20"/>
          <w:szCs w:val="20"/>
        </w:rPr>
        <w:t>Mean Corpuscular Volume</w:t>
      </w:r>
      <w:r w:rsidR="006C31EC" w:rsidRPr="001D75AE">
        <w:t> </w:t>
      </w:r>
      <w:r w:rsidR="006C31EC" w:rsidRPr="001D75AE">
        <w:rPr>
          <w:sz w:val="20"/>
          <w:szCs w:val="20"/>
        </w:rPr>
        <w:t>(</w:t>
      </w:r>
      <w:r w:rsidRPr="001D75AE">
        <w:rPr>
          <w:sz w:val="20"/>
          <w:szCs w:val="20"/>
        </w:rPr>
        <w:t>MCV</w:t>
      </w:r>
      <w:r w:rsidR="006C31EC" w:rsidRPr="001D75AE">
        <w:rPr>
          <w:sz w:val="20"/>
          <w:szCs w:val="20"/>
        </w:rPr>
        <w:t>)</w:t>
      </w:r>
      <w:r w:rsidRPr="001D75AE">
        <w:rPr>
          <w:sz w:val="20"/>
          <w:szCs w:val="20"/>
        </w:rPr>
        <w:t xml:space="preserve"> is insufficientrather, nutritional status and pregnancy emerge as key associated factors, underscoring the need for targeted screening in these populations(Sowndarya</w:t>
      </w:r>
      <w:r w:rsidR="00C67500" w:rsidRPr="001D75AE">
        <w:rPr>
          <w:sz w:val="20"/>
          <w:szCs w:val="20"/>
        </w:rPr>
        <w:t xml:space="preserve"> K</w:t>
      </w:r>
      <w:r w:rsidRPr="001D75AE">
        <w:rPr>
          <w:sz w:val="20"/>
          <w:szCs w:val="20"/>
        </w:rPr>
        <w:t xml:space="preserve"> et al. 2019)</w:t>
      </w:r>
      <w:r w:rsidR="00C67500" w:rsidRPr="001D75AE">
        <w:rPr>
          <w:sz w:val="20"/>
          <w:szCs w:val="20"/>
        </w:rPr>
        <w:t>[</w:t>
      </w:r>
      <w:r w:rsidR="00AD17A6" w:rsidRPr="001D75AE">
        <w:rPr>
          <w:sz w:val="20"/>
          <w:szCs w:val="20"/>
        </w:rPr>
        <w:t>3</w:t>
      </w:r>
      <w:r w:rsidR="00523CDD" w:rsidRPr="001D75AE">
        <w:rPr>
          <w:sz w:val="20"/>
          <w:szCs w:val="20"/>
        </w:rPr>
        <w:t>1</w:t>
      </w:r>
      <w:r w:rsidR="00C67500" w:rsidRPr="001D75AE">
        <w:rPr>
          <w:sz w:val="20"/>
          <w:szCs w:val="20"/>
        </w:rPr>
        <w:t>]</w:t>
      </w:r>
      <w:r w:rsidRPr="001D75AE">
        <w:rPr>
          <w:sz w:val="20"/>
          <w:szCs w:val="20"/>
        </w:rPr>
        <w:t>.</w:t>
      </w:r>
    </w:p>
    <w:p w:rsidR="00BF5155" w:rsidRPr="001D75AE" w:rsidRDefault="00BF5155" w:rsidP="00BF5155">
      <w:pPr>
        <w:pStyle w:val="Normal1"/>
        <w:spacing w:line="240" w:lineRule="auto"/>
        <w:jc w:val="both"/>
        <w:rPr>
          <w:rFonts w:eastAsia="Times New Roman"/>
          <w:sz w:val="20"/>
          <w:szCs w:val="20"/>
        </w:rPr>
      </w:pPr>
    </w:p>
    <w:p w:rsidR="00DB3ABF" w:rsidRPr="001D75AE" w:rsidRDefault="00DB3ABF" w:rsidP="00BF5155">
      <w:pPr>
        <w:pStyle w:val="Normal1"/>
        <w:spacing w:line="240" w:lineRule="auto"/>
        <w:jc w:val="both"/>
        <w:rPr>
          <w:rFonts w:eastAsia="Times New Roman"/>
          <w:sz w:val="20"/>
          <w:szCs w:val="20"/>
        </w:rPr>
      </w:pPr>
    </w:p>
    <w:p w:rsidR="00BF5155" w:rsidRPr="001D75AE" w:rsidRDefault="00EE7BA9" w:rsidP="00BF5155">
      <w:pPr>
        <w:pStyle w:val="Normal1"/>
        <w:spacing w:line="240" w:lineRule="auto"/>
        <w:jc w:val="both"/>
        <w:rPr>
          <w:rFonts w:eastAsia="Times New Roman"/>
          <w:b/>
        </w:rPr>
      </w:pPr>
      <w:r w:rsidRPr="001D75AE">
        <w:rPr>
          <w:rFonts w:eastAsia="Times New Roman"/>
          <w:b/>
        </w:rPr>
        <w:t>1.</w:t>
      </w:r>
      <w:r w:rsidR="00BF5155" w:rsidRPr="001D75AE">
        <w:rPr>
          <w:rFonts w:eastAsia="Times New Roman"/>
          <w:b/>
        </w:rPr>
        <w:t>10. Molecular Biology and Biotechnology</w:t>
      </w:r>
    </w:p>
    <w:p w:rsidR="00A03B96" w:rsidRPr="001D75AE" w:rsidRDefault="00BF5155" w:rsidP="00EE7BA9">
      <w:pPr>
        <w:pStyle w:val="Normal1"/>
        <w:spacing w:line="240" w:lineRule="auto"/>
        <w:jc w:val="both"/>
        <w:rPr>
          <w:rFonts w:eastAsia="Times New Roman"/>
          <w:sz w:val="20"/>
          <w:szCs w:val="20"/>
        </w:rPr>
      </w:pPr>
      <w:r w:rsidRPr="001D75AE">
        <w:rPr>
          <w:rFonts w:eastAsia="Times New Roman"/>
          <w:sz w:val="20"/>
          <w:szCs w:val="20"/>
        </w:rPr>
        <w:t xml:space="preserve">Recent studies have increased the knowledge on the genetic, molecular and biotechnological mechanisms of vitamin B12 metabolism. </w:t>
      </w:r>
      <w:r w:rsidR="0094767A" w:rsidRPr="001D75AE">
        <w:rPr>
          <w:rFonts w:eastAsia="Times New Roman"/>
          <w:sz w:val="20"/>
          <w:szCs w:val="20"/>
        </w:rPr>
        <w:t>The primary method for producing industrial vitamin B12 is through microbial fermentation, and recent improvements in metabolic engineering have significantly increased yield. In conjunction with these advancements, bioprocess optimization—such as improved medium formulations and fed-batch cultivation—has enhanced production efficiency and reduced overall costs. Fortifying functional foods with stable forms of vitamin B12, particularly cyanocobalamin, is an effective strategy for addressing deficiencies, especially among vegetarian populations with limited dietary intake. Furthermore, new delivery technologies like microencapsulation and liposomal or Sucrosomial formulations greatly enhance the stability and bioavailability of vitamin B12 in food products (RajuKumar et al 2023)[3</w:t>
      </w:r>
      <w:r w:rsidR="00523CDD" w:rsidRPr="001D75AE">
        <w:rPr>
          <w:rFonts w:eastAsia="Times New Roman"/>
          <w:sz w:val="20"/>
          <w:szCs w:val="20"/>
        </w:rPr>
        <w:t>2</w:t>
      </w:r>
      <w:r w:rsidR="0094767A" w:rsidRPr="001D75AE">
        <w:rPr>
          <w:rFonts w:eastAsia="Times New Roman"/>
          <w:sz w:val="20"/>
          <w:szCs w:val="20"/>
        </w:rPr>
        <w:t>].</w:t>
      </w:r>
      <w:r w:rsidRPr="001D75AE">
        <w:rPr>
          <w:rFonts w:eastAsia="Times New Roman"/>
          <w:sz w:val="20"/>
          <w:szCs w:val="20"/>
        </w:rPr>
        <w:t xml:space="preserve">Genetic research has traced the mutations to absorption, transport and enzymatic use that gives information on personal </w:t>
      </w:r>
      <w:r w:rsidRPr="001D75AE">
        <w:rPr>
          <w:rFonts w:eastAsia="Times New Roman"/>
          <w:sz w:val="20"/>
          <w:szCs w:val="20"/>
        </w:rPr>
        <w:lastRenderedPageBreak/>
        <w:t>vulnerability. The delivery systems are improved through nanotechnology, liposomal formulations, and Sucrosomial vitamin B12 with better oral absorption and cli</w:t>
      </w:r>
      <w:r w:rsidR="00C67500" w:rsidRPr="001D75AE">
        <w:rPr>
          <w:rFonts w:eastAsia="Times New Roman"/>
          <w:sz w:val="20"/>
          <w:szCs w:val="20"/>
        </w:rPr>
        <w:t>nical efficacy. The metabol</w:t>
      </w:r>
      <w:r w:rsidRPr="001D75AE">
        <w:rPr>
          <w:rFonts w:eastAsia="Times New Roman"/>
          <w:sz w:val="20"/>
          <w:szCs w:val="20"/>
        </w:rPr>
        <w:t>ic and epigenetic studies have shown that vitamin B12 deficiency has the capacity to trigger changes in DNA methylation, gene expression and neurodevelopment, which influence health outcomes in the long term. These innovations allow individualized medicine and targeted treatment of people who are at risk, enhancing the efficiency of supplementation and preventive measures</w:t>
      </w:r>
      <w:r w:rsidR="0094767A" w:rsidRPr="001D75AE">
        <w:rPr>
          <w:rFonts w:eastAsia="Times New Roman"/>
          <w:sz w:val="20"/>
          <w:szCs w:val="20"/>
        </w:rPr>
        <w:t xml:space="preserve"> Overall, the ongoing innovation in production techniques and fortification methods is essential for reducing the growing global problem of vitamin B12 deficiency.</w:t>
      </w:r>
    </w:p>
    <w:p w:rsidR="00A03B96" w:rsidRPr="001D75AE" w:rsidRDefault="00A03B96" w:rsidP="00441B6F">
      <w:pPr>
        <w:pStyle w:val="Body"/>
        <w:spacing w:after="0"/>
        <w:rPr>
          <w:rFonts w:ascii="Arial" w:hAnsi="Arial" w:cs="Arial"/>
        </w:rPr>
      </w:pPr>
    </w:p>
    <w:p w:rsidR="00790ADA" w:rsidRPr="001D75AE" w:rsidRDefault="00790ADA" w:rsidP="00441B6F">
      <w:pPr>
        <w:pStyle w:val="Body"/>
        <w:spacing w:after="0"/>
        <w:rPr>
          <w:rFonts w:ascii="Arial" w:hAnsi="Arial" w:cs="Arial"/>
        </w:rPr>
      </w:pPr>
    </w:p>
    <w:p w:rsidR="00902823" w:rsidRPr="001D75AE" w:rsidRDefault="009E3C4E" w:rsidP="00441B6F">
      <w:pPr>
        <w:pStyle w:val="Head1"/>
        <w:spacing w:after="0"/>
        <w:jc w:val="both"/>
        <w:rPr>
          <w:rFonts w:ascii="Arial" w:hAnsi="Arial" w:cs="Arial"/>
        </w:rPr>
      </w:pPr>
      <w:r w:rsidRPr="001D75AE">
        <w:rPr>
          <w:rFonts w:ascii="Arial" w:hAnsi="Arial" w:cs="Arial"/>
        </w:rPr>
        <w:t>2</w:t>
      </w:r>
      <w:r w:rsidR="00902823" w:rsidRPr="001D75AE">
        <w:rPr>
          <w:rFonts w:ascii="Arial" w:hAnsi="Arial" w:cs="Arial"/>
        </w:rPr>
        <w:t xml:space="preserve">. </w:t>
      </w:r>
      <w:r w:rsidR="001D75AE" w:rsidRPr="001D75AE">
        <w:rPr>
          <w:rFonts w:ascii="Arial" w:hAnsi="Arial" w:cs="Arial"/>
        </w:rPr>
        <w:t>FINDINGS</w:t>
      </w:r>
      <w:r w:rsidR="00000F8F" w:rsidRPr="001D75AE">
        <w:rPr>
          <w:rFonts w:ascii="Arial" w:hAnsi="Arial" w:cs="Arial"/>
        </w:rPr>
        <w:t xml:space="preserve"> and discussion</w:t>
      </w:r>
    </w:p>
    <w:p w:rsidR="00555DB9" w:rsidRPr="001D75AE" w:rsidRDefault="00555DB9" w:rsidP="00555DB9">
      <w:pPr>
        <w:pStyle w:val="Normal1"/>
        <w:spacing w:line="240" w:lineRule="auto"/>
        <w:jc w:val="both"/>
        <w:rPr>
          <w:rFonts w:eastAsia="Times New Roman"/>
          <w:b/>
        </w:rPr>
      </w:pPr>
      <w:r w:rsidRPr="001D75AE">
        <w:rPr>
          <w:sz w:val="20"/>
          <w:szCs w:val="20"/>
          <w:lang w:val="en-IN"/>
        </w:rPr>
        <w:t xml:space="preserve">The review till now comprehensively evaluated the clinical and haematological characteristics of patients with vitamin B12 deficiency. </w:t>
      </w:r>
      <w:r w:rsidR="00DD5AB1" w:rsidRPr="001D75AE">
        <w:rPr>
          <w:sz w:val="20"/>
          <w:szCs w:val="20"/>
          <w:lang w:val="en-IN"/>
        </w:rPr>
        <w:t>It’s</w:t>
      </w:r>
      <w:r w:rsidRPr="001D75AE">
        <w:rPr>
          <w:sz w:val="20"/>
          <w:szCs w:val="20"/>
          <w:lang w:val="en-IN"/>
        </w:rPr>
        <w:t xml:space="preserve"> observed that the most common symptoms included megaloblastic anemia, fatigue, pallor, glossitis, and neurological manifestations such as paresthesia and numbness. Haematological findings revealed macrocytosis, elevated MCV, and hypersegmented neutrophils, consistent with classical features of </w:t>
      </w:r>
      <w:r w:rsidRPr="001D75AE">
        <w:rPr>
          <w:sz w:val="20"/>
          <w:szCs w:val="20"/>
        </w:rPr>
        <w:t xml:space="preserve">vitamin B12 </w:t>
      </w:r>
      <w:r w:rsidRPr="001D75AE">
        <w:rPr>
          <w:sz w:val="20"/>
          <w:szCs w:val="20"/>
          <w:lang w:val="en-IN"/>
        </w:rPr>
        <w:t>deficiency.</w:t>
      </w: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 xml:space="preserve">Cobalamin or vitamin B12 is a crucial vitamin in the synthesis of DNA, erythropoiesis and in maintaining neurological wellbeing. Lack of this vital micronutrient has been linked to an excessive number of clinical manifestations, such as megaloblastic anemia, neuro-developmental delays, cognitive issues, and metabolic issues. It has been established that inadequate </w:t>
      </w:r>
      <w:r w:rsidRPr="001D75AE">
        <w:rPr>
          <w:sz w:val="20"/>
          <w:szCs w:val="20"/>
          <w:lang w:val="en-IN"/>
        </w:rPr>
        <w:t xml:space="preserve">vitamin </w:t>
      </w:r>
      <w:r w:rsidRPr="001D75AE">
        <w:rPr>
          <w:rFonts w:eastAsia="Times New Roman"/>
          <w:sz w:val="20"/>
          <w:szCs w:val="20"/>
        </w:rPr>
        <w:t>B12 intake or absorption is a key social health issue, especially in groups that have mostly vegetarian diets, the elderly, pregnant women, and persons using long-term medications like metformin or proton pump inhibitors. Various studies in India show a high prevalence of deficiency in all age groups, with children, adolescents, and adults often showing low levels of serum vitamin B12, which are usually aggravated by socioeconomic and dietary factors.</w:t>
      </w:r>
    </w:p>
    <w:p w:rsidR="005E5442" w:rsidRPr="001D75AE" w:rsidRDefault="005E5442" w:rsidP="005E5442">
      <w:pPr>
        <w:pStyle w:val="Normal1"/>
        <w:spacing w:line="240" w:lineRule="auto"/>
        <w:jc w:val="both"/>
        <w:rPr>
          <w:rFonts w:eastAsia="Times New Roman"/>
          <w:sz w:val="20"/>
          <w:szCs w:val="20"/>
        </w:rPr>
      </w:pP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There are clinical and neurological implications of vitamin B12 deficiency. In children, deficiency is a cause of delayed development, growth disorders and frequent infections. Prenatal maternal deficiency has been associated with neonatal underdevelopment in the form of low birth weight, neural tube defects and poor cognitive development. Vitamin B12 deficiency in adults particularly elderly patients is linked to memory impairments, depression and increased chances of developing neurodegenerative diseases. The neurological and hematologic implication shows that, early diagnosis and treatment of deficiency to prevent long-term complications are essential.</w:t>
      </w:r>
    </w:p>
    <w:p w:rsidR="005E5442" w:rsidRPr="001D75AE" w:rsidRDefault="005E5442" w:rsidP="005E5442">
      <w:pPr>
        <w:pStyle w:val="Normal1"/>
        <w:spacing w:line="240" w:lineRule="auto"/>
        <w:jc w:val="both"/>
        <w:rPr>
          <w:rFonts w:eastAsia="Times New Roman"/>
          <w:sz w:val="20"/>
          <w:szCs w:val="20"/>
        </w:rPr>
      </w:pP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 xml:space="preserve">In order to be capable of measuring the vitamin B12 status, biochemical parameters such as serum vitamin B12, methylmalonic acid, and homocysteine are required since clinical manifestations may not be adequate to identify the disease in good time. Functional deficiency can actually exist even in the case when it is observed that the serum vitamin B12 levels are normal, which explains why it is necessary to conduct a comprehensive lab analysis. Recent research </w:t>
      </w:r>
      <w:r w:rsidR="0019055A" w:rsidRPr="001D75AE">
        <w:rPr>
          <w:rFonts w:eastAsia="Times New Roman"/>
          <w:sz w:val="20"/>
          <w:szCs w:val="20"/>
        </w:rPr>
        <w:t>emphasizes</w:t>
      </w:r>
      <w:r w:rsidRPr="001D75AE">
        <w:rPr>
          <w:rFonts w:eastAsia="Times New Roman"/>
          <w:sz w:val="20"/>
          <w:szCs w:val="20"/>
        </w:rPr>
        <w:t xml:space="preserve"> the significance of the complex of different biomarkers to detect subclinical deficiency that is particularly crucial in high-risk populations.</w:t>
      </w:r>
    </w:p>
    <w:p w:rsidR="005E5442" w:rsidRPr="001D75AE" w:rsidRDefault="005E5442" w:rsidP="005E5442">
      <w:pPr>
        <w:pStyle w:val="Normal1"/>
        <w:spacing w:line="240" w:lineRule="auto"/>
        <w:jc w:val="both"/>
        <w:rPr>
          <w:rFonts w:eastAsia="Times New Roman"/>
          <w:sz w:val="20"/>
          <w:szCs w:val="20"/>
        </w:rPr>
      </w:pP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Treatment of vitamin B12 deficiency is based on therapies which include oral, intramuscular and sub lingual supplements. Randomized controlled trials have demonstrated that oral high-dose vitamin B12 is often as effective as intramuscular therapy, in terms of hematological parameters as well as cognitive performance. New preparations such as Sucrosomial vitamin B12 are better absorbing and may be utilized on patients experiencing absorption problems. The study of the superior neurocognitive outcomes of pediatric and adult populations has supported the clinical relevance of long-term supplementation</w:t>
      </w:r>
      <w:r w:rsidR="00DD5AB1" w:rsidRPr="001D75AE">
        <w:rPr>
          <w:rFonts w:eastAsia="Times New Roman"/>
          <w:sz w:val="20"/>
          <w:szCs w:val="20"/>
        </w:rPr>
        <w:t>.</w:t>
      </w:r>
    </w:p>
    <w:p w:rsidR="00DD5AB1" w:rsidRPr="001D75AE" w:rsidRDefault="00DD5AB1" w:rsidP="005E5442">
      <w:pPr>
        <w:pStyle w:val="Normal1"/>
        <w:spacing w:line="240" w:lineRule="auto"/>
        <w:jc w:val="both"/>
        <w:rPr>
          <w:rFonts w:eastAsia="Times New Roman"/>
          <w:sz w:val="20"/>
          <w:szCs w:val="20"/>
        </w:rPr>
      </w:pPr>
    </w:p>
    <w:p w:rsidR="002450C5" w:rsidRPr="001D75AE" w:rsidRDefault="002450C5" w:rsidP="002450C5">
      <w:pPr>
        <w:pStyle w:val="Normal1"/>
        <w:spacing w:line="240" w:lineRule="auto"/>
        <w:jc w:val="both"/>
        <w:rPr>
          <w:rFonts w:eastAsia="Times New Roman"/>
          <w:sz w:val="20"/>
          <w:szCs w:val="20"/>
        </w:rPr>
      </w:pPr>
      <w:r w:rsidRPr="001D75AE">
        <w:rPr>
          <w:rFonts w:eastAsia="Times New Roman"/>
          <w:sz w:val="20"/>
          <w:szCs w:val="20"/>
        </w:rPr>
        <w:t>Clinical diagnostics and nutritional science are enhanced by various biomarkers for B-vitamin evaluation,</w:t>
      </w:r>
    </w:p>
    <w:p w:rsidR="002450C5" w:rsidRPr="001D75AE" w:rsidRDefault="002450C5" w:rsidP="002450C5">
      <w:pPr>
        <w:pStyle w:val="Normal1"/>
        <w:spacing w:line="240" w:lineRule="auto"/>
        <w:jc w:val="both"/>
        <w:rPr>
          <w:rFonts w:eastAsia="Times New Roman"/>
          <w:sz w:val="20"/>
          <w:szCs w:val="20"/>
        </w:rPr>
      </w:pPr>
      <w:r w:rsidRPr="001D75AE">
        <w:rPr>
          <w:rFonts w:eastAsia="Times New Roman"/>
          <w:sz w:val="20"/>
          <w:szCs w:val="20"/>
        </w:rPr>
        <w:t>providing insights into metabolism, absorption, and function. Combining biomarkers improves accuracy in</w:t>
      </w:r>
    </w:p>
    <w:p w:rsidR="002450C5" w:rsidRPr="001D75AE" w:rsidRDefault="002450C5" w:rsidP="002450C5">
      <w:pPr>
        <w:pStyle w:val="Normal1"/>
        <w:spacing w:line="240" w:lineRule="auto"/>
        <w:jc w:val="both"/>
        <w:rPr>
          <w:rFonts w:eastAsia="Times New Roman"/>
          <w:sz w:val="20"/>
          <w:szCs w:val="20"/>
        </w:rPr>
      </w:pPr>
      <w:r w:rsidRPr="001D75AE">
        <w:rPr>
          <w:rFonts w:eastAsia="Times New Roman"/>
          <w:sz w:val="20"/>
          <w:szCs w:val="20"/>
        </w:rPr>
        <w:t>studies, as no single marker can fully identify deficiencies. For instance, serum and red blood cell folate</w:t>
      </w:r>
    </w:p>
    <w:p w:rsidR="002450C5" w:rsidRPr="001D75AE" w:rsidRDefault="002450C5" w:rsidP="002450C5">
      <w:pPr>
        <w:pStyle w:val="Normal1"/>
        <w:spacing w:line="240" w:lineRule="auto"/>
        <w:jc w:val="both"/>
        <w:rPr>
          <w:rFonts w:eastAsia="Times New Roman"/>
          <w:sz w:val="20"/>
          <w:szCs w:val="20"/>
        </w:rPr>
      </w:pPr>
      <w:r w:rsidRPr="001D75AE">
        <w:rPr>
          <w:rFonts w:eastAsia="Times New Roman"/>
          <w:sz w:val="20"/>
          <w:szCs w:val="20"/>
        </w:rPr>
        <w:t>distinguish between long-term and short-term folate status, aiding intervention assessments. In vitamin B12</w:t>
      </w:r>
    </w:p>
    <w:p w:rsidR="002450C5" w:rsidRPr="001D75AE" w:rsidRDefault="002450C5" w:rsidP="002450C5">
      <w:pPr>
        <w:pStyle w:val="Normal1"/>
        <w:spacing w:line="240" w:lineRule="auto"/>
        <w:jc w:val="both"/>
        <w:rPr>
          <w:rFonts w:eastAsia="Times New Roman"/>
          <w:sz w:val="20"/>
          <w:szCs w:val="20"/>
        </w:rPr>
      </w:pPr>
      <w:r w:rsidRPr="001D75AE">
        <w:rPr>
          <w:rFonts w:eastAsia="Times New Roman"/>
          <w:sz w:val="20"/>
          <w:szCs w:val="20"/>
        </w:rPr>
        <w:t>analysis, direct and functional markers reveal metabolic issues beyond total B12 levels. Multi-biomarker</w:t>
      </w:r>
    </w:p>
    <w:p w:rsidR="002450C5" w:rsidRPr="001D75AE" w:rsidRDefault="002450C5" w:rsidP="002450C5">
      <w:pPr>
        <w:pStyle w:val="Normal1"/>
        <w:spacing w:line="240" w:lineRule="auto"/>
        <w:jc w:val="both"/>
        <w:rPr>
          <w:rFonts w:eastAsia="Times New Roman"/>
          <w:sz w:val="20"/>
          <w:szCs w:val="20"/>
        </w:rPr>
      </w:pPr>
      <w:r w:rsidRPr="001D75AE">
        <w:rPr>
          <w:rFonts w:eastAsia="Times New Roman"/>
          <w:sz w:val="20"/>
          <w:szCs w:val="20"/>
        </w:rPr>
        <w:t>strategies boost diagnostic precision, helping identify at-risk groups and subclinical deficiencies. Ultimately,</w:t>
      </w:r>
    </w:p>
    <w:p w:rsidR="002450C5" w:rsidRPr="001D75AE" w:rsidRDefault="002450C5" w:rsidP="002450C5">
      <w:pPr>
        <w:pStyle w:val="Normal1"/>
        <w:spacing w:line="240" w:lineRule="auto"/>
        <w:jc w:val="both"/>
        <w:rPr>
          <w:rFonts w:eastAsia="Times New Roman"/>
          <w:sz w:val="20"/>
          <w:szCs w:val="20"/>
        </w:rPr>
      </w:pPr>
      <w:r w:rsidRPr="001D75AE">
        <w:rPr>
          <w:rFonts w:eastAsia="Times New Roman"/>
          <w:sz w:val="20"/>
          <w:szCs w:val="20"/>
        </w:rPr>
        <w:t>these biomarkers inform therapeutic recommendations, improve nutritional epidemiology, and influence public</w:t>
      </w:r>
    </w:p>
    <w:p w:rsidR="002450C5" w:rsidRPr="001D75AE" w:rsidRDefault="002450C5" w:rsidP="002450C5">
      <w:pPr>
        <w:pStyle w:val="Normal1"/>
        <w:spacing w:line="240" w:lineRule="auto"/>
        <w:jc w:val="both"/>
        <w:rPr>
          <w:rFonts w:eastAsia="Times New Roman"/>
          <w:sz w:val="20"/>
          <w:szCs w:val="20"/>
        </w:rPr>
      </w:pPr>
      <w:r w:rsidRPr="001D75AE">
        <w:rPr>
          <w:rFonts w:eastAsia="Times New Roman"/>
          <w:sz w:val="20"/>
          <w:szCs w:val="20"/>
        </w:rPr>
        <w:t>health initiatives regarding B-vitamin status.</w:t>
      </w:r>
    </w:p>
    <w:p w:rsidR="005E5442" w:rsidRPr="001D75AE" w:rsidRDefault="005E5442" w:rsidP="005E5442">
      <w:pPr>
        <w:pStyle w:val="Normal1"/>
        <w:spacing w:line="240" w:lineRule="auto"/>
        <w:jc w:val="both"/>
        <w:rPr>
          <w:rFonts w:eastAsia="Times New Roman"/>
          <w:sz w:val="20"/>
          <w:szCs w:val="20"/>
        </w:rPr>
      </w:pP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The compounding and cumulative nature of the vitamin B12 deficiency are topical and interventions in the health area should be intensive. The prevention of the impact of the deficit issue, such as the fortification of food, prenatal supplementation programs, school-based prevention, and targeted screening of the groups of the high-risk population, are the measures that can be taken to facilitate the improvement of the health status of the population and achieve improved outcomes. Through awareness programs and dietary counseling, preventive efforts are necessary and particularly in areas where vegetarians are the majority.</w:t>
      </w:r>
    </w:p>
    <w:p w:rsidR="005E5442" w:rsidRPr="001D75AE" w:rsidRDefault="005E5442" w:rsidP="005E5442">
      <w:pPr>
        <w:pStyle w:val="Normal1"/>
        <w:spacing w:line="240" w:lineRule="auto"/>
        <w:jc w:val="both"/>
        <w:rPr>
          <w:rFonts w:eastAsia="Times New Roman"/>
          <w:sz w:val="20"/>
          <w:szCs w:val="20"/>
        </w:rPr>
      </w:pP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lastRenderedPageBreak/>
        <w:t xml:space="preserve">Although this amount of research has been gathered, some gaps in knowledge still exist regarding the optimal supplementation techniques and results, as well as the general impacts of vitamin B12 deficiency on the metabolic and epigenetic health. Investigations in the future need to target case-specific practices depending on food habits, genetic inclinations, and biochemical indicators with a view to maximizing the effectiveness of intervention. The research on the problem of the intergenerational effects of maternal deficiency and its influence on chronic diseases and neurodevelopmental disorders </w:t>
      </w:r>
      <w:r w:rsidR="00D91D2E" w:rsidRPr="001D75AE">
        <w:rPr>
          <w:rFonts w:eastAsia="Times New Roman"/>
          <w:sz w:val="20"/>
          <w:szCs w:val="20"/>
        </w:rPr>
        <w:t>can</w:t>
      </w:r>
      <w:r w:rsidRPr="001D75AE">
        <w:rPr>
          <w:rFonts w:eastAsia="Times New Roman"/>
          <w:sz w:val="20"/>
          <w:szCs w:val="20"/>
        </w:rPr>
        <w:t xml:space="preserve"> yield more information about the importance of vitamin B12 in the context of the social health of the population.</w:t>
      </w:r>
    </w:p>
    <w:p w:rsidR="00790ADA" w:rsidRPr="001D75AE" w:rsidRDefault="00790ADA" w:rsidP="00441B6F">
      <w:pPr>
        <w:pStyle w:val="Head1"/>
        <w:spacing w:after="0"/>
        <w:jc w:val="both"/>
        <w:rPr>
          <w:rFonts w:ascii="Arial" w:hAnsi="Arial" w:cs="Arial"/>
        </w:rPr>
      </w:pPr>
    </w:p>
    <w:p w:rsidR="00790ADA" w:rsidRPr="001D75AE" w:rsidRDefault="00790ADA" w:rsidP="00441B6F">
      <w:pPr>
        <w:pStyle w:val="Body"/>
        <w:spacing w:after="0"/>
        <w:rPr>
          <w:rFonts w:ascii="Arial" w:hAnsi="Arial" w:cs="Arial"/>
        </w:rPr>
      </w:pPr>
    </w:p>
    <w:p w:rsidR="00B01FCD" w:rsidRPr="001D75AE" w:rsidRDefault="009E3C4E" w:rsidP="00441B6F">
      <w:pPr>
        <w:pStyle w:val="ConcHead"/>
        <w:spacing w:after="0"/>
        <w:jc w:val="both"/>
        <w:rPr>
          <w:rFonts w:ascii="Arial" w:hAnsi="Arial" w:cs="Arial"/>
        </w:rPr>
      </w:pPr>
      <w:r w:rsidRPr="001D75AE">
        <w:rPr>
          <w:rFonts w:ascii="Arial" w:hAnsi="Arial" w:cs="Arial"/>
        </w:rPr>
        <w:t>3</w:t>
      </w:r>
      <w:r w:rsidR="00000F8F" w:rsidRPr="001D75AE">
        <w:rPr>
          <w:rFonts w:ascii="Arial" w:hAnsi="Arial" w:cs="Arial"/>
        </w:rPr>
        <w:t xml:space="preserve">. </w:t>
      </w:r>
      <w:r w:rsidR="00B01FCD" w:rsidRPr="001D75AE">
        <w:rPr>
          <w:rFonts w:ascii="Arial" w:hAnsi="Arial" w:cs="Arial"/>
        </w:rPr>
        <w:t>Conclusion</w:t>
      </w: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Vitamin B12 deficiency remains a globally pervasive yet preventable nutritional disorder with profound hematological, neurological, metabolic, and developmental consequences. The evidence synthesized in this review underscores that the burden of deficiency extends across all age groups, but is disproportionately higher among populations with limited intake of animal-source foods, malabsorption syndromes, chronic medication use, and increased physiological needs, such as pregnancy and aging. A consistent observation across studies is that deficiency often develops insidiously and remains undiagnosed until advanced manifestations—megaloblastic anemia, neuropathy, cognitive impairment, or adverse pregnancy outcomes—become clinically evident. This highlights the limitations of relying solely on clinical signs or serum vitamin B12 levels for diagnosis.</w:t>
      </w:r>
    </w:p>
    <w:p w:rsidR="005E5442" w:rsidRPr="001D75AE" w:rsidRDefault="005E5442" w:rsidP="005E5442">
      <w:pPr>
        <w:pStyle w:val="Normal1"/>
        <w:spacing w:line="240" w:lineRule="auto"/>
        <w:jc w:val="both"/>
        <w:rPr>
          <w:rFonts w:eastAsia="Times New Roman"/>
          <w:sz w:val="20"/>
          <w:szCs w:val="20"/>
        </w:rPr>
      </w:pP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Advances in biochemical assessment now confirm that functional markers such as methylmalonic acid, homocysteine, and holotranscobalamin provide superior sensitivity for early detection, particularly in subclinical deficiency. These biomarkers are essential in identifying at-risk individuals before irreversible neurological damage occurs. Emerging evidence further demonstrates the complex interactions between vitamin B12 metabolism, inflammation, genetic determinants, and epigenetic regulation, emphasizing that deficiency is not merely a nutritional problem but contributes to broader metabolic and developmental dysregulation.</w:t>
      </w:r>
    </w:p>
    <w:p w:rsidR="005E5442" w:rsidRPr="001D75AE" w:rsidRDefault="005E5442" w:rsidP="005E5442">
      <w:pPr>
        <w:pStyle w:val="Normal1"/>
        <w:spacing w:line="240" w:lineRule="auto"/>
        <w:jc w:val="both"/>
        <w:rPr>
          <w:rFonts w:eastAsia="Times New Roman"/>
          <w:sz w:val="20"/>
          <w:szCs w:val="20"/>
        </w:rPr>
      </w:pP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Therapeutically, both high-dose oral and parenteral supplementation are effective in normalizing biochemical abnormalities and improving clinical outcomes. Newer formulations such as Sucrosomial vitamin B12 have shown promising bioavailability, offering practical alternatives for individuals with impaired absorption. The consistent improvements observed in hematological indices, neurocognitive performance, sleep quality, metabolic parameters, and maternal–fetal outcomes affirm that timely intervention can significantly modify disease progression.</w:t>
      </w:r>
    </w:p>
    <w:p w:rsidR="005E5442" w:rsidRPr="001D75AE" w:rsidRDefault="005E5442" w:rsidP="005E5442">
      <w:pPr>
        <w:pStyle w:val="Normal1"/>
        <w:spacing w:line="240" w:lineRule="auto"/>
        <w:jc w:val="both"/>
        <w:rPr>
          <w:rFonts w:eastAsia="Times New Roman"/>
          <w:sz w:val="20"/>
          <w:szCs w:val="20"/>
        </w:rPr>
      </w:pP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Given the substantial prevalence of deficiency in India and other developing regions, population-level strategies are urgently needed. Food fortification, routine screening of high-risk groups, antenatal supplementation, and community-based awareness programs are critical components of prevention. Addressing socio-economic and dietary determinants is equally important, particularly in predominantly vegetarian societies where endogenous stores are often insufficient. Strengthening primary healthcare systems to incorporate standardized diagnostic algorithms and ensuring access to affordable supplementation will further diminish the clinical and public-health burden.</w:t>
      </w:r>
    </w:p>
    <w:p w:rsidR="005E5442" w:rsidRPr="001D75AE" w:rsidRDefault="005E5442" w:rsidP="005E5442">
      <w:pPr>
        <w:pStyle w:val="Normal1"/>
        <w:spacing w:line="240" w:lineRule="auto"/>
        <w:jc w:val="both"/>
        <w:rPr>
          <w:rFonts w:eastAsia="Times New Roman"/>
          <w:sz w:val="20"/>
          <w:szCs w:val="20"/>
        </w:rPr>
      </w:pPr>
    </w:p>
    <w:p w:rsidR="005E5442" w:rsidRPr="001D75AE" w:rsidRDefault="005E5442" w:rsidP="005E5442">
      <w:pPr>
        <w:pStyle w:val="Normal1"/>
        <w:spacing w:line="240" w:lineRule="auto"/>
        <w:jc w:val="both"/>
        <w:rPr>
          <w:rFonts w:eastAsia="Times New Roman"/>
          <w:sz w:val="20"/>
          <w:szCs w:val="20"/>
        </w:rPr>
      </w:pPr>
      <w:r w:rsidRPr="001D75AE">
        <w:rPr>
          <w:rFonts w:eastAsia="Times New Roman"/>
          <w:sz w:val="20"/>
          <w:szCs w:val="20"/>
        </w:rPr>
        <w:t>Despite significant advancements, gaps remain regarding optimal dosing regimens, long-term metabolic impacts, and the role of genetic and epigenetic variations in susceptibility. Future research should prioritize longitudinal studies, personalized supplementation approaches, and evaluation of fortification policies. Overall, vitamin B12 deficiency represents a major yet modifiable public-health issue, and comprehensive strategies—combining early detection, effective treatment, and robust preventive interventions—is essential to reduce its widespread clinical and societal impacts.</w:t>
      </w:r>
    </w:p>
    <w:p w:rsidR="00BD6C30" w:rsidRPr="001D75AE" w:rsidRDefault="00BD6C30" w:rsidP="005E5442">
      <w:pPr>
        <w:pStyle w:val="Normal1"/>
        <w:spacing w:line="240" w:lineRule="auto"/>
        <w:jc w:val="both"/>
        <w:rPr>
          <w:rFonts w:eastAsia="Times New Roman"/>
          <w:sz w:val="20"/>
          <w:szCs w:val="20"/>
        </w:rPr>
      </w:pPr>
    </w:p>
    <w:p w:rsidR="00BD6C30" w:rsidRPr="001D75AE" w:rsidRDefault="00BD6C30" w:rsidP="005E5442">
      <w:pPr>
        <w:pStyle w:val="Normal1"/>
        <w:spacing w:line="240" w:lineRule="auto"/>
        <w:jc w:val="both"/>
        <w:rPr>
          <w:rFonts w:eastAsia="Times New Roman"/>
          <w:sz w:val="20"/>
          <w:szCs w:val="20"/>
        </w:rPr>
      </w:pPr>
    </w:p>
    <w:p w:rsidR="00DB3ABF" w:rsidRPr="001D75AE" w:rsidRDefault="00DB3ABF" w:rsidP="00BD6C30">
      <w:pPr>
        <w:pStyle w:val="DefAcrHead"/>
        <w:spacing w:after="0"/>
        <w:jc w:val="both"/>
        <w:rPr>
          <w:rFonts w:ascii="Arial" w:hAnsi="Arial" w:cs="Arial"/>
        </w:rPr>
      </w:pPr>
    </w:p>
    <w:p w:rsidR="00DB3ABF" w:rsidRPr="001D75AE" w:rsidRDefault="00DB3ABF" w:rsidP="00BD6C30">
      <w:pPr>
        <w:pStyle w:val="DefAcrHead"/>
        <w:spacing w:after="0"/>
        <w:jc w:val="both"/>
        <w:rPr>
          <w:rFonts w:ascii="Arial" w:hAnsi="Arial" w:cs="Arial"/>
        </w:rPr>
      </w:pPr>
    </w:p>
    <w:p w:rsidR="0050407F" w:rsidRPr="001D75AE" w:rsidRDefault="0050407F" w:rsidP="00BD6C30">
      <w:pPr>
        <w:pStyle w:val="DefAcrHead"/>
        <w:spacing w:after="0"/>
        <w:jc w:val="both"/>
        <w:rPr>
          <w:rFonts w:ascii="Arial" w:hAnsi="Arial" w:cs="Arial"/>
        </w:rPr>
      </w:pPr>
    </w:p>
    <w:p w:rsidR="0050407F" w:rsidRPr="001D75AE" w:rsidRDefault="0050407F" w:rsidP="00BD6C30">
      <w:pPr>
        <w:pStyle w:val="DefAcrHead"/>
        <w:spacing w:after="0"/>
        <w:jc w:val="both"/>
        <w:rPr>
          <w:rFonts w:ascii="Arial" w:hAnsi="Arial" w:cs="Arial"/>
        </w:rPr>
      </w:pPr>
    </w:p>
    <w:p w:rsidR="0050407F" w:rsidRPr="001D75AE" w:rsidRDefault="0050407F" w:rsidP="00BD6C30">
      <w:pPr>
        <w:pStyle w:val="DefAcrHead"/>
        <w:spacing w:after="0"/>
        <w:jc w:val="both"/>
        <w:rPr>
          <w:rFonts w:ascii="Arial" w:hAnsi="Arial" w:cs="Arial"/>
        </w:rPr>
      </w:pPr>
    </w:p>
    <w:p w:rsidR="0050407F" w:rsidRPr="001D75AE" w:rsidRDefault="0050407F" w:rsidP="00BD6C30">
      <w:pPr>
        <w:pStyle w:val="DefAcrHead"/>
        <w:spacing w:after="0"/>
        <w:jc w:val="both"/>
        <w:rPr>
          <w:rFonts w:ascii="Arial" w:hAnsi="Arial" w:cs="Arial"/>
        </w:rPr>
      </w:pPr>
    </w:p>
    <w:p w:rsidR="0050407F" w:rsidRPr="001D75AE" w:rsidRDefault="0050407F" w:rsidP="00BD6C30">
      <w:pPr>
        <w:pStyle w:val="DefAcrHead"/>
        <w:spacing w:after="0"/>
        <w:jc w:val="both"/>
        <w:rPr>
          <w:rFonts w:ascii="Arial" w:hAnsi="Arial" w:cs="Arial"/>
        </w:rPr>
      </w:pPr>
    </w:p>
    <w:p w:rsidR="00DB3ABF" w:rsidRPr="001D75AE" w:rsidRDefault="00DB3ABF" w:rsidP="00BD6C30">
      <w:pPr>
        <w:pStyle w:val="DefAcrHead"/>
        <w:spacing w:after="0"/>
        <w:jc w:val="both"/>
        <w:rPr>
          <w:rFonts w:ascii="Arial" w:hAnsi="Arial" w:cs="Arial"/>
        </w:rPr>
      </w:pPr>
    </w:p>
    <w:p w:rsidR="00DB3ABF" w:rsidRPr="001D75AE" w:rsidRDefault="00DB3ABF" w:rsidP="00BD6C30">
      <w:pPr>
        <w:pStyle w:val="DefAcrHead"/>
        <w:spacing w:after="0"/>
        <w:jc w:val="both"/>
        <w:rPr>
          <w:rFonts w:ascii="Arial" w:hAnsi="Arial" w:cs="Arial"/>
        </w:rPr>
      </w:pPr>
    </w:p>
    <w:p w:rsidR="00BD6C30" w:rsidRPr="001D75AE" w:rsidRDefault="00BD6C30" w:rsidP="00BD6C30">
      <w:pPr>
        <w:pStyle w:val="DefAcrHead"/>
        <w:spacing w:after="0"/>
        <w:jc w:val="both"/>
        <w:rPr>
          <w:rFonts w:ascii="Arial" w:hAnsi="Arial" w:cs="Arial"/>
        </w:rPr>
      </w:pPr>
      <w:r w:rsidRPr="001D75AE">
        <w:rPr>
          <w:rFonts w:ascii="Arial" w:hAnsi="Arial" w:cs="Arial"/>
        </w:rPr>
        <w:t>Abbreviations</w:t>
      </w:r>
    </w:p>
    <w:p w:rsidR="00BD6C30" w:rsidRPr="001D75AE" w:rsidRDefault="00BD6C30" w:rsidP="00BD6C30">
      <w:pPr>
        <w:pStyle w:val="Body"/>
        <w:spacing w:after="0"/>
        <w:rPr>
          <w:rFonts w:ascii="Arial" w:hAnsi="Arial" w:cs="Arial"/>
        </w:rPr>
      </w:pPr>
    </w:p>
    <w:p w:rsidR="00BD6C30" w:rsidRPr="001D75AE" w:rsidRDefault="00BD6C30" w:rsidP="00BD6C30">
      <w:pPr>
        <w:pStyle w:val="Body"/>
        <w:spacing w:after="0"/>
        <w:rPr>
          <w:rFonts w:ascii="Arial" w:hAnsi="Arial" w:cs="Arial"/>
        </w:rPr>
      </w:pPr>
      <w:r w:rsidRPr="001D75AE">
        <w:rPr>
          <w:rFonts w:ascii="Arial" w:hAnsi="Arial" w:cs="Arial"/>
        </w:rPr>
        <w:t>B6-Pyridoxine, or vitamin B6</w:t>
      </w:r>
    </w:p>
    <w:p w:rsidR="00BD6C30" w:rsidRPr="001D75AE" w:rsidRDefault="00BD6C30" w:rsidP="00BD6C30">
      <w:pPr>
        <w:pStyle w:val="Body"/>
        <w:spacing w:after="0"/>
        <w:rPr>
          <w:rFonts w:ascii="Arial" w:hAnsi="Arial" w:cs="Arial"/>
        </w:rPr>
      </w:pPr>
      <w:r w:rsidRPr="001D75AE">
        <w:rPr>
          <w:rFonts w:ascii="Arial" w:hAnsi="Arial" w:cs="Arial"/>
        </w:rPr>
        <w:t>B12/Vit B12-Vitamin B12/ Cobalamin</w:t>
      </w:r>
    </w:p>
    <w:p w:rsidR="00BD6C30" w:rsidRPr="001D75AE" w:rsidRDefault="00BD6C30" w:rsidP="00BD6C30">
      <w:pPr>
        <w:pStyle w:val="Body"/>
        <w:spacing w:after="0"/>
        <w:rPr>
          <w:rFonts w:ascii="Arial" w:hAnsi="Arial" w:cs="Arial"/>
        </w:rPr>
      </w:pPr>
      <w:r w:rsidRPr="001D75AE">
        <w:rPr>
          <w:rFonts w:ascii="Arial" w:hAnsi="Arial" w:cs="Arial"/>
        </w:rPr>
        <w:lastRenderedPageBreak/>
        <w:t xml:space="preserve">CBC-Complete Blood Count </w:t>
      </w:r>
    </w:p>
    <w:p w:rsidR="00BD6C30" w:rsidRPr="001D75AE" w:rsidRDefault="00BD6C30" w:rsidP="00BD6C30">
      <w:pPr>
        <w:pStyle w:val="Body"/>
        <w:spacing w:after="0"/>
        <w:rPr>
          <w:rFonts w:ascii="Arial" w:hAnsi="Arial" w:cs="Arial"/>
        </w:rPr>
      </w:pPr>
      <w:r w:rsidRPr="001D75AE">
        <w:rPr>
          <w:rFonts w:ascii="Arial" w:hAnsi="Arial" w:cs="Arial"/>
        </w:rPr>
        <w:t>Co A- coenzyme A</w:t>
      </w:r>
    </w:p>
    <w:p w:rsidR="00BD6C30" w:rsidRPr="001D75AE" w:rsidRDefault="00BD6C30" w:rsidP="00BD6C30">
      <w:pPr>
        <w:pStyle w:val="Body"/>
        <w:spacing w:after="0"/>
        <w:rPr>
          <w:rFonts w:ascii="Arial" w:hAnsi="Arial" w:cs="Arial"/>
        </w:rPr>
      </w:pPr>
      <w:r w:rsidRPr="001D75AE">
        <w:rPr>
          <w:rFonts w:ascii="Arial" w:hAnsi="Arial" w:cs="Arial"/>
        </w:rPr>
        <w:t>CNS-central nervous system</w:t>
      </w:r>
    </w:p>
    <w:p w:rsidR="00BD6C30" w:rsidRPr="001D75AE" w:rsidRDefault="00BD6C30" w:rsidP="00BD6C30">
      <w:pPr>
        <w:pStyle w:val="Body"/>
        <w:spacing w:after="0"/>
        <w:rPr>
          <w:rFonts w:ascii="Arial" w:hAnsi="Arial" w:cs="Arial"/>
        </w:rPr>
      </w:pPr>
      <w:r w:rsidRPr="001D75AE">
        <w:rPr>
          <w:rFonts w:ascii="Arial" w:hAnsi="Arial" w:cs="Arial"/>
        </w:rPr>
        <w:t>CRP-C-Reactive Protein </w:t>
      </w:r>
    </w:p>
    <w:p w:rsidR="00BD6C30" w:rsidRPr="001D75AE" w:rsidRDefault="00BD6C30" w:rsidP="00BD6C30">
      <w:pPr>
        <w:pStyle w:val="Body"/>
        <w:spacing w:after="0"/>
        <w:rPr>
          <w:rFonts w:ascii="Arial" w:hAnsi="Arial" w:cs="Arial"/>
        </w:rPr>
      </w:pPr>
      <w:r w:rsidRPr="001D75AE">
        <w:rPr>
          <w:rFonts w:ascii="Arial" w:hAnsi="Arial" w:cs="Arial"/>
        </w:rPr>
        <w:t>DNA-Deoxyribonucleic Acid</w:t>
      </w:r>
    </w:p>
    <w:p w:rsidR="00BD6C30" w:rsidRPr="001D75AE" w:rsidRDefault="00BD6C30" w:rsidP="00BD6C30">
      <w:pPr>
        <w:pStyle w:val="Body"/>
        <w:spacing w:after="0"/>
        <w:rPr>
          <w:rFonts w:ascii="Arial" w:hAnsi="Arial" w:cs="Arial"/>
        </w:rPr>
      </w:pPr>
      <w:r w:rsidRPr="001D75AE">
        <w:rPr>
          <w:rFonts w:ascii="Arial" w:hAnsi="Arial" w:cs="Arial"/>
        </w:rPr>
        <w:t>GI - gastrointestinal </w:t>
      </w:r>
    </w:p>
    <w:p w:rsidR="00BD6C30" w:rsidRPr="001D75AE" w:rsidRDefault="00BD6C30" w:rsidP="00BD6C30">
      <w:pPr>
        <w:pStyle w:val="Body"/>
        <w:spacing w:after="0"/>
        <w:rPr>
          <w:rFonts w:ascii="Arial" w:hAnsi="Arial" w:cs="Arial"/>
        </w:rPr>
      </w:pPr>
      <w:r w:rsidRPr="001D75AE">
        <w:rPr>
          <w:rFonts w:ascii="Arial" w:hAnsi="Arial" w:cs="Arial"/>
        </w:rPr>
        <w:t>Hb-hemoglobin</w:t>
      </w:r>
    </w:p>
    <w:p w:rsidR="00BD6C30" w:rsidRPr="001D75AE" w:rsidRDefault="00BD6C30" w:rsidP="00BD6C30">
      <w:pPr>
        <w:pStyle w:val="Body"/>
        <w:spacing w:after="0"/>
        <w:rPr>
          <w:rFonts w:ascii="Arial" w:hAnsi="Arial" w:cs="Arial"/>
        </w:rPr>
      </w:pPr>
      <w:r w:rsidRPr="001D75AE">
        <w:rPr>
          <w:rFonts w:ascii="Arial" w:hAnsi="Arial" w:cs="Arial"/>
        </w:rPr>
        <w:t>Hcy / tHcy – homocysteine /total homocysteine.</w:t>
      </w:r>
    </w:p>
    <w:p w:rsidR="00BD6C30" w:rsidRPr="001D75AE" w:rsidRDefault="00BD6C30" w:rsidP="00BD6C30">
      <w:pPr>
        <w:pStyle w:val="Body"/>
        <w:spacing w:after="0"/>
        <w:rPr>
          <w:rFonts w:ascii="Arial" w:hAnsi="Arial" w:cs="Arial"/>
        </w:rPr>
      </w:pPr>
      <w:r w:rsidRPr="001D75AE">
        <w:rPr>
          <w:rFonts w:ascii="Arial" w:hAnsi="Arial" w:cs="Arial"/>
        </w:rPr>
        <w:t>HoloTC- Holotranscobalamin</w:t>
      </w:r>
    </w:p>
    <w:p w:rsidR="00BD6C30" w:rsidRPr="001D75AE" w:rsidRDefault="00BD6C30" w:rsidP="00BD6C30">
      <w:pPr>
        <w:pStyle w:val="Body"/>
        <w:spacing w:after="0"/>
        <w:rPr>
          <w:rFonts w:ascii="Arial" w:hAnsi="Arial" w:cs="Arial"/>
        </w:rPr>
      </w:pPr>
      <w:r w:rsidRPr="001D75AE">
        <w:rPr>
          <w:rFonts w:ascii="Arial" w:hAnsi="Arial" w:cs="Arial"/>
        </w:rPr>
        <w:t>MMA- Methylmalonic Acid </w:t>
      </w:r>
    </w:p>
    <w:p w:rsidR="00BD6C30" w:rsidRPr="001D75AE" w:rsidRDefault="00BD6C30" w:rsidP="00BD6C30">
      <w:pPr>
        <w:pStyle w:val="Body"/>
        <w:spacing w:after="0"/>
        <w:rPr>
          <w:rFonts w:ascii="Arial" w:hAnsi="Arial" w:cs="Arial"/>
        </w:rPr>
      </w:pPr>
      <w:r w:rsidRPr="001D75AE">
        <w:rPr>
          <w:rFonts w:ascii="Arial" w:hAnsi="Arial" w:cs="Arial"/>
        </w:rPr>
        <w:t>MCV - Mean Corpuscular Volume </w:t>
      </w:r>
    </w:p>
    <w:p w:rsidR="00BD6C30" w:rsidRPr="001D75AE" w:rsidRDefault="00BD6C30" w:rsidP="00BD6C30">
      <w:pPr>
        <w:pStyle w:val="Body"/>
        <w:spacing w:after="0"/>
        <w:rPr>
          <w:rFonts w:ascii="Arial" w:hAnsi="Arial" w:cs="Arial"/>
        </w:rPr>
      </w:pPr>
      <w:r w:rsidRPr="001D75AE">
        <w:rPr>
          <w:rFonts w:ascii="Arial" w:hAnsi="Arial" w:cs="Arial"/>
        </w:rPr>
        <w:t xml:space="preserve">PPIs - Proton Pump Inhibitors  </w:t>
      </w:r>
    </w:p>
    <w:p w:rsidR="00BD6C30" w:rsidRPr="001D75AE" w:rsidRDefault="00BD6C30" w:rsidP="00BD6C30">
      <w:pPr>
        <w:pStyle w:val="Body"/>
        <w:spacing w:after="0"/>
        <w:rPr>
          <w:rFonts w:ascii="Arial" w:hAnsi="Arial" w:cs="Arial"/>
        </w:rPr>
      </w:pPr>
      <w:r w:rsidRPr="001D75AE">
        <w:rPr>
          <w:rFonts w:ascii="Arial" w:hAnsi="Arial" w:cs="Arial"/>
        </w:rPr>
        <w:t>IF-6- Intrinsic Factor -</w:t>
      </w:r>
    </w:p>
    <w:p w:rsidR="00BD6C30" w:rsidRPr="001D75AE" w:rsidRDefault="00BD6C30" w:rsidP="00BD6C30">
      <w:pPr>
        <w:pStyle w:val="Body"/>
        <w:spacing w:after="0"/>
        <w:rPr>
          <w:rFonts w:ascii="Arial" w:hAnsi="Arial" w:cs="Arial"/>
        </w:rPr>
      </w:pPr>
      <w:r w:rsidRPr="001D75AE">
        <w:rPr>
          <w:rFonts w:ascii="Arial" w:hAnsi="Arial" w:cs="Arial"/>
        </w:rPr>
        <w:t>IL-6- Interleukin-6</w:t>
      </w:r>
    </w:p>
    <w:p w:rsidR="00BD6C30" w:rsidRPr="001D75AE" w:rsidRDefault="00BD6C30" w:rsidP="00BD6C30">
      <w:pPr>
        <w:pStyle w:val="Body"/>
        <w:spacing w:after="0"/>
        <w:rPr>
          <w:rFonts w:ascii="Arial" w:hAnsi="Arial" w:cs="Arial"/>
        </w:rPr>
      </w:pPr>
      <w:r w:rsidRPr="001D75AE">
        <w:rPr>
          <w:rFonts w:ascii="Arial" w:hAnsi="Arial" w:cs="Arial"/>
        </w:rPr>
        <w:t>SF-6- Short Form-36 Health Survey  </w:t>
      </w:r>
    </w:p>
    <w:p w:rsidR="00BD6C30" w:rsidRPr="001D75AE" w:rsidRDefault="00BD6C30" w:rsidP="00BD6C30">
      <w:pPr>
        <w:pStyle w:val="Body"/>
        <w:spacing w:after="0"/>
        <w:rPr>
          <w:rFonts w:ascii="Arial" w:hAnsi="Arial" w:cs="Arial"/>
        </w:rPr>
      </w:pPr>
      <w:r w:rsidRPr="001D75AE">
        <w:rPr>
          <w:rFonts w:ascii="Arial" w:hAnsi="Arial" w:cs="Arial"/>
        </w:rPr>
        <w:t xml:space="preserve">PSQI- Pittsburgh Sleep Quality Index </w:t>
      </w:r>
    </w:p>
    <w:p w:rsidR="00BD6C30" w:rsidRPr="001D75AE" w:rsidRDefault="00BD6C30" w:rsidP="00BD6C30">
      <w:pPr>
        <w:pStyle w:val="Body"/>
        <w:spacing w:after="0"/>
        <w:rPr>
          <w:rFonts w:ascii="Arial" w:hAnsi="Arial" w:cs="Arial"/>
        </w:rPr>
      </w:pPr>
      <w:r w:rsidRPr="001D75AE">
        <w:rPr>
          <w:rFonts w:ascii="Arial" w:hAnsi="Arial" w:cs="Arial"/>
        </w:rPr>
        <w:t>TC-Transcobalamin</w:t>
      </w:r>
    </w:p>
    <w:p w:rsidR="00BD6C30" w:rsidRPr="001D75AE" w:rsidRDefault="00BD6C30" w:rsidP="00BD6C30">
      <w:pPr>
        <w:pStyle w:val="Body"/>
        <w:spacing w:after="0"/>
        <w:rPr>
          <w:rFonts w:ascii="Arial" w:hAnsi="Arial" w:cs="Arial"/>
        </w:rPr>
      </w:pPr>
    </w:p>
    <w:p w:rsidR="00BD6C30" w:rsidRPr="001D75AE" w:rsidRDefault="00BD6C30" w:rsidP="005E5442">
      <w:pPr>
        <w:pStyle w:val="Normal1"/>
        <w:spacing w:line="240" w:lineRule="auto"/>
        <w:jc w:val="both"/>
        <w:rPr>
          <w:rFonts w:eastAsia="Times New Roman"/>
          <w:sz w:val="20"/>
          <w:szCs w:val="20"/>
        </w:rPr>
      </w:pPr>
    </w:p>
    <w:p w:rsidR="001C253C" w:rsidRPr="001D75AE" w:rsidRDefault="001C253C" w:rsidP="001C253C">
      <w:pPr>
        <w:rPr>
          <w:b/>
        </w:rPr>
      </w:pPr>
      <w:r w:rsidRPr="001D75AE">
        <w:rPr>
          <w:b/>
        </w:rPr>
        <w:t>Disclaimer (Artificial intelligence)</w:t>
      </w:r>
    </w:p>
    <w:p w:rsidR="001C253C" w:rsidRPr="001D75AE" w:rsidRDefault="001C253C" w:rsidP="001C253C">
      <w:r w:rsidRPr="001D75AE">
        <w:t xml:space="preserve">Option 1: </w:t>
      </w:r>
    </w:p>
    <w:p w:rsidR="001C253C" w:rsidRPr="001D75AE" w:rsidRDefault="001C253C" w:rsidP="001C253C">
      <w:r w:rsidRPr="001D75AE">
        <w:t xml:space="preserve">Author(s) hereby declare that NO generative AI technologies such as Large Language Models (ChatGPT, COPILOT, etc.) and text-to-image generators have been used during the writing or editing of this manuscript. </w:t>
      </w:r>
    </w:p>
    <w:p w:rsidR="001C253C" w:rsidRPr="001D75AE" w:rsidRDefault="001C253C" w:rsidP="001C253C">
      <w:r w:rsidRPr="001D75AE">
        <w:t xml:space="preserve">Option 2: </w:t>
      </w:r>
    </w:p>
    <w:p w:rsidR="001C253C" w:rsidRPr="001D75AE" w:rsidRDefault="001C253C" w:rsidP="001C253C">
      <w:r w:rsidRPr="001D75AE">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C253C" w:rsidRPr="001D75AE" w:rsidRDefault="001C253C" w:rsidP="001C253C">
      <w:r w:rsidRPr="001D75AE">
        <w:t>Details of the AI usage are given below:</w:t>
      </w:r>
    </w:p>
    <w:p w:rsidR="001C253C" w:rsidRPr="001D75AE" w:rsidRDefault="001C253C" w:rsidP="001C253C">
      <w:r w:rsidRPr="001D75AE">
        <w:t>1.</w:t>
      </w:r>
    </w:p>
    <w:p w:rsidR="001C253C" w:rsidRPr="001D75AE" w:rsidRDefault="001C253C" w:rsidP="001C253C">
      <w:r w:rsidRPr="001D75AE">
        <w:t>2.</w:t>
      </w:r>
    </w:p>
    <w:p w:rsidR="001C253C" w:rsidRPr="001D75AE" w:rsidRDefault="001C253C" w:rsidP="001C253C">
      <w:r w:rsidRPr="001D75AE">
        <w:t>3.</w:t>
      </w:r>
    </w:p>
    <w:p w:rsidR="001C253C" w:rsidRPr="001D75AE" w:rsidRDefault="001C253C" w:rsidP="001C253C"/>
    <w:p w:rsidR="001C253C" w:rsidRPr="001D75AE" w:rsidRDefault="001C253C" w:rsidP="001C253C"/>
    <w:p w:rsidR="001A29D8" w:rsidRPr="001D75AE" w:rsidRDefault="001A29D8" w:rsidP="00441B6F">
      <w:pPr>
        <w:pStyle w:val="ReferHead"/>
        <w:spacing w:after="0"/>
        <w:jc w:val="both"/>
        <w:rPr>
          <w:rFonts w:ascii="Arial" w:hAnsi="Arial" w:cs="Arial"/>
          <w:b w:val="0"/>
          <w:caps w:val="0"/>
          <w:sz w:val="20"/>
        </w:rPr>
      </w:pPr>
      <w:bookmarkStart w:id="1" w:name="_GoBack"/>
      <w:bookmarkEnd w:id="1"/>
    </w:p>
    <w:p w:rsidR="005C784C" w:rsidRPr="001D75AE" w:rsidRDefault="005C784C" w:rsidP="00441B6F">
      <w:pPr>
        <w:pStyle w:val="ReferHead"/>
        <w:spacing w:after="0"/>
        <w:jc w:val="both"/>
        <w:rPr>
          <w:rFonts w:ascii="Arial" w:hAnsi="Arial" w:cs="Arial"/>
          <w:b w:val="0"/>
          <w:caps w:val="0"/>
          <w:sz w:val="20"/>
        </w:rPr>
      </w:pPr>
    </w:p>
    <w:p w:rsidR="00B01FCD" w:rsidRPr="001D75AE" w:rsidRDefault="00B01FCD" w:rsidP="00441B6F">
      <w:pPr>
        <w:pStyle w:val="ReferHead"/>
        <w:spacing w:after="0"/>
        <w:jc w:val="both"/>
        <w:rPr>
          <w:rFonts w:ascii="Arial" w:hAnsi="Arial" w:cs="Arial"/>
        </w:rPr>
      </w:pPr>
      <w:r w:rsidRPr="001D75AE">
        <w:rPr>
          <w:rFonts w:ascii="Arial" w:hAnsi="Arial" w:cs="Arial"/>
        </w:rPr>
        <w:t>References</w:t>
      </w:r>
    </w:p>
    <w:p w:rsidR="00790ADA" w:rsidRPr="001D75AE" w:rsidRDefault="00790ADA" w:rsidP="00441B6F">
      <w:pPr>
        <w:pStyle w:val="ReferHead"/>
        <w:spacing w:after="0"/>
        <w:jc w:val="both"/>
        <w:rPr>
          <w:rFonts w:ascii="Arial" w:hAnsi="Arial" w:cs="Arial"/>
        </w:rPr>
      </w:pPr>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bookmarkStart w:id="2" w:name="_Hlk215770810"/>
      <w:bookmarkStart w:id="3" w:name="_Hlk215774541"/>
      <w:r w:rsidRPr="001D75AE">
        <w:rPr>
          <w:rFonts w:eastAsia="Times New Roman"/>
          <w:color w:val="000000" w:themeColor="text1"/>
          <w:sz w:val="20"/>
          <w:szCs w:val="20"/>
        </w:rPr>
        <w:t xml:space="preserve">Singla, R., Garg, A., Surana, V., Aggarwal, S., Gupta, G., &amp; Singla, S. (2019). </w:t>
      </w:r>
      <w:r w:rsidRPr="001D75AE">
        <w:rPr>
          <w:rFonts w:eastAsia="Times New Roman"/>
          <w:i/>
          <w:iCs/>
          <w:color w:val="000000" w:themeColor="text1"/>
          <w:sz w:val="20"/>
          <w:szCs w:val="20"/>
        </w:rPr>
        <w:t>Vitamin B12 deficiency is endemic in Indian population: A perspective from North India.</w:t>
      </w:r>
      <w:r w:rsidRPr="001D75AE">
        <w:rPr>
          <w:rFonts w:eastAsia="Times New Roman"/>
          <w:color w:val="000000" w:themeColor="text1"/>
          <w:sz w:val="20"/>
          <w:szCs w:val="20"/>
        </w:rPr>
        <w:t xml:space="preserve"> Indian Journal of Endocrinology and Metabolism, 23(2), 211–214. </w:t>
      </w:r>
      <w:hyperlink r:id="rId14" w:history="1">
        <w:r w:rsidRPr="001D75AE">
          <w:rPr>
            <w:rStyle w:val="Hyperlink"/>
            <w:rFonts w:eastAsia="Times New Roman"/>
            <w:color w:val="000000" w:themeColor="text1"/>
            <w:sz w:val="20"/>
            <w:szCs w:val="20"/>
          </w:rPr>
          <w:t>https://doi.org/10.4103/ijem.IJEM_122_19</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Parikh, F. (2025). </w:t>
      </w:r>
      <w:r w:rsidRPr="001D75AE">
        <w:rPr>
          <w:rFonts w:eastAsia="Times New Roman"/>
          <w:i/>
          <w:iCs/>
          <w:color w:val="000000" w:themeColor="text1"/>
          <w:sz w:val="20"/>
          <w:szCs w:val="20"/>
        </w:rPr>
        <w:t>B12 Deficiency Hemolytic Anemia with Deep Vein Thrombosis.</w:t>
      </w:r>
      <w:r w:rsidRPr="001D75AE">
        <w:rPr>
          <w:rFonts w:eastAsia="Times New Roman"/>
          <w:color w:val="000000" w:themeColor="text1"/>
          <w:sz w:val="20"/>
          <w:szCs w:val="20"/>
        </w:rPr>
        <w:t xml:space="preserve"> Cureus. </w:t>
      </w:r>
      <w:hyperlink r:id="rId15" w:history="1">
        <w:r w:rsidRPr="001D75AE">
          <w:rPr>
            <w:rStyle w:val="Hyperlink"/>
            <w:rFonts w:eastAsia="Times New Roman"/>
            <w:color w:val="000000" w:themeColor="text1"/>
            <w:sz w:val="20"/>
            <w:szCs w:val="20"/>
          </w:rPr>
          <w:t>https://doi.org/10.7759/cureus.82151</w:t>
        </w:r>
      </w:hyperlink>
    </w:p>
    <w:p w:rsidR="00AD17A6" w:rsidRPr="001D75AE" w:rsidRDefault="00AD17A6" w:rsidP="00AD17A6">
      <w:pPr>
        <w:pStyle w:val="NormalWeb"/>
        <w:numPr>
          <w:ilvl w:val="0"/>
          <w:numId w:val="33"/>
        </w:numPr>
        <w:spacing w:line="360" w:lineRule="auto"/>
        <w:rPr>
          <w:rFonts w:ascii="Arial" w:hAnsi="Arial" w:cs="Arial"/>
          <w:sz w:val="20"/>
          <w:szCs w:val="20"/>
        </w:rPr>
      </w:pPr>
      <w:r w:rsidRPr="001D75AE">
        <w:rPr>
          <w:rStyle w:val="Strong"/>
          <w:rFonts w:ascii="Arial" w:hAnsi="Arial" w:cs="Arial"/>
          <w:b w:val="0"/>
          <w:bCs w:val="0"/>
          <w:sz w:val="20"/>
          <w:szCs w:val="20"/>
        </w:rPr>
        <w:t xml:space="preserve">Elgormus, Y., Okuyan, O., Dumur, S., Sayili, U., &amp; Uzun, H. (2023). The epidemiology of deficiency of vitamin B12 in preschool children in Turkey. </w:t>
      </w:r>
      <w:r w:rsidRPr="001D75AE">
        <w:rPr>
          <w:rStyle w:val="Emphasis"/>
          <w:rFonts w:ascii="Arial" w:hAnsi="Arial" w:cs="Arial"/>
          <w:sz w:val="20"/>
          <w:szCs w:val="20"/>
        </w:rPr>
        <w:t>Medicina</w:t>
      </w:r>
      <w:r w:rsidRPr="001D75AE">
        <w:rPr>
          <w:rStyle w:val="Strong"/>
          <w:rFonts w:ascii="Arial" w:hAnsi="Arial" w:cs="Arial"/>
          <w:b w:val="0"/>
          <w:bCs w:val="0"/>
          <w:sz w:val="20"/>
          <w:szCs w:val="20"/>
        </w:rPr>
        <w:t xml:space="preserve">, 59(10), 1809. </w:t>
      </w:r>
      <w:hyperlink r:id="rId16" w:history="1">
        <w:r w:rsidRPr="001D75AE">
          <w:rPr>
            <w:rStyle w:val="Hyperlink"/>
            <w:rFonts w:ascii="Arial" w:hAnsi="Arial" w:cs="Arial"/>
            <w:sz w:val="20"/>
            <w:szCs w:val="20"/>
          </w:rPr>
          <w:t>https://doi.org/10.3390/medicina59101809</w:t>
        </w:r>
      </w:hyperlink>
    </w:p>
    <w:p w:rsidR="00AD17A6" w:rsidRPr="001D75AE" w:rsidRDefault="00AD17A6" w:rsidP="00AD17A6">
      <w:pPr>
        <w:pStyle w:val="ListParagraph"/>
        <w:numPr>
          <w:ilvl w:val="0"/>
          <w:numId w:val="33"/>
        </w:numPr>
        <w:spacing w:after="0"/>
        <w:rPr>
          <w:rFonts w:ascii="Arial" w:hAnsi="Arial" w:cs="Arial"/>
          <w:color w:val="000000" w:themeColor="text1"/>
          <w:sz w:val="20"/>
          <w:szCs w:val="20"/>
        </w:rPr>
      </w:pPr>
      <w:r w:rsidRPr="001D75AE">
        <w:rPr>
          <w:rFonts w:ascii="Arial" w:hAnsi="Arial" w:cs="Arial"/>
          <w:color w:val="000000" w:themeColor="text1"/>
          <w:sz w:val="20"/>
          <w:szCs w:val="20"/>
          <w:shd w:val="clear" w:color="auto" w:fill="FFFFFF"/>
        </w:rPr>
        <w:t>Mandal, P., &amp; Chandra, J. (2025). Vitamin B12 Deficiency in Children. </w:t>
      </w:r>
      <w:r w:rsidRPr="001D75AE">
        <w:rPr>
          <w:rFonts w:ascii="Arial" w:hAnsi="Arial" w:cs="Arial"/>
          <w:i/>
          <w:iCs/>
          <w:color w:val="000000" w:themeColor="text1"/>
          <w:sz w:val="20"/>
          <w:szCs w:val="20"/>
          <w:shd w:val="clear" w:color="auto" w:fill="FFFFFF"/>
        </w:rPr>
        <w:t>Indian journal of hematology &amp; blood transfusion : an official journal of Indian Society of Hematology and Blood Transfusion</w:t>
      </w:r>
      <w:r w:rsidRPr="001D75AE">
        <w:rPr>
          <w:rFonts w:ascii="Arial" w:hAnsi="Arial" w:cs="Arial"/>
          <w:color w:val="000000" w:themeColor="text1"/>
          <w:sz w:val="20"/>
          <w:szCs w:val="20"/>
          <w:shd w:val="clear" w:color="auto" w:fill="FFFFFF"/>
        </w:rPr>
        <w:t>, </w:t>
      </w:r>
      <w:r w:rsidRPr="001D75AE">
        <w:rPr>
          <w:rFonts w:ascii="Arial" w:hAnsi="Arial" w:cs="Arial"/>
          <w:i/>
          <w:iCs/>
          <w:color w:val="000000" w:themeColor="text1"/>
          <w:sz w:val="20"/>
          <w:szCs w:val="20"/>
          <w:shd w:val="clear" w:color="auto" w:fill="FFFFFF"/>
        </w:rPr>
        <w:t>41</w:t>
      </w:r>
      <w:r w:rsidRPr="001D75AE">
        <w:rPr>
          <w:rFonts w:ascii="Arial" w:hAnsi="Arial" w:cs="Arial"/>
          <w:color w:val="000000" w:themeColor="text1"/>
          <w:sz w:val="20"/>
          <w:szCs w:val="20"/>
          <w:shd w:val="clear" w:color="auto" w:fill="FFFFFF"/>
        </w:rPr>
        <w:t xml:space="preserve">(4), 753–764. </w:t>
      </w:r>
      <w:hyperlink r:id="rId17" w:history="1">
        <w:r w:rsidRPr="001D75AE">
          <w:rPr>
            <w:rStyle w:val="Hyperlink"/>
            <w:rFonts w:ascii="Arial" w:hAnsi="Arial" w:cs="Arial"/>
            <w:color w:val="000000" w:themeColor="text1"/>
            <w:sz w:val="20"/>
            <w:szCs w:val="20"/>
            <w:shd w:val="clear" w:color="auto" w:fill="FFFFFF"/>
          </w:rPr>
          <w:t>https://doi.org/10.1007/s12288-025-02025-8</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Durmaz A, Topaloğlu M. Effects of Vitamin B12 on the Quality of Sleep and Life. Iran Red Crescent Med J. 2024,89.1-8.</w:t>
      </w:r>
    </w:p>
    <w:p w:rsidR="00AD17A6" w:rsidRPr="001D75AE" w:rsidRDefault="00AD17A6" w:rsidP="00AD17A6">
      <w:pPr>
        <w:pStyle w:val="ListParagraph"/>
        <w:numPr>
          <w:ilvl w:val="0"/>
          <w:numId w:val="33"/>
        </w:numPr>
        <w:spacing w:after="0"/>
        <w:rPr>
          <w:rFonts w:ascii="Arial" w:hAnsi="Arial" w:cs="Arial"/>
          <w:color w:val="000000" w:themeColor="text1"/>
          <w:sz w:val="20"/>
          <w:szCs w:val="20"/>
        </w:rPr>
      </w:pPr>
      <w:r w:rsidRPr="001D75AE">
        <w:rPr>
          <w:rFonts w:ascii="Arial" w:eastAsia="Times New Roman" w:hAnsi="Arial" w:cs="Arial"/>
          <w:color w:val="000000" w:themeColor="text1"/>
          <w:sz w:val="20"/>
          <w:szCs w:val="20"/>
        </w:rPr>
        <w:t xml:space="preserve">O’Leary, F., &amp; Samman, S. (2010). </w:t>
      </w:r>
      <w:r w:rsidRPr="001D75AE">
        <w:rPr>
          <w:rFonts w:ascii="Arial" w:eastAsia="Times New Roman" w:hAnsi="Arial" w:cs="Arial"/>
          <w:i/>
          <w:iCs/>
          <w:color w:val="000000" w:themeColor="text1"/>
          <w:sz w:val="20"/>
          <w:szCs w:val="20"/>
        </w:rPr>
        <w:t>Vitamin B</w:t>
      </w:r>
      <w:r w:rsidRPr="001D75AE">
        <w:rPr>
          <w:rFonts w:ascii="Cambria Math" w:eastAsia="Times New Roman" w:hAnsi="Cambria Math" w:cs="Cambria Math"/>
          <w:i/>
          <w:iCs/>
          <w:color w:val="000000" w:themeColor="text1"/>
          <w:sz w:val="20"/>
          <w:szCs w:val="20"/>
        </w:rPr>
        <w:t>₁₂</w:t>
      </w:r>
      <w:r w:rsidRPr="001D75AE">
        <w:rPr>
          <w:rFonts w:ascii="Arial" w:eastAsia="Times New Roman" w:hAnsi="Arial" w:cs="Arial"/>
          <w:i/>
          <w:iCs/>
          <w:color w:val="000000" w:themeColor="text1"/>
          <w:sz w:val="20"/>
          <w:szCs w:val="20"/>
        </w:rPr>
        <w:t xml:space="preserve"> in health and disease: A review</w:t>
      </w:r>
      <w:r w:rsidRPr="001D75AE">
        <w:rPr>
          <w:rFonts w:ascii="Arial" w:eastAsia="Times New Roman" w:hAnsi="Arial" w:cs="Arial"/>
          <w:color w:val="000000" w:themeColor="text1"/>
          <w:sz w:val="20"/>
          <w:szCs w:val="20"/>
        </w:rPr>
        <w:t xml:space="preserve">. Nutrients, 2(3), 299-316. </w:t>
      </w:r>
      <w:hyperlink r:id="rId18" w:tgtFrame="_new" w:history="1">
        <w:r w:rsidRPr="001D75AE">
          <w:rPr>
            <w:rStyle w:val="Hyperlink"/>
            <w:rFonts w:ascii="Arial" w:eastAsia="Times New Roman" w:hAnsi="Arial" w:cs="Arial"/>
            <w:color w:val="000000" w:themeColor="text1"/>
            <w:sz w:val="20"/>
            <w:szCs w:val="20"/>
          </w:rPr>
          <w:t>https://doi.org/10.3390/nu2030299</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Fang, H., Kang, J., &amp; Zhang, D. (2017). </w:t>
      </w:r>
      <w:r w:rsidRPr="001D75AE">
        <w:rPr>
          <w:rFonts w:eastAsia="Times New Roman"/>
          <w:i/>
          <w:iCs/>
          <w:color w:val="000000" w:themeColor="text1"/>
          <w:sz w:val="20"/>
          <w:szCs w:val="20"/>
        </w:rPr>
        <w:t>Microbial production of vitamin B</w:t>
      </w:r>
      <w:r w:rsidRPr="001D75AE">
        <w:rPr>
          <w:rFonts w:ascii="Cambria Math" w:eastAsia="Times New Roman" w:hAnsi="Cambria Math" w:cs="Cambria Math"/>
          <w:i/>
          <w:iCs/>
          <w:color w:val="000000" w:themeColor="text1"/>
          <w:sz w:val="20"/>
          <w:szCs w:val="20"/>
        </w:rPr>
        <w:t>₁₂</w:t>
      </w:r>
      <w:r w:rsidRPr="001D75AE">
        <w:rPr>
          <w:rFonts w:eastAsia="Times New Roman"/>
          <w:i/>
          <w:iCs/>
          <w:color w:val="000000" w:themeColor="text1"/>
          <w:sz w:val="20"/>
          <w:szCs w:val="20"/>
        </w:rPr>
        <w:t>: A review and future perspectives</w:t>
      </w:r>
      <w:r w:rsidRPr="001D75AE">
        <w:rPr>
          <w:rFonts w:eastAsia="Times New Roman"/>
          <w:color w:val="000000" w:themeColor="text1"/>
          <w:sz w:val="20"/>
          <w:szCs w:val="20"/>
        </w:rPr>
        <w:t xml:space="preserve">. Microbial Cell Factories, 16, 15. https://doi.org/10.1186/s12934-017-0631-y </w:t>
      </w:r>
    </w:p>
    <w:p w:rsidR="00AD17A6" w:rsidRPr="001D75AE" w:rsidRDefault="00AD17A6" w:rsidP="00AD17A6">
      <w:pPr>
        <w:pStyle w:val="ListParagraph"/>
        <w:numPr>
          <w:ilvl w:val="0"/>
          <w:numId w:val="33"/>
        </w:numPr>
        <w:spacing w:after="0"/>
        <w:rPr>
          <w:rFonts w:ascii="Arial" w:hAnsi="Arial" w:cs="Arial"/>
          <w:color w:val="000000" w:themeColor="text1"/>
          <w:sz w:val="20"/>
          <w:szCs w:val="20"/>
        </w:rPr>
      </w:pPr>
      <w:r w:rsidRPr="001D75AE">
        <w:rPr>
          <w:rFonts w:ascii="Arial" w:eastAsia="Times New Roman" w:hAnsi="Arial" w:cs="Arial"/>
          <w:color w:val="000000" w:themeColor="text1"/>
          <w:sz w:val="20"/>
          <w:szCs w:val="20"/>
        </w:rPr>
        <w:lastRenderedPageBreak/>
        <w:t xml:space="preserve">TemovaRakuša, Ž., Roškar, R., Hickey, N., &amp; Geremia, S. (2022). </w:t>
      </w:r>
      <w:r w:rsidRPr="001D75AE">
        <w:rPr>
          <w:rFonts w:ascii="Arial" w:eastAsia="Times New Roman" w:hAnsi="Arial" w:cs="Arial"/>
          <w:i/>
          <w:iCs/>
          <w:color w:val="000000" w:themeColor="text1"/>
          <w:sz w:val="20"/>
          <w:szCs w:val="20"/>
        </w:rPr>
        <w:t>Vitamin B</w:t>
      </w:r>
      <w:r w:rsidRPr="001D75AE">
        <w:rPr>
          <w:rFonts w:ascii="Cambria Math" w:eastAsia="Times New Roman" w:hAnsi="Cambria Math" w:cs="Cambria Math"/>
          <w:i/>
          <w:iCs/>
          <w:color w:val="000000" w:themeColor="text1"/>
          <w:sz w:val="20"/>
          <w:szCs w:val="20"/>
        </w:rPr>
        <w:t>₁₂</w:t>
      </w:r>
      <w:r w:rsidRPr="001D75AE">
        <w:rPr>
          <w:rFonts w:ascii="Arial" w:eastAsia="Times New Roman" w:hAnsi="Arial" w:cs="Arial"/>
          <w:i/>
          <w:iCs/>
          <w:color w:val="000000" w:themeColor="text1"/>
          <w:sz w:val="20"/>
          <w:szCs w:val="20"/>
        </w:rPr>
        <w:t xml:space="preserve"> in foods, food supplements, and medicines — a review of its role and properties with a focus on its stability</w:t>
      </w:r>
      <w:r w:rsidRPr="001D75AE">
        <w:rPr>
          <w:rFonts w:ascii="Arial" w:eastAsia="Times New Roman" w:hAnsi="Arial" w:cs="Arial"/>
          <w:color w:val="000000" w:themeColor="text1"/>
          <w:sz w:val="20"/>
          <w:szCs w:val="20"/>
        </w:rPr>
        <w:t xml:space="preserve">. </w:t>
      </w:r>
      <w:r w:rsidRPr="001D75AE">
        <w:rPr>
          <w:rFonts w:ascii="Arial" w:eastAsia="Times New Roman" w:hAnsi="Arial" w:cs="Arial"/>
          <w:i/>
          <w:iCs/>
          <w:color w:val="000000" w:themeColor="text1"/>
          <w:sz w:val="20"/>
          <w:szCs w:val="20"/>
        </w:rPr>
        <w:t>Molecules, 28</w:t>
      </w:r>
      <w:r w:rsidRPr="001D75AE">
        <w:rPr>
          <w:rFonts w:ascii="Arial" w:eastAsia="Times New Roman" w:hAnsi="Arial" w:cs="Arial"/>
          <w:color w:val="000000" w:themeColor="text1"/>
          <w:sz w:val="20"/>
          <w:szCs w:val="20"/>
        </w:rPr>
        <w:t xml:space="preserve">(1), 240. </w:t>
      </w:r>
      <w:hyperlink r:id="rId19" w:history="1">
        <w:r w:rsidRPr="001D75AE">
          <w:rPr>
            <w:rStyle w:val="Hyperlink"/>
            <w:rFonts w:ascii="Arial" w:eastAsia="Times New Roman" w:hAnsi="Arial" w:cs="Arial"/>
            <w:color w:val="000000" w:themeColor="text1"/>
            <w:sz w:val="20"/>
            <w:szCs w:val="20"/>
          </w:rPr>
          <w:t>https://doi.org/10.3390/molecules28010240</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Lopes, S. C., Gadelha, D. D., Carvalho, M. D., Oliveira, V. F., &amp; Montenegro Junior, R. M. (2019). </w:t>
      </w:r>
      <w:r w:rsidRPr="001D75AE">
        <w:rPr>
          <w:rFonts w:eastAsia="Times New Roman"/>
          <w:i/>
          <w:iCs/>
          <w:color w:val="000000" w:themeColor="text1"/>
          <w:sz w:val="20"/>
          <w:szCs w:val="20"/>
        </w:rPr>
        <w:t>Vitamin B12 deficiency: metabolic effects, clinical evaluation, and treatment</w:t>
      </w:r>
      <w:r w:rsidRPr="001D75AE">
        <w:rPr>
          <w:rFonts w:eastAsia="Times New Roman"/>
          <w:color w:val="000000" w:themeColor="text1"/>
          <w:sz w:val="20"/>
          <w:szCs w:val="20"/>
        </w:rPr>
        <w:t xml:space="preserve">. </w:t>
      </w:r>
      <w:r w:rsidRPr="001D75AE">
        <w:rPr>
          <w:rFonts w:eastAsia="Times New Roman"/>
          <w:i/>
          <w:iCs/>
          <w:color w:val="000000" w:themeColor="text1"/>
          <w:sz w:val="20"/>
          <w:szCs w:val="20"/>
        </w:rPr>
        <w:t>Revista de Medicina da UFC, 59</w:t>
      </w:r>
      <w:r w:rsidRPr="001D75AE">
        <w:rPr>
          <w:rFonts w:eastAsia="Times New Roman"/>
          <w:color w:val="000000" w:themeColor="text1"/>
          <w:sz w:val="20"/>
          <w:szCs w:val="20"/>
        </w:rPr>
        <w:t xml:space="preserve">(2), 40–49. </w:t>
      </w:r>
      <w:hyperlink r:id="rId20" w:history="1">
        <w:r w:rsidRPr="001D75AE">
          <w:rPr>
            <w:rStyle w:val="Hyperlink"/>
            <w:rFonts w:eastAsia="Times New Roman"/>
            <w:color w:val="000000" w:themeColor="text1"/>
            <w:sz w:val="20"/>
            <w:szCs w:val="20"/>
          </w:rPr>
          <w:t>https://doi.org/10.20513/2447-6595.2019v59n2p40-49</w:t>
        </w:r>
      </w:hyperlink>
    </w:p>
    <w:p w:rsidR="00AD17A6" w:rsidRPr="001D75AE" w:rsidRDefault="00AD17A6" w:rsidP="00AD17A6">
      <w:pPr>
        <w:pStyle w:val="ListParagraph"/>
        <w:numPr>
          <w:ilvl w:val="0"/>
          <w:numId w:val="33"/>
        </w:numPr>
        <w:spacing w:after="0"/>
        <w:rPr>
          <w:rFonts w:ascii="Arial" w:eastAsia="Arial" w:hAnsi="Arial" w:cs="Arial"/>
          <w:color w:val="000000" w:themeColor="text1"/>
          <w:sz w:val="20"/>
          <w:szCs w:val="20"/>
        </w:rPr>
      </w:pPr>
      <w:r w:rsidRPr="001D75AE">
        <w:rPr>
          <w:rFonts w:ascii="Arial" w:eastAsia="Times New Roman" w:hAnsi="Arial" w:cs="Arial"/>
          <w:color w:val="000000" w:themeColor="text1"/>
          <w:sz w:val="20"/>
          <w:szCs w:val="20"/>
        </w:rPr>
        <w:t xml:space="preserve">Zhao, L., et al. (2022). Epigenetic consequences of B12 deficiency in neurodevelopment. </w:t>
      </w:r>
      <w:r w:rsidRPr="001D75AE">
        <w:rPr>
          <w:rFonts w:ascii="Arial" w:eastAsia="Times New Roman" w:hAnsi="Arial" w:cs="Arial"/>
          <w:i/>
          <w:iCs/>
          <w:color w:val="000000" w:themeColor="text1"/>
          <w:sz w:val="20"/>
          <w:szCs w:val="20"/>
        </w:rPr>
        <w:t>Frontiers in Neuroscience, 16</w:t>
      </w:r>
      <w:r w:rsidRPr="001D75AE">
        <w:rPr>
          <w:rFonts w:ascii="Arial" w:eastAsia="Times New Roman" w:hAnsi="Arial" w:cs="Arial"/>
          <w:color w:val="000000" w:themeColor="text1"/>
          <w:sz w:val="20"/>
          <w:szCs w:val="20"/>
        </w:rPr>
        <w:t>, 905478.</w:t>
      </w:r>
    </w:p>
    <w:p w:rsidR="00AD17A6" w:rsidRPr="001D75AE" w:rsidRDefault="00AD17A6" w:rsidP="00AD17A6">
      <w:pPr>
        <w:pStyle w:val="ListParagraph"/>
        <w:numPr>
          <w:ilvl w:val="0"/>
          <w:numId w:val="33"/>
        </w:numPr>
        <w:spacing w:after="0"/>
        <w:rPr>
          <w:rFonts w:ascii="Arial" w:eastAsia="Arial" w:hAnsi="Arial" w:cs="Arial"/>
          <w:color w:val="000000" w:themeColor="text1"/>
          <w:sz w:val="20"/>
          <w:szCs w:val="20"/>
        </w:rPr>
      </w:pPr>
      <w:r w:rsidRPr="001D75AE">
        <w:rPr>
          <w:rFonts w:ascii="Arial" w:eastAsia="Times New Roman" w:hAnsi="Arial" w:cs="Arial"/>
          <w:color w:val="000000" w:themeColor="text1"/>
          <w:sz w:val="20"/>
          <w:szCs w:val="20"/>
        </w:rPr>
        <w:t xml:space="preserve">Sayedali, E., Yalin, A. E., &amp;Yalin, S. (2023). </w:t>
      </w:r>
      <w:r w:rsidRPr="001D75AE">
        <w:rPr>
          <w:rFonts w:ascii="Arial" w:eastAsia="Times New Roman" w:hAnsi="Arial" w:cs="Arial"/>
          <w:i/>
          <w:iCs/>
          <w:color w:val="000000" w:themeColor="text1"/>
          <w:sz w:val="20"/>
          <w:szCs w:val="20"/>
        </w:rPr>
        <w:t>Association between metformin and vitamin B</w:t>
      </w:r>
      <w:r w:rsidRPr="001D75AE">
        <w:rPr>
          <w:rFonts w:ascii="Cambria Math" w:eastAsia="Times New Roman" w:hAnsi="Cambria Math" w:cs="Cambria Math"/>
          <w:i/>
          <w:iCs/>
          <w:color w:val="000000" w:themeColor="text1"/>
          <w:sz w:val="20"/>
          <w:szCs w:val="20"/>
        </w:rPr>
        <w:t>₁₂</w:t>
      </w:r>
      <w:r w:rsidRPr="001D75AE">
        <w:rPr>
          <w:rFonts w:ascii="Arial" w:eastAsia="Times New Roman" w:hAnsi="Arial" w:cs="Arial"/>
          <w:i/>
          <w:iCs/>
          <w:color w:val="000000" w:themeColor="text1"/>
          <w:sz w:val="20"/>
          <w:szCs w:val="20"/>
        </w:rPr>
        <w:t xml:space="preserve"> deficiency in patients with type 2 diabetes.World Journal of Diabetes, 14</w:t>
      </w:r>
      <w:r w:rsidRPr="001D75AE">
        <w:rPr>
          <w:rFonts w:ascii="Arial" w:eastAsia="Times New Roman" w:hAnsi="Arial" w:cs="Arial"/>
          <w:color w:val="000000" w:themeColor="text1"/>
          <w:sz w:val="20"/>
          <w:szCs w:val="20"/>
        </w:rPr>
        <w:t xml:space="preserve">(5), 585-593. </w:t>
      </w:r>
      <w:hyperlink r:id="rId21" w:history="1">
        <w:r w:rsidRPr="001D75AE">
          <w:rPr>
            <w:rStyle w:val="Hyperlink"/>
            <w:rFonts w:ascii="Arial" w:eastAsia="Times New Roman" w:hAnsi="Arial" w:cs="Arial"/>
            <w:color w:val="000000" w:themeColor="text1"/>
            <w:sz w:val="20"/>
            <w:szCs w:val="20"/>
          </w:rPr>
          <w:t>https://doi.org/10.4239/wjd.v14.i5.585</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Srivani S, Nutakki S, Chowdeswari N, Swathi V, Sreya (2023) Comparative Study of Vitamin B12 and Folic Acid Levels among Vegetarian andNon Vegetarian Medical Students. BiochemPhysiol 12: 410. DOI: 10.4172/2168-9652.1000410</w:t>
      </w:r>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Chatterji, N., &amp; Saraswat, R. (2022). </w:t>
      </w:r>
      <w:r w:rsidRPr="001D75AE">
        <w:rPr>
          <w:rFonts w:eastAsia="Times New Roman"/>
          <w:i/>
          <w:iCs/>
          <w:color w:val="000000" w:themeColor="text1"/>
          <w:sz w:val="20"/>
          <w:szCs w:val="20"/>
        </w:rPr>
        <w:t>An overview on metabolism and consequences of deficiency of vitamin B12</w:t>
      </w:r>
      <w:r w:rsidRPr="001D75AE">
        <w:rPr>
          <w:rFonts w:eastAsia="Times New Roman"/>
          <w:color w:val="000000" w:themeColor="text1"/>
          <w:sz w:val="20"/>
          <w:szCs w:val="20"/>
        </w:rPr>
        <w:t xml:space="preserve">. </w:t>
      </w:r>
      <w:r w:rsidRPr="001D75AE">
        <w:rPr>
          <w:rFonts w:eastAsia="Times New Roman"/>
          <w:i/>
          <w:iCs/>
          <w:color w:val="000000" w:themeColor="text1"/>
          <w:sz w:val="20"/>
          <w:szCs w:val="20"/>
        </w:rPr>
        <w:t>International Journal of Advances in Engineering and Management, 4</w:t>
      </w:r>
      <w:r w:rsidRPr="001D75AE">
        <w:rPr>
          <w:rFonts w:eastAsia="Times New Roman"/>
          <w:color w:val="000000" w:themeColor="text1"/>
          <w:sz w:val="20"/>
          <w:szCs w:val="20"/>
        </w:rPr>
        <w:t>(4), 90–94.</w:t>
      </w:r>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Carmel, R. (2013). </w:t>
      </w:r>
      <w:r w:rsidRPr="001D75AE">
        <w:rPr>
          <w:rFonts w:eastAsia="Times New Roman"/>
          <w:i/>
          <w:iCs/>
          <w:color w:val="000000" w:themeColor="text1"/>
          <w:sz w:val="20"/>
          <w:szCs w:val="20"/>
        </w:rPr>
        <w:t>Diagnosis and management of clinical and subclinical cobalamin deficiencies: Why controversies persist in the age of sensitive metabolic testing.Biochimie, 95</w:t>
      </w:r>
      <w:r w:rsidRPr="001D75AE">
        <w:rPr>
          <w:rFonts w:eastAsia="Times New Roman"/>
          <w:color w:val="000000" w:themeColor="text1"/>
          <w:sz w:val="20"/>
          <w:szCs w:val="20"/>
        </w:rPr>
        <w:t xml:space="preserve">(5), 1047–1055. </w:t>
      </w:r>
      <w:hyperlink r:id="rId22" w:history="1">
        <w:r w:rsidRPr="001D75AE">
          <w:rPr>
            <w:rStyle w:val="Hyperlink"/>
            <w:rFonts w:eastAsia="Times New Roman"/>
            <w:color w:val="000000" w:themeColor="text1"/>
            <w:sz w:val="20"/>
            <w:szCs w:val="20"/>
          </w:rPr>
          <w:t>https://doi.org/10.1016/j.biochi.2012.10.023</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color w:val="000000" w:themeColor="text1"/>
          <w:sz w:val="20"/>
          <w:szCs w:val="20"/>
          <w:shd w:val="clear" w:color="auto" w:fill="FFFFFF"/>
        </w:rPr>
        <w:t>Kurpad, A. V., Pasanna, R. M., Hegde, S. G., Patil, M., Mukhopadhyay, A., Sachdev, H. S., Bhat, K. G., Sivadas, A., &amp; Devi, S. (2023). Bioavailability and daily requirement of vitamin B</w:t>
      </w:r>
      <w:r w:rsidRPr="001D75AE">
        <w:rPr>
          <w:color w:val="000000" w:themeColor="text1"/>
          <w:sz w:val="20"/>
          <w:szCs w:val="20"/>
          <w:shd w:val="clear" w:color="auto" w:fill="FFFFFF"/>
          <w:vertAlign w:val="subscript"/>
        </w:rPr>
        <w:t>12</w:t>
      </w:r>
      <w:r w:rsidRPr="001D75AE">
        <w:rPr>
          <w:color w:val="000000" w:themeColor="text1"/>
          <w:sz w:val="20"/>
          <w:szCs w:val="20"/>
          <w:shd w:val="clear" w:color="auto" w:fill="FFFFFF"/>
        </w:rPr>
        <w:t> in adult humans: an observational study of its colonic absorption and daily excretion as measured by [</w:t>
      </w:r>
      <w:r w:rsidRPr="001D75AE">
        <w:rPr>
          <w:color w:val="000000" w:themeColor="text1"/>
          <w:sz w:val="20"/>
          <w:szCs w:val="20"/>
          <w:shd w:val="clear" w:color="auto" w:fill="FFFFFF"/>
          <w:vertAlign w:val="superscript"/>
        </w:rPr>
        <w:t>13</w:t>
      </w:r>
      <w:r w:rsidRPr="001D75AE">
        <w:rPr>
          <w:color w:val="000000" w:themeColor="text1"/>
          <w:sz w:val="20"/>
          <w:szCs w:val="20"/>
          <w:shd w:val="clear" w:color="auto" w:fill="FFFFFF"/>
        </w:rPr>
        <w:t>C]-cyanocobalamin kinetics. </w:t>
      </w:r>
      <w:r w:rsidRPr="001D75AE">
        <w:rPr>
          <w:i/>
          <w:iCs/>
          <w:color w:val="000000" w:themeColor="text1"/>
          <w:sz w:val="20"/>
          <w:szCs w:val="20"/>
          <w:shd w:val="clear" w:color="auto" w:fill="FFFFFF"/>
        </w:rPr>
        <w:t>The American journal of clinical nutrition</w:t>
      </w:r>
      <w:r w:rsidRPr="001D75AE">
        <w:rPr>
          <w:color w:val="000000" w:themeColor="text1"/>
          <w:sz w:val="20"/>
          <w:szCs w:val="20"/>
          <w:shd w:val="clear" w:color="auto" w:fill="FFFFFF"/>
        </w:rPr>
        <w:t>, </w:t>
      </w:r>
      <w:r w:rsidRPr="001D75AE">
        <w:rPr>
          <w:i/>
          <w:iCs/>
          <w:color w:val="000000" w:themeColor="text1"/>
          <w:sz w:val="20"/>
          <w:szCs w:val="20"/>
          <w:shd w:val="clear" w:color="auto" w:fill="FFFFFF"/>
        </w:rPr>
        <w:t>118</w:t>
      </w:r>
      <w:r w:rsidRPr="001D75AE">
        <w:rPr>
          <w:color w:val="000000" w:themeColor="text1"/>
          <w:sz w:val="20"/>
          <w:szCs w:val="20"/>
          <w:shd w:val="clear" w:color="auto" w:fill="FFFFFF"/>
        </w:rPr>
        <w:t xml:space="preserve">(6), 1214–1223. </w:t>
      </w:r>
      <w:hyperlink r:id="rId23" w:history="1">
        <w:r w:rsidRPr="001D75AE">
          <w:rPr>
            <w:rStyle w:val="Hyperlink"/>
            <w:color w:val="000000" w:themeColor="text1"/>
            <w:sz w:val="20"/>
            <w:szCs w:val="20"/>
            <w:shd w:val="clear" w:color="auto" w:fill="FFFFFF"/>
          </w:rPr>
          <w:t>https://doi.org/10.1016/j.ajcnut.2023.08.020</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Doets, E. L., Veld, P. H. i. '., Szczecińska, A., Dhonukshe-Rutten, R., Cavelaars, A. E., Veer, P. v. ’., … &amp; Groot, C. d. (2013). Systematic review on daily vitamin b12 losses and bioavailability for deriving recommendations on vitamin b12 intake with the factorial approach. Annals of Nutrition and Metabolism, 62(4), 311-322. https://doi.org/10.1159/000346968</w:t>
      </w:r>
    </w:p>
    <w:p w:rsidR="00AD17A6" w:rsidRPr="001D75AE" w:rsidRDefault="00AD17A6" w:rsidP="00AD17A6">
      <w:pPr>
        <w:pStyle w:val="ListParagraph"/>
        <w:numPr>
          <w:ilvl w:val="0"/>
          <w:numId w:val="33"/>
        </w:numPr>
        <w:spacing w:after="0"/>
        <w:rPr>
          <w:rFonts w:ascii="Arial" w:eastAsia="Arial" w:hAnsi="Arial" w:cs="Arial"/>
          <w:color w:val="000000" w:themeColor="text1"/>
          <w:sz w:val="20"/>
          <w:szCs w:val="20"/>
        </w:rPr>
      </w:pPr>
      <w:r w:rsidRPr="001D75AE">
        <w:rPr>
          <w:rFonts w:ascii="Arial" w:eastAsia="Times New Roman" w:hAnsi="Arial" w:cs="Arial"/>
          <w:color w:val="000000" w:themeColor="text1"/>
          <w:sz w:val="20"/>
          <w:szCs w:val="20"/>
        </w:rPr>
        <w:t xml:space="preserve">Gupta, S. K., Goyal, P., Gupta, P. P., Khan, I. A., &amp; Gupta, S. (2024). </w:t>
      </w:r>
      <w:r w:rsidRPr="001D75AE">
        <w:rPr>
          <w:rFonts w:ascii="Arial" w:eastAsia="Times New Roman" w:hAnsi="Arial" w:cs="Arial"/>
          <w:i/>
          <w:iCs/>
          <w:color w:val="000000" w:themeColor="text1"/>
          <w:sz w:val="20"/>
          <w:szCs w:val="20"/>
        </w:rPr>
        <w:t>Prevalence of vitamin B12 deficiency in North India: A multicentric study of 15,837 asymptomatic individuals undergoing health checkups.Journal of International Medical Sciences Academy, 37</w:t>
      </w:r>
      <w:r w:rsidRPr="001D75AE">
        <w:rPr>
          <w:rFonts w:ascii="Arial" w:eastAsia="Times New Roman" w:hAnsi="Arial" w:cs="Arial"/>
          <w:color w:val="000000" w:themeColor="text1"/>
          <w:sz w:val="20"/>
          <w:szCs w:val="20"/>
        </w:rPr>
        <w:t>(1), 21–24</w:t>
      </w:r>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Mukhtar, M., Mohamed, Y., Elbagir, M., Tesfa, Y., Kenz, S., Kumar, V., Skaria, S., Baraka, M., Darwiche, G., &amp;Elmalti, A. (2024). Vitamin B12 Status Among Patients With Type 2 Diabetes Mellitus. </w:t>
      </w:r>
      <w:r w:rsidRPr="001D75AE">
        <w:rPr>
          <w:rFonts w:eastAsia="Times New Roman"/>
          <w:i/>
          <w:iCs/>
          <w:color w:val="000000" w:themeColor="text1"/>
          <w:sz w:val="20"/>
          <w:szCs w:val="20"/>
        </w:rPr>
        <w:t>Journal Of Endocrinology And Metabolism, 14</w:t>
      </w:r>
      <w:r w:rsidRPr="001D75AE">
        <w:rPr>
          <w:rFonts w:eastAsia="Times New Roman"/>
          <w:color w:val="000000" w:themeColor="text1"/>
          <w:sz w:val="20"/>
          <w:szCs w:val="20"/>
        </w:rPr>
        <w:t>(1), 33-39.</w:t>
      </w:r>
    </w:p>
    <w:p w:rsidR="00C464AC" w:rsidRPr="001D75AE" w:rsidRDefault="00C464AC"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Barmak, F., &amp; Numan, J. (2024). </w:t>
      </w:r>
      <w:r w:rsidRPr="001D75AE">
        <w:rPr>
          <w:rFonts w:eastAsia="Times New Roman"/>
          <w:i/>
          <w:iCs/>
          <w:color w:val="000000" w:themeColor="text1"/>
          <w:sz w:val="20"/>
          <w:szCs w:val="20"/>
        </w:rPr>
        <w:t>Nitrous Oxide-Induced Vitamin B12 Deficiency and Myelopathy in Whippets Abusers: A Report of Two Cases</w:t>
      </w:r>
      <w:r w:rsidRPr="001D75AE">
        <w:rPr>
          <w:rFonts w:eastAsia="Times New Roman"/>
          <w:color w:val="000000" w:themeColor="text1"/>
          <w:sz w:val="20"/>
          <w:szCs w:val="20"/>
        </w:rPr>
        <w:t xml:space="preserve">. </w:t>
      </w:r>
      <w:r w:rsidRPr="001D75AE">
        <w:rPr>
          <w:rFonts w:eastAsia="Times New Roman"/>
          <w:i/>
          <w:iCs/>
          <w:color w:val="000000" w:themeColor="text1"/>
          <w:sz w:val="20"/>
          <w:szCs w:val="20"/>
        </w:rPr>
        <w:t>Cureus, 16</w:t>
      </w:r>
      <w:r w:rsidRPr="001D75AE">
        <w:rPr>
          <w:rFonts w:eastAsia="Times New Roman"/>
          <w:color w:val="000000" w:themeColor="text1"/>
          <w:sz w:val="20"/>
          <w:szCs w:val="20"/>
        </w:rPr>
        <w:t>(11), e73807. https://doi.org/10.7759/cureus.73807</w:t>
      </w:r>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Alruwaili, M., Basri, R., Al Ruwaili, R., Albarrak, A. M., &amp; Ali, N. H. (2023). </w:t>
      </w:r>
      <w:r w:rsidRPr="001D75AE">
        <w:rPr>
          <w:rFonts w:eastAsia="Times New Roman"/>
          <w:i/>
          <w:iCs/>
          <w:color w:val="000000" w:themeColor="text1"/>
          <w:sz w:val="20"/>
          <w:szCs w:val="20"/>
        </w:rPr>
        <w:t>Neurological implications of vitamin B</w:t>
      </w:r>
      <w:r w:rsidRPr="001D75AE">
        <w:rPr>
          <w:rFonts w:ascii="Cambria Math" w:eastAsia="Times New Roman" w:hAnsi="Cambria Math" w:cs="Cambria Math"/>
          <w:i/>
          <w:iCs/>
          <w:color w:val="000000" w:themeColor="text1"/>
          <w:sz w:val="20"/>
          <w:szCs w:val="20"/>
        </w:rPr>
        <w:t>₁₂</w:t>
      </w:r>
      <w:r w:rsidRPr="001D75AE">
        <w:rPr>
          <w:rFonts w:eastAsia="Times New Roman"/>
          <w:i/>
          <w:iCs/>
          <w:color w:val="000000" w:themeColor="text1"/>
          <w:sz w:val="20"/>
          <w:szCs w:val="20"/>
        </w:rPr>
        <w:t xml:space="preserve"> deficiency in diet: A systematic review and meta-analysis.Healthcare, 11</w:t>
      </w:r>
      <w:r w:rsidRPr="001D75AE">
        <w:rPr>
          <w:rFonts w:eastAsia="Times New Roman"/>
          <w:color w:val="000000" w:themeColor="text1"/>
          <w:sz w:val="20"/>
          <w:szCs w:val="20"/>
        </w:rPr>
        <w:t xml:space="preserve">(7), 958. </w:t>
      </w:r>
      <w:hyperlink r:id="rId24" w:history="1">
        <w:r w:rsidRPr="001D75AE">
          <w:rPr>
            <w:rStyle w:val="Hyperlink"/>
            <w:rFonts w:eastAsia="Times New Roman"/>
            <w:color w:val="000000" w:themeColor="text1"/>
            <w:sz w:val="20"/>
            <w:szCs w:val="20"/>
          </w:rPr>
          <w:t>https://doi.org/10.3390/healthcare11070958</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Domínguez-López, I., Kovatcheva, M., Casas, R., Toledo, E., Fitó, M., Ros, E., Estruch, R., Serrano, M., &amp;Lamuela-Raventós, R. M. (2024). Higher circulating vitamin B12 is associated with lower levels of inflammatory markers in individuals at high cardiovascular risk and in naturally aged mice. </w:t>
      </w:r>
      <w:r w:rsidRPr="001D75AE">
        <w:rPr>
          <w:rFonts w:eastAsia="Times New Roman"/>
          <w:i/>
          <w:iCs/>
          <w:color w:val="000000" w:themeColor="text1"/>
          <w:sz w:val="20"/>
          <w:szCs w:val="20"/>
        </w:rPr>
        <w:t>Journal of the Science of Food and Agriculture</w:t>
      </w:r>
      <w:r w:rsidRPr="001D75AE">
        <w:rPr>
          <w:rFonts w:eastAsia="Times New Roman"/>
          <w:color w:val="000000" w:themeColor="text1"/>
          <w:sz w:val="20"/>
          <w:szCs w:val="20"/>
        </w:rPr>
        <w:t xml:space="preserve">, </w:t>
      </w:r>
      <w:r w:rsidRPr="001D75AE">
        <w:rPr>
          <w:rFonts w:eastAsia="Times New Roman"/>
          <w:i/>
          <w:iCs/>
          <w:color w:val="000000" w:themeColor="text1"/>
          <w:sz w:val="20"/>
          <w:szCs w:val="20"/>
        </w:rPr>
        <w:t>104</w:t>
      </w:r>
      <w:r w:rsidRPr="001D75AE">
        <w:rPr>
          <w:rFonts w:eastAsia="Times New Roman"/>
          <w:color w:val="000000" w:themeColor="text1"/>
          <w:sz w:val="20"/>
          <w:szCs w:val="20"/>
        </w:rPr>
        <w:t>(2), 875-882. https://doi.org/10.1002/jsfa.12976</w:t>
      </w:r>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lastRenderedPageBreak/>
        <w:t xml:space="preserve">Niklewicz, A., Hannibal, L., Warren, M., &amp; Ahmadi, K. R. (2024). </w:t>
      </w:r>
      <w:r w:rsidRPr="001D75AE">
        <w:rPr>
          <w:rFonts w:eastAsia="Times New Roman"/>
          <w:i/>
          <w:iCs/>
          <w:color w:val="000000" w:themeColor="text1"/>
          <w:sz w:val="20"/>
          <w:szCs w:val="20"/>
        </w:rPr>
        <w:t>A systematic review and meta-analysis of functional vitamin B</w:t>
      </w:r>
      <w:r w:rsidRPr="001D75AE">
        <w:rPr>
          <w:rFonts w:ascii="Cambria Math" w:eastAsia="Times New Roman" w:hAnsi="Cambria Math" w:cs="Cambria Math"/>
          <w:i/>
          <w:iCs/>
          <w:color w:val="000000" w:themeColor="text1"/>
          <w:sz w:val="20"/>
          <w:szCs w:val="20"/>
        </w:rPr>
        <w:t>₁₂</w:t>
      </w:r>
      <w:r w:rsidRPr="001D75AE">
        <w:rPr>
          <w:rFonts w:eastAsia="Times New Roman"/>
          <w:i/>
          <w:iCs/>
          <w:color w:val="000000" w:themeColor="text1"/>
          <w:sz w:val="20"/>
          <w:szCs w:val="20"/>
        </w:rPr>
        <w:t xml:space="preserve"> status among adult vegans.Nutrition Bulletin, 49</w:t>
      </w:r>
      <w:r w:rsidRPr="001D75AE">
        <w:rPr>
          <w:rFonts w:eastAsia="Times New Roman"/>
          <w:color w:val="000000" w:themeColor="text1"/>
          <w:sz w:val="20"/>
          <w:szCs w:val="20"/>
        </w:rPr>
        <w:t xml:space="preserve">(4), 463–479. </w:t>
      </w:r>
      <w:hyperlink r:id="rId25" w:tgtFrame="_new" w:history="1">
        <w:r w:rsidRPr="001D75AE">
          <w:rPr>
            <w:rStyle w:val="Hyperlink"/>
            <w:rFonts w:eastAsia="Times New Roman"/>
            <w:color w:val="000000" w:themeColor="text1"/>
            <w:sz w:val="20"/>
            <w:szCs w:val="20"/>
          </w:rPr>
          <w:t>https://doi.org/10.1111/nbu.12712</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Sobczyńska-Malefora, A., Delvin, E., McCaddon, A., Ahmadi, K. R., &amp; Harrington, D. J. (2021). Vitamin B</w:t>
      </w:r>
      <w:r w:rsidRPr="001D75AE">
        <w:rPr>
          <w:rFonts w:eastAsia="Times New Roman"/>
          <w:color w:val="000000" w:themeColor="text1"/>
          <w:sz w:val="20"/>
          <w:szCs w:val="20"/>
          <w:vertAlign w:val="subscript"/>
        </w:rPr>
        <w:t>12</w:t>
      </w:r>
      <w:r w:rsidRPr="001D75AE">
        <w:rPr>
          <w:rFonts w:eastAsia="Times New Roman"/>
          <w:color w:val="000000" w:themeColor="text1"/>
          <w:sz w:val="20"/>
          <w:szCs w:val="20"/>
        </w:rPr>
        <w:t> status in health and disease: a critical review. Diagnosis of deficiency and insufficiency – clinical and laboratory pitfalls .</w:t>
      </w:r>
      <w:r w:rsidRPr="001D75AE">
        <w:rPr>
          <w:rFonts w:eastAsia="Times New Roman"/>
          <w:i/>
          <w:iCs/>
          <w:color w:val="000000" w:themeColor="text1"/>
          <w:sz w:val="20"/>
          <w:szCs w:val="20"/>
        </w:rPr>
        <w:t>Critical Reviews in Clinical Laboratory Sciences</w:t>
      </w:r>
      <w:r w:rsidRPr="001D75AE">
        <w:rPr>
          <w:rFonts w:eastAsia="Times New Roman"/>
          <w:color w:val="000000" w:themeColor="text1"/>
          <w:sz w:val="20"/>
          <w:szCs w:val="20"/>
        </w:rPr>
        <w:t>, </w:t>
      </w:r>
      <w:r w:rsidRPr="001D75AE">
        <w:rPr>
          <w:rFonts w:eastAsia="Times New Roman"/>
          <w:i/>
          <w:iCs/>
          <w:color w:val="000000" w:themeColor="text1"/>
          <w:sz w:val="20"/>
          <w:szCs w:val="20"/>
        </w:rPr>
        <w:t>58</w:t>
      </w:r>
      <w:r w:rsidRPr="001D75AE">
        <w:rPr>
          <w:rFonts w:eastAsia="Times New Roman"/>
          <w:color w:val="000000" w:themeColor="text1"/>
          <w:sz w:val="20"/>
          <w:szCs w:val="20"/>
        </w:rPr>
        <w:t xml:space="preserve">(6), 399–429. </w:t>
      </w:r>
      <w:hyperlink r:id="rId26" w:history="1">
        <w:r w:rsidRPr="001D75AE">
          <w:rPr>
            <w:rStyle w:val="Hyperlink"/>
            <w:rFonts w:eastAsia="Times New Roman"/>
            <w:color w:val="000000" w:themeColor="text1"/>
            <w:sz w:val="20"/>
            <w:szCs w:val="20"/>
          </w:rPr>
          <w:t>https://doi.org/10.1080/10408363.2021.1885339</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Pratama, S., et al. (2022). The efficacy of vitamin B12 supplementation for treating metformin-associated B12 deficiency: Systematic review. Diabetes Therapy, 13, 1125–1139.</w:t>
      </w:r>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Biswas, K., Kushwaha, V., Singh, J. K., &amp; Mir, A. A. (2024). </w:t>
      </w:r>
      <w:r w:rsidRPr="001D75AE">
        <w:rPr>
          <w:rFonts w:eastAsia="Times New Roman"/>
          <w:i/>
          <w:iCs/>
          <w:color w:val="000000" w:themeColor="text1"/>
          <w:sz w:val="20"/>
          <w:szCs w:val="20"/>
        </w:rPr>
        <w:t>Burden of Vitamin D and Vitamin B12 Deficiency among Older Patients in North India: A Single-Centre Study.Mædica, 19</w:t>
      </w:r>
      <w:r w:rsidRPr="001D75AE">
        <w:rPr>
          <w:rFonts w:eastAsia="Times New Roman"/>
          <w:color w:val="000000" w:themeColor="text1"/>
          <w:sz w:val="20"/>
          <w:szCs w:val="20"/>
        </w:rPr>
        <w:t xml:space="preserve">(3), 580–586. </w:t>
      </w:r>
      <w:hyperlink r:id="rId27" w:history="1">
        <w:r w:rsidRPr="001D75AE">
          <w:rPr>
            <w:rStyle w:val="Hyperlink"/>
            <w:rFonts w:eastAsia="Times New Roman"/>
            <w:color w:val="000000" w:themeColor="text1"/>
            <w:sz w:val="20"/>
            <w:szCs w:val="20"/>
          </w:rPr>
          <w:t>https://doi.org/10.26574/maedica.2024.19.3.580</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Al Amin, A. (2023). Vitamin B12 deficiency: Prevalence and nutritional challenges. </w:t>
      </w:r>
      <w:r w:rsidRPr="001D75AE">
        <w:rPr>
          <w:rFonts w:eastAsia="Times New Roman"/>
          <w:i/>
          <w:iCs/>
          <w:color w:val="000000" w:themeColor="text1"/>
          <w:sz w:val="20"/>
          <w:szCs w:val="20"/>
        </w:rPr>
        <w:t>Journal of Nutrition and Metabolism, 10</w:t>
      </w:r>
      <w:r w:rsidRPr="001D75AE">
        <w:rPr>
          <w:rFonts w:eastAsia="Times New Roman"/>
          <w:color w:val="000000" w:themeColor="text1"/>
          <w:sz w:val="20"/>
          <w:szCs w:val="20"/>
        </w:rPr>
        <w:t>(4), 125–138.</w:t>
      </w:r>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Aher, A., Navghare, P., &amp; Zawar, S. (2024). Study of clinical and haematological profile of vitamin B12 deficiency and to check response to vitamin B12 therapy. </w:t>
      </w:r>
      <w:r w:rsidRPr="001D75AE">
        <w:rPr>
          <w:rFonts w:eastAsia="Times New Roman"/>
          <w:i/>
          <w:iCs/>
          <w:color w:val="000000" w:themeColor="text1"/>
          <w:sz w:val="20"/>
          <w:szCs w:val="20"/>
        </w:rPr>
        <w:t>Vidarbha Journal of Internal Medicine, 33</w:t>
      </w:r>
      <w:r w:rsidRPr="001D75AE">
        <w:rPr>
          <w:rFonts w:eastAsia="Times New Roman"/>
          <w:color w:val="000000" w:themeColor="text1"/>
          <w:sz w:val="20"/>
          <w:szCs w:val="20"/>
        </w:rPr>
        <w:t xml:space="preserve">(1), 73–76. </w:t>
      </w:r>
      <w:hyperlink r:id="rId28" w:history="1">
        <w:r w:rsidRPr="001D75AE">
          <w:rPr>
            <w:rStyle w:val="Hyperlink"/>
            <w:rFonts w:eastAsia="Times New Roman"/>
            <w:sz w:val="20"/>
            <w:szCs w:val="20"/>
          </w:rPr>
          <w:t>https://doi.org/10.25259/VJIM_43_2022</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Obeid R, Andrès E, Češka R, Hooshmand B, Guéant-Rodriguez R-M, Prada GI, Sławek J, Traykov L, Ta Van B, Várkonyi T, et al. Diagnosis, Treatment and Long-Term Management of Vitamin B12 Deficiency in Adults: A Delphi Expert Consensus. </w:t>
      </w:r>
      <w:r w:rsidRPr="001D75AE">
        <w:rPr>
          <w:rFonts w:eastAsia="Times New Roman"/>
          <w:i/>
          <w:iCs/>
          <w:color w:val="000000" w:themeColor="text1"/>
          <w:sz w:val="20"/>
          <w:szCs w:val="20"/>
        </w:rPr>
        <w:t>Journal of Clinical Medicine</w:t>
      </w:r>
      <w:r w:rsidRPr="001D75AE">
        <w:rPr>
          <w:rFonts w:eastAsia="Times New Roman"/>
          <w:color w:val="000000" w:themeColor="text1"/>
          <w:sz w:val="20"/>
          <w:szCs w:val="20"/>
        </w:rPr>
        <w:t xml:space="preserve">. 2024; 13(8):2176. </w:t>
      </w:r>
      <w:hyperlink r:id="rId29" w:history="1">
        <w:r w:rsidRPr="001D75AE">
          <w:rPr>
            <w:rStyle w:val="Hyperlink"/>
            <w:rFonts w:eastAsia="Times New Roman"/>
            <w:color w:val="000000" w:themeColor="text1"/>
            <w:sz w:val="20"/>
            <w:szCs w:val="20"/>
          </w:rPr>
          <w:t>https://doi.org/10.3390/jcm13082176</w:t>
        </w:r>
      </w:hyperlink>
    </w:p>
    <w:p w:rsidR="00AE6BF4" w:rsidRPr="001D75AE" w:rsidRDefault="00AE6BF4"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Rizzo, G., Laganà, A. S., Rapisarda, A. M., La Ferrera, G. M., Buscema, M., Rossetti, P., Nigro, A., Muscia, V., Valenti, G., Sapia, F., Sarpietro, G., Zigarelli, M., &amp; Vitale, S. G. (2016). Vitamin B12 among Vegetarians: Status, Assessment and Supplementation. </w:t>
      </w:r>
      <w:r w:rsidRPr="001D75AE">
        <w:rPr>
          <w:rFonts w:eastAsia="Times New Roman"/>
          <w:i/>
          <w:iCs/>
          <w:color w:val="000000" w:themeColor="text1"/>
          <w:sz w:val="20"/>
          <w:szCs w:val="20"/>
        </w:rPr>
        <w:t>Nutrients</w:t>
      </w:r>
      <w:r w:rsidRPr="001D75AE">
        <w:rPr>
          <w:rFonts w:eastAsia="Times New Roman"/>
          <w:color w:val="000000" w:themeColor="text1"/>
          <w:sz w:val="20"/>
          <w:szCs w:val="20"/>
        </w:rPr>
        <w:t>, </w:t>
      </w:r>
      <w:r w:rsidRPr="001D75AE">
        <w:rPr>
          <w:rFonts w:eastAsia="Times New Roman"/>
          <w:i/>
          <w:iCs/>
          <w:color w:val="000000" w:themeColor="text1"/>
          <w:sz w:val="20"/>
          <w:szCs w:val="20"/>
        </w:rPr>
        <w:t>8</w:t>
      </w:r>
      <w:r w:rsidRPr="001D75AE">
        <w:rPr>
          <w:rFonts w:eastAsia="Times New Roman"/>
          <w:color w:val="000000" w:themeColor="text1"/>
          <w:sz w:val="20"/>
          <w:szCs w:val="20"/>
        </w:rPr>
        <w:t xml:space="preserve">(12), 767. </w:t>
      </w:r>
      <w:hyperlink r:id="rId30" w:history="1">
        <w:r w:rsidRPr="001D75AE">
          <w:rPr>
            <w:rStyle w:val="Hyperlink"/>
            <w:rFonts w:eastAsia="Times New Roman"/>
            <w:color w:val="000000" w:themeColor="text1"/>
            <w:sz w:val="20"/>
            <w:szCs w:val="20"/>
          </w:rPr>
          <w:t>https://doi.org/10.3390/nu8120767</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 xml:space="preserve">Pawlak, R., Parrott, S. J., Raj, S., et al. (2013). </w:t>
      </w:r>
      <w:r w:rsidRPr="001D75AE">
        <w:rPr>
          <w:rFonts w:eastAsia="Times New Roman"/>
          <w:i/>
          <w:iCs/>
          <w:color w:val="000000" w:themeColor="text1"/>
          <w:sz w:val="20"/>
          <w:szCs w:val="20"/>
        </w:rPr>
        <w:t>How prevalent is vitamin B</w:t>
      </w:r>
      <w:r w:rsidRPr="001D75AE">
        <w:rPr>
          <w:rFonts w:ascii="Cambria Math" w:eastAsia="Times New Roman" w:hAnsi="Cambria Math" w:cs="Cambria Math"/>
          <w:i/>
          <w:iCs/>
          <w:color w:val="000000" w:themeColor="text1"/>
          <w:sz w:val="20"/>
          <w:szCs w:val="20"/>
        </w:rPr>
        <w:t>₁₂</w:t>
      </w:r>
      <w:r w:rsidRPr="001D75AE">
        <w:rPr>
          <w:rFonts w:eastAsia="Times New Roman"/>
          <w:i/>
          <w:iCs/>
          <w:color w:val="000000" w:themeColor="text1"/>
          <w:sz w:val="20"/>
          <w:szCs w:val="20"/>
        </w:rPr>
        <w:t xml:space="preserve"> deficiency among vegetarians?</w:t>
      </w:r>
      <w:r w:rsidRPr="001D75AE">
        <w:rPr>
          <w:rFonts w:eastAsia="Times New Roman"/>
          <w:color w:val="000000" w:themeColor="text1"/>
          <w:sz w:val="20"/>
          <w:szCs w:val="20"/>
        </w:rPr>
        <w:t xml:space="preserve"> Nutrition Reviews, 71(2), 110–117. </w:t>
      </w:r>
      <w:hyperlink r:id="rId31" w:tgtFrame="_new" w:history="1">
        <w:r w:rsidRPr="001D75AE">
          <w:rPr>
            <w:rStyle w:val="Hyperlink"/>
            <w:rFonts w:eastAsia="Times New Roman"/>
            <w:color w:val="000000" w:themeColor="text1"/>
            <w:sz w:val="20"/>
            <w:szCs w:val="20"/>
          </w:rPr>
          <w:t>https://doi.org/10.1111/nure.12001</w:t>
        </w:r>
      </w:hyperlink>
    </w:p>
    <w:p w:rsidR="00AD17A6" w:rsidRPr="001D75AE" w:rsidRDefault="00AD17A6" w:rsidP="00AD17A6">
      <w:pPr>
        <w:pStyle w:val="Normal1"/>
        <w:numPr>
          <w:ilvl w:val="0"/>
          <w:numId w:val="33"/>
        </w:numPr>
        <w:spacing w:line="360" w:lineRule="auto"/>
        <w:jc w:val="both"/>
        <w:rPr>
          <w:rFonts w:eastAsia="Times New Roman"/>
          <w:color w:val="000000" w:themeColor="text1"/>
          <w:sz w:val="20"/>
          <w:szCs w:val="20"/>
        </w:rPr>
      </w:pPr>
      <w:r w:rsidRPr="001D75AE">
        <w:rPr>
          <w:rFonts w:eastAsia="Times New Roman"/>
          <w:color w:val="000000" w:themeColor="text1"/>
          <w:sz w:val="20"/>
          <w:szCs w:val="20"/>
        </w:rPr>
        <w:t>Sowndarya K, Basavaiah S. H, Shenoy R, Hegde A. Proportion and Associated Factors of Vitamin B12 Deficiency - A Retrospective Laboratory-Based Study. Curr Res Nutr Food Sci 2019; 7(3). doi : </w:t>
      </w:r>
      <w:hyperlink r:id="rId32" w:history="1">
        <w:r w:rsidRPr="001D75AE">
          <w:rPr>
            <w:rStyle w:val="Hyperlink"/>
            <w:rFonts w:eastAsia="Times New Roman"/>
            <w:color w:val="000000" w:themeColor="text1"/>
            <w:sz w:val="20"/>
            <w:szCs w:val="20"/>
          </w:rPr>
          <w:t>http://dx.doi.org/10.12944/CRNFSJ.7.3.07</w:t>
        </w:r>
      </w:hyperlink>
    </w:p>
    <w:p w:rsidR="00AE73CA" w:rsidRPr="001D75AE" w:rsidRDefault="00AD17A6" w:rsidP="00C464AC">
      <w:pPr>
        <w:pStyle w:val="NormalWeb"/>
        <w:numPr>
          <w:ilvl w:val="0"/>
          <w:numId w:val="33"/>
        </w:numPr>
        <w:spacing w:line="360" w:lineRule="auto"/>
        <w:rPr>
          <w:rFonts w:ascii="Arial" w:hAnsi="Arial" w:cs="Arial"/>
          <w:sz w:val="20"/>
          <w:szCs w:val="20"/>
        </w:rPr>
      </w:pPr>
      <w:r w:rsidRPr="001D75AE">
        <w:rPr>
          <w:rStyle w:val="Strong"/>
          <w:rFonts w:ascii="Arial" w:hAnsi="Arial" w:cs="Arial"/>
          <w:b w:val="0"/>
          <w:bCs w:val="0"/>
          <w:sz w:val="20"/>
          <w:szCs w:val="20"/>
        </w:rPr>
        <w:t xml:space="preserve">Kumar, R., Singh, U., Tiwari, A., Tiwari, P., Sahu, J. K., &amp; Sharma, S. (2023). Vitamin B12: Strategies for enhanced production, fortified functional food products and health benefits. </w:t>
      </w:r>
      <w:r w:rsidRPr="001D75AE">
        <w:rPr>
          <w:rStyle w:val="Emphasis"/>
          <w:rFonts w:ascii="Arial" w:hAnsi="Arial" w:cs="Arial"/>
          <w:sz w:val="20"/>
          <w:szCs w:val="20"/>
        </w:rPr>
        <w:t>Process Biochemistry, 127</w:t>
      </w:r>
      <w:r w:rsidRPr="001D75AE">
        <w:rPr>
          <w:rStyle w:val="Strong"/>
          <w:rFonts w:ascii="Arial" w:hAnsi="Arial" w:cs="Arial"/>
          <w:b w:val="0"/>
          <w:bCs w:val="0"/>
          <w:sz w:val="20"/>
          <w:szCs w:val="20"/>
        </w:rPr>
        <w:t xml:space="preserve">, 44–55. </w:t>
      </w:r>
      <w:hyperlink r:id="rId33" w:history="1">
        <w:r w:rsidRPr="001D75AE">
          <w:rPr>
            <w:rStyle w:val="Hyperlink"/>
            <w:rFonts w:ascii="Arial" w:hAnsi="Arial" w:cs="Arial"/>
            <w:sz w:val="20"/>
            <w:szCs w:val="20"/>
          </w:rPr>
          <w:t>https://doi.org/10.1016/j.procbio.2023.02.002</w:t>
        </w:r>
      </w:hyperlink>
      <w:bookmarkEnd w:id="2"/>
    </w:p>
    <w:bookmarkEnd w:id="3"/>
    <w:p w:rsidR="00C464AC" w:rsidRPr="001D75AE" w:rsidRDefault="00C464AC" w:rsidP="00C464AC">
      <w:pPr>
        <w:pStyle w:val="NormalWeb"/>
        <w:numPr>
          <w:ilvl w:val="0"/>
          <w:numId w:val="33"/>
        </w:numPr>
        <w:spacing w:line="360" w:lineRule="auto"/>
        <w:rPr>
          <w:rFonts w:ascii="Arial" w:hAnsi="Arial" w:cs="Arial"/>
          <w:sz w:val="20"/>
          <w:szCs w:val="20"/>
        </w:rPr>
      </w:pPr>
      <w:r w:rsidRPr="001D75AE">
        <w:rPr>
          <w:rFonts w:ascii="Arial" w:hAnsi="Arial" w:cs="Arial"/>
          <w:sz w:val="20"/>
          <w:szCs w:val="20"/>
        </w:rPr>
        <w:t xml:space="preserve">Barmak, F., &amp; Numan, J. (2024). </w:t>
      </w:r>
      <w:r w:rsidRPr="001D75AE">
        <w:rPr>
          <w:rFonts w:ascii="Arial" w:hAnsi="Arial" w:cs="Arial"/>
          <w:i/>
          <w:iCs/>
          <w:sz w:val="20"/>
          <w:szCs w:val="20"/>
        </w:rPr>
        <w:t>Nitrous Oxide-Induced Vitamin B12 Deficiency and Myelopathy in Whippets Abusers: A Report of Two Cases</w:t>
      </w:r>
      <w:r w:rsidRPr="001D75AE">
        <w:rPr>
          <w:rFonts w:ascii="Arial" w:hAnsi="Arial" w:cs="Arial"/>
          <w:sz w:val="20"/>
          <w:szCs w:val="20"/>
        </w:rPr>
        <w:t xml:space="preserve">. </w:t>
      </w:r>
      <w:r w:rsidRPr="001D75AE">
        <w:rPr>
          <w:rFonts w:ascii="Arial" w:hAnsi="Arial" w:cs="Arial"/>
          <w:i/>
          <w:iCs/>
          <w:sz w:val="20"/>
          <w:szCs w:val="20"/>
        </w:rPr>
        <w:t>Cureus, 16</w:t>
      </w:r>
      <w:r w:rsidRPr="001D75AE">
        <w:rPr>
          <w:rFonts w:ascii="Arial" w:hAnsi="Arial" w:cs="Arial"/>
          <w:sz w:val="20"/>
          <w:szCs w:val="20"/>
        </w:rPr>
        <w:t>(11), e73807. https://doi.org/10.7759/cureus.73807</w:t>
      </w:r>
    </w:p>
    <w:p w:rsidR="0094767A" w:rsidRPr="0019055A" w:rsidRDefault="0094767A" w:rsidP="0094767A">
      <w:pPr>
        <w:pStyle w:val="Normal1"/>
        <w:spacing w:line="360" w:lineRule="auto"/>
        <w:ind w:left="360"/>
        <w:jc w:val="both"/>
        <w:rPr>
          <w:rFonts w:eastAsia="Times New Roman"/>
          <w:sz w:val="20"/>
          <w:szCs w:val="20"/>
        </w:rPr>
      </w:pPr>
    </w:p>
    <w:p w:rsidR="00B01FCD" w:rsidRPr="0019055A" w:rsidRDefault="00B01FCD" w:rsidP="00441B6F">
      <w:pPr>
        <w:pStyle w:val="Reference"/>
        <w:numPr>
          <w:ilvl w:val="0"/>
          <w:numId w:val="0"/>
        </w:numPr>
        <w:spacing w:line="240" w:lineRule="auto"/>
        <w:rPr>
          <w:rFonts w:ascii="Arial" w:hAnsi="Arial" w:cs="Arial"/>
        </w:rPr>
      </w:pPr>
    </w:p>
    <w:p w:rsidR="000B225A" w:rsidRPr="0019055A" w:rsidRDefault="000B225A" w:rsidP="00441B6F">
      <w:pPr>
        <w:pStyle w:val="Body"/>
        <w:spacing w:after="0"/>
        <w:rPr>
          <w:rFonts w:ascii="Arial" w:hAnsi="Arial" w:cs="Arial"/>
        </w:rPr>
      </w:pPr>
    </w:p>
    <w:p w:rsidR="00B01FCD" w:rsidRPr="0019055A" w:rsidRDefault="00B01FCD" w:rsidP="00441B6F">
      <w:pPr>
        <w:pStyle w:val="Appendix"/>
        <w:spacing w:after="0"/>
        <w:jc w:val="both"/>
        <w:rPr>
          <w:rFonts w:ascii="Arial" w:hAnsi="Arial" w:cs="Arial"/>
          <w:b w:val="0"/>
        </w:rPr>
      </w:pPr>
    </w:p>
    <w:sectPr w:rsidR="00B01FCD" w:rsidRPr="0019055A" w:rsidSect="00964E8D">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005" w:rsidRDefault="005F4005" w:rsidP="00C37E61">
      <w:r>
        <w:separator/>
      </w:r>
    </w:p>
  </w:endnote>
  <w:endnote w:type="continuationSeparator" w:id="1">
    <w:p w:rsidR="005F4005" w:rsidRDefault="005F4005"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8D" w:rsidRDefault="00964E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8D" w:rsidRDefault="00964E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005" w:rsidRDefault="005F4005" w:rsidP="00C37E61">
      <w:r>
        <w:separator/>
      </w:r>
    </w:p>
  </w:footnote>
  <w:footnote w:type="continuationSeparator" w:id="1">
    <w:p w:rsidR="005F4005" w:rsidRDefault="005F4005"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8D" w:rsidRDefault="00BB4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8D" w:rsidRDefault="00BB4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BB49FF" w:rsidP="00296529">
    <w:pPr>
      <w:ind w:left="2160"/>
      <w:jc w:val="center"/>
      <w:rPr>
        <w:rFonts w:ascii="Times New Roman" w:eastAsia="Calibri" w:hAnsi="Times New Roman"/>
        <w:i/>
        <w:sz w:val="18"/>
        <w:szCs w:val="22"/>
      </w:rPr>
    </w:pPr>
    <w:r w:rsidRPr="00BB49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8D" w:rsidRDefault="00BB4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8D" w:rsidRDefault="00BB4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8D" w:rsidRDefault="00BB4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ED17AA"/>
    <w:multiLevelType w:val="hybridMultilevel"/>
    <w:tmpl w:val="399C95A2"/>
    <w:lvl w:ilvl="0" w:tplc="570E0B4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3A95D01"/>
    <w:multiLevelType w:val="hybridMultilevel"/>
    <w:tmpl w:val="5CCC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203AD3"/>
    <w:multiLevelType w:val="hybridMultilevel"/>
    <w:tmpl w:val="5CCC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7"/>
  </w:num>
  <w:num w:numId="19">
    <w:abstractNumId w:val="31"/>
  </w:num>
  <w:num w:numId="20">
    <w:abstractNumId w:val="13"/>
  </w:num>
  <w:num w:numId="21">
    <w:abstractNumId w:val="11"/>
  </w:num>
  <w:num w:numId="22">
    <w:abstractNumId w:val="16"/>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15"/>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1099E"/>
    <w:rsid w:val="00016BB7"/>
    <w:rsid w:val="00030174"/>
    <w:rsid w:val="0004579C"/>
    <w:rsid w:val="00090CC3"/>
    <w:rsid w:val="000A47FA"/>
    <w:rsid w:val="000A4AEA"/>
    <w:rsid w:val="000A65D3"/>
    <w:rsid w:val="000B1E33"/>
    <w:rsid w:val="000B225A"/>
    <w:rsid w:val="000D2FB9"/>
    <w:rsid w:val="000D689F"/>
    <w:rsid w:val="000E7B7B"/>
    <w:rsid w:val="000E7D62"/>
    <w:rsid w:val="000F71F0"/>
    <w:rsid w:val="00103357"/>
    <w:rsid w:val="0011564E"/>
    <w:rsid w:val="00123C9F"/>
    <w:rsid w:val="00126190"/>
    <w:rsid w:val="00130F17"/>
    <w:rsid w:val="001320BF"/>
    <w:rsid w:val="00136643"/>
    <w:rsid w:val="00147A47"/>
    <w:rsid w:val="00161FCC"/>
    <w:rsid w:val="00163BC4"/>
    <w:rsid w:val="0019055A"/>
    <w:rsid w:val="00191062"/>
    <w:rsid w:val="00192B72"/>
    <w:rsid w:val="001A29D8"/>
    <w:rsid w:val="001A5CAA"/>
    <w:rsid w:val="001B0427"/>
    <w:rsid w:val="001C253C"/>
    <w:rsid w:val="001C570F"/>
    <w:rsid w:val="001C6538"/>
    <w:rsid w:val="001D3A51"/>
    <w:rsid w:val="001D75AE"/>
    <w:rsid w:val="001E10D2"/>
    <w:rsid w:val="001E25B4"/>
    <w:rsid w:val="001E44FE"/>
    <w:rsid w:val="001F3840"/>
    <w:rsid w:val="00200595"/>
    <w:rsid w:val="00204835"/>
    <w:rsid w:val="00231920"/>
    <w:rsid w:val="0023195C"/>
    <w:rsid w:val="00240C97"/>
    <w:rsid w:val="0024282C"/>
    <w:rsid w:val="002450C5"/>
    <w:rsid w:val="002460DC"/>
    <w:rsid w:val="00250985"/>
    <w:rsid w:val="002539AA"/>
    <w:rsid w:val="002556F6"/>
    <w:rsid w:val="0027488F"/>
    <w:rsid w:val="00283105"/>
    <w:rsid w:val="00284C4C"/>
    <w:rsid w:val="00287E68"/>
    <w:rsid w:val="00296529"/>
    <w:rsid w:val="00296A87"/>
    <w:rsid w:val="002B27FB"/>
    <w:rsid w:val="002B685A"/>
    <w:rsid w:val="002C57D2"/>
    <w:rsid w:val="002E0D56"/>
    <w:rsid w:val="00315186"/>
    <w:rsid w:val="00323AE5"/>
    <w:rsid w:val="0033343E"/>
    <w:rsid w:val="00342A4D"/>
    <w:rsid w:val="003512C2"/>
    <w:rsid w:val="0035337A"/>
    <w:rsid w:val="00371FB6"/>
    <w:rsid w:val="003763C1"/>
    <w:rsid w:val="00376BBE"/>
    <w:rsid w:val="00384B2F"/>
    <w:rsid w:val="0039224F"/>
    <w:rsid w:val="003A43A4"/>
    <w:rsid w:val="003A7E18"/>
    <w:rsid w:val="003C3549"/>
    <w:rsid w:val="003C4C86"/>
    <w:rsid w:val="003C6258"/>
    <w:rsid w:val="003E2904"/>
    <w:rsid w:val="003E591A"/>
    <w:rsid w:val="003F27E9"/>
    <w:rsid w:val="003F2B5E"/>
    <w:rsid w:val="00401927"/>
    <w:rsid w:val="0041027F"/>
    <w:rsid w:val="00412475"/>
    <w:rsid w:val="00423789"/>
    <w:rsid w:val="0042385C"/>
    <w:rsid w:val="00440F43"/>
    <w:rsid w:val="00441B6F"/>
    <w:rsid w:val="00446221"/>
    <w:rsid w:val="00450E62"/>
    <w:rsid w:val="00452CA2"/>
    <w:rsid w:val="004539DB"/>
    <w:rsid w:val="00471A80"/>
    <w:rsid w:val="004D305E"/>
    <w:rsid w:val="004D4277"/>
    <w:rsid w:val="00502516"/>
    <w:rsid w:val="0050407F"/>
    <w:rsid w:val="00505F06"/>
    <w:rsid w:val="00506828"/>
    <w:rsid w:val="00523CDD"/>
    <w:rsid w:val="0053056E"/>
    <w:rsid w:val="00535C99"/>
    <w:rsid w:val="00543C25"/>
    <w:rsid w:val="0055397A"/>
    <w:rsid w:val="00554FDA"/>
    <w:rsid w:val="00555DB9"/>
    <w:rsid w:val="00557AC6"/>
    <w:rsid w:val="00562789"/>
    <w:rsid w:val="00571F6E"/>
    <w:rsid w:val="005A53E7"/>
    <w:rsid w:val="005B4A37"/>
    <w:rsid w:val="005C2410"/>
    <w:rsid w:val="005C7757"/>
    <w:rsid w:val="005C784C"/>
    <w:rsid w:val="005D17F6"/>
    <w:rsid w:val="005E17B9"/>
    <w:rsid w:val="005E5442"/>
    <w:rsid w:val="005E5539"/>
    <w:rsid w:val="005F4005"/>
    <w:rsid w:val="00602BF5"/>
    <w:rsid w:val="006163B7"/>
    <w:rsid w:val="00617FDD"/>
    <w:rsid w:val="006263E0"/>
    <w:rsid w:val="00633614"/>
    <w:rsid w:val="00633F68"/>
    <w:rsid w:val="00636AAB"/>
    <w:rsid w:val="00636EB2"/>
    <w:rsid w:val="006375B8"/>
    <w:rsid w:val="006430FD"/>
    <w:rsid w:val="00664916"/>
    <w:rsid w:val="0066510A"/>
    <w:rsid w:val="00665411"/>
    <w:rsid w:val="00673F9F"/>
    <w:rsid w:val="00686953"/>
    <w:rsid w:val="00687DEA"/>
    <w:rsid w:val="00687E67"/>
    <w:rsid w:val="00694433"/>
    <w:rsid w:val="006967F7"/>
    <w:rsid w:val="006A250C"/>
    <w:rsid w:val="006B21D3"/>
    <w:rsid w:val="006B57D0"/>
    <w:rsid w:val="006B58AE"/>
    <w:rsid w:val="006C31EC"/>
    <w:rsid w:val="006D30FF"/>
    <w:rsid w:val="006D6940"/>
    <w:rsid w:val="006F11EC"/>
    <w:rsid w:val="0070082C"/>
    <w:rsid w:val="0071539C"/>
    <w:rsid w:val="007369E6"/>
    <w:rsid w:val="0074396A"/>
    <w:rsid w:val="00746E59"/>
    <w:rsid w:val="00754C9A"/>
    <w:rsid w:val="0075599A"/>
    <w:rsid w:val="00761D52"/>
    <w:rsid w:val="0077749E"/>
    <w:rsid w:val="00790ADA"/>
    <w:rsid w:val="007D2288"/>
    <w:rsid w:val="007E088F"/>
    <w:rsid w:val="007F33CA"/>
    <w:rsid w:val="007F7B32"/>
    <w:rsid w:val="00804BC2"/>
    <w:rsid w:val="0081431A"/>
    <w:rsid w:val="008152C2"/>
    <w:rsid w:val="008211DE"/>
    <w:rsid w:val="0082656E"/>
    <w:rsid w:val="0083216F"/>
    <w:rsid w:val="00860000"/>
    <w:rsid w:val="00863BD3"/>
    <w:rsid w:val="008641ED"/>
    <w:rsid w:val="00866D66"/>
    <w:rsid w:val="008671C6"/>
    <w:rsid w:val="00875803"/>
    <w:rsid w:val="008942DF"/>
    <w:rsid w:val="008B459E"/>
    <w:rsid w:val="008D6622"/>
    <w:rsid w:val="008E13AE"/>
    <w:rsid w:val="008E1506"/>
    <w:rsid w:val="008E710C"/>
    <w:rsid w:val="008F69D6"/>
    <w:rsid w:val="00902823"/>
    <w:rsid w:val="00913FE1"/>
    <w:rsid w:val="00915CA6"/>
    <w:rsid w:val="00927834"/>
    <w:rsid w:val="0094767A"/>
    <w:rsid w:val="009500A6"/>
    <w:rsid w:val="00957C18"/>
    <w:rsid w:val="00964E8D"/>
    <w:rsid w:val="009659BA"/>
    <w:rsid w:val="009662FC"/>
    <w:rsid w:val="00983040"/>
    <w:rsid w:val="0098778A"/>
    <w:rsid w:val="009B3FB9"/>
    <w:rsid w:val="009C0E73"/>
    <w:rsid w:val="009C2465"/>
    <w:rsid w:val="009C2521"/>
    <w:rsid w:val="009C7D26"/>
    <w:rsid w:val="009D35A0"/>
    <w:rsid w:val="009D7EB7"/>
    <w:rsid w:val="009E048A"/>
    <w:rsid w:val="009E08E9"/>
    <w:rsid w:val="009E3C4E"/>
    <w:rsid w:val="009E3DB9"/>
    <w:rsid w:val="009E5C67"/>
    <w:rsid w:val="009E6E35"/>
    <w:rsid w:val="009F0EDA"/>
    <w:rsid w:val="00A03B96"/>
    <w:rsid w:val="00A05B19"/>
    <w:rsid w:val="00A106F9"/>
    <w:rsid w:val="00A1134E"/>
    <w:rsid w:val="00A23219"/>
    <w:rsid w:val="00A24E7E"/>
    <w:rsid w:val="00A258C3"/>
    <w:rsid w:val="00A33295"/>
    <w:rsid w:val="00A347C0"/>
    <w:rsid w:val="00A51431"/>
    <w:rsid w:val="00A539AD"/>
    <w:rsid w:val="00A94063"/>
    <w:rsid w:val="00A95AFA"/>
    <w:rsid w:val="00AA1100"/>
    <w:rsid w:val="00AA6219"/>
    <w:rsid w:val="00AA74E0"/>
    <w:rsid w:val="00AB703F"/>
    <w:rsid w:val="00AC6BB8"/>
    <w:rsid w:val="00AD17A6"/>
    <w:rsid w:val="00AE008F"/>
    <w:rsid w:val="00AE6BF4"/>
    <w:rsid w:val="00AE73CA"/>
    <w:rsid w:val="00B01FCD"/>
    <w:rsid w:val="00B02353"/>
    <w:rsid w:val="00B1776C"/>
    <w:rsid w:val="00B52583"/>
    <w:rsid w:val="00B52896"/>
    <w:rsid w:val="00B55A60"/>
    <w:rsid w:val="00B84952"/>
    <w:rsid w:val="00B95236"/>
    <w:rsid w:val="00B96BD9"/>
    <w:rsid w:val="00BA1B01"/>
    <w:rsid w:val="00BA2641"/>
    <w:rsid w:val="00BB37AA"/>
    <w:rsid w:val="00BB49FF"/>
    <w:rsid w:val="00BC53A0"/>
    <w:rsid w:val="00BD524E"/>
    <w:rsid w:val="00BD6C30"/>
    <w:rsid w:val="00BE62AD"/>
    <w:rsid w:val="00BF121F"/>
    <w:rsid w:val="00BF1F80"/>
    <w:rsid w:val="00BF2CA9"/>
    <w:rsid w:val="00BF5155"/>
    <w:rsid w:val="00C166EF"/>
    <w:rsid w:val="00C17EB0"/>
    <w:rsid w:val="00C2409C"/>
    <w:rsid w:val="00C27F5F"/>
    <w:rsid w:val="00C30A0F"/>
    <w:rsid w:val="00C34BE5"/>
    <w:rsid w:val="00C37E61"/>
    <w:rsid w:val="00C464AC"/>
    <w:rsid w:val="00C67500"/>
    <w:rsid w:val="00C70F1B"/>
    <w:rsid w:val="00C71A47"/>
    <w:rsid w:val="00C7464C"/>
    <w:rsid w:val="00C81CFE"/>
    <w:rsid w:val="00C83D45"/>
    <w:rsid w:val="00C85588"/>
    <w:rsid w:val="00CD6755"/>
    <w:rsid w:val="00CD6856"/>
    <w:rsid w:val="00CE0089"/>
    <w:rsid w:val="00CE793C"/>
    <w:rsid w:val="00CF193C"/>
    <w:rsid w:val="00D046A4"/>
    <w:rsid w:val="00D173F1"/>
    <w:rsid w:val="00D614D7"/>
    <w:rsid w:val="00D71C82"/>
    <w:rsid w:val="00D74CB0"/>
    <w:rsid w:val="00D8295D"/>
    <w:rsid w:val="00D91D2E"/>
    <w:rsid w:val="00DA7AE6"/>
    <w:rsid w:val="00DB3ABF"/>
    <w:rsid w:val="00DC2A65"/>
    <w:rsid w:val="00DD5AB1"/>
    <w:rsid w:val="00DE15F0"/>
    <w:rsid w:val="00DE5663"/>
    <w:rsid w:val="00DE78AA"/>
    <w:rsid w:val="00E053D0"/>
    <w:rsid w:val="00E15994"/>
    <w:rsid w:val="00E3114E"/>
    <w:rsid w:val="00E31A70"/>
    <w:rsid w:val="00E33445"/>
    <w:rsid w:val="00E35B02"/>
    <w:rsid w:val="00E66496"/>
    <w:rsid w:val="00E66B35"/>
    <w:rsid w:val="00E66E10"/>
    <w:rsid w:val="00E769F6"/>
    <w:rsid w:val="00E77891"/>
    <w:rsid w:val="00E8407C"/>
    <w:rsid w:val="00E84F3C"/>
    <w:rsid w:val="00E86729"/>
    <w:rsid w:val="00EA012C"/>
    <w:rsid w:val="00EB0A2F"/>
    <w:rsid w:val="00EC6A55"/>
    <w:rsid w:val="00ED0288"/>
    <w:rsid w:val="00ED50B7"/>
    <w:rsid w:val="00EE52CB"/>
    <w:rsid w:val="00EE7BA9"/>
    <w:rsid w:val="00EF581D"/>
    <w:rsid w:val="00EF7FD8"/>
    <w:rsid w:val="00F00C9D"/>
    <w:rsid w:val="00F06F59"/>
    <w:rsid w:val="00F17988"/>
    <w:rsid w:val="00F469F0"/>
    <w:rsid w:val="00F53273"/>
    <w:rsid w:val="00F72D06"/>
    <w:rsid w:val="00F755E4"/>
    <w:rsid w:val="00F77D02"/>
    <w:rsid w:val="00F77D12"/>
    <w:rsid w:val="00FA778D"/>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7439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rmal1">
    <w:name w:val="Normal1"/>
    <w:rsid w:val="0035337A"/>
    <w:pPr>
      <w:spacing w:line="276" w:lineRule="auto"/>
    </w:pPr>
    <w:rPr>
      <w:rFonts w:ascii="Arial" w:eastAsia="Arial" w:hAnsi="Arial" w:cs="Arial"/>
      <w:sz w:val="22"/>
      <w:szCs w:val="22"/>
    </w:rPr>
  </w:style>
  <w:style w:type="character" w:styleId="Strong">
    <w:name w:val="Strong"/>
    <w:basedOn w:val="DefaultParagraphFont"/>
    <w:uiPriority w:val="22"/>
    <w:qFormat/>
    <w:rsid w:val="00BF5155"/>
    <w:rPr>
      <w:b/>
      <w:bCs/>
    </w:rPr>
  </w:style>
  <w:style w:type="paragraph" w:styleId="NormalWeb">
    <w:name w:val="Normal (Web)"/>
    <w:basedOn w:val="Normal"/>
    <w:uiPriority w:val="99"/>
    <w:unhideWhenUsed/>
    <w:rsid w:val="00BF5155"/>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F5155"/>
    <w:pPr>
      <w:spacing w:after="200" w:line="276" w:lineRule="auto"/>
      <w:ind w:left="720"/>
      <w:contextualSpacing/>
    </w:pPr>
    <w:rPr>
      <w:rFonts w:asciiTheme="minorHAnsi" w:eastAsiaTheme="minorHAnsi" w:hAnsiTheme="minorHAnsi" w:cstheme="minorBidi"/>
      <w:sz w:val="22"/>
      <w:szCs w:val="22"/>
    </w:rPr>
  </w:style>
  <w:style w:type="table" w:customStyle="1" w:styleId="GridTable1Light-Accent51">
    <w:name w:val="Grid Table 1 Light - Accent 51"/>
    <w:basedOn w:val="TableNormal"/>
    <w:uiPriority w:val="46"/>
    <w:rsid w:val="00BF5155"/>
    <w:rPr>
      <w:rFonts w:ascii="Arial" w:eastAsia="Arial" w:hAnsi="Arial" w:cs="Arial"/>
      <w:sz w:val="22"/>
      <w:szCs w:val="22"/>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rsid w:val="0074396A"/>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5E5442"/>
    <w:rPr>
      <w:rFonts w:ascii="Arial" w:eastAsia="Arial" w:hAnsi="Arial" w:cs="Arial"/>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A106F9"/>
    <w:rPr>
      <w:color w:val="605E5C"/>
      <w:shd w:val="clear" w:color="auto" w:fill="E1DFDD"/>
    </w:rPr>
  </w:style>
  <w:style w:type="paragraph" w:styleId="CommentSubject">
    <w:name w:val="annotation subject"/>
    <w:basedOn w:val="CommentText"/>
    <w:next w:val="CommentText"/>
    <w:link w:val="CommentSubjectChar"/>
    <w:semiHidden/>
    <w:unhideWhenUsed/>
    <w:rsid w:val="00D71C82"/>
    <w:rPr>
      <w:rFonts w:ascii="Helvetica" w:hAnsi="Helvetica"/>
      <w:b/>
      <w:bCs/>
      <w:lang w:val="en-US" w:eastAsia="en-US"/>
    </w:rPr>
  </w:style>
  <w:style w:type="character" w:customStyle="1" w:styleId="CommentSubjectChar">
    <w:name w:val="Comment Subject Char"/>
    <w:basedOn w:val="CommentTextChar"/>
    <w:link w:val="CommentSubject"/>
    <w:semiHidden/>
    <w:rsid w:val="00D71C82"/>
    <w:rPr>
      <w:rFonts w:ascii="Helvetica" w:hAnsi="Helvetica"/>
      <w:b/>
      <w:bCs/>
      <w:lang w:val="nb-NO" w:eastAsia="nb-NO"/>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9839947">
      <w:bodyDiv w:val="1"/>
      <w:marLeft w:val="0"/>
      <w:marRight w:val="0"/>
      <w:marTop w:val="0"/>
      <w:marBottom w:val="0"/>
      <w:divBdr>
        <w:top w:val="none" w:sz="0" w:space="0" w:color="auto"/>
        <w:left w:val="none" w:sz="0" w:space="0" w:color="auto"/>
        <w:bottom w:val="none" w:sz="0" w:space="0" w:color="auto"/>
        <w:right w:val="none" w:sz="0" w:space="0" w:color="auto"/>
      </w:divBdr>
    </w:div>
    <w:div w:id="8061252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1335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0887150">
      <w:bodyDiv w:val="1"/>
      <w:marLeft w:val="0"/>
      <w:marRight w:val="0"/>
      <w:marTop w:val="0"/>
      <w:marBottom w:val="0"/>
      <w:divBdr>
        <w:top w:val="none" w:sz="0" w:space="0" w:color="auto"/>
        <w:left w:val="none" w:sz="0" w:space="0" w:color="auto"/>
        <w:bottom w:val="none" w:sz="0" w:space="0" w:color="auto"/>
        <w:right w:val="none" w:sz="0" w:space="0" w:color="auto"/>
      </w:divBdr>
    </w:div>
    <w:div w:id="17163525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3442963">
      <w:bodyDiv w:val="1"/>
      <w:marLeft w:val="0"/>
      <w:marRight w:val="0"/>
      <w:marTop w:val="0"/>
      <w:marBottom w:val="0"/>
      <w:divBdr>
        <w:top w:val="none" w:sz="0" w:space="0" w:color="auto"/>
        <w:left w:val="none" w:sz="0" w:space="0" w:color="auto"/>
        <w:bottom w:val="none" w:sz="0" w:space="0" w:color="auto"/>
        <w:right w:val="none" w:sz="0" w:space="0" w:color="auto"/>
      </w:divBdr>
    </w:div>
    <w:div w:id="19489307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nu2030299" TargetMode="External"/><Relationship Id="rId26" Type="http://schemas.openxmlformats.org/officeDocument/2006/relationships/hyperlink" Target="https://doi.org/10.1080/10408363.2021.1885339"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4239/wjd.v14.i5.585"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2288-025-02025-8" TargetMode="External"/><Relationship Id="rId25" Type="http://schemas.openxmlformats.org/officeDocument/2006/relationships/hyperlink" Target="https://doi.org/10.1111/nbu.12712" TargetMode="External"/><Relationship Id="rId33" Type="http://schemas.openxmlformats.org/officeDocument/2006/relationships/hyperlink" Target="https://doi.org/10.1016/j.procbio.2023.02.00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medicina59101809" TargetMode="External"/><Relationship Id="rId20" Type="http://schemas.openxmlformats.org/officeDocument/2006/relationships/hyperlink" Target="https://doi.org/10.20513/2447-6595.2019v59n2p40-49" TargetMode="External"/><Relationship Id="rId29" Type="http://schemas.openxmlformats.org/officeDocument/2006/relationships/hyperlink" Target="https://doi.org/10.3390/jcm130821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healthcare11070958" TargetMode="External"/><Relationship Id="rId32" Type="http://schemas.openxmlformats.org/officeDocument/2006/relationships/hyperlink" Target="http://dx.doi.org/10.12944/CRNFSJ.7.3.07"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7759/cureus.82151" TargetMode="External"/><Relationship Id="rId23" Type="http://schemas.openxmlformats.org/officeDocument/2006/relationships/hyperlink" Target="https://doi.org/10.1016/j.ajcnut.2023.08.020" TargetMode="External"/><Relationship Id="rId28" Type="http://schemas.openxmlformats.org/officeDocument/2006/relationships/hyperlink" Target="https://doi.org/10.25259/VJIM_43_2022"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molecules28010240" TargetMode="External"/><Relationship Id="rId31" Type="http://schemas.openxmlformats.org/officeDocument/2006/relationships/hyperlink" Target="https://doi.org/10.1111/nure.12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103/ijem.IJEM_122_19" TargetMode="External"/><Relationship Id="rId22" Type="http://schemas.openxmlformats.org/officeDocument/2006/relationships/hyperlink" Target="https://doi.org/10.1016/j.biochi.2012.10.023" TargetMode="External"/><Relationship Id="rId27" Type="http://schemas.openxmlformats.org/officeDocument/2006/relationships/hyperlink" Target="https://doi.org/10.26574/maedica.2024.19.3.580" TargetMode="External"/><Relationship Id="rId30" Type="http://schemas.openxmlformats.org/officeDocument/2006/relationships/hyperlink" Target="https://doi.org/10.3390/nu8120767"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7EC71-300B-4097-A96C-90B86EEB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317</TotalTime>
  <Pages>11</Pages>
  <Words>6778</Words>
  <Characters>38636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45324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28</cp:revision>
  <cp:lastPrinted>1999-07-06T11:00:00Z</cp:lastPrinted>
  <dcterms:created xsi:type="dcterms:W3CDTF">2025-11-26T18:48:00Z</dcterms:created>
  <dcterms:modified xsi:type="dcterms:W3CDTF">2025-12-18T09:48:00Z</dcterms:modified>
</cp:coreProperties>
</file>