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4AFB43" w14:textId="77777777" w:rsidR="00EC13E6" w:rsidRDefault="00EC13E6">
      <w:pPr>
        <w:widowControl w:val="0"/>
        <w:pBdr>
          <w:top w:val="nil"/>
          <w:left w:val="nil"/>
          <w:bottom w:val="nil"/>
          <w:right w:val="nil"/>
          <w:between w:val="nil"/>
        </w:pBdr>
        <w:spacing w:line="240" w:lineRule="auto"/>
        <w:jc w:val="right"/>
        <w:rPr>
          <w:b/>
          <w:bCs/>
          <w:color w:val="000000"/>
          <w:sz w:val="36"/>
          <w:szCs w:val="36"/>
        </w:rPr>
      </w:pPr>
      <w:r w:rsidRPr="00EC13E6">
        <w:rPr>
          <w:b/>
          <w:bCs/>
          <w:color w:val="000000"/>
          <w:sz w:val="36"/>
          <w:szCs w:val="36"/>
        </w:rPr>
        <w:t>Minireview Article</w:t>
      </w:r>
    </w:p>
    <w:p w14:paraId="1BC3826F" w14:textId="77777777" w:rsidR="00EC13E6" w:rsidRDefault="00EC13E6">
      <w:pPr>
        <w:widowControl w:val="0"/>
        <w:pBdr>
          <w:top w:val="nil"/>
          <w:left w:val="nil"/>
          <w:bottom w:val="nil"/>
          <w:right w:val="nil"/>
          <w:between w:val="nil"/>
        </w:pBdr>
        <w:spacing w:line="240" w:lineRule="auto"/>
        <w:jc w:val="right"/>
        <w:rPr>
          <w:b/>
          <w:bCs/>
          <w:color w:val="000000"/>
          <w:sz w:val="36"/>
          <w:szCs w:val="36"/>
        </w:rPr>
      </w:pPr>
    </w:p>
    <w:p w14:paraId="00000001" w14:textId="6D70CF09" w:rsidR="002D2CBF" w:rsidRDefault="00125BFF">
      <w:pPr>
        <w:widowControl w:val="0"/>
        <w:pBdr>
          <w:top w:val="nil"/>
          <w:left w:val="nil"/>
          <w:bottom w:val="nil"/>
          <w:right w:val="nil"/>
          <w:between w:val="nil"/>
        </w:pBdr>
        <w:spacing w:line="240" w:lineRule="auto"/>
        <w:jc w:val="right"/>
        <w:rPr>
          <w:b/>
          <w:bCs/>
          <w:color w:val="000000"/>
          <w:sz w:val="36"/>
          <w:szCs w:val="36"/>
        </w:rPr>
      </w:pPr>
      <w:r>
        <w:rPr>
          <w:b/>
          <w:bCs/>
          <w:color w:val="000000"/>
          <w:sz w:val="36"/>
          <w:szCs w:val="36"/>
        </w:rPr>
        <w:t xml:space="preserve">Combating Sarcopenia in Older Adults: The Synergistic Roles of Protein Intake and Exercise </w:t>
      </w:r>
    </w:p>
    <w:p w14:paraId="22BA4605" w14:textId="77777777" w:rsidR="00E30F98" w:rsidRDefault="00E30F98">
      <w:pPr>
        <w:widowControl w:val="0"/>
        <w:pBdr>
          <w:top w:val="nil"/>
          <w:left w:val="nil"/>
          <w:bottom w:val="nil"/>
          <w:right w:val="nil"/>
          <w:between w:val="nil"/>
        </w:pBdr>
        <w:spacing w:line="240" w:lineRule="auto"/>
        <w:jc w:val="right"/>
        <w:rPr>
          <w:b/>
          <w:bCs/>
          <w:color w:val="000000"/>
          <w:sz w:val="36"/>
          <w:szCs w:val="36"/>
        </w:rPr>
      </w:pPr>
    </w:p>
    <w:p w14:paraId="570FA004" w14:textId="77777777" w:rsidR="00E5424C" w:rsidRDefault="00E5424C">
      <w:pPr>
        <w:widowControl w:val="0"/>
        <w:pBdr>
          <w:top w:val="nil"/>
          <w:left w:val="nil"/>
          <w:bottom w:val="nil"/>
          <w:right w:val="nil"/>
          <w:between w:val="nil"/>
        </w:pBdr>
        <w:spacing w:line="240" w:lineRule="auto"/>
        <w:jc w:val="right"/>
        <w:rPr>
          <w:i/>
          <w:iCs/>
          <w:color w:val="000000"/>
          <w:sz w:val="20"/>
          <w:szCs w:val="20"/>
        </w:rPr>
      </w:pPr>
    </w:p>
    <w:p w14:paraId="3514F787" w14:textId="77777777" w:rsidR="00E5424C" w:rsidRDefault="00E5424C">
      <w:pPr>
        <w:widowControl w:val="0"/>
        <w:pBdr>
          <w:top w:val="nil"/>
          <w:left w:val="nil"/>
          <w:bottom w:val="nil"/>
          <w:right w:val="nil"/>
          <w:between w:val="nil"/>
        </w:pBdr>
        <w:spacing w:line="240" w:lineRule="auto"/>
        <w:jc w:val="right"/>
        <w:rPr>
          <w:i/>
          <w:iCs/>
          <w:color w:val="000000"/>
          <w:sz w:val="20"/>
          <w:szCs w:val="20"/>
        </w:rPr>
      </w:pPr>
    </w:p>
    <w:p w14:paraId="4E8353B7" w14:textId="77777777" w:rsidR="00E5424C" w:rsidRDefault="00E5424C">
      <w:pPr>
        <w:widowControl w:val="0"/>
        <w:pBdr>
          <w:top w:val="nil"/>
          <w:left w:val="nil"/>
          <w:bottom w:val="nil"/>
          <w:right w:val="nil"/>
          <w:between w:val="nil"/>
        </w:pBdr>
        <w:spacing w:line="240" w:lineRule="auto"/>
        <w:jc w:val="right"/>
        <w:rPr>
          <w:i/>
          <w:iCs/>
          <w:color w:val="000000"/>
          <w:sz w:val="20"/>
          <w:szCs w:val="20"/>
        </w:rPr>
      </w:pPr>
    </w:p>
    <w:p w14:paraId="79DADED6" w14:textId="77777777" w:rsidR="00E5424C" w:rsidRDefault="00E5424C">
      <w:pPr>
        <w:widowControl w:val="0"/>
        <w:pBdr>
          <w:top w:val="nil"/>
          <w:left w:val="nil"/>
          <w:bottom w:val="nil"/>
          <w:right w:val="nil"/>
          <w:between w:val="nil"/>
        </w:pBdr>
        <w:spacing w:line="240" w:lineRule="auto"/>
        <w:jc w:val="right"/>
        <w:rPr>
          <w:i/>
          <w:iCs/>
          <w:color w:val="000000"/>
          <w:sz w:val="20"/>
          <w:szCs w:val="20"/>
        </w:rPr>
      </w:pPr>
    </w:p>
    <w:p w14:paraId="71706F72" w14:textId="1F2F6FA5" w:rsidR="00E30F98" w:rsidRDefault="00E30F98">
      <w:pPr>
        <w:widowControl w:val="0"/>
        <w:pBdr>
          <w:top w:val="nil"/>
          <w:left w:val="nil"/>
          <w:bottom w:val="nil"/>
          <w:right w:val="nil"/>
          <w:between w:val="nil"/>
        </w:pBdr>
        <w:spacing w:line="240" w:lineRule="auto"/>
        <w:jc w:val="right"/>
        <w:rPr>
          <w:i/>
          <w:iCs/>
          <w:color w:val="000000"/>
          <w:sz w:val="20"/>
          <w:szCs w:val="20"/>
        </w:rPr>
      </w:pPr>
      <w:r>
        <w:rPr>
          <w:i/>
          <w:iCs/>
          <w:color w:val="000000"/>
          <w:sz w:val="20"/>
          <w:szCs w:val="20"/>
        </w:rPr>
        <w:t xml:space="preserve"> </w:t>
      </w:r>
    </w:p>
    <w:p w14:paraId="399E6DCE" w14:textId="77777777" w:rsidR="00CE4045" w:rsidRDefault="00CE4045">
      <w:pPr>
        <w:widowControl w:val="0"/>
        <w:pBdr>
          <w:top w:val="nil"/>
          <w:left w:val="nil"/>
          <w:bottom w:val="nil"/>
          <w:right w:val="nil"/>
          <w:between w:val="nil"/>
        </w:pBdr>
        <w:spacing w:line="240" w:lineRule="auto"/>
        <w:jc w:val="right"/>
        <w:rPr>
          <w:i/>
          <w:iCs/>
          <w:color w:val="000000"/>
          <w:sz w:val="20"/>
          <w:szCs w:val="20"/>
        </w:rPr>
      </w:pPr>
    </w:p>
    <w:p w14:paraId="00000005" w14:textId="77777777" w:rsidR="002D2CBF" w:rsidRPr="00206F9D" w:rsidRDefault="002D2CBF">
      <w:pPr>
        <w:widowControl w:val="0"/>
        <w:pBdr>
          <w:top w:val="nil"/>
          <w:left w:val="nil"/>
          <w:bottom w:val="single" w:sz="4" w:space="1" w:color="000000"/>
          <w:right w:val="nil"/>
          <w:between w:val="nil"/>
        </w:pBdr>
        <w:spacing w:line="240" w:lineRule="auto"/>
        <w:jc w:val="right"/>
        <w:rPr>
          <w:i/>
          <w:iCs/>
          <w:color w:val="000000"/>
          <w:sz w:val="24"/>
          <w:szCs w:val="24"/>
        </w:rPr>
      </w:pPr>
    </w:p>
    <w:p w14:paraId="00000006" w14:textId="77777777" w:rsidR="002D2CBF" w:rsidRDefault="002D2CBF">
      <w:pPr>
        <w:widowControl w:val="0"/>
        <w:pBdr>
          <w:top w:val="nil"/>
          <w:left w:val="nil"/>
          <w:bottom w:val="nil"/>
          <w:right w:val="nil"/>
          <w:between w:val="nil"/>
        </w:pBdr>
        <w:spacing w:line="240" w:lineRule="auto"/>
        <w:jc w:val="both"/>
        <w:rPr>
          <w:color w:val="000000"/>
          <w:sz w:val="28"/>
          <w:szCs w:val="28"/>
        </w:rPr>
      </w:pPr>
    </w:p>
    <w:p w14:paraId="00000007" w14:textId="77777777" w:rsidR="002D2CBF" w:rsidRDefault="00125BFF">
      <w:pPr>
        <w:widowControl w:val="0"/>
        <w:pBdr>
          <w:top w:val="nil"/>
          <w:left w:val="nil"/>
          <w:bottom w:val="nil"/>
          <w:right w:val="nil"/>
          <w:between w:val="nil"/>
        </w:pBdr>
        <w:spacing w:line="360" w:lineRule="auto"/>
        <w:jc w:val="both"/>
        <w:rPr>
          <w:color w:val="000000"/>
        </w:rPr>
      </w:pPr>
      <w:r>
        <w:rPr>
          <w:b/>
          <w:bCs/>
          <w:color w:val="000000"/>
        </w:rPr>
        <w:t>ABSTRACT:</w:t>
      </w:r>
    </w:p>
    <w:p w14:paraId="00000008" w14:textId="7AD82E11" w:rsidR="002D2CBF" w:rsidRDefault="00E94D15">
      <w:pPr>
        <w:widowControl w:val="0"/>
        <w:pBdr>
          <w:top w:val="single" w:sz="4" w:space="1" w:color="000000"/>
          <w:left w:val="single" w:sz="4" w:space="4" w:color="000000"/>
          <w:bottom w:val="single" w:sz="4" w:space="1" w:color="000000"/>
          <w:right w:val="single" w:sz="4" w:space="4" w:color="000000"/>
          <w:between w:val="nil"/>
        </w:pBdr>
        <w:shd w:val="clear" w:color="auto" w:fill="C6D9F1"/>
        <w:spacing w:line="240" w:lineRule="auto"/>
        <w:jc w:val="both"/>
        <w:rPr>
          <w:color w:val="000000"/>
          <w:sz w:val="20"/>
          <w:szCs w:val="20"/>
        </w:rPr>
      </w:pPr>
      <w:r w:rsidRPr="00A5059B">
        <w:rPr>
          <w:color w:val="000000"/>
          <w:sz w:val="20"/>
          <w:szCs w:val="20"/>
          <w:highlight w:val="yellow"/>
        </w:rPr>
        <w:t>Sarcopenia, the age-related decline in muscle mass, strength, and function, is a major public health issue linked to frailty, disability, and even death.</w:t>
      </w:r>
      <w:r>
        <w:rPr>
          <w:color w:val="000000"/>
          <w:sz w:val="20"/>
          <w:szCs w:val="20"/>
        </w:rPr>
        <w:t xml:space="preserve"> </w:t>
      </w:r>
      <w:r w:rsidR="00125BFF">
        <w:rPr>
          <w:color w:val="000000"/>
          <w:sz w:val="20"/>
          <w:szCs w:val="20"/>
        </w:rPr>
        <w:t>According to available data, older individuals' muscle loss is hastened by inadequate protein intake, physical inactivity, and metabolic changes; the best remedies include resistance training and higher protein intake.</w:t>
      </w:r>
      <w:r w:rsidR="00CF144B" w:rsidRPr="00CF144B">
        <w:t xml:space="preserve"> </w:t>
      </w:r>
      <w:r w:rsidR="00CF144B" w:rsidRPr="00CF144B">
        <w:rPr>
          <w:color w:val="000000"/>
          <w:sz w:val="20"/>
          <w:szCs w:val="20"/>
          <w:highlight w:val="yellow"/>
        </w:rPr>
        <w:t>Exercise helps recover strength and function by increasing the synthesis of muscle proteins, enhancing mitochondrial function, and lowering inflammation. Muscle health is further improved by combining exercise with enough protein and nutrients like vitamin D and omega-3 fatty acids.</w:t>
      </w:r>
      <w:r w:rsidR="00A35CD5">
        <w:rPr>
          <w:color w:val="000000"/>
          <w:sz w:val="20"/>
          <w:szCs w:val="20"/>
        </w:rPr>
        <w:t xml:space="preserve"> </w:t>
      </w:r>
      <w:r w:rsidR="00877EE8" w:rsidRPr="00877EE8">
        <w:rPr>
          <w:color w:val="000000"/>
          <w:sz w:val="20"/>
          <w:szCs w:val="20"/>
          <w:highlight w:val="yellow"/>
        </w:rPr>
        <w:t>Animal proteins often contain more leucine, which is essential for muscle building, even though both plant and animal proteins are beneficial.</w:t>
      </w:r>
      <w:r w:rsidR="00877EE8" w:rsidRPr="00877EE8">
        <w:rPr>
          <w:color w:val="000000"/>
          <w:sz w:val="20"/>
          <w:szCs w:val="20"/>
        </w:rPr>
        <w:t xml:space="preserve"> </w:t>
      </w:r>
      <w:r w:rsidR="00125BFF">
        <w:rPr>
          <w:color w:val="000000"/>
          <w:sz w:val="20"/>
          <w:szCs w:val="20"/>
        </w:rPr>
        <w:t xml:space="preserve">This review examines the complementary effects of dietary protein and structured exercise on muscle health by combining data from mechanistic research, </w:t>
      </w:r>
      <w:proofErr w:type="spellStart"/>
      <w:r w:rsidR="00E7330B" w:rsidRPr="00684FE6">
        <w:rPr>
          <w:color w:val="000000"/>
          <w:sz w:val="20"/>
          <w:szCs w:val="20"/>
          <w:highlight w:val="yellow"/>
        </w:rPr>
        <w:t>randomi</w:t>
      </w:r>
      <w:r w:rsidR="00E7330B" w:rsidRPr="00684FE6">
        <w:rPr>
          <w:color w:val="000000"/>
          <w:sz w:val="20"/>
          <w:szCs w:val="20"/>
          <w:highlight w:val="yellow"/>
        </w:rPr>
        <w:t>s</w:t>
      </w:r>
      <w:r w:rsidR="00E7330B" w:rsidRPr="00684FE6">
        <w:rPr>
          <w:color w:val="000000"/>
          <w:sz w:val="20"/>
          <w:szCs w:val="20"/>
          <w:highlight w:val="yellow"/>
        </w:rPr>
        <w:t>ed</w:t>
      </w:r>
      <w:proofErr w:type="spellEnd"/>
      <w:r w:rsidR="00E7330B" w:rsidRPr="00684FE6">
        <w:rPr>
          <w:color w:val="000000"/>
          <w:sz w:val="20"/>
          <w:szCs w:val="20"/>
          <w:highlight w:val="yellow"/>
        </w:rPr>
        <w:t xml:space="preserve"> </w:t>
      </w:r>
      <w:r w:rsidR="00125BFF" w:rsidRPr="00684FE6">
        <w:rPr>
          <w:color w:val="000000"/>
          <w:sz w:val="20"/>
          <w:szCs w:val="20"/>
          <w:highlight w:val="yellow"/>
        </w:rPr>
        <w:t>controlled</w:t>
      </w:r>
      <w:r w:rsidR="00125BFF">
        <w:rPr>
          <w:color w:val="000000"/>
          <w:sz w:val="20"/>
          <w:szCs w:val="20"/>
        </w:rPr>
        <w:t xml:space="preserve"> trials, and epidemiological studies. Studies consistently demonstrate that the benefits of protein supplementation alone are limited, especially when there is insufficient training stimulus. However, intakes of 1.0–1.5 g/kg/day of high-quality, leucine-rich protein considerably increase muscle protein synthesis, improve strength, and lessen functional loss when combined with resistance or multicomponent exercise. Individual reactions are further shaped by other elements like the distribution of proteins, supplies derived from plants as opposed to animals, interactions between the gut bacteria, and biomarkers of anabolic resistance. The body of research indicates that the best way to prevent sarcopenia, maintain independence, and encourage healthy ag</w:t>
      </w:r>
      <w:r w:rsidR="00E7330B">
        <w:rPr>
          <w:color w:val="000000"/>
          <w:sz w:val="20"/>
          <w:szCs w:val="20"/>
        </w:rPr>
        <w:t>e</w:t>
      </w:r>
      <w:r w:rsidR="00125BFF">
        <w:rPr>
          <w:color w:val="000000"/>
          <w:sz w:val="20"/>
          <w:szCs w:val="20"/>
        </w:rPr>
        <w:t>ing is to combine optimal protein consumption with regular exercise.</w:t>
      </w:r>
    </w:p>
    <w:p w14:paraId="00000009" w14:textId="77777777" w:rsidR="002D2CBF" w:rsidRDefault="002D2CBF">
      <w:pPr>
        <w:widowControl w:val="0"/>
        <w:pBdr>
          <w:top w:val="nil"/>
          <w:left w:val="nil"/>
          <w:bottom w:val="nil"/>
          <w:right w:val="nil"/>
          <w:between w:val="nil"/>
        </w:pBdr>
        <w:spacing w:line="360" w:lineRule="auto"/>
        <w:jc w:val="both"/>
        <w:rPr>
          <w:color w:val="000000"/>
          <w:sz w:val="24"/>
          <w:szCs w:val="24"/>
        </w:rPr>
      </w:pPr>
    </w:p>
    <w:p w14:paraId="0000000A" w14:textId="0393A28C" w:rsidR="002D2CBF" w:rsidRDefault="00C937C2">
      <w:pPr>
        <w:widowControl w:val="0"/>
        <w:pBdr>
          <w:top w:val="nil"/>
          <w:left w:val="nil"/>
          <w:bottom w:val="nil"/>
          <w:right w:val="nil"/>
          <w:between w:val="nil"/>
        </w:pBdr>
        <w:spacing w:line="360" w:lineRule="auto"/>
        <w:jc w:val="both"/>
        <w:rPr>
          <w:i/>
          <w:iCs/>
          <w:color w:val="000000"/>
          <w:sz w:val="20"/>
          <w:szCs w:val="20"/>
        </w:rPr>
      </w:pPr>
      <w:r w:rsidRPr="00C937C2">
        <w:rPr>
          <w:i/>
          <w:iCs/>
          <w:color w:val="000000"/>
          <w:highlight w:val="yellow"/>
        </w:rPr>
        <w:t>Keywords</w:t>
      </w:r>
      <w:r w:rsidR="00125BFF" w:rsidRPr="00C937C2">
        <w:rPr>
          <w:i/>
          <w:iCs/>
          <w:color w:val="000000"/>
          <w:highlight w:val="yellow"/>
        </w:rPr>
        <w:t xml:space="preserve">: </w:t>
      </w:r>
      <w:r w:rsidR="00125BFF" w:rsidRPr="00C937C2">
        <w:rPr>
          <w:i/>
          <w:iCs/>
          <w:color w:val="000000"/>
          <w:sz w:val="20"/>
          <w:szCs w:val="20"/>
          <w:highlight w:val="yellow"/>
        </w:rPr>
        <w:t>sarcopenia, protein consumption, exercise, preventive measures, late onset, correlation</w:t>
      </w:r>
    </w:p>
    <w:p w14:paraId="0000000B" w14:textId="77777777" w:rsidR="002D2CBF" w:rsidRDefault="002D2CBF">
      <w:pPr>
        <w:widowControl w:val="0"/>
        <w:pBdr>
          <w:top w:val="nil"/>
          <w:left w:val="nil"/>
          <w:bottom w:val="nil"/>
          <w:right w:val="nil"/>
          <w:between w:val="nil"/>
        </w:pBdr>
        <w:spacing w:line="360" w:lineRule="auto"/>
        <w:jc w:val="both"/>
        <w:rPr>
          <w:color w:val="000000"/>
          <w:sz w:val="20"/>
          <w:szCs w:val="20"/>
        </w:rPr>
      </w:pPr>
    </w:p>
    <w:p w14:paraId="0000000C" w14:textId="77777777" w:rsidR="002D2CBF" w:rsidRDefault="00125BFF">
      <w:pPr>
        <w:widowControl w:val="0"/>
        <w:numPr>
          <w:ilvl w:val="0"/>
          <w:numId w:val="3"/>
        </w:numPr>
        <w:pBdr>
          <w:top w:val="nil"/>
          <w:left w:val="nil"/>
          <w:bottom w:val="nil"/>
          <w:right w:val="nil"/>
          <w:between w:val="nil"/>
        </w:pBdr>
        <w:spacing w:line="360" w:lineRule="auto"/>
        <w:jc w:val="both"/>
        <w:rPr>
          <w:b/>
          <w:bCs/>
          <w:color w:val="000000"/>
        </w:rPr>
      </w:pPr>
      <w:r>
        <w:rPr>
          <w:b/>
          <w:bCs/>
          <w:color w:val="000000"/>
        </w:rPr>
        <w:t>INTRODUCTION:</w:t>
      </w:r>
    </w:p>
    <w:p w14:paraId="0000000D" w14:textId="77777777" w:rsidR="002D2CBF" w:rsidRDefault="00125BFF">
      <w:pPr>
        <w:widowControl w:val="0"/>
        <w:pBdr>
          <w:top w:val="nil"/>
          <w:left w:val="nil"/>
          <w:bottom w:val="nil"/>
          <w:right w:val="nil"/>
          <w:between w:val="nil"/>
        </w:pBdr>
        <w:spacing w:line="360" w:lineRule="auto"/>
        <w:jc w:val="both"/>
        <w:rPr>
          <w:b/>
          <w:bCs/>
          <w:color w:val="000000"/>
          <w:sz w:val="28"/>
          <w:szCs w:val="28"/>
        </w:rPr>
      </w:pPr>
      <w:r>
        <w:rPr>
          <w:b/>
          <w:bCs/>
        </w:rPr>
        <w:t xml:space="preserve">1.1 </w:t>
      </w:r>
      <w:r>
        <w:rPr>
          <w:b/>
          <w:bCs/>
          <w:color w:val="000000"/>
        </w:rPr>
        <w:t>Sarcopenia</w:t>
      </w:r>
    </w:p>
    <w:p w14:paraId="0000000E" w14:textId="1F15CB29" w:rsidR="002D2CBF" w:rsidRDefault="00125BFF">
      <w:pPr>
        <w:widowControl w:val="0"/>
        <w:pBdr>
          <w:top w:val="nil"/>
          <w:left w:val="nil"/>
          <w:bottom w:val="nil"/>
          <w:right w:val="nil"/>
          <w:between w:val="nil"/>
        </w:pBdr>
        <w:spacing w:line="240" w:lineRule="auto"/>
        <w:jc w:val="both"/>
        <w:rPr>
          <w:color w:val="000000"/>
        </w:rPr>
      </w:pPr>
      <w:r>
        <w:rPr>
          <w:color w:val="000000"/>
          <w:sz w:val="20"/>
          <w:szCs w:val="20"/>
        </w:rPr>
        <w:t xml:space="preserve">Sarcopenia is defined as a progressive loss of muscle mass and </w:t>
      </w:r>
      <w:r w:rsidRPr="00684FE6">
        <w:rPr>
          <w:color w:val="000000"/>
          <w:sz w:val="20"/>
          <w:szCs w:val="20"/>
          <w:highlight w:val="yellow"/>
        </w:rPr>
        <w:t>function that raises the risk of falls, fragility,</w:t>
      </w:r>
      <w:r>
        <w:rPr>
          <w:color w:val="000000"/>
          <w:sz w:val="20"/>
          <w:szCs w:val="20"/>
        </w:rPr>
        <w:t xml:space="preserve"> disability, and death. Even though it is mostly age-related, genetic, </w:t>
      </w:r>
      <w:proofErr w:type="spellStart"/>
      <w:r>
        <w:rPr>
          <w:color w:val="000000"/>
          <w:sz w:val="20"/>
          <w:szCs w:val="20"/>
        </w:rPr>
        <w:t>behavio</w:t>
      </w:r>
      <w:r w:rsidR="00E7330B">
        <w:rPr>
          <w:color w:val="000000"/>
          <w:sz w:val="20"/>
          <w:szCs w:val="20"/>
        </w:rPr>
        <w:t>u</w:t>
      </w:r>
      <w:r>
        <w:rPr>
          <w:color w:val="000000"/>
          <w:sz w:val="20"/>
          <w:szCs w:val="20"/>
        </w:rPr>
        <w:t>ral</w:t>
      </w:r>
      <w:proofErr w:type="spellEnd"/>
      <w:r>
        <w:rPr>
          <w:color w:val="000000"/>
          <w:sz w:val="20"/>
          <w:szCs w:val="20"/>
        </w:rPr>
        <w:t>, and environmental factors can affect its development and severity. It can also manifest early in specific medical conditions</w:t>
      </w:r>
      <w:r w:rsidR="00FB5199">
        <w:rPr>
          <w:color w:val="000000"/>
          <w:sz w:val="20"/>
          <w:szCs w:val="20"/>
        </w:rPr>
        <w:t xml:space="preserve"> </w:t>
      </w:r>
      <w:r w:rsidR="00FB5199" w:rsidRPr="0071293E">
        <w:rPr>
          <w:color w:val="000000"/>
          <w:sz w:val="20"/>
          <w:szCs w:val="20"/>
          <w:highlight w:val="yellow"/>
        </w:rPr>
        <w:t>(</w:t>
      </w:r>
      <w:proofErr w:type="spellStart"/>
      <w:r w:rsidR="00FB5199" w:rsidRPr="0071293E">
        <w:rPr>
          <w:color w:val="000000"/>
          <w:sz w:val="20"/>
          <w:szCs w:val="20"/>
          <w:highlight w:val="yellow"/>
        </w:rPr>
        <w:t>Fazna</w:t>
      </w:r>
      <w:proofErr w:type="spellEnd"/>
      <w:r w:rsidR="00FB5199" w:rsidRPr="0071293E">
        <w:rPr>
          <w:color w:val="000000"/>
          <w:sz w:val="20"/>
          <w:szCs w:val="20"/>
          <w:highlight w:val="yellow"/>
        </w:rPr>
        <w:t xml:space="preserve"> et al., 2025)</w:t>
      </w:r>
      <w:r w:rsidRPr="0071293E">
        <w:rPr>
          <w:color w:val="000000"/>
          <w:sz w:val="20"/>
          <w:szCs w:val="20"/>
          <w:highlight w:val="yellow"/>
        </w:rPr>
        <w:t>. Its mechanisms, biomarkers, and interventions—particularly nutrition and resistance trainin</w:t>
      </w:r>
      <w:r>
        <w:rPr>
          <w:color w:val="000000"/>
          <w:sz w:val="20"/>
          <w:szCs w:val="20"/>
        </w:rPr>
        <w:t xml:space="preserve">g—have been better understood thanks to the rapid expansion of research. The authors </w:t>
      </w:r>
      <w:proofErr w:type="spellStart"/>
      <w:r w:rsidR="00E7330B" w:rsidRPr="00684FE6">
        <w:rPr>
          <w:color w:val="000000"/>
          <w:sz w:val="20"/>
          <w:szCs w:val="20"/>
          <w:highlight w:val="yellow"/>
        </w:rPr>
        <w:t>emphasi</w:t>
      </w:r>
      <w:r w:rsidR="00E7330B" w:rsidRPr="00684FE6">
        <w:rPr>
          <w:color w:val="000000"/>
          <w:sz w:val="20"/>
          <w:szCs w:val="20"/>
          <w:highlight w:val="yellow"/>
        </w:rPr>
        <w:t>s</w:t>
      </w:r>
      <w:r w:rsidR="00E7330B" w:rsidRPr="00684FE6">
        <w:rPr>
          <w:color w:val="000000"/>
          <w:sz w:val="20"/>
          <w:szCs w:val="20"/>
          <w:highlight w:val="yellow"/>
        </w:rPr>
        <w:t>e</w:t>
      </w:r>
      <w:proofErr w:type="spellEnd"/>
      <w:r w:rsidR="00E7330B">
        <w:rPr>
          <w:color w:val="000000"/>
          <w:sz w:val="20"/>
          <w:szCs w:val="20"/>
        </w:rPr>
        <w:t xml:space="preserve"> </w:t>
      </w:r>
      <w:r>
        <w:rPr>
          <w:color w:val="000000"/>
          <w:sz w:val="20"/>
          <w:szCs w:val="20"/>
        </w:rPr>
        <w:t>the necessity of long-term preventive measures and predict that sarcopenia diagnosis and treatment will soon be standard procedures in clinical settings (Cruz-</w:t>
      </w:r>
      <w:proofErr w:type="spellStart"/>
      <w:r>
        <w:rPr>
          <w:color w:val="000000"/>
          <w:sz w:val="20"/>
          <w:szCs w:val="20"/>
        </w:rPr>
        <w:t>Jentoft</w:t>
      </w:r>
      <w:proofErr w:type="spellEnd"/>
      <w:r>
        <w:rPr>
          <w:color w:val="000000"/>
          <w:sz w:val="20"/>
          <w:szCs w:val="20"/>
        </w:rPr>
        <w:t xml:space="preserve"> &amp; Sayer, 2019) [1]. </w:t>
      </w:r>
      <w:r w:rsidR="006C0AFA" w:rsidRPr="006C0AFA">
        <w:rPr>
          <w:color w:val="000000"/>
          <w:sz w:val="20"/>
          <w:szCs w:val="20"/>
          <w:highlight w:val="yellow"/>
        </w:rPr>
        <w:t>Ageing is a global fact affecting both developed and developing countries.</w:t>
      </w:r>
      <w:r w:rsidR="00BB613F">
        <w:rPr>
          <w:color w:val="000000"/>
          <w:sz w:val="20"/>
          <w:szCs w:val="20"/>
          <w:highlight w:val="yellow"/>
        </w:rPr>
        <w:t xml:space="preserve"> </w:t>
      </w:r>
      <w:r w:rsidR="006C0AFA" w:rsidRPr="006C0AFA">
        <w:rPr>
          <w:color w:val="000000"/>
          <w:sz w:val="20"/>
          <w:szCs w:val="20"/>
          <w:highlight w:val="yellow"/>
        </w:rPr>
        <w:t xml:space="preserve">It brings out various catabolic changes in </w:t>
      </w:r>
      <w:r w:rsidR="00E7330B">
        <w:rPr>
          <w:color w:val="000000"/>
          <w:sz w:val="20"/>
          <w:szCs w:val="20"/>
          <w:highlight w:val="yellow"/>
        </w:rPr>
        <w:t xml:space="preserve">the </w:t>
      </w:r>
      <w:r w:rsidR="006C0AFA" w:rsidRPr="006C0AFA">
        <w:rPr>
          <w:color w:val="000000"/>
          <w:sz w:val="20"/>
          <w:szCs w:val="20"/>
          <w:highlight w:val="yellow"/>
        </w:rPr>
        <w:t>body resulting in frailty</w:t>
      </w:r>
      <w:r w:rsidR="00A93CE4">
        <w:rPr>
          <w:color w:val="000000"/>
          <w:sz w:val="20"/>
          <w:szCs w:val="20"/>
          <w:highlight w:val="yellow"/>
        </w:rPr>
        <w:t xml:space="preserve"> </w:t>
      </w:r>
      <w:r w:rsidR="006C0AFA" w:rsidRPr="006C0AFA">
        <w:rPr>
          <w:color w:val="000000"/>
          <w:sz w:val="20"/>
          <w:szCs w:val="20"/>
          <w:highlight w:val="yellow"/>
        </w:rPr>
        <w:t xml:space="preserve">(i.e. the person is not able to withstand minor stresses of the environment, due to reduced reserves in </w:t>
      </w:r>
      <w:r w:rsidR="00EE7036" w:rsidRPr="006C0AFA">
        <w:rPr>
          <w:color w:val="000000"/>
          <w:sz w:val="20"/>
          <w:szCs w:val="20"/>
          <w:highlight w:val="yellow"/>
        </w:rPr>
        <w:t>psychological reserve</w:t>
      </w:r>
      <w:r w:rsidR="006C0AFA" w:rsidRPr="006C0AFA">
        <w:rPr>
          <w:color w:val="000000"/>
          <w:sz w:val="20"/>
          <w:szCs w:val="20"/>
          <w:highlight w:val="yellow"/>
        </w:rPr>
        <w:t xml:space="preserve"> of several organ system</w:t>
      </w:r>
      <w:r w:rsidR="00E7330B">
        <w:rPr>
          <w:color w:val="000000"/>
          <w:sz w:val="20"/>
          <w:szCs w:val="20"/>
          <w:highlight w:val="yellow"/>
        </w:rPr>
        <w:t>s</w:t>
      </w:r>
      <w:r w:rsidR="006C0AFA" w:rsidRPr="006C0AFA">
        <w:rPr>
          <w:color w:val="000000"/>
          <w:sz w:val="20"/>
          <w:szCs w:val="20"/>
          <w:highlight w:val="yellow"/>
        </w:rPr>
        <w:t>).</w:t>
      </w:r>
      <w:r w:rsidR="008657FE">
        <w:rPr>
          <w:color w:val="000000"/>
          <w:sz w:val="20"/>
          <w:szCs w:val="20"/>
          <w:highlight w:val="yellow"/>
        </w:rPr>
        <w:t xml:space="preserve"> </w:t>
      </w:r>
      <w:r w:rsidR="006C0AFA" w:rsidRPr="006C0AFA">
        <w:rPr>
          <w:color w:val="000000"/>
          <w:sz w:val="20"/>
          <w:szCs w:val="20"/>
          <w:highlight w:val="yellow"/>
        </w:rPr>
        <w:t>Thus</w:t>
      </w:r>
      <w:r w:rsidR="00F92106">
        <w:rPr>
          <w:color w:val="000000"/>
          <w:sz w:val="20"/>
          <w:szCs w:val="20"/>
          <w:highlight w:val="yellow"/>
        </w:rPr>
        <w:t>,</w:t>
      </w:r>
      <w:r w:rsidR="006C0AFA" w:rsidRPr="006C0AFA">
        <w:rPr>
          <w:color w:val="000000"/>
          <w:sz w:val="20"/>
          <w:szCs w:val="20"/>
          <w:highlight w:val="yellow"/>
        </w:rPr>
        <w:t xml:space="preserve"> causing a great burden of disease, dependence </w:t>
      </w:r>
      <w:r w:rsidR="006C0AFA" w:rsidRPr="006C0AFA">
        <w:rPr>
          <w:color w:val="000000"/>
          <w:sz w:val="20"/>
          <w:szCs w:val="20"/>
          <w:highlight w:val="yellow"/>
        </w:rPr>
        <w:lastRenderedPageBreak/>
        <w:t>&amp; health care cost. Sarcopenia is the leading component for frailty in the elderly population, but very few studies have been done in India for correlating frailty with sarcopenia</w:t>
      </w:r>
      <w:r w:rsidR="00E846AA">
        <w:rPr>
          <w:color w:val="000000"/>
          <w:sz w:val="20"/>
          <w:szCs w:val="20"/>
          <w:highlight w:val="yellow"/>
        </w:rPr>
        <w:t xml:space="preserve"> (</w:t>
      </w:r>
      <w:proofErr w:type="spellStart"/>
      <w:r w:rsidR="00E846AA" w:rsidRPr="00E846AA">
        <w:rPr>
          <w:color w:val="000000"/>
          <w:sz w:val="20"/>
          <w:szCs w:val="20"/>
        </w:rPr>
        <w:t>Shrirang</w:t>
      </w:r>
      <w:proofErr w:type="spellEnd"/>
      <w:r w:rsidR="00E846AA">
        <w:rPr>
          <w:color w:val="000000"/>
          <w:sz w:val="20"/>
          <w:szCs w:val="20"/>
        </w:rPr>
        <w:t xml:space="preserve"> et al., 2021)</w:t>
      </w:r>
      <w:r w:rsidR="006C0AFA" w:rsidRPr="006C0AFA">
        <w:rPr>
          <w:color w:val="000000"/>
          <w:sz w:val="20"/>
          <w:szCs w:val="20"/>
          <w:highlight w:val="yellow"/>
        </w:rPr>
        <w:t>.</w:t>
      </w:r>
      <w:r w:rsidR="006C0AFA" w:rsidRPr="006C0AFA">
        <w:rPr>
          <w:color w:val="000000"/>
          <w:sz w:val="20"/>
          <w:szCs w:val="20"/>
        </w:rPr>
        <w:t xml:space="preserve"> </w:t>
      </w:r>
      <w:r>
        <w:rPr>
          <w:color w:val="000000"/>
          <w:sz w:val="20"/>
          <w:szCs w:val="20"/>
        </w:rPr>
        <w:t xml:space="preserve">The article "Sarcopenia: how to measure, when, and why" highlights the role of muscle as an endocrine organ that releases myokines associated with metabolism and inflammation. Given the growing worldwide and economic impact of sarcopenia, the authors stress the importance of early detection and treatment. The primary imaging methods—DXA, CT, MRI, and ultrasound—are discussed, with the explanation that CT is the gold standard, MRI offers thorough, radiation-free imaging, DXA is simple but less accurate, and ultrasound is helpful but lacks standard cut-offs. The study concludes that radiologists greatly improve outcomes by routinely assessing muscle health in clinical </w:t>
      </w:r>
      <w:r w:rsidRPr="00684FE6">
        <w:rPr>
          <w:color w:val="000000"/>
          <w:sz w:val="20"/>
          <w:szCs w:val="20"/>
          <w:highlight w:val="yellow"/>
        </w:rPr>
        <w:t>imaging (</w:t>
      </w:r>
      <w:proofErr w:type="spellStart"/>
      <w:r w:rsidRPr="00684FE6">
        <w:rPr>
          <w:color w:val="000000"/>
          <w:sz w:val="20"/>
          <w:szCs w:val="20"/>
          <w:highlight w:val="yellow"/>
        </w:rPr>
        <w:t>Tagliafico</w:t>
      </w:r>
      <w:proofErr w:type="spellEnd"/>
      <w:r w:rsidRPr="00684FE6">
        <w:rPr>
          <w:color w:val="000000"/>
          <w:sz w:val="20"/>
          <w:szCs w:val="20"/>
          <w:highlight w:val="yellow"/>
        </w:rPr>
        <w:t xml:space="preserve"> et al. 2022) [2</w:t>
      </w:r>
      <w:r>
        <w:rPr>
          <w:color w:val="000000"/>
          <w:sz w:val="20"/>
          <w:szCs w:val="20"/>
        </w:rPr>
        <w:t>].</w:t>
      </w:r>
    </w:p>
    <w:p w14:paraId="0000000F" w14:textId="221F9799" w:rsidR="002D2CBF" w:rsidRDefault="00125BFF">
      <w:pPr>
        <w:widowControl w:val="0"/>
        <w:pBdr>
          <w:top w:val="nil"/>
          <w:left w:val="nil"/>
          <w:bottom w:val="nil"/>
          <w:right w:val="nil"/>
          <w:between w:val="nil"/>
        </w:pBdr>
        <w:spacing w:line="240" w:lineRule="auto"/>
        <w:jc w:val="both"/>
        <w:rPr>
          <w:color w:val="000000"/>
          <w:sz w:val="20"/>
          <w:szCs w:val="20"/>
        </w:rPr>
      </w:pPr>
      <w:r>
        <w:rPr>
          <w:color w:val="000000"/>
          <w:sz w:val="20"/>
          <w:szCs w:val="20"/>
        </w:rPr>
        <w:t xml:space="preserve">For muscle growth and maintenance, the ISSN Position Stand suggests consuming 1.4–2.0 g/kg/day of protein; intakes exceeding 3.0 g/kg/day may help resistance-trained athletes lose fat. Combining exercise, which increases protein sensitivity for up to 24 hours, with protein intake—20–40 g of high-quality, leucine-rich protein every 3–4 </w:t>
      </w:r>
      <w:r w:rsidRPr="00684FE6">
        <w:rPr>
          <w:color w:val="000000"/>
          <w:sz w:val="20"/>
          <w:szCs w:val="20"/>
          <w:highlight w:val="yellow"/>
        </w:rPr>
        <w:t>hours—</w:t>
      </w:r>
      <w:proofErr w:type="spellStart"/>
      <w:r w:rsidR="00E7330B" w:rsidRPr="00684FE6">
        <w:rPr>
          <w:color w:val="000000"/>
          <w:sz w:val="20"/>
          <w:szCs w:val="20"/>
          <w:highlight w:val="yellow"/>
        </w:rPr>
        <w:t>maximi</w:t>
      </w:r>
      <w:r w:rsidR="00E7330B" w:rsidRPr="00684FE6">
        <w:rPr>
          <w:color w:val="000000"/>
          <w:sz w:val="20"/>
          <w:szCs w:val="20"/>
          <w:highlight w:val="yellow"/>
        </w:rPr>
        <w:t>s</w:t>
      </w:r>
      <w:r w:rsidR="00E7330B" w:rsidRPr="00684FE6">
        <w:rPr>
          <w:color w:val="000000"/>
          <w:sz w:val="20"/>
          <w:szCs w:val="20"/>
          <w:highlight w:val="yellow"/>
        </w:rPr>
        <w:t>es</w:t>
      </w:r>
      <w:proofErr w:type="spellEnd"/>
      <w:r w:rsidR="00E7330B" w:rsidRPr="00684FE6">
        <w:rPr>
          <w:color w:val="000000"/>
          <w:sz w:val="20"/>
          <w:szCs w:val="20"/>
          <w:highlight w:val="yellow"/>
        </w:rPr>
        <w:t xml:space="preserve"> </w:t>
      </w:r>
      <w:r w:rsidRPr="00684FE6">
        <w:rPr>
          <w:color w:val="000000"/>
          <w:sz w:val="20"/>
          <w:szCs w:val="20"/>
          <w:highlight w:val="yellow"/>
        </w:rPr>
        <w:t>muscle protein synthesis (MPS). Supplements work well, but whole foods are preferred. Carbs should be the top priority fo</w:t>
      </w:r>
      <w:r>
        <w:rPr>
          <w:color w:val="000000"/>
          <w:sz w:val="20"/>
          <w:szCs w:val="20"/>
        </w:rPr>
        <w:t>r endurance athletes, but extra protein helps with recuperation and 30–40 g of casein before bed increases MPS overnight. Healthy people can safely consume up to 3.3 g/kg of protein per day, which supports muscle growth, repair, and body composition (</w:t>
      </w:r>
      <w:proofErr w:type="spellStart"/>
      <w:r>
        <w:rPr>
          <w:color w:val="000000"/>
          <w:sz w:val="20"/>
          <w:szCs w:val="20"/>
        </w:rPr>
        <w:t>Jäger</w:t>
      </w:r>
      <w:proofErr w:type="spellEnd"/>
      <w:r>
        <w:rPr>
          <w:color w:val="000000"/>
          <w:sz w:val="20"/>
          <w:szCs w:val="20"/>
        </w:rPr>
        <w:t xml:space="preserve"> et al., 2017) [3].</w:t>
      </w:r>
    </w:p>
    <w:p w14:paraId="00000010" w14:textId="4948A25D" w:rsidR="002D2CBF" w:rsidRDefault="00125BFF">
      <w:pPr>
        <w:widowControl w:val="0"/>
        <w:pBdr>
          <w:top w:val="nil"/>
          <w:left w:val="nil"/>
          <w:bottom w:val="nil"/>
          <w:right w:val="nil"/>
          <w:between w:val="nil"/>
        </w:pBdr>
        <w:spacing w:line="240" w:lineRule="auto"/>
        <w:jc w:val="both"/>
        <w:rPr>
          <w:color w:val="000000"/>
          <w:sz w:val="20"/>
          <w:szCs w:val="20"/>
        </w:rPr>
      </w:pPr>
      <w:r>
        <w:rPr>
          <w:color w:val="000000"/>
          <w:sz w:val="20"/>
          <w:szCs w:val="20"/>
        </w:rPr>
        <w:t xml:space="preserve">The purpose of the study "Effects of Protein Supplementation Combined with Exercise Training on Muscle Mass and Function in Older Adults" was to determine whether including protein in exercise regimens would enhance the results of sarcopenia. Protein supplementation by itself had no effect, but when combined with regular exercise, it greatly improved older persons' muscle mass, strength, and functional ability, according to this </w:t>
      </w:r>
      <w:proofErr w:type="spellStart"/>
      <w:r w:rsidR="00E7330B" w:rsidRPr="00684FE6">
        <w:rPr>
          <w:color w:val="000000"/>
          <w:sz w:val="20"/>
          <w:szCs w:val="20"/>
          <w:highlight w:val="yellow"/>
        </w:rPr>
        <w:t>randomi</w:t>
      </w:r>
      <w:r w:rsidR="00E7330B" w:rsidRPr="00684FE6">
        <w:rPr>
          <w:color w:val="000000"/>
          <w:sz w:val="20"/>
          <w:szCs w:val="20"/>
          <w:highlight w:val="yellow"/>
        </w:rPr>
        <w:t>s</w:t>
      </w:r>
      <w:r w:rsidR="00E7330B" w:rsidRPr="00684FE6">
        <w:rPr>
          <w:color w:val="000000"/>
          <w:sz w:val="20"/>
          <w:szCs w:val="20"/>
          <w:highlight w:val="yellow"/>
        </w:rPr>
        <w:t>ed</w:t>
      </w:r>
      <w:proofErr w:type="spellEnd"/>
      <w:r w:rsidR="00E7330B" w:rsidRPr="00684FE6">
        <w:rPr>
          <w:color w:val="000000"/>
          <w:sz w:val="20"/>
          <w:szCs w:val="20"/>
          <w:highlight w:val="yellow"/>
        </w:rPr>
        <w:t xml:space="preserve"> </w:t>
      </w:r>
      <w:r w:rsidRPr="00684FE6">
        <w:rPr>
          <w:color w:val="000000"/>
          <w:sz w:val="20"/>
          <w:szCs w:val="20"/>
          <w:highlight w:val="yellow"/>
        </w:rPr>
        <w:t xml:space="preserve">controlled research. The findings </w:t>
      </w:r>
      <w:proofErr w:type="spellStart"/>
      <w:r w:rsidR="00E7330B" w:rsidRPr="00684FE6">
        <w:rPr>
          <w:color w:val="000000"/>
          <w:sz w:val="20"/>
          <w:szCs w:val="20"/>
          <w:highlight w:val="yellow"/>
        </w:rPr>
        <w:t>emphasi</w:t>
      </w:r>
      <w:r w:rsidR="00E7330B" w:rsidRPr="00684FE6">
        <w:rPr>
          <w:color w:val="000000"/>
          <w:sz w:val="20"/>
          <w:szCs w:val="20"/>
          <w:highlight w:val="yellow"/>
        </w:rPr>
        <w:t>s</w:t>
      </w:r>
      <w:r w:rsidR="00E7330B" w:rsidRPr="00684FE6">
        <w:rPr>
          <w:color w:val="000000"/>
          <w:sz w:val="20"/>
          <w:szCs w:val="20"/>
          <w:highlight w:val="yellow"/>
        </w:rPr>
        <w:t>e</w:t>
      </w:r>
      <w:proofErr w:type="spellEnd"/>
      <w:r w:rsidR="00E7330B" w:rsidRPr="00684FE6">
        <w:rPr>
          <w:color w:val="000000"/>
          <w:sz w:val="20"/>
          <w:szCs w:val="20"/>
          <w:highlight w:val="yellow"/>
        </w:rPr>
        <w:t xml:space="preserve"> </w:t>
      </w:r>
      <w:r w:rsidRPr="00684FE6">
        <w:rPr>
          <w:color w:val="000000"/>
          <w:sz w:val="20"/>
          <w:szCs w:val="20"/>
          <w:highlight w:val="yellow"/>
        </w:rPr>
        <w:t>that exercise is the</w:t>
      </w:r>
      <w:r>
        <w:rPr>
          <w:color w:val="000000"/>
          <w:sz w:val="20"/>
          <w:szCs w:val="20"/>
        </w:rPr>
        <w:t xml:space="preserve"> primary factor influencing muscle health in older adults and show that protein works best when paired with physical activity (Liao et al., 2020) [4]. In sarcopenic older </w:t>
      </w:r>
      <w:r w:rsidRPr="00684FE6">
        <w:rPr>
          <w:color w:val="000000"/>
          <w:sz w:val="20"/>
          <w:szCs w:val="20"/>
          <w:highlight w:val="yellow"/>
        </w:rPr>
        <w:t xml:space="preserve">individuals, early vs delayed supervised resistance exercise with nutritional support was evaluated in a </w:t>
      </w:r>
      <w:proofErr w:type="spellStart"/>
      <w:r w:rsidR="00E7330B" w:rsidRPr="00684FE6">
        <w:rPr>
          <w:color w:val="000000"/>
          <w:sz w:val="20"/>
          <w:szCs w:val="20"/>
          <w:highlight w:val="yellow"/>
        </w:rPr>
        <w:t>randomi</w:t>
      </w:r>
      <w:r w:rsidR="00E7330B" w:rsidRPr="00684FE6">
        <w:rPr>
          <w:color w:val="000000"/>
          <w:sz w:val="20"/>
          <w:szCs w:val="20"/>
          <w:highlight w:val="yellow"/>
        </w:rPr>
        <w:t>s</w:t>
      </w:r>
      <w:r w:rsidR="00E7330B" w:rsidRPr="00684FE6">
        <w:rPr>
          <w:color w:val="000000"/>
          <w:sz w:val="20"/>
          <w:szCs w:val="20"/>
          <w:highlight w:val="yellow"/>
        </w:rPr>
        <w:t>ed</w:t>
      </w:r>
      <w:proofErr w:type="spellEnd"/>
      <w:r w:rsidR="00E7330B" w:rsidRPr="00684FE6">
        <w:rPr>
          <w:color w:val="000000"/>
          <w:sz w:val="20"/>
          <w:szCs w:val="20"/>
          <w:highlight w:val="yellow"/>
        </w:rPr>
        <w:t xml:space="preserve"> </w:t>
      </w:r>
      <w:r w:rsidRPr="00684FE6">
        <w:rPr>
          <w:color w:val="000000"/>
          <w:sz w:val="20"/>
          <w:szCs w:val="20"/>
          <w:highlight w:val="yellow"/>
        </w:rPr>
        <w:t>controlled experiment. Lower-extremity lean mass increased more quickly and significantly with early intervention,</w:t>
      </w:r>
      <w:r>
        <w:rPr>
          <w:color w:val="000000"/>
          <w:sz w:val="20"/>
          <w:szCs w:val="20"/>
        </w:rPr>
        <w:t xml:space="preserve"> and this benefit persisted even after switching to at-home exercise. Nonetheless, strength and mobility gains were comparable for both groups. In </w:t>
      </w:r>
      <w:r w:rsidRPr="00684FE6">
        <w:rPr>
          <w:color w:val="000000"/>
          <w:sz w:val="20"/>
          <w:szCs w:val="20"/>
          <w:highlight w:val="yellow"/>
        </w:rPr>
        <w:t xml:space="preserve">general, </w:t>
      </w:r>
      <w:r w:rsidR="00E7330B" w:rsidRPr="00684FE6">
        <w:rPr>
          <w:color w:val="000000"/>
          <w:sz w:val="20"/>
          <w:szCs w:val="20"/>
          <w:highlight w:val="yellow"/>
        </w:rPr>
        <w:t>regular</w:t>
      </w:r>
      <w:r w:rsidR="00E7330B" w:rsidRPr="00684FE6">
        <w:rPr>
          <w:color w:val="000000"/>
          <w:sz w:val="20"/>
          <w:szCs w:val="20"/>
          <w:highlight w:val="yellow"/>
        </w:rPr>
        <w:t xml:space="preserve"> </w:t>
      </w:r>
      <w:r w:rsidRPr="00684FE6">
        <w:rPr>
          <w:color w:val="000000"/>
          <w:sz w:val="20"/>
          <w:szCs w:val="20"/>
          <w:highlight w:val="yellow"/>
        </w:rPr>
        <w:t>at-home exercise helps sustain muscle mass increases, but beginning structured resistance training and diet</w:t>
      </w:r>
      <w:r>
        <w:rPr>
          <w:color w:val="000000"/>
          <w:sz w:val="20"/>
          <w:szCs w:val="20"/>
        </w:rPr>
        <w:t xml:space="preserve"> early speeds them up (van Loon, 2014) [5].</w:t>
      </w:r>
    </w:p>
    <w:p w14:paraId="00000011" w14:textId="77777777" w:rsidR="002D2CBF" w:rsidRDefault="002D2CBF">
      <w:pPr>
        <w:widowControl w:val="0"/>
        <w:pBdr>
          <w:top w:val="nil"/>
          <w:left w:val="nil"/>
          <w:bottom w:val="nil"/>
          <w:right w:val="nil"/>
          <w:between w:val="nil"/>
        </w:pBdr>
        <w:spacing w:line="240" w:lineRule="auto"/>
        <w:jc w:val="both"/>
        <w:rPr>
          <w:color w:val="000000"/>
          <w:sz w:val="24"/>
          <w:szCs w:val="24"/>
        </w:rPr>
      </w:pPr>
    </w:p>
    <w:p w14:paraId="00000012" w14:textId="41EC29CD" w:rsidR="002D2CBF" w:rsidRPr="00684FE6" w:rsidRDefault="00125BFF">
      <w:pPr>
        <w:widowControl w:val="0"/>
        <w:numPr>
          <w:ilvl w:val="0"/>
          <w:numId w:val="3"/>
        </w:numPr>
        <w:pBdr>
          <w:top w:val="nil"/>
          <w:left w:val="nil"/>
          <w:bottom w:val="nil"/>
          <w:right w:val="nil"/>
          <w:between w:val="nil"/>
        </w:pBdr>
        <w:spacing w:line="360" w:lineRule="auto"/>
        <w:jc w:val="both"/>
        <w:rPr>
          <w:b/>
          <w:bCs/>
          <w:highlight w:val="yellow"/>
        </w:rPr>
      </w:pPr>
      <w:r>
        <w:rPr>
          <w:b/>
          <w:bCs/>
        </w:rPr>
        <w:t xml:space="preserve"> </w:t>
      </w:r>
      <w:r w:rsidRPr="00684FE6">
        <w:rPr>
          <w:b/>
          <w:bCs/>
          <w:color w:val="000000"/>
          <w:highlight w:val="yellow"/>
        </w:rPr>
        <w:t>Protein and Healthy Ag</w:t>
      </w:r>
      <w:r w:rsidR="00E7330B" w:rsidRPr="00684FE6">
        <w:rPr>
          <w:b/>
          <w:bCs/>
          <w:color w:val="000000"/>
          <w:highlight w:val="yellow"/>
        </w:rPr>
        <w:t>e</w:t>
      </w:r>
      <w:r w:rsidRPr="00684FE6">
        <w:rPr>
          <w:b/>
          <w:bCs/>
          <w:color w:val="000000"/>
          <w:highlight w:val="yellow"/>
        </w:rPr>
        <w:t>ing</w:t>
      </w:r>
    </w:p>
    <w:p w14:paraId="00000013" w14:textId="7C5787F8" w:rsidR="002D2CBF" w:rsidRDefault="00125BFF">
      <w:pPr>
        <w:widowControl w:val="0"/>
        <w:pBdr>
          <w:top w:val="nil"/>
          <w:left w:val="nil"/>
          <w:bottom w:val="nil"/>
          <w:right w:val="nil"/>
          <w:between w:val="nil"/>
        </w:pBdr>
        <w:spacing w:line="240" w:lineRule="auto"/>
        <w:jc w:val="both"/>
        <w:rPr>
          <w:color w:val="000000"/>
          <w:sz w:val="20"/>
          <w:szCs w:val="20"/>
        </w:rPr>
      </w:pPr>
      <w:r>
        <w:rPr>
          <w:color w:val="000000"/>
          <w:sz w:val="20"/>
          <w:szCs w:val="20"/>
        </w:rPr>
        <w:t>In order to prevent sarcopenia, it is crucial to consume enough high-quality protein and engage in regular physical activity, according to the paper "Protein and Healthy Ag</w:t>
      </w:r>
      <w:r w:rsidR="00E7330B">
        <w:rPr>
          <w:color w:val="000000"/>
          <w:sz w:val="20"/>
          <w:szCs w:val="20"/>
        </w:rPr>
        <w:t>e</w:t>
      </w:r>
      <w:r>
        <w:rPr>
          <w:color w:val="000000"/>
          <w:sz w:val="20"/>
          <w:szCs w:val="20"/>
        </w:rPr>
        <w:t xml:space="preserve">ing." Given that older persons frequently </w:t>
      </w:r>
      <w:proofErr w:type="spellStart"/>
      <w:r w:rsidR="00AA7192">
        <w:rPr>
          <w:color w:val="000000"/>
          <w:sz w:val="20"/>
          <w:szCs w:val="20"/>
        </w:rPr>
        <w:t>underconsume</w:t>
      </w:r>
      <w:proofErr w:type="spellEnd"/>
      <w:r>
        <w:rPr>
          <w:color w:val="000000"/>
          <w:sz w:val="20"/>
          <w:szCs w:val="20"/>
        </w:rPr>
        <w:t xml:space="preserve"> protein at breakfast, it is noted that ingesting 25–30 g of protein per meal, equally spread throughout the day, increases muscle protein synthesis. Animal proteins often contain more leucine, which is essential for muscle building, even though both plant and animal proteins are beneficial. The study also </w:t>
      </w:r>
      <w:proofErr w:type="spellStart"/>
      <w:r w:rsidR="00E7330B" w:rsidRPr="00684FE6">
        <w:rPr>
          <w:color w:val="000000"/>
          <w:sz w:val="20"/>
          <w:szCs w:val="20"/>
          <w:highlight w:val="yellow"/>
        </w:rPr>
        <w:t>emphasi</w:t>
      </w:r>
      <w:r w:rsidR="00E7330B" w:rsidRPr="00684FE6">
        <w:rPr>
          <w:color w:val="000000"/>
          <w:sz w:val="20"/>
          <w:szCs w:val="20"/>
          <w:highlight w:val="yellow"/>
        </w:rPr>
        <w:t>s</w:t>
      </w:r>
      <w:r w:rsidR="00E7330B" w:rsidRPr="00684FE6">
        <w:rPr>
          <w:color w:val="000000"/>
          <w:sz w:val="20"/>
          <w:szCs w:val="20"/>
          <w:highlight w:val="yellow"/>
        </w:rPr>
        <w:t>es</w:t>
      </w:r>
      <w:proofErr w:type="spellEnd"/>
      <w:r w:rsidR="00E7330B" w:rsidRPr="00684FE6">
        <w:rPr>
          <w:color w:val="000000"/>
          <w:sz w:val="20"/>
          <w:szCs w:val="20"/>
          <w:highlight w:val="yellow"/>
        </w:rPr>
        <w:t xml:space="preserve"> </w:t>
      </w:r>
      <w:r w:rsidRPr="00684FE6">
        <w:rPr>
          <w:color w:val="000000"/>
          <w:sz w:val="20"/>
          <w:szCs w:val="20"/>
          <w:highlight w:val="yellow"/>
        </w:rPr>
        <w:t>ho</w:t>
      </w:r>
      <w:r>
        <w:rPr>
          <w:color w:val="000000"/>
          <w:sz w:val="20"/>
          <w:szCs w:val="20"/>
        </w:rPr>
        <w:t xml:space="preserve">w exercise increases the anabolic benefits of protein, making the combination crucial for maintaining older persons' independence, strength, and muscle mass. In order to improve protein and exercise recommendations for </w:t>
      </w:r>
      <w:r w:rsidRPr="00684FE6">
        <w:rPr>
          <w:color w:val="000000"/>
          <w:sz w:val="20"/>
          <w:szCs w:val="20"/>
          <w:highlight w:val="yellow"/>
        </w:rPr>
        <w:t>healthy ag</w:t>
      </w:r>
      <w:r w:rsidR="00E7330B" w:rsidRPr="00684FE6">
        <w:rPr>
          <w:color w:val="000000"/>
          <w:sz w:val="20"/>
          <w:szCs w:val="20"/>
          <w:highlight w:val="yellow"/>
        </w:rPr>
        <w:t>e</w:t>
      </w:r>
      <w:r w:rsidRPr="00684FE6">
        <w:rPr>
          <w:color w:val="000000"/>
          <w:sz w:val="20"/>
          <w:szCs w:val="20"/>
          <w:highlight w:val="yellow"/>
        </w:rPr>
        <w:t>ing, it calls for more research in its conclusion (</w:t>
      </w:r>
      <w:proofErr w:type="spellStart"/>
      <w:r w:rsidRPr="00684FE6">
        <w:rPr>
          <w:color w:val="000000"/>
          <w:sz w:val="20"/>
          <w:szCs w:val="20"/>
          <w:highlight w:val="yellow"/>
        </w:rPr>
        <w:t>Paddon</w:t>
      </w:r>
      <w:proofErr w:type="spellEnd"/>
      <w:r w:rsidRPr="00684FE6">
        <w:rPr>
          <w:color w:val="000000"/>
          <w:sz w:val="20"/>
          <w:szCs w:val="20"/>
          <w:highlight w:val="yellow"/>
        </w:rPr>
        <w:t xml:space="preserve">-Jones et al., 2015) [6]. </w:t>
      </w:r>
      <w:r w:rsidRPr="00684FE6">
        <w:rPr>
          <w:sz w:val="20"/>
          <w:szCs w:val="20"/>
          <w:highlight w:val="yellow"/>
        </w:rPr>
        <w:t>According to the review "Protein Consumption and the Elderly," older people should not ingest the recommended daily allowance of 0.8 g/kg of protein because sarcopenia is a consequence of ag</w:t>
      </w:r>
      <w:r w:rsidR="00E7330B" w:rsidRPr="00684FE6">
        <w:rPr>
          <w:sz w:val="20"/>
          <w:szCs w:val="20"/>
          <w:highlight w:val="yellow"/>
        </w:rPr>
        <w:t>e</w:t>
      </w:r>
      <w:r w:rsidRPr="00684FE6">
        <w:rPr>
          <w:sz w:val="20"/>
          <w:szCs w:val="20"/>
          <w:highlight w:val="yellow"/>
        </w:rPr>
        <w:t>ing. Because of anabolic resistance, the authors recommend a higher intake of 1.2–2.0 g/kg/day,</w:t>
      </w:r>
      <w:r>
        <w:rPr>
          <w:sz w:val="20"/>
          <w:szCs w:val="20"/>
        </w:rPr>
        <w:t xml:space="preserve"> </w:t>
      </w:r>
      <w:proofErr w:type="spellStart"/>
      <w:r w:rsidR="00E7330B" w:rsidRPr="00684FE6">
        <w:rPr>
          <w:sz w:val="20"/>
          <w:szCs w:val="20"/>
          <w:highlight w:val="yellow"/>
        </w:rPr>
        <w:t>emphasi</w:t>
      </w:r>
      <w:r w:rsidR="00E7330B" w:rsidRPr="00684FE6">
        <w:rPr>
          <w:sz w:val="20"/>
          <w:szCs w:val="20"/>
          <w:highlight w:val="yellow"/>
        </w:rPr>
        <w:t>s</w:t>
      </w:r>
      <w:r w:rsidR="00E7330B" w:rsidRPr="00684FE6">
        <w:rPr>
          <w:sz w:val="20"/>
          <w:szCs w:val="20"/>
          <w:highlight w:val="yellow"/>
        </w:rPr>
        <w:t>ing</w:t>
      </w:r>
      <w:proofErr w:type="spellEnd"/>
      <w:r w:rsidR="00E7330B" w:rsidRPr="00684FE6">
        <w:rPr>
          <w:sz w:val="20"/>
          <w:szCs w:val="20"/>
          <w:highlight w:val="yellow"/>
        </w:rPr>
        <w:t xml:space="preserve"> </w:t>
      </w:r>
      <w:r w:rsidRPr="00684FE6">
        <w:rPr>
          <w:sz w:val="20"/>
          <w:szCs w:val="20"/>
          <w:highlight w:val="yellow"/>
        </w:rPr>
        <w:t>that high</w:t>
      </w:r>
      <w:r>
        <w:rPr>
          <w:sz w:val="20"/>
          <w:szCs w:val="20"/>
        </w:rPr>
        <w:t xml:space="preserve">-quality, leucine-rich animal proteins elicit the strongest anabolic response. They note that total daily protein intake is more important than meal distribution and that age-related decreases in mTORC1 activity and leucine sensitivity reduce muscle protein synthesis. Overall, the data </w:t>
      </w:r>
      <w:r w:rsidRPr="00684FE6">
        <w:rPr>
          <w:sz w:val="20"/>
          <w:szCs w:val="20"/>
          <w:highlight w:val="yellow"/>
        </w:rPr>
        <w:t>conclude that a bigger, highe</w:t>
      </w:r>
      <w:r>
        <w:rPr>
          <w:sz w:val="20"/>
          <w:szCs w:val="20"/>
        </w:rPr>
        <w:t>r-quality protein intake is necessary for older persons to sustain muscle growth and function</w:t>
      </w:r>
      <w:r>
        <w:rPr>
          <w:color w:val="000000"/>
          <w:sz w:val="20"/>
          <w:szCs w:val="20"/>
        </w:rPr>
        <w:t xml:space="preserve"> (Baum, Kim, &amp; Wolfe, 2016) [7].</w:t>
      </w:r>
    </w:p>
    <w:p w14:paraId="00000014" w14:textId="682BF355" w:rsidR="002D2CBF" w:rsidRDefault="003663BA">
      <w:pPr>
        <w:widowControl w:val="0"/>
        <w:pBdr>
          <w:top w:val="nil"/>
          <w:left w:val="nil"/>
          <w:bottom w:val="nil"/>
          <w:right w:val="nil"/>
          <w:between w:val="nil"/>
        </w:pBdr>
        <w:spacing w:line="240" w:lineRule="auto"/>
        <w:jc w:val="both"/>
        <w:rPr>
          <w:color w:val="000000"/>
          <w:sz w:val="20"/>
          <w:szCs w:val="20"/>
        </w:rPr>
      </w:pPr>
      <w:r w:rsidRPr="00223B53">
        <w:rPr>
          <w:color w:val="000000"/>
          <w:sz w:val="20"/>
          <w:szCs w:val="20"/>
          <w:highlight w:val="yellow"/>
        </w:rPr>
        <w:t>Women have less muscle than men but lose it more slowly during aging</w:t>
      </w:r>
      <w:r w:rsidR="003B4843" w:rsidRPr="00223B53">
        <w:rPr>
          <w:color w:val="000000"/>
          <w:sz w:val="20"/>
          <w:szCs w:val="20"/>
          <w:highlight w:val="yellow"/>
        </w:rPr>
        <w:t xml:space="preserve"> (Smith et al., 2008)</w:t>
      </w:r>
      <w:r w:rsidRPr="00223B53">
        <w:rPr>
          <w:color w:val="000000"/>
          <w:sz w:val="20"/>
          <w:szCs w:val="20"/>
          <w:highlight w:val="yellow"/>
        </w:rPr>
        <w:t>.</w:t>
      </w:r>
      <w:r w:rsidRPr="003663BA">
        <w:rPr>
          <w:color w:val="000000"/>
          <w:sz w:val="20"/>
          <w:szCs w:val="20"/>
        </w:rPr>
        <w:t xml:space="preserve"> </w:t>
      </w:r>
      <w:r w:rsidR="00125BFF">
        <w:rPr>
          <w:color w:val="000000"/>
          <w:sz w:val="20"/>
          <w:szCs w:val="20"/>
        </w:rPr>
        <w:t>The Nurses' Health Study, a 32-year follow-up of 48,762 women, looked at midlife protein consumption and healthy ag</w:t>
      </w:r>
      <w:r w:rsidR="00E7330B">
        <w:rPr>
          <w:color w:val="000000"/>
          <w:sz w:val="20"/>
          <w:szCs w:val="20"/>
        </w:rPr>
        <w:t>e</w:t>
      </w:r>
      <w:r w:rsidR="00125BFF">
        <w:rPr>
          <w:color w:val="000000"/>
          <w:sz w:val="20"/>
          <w:szCs w:val="20"/>
        </w:rPr>
        <w:t xml:space="preserve">ing, which is </w:t>
      </w:r>
      <w:proofErr w:type="spellStart"/>
      <w:r w:rsidR="00E7330B" w:rsidRPr="00684FE6">
        <w:rPr>
          <w:color w:val="000000"/>
          <w:sz w:val="20"/>
          <w:szCs w:val="20"/>
          <w:highlight w:val="yellow"/>
        </w:rPr>
        <w:t>characteri</w:t>
      </w:r>
      <w:r w:rsidR="00E7330B" w:rsidRPr="00684FE6">
        <w:rPr>
          <w:color w:val="000000"/>
          <w:sz w:val="20"/>
          <w:szCs w:val="20"/>
          <w:highlight w:val="yellow"/>
        </w:rPr>
        <w:t>s</w:t>
      </w:r>
      <w:r w:rsidR="00E7330B" w:rsidRPr="00684FE6">
        <w:rPr>
          <w:color w:val="000000"/>
          <w:sz w:val="20"/>
          <w:szCs w:val="20"/>
          <w:highlight w:val="yellow"/>
        </w:rPr>
        <w:t>ed</w:t>
      </w:r>
      <w:proofErr w:type="spellEnd"/>
      <w:r w:rsidR="00E7330B" w:rsidRPr="00684FE6">
        <w:rPr>
          <w:color w:val="000000"/>
          <w:sz w:val="20"/>
          <w:szCs w:val="20"/>
          <w:highlight w:val="yellow"/>
        </w:rPr>
        <w:t xml:space="preserve"> </w:t>
      </w:r>
      <w:r w:rsidR="00125BFF" w:rsidRPr="00684FE6">
        <w:rPr>
          <w:color w:val="000000"/>
          <w:sz w:val="20"/>
          <w:szCs w:val="20"/>
          <w:highlight w:val="yellow"/>
        </w:rPr>
        <w:t>by th</w:t>
      </w:r>
      <w:r w:rsidR="00125BFF">
        <w:rPr>
          <w:color w:val="000000"/>
          <w:sz w:val="20"/>
          <w:szCs w:val="20"/>
        </w:rPr>
        <w:t>e absence of significant chronic diseases and good cognitive, mental, and physical function. Merely 7.6% fulfilled these requirements. Greater odds of healthy aging were closely associated with higher total protein intake, particularly plant protein, which increased the likelihood by 22–58% when substituted for animal protein, carbohydrates, or lipids. According to the study, consuming plant-based protein in midlife promotes improved health and a higher standard of living in later life (</w:t>
      </w:r>
      <w:proofErr w:type="spellStart"/>
      <w:r w:rsidR="00125BFF">
        <w:rPr>
          <w:color w:val="000000"/>
          <w:sz w:val="20"/>
          <w:szCs w:val="20"/>
        </w:rPr>
        <w:t>Ardisson</w:t>
      </w:r>
      <w:proofErr w:type="spellEnd"/>
      <w:r w:rsidR="00125BFF">
        <w:rPr>
          <w:color w:val="000000"/>
          <w:sz w:val="20"/>
          <w:szCs w:val="20"/>
        </w:rPr>
        <w:t xml:space="preserve"> Korat et al. 2024) [8]. </w:t>
      </w:r>
      <w:r w:rsidR="00125BFF">
        <w:rPr>
          <w:sz w:val="20"/>
          <w:szCs w:val="20"/>
        </w:rPr>
        <w:t xml:space="preserve">In addition to improving physical and mental outcomes, a balanced diet rich in fruits, </w:t>
      </w:r>
      <w:r w:rsidR="00125BFF">
        <w:rPr>
          <w:sz w:val="20"/>
          <w:szCs w:val="20"/>
        </w:rPr>
        <w:lastRenderedPageBreak/>
        <w:t xml:space="preserve">vegetables, whole grains, </w:t>
      </w:r>
      <w:r w:rsidR="00125BFF" w:rsidRPr="00684FE6">
        <w:rPr>
          <w:sz w:val="20"/>
          <w:szCs w:val="20"/>
          <w:highlight w:val="yellow"/>
        </w:rPr>
        <w:t>lean meats, and healthy fats lowers the prevalence of chronic diseases. The importance of diet for healthy ag</w:t>
      </w:r>
      <w:r w:rsidR="00E7330B" w:rsidRPr="00684FE6">
        <w:rPr>
          <w:sz w:val="20"/>
          <w:szCs w:val="20"/>
          <w:highlight w:val="yellow"/>
        </w:rPr>
        <w:t>e</w:t>
      </w:r>
      <w:r w:rsidR="00125BFF" w:rsidRPr="00684FE6">
        <w:rPr>
          <w:sz w:val="20"/>
          <w:szCs w:val="20"/>
          <w:highlight w:val="yellow"/>
        </w:rPr>
        <w:t xml:space="preserve">ing is </w:t>
      </w:r>
      <w:proofErr w:type="spellStart"/>
      <w:r w:rsidR="00E7330B" w:rsidRPr="00684FE6">
        <w:rPr>
          <w:sz w:val="20"/>
          <w:szCs w:val="20"/>
          <w:highlight w:val="yellow"/>
        </w:rPr>
        <w:t>emphasi</w:t>
      </w:r>
      <w:r w:rsidR="00E7330B" w:rsidRPr="00684FE6">
        <w:rPr>
          <w:sz w:val="20"/>
          <w:szCs w:val="20"/>
          <w:highlight w:val="yellow"/>
        </w:rPr>
        <w:t>s</w:t>
      </w:r>
      <w:r w:rsidR="00E7330B" w:rsidRPr="00684FE6">
        <w:rPr>
          <w:sz w:val="20"/>
          <w:szCs w:val="20"/>
          <w:highlight w:val="yellow"/>
        </w:rPr>
        <w:t>ed</w:t>
      </w:r>
      <w:proofErr w:type="spellEnd"/>
      <w:r w:rsidR="00E7330B" w:rsidRPr="00684FE6">
        <w:rPr>
          <w:sz w:val="20"/>
          <w:szCs w:val="20"/>
          <w:highlight w:val="yellow"/>
        </w:rPr>
        <w:t xml:space="preserve"> </w:t>
      </w:r>
      <w:r w:rsidR="00125BFF" w:rsidRPr="00684FE6">
        <w:rPr>
          <w:sz w:val="20"/>
          <w:szCs w:val="20"/>
          <w:highlight w:val="yellow"/>
        </w:rPr>
        <w:t>in this review</w:t>
      </w:r>
      <w:r w:rsidR="00125BFF">
        <w:rPr>
          <w:sz w:val="20"/>
          <w:szCs w:val="20"/>
        </w:rPr>
        <w:t xml:space="preserve">. Better </w:t>
      </w:r>
      <w:r w:rsidR="00125BFF" w:rsidRPr="00684FE6">
        <w:rPr>
          <w:sz w:val="20"/>
          <w:szCs w:val="20"/>
          <w:highlight w:val="yellow"/>
        </w:rPr>
        <w:t>ag</w:t>
      </w:r>
      <w:r w:rsidR="00E7330B" w:rsidRPr="00684FE6">
        <w:rPr>
          <w:sz w:val="20"/>
          <w:szCs w:val="20"/>
          <w:highlight w:val="yellow"/>
        </w:rPr>
        <w:t>e</w:t>
      </w:r>
      <w:r w:rsidR="00125BFF" w:rsidRPr="00684FE6">
        <w:rPr>
          <w:sz w:val="20"/>
          <w:szCs w:val="20"/>
          <w:highlight w:val="yellow"/>
        </w:rPr>
        <w:t xml:space="preserve">ing is linked to diets like the Okinawa, DASH, and Mediterranean patterns. Since preserving muscle, bone health, independence, and cognitive function in older adults requires an appropriate intake of protein, </w:t>
      </w:r>
      <w:proofErr w:type="spellStart"/>
      <w:r w:rsidR="00E7330B" w:rsidRPr="00684FE6">
        <w:rPr>
          <w:sz w:val="20"/>
          <w:szCs w:val="20"/>
          <w:highlight w:val="yellow"/>
        </w:rPr>
        <w:t>fib</w:t>
      </w:r>
      <w:r w:rsidR="00E7330B" w:rsidRPr="00684FE6">
        <w:rPr>
          <w:sz w:val="20"/>
          <w:szCs w:val="20"/>
          <w:highlight w:val="yellow"/>
        </w:rPr>
        <w:t>re</w:t>
      </w:r>
      <w:proofErr w:type="spellEnd"/>
      <w:r w:rsidR="00125BFF" w:rsidRPr="00684FE6">
        <w:rPr>
          <w:sz w:val="20"/>
          <w:szCs w:val="20"/>
          <w:highlight w:val="yellow"/>
        </w:rPr>
        <w:t>, vitamin D, and omega-3 fa</w:t>
      </w:r>
      <w:r w:rsidR="00125BFF">
        <w:rPr>
          <w:sz w:val="20"/>
          <w:szCs w:val="20"/>
        </w:rPr>
        <w:t>tty acids, a more robust public health message on nutrition and ag</w:t>
      </w:r>
      <w:r w:rsidR="00E7330B">
        <w:rPr>
          <w:sz w:val="20"/>
          <w:szCs w:val="20"/>
        </w:rPr>
        <w:t>e</w:t>
      </w:r>
      <w:r w:rsidR="00125BFF">
        <w:rPr>
          <w:sz w:val="20"/>
          <w:szCs w:val="20"/>
        </w:rPr>
        <w:t xml:space="preserve">ing is required </w:t>
      </w:r>
      <w:r w:rsidR="00125BFF">
        <w:rPr>
          <w:color w:val="000000"/>
          <w:sz w:val="20"/>
          <w:szCs w:val="20"/>
        </w:rPr>
        <w:t>(</w:t>
      </w:r>
      <w:proofErr w:type="spellStart"/>
      <w:r w:rsidR="00125BFF">
        <w:rPr>
          <w:color w:val="000000"/>
          <w:sz w:val="20"/>
          <w:szCs w:val="20"/>
        </w:rPr>
        <w:t>Bojang</w:t>
      </w:r>
      <w:proofErr w:type="spellEnd"/>
      <w:r w:rsidR="00125BFF">
        <w:rPr>
          <w:color w:val="000000"/>
          <w:sz w:val="20"/>
          <w:szCs w:val="20"/>
        </w:rPr>
        <w:t xml:space="preserve"> &amp; </w:t>
      </w:r>
      <w:proofErr w:type="spellStart"/>
      <w:r w:rsidR="00125BFF">
        <w:rPr>
          <w:color w:val="000000"/>
          <w:sz w:val="20"/>
          <w:szCs w:val="20"/>
        </w:rPr>
        <w:t>Manchana</w:t>
      </w:r>
      <w:proofErr w:type="spellEnd"/>
      <w:r w:rsidR="00125BFF">
        <w:rPr>
          <w:color w:val="000000"/>
          <w:sz w:val="20"/>
          <w:szCs w:val="20"/>
        </w:rPr>
        <w:t>, 2023) [9].</w:t>
      </w:r>
    </w:p>
    <w:p w14:paraId="00000015" w14:textId="77777777" w:rsidR="002D2CBF" w:rsidRDefault="002D2CBF">
      <w:pPr>
        <w:widowControl w:val="0"/>
        <w:pBdr>
          <w:top w:val="nil"/>
          <w:left w:val="nil"/>
          <w:bottom w:val="nil"/>
          <w:right w:val="nil"/>
          <w:between w:val="nil"/>
        </w:pBdr>
        <w:spacing w:line="240" w:lineRule="auto"/>
        <w:jc w:val="both"/>
        <w:rPr>
          <w:color w:val="000000"/>
          <w:sz w:val="24"/>
          <w:szCs w:val="24"/>
        </w:rPr>
      </w:pPr>
    </w:p>
    <w:p w14:paraId="00000016" w14:textId="54ABC4CE" w:rsidR="002D2CBF" w:rsidRPr="00684FE6" w:rsidRDefault="00125BFF">
      <w:pPr>
        <w:widowControl w:val="0"/>
        <w:numPr>
          <w:ilvl w:val="0"/>
          <w:numId w:val="3"/>
        </w:numPr>
        <w:pBdr>
          <w:top w:val="nil"/>
          <w:left w:val="nil"/>
          <w:bottom w:val="nil"/>
          <w:right w:val="nil"/>
          <w:between w:val="nil"/>
        </w:pBdr>
        <w:spacing w:line="360" w:lineRule="auto"/>
        <w:jc w:val="both"/>
        <w:rPr>
          <w:b/>
          <w:bCs/>
          <w:color w:val="000000"/>
          <w:highlight w:val="yellow"/>
        </w:rPr>
      </w:pPr>
      <w:r>
        <w:rPr>
          <w:b/>
          <w:bCs/>
          <w:color w:val="000000"/>
        </w:rPr>
        <w:t xml:space="preserve">Sarcopenia </w:t>
      </w:r>
      <w:r w:rsidRPr="00684FE6">
        <w:rPr>
          <w:b/>
          <w:bCs/>
          <w:color w:val="000000"/>
          <w:highlight w:val="yellow"/>
        </w:rPr>
        <w:t>and Ag</w:t>
      </w:r>
      <w:r w:rsidR="00E7330B" w:rsidRPr="00684FE6">
        <w:rPr>
          <w:b/>
          <w:bCs/>
          <w:color w:val="000000"/>
          <w:highlight w:val="yellow"/>
        </w:rPr>
        <w:t>e</w:t>
      </w:r>
      <w:r w:rsidRPr="00684FE6">
        <w:rPr>
          <w:b/>
          <w:bCs/>
          <w:color w:val="000000"/>
          <w:highlight w:val="yellow"/>
        </w:rPr>
        <w:t>ing</w:t>
      </w:r>
    </w:p>
    <w:p w14:paraId="00000017" w14:textId="4A52E57F" w:rsidR="002D2CBF" w:rsidRDefault="00125BFF">
      <w:pPr>
        <w:widowControl w:val="0"/>
        <w:pBdr>
          <w:top w:val="nil"/>
          <w:left w:val="nil"/>
          <w:bottom w:val="nil"/>
          <w:right w:val="nil"/>
          <w:between w:val="nil"/>
        </w:pBdr>
        <w:spacing w:line="240" w:lineRule="auto"/>
        <w:jc w:val="both"/>
        <w:rPr>
          <w:color w:val="000000"/>
          <w:sz w:val="20"/>
          <w:szCs w:val="20"/>
        </w:rPr>
      </w:pPr>
      <w:r>
        <w:rPr>
          <w:color w:val="000000"/>
          <w:sz w:val="20"/>
          <w:szCs w:val="20"/>
        </w:rPr>
        <w:t>Anabolic resistance, mitochondrial dysfunction, decreased NAD</w:t>
      </w:r>
      <w:r>
        <w:rPr>
          <w:rFonts w:ascii="Times New Roman" w:eastAsia="Times New Roman" w:hAnsi="Times New Roman" w:cs="Times New Roman"/>
          <w:color w:val="000000"/>
          <w:sz w:val="20"/>
          <w:szCs w:val="20"/>
        </w:rPr>
        <w:t>⁺</w:t>
      </w:r>
      <w:r>
        <w:rPr>
          <w:color w:val="000000"/>
          <w:sz w:val="20"/>
          <w:szCs w:val="20"/>
        </w:rPr>
        <w:t xml:space="preserve"> metabolism, altered myokine signaling, and alterations in gut microbiota are some of the multifactorial reasons of sarcopenia. </w:t>
      </w:r>
      <w:r w:rsidR="00A355F1" w:rsidRPr="00A355F1">
        <w:rPr>
          <w:color w:val="000000"/>
          <w:sz w:val="20"/>
          <w:szCs w:val="20"/>
          <w:highlight w:val="yellow"/>
        </w:rPr>
        <w:t>As the global population ages, the risks associated with primary sarcopenia, including falls, fractures, functional decline, and frailty, are becoming increasingly apparent, all of which significantly impair the quality of life in older adults. Emerging evidence suggests that the gut microbiota plays a pivotal role in maintaining muscle physiology</w:t>
      </w:r>
      <w:r w:rsidR="00244D13">
        <w:rPr>
          <w:color w:val="000000"/>
          <w:sz w:val="20"/>
          <w:szCs w:val="20"/>
          <w:highlight w:val="yellow"/>
        </w:rPr>
        <w:t xml:space="preserve"> </w:t>
      </w:r>
      <w:r w:rsidR="008C3136">
        <w:rPr>
          <w:color w:val="000000"/>
          <w:sz w:val="20"/>
          <w:szCs w:val="20"/>
          <w:highlight w:val="yellow"/>
        </w:rPr>
        <w:t>(</w:t>
      </w:r>
      <w:r w:rsidR="008C3136" w:rsidRPr="008C3136">
        <w:rPr>
          <w:color w:val="000000"/>
          <w:sz w:val="20"/>
          <w:szCs w:val="20"/>
        </w:rPr>
        <w:t>Chen</w:t>
      </w:r>
      <w:r w:rsidR="008C3136">
        <w:rPr>
          <w:color w:val="000000"/>
          <w:sz w:val="20"/>
          <w:szCs w:val="20"/>
        </w:rPr>
        <w:t xml:space="preserve"> et al., 2025)</w:t>
      </w:r>
      <w:r w:rsidR="00A355F1" w:rsidRPr="00A355F1">
        <w:rPr>
          <w:color w:val="000000"/>
          <w:sz w:val="20"/>
          <w:szCs w:val="20"/>
          <w:highlight w:val="yellow"/>
        </w:rPr>
        <w:t>.</w:t>
      </w:r>
      <w:r w:rsidR="00A355F1" w:rsidRPr="00A355F1">
        <w:rPr>
          <w:color w:val="000000"/>
          <w:sz w:val="20"/>
          <w:szCs w:val="20"/>
        </w:rPr>
        <w:t xml:space="preserve"> </w:t>
      </w:r>
      <w:r>
        <w:rPr>
          <w:color w:val="000000"/>
          <w:sz w:val="20"/>
          <w:szCs w:val="20"/>
        </w:rPr>
        <w:t>Muscle atrophy is accelerated by decreased NAD</w:t>
      </w:r>
      <w:r>
        <w:rPr>
          <w:rFonts w:ascii="Times New Roman" w:eastAsia="Times New Roman" w:hAnsi="Times New Roman" w:cs="Times New Roman"/>
          <w:color w:val="000000"/>
          <w:sz w:val="20"/>
          <w:szCs w:val="20"/>
        </w:rPr>
        <w:t>⁺</w:t>
      </w:r>
      <w:r>
        <w:rPr>
          <w:color w:val="000000"/>
          <w:sz w:val="20"/>
          <w:szCs w:val="20"/>
        </w:rPr>
        <w:t xml:space="preserve"> levels, impaired mitophagy, and reduced mitochondrial biogenesis. Resistance training, essential amino acids, NAD</w:t>
      </w:r>
      <w:r>
        <w:rPr>
          <w:rFonts w:ascii="Times New Roman" w:eastAsia="Times New Roman" w:hAnsi="Times New Roman" w:cs="Times New Roman"/>
          <w:color w:val="000000"/>
          <w:sz w:val="20"/>
          <w:szCs w:val="20"/>
        </w:rPr>
        <w:t>⁺</w:t>
      </w:r>
      <w:r>
        <w:rPr>
          <w:color w:val="000000"/>
          <w:sz w:val="20"/>
          <w:szCs w:val="20"/>
        </w:rPr>
        <w:t xml:space="preserve"> boosters (NMN, NR), exercise-mimicking medications, myostatin-targeting antibodies, and microbiota modification are also promising therapies. However, methodological and diagnostic issues continue to restrict clinical translation. In order to enhance prevention and therapy, future strategies will concentrate on precision medicine, improved biomarkers, and multi-omics techniques </w:t>
      </w:r>
      <w:r>
        <w:rPr>
          <w:color w:val="222222"/>
          <w:sz w:val="20"/>
          <w:szCs w:val="20"/>
          <w:highlight w:val="white"/>
        </w:rPr>
        <w:t>(Dao et al., 2020) [10].</w:t>
      </w:r>
      <w:r>
        <w:rPr>
          <w:color w:val="000000"/>
          <w:sz w:val="20"/>
          <w:szCs w:val="20"/>
        </w:rPr>
        <w:t xml:space="preserve"> The main causes of muscle </w:t>
      </w:r>
      <w:r w:rsidRPr="00684FE6">
        <w:rPr>
          <w:color w:val="000000"/>
          <w:sz w:val="20"/>
          <w:szCs w:val="20"/>
          <w:highlight w:val="yellow"/>
        </w:rPr>
        <w:t>ag</w:t>
      </w:r>
      <w:r w:rsidR="00E7330B" w:rsidRPr="00684FE6">
        <w:rPr>
          <w:color w:val="000000"/>
          <w:sz w:val="20"/>
          <w:szCs w:val="20"/>
          <w:highlight w:val="yellow"/>
        </w:rPr>
        <w:t>e</w:t>
      </w:r>
      <w:r w:rsidRPr="00684FE6">
        <w:rPr>
          <w:color w:val="000000"/>
          <w:sz w:val="20"/>
          <w:szCs w:val="20"/>
          <w:highlight w:val="yellow"/>
        </w:rPr>
        <w:t>ing, which impair protei</w:t>
      </w:r>
      <w:r>
        <w:rPr>
          <w:color w:val="000000"/>
          <w:sz w:val="20"/>
          <w:szCs w:val="20"/>
        </w:rPr>
        <w:t xml:space="preserve">n synthesis and muscle function, include oxidative stress, mitochondrial malfunction, decreased satellite cell activity, and chronic inflammation. Frequent resistance and </w:t>
      </w:r>
      <w:r w:rsidRPr="00684FE6">
        <w:rPr>
          <w:color w:val="000000"/>
          <w:sz w:val="20"/>
          <w:szCs w:val="20"/>
          <w:highlight w:val="yellow"/>
        </w:rPr>
        <w:t xml:space="preserve">endurance training </w:t>
      </w:r>
      <w:proofErr w:type="gramStart"/>
      <w:r w:rsidRPr="00684FE6">
        <w:rPr>
          <w:color w:val="000000"/>
          <w:sz w:val="20"/>
          <w:szCs w:val="20"/>
          <w:highlight w:val="yellow"/>
        </w:rPr>
        <w:t>reduces</w:t>
      </w:r>
      <w:proofErr w:type="gramEnd"/>
      <w:r w:rsidRPr="00684FE6">
        <w:rPr>
          <w:color w:val="000000"/>
          <w:sz w:val="20"/>
          <w:szCs w:val="20"/>
          <w:highlight w:val="yellow"/>
        </w:rPr>
        <w:t xml:space="preserve"> inflammation, increases stem cell activity, strengthens antioxidant </w:t>
      </w:r>
      <w:proofErr w:type="spellStart"/>
      <w:r w:rsidR="00E7330B" w:rsidRPr="00684FE6">
        <w:rPr>
          <w:color w:val="000000"/>
          <w:sz w:val="20"/>
          <w:szCs w:val="20"/>
          <w:highlight w:val="yellow"/>
        </w:rPr>
        <w:t>defen</w:t>
      </w:r>
      <w:r w:rsidR="00E7330B" w:rsidRPr="00684FE6">
        <w:rPr>
          <w:color w:val="000000"/>
          <w:sz w:val="20"/>
          <w:szCs w:val="20"/>
          <w:highlight w:val="yellow"/>
        </w:rPr>
        <w:t>c</w:t>
      </w:r>
      <w:r w:rsidR="00E7330B" w:rsidRPr="00684FE6">
        <w:rPr>
          <w:color w:val="000000"/>
          <w:sz w:val="20"/>
          <w:szCs w:val="20"/>
          <w:highlight w:val="yellow"/>
        </w:rPr>
        <w:t>es</w:t>
      </w:r>
      <w:proofErr w:type="spellEnd"/>
      <w:r w:rsidRPr="00684FE6">
        <w:rPr>
          <w:color w:val="000000"/>
          <w:sz w:val="20"/>
          <w:szCs w:val="20"/>
          <w:highlight w:val="yellow"/>
        </w:rPr>
        <w:t xml:space="preserve">, and improves mitochondrial health to counteract these impacts. The authors </w:t>
      </w:r>
      <w:proofErr w:type="gramStart"/>
      <w:r w:rsidRPr="00684FE6">
        <w:rPr>
          <w:color w:val="000000"/>
          <w:sz w:val="20"/>
          <w:szCs w:val="20"/>
          <w:highlight w:val="yellow"/>
        </w:rPr>
        <w:t>come to the conclusion</w:t>
      </w:r>
      <w:proofErr w:type="gramEnd"/>
      <w:r w:rsidRPr="00684FE6">
        <w:rPr>
          <w:color w:val="000000"/>
          <w:sz w:val="20"/>
          <w:szCs w:val="20"/>
          <w:highlight w:val="yellow"/>
        </w:rPr>
        <w:t xml:space="preserve"> that the</w:t>
      </w:r>
      <w:r>
        <w:rPr>
          <w:color w:val="000000"/>
          <w:sz w:val="20"/>
          <w:szCs w:val="20"/>
        </w:rPr>
        <w:t xml:space="preserve"> best way to prevent sarcopenia and promote independent, </w:t>
      </w:r>
      <w:r w:rsidRPr="00684FE6">
        <w:rPr>
          <w:color w:val="000000"/>
          <w:sz w:val="20"/>
          <w:szCs w:val="20"/>
          <w:highlight w:val="yellow"/>
        </w:rPr>
        <w:t>healthy ag</w:t>
      </w:r>
      <w:r w:rsidR="00E7330B" w:rsidRPr="00684FE6">
        <w:rPr>
          <w:color w:val="000000"/>
          <w:sz w:val="20"/>
          <w:szCs w:val="20"/>
          <w:highlight w:val="yellow"/>
        </w:rPr>
        <w:t>e</w:t>
      </w:r>
      <w:r w:rsidRPr="00684FE6">
        <w:rPr>
          <w:color w:val="000000"/>
          <w:sz w:val="20"/>
          <w:szCs w:val="20"/>
          <w:highlight w:val="yellow"/>
        </w:rPr>
        <w:t>ing is to</w:t>
      </w:r>
      <w:r>
        <w:rPr>
          <w:color w:val="000000"/>
          <w:sz w:val="20"/>
          <w:szCs w:val="20"/>
        </w:rPr>
        <w:t xml:space="preserve"> combine molecular insights with focused exercise regimens (Di Filippo et al., 2020) [11]. </w:t>
      </w:r>
    </w:p>
    <w:p w14:paraId="00000018" w14:textId="697CB882" w:rsidR="002D2CBF" w:rsidRDefault="00125BFF">
      <w:pPr>
        <w:widowControl w:val="0"/>
        <w:pBdr>
          <w:top w:val="nil"/>
          <w:left w:val="nil"/>
          <w:bottom w:val="nil"/>
          <w:right w:val="nil"/>
          <w:between w:val="nil"/>
        </w:pBdr>
        <w:spacing w:line="240" w:lineRule="auto"/>
        <w:jc w:val="both"/>
        <w:rPr>
          <w:color w:val="000000"/>
          <w:sz w:val="20"/>
          <w:szCs w:val="20"/>
        </w:rPr>
      </w:pPr>
      <w:r>
        <w:rPr>
          <w:color w:val="000000"/>
          <w:sz w:val="20"/>
          <w:szCs w:val="20"/>
        </w:rPr>
        <w:t>This cross-sectional study of 1,611 older people from the Toledo study of Healthy Ag</w:t>
      </w:r>
      <w:r w:rsidR="00E7330B">
        <w:rPr>
          <w:color w:val="000000"/>
          <w:sz w:val="20"/>
          <w:szCs w:val="20"/>
        </w:rPr>
        <w:t>e</w:t>
      </w:r>
      <w:r>
        <w:rPr>
          <w:color w:val="000000"/>
          <w:sz w:val="20"/>
          <w:szCs w:val="20"/>
        </w:rPr>
        <w:t xml:space="preserve">ing examined the relationship between sarcopenia and frailty. Frailty was measured using </w:t>
      </w:r>
      <w:proofErr w:type="spellStart"/>
      <w:r>
        <w:rPr>
          <w:color w:val="000000"/>
          <w:sz w:val="20"/>
          <w:szCs w:val="20"/>
        </w:rPr>
        <w:t>Fried's</w:t>
      </w:r>
      <w:proofErr w:type="spellEnd"/>
      <w:r>
        <w:rPr>
          <w:color w:val="000000"/>
          <w:sz w:val="20"/>
          <w:szCs w:val="20"/>
        </w:rPr>
        <w:t xml:space="preserve"> criteria, while sarcopenia was assessed using the EWGSOP, FNIH, and </w:t>
      </w:r>
      <w:proofErr w:type="spellStart"/>
      <w:r w:rsidRPr="00684FE6">
        <w:rPr>
          <w:color w:val="000000"/>
          <w:sz w:val="20"/>
          <w:szCs w:val="20"/>
          <w:highlight w:val="yellow"/>
        </w:rPr>
        <w:t>sFNIH</w:t>
      </w:r>
      <w:proofErr w:type="spellEnd"/>
      <w:r w:rsidRPr="00684FE6">
        <w:rPr>
          <w:color w:val="000000"/>
          <w:sz w:val="20"/>
          <w:szCs w:val="20"/>
          <w:highlight w:val="yellow"/>
        </w:rPr>
        <w:t xml:space="preserve"> criteria. 20.6% to 28.1% of people had sarcopenia</w:t>
      </w:r>
      <w:r>
        <w:rPr>
          <w:color w:val="000000"/>
          <w:sz w:val="20"/>
          <w:szCs w:val="20"/>
        </w:rPr>
        <w:t>, while 4.5% of people had frailty. The fact that there was a significant but weak association between the two conditions indicates that they are distinct but related conditions. Logistic regression showed significant connections, especially with FNIH criteria, even though many sarcopenic individuals were not weak. The results of the study indicate that sarcopenia should be evaluated separately in clinical practice because it is a component of frailty and not a reliable indicator on its own (Davies et al., 2018) [12].</w:t>
      </w:r>
    </w:p>
    <w:p w14:paraId="00000019" w14:textId="77777777" w:rsidR="002D2CBF" w:rsidRDefault="002D2CBF">
      <w:pPr>
        <w:widowControl w:val="0"/>
        <w:pBdr>
          <w:top w:val="nil"/>
          <w:left w:val="nil"/>
          <w:bottom w:val="nil"/>
          <w:right w:val="nil"/>
          <w:between w:val="nil"/>
        </w:pBdr>
        <w:spacing w:line="240" w:lineRule="auto"/>
        <w:ind w:right="513"/>
        <w:jc w:val="both"/>
        <w:rPr>
          <w:color w:val="000000"/>
          <w:sz w:val="24"/>
          <w:szCs w:val="24"/>
        </w:rPr>
      </w:pPr>
    </w:p>
    <w:p w14:paraId="0000001A" w14:textId="77777777" w:rsidR="002D2CBF" w:rsidRDefault="00125BFF">
      <w:pPr>
        <w:widowControl w:val="0"/>
        <w:pBdr>
          <w:top w:val="nil"/>
          <w:left w:val="nil"/>
          <w:bottom w:val="nil"/>
          <w:right w:val="nil"/>
          <w:between w:val="nil"/>
        </w:pBdr>
        <w:spacing w:line="360" w:lineRule="auto"/>
        <w:ind w:right="513"/>
        <w:jc w:val="both"/>
        <w:rPr>
          <w:b/>
          <w:bCs/>
          <w:color w:val="000000"/>
        </w:rPr>
      </w:pPr>
      <w:r>
        <w:rPr>
          <w:b/>
          <w:bCs/>
        </w:rPr>
        <w:t xml:space="preserve">3.1 </w:t>
      </w:r>
      <w:r>
        <w:rPr>
          <w:b/>
          <w:bCs/>
          <w:color w:val="000000"/>
        </w:rPr>
        <w:t>Sarcopenia Prevalence</w:t>
      </w:r>
    </w:p>
    <w:p w14:paraId="0000001B" w14:textId="77777777" w:rsidR="002D2CBF" w:rsidRDefault="00125BFF">
      <w:pPr>
        <w:widowControl w:val="0"/>
        <w:pBdr>
          <w:top w:val="nil"/>
          <w:left w:val="nil"/>
          <w:bottom w:val="nil"/>
          <w:right w:val="nil"/>
          <w:between w:val="nil"/>
        </w:pBdr>
        <w:spacing w:line="240" w:lineRule="auto"/>
        <w:jc w:val="both"/>
        <w:rPr>
          <w:color w:val="000000"/>
          <w:sz w:val="20"/>
          <w:szCs w:val="20"/>
        </w:rPr>
      </w:pPr>
      <w:r>
        <w:rPr>
          <w:color w:val="000000"/>
          <w:sz w:val="20"/>
          <w:szCs w:val="20"/>
        </w:rPr>
        <w:t>According to the review "Epidemiology of Sarcopenia: Prevalence, Risk Factors, and Consequences," up to 66% of people with severe chronic conditions and 10–16% of older persons worldwide suffer from sarcopenia. Increased mortality, disability, falls, fractures, cognitive decline, and longer hospital admissions are all linked to it. Physical inactivity, poor nutrition, smoking, insufficient sleep, and diabetes are important modifiable risk factors. Its advancement may be influenced by inflammation, oxidative stress, insulin resistance, and changes in the gut flora. Visceral fat probably raises risk, even if a higher BMI could seem beneficial. The authors stress that sarcopenia is a serious worldwide health issue that calls for integrated nutritional, lifestyle, and molecular-targeted interventions. They also stress the necessity for big prospective and omics-based investigations (Yuan &amp; Larsson, 2022) [13].</w:t>
      </w:r>
    </w:p>
    <w:p w14:paraId="0000001C" w14:textId="693B1F90" w:rsidR="002D2CBF" w:rsidRDefault="00125BFF">
      <w:pPr>
        <w:widowControl w:val="0"/>
        <w:pBdr>
          <w:top w:val="nil"/>
          <w:left w:val="nil"/>
          <w:bottom w:val="nil"/>
          <w:right w:val="nil"/>
          <w:between w:val="nil"/>
        </w:pBdr>
        <w:spacing w:line="240" w:lineRule="auto"/>
        <w:jc w:val="both"/>
        <w:rPr>
          <w:color w:val="000000"/>
          <w:sz w:val="20"/>
          <w:szCs w:val="20"/>
        </w:rPr>
      </w:pPr>
      <w:r>
        <w:rPr>
          <w:color w:val="000000"/>
          <w:sz w:val="20"/>
          <w:szCs w:val="20"/>
        </w:rPr>
        <w:t xml:space="preserve">The study "Global prevalence of sarcopenia and severe sarcopenia," which looked at 263 studies with more than 690,000 individuals, produced the most thorough global estimate to date. Prevalence varied widely (0.2%–86.5%) due to diverse diagnostic methods, with pooled rates of about 10% using EWGSOP2 and 27% using definitions based only on muscle mass. Severe sarcopenia affected 2–9% of people, and it was more common in men and in Europe. Despite the fact that muscle loss began earlier, most studies focused on people over 60, and there was little information from Africa. The review discovered a high level of variation between studies because of different definitions and assessment tools. In order to improve comparability, early detection, and therapeutic therapy, the </w:t>
      </w:r>
      <w:r w:rsidRPr="00684FE6">
        <w:rPr>
          <w:color w:val="000000"/>
          <w:sz w:val="20"/>
          <w:szCs w:val="20"/>
          <w:highlight w:val="yellow"/>
        </w:rPr>
        <w:t xml:space="preserve">authors </w:t>
      </w:r>
      <w:proofErr w:type="spellStart"/>
      <w:r w:rsidR="00E7330B" w:rsidRPr="00684FE6">
        <w:rPr>
          <w:color w:val="000000"/>
          <w:sz w:val="20"/>
          <w:szCs w:val="20"/>
          <w:highlight w:val="yellow"/>
        </w:rPr>
        <w:t>emphasi</w:t>
      </w:r>
      <w:r w:rsidR="00E7330B" w:rsidRPr="00684FE6">
        <w:rPr>
          <w:color w:val="000000"/>
          <w:sz w:val="20"/>
          <w:szCs w:val="20"/>
          <w:highlight w:val="yellow"/>
        </w:rPr>
        <w:t>s</w:t>
      </w:r>
      <w:r w:rsidR="00E7330B" w:rsidRPr="00684FE6">
        <w:rPr>
          <w:color w:val="000000"/>
          <w:sz w:val="20"/>
          <w:szCs w:val="20"/>
          <w:highlight w:val="yellow"/>
        </w:rPr>
        <w:t>e</w:t>
      </w:r>
      <w:proofErr w:type="spellEnd"/>
      <w:r w:rsidR="00E7330B" w:rsidRPr="00684FE6">
        <w:rPr>
          <w:color w:val="000000"/>
          <w:sz w:val="20"/>
          <w:szCs w:val="20"/>
          <w:highlight w:val="yellow"/>
        </w:rPr>
        <w:t xml:space="preserve"> </w:t>
      </w:r>
      <w:r w:rsidRPr="00684FE6">
        <w:rPr>
          <w:color w:val="000000"/>
          <w:sz w:val="20"/>
          <w:szCs w:val="20"/>
          <w:highlight w:val="yellow"/>
        </w:rPr>
        <w:t>the necessity of standard global criteria for sarcopenia, a major global health concern (</w:t>
      </w:r>
      <w:proofErr w:type="spellStart"/>
      <w:r w:rsidRPr="00684FE6">
        <w:rPr>
          <w:color w:val="000000"/>
          <w:sz w:val="20"/>
          <w:szCs w:val="20"/>
          <w:highlight w:val="yellow"/>
        </w:rPr>
        <w:t>Petermann</w:t>
      </w:r>
      <w:proofErr w:type="spellEnd"/>
      <w:r w:rsidRPr="00684FE6">
        <w:rPr>
          <w:color w:val="000000"/>
          <w:sz w:val="20"/>
          <w:szCs w:val="20"/>
          <w:highlight w:val="yellow"/>
        </w:rPr>
        <w:t>-Rocha et al., 2022)</w:t>
      </w:r>
      <w:r>
        <w:rPr>
          <w:color w:val="000000"/>
          <w:sz w:val="20"/>
          <w:szCs w:val="20"/>
        </w:rPr>
        <w:t xml:space="preserve"> [14].</w:t>
      </w:r>
    </w:p>
    <w:p w14:paraId="0000001D" w14:textId="77777777" w:rsidR="002D2CBF" w:rsidRDefault="002D2CBF">
      <w:pPr>
        <w:widowControl w:val="0"/>
        <w:pBdr>
          <w:top w:val="nil"/>
          <w:left w:val="nil"/>
          <w:bottom w:val="nil"/>
          <w:right w:val="nil"/>
          <w:between w:val="nil"/>
        </w:pBdr>
        <w:spacing w:line="240" w:lineRule="auto"/>
        <w:ind w:right="513"/>
        <w:jc w:val="both"/>
        <w:rPr>
          <w:color w:val="000000"/>
          <w:sz w:val="24"/>
          <w:szCs w:val="24"/>
        </w:rPr>
      </w:pPr>
    </w:p>
    <w:p w14:paraId="0000001E" w14:textId="77777777" w:rsidR="002D2CBF" w:rsidRDefault="00125BFF">
      <w:pPr>
        <w:widowControl w:val="0"/>
        <w:pBdr>
          <w:top w:val="nil"/>
          <w:left w:val="nil"/>
          <w:bottom w:val="nil"/>
          <w:right w:val="nil"/>
          <w:between w:val="nil"/>
        </w:pBdr>
        <w:spacing w:line="360" w:lineRule="auto"/>
        <w:ind w:right="513"/>
        <w:jc w:val="both"/>
        <w:rPr>
          <w:b/>
          <w:bCs/>
          <w:color w:val="000000"/>
        </w:rPr>
      </w:pPr>
      <w:r>
        <w:rPr>
          <w:b/>
          <w:bCs/>
        </w:rPr>
        <w:lastRenderedPageBreak/>
        <w:t xml:space="preserve">3.2 </w:t>
      </w:r>
      <w:r>
        <w:rPr>
          <w:b/>
          <w:bCs/>
          <w:color w:val="000000"/>
        </w:rPr>
        <w:t>Sarcopenia and Protein Consumption</w:t>
      </w:r>
    </w:p>
    <w:p w14:paraId="0000001F" w14:textId="77777777" w:rsidR="002D2CBF" w:rsidRDefault="00125BFF">
      <w:pPr>
        <w:widowControl w:val="0"/>
        <w:pBdr>
          <w:top w:val="nil"/>
          <w:left w:val="nil"/>
          <w:bottom w:val="nil"/>
          <w:right w:val="nil"/>
          <w:between w:val="nil"/>
        </w:pBdr>
        <w:spacing w:line="240" w:lineRule="auto"/>
        <w:jc w:val="both"/>
        <w:rPr>
          <w:color w:val="000000"/>
          <w:sz w:val="20"/>
          <w:szCs w:val="20"/>
        </w:rPr>
      </w:pPr>
      <w:r>
        <w:rPr>
          <w:color w:val="000000"/>
          <w:sz w:val="20"/>
          <w:szCs w:val="20"/>
        </w:rPr>
        <w:t xml:space="preserve">This 12-month RCT examined whether giving older persons with sarcopenia a daily dose of 40 g of whey-enriched protein could increase their muscle mass or improve their physical performance. There were no discernible differences in muscle mass, handgrip strength, or physical performance between the protein, placebo, and control groups among 218 Finnish participants who were 74 years of age or older. Over half of participants in the supplement groups had modest gastrointestinal side effects, and all groups exhibited a steady loss in function. The study </w:t>
      </w:r>
      <w:proofErr w:type="gramStart"/>
      <w:r>
        <w:rPr>
          <w:color w:val="000000"/>
          <w:sz w:val="20"/>
          <w:szCs w:val="20"/>
        </w:rPr>
        <w:t>comes to the conclusion</w:t>
      </w:r>
      <w:proofErr w:type="gramEnd"/>
      <w:r>
        <w:rPr>
          <w:color w:val="000000"/>
          <w:sz w:val="20"/>
          <w:szCs w:val="20"/>
        </w:rPr>
        <w:t xml:space="preserve"> that older persons with sarcopenia cannot adequately maintain or increase muscle health with protein supplements alone, even when combined with low-intensity at-home exercise (</w:t>
      </w:r>
      <w:proofErr w:type="spellStart"/>
      <w:r>
        <w:rPr>
          <w:color w:val="000000"/>
          <w:sz w:val="20"/>
          <w:szCs w:val="20"/>
        </w:rPr>
        <w:t>Björkman</w:t>
      </w:r>
      <w:proofErr w:type="spellEnd"/>
      <w:r>
        <w:rPr>
          <w:color w:val="000000"/>
          <w:sz w:val="20"/>
          <w:szCs w:val="20"/>
        </w:rPr>
        <w:t xml:space="preserve"> et al., 2020) [15]. The research about the impact of protein and dietary supplements on sarcopenia in older adults is compiled in this review. It states that while protein by itself has little effect, high-quality animal proteins, particularly whey and milk protein (1.2–1.5 g/kg/day), when paired with resistance training, enhance muscle mass, strength, and performance. Leucine-rich essential amino acids, HMB, creatine, citrulline, and omega-3s are examples of supplements that improve muscle health by increasing lean mass, strength, blood flow, and lowering inflammation. Whey protein, leucine, and vitamin D are examples of combinations that work better than individual supplements. Overall, the analysis </w:t>
      </w:r>
      <w:proofErr w:type="gramStart"/>
      <w:r>
        <w:rPr>
          <w:color w:val="000000"/>
          <w:sz w:val="20"/>
          <w:szCs w:val="20"/>
        </w:rPr>
        <w:t>comes to the conclusion</w:t>
      </w:r>
      <w:proofErr w:type="gramEnd"/>
      <w:r>
        <w:rPr>
          <w:color w:val="000000"/>
          <w:sz w:val="20"/>
          <w:szCs w:val="20"/>
        </w:rPr>
        <w:t xml:space="preserve"> that a synergistic strategy combining sufficient protein intake, tailored supplementation, and regular exercise is the most effective way to combat sarcopenia (Young </w:t>
      </w:r>
      <w:proofErr w:type="spellStart"/>
      <w:r>
        <w:rPr>
          <w:color w:val="000000"/>
          <w:sz w:val="20"/>
          <w:szCs w:val="20"/>
        </w:rPr>
        <w:t>Jin</w:t>
      </w:r>
      <w:proofErr w:type="spellEnd"/>
      <w:r>
        <w:rPr>
          <w:color w:val="000000"/>
          <w:sz w:val="20"/>
          <w:szCs w:val="20"/>
        </w:rPr>
        <w:t xml:space="preserve"> Jang 2023) [16]. </w:t>
      </w:r>
    </w:p>
    <w:p w14:paraId="00000020" w14:textId="7AF482CB" w:rsidR="002D2CBF" w:rsidRDefault="00125BFF">
      <w:pPr>
        <w:widowControl w:val="0"/>
        <w:pBdr>
          <w:top w:val="nil"/>
          <w:left w:val="nil"/>
          <w:bottom w:val="nil"/>
          <w:right w:val="nil"/>
          <w:between w:val="nil"/>
        </w:pBdr>
        <w:spacing w:line="240" w:lineRule="auto"/>
        <w:jc w:val="both"/>
        <w:rPr>
          <w:color w:val="000000"/>
          <w:sz w:val="20"/>
          <w:szCs w:val="20"/>
        </w:rPr>
      </w:pPr>
      <w:r>
        <w:rPr>
          <w:sz w:val="20"/>
          <w:szCs w:val="20"/>
        </w:rPr>
        <w:t xml:space="preserve">This comprehensive review and meta-analysis, which included seven studies including 3,353 older adults, found that individuals with sarcopenia consumed much less protein than those without it. A regular diet high in fat may increase the risk of sarcopenia even when protein levels are adequate, whereas consuming more plant-based protein may lower the risk, according to </w:t>
      </w:r>
      <w:r w:rsidRPr="00684FE6">
        <w:rPr>
          <w:sz w:val="20"/>
          <w:szCs w:val="20"/>
          <w:highlight w:val="yellow"/>
        </w:rPr>
        <w:t xml:space="preserve">some </w:t>
      </w:r>
      <w:r w:rsidR="00E7330B" w:rsidRPr="00684FE6">
        <w:rPr>
          <w:sz w:val="20"/>
          <w:szCs w:val="20"/>
          <w:highlight w:val="yellow"/>
        </w:rPr>
        <w:t>stud</w:t>
      </w:r>
      <w:r w:rsidR="00E7330B" w:rsidRPr="00684FE6">
        <w:rPr>
          <w:sz w:val="20"/>
          <w:szCs w:val="20"/>
          <w:highlight w:val="yellow"/>
        </w:rPr>
        <w:t>ies</w:t>
      </w:r>
      <w:r w:rsidRPr="00684FE6">
        <w:rPr>
          <w:sz w:val="20"/>
          <w:szCs w:val="20"/>
          <w:highlight w:val="yellow"/>
        </w:rPr>
        <w:t xml:space="preserve">. Overall, the study shows that insufficient protein intake is associated with sarcopenia; however, most of the data are cross-sectional, highlighting the need for longer-term studies. It </w:t>
      </w:r>
      <w:proofErr w:type="spellStart"/>
      <w:r w:rsidR="00E7330B" w:rsidRPr="00684FE6">
        <w:rPr>
          <w:sz w:val="20"/>
          <w:szCs w:val="20"/>
          <w:highlight w:val="yellow"/>
        </w:rPr>
        <w:t>emphasi</w:t>
      </w:r>
      <w:r w:rsidR="00E7330B" w:rsidRPr="00684FE6">
        <w:rPr>
          <w:sz w:val="20"/>
          <w:szCs w:val="20"/>
          <w:highlight w:val="yellow"/>
        </w:rPr>
        <w:t>s</w:t>
      </w:r>
      <w:r w:rsidR="00E7330B" w:rsidRPr="00684FE6">
        <w:rPr>
          <w:sz w:val="20"/>
          <w:szCs w:val="20"/>
          <w:highlight w:val="yellow"/>
        </w:rPr>
        <w:t>es</w:t>
      </w:r>
      <w:proofErr w:type="spellEnd"/>
      <w:r w:rsidR="00E7330B" w:rsidRPr="00684FE6">
        <w:rPr>
          <w:sz w:val="20"/>
          <w:szCs w:val="20"/>
          <w:highlight w:val="yellow"/>
        </w:rPr>
        <w:t xml:space="preserve"> </w:t>
      </w:r>
      <w:r w:rsidRPr="00684FE6">
        <w:rPr>
          <w:sz w:val="20"/>
          <w:szCs w:val="20"/>
          <w:highlight w:val="yellow"/>
        </w:rPr>
        <w:t>the need to carefully evaluate protein quality, overall dietary practices, and lifestyle factors like exercise in order to prevent muscle lo</w:t>
      </w:r>
      <w:r>
        <w:rPr>
          <w:sz w:val="20"/>
          <w:szCs w:val="20"/>
        </w:rPr>
        <w:t xml:space="preserve">ss in older adults </w:t>
      </w:r>
      <w:r>
        <w:rPr>
          <w:color w:val="000000"/>
          <w:sz w:val="20"/>
          <w:szCs w:val="20"/>
        </w:rPr>
        <w:t>(Coelho-Junior et al. 2022) [17].</w:t>
      </w:r>
    </w:p>
    <w:p w14:paraId="00000021" w14:textId="77777777" w:rsidR="002D2CBF" w:rsidRDefault="002D2CBF">
      <w:pPr>
        <w:widowControl w:val="0"/>
        <w:pBdr>
          <w:top w:val="nil"/>
          <w:left w:val="nil"/>
          <w:bottom w:val="nil"/>
          <w:right w:val="nil"/>
          <w:between w:val="nil"/>
        </w:pBdr>
        <w:spacing w:line="240" w:lineRule="auto"/>
        <w:ind w:right="513"/>
        <w:jc w:val="both"/>
        <w:rPr>
          <w:color w:val="000000"/>
          <w:sz w:val="24"/>
          <w:szCs w:val="24"/>
        </w:rPr>
      </w:pPr>
    </w:p>
    <w:p w14:paraId="00000022" w14:textId="77777777" w:rsidR="002D2CBF" w:rsidRDefault="00125BFF">
      <w:pPr>
        <w:widowControl w:val="0"/>
        <w:numPr>
          <w:ilvl w:val="0"/>
          <w:numId w:val="3"/>
        </w:numPr>
        <w:pBdr>
          <w:top w:val="nil"/>
          <w:left w:val="nil"/>
          <w:bottom w:val="nil"/>
          <w:right w:val="nil"/>
          <w:between w:val="nil"/>
        </w:pBdr>
        <w:spacing w:line="360" w:lineRule="auto"/>
        <w:ind w:right="513"/>
        <w:jc w:val="both"/>
        <w:rPr>
          <w:b/>
          <w:bCs/>
          <w:color w:val="000000"/>
        </w:rPr>
      </w:pPr>
      <w:r>
        <w:rPr>
          <w:b/>
          <w:bCs/>
          <w:color w:val="000000"/>
        </w:rPr>
        <w:t>Correlation Between Sarcopenia, Exercise and Protein</w:t>
      </w:r>
    </w:p>
    <w:p w14:paraId="00000023" w14:textId="73FEB8CA" w:rsidR="002D2CBF" w:rsidRDefault="00125BFF">
      <w:pPr>
        <w:widowControl w:val="0"/>
        <w:pBdr>
          <w:top w:val="nil"/>
          <w:left w:val="nil"/>
          <w:bottom w:val="nil"/>
          <w:right w:val="nil"/>
          <w:between w:val="nil"/>
        </w:pBdr>
        <w:spacing w:line="240" w:lineRule="auto"/>
        <w:jc w:val="both"/>
        <w:rPr>
          <w:color w:val="000000"/>
          <w:sz w:val="20"/>
          <w:szCs w:val="20"/>
        </w:rPr>
      </w:pPr>
      <w:r>
        <w:rPr>
          <w:color w:val="000000"/>
          <w:sz w:val="20"/>
          <w:szCs w:val="20"/>
        </w:rPr>
        <w:t xml:space="preserve">The </w:t>
      </w:r>
      <w:r w:rsidRPr="00684FE6">
        <w:rPr>
          <w:color w:val="000000"/>
          <w:sz w:val="20"/>
          <w:szCs w:val="20"/>
          <w:highlight w:val="yellow"/>
        </w:rPr>
        <w:t xml:space="preserve">article </w:t>
      </w:r>
      <w:proofErr w:type="spellStart"/>
      <w:r w:rsidR="00E7330B" w:rsidRPr="00684FE6">
        <w:rPr>
          <w:color w:val="000000"/>
          <w:sz w:val="20"/>
          <w:szCs w:val="20"/>
          <w:highlight w:val="yellow"/>
        </w:rPr>
        <w:t>emphasi</w:t>
      </w:r>
      <w:r w:rsidR="00E7330B" w:rsidRPr="00684FE6">
        <w:rPr>
          <w:color w:val="000000"/>
          <w:sz w:val="20"/>
          <w:szCs w:val="20"/>
          <w:highlight w:val="yellow"/>
        </w:rPr>
        <w:t>s</w:t>
      </w:r>
      <w:r w:rsidR="00E7330B" w:rsidRPr="00684FE6">
        <w:rPr>
          <w:color w:val="000000"/>
          <w:sz w:val="20"/>
          <w:szCs w:val="20"/>
          <w:highlight w:val="yellow"/>
        </w:rPr>
        <w:t>es</w:t>
      </w:r>
      <w:proofErr w:type="spellEnd"/>
      <w:r w:rsidR="00E7330B" w:rsidRPr="00684FE6">
        <w:rPr>
          <w:color w:val="000000"/>
          <w:sz w:val="20"/>
          <w:szCs w:val="20"/>
          <w:highlight w:val="yellow"/>
        </w:rPr>
        <w:t xml:space="preserve"> </w:t>
      </w:r>
      <w:r w:rsidRPr="00684FE6">
        <w:rPr>
          <w:color w:val="000000"/>
          <w:sz w:val="20"/>
          <w:szCs w:val="20"/>
          <w:highlight w:val="yellow"/>
        </w:rPr>
        <w:t>that avoiding</w:t>
      </w:r>
      <w:r>
        <w:rPr>
          <w:color w:val="000000"/>
          <w:sz w:val="20"/>
          <w:szCs w:val="20"/>
        </w:rPr>
        <w:t xml:space="preserve"> or delaying sarcopenia requires frequent exercise, particularly resistance training, and a sufficient intake of protein. It argues that older persons benefit more from 1.0 - 1.5 g/kg/day of protein, especially from leucine-rich sources, and that the typical 0.8 g/kg/day advice is too low. While aerobic exercise promotes endurance, resistance training increases muscular mass and strength. By activating mTORC1, these activities improve muscle protein synthesis in conjunction with protein. The authors conclude that the best way to postpone sarcopenia and encourage healthy, independent </w:t>
      </w:r>
      <w:r w:rsidRPr="00684FE6">
        <w:rPr>
          <w:color w:val="000000"/>
          <w:sz w:val="20"/>
          <w:szCs w:val="20"/>
          <w:highlight w:val="yellow"/>
        </w:rPr>
        <w:t>ag</w:t>
      </w:r>
      <w:r w:rsidR="00E7330B" w:rsidRPr="00684FE6">
        <w:rPr>
          <w:color w:val="000000"/>
          <w:sz w:val="20"/>
          <w:szCs w:val="20"/>
          <w:highlight w:val="yellow"/>
        </w:rPr>
        <w:t>e</w:t>
      </w:r>
      <w:r w:rsidRPr="00684FE6">
        <w:rPr>
          <w:color w:val="000000"/>
          <w:sz w:val="20"/>
          <w:szCs w:val="20"/>
          <w:highlight w:val="yellow"/>
        </w:rPr>
        <w:t>ing is to combine regular resistance and aerobic exercise with at least 1.2 g/kg/day of protein (</w:t>
      </w:r>
      <w:proofErr w:type="spellStart"/>
      <w:r w:rsidRPr="00684FE6">
        <w:rPr>
          <w:color w:val="000000"/>
          <w:sz w:val="20"/>
          <w:szCs w:val="20"/>
          <w:highlight w:val="yellow"/>
        </w:rPr>
        <w:t>Naseeb</w:t>
      </w:r>
      <w:proofErr w:type="spellEnd"/>
      <w:r w:rsidRPr="00684FE6">
        <w:rPr>
          <w:color w:val="000000"/>
          <w:sz w:val="20"/>
          <w:szCs w:val="20"/>
          <w:highlight w:val="yellow"/>
        </w:rPr>
        <w:t xml:space="preserve"> &amp; Volpe, 2017)</w:t>
      </w:r>
      <w:r>
        <w:rPr>
          <w:color w:val="000000"/>
          <w:sz w:val="20"/>
          <w:szCs w:val="20"/>
        </w:rPr>
        <w:t xml:space="preserve"> [1</w:t>
      </w:r>
      <w:r>
        <w:rPr>
          <w:sz w:val="20"/>
          <w:szCs w:val="20"/>
        </w:rPr>
        <w:t>8</w:t>
      </w:r>
      <w:r>
        <w:rPr>
          <w:color w:val="000000"/>
          <w:sz w:val="20"/>
          <w:szCs w:val="20"/>
        </w:rPr>
        <w:t xml:space="preserve">]. The authors stress that the best methods to promote muscle protein synthesis and combat anabolic resistance in the absence of approved medication therapies are consistent resistance exercise and sufficient protein consumption (1.0–1.5 g/kg/day). Both animal and </w:t>
      </w:r>
      <w:r w:rsidR="00AA7192">
        <w:rPr>
          <w:color w:val="000000"/>
          <w:sz w:val="20"/>
          <w:szCs w:val="20"/>
        </w:rPr>
        <w:t>well-chosen</w:t>
      </w:r>
      <w:r>
        <w:rPr>
          <w:color w:val="000000"/>
          <w:sz w:val="20"/>
          <w:szCs w:val="20"/>
        </w:rPr>
        <w:t xml:space="preserve"> plant proteins can improve muscle health, and exercise-induced myokines boost metabolism, regeneration, and inflammation control. The study </w:t>
      </w:r>
      <w:proofErr w:type="gramStart"/>
      <w:r>
        <w:rPr>
          <w:color w:val="000000"/>
          <w:sz w:val="20"/>
          <w:szCs w:val="20"/>
        </w:rPr>
        <w:t>comes to the conclusion</w:t>
      </w:r>
      <w:proofErr w:type="gramEnd"/>
      <w:r>
        <w:rPr>
          <w:color w:val="000000"/>
          <w:sz w:val="20"/>
          <w:szCs w:val="20"/>
        </w:rPr>
        <w:t xml:space="preserve"> that the best way to prevent or treat sarcopenia in elderly and </w:t>
      </w:r>
      <w:r w:rsidRPr="00684FE6">
        <w:rPr>
          <w:color w:val="000000"/>
          <w:sz w:val="20"/>
          <w:szCs w:val="20"/>
          <w:highlight w:val="yellow"/>
        </w:rPr>
        <w:t xml:space="preserve">chronically ill persons is to combine </w:t>
      </w:r>
      <w:proofErr w:type="spellStart"/>
      <w:r w:rsidR="00E7330B" w:rsidRPr="00684FE6">
        <w:rPr>
          <w:color w:val="000000"/>
          <w:sz w:val="20"/>
          <w:szCs w:val="20"/>
          <w:highlight w:val="yellow"/>
        </w:rPr>
        <w:t>customi</w:t>
      </w:r>
      <w:r w:rsidR="00E7330B" w:rsidRPr="00684FE6">
        <w:rPr>
          <w:color w:val="000000"/>
          <w:sz w:val="20"/>
          <w:szCs w:val="20"/>
          <w:highlight w:val="yellow"/>
        </w:rPr>
        <w:t>s</w:t>
      </w:r>
      <w:r w:rsidR="00E7330B" w:rsidRPr="00684FE6">
        <w:rPr>
          <w:color w:val="000000"/>
          <w:sz w:val="20"/>
          <w:szCs w:val="20"/>
          <w:highlight w:val="yellow"/>
        </w:rPr>
        <w:t>ed</w:t>
      </w:r>
      <w:proofErr w:type="spellEnd"/>
      <w:r w:rsidR="00E7330B" w:rsidRPr="00684FE6">
        <w:rPr>
          <w:color w:val="000000"/>
          <w:sz w:val="20"/>
          <w:szCs w:val="20"/>
          <w:highlight w:val="yellow"/>
        </w:rPr>
        <w:t xml:space="preserve"> </w:t>
      </w:r>
      <w:r w:rsidRPr="00684FE6">
        <w:rPr>
          <w:color w:val="000000"/>
          <w:sz w:val="20"/>
          <w:szCs w:val="20"/>
          <w:highlight w:val="yellow"/>
        </w:rPr>
        <w:t>exercise regimens with a balanced diet (</w:t>
      </w:r>
      <w:proofErr w:type="spellStart"/>
      <w:r w:rsidRPr="00684FE6">
        <w:rPr>
          <w:color w:val="000000"/>
          <w:sz w:val="20"/>
          <w:szCs w:val="20"/>
          <w:highlight w:val="yellow"/>
        </w:rPr>
        <w:t>Nasso</w:t>
      </w:r>
      <w:proofErr w:type="spellEnd"/>
      <w:r w:rsidRPr="00684FE6">
        <w:rPr>
          <w:color w:val="000000"/>
          <w:sz w:val="20"/>
          <w:szCs w:val="20"/>
          <w:highlight w:val="yellow"/>
        </w:rPr>
        <w:t xml:space="preserve"> et al., 2024) [</w:t>
      </w:r>
      <w:r w:rsidRPr="00684FE6">
        <w:rPr>
          <w:sz w:val="20"/>
          <w:szCs w:val="20"/>
          <w:highlight w:val="yellow"/>
        </w:rPr>
        <w:t>19</w:t>
      </w:r>
      <w:r w:rsidRPr="00684FE6">
        <w:rPr>
          <w:color w:val="000000"/>
          <w:sz w:val="20"/>
          <w:szCs w:val="20"/>
          <w:highlight w:val="yellow"/>
        </w:rPr>
        <w:t>].</w:t>
      </w:r>
    </w:p>
    <w:p w14:paraId="00000024" w14:textId="782CB0B5" w:rsidR="002D2CBF" w:rsidRDefault="00125BFF">
      <w:pPr>
        <w:widowControl w:val="0"/>
        <w:pBdr>
          <w:top w:val="nil"/>
          <w:left w:val="nil"/>
          <w:bottom w:val="nil"/>
          <w:right w:val="nil"/>
          <w:between w:val="nil"/>
        </w:pBdr>
        <w:spacing w:line="240" w:lineRule="auto"/>
        <w:jc w:val="both"/>
        <w:rPr>
          <w:color w:val="000000"/>
          <w:sz w:val="20"/>
          <w:szCs w:val="20"/>
        </w:rPr>
      </w:pPr>
      <w:r>
        <w:rPr>
          <w:color w:val="000000"/>
          <w:sz w:val="20"/>
          <w:szCs w:val="20"/>
        </w:rPr>
        <w:t>In this study, 80 older persons (mean age 76.5 years) who participated in weekly resistance training at HUR and traditional gyms were studied for relationships between physical activity, nutrition, and sarcopenia-related parameters. HUR individuals ingested more protein even though overall activity and diet quality were comparable between groups. In the traditional gym group, higher protein and energy intake were linked to higher appendicular lean mass, and increased physical activity was linked to faster gait speed. There were no connections found between the components of sarcopenia and the general quality of diet. The authors conclude that if physical activity or protein intake is inadequate, even active older persons may have decreased gait speed and lean mass, underscoring the significance of both for preserving muscle health with ag</w:t>
      </w:r>
      <w:r w:rsidR="00E7330B">
        <w:rPr>
          <w:color w:val="000000"/>
          <w:sz w:val="20"/>
          <w:szCs w:val="20"/>
        </w:rPr>
        <w:t>e</w:t>
      </w:r>
      <w:r>
        <w:rPr>
          <w:color w:val="000000"/>
          <w:sz w:val="20"/>
          <w:szCs w:val="20"/>
        </w:rPr>
        <w:t>ing (</w:t>
      </w:r>
      <w:proofErr w:type="spellStart"/>
      <w:r>
        <w:rPr>
          <w:color w:val="000000"/>
          <w:sz w:val="20"/>
          <w:szCs w:val="20"/>
        </w:rPr>
        <w:t>Akehurst</w:t>
      </w:r>
      <w:proofErr w:type="spellEnd"/>
      <w:r>
        <w:rPr>
          <w:color w:val="000000"/>
          <w:sz w:val="20"/>
          <w:szCs w:val="20"/>
        </w:rPr>
        <w:t xml:space="preserve"> et al., 2021) [2</w:t>
      </w:r>
      <w:r>
        <w:rPr>
          <w:sz w:val="20"/>
          <w:szCs w:val="20"/>
        </w:rPr>
        <w:t>0</w:t>
      </w:r>
      <w:r>
        <w:rPr>
          <w:color w:val="000000"/>
          <w:sz w:val="20"/>
          <w:szCs w:val="20"/>
        </w:rPr>
        <w:t>].</w:t>
      </w:r>
    </w:p>
    <w:p w14:paraId="00000025" w14:textId="77777777" w:rsidR="002D2CBF" w:rsidRDefault="002D2CBF">
      <w:pPr>
        <w:widowControl w:val="0"/>
        <w:pBdr>
          <w:top w:val="nil"/>
          <w:left w:val="nil"/>
          <w:bottom w:val="nil"/>
          <w:right w:val="nil"/>
          <w:between w:val="nil"/>
        </w:pBdr>
        <w:spacing w:line="240" w:lineRule="auto"/>
        <w:jc w:val="both"/>
        <w:rPr>
          <w:color w:val="000000"/>
          <w:sz w:val="20"/>
          <w:szCs w:val="20"/>
        </w:rPr>
      </w:pPr>
    </w:p>
    <w:p w14:paraId="00000026" w14:textId="77777777" w:rsidR="002D2CBF" w:rsidRDefault="00125BFF">
      <w:pPr>
        <w:widowControl w:val="0"/>
        <w:pBdr>
          <w:top w:val="nil"/>
          <w:left w:val="nil"/>
          <w:bottom w:val="nil"/>
          <w:right w:val="nil"/>
          <w:between w:val="nil"/>
        </w:pBdr>
        <w:spacing w:line="360" w:lineRule="auto"/>
        <w:ind w:right="513"/>
        <w:jc w:val="both"/>
        <w:rPr>
          <w:b/>
          <w:bCs/>
          <w:color w:val="000000"/>
        </w:rPr>
      </w:pPr>
      <w:r>
        <w:rPr>
          <w:b/>
          <w:bCs/>
        </w:rPr>
        <w:t xml:space="preserve">4.1 </w:t>
      </w:r>
      <w:r>
        <w:rPr>
          <w:b/>
          <w:bCs/>
          <w:color w:val="000000"/>
        </w:rPr>
        <w:t xml:space="preserve">Sarcopenia and Exercise Effectiveness </w:t>
      </w:r>
    </w:p>
    <w:p w14:paraId="00000027" w14:textId="7FF31CBC" w:rsidR="002D2CBF" w:rsidRDefault="00125BFF">
      <w:pPr>
        <w:widowControl w:val="0"/>
        <w:pBdr>
          <w:top w:val="nil"/>
          <w:left w:val="nil"/>
          <w:bottom w:val="nil"/>
          <w:right w:val="nil"/>
          <w:between w:val="nil"/>
        </w:pBdr>
        <w:spacing w:line="240" w:lineRule="auto"/>
        <w:jc w:val="both"/>
        <w:rPr>
          <w:color w:val="000000"/>
          <w:sz w:val="20"/>
          <w:szCs w:val="20"/>
        </w:rPr>
      </w:pPr>
      <w:r>
        <w:rPr>
          <w:color w:val="000000"/>
          <w:sz w:val="20"/>
          <w:szCs w:val="20"/>
        </w:rPr>
        <w:t>According to the article "Exercise and Sarcopenia," the best strategy for managing and preventing age-</w:t>
      </w:r>
      <w:r>
        <w:rPr>
          <w:color w:val="000000"/>
          <w:sz w:val="20"/>
          <w:szCs w:val="20"/>
        </w:rPr>
        <w:lastRenderedPageBreak/>
        <w:t xml:space="preserve">related muscle loss is consistent resistance and endurance training. Exercise helps recover strength and function by increasing the synthesis of muscle proteins, enhancing mitochondrial function, and lowering inflammation. Muscle health is further improved by combining exercise with enough protein and nutrients like vitamin D and omega-3 fatty acids. The authors conclude that structured exercise </w:t>
      </w:r>
      <w:r w:rsidRPr="00684FE6">
        <w:rPr>
          <w:color w:val="000000"/>
          <w:sz w:val="20"/>
          <w:szCs w:val="20"/>
          <w:highlight w:val="yellow"/>
        </w:rPr>
        <w:t xml:space="preserve">is still the most effective way to fight sarcopenia and lessen frailty in older persons, and they advocate </w:t>
      </w:r>
      <w:proofErr w:type="spellStart"/>
      <w:r w:rsidR="00E7330B" w:rsidRPr="00684FE6">
        <w:rPr>
          <w:color w:val="000000"/>
          <w:sz w:val="20"/>
          <w:szCs w:val="20"/>
          <w:highlight w:val="yellow"/>
        </w:rPr>
        <w:t>customi</w:t>
      </w:r>
      <w:r w:rsidR="00E7330B" w:rsidRPr="00684FE6">
        <w:rPr>
          <w:color w:val="000000"/>
          <w:sz w:val="20"/>
          <w:szCs w:val="20"/>
          <w:highlight w:val="yellow"/>
        </w:rPr>
        <w:t>s</w:t>
      </w:r>
      <w:r w:rsidR="00E7330B" w:rsidRPr="00684FE6">
        <w:rPr>
          <w:color w:val="000000"/>
          <w:sz w:val="20"/>
          <w:szCs w:val="20"/>
          <w:highlight w:val="yellow"/>
        </w:rPr>
        <w:t>ed</w:t>
      </w:r>
      <w:proofErr w:type="spellEnd"/>
      <w:r w:rsidR="00E7330B" w:rsidRPr="00684FE6">
        <w:rPr>
          <w:color w:val="000000"/>
          <w:sz w:val="20"/>
          <w:szCs w:val="20"/>
          <w:highlight w:val="yellow"/>
        </w:rPr>
        <w:t xml:space="preserve"> </w:t>
      </w:r>
      <w:r w:rsidRPr="00684FE6">
        <w:rPr>
          <w:color w:val="000000"/>
          <w:sz w:val="20"/>
          <w:szCs w:val="20"/>
          <w:highlight w:val="yellow"/>
        </w:rPr>
        <w:t>programs that include resistance, endurance, and balance training multiple times a week (</w:t>
      </w:r>
      <w:proofErr w:type="spellStart"/>
      <w:r w:rsidRPr="00684FE6">
        <w:rPr>
          <w:color w:val="000000"/>
          <w:sz w:val="20"/>
          <w:szCs w:val="20"/>
          <w:highlight w:val="yellow"/>
        </w:rPr>
        <w:t>Phu</w:t>
      </w:r>
      <w:proofErr w:type="spellEnd"/>
      <w:r w:rsidRPr="00684FE6">
        <w:rPr>
          <w:color w:val="000000"/>
          <w:sz w:val="20"/>
          <w:szCs w:val="20"/>
          <w:highlight w:val="yellow"/>
        </w:rPr>
        <w:t>,</w:t>
      </w:r>
      <w:r>
        <w:rPr>
          <w:color w:val="000000"/>
          <w:sz w:val="20"/>
          <w:szCs w:val="20"/>
        </w:rPr>
        <w:t xml:space="preserve"> Boersma, &amp; Duque, 2015) [2</w:t>
      </w:r>
      <w:r>
        <w:rPr>
          <w:sz w:val="20"/>
          <w:szCs w:val="20"/>
        </w:rPr>
        <w:t>1</w:t>
      </w:r>
      <w:r>
        <w:rPr>
          <w:color w:val="000000"/>
          <w:sz w:val="20"/>
          <w:szCs w:val="20"/>
        </w:rPr>
        <w:t xml:space="preserve">]. Exercise considerably increased knee-extension strength, balance, and both appendicular and leg muscle mass in older persons with sarcopenia, according to the review "Exercise Interventions in </w:t>
      </w:r>
      <w:r w:rsidRPr="00684FE6">
        <w:rPr>
          <w:color w:val="000000"/>
          <w:sz w:val="20"/>
          <w:szCs w:val="20"/>
          <w:highlight w:val="yellow"/>
        </w:rPr>
        <w:t xml:space="preserve">Healthy Older Adults with Sarcopenia," which included six high-quality trials. These findings demonstrate that </w:t>
      </w:r>
      <w:proofErr w:type="spellStart"/>
      <w:r w:rsidR="00E7330B" w:rsidRPr="00684FE6">
        <w:rPr>
          <w:color w:val="000000"/>
          <w:sz w:val="20"/>
          <w:szCs w:val="20"/>
          <w:highlight w:val="yellow"/>
        </w:rPr>
        <w:t>organi</w:t>
      </w:r>
      <w:r w:rsidR="00E7330B" w:rsidRPr="00684FE6">
        <w:rPr>
          <w:color w:val="000000"/>
          <w:sz w:val="20"/>
          <w:szCs w:val="20"/>
          <w:highlight w:val="yellow"/>
        </w:rPr>
        <w:t>s</w:t>
      </w:r>
      <w:r w:rsidR="00E7330B" w:rsidRPr="00684FE6">
        <w:rPr>
          <w:color w:val="000000"/>
          <w:sz w:val="20"/>
          <w:szCs w:val="20"/>
          <w:highlight w:val="yellow"/>
        </w:rPr>
        <w:t>ed</w:t>
      </w:r>
      <w:proofErr w:type="spellEnd"/>
      <w:r w:rsidR="00E7330B" w:rsidRPr="00684FE6">
        <w:rPr>
          <w:color w:val="000000"/>
          <w:sz w:val="20"/>
          <w:szCs w:val="20"/>
          <w:highlight w:val="yellow"/>
        </w:rPr>
        <w:t xml:space="preserve"> </w:t>
      </w:r>
      <w:r w:rsidRPr="00684FE6">
        <w:rPr>
          <w:color w:val="000000"/>
          <w:sz w:val="20"/>
          <w:szCs w:val="20"/>
          <w:highlight w:val="yellow"/>
        </w:rPr>
        <w:t>exercise, particularly resistance training, can successfully lessen functional decline and muscular weakness. However, judgments</w:t>
      </w:r>
      <w:r>
        <w:rPr>
          <w:color w:val="000000"/>
          <w:sz w:val="20"/>
          <w:szCs w:val="20"/>
        </w:rPr>
        <w:t xml:space="preserve"> on the best regimens are limited by the wide variations in exercise type, intensity, and duration across research. In order to determine the best exercise recommendations for treating sarcopenia, the authors advocate for more uniform, carefully planned studies (</w:t>
      </w:r>
      <w:proofErr w:type="spellStart"/>
      <w:r w:rsidRPr="00684FE6">
        <w:rPr>
          <w:color w:val="000000"/>
          <w:sz w:val="20"/>
          <w:szCs w:val="20"/>
          <w:highlight w:val="yellow"/>
        </w:rPr>
        <w:t>Vlietstra</w:t>
      </w:r>
      <w:proofErr w:type="spellEnd"/>
      <w:r w:rsidRPr="00684FE6">
        <w:rPr>
          <w:color w:val="000000"/>
          <w:sz w:val="20"/>
          <w:szCs w:val="20"/>
          <w:highlight w:val="yellow"/>
        </w:rPr>
        <w:t xml:space="preserve">, </w:t>
      </w:r>
      <w:proofErr w:type="spellStart"/>
      <w:r w:rsidRPr="00684FE6">
        <w:rPr>
          <w:color w:val="000000"/>
          <w:sz w:val="20"/>
          <w:szCs w:val="20"/>
          <w:highlight w:val="yellow"/>
        </w:rPr>
        <w:t>Hendrickx</w:t>
      </w:r>
      <w:proofErr w:type="spellEnd"/>
      <w:r w:rsidRPr="00684FE6">
        <w:rPr>
          <w:color w:val="000000"/>
          <w:sz w:val="20"/>
          <w:szCs w:val="20"/>
          <w:highlight w:val="yellow"/>
        </w:rPr>
        <w:t>, &amp; Wat</w:t>
      </w:r>
      <w:r>
        <w:rPr>
          <w:color w:val="000000"/>
          <w:sz w:val="20"/>
          <w:szCs w:val="20"/>
        </w:rPr>
        <w:t>ers, 2018) [2</w:t>
      </w:r>
      <w:r>
        <w:rPr>
          <w:sz w:val="20"/>
          <w:szCs w:val="20"/>
        </w:rPr>
        <w:t>2</w:t>
      </w:r>
      <w:r>
        <w:rPr>
          <w:color w:val="000000"/>
          <w:sz w:val="20"/>
          <w:szCs w:val="20"/>
        </w:rPr>
        <w:t xml:space="preserve">]. </w:t>
      </w:r>
    </w:p>
    <w:p w14:paraId="00000028" w14:textId="2CA24578" w:rsidR="002D2CBF" w:rsidRDefault="00125BFF">
      <w:pPr>
        <w:widowControl w:val="0"/>
        <w:pBdr>
          <w:top w:val="nil"/>
          <w:left w:val="nil"/>
          <w:bottom w:val="nil"/>
          <w:right w:val="nil"/>
          <w:between w:val="nil"/>
        </w:pBdr>
        <w:spacing w:line="240" w:lineRule="auto"/>
        <w:jc w:val="both"/>
        <w:rPr>
          <w:color w:val="000000"/>
          <w:sz w:val="20"/>
          <w:szCs w:val="20"/>
        </w:rPr>
      </w:pPr>
      <w:r>
        <w:rPr>
          <w:color w:val="000000"/>
          <w:sz w:val="20"/>
          <w:szCs w:val="20"/>
        </w:rPr>
        <w:t>According to the review "Sarcopenia, Frailty and Their Prevention by Exercise," sarcopenia and frailty are caused by age-related decreases in muscular mass, strength, and brain function, which raise the risk of disability and death. It identifies oxidative stress, hormonal fluctuations, and neuronal degeneration as the main causes of muscle loss, with poor nutrition and inactivity being the main modifiable risks. The authors stress that frequent aerobic and resistance training reduces oxidative stress and inflammation while enhancing strength, balance, and functional ability. But they point out that exercise might not be sufficient on its own; the best way to prevent or reduce sarcopenia and frailty is to combine physical activity with a healthy diet, particularly enough protein, and other supportive techniques (Nascimento et al. 2019) [2</w:t>
      </w:r>
      <w:r>
        <w:rPr>
          <w:sz w:val="20"/>
          <w:szCs w:val="20"/>
        </w:rPr>
        <w:t>3</w:t>
      </w:r>
      <w:r>
        <w:rPr>
          <w:color w:val="000000"/>
          <w:sz w:val="20"/>
          <w:szCs w:val="20"/>
        </w:rPr>
        <w:t xml:space="preserve">]. Resistance training, either by itself or in conjunction with balance or aerobic exercise, is the most effective treatment for enhancing quality of life and functional outcomes like gait speed, chair stands, and timed up-and-go </w:t>
      </w:r>
      <w:r w:rsidRPr="00684FE6">
        <w:rPr>
          <w:color w:val="000000"/>
          <w:sz w:val="20"/>
          <w:szCs w:val="20"/>
          <w:highlight w:val="yellow"/>
        </w:rPr>
        <w:t xml:space="preserve">performance, according to a systematic review and network meta-analysis of 42 </w:t>
      </w:r>
      <w:proofErr w:type="spellStart"/>
      <w:r w:rsidR="00E7330B" w:rsidRPr="00684FE6">
        <w:rPr>
          <w:color w:val="000000"/>
          <w:sz w:val="20"/>
          <w:szCs w:val="20"/>
          <w:highlight w:val="yellow"/>
        </w:rPr>
        <w:t>randomi</w:t>
      </w:r>
      <w:r w:rsidR="00E7330B" w:rsidRPr="00684FE6">
        <w:rPr>
          <w:color w:val="000000"/>
          <w:sz w:val="20"/>
          <w:szCs w:val="20"/>
          <w:highlight w:val="yellow"/>
        </w:rPr>
        <w:t>s</w:t>
      </w:r>
      <w:r w:rsidR="00E7330B" w:rsidRPr="00684FE6">
        <w:rPr>
          <w:color w:val="000000"/>
          <w:sz w:val="20"/>
          <w:szCs w:val="20"/>
          <w:highlight w:val="yellow"/>
        </w:rPr>
        <w:t>ed</w:t>
      </w:r>
      <w:proofErr w:type="spellEnd"/>
      <w:r w:rsidR="00E7330B" w:rsidRPr="00684FE6">
        <w:rPr>
          <w:color w:val="000000"/>
          <w:sz w:val="20"/>
          <w:szCs w:val="20"/>
          <w:highlight w:val="yellow"/>
        </w:rPr>
        <w:t xml:space="preserve"> </w:t>
      </w:r>
      <w:r w:rsidRPr="00684FE6">
        <w:rPr>
          <w:color w:val="000000"/>
          <w:sz w:val="20"/>
          <w:szCs w:val="20"/>
          <w:highlight w:val="yellow"/>
        </w:rPr>
        <w:t>trials involving 3,728 older adults with sarcopenia. Handgrip strength was further enhanced by adding nutritional support, particularly protein supplements, although other physical function measurements were not significantly affected. Exercise, especially resistance and multicomponent programs, is the cornerstone of managing sarcopenia, with food providing extra advantages mostly for muscle strength, the study concluded using PRISMA and GRADE techniques (Shen et al., 2023) [2</w:t>
      </w:r>
      <w:r w:rsidRPr="00684FE6">
        <w:rPr>
          <w:sz w:val="20"/>
          <w:szCs w:val="20"/>
          <w:highlight w:val="yellow"/>
        </w:rPr>
        <w:t>4</w:t>
      </w:r>
      <w:r w:rsidRPr="00684FE6">
        <w:rPr>
          <w:color w:val="000000"/>
          <w:sz w:val="20"/>
          <w:szCs w:val="20"/>
          <w:highlight w:val="yellow"/>
        </w:rPr>
        <w:t>].</w:t>
      </w:r>
    </w:p>
    <w:p w14:paraId="00000029" w14:textId="77777777" w:rsidR="002D2CBF" w:rsidRDefault="00125BFF">
      <w:pPr>
        <w:widowControl w:val="0"/>
        <w:pBdr>
          <w:top w:val="nil"/>
          <w:left w:val="nil"/>
          <w:bottom w:val="nil"/>
          <w:right w:val="nil"/>
          <w:between w:val="nil"/>
        </w:pBdr>
        <w:spacing w:line="240" w:lineRule="auto"/>
        <w:jc w:val="both"/>
        <w:rPr>
          <w:color w:val="000000"/>
          <w:sz w:val="20"/>
          <w:szCs w:val="20"/>
        </w:rPr>
      </w:pPr>
      <w:r>
        <w:rPr>
          <w:color w:val="000000"/>
          <w:sz w:val="20"/>
          <w:szCs w:val="20"/>
        </w:rPr>
        <w:t>Exercise regimens, including resistance, aerobic, balance, weight, and whole-body vibration training, significantly improved muscle strength and physical performance in older adults with sarcopenia, but did not increase muscle mass, according to a systematic review and meta-analysis of 22 trials involving 1,041 adults aged 60 and over. Grip strength, chair stand performance, gait speed, and TUG test times showed the biggest improvements. The most successful exercises were resistance and aerobic training; home-based and mixed programs also demonstrated advantages. The authors stressed the need for bigger, uniform studies to identify the best exercise regimens and long-term results because of the heterogeneity in study designs (Bao et al. 2020) [2</w:t>
      </w:r>
      <w:r>
        <w:rPr>
          <w:sz w:val="20"/>
          <w:szCs w:val="20"/>
        </w:rPr>
        <w:t>5</w:t>
      </w:r>
      <w:r>
        <w:rPr>
          <w:color w:val="000000"/>
          <w:sz w:val="20"/>
          <w:szCs w:val="20"/>
        </w:rPr>
        <w:t xml:space="preserve">]. </w:t>
      </w:r>
    </w:p>
    <w:p w14:paraId="0000002A" w14:textId="77777777" w:rsidR="002D2CBF" w:rsidRDefault="002D2CBF">
      <w:pPr>
        <w:widowControl w:val="0"/>
        <w:pBdr>
          <w:top w:val="nil"/>
          <w:left w:val="nil"/>
          <w:bottom w:val="nil"/>
          <w:right w:val="nil"/>
          <w:between w:val="nil"/>
        </w:pBdr>
        <w:spacing w:line="240" w:lineRule="auto"/>
        <w:jc w:val="both"/>
        <w:rPr>
          <w:color w:val="000000"/>
          <w:sz w:val="20"/>
          <w:szCs w:val="20"/>
        </w:rPr>
      </w:pPr>
    </w:p>
    <w:p w14:paraId="0000002B" w14:textId="77777777" w:rsidR="002D2CBF" w:rsidRDefault="00125BFF">
      <w:pPr>
        <w:widowControl w:val="0"/>
        <w:numPr>
          <w:ilvl w:val="0"/>
          <w:numId w:val="3"/>
        </w:numPr>
        <w:pBdr>
          <w:top w:val="nil"/>
          <w:left w:val="nil"/>
          <w:bottom w:val="nil"/>
          <w:right w:val="nil"/>
          <w:between w:val="nil"/>
        </w:pBdr>
        <w:spacing w:line="360" w:lineRule="auto"/>
        <w:ind w:right="513"/>
        <w:jc w:val="both"/>
        <w:rPr>
          <w:b/>
          <w:bCs/>
          <w:color w:val="000000"/>
        </w:rPr>
      </w:pPr>
      <w:r>
        <w:rPr>
          <w:b/>
          <w:bCs/>
          <w:color w:val="000000"/>
        </w:rPr>
        <w:t>Late Onset of Sarcopenia Based on Increased Protein in Diet and Regular Exercise</w:t>
      </w:r>
    </w:p>
    <w:p w14:paraId="0000002C" w14:textId="20525830" w:rsidR="002D2CBF" w:rsidRDefault="00125BFF">
      <w:pPr>
        <w:widowControl w:val="0"/>
        <w:pBdr>
          <w:top w:val="nil"/>
          <w:left w:val="nil"/>
          <w:bottom w:val="nil"/>
          <w:right w:val="nil"/>
          <w:between w:val="nil"/>
        </w:pBdr>
        <w:spacing w:line="240" w:lineRule="auto"/>
        <w:jc w:val="both"/>
        <w:rPr>
          <w:color w:val="000000"/>
          <w:sz w:val="20"/>
          <w:szCs w:val="20"/>
        </w:rPr>
      </w:pPr>
      <w:r>
        <w:rPr>
          <w:color w:val="000000"/>
          <w:sz w:val="20"/>
          <w:szCs w:val="20"/>
        </w:rPr>
        <w:t>Ag</w:t>
      </w:r>
      <w:r w:rsidR="00E7330B">
        <w:rPr>
          <w:color w:val="000000"/>
          <w:sz w:val="20"/>
          <w:szCs w:val="20"/>
        </w:rPr>
        <w:t>e</w:t>
      </w:r>
      <w:r>
        <w:rPr>
          <w:color w:val="000000"/>
          <w:sz w:val="20"/>
          <w:szCs w:val="20"/>
        </w:rPr>
        <w:t xml:space="preserve">ing decreases muscle protein synthesis, which results in muscle loss, weakness, and frailty, according to the article "Strategies to Prevent Sarcopenia </w:t>
      </w:r>
      <w:r w:rsidRPr="00684FE6">
        <w:rPr>
          <w:color w:val="000000"/>
          <w:sz w:val="20"/>
          <w:szCs w:val="20"/>
          <w:highlight w:val="yellow"/>
        </w:rPr>
        <w:t>in the Ag</w:t>
      </w:r>
      <w:r w:rsidR="00E7330B" w:rsidRPr="00684FE6">
        <w:rPr>
          <w:color w:val="000000"/>
          <w:sz w:val="20"/>
          <w:szCs w:val="20"/>
          <w:highlight w:val="yellow"/>
        </w:rPr>
        <w:t>e</w:t>
      </w:r>
      <w:r w:rsidRPr="00684FE6">
        <w:rPr>
          <w:color w:val="000000"/>
          <w:sz w:val="20"/>
          <w:szCs w:val="20"/>
          <w:highlight w:val="yellow"/>
        </w:rPr>
        <w:t>ing Process: R</w:t>
      </w:r>
      <w:r>
        <w:rPr>
          <w:color w:val="000000"/>
          <w:sz w:val="20"/>
          <w:szCs w:val="20"/>
        </w:rPr>
        <w:t xml:space="preserve">ole of Protein Intake and Exercise." It highlights that in order to efficiently increase muscle protein synthesis, older persons require a greater protein intake—roughly 1.0–1.3 g/kg/day, evenly distributed, and rich in leucine. Resistance training increases muscle mass and strength by activating the mTOR pathway, especially when combined with sufficient protein. Cardiovascular and metabolic health are further supported by aerobic and mixed activities. Overall, the analysis </w:t>
      </w:r>
      <w:proofErr w:type="gramStart"/>
      <w:r>
        <w:rPr>
          <w:color w:val="000000"/>
          <w:sz w:val="20"/>
          <w:szCs w:val="20"/>
        </w:rPr>
        <w:t>comes to the conclusion</w:t>
      </w:r>
      <w:proofErr w:type="gramEnd"/>
      <w:r>
        <w:rPr>
          <w:color w:val="000000"/>
          <w:sz w:val="20"/>
          <w:szCs w:val="20"/>
        </w:rPr>
        <w:t xml:space="preserve"> that maintaining good ag</w:t>
      </w:r>
      <w:r w:rsidR="00E7330B">
        <w:rPr>
          <w:color w:val="000000"/>
          <w:sz w:val="20"/>
          <w:szCs w:val="20"/>
        </w:rPr>
        <w:t>e</w:t>
      </w:r>
      <w:r>
        <w:rPr>
          <w:color w:val="000000"/>
          <w:sz w:val="20"/>
          <w:szCs w:val="20"/>
        </w:rPr>
        <w:t>ing and preventing or delaying sarcopenia can be achieved with regular resistance and aerobic exercise along with adequate protein intake (</w:t>
      </w:r>
      <w:proofErr w:type="spellStart"/>
      <w:r>
        <w:rPr>
          <w:color w:val="000000"/>
          <w:sz w:val="20"/>
          <w:szCs w:val="20"/>
        </w:rPr>
        <w:t>Rogeri</w:t>
      </w:r>
      <w:proofErr w:type="spellEnd"/>
      <w:r>
        <w:rPr>
          <w:color w:val="000000"/>
          <w:sz w:val="20"/>
          <w:szCs w:val="20"/>
        </w:rPr>
        <w:t xml:space="preserve"> et al., 2022) [2</w:t>
      </w:r>
      <w:r>
        <w:rPr>
          <w:sz w:val="20"/>
          <w:szCs w:val="20"/>
        </w:rPr>
        <w:t>6</w:t>
      </w:r>
      <w:r>
        <w:rPr>
          <w:color w:val="000000"/>
          <w:sz w:val="20"/>
          <w:szCs w:val="20"/>
        </w:rPr>
        <w:t xml:space="preserve">]. 85 persons with sarcopenia who were 65 years of age or older participated in a 12-week open-label trial that compared a high-protein diet by itself with the same diet plus a whey protein, leucine, and vitamin D supplement. In addition to increasing body weight, fat-free mass, and appendicular muscle mass index, both groups attained roughly 1.5 g protein/kg/day, demonstrating that sufficient protein promotes muscle maintenance. Only the supplement group, particularly those between the ages of 65 and 74, saw an improvement in gait speed, suggesting additional advantages for </w:t>
      </w:r>
      <w:r>
        <w:rPr>
          <w:color w:val="000000"/>
          <w:sz w:val="20"/>
          <w:szCs w:val="20"/>
        </w:rPr>
        <w:lastRenderedPageBreak/>
        <w:t>physical performance. According to the study's findings, while consuming a lot of protein increases muscle mass, supplements provide a practical means of achieving protein targets and may also improve mobility in persons with sarcopenia (Lin et al., 2019) [2</w:t>
      </w:r>
      <w:r>
        <w:rPr>
          <w:sz w:val="20"/>
          <w:szCs w:val="20"/>
        </w:rPr>
        <w:t>7</w:t>
      </w:r>
      <w:r>
        <w:rPr>
          <w:color w:val="000000"/>
          <w:sz w:val="20"/>
          <w:szCs w:val="20"/>
        </w:rPr>
        <w:t>].</w:t>
      </w:r>
    </w:p>
    <w:p w14:paraId="0000002D" w14:textId="248BCC7D" w:rsidR="002D2CBF" w:rsidRDefault="00125BFF">
      <w:pPr>
        <w:widowControl w:val="0"/>
        <w:pBdr>
          <w:top w:val="nil"/>
          <w:left w:val="nil"/>
          <w:bottom w:val="nil"/>
          <w:right w:val="nil"/>
          <w:between w:val="nil"/>
        </w:pBdr>
        <w:shd w:val="clear" w:color="auto" w:fill="FFFFFF"/>
        <w:spacing w:line="240" w:lineRule="auto"/>
        <w:jc w:val="both"/>
        <w:rPr>
          <w:color w:val="000000"/>
          <w:sz w:val="20"/>
          <w:szCs w:val="20"/>
        </w:rPr>
      </w:pPr>
      <w:r>
        <w:rPr>
          <w:color w:val="000000"/>
          <w:sz w:val="20"/>
          <w:szCs w:val="20"/>
        </w:rPr>
        <w:t>Sarcopenia, a loss of muscular mass, strength, and function, is caused by ag</w:t>
      </w:r>
      <w:r w:rsidR="00E7330B">
        <w:rPr>
          <w:color w:val="000000"/>
          <w:sz w:val="20"/>
          <w:szCs w:val="20"/>
        </w:rPr>
        <w:t>e</w:t>
      </w:r>
      <w:r>
        <w:rPr>
          <w:color w:val="000000"/>
          <w:sz w:val="20"/>
          <w:szCs w:val="20"/>
        </w:rPr>
        <w:t xml:space="preserve">ing, inactivity, poor nutrition, and chronic illness, according to the paper "Nutrition and physical activity for the prevention and treatment of age-related </w:t>
      </w:r>
      <w:r w:rsidRPr="00684FE6">
        <w:rPr>
          <w:color w:val="000000"/>
          <w:sz w:val="20"/>
          <w:szCs w:val="20"/>
          <w:highlight w:val="yellow"/>
        </w:rPr>
        <w:t xml:space="preserve">sarcopenia." It </w:t>
      </w:r>
      <w:proofErr w:type="spellStart"/>
      <w:r w:rsidR="00E7330B" w:rsidRPr="00684FE6">
        <w:rPr>
          <w:color w:val="000000"/>
          <w:sz w:val="20"/>
          <w:szCs w:val="20"/>
          <w:highlight w:val="yellow"/>
        </w:rPr>
        <w:t>emphasi</w:t>
      </w:r>
      <w:r w:rsidR="00E7330B" w:rsidRPr="00684FE6">
        <w:rPr>
          <w:color w:val="000000"/>
          <w:sz w:val="20"/>
          <w:szCs w:val="20"/>
          <w:highlight w:val="yellow"/>
        </w:rPr>
        <w:t>s</w:t>
      </w:r>
      <w:r w:rsidR="00E7330B" w:rsidRPr="00684FE6">
        <w:rPr>
          <w:color w:val="000000"/>
          <w:sz w:val="20"/>
          <w:szCs w:val="20"/>
          <w:highlight w:val="yellow"/>
        </w:rPr>
        <w:t>es</w:t>
      </w:r>
      <w:proofErr w:type="spellEnd"/>
      <w:r w:rsidR="00E7330B" w:rsidRPr="00684FE6">
        <w:rPr>
          <w:color w:val="000000"/>
          <w:sz w:val="20"/>
          <w:szCs w:val="20"/>
          <w:highlight w:val="yellow"/>
        </w:rPr>
        <w:t xml:space="preserve"> </w:t>
      </w:r>
      <w:r w:rsidRPr="00684FE6">
        <w:rPr>
          <w:color w:val="000000"/>
          <w:sz w:val="20"/>
          <w:szCs w:val="20"/>
          <w:highlight w:val="yellow"/>
        </w:rPr>
        <w:t>how leucine-rich meals, vitamin D, n-3 fatty acids, and sufficient protein consumption (1.2 - 1.5 g/kg/day) improve muscular health, particularly when paired with regular resistance and endurance exercise. While inactivity accel</w:t>
      </w:r>
      <w:r>
        <w:rPr>
          <w:color w:val="000000"/>
          <w:sz w:val="20"/>
          <w:szCs w:val="20"/>
        </w:rPr>
        <w:t xml:space="preserve">erates the loss of muscle mass, physical activity increases the anabolic response. Despite the benefits of both exercise and nutrition, research findings differ because of variable methodology. Although </w:t>
      </w:r>
      <w:r w:rsidR="00E7330B">
        <w:rPr>
          <w:color w:val="000000"/>
          <w:sz w:val="20"/>
          <w:szCs w:val="20"/>
        </w:rPr>
        <w:t xml:space="preserve">a </w:t>
      </w:r>
      <w:r>
        <w:rPr>
          <w:color w:val="000000"/>
          <w:sz w:val="20"/>
          <w:szCs w:val="20"/>
        </w:rPr>
        <w:t xml:space="preserve">more </w:t>
      </w:r>
      <w:proofErr w:type="spellStart"/>
      <w:r w:rsidR="00E7330B" w:rsidRPr="00684FE6">
        <w:rPr>
          <w:color w:val="000000"/>
          <w:sz w:val="20"/>
          <w:szCs w:val="20"/>
          <w:highlight w:val="yellow"/>
        </w:rPr>
        <w:t>standardi</w:t>
      </w:r>
      <w:r w:rsidR="00E7330B" w:rsidRPr="00684FE6">
        <w:rPr>
          <w:color w:val="000000"/>
          <w:sz w:val="20"/>
          <w:szCs w:val="20"/>
          <w:highlight w:val="yellow"/>
        </w:rPr>
        <w:t>s</w:t>
      </w:r>
      <w:r w:rsidR="00E7330B" w:rsidRPr="00684FE6">
        <w:rPr>
          <w:color w:val="000000"/>
          <w:sz w:val="20"/>
          <w:szCs w:val="20"/>
          <w:highlight w:val="yellow"/>
        </w:rPr>
        <w:t>e</w:t>
      </w:r>
      <w:r w:rsidR="00E7330B">
        <w:rPr>
          <w:color w:val="000000"/>
          <w:sz w:val="20"/>
          <w:szCs w:val="20"/>
        </w:rPr>
        <w:t>d</w:t>
      </w:r>
      <w:proofErr w:type="spellEnd"/>
      <w:r w:rsidR="00E7330B">
        <w:rPr>
          <w:color w:val="000000"/>
          <w:sz w:val="20"/>
          <w:szCs w:val="20"/>
        </w:rPr>
        <w:t xml:space="preserve"> </w:t>
      </w:r>
      <w:r>
        <w:rPr>
          <w:color w:val="000000"/>
          <w:sz w:val="20"/>
          <w:szCs w:val="20"/>
        </w:rPr>
        <w:t>study is required, the authors conclude that preserving independence and quality of life in older persons requires an ideal diet and physical activity (</w:t>
      </w:r>
      <w:proofErr w:type="spellStart"/>
      <w:r>
        <w:rPr>
          <w:color w:val="000000"/>
          <w:sz w:val="20"/>
          <w:szCs w:val="20"/>
        </w:rPr>
        <w:t>Bosaeus</w:t>
      </w:r>
      <w:proofErr w:type="spellEnd"/>
      <w:r>
        <w:rPr>
          <w:color w:val="000000"/>
          <w:sz w:val="20"/>
          <w:szCs w:val="20"/>
        </w:rPr>
        <w:t xml:space="preserve"> &amp; Rothenberg, 2016) [2</w:t>
      </w:r>
      <w:r>
        <w:rPr>
          <w:sz w:val="20"/>
          <w:szCs w:val="20"/>
        </w:rPr>
        <w:t>8</w:t>
      </w:r>
      <w:r>
        <w:rPr>
          <w:color w:val="000000"/>
          <w:sz w:val="20"/>
          <w:szCs w:val="20"/>
        </w:rPr>
        <w:t>].</w:t>
      </w:r>
    </w:p>
    <w:p w14:paraId="0000002E" w14:textId="77777777" w:rsidR="002D2CBF" w:rsidRDefault="00125BFF">
      <w:pPr>
        <w:widowControl w:val="0"/>
        <w:pBdr>
          <w:top w:val="nil"/>
          <w:left w:val="nil"/>
          <w:bottom w:val="nil"/>
          <w:right w:val="nil"/>
          <w:between w:val="nil"/>
        </w:pBdr>
        <w:shd w:val="clear" w:color="auto" w:fill="FFFFFF"/>
        <w:spacing w:line="240" w:lineRule="auto"/>
        <w:jc w:val="both"/>
        <w:rPr>
          <w:color w:val="000000"/>
          <w:sz w:val="20"/>
          <w:szCs w:val="20"/>
        </w:rPr>
      </w:pPr>
      <w:r>
        <w:rPr>
          <w:color w:val="000000"/>
          <w:sz w:val="20"/>
          <w:szCs w:val="20"/>
        </w:rPr>
        <w:t>Nineteen trials on nutritional, exercise, and combined therapies in older persons with sarcopenia or frailty are reviewed in the publication "Nutrition and Exercise in Sarcopenia." In certain instances, protein supplements increased muscle strength, but overall dietary benefits were uneven. While the effects on grip strength and walking speed varied, exercise, particularly resistance training, generally increased lower-body strength. Strength was also increased by combined diet and exercise regimens, but body composition was rarely altered. The authors stress that the majority of non-calorie-restricted therapies had no effect on lean mass and urge further focused, carefully planned studies. In general, regular exercise and a sufficient protein intake are still crucial for lowering the risk of sarcopenia (Anton et al. 2018) [</w:t>
      </w:r>
      <w:r>
        <w:rPr>
          <w:sz w:val="20"/>
          <w:szCs w:val="20"/>
        </w:rPr>
        <w:t>29</w:t>
      </w:r>
      <w:r>
        <w:rPr>
          <w:color w:val="000000"/>
          <w:sz w:val="20"/>
          <w:szCs w:val="20"/>
        </w:rPr>
        <w:t>].</w:t>
      </w:r>
    </w:p>
    <w:p w14:paraId="0000002F" w14:textId="5E181D97" w:rsidR="002D2CBF" w:rsidRDefault="00125BFF">
      <w:pPr>
        <w:widowControl w:val="0"/>
        <w:pBdr>
          <w:top w:val="nil"/>
          <w:left w:val="nil"/>
          <w:bottom w:val="nil"/>
          <w:right w:val="nil"/>
          <w:between w:val="nil"/>
        </w:pBdr>
        <w:spacing w:line="240" w:lineRule="auto"/>
        <w:jc w:val="both"/>
        <w:rPr>
          <w:color w:val="000000"/>
          <w:sz w:val="20"/>
          <w:szCs w:val="20"/>
        </w:rPr>
      </w:pPr>
      <w:r>
        <w:rPr>
          <w:color w:val="000000"/>
          <w:sz w:val="20"/>
          <w:szCs w:val="20"/>
        </w:rPr>
        <w:t xml:space="preserve">This review examines how gut microbiota is shaped by dietary protein and how these interactions affect obesity and sarcopenia in older persons. Muscle loss can be accelerated by age-related inflammation, metabolic dysfunction, and decreased microbial </w:t>
      </w:r>
      <w:r w:rsidRPr="00684FE6">
        <w:rPr>
          <w:color w:val="000000"/>
          <w:sz w:val="20"/>
          <w:szCs w:val="20"/>
          <w:highlight w:val="yellow"/>
        </w:rPr>
        <w:t>diversity. Increased protein c</w:t>
      </w:r>
      <w:r>
        <w:rPr>
          <w:color w:val="000000"/>
          <w:sz w:val="20"/>
          <w:szCs w:val="20"/>
        </w:rPr>
        <w:t xml:space="preserve">onsumption promotes muscle protein synthesis and helps overcome anabolic </w:t>
      </w:r>
      <w:r w:rsidRPr="00684FE6">
        <w:rPr>
          <w:color w:val="000000"/>
          <w:sz w:val="20"/>
          <w:szCs w:val="20"/>
          <w:highlight w:val="yellow"/>
        </w:rPr>
        <w:t>resistance, depending on t</w:t>
      </w:r>
      <w:r>
        <w:rPr>
          <w:color w:val="000000"/>
          <w:sz w:val="20"/>
          <w:szCs w:val="20"/>
        </w:rPr>
        <w:t xml:space="preserve">he protein source, too </w:t>
      </w:r>
      <w:r w:rsidRPr="00684FE6">
        <w:rPr>
          <w:color w:val="000000"/>
          <w:sz w:val="20"/>
          <w:szCs w:val="20"/>
          <w:highlight w:val="yellow"/>
        </w:rPr>
        <w:t xml:space="preserve">much undigested protein can produce both beneficial (SCFAs) and detrimental metabolites. While sufficient </w:t>
      </w:r>
      <w:proofErr w:type="spellStart"/>
      <w:r w:rsidR="00E7330B" w:rsidRPr="00684FE6">
        <w:rPr>
          <w:color w:val="000000"/>
          <w:sz w:val="20"/>
          <w:szCs w:val="20"/>
          <w:highlight w:val="yellow"/>
        </w:rPr>
        <w:t>fib</w:t>
      </w:r>
      <w:r w:rsidR="00E7330B" w:rsidRPr="00684FE6">
        <w:rPr>
          <w:color w:val="000000"/>
          <w:sz w:val="20"/>
          <w:szCs w:val="20"/>
          <w:highlight w:val="yellow"/>
        </w:rPr>
        <w:t>re</w:t>
      </w:r>
      <w:proofErr w:type="spellEnd"/>
      <w:r w:rsidR="00E7330B" w:rsidRPr="00684FE6">
        <w:rPr>
          <w:color w:val="000000"/>
          <w:sz w:val="20"/>
          <w:szCs w:val="20"/>
          <w:highlight w:val="yellow"/>
        </w:rPr>
        <w:t xml:space="preserve"> </w:t>
      </w:r>
      <w:r w:rsidRPr="00684FE6">
        <w:rPr>
          <w:color w:val="000000"/>
          <w:sz w:val="20"/>
          <w:szCs w:val="20"/>
          <w:highlight w:val="yellow"/>
        </w:rPr>
        <w:t>increases the generation</w:t>
      </w:r>
      <w:r>
        <w:rPr>
          <w:color w:val="000000"/>
          <w:sz w:val="20"/>
          <w:szCs w:val="20"/>
        </w:rPr>
        <w:t xml:space="preserve"> of SCFA and improves metabolic health, plant and white-meat prot</w:t>
      </w:r>
      <w:r w:rsidRPr="00684FE6">
        <w:rPr>
          <w:color w:val="000000"/>
          <w:sz w:val="20"/>
          <w:szCs w:val="20"/>
          <w:highlight w:val="yellow"/>
        </w:rPr>
        <w:t>eins</w:t>
      </w:r>
      <w:r>
        <w:rPr>
          <w:color w:val="000000"/>
          <w:sz w:val="20"/>
          <w:szCs w:val="20"/>
        </w:rPr>
        <w:t xml:space="preserve"> support a better microbiota than red meat. In general, the research highlights integrated diets high in </w:t>
      </w:r>
      <w:proofErr w:type="spellStart"/>
      <w:r w:rsidR="00E7330B" w:rsidRPr="00684FE6">
        <w:rPr>
          <w:color w:val="000000"/>
          <w:sz w:val="20"/>
          <w:szCs w:val="20"/>
          <w:highlight w:val="yellow"/>
        </w:rPr>
        <w:t>fib</w:t>
      </w:r>
      <w:r w:rsidR="00E7330B" w:rsidRPr="00684FE6">
        <w:rPr>
          <w:color w:val="000000"/>
          <w:sz w:val="20"/>
          <w:szCs w:val="20"/>
          <w:highlight w:val="yellow"/>
        </w:rPr>
        <w:t>re</w:t>
      </w:r>
      <w:proofErr w:type="spellEnd"/>
      <w:r w:rsidR="00E7330B" w:rsidRPr="00684FE6">
        <w:rPr>
          <w:color w:val="000000"/>
          <w:sz w:val="20"/>
          <w:szCs w:val="20"/>
          <w:highlight w:val="yellow"/>
        </w:rPr>
        <w:t xml:space="preserve"> </w:t>
      </w:r>
      <w:r w:rsidRPr="00684FE6">
        <w:rPr>
          <w:color w:val="000000"/>
          <w:sz w:val="20"/>
          <w:szCs w:val="20"/>
          <w:highlight w:val="yellow"/>
        </w:rPr>
        <w:t>and protein to promote gut-muscle health and reduce the risk of sarcopenic obesity (</w:t>
      </w:r>
      <w:proofErr w:type="spellStart"/>
      <w:r w:rsidRPr="00684FE6">
        <w:rPr>
          <w:color w:val="000000"/>
          <w:sz w:val="20"/>
          <w:szCs w:val="20"/>
          <w:highlight w:val="yellow"/>
        </w:rPr>
        <w:t>Prokopidis</w:t>
      </w:r>
      <w:proofErr w:type="spellEnd"/>
      <w:r w:rsidRPr="00684FE6">
        <w:rPr>
          <w:color w:val="000000"/>
          <w:sz w:val="20"/>
          <w:szCs w:val="20"/>
          <w:highlight w:val="yellow"/>
        </w:rPr>
        <w:t xml:space="preserve"> et al., 2020) [3</w:t>
      </w:r>
      <w:r w:rsidRPr="00684FE6">
        <w:rPr>
          <w:sz w:val="20"/>
          <w:szCs w:val="20"/>
          <w:highlight w:val="yellow"/>
        </w:rPr>
        <w:t>0</w:t>
      </w:r>
      <w:r w:rsidRPr="00684FE6">
        <w:rPr>
          <w:color w:val="000000"/>
          <w:sz w:val="20"/>
          <w:szCs w:val="20"/>
          <w:highlight w:val="yellow"/>
        </w:rPr>
        <w:t>]. "Anabolic resistance," which occurs when aged muscle reacts less well to protein, exercise, and</w:t>
      </w:r>
      <w:r>
        <w:rPr>
          <w:color w:val="000000"/>
          <w:sz w:val="20"/>
          <w:szCs w:val="20"/>
        </w:rPr>
        <w:t xml:space="preserve"> insulin, </w:t>
      </w:r>
      <w:r w:rsidRPr="00684FE6">
        <w:rPr>
          <w:color w:val="000000"/>
          <w:sz w:val="20"/>
          <w:szCs w:val="20"/>
          <w:highlight w:val="yellow"/>
        </w:rPr>
        <w:t xml:space="preserve">is a major cause of sarcopenia. This diminished sensitivity results from reduced muscle blood flow, disturbed </w:t>
      </w:r>
      <w:proofErr w:type="spellStart"/>
      <w:r w:rsidRPr="00684FE6">
        <w:rPr>
          <w:color w:val="000000"/>
          <w:sz w:val="20"/>
          <w:szCs w:val="20"/>
          <w:highlight w:val="yellow"/>
        </w:rPr>
        <w:t>signa</w:t>
      </w:r>
      <w:r w:rsidR="00E7330B" w:rsidRPr="00684FE6">
        <w:rPr>
          <w:color w:val="000000"/>
          <w:sz w:val="20"/>
          <w:szCs w:val="20"/>
          <w:highlight w:val="yellow"/>
        </w:rPr>
        <w:t>l</w:t>
      </w:r>
      <w:r w:rsidRPr="00684FE6">
        <w:rPr>
          <w:color w:val="000000"/>
          <w:sz w:val="20"/>
          <w:szCs w:val="20"/>
          <w:highlight w:val="yellow"/>
        </w:rPr>
        <w:t>ling</w:t>
      </w:r>
      <w:proofErr w:type="spellEnd"/>
      <w:r w:rsidRPr="00684FE6">
        <w:rPr>
          <w:color w:val="000000"/>
          <w:sz w:val="20"/>
          <w:szCs w:val="20"/>
          <w:highlight w:val="yellow"/>
        </w:rPr>
        <w:t>, and poor</w:t>
      </w:r>
      <w:r>
        <w:rPr>
          <w:color w:val="000000"/>
          <w:sz w:val="20"/>
          <w:szCs w:val="20"/>
        </w:rPr>
        <w:t xml:space="preserve"> absorption of amino acids, all of which restrict the transport of nutrients to muscle. Muscle protein synthesis can be further hampered by even short periods of rest, such as 14 days of reduced </w:t>
      </w:r>
      <w:r w:rsidRPr="00684FE6">
        <w:rPr>
          <w:color w:val="000000"/>
          <w:sz w:val="20"/>
          <w:szCs w:val="20"/>
          <w:highlight w:val="yellow"/>
        </w:rPr>
        <w:t xml:space="preserve">mobility. The review also </w:t>
      </w:r>
      <w:proofErr w:type="spellStart"/>
      <w:r w:rsidR="00E7330B" w:rsidRPr="00684FE6">
        <w:rPr>
          <w:color w:val="000000"/>
          <w:sz w:val="20"/>
          <w:szCs w:val="20"/>
          <w:highlight w:val="yellow"/>
        </w:rPr>
        <w:t>emphasi</w:t>
      </w:r>
      <w:r w:rsidR="00E7330B" w:rsidRPr="00684FE6">
        <w:rPr>
          <w:color w:val="000000"/>
          <w:sz w:val="20"/>
          <w:szCs w:val="20"/>
          <w:highlight w:val="yellow"/>
        </w:rPr>
        <w:t>s</w:t>
      </w:r>
      <w:r w:rsidR="00E7330B" w:rsidRPr="00684FE6">
        <w:rPr>
          <w:color w:val="000000"/>
          <w:sz w:val="20"/>
          <w:szCs w:val="20"/>
          <w:highlight w:val="yellow"/>
        </w:rPr>
        <w:t>es</w:t>
      </w:r>
      <w:proofErr w:type="spellEnd"/>
      <w:r w:rsidR="00E7330B" w:rsidRPr="00684FE6">
        <w:rPr>
          <w:color w:val="000000"/>
          <w:sz w:val="20"/>
          <w:szCs w:val="20"/>
          <w:highlight w:val="yellow"/>
        </w:rPr>
        <w:t xml:space="preserve"> </w:t>
      </w:r>
      <w:r w:rsidRPr="00684FE6">
        <w:rPr>
          <w:color w:val="000000"/>
          <w:sz w:val="20"/>
          <w:szCs w:val="20"/>
          <w:highlight w:val="yellow"/>
        </w:rPr>
        <w:t>how an</w:t>
      </w:r>
      <w:r>
        <w:rPr>
          <w:color w:val="000000"/>
          <w:sz w:val="20"/>
          <w:szCs w:val="20"/>
        </w:rPr>
        <w:t>abolic responses with ag</w:t>
      </w:r>
      <w:r w:rsidR="00E7330B">
        <w:rPr>
          <w:color w:val="000000"/>
          <w:sz w:val="20"/>
          <w:szCs w:val="20"/>
        </w:rPr>
        <w:t>e</w:t>
      </w:r>
      <w:r>
        <w:rPr>
          <w:color w:val="000000"/>
          <w:sz w:val="20"/>
          <w:szCs w:val="20"/>
        </w:rPr>
        <w:t>ing vary by sex. In general, it highlights that maintaining muscle's anabolic ability and preventing sarcopenia require frequent exercise and a sufficient protein intake (</w:t>
      </w:r>
      <w:r w:rsidRPr="00684FE6">
        <w:rPr>
          <w:color w:val="000000"/>
          <w:sz w:val="20"/>
          <w:szCs w:val="20"/>
          <w:highlight w:val="yellow"/>
        </w:rPr>
        <w:t>Churchward-</w:t>
      </w:r>
      <w:proofErr w:type="spellStart"/>
      <w:r w:rsidRPr="00684FE6">
        <w:rPr>
          <w:color w:val="000000"/>
          <w:sz w:val="20"/>
          <w:szCs w:val="20"/>
          <w:highlight w:val="yellow"/>
        </w:rPr>
        <w:t>Venne</w:t>
      </w:r>
      <w:proofErr w:type="spellEnd"/>
      <w:r w:rsidRPr="00684FE6">
        <w:rPr>
          <w:color w:val="000000"/>
          <w:sz w:val="20"/>
          <w:szCs w:val="20"/>
          <w:highlight w:val="yellow"/>
        </w:rPr>
        <w:t>, Breen,</w:t>
      </w:r>
      <w:r>
        <w:rPr>
          <w:color w:val="000000"/>
          <w:sz w:val="20"/>
          <w:szCs w:val="20"/>
        </w:rPr>
        <w:t xml:space="preserve"> &amp; Phillips, 2014) [3</w:t>
      </w:r>
      <w:r>
        <w:rPr>
          <w:sz w:val="20"/>
          <w:szCs w:val="20"/>
        </w:rPr>
        <w:t>1</w:t>
      </w:r>
      <w:r>
        <w:rPr>
          <w:color w:val="000000"/>
          <w:sz w:val="20"/>
          <w:szCs w:val="20"/>
        </w:rPr>
        <w:t>]. Lower-extremity lean mass increased more quickly and significantly in older persons with sarcopenia who began supervised resistance training with nutritional supplements early. These effects persisted during subsequent at-home exercise. Longer programs may be required to increase overall physical performance, though, as functional measurements like grip strength and gait speed improved similarly regardless of when training started (Chang et al., 2021) [3</w:t>
      </w:r>
      <w:r>
        <w:rPr>
          <w:sz w:val="20"/>
          <w:szCs w:val="20"/>
        </w:rPr>
        <w:t>2</w:t>
      </w:r>
      <w:r>
        <w:rPr>
          <w:color w:val="000000"/>
          <w:sz w:val="20"/>
          <w:szCs w:val="20"/>
        </w:rPr>
        <w:t>].</w:t>
      </w:r>
    </w:p>
    <w:p w14:paraId="00000030" w14:textId="77777777" w:rsidR="002D2CBF" w:rsidRDefault="002D2CBF">
      <w:pPr>
        <w:widowControl w:val="0"/>
        <w:pBdr>
          <w:top w:val="nil"/>
          <w:left w:val="nil"/>
          <w:bottom w:val="nil"/>
          <w:right w:val="nil"/>
          <w:between w:val="nil"/>
        </w:pBdr>
        <w:spacing w:line="240" w:lineRule="auto"/>
        <w:jc w:val="both"/>
        <w:rPr>
          <w:color w:val="000000"/>
          <w:sz w:val="24"/>
          <w:szCs w:val="24"/>
        </w:rPr>
      </w:pPr>
    </w:p>
    <w:p w14:paraId="00000031" w14:textId="77777777" w:rsidR="002D2CBF" w:rsidRDefault="00125BFF">
      <w:pPr>
        <w:widowControl w:val="0"/>
        <w:numPr>
          <w:ilvl w:val="0"/>
          <w:numId w:val="3"/>
        </w:numPr>
        <w:pBdr>
          <w:top w:val="nil"/>
          <w:left w:val="nil"/>
          <w:bottom w:val="nil"/>
          <w:right w:val="nil"/>
          <w:between w:val="nil"/>
        </w:pBdr>
        <w:spacing w:line="360" w:lineRule="auto"/>
        <w:jc w:val="both"/>
        <w:rPr>
          <w:b/>
          <w:bCs/>
          <w:color w:val="000000"/>
        </w:rPr>
      </w:pPr>
      <w:r>
        <w:rPr>
          <w:b/>
          <w:bCs/>
          <w:color w:val="000000"/>
        </w:rPr>
        <w:t>CONCLUSION:</w:t>
      </w:r>
    </w:p>
    <w:p w14:paraId="00000032" w14:textId="10249441" w:rsidR="002D2CBF" w:rsidRDefault="00125BFF">
      <w:pPr>
        <w:widowControl w:val="0"/>
        <w:pBdr>
          <w:top w:val="nil"/>
          <w:left w:val="nil"/>
          <w:bottom w:val="nil"/>
          <w:right w:val="nil"/>
          <w:between w:val="nil"/>
        </w:pBdr>
        <w:spacing w:line="240" w:lineRule="auto"/>
        <w:jc w:val="both"/>
        <w:rPr>
          <w:color w:val="000000"/>
        </w:rPr>
      </w:pPr>
      <w:r>
        <w:rPr>
          <w:color w:val="000000"/>
        </w:rPr>
        <w:t>The examined data unequivocally show that exercise and nutrition alone are insufficient to prevent or reverse sarcopenia; rather, their combined use results in the strongest gains in muscle mass, strength, and functional performance in older adults. Age-related anabolic resistance can be overcome with an adequate daily protein intake, ideally 1.0–1.5 g/kg/day of high-quality, leucine-rich sources, especially when spread equally between meals. However, strength training continues to be the primary force behind muscle adaptation, with aerobic and balancing workouts offering supplementary advantages for mobility and metabolic health. Whole-food protein sources provide additional nutritional benefits, but protein supplements might be helpful for people who are having trouble meeting their dietary goals, particularly when combined with regular exercise. The multifactorial aspect of muscle ag</w:t>
      </w:r>
      <w:r w:rsidR="00E7330B">
        <w:rPr>
          <w:color w:val="000000"/>
        </w:rPr>
        <w:t>e</w:t>
      </w:r>
      <w:r>
        <w:rPr>
          <w:color w:val="000000"/>
        </w:rPr>
        <w:t xml:space="preserve">ing is further highlighted by emerging fields </w:t>
      </w:r>
      <w:r w:rsidRPr="00684FE6">
        <w:rPr>
          <w:color w:val="000000"/>
          <w:highlight w:val="yellow"/>
        </w:rPr>
        <w:t xml:space="preserve">such </w:t>
      </w:r>
      <w:r w:rsidR="00E7330B" w:rsidRPr="00684FE6">
        <w:rPr>
          <w:color w:val="000000"/>
          <w:highlight w:val="yellow"/>
        </w:rPr>
        <w:t>as</w:t>
      </w:r>
      <w:r w:rsidR="00E7330B">
        <w:rPr>
          <w:color w:val="000000"/>
        </w:rPr>
        <w:t xml:space="preserve"> </w:t>
      </w:r>
      <w:r>
        <w:rPr>
          <w:color w:val="000000"/>
        </w:rPr>
        <w:t xml:space="preserve">targeted nutrition supplementation, mitochondrial support, and gut microbiota manipulation. In the end, </w:t>
      </w:r>
      <w:r w:rsidRPr="00684FE6">
        <w:rPr>
          <w:color w:val="000000"/>
          <w:highlight w:val="yellow"/>
        </w:rPr>
        <w:t xml:space="preserve">long-term, lifestyle-based therapies focused on regular physical activity and optimal protein </w:t>
      </w:r>
      <w:r w:rsidRPr="00684FE6">
        <w:rPr>
          <w:color w:val="000000"/>
          <w:highlight w:val="yellow"/>
        </w:rPr>
        <w:lastRenderedPageBreak/>
        <w:t xml:space="preserve">consumption are necessary to delay or mitigate sarcopenia. To improve </w:t>
      </w:r>
      <w:proofErr w:type="spellStart"/>
      <w:r w:rsidR="00E7330B" w:rsidRPr="00684FE6">
        <w:rPr>
          <w:color w:val="000000"/>
          <w:highlight w:val="yellow"/>
        </w:rPr>
        <w:t>individuali</w:t>
      </w:r>
      <w:r w:rsidR="00E7330B" w:rsidRPr="00684FE6">
        <w:rPr>
          <w:color w:val="000000"/>
          <w:highlight w:val="yellow"/>
        </w:rPr>
        <w:t>s</w:t>
      </w:r>
      <w:r w:rsidR="00E7330B" w:rsidRPr="00684FE6">
        <w:rPr>
          <w:color w:val="000000"/>
          <w:highlight w:val="yellow"/>
        </w:rPr>
        <w:t>ed</w:t>
      </w:r>
      <w:proofErr w:type="spellEnd"/>
      <w:r w:rsidR="00E7330B" w:rsidRPr="00684FE6">
        <w:rPr>
          <w:color w:val="000000"/>
          <w:highlight w:val="yellow"/>
        </w:rPr>
        <w:t xml:space="preserve"> </w:t>
      </w:r>
      <w:r w:rsidRPr="00684FE6">
        <w:rPr>
          <w:color w:val="000000"/>
          <w:highlight w:val="yellow"/>
        </w:rPr>
        <w:t xml:space="preserve">prevention and treatment plans in clinical practice, more consistent, large-scale trials and the establishment of </w:t>
      </w:r>
      <w:proofErr w:type="spellStart"/>
      <w:r w:rsidR="00E7330B" w:rsidRPr="00684FE6">
        <w:rPr>
          <w:color w:val="000000"/>
          <w:highlight w:val="yellow"/>
        </w:rPr>
        <w:t>standardi</w:t>
      </w:r>
      <w:r w:rsidR="00E7330B" w:rsidRPr="00684FE6">
        <w:rPr>
          <w:color w:val="000000"/>
          <w:highlight w:val="yellow"/>
        </w:rPr>
        <w:t>s</w:t>
      </w:r>
      <w:r w:rsidR="00E7330B" w:rsidRPr="00684FE6">
        <w:rPr>
          <w:color w:val="000000"/>
          <w:highlight w:val="yellow"/>
        </w:rPr>
        <w:t>ed</w:t>
      </w:r>
      <w:proofErr w:type="spellEnd"/>
      <w:r w:rsidR="00E7330B" w:rsidRPr="00684FE6">
        <w:rPr>
          <w:color w:val="000000"/>
          <w:highlight w:val="yellow"/>
        </w:rPr>
        <w:t xml:space="preserve"> </w:t>
      </w:r>
      <w:r w:rsidRPr="00684FE6">
        <w:rPr>
          <w:color w:val="000000"/>
          <w:highlight w:val="yellow"/>
        </w:rPr>
        <w:t>diagnostic criteria will be crucial.</w:t>
      </w:r>
    </w:p>
    <w:p w14:paraId="00000033" w14:textId="77777777" w:rsidR="002D2CBF" w:rsidRDefault="002D2CBF">
      <w:pPr>
        <w:widowControl w:val="0"/>
        <w:pBdr>
          <w:top w:val="nil"/>
          <w:left w:val="nil"/>
          <w:bottom w:val="nil"/>
          <w:right w:val="nil"/>
          <w:between w:val="nil"/>
        </w:pBdr>
        <w:spacing w:line="240" w:lineRule="auto"/>
        <w:jc w:val="both"/>
        <w:rPr>
          <w:color w:val="000000"/>
          <w:sz w:val="24"/>
          <w:szCs w:val="24"/>
        </w:rPr>
      </w:pPr>
    </w:p>
    <w:p w14:paraId="73E2C844" w14:textId="77777777" w:rsidR="00F84701" w:rsidRDefault="00F84701">
      <w:pPr>
        <w:widowControl w:val="0"/>
        <w:pBdr>
          <w:top w:val="nil"/>
          <w:left w:val="nil"/>
          <w:bottom w:val="nil"/>
          <w:right w:val="nil"/>
          <w:between w:val="nil"/>
        </w:pBdr>
        <w:spacing w:line="240" w:lineRule="auto"/>
        <w:jc w:val="both"/>
        <w:rPr>
          <w:color w:val="000000"/>
          <w:sz w:val="24"/>
          <w:szCs w:val="24"/>
        </w:rPr>
      </w:pPr>
    </w:p>
    <w:p w14:paraId="27E8CAC2" w14:textId="77777777" w:rsidR="00F84701" w:rsidRDefault="00F84701" w:rsidP="00F84701">
      <w:pPr>
        <w:pBdr>
          <w:top w:val="nil"/>
          <w:left w:val="nil"/>
          <w:bottom w:val="nil"/>
          <w:right w:val="nil"/>
          <w:between w:val="nil"/>
        </w:pBdr>
        <w:jc w:val="both"/>
        <w:rPr>
          <w:sz w:val="20"/>
          <w:szCs w:val="20"/>
          <w:highlight w:val="white"/>
          <w:u w:val="single"/>
        </w:rPr>
      </w:pPr>
      <w:r>
        <w:rPr>
          <w:b/>
          <w:bCs/>
          <w:sz w:val="20"/>
          <w:szCs w:val="20"/>
          <w:highlight w:val="white"/>
        </w:rPr>
        <w:t>ABBREVIATIONS</w:t>
      </w:r>
      <w:r>
        <w:rPr>
          <w:sz w:val="20"/>
          <w:szCs w:val="20"/>
          <w:highlight w:val="white"/>
          <w:u w:val="single"/>
        </w:rPr>
        <w:t xml:space="preserve"> </w:t>
      </w:r>
    </w:p>
    <w:p w14:paraId="28B74DF1" w14:textId="77777777" w:rsidR="00F84701" w:rsidRDefault="00F84701" w:rsidP="00F84701">
      <w:pPr>
        <w:numPr>
          <w:ilvl w:val="0"/>
          <w:numId w:val="1"/>
        </w:numPr>
        <w:pBdr>
          <w:top w:val="nil"/>
          <w:left w:val="nil"/>
          <w:bottom w:val="nil"/>
          <w:right w:val="nil"/>
          <w:between w:val="nil"/>
        </w:pBdr>
        <w:jc w:val="both"/>
        <w:rPr>
          <w:sz w:val="20"/>
          <w:szCs w:val="20"/>
          <w:highlight w:val="white"/>
        </w:rPr>
      </w:pPr>
      <w:r>
        <w:rPr>
          <w:sz w:val="20"/>
          <w:szCs w:val="20"/>
          <w:highlight w:val="white"/>
        </w:rPr>
        <w:t xml:space="preserve">DXA - Dual Energy X-Ray Absorptiometry </w:t>
      </w:r>
    </w:p>
    <w:p w14:paraId="1B35EBBF" w14:textId="77777777" w:rsidR="00F84701" w:rsidRDefault="00F84701" w:rsidP="00F84701">
      <w:pPr>
        <w:numPr>
          <w:ilvl w:val="0"/>
          <w:numId w:val="1"/>
        </w:numPr>
        <w:pBdr>
          <w:top w:val="nil"/>
          <w:left w:val="nil"/>
          <w:bottom w:val="nil"/>
          <w:right w:val="nil"/>
          <w:between w:val="nil"/>
        </w:pBdr>
        <w:jc w:val="both"/>
        <w:rPr>
          <w:sz w:val="20"/>
          <w:szCs w:val="20"/>
          <w:highlight w:val="white"/>
        </w:rPr>
      </w:pPr>
      <w:r>
        <w:rPr>
          <w:sz w:val="20"/>
          <w:szCs w:val="20"/>
          <w:highlight w:val="white"/>
        </w:rPr>
        <w:t>CT - Computed Tomography</w:t>
      </w:r>
    </w:p>
    <w:p w14:paraId="7EA1C604" w14:textId="77777777" w:rsidR="00F84701" w:rsidRDefault="00F84701" w:rsidP="00F84701">
      <w:pPr>
        <w:numPr>
          <w:ilvl w:val="0"/>
          <w:numId w:val="1"/>
        </w:numPr>
        <w:pBdr>
          <w:top w:val="nil"/>
          <w:left w:val="nil"/>
          <w:bottom w:val="nil"/>
          <w:right w:val="nil"/>
          <w:between w:val="nil"/>
        </w:pBdr>
        <w:jc w:val="both"/>
        <w:rPr>
          <w:sz w:val="20"/>
          <w:szCs w:val="20"/>
          <w:highlight w:val="white"/>
        </w:rPr>
      </w:pPr>
      <w:r>
        <w:rPr>
          <w:sz w:val="20"/>
          <w:szCs w:val="20"/>
          <w:highlight w:val="white"/>
        </w:rPr>
        <w:t>ISSN - International Society of Sports Nutrition</w:t>
      </w:r>
    </w:p>
    <w:p w14:paraId="1F367A2C" w14:textId="7143EF80" w:rsidR="00F84701" w:rsidRPr="009A3DB2" w:rsidRDefault="00F84701" w:rsidP="00F84701">
      <w:pPr>
        <w:numPr>
          <w:ilvl w:val="0"/>
          <w:numId w:val="1"/>
        </w:numPr>
        <w:pBdr>
          <w:top w:val="nil"/>
          <w:left w:val="nil"/>
          <w:bottom w:val="nil"/>
          <w:right w:val="nil"/>
          <w:between w:val="nil"/>
        </w:pBdr>
        <w:jc w:val="both"/>
        <w:rPr>
          <w:sz w:val="20"/>
          <w:szCs w:val="20"/>
          <w:highlight w:val="yellow"/>
        </w:rPr>
      </w:pPr>
      <w:r w:rsidRPr="009A3DB2">
        <w:rPr>
          <w:sz w:val="20"/>
          <w:szCs w:val="20"/>
          <w:highlight w:val="yellow"/>
        </w:rPr>
        <w:t xml:space="preserve">MPS - </w:t>
      </w:r>
      <w:r w:rsidR="00305356" w:rsidRPr="009A3DB2">
        <w:rPr>
          <w:sz w:val="20"/>
          <w:szCs w:val="20"/>
          <w:highlight w:val="yellow"/>
        </w:rPr>
        <w:t>Muscle Protein Synthesis</w:t>
      </w:r>
    </w:p>
    <w:p w14:paraId="07F9A10F" w14:textId="77777777" w:rsidR="00F84701" w:rsidRDefault="00F84701" w:rsidP="00F84701">
      <w:pPr>
        <w:numPr>
          <w:ilvl w:val="0"/>
          <w:numId w:val="1"/>
        </w:numPr>
        <w:pBdr>
          <w:top w:val="nil"/>
          <w:left w:val="nil"/>
          <w:bottom w:val="nil"/>
          <w:right w:val="nil"/>
          <w:between w:val="nil"/>
        </w:pBdr>
        <w:jc w:val="both"/>
        <w:rPr>
          <w:sz w:val="20"/>
          <w:szCs w:val="20"/>
          <w:highlight w:val="white"/>
        </w:rPr>
      </w:pPr>
      <w:r>
        <w:rPr>
          <w:sz w:val="20"/>
          <w:szCs w:val="20"/>
          <w:highlight w:val="white"/>
        </w:rPr>
        <w:t>mTORC1 - Mechanistic Target of Rapamycin Complex 1</w:t>
      </w:r>
    </w:p>
    <w:p w14:paraId="0EA48356" w14:textId="77777777" w:rsidR="00F84701" w:rsidRDefault="00F84701" w:rsidP="00F84701">
      <w:pPr>
        <w:numPr>
          <w:ilvl w:val="0"/>
          <w:numId w:val="1"/>
        </w:numPr>
        <w:pBdr>
          <w:top w:val="nil"/>
          <w:left w:val="nil"/>
          <w:bottom w:val="nil"/>
          <w:right w:val="nil"/>
          <w:between w:val="nil"/>
        </w:pBdr>
        <w:jc w:val="both"/>
        <w:rPr>
          <w:sz w:val="20"/>
          <w:szCs w:val="20"/>
          <w:highlight w:val="white"/>
        </w:rPr>
      </w:pPr>
      <w:r>
        <w:rPr>
          <w:sz w:val="20"/>
          <w:szCs w:val="20"/>
          <w:highlight w:val="white"/>
        </w:rPr>
        <w:t xml:space="preserve">DASH - Dietary Approach to Stop Hypertension </w:t>
      </w:r>
    </w:p>
    <w:p w14:paraId="584F2746" w14:textId="77777777" w:rsidR="00F84701" w:rsidRDefault="00F84701" w:rsidP="00F84701">
      <w:pPr>
        <w:numPr>
          <w:ilvl w:val="0"/>
          <w:numId w:val="1"/>
        </w:numPr>
        <w:pBdr>
          <w:top w:val="nil"/>
          <w:left w:val="nil"/>
          <w:bottom w:val="nil"/>
          <w:right w:val="nil"/>
          <w:between w:val="nil"/>
        </w:pBdr>
        <w:jc w:val="both"/>
        <w:rPr>
          <w:sz w:val="20"/>
          <w:szCs w:val="20"/>
          <w:highlight w:val="white"/>
        </w:rPr>
      </w:pPr>
      <w:r>
        <w:rPr>
          <w:sz w:val="20"/>
          <w:szCs w:val="20"/>
          <w:highlight w:val="white"/>
        </w:rPr>
        <w:t>NAD+ - Nicotinamide Adenine Dinucleotide</w:t>
      </w:r>
    </w:p>
    <w:p w14:paraId="6FA288A3" w14:textId="77777777" w:rsidR="00F84701" w:rsidRDefault="00F84701" w:rsidP="00F84701">
      <w:pPr>
        <w:numPr>
          <w:ilvl w:val="0"/>
          <w:numId w:val="1"/>
        </w:numPr>
        <w:pBdr>
          <w:top w:val="nil"/>
          <w:left w:val="nil"/>
          <w:bottom w:val="nil"/>
          <w:right w:val="nil"/>
          <w:between w:val="nil"/>
        </w:pBdr>
        <w:jc w:val="both"/>
        <w:rPr>
          <w:sz w:val="20"/>
          <w:szCs w:val="20"/>
          <w:highlight w:val="white"/>
        </w:rPr>
      </w:pPr>
      <w:r>
        <w:rPr>
          <w:sz w:val="20"/>
          <w:szCs w:val="20"/>
          <w:highlight w:val="white"/>
        </w:rPr>
        <w:t>NMN - Nicotinamide Mononucleotide</w:t>
      </w:r>
    </w:p>
    <w:p w14:paraId="4960B7BF" w14:textId="77777777" w:rsidR="00F84701" w:rsidRDefault="00F84701" w:rsidP="00F84701">
      <w:pPr>
        <w:numPr>
          <w:ilvl w:val="0"/>
          <w:numId w:val="1"/>
        </w:numPr>
        <w:pBdr>
          <w:top w:val="nil"/>
          <w:left w:val="nil"/>
          <w:bottom w:val="nil"/>
          <w:right w:val="nil"/>
          <w:between w:val="nil"/>
        </w:pBdr>
        <w:jc w:val="both"/>
        <w:rPr>
          <w:sz w:val="20"/>
          <w:szCs w:val="20"/>
          <w:highlight w:val="white"/>
        </w:rPr>
      </w:pPr>
      <w:r>
        <w:rPr>
          <w:sz w:val="20"/>
          <w:szCs w:val="20"/>
          <w:highlight w:val="white"/>
        </w:rPr>
        <w:t>EWGSOP - European Working Group on Sarcopenia in Older People</w:t>
      </w:r>
    </w:p>
    <w:p w14:paraId="1E75EED5" w14:textId="77777777" w:rsidR="00F84701" w:rsidRDefault="00F84701" w:rsidP="00F84701">
      <w:pPr>
        <w:numPr>
          <w:ilvl w:val="0"/>
          <w:numId w:val="1"/>
        </w:numPr>
        <w:pBdr>
          <w:top w:val="nil"/>
          <w:left w:val="nil"/>
          <w:bottom w:val="nil"/>
          <w:right w:val="nil"/>
          <w:between w:val="nil"/>
        </w:pBdr>
        <w:jc w:val="both"/>
        <w:rPr>
          <w:sz w:val="20"/>
          <w:szCs w:val="20"/>
          <w:highlight w:val="white"/>
        </w:rPr>
      </w:pPr>
      <w:r>
        <w:rPr>
          <w:sz w:val="20"/>
          <w:szCs w:val="20"/>
          <w:highlight w:val="white"/>
        </w:rPr>
        <w:t>FNIH - Foundation for the National Institutes of Health</w:t>
      </w:r>
    </w:p>
    <w:p w14:paraId="2D58300E" w14:textId="66584845" w:rsidR="00F84701" w:rsidRPr="00684FE6" w:rsidRDefault="00F84701" w:rsidP="00F84701">
      <w:pPr>
        <w:numPr>
          <w:ilvl w:val="0"/>
          <w:numId w:val="1"/>
        </w:numPr>
        <w:pBdr>
          <w:top w:val="nil"/>
          <w:left w:val="nil"/>
          <w:bottom w:val="nil"/>
          <w:right w:val="nil"/>
          <w:between w:val="nil"/>
        </w:pBdr>
        <w:jc w:val="both"/>
        <w:rPr>
          <w:sz w:val="20"/>
          <w:szCs w:val="20"/>
          <w:highlight w:val="yellow"/>
        </w:rPr>
      </w:pPr>
      <w:r>
        <w:rPr>
          <w:sz w:val="20"/>
          <w:szCs w:val="20"/>
          <w:highlight w:val="white"/>
        </w:rPr>
        <w:t xml:space="preserve">RCT - </w:t>
      </w:r>
      <w:proofErr w:type="spellStart"/>
      <w:r w:rsidR="00E100A4" w:rsidRPr="00684FE6">
        <w:rPr>
          <w:sz w:val="20"/>
          <w:szCs w:val="20"/>
          <w:highlight w:val="yellow"/>
        </w:rPr>
        <w:t>Randomi</w:t>
      </w:r>
      <w:r w:rsidR="00E100A4" w:rsidRPr="00684FE6">
        <w:rPr>
          <w:sz w:val="20"/>
          <w:szCs w:val="20"/>
          <w:highlight w:val="yellow"/>
        </w:rPr>
        <w:t>s</w:t>
      </w:r>
      <w:r w:rsidR="00E100A4" w:rsidRPr="00684FE6">
        <w:rPr>
          <w:sz w:val="20"/>
          <w:szCs w:val="20"/>
          <w:highlight w:val="yellow"/>
        </w:rPr>
        <w:t>ed</w:t>
      </w:r>
      <w:proofErr w:type="spellEnd"/>
      <w:r w:rsidR="00E100A4" w:rsidRPr="00684FE6">
        <w:rPr>
          <w:sz w:val="20"/>
          <w:szCs w:val="20"/>
          <w:highlight w:val="yellow"/>
        </w:rPr>
        <w:t xml:space="preserve"> </w:t>
      </w:r>
      <w:r w:rsidRPr="00684FE6">
        <w:rPr>
          <w:sz w:val="20"/>
          <w:szCs w:val="20"/>
          <w:highlight w:val="yellow"/>
        </w:rPr>
        <w:t>Controlled Trial</w:t>
      </w:r>
    </w:p>
    <w:p w14:paraId="2B385849" w14:textId="77777777" w:rsidR="00F84701" w:rsidRPr="00684FE6" w:rsidRDefault="00F84701" w:rsidP="00F84701">
      <w:pPr>
        <w:numPr>
          <w:ilvl w:val="0"/>
          <w:numId w:val="1"/>
        </w:numPr>
        <w:pBdr>
          <w:top w:val="nil"/>
          <w:left w:val="nil"/>
          <w:bottom w:val="nil"/>
          <w:right w:val="nil"/>
          <w:between w:val="nil"/>
        </w:pBdr>
        <w:jc w:val="both"/>
        <w:rPr>
          <w:sz w:val="20"/>
          <w:szCs w:val="20"/>
          <w:highlight w:val="yellow"/>
        </w:rPr>
      </w:pPr>
      <w:r w:rsidRPr="00684FE6">
        <w:rPr>
          <w:sz w:val="20"/>
          <w:szCs w:val="20"/>
          <w:highlight w:val="yellow"/>
        </w:rPr>
        <w:t xml:space="preserve">HUR - Helsinki University Research </w:t>
      </w:r>
    </w:p>
    <w:p w14:paraId="2B9FC223" w14:textId="63D963EB" w:rsidR="00F84701" w:rsidRPr="00684FE6" w:rsidRDefault="00F84701" w:rsidP="00F84701">
      <w:pPr>
        <w:numPr>
          <w:ilvl w:val="0"/>
          <w:numId w:val="1"/>
        </w:numPr>
        <w:pBdr>
          <w:top w:val="nil"/>
          <w:left w:val="nil"/>
          <w:bottom w:val="nil"/>
          <w:right w:val="nil"/>
          <w:between w:val="nil"/>
        </w:pBdr>
        <w:jc w:val="both"/>
        <w:rPr>
          <w:sz w:val="20"/>
          <w:szCs w:val="20"/>
          <w:highlight w:val="yellow"/>
        </w:rPr>
      </w:pPr>
      <w:r w:rsidRPr="00684FE6">
        <w:rPr>
          <w:sz w:val="20"/>
          <w:szCs w:val="20"/>
          <w:highlight w:val="yellow"/>
        </w:rPr>
        <w:t xml:space="preserve">PRISMA - Preferred Reporting Items for Systematic Review and </w:t>
      </w:r>
      <w:r w:rsidR="00B23914" w:rsidRPr="00684FE6">
        <w:rPr>
          <w:sz w:val="20"/>
          <w:szCs w:val="20"/>
          <w:highlight w:val="yellow"/>
        </w:rPr>
        <w:t>Meta</w:t>
      </w:r>
      <w:r w:rsidR="00B23914" w:rsidRPr="00684FE6">
        <w:rPr>
          <w:sz w:val="20"/>
          <w:szCs w:val="20"/>
          <w:highlight w:val="yellow"/>
        </w:rPr>
        <w:t>-</w:t>
      </w:r>
      <w:r w:rsidRPr="00684FE6">
        <w:rPr>
          <w:sz w:val="20"/>
          <w:szCs w:val="20"/>
          <w:highlight w:val="yellow"/>
        </w:rPr>
        <w:t>Analysis</w:t>
      </w:r>
    </w:p>
    <w:p w14:paraId="2AE7757C" w14:textId="77777777" w:rsidR="00F84701" w:rsidRDefault="00F84701" w:rsidP="00F84701">
      <w:pPr>
        <w:numPr>
          <w:ilvl w:val="0"/>
          <w:numId w:val="1"/>
        </w:numPr>
        <w:pBdr>
          <w:top w:val="nil"/>
          <w:left w:val="nil"/>
          <w:bottom w:val="nil"/>
          <w:right w:val="nil"/>
          <w:between w:val="nil"/>
        </w:pBdr>
        <w:jc w:val="both"/>
        <w:rPr>
          <w:sz w:val="20"/>
          <w:szCs w:val="20"/>
          <w:highlight w:val="white"/>
        </w:rPr>
      </w:pPr>
      <w:bookmarkStart w:id="0" w:name="_GoBack"/>
      <w:bookmarkEnd w:id="0"/>
      <w:r>
        <w:rPr>
          <w:sz w:val="20"/>
          <w:szCs w:val="20"/>
          <w:highlight w:val="white"/>
        </w:rPr>
        <w:t>GRADE - Grading of Recommendations, Assessment, Development and Evaluation System</w:t>
      </w:r>
    </w:p>
    <w:p w14:paraId="0C92D571" w14:textId="77777777" w:rsidR="00F84701" w:rsidRDefault="00F84701" w:rsidP="00F84701">
      <w:pPr>
        <w:numPr>
          <w:ilvl w:val="0"/>
          <w:numId w:val="1"/>
        </w:numPr>
        <w:pBdr>
          <w:top w:val="nil"/>
          <w:left w:val="nil"/>
          <w:bottom w:val="nil"/>
          <w:right w:val="nil"/>
          <w:between w:val="nil"/>
        </w:pBdr>
        <w:jc w:val="both"/>
        <w:rPr>
          <w:sz w:val="20"/>
          <w:szCs w:val="20"/>
          <w:highlight w:val="white"/>
        </w:rPr>
      </w:pPr>
      <w:r>
        <w:rPr>
          <w:sz w:val="20"/>
          <w:szCs w:val="20"/>
          <w:highlight w:val="white"/>
        </w:rPr>
        <w:t xml:space="preserve">TUG - Timed Get Up and Go </w:t>
      </w:r>
    </w:p>
    <w:p w14:paraId="7812F6C9" w14:textId="7050B78B" w:rsidR="00F84701" w:rsidRDefault="00F84701" w:rsidP="00F84701">
      <w:pPr>
        <w:numPr>
          <w:ilvl w:val="0"/>
          <w:numId w:val="1"/>
        </w:numPr>
        <w:pBdr>
          <w:top w:val="nil"/>
          <w:left w:val="nil"/>
          <w:bottom w:val="nil"/>
          <w:right w:val="nil"/>
          <w:between w:val="nil"/>
        </w:pBdr>
        <w:jc w:val="both"/>
        <w:rPr>
          <w:sz w:val="20"/>
          <w:szCs w:val="20"/>
          <w:highlight w:val="white"/>
        </w:rPr>
      </w:pPr>
      <w:r>
        <w:rPr>
          <w:sz w:val="20"/>
          <w:szCs w:val="20"/>
          <w:highlight w:val="white"/>
        </w:rPr>
        <w:t>SCFA - Short Chain Fatty Acid</w:t>
      </w:r>
    </w:p>
    <w:p w14:paraId="639E328D" w14:textId="47062A28" w:rsidR="00B662A4" w:rsidRDefault="00B662A4" w:rsidP="00B662A4">
      <w:pPr>
        <w:pBdr>
          <w:top w:val="nil"/>
          <w:left w:val="nil"/>
          <w:bottom w:val="nil"/>
          <w:right w:val="nil"/>
          <w:between w:val="nil"/>
        </w:pBdr>
        <w:jc w:val="both"/>
        <w:rPr>
          <w:sz w:val="20"/>
          <w:szCs w:val="20"/>
          <w:highlight w:val="white"/>
        </w:rPr>
      </w:pPr>
    </w:p>
    <w:p w14:paraId="528C1FB0" w14:textId="77777777" w:rsidR="00B662A4" w:rsidRDefault="00B662A4" w:rsidP="00B662A4">
      <w:pPr>
        <w:pBdr>
          <w:top w:val="nil"/>
          <w:left w:val="nil"/>
          <w:bottom w:val="nil"/>
          <w:right w:val="nil"/>
          <w:between w:val="nil"/>
        </w:pBdr>
        <w:jc w:val="both"/>
        <w:rPr>
          <w:sz w:val="20"/>
          <w:szCs w:val="20"/>
          <w:highlight w:val="white"/>
        </w:rPr>
      </w:pPr>
    </w:p>
    <w:p w14:paraId="3029CB0D" w14:textId="77777777" w:rsidR="006B7DD8" w:rsidRPr="006B7DD8" w:rsidRDefault="006B7DD8" w:rsidP="00B662A4">
      <w:pPr>
        <w:pStyle w:val="ListParagraph"/>
        <w:rPr>
          <w:highlight w:val="yellow"/>
        </w:rPr>
      </w:pPr>
      <w:r w:rsidRPr="006B7DD8">
        <w:rPr>
          <w:highlight w:val="yellow"/>
        </w:rPr>
        <w:t>Disclaimer (Artificial intelligence)</w:t>
      </w:r>
    </w:p>
    <w:p w14:paraId="4E5F8378" w14:textId="77777777" w:rsidR="006B7DD8" w:rsidRPr="006B7DD8" w:rsidRDefault="006B7DD8" w:rsidP="00B662A4">
      <w:pPr>
        <w:pStyle w:val="ListParagraph"/>
        <w:rPr>
          <w:highlight w:val="yellow"/>
        </w:rPr>
      </w:pPr>
      <w:r w:rsidRPr="006B7DD8">
        <w:rPr>
          <w:highlight w:val="yellow"/>
        </w:rPr>
        <w:t xml:space="preserve">Option 1: </w:t>
      </w:r>
    </w:p>
    <w:p w14:paraId="414372F4" w14:textId="77777777" w:rsidR="006B7DD8" w:rsidRPr="006B7DD8" w:rsidRDefault="006B7DD8" w:rsidP="00B662A4">
      <w:pPr>
        <w:pStyle w:val="ListParagraph"/>
        <w:rPr>
          <w:highlight w:val="yellow"/>
        </w:rPr>
      </w:pPr>
      <w:r w:rsidRPr="006B7DD8">
        <w:rPr>
          <w:highlight w:val="yellow"/>
        </w:rPr>
        <w:t>Author(s) hereby declare that NO generative AI technologies such as Large Language Models (</w:t>
      </w:r>
      <w:proofErr w:type="spellStart"/>
      <w:r w:rsidRPr="006B7DD8">
        <w:rPr>
          <w:highlight w:val="yellow"/>
        </w:rPr>
        <w:t>ChatGPT</w:t>
      </w:r>
      <w:proofErr w:type="spellEnd"/>
      <w:r w:rsidRPr="006B7DD8">
        <w:rPr>
          <w:highlight w:val="yellow"/>
        </w:rPr>
        <w:t xml:space="preserve">, COPILOT, etc.) and text-to-image generators have been used during the writing or editing of this manuscript. </w:t>
      </w:r>
    </w:p>
    <w:p w14:paraId="539DC4BE" w14:textId="77777777" w:rsidR="006B7DD8" w:rsidRPr="006B7DD8" w:rsidRDefault="006B7DD8" w:rsidP="00B662A4">
      <w:pPr>
        <w:pStyle w:val="ListParagraph"/>
        <w:rPr>
          <w:highlight w:val="yellow"/>
        </w:rPr>
      </w:pPr>
      <w:r w:rsidRPr="006B7DD8">
        <w:rPr>
          <w:highlight w:val="yellow"/>
        </w:rPr>
        <w:t xml:space="preserve">Option 2: </w:t>
      </w:r>
    </w:p>
    <w:p w14:paraId="66919F83" w14:textId="77777777" w:rsidR="006B7DD8" w:rsidRPr="006B7DD8" w:rsidRDefault="006B7DD8" w:rsidP="00B662A4">
      <w:pPr>
        <w:pStyle w:val="ListParagraph"/>
        <w:rPr>
          <w:highlight w:val="yellow"/>
        </w:rPr>
      </w:pPr>
      <w:r w:rsidRPr="006B7DD8">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BA15368" w14:textId="77777777" w:rsidR="006B7DD8" w:rsidRPr="00B662A4" w:rsidRDefault="006B7DD8" w:rsidP="00B662A4">
      <w:pPr>
        <w:ind w:left="360"/>
        <w:rPr>
          <w:highlight w:val="yellow"/>
        </w:rPr>
      </w:pPr>
      <w:r w:rsidRPr="00B662A4">
        <w:rPr>
          <w:highlight w:val="yellow"/>
        </w:rPr>
        <w:t>Details of the AI usage are given below:</w:t>
      </w:r>
    </w:p>
    <w:p w14:paraId="7709AF6B" w14:textId="77777777" w:rsidR="006B7DD8" w:rsidRPr="00B662A4" w:rsidRDefault="006B7DD8" w:rsidP="00B662A4">
      <w:pPr>
        <w:ind w:left="360"/>
        <w:rPr>
          <w:highlight w:val="yellow"/>
        </w:rPr>
      </w:pPr>
      <w:r w:rsidRPr="00B662A4">
        <w:rPr>
          <w:highlight w:val="yellow"/>
        </w:rPr>
        <w:t>1.</w:t>
      </w:r>
    </w:p>
    <w:p w14:paraId="499B98C7" w14:textId="77777777" w:rsidR="006B7DD8" w:rsidRPr="006B7DD8" w:rsidRDefault="006B7DD8" w:rsidP="00B662A4">
      <w:pPr>
        <w:pStyle w:val="ListParagraph"/>
        <w:rPr>
          <w:highlight w:val="yellow"/>
        </w:rPr>
      </w:pPr>
      <w:r w:rsidRPr="006B7DD8">
        <w:rPr>
          <w:highlight w:val="yellow"/>
        </w:rPr>
        <w:t>2.</w:t>
      </w:r>
    </w:p>
    <w:p w14:paraId="7140DC56" w14:textId="77777777" w:rsidR="006B7DD8" w:rsidRPr="00D047BB" w:rsidRDefault="006B7DD8" w:rsidP="00B662A4">
      <w:pPr>
        <w:ind w:left="360"/>
      </w:pPr>
      <w:r w:rsidRPr="00B662A4">
        <w:rPr>
          <w:highlight w:val="yellow"/>
        </w:rPr>
        <w:t>3.</w:t>
      </w:r>
    </w:p>
    <w:p w14:paraId="719D6A81" w14:textId="77777777" w:rsidR="006B7DD8" w:rsidRDefault="006B7DD8" w:rsidP="006B7DD8">
      <w:pPr>
        <w:pBdr>
          <w:top w:val="nil"/>
          <w:left w:val="nil"/>
          <w:bottom w:val="nil"/>
          <w:right w:val="nil"/>
          <w:between w:val="nil"/>
        </w:pBdr>
        <w:jc w:val="both"/>
        <w:rPr>
          <w:sz w:val="20"/>
          <w:szCs w:val="20"/>
          <w:highlight w:val="white"/>
        </w:rPr>
      </w:pPr>
    </w:p>
    <w:p w14:paraId="162C5DB7" w14:textId="77777777" w:rsidR="00F84701" w:rsidRDefault="00F84701">
      <w:pPr>
        <w:widowControl w:val="0"/>
        <w:pBdr>
          <w:top w:val="nil"/>
          <w:left w:val="nil"/>
          <w:bottom w:val="nil"/>
          <w:right w:val="nil"/>
          <w:between w:val="nil"/>
        </w:pBdr>
        <w:spacing w:line="240" w:lineRule="auto"/>
        <w:jc w:val="both"/>
        <w:rPr>
          <w:color w:val="000000"/>
          <w:sz w:val="24"/>
          <w:szCs w:val="24"/>
        </w:rPr>
      </w:pPr>
    </w:p>
    <w:p w14:paraId="00000034" w14:textId="77777777" w:rsidR="002D2CBF" w:rsidRDefault="00125BFF">
      <w:pPr>
        <w:widowControl w:val="0"/>
        <w:pBdr>
          <w:top w:val="nil"/>
          <w:left w:val="nil"/>
          <w:bottom w:val="nil"/>
          <w:right w:val="nil"/>
          <w:between w:val="nil"/>
        </w:pBdr>
        <w:spacing w:line="360" w:lineRule="auto"/>
        <w:jc w:val="both"/>
        <w:rPr>
          <w:color w:val="000000"/>
          <w:sz w:val="24"/>
          <w:szCs w:val="24"/>
        </w:rPr>
      </w:pPr>
      <w:r>
        <w:rPr>
          <w:b/>
          <w:bCs/>
          <w:color w:val="000000"/>
        </w:rPr>
        <w:t>REFERENCES:</w:t>
      </w:r>
    </w:p>
    <w:p w14:paraId="00000035" w14:textId="77777777" w:rsidR="002D2CBF" w:rsidRDefault="00125BFF">
      <w:pPr>
        <w:widowControl w:val="0"/>
        <w:numPr>
          <w:ilvl w:val="0"/>
          <w:numId w:val="2"/>
        </w:numPr>
        <w:pBdr>
          <w:top w:val="nil"/>
          <w:left w:val="nil"/>
          <w:bottom w:val="nil"/>
          <w:right w:val="nil"/>
          <w:between w:val="nil"/>
        </w:pBdr>
        <w:spacing w:line="360" w:lineRule="auto"/>
        <w:jc w:val="both"/>
        <w:rPr>
          <w:sz w:val="20"/>
          <w:szCs w:val="20"/>
        </w:rPr>
      </w:pPr>
      <w:r>
        <w:rPr>
          <w:sz w:val="20"/>
          <w:szCs w:val="20"/>
        </w:rPr>
        <w:t>Cruz-</w:t>
      </w:r>
      <w:proofErr w:type="spellStart"/>
      <w:r>
        <w:rPr>
          <w:sz w:val="20"/>
          <w:szCs w:val="20"/>
        </w:rPr>
        <w:t>Jentoft</w:t>
      </w:r>
      <w:proofErr w:type="spellEnd"/>
      <w:r>
        <w:rPr>
          <w:sz w:val="20"/>
          <w:szCs w:val="20"/>
        </w:rPr>
        <w:t xml:space="preserve">, A. J., &amp; Sayer, A. A. (2019). </w:t>
      </w:r>
      <w:r>
        <w:rPr>
          <w:i/>
          <w:iCs/>
          <w:sz w:val="20"/>
          <w:szCs w:val="20"/>
        </w:rPr>
        <w:t>Sarcopenia.</w:t>
      </w:r>
      <w:r>
        <w:rPr>
          <w:sz w:val="20"/>
          <w:szCs w:val="20"/>
        </w:rPr>
        <w:t xml:space="preserve"> </w:t>
      </w:r>
      <w:r>
        <w:rPr>
          <w:i/>
          <w:iCs/>
          <w:sz w:val="20"/>
          <w:szCs w:val="20"/>
        </w:rPr>
        <w:t>The Lancet, 393</w:t>
      </w:r>
      <w:r>
        <w:rPr>
          <w:sz w:val="20"/>
          <w:szCs w:val="20"/>
        </w:rPr>
        <w:t>(10191), 2636–2646.</w:t>
      </w:r>
      <w:hyperlink r:id="rId9">
        <w:r w:rsidR="002D2CBF">
          <w:rPr>
            <w:sz w:val="20"/>
            <w:szCs w:val="20"/>
          </w:rPr>
          <w:t xml:space="preserve"> </w:t>
        </w:r>
      </w:hyperlink>
      <w:hyperlink r:id="rId10">
        <w:r w:rsidR="002D2CBF">
          <w:rPr>
            <w:color w:val="1155CC"/>
            <w:sz w:val="20"/>
            <w:szCs w:val="20"/>
            <w:u w:val="single"/>
          </w:rPr>
          <w:t>https://doi.org/10.1016/S0140-6736(19)31138-9</w:t>
        </w:r>
      </w:hyperlink>
    </w:p>
    <w:p w14:paraId="00000036" w14:textId="77777777" w:rsidR="002D2CBF" w:rsidRDefault="002D2CBF">
      <w:pPr>
        <w:widowControl w:val="0"/>
        <w:pBdr>
          <w:top w:val="nil"/>
          <w:left w:val="nil"/>
          <w:bottom w:val="nil"/>
          <w:right w:val="nil"/>
          <w:between w:val="nil"/>
        </w:pBdr>
        <w:spacing w:line="240" w:lineRule="auto"/>
        <w:jc w:val="both"/>
        <w:rPr>
          <w:sz w:val="20"/>
          <w:szCs w:val="20"/>
        </w:rPr>
      </w:pPr>
    </w:p>
    <w:p w14:paraId="00000037" w14:textId="77777777" w:rsidR="002D2CBF" w:rsidRDefault="00125BFF">
      <w:pPr>
        <w:widowControl w:val="0"/>
        <w:numPr>
          <w:ilvl w:val="0"/>
          <w:numId w:val="2"/>
        </w:numPr>
        <w:pBdr>
          <w:top w:val="nil"/>
          <w:left w:val="nil"/>
          <w:bottom w:val="nil"/>
          <w:right w:val="nil"/>
          <w:between w:val="nil"/>
        </w:pBdr>
        <w:spacing w:line="360" w:lineRule="auto"/>
        <w:jc w:val="both"/>
        <w:rPr>
          <w:sz w:val="20"/>
          <w:szCs w:val="20"/>
        </w:rPr>
      </w:pPr>
      <w:proofErr w:type="spellStart"/>
      <w:r>
        <w:rPr>
          <w:sz w:val="20"/>
          <w:szCs w:val="20"/>
        </w:rPr>
        <w:t>Tagliafico</w:t>
      </w:r>
      <w:proofErr w:type="spellEnd"/>
      <w:r>
        <w:rPr>
          <w:sz w:val="20"/>
          <w:szCs w:val="20"/>
        </w:rPr>
        <w:t xml:space="preserve">, A. S., </w:t>
      </w:r>
      <w:proofErr w:type="spellStart"/>
      <w:r>
        <w:rPr>
          <w:sz w:val="20"/>
          <w:szCs w:val="20"/>
        </w:rPr>
        <w:t>Bignotti</w:t>
      </w:r>
      <w:proofErr w:type="spellEnd"/>
      <w:r>
        <w:rPr>
          <w:sz w:val="20"/>
          <w:szCs w:val="20"/>
        </w:rPr>
        <w:t xml:space="preserve">, B., Torri, L., &amp; Rossi, F. (2022). </w:t>
      </w:r>
      <w:r>
        <w:rPr>
          <w:i/>
          <w:iCs/>
          <w:sz w:val="20"/>
          <w:szCs w:val="20"/>
        </w:rPr>
        <w:t>Sarcopenia: How to measure, when and why.</w:t>
      </w:r>
      <w:r>
        <w:rPr>
          <w:sz w:val="20"/>
          <w:szCs w:val="20"/>
        </w:rPr>
        <w:t xml:space="preserve"> </w:t>
      </w:r>
      <w:r>
        <w:rPr>
          <w:i/>
          <w:iCs/>
          <w:sz w:val="20"/>
          <w:szCs w:val="20"/>
        </w:rPr>
        <w:t xml:space="preserve">La </w:t>
      </w:r>
      <w:proofErr w:type="spellStart"/>
      <w:r>
        <w:rPr>
          <w:i/>
          <w:iCs/>
          <w:sz w:val="20"/>
          <w:szCs w:val="20"/>
        </w:rPr>
        <w:t>Radiologia</w:t>
      </w:r>
      <w:proofErr w:type="spellEnd"/>
      <w:r>
        <w:rPr>
          <w:i/>
          <w:iCs/>
          <w:sz w:val="20"/>
          <w:szCs w:val="20"/>
        </w:rPr>
        <w:t xml:space="preserve"> </w:t>
      </w:r>
      <w:proofErr w:type="spellStart"/>
      <w:r>
        <w:rPr>
          <w:i/>
          <w:iCs/>
          <w:sz w:val="20"/>
          <w:szCs w:val="20"/>
        </w:rPr>
        <w:t>Medica</w:t>
      </w:r>
      <w:proofErr w:type="spellEnd"/>
      <w:r>
        <w:rPr>
          <w:i/>
          <w:iCs/>
          <w:sz w:val="20"/>
          <w:szCs w:val="20"/>
        </w:rPr>
        <w:t>, 127</w:t>
      </w:r>
      <w:r>
        <w:rPr>
          <w:sz w:val="20"/>
          <w:szCs w:val="20"/>
        </w:rPr>
        <w:t>(2), 228–237.</w:t>
      </w:r>
      <w:hyperlink r:id="rId11">
        <w:r w:rsidR="002D2CBF">
          <w:rPr>
            <w:sz w:val="20"/>
            <w:szCs w:val="20"/>
          </w:rPr>
          <w:t xml:space="preserve"> </w:t>
        </w:r>
      </w:hyperlink>
      <w:hyperlink r:id="rId12">
        <w:r w:rsidR="002D2CBF">
          <w:rPr>
            <w:color w:val="1155CC"/>
            <w:sz w:val="20"/>
            <w:szCs w:val="20"/>
            <w:u w:val="single"/>
          </w:rPr>
          <w:t>https://doi.org/10.1007/s11547-022-01450-3</w:t>
        </w:r>
      </w:hyperlink>
    </w:p>
    <w:p w14:paraId="00000038" w14:textId="77777777" w:rsidR="002D2CBF" w:rsidRDefault="002D2CBF">
      <w:pPr>
        <w:widowControl w:val="0"/>
        <w:pBdr>
          <w:top w:val="nil"/>
          <w:left w:val="nil"/>
          <w:bottom w:val="nil"/>
          <w:right w:val="nil"/>
          <w:between w:val="nil"/>
        </w:pBdr>
        <w:spacing w:line="240" w:lineRule="auto"/>
        <w:jc w:val="both"/>
        <w:rPr>
          <w:sz w:val="20"/>
          <w:szCs w:val="20"/>
        </w:rPr>
      </w:pPr>
    </w:p>
    <w:p w14:paraId="00000039" w14:textId="77777777" w:rsidR="002D2CBF" w:rsidRDefault="00125BFF">
      <w:pPr>
        <w:widowControl w:val="0"/>
        <w:numPr>
          <w:ilvl w:val="0"/>
          <w:numId w:val="2"/>
        </w:numPr>
        <w:pBdr>
          <w:top w:val="nil"/>
          <w:left w:val="nil"/>
          <w:bottom w:val="nil"/>
          <w:right w:val="nil"/>
          <w:between w:val="nil"/>
        </w:pBdr>
        <w:spacing w:line="360" w:lineRule="auto"/>
        <w:jc w:val="both"/>
        <w:rPr>
          <w:sz w:val="20"/>
          <w:szCs w:val="20"/>
        </w:rPr>
      </w:pPr>
      <w:proofErr w:type="spellStart"/>
      <w:r>
        <w:rPr>
          <w:sz w:val="20"/>
          <w:szCs w:val="20"/>
        </w:rPr>
        <w:t>Jäger</w:t>
      </w:r>
      <w:proofErr w:type="spellEnd"/>
      <w:r>
        <w:rPr>
          <w:sz w:val="20"/>
          <w:szCs w:val="20"/>
        </w:rPr>
        <w:t xml:space="preserve">, R., </w:t>
      </w:r>
      <w:proofErr w:type="spellStart"/>
      <w:r>
        <w:rPr>
          <w:sz w:val="20"/>
          <w:szCs w:val="20"/>
        </w:rPr>
        <w:t>Kerksick</w:t>
      </w:r>
      <w:proofErr w:type="spellEnd"/>
      <w:r>
        <w:rPr>
          <w:sz w:val="20"/>
          <w:szCs w:val="20"/>
        </w:rPr>
        <w:t xml:space="preserve">, C. M., Campbell, B. I., Cribb, P. J., Wells, S. D., </w:t>
      </w:r>
      <w:proofErr w:type="spellStart"/>
      <w:r>
        <w:rPr>
          <w:sz w:val="20"/>
          <w:szCs w:val="20"/>
        </w:rPr>
        <w:t>Skwiat</w:t>
      </w:r>
      <w:proofErr w:type="spellEnd"/>
      <w:r>
        <w:rPr>
          <w:sz w:val="20"/>
          <w:szCs w:val="20"/>
        </w:rPr>
        <w:t xml:space="preserve">, T. M., … Antonio, J. (2017). International Society of Sports Nutrition Position Stand: protein and exercise. </w:t>
      </w:r>
      <w:r>
        <w:rPr>
          <w:i/>
          <w:iCs/>
          <w:sz w:val="20"/>
          <w:szCs w:val="20"/>
        </w:rPr>
        <w:t>Journal of the International Society of Sports Nutrition</w:t>
      </w:r>
      <w:r>
        <w:rPr>
          <w:sz w:val="20"/>
          <w:szCs w:val="20"/>
        </w:rPr>
        <w:t xml:space="preserve">, </w:t>
      </w:r>
      <w:r>
        <w:rPr>
          <w:i/>
          <w:iCs/>
          <w:sz w:val="20"/>
          <w:szCs w:val="20"/>
        </w:rPr>
        <w:t>14</w:t>
      </w:r>
      <w:r>
        <w:rPr>
          <w:sz w:val="20"/>
          <w:szCs w:val="20"/>
        </w:rPr>
        <w:t xml:space="preserve">(1). </w:t>
      </w:r>
      <w:hyperlink r:id="rId13">
        <w:r w:rsidR="002D2CBF">
          <w:rPr>
            <w:color w:val="1155CC"/>
            <w:sz w:val="20"/>
            <w:szCs w:val="20"/>
            <w:u w:val="single"/>
          </w:rPr>
          <w:t>https://doi.org/10.1186/s12970-017-0177-8</w:t>
        </w:r>
      </w:hyperlink>
    </w:p>
    <w:p w14:paraId="0000003A" w14:textId="77777777" w:rsidR="002D2CBF" w:rsidRDefault="002D2CBF">
      <w:pPr>
        <w:widowControl w:val="0"/>
        <w:pBdr>
          <w:top w:val="nil"/>
          <w:left w:val="nil"/>
          <w:bottom w:val="nil"/>
          <w:right w:val="nil"/>
          <w:between w:val="nil"/>
        </w:pBdr>
        <w:spacing w:line="240" w:lineRule="auto"/>
        <w:jc w:val="both"/>
        <w:rPr>
          <w:sz w:val="20"/>
          <w:szCs w:val="20"/>
        </w:rPr>
      </w:pPr>
    </w:p>
    <w:p w14:paraId="0000003B" w14:textId="77777777" w:rsidR="002D2CBF" w:rsidRDefault="00125BFF">
      <w:pPr>
        <w:numPr>
          <w:ilvl w:val="0"/>
          <w:numId w:val="2"/>
        </w:numPr>
        <w:jc w:val="both"/>
        <w:rPr>
          <w:sz w:val="20"/>
          <w:szCs w:val="20"/>
        </w:rPr>
      </w:pPr>
      <w:r>
        <w:rPr>
          <w:sz w:val="20"/>
          <w:szCs w:val="20"/>
        </w:rPr>
        <w:t xml:space="preserve">Liao, C. D., Wu, Y. T., </w:t>
      </w:r>
      <w:proofErr w:type="spellStart"/>
      <w:r>
        <w:rPr>
          <w:sz w:val="20"/>
          <w:szCs w:val="20"/>
        </w:rPr>
        <w:t>Tsauo</w:t>
      </w:r>
      <w:proofErr w:type="spellEnd"/>
      <w:r>
        <w:rPr>
          <w:sz w:val="20"/>
          <w:szCs w:val="20"/>
        </w:rPr>
        <w:t xml:space="preserve">, J. Y., Chen, P. R., Tu, Y. K., Chen, H. C., &amp; </w:t>
      </w:r>
      <w:proofErr w:type="spellStart"/>
      <w:r>
        <w:rPr>
          <w:sz w:val="20"/>
          <w:szCs w:val="20"/>
        </w:rPr>
        <w:t>Liou</w:t>
      </w:r>
      <w:proofErr w:type="spellEnd"/>
      <w:r>
        <w:rPr>
          <w:sz w:val="20"/>
          <w:szCs w:val="20"/>
        </w:rPr>
        <w:t xml:space="preserve">, T. H. (2020). Effects of protein supplementation combined with exercise training on muscle mass and function in older adults with lower-extremity osteoarthritis: a systematic review and meta-analysis of randomized trials. </w:t>
      </w:r>
      <w:r>
        <w:rPr>
          <w:i/>
          <w:iCs/>
          <w:sz w:val="20"/>
          <w:szCs w:val="20"/>
        </w:rPr>
        <w:t>Nutrients</w:t>
      </w:r>
      <w:r>
        <w:rPr>
          <w:sz w:val="20"/>
          <w:szCs w:val="20"/>
        </w:rPr>
        <w:t xml:space="preserve">, </w:t>
      </w:r>
      <w:r>
        <w:rPr>
          <w:i/>
          <w:iCs/>
          <w:sz w:val="20"/>
          <w:szCs w:val="20"/>
        </w:rPr>
        <w:t>12</w:t>
      </w:r>
      <w:r>
        <w:rPr>
          <w:sz w:val="20"/>
          <w:szCs w:val="20"/>
        </w:rPr>
        <w:t xml:space="preserve">(8), 2422. </w:t>
      </w:r>
      <w:hyperlink r:id="rId14">
        <w:r w:rsidR="002D2CBF">
          <w:rPr>
            <w:color w:val="1155CC"/>
            <w:sz w:val="20"/>
            <w:szCs w:val="20"/>
            <w:u w:val="single"/>
          </w:rPr>
          <w:t>https://doi.org/10.3390/nu12082422</w:t>
        </w:r>
      </w:hyperlink>
      <w:r>
        <w:rPr>
          <w:color w:val="1155CC"/>
          <w:sz w:val="20"/>
          <w:szCs w:val="20"/>
        </w:rPr>
        <w:t xml:space="preserve"> </w:t>
      </w:r>
    </w:p>
    <w:p w14:paraId="0000003C" w14:textId="77777777" w:rsidR="002D2CBF" w:rsidRDefault="002D2CBF">
      <w:pPr>
        <w:pStyle w:val="Heading1"/>
        <w:keepNext w:val="0"/>
        <w:keepLines w:val="0"/>
        <w:widowControl w:val="0"/>
        <w:spacing w:before="0" w:after="0" w:line="240" w:lineRule="auto"/>
        <w:jc w:val="both"/>
        <w:rPr>
          <w:sz w:val="20"/>
          <w:szCs w:val="20"/>
        </w:rPr>
      </w:pPr>
      <w:bookmarkStart w:id="1" w:name="_heading=h.w51c5oxz0q8" w:colFirst="0" w:colLast="0"/>
      <w:bookmarkEnd w:id="1"/>
    </w:p>
    <w:p w14:paraId="0000003D" w14:textId="730FE5EB" w:rsidR="002D2CBF" w:rsidRDefault="00125BFF">
      <w:pPr>
        <w:numPr>
          <w:ilvl w:val="0"/>
          <w:numId w:val="2"/>
        </w:numPr>
        <w:pBdr>
          <w:top w:val="nil"/>
          <w:left w:val="nil"/>
          <w:bottom w:val="nil"/>
          <w:right w:val="nil"/>
          <w:between w:val="nil"/>
        </w:pBdr>
        <w:jc w:val="both"/>
        <w:rPr>
          <w:sz w:val="20"/>
          <w:szCs w:val="20"/>
          <w:highlight w:val="white"/>
        </w:rPr>
      </w:pPr>
      <w:r>
        <w:rPr>
          <w:sz w:val="20"/>
          <w:szCs w:val="20"/>
          <w:highlight w:val="white"/>
        </w:rPr>
        <w:t xml:space="preserve">van Loon, L.J.C. Is There a Need for Protein Ingestion During </w:t>
      </w:r>
      <w:r w:rsidR="00AA7192">
        <w:rPr>
          <w:sz w:val="20"/>
          <w:szCs w:val="20"/>
          <w:highlight w:val="white"/>
        </w:rPr>
        <w:t>Exercise?</w:t>
      </w:r>
      <w:r>
        <w:rPr>
          <w:sz w:val="20"/>
          <w:szCs w:val="20"/>
          <w:highlight w:val="white"/>
        </w:rPr>
        <w:t xml:space="preserve"> </w:t>
      </w:r>
      <w:r>
        <w:rPr>
          <w:i/>
          <w:iCs/>
          <w:sz w:val="20"/>
          <w:szCs w:val="20"/>
          <w:highlight w:val="white"/>
        </w:rPr>
        <w:t>Sports Med</w:t>
      </w:r>
      <w:r>
        <w:rPr>
          <w:sz w:val="20"/>
          <w:szCs w:val="20"/>
          <w:highlight w:val="white"/>
        </w:rPr>
        <w:t xml:space="preserve"> 44 (Suppl 1), 105–111 (2014). </w:t>
      </w:r>
      <w:hyperlink r:id="rId15">
        <w:r w:rsidR="002D2CBF">
          <w:rPr>
            <w:color w:val="1155CC"/>
            <w:sz w:val="20"/>
            <w:szCs w:val="20"/>
            <w:highlight w:val="white"/>
            <w:u w:val="single"/>
          </w:rPr>
          <w:t>https://doi.org/10.1007/s40279-014-0156-z</w:t>
        </w:r>
      </w:hyperlink>
    </w:p>
    <w:p w14:paraId="0000003E" w14:textId="77777777" w:rsidR="002D2CBF" w:rsidRDefault="002D2CBF">
      <w:pPr>
        <w:pBdr>
          <w:top w:val="nil"/>
          <w:left w:val="nil"/>
          <w:bottom w:val="nil"/>
          <w:right w:val="nil"/>
          <w:between w:val="nil"/>
        </w:pBdr>
        <w:jc w:val="both"/>
        <w:rPr>
          <w:sz w:val="20"/>
          <w:szCs w:val="20"/>
          <w:highlight w:val="white"/>
        </w:rPr>
      </w:pPr>
    </w:p>
    <w:p w14:paraId="0000003F" w14:textId="77777777" w:rsidR="002D2CBF" w:rsidRDefault="00125BFF">
      <w:pPr>
        <w:pStyle w:val="Heading1"/>
        <w:keepNext w:val="0"/>
        <w:keepLines w:val="0"/>
        <w:widowControl w:val="0"/>
        <w:numPr>
          <w:ilvl w:val="0"/>
          <w:numId w:val="2"/>
        </w:numPr>
        <w:spacing w:before="0" w:after="0" w:line="360" w:lineRule="auto"/>
        <w:jc w:val="both"/>
        <w:rPr>
          <w:sz w:val="20"/>
          <w:szCs w:val="20"/>
        </w:rPr>
      </w:pPr>
      <w:bookmarkStart w:id="2" w:name="_heading=h.nx31sbqkrj56" w:colFirst="0" w:colLast="0"/>
      <w:bookmarkEnd w:id="2"/>
      <w:proofErr w:type="spellStart"/>
      <w:r>
        <w:rPr>
          <w:sz w:val="20"/>
          <w:szCs w:val="20"/>
        </w:rPr>
        <w:t>Paddon</w:t>
      </w:r>
      <w:proofErr w:type="spellEnd"/>
      <w:r>
        <w:rPr>
          <w:sz w:val="20"/>
          <w:szCs w:val="20"/>
        </w:rPr>
        <w:t xml:space="preserve">-Jones, D., Campbell, W. W., Jacques, P. F., </w:t>
      </w:r>
      <w:proofErr w:type="spellStart"/>
      <w:r>
        <w:rPr>
          <w:sz w:val="20"/>
          <w:szCs w:val="20"/>
        </w:rPr>
        <w:t>Kritchevsky</w:t>
      </w:r>
      <w:proofErr w:type="spellEnd"/>
      <w:r>
        <w:rPr>
          <w:sz w:val="20"/>
          <w:szCs w:val="20"/>
        </w:rPr>
        <w:t xml:space="preserve">, S. B., Moore, L. L., Rodriguez, N. R., &amp; van Loon, L. J. C. (2015). Protein and healthy aging. </w:t>
      </w:r>
      <w:r>
        <w:rPr>
          <w:i/>
          <w:iCs/>
          <w:sz w:val="20"/>
          <w:szCs w:val="20"/>
        </w:rPr>
        <w:t>The American Journal of Clinical Nutrition, 101</w:t>
      </w:r>
      <w:r>
        <w:rPr>
          <w:sz w:val="20"/>
          <w:szCs w:val="20"/>
        </w:rPr>
        <w:t>(6), 1339S–1345S.</w:t>
      </w:r>
      <w:hyperlink r:id="rId16">
        <w:r w:rsidR="002D2CBF">
          <w:rPr>
            <w:sz w:val="20"/>
            <w:szCs w:val="20"/>
          </w:rPr>
          <w:t xml:space="preserve"> </w:t>
        </w:r>
      </w:hyperlink>
      <w:hyperlink r:id="rId17">
        <w:r w:rsidR="002D2CBF">
          <w:rPr>
            <w:color w:val="1155CC"/>
            <w:sz w:val="20"/>
            <w:szCs w:val="20"/>
            <w:u w:val="single"/>
          </w:rPr>
          <w:t>https://doi.org/10.3945/ajcn.114.084061</w:t>
        </w:r>
      </w:hyperlink>
      <w:r>
        <w:rPr>
          <w:color w:val="1155CC"/>
          <w:sz w:val="20"/>
          <w:szCs w:val="20"/>
        </w:rPr>
        <w:t xml:space="preserve"> </w:t>
      </w:r>
    </w:p>
    <w:p w14:paraId="00000040" w14:textId="77777777" w:rsidR="002D2CBF" w:rsidRDefault="002D2CBF">
      <w:pPr>
        <w:pBdr>
          <w:top w:val="nil"/>
          <w:left w:val="nil"/>
          <w:bottom w:val="nil"/>
          <w:right w:val="nil"/>
          <w:between w:val="nil"/>
        </w:pBdr>
        <w:ind w:left="720"/>
        <w:rPr>
          <w:sz w:val="20"/>
          <w:szCs w:val="20"/>
        </w:rPr>
      </w:pPr>
    </w:p>
    <w:p w14:paraId="00000041" w14:textId="77777777" w:rsidR="002D2CBF" w:rsidRDefault="00125BFF">
      <w:pPr>
        <w:numPr>
          <w:ilvl w:val="0"/>
          <w:numId w:val="2"/>
        </w:numPr>
        <w:pBdr>
          <w:top w:val="nil"/>
          <w:left w:val="nil"/>
          <w:bottom w:val="nil"/>
          <w:right w:val="nil"/>
          <w:between w:val="nil"/>
        </w:pBdr>
        <w:jc w:val="both"/>
        <w:rPr>
          <w:sz w:val="20"/>
          <w:szCs w:val="20"/>
        </w:rPr>
      </w:pPr>
      <w:r>
        <w:rPr>
          <w:sz w:val="20"/>
          <w:szCs w:val="20"/>
        </w:rPr>
        <w:t xml:space="preserve">Baum, J. I., Kim, I.-Y., &amp; Wolfe, R. R. (2016). Protein Consumption and the Elderly: What Is the Optimal Level of Intake? Nutrients, 8(6), 359. </w:t>
      </w:r>
      <w:hyperlink r:id="rId18">
        <w:r w:rsidR="002D2CBF">
          <w:rPr>
            <w:color w:val="1155CC"/>
            <w:sz w:val="20"/>
            <w:szCs w:val="20"/>
            <w:u w:val="single"/>
          </w:rPr>
          <w:t>https://doi.org/10.3390/nu8060359</w:t>
        </w:r>
      </w:hyperlink>
      <w:r>
        <w:rPr>
          <w:sz w:val="20"/>
          <w:szCs w:val="20"/>
        </w:rPr>
        <w:t xml:space="preserve"> </w:t>
      </w:r>
    </w:p>
    <w:p w14:paraId="00000042" w14:textId="77777777" w:rsidR="002D2CBF" w:rsidRDefault="002D2CBF">
      <w:pPr>
        <w:pBdr>
          <w:top w:val="nil"/>
          <w:left w:val="nil"/>
          <w:bottom w:val="nil"/>
          <w:right w:val="nil"/>
          <w:between w:val="nil"/>
        </w:pBdr>
        <w:jc w:val="both"/>
        <w:rPr>
          <w:sz w:val="20"/>
          <w:szCs w:val="20"/>
        </w:rPr>
      </w:pPr>
    </w:p>
    <w:p w14:paraId="00000043" w14:textId="77777777" w:rsidR="002D2CBF" w:rsidRDefault="00125BFF">
      <w:pPr>
        <w:numPr>
          <w:ilvl w:val="0"/>
          <w:numId w:val="2"/>
        </w:numPr>
        <w:pBdr>
          <w:top w:val="nil"/>
          <w:left w:val="nil"/>
          <w:bottom w:val="nil"/>
          <w:right w:val="nil"/>
          <w:between w:val="nil"/>
        </w:pBdr>
        <w:jc w:val="both"/>
        <w:rPr>
          <w:sz w:val="20"/>
          <w:szCs w:val="20"/>
        </w:rPr>
      </w:pPr>
      <w:proofErr w:type="spellStart"/>
      <w:r>
        <w:rPr>
          <w:sz w:val="20"/>
          <w:szCs w:val="20"/>
        </w:rPr>
        <w:t>Ardisson</w:t>
      </w:r>
      <w:proofErr w:type="spellEnd"/>
      <w:r>
        <w:rPr>
          <w:sz w:val="20"/>
          <w:szCs w:val="20"/>
        </w:rPr>
        <w:t xml:space="preserve"> Korat, A. V., Shea, M. K., Jacques, P. F., </w:t>
      </w:r>
      <w:proofErr w:type="spellStart"/>
      <w:r>
        <w:rPr>
          <w:sz w:val="20"/>
          <w:szCs w:val="20"/>
        </w:rPr>
        <w:t>Sebastiani</w:t>
      </w:r>
      <w:proofErr w:type="spellEnd"/>
      <w:r>
        <w:rPr>
          <w:sz w:val="20"/>
          <w:szCs w:val="20"/>
        </w:rPr>
        <w:t xml:space="preserve">, P., Wang, M., </w:t>
      </w:r>
      <w:proofErr w:type="spellStart"/>
      <w:r>
        <w:rPr>
          <w:sz w:val="20"/>
          <w:szCs w:val="20"/>
        </w:rPr>
        <w:t>Eliassen</w:t>
      </w:r>
      <w:proofErr w:type="spellEnd"/>
      <w:r>
        <w:rPr>
          <w:sz w:val="20"/>
          <w:szCs w:val="20"/>
        </w:rPr>
        <w:t xml:space="preserve">, A. H., Willett, W. C., &amp; Sun, Q. (2024). </w:t>
      </w:r>
      <w:r>
        <w:rPr>
          <w:i/>
          <w:iCs/>
          <w:sz w:val="20"/>
          <w:szCs w:val="20"/>
        </w:rPr>
        <w:t xml:space="preserve">Dietary protein intake in midlife in relation to healthy aging: </w:t>
      </w:r>
      <w:hyperlink r:id="rId19">
        <w:r w:rsidR="002D2CBF">
          <w:rPr>
            <w:color w:val="1155CC"/>
            <w:sz w:val="20"/>
            <w:szCs w:val="20"/>
            <w:u w:val="single"/>
          </w:rPr>
          <w:t>https://doi.org/10.1016/j.ajcnut.2023.11.010</w:t>
        </w:r>
      </w:hyperlink>
    </w:p>
    <w:p w14:paraId="00000044" w14:textId="77777777" w:rsidR="002D2CBF" w:rsidRDefault="002D2CBF">
      <w:pPr>
        <w:pBdr>
          <w:top w:val="nil"/>
          <w:left w:val="nil"/>
          <w:bottom w:val="nil"/>
          <w:right w:val="nil"/>
          <w:between w:val="nil"/>
        </w:pBdr>
        <w:jc w:val="both"/>
        <w:rPr>
          <w:sz w:val="20"/>
          <w:szCs w:val="20"/>
          <w:highlight w:val="white"/>
        </w:rPr>
      </w:pPr>
    </w:p>
    <w:p w14:paraId="00000045" w14:textId="77777777" w:rsidR="002D2CBF" w:rsidRDefault="00125BFF">
      <w:pPr>
        <w:numPr>
          <w:ilvl w:val="0"/>
          <w:numId w:val="2"/>
        </w:numPr>
        <w:pBdr>
          <w:top w:val="nil"/>
          <w:left w:val="nil"/>
          <w:bottom w:val="nil"/>
          <w:right w:val="nil"/>
          <w:between w:val="nil"/>
        </w:pBdr>
        <w:jc w:val="both"/>
        <w:rPr>
          <w:sz w:val="20"/>
          <w:szCs w:val="20"/>
          <w:highlight w:val="white"/>
        </w:rPr>
      </w:pPr>
      <w:proofErr w:type="spellStart"/>
      <w:r>
        <w:rPr>
          <w:sz w:val="20"/>
          <w:szCs w:val="20"/>
          <w:highlight w:val="white"/>
        </w:rPr>
        <w:t>Bojang</w:t>
      </w:r>
      <w:proofErr w:type="spellEnd"/>
      <w:r>
        <w:rPr>
          <w:sz w:val="20"/>
          <w:szCs w:val="20"/>
          <w:highlight w:val="white"/>
        </w:rPr>
        <w:t xml:space="preserve">, K.P., </w:t>
      </w:r>
      <w:proofErr w:type="spellStart"/>
      <w:r>
        <w:rPr>
          <w:sz w:val="20"/>
          <w:szCs w:val="20"/>
          <w:highlight w:val="white"/>
        </w:rPr>
        <w:t>Manchana</w:t>
      </w:r>
      <w:proofErr w:type="spellEnd"/>
      <w:r>
        <w:rPr>
          <w:sz w:val="20"/>
          <w:szCs w:val="20"/>
          <w:highlight w:val="white"/>
        </w:rPr>
        <w:t xml:space="preserve">, V. Nutrition and Healthy Aging: A Review. </w:t>
      </w:r>
      <w:proofErr w:type="spellStart"/>
      <w:r>
        <w:rPr>
          <w:sz w:val="20"/>
          <w:szCs w:val="20"/>
          <w:highlight w:val="white"/>
        </w:rPr>
        <w:t>Curr</w:t>
      </w:r>
      <w:proofErr w:type="spellEnd"/>
      <w:r>
        <w:rPr>
          <w:sz w:val="20"/>
          <w:szCs w:val="20"/>
          <w:highlight w:val="white"/>
        </w:rPr>
        <w:t xml:space="preserve"> </w:t>
      </w:r>
      <w:proofErr w:type="spellStart"/>
      <w:r>
        <w:rPr>
          <w:sz w:val="20"/>
          <w:szCs w:val="20"/>
          <w:highlight w:val="white"/>
        </w:rPr>
        <w:t>Nutr</w:t>
      </w:r>
      <w:proofErr w:type="spellEnd"/>
      <w:r>
        <w:rPr>
          <w:sz w:val="20"/>
          <w:szCs w:val="20"/>
          <w:highlight w:val="white"/>
        </w:rPr>
        <w:t xml:space="preserve"> Rep 12, 369–375 (2023). </w:t>
      </w:r>
      <w:hyperlink r:id="rId20">
        <w:r w:rsidR="002D2CBF">
          <w:rPr>
            <w:color w:val="1155CC"/>
            <w:sz w:val="20"/>
            <w:szCs w:val="20"/>
            <w:highlight w:val="white"/>
            <w:u w:val="single"/>
          </w:rPr>
          <w:t>https://doi.org/10.1007/s13668-023-00473-0</w:t>
        </w:r>
      </w:hyperlink>
      <w:r>
        <w:rPr>
          <w:color w:val="1155CC"/>
          <w:sz w:val="20"/>
          <w:szCs w:val="20"/>
          <w:highlight w:val="white"/>
        </w:rPr>
        <w:t xml:space="preserve"> </w:t>
      </w:r>
    </w:p>
    <w:p w14:paraId="00000046" w14:textId="77777777" w:rsidR="002D2CBF" w:rsidRDefault="002D2CBF">
      <w:pPr>
        <w:pBdr>
          <w:top w:val="nil"/>
          <w:left w:val="nil"/>
          <w:bottom w:val="nil"/>
          <w:right w:val="nil"/>
          <w:between w:val="nil"/>
        </w:pBdr>
        <w:ind w:left="720"/>
        <w:jc w:val="both"/>
        <w:rPr>
          <w:sz w:val="20"/>
          <w:szCs w:val="20"/>
          <w:highlight w:val="white"/>
        </w:rPr>
      </w:pPr>
    </w:p>
    <w:p w14:paraId="00000047" w14:textId="77777777" w:rsidR="002D2CBF" w:rsidRDefault="00125BFF">
      <w:pPr>
        <w:numPr>
          <w:ilvl w:val="0"/>
          <w:numId w:val="2"/>
        </w:numPr>
        <w:jc w:val="both"/>
        <w:rPr>
          <w:sz w:val="20"/>
          <w:szCs w:val="20"/>
          <w:highlight w:val="white"/>
        </w:rPr>
      </w:pPr>
      <w:r>
        <w:rPr>
          <w:sz w:val="20"/>
          <w:szCs w:val="20"/>
        </w:rPr>
        <w:t xml:space="preserve">Dao, T., Green, A. E., Kim, Y. A., Bae, S. J., Ha, K. T., </w:t>
      </w:r>
      <w:proofErr w:type="spellStart"/>
      <w:r>
        <w:rPr>
          <w:sz w:val="20"/>
          <w:szCs w:val="20"/>
        </w:rPr>
        <w:t>Gariani</w:t>
      </w:r>
      <w:proofErr w:type="spellEnd"/>
      <w:r>
        <w:rPr>
          <w:sz w:val="20"/>
          <w:szCs w:val="20"/>
        </w:rPr>
        <w:t xml:space="preserve">, K., ... &amp; Ryu, D. (2020). Sarcopenia and muscle aging: a brief overview. </w:t>
      </w:r>
      <w:r>
        <w:rPr>
          <w:i/>
          <w:iCs/>
          <w:sz w:val="20"/>
          <w:szCs w:val="20"/>
        </w:rPr>
        <w:t>Endocrinology and metabolism</w:t>
      </w:r>
      <w:r>
        <w:rPr>
          <w:sz w:val="20"/>
          <w:szCs w:val="20"/>
        </w:rPr>
        <w:t xml:space="preserve">, </w:t>
      </w:r>
      <w:r>
        <w:rPr>
          <w:i/>
          <w:iCs/>
          <w:sz w:val="20"/>
          <w:szCs w:val="20"/>
        </w:rPr>
        <w:t>35</w:t>
      </w:r>
      <w:r>
        <w:rPr>
          <w:sz w:val="20"/>
          <w:szCs w:val="20"/>
        </w:rPr>
        <w:t xml:space="preserve">(4), 716-732. </w:t>
      </w:r>
      <w:hyperlink r:id="rId21">
        <w:r w:rsidR="002D2CBF">
          <w:rPr>
            <w:color w:val="1155CC"/>
            <w:sz w:val="20"/>
            <w:szCs w:val="20"/>
            <w:u w:val="single"/>
          </w:rPr>
          <w:t>https://doi.org/10.3803/EnM.2020.405</w:t>
        </w:r>
      </w:hyperlink>
      <w:r>
        <w:rPr>
          <w:color w:val="1155CC"/>
          <w:sz w:val="20"/>
          <w:szCs w:val="20"/>
        </w:rPr>
        <w:t xml:space="preserve"> </w:t>
      </w:r>
    </w:p>
    <w:p w14:paraId="00000048" w14:textId="77777777" w:rsidR="002D2CBF" w:rsidRDefault="002D2CBF">
      <w:pPr>
        <w:ind w:left="720"/>
        <w:jc w:val="both"/>
        <w:rPr>
          <w:sz w:val="20"/>
          <w:szCs w:val="20"/>
        </w:rPr>
      </w:pPr>
    </w:p>
    <w:p w14:paraId="00000049" w14:textId="77777777" w:rsidR="002D2CBF" w:rsidRDefault="00125BFF">
      <w:pPr>
        <w:numPr>
          <w:ilvl w:val="0"/>
          <w:numId w:val="2"/>
        </w:numPr>
        <w:jc w:val="both"/>
        <w:rPr>
          <w:sz w:val="20"/>
          <w:szCs w:val="20"/>
        </w:rPr>
      </w:pPr>
      <w:r>
        <w:rPr>
          <w:sz w:val="20"/>
          <w:szCs w:val="20"/>
        </w:rPr>
        <w:t xml:space="preserve">Di Filippo, E. S., Bondi, D., Pietrangelo, T., </w:t>
      </w:r>
      <w:proofErr w:type="spellStart"/>
      <w:r>
        <w:rPr>
          <w:sz w:val="20"/>
          <w:szCs w:val="20"/>
        </w:rPr>
        <w:t>Fanò-Illic</w:t>
      </w:r>
      <w:proofErr w:type="spellEnd"/>
      <w:r>
        <w:rPr>
          <w:sz w:val="20"/>
          <w:szCs w:val="20"/>
        </w:rPr>
        <w:t xml:space="preserve">, G., &amp; </w:t>
      </w:r>
      <w:proofErr w:type="spellStart"/>
      <w:r>
        <w:rPr>
          <w:sz w:val="20"/>
          <w:szCs w:val="20"/>
        </w:rPr>
        <w:t>Fulle</w:t>
      </w:r>
      <w:proofErr w:type="spellEnd"/>
      <w:r>
        <w:rPr>
          <w:sz w:val="20"/>
          <w:szCs w:val="20"/>
        </w:rPr>
        <w:t xml:space="preserve">, S. (2020). Molecular and cellular aspects of sarcopenia, muscle healthy aging and physical conditioning in the elderly. </w:t>
      </w:r>
      <w:r>
        <w:rPr>
          <w:i/>
          <w:iCs/>
          <w:sz w:val="20"/>
          <w:szCs w:val="20"/>
        </w:rPr>
        <w:t>Journal of Science in Sport and Exercise</w:t>
      </w:r>
      <w:r>
        <w:rPr>
          <w:sz w:val="20"/>
          <w:szCs w:val="20"/>
        </w:rPr>
        <w:t xml:space="preserve">, </w:t>
      </w:r>
      <w:r>
        <w:rPr>
          <w:i/>
          <w:iCs/>
          <w:sz w:val="20"/>
          <w:szCs w:val="20"/>
        </w:rPr>
        <w:t>2</w:t>
      </w:r>
      <w:r>
        <w:rPr>
          <w:sz w:val="20"/>
          <w:szCs w:val="20"/>
        </w:rPr>
        <w:t xml:space="preserve">(3), 246-257. </w:t>
      </w:r>
      <w:hyperlink r:id="rId22">
        <w:r w:rsidR="002D2CBF">
          <w:rPr>
            <w:color w:val="1155CC"/>
            <w:sz w:val="20"/>
            <w:szCs w:val="20"/>
            <w:highlight w:val="white"/>
            <w:u w:val="single"/>
          </w:rPr>
          <w:t>https://doi.org/10.1007/s42978-020-00065-2</w:t>
        </w:r>
      </w:hyperlink>
    </w:p>
    <w:p w14:paraId="0000004A" w14:textId="77777777" w:rsidR="002D2CBF" w:rsidRDefault="002D2CBF">
      <w:pPr>
        <w:ind w:left="720"/>
        <w:jc w:val="both"/>
        <w:rPr>
          <w:sz w:val="20"/>
          <w:szCs w:val="20"/>
        </w:rPr>
      </w:pPr>
    </w:p>
    <w:p w14:paraId="0000004B" w14:textId="77777777" w:rsidR="002D2CBF" w:rsidRDefault="00125BFF">
      <w:pPr>
        <w:widowControl w:val="0"/>
        <w:numPr>
          <w:ilvl w:val="0"/>
          <w:numId w:val="2"/>
        </w:numPr>
        <w:spacing w:line="360" w:lineRule="auto"/>
        <w:jc w:val="both"/>
        <w:rPr>
          <w:sz w:val="20"/>
          <w:szCs w:val="20"/>
        </w:rPr>
      </w:pPr>
      <w:r>
        <w:rPr>
          <w:sz w:val="20"/>
          <w:szCs w:val="20"/>
        </w:rPr>
        <w:t xml:space="preserve">Davies, B., García, F., Ara, I., </w:t>
      </w:r>
      <w:proofErr w:type="spellStart"/>
      <w:r>
        <w:rPr>
          <w:sz w:val="20"/>
          <w:szCs w:val="20"/>
        </w:rPr>
        <w:t>Artalejo</w:t>
      </w:r>
      <w:proofErr w:type="spellEnd"/>
      <w:r>
        <w:rPr>
          <w:sz w:val="20"/>
          <w:szCs w:val="20"/>
        </w:rPr>
        <w:t>, F. R., Rodriguez-</w:t>
      </w:r>
      <w:proofErr w:type="spellStart"/>
      <w:r>
        <w:rPr>
          <w:sz w:val="20"/>
          <w:szCs w:val="20"/>
        </w:rPr>
        <w:t>Mañas</w:t>
      </w:r>
      <w:proofErr w:type="spellEnd"/>
      <w:r>
        <w:rPr>
          <w:sz w:val="20"/>
          <w:szCs w:val="20"/>
        </w:rPr>
        <w:t xml:space="preserve">, L., &amp; Walter, S. (2018). Relationship between sarcopenia and frailty in the Toledo study of healthy aging: a population based cross-sectional study. </w:t>
      </w:r>
      <w:r>
        <w:rPr>
          <w:i/>
          <w:iCs/>
          <w:sz w:val="20"/>
          <w:szCs w:val="20"/>
        </w:rPr>
        <w:t>Journal of the American Medical Directors Association</w:t>
      </w:r>
      <w:r>
        <w:rPr>
          <w:sz w:val="20"/>
          <w:szCs w:val="20"/>
        </w:rPr>
        <w:t xml:space="preserve">, </w:t>
      </w:r>
      <w:r>
        <w:rPr>
          <w:i/>
          <w:iCs/>
          <w:sz w:val="20"/>
          <w:szCs w:val="20"/>
        </w:rPr>
        <w:t>19</w:t>
      </w:r>
      <w:r>
        <w:rPr>
          <w:sz w:val="20"/>
          <w:szCs w:val="20"/>
        </w:rPr>
        <w:t>(4), 282-286.</w:t>
      </w:r>
      <w:r>
        <w:rPr>
          <w:color w:val="1155CC"/>
          <w:sz w:val="20"/>
          <w:szCs w:val="20"/>
          <w:u w:val="single"/>
        </w:rPr>
        <w:t xml:space="preserve"> </w:t>
      </w:r>
      <w:hyperlink r:id="rId23">
        <w:r w:rsidR="002D2CBF">
          <w:rPr>
            <w:color w:val="1155CC"/>
            <w:sz w:val="20"/>
            <w:szCs w:val="20"/>
            <w:u w:val="single"/>
          </w:rPr>
          <w:t>https://doi.org/10.1016/j.jamda.2017.09.014</w:t>
        </w:r>
      </w:hyperlink>
    </w:p>
    <w:p w14:paraId="0000004C" w14:textId="77777777" w:rsidR="002D2CBF" w:rsidRDefault="002D2CBF">
      <w:pPr>
        <w:pBdr>
          <w:top w:val="nil"/>
          <w:left w:val="nil"/>
          <w:bottom w:val="nil"/>
          <w:right w:val="nil"/>
          <w:between w:val="nil"/>
        </w:pBdr>
        <w:spacing w:line="240" w:lineRule="auto"/>
        <w:jc w:val="both"/>
        <w:rPr>
          <w:sz w:val="20"/>
          <w:szCs w:val="20"/>
        </w:rPr>
      </w:pPr>
    </w:p>
    <w:p w14:paraId="0000004D" w14:textId="77777777" w:rsidR="002D2CBF" w:rsidRDefault="00125BFF">
      <w:pPr>
        <w:numPr>
          <w:ilvl w:val="0"/>
          <w:numId w:val="2"/>
        </w:numPr>
        <w:pBdr>
          <w:top w:val="nil"/>
          <w:left w:val="nil"/>
          <w:bottom w:val="nil"/>
          <w:right w:val="nil"/>
          <w:between w:val="nil"/>
        </w:pBdr>
        <w:jc w:val="both"/>
        <w:rPr>
          <w:sz w:val="20"/>
          <w:szCs w:val="20"/>
        </w:rPr>
      </w:pPr>
      <w:r>
        <w:rPr>
          <w:sz w:val="20"/>
          <w:szCs w:val="20"/>
        </w:rPr>
        <w:t xml:space="preserve">Yuan, S., &amp; Larsson, S. C. (2023). Epidemiology of sarcopenia: Prevalence, risk factors, and consequences. </w:t>
      </w:r>
      <w:r>
        <w:rPr>
          <w:i/>
          <w:iCs/>
          <w:sz w:val="20"/>
          <w:szCs w:val="20"/>
        </w:rPr>
        <w:t>Metabolism</w:t>
      </w:r>
      <w:r>
        <w:rPr>
          <w:sz w:val="20"/>
          <w:szCs w:val="20"/>
        </w:rPr>
        <w:t xml:space="preserve">, </w:t>
      </w:r>
      <w:r>
        <w:rPr>
          <w:i/>
          <w:iCs/>
          <w:sz w:val="20"/>
          <w:szCs w:val="20"/>
        </w:rPr>
        <w:t>144</w:t>
      </w:r>
      <w:r>
        <w:rPr>
          <w:sz w:val="20"/>
          <w:szCs w:val="20"/>
        </w:rPr>
        <w:t xml:space="preserve">, 155533. </w:t>
      </w:r>
      <w:hyperlink r:id="rId24">
        <w:r w:rsidR="002D2CBF">
          <w:rPr>
            <w:sz w:val="20"/>
            <w:szCs w:val="20"/>
          </w:rPr>
          <w:t xml:space="preserve"> </w:t>
        </w:r>
      </w:hyperlink>
      <w:hyperlink r:id="rId25">
        <w:r w:rsidR="002D2CBF">
          <w:rPr>
            <w:color w:val="1155CC"/>
            <w:sz w:val="20"/>
            <w:szCs w:val="20"/>
            <w:u w:val="single"/>
          </w:rPr>
          <w:t>https://doi.org/10.1016/j.metabol.2023.155533</w:t>
        </w:r>
      </w:hyperlink>
      <w:r>
        <w:rPr>
          <w:color w:val="1155CC"/>
          <w:sz w:val="20"/>
          <w:szCs w:val="20"/>
        </w:rPr>
        <w:t xml:space="preserve"> </w:t>
      </w:r>
    </w:p>
    <w:p w14:paraId="0000004E" w14:textId="77777777" w:rsidR="002D2CBF" w:rsidRDefault="002D2CBF">
      <w:pPr>
        <w:pBdr>
          <w:top w:val="nil"/>
          <w:left w:val="nil"/>
          <w:bottom w:val="nil"/>
          <w:right w:val="nil"/>
          <w:between w:val="nil"/>
        </w:pBdr>
        <w:spacing w:line="240" w:lineRule="auto"/>
        <w:jc w:val="both"/>
        <w:rPr>
          <w:sz w:val="20"/>
          <w:szCs w:val="20"/>
        </w:rPr>
      </w:pPr>
    </w:p>
    <w:p w14:paraId="0000004F" w14:textId="2B43A952" w:rsidR="002D2CBF" w:rsidRDefault="00125BFF">
      <w:pPr>
        <w:numPr>
          <w:ilvl w:val="0"/>
          <w:numId w:val="2"/>
        </w:numPr>
        <w:pBdr>
          <w:top w:val="nil"/>
          <w:left w:val="nil"/>
          <w:bottom w:val="nil"/>
          <w:right w:val="nil"/>
          <w:between w:val="nil"/>
        </w:pBdr>
        <w:jc w:val="both"/>
        <w:rPr>
          <w:sz w:val="20"/>
          <w:szCs w:val="20"/>
        </w:rPr>
      </w:pPr>
      <w:proofErr w:type="spellStart"/>
      <w:r>
        <w:rPr>
          <w:sz w:val="20"/>
          <w:szCs w:val="20"/>
        </w:rPr>
        <w:t>Petermann</w:t>
      </w:r>
      <w:proofErr w:type="spellEnd"/>
      <w:r>
        <w:rPr>
          <w:rFonts w:ascii="Times New Roman" w:eastAsia="Times New Roman" w:hAnsi="Times New Roman" w:cs="Times New Roman"/>
          <w:sz w:val="20"/>
          <w:szCs w:val="20"/>
        </w:rPr>
        <w:t>‐</w:t>
      </w:r>
      <w:r>
        <w:rPr>
          <w:sz w:val="20"/>
          <w:szCs w:val="20"/>
        </w:rPr>
        <w:t xml:space="preserve">Rocha, F., </w:t>
      </w:r>
      <w:proofErr w:type="spellStart"/>
      <w:r>
        <w:rPr>
          <w:sz w:val="20"/>
          <w:szCs w:val="20"/>
        </w:rPr>
        <w:t>Balntzi</w:t>
      </w:r>
      <w:proofErr w:type="spellEnd"/>
      <w:r>
        <w:rPr>
          <w:sz w:val="20"/>
          <w:szCs w:val="20"/>
        </w:rPr>
        <w:t xml:space="preserve">, V., Gray, S. R., Lara, J., Ho, F. K., Pell, J. P., &amp; </w:t>
      </w:r>
      <w:proofErr w:type="spellStart"/>
      <w:r>
        <w:rPr>
          <w:sz w:val="20"/>
          <w:szCs w:val="20"/>
        </w:rPr>
        <w:t>Celis</w:t>
      </w:r>
      <w:proofErr w:type="spellEnd"/>
      <w:r>
        <w:rPr>
          <w:rFonts w:ascii="Times New Roman" w:eastAsia="Times New Roman" w:hAnsi="Times New Roman" w:cs="Times New Roman"/>
          <w:sz w:val="20"/>
          <w:szCs w:val="20"/>
        </w:rPr>
        <w:t>‐</w:t>
      </w:r>
      <w:r>
        <w:rPr>
          <w:sz w:val="20"/>
          <w:szCs w:val="20"/>
        </w:rPr>
        <w:t>Morales, C. (2022). Global prevalence of sarcopenia and severe sarcopenia: a systematic review and meta</w:t>
      </w:r>
      <w:r>
        <w:rPr>
          <w:rFonts w:ascii="Times New Roman" w:eastAsia="Times New Roman" w:hAnsi="Times New Roman" w:cs="Times New Roman"/>
          <w:sz w:val="20"/>
          <w:szCs w:val="20"/>
        </w:rPr>
        <w:t>‐</w:t>
      </w:r>
      <w:r>
        <w:rPr>
          <w:sz w:val="20"/>
          <w:szCs w:val="20"/>
        </w:rPr>
        <w:t xml:space="preserve">analysis. </w:t>
      </w:r>
      <w:r>
        <w:rPr>
          <w:i/>
          <w:iCs/>
          <w:sz w:val="20"/>
          <w:szCs w:val="20"/>
        </w:rPr>
        <w:t>Journal of cachexia, sarcopenia and muscle</w:t>
      </w:r>
      <w:r>
        <w:rPr>
          <w:sz w:val="20"/>
          <w:szCs w:val="20"/>
        </w:rPr>
        <w:t xml:space="preserve">, </w:t>
      </w:r>
      <w:r>
        <w:rPr>
          <w:i/>
          <w:iCs/>
          <w:sz w:val="20"/>
          <w:szCs w:val="20"/>
        </w:rPr>
        <w:t>13</w:t>
      </w:r>
      <w:r>
        <w:rPr>
          <w:sz w:val="20"/>
          <w:szCs w:val="20"/>
        </w:rPr>
        <w:t xml:space="preserve">(1), 86-99. </w:t>
      </w:r>
    </w:p>
    <w:p w14:paraId="00000050" w14:textId="77777777" w:rsidR="002D2CBF" w:rsidRDefault="002D2CBF">
      <w:pPr>
        <w:pBdr>
          <w:top w:val="nil"/>
          <w:left w:val="nil"/>
          <w:bottom w:val="nil"/>
          <w:right w:val="nil"/>
          <w:between w:val="nil"/>
        </w:pBdr>
        <w:spacing w:line="240" w:lineRule="auto"/>
        <w:jc w:val="both"/>
        <w:rPr>
          <w:sz w:val="20"/>
          <w:szCs w:val="20"/>
        </w:rPr>
      </w:pPr>
    </w:p>
    <w:p w14:paraId="00000051" w14:textId="77777777" w:rsidR="002D2CBF" w:rsidRDefault="00125BFF">
      <w:pPr>
        <w:numPr>
          <w:ilvl w:val="0"/>
          <w:numId w:val="2"/>
        </w:numPr>
        <w:jc w:val="both"/>
        <w:rPr>
          <w:sz w:val="20"/>
          <w:szCs w:val="20"/>
        </w:rPr>
      </w:pPr>
      <w:proofErr w:type="spellStart"/>
      <w:r>
        <w:rPr>
          <w:sz w:val="20"/>
          <w:szCs w:val="20"/>
        </w:rPr>
        <w:t>Björkman</w:t>
      </w:r>
      <w:proofErr w:type="spellEnd"/>
      <w:r>
        <w:rPr>
          <w:sz w:val="20"/>
          <w:szCs w:val="20"/>
        </w:rPr>
        <w:t xml:space="preserve">, M. P., </w:t>
      </w:r>
      <w:proofErr w:type="spellStart"/>
      <w:r>
        <w:rPr>
          <w:sz w:val="20"/>
          <w:szCs w:val="20"/>
        </w:rPr>
        <w:t>Suominen</w:t>
      </w:r>
      <w:proofErr w:type="spellEnd"/>
      <w:r>
        <w:rPr>
          <w:sz w:val="20"/>
          <w:szCs w:val="20"/>
        </w:rPr>
        <w:t xml:space="preserve">, M. H., </w:t>
      </w:r>
      <w:proofErr w:type="spellStart"/>
      <w:r>
        <w:rPr>
          <w:sz w:val="20"/>
          <w:szCs w:val="20"/>
        </w:rPr>
        <w:t>Kautiainen</w:t>
      </w:r>
      <w:proofErr w:type="spellEnd"/>
      <w:r>
        <w:rPr>
          <w:sz w:val="20"/>
          <w:szCs w:val="20"/>
        </w:rPr>
        <w:t xml:space="preserve">, H., </w:t>
      </w:r>
      <w:proofErr w:type="spellStart"/>
      <w:r>
        <w:rPr>
          <w:sz w:val="20"/>
          <w:szCs w:val="20"/>
        </w:rPr>
        <w:t>Jyväkorpi</w:t>
      </w:r>
      <w:proofErr w:type="spellEnd"/>
      <w:r>
        <w:rPr>
          <w:sz w:val="20"/>
          <w:szCs w:val="20"/>
        </w:rPr>
        <w:t xml:space="preserve">, S. K., </w:t>
      </w:r>
      <w:proofErr w:type="spellStart"/>
      <w:r>
        <w:rPr>
          <w:sz w:val="20"/>
          <w:szCs w:val="20"/>
        </w:rPr>
        <w:t>Finne-Soveri</w:t>
      </w:r>
      <w:proofErr w:type="spellEnd"/>
      <w:r>
        <w:rPr>
          <w:sz w:val="20"/>
          <w:szCs w:val="20"/>
        </w:rPr>
        <w:t xml:space="preserve">, H. U., Strandberg, T. E., ... &amp; </w:t>
      </w:r>
      <w:proofErr w:type="spellStart"/>
      <w:r>
        <w:rPr>
          <w:sz w:val="20"/>
          <w:szCs w:val="20"/>
        </w:rPr>
        <w:t>Tilvis</w:t>
      </w:r>
      <w:proofErr w:type="spellEnd"/>
      <w:r>
        <w:rPr>
          <w:sz w:val="20"/>
          <w:szCs w:val="20"/>
        </w:rPr>
        <w:t xml:space="preserve">, R. S. (2020). Effect of protein supplementation on physical performance in older people with sarcopenia–A randomized controlled trial. </w:t>
      </w:r>
      <w:r>
        <w:rPr>
          <w:i/>
          <w:iCs/>
          <w:sz w:val="20"/>
          <w:szCs w:val="20"/>
        </w:rPr>
        <w:t>Journal of the American Medical Directors Association</w:t>
      </w:r>
      <w:r>
        <w:rPr>
          <w:sz w:val="20"/>
          <w:szCs w:val="20"/>
        </w:rPr>
        <w:t xml:space="preserve">, </w:t>
      </w:r>
      <w:r>
        <w:rPr>
          <w:i/>
          <w:iCs/>
          <w:sz w:val="20"/>
          <w:szCs w:val="20"/>
        </w:rPr>
        <w:t>21</w:t>
      </w:r>
      <w:r>
        <w:rPr>
          <w:sz w:val="20"/>
          <w:szCs w:val="20"/>
        </w:rPr>
        <w:t xml:space="preserve">(2), 226-232. </w:t>
      </w:r>
      <w:hyperlink r:id="rId26">
        <w:r w:rsidR="002D2CBF">
          <w:rPr>
            <w:color w:val="1155CC"/>
            <w:sz w:val="20"/>
            <w:szCs w:val="20"/>
            <w:u w:val="single"/>
          </w:rPr>
          <w:t>https://doi.org/10.1016/j.jamda.2019.09.006</w:t>
        </w:r>
      </w:hyperlink>
    </w:p>
    <w:p w14:paraId="00000052" w14:textId="77777777" w:rsidR="002D2CBF" w:rsidRDefault="002D2CBF">
      <w:pPr>
        <w:pBdr>
          <w:top w:val="nil"/>
          <w:left w:val="nil"/>
          <w:bottom w:val="nil"/>
          <w:right w:val="nil"/>
          <w:between w:val="nil"/>
        </w:pBdr>
        <w:spacing w:line="240" w:lineRule="auto"/>
        <w:jc w:val="both"/>
        <w:rPr>
          <w:sz w:val="20"/>
          <w:szCs w:val="20"/>
        </w:rPr>
      </w:pPr>
    </w:p>
    <w:p w14:paraId="00000053" w14:textId="06807A9F" w:rsidR="002D2CBF" w:rsidRDefault="00125BFF">
      <w:pPr>
        <w:widowControl w:val="0"/>
        <w:numPr>
          <w:ilvl w:val="0"/>
          <w:numId w:val="2"/>
        </w:numPr>
        <w:spacing w:line="360" w:lineRule="auto"/>
        <w:jc w:val="both"/>
        <w:rPr>
          <w:sz w:val="20"/>
          <w:szCs w:val="20"/>
        </w:rPr>
      </w:pPr>
      <w:r>
        <w:rPr>
          <w:sz w:val="20"/>
          <w:szCs w:val="20"/>
        </w:rPr>
        <w:t xml:space="preserve">Jang, Y. J. (2022). The effects of protein and supplements on sarcopenia in human clinical studies: how older adults should consume protein and supplements. </w:t>
      </w:r>
      <w:r>
        <w:rPr>
          <w:i/>
          <w:iCs/>
          <w:sz w:val="20"/>
          <w:szCs w:val="20"/>
        </w:rPr>
        <w:t>Journal of microbiology and biotechnology</w:t>
      </w:r>
      <w:r>
        <w:rPr>
          <w:sz w:val="20"/>
          <w:szCs w:val="20"/>
        </w:rPr>
        <w:t xml:space="preserve">, </w:t>
      </w:r>
      <w:r>
        <w:rPr>
          <w:i/>
          <w:iCs/>
          <w:sz w:val="20"/>
          <w:szCs w:val="20"/>
        </w:rPr>
        <w:t>33</w:t>
      </w:r>
      <w:r>
        <w:rPr>
          <w:sz w:val="20"/>
          <w:szCs w:val="20"/>
        </w:rPr>
        <w:t>(2), 143.</w:t>
      </w:r>
      <w:r>
        <w:rPr>
          <w:color w:val="1155CC"/>
          <w:sz w:val="20"/>
          <w:szCs w:val="20"/>
        </w:rPr>
        <w:t xml:space="preserve"> </w:t>
      </w:r>
    </w:p>
    <w:p w14:paraId="00000054" w14:textId="77777777" w:rsidR="002D2CBF" w:rsidRDefault="002D2CBF">
      <w:pPr>
        <w:pBdr>
          <w:top w:val="nil"/>
          <w:left w:val="nil"/>
          <w:bottom w:val="nil"/>
          <w:right w:val="nil"/>
          <w:between w:val="nil"/>
        </w:pBdr>
        <w:ind w:left="720"/>
        <w:jc w:val="both"/>
        <w:rPr>
          <w:sz w:val="20"/>
          <w:szCs w:val="20"/>
        </w:rPr>
      </w:pPr>
    </w:p>
    <w:p w14:paraId="00000055" w14:textId="77777777" w:rsidR="002D2CBF" w:rsidRDefault="00125BFF">
      <w:pPr>
        <w:widowControl w:val="0"/>
        <w:numPr>
          <w:ilvl w:val="0"/>
          <w:numId w:val="2"/>
        </w:numPr>
        <w:spacing w:after="240" w:line="360" w:lineRule="auto"/>
        <w:jc w:val="both"/>
        <w:rPr>
          <w:sz w:val="20"/>
          <w:szCs w:val="20"/>
        </w:rPr>
      </w:pPr>
      <w:r>
        <w:rPr>
          <w:sz w:val="20"/>
          <w:szCs w:val="20"/>
        </w:rPr>
        <w:t xml:space="preserve">Coelho-Junior, H. J., </w:t>
      </w:r>
      <w:proofErr w:type="spellStart"/>
      <w:r>
        <w:rPr>
          <w:sz w:val="20"/>
          <w:szCs w:val="20"/>
        </w:rPr>
        <w:t>Calvani</w:t>
      </w:r>
      <w:proofErr w:type="spellEnd"/>
      <w:r>
        <w:rPr>
          <w:sz w:val="20"/>
          <w:szCs w:val="20"/>
        </w:rPr>
        <w:t xml:space="preserve">, R., </w:t>
      </w:r>
      <w:proofErr w:type="spellStart"/>
      <w:r>
        <w:rPr>
          <w:sz w:val="20"/>
          <w:szCs w:val="20"/>
        </w:rPr>
        <w:t>Azzolino</w:t>
      </w:r>
      <w:proofErr w:type="spellEnd"/>
      <w:r>
        <w:rPr>
          <w:sz w:val="20"/>
          <w:szCs w:val="20"/>
        </w:rPr>
        <w:t xml:space="preserve">, D., </w:t>
      </w:r>
      <w:proofErr w:type="spellStart"/>
      <w:r>
        <w:rPr>
          <w:sz w:val="20"/>
          <w:szCs w:val="20"/>
        </w:rPr>
        <w:t>Picca</w:t>
      </w:r>
      <w:proofErr w:type="spellEnd"/>
      <w:r>
        <w:rPr>
          <w:sz w:val="20"/>
          <w:szCs w:val="20"/>
        </w:rPr>
        <w:t xml:space="preserve">, A., </w:t>
      </w:r>
      <w:proofErr w:type="spellStart"/>
      <w:r>
        <w:rPr>
          <w:sz w:val="20"/>
          <w:szCs w:val="20"/>
        </w:rPr>
        <w:t>Tosato</w:t>
      </w:r>
      <w:proofErr w:type="spellEnd"/>
      <w:r>
        <w:rPr>
          <w:sz w:val="20"/>
          <w:szCs w:val="20"/>
        </w:rPr>
        <w:t xml:space="preserve">, M., </w:t>
      </w:r>
      <w:proofErr w:type="spellStart"/>
      <w:r>
        <w:rPr>
          <w:sz w:val="20"/>
          <w:szCs w:val="20"/>
        </w:rPr>
        <w:t>Landi</w:t>
      </w:r>
      <w:proofErr w:type="spellEnd"/>
      <w:r>
        <w:rPr>
          <w:sz w:val="20"/>
          <w:szCs w:val="20"/>
        </w:rPr>
        <w:t xml:space="preserve">, F., ... &amp; Marzetti, E. (2022). Protein intake and sarcopenia in older adults: a systematic review and meta-analysis. </w:t>
      </w:r>
      <w:r>
        <w:rPr>
          <w:i/>
          <w:iCs/>
          <w:sz w:val="20"/>
          <w:szCs w:val="20"/>
        </w:rPr>
        <w:t>International journal of environmental research and public health</w:t>
      </w:r>
      <w:r>
        <w:rPr>
          <w:sz w:val="20"/>
          <w:szCs w:val="20"/>
        </w:rPr>
        <w:t xml:space="preserve">, </w:t>
      </w:r>
      <w:r>
        <w:rPr>
          <w:i/>
          <w:iCs/>
          <w:sz w:val="20"/>
          <w:szCs w:val="20"/>
        </w:rPr>
        <w:t>19</w:t>
      </w:r>
      <w:r>
        <w:rPr>
          <w:sz w:val="20"/>
          <w:szCs w:val="20"/>
        </w:rPr>
        <w:t xml:space="preserve">(14), 8718. </w:t>
      </w:r>
      <w:hyperlink r:id="rId27">
        <w:r w:rsidR="002D2CBF">
          <w:rPr>
            <w:color w:val="1155CC"/>
            <w:sz w:val="20"/>
            <w:szCs w:val="20"/>
            <w:u w:val="single"/>
          </w:rPr>
          <w:t>https://doi.org/10.3390/ijerph19148718</w:t>
        </w:r>
      </w:hyperlink>
      <w:r>
        <w:rPr>
          <w:color w:val="1155CC"/>
          <w:sz w:val="20"/>
          <w:szCs w:val="20"/>
          <w:u w:val="single"/>
        </w:rPr>
        <w:t xml:space="preserve"> </w:t>
      </w:r>
    </w:p>
    <w:p w14:paraId="00000056" w14:textId="77777777" w:rsidR="002D2CBF" w:rsidRDefault="00125BFF">
      <w:pPr>
        <w:numPr>
          <w:ilvl w:val="0"/>
          <w:numId w:val="2"/>
        </w:numPr>
        <w:jc w:val="both"/>
        <w:rPr>
          <w:sz w:val="20"/>
          <w:szCs w:val="20"/>
        </w:rPr>
      </w:pPr>
      <w:proofErr w:type="spellStart"/>
      <w:r>
        <w:rPr>
          <w:sz w:val="20"/>
          <w:szCs w:val="20"/>
        </w:rPr>
        <w:t>Naseeb</w:t>
      </w:r>
      <w:proofErr w:type="spellEnd"/>
      <w:r>
        <w:rPr>
          <w:sz w:val="20"/>
          <w:szCs w:val="20"/>
        </w:rPr>
        <w:t xml:space="preserve">, M. A., &amp; Volpe, S. L. (2017). Protein and exercise in the prevention of sarcopenia and aging. </w:t>
      </w:r>
      <w:r>
        <w:rPr>
          <w:i/>
          <w:iCs/>
          <w:sz w:val="20"/>
          <w:szCs w:val="20"/>
        </w:rPr>
        <w:t>Nutrition research</w:t>
      </w:r>
      <w:r>
        <w:rPr>
          <w:sz w:val="20"/>
          <w:szCs w:val="20"/>
        </w:rPr>
        <w:t xml:space="preserve">, </w:t>
      </w:r>
      <w:r>
        <w:rPr>
          <w:i/>
          <w:iCs/>
          <w:sz w:val="20"/>
          <w:szCs w:val="20"/>
        </w:rPr>
        <w:t>40</w:t>
      </w:r>
      <w:r>
        <w:rPr>
          <w:sz w:val="20"/>
          <w:szCs w:val="20"/>
        </w:rPr>
        <w:t>, 1-20.</w:t>
      </w:r>
      <w:r>
        <w:rPr>
          <w:color w:val="1155CC"/>
          <w:sz w:val="20"/>
          <w:szCs w:val="20"/>
          <w:u w:val="single"/>
        </w:rPr>
        <w:t xml:space="preserve"> </w:t>
      </w:r>
      <w:hyperlink r:id="rId28">
        <w:r w:rsidR="002D2CBF">
          <w:rPr>
            <w:color w:val="1155CC"/>
            <w:sz w:val="20"/>
            <w:szCs w:val="20"/>
            <w:u w:val="single"/>
          </w:rPr>
          <w:t>https://doi.org/10.1016/j.nutres.2017.01.001</w:t>
        </w:r>
      </w:hyperlink>
    </w:p>
    <w:p w14:paraId="00000057" w14:textId="77777777" w:rsidR="002D2CBF" w:rsidRDefault="002D2CBF">
      <w:pPr>
        <w:widowControl w:val="0"/>
        <w:pBdr>
          <w:top w:val="nil"/>
          <w:left w:val="nil"/>
          <w:bottom w:val="nil"/>
          <w:right w:val="nil"/>
          <w:between w:val="nil"/>
        </w:pBdr>
        <w:spacing w:line="240" w:lineRule="auto"/>
        <w:ind w:left="720"/>
        <w:jc w:val="both"/>
        <w:rPr>
          <w:sz w:val="20"/>
          <w:szCs w:val="20"/>
        </w:rPr>
      </w:pPr>
    </w:p>
    <w:p w14:paraId="00000058" w14:textId="77777777" w:rsidR="002D2CBF" w:rsidRDefault="00125BFF">
      <w:pPr>
        <w:numPr>
          <w:ilvl w:val="0"/>
          <w:numId w:val="2"/>
        </w:numPr>
        <w:jc w:val="both"/>
        <w:rPr>
          <w:sz w:val="20"/>
          <w:szCs w:val="20"/>
        </w:rPr>
      </w:pPr>
      <w:proofErr w:type="spellStart"/>
      <w:r>
        <w:rPr>
          <w:sz w:val="20"/>
          <w:szCs w:val="20"/>
        </w:rPr>
        <w:t>Nasso</w:t>
      </w:r>
      <w:proofErr w:type="spellEnd"/>
      <w:r>
        <w:rPr>
          <w:sz w:val="20"/>
          <w:szCs w:val="20"/>
        </w:rPr>
        <w:t xml:space="preserve">, R., </w:t>
      </w:r>
      <w:proofErr w:type="spellStart"/>
      <w:r>
        <w:rPr>
          <w:sz w:val="20"/>
          <w:szCs w:val="20"/>
        </w:rPr>
        <w:t>D’Errico</w:t>
      </w:r>
      <w:proofErr w:type="spellEnd"/>
      <w:r>
        <w:rPr>
          <w:sz w:val="20"/>
          <w:szCs w:val="20"/>
        </w:rPr>
        <w:t xml:space="preserve">, A., </w:t>
      </w:r>
      <w:proofErr w:type="spellStart"/>
      <w:r>
        <w:rPr>
          <w:sz w:val="20"/>
          <w:szCs w:val="20"/>
        </w:rPr>
        <w:t>Motti</w:t>
      </w:r>
      <w:proofErr w:type="spellEnd"/>
      <w:r>
        <w:rPr>
          <w:sz w:val="20"/>
          <w:szCs w:val="20"/>
        </w:rPr>
        <w:t xml:space="preserve">, M. L., </w:t>
      </w:r>
      <w:proofErr w:type="spellStart"/>
      <w:r>
        <w:rPr>
          <w:sz w:val="20"/>
          <w:szCs w:val="20"/>
        </w:rPr>
        <w:t>Masullo</w:t>
      </w:r>
      <w:proofErr w:type="spellEnd"/>
      <w:r>
        <w:rPr>
          <w:sz w:val="20"/>
          <w:szCs w:val="20"/>
        </w:rPr>
        <w:t xml:space="preserve">, M., &amp; </w:t>
      </w:r>
      <w:proofErr w:type="spellStart"/>
      <w:r>
        <w:rPr>
          <w:sz w:val="20"/>
          <w:szCs w:val="20"/>
        </w:rPr>
        <w:t>Arcone</w:t>
      </w:r>
      <w:proofErr w:type="spellEnd"/>
      <w:r>
        <w:rPr>
          <w:sz w:val="20"/>
          <w:szCs w:val="20"/>
        </w:rPr>
        <w:t xml:space="preserve">, R. (2024). Dietary Protein and Physical Exercise for the Treatment of Sarcopenia. Clinics and Practice, 14(4), 1451-1467. </w:t>
      </w:r>
      <w:hyperlink r:id="rId29">
        <w:r w:rsidR="002D2CBF">
          <w:rPr>
            <w:color w:val="1155CC"/>
            <w:sz w:val="20"/>
            <w:szCs w:val="20"/>
            <w:u w:val="single"/>
          </w:rPr>
          <w:t>https://doi.org/10.3390/clinpract14040117</w:t>
        </w:r>
      </w:hyperlink>
    </w:p>
    <w:p w14:paraId="00000059" w14:textId="77777777" w:rsidR="002D2CBF" w:rsidRDefault="002D2CBF">
      <w:pPr>
        <w:ind w:left="720"/>
        <w:jc w:val="both"/>
        <w:rPr>
          <w:sz w:val="20"/>
          <w:szCs w:val="20"/>
        </w:rPr>
      </w:pPr>
    </w:p>
    <w:p w14:paraId="0000005A" w14:textId="77777777" w:rsidR="002D2CBF" w:rsidRDefault="00125BFF">
      <w:pPr>
        <w:numPr>
          <w:ilvl w:val="0"/>
          <w:numId w:val="2"/>
        </w:numPr>
        <w:jc w:val="both"/>
        <w:rPr>
          <w:sz w:val="20"/>
          <w:szCs w:val="20"/>
        </w:rPr>
      </w:pPr>
      <w:proofErr w:type="spellStart"/>
      <w:r>
        <w:rPr>
          <w:sz w:val="20"/>
          <w:szCs w:val="20"/>
        </w:rPr>
        <w:t>Akehurst</w:t>
      </w:r>
      <w:proofErr w:type="spellEnd"/>
      <w:r>
        <w:rPr>
          <w:sz w:val="20"/>
          <w:szCs w:val="20"/>
        </w:rPr>
        <w:t xml:space="preserve">, E., Scott, D., Rodríguez, J. P., Alonso Gonzalez, C., Murphy, J., McCarthy, H., </w:t>
      </w:r>
      <w:proofErr w:type="spellStart"/>
      <w:r>
        <w:rPr>
          <w:sz w:val="20"/>
          <w:szCs w:val="20"/>
        </w:rPr>
        <w:t>Dorgo</w:t>
      </w:r>
      <w:proofErr w:type="spellEnd"/>
      <w:r>
        <w:rPr>
          <w:sz w:val="20"/>
          <w:szCs w:val="20"/>
        </w:rPr>
        <w:t xml:space="preserve">, S., &amp; Hayes, A. (2021). </w:t>
      </w:r>
      <w:r>
        <w:rPr>
          <w:i/>
          <w:iCs/>
          <w:sz w:val="20"/>
          <w:szCs w:val="20"/>
        </w:rPr>
        <w:t>Associations of sarcopenia components with physical activity and nutrition in Australian older adults performing exercise training.</w:t>
      </w:r>
      <w:r>
        <w:rPr>
          <w:sz w:val="20"/>
          <w:szCs w:val="20"/>
        </w:rPr>
        <w:t xml:space="preserve"> </w:t>
      </w:r>
      <w:r>
        <w:rPr>
          <w:i/>
          <w:iCs/>
          <w:sz w:val="20"/>
          <w:szCs w:val="20"/>
        </w:rPr>
        <w:t>BMC Geriatrics, 21</w:t>
      </w:r>
      <w:r>
        <w:rPr>
          <w:sz w:val="20"/>
          <w:szCs w:val="20"/>
        </w:rPr>
        <w:t>(1), 276.</w:t>
      </w:r>
      <w:hyperlink r:id="rId30">
        <w:r w:rsidR="002D2CBF">
          <w:rPr>
            <w:sz w:val="20"/>
            <w:szCs w:val="20"/>
          </w:rPr>
          <w:t xml:space="preserve"> </w:t>
        </w:r>
      </w:hyperlink>
      <w:hyperlink r:id="rId31">
        <w:r w:rsidR="002D2CBF">
          <w:rPr>
            <w:color w:val="1155CC"/>
            <w:sz w:val="20"/>
            <w:szCs w:val="20"/>
            <w:u w:val="single"/>
          </w:rPr>
          <w:t>https://doi.org/10.1186/s12877-021-02212-y</w:t>
        </w:r>
      </w:hyperlink>
    </w:p>
    <w:p w14:paraId="0000005B" w14:textId="77777777" w:rsidR="002D2CBF" w:rsidRDefault="002D2CBF">
      <w:pPr>
        <w:pBdr>
          <w:top w:val="nil"/>
          <w:left w:val="nil"/>
          <w:bottom w:val="nil"/>
          <w:right w:val="nil"/>
          <w:between w:val="nil"/>
        </w:pBdr>
        <w:jc w:val="both"/>
        <w:rPr>
          <w:sz w:val="20"/>
          <w:szCs w:val="20"/>
        </w:rPr>
      </w:pPr>
    </w:p>
    <w:p w14:paraId="0000005C" w14:textId="77777777" w:rsidR="002D2CBF" w:rsidRDefault="00125BFF">
      <w:pPr>
        <w:numPr>
          <w:ilvl w:val="0"/>
          <w:numId w:val="2"/>
        </w:numPr>
        <w:jc w:val="both"/>
        <w:rPr>
          <w:sz w:val="20"/>
          <w:szCs w:val="20"/>
        </w:rPr>
      </w:pPr>
      <w:proofErr w:type="spellStart"/>
      <w:r>
        <w:rPr>
          <w:sz w:val="20"/>
          <w:szCs w:val="20"/>
        </w:rPr>
        <w:t>Phu</w:t>
      </w:r>
      <w:proofErr w:type="spellEnd"/>
      <w:r>
        <w:rPr>
          <w:sz w:val="20"/>
          <w:szCs w:val="20"/>
        </w:rPr>
        <w:t xml:space="preserve">, S., Boersma, D., &amp; Duque, G. (2015). Exercise and sarcopenia. </w:t>
      </w:r>
      <w:r>
        <w:rPr>
          <w:i/>
          <w:iCs/>
          <w:sz w:val="20"/>
          <w:szCs w:val="20"/>
        </w:rPr>
        <w:t>Journal of Clinical Densitometry</w:t>
      </w:r>
      <w:r>
        <w:rPr>
          <w:sz w:val="20"/>
          <w:szCs w:val="20"/>
        </w:rPr>
        <w:t xml:space="preserve">, </w:t>
      </w:r>
      <w:r>
        <w:rPr>
          <w:i/>
          <w:iCs/>
          <w:sz w:val="20"/>
          <w:szCs w:val="20"/>
        </w:rPr>
        <w:t>18</w:t>
      </w:r>
      <w:r>
        <w:rPr>
          <w:sz w:val="20"/>
          <w:szCs w:val="20"/>
        </w:rPr>
        <w:t xml:space="preserve">(4), 488-492. </w:t>
      </w:r>
      <w:hyperlink r:id="rId32">
        <w:r w:rsidR="002D2CBF">
          <w:rPr>
            <w:sz w:val="20"/>
            <w:szCs w:val="20"/>
          </w:rPr>
          <w:t>https://doi.org/10.1016/j.jocd.2015.04.011</w:t>
        </w:r>
      </w:hyperlink>
      <w:r>
        <w:rPr>
          <w:sz w:val="20"/>
          <w:szCs w:val="20"/>
        </w:rPr>
        <w:t xml:space="preserve"> </w:t>
      </w:r>
    </w:p>
    <w:p w14:paraId="0000005D" w14:textId="77777777" w:rsidR="002D2CBF" w:rsidRDefault="002D2CBF">
      <w:pPr>
        <w:pBdr>
          <w:top w:val="nil"/>
          <w:left w:val="nil"/>
          <w:bottom w:val="nil"/>
          <w:right w:val="nil"/>
          <w:between w:val="nil"/>
        </w:pBdr>
        <w:ind w:left="720"/>
        <w:jc w:val="both"/>
        <w:rPr>
          <w:sz w:val="20"/>
          <w:szCs w:val="20"/>
        </w:rPr>
      </w:pPr>
    </w:p>
    <w:p w14:paraId="0000005E" w14:textId="77777777" w:rsidR="002D2CBF" w:rsidRDefault="00125BFF">
      <w:pPr>
        <w:numPr>
          <w:ilvl w:val="0"/>
          <w:numId w:val="2"/>
        </w:numPr>
        <w:jc w:val="both"/>
        <w:rPr>
          <w:sz w:val="20"/>
          <w:szCs w:val="20"/>
        </w:rPr>
      </w:pPr>
      <w:proofErr w:type="spellStart"/>
      <w:r>
        <w:rPr>
          <w:sz w:val="20"/>
          <w:szCs w:val="20"/>
        </w:rPr>
        <w:t>Vlietstra</w:t>
      </w:r>
      <w:proofErr w:type="spellEnd"/>
      <w:r>
        <w:rPr>
          <w:sz w:val="20"/>
          <w:szCs w:val="20"/>
        </w:rPr>
        <w:t xml:space="preserve">, L., </w:t>
      </w:r>
      <w:proofErr w:type="spellStart"/>
      <w:r>
        <w:rPr>
          <w:sz w:val="20"/>
          <w:szCs w:val="20"/>
        </w:rPr>
        <w:t>Hendrickx</w:t>
      </w:r>
      <w:proofErr w:type="spellEnd"/>
      <w:r>
        <w:rPr>
          <w:sz w:val="20"/>
          <w:szCs w:val="20"/>
        </w:rPr>
        <w:t xml:space="preserve">, W., &amp; Waters, D. L. (2018). Exercise interventions in healthy older adults with sarcopenia: A systematic review and meta-analysis. Australasian Journal on Ageing, 37(3), 169–183. </w:t>
      </w:r>
      <w:hyperlink r:id="rId33">
        <w:r w:rsidR="002D2CBF">
          <w:rPr>
            <w:color w:val="1155CC"/>
            <w:sz w:val="20"/>
            <w:szCs w:val="20"/>
            <w:u w:val="single"/>
          </w:rPr>
          <w:t>https://doi.org/10.1111/ajag.12521</w:t>
        </w:r>
      </w:hyperlink>
      <w:r>
        <w:rPr>
          <w:color w:val="1155CC"/>
          <w:sz w:val="20"/>
          <w:szCs w:val="20"/>
        </w:rPr>
        <w:t xml:space="preserve"> </w:t>
      </w:r>
    </w:p>
    <w:p w14:paraId="0000005F" w14:textId="77777777" w:rsidR="002D2CBF" w:rsidRDefault="002D2CBF">
      <w:pPr>
        <w:pBdr>
          <w:top w:val="nil"/>
          <w:left w:val="nil"/>
          <w:bottom w:val="nil"/>
          <w:right w:val="nil"/>
          <w:between w:val="nil"/>
        </w:pBdr>
        <w:ind w:left="720"/>
        <w:jc w:val="both"/>
        <w:rPr>
          <w:sz w:val="20"/>
          <w:szCs w:val="20"/>
        </w:rPr>
      </w:pPr>
    </w:p>
    <w:p w14:paraId="00000060" w14:textId="77777777" w:rsidR="002D2CBF" w:rsidRDefault="00125BFF">
      <w:pPr>
        <w:numPr>
          <w:ilvl w:val="0"/>
          <w:numId w:val="2"/>
        </w:numPr>
        <w:jc w:val="both"/>
        <w:rPr>
          <w:sz w:val="20"/>
          <w:szCs w:val="20"/>
        </w:rPr>
      </w:pPr>
      <w:r>
        <w:rPr>
          <w:sz w:val="20"/>
          <w:szCs w:val="20"/>
          <w:highlight w:val="white"/>
        </w:rPr>
        <w:t xml:space="preserve">Nascimento, C. M., Ingles, M., Salvador-Pascual, A., </w:t>
      </w:r>
      <w:proofErr w:type="spellStart"/>
      <w:r>
        <w:rPr>
          <w:sz w:val="20"/>
          <w:szCs w:val="20"/>
          <w:highlight w:val="white"/>
        </w:rPr>
        <w:t>Cominetti</w:t>
      </w:r>
      <w:proofErr w:type="spellEnd"/>
      <w:r>
        <w:rPr>
          <w:sz w:val="20"/>
          <w:szCs w:val="20"/>
          <w:highlight w:val="white"/>
        </w:rPr>
        <w:t xml:space="preserve">, M. R., Gomez-Cabrera, M. C., &amp; </w:t>
      </w:r>
      <w:proofErr w:type="spellStart"/>
      <w:r>
        <w:rPr>
          <w:sz w:val="20"/>
          <w:szCs w:val="20"/>
          <w:highlight w:val="white"/>
        </w:rPr>
        <w:t>Viña</w:t>
      </w:r>
      <w:proofErr w:type="spellEnd"/>
      <w:r>
        <w:rPr>
          <w:sz w:val="20"/>
          <w:szCs w:val="20"/>
          <w:highlight w:val="white"/>
        </w:rPr>
        <w:t xml:space="preserve">, J. (2019). Sarcopenia, frailty and their prevention by exercise. </w:t>
      </w:r>
      <w:r>
        <w:rPr>
          <w:i/>
          <w:iCs/>
          <w:sz w:val="20"/>
          <w:szCs w:val="20"/>
          <w:highlight w:val="white"/>
        </w:rPr>
        <w:t>Free radical biology and medicine</w:t>
      </w:r>
      <w:r>
        <w:rPr>
          <w:sz w:val="20"/>
          <w:szCs w:val="20"/>
          <w:highlight w:val="white"/>
        </w:rPr>
        <w:t xml:space="preserve">, </w:t>
      </w:r>
      <w:r>
        <w:rPr>
          <w:i/>
          <w:iCs/>
          <w:sz w:val="20"/>
          <w:szCs w:val="20"/>
          <w:highlight w:val="white"/>
        </w:rPr>
        <w:t>132</w:t>
      </w:r>
      <w:r>
        <w:rPr>
          <w:sz w:val="20"/>
          <w:szCs w:val="20"/>
          <w:highlight w:val="white"/>
        </w:rPr>
        <w:t xml:space="preserve">, 42-49. </w:t>
      </w:r>
      <w:hyperlink r:id="rId34">
        <w:r w:rsidR="002D2CBF">
          <w:rPr>
            <w:color w:val="1155CC"/>
            <w:sz w:val="20"/>
            <w:szCs w:val="20"/>
            <w:highlight w:val="white"/>
            <w:u w:val="single"/>
          </w:rPr>
          <w:t>https://doi.org/10.1016/j.freeradbiomed.2018.08.035</w:t>
        </w:r>
      </w:hyperlink>
      <w:r>
        <w:rPr>
          <w:color w:val="1155CC"/>
          <w:sz w:val="20"/>
          <w:szCs w:val="20"/>
          <w:highlight w:val="white"/>
        </w:rPr>
        <w:t xml:space="preserve"> </w:t>
      </w:r>
    </w:p>
    <w:p w14:paraId="00000061" w14:textId="77777777" w:rsidR="002D2CBF" w:rsidRDefault="002D2CBF">
      <w:pPr>
        <w:pBdr>
          <w:top w:val="nil"/>
          <w:left w:val="nil"/>
          <w:bottom w:val="nil"/>
          <w:right w:val="nil"/>
          <w:between w:val="nil"/>
        </w:pBdr>
        <w:jc w:val="both"/>
        <w:rPr>
          <w:sz w:val="20"/>
          <w:szCs w:val="20"/>
          <w:highlight w:val="white"/>
        </w:rPr>
      </w:pPr>
    </w:p>
    <w:p w14:paraId="00000062" w14:textId="77777777" w:rsidR="002D2CBF" w:rsidRDefault="00125BFF">
      <w:pPr>
        <w:numPr>
          <w:ilvl w:val="0"/>
          <w:numId w:val="2"/>
        </w:numPr>
        <w:jc w:val="both"/>
        <w:rPr>
          <w:sz w:val="20"/>
          <w:szCs w:val="20"/>
        </w:rPr>
      </w:pPr>
      <w:r>
        <w:rPr>
          <w:sz w:val="20"/>
          <w:szCs w:val="20"/>
          <w:highlight w:val="white"/>
        </w:rPr>
        <w:t xml:space="preserve">Shen, Y., Shi, Q., </w:t>
      </w:r>
      <w:proofErr w:type="spellStart"/>
      <w:r>
        <w:rPr>
          <w:sz w:val="20"/>
          <w:szCs w:val="20"/>
          <w:highlight w:val="white"/>
        </w:rPr>
        <w:t>Nong</w:t>
      </w:r>
      <w:proofErr w:type="spellEnd"/>
      <w:r>
        <w:rPr>
          <w:sz w:val="20"/>
          <w:szCs w:val="20"/>
          <w:highlight w:val="white"/>
        </w:rPr>
        <w:t>, K., Li, S., Yue, J., Huang, J., ... &amp; Hao, Q. (2023). Exercise for sarcopenia in older people: a systematic review and network meta</w:t>
      </w:r>
      <w:r>
        <w:rPr>
          <w:rFonts w:ascii="Times New Roman" w:eastAsia="Times New Roman" w:hAnsi="Times New Roman" w:cs="Times New Roman"/>
          <w:sz w:val="20"/>
          <w:szCs w:val="20"/>
          <w:highlight w:val="white"/>
        </w:rPr>
        <w:t>‐</w:t>
      </w:r>
      <w:r>
        <w:rPr>
          <w:sz w:val="20"/>
          <w:szCs w:val="20"/>
          <w:highlight w:val="white"/>
        </w:rPr>
        <w:t xml:space="preserve">analysis. </w:t>
      </w:r>
      <w:r>
        <w:rPr>
          <w:i/>
          <w:iCs/>
          <w:sz w:val="20"/>
          <w:szCs w:val="20"/>
          <w:highlight w:val="white"/>
        </w:rPr>
        <w:t>Journal of cachexia, sarcopenia and muscle</w:t>
      </w:r>
      <w:r>
        <w:rPr>
          <w:sz w:val="20"/>
          <w:szCs w:val="20"/>
          <w:highlight w:val="white"/>
        </w:rPr>
        <w:t xml:space="preserve">, </w:t>
      </w:r>
      <w:r>
        <w:rPr>
          <w:i/>
          <w:iCs/>
          <w:sz w:val="20"/>
          <w:szCs w:val="20"/>
          <w:highlight w:val="white"/>
        </w:rPr>
        <w:t>14</w:t>
      </w:r>
      <w:r>
        <w:rPr>
          <w:sz w:val="20"/>
          <w:szCs w:val="20"/>
          <w:highlight w:val="white"/>
        </w:rPr>
        <w:t xml:space="preserve">(3), 1199-1211. </w:t>
      </w:r>
      <w:hyperlink r:id="rId35">
        <w:r w:rsidR="002D2CBF">
          <w:rPr>
            <w:color w:val="1155CC"/>
            <w:sz w:val="20"/>
            <w:szCs w:val="20"/>
            <w:highlight w:val="white"/>
            <w:u w:val="single"/>
          </w:rPr>
          <w:t>https://doi.org/10.1002/jcsm.13225</w:t>
        </w:r>
      </w:hyperlink>
      <w:r>
        <w:rPr>
          <w:color w:val="1155CC"/>
          <w:sz w:val="20"/>
          <w:szCs w:val="20"/>
          <w:highlight w:val="white"/>
        </w:rPr>
        <w:t xml:space="preserve"> </w:t>
      </w:r>
    </w:p>
    <w:p w14:paraId="00000063" w14:textId="77777777" w:rsidR="002D2CBF" w:rsidRDefault="002D2CBF">
      <w:pPr>
        <w:pBdr>
          <w:top w:val="nil"/>
          <w:left w:val="nil"/>
          <w:bottom w:val="nil"/>
          <w:right w:val="nil"/>
          <w:between w:val="nil"/>
        </w:pBdr>
        <w:jc w:val="both"/>
        <w:rPr>
          <w:sz w:val="20"/>
          <w:szCs w:val="20"/>
        </w:rPr>
      </w:pPr>
    </w:p>
    <w:p w14:paraId="00000064" w14:textId="77777777" w:rsidR="002D2CBF" w:rsidRDefault="00125BFF">
      <w:pPr>
        <w:numPr>
          <w:ilvl w:val="0"/>
          <w:numId w:val="2"/>
        </w:numPr>
        <w:jc w:val="both"/>
        <w:rPr>
          <w:sz w:val="20"/>
          <w:szCs w:val="20"/>
          <w:highlight w:val="white"/>
        </w:rPr>
      </w:pPr>
      <w:r>
        <w:rPr>
          <w:sz w:val="20"/>
          <w:szCs w:val="20"/>
          <w:highlight w:val="white"/>
        </w:rPr>
        <w:t xml:space="preserve">Bao, W., Sun, Y., Zhang, T., Zou, L., Wu, X., Wang, D., &amp; Chen, Z. (2020). Exercise programs for muscle mass, muscle strength and physical performance in older adults with sarcopenia: a systematic review and meta-analysis. </w:t>
      </w:r>
      <w:r>
        <w:rPr>
          <w:i/>
          <w:iCs/>
          <w:sz w:val="20"/>
          <w:szCs w:val="20"/>
          <w:highlight w:val="white"/>
        </w:rPr>
        <w:t>Aging and disease</w:t>
      </w:r>
      <w:r>
        <w:rPr>
          <w:sz w:val="20"/>
          <w:szCs w:val="20"/>
          <w:highlight w:val="white"/>
        </w:rPr>
        <w:t xml:space="preserve">, </w:t>
      </w:r>
      <w:r>
        <w:rPr>
          <w:i/>
          <w:iCs/>
          <w:sz w:val="20"/>
          <w:szCs w:val="20"/>
          <w:highlight w:val="white"/>
        </w:rPr>
        <w:t>11</w:t>
      </w:r>
      <w:r>
        <w:rPr>
          <w:sz w:val="20"/>
          <w:szCs w:val="20"/>
          <w:highlight w:val="white"/>
        </w:rPr>
        <w:t xml:space="preserve">(4), 863. </w:t>
      </w:r>
      <w:hyperlink r:id="rId36">
        <w:r w:rsidR="002D2CBF">
          <w:rPr>
            <w:color w:val="1155CC"/>
            <w:sz w:val="20"/>
            <w:szCs w:val="20"/>
            <w:highlight w:val="white"/>
            <w:u w:val="single"/>
          </w:rPr>
          <w:t>10.14336/AD.2019.1012</w:t>
        </w:r>
      </w:hyperlink>
    </w:p>
    <w:p w14:paraId="00000065" w14:textId="77777777" w:rsidR="002D2CBF" w:rsidRDefault="002D2CBF">
      <w:pPr>
        <w:ind w:left="720"/>
        <w:jc w:val="both"/>
        <w:rPr>
          <w:sz w:val="20"/>
          <w:szCs w:val="20"/>
          <w:highlight w:val="white"/>
        </w:rPr>
      </w:pPr>
    </w:p>
    <w:p w14:paraId="00000066" w14:textId="77777777" w:rsidR="002D2CBF" w:rsidRDefault="00125BFF">
      <w:pPr>
        <w:numPr>
          <w:ilvl w:val="0"/>
          <w:numId w:val="2"/>
        </w:numPr>
        <w:jc w:val="both"/>
        <w:rPr>
          <w:sz w:val="20"/>
          <w:szCs w:val="20"/>
          <w:highlight w:val="white"/>
        </w:rPr>
      </w:pPr>
      <w:proofErr w:type="spellStart"/>
      <w:r>
        <w:rPr>
          <w:sz w:val="20"/>
          <w:szCs w:val="20"/>
          <w:highlight w:val="white"/>
        </w:rPr>
        <w:lastRenderedPageBreak/>
        <w:t>Rogeri</w:t>
      </w:r>
      <w:proofErr w:type="spellEnd"/>
      <w:r>
        <w:rPr>
          <w:sz w:val="20"/>
          <w:szCs w:val="20"/>
          <w:highlight w:val="white"/>
        </w:rPr>
        <w:t xml:space="preserve">, P. S., </w:t>
      </w:r>
      <w:proofErr w:type="spellStart"/>
      <w:r>
        <w:rPr>
          <w:sz w:val="20"/>
          <w:szCs w:val="20"/>
          <w:highlight w:val="white"/>
        </w:rPr>
        <w:t>Zanella</w:t>
      </w:r>
      <w:proofErr w:type="spellEnd"/>
      <w:r>
        <w:rPr>
          <w:sz w:val="20"/>
          <w:szCs w:val="20"/>
          <w:highlight w:val="white"/>
        </w:rPr>
        <w:t xml:space="preserve">, R., Jr., Martins, G. L., Garcia, M. D. A., </w:t>
      </w:r>
      <w:proofErr w:type="spellStart"/>
      <w:r>
        <w:rPr>
          <w:sz w:val="20"/>
          <w:szCs w:val="20"/>
          <w:highlight w:val="white"/>
        </w:rPr>
        <w:t>Leite</w:t>
      </w:r>
      <w:proofErr w:type="spellEnd"/>
      <w:r>
        <w:rPr>
          <w:sz w:val="20"/>
          <w:szCs w:val="20"/>
          <w:highlight w:val="white"/>
        </w:rPr>
        <w:t xml:space="preserve">, G., </w:t>
      </w:r>
      <w:proofErr w:type="spellStart"/>
      <w:r>
        <w:rPr>
          <w:sz w:val="20"/>
          <w:szCs w:val="20"/>
          <w:highlight w:val="white"/>
        </w:rPr>
        <w:t>Lugaresi</w:t>
      </w:r>
      <w:proofErr w:type="spellEnd"/>
      <w:r>
        <w:rPr>
          <w:sz w:val="20"/>
          <w:szCs w:val="20"/>
          <w:highlight w:val="white"/>
        </w:rPr>
        <w:t xml:space="preserve">, R., Gasparini, S. O., </w:t>
      </w:r>
      <w:proofErr w:type="spellStart"/>
      <w:r>
        <w:rPr>
          <w:sz w:val="20"/>
          <w:szCs w:val="20"/>
          <w:highlight w:val="white"/>
        </w:rPr>
        <w:t>Sperandio</w:t>
      </w:r>
      <w:proofErr w:type="spellEnd"/>
      <w:r>
        <w:rPr>
          <w:sz w:val="20"/>
          <w:szCs w:val="20"/>
          <w:highlight w:val="white"/>
        </w:rPr>
        <w:t xml:space="preserve">, G. A., Ferreira, L. H. B., Souza-Junior, T. P., &amp; Lancha, A. H., Jr. (2022). Strategies to Prevent Sarcopenia in the Aging Process: Role of Protein Intake and Exercise. Nutrients, 14(1), 52. </w:t>
      </w:r>
      <w:hyperlink r:id="rId37">
        <w:r w:rsidR="002D2CBF">
          <w:rPr>
            <w:color w:val="1155CC"/>
            <w:sz w:val="20"/>
            <w:szCs w:val="20"/>
            <w:highlight w:val="white"/>
            <w:u w:val="single"/>
          </w:rPr>
          <w:t>https://doi.org/10.3390/nu14010052</w:t>
        </w:r>
      </w:hyperlink>
      <w:r>
        <w:rPr>
          <w:color w:val="1155CC"/>
          <w:sz w:val="20"/>
          <w:szCs w:val="20"/>
          <w:highlight w:val="white"/>
        </w:rPr>
        <w:t xml:space="preserve">. </w:t>
      </w:r>
    </w:p>
    <w:p w14:paraId="00000067" w14:textId="77777777" w:rsidR="002D2CBF" w:rsidRDefault="002D2CBF">
      <w:pPr>
        <w:pBdr>
          <w:top w:val="nil"/>
          <w:left w:val="nil"/>
          <w:bottom w:val="nil"/>
          <w:right w:val="nil"/>
          <w:between w:val="nil"/>
        </w:pBdr>
        <w:jc w:val="both"/>
        <w:rPr>
          <w:sz w:val="20"/>
          <w:szCs w:val="20"/>
        </w:rPr>
      </w:pPr>
    </w:p>
    <w:p w14:paraId="00000068" w14:textId="07FCF156" w:rsidR="002D2CBF" w:rsidRDefault="00125BFF">
      <w:pPr>
        <w:numPr>
          <w:ilvl w:val="0"/>
          <w:numId w:val="2"/>
        </w:numPr>
        <w:pBdr>
          <w:top w:val="nil"/>
          <w:left w:val="nil"/>
          <w:bottom w:val="nil"/>
          <w:right w:val="nil"/>
          <w:between w:val="nil"/>
        </w:pBdr>
        <w:jc w:val="both"/>
        <w:rPr>
          <w:sz w:val="20"/>
          <w:szCs w:val="20"/>
        </w:rPr>
      </w:pPr>
      <w:r>
        <w:rPr>
          <w:sz w:val="20"/>
          <w:szCs w:val="20"/>
          <w:highlight w:val="white"/>
        </w:rPr>
        <w:t xml:space="preserve">Lin, C.-C., Shih, M.-H., Chen, C.-D., &amp; Yeh, S.-L. (2019). Effects of adequate dietary protein with whey protein, leucine, and vitamin D supplementation on sarcopenia in older adults: An open-label, parallel-group study. Clinical Nutrition, 38(6), 2592–2598. </w:t>
      </w:r>
    </w:p>
    <w:p w14:paraId="00000069" w14:textId="77777777" w:rsidR="002D2CBF" w:rsidRDefault="002D2CBF">
      <w:pPr>
        <w:pBdr>
          <w:top w:val="nil"/>
          <w:left w:val="nil"/>
          <w:bottom w:val="nil"/>
          <w:right w:val="nil"/>
          <w:between w:val="nil"/>
        </w:pBdr>
        <w:jc w:val="both"/>
        <w:rPr>
          <w:sz w:val="20"/>
          <w:szCs w:val="20"/>
          <w:highlight w:val="white"/>
        </w:rPr>
      </w:pPr>
    </w:p>
    <w:p w14:paraId="0000006A" w14:textId="77777777" w:rsidR="002D2CBF" w:rsidRDefault="00125BFF">
      <w:pPr>
        <w:numPr>
          <w:ilvl w:val="0"/>
          <w:numId w:val="2"/>
        </w:numPr>
        <w:pBdr>
          <w:top w:val="nil"/>
          <w:left w:val="nil"/>
          <w:bottom w:val="nil"/>
          <w:right w:val="nil"/>
          <w:between w:val="nil"/>
        </w:pBdr>
        <w:jc w:val="both"/>
        <w:rPr>
          <w:sz w:val="20"/>
          <w:szCs w:val="20"/>
          <w:highlight w:val="white"/>
        </w:rPr>
      </w:pPr>
      <w:proofErr w:type="spellStart"/>
      <w:r>
        <w:rPr>
          <w:sz w:val="20"/>
          <w:szCs w:val="20"/>
          <w:highlight w:val="white"/>
        </w:rPr>
        <w:t>Bosaeus</w:t>
      </w:r>
      <w:proofErr w:type="spellEnd"/>
      <w:r>
        <w:rPr>
          <w:sz w:val="20"/>
          <w:szCs w:val="20"/>
          <w:highlight w:val="white"/>
        </w:rPr>
        <w:t xml:space="preserve">, I., &amp; Rothenberg, E. (2016). Nutrition and physical activity for the prevention and treatment of age-related sarcopenia. </w:t>
      </w:r>
      <w:r>
        <w:rPr>
          <w:i/>
          <w:iCs/>
          <w:sz w:val="20"/>
          <w:szCs w:val="20"/>
          <w:highlight w:val="white"/>
        </w:rPr>
        <w:t>Proceedings of the Nutrition Society</w:t>
      </w:r>
      <w:r>
        <w:rPr>
          <w:sz w:val="20"/>
          <w:szCs w:val="20"/>
          <w:highlight w:val="white"/>
        </w:rPr>
        <w:t xml:space="preserve">, </w:t>
      </w:r>
      <w:r>
        <w:rPr>
          <w:i/>
          <w:iCs/>
          <w:sz w:val="20"/>
          <w:szCs w:val="20"/>
          <w:highlight w:val="white"/>
        </w:rPr>
        <w:t>75</w:t>
      </w:r>
      <w:r>
        <w:rPr>
          <w:sz w:val="20"/>
          <w:szCs w:val="20"/>
          <w:highlight w:val="white"/>
        </w:rPr>
        <w:t xml:space="preserve">(2), 174–180. </w:t>
      </w:r>
      <w:hyperlink r:id="rId38">
        <w:r w:rsidR="002D2CBF">
          <w:rPr>
            <w:color w:val="1155CC"/>
            <w:sz w:val="20"/>
            <w:szCs w:val="20"/>
            <w:highlight w:val="white"/>
            <w:u w:val="single"/>
          </w:rPr>
          <w:t>https://doi.org/10.1017/S002966511500422X</w:t>
        </w:r>
      </w:hyperlink>
      <w:r>
        <w:rPr>
          <w:color w:val="1155CC"/>
          <w:sz w:val="20"/>
          <w:szCs w:val="20"/>
          <w:highlight w:val="white"/>
        </w:rPr>
        <w:t xml:space="preserve">  </w:t>
      </w:r>
    </w:p>
    <w:p w14:paraId="0000006B" w14:textId="77777777" w:rsidR="002D2CBF" w:rsidRDefault="002D2CBF">
      <w:pPr>
        <w:pBdr>
          <w:top w:val="nil"/>
          <w:left w:val="nil"/>
          <w:bottom w:val="nil"/>
          <w:right w:val="nil"/>
          <w:between w:val="nil"/>
        </w:pBdr>
        <w:jc w:val="both"/>
        <w:rPr>
          <w:sz w:val="20"/>
          <w:szCs w:val="20"/>
          <w:highlight w:val="white"/>
        </w:rPr>
      </w:pPr>
    </w:p>
    <w:p w14:paraId="0000006C" w14:textId="77777777" w:rsidR="002D2CBF" w:rsidRDefault="00125BFF">
      <w:pPr>
        <w:numPr>
          <w:ilvl w:val="0"/>
          <w:numId w:val="2"/>
        </w:numPr>
        <w:pBdr>
          <w:top w:val="nil"/>
          <w:left w:val="nil"/>
          <w:bottom w:val="nil"/>
          <w:right w:val="nil"/>
          <w:between w:val="nil"/>
        </w:pBdr>
        <w:jc w:val="both"/>
        <w:rPr>
          <w:sz w:val="20"/>
          <w:szCs w:val="20"/>
          <w:highlight w:val="white"/>
        </w:rPr>
      </w:pPr>
      <w:r>
        <w:rPr>
          <w:sz w:val="20"/>
          <w:szCs w:val="20"/>
          <w:highlight w:val="white"/>
        </w:rPr>
        <w:t xml:space="preserve">Anton, S. D., </w:t>
      </w:r>
      <w:proofErr w:type="spellStart"/>
      <w:r>
        <w:rPr>
          <w:sz w:val="20"/>
          <w:szCs w:val="20"/>
          <w:highlight w:val="white"/>
        </w:rPr>
        <w:t>Hida</w:t>
      </w:r>
      <w:proofErr w:type="spellEnd"/>
      <w:r>
        <w:rPr>
          <w:sz w:val="20"/>
          <w:szCs w:val="20"/>
          <w:highlight w:val="white"/>
        </w:rPr>
        <w:t xml:space="preserve">, A., </w:t>
      </w:r>
      <w:proofErr w:type="spellStart"/>
      <w:r>
        <w:rPr>
          <w:sz w:val="20"/>
          <w:szCs w:val="20"/>
          <w:highlight w:val="white"/>
        </w:rPr>
        <w:t>Mankowski</w:t>
      </w:r>
      <w:proofErr w:type="spellEnd"/>
      <w:r>
        <w:rPr>
          <w:sz w:val="20"/>
          <w:szCs w:val="20"/>
          <w:highlight w:val="white"/>
        </w:rPr>
        <w:t xml:space="preserve">, R., Layne, A., Solberg, L. M., </w:t>
      </w:r>
      <w:proofErr w:type="spellStart"/>
      <w:r>
        <w:rPr>
          <w:sz w:val="20"/>
          <w:szCs w:val="20"/>
          <w:highlight w:val="white"/>
        </w:rPr>
        <w:t>Mainous</w:t>
      </w:r>
      <w:proofErr w:type="spellEnd"/>
      <w:r>
        <w:rPr>
          <w:sz w:val="20"/>
          <w:szCs w:val="20"/>
          <w:highlight w:val="white"/>
        </w:rPr>
        <w:t xml:space="preserve">, A. G., &amp; Buford, T. (2018). </w:t>
      </w:r>
      <w:r>
        <w:rPr>
          <w:i/>
          <w:iCs/>
          <w:sz w:val="20"/>
          <w:szCs w:val="20"/>
          <w:highlight w:val="white"/>
        </w:rPr>
        <w:t>Nutrition and exercise in sarcopenia.</w:t>
      </w:r>
      <w:r>
        <w:rPr>
          <w:sz w:val="20"/>
          <w:szCs w:val="20"/>
          <w:highlight w:val="white"/>
        </w:rPr>
        <w:t xml:space="preserve"> </w:t>
      </w:r>
      <w:r>
        <w:rPr>
          <w:i/>
          <w:iCs/>
          <w:sz w:val="20"/>
          <w:szCs w:val="20"/>
          <w:highlight w:val="white"/>
        </w:rPr>
        <w:t>Current Protein and Peptide Science, 19</w:t>
      </w:r>
      <w:r>
        <w:rPr>
          <w:sz w:val="20"/>
          <w:szCs w:val="20"/>
          <w:highlight w:val="white"/>
        </w:rPr>
        <w:t xml:space="preserve">(7), 649–667. </w:t>
      </w:r>
      <w:hyperlink r:id="rId39">
        <w:r w:rsidR="002D2CBF">
          <w:rPr>
            <w:color w:val="1155CC"/>
            <w:sz w:val="20"/>
            <w:szCs w:val="20"/>
            <w:highlight w:val="white"/>
            <w:u w:val="single"/>
          </w:rPr>
          <w:t>https://doi.org/10.2174/1389203717666161227144349</w:t>
        </w:r>
      </w:hyperlink>
      <w:r>
        <w:rPr>
          <w:color w:val="1155CC"/>
          <w:sz w:val="20"/>
          <w:szCs w:val="20"/>
          <w:highlight w:val="white"/>
          <w:u w:val="single"/>
        </w:rPr>
        <w:t xml:space="preserve"> </w:t>
      </w:r>
    </w:p>
    <w:p w14:paraId="0000006D" w14:textId="77777777" w:rsidR="002D2CBF" w:rsidRDefault="002D2CBF">
      <w:pPr>
        <w:pBdr>
          <w:top w:val="nil"/>
          <w:left w:val="nil"/>
          <w:bottom w:val="nil"/>
          <w:right w:val="nil"/>
          <w:between w:val="nil"/>
        </w:pBdr>
        <w:jc w:val="both"/>
        <w:rPr>
          <w:sz w:val="20"/>
          <w:szCs w:val="20"/>
          <w:highlight w:val="white"/>
        </w:rPr>
      </w:pPr>
    </w:p>
    <w:p w14:paraId="0000006E" w14:textId="77777777" w:rsidR="002D2CBF" w:rsidRDefault="00125BFF">
      <w:pPr>
        <w:numPr>
          <w:ilvl w:val="0"/>
          <w:numId w:val="2"/>
        </w:numPr>
        <w:pBdr>
          <w:top w:val="nil"/>
          <w:left w:val="nil"/>
          <w:bottom w:val="nil"/>
          <w:right w:val="nil"/>
          <w:between w:val="nil"/>
        </w:pBdr>
        <w:jc w:val="both"/>
        <w:rPr>
          <w:sz w:val="20"/>
          <w:szCs w:val="20"/>
          <w:highlight w:val="white"/>
        </w:rPr>
      </w:pPr>
      <w:proofErr w:type="spellStart"/>
      <w:r>
        <w:rPr>
          <w:sz w:val="20"/>
          <w:szCs w:val="20"/>
          <w:highlight w:val="white"/>
        </w:rPr>
        <w:t>Prokopidis</w:t>
      </w:r>
      <w:proofErr w:type="spellEnd"/>
      <w:r>
        <w:rPr>
          <w:sz w:val="20"/>
          <w:szCs w:val="20"/>
          <w:highlight w:val="white"/>
        </w:rPr>
        <w:t xml:space="preserve">, K., </w:t>
      </w:r>
      <w:proofErr w:type="spellStart"/>
      <w:r>
        <w:rPr>
          <w:sz w:val="20"/>
          <w:szCs w:val="20"/>
          <w:highlight w:val="white"/>
        </w:rPr>
        <w:t>Cervo</w:t>
      </w:r>
      <w:proofErr w:type="spellEnd"/>
      <w:r>
        <w:rPr>
          <w:sz w:val="20"/>
          <w:szCs w:val="20"/>
          <w:highlight w:val="white"/>
        </w:rPr>
        <w:t xml:space="preserve">, M. M., </w:t>
      </w:r>
      <w:proofErr w:type="spellStart"/>
      <w:r>
        <w:rPr>
          <w:sz w:val="20"/>
          <w:szCs w:val="20"/>
          <w:highlight w:val="white"/>
        </w:rPr>
        <w:t>Gandham</w:t>
      </w:r>
      <w:proofErr w:type="spellEnd"/>
      <w:r>
        <w:rPr>
          <w:sz w:val="20"/>
          <w:szCs w:val="20"/>
          <w:highlight w:val="white"/>
        </w:rPr>
        <w:t xml:space="preserve">, A., &amp; Scott, D. (2020). Impact of Protein Intake in Older Adults with Sarcopenia and Obesity: A Gut Microbiota Perspective. Nutrients, 12(8), 2285. </w:t>
      </w:r>
      <w:hyperlink r:id="rId40">
        <w:r w:rsidR="002D2CBF">
          <w:rPr>
            <w:color w:val="1155CC"/>
            <w:sz w:val="20"/>
            <w:szCs w:val="20"/>
            <w:highlight w:val="white"/>
            <w:u w:val="single"/>
          </w:rPr>
          <w:t>https://doi.org/10.3390/nu12082285</w:t>
        </w:r>
      </w:hyperlink>
      <w:r>
        <w:rPr>
          <w:color w:val="1155CC"/>
          <w:sz w:val="20"/>
          <w:szCs w:val="20"/>
          <w:highlight w:val="white"/>
        </w:rPr>
        <w:t xml:space="preserve"> </w:t>
      </w:r>
    </w:p>
    <w:p w14:paraId="0000006F" w14:textId="77777777" w:rsidR="002D2CBF" w:rsidRDefault="002D2CBF">
      <w:pPr>
        <w:pBdr>
          <w:top w:val="nil"/>
          <w:left w:val="nil"/>
          <w:bottom w:val="nil"/>
          <w:right w:val="nil"/>
          <w:between w:val="nil"/>
        </w:pBdr>
        <w:jc w:val="both"/>
        <w:rPr>
          <w:sz w:val="20"/>
          <w:szCs w:val="20"/>
          <w:highlight w:val="white"/>
        </w:rPr>
      </w:pPr>
    </w:p>
    <w:p w14:paraId="00000070" w14:textId="77777777" w:rsidR="002D2CBF" w:rsidRDefault="00125BFF">
      <w:pPr>
        <w:numPr>
          <w:ilvl w:val="0"/>
          <w:numId w:val="2"/>
        </w:numPr>
        <w:pBdr>
          <w:top w:val="nil"/>
          <w:left w:val="nil"/>
          <w:bottom w:val="nil"/>
          <w:right w:val="nil"/>
          <w:between w:val="nil"/>
        </w:pBdr>
        <w:jc w:val="both"/>
        <w:rPr>
          <w:sz w:val="20"/>
          <w:szCs w:val="20"/>
          <w:highlight w:val="white"/>
        </w:rPr>
      </w:pPr>
      <w:r>
        <w:rPr>
          <w:sz w:val="20"/>
          <w:szCs w:val="20"/>
          <w:highlight w:val="white"/>
        </w:rPr>
        <w:t>Churchward</w:t>
      </w:r>
      <w:r>
        <w:rPr>
          <w:rFonts w:ascii="Times New Roman" w:eastAsia="Times New Roman" w:hAnsi="Times New Roman" w:cs="Times New Roman"/>
          <w:sz w:val="20"/>
          <w:szCs w:val="20"/>
          <w:highlight w:val="white"/>
        </w:rPr>
        <w:t>‐</w:t>
      </w:r>
      <w:proofErr w:type="spellStart"/>
      <w:r>
        <w:rPr>
          <w:sz w:val="20"/>
          <w:szCs w:val="20"/>
          <w:highlight w:val="white"/>
        </w:rPr>
        <w:t>Venne</w:t>
      </w:r>
      <w:proofErr w:type="spellEnd"/>
      <w:r>
        <w:rPr>
          <w:sz w:val="20"/>
          <w:szCs w:val="20"/>
          <w:highlight w:val="white"/>
        </w:rPr>
        <w:t xml:space="preserve">, T. A., Breen, L., &amp; Phillips, S. M. (2014). Alterations in human muscle protein metabolism with aging: protein and exercise as countermeasures to offset sarcopenia. </w:t>
      </w:r>
      <w:proofErr w:type="spellStart"/>
      <w:r>
        <w:rPr>
          <w:i/>
          <w:iCs/>
          <w:sz w:val="20"/>
          <w:szCs w:val="20"/>
          <w:highlight w:val="white"/>
        </w:rPr>
        <w:t>Biofactors</w:t>
      </w:r>
      <w:proofErr w:type="spellEnd"/>
      <w:r>
        <w:rPr>
          <w:sz w:val="20"/>
          <w:szCs w:val="20"/>
          <w:highlight w:val="white"/>
        </w:rPr>
        <w:t xml:space="preserve">, </w:t>
      </w:r>
      <w:r>
        <w:rPr>
          <w:i/>
          <w:iCs/>
          <w:sz w:val="20"/>
          <w:szCs w:val="20"/>
          <w:highlight w:val="white"/>
        </w:rPr>
        <w:t>40</w:t>
      </w:r>
      <w:r>
        <w:rPr>
          <w:sz w:val="20"/>
          <w:szCs w:val="20"/>
          <w:highlight w:val="white"/>
        </w:rPr>
        <w:t xml:space="preserve">(2), 199-205. </w:t>
      </w:r>
      <w:hyperlink r:id="rId41">
        <w:r w:rsidR="002D2CBF">
          <w:rPr>
            <w:color w:val="1155CC"/>
            <w:sz w:val="20"/>
            <w:szCs w:val="20"/>
            <w:highlight w:val="white"/>
            <w:u w:val="single"/>
          </w:rPr>
          <w:t>https://doi.org/10.1002/biof.1138</w:t>
        </w:r>
      </w:hyperlink>
      <w:r>
        <w:rPr>
          <w:color w:val="1155CC"/>
          <w:sz w:val="20"/>
          <w:szCs w:val="20"/>
          <w:highlight w:val="white"/>
          <w:u w:val="single"/>
        </w:rPr>
        <w:t xml:space="preserve"> </w:t>
      </w:r>
    </w:p>
    <w:p w14:paraId="00000071" w14:textId="77777777" w:rsidR="002D2CBF" w:rsidRDefault="002D2CBF">
      <w:pPr>
        <w:pBdr>
          <w:top w:val="nil"/>
          <w:left w:val="nil"/>
          <w:bottom w:val="nil"/>
          <w:right w:val="nil"/>
          <w:between w:val="nil"/>
        </w:pBdr>
        <w:jc w:val="both"/>
        <w:rPr>
          <w:sz w:val="20"/>
          <w:szCs w:val="20"/>
          <w:highlight w:val="white"/>
          <w:u w:val="single"/>
        </w:rPr>
      </w:pPr>
    </w:p>
    <w:p w14:paraId="56E96453" w14:textId="77777777" w:rsidR="00AB51DD" w:rsidRPr="00AB51DD" w:rsidRDefault="00125BFF">
      <w:pPr>
        <w:numPr>
          <w:ilvl w:val="0"/>
          <w:numId w:val="2"/>
        </w:numPr>
        <w:pBdr>
          <w:top w:val="nil"/>
          <w:left w:val="nil"/>
          <w:bottom w:val="nil"/>
          <w:right w:val="nil"/>
          <w:between w:val="nil"/>
        </w:pBdr>
        <w:jc w:val="both"/>
        <w:rPr>
          <w:sz w:val="20"/>
          <w:szCs w:val="20"/>
          <w:highlight w:val="white"/>
        </w:rPr>
      </w:pPr>
      <w:r>
        <w:rPr>
          <w:sz w:val="20"/>
          <w:szCs w:val="20"/>
          <w:highlight w:val="white"/>
        </w:rPr>
        <w:t xml:space="preserve">Chang, K. V., Wu, W. T., Huang, K. C., &amp; Han, D. S. (2021). Effectiveness of early versus delayed exercise and nutritional intervention on segmental body composition of sarcopenic elders-A randomized controlled trial. </w:t>
      </w:r>
      <w:r>
        <w:rPr>
          <w:i/>
          <w:iCs/>
          <w:sz w:val="20"/>
          <w:szCs w:val="20"/>
          <w:highlight w:val="white"/>
        </w:rPr>
        <w:t>Clinical Nutrition</w:t>
      </w:r>
      <w:r>
        <w:rPr>
          <w:sz w:val="20"/>
          <w:szCs w:val="20"/>
          <w:highlight w:val="white"/>
        </w:rPr>
        <w:t xml:space="preserve">, </w:t>
      </w:r>
      <w:r>
        <w:rPr>
          <w:i/>
          <w:iCs/>
          <w:sz w:val="20"/>
          <w:szCs w:val="20"/>
          <w:highlight w:val="white"/>
        </w:rPr>
        <w:t>40</w:t>
      </w:r>
      <w:r>
        <w:rPr>
          <w:sz w:val="20"/>
          <w:szCs w:val="20"/>
          <w:highlight w:val="white"/>
        </w:rPr>
        <w:t xml:space="preserve">(3), 1052-1059. </w:t>
      </w:r>
      <w:hyperlink r:id="rId42">
        <w:r w:rsidR="002D2CBF">
          <w:rPr>
            <w:color w:val="1155CC"/>
            <w:sz w:val="20"/>
            <w:szCs w:val="20"/>
            <w:highlight w:val="white"/>
            <w:u w:val="single"/>
          </w:rPr>
          <w:t>https://doi.org/10.1016/j.clnu.2020.06.037</w:t>
        </w:r>
      </w:hyperlink>
      <w:r>
        <w:rPr>
          <w:color w:val="1155CC"/>
          <w:sz w:val="20"/>
          <w:szCs w:val="20"/>
          <w:highlight w:val="white"/>
          <w:u w:val="single"/>
        </w:rPr>
        <w:t xml:space="preserve"> </w:t>
      </w:r>
    </w:p>
    <w:p w14:paraId="52BAA9D4" w14:textId="77777777" w:rsidR="00AB51DD" w:rsidRDefault="00AB51DD" w:rsidP="00AB51DD">
      <w:pPr>
        <w:pStyle w:val="ListParagraph"/>
        <w:rPr>
          <w:sz w:val="20"/>
          <w:highlight w:val="white"/>
          <w:u w:val="single"/>
        </w:rPr>
      </w:pPr>
    </w:p>
    <w:p w14:paraId="4869FA11" w14:textId="77777777" w:rsidR="007270CB" w:rsidRDefault="00AB51DD">
      <w:pPr>
        <w:numPr>
          <w:ilvl w:val="0"/>
          <w:numId w:val="2"/>
        </w:numPr>
        <w:pBdr>
          <w:top w:val="nil"/>
          <w:left w:val="nil"/>
          <w:bottom w:val="nil"/>
          <w:right w:val="nil"/>
          <w:between w:val="nil"/>
        </w:pBdr>
        <w:jc w:val="both"/>
        <w:rPr>
          <w:sz w:val="20"/>
          <w:szCs w:val="20"/>
          <w:highlight w:val="yellow"/>
        </w:rPr>
      </w:pPr>
      <w:r w:rsidRPr="00DF3EB4">
        <w:rPr>
          <w:sz w:val="20"/>
          <w:szCs w:val="20"/>
          <w:highlight w:val="yellow"/>
        </w:rPr>
        <w:t>Chen, L., Chen, Y., Chen, W., Tan, H., Ye, L., Chen, J., &amp; Xu, X. (2025). Gut Microbiota in Primary Sarcopenia: Mechanisms and Potential Therapeutic Targets. Frontiers in Bioscience-Landmark, 30(6), 36204.</w:t>
      </w:r>
      <w:r w:rsidR="00D55FEF" w:rsidRPr="00DF3EB4">
        <w:rPr>
          <w:sz w:val="20"/>
          <w:szCs w:val="20"/>
          <w:highlight w:val="yellow"/>
        </w:rPr>
        <w:t xml:space="preserve"> </w:t>
      </w:r>
      <w:hyperlink r:id="rId43" w:history="1">
        <w:r w:rsidR="00D55FEF" w:rsidRPr="00DF3EB4">
          <w:rPr>
            <w:rStyle w:val="Hyperlink"/>
            <w:sz w:val="20"/>
            <w:szCs w:val="20"/>
            <w:highlight w:val="yellow"/>
            <w:u w:val="none"/>
          </w:rPr>
          <w:t>https://doi.org/10.31083/fbl36204</w:t>
        </w:r>
      </w:hyperlink>
      <w:r w:rsidR="00D55FEF" w:rsidRPr="00DF3EB4">
        <w:rPr>
          <w:sz w:val="20"/>
          <w:szCs w:val="20"/>
          <w:highlight w:val="yellow"/>
        </w:rPr>
        <w:t xml:space="preserve"> </w:t>
      </w:r>
    </w:p>
    <w:p w14:paraId="24AB4CD9" w14:textId="77777777" w:rsidR="007270CB" w:rsidRDefault="007270CB" w:rsidP="007270CB">
      <w:pPr>
        <w:pStyle w:val="ListParagraph"/>
        <w:rPr>
          <w:sz w:val="20"/>
          <w:highlight w:val="yellow"/>
        </w:rPr>
      </w:pPr>
    </w:p>
    <w:p w14:paraId="00000072" w14:textId="33D15AC6" w:rsidR="002D2CBF" w:rsidRDefault="007270CB">
      <w:pPr>
        <w:numPr>
          <w:ilvl w:val="0"/>
          <w:numId w:val="2"/>
        </w:numPr>
        <w:pBdr>
          <w:top w:val="nil"/>
          <w:left w:val="nil"/>
          <w:bottom w:val="nil"/>
          <w:right w:val="nil"/>
          <w:between w:val="nil"/>
        </w:pBdr>
        <w:jc w:val="both"/>
        <w:rPr>
          <w:sz w:val="20"/>
          <w:szCs w:val="20"/>
          <w:highlight w:val="yellow"/>
        </w:rPr>
      </w:pPr>
      <w:r w:rsidRPr="001970E0">
        <w:rPr>
          <w:sz w:val="20"/>
          <w:szCs w:val="20"/>
          <w:highlight w:val="yellow"/>
        </w:rPr>
        <w:t xml:space="preserve">Smith, G. I., Atherton, P., Villareal, D. T., </w:t>
      </w:r>
      <w:proofErr w:type="spellStart"/>
      <w:r w:rsidRPr="001970E0">
        <w:rPr>
          <w:sz w:val="20"/>
          <w:szCs w:val="20"/>
          <w:highlight w:val="yellow"/>
        </w:rPr>
        <w:t>Frimel</w:t>
      </w:r>
      <w:proofErr w:type="spellEnd"/>
      <w:r w:rsidRPr="001970E0">
        <w:rPr>
          <w:sz w:val="20"/>
          <w:szCs w:val="20"/>
          <w:highlight w:val="yellow"/>
        </w:rPr>
        <w:t xml:space="preserve">, T. N., Rankin, D., Rennie, M. J., &amp; </w:t>
      </w:r>
      <w:proofErr w:type="spellStart"/>
      <w:r w:rsidRPr="001970E0">
        <w:rPr>
          <w:sz w:val="20"/>
          <w:szCs w:val="20"/>
          <w:highlight w:val="yellow"/>
        </w:rPr>
        <w:t>Mittendorfer</w:t>
      </w:r>
      <w:proofErr w:type="spellEnd"/>
      <w:r w:rsidRPr="001970E0">
        <w:rPr>
          <w:sz w:val="20"/>
          <w:szCs w:val="20"/>
          <w:highlight w:val="yellow"/>
        </w:rPr>
        <w:t xml:space="preserve">, B. (2008). Differences in muscle protein synthesis and anabolic signaling in the </w:t>
      </w:r>
      <w:proofErr w:type="spellStart"/>
      <w:r w:rsidRPr="001970E0">
        <w:rPr>
          <w:sz w:val="20"/>
          <w:szCs w:val="20"/>
          <w:highlight w:val="yellow"/>
        </w:rPr>
        <w:t>postabsorptive</w:t>
      </w:r>
      <w:proofErr w:type="spellEnd"/>
      <w:r w:rsidRPr="001970E0">
        <w:rPr>
          <w:sz w:val="20"/>
          <w:szCs w:val="20"/>
          <w:highlight w:val="yellow"/>
        </w:rPr>
        <w:t xml:space="preserve"> state and in response to food in 65–</w:t>
      </w:r>
      <w:proofErr w:type="gramStart"/>
      <w:r w:rsidRPr="001970E0">
        <w:rPr>
          <w:sz w:val="20"/>
          <w:szCs w:val="20"/>
          <w:highlight w:val="yellow"/>
        </w:rPr>
        <w:t>80 year old</w:t>
      </w:r>
      <w:proofErr w:type="gramEnd"/>
      <w:r w:rsidRPr="001970E0">
        <w:rPr>
          <w:sz w:val="20"/>
          <w:szCs w:val="20"/>
          <w:highlight w:val="yellow"/>
        </w:rPr>
        <w:t xml:space="preserve"> men and women. </w:t>
      </w:r>
      <w:proofErr w:type="spellStart"/>
      <w:r w:rsidRPr="001970E0">
        <w:rPr>
          <w:sz w:val="20"/>
          <w:szCs w:val="20"/>
          <w:highlight w:val="yellow"/>
        </w:rPr>
        <w:t>PloS</w:t>
      </w:r>
      <w:proofErr w:type="spellEnd"/>
      <w:r w:rsidRPr="001970E0">
        <w:rPr>
          <w:sz w:val="20"/>
          <w:szCs w:val="20"/>
          <w:highlight w:val="yellow"/>
        </w:rPr>
        <w:t xml:space="preserve"> one, 3(3), e1875. </w:t>
      </w:r>
      <w:hyperlink r:id="rId44" w:history="1">
        <w:r w:rsidR="00444188" w:rsidRPr="001970E0">
          <w:rPr>
            <w:rStyle w:val="Hyperlink"/>
            <w:sz w:val="20"/>
            <w:szCs w:val="20"/>
            <w:highlight w:val="yellow"/>
          </w:rPr>
          <w:t>https://doi.org/10.1371/journal.pone.0001875</w:t>
        </w:r>
      </w:hyperlink>
      <w:r w:rsidR="00444188" w:rsidRPr="001970E0">
        <w:rPr>
          <w:sz w:val="20"/>
          <w:szCs w:val="20"/>
          <w:highlight w:val="yellow"/>
        </w:rPr>
        <w:t xml:space="preserve"> </w:t>
      </w:r>
      <w:r w:rsidR="00125BFF" w:rsidRPr="001970E0">
        <w:rPr>
          <w:sz w:val="20"/>
          <w:szCs w:val="20"/>
          <w:highlight w:val="yellow"/>
        </w:rPr>
        <w:t xml:space="preserve"> </w:t>
      </w:r>
    </w:p>
    <w:p w14:paraId="2E93CD95" w14:textId="77777777" w:rsidR="006910E5" w:rsidRPr="00A25AAD" w:rsidRDefault="006910E5" w:rsidP="006910E5">
      <w:pPr>
        <w:pStyle w:val="ListParagraph"/>
        <w:rPr>
          <w:sz w:val="20"/>
          <w:highlight w:val="yellow"/>
        </w:rPr>
      </w:pPr>
    </w:p>
    <w:p w14:paraId="01943A78" w14:textId="3218E8B6" w:rsidR="006910E5" w:rsidRPr="00A25AAD" w:rsidRDefault="006910E5">
      <w:pPr>
        <w:numPr>
          <w:ilvl w:val="0"/>
          <w:numId w:val="2"/>
        </w:numPr>
        <w:pBdr>
          <w:top w:val="nil"/>
          <w:left w:val="nil"/>
          <w:bottom w:val="nil"/>
          <w:right w:val="nil"/>
          <w:between w:val="nil"/>
        </w:pBdr>
        <w:jc w:val="both"/>
        <w:rPr>
          <w:sz w:val="20"/>
          <w:szCs w:val="20"/>
          <w:highlight w:val="yellow"/>
        </w:rPr>
      </w:pPr>
      <w:proofErr w:type="spellStart"/>
      <w:r w:rsidRPr="00A25AAD">
        <w:rPr>
          <w:sz w:val="20"/>
          <w:szCs w:val="20"/>
          <w:highlight w:val="yellow"/>
        </w:rPr>
        <w:t>Shrirang</w:t>
      </w:r>
      <w:proofErr w:type="spellEnd"/>
      <w:r w:rsidRPr="00A25AAD">
        <w:rPr>
          <w:sz w:val="20"/>
          <w:szCs w:val="20"/>
          <w:highlight w:val="yellow"/>
        </w:rPr>
        <w:t xml:space="preserve"> </w:t>
      </w:r>
      <w:proofErr w:type="spellStart"/>
      <w:r w:rsidRPr="00A25AAD">
        <w:rPr>
          <w:sz w:val="20"/>
          <w:szCs w:val="20"/>
          <w:highlight w:val="yellow"/>
        </w:rPr>
        <w:t>Bhurchandi</w:t>
      </w:r>
      <w:proofErr w:type="spellEnd"/>
      <w:r w:rsidRPr="00A25AAD">
        <w:rPr>
          <w:sz w:val="20"/>
          <w:szCs w:val="20"/>
          <w:highlight w:val="yellow"/>
        </w:rPr>
        <w:t xml:space="preserve">, </w:t>
      </w:r>
      <w:proofErr w:type="spellStart"/>
      <w:r w:rsidRPr="00A25AAD">
        <w:rPr>
          <w:sz w:val="20"/>
          <w:szCs w:val="20"/>
          <w:highlight w:val="yellow"/>
        </w:rPr>
        <w:t>Sachin</w:t>
      </w:r>
      <w:proofErr w:type="spellEnd"/>
      <w:r w:rsidRPr="00A25AAD">
        <w:rPr>
          <w:sz w:val="20"/>
          <w:szCs w:val="20"/>
          <w:highlight w:val="yellow"/>
        </w:rPr>
        <w:t xml:space="preserve"> Agrawal, Sunil Kumar &amp; </w:t>
      </w:r>
      <w:proofErr w:type="spellStart"/>
      <w:r w:rsidRPr="00A25AAD">
        <w:rPr>
          <w:sz w:val="20"/>
          <w:szCs w:val="20"/>
          <w:highlight w:val="yellow"/>
        </w:rPr>
        <w:t>Sourya</w:t>
      </w:r>
      <w:proofErr w:type="spellEnd"/>
      <w:r w:rsidRPr="00A25AAD">
        <w:rPr>
          <w:sz w:val="20"/>
          <w:szCs w:val="20"/>
          <w:highlight w:val="yellow"/>
        </w:rPr>
        <w:t xml:space="preserve"> Acharya. (2021). Comparison of Sarcopenia with Modified Frailty Index as a Predictor of Adverse Outcomes in Critically Ill Elderly Patients. Journal of Pharmaceutical Research International, 33(32B), 200–206. </w:t>
      </w:r>
      <w:hyperlink r:id="rId45" w:history="1">
        <w:r w:rsidRPr="00A25AAD">
          <w:rPr>
            <w:rStyle w:val="Hyperlink"/>
            <w:sz w:val="20"/>
            <w:szCs w:val="20"/>
            <w:highlight w:val="yellow"/>
          </w:rPr>
          <w:t>https://doi.org/10.9734/jpri/2021/v33i32B31763</w:t>
        </w:r>
      </w:hyperlink>
      <w:r w:rsidRPr="00A25AAD">
        <w:rPr>
          <w:sz w:val="20"/>
          <w:szCs w:val="20"/>
          <w:highlight w:val="yellow"/>
        </w:rPr>
        <w:t xml:space="preserve"> </w:t>
      </w:r>
    </w:p>
    <w:p w14:paraId="3B357635" w14:textId="77777777" w:rsidR="0026227C" w:rsidRPr="00A25AAD" w:rsidRDefault="0026227C" w:rsidP="0026227C">
      <w:pPr>
        <w:pStyle w:val="ListParagraph"/>
        <w:rPr>
          <w:sz w:val="20"/>
          <w:highlight w:val="yellow"/>
        </w:rPr>
      </w:pPr>
    </w:p>
    <w:p w14:paraId="00A453F4" w14:textId="4432FBB4" w:rsidR="0026227C" w:rsidRPr="00A25AAD" w:rsidRDefault="0026227C">
      <w:pPr>
        <w:numPr>
          <w:ilvl w:val="0"/>
          <w:numId w:val="2"/>
        </w:numPr>
        <w:pBdr>
          <w:top w:val="nil"/>
          <w:left w:val="nil"/>
          <w:bottom w:val="nil"/>
          <w:right w:val="nil"/>
          <w:between w:val="nil"/>
        </w:pBdr>
        <w:jc w:val="both"/>
        <w:rPr>
          <w:sz w:val="20"/>
          <w:szCs w:val="20"/>
          <w:highlight w:val="yellow"/>
        </w:rPr>
      </w:pPr>
      <w:r w:rsidRPr="00A25AAD">
        <w:rPr>
          <w:sz w:val="20"/>
          <w:szCs w:val="20"/>
          <w:highlight w:val="yellow"/>
        </w:rPr>
        <w:t xml:space="preserve">M.R.F. </w:t>
      </w:r>
      <w:proofErr w:type="spellStart"/>
      <w:r w:rsidRPr="00A25AAD">
        <w:rPr>
          <w:sz w:val="20"/>
          <w:szCs w:val="20"/>
          <w:highlight w:val="yellow"/>
        </w:rPr>
        <w:t>Fazna</w:t>
      </w:r>
      <w:proofErr w:type="spellEnd"/>
      <w:r w:rsidRPr="00A25AAD">
        <w:rPr>
          <w:sz w:val="20"/>
          <w:szCs w:val="20"/>
          <w:highlight w:val="yellow"/>
        </w:rPr>
        <w:t xml:space="preserve">, G. </w:t>
      </w:r>
      <w:proofErr w:type="spellStart"/>
      <w:r w:rsidRPr="00A25AAD">
        <w:rPr>
          <w:sz w:val="20"/>
          <w:szCs w:val="20"/>
          <w:highlight w:val="yellow"/>
        </w:rPr>
        <w:t>Somaratne</w:t>
      </w:r>
      <w:proofErr w:type="spellEnd"/>
      <w:r w:rsidRPr="00A25AAD">
        <w:rPr>
          <w:sz w:val="20"/>
          <w:szCs w:val="20"/>
          <w:highlight w:val="yellow"/>
        </w:rPr>
        <w:t xml:space="preserve">, S.D. </w:t>
      </w:r>
      <w:proofErr w:type="spellStart"/>
      <w:r w:rsidRPr="00A25AAD">
        <w:rPr>
          <w:sz w:val="20"/>
          <w:szCs w:val="20"/>
          <w:highlight w:val="yellow"/>
        </w:rPr>
        <w:t>Maithreepala</w:t>
      </w:r>
      <w:proofErr w:type="spellEnd"/>
      <w:r w:rsidRPr="00A25AAD">
        <w:rPr>
          <w:sz w:val="20"/>
          <w:szCs w:val="20"/>
          <w:highlight w:val="yellow"/>
        </w:rPr>
        <w:t xml:space="preserve"> &amp; S.P.K. </w:t>
      </w:r>
      <w:proofErr w:type="spellStart"/>
      <w:r w:rsidRPr="00A25AAD">
        <w:rPr>
          <w:sz w:val="20"/>
          <w:szCs w:val="20"/>
          <w:highlight w:val="yellow"/>
        </w:rPr>
        <w:t>Mudiyanselage</w:t>
      </w:r>
      <w:proofErr w:type="spellEnd"/>
      <w:r w:rsidRPr="00A25AAD">
        <w:rPr>
          <w:sz w:val="20"/>
          <w:szCs w:val="20"/>
          <w:highlight w:val="yellow"/>
        </w:rPr>
        <w:t xml:space="preserve">. (2025). Prevalence and Risk Factors of Sarcopenia among Institutionalized Elderly in Polonnaruwa, Sri Lanka: A Pilot Cross-sectional Study. Asian Journal of Food Research and Nutrition, 4(3), 993–1007. </w:t>
      </w:r>
      <w:hyperlink r:id="rId46" w:history="1">
        <w:r w:rsidRPr="00A25AAD">
          <w:rPr>
            <w:rStyle w:val="Hyperlink"/>
            <w:sz w:val="20"/>
            <w:szCs w:val="20"/>
            <w:highlight w:val="yellow"/>
          </w:rPr>
          <w:t>https://doi.org/10.9734/ajfrn/2025/v4i3305</w:t>
        </w:r>
      </w:hyperlink>
      <w:r w:rsidRPr="00A25AAD">
        <w:rPr>
          <w:sz w:val="20"/>
          <w:szCs w:val="20"/>
          <w:highlight w:val="yellow"/>
        </w:rPr>
        <w:t xml:space="preserve"> </w:t>
      </w:r>
    </w:p>
    <w:p w14:paraId="00000073" w14:textId="77777777" w:rsidR="002D2CBF" w:rsidRDefault="002D2CBF">
      <w:pPr>
        <w:pBdr>
          <w:top w:val="nil"/>
          <w:left w:val="nil"/>
          <w:bottom w:val="nil"/>
          <w:right w:val="nil"/>
          <w:between w:val="nil"/>
        </w:pBdr>
        <w:jc w:val="both"/>
        <w:rPr>
          <w:sz w:val="20"/>
          <w:szCs w:val="20"/>
          <w:highlight w:val="white"/>
          <w:u w:val="single"/>
        </w:rPr>
      </w:pPr>
    </w:p>
    <w:sectPr w:rsidR="002D2CBF" w:rsidSect="00E5424C">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18FD9" w14:textId="77777777" w:rsidR="00331ABF" w:rsidRDefault="00331ABF">
      <w:pPr>
        <w:spacing w:line="240" w:lineRule="auto"/>
      </w:pPr>
      <w:r>
        <w:separator/>
      </w:r>
    </w:p>
  </w:endnote>
  <w:endnote w:type="continuationSeparator" w:id="0">
    <w:p w14:paraId="57D3C0C2" w14:textId="77777777" w:rsidR="00331ABF" w:rsidRDefault="00331A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EB65C7B-5238-42B2-A819-E255A1E69076}"/>
  </w:font>
  <w:font w:name="Mangal">
    <w:panose1 w:val="00000400000000000000"/>
    <w:charset w:val="00"/>
    <w:family w:val="roman"/>
    <w:pitch w:val="variable"/>
    <w:sig w:usb0="00008003" w:usb1="00000000" w:usb2="00000000" w:usb3="00000000" w:csb0="00000001" w:csb1="00000000"/>
    <w:embedRegular r:id="rId2" w:fontKey="{A65A304B-9049-4CBF-A85B-F07D2A3DB7BE}"/>
  </w:font>
  <w:font w:name="Cambria">
    <w:panose1 w:val="02040503050406030204"/>
    <w:charset w:val="00"/>
    <w:family w:val="roman"/>
    <w:pitch w:val="variable"/>
    <w:sig w:usb0="E00006FF" w:usb1="420024FF" w:usb2="02000000" w:usb3="00000000" w:csb0="0000019F" w:csb1="00000000"/>
    <w:embedRegular r:id="rId3" w:fontKey="{F9F847FB-706C-41C7-8E0C-C5D5FA7023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04934" w14:textId="77777777" w:rsidR="00DA26C0" w:rsidRDefault="00DA26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F3D4F" w14:textId="77777777" w:rsidR="00DA26C0" w:rsidRDefault="00DA26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FD2A7" w14:textId="77777777" w:rsidR="00DA26C0" w:rsidRDefault="00DA26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36E7D8" w14:textId="77777777" w:rsidR="00331ABF" w:rsidRDefault="00331ABF">
      <w:pPr>
        <w:spacing w:line="240" w:lineRule="auto"/>
      </w:pPr>
      <w:r>
        <w:separator/>
      </w:r>
    </w:p>
  </w:footnote>
  <w:footnote w:type="continuationSeparator" w:id="0">
    <w:p w14:paraId="0E79D686" w14:textId="77777777" w:rsidR="00331ABF" w:rsidRDefault="00331A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6A33C" w14:textId="6D69B085" w:rsidR="00DA26C0" w:rsidRDefault="00331ABF">
    <w:pPr>
      <w:pStyle w:val="Header"/>
    </w:pPr>
    <w:r>
      <w:rPr>
        <w:noProof/>
      </w:rPr>
      <w:pict w14:anchorId="134587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3696172"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4DE9A" w14:textId="5987368C" w:rsidR="00DA26C0" w:rsidRDefault="00331ABF">
    <w:pPr>
      <w:pStyle w:val="Header"/>
    </w:pPr>
    <w:r>
      <w:rPr>
        <w:noProof/>
      </w:rPr>
      <w:pict w14:anchorId="1DE79D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3696173"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A117F" w14:textId="165DD9EA" w:rsidR="00DA26C0" w:rsidRDefault="00331ABF">
    <w:pPr>
      <w:pStyle w:val="Header"/>
    </w:pPr>
    <w:r>
      <w:rPr>
        <w:noProof/>
      </w:rPr>
      <w:pict w14:anchorId="19636D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3696171"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46D7B"/>
    <w:multiLevelType w:val="multilevel"/>
    <w:tmpl w:val="90CA3B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851655E"/>
    <w:multiLevelType w:val="multilevel"/>
    <w:tmpl w:val="34F89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4F72ACC"/>
    <w:multiLevelType w:val="multilevel"/>
    <w:tmpl w:val="0ACC91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A0NTcxMLcwNzUzNDVR0lEKTi0uzszPAykwqgUAdcZWiCwAAAA="/>
  </w:docVars>
  <w:rsids>
    <w:rsidRoot w:val="002D2CBF"/>
    <w:rsid w:val="00024560"/>
    <w:rsid w:val="00087563"/>
    <w:rsid w:val="00101D4A"/>
    <w:rsid w:val="00125BFF"/>
    <w:rsid w:val="00127A47"/>
    <w:rsid w:val="00133A59"/>
    <w:rsid w:val="001429D9"/>
    <w:rsid w:val="0018079D"/>
    <w:rsid w:val="001970E0"/>
    <w:rsid w:val="00206F9D"/>
    <w:rsid w:val="00223B53"/>
    <w:rsid w:val="0023074B"/>
    <w:rsid w:val="00244D13"/>
    <w:rsid w:val="0026227C"/>
    <w:rsid w:val="002D2CBF"/>
    <w:rsid w:val="002E67F8"/>
    <w:rsid w:val="00305356"/>
    <w:rsid w:val="00331ABF"/>
    <w:rsid w:val="00365087"/>
    <w:rsid w:val="003663BA"/>
    <w:rsid w:val="0037072A"/>
    <w:rsid w:val="003B33E2"/>
    <w:rsid w:val="003B4843"/>
    <w:rsid w:val="00444188"/>
    <w:rsid w:val="00684FE6"/>
    <w:rsid w:val="006910E5"/>
    <w:rsid w:val="006A0481"/>
    <w:rsid w:val="006B7DD8"/>
    <w:rsid w:val="006C0AFA"/>
    <w:rsid w:val="006E62AC"/>
    <w:rsid w:val="0071293E"/>
    <w:rsid w:val="007270CB"/>
    <w:rsid w:val="007A25E9"/>
    <w:rsid w:val="007B0647"/>
    <w:rsid w:val="008657FE"/>
    <w:rsid w:val="00877EE8"/>
    <w:rsid w:val="008C3136"/>
    <w:rsid w:val="008D6F89"/>
    <w:rsid w:val="00911819"/>
    <w:rsid w:val="009378EF"/>
    <w:rsid w:val="009A3DB2"/>
    <w:rsid w:val="009C2168"/>
    <w:rsid w:val="009D5A33"/>
    <w:rsid w:val="00A25AAD"/>
    <w:rsid w:val="00A355F1"/>
    <w:rsid w:val="00A35CD5"/>
    <w:rsid w:val="00A400DF"/>
    <w:rsid w:val="00A42067"/>
    <w:rsid w:val="00A5059B"/>
    <w:rsid w:val="00A732A4"/>
    <w:rsid w:val="00A93CE4"/>
    <w:rsid w:val="00AA7192"/>
    <w:rsid w:val="00AB51DD"/>
    <w:rsid w:val="00B0733E"/>
    <w:rsid w:val="00B23914"/>
    <w:rsid w:val="00B662A4"/>
    <w:rsid w:val="00BB613F"/>
    <w:rsid w:val="00C033A2"/>
    <w:rsid w:val="00C937C2"/>
    <w:rsid w:val="00CB1259"/>
    <w:rsid w:val="00CC0FC6"/>
    <w:rsid w:val="00CE4045"/>
    <w:rsid w:val="00CF144B"/>
    <w:rsid w:val="00D55FEF"/>
    <w:rsid w:val="00D85D94"/>
    <w:rsid w:val="00DA26C0"/>
    <w:rsid w:val="00DA61A4"/>
    <w:rsid w:val="00DF3EB4"/>
    <w:rsid w:val="00E100A4"/>
    <w:rsid w:val="00E30F98"/>
    <w:rsid w:val="00E5424C"/>
    <w:rsid w:val="00E7330B"/>
    <w:rsid w:val="00E846AA"/>
    <w:rsid w:val="00E94D15"/>
    <w:rsid w:val="00E95E6B"/>
    <w:rsid w:val="00EC13E6"/>
    <w:rsid w:val="00EE4167"/>
    <w:rsid w:val="00EE7036"/>
    <w:rsid w:val="00F257FC"/>
    <w:rsid w:val="00F84701"/>
    <w:rsid w:val="00F92106"/>
    <w:rsid w:val="00FB5199"/>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75BD72"/>
  <w15:docId w15:val="{3B882AD7-C75B-4A83-832C-7A33ACB59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mr-IN"/>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after="60"/>
    </w:pPr>
    <w:rPr>
      <w:color w:val="000000"/>
      <w:sz w:val="52"/>
      <w:szCs w:val="52"/>
    </w:rPr>
  </w:style>
  <w:style w:type="table" w:customStyle="1" w:styleId="TableNormal1">
    <w:name w:val="TableNormal"/>
    <w:rsid w:val="006242A7"/>
    <w:tblPr>
      <w:tblCellMar>
        <w:top w:w="100" w:type="dxa"/>
        <w:left w:w="100" w:type="dxa"/>
        <w:bottom w:w="100" w:type="dxa"/>
        <w:right w:w="100" w:type="dxa"/>
      </w:tblCellMar>
    </w:tblPr>
  </w:style>
  <w:style w:type="paragraph" w:customStyle="1" w:styleId="Normal1">
    <w:name w:val="Normal1"/>
    <w:rsid w:val="006242A7"/>
  </w:style>
  <w:style w:type="character" w:styleId="LineNumber">
    <w:name w:val="line number"/>
    <w:basedOn w:val="DefaultParagraphFont"/>
    <w:uiPriority w:val="99"/>
    <w:semiHidden/>
    <w:unhideWhenUsed/>
    <w:rsid w:val="00F368D3"/>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paragraph" w:styleId="Header">
    <w:name w:val="header"/>
    <w:basedOn w:val="Normal"/>
    <w:link w:val="HeaderChar"/>
    <w:uiPriority w:val="99"/>
    <w:unhideWhenUsed/>
    <w:rsid w:val="00206F9D"/>
    <w:pPr>
      <w:tabs>
        <w:tab w:val="center" w:pos="4680"/>
        <w:tab w:val="right" w:pos="9360"/>
      </w:tabs>
      <w:spacing w:line="240" w:lineRule="auto"/>
    </w:pPr>
    <w:rPr>
      <w:szCs w:val="20"/>
    </w:rPr>
  </w:style>
  <w:style w:type="character" w:customStyle="1" w:styleId="HeaderChar">
    <w:name w:val="Header Char"/>
    <w:basedOn w:val="DefaultParagraphFont"/>
    <w:link w:val="Header"/>
    <w:uiPriority w:val="99"/>
    <w:rsid w:val="00206F9D"/>
    <w:rPr>
      <w:szCs w:val="20"/>
    </w:rPr>
  </w:style>
  <w:style w:type="paragraph" w:styleId="Footer">
    <w:name w:val="footer"/>
    <w:basedOn w:val="Normal"/>
    <w:link w:val="FooterChar"/>
    <w:uiPriority w:val="99"/>
    <w:unhideWhenUsed/>
    <w:rsid w:val="00206F9D"/>
    <w:pPr>
      <w:tabs>
        <w:tab w:val="center" w:pos="4680"/>
        <w:tab w:val="right" w:pos="9360"/>
      </w:tabs>
      <w:spacing w:line="240" w:lineRule="auto"/>
    </w:pPr>
    <w:rPr>
      <w:szCs w:val="20"/>
    </w:rPr>
  </w:style>
  <w:style w:type="character" w:customStyle="1" w:styleId="FooterChar">
    <w:name w:val="Footer Char"/>
    <w:basedOn w:val="DefaultParagraphFont"/>
    <w:link w:val="Footer"/>
    <w:uiPriority w:val="99"/>
    <w:rsid w:val="00206F9D"/>
    <w:rPr>
      <w:szCs w:val="20"/>
    </w:rPr>
  </w:style>
  <w:style w:type="character" w:styleId="Hyperlink">
    <w:name w:val="Hyperlink"/>
    <w:basedOn w:val="DefaultParagraphFont"/>
    <w:uiPriority w:val="99"/>
    <w:unhideWhenUsed/>
    <w:rsid w:val="00E30F98"/>
    <w:rPr>
      <w:color w:val="0000FF" w:themeColor="hyperlink"/>
      <w:u w:val="single"/>
    </w:rPr>
  </w:style>
  <w:style w:type="character" w:customStyle="1" w:styleId="UnresolvedMention1">
    <w:name w:val="Unresolved Mention1"/>
    <w:basedOn w:val="DefaultParagraphFont"/>
    <w:uiPriority w:val="99"/>
    <w:semiHidden/>
    <w:unhideWhenUsed/>
    <w:rsid w:val="00E30F98"/>
    <w:rPr>
      <w:color w:val="605E5C"/>
      <w:shd w:val="clear" w:color="auto" w:fill="E1DFDD"/>
    </w:rPr>
  </w:style>
  <w:style w:type="paragraph" w:styleId="ListParagraph">
    <w:name w:val="List Paragraph"/>
    <w:basedOn w:val="Normal"/>
    <w:uiPriority w:val="34"/>
    <w:qFormat/>
    <w:rsid w:val="006B7DD8"/>
    <w:pPr>
      <w:ind w:left="720"/>
      <w:contextualSpacing/>
    </w:pPr>
    <w:rPr>
      <w:szCs w:val="20"/>
    </w:rPr>
  </w:style>
  <w:style w:type="character" w:styleId="UnresolvedMention">
    <w:name w:val="Unresolved Mention"/>
    <w:basedOn w:val="DefaultParagraphFont"/>
    <w:uiPriority w:val="99"/>
    <w:semiHidden/>
    <w:unhideWhenUsed/>
    <w:rsid w:val="00D55F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186/s12970-017-0177-8" TargetMode="External"/><Relationship Id="rId18" Type="http://schemas.openxmlformats.org/officeDocument/2006/relationships/hyperlink" Target="https://doi.org/10.3390/nu8060359" TargetMode="External"/><Relationship Id="rId26" Type="http://schemas.openxmlformats.org/officeDocument/2006/relationships/hyperlink" Target="https://doi.org/10.1016/j.jamda.2019.09.006" TargetMode="External"/><Relationship Id="rId39" Type="http://schemas.openxmlformats.org/officeDocument/2006/relationships/hyperlink" Target="https://doi.org/10.2174/1389203717666161227144349" TargetMode="External"/><Relationship Id="rId21" Type="http://schemas.openxmlformats.org/officeDocument/2006/relationships/hyperlink" Target="https://doi.org/10.3803/EnM.2020.405" TargetMode="External"/><Relationship Id="rId34" Type="http://schemas.openxmlformats.org/officeDocument/2006/relationships/hyperlink" Target="https://doi.org/10.1016/j.freeradbiomed.2018.08.035" TargetMode="External"/><Relationship Id="rId42" Type="http://schemas.openxmlformats.org/officeDocument/2006/relationships/hyperlink" Target="https://doi.org/10.1016/j.clnu.2020.06.037"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i.org/10.3945/ajcn.114.084061" TargetMode="External"/><Relationship Id="rId29" Type="http://schemas.openxmlformats.org/officeDocument/2006/relationships/hyperlink" Target="https://doi.org/10.3390/clinpract14040117" TargetMode="External"/><Relationship Id="rId11" Type="http://schemas.openxmlformats.org/officeDocument/2006/relationships/hyperlink" Target="https://doi.org/10.1007/s11547-022-01450-3" TargetMode="External"/><Relationship Id="rId24" Type="http://schemas.openxmlformats.org/officeDocument/2006/relationships/hyperlink" Target="https://doi.org/10.1016/j.metabol.2023.155533" TargetMode="External"/><Relationship Id="rId32" Type="http://schemas.openxmlformats.org/officeDocument/2006/relationships/hyperlink" Target="https://doi.org/10.1016/j.jocd.2015.04.011" TargetMode="External"/><Relationship Id="rId37" Type="http://schemas.openxmlformats.org/officeDocument/2006/relationships/hyperlink" Target="https://doi.org/10.3390/nu14010052" TargetMode="External"/><Relationship Id="rId40" Type="http://schemas.openxmlformats.org/officeDocument/2006/relationships/hyperlink" Target="https://doi.org/10.3390/nu12082285" TargetMode="External"/><Relationship Id="rId45" Type="http://schemas.openxmlformats.org/officeDocument/2006/relationships/hyperlink" Target="https://doi.org/10.9734/jpri/2021/v33i32B31763"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doi.org/10.1016/S0140-6736(19)31138-9" TargetMode="External"/><Relationship Id="rId19" Type="http://schemas.openxmlformats.org/officeDocument/2006/relationships/hyperlink" Target="https://doi.org/10.1016/j.ajcnut.2023.11.010" TargetMode="External"/><Relationship Id="rId31" Type="http://schemas.openxmlformats.org/officeDocument/2006/relationships/hyperlink" Target="https://doi.org/10.1186/s12877-021-02212-y" TargetMode="External"/><Relationship Id="rId44" Type="http://schemas.openxmlformats.org/officeDocument/2006/relationships/hyperlink" Target="https://doi.org/10.1371/journal.pone.0001875" TargetMode="External"/><Relationship Id="rId52"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doi.org/10.1016/S0140-6736(19)31138-9" TargetMode="External"/><Relationship Id="rId14" Type="http://schemas.openxmlformats.org/officeDocument/2006/relationships/hyperlink" Target="https://doi.org/10.3390/nu12082422" TargetMode="External"/><Relationship Id="rId22" Type="http://schemas.openxmlformats.org/officeDocument/2006/relationships/hyperlink" Target="https://doi.org/10.1007/s42978-020-00065-2" TargetMode="External"/><Relationship Id="rId27" Type="http://schemas.openxmlformats.org/officeDocument/2006/relationships/hyperlink" Target="https://doi.org/10.3390/ijerph19148718" TargetMode="External"/><Relationship Id="rId30" Type="http://schemas.openxmlformats.org/officeDocument/2006/relationships/hyperlink" Target="https://doi.org/10.1186/s12877-021-02212-y" TargetMode="External"/><Relationship Id="rId35" Type="http://schemas.openxmlformats.org/officeDocument/2006/relationships/hyperlink" Target="https://doi.org/10.1002/jcsm.13225" TargetMode="External"/><Relationship Id="rId43" Type="http://schemas.openxmlformats.org/officeDocument/2006/relationships/hyperlink" Target="https://doi.org/10.31083/fbl36204" TargetMode="External"/><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hyperlink" Target="https://doi.org/10.1007/s11547-022-01450-3" TargetMode="External"/><Relationship Id="rId17" Type="http://schemas.openxmlformats.org/officeDocument/2006/relationships/hyperlink" Target="https://doi.org/10.3945/ajcn.114.084061" TargetMode="External"/><Relationship Id="rId25" Type="http://schemas.openxmlformats.org/officeDocument/2006/relationships/hyperlink" Target="https://doi.org/10.1016/j.metabol.2023.155533" TargetMode="External"/><Relationship Id="rId33" Type="http://schemas.openxmlformats.org/officeDocument/2006/relationships/hyperlink" Target="https://doi.org/10.1111/ajag.12521" TargetMode="External"/><Relationship Id="rId38" Type="http://schemas.openxmlformats.org/officeDocument/2006/relationships/hyperlink" Target="https://doi.org/10.1017/S002966511500422X" TargetMode="External"/><Relationship Id="rId46" Type="http://schemas.openxmlformats.org/officeDocument/2006/relationships/hyperlink" Target="https://doi.org/10.9734/ajfrn/2025/v4i3305" TargetMode="External"/><Relationship Id="rId20" Type="http://schemas.openxmlformats.org/officeDocument/2006/relationships/hyperlink" Target="https://doi.org/10.1007/s13668-023-00473-0" TargetMode="External"/><Relationship Id="rId41" Type="http://schemas.openxmlformats.org/officeDocument/2006/relationships/hyperlink" Target="https://doi.org/10.1002/biof.1138"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i.org/10.1007/s40279-014-0156-z" TargetMode="External"/><Relationship Id="rId23" Type="http://schemas.openxmlformats.org/officeDocument/2006/relationships/hyperlink" Target="https://doi.org/10.1016/j.jamda.2017.09.014" TargetMode="External"/><Relationship Id="rId28" Type="http://schemas.openxmlformats.org/officeDocument/2006/relationships/hyperlink" Target="https://doi.org/10.1016/j.nutres.2017.01.001" TargetMode="External"/><Relationship Id="rId36" Type="http://schemas.openxmlformats.org/officeDocument/2006/relationships/hyperlink" Target="https://doi.org/10.14336/AD.2019.1012" TargetMode="External"/><Relationship Id="rId4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nOZSvutk+iLOsheLcLvGTr/5gA==">CgMxLjAyDWgudzUxYzVveHowcTgyDmgubngzMXNicWtyajU2OAByITFYbTlKNkNVUktkMzhpZ1NnM1VxUVNjMGVTcjg3U2NWYg==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6FDFC74-E3D3-4CCB-BF00-2B277730B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10</Pages>
  <Words>6285</Words>
  <Characters>35827</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Gayatri Patil</dc:creator>
  <cp:lastModifiedBy>SDI 1020</cp:lastModifiedBy>
  <cp:revision>81</cp:revision>
  <dcterms:created xsi:type="dcterms:W3CDTF">2025-11-15T18:25:00Z</dcterms:created>
  <dcterms:modified xsi:type="dcterms:W3CDTF">2025-12-23T10:50:00Z</dcterms:modified>
</cp:coreProperties>
</file>