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C5352" w14:textId="77777777" w:rsidR="006B2BFA" w:rsidRPr="006B2BFA" w:rsidRDefault="006B2BFA" w:rsidP="006B2BFA">
      <w:pPr>
        <w:pStyle w:val="MdHeading1"/>
        <w:rPr>
          <w:i/>
          <w:iCs/>
          <w:sz w:val="28"/>
          <w:szCs w:val="28"/>
          <w:u w:val="single"/>
          <w:lang w:val="en-US"/>
        </w:rPr>
      </w:pPr>
      <w:r w:rsidRPr="006B2BFA">
        <w:rPr>
          <w:i/>
          <w:iCs/>
          <w:sz w:val="28"/>
          <w:szCs w:val="28"/>
          <w:u w:val="single"/>
          <w:lang w:val="en-US"/>
        </w:rPr>
        <w:t xml:space="preserve">Clinical Practice Article </w:t>
      </w:r>
    </w:p>
    <w:p w14:paraId="4D280C39" w14:textId="05A200E1" w:rsidR="00F152F5" w:rsidRPr="004A72C5" w:rsidRDefault="00CA5349" w:rsidP="00F152F5">
      <w:pPr>
        <w:pStyle w:val="MdHeading1"/>
        <w:rPr>
          <w:sz w:val="28"/>
          <w:szCs w:val="28"/>
          <w:lang w:val="en-US"/>
        </w:rPr>
      </w:pPr>
      <w:r w:rsidRPr="00CA5349">
        <w:rPr>
          <w:sz w:val="28"/>
          <w:szCs w:val="28"/>
          <w:highlight w:val="yellow"/>
          <w:lang w:val="en-US"/>
        </w:rPr>
        <w:t>Mechanisms Underlying Weight Regain After GLP-1RA Treatment: A Neurobiological Perspective</w:t>
      </w:r>
    </w:p>
    <w:p w14:paraId="47962CED" w14:textId="6797FF3F" w:rsidR="0087470C" w:rsidRPr="004A72C5" w:rsidRDefault="0087470C" w:rsidP="0087470C">
      <w:pPr>
        <w:spacing w:line="360" w:lineRule="auto"/>
        <w:jc w:val="both"/>
        <w:rPr>
          <w:b/>
          <w:bCs/>
          <w:lang w:val="en-US"/>
        </w:rPr>
      </w:pPr>
    </w:p>
    <w:p w14:paraId="403F3C32" w14:textId="2DB96947" w:rsidR="00F152F5" w:rsidRPr="00A53B81" w:rsidRDefault="00F152F5" w:rsidP="00F152F5">
      <w:pPr>
        <w:spacing w:line="360" w:lineRule="auto"/>
        <w:jc w:val="both"/>
        <w:rPr>
          <w:b/>
          <w:bCs/>
          <w:lang w:val="en-US"/>
        </w:rPr>
      </w:pPr>
    </w:p>
    <w:p w14:paraId="3D089991" w14:textId="77777777" w:rsidR="00091271" w:rsidRPr="004A72C5" w:rsidRDefault="00091271" w:rsidP="00F152F5">
      <w:pPr>
        <w:spacing w:line="360" w:lineRule="auto"/>
        <w:jc w:val="both"/>
        <w:rPr>
          <w:b/>
          <w:bCs/>
          <w:lang w:val="en-US"/>
        </w:rPr>
      </w:pPr>
    </w:p>
    <w:p w14:paraId="54F5141E" w14:textId="1DF6A2A0" w:rsidR="00F152F5" w:rsidRDefault="00F152F5" w:rsidP="00F152F5">
      <w:pPr>
        <w:spacing w:line="360" w:lineRule="auto"/>
        <w:jc w:val="both"/>
        <w:rPr>
          <w:b/>
          <w:bCs/>
          <w:lang w:val="en-US"/>
        </w:rPr>
      </w:pPr>
      <w:r w:rsidRPr="004A72C5">
        <w:rPr>
          <w:b/>
          <w:bCs/>
          <w:lang w:val="en-US"/>
        </w:rPr>
        <w:t>Abstract</w:t>
      </w:r>
    </w:p>
    <w:p w14:paraId="7896CF35" w14:textId="3648F161" w:rsidR="0042207D" w:rsidRPr="0042207D" w:rsidRDefault="0042207D" w:rsidP="00F152F5">
      <w:pPr>
        <w:spacing w:line="360" w:lineRule="auto"/>
        <w:jc w:val="both"/>
        <w:rPr>
          <w:rFonts w:ascii="Times" w:hAnsi="Times"/>
          <w:lang w:val="en-US"/>
        </w:rPr>
      </w:pPr>
      <w:r w:rsidRPr="00B26BB1">
        <w:rPr>
          <w:rFonts w:ascii="Times" w:hAnsi="Times"/>
          <w:highlight w:val="yellow"/>
          <w:lang w:val="en-US"/>
        </w:rPr>
        <w:t>Weight rebound after discontinuation of GLP-1 receptor agonists (GLP-1RAs) is common and often misinterpreted as a sign of weak willpower. This review summarizes preclinical and clinical evidence on how GLP-1RAs affect food stimulus processing and other systems that determine relapse risk, including gastrointestinal physiology, inflammatory signaling, and stress hormones. During treatment, GLP-1RAs can reduce binge eating and food stimulus-driven eating by decreasing the motivational value of highly palatable foods, including by modulating mesolimbic circuitry and glutamatergic signaling. With prolonged use, some reward-related responses may diminish, and food stimuli may become more prominent upon discontinuation, leading to a recurrence of food cravings and overeating. Persistent low-grade inflammation and enhanced stress responses may further amplify stimulus-driven eating and weaken inhibitory control. These interacting mechanisms collectively constitute a clinically meaningful framework for treating rebound effects and support maintenance approaches that combine pharmacological, behavioral, and lifestyle strategies to improve the long-term sustainability of weight loss.</w:t>
      </w:r>
    </w:p>
    <w:p w14:paraId="4A930888" w14:textId="77777777" w:rsidR="00A05336" w:rsidRPr="004A72C5" w:rsidRDefault="00A05336" w:rsidP="00A05336">
      <w:pPr>
        <w:pStyle w:val="MdHeading2"/>
        <w:rPr>
          <w:sz w:val="24"/>
          <w:szCs w:val="24"/>
          <w:lang w:val="en-US"/>
        </w:rPr>
      </w:pPr>
      <w:r w:rsidRPr="004A72C5">
        <w:rPr>
          <w:sz w:val="24"/>
          <w:szCs w:val="24"/>
          <w:lang w:val="en-US"/>
        </w:rPr>
        <w:t>Keywords</w:t>
      </w:r>
    </w:p>
    <w:p w14:paraId="05BB35AF" w14:textId="77777777" w:rsidR="00A05336" w:rsidRPr="004A72C5" w:rsidRDefault="00A05336" w:rsidP="00A05336">
      <w:pPr>
        <w:pStyle w:val="MdParagraph"/>
        <w:rPr>
          <w:lang w:val="en-US"/>
        </w:rPr>
      </w:pPr>
      <w:r w:rsidRPr="004A72C5">
        <w:rPr>
          <w:lang w:val="en-US"/>
        </w:rPr>
        <w:t>GLP-1 receptor agonists; weight regain; dopamine signaling; compulsive eating; neuroinflammation; neuroendocrine adaptation; mesolimbic reward circuit</w:t>
      </w:r>
    </w:p>
    <w:p w14:paraId="0FC1BB7C" w14:textId="77777777" w:rsidR="004A72C5" w:rsidRPr="004A72C5" w:rsidRDefault="004A72C5" w:rsidP="00F152F5">
      <w:pPr>
        <w:spacing w:line="360" w:lineRule="auto"/>
        <w:jc w:val="both"/>
        <w:rPr>
          <w:lang w:val="en-US"/>
        </w:rPr>
      </w:pPr>
    </w:p>
    <w:p w14:paraId="65BF17D4" w14:textId="091B1B60" w:rsidR="004A72C5" w:rsidRPr="001B311C" w:rsidRDefault="004A72C5" w:rsidP="004A72C5">
      <w:pPr>
        <w:pStyle w:val="PargrafodaLista"/>
        <w:numPr>
          <w:ilvl w:val="0"/>
          <w:numId w:val="3"/>
        </w:numPr>
        <w:spacing w:line="360" w:lineRule="auto"/>
        <w:jc w:val="both"/>
        <w:rPr>
          <w:rFonts w:ascii="Times" w:hAnsi="Times"/>
          <w:b/>
          <w:bCs/>
          <w:lang w:val="en-US"/>
        </w:rPr>
      </w:pPr>
      <w:r w:rsidRPr="001B311C">
        <w:rPr>
          <w:rFonts w:ascii="Times" w:hAnsi="Times"/>
          <w:b/>
          <w:bCs/>
          <w:lang w:val="en-US"/>
        </w:rPr>
        <w:t xml:space="preserve">Introduction </w:t>
      </w:r>
    </w:p>
    <w:p w14:paraId="4A85C466" w14:textId="0B340561" w:rsidR="0087470C" w:rsidRPr="001B311C" w:rsidRDefault="0087470C" w:rsidP="004A72C5">
      <w:pPr>
        <w:spacing w:line="360" w:lineRule="auto"/>
        <w:ind w:firstLine="708"/>
        <w:jc w:val="both"/>
        <w:rPr>
          <w:rFonts w:ascii="Times" w:hAnsi="Times"/>
          <w:lang w:val="en-US"/>
        </w:rPr>
      </w:pPr>
      <w:r w:rsidRPr="001B311C">
        <w:rPr>
          <w:rFonts w:ascii="Times" w:hAnsi="Times"/>
          <w:lang w:val="en-US"/>
        </w:rPr>
        <w:t xml:space="preserve">For a long time, weight gain after discontinuing or reducing anti-obesity medications has been interpreted as a simple behavioral disorder. However, mounting evidence suggests that this phenomenon is biologically organized and maintained, driven </w:t>
      </w:r>
      <w:r w:rsidRPr="001B311C">
        <w:rPr>
          <w:rFonts w:ascii="Times" w:hAnsi="Times"/>
          <w:lang w:val="en-US"/>
        </w:rPr>
        <w:lastRenderedPageBreak/>
        <w:t xml:space="preserve">by a series of coordinated neurobiological, inflammatory, and neuroendocrine adaptive responses aimed at restoring compulsive eating habits (1,2). </w:t>
      </w:r>
    </w:p>
    <w:p w14:paraId="7F8C6641" w14:textId="77777777" w:rsidR="0087470C" w:rsidRPr="001B311C" w:rsidRDefault="0087470C" w:rsidP="004A72C5">
      <w:pPr>
        <w:spacing w:line="360" w:lineRule="auto"/>
        <w:ind w:firstLine="360"/>
        <w:jc w:val="both"/>
        <w:rPr>
          <w:rFonts w:ascii="Times" w:hAnsi="Times"/>
          <w:lang w:val="en-US"/>
        </w:rPr>
      </w:pPr>
      <w:r w:rsidRPr="001B311C">
        <w:rPr>
          <w:rFonts w:ascii="Times" w:hAnsi="Times"/>
          <w:lang w:val="en-US"/>
        </w:rPr>
        <w:t>In this context, GLP-1 receptor agonists (GLP-1RAs) have emerged as therapeutic agents that can temporarily intervene in these systems without permanently reprogramming them. Therefore, understanding post-treatment weight gain requires a comprehensive approach that includes dopaminergic signaling, compulsive eating, and adaptive plasticity of the gut-brain axis (2).</w:t>
      </w:r>
    </w:p>
    <w:p w14:paraId="02D48ADC" w14:textId="14A12B56" w:rsidR="0087470C" w:rsidRPr="001B311C" w:rsidRDefault="0087470C" w:rsidP="004A72C5">
      <w:pPr>
        <w:spacing w:line="360" w:lineRule="auto"/>
        <w:ind w:firstLine="708"/>
        <w:jc w:val="both"/>
        <w:rPr>
          <w:rFonts w:ascii="Times" w:hAnsi="Times"/>
          <w:lang w:val="en-US"/>
        </w:rPr>
      </w:pPr>
      <w:r w:rsidRPr="001B311C">
        <w:rPr>
          <w:rFonts w:ascii="Times" w:hAnsi="Times"/>
          <w:lang w:val="en-US"/>
        </w:rPr>
        <w:t xml:space="preserve"> </w:t>
      </w:r>
    </w:p>
    <w:p w14:paraId="16424071" w14:textId="60DC41F5" w:rsidR="004A72C5" w:rsidRPr="001B311C" w:rsidRDefault="004A72C5" w:rsidP="004A72C5">
      <w:pPr>
        <w:pStyle w:val="MdHeading3"/>
        <w:numPr>
          <w:ilvl w:val="0"/>
          <w:numId w:val="3"/>
        </w:numPr>
        <w:spacing w:before="0" w:after="0" w:line="360" w:lineRule="auto"/>
        <w:ind w:right="-113"/>
        <w:jc w:val="both"/>
        <w:rPr>
          <w:rFonts w:ascii="Times" w:hAnsi="Times"/>
          <w:sz w:val="24"/>
          <w:szCs w:val="24"/>
          <w:lang w:val="en-US"/>
        </w:rPr>
      </w:pPr>
      <w:r w:rsidRPr="001B311C">
        <w:rPr>
          <w:rFonts w:ascii="Times" w:hAnsi="Times"/>
          <w:sz w:val="24"/>
          <w:szCs w:val="24"/>
          <w:lang w:val="en-US"/>
        </w:rPr>
        <w:t>Dopaminergic Signaling and Reward Circuit Adaptation</w:t>
      </w:r>
    </w:p>
    <w:p w14:paraId="204F474A" w14:textId="77777777" w:rsidR="004A72C5" w:rsidRDefault="004A72C5" w:rsidP="004A72C5">
      <w:pPr>
        <w:pStyle w:val="MdParagraph"/>
        <w:spacing w:before="0" w:after="0" w:line="360" w:lineRule="auto"/>
        <w:jc w:val="both"/>
        <w:rPr>
          <w:rFonts w:ascii="Times" w:hAnsi="Times"/>
          <w:lang w:val="en-US"/>
        </w:rPr>
      </w:pPr>
      <w:r w:rsidRPr="001B311C">
        <w:rPr>
          <w:rFonts w:ascii="Times" w:hAnsi="Times"/>
          <w:lang w:val="en-US"/>
        </w:rPr>
        <w:t>Compulsive eating shares key neurobiological features with other addictive behaviors, characterized by overactivity of reward circuits accompanied by a relative weakening of executive control. The mesolimbic dopaminergic pathway, including neurons projecting to the nucleus accumbens and ventral tegmental neurons of the prefrontal cortex, plays a central role in this process. Dopamine itself does not directly mediate pleasure, but rather encodes motivational salience and associative learning, thereby reinforcing behavioral responses to stimuli predicting palatable food (3,4).</w:t>
      </w:r>
    </w:p>
    <w:p w14:paraId="045ABF5F" w14:textId="262B1067" w:rsidR="00A53B81" w:rsidRPr="00A53B81" w:rsidRDefault="00A53B81" w:rsidP="00A53B81">
      <w:pPr>
        <w:pStyle w:val="MdParagraph"/>
        <w:spacing w:line="360" w:lineRule="auto"/>
        <w:ind w:firstLine="708"/>
        <w:jc w:val="both"/>
        <w:rPr>
          <w:rFonts w:ascii="Times" w:hAnsi="Times"/>
          <w:highlight w:val="yellow"/>
          <w:lang w:val="en-US"/>
        </w:rPr>
      </w:pPr>
      <w:r w:rsidRPr="00A53B81">
        <w:rPr>
          <w:rFonts w:ascii="Times" w:hAnsi="Times"/>
          <w:highlight w:val="yellow"/>
          <w:lang w:val="en-US"/>
        </w:rPr>
        <w:t>A key aspect of GLP-1RA action involves the reduction of cue-driven dopaminergic activity, which has direct implications for food-related motivation. Typically, environmental cues associated with food—such as sights, smells, or even specific contexts—can trigger dopamine release in the brain, enhancing the salience of those cues and prompting increased motivation to seek out and consume food. GLP-1RAs blunt this dopaminergic response, leading to diminished reactivity to such cues. This shift can be observed in behavioral changes such as reduced cravings, less frequent thoughts about food, and a lower propensity to engage in impulsive eating when faced with tempting situations</w:t>
      </w:r>
      <w:r w:rsidRPr="00A53B81">
        <w:rPr>
          <w:rFonts w:ascii="Times" w:hAnsi="Times"/>
          <w:highlight w:val="yellow"/>
          <w:lang w:val="en-US"/>
        </w:rPr>
        <w:t xml:space="preserve"> (5,6).</w:t>
      </w:r>
    </w:p>
    <w:p w14:paraId="286C516A" w14:textId="77777777" w:rsidR="00A53B81" w:rsidRPr="00A53B81" w:rsidRDefault="00A53B81" w:rsidP="00A53B81">
      <w:pPr>
        <w:pStyle w:val="MdParagraph"/>
        <w:spacing w:line="360" w:lineRule="auto"/>
        <w:jc w:val="both"/>
        <w:rPr>
          <w:rFonts w:ascii="Times" w:hAnsi="Times"/>
          <w:highlight w:val="yellow"/>
          <w:lang w:val="en-US"/>
        </w:rPr>
      </w:pPr>
    </w:p>
    <w:p w14:paraId="649B843A" w14:textId="440EAE6D" w:rsidR="00A53B81" w:rsidRPr="001B311C" w:rsidRDefault="00A53B81" w:rsidP="00A53B81">
      <w:pPr>
        <w:pStyle w:val="MdParagraph"/>
        <w:spacing w:before="0" w:after="0" w:line="360" w:lineRule="auto"/>
        <w:ind w:firstLine="708"/>
        <w:jc w:val="both"/>
        <w:rPr>
          <w:rFonts w:ascii="Times" w:hAnsi="Times"/>
          <w:lang w:val="en-US"/>
        </w:rPr>
      </w:pPr>
      <w:r w:rsidRPr="00A53B81">
        <w:rPr>
          <w:rFonts w:ascii="Times" w:hAnsi="Times"/>
          <w:highlight w:val="yellow"/>
          <w:lang w:val="en-US"/>
        </w:rPr>
        <w:t xml:space="preserve">The dampening of cue-driven dopaminergic signaling by GLP-1RAs contributes to the phenomenon often described as a reduction in “food noise”—the intrusive, persistent preoccupation with food and eating. This occurs because the attribution of excessive motivational salience to food-related cues is attenuated, making these cues less attention-grabbing and emotionally charged. As a result, individuals experience a quieter mental landscape with fewer food-related distractions. This altered state not only supports </w:t>
      </w:r>
      <w:r w:rsidRPr="00A53B81">
        <w:rPr>
          <w:rFonts w:ascii="Times" w:hAnsi="Times"/>
          <w:highlight w:val="yellow"/>
          <w:lang w:val="en-US"/>
        </w:rPr>
        <w:lastRenderedPageBreak/>
        <w:t>weight management efforts but also highlights the crucial role of neural salience attribution in the regulation of appetite and food intake</w:t>
      </w:r>
      <w:r w:rsidRPr="00A53B81">
        <w:rPr>
          <w:rFonts w:ascii="Times" w:hAnsi="Times"/>
          <w:highlight w:val="yellow"/>
          <w:lang w:val="en-US"/>
        </w:rPr>
        <w:t xml:space="preserve"> (6,7).</w:t>
      </w:r>
    </w:p>
    <w:p w14:paraId="5669EE5E" w14:textId="33873ABF" w:rsidR="008C3D06" w:rsidRDefault="004A72C5" w:rsidP="008C3D06">
      <w:pPr>
        <w:pStyle w:val="MdParagraph"/>
        <w:spacing w:line="360" w:lineRule="auto"/>
        <w:ind w:firstLine="708"/>
        <w:jc w:val="both"/>
        <w:rPr>
          <w:rFonts w:ascii="Times" w:hAnsi="Times"/>
          <w:lang w:val="en-US"/>
        </w:rPr>
      </w:pPr>
      <w:r w:rsidRPr="001B311C">
        <w:rPr>
          <w:rFonts w:ascii="Times" w:hAnsi="Times"/>
          <w:lang w:val="en-US"/>
        </w:rPr>
        <w:t>During GLP-1 receptor agonist treatment, a decline in food perception, accompanied by reduced dopaminergic responsiveness, is frequently observed. Experimental results indicate that semaglutide inhibits the activity of ventral tegmental dopaminergic neurons during palatable food intake and reduces initial food consumption However, this effect is not static</w:t>
      </w:r>
      <w:r w:rsidR="008C3D06">
        <w:rPr>
          <w:rFonts w:ascii="Times" w:hAnsi="Times"/>
          <w:lang w:val="en-US"/>
        </w:rPr>
        <w:t xml:space="preserve"> </w:t>
      </w:r>
      <w:r w:rsidR="008C3D06" w:rsidRPr="001B311C">
        <w:rPr>
          <w:rFonts w:ascii="Times" w:hAnsi="Times"/>
          <w:lang w:val="en-US"/>
        </w:rPr>
        <w:t>(5).</w:t>
      </w:r>
    </w:p>
    <w:p w14:paraId="10A0F639" w14:textId="48D2B4AB" w:rsidR="004A72C5" w:rsidRPr="001B311C" w:rsidRDefault="008C3D06" w:rsidP="008C3D06">
      <w:pPr>
        <w:pStyle w:val="MdParagraph"/>
        <w:spacing w:line="360" w:lineRule="auto"/>
        <w:ind w:firstLine="708"/>
        <w:jc w:val="both"/>
        <w:rPr>
          <w:rFonts w:ascii="Times" w:hAnsi="Times"/>
          <w:lang w:val="en-US"/>
        </w:rPr>
      </w:pPr>
      <w:r w:rsidRPr="008C3D06">
        <w:rPr>
          <w:rFonts w:ascii="Times" w:hAnsi="Times"/>
          <w:highlight w:val="yellow"/>
          <w:lang w:val="en-US"/>
        </w:rPr>
        <w:t xml:space="preserve">Long-term use of GLP-1 receptor agonists (GLP-1RAs) induces compensatory neural adaptations characterized by:(1) upregulation of D2 dopamine receptors in the nucleus </w:t>
      </w:r>
      <w:proofErr w:type="spellStart"/>
      <w:r w:rsidRPr="008C3D06">
        <w:rPr>
          <w:rFonts w:ascii="Times" w:hAnsi="Times"/>
          <w:highlight w:val="yellow"/>
          <w:lang w:val="en-US"/>
        </w:rPr>
        <w:t>accumbens</w:t>
      </w:r>
      <w:proofErr w:type="spellEnd"/>
      <w:r w:rsidRPr="008C3D06">
        <w:rPr>
          <w:rFonts w:ascii="Times" w:hAnsi="Times"/>
          <w:highlight w:val="yellow"/>
          <w:lang w:val="en-US"/>
        </w:rPr>
        <w:t xml:space="preserve">; (2) increased expression of dopamine transporter (DAT); and (3) enhanced sensitivity of </w:t>
      </w:r>
      <w:proofErr w:type="spellStart"/>
      <w:r w:rsidRPr="008C3D06">
        <w:rPr>
          <w:rFonts w:ascii="Times" w:hAnsi="Times"/>
          <w:highlight w:val="yellow"/>
          <w:lang w:val="en-US"/>
        </w:rPr>
        <w:t>autoreceptors</w:t>
      </w:r>
      <w:proofErr w:type="spellEnd"/>
      <w:r w:rsidRPr="008C3D06">
        <w:rPr>
          <w:rFonts w:ascii="Times" w:hAnsi="Times"/>
          <w:highlight w:val="yellow"/>
          <w:lang w:val="en-US"/>
        </w:rPr>
        <w:t xml:space="preserve"> in dopaminergic neurons in the ventral tegmental area (VTA). These adaptations reflect homeostatic mechanisms that partially restore dopaminergic signaling even under sustained pharmacological inhibition, thereby reducing the initial therapeutic effect of GLP-1RAs on food-motivated behavior</w:t>
      </w:r>
      <w:r w:rsidRPr="008C3D06">
        <w:rPr>
          <w:rFonts w:ascii="Times" w:hAnsi="Times"/>
          <w:highlight w:val="yellow"/>
          <w:lang w:val="en-US"/>
        </w:rPr>
        <w:t xml:space="preserve">. </w:t>
      </w:r>
      <w:r w:rsidRPr="008C3D06">
        <w:rPr>
          <w:rFonts w:ascii="Times" w:hAnsi="Times"/>
          <w:highlight w:val="yellow"/>
          <w:lang w:val="en-US"/>
        </w:rPr>
        <w:t>Crucially, this neural adaptation trains the reward system, enabling it to maintain a high responsiveness to food-related stimuli even under pharmacological inhibition.</w:t>
      </w:r>
      <w:r w:rsidRPr="008C3D06">
        <w:rPr>
          <w:rFonts w:ascii="Times" w:hAnsi="Times"/>
          <w:highlight w:val="yellow"/>
          <w:lang w:val="en-US"/>
        </w:rPr>
        <w:t xml:space="preserve"> </w:t>
      </w:r>
      <w:r w:rsidR="004A72C5" w:rsidRPr="008C3D06">
        <w:rPr>
          <w:rFonts w:ascii="Times" w:hAnsi="Times"/>
          <w:highlight w:val="yellow"/>
          <w:lang w:val="en-US"/>
        </w:rPr>
        <w:t>(</w:t>
      </w:r>
      <w:r w:rsidR="00A53B81" w:rsidRPr="008C3D06">
        <w:rPr>
          <w:rFonts w:ascii="Times" w:hAnsi="Times"/>
          <w:highlight w:val="yellow"/>
          <w:lang w:val="en-US"/>
        </w:rPr>
        <w:t>8</w:t>
      </w:r>
      <w:r w:rsidR="004A72C5" w:rsidRPr="008C3D06">
        <w:rPr>
          <w:rFonts w:ascii="Times" w:hAnsi="Times"/>
          <w:highlight w:val="yellow"/>
          <w:lang w:val="en-US"/>
        </w:rPr>
        <w:t>).</w:t>
      </w:r>
    </w:p>
    <w:p w14:paraId="040CE96E" w14:textId="7A0799B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This adaptation process is crucial for understanding post-treatment weight gain. After discontinuation of pharmacological modulation, the reward system remains "trained" by long-term intake of highly rewarding foods but is no longer limited by the pharmacologically inhibited motivational effects. Therefore, individuals may enter a state of acute neurobiological vulnerability where food-related stimuli rapidly regain their heightened motivational value, leading to relapse of compulsive eating and rapid weight gain (1, 3).</w:t>
      </w:r>
    </w:p>
    <w:p w14:paraId="7E63E2E5" w14:textId="77777777" w:rsidR="004A72C5" w:rsidRPr="001B311C" w:rsidRDefault="004A72C5" w:rsidP="004A72C5">
      <w:pPr>
        <w:pStyle w:val="MdSpace"/>
        <w:spacing w:line="360" w:lineRule="auto"/>
        <w:jc w:val="both"/>
        <w:rPr>
          <w:rFonts w:ascii="Times" w:hAnsi="Times"/>
          <w:lang w:val="en-US"/>
        </w:rPr>
      </w:pPr>
    </w:p>
    <w:p w14:paraId="59046566" w14:textId="014C0086"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t>Gastrointestinal Physiology and Treatment Adherence</w:t>
      </w:r>
    </w:p>
    <w:p w14:paraId="663CA1B8" w14:textId="77777777" w:rsidR="008C3D06"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In addition to modulating the central reward system, GLP-1 receptor agonists also have clinically significant effects on upper gastrointestinal physiology, particularly gastric emptying. This can affect treatment adherence and discontinuation in daily practice. A recent systematic review and meta-analysis reported that GLP-1 receptor agonist use was significantly associated with increased gastric residual volume and higher rates of esophagogastroduodenoscopy interruptions, but no significant increase in aspiration events was observed (</w:t>
      </w:r>
      <w:r w:rsidR="00A53B81">
        <w:rPr>
          <w:rFonts w:ascii="Times" w:hAnsi="Times"/>
          <w:lang w:val="en-US"/>
        </w:rPr>
        <w:t>9</w:t>
      </w:r>
      <w:r w:rsidRPr="001B311C">
        <w:rPr>
          <w:rFonts w:ascii="Times" w:hAnsi="Times"/>
          <w:lang w:val="en-US"/>
        </w:rPr>
        <w:t xml:space="preserve">). </w:t>
      </w:r>
    </w:p>
    <w:p w14:paraId="5586243D" w14:textId="23DA7F9D" w:rsidR="008C3D06" w:rsidRPr="008C3D06" w:rsidRDefault="008C3D06" w:rsidP="008C3D06">
      <w:pPr>
        <w:pStyle w:val="MdParagraph"/>
        <w:spacing w:before="0" w:after="0" w:line="360" w:lineRule="auto"/>
        <w:ind w:firstLine="708"/>
        <w:jc w:val="both"/>
        <w:rPr>
          <w:rFonts w:ascii="Times" w:hAnsi="Times"/>
          <w:lang w:val="en-US"/>
        </w:rPr>
      </w:pPr>
      <w:r w:rsidRPr="008C3D06">
        <w:rPr>
          <w:rFonts w:ascii="Times" w:hAnsi="Times" w:cs="Arial"/>
          <w:color w:val="202C6C"/>
          <w:highlight w:val="yellow"/>
          <w:shd w:val="clear" w:color="auto" w:fill="FFFFFF"/>
          <w:lang w:val="en-US"/>
        </w:rPr>
        <w:lastRenderedPageBreak/>
        <w:t xml:space="preserve">Furthermore, changes in gastrointestinal disorders can have neurobiological effects. Current research indicates that gastrointestinal function can be suppressed. GLP-1RA is a module that promotes the release of saturated sinus molecules (YY peptides, oxidants). I am trapped in a fuzzy nuclear receptor and indirectly affected. Moderate dopamine activity leads to neuronal projections in the nucleus. The nucleus tractus solitarius (NTS) is part of the ventral tegmental area (VTA). Important note: GLP-1RA no longer modulates. De-inhibit central dopamine suppression and then restore it </w:t>
      </w:r>
      <w:proofErr w:type="gramStart"/>
      <w:r w:rsidRPr="008C3D06">
        <w:rPr>
          <w:rFonts w:ascii="Times" w:hAnsi="Times" w:cs="Arial"/>
          <w:color w:val="202C6C"/>
          <w:highlight w:val="yellow"/>
          <w:shd w:val="clear" w:color="auto" w:fill="FFFFFF"/>
          <w:lang w:val="en-US"/>
        </w:rPr>
        <w:t>to</w:t>
      </w:r>
      <w:proofErr w:type="gramEnd"/>
      <w:r w:rsidRPr="008C3D06">
        <w:rPr>
          <w:rFonts w:ascii="Times" w:hAnsi="Times" w:cs="Arial"/>
          <w:color w:val="202C6C"/>
          <w:highlight w:val="yellow"/>
          <w:shd w:val="clear" w:color="auto" w:fill="FFFFFF"/>
          <w:lang w:val="en-US"/>
        </w:rPr>
        <w:t xml:space="preserve"> normal. Gastrointestinal saturation may be enhanced. Dopaminergic inhibition occurs through peripheral mechanisms</w:t>
      </w:r>
      <w:r w:rsidRPr="008C3D06">
        <w:rPr>
          <w:rFonts w:ascii="Times" w:hAnsi="Times" w:cs="Arial"/>
          <w:color w:val="202C6C"/>
          <w:highlight w:val="yellow"/>
          <w:shd w:val="clear" w:color="auto" w:fill="FFFFFF"/>
          <w:lang w:val="en-US"/>
        </w:rPr>
        <w:t xml:space="preserve"> (</w:t>
      </w:r>
      <w:r w:rsidRPr="008C3D06">
        <w:rPr>
          <w:rFonts w:ascii="Times" w:hAnsi="Times"/>
          <w:highlight w:val="yellow"/>
          <w:lang w:val="en-US"/>
        </w:rPr>
        <w:t>2-6)</w:t>
      </w:r>
    </w:p>
    <w:p w14:paraId="18B2DDC9" w14:textId="503B8371" w:rsidR="004A72C5" w:rsidRPr="001B311C" w:rsidRDefault="004A72C5" w:rsidP="008C3D06">
      <w:pPr>
        <w:pStyle w:val="MdParagraph"/>
        <w:spacing w:before="0" w:after="0" w:line="360" w:lineRule="auto"/>
        <w:ind w:firstLine="708"/>
        <w:jc w:val="both"/>
        <w:rPr>
          <w:rFonts w:ascii="Times" w:hAnsi="Times"/>
          <w:lang w:val="en-US"/>
        </w:rPr>
      </w:pPr>
      <w:r w:rsidRPr="001B311C">
        <w:rPr>
          <w:rFonts w:ascii="Times" w:hAnsi="Times"/>
          <w:lang w:val="en-US"/>
        </w:rPr>
        <w:t>These observations further confirm that the treatment process is affected not only by the neurocognitive rebound effect after treatment ends, but also by the clinical burden of gastrointestinal side effects and procedure-related interruptions, which may lead to dose adjustments or treatment discontinuation (1, 2</w:t>
      </w:r>
      <w:r w:rsidR="008C3D06">
        <w:rPr>
          <w:rFonts w:ascii="Times" w:hAnsi="Times"/>
          <w:lang w:val="en-US"/>
        </w:rPr>
        <w:t>, 4, 7,9</w:t>
      </w:r>
      <w:r w:rsidRPr="001B311C">
        <w:rPr>
          <w:rFonts w:ascii="Times" w:hAnsi="Times"/>
          <w:lang w:val="en-US"/>
        </w:rPr>
        <w:t>).</w:t>
      </w:r>
    </w:p>
    <w:p w14:paraId="20F338CB" w14:textId="77777777" w:rsidR="004A72C5" w:rsidRPr="001B311C" w:rsidRDefault="004A72C5" w:rsidP="004A72C5">
      <w:pPr>
        <w:pStyle w:val="MdSpace"/>
        <w:spacing w:line="360" w:lineRule="auto"/>
        <w:jc w:val="both"/>
        <w:rPr>
          <w:rFonts w:ascii="Times" w:hAnsi="Times"/>
          <w:lang w:val="en-US"/>
        </w:rPr>
      </w:pPr>
    </w:p>
    <w:p w14:paraId="2DD6963E" w14:textId="7C28886C"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t>Neuroinflammation and Reward Processing</w:t>
      </w:r>
    </w:p>
    <w:p w14:paraId="1C4EA1D7" w14:textId="117EFBBF" w:rsidR="004A72C5"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Chronic low-grade inflammation is a hallmark of obesity and a significant intersection between metabolism and compulsive behavior. Pro-inflammatory pathways alter dopaminergic neurotransmission by activating microglia and modulating synaptic plasticity. In individuals with high inflammatory burdens, alterations in functional connectivity of the reward system are associated with anhedonia and diminished motivation, supporting the hypothesis that inflammation regulates reward processing and behavioral control (</w:t>
      </w:r>
      <w:r w:rsidR="00A53B81">
        <w:rPr>
          <w:rFonts w:ascii="Times" w:hAnsi="Times"/>
          <w:lang w:val="en-US"/>
        </w:rPr>
        <w:t>10</w:t>
      </w:r>
      <w:r w:rsidRPr="001B311C">
        <w:rPr>
          <w:rFonts w:ascii="Times" w:hAnsi="Times"/>
          <w:lang w:val="en-US"/>
        </w:rPr>
        <w:t>).</w:t>
      </w:r>
    </w:p>
    <w:p w14:paraId="143B2226" w14:textId="554E37CC" w:rsidR="00BF074C" w:rsidRPr="00BF074C" w:rsidRDefault="00BF074C" w:rsidP="004A72C5">
      <w:pPr>
        <w:pStyle w:val="MdParagraph"/>
        <w:spacing w:before="0" w:after="0" w:line="360" w:lineRule="auto"/>
        <w:ind w:firstLine="708"/>
        <w:jc w:val="both"/>
        <w:rPr>
          <w:rFonts w:ascii="Times" w:hAnsi="Times"/>
          <w:lang w:val="en-US"/>
        </w:rPr>
      </w:pPr>
      <w:r w:rsidRPr="00BF074C">
        <w:rPr>
          <w:rFonts w:ascii="Times" w:hAnsi="Times" w:cs="Arial"/>
          <w:color w:val="202C6C"/>
          <w:highlight w:val="yellow"/>
          <w:shd w:val="clear" w:color="auto" w:fill="FFFFFF"/>
          <w:lang w:val="en-US"/>
        </w:rPr>
        <w:t>Pro-inflammatory signaling pathways alter dopaminergic neurotransmission through multiple mechanisms: (1) TNF-</w:t>
      </w:r>
      <w:r w:rsidRPr="00BF074C">
        <w:rPr>
          <w:rFonts w:ascii="Times" w:hAnsi="Times" w:cs="Arial"/>
          <w:color w:val="202C6C"/>
          <w:highlight w:val="yellow"/>
          <w:shd w:val="clear" w:color="auto" w:fill="FFFFFF"/>
        </w:rPr>
        <w:t>α</w:t>
      </w:r>
      <w:r w:rsidRPr="00BF074C">
        <w:rPr>
          <w:rFonts w:ascii="Times" w:hAnsi="Times" w:cs="Arial"/>
          <w:color w:val="202C6C"/>
          <w:highlight w:val="yellow"/>
          <w:shd w:val="clear" w:color="auto" w:fill="FFFFFF"/>
          <w:lang w:val="en-US"/>
        </w:rPr>
        <w:t xml:space="preserve"> and IL-6 released by microglia reduce D2 receptor expression and increase dopamine reuptake by upregulating dopamine transporter (DAT) (2) pro-inflammatory cytokines inhibit long-term potentiation (LTP) in nucleus </w:t>
      </w:r>
      <w:proofErr w:type="spellStart"/>
      <w:r w:rsidRPr="00BF074C">
        <w:rPr>
          <w:rFonts w:ascii="Times" w:hAnsi="Times" w:cs="Arial"/>
          <w:color w:val="202C6C"/>
          <w:highlight w:val="yellow"/>
          <w:shd w:val="clear" w:color="auto" w:fill="FFFFFF"/>
          <w:lang w:val="en-US"/>
        </w:rPr>
        <w:t>accumbens</w:t>
      </w:r>
      <w:proofErr w:type="spellEnd"/>
      <w:r w:rsidRPr="00BF074C">
        <w:rPr>
          <w:rFonts w:ascii="Times" w:hAnsi="Times" w:cs="Arial"/>
          <w:color w:val="202C6C"/>
          <w:highlight w:val="yellow"/>
          <w:shd w:val="clear" w:color="auto" w:fill="FFFFFF"/>
          <w:lang w:val="en-US"/>
        </w:rPr>
        <w:t xml:space="preserve"> synapses, thereby impairing reward-based learning and memory consolidation; (3) IL-1</w:t>
      </w:r>
      <w:r w:rsidRPr="00BF074C">
        <w:rPr>
          <w:rFonts w:ascii="Times" w:hAnsi="Times" w:cs="Arial"/>
          <w:color w:val="202C6C"/>
          <w:highlight w:val="yellow"/>
          <w:shd w:val="clear" w:color="auto" w:fill="FFFFFF"/>
        </w:rPr>
        <w:t>β</w:t>
      </w:r>
      <w:r w:rsidRPr="00BF074C">
        <w:rPr>
          <w:rFonts w:ascii="Times" w:hAnsi="Times" w:cs="Arial"/>
          <w:color w:val="202C6C"/>
          <w:highlight w:val="yellow"/>
          <w:shd w:val="clear" w:color="auto" w:fill="FFFFFF"/>
          <w:lang w:val="en-US"/>
        </w:rPr>
        <w:t xml:space="preserve"> directly inhibits the expression of tyrosine hydroxylase in dopaminergic neurons in the ventral tegmental area (VTA), thereby reducing dopamine synthesis capacity. These mechanisms collectively lead to an inflammatory anhedonia state, in which the reward system is less responsive to natural reinforcers</w:t>
      </w:r>
      <w:r w:rsidRPr="00BF074C">
        <w:rPr>
          <w:rFonts w:ascii="Times" w:hAnsi="Times" w:cs="Arial"/>
          <w:color w:val="202C6C"/>
          <w:highlight w:val="yellow"/>
          <w:shd w:val="clear" w:color="auto" w:fill="FFFFFF"/>
          <w:lang w:val="en-US"/>
        </w:rPr>
        <w:t xml:space="preserve"> (10).</w:t>
      </w:r>
    </w:p>
    <w:p w14:paraId="0FA37C5E" w14:textId="77777777" w:rsidR="004A72C5" w:rsidRPr="001B311C" w:rsidRDefault="004A72C5" w:rsidP="004A72C5">
      <w:pPr>
        <w:pStyle w:val="MdSpace"/>
        <w:spacing w:line="360" w:lineRule="auto"/>
        <w:jc w:val="both"/>
        <w:rPr>
          <w:rFonts w:ascii="Times" w:hAnsi="Times"/>
          <w:lang w:val="en-US"/>
        </w:rPr>
      </w:pPr>
    </w:p>
    <w:p w14:paraId="0DE6CBA9" w14:textId="56AAB21D" w:rsidR="004A72C5" w:rsidRPr="001B311C" w:rsidRDefault="004A72C5" w:rsidP="00BF074C">
      <w:pPr>
        <w:pStyle w:val="MdParagraph"/>
        <w:spacing w:before="0" w:after="0" w:line="360" w:lineRule="auto"/>
        <w:ind w:firstLine="360"/>
        <w:jc w:val="both"/>
        <w:rPr>
          <w:rFonts w:ascii="Times" w:hAnsi="Times"/>
          <w:lang w:val="en-US"/>
        </w:rPr>
      </w:pPr>
      <w:r w:rsidRPr="001B311C">
        <w:rPr>
          <w:rFonts w:ascii="Times" w:hAnsi="Times"/>
          <w:lang w:val="en-US"/>
        </w:rPr>
        <w:t>This diminished reward state prompts individuals to seek stronger stimuli as a compensatory strategy, increasing the risk of compulsive eating and post-treatment weight regain (2,</w:t>
      </w:r>
      <w:r w:rsidR="00A53B81">
        <w:rPr>
          <w:rFonts w:ascii="Times" w:hAnsi="Times"/>
          <w:lang w:val="en-US"/>
        </w:rPr>
        <w:t>10</w:t>
      </w:r>
      <w:r w:rsidRPr="001B311C">
        <w:rPr>
          <w:rFonts w:ascii="Times" w:hAnsi="Times"/>
          <w:lang w:val="en-US"/>
        </w:rPr>
        <w:t xml:space="preserve">). While GLP-1 receptor agonists reduce inflammatory markers during </w:t>
      </w:r>
      <w:r w:rsidRPr="001B311C">
        <w:rPr>
          <w:rFonts w:ascii="Times" w:hAnsi="Times"/>
          <w:lang w:val="en-US"/>
        </w:rPr>
        <w:lastRenderedPageBreak/>
        <w:t>treatment, it remains unclear whether they induce persistent remodeling of the inflammation-reward axis. Therefore, the persistence of inflammatory signals after discontinuation may lead to relapse of compulsive eating behavior and weight rebound (2,</w:t>
      </w:r>
      <w:r w:rsidR="00A53B81">
        <w:rPr>
          <w:rFonts w:ascii="Times" w:hAnsi="Times"/>
          <w:lang w:val="en-US"/>
        </w:rPr>
        <w:t>10</w:t>
      </w:r>
      <w:r w:rsidRPr="001B311C">
        <w:rPr>
          <w:rFonts w:ascii="Times" w:hAnsi="Times"/>
          <w:lang w:val="en-US"/>
        </w:rPr>
        <w:t>).</w:t>
      </w:r>
    </w:p>
    <w:p w14:paraId="6A1FDDFF" w14:textId="77777777" w:rsidR="004A72C5" w:rsidRPr="001B311C" w:rsidRDefault="004A72C5" w:rsidP="004A72C5">
      <w:pPr>
        <w:pStyle w:val="MdSpace"/>
        <w:spacing w:line="360" w:lineRule="auto"/>
        <w:jc w:val="both"/>
        <w:rPr>
          <w:rFonts w:ascii="Times" w:hAnsi="Times"/>
          <w:lang w:val="en-US"/>
        </w:rPr>
      </w:pPr>
    </w:p>
    <w:p w14:paraId="6394640A" w14:textId="5D6FE983"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t>Neuroendocrine Stress Mechanisms</w:t>
      </w:r>
    </w:p>
    <w:p w14:paraId="67E96884" w14:textId="430FE5DC"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Neuroendocrine stress mechanisms further exacerbate this vulnerability. Chronic activation of the hypothalamic-pituitary-adrenal (HPA) axis during prolonged glucocorticoid exposure promotes hedonic eating and alters signaling of appetite-regulating hormones, particularly under psychological stress (1</w:t>
      </w:r>
      <w:r w:rsidR="00A53B81">
        <w:rPr>
          <w:rFonts w:ascii="Times" w:hAnsi="Times"/>
          <w:lang w:val="en-US"/>
        </w:rPr>
        <w:t>3</w:t>
      </w:r>
      <w:r w:rsidRPr="001B311C">
        <w:rPr>
          <w:rFonts w:ascii="Times" w:hAnsi="Times"/>
          <w:lang w:val="en-US"/>
        </w:rPr>
        <w:t>). Prospective studies have shown that elevated cortisol and ghrelin levels predict subsequent increased appetite and weight gain (</w:t>
      </w:r>
      <w:r w:rsidR="00A53B81">
        <w:rPr>
          <w:rFonts w:ascii="Times" w:hAnsi="Times"/>
          <w:lang w:val="en-US"/>
        </w:rPr>
        <w:t>11</w:t>
      </w:r>
      <w:r w:rsidRPr="001B311C">
        <w:rPr>
          <w:rFonts w:ascii="Times" w:hAnsi="Times"/>
          <w:lang w:val="en-US"/>
        </w:rPr>
        <w:t>). Ghrelin acts directly on dopaminergic neurons in the ventral tegmental area, thereby enhancing eating motivation under stress (</w:t>
      </w:r>
      <w:r w:rsidR="00A53B81">
        <w:rPr>
          <w:rFonts w:ascii="Times" w:hAnsi="Times"/>
          <w:lang w:val="en-US"/>
        </w:rPr>
        <w:t>12</w:t>
      </w:r>
      <w:r w:rsidRPr="001B311C">
        <w:rPr>
          <w:rFonts w:ascii="Times" w:hAnsi="Times"/>
          <w:lang w:val="en-US"/>
        </w:rPr>
        <w:t>).</w:t>
      </w:r>
    </w:p>
    <w:p w14:paraId="76907792" w14:textId="18DB0010" w:rsidR="004A72C5"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 xml:space="preserve">During GLP-1 receptor agonist treatment, physiological hunger is suppressed; however, stress-responsive reward circuits remain functional. After treatment cessation, these systems regain dominance, promoting rapid relapse of compulsive eating even in the absence of actual energy deficit. This vulnerability is particularly pronounced in individuals with long-term exposure to psychosocial stress </w:t>
      </w:r>
      <w:r w:rsidR="00A53B81">
        <w:rPr>
          <w:rFonts w:ascii="Times" w:hAnsi="Times"/>
          <w:lang w:val="en-US"/>
        </w:rPr>
        <w:t>(11,</w:t>
      </w:r>
      <w:r w:rsidRPr="001B311C">
        <w:rPr>
          <w:rFonts w:ascii="Times" w:hAnsi="Times"/>
          <w:lang w:val="en-US"/>
        </w:rPr>
        <w:t>1</w:t>
      </w:r>
      <w:r w:rsidR="00A53B81">
        <w:rPr>
          <w:rFonts w:ascii="Times" w:hAnsi="Times"/>
          <w:lang w:val="en-US"/>
        </w:rPr>
        <w:t>3</w:t>
      </w:r>
      <w:r w:rsidR="00BF074C">
        <w:rPr>
          <w:rFonts w:ascii="Times" w:hAnsi="Times"/>
          <w:lang w:val="en-US"/>
        </w:rPr>
        <w:t>,14</w:t>
      </w:r>
      <w:r w:rsidRPr="001B311C">
        <w:rPr>
          <w:rFonts w:ascii="Times" w:hAnsi="Times"/>
          <w:lang w:val="en-US"/>
        </w:rPr>
        <w:t>).</w:t>
      </w:r>
    </w:p>
    <w:p w14:paraId="38FB82B7" w14:textId="03219FC5" w:rsidR="00DA5A33" w:rsidRPr="00BF074C" w:rsidRDefault="00BF074C" w:rsidP="00BF074C">
      <w:pPr>
        <w:pStyle w:val="MdParagraph"/>
        <w:spacing w:before="0" w:after="0" w:line="360" w:lineRule="auto"/>
        <w:ind w:firstLine="708"/>
        <w:jc w:val="both"/>
        <w:rPr>
          <w:rFonts w:ascii="Times" w:hAnsi="Times"/>
          <w:color w:val="000000" w:themeColor="text1"/>
          <w:lang w:val="en-US"/>
        </w:rPr>
      </w:pPr>
      <w:proofErr w:type="spellStart"/>
      <w:r w:rsidRPr="00360E88">
        <w:rPr>
          <w:rFonts w:ascii="Times" w:hAnsi="Times" w:cs="Arial"/>
          <w:color w:val="000000" w:themeColor="text1"/>
          <w:highlight w:val="yellow"/>
          <w:shd w:val="clear" w:color="auto" w:fill="FFFFFF"/>
          <w:lang w:val="en-US"/>
        </w:rPr>
        <w:t>Hypopractic</w:t>
      </w:r>
      <w:proofErr w:type="spellEnd"/>
      <w:r w:rsidRPr="00360E88">
        <w:rPr>
          <w:rFonts w:ascii="Times" w:hAnsi="Times" w:cs="Arial"/>
          <w:color w:val="000000" w:themeColor="text1"/>
          <w:highlight w:val="yellow"/>
          <w:shd w:val="clear" w:color="auto" w:fill="FFFFFF"/>
          <w:lang w:val="en-US"/>
        </w:rPr>
        <w:t xml:space="preserve"> hypotonia (ACC) is not isolated; it interacts with dopaminergic and inflammatory substances and increases susceptibility to food allergies. Under stress, dopaminergic neurons in the ventral tegmental area (ATV) can be activated via growth hormone-releasing hormone receptor 1a (GHS-R1a), which may contribute to esophageal cancer (Volkow et al., 2017). Simultaneously, prolonged exposure to cortisol promotes a pro-inflammatory environment in this area and may impair initiation control and motivational regulation (</w:t>
      </w:r>
      <w:proofErr w:type="spellStart"/>
      <w:r w:rsidRPr="00360E88">
        <w:rPr>
          <w:rFonts w:ascii="Times" w:hAnsi="Times" w:cs="Arial"/>
          <w:color w:val="000000" w:themeColor="text1"/>
          <w:highlight w:val="yellow"/>
          <w:shd w:val="clear" w:color="auto" w:fill="FFFFFF"/>
          <w:lang w:val="en-US"/>
        </w:rPr>
        <w:t>Kuckuck</w:t>
      </w:r>
      <w:proofErr w:type="spellEnd"/>
      <w:r w:rsidRPr="00360E88">
        <w:rPr>
          <w:rFonts w:ascii="Times" w:hAnsi="Times" w:cs="Arial"/>
          <w:color w:val="000000" w:themeColor="text1"/>
          <w:highlight w:val="yellow"/>
          <w:shd w:val="clear" w:color="auto" w:fill="FFFFFF"/>
          <w:lang w:val="en-US"/>
        </w:rPr>
        <w:t xml:space="preserve"> et al., 2023). Dopaminergic responses may be </w:t>
      </w:r>
      <w:proofErr w:type="gramStart"/>
      <w:r w:rsidRPr="00360E88">
        <w:rPr>
          <w:rFonts w:ascii="Times" w:hAnsi="Times" w:cs="Arial"/>
          <w:color w:val="000000" w:themeColor="text1"/>
          <w:highlight w:val="yellow"/>
          <w:shd w:val="clear" w:color="auto" w:fill="FFFFFF"/>
          <w:lang w:val="en-US"/>
        </w:rPr>
        <w:t>similar to</w:t>
      </w:r>
      <w:proofErr w:type="gramEnd"/>
      <w:r w:rsidRPr="00360E88">
        <w:rPr>
          <w:rFonts w:ascii="Times" w:hAnsi="Times" w:cs="Arial"/>
          <w:color w:val="000000" w:themeColor="text1"/>
          <w:highlight w:val="yellow"/>
          <w:shd w:val="clear" w:color="auto" w:fill="FFFFFF"/>
          <w:lang w:val="en-US"/>
        </w:rPr>
        <w:t xml:space="preserve"> the body's energy needs. Therefore, a "</w:t>
      </w:r>
      <w:proofErr w:type="spellStart"/>
      <w:r w:rsidRPr="00360E88">
        <w:rPr>
          <w:rFonts w:ascii="Times" w:hAnsi="Times" w:cs="Arial"/>
          <w:color w:val="000000" w:themeColor="text1"/>
          <w:highlight w:val="yellow"/>
          <w:shd w:val="clear" w:color="auto" w:fill="FFFFFF"/>
          <w:lang w:val="en-US"/>
        </w:rPr>
        <w:t>neurobiostorm</w:t>
      </w:r>
      <w:proofErr w:type="spellEnd"/>
      <w:r w:rsidRPr="00360E88">
        <w:rPr>
          <w:rFonts w:ascii="Times" w:hAnsi="Times" w:cs="Arial"/>
          <w:color w:val="000000" w:themeColor="text1"/>
          <w:highlight w:val="yellow"/>
          <w:shd w:val="clear" w:color="auto" w:fill="FFFFFF"/>
          <w:lang w:val="en-US"/>
        </w:rPr>
        <w:t>" may occur after cessation of "free" drug therapy and/or a surge in stress, determined by persistent dopaminergic inflammation and HHA reactivation, which reinforce each other and increase the risk of compulsive feeding and weight gain</w:t>
      </w:r>
      <w:r w:rsidRPr="00360E88">
        <w:rPr>
          <w:rFonts w:ascii="Times" w:hAnsi="Times" w:cs="Arial"/>
          <w:color w:val="000000" w:themeColor="text1"/>
          <w:highlight w:val="yellow"/>
          <w:shd w:val="clear" w:color="auto" w:fill="FFFFFF"/>
          <w:lang w:val="en-US"/>
        </w:rPr>
        <w:t xml:space="preserve"> (15-18).</w:t>
      </w:r>
    </w:p>
    <w:p w14:paraId="5BA331B4" w14:textId="77777777" w:rsidR="00DA5A33" w:rsidRDefault="00DA5A33" w:rsidP="004A72C5">
      <w:pPr>
        <w:pStyle w:val="MdParagraph"/>
        <w:spacing w:before="0" w:after="0" w:line="360" w:lineRule="auto"/>
        <w:ind w:firstLine="708"/>
        <w:jc w:val="both"/>
        <w:rPr>
          <w:rFonts w:ascii="Times" w:hAnsi="Times"/>
          <w:lang w:val="en-US"/>
        </w:rPr>
      </w:pPr>
    </w:p>
    <w:p w14:paraId="312E9F4A" w14:textId="19203A13" w:rsidR="00DA5A33" w:rsidRPr="00DA5A33" w:rsidRDefault="00DA5A33" w:rsidP="00DA5A33">
      <w:pPr>
        <w:pStyle w:val="MdParagraph"/>
        <w:numPr>
          <w:ilvl w:val="0"/>
          <w:numId w:val="3"/>
        </w:numPr>
        <w:spacing w:line="360" w:lineRule="auto"/>
        <w:jc w:val="both"/>
        <w:rPr>
          <w:rFonts w:ascii="Times" w:hAnsi="Times"/>
          <w:b/>
          <w:bCs/>
          <w:lang w:val="en-US"/>
        </w:rPr>
      </w:pPr>
      <w:r w:rsidRPr="00DA5A33">
        <w:rPr>
          <w:rFonts w:ascii="Times" w:hAnsi="Times"/>
          <w:b/>
          <w:bCs/>
          <w:lang w:val="en-US"/>
        </w:rPr>
        <w:t>Dopamine, Inflammation, and Neuroendocrine Manifestations in the Post-GLP-1RA Regeneration Process</w:t>
      </w:r>
    </w:p>
    <w:p w14:paraId="64A1AE06" w14:textId="77777777" w:rsidR="00DA5A33" w:rsidRPr="00DA5A33" w:rsidRDefault="00DA5A33" w:rsidP="00DA5A33">
      <w:pPr>
        <w:pStyle w:val="MdParagraph"/>
        <w:spacing w:line="360" w:lineRule="auto"/>
        <w:ind w:firstLine="708"/>
        <w:jc w:val="both"/>
        <w:rPr>
          <w:rFonts w:ascii="Times" w:hAnsi="Times"/>
          <w:lang w:val="en-US"/>
        </w:rPr>
      </w:pPr>
    </w:p>
    <w:p w14:paraId="3199CE70" w14:textId="31F88378" w:rsidR="00DA5A33" w:rsidRPr="00DA5A33" w:rsidRDefault="00DA5A33" w:rsidP="00DA5A33">
      <w:pPr>
        <w:pStyle w:val="MdParagraph"/>
        <w:spacing w:line="360" w:lineRule="auto"/>
        <w:ind w:firstLine="708"/>
        <w:jc w:val="both"/>
        <w:rPr>
          <w:rFonts w:ascii="Times" w:hAnsi="Times"/>
          <w:highlight w:val="yellow"/>
          <w:lang w:val="en-US"/>
        </w:rPr>
      </w:pPr>
      <w:r w:rsidRPr="00DA5A33">
        <w:rPr>
          <w:rFonts w:ascii="Times" w:hAnsi="Times"/>
          <w:highlight w:val="yellow"/>
          <w:lang w:val="en-US"/>
        </w:rPr>
        <w:lastRenderedPageBreak/>
        <w:t xml:space="preserve">Post-GLP-1RA weight changes must be viewed as an organized biological catastrophe, where the body lacks a system to protect its own weight and gradually restore nutrition to establish pre-treatment equilibrium. This process involves not only energy homeostasis but also motivational and associative components that retain vulnerable traces of food intake and may have far-reaching implications </w:t>
      </w:r>
      <w:r>
        <w:rPr>
          <w:rFonts w:ascii="Times" w:hAnsi="Times"/>
          <w:highlight w:val="yellow"/>
          <w:lang w:val="en-US"/>
        </w:rPr>
        <w:t>(</w:t>
      </w:r>
      <w:r w:rsidRPr="00DA5A33">
        <w:rPr>
          <w:rFonts w:ascii="Times" w:hAnsi="Times"/>
          <w:highlight w:val="yellow"/>
          <w:lang w:val="en-US"/>
        </w:rPr>
        <w:t>1,5</w:t>
      </w:r>
      <w:r>
        <w:rPr>
          <w:rFonts w:ascii="Times" w:hAnsi="Times"/>
          <w:highlight w:val="yellow"/>
          <w:lang w:val="en-US"/>
        </w:rPr>
        <w:t>)</w:t>
      </w:r>
      <w:r w:rsidRPr="00DA5A33">
        <w:rPr>
          <w:rFonts w:ascii="Times" w:hAnsi="Times"/>
          <w:highlight w:val="yellow"/>
          <w:lang w:val="en-US"/>
        </w:rPr>
        <w:t>.</w:t>
      </w:r>
    </w:p>
    <w:p w14:paraId="0B8787B1" w14:textId="65845184" w:rsidR="00DA5A33" w:rsidRPr="00DA5A33" w:rsidRDefault="00DA5A33" w:rsidP="00DA5A33">
      <w:pPr>
        <w:pStyle w:val="MdParagraph"/>
        <w:spacing w:line="360" w:lineRule="auto"/>
        <w:ind w:firstLine="708"/>
        <w:jc w:val="both"/>
        <w:rPr>
          <w:rFonts w:ascii="Times" w:hAnsi="Times"/>
          <w:highlight w:val="yellow"/>
          <w:lang w:val="en-US"/>
        </w:rPr>
      </w:pPr>
      <w:r w:rsidRPr="00DA5A33">
        <w:rPr>
          <w:rFonts w:ascii="Times" w:hAnsi="Times"/>
          <w:highlight w:val="yellow"/>
          <w:lang w:val="en-US"/>
        </w:rPr>
        <w:t>In the absence of dopamine, GLP-1RAs, or “</w:t>
      </w:r>
      <w:proofErr w:type="spellStart"/>
      <w:r w:rsidRPr="00DA5A33">
        <w:rPr>
          <w:rFonts w:ascii="Times" w:hAnsi="Times"/>
          <w:highlight w:val="yellow"/>
          <w:lang w:val="en-US"/>
        </w:rPr>
        <w:t>ganho</w:t>
      </w:r>
      <w:proofErr w:type="spellEnd"/>
      <w:r w:rsidRPr="00DA5A33">
        <w:rPr>
          <w:rFonts w:ascii="Times" w:hAnsi="Times"/>
          <w:highlight w:val="yellow"/>
          <w:lang w:val="en-US"/>
        </w:rPr>
        <w:t xml:space="preserve">” (a motivating mechanism), reduce food intake through modular loops, leading to decreased cue responsiveness. Clinically, this manifests as a reduction in cravings and “food noise,” while intrusive thinking and attention are absorbed by ambient temperature as eating intensity decreases [5,8]. Recent evidence also suggests that dietary control depends on dopaminergic subsets associated with GLP-1 drugs, explaining how farmers recover rapidly from the motivation provided by these stimuli </w:t>
      </w:r>
      <w:r>
        <w:rPr>
          <w:rFonts w:ascii="Times" w:hAnsi="Times"/>
          <w:highlight w:val="yellow"/>
          <w:lang w:val="en-US"/>
        </w:rPr>
        <w:t>(</w:t>
      </w:r>
      <w:r w:rsidRPr="00DA5A33">
        <w:rPr>
          <w:rFonts w:ascii="Times" w:hAnsi="Times"/>
          <w:highlight w:val="yellow"/>
          <w:lang w:val="en-US"/>
        </w:rPr>
        <w:t>10</w:t>
      </w:r>
      <w:r>
        <w:rPr>
          <w:rFonts w:ascii="Times" w:hAnsi="Times"/>
          <w:highlight w:val="yellow"/>
          <w:lang w:val="en-US"/>
        </w:rPr>
        <w:t>)</w:t>
      </w:r>
      <w:r w:rsidRPr="00DA5A33">
        <w:rPr>
          <w:rFonts w:ascii="Times" w:hAnsi="Times"/>
          <w:highlight w:val="yellow"/>
          <w:lang w:val="en-US"/>
        </w:rPr>
        <w:t>.</w:t>
      </w:r>
    </w:p>
    <w:p w14:paraId="229AB972" w14:textId="1327D719" w:rsidR="00DA5A33" w:rsidRPr="00DA5A33" w:rsidRDefault="00DA5A33" w:rsidP="00DA5A33">
      <w:pPr>
        <w:pStyle w:val="MdParagraph"/>
        <w:spacing w:line="360" w:lineRule="auto"/>
        <w:ind w:firstLine="708"/>
        <w:jc w:val="both"/>
        <w:rPr>
          <w:rFonts w:ascii="Times" w:hAnsi="Times"/>
          <w:highlight w:val="yellow"/>
          <w:lang w:val="en-US"/>
        </w:rPr>
      </w:pPr>
      <w:r w:rsidRPr="00DA5A33">
        <w:rPr>
          <w:rFonts w:ascii="Times" w:hAnsi="Times"/>
          <w:highlight w:val="yellow"/>
          <w:lang w:val="en-US"/>
        </w:rPr>
        <w:t xml:space="preserve">Meanwhile, inflammation increases the instability of dietary control. Chronic inflammation associated with obesity, plasticity of reward circuits, and functional connectivity is linked to altered motivation and is primarily impaired by high-intensity labor. Persistence (or relapse) of post-interruption inflammation levels may aid recovery in weaned </w:t>
      </w:r>
      <w:proofErr w:type="gramStart"/>
      <w:r w:rsidRPr="00DA5A33">
        <w:rPr>
          <w:rFonts w:ascii="Times" w:hAnsi="Times"/>
          <w:highlight w:val="yellow"/>
          <w:lang w:val="en-US"/>
        </w:rPr>
        <w:t>patients, but</w:t>
      </w:r>
      <w:proofErr w:type="gramEnd"/>
      <w:r w:rsidRPr="00DA5A33">
        <w:rPr>
          <w:rFonts w:ascii="Times" w:hAnsi="Times"/>
          <w:highlight w:val="yellow"/>
          <w:lang w:val="en-US"/>
        </w:rPr>
        <w:t xml:space="preserve"> increases their vulnerability once production resumes </w:t>
      </w:r>
      <w:r>
        <w:rPr>
          <w:rFonts w:ascii="Times" w:hAnsi="Times"/>
          <w:highlight w:val="yellow"/>
          <w:lang w:val="en-US"/>
        </w:rPr>
        <w:t>(</w:t>
      </w:r>
      <w:r w:rsidRPr="00DA5A33">
        <w:rPr>
          <w:rFonts w:ascii="Times" w:hAnsi="Times"/>
          <w:highlight w:val="yellow"/>
          <w:lang w:val="en-US"/>
        </w:rPr>
        <w:t>12</w:t>
      </w:r>
      <w:r>
        <w:rPr>
          <w:rFonts w:ascii="Times" w:hAnsi="Times"/>
          <w:highlight w:val="yellow"/>
          <w:lang w:val="en-US"/>
        </w:rPr>
        <w:t>)</w:t>
      </w:r>
      <w:r w:rsidRPr="00DA5A33">
        <w:rPr>
          <w:rFonts w:ascii="Times" w:hAnsi="Times"/>
          <w:highlight w:val="yellow"/>
          <w:lang w:val="en-US"/>
        </w:rPr>
        <w:t>.</w:t>
      </w:r>
    </w:p>
    <w:p w14:paraId="61D9EA53" w14:textId="38E5F06B" w:rsidR="00DA5A33" w:rsidRPr="001B311C" w:rsidRDefault="00DA5A33" w:rsidP="00DA5A33">
      <w:pPr>
        <w:pStyle w:val="MdParagraph"/>
        <w:spacing w:before="0" w:after="0" w:line="360" w:lineRule="auto"/>
        <w:ind w:firstLine="708"/>
        <w:jc w:val="both"/>
        <w:rPr>
          <w:rFonts w:ascii="Times" w:hAnsi="Times"/>
          <w:lang w:val="en-US"/>
        </w:rPr>
      </w:pPr>
      <w:r w:rsidRPr="00DA5A33">
        <w:rPr>
          <w:rFonts w:ascii="Times" w:hAnsi="Times"/>
          <w:highlight w:val="yellow"/>
          <w:lang w:val="en-US"/>
        </w:rPr>
        <w:t xml:space="preserve">In fact, neuroendocrine neurons act as a rebound accelerator, stressing the body. Activation of the HPA axis and the hormone-regulating glucocorticoids increases appetite and promotes hedonism, reduces stress, </w:t>
      </w:r>
      <w:proofErr w:type="gramStart"/>
      <w:r w:rsidRPr="00DA5A33">
        <w:rPr>
          <w:rFonts w:ascii="Times" w:hAnsi="Times"/>
          <w:highlight w:val="yellow"/>
          <w:lang w:val="en-US"/>
        </w:rPr>
        <w:t>lowers</w:t>
      </w:r>
      <w:proofErr w:type="gramEnd"/>
      <w:r w:rsidRPr="00DA5A33">
        <w:rPr>
          <w:rFonts w:ascii="Times" w:hAnsi="Times"/>
          <w:highlight w:val="yellow"/>
          <w:lang w:val="en-US"/>
        </w:rPr>
        <w:t xml:space="preserve"> or controls the immune system, and enhances emotional responses. Recovery mechanisms, susceptibility to inflammation, and the motivation to overcome storms or increase income through predictable events are restored after GLP-1RA discontinuation, directly impacting maintenance strategies </w:t>
      </w:r>
      <w:r>
        <w:rPr>
          <w:rFonts w:ascii="Times" w:hAnsi="Times"/>
          <w:highlight w:val="yellow"/>
          <w:lang w:val="en-US"/>
        </w:rPr>
        <w:t>(</w:t>
      </w:r>
      <w:r w:rsidRPr="00DA5A33">
        <w:rPr>
          <w:rFonts w:ascii="Times" w:hAnsi="Times"/>
          <w:highlight w:val="yellow"/>
          <w:lang w:val="en-US"/>
        </w:rPr>
        <w:t>1,5,15</w:t>
      </w:r>
      <w:r>
        <w:rPr>
          <w:rFonts w:ascii="Times" w:hAnsi="Times"/>
          <w:lang w:val="en-US"/>
        </w:rPr>
        <w:t>).</w:t>
      </w:r>
    </w:p>
    <w:p w14:paraId="1F481068" w14:textId="77777777" w:rsidR="004A72C5" w:rsidRPr="001B311C" w:rsidRDefault="004A72C5" w:rsidP="004A72C5">
      <w:pPr>
        <w:pStyle w:val="MdSpace"/>
        <w:spacing w:line="360" w:lineRule="auto"/>
        <w:jc w:val="both"/>
        <w:rPr>
          <w:rFonts w:ascii="Times" w:hAnsi="Times"/>
          <w:lang w:val="en-US"/>
        </w:rPr>
      </w:pPr>
    </w:p>
    <w:p w14:paraId="5CED22AA" w14:textId="77777777" w:rsidR="004A72C5" w:rsidRPr="001B311C" w:rsidRDefault="004A72C5" w:rsidP="001B311C">
      <w:pPr>
        <w:pStyle w:val="MdHeading2"/>
        <w:spacing w:before="0" w:after="0" w:line="360" w:lineRule="auto"/>
        <w:jc w:val="both"/>
        <w:rPr>
          <w:rFonts w:ascii="Times" w:hAnsi="Times"/>
          <w:sz w:val="24"/>
          <w:szCs w:val="24"/>
          <w:lang w:val="en-US"/>
        </w:rPr>
      </w:pPr>
      <w:r w:rsidRPr="001B311C">
        <w:rPr>
          <w:rFonts w:ascii="Times" w:hAnsi="Times"/>
          <w:sz w:val="24"/>
          <w:szCs w:val="24"/>
          <w:lang w:val="en-US"/>
        </w:rPr>
        <w:t>Discussion: Integrating Mechanisms and Clinical Implications</w:t>
      </w:r>
    </w:p>
    <w:p w14:paraId="1057B338" w14:textId="2FFA1DC9" w:rsidR="004A72C5" w:rsidRPr="001B311C" w:rsidRDefault="004A72C5" w:rsidP="001B311C">
      <w:pPr>
        <w:pStyle w:val="MdHeading3"/>
        <w:numPr>
          <w:ilvl w:val="0"/>
          <w:numId w:val="3"/>
        </w:numPr>
        <w:spacing w:line="360" w:lineRule="auto"/>
        <w:jc w:val="both"/>
        <w:rPr>
          <w:rFonts w:ascii="Times" w:hAnsi="Times"/>
          <w:sz w:val="24"/>
          <w:szCs w:val="24"/>
          <w:lang w:val="en-US"/>
        </w:rPr>
      </w:pPr>
      <w:r w:rsidRPr="001B311C">
        <w:rPr>
          <w:rFonts w:ascii="Times" w:hAnsi="Times"/>
          <w:sz w:val="24"/>
          <w:szCs w:val="24"/>
          <w:lang w:val="en-US"/>
        </w:rPr>
        <w:t xml:space="preserve">Conclusion </w:t>
      </w:r>
    </w:p>
    <w:p w14:paraId="0F832E8F" w14:textId="1D589E9F" w:rsidR="004A72C5" w:rsidRPr="001B311C" w:rsidRDefault="004A72C5" w:rsidP="001B311C">
      <w:pPr>
        <w:pStyle w:val="MdParagraph"/>
        <w:spacing w:line="360" w:lineRule="auto"/>
        <w:ind w:firstLine="708"/>
        <w:jc w:val="both"/>
        <w:rPr>
          <w:rFonts w:ascii="Times" w:hAnsi="Times"/>
          <w:lang w:val="en-US"/>
        </w:rPr>
      </w:pPr>
      <w:r w:rsidRPr="001B311C">
        <w:rPr>
          <w:rFonts w:ascii="Times" w:hAnsi="Times"/>
          <w:lang w:val="en-US"/>
        </w:rPr>
        <w:t xml:space="preserve">In summary, weight gain after discontinuation of GLP-1 receptor agonists should not be simply interpreted as a return to baseline levels, but rather as a manifestation of neurobiological systems adapting to disinhibition following pharmacological modulation (Figure 1). Dopaminergic adaptation, persistent inflammation, and activation of the stress axis collectively create an environment conducive to compulsive eating behavior, </w:t>
      </w:r>
      <w:r w:rsidRPr="001B311C">
        <w:rPr>
          <w:rFonts w:ascii="Times" w:hAnsi="Times"/>
          <w:lang w:val="en-US"/>
        </w:rPr>
        <w:lastRenderedPageBreak/>
        <w:t>characterized by increased sensitivity to environmental and emotional stimuli (1-3). These considerations help to view post-treatment weight gain as a predictable biological outcome, rather than a moral or purely behavioral failure, which has significant implications for long-term clinical management (1, 2, 1</w:t>
      </w:r>
      <w:r w:rsidR="00A53B81">
        <w:rPr>
          <w:rFonts w:ascii="Times" w:hAnsi="Times"/>
          <w:lang w:val="en-US"/>
        </w:rPr>
        <w:t>3</w:t>
      </w:r>
      <w:r w:rsidR="00DA5A33">
        <w:rPr>
          <w:rFonts w:ascii="Times" w:hAnsi="Times"/>
          <w:lang w:val="en-US"/>
        </w:rPr>
        <w:t>-1</w:t>
      </w:r>
      <w:r w:rsidR="00BF074C">
        <w:rPr>
          <w:rFonts w:ascii="Times" w:hAnsi="Times"/>
          <w:lang w:val="en-US"/>
        </w:rPr>
        <w:t>6</w:t>
      </w:r>
      <w:r w:rsidRPr="001B311C">
        <w:rPr>
          <w:rFonts w:ascii="Times" w:hAnsi="Times"/>
          <w:lang w:val="en-US"/>
        </w:rPr>
        <w:t>).</w:t>
      </w:r>
    </w:p>
    <w:p w14:paraId="5FF9A6CB" w14:textId="1CB3F3AF" w:rsidR="004A72C5" w:rsidRPr="001B311C" w:rsidRDefault="00DA5A33" w:rsidP="001B311C">
      <w:pPr>
        <w:pStyle w:val="MdHeading3"/>
        <w:spacing w:line="360" w:lineRule="auto"/>
        <w:jc w:val="both"/>
        <w:rPr>
          <w:rFonts w:ascii="Times" w:hAnsi="Times"/>
          <w:sz w:val="24"/>
          <w:szCs w:val="24"/>
          <w:lang w:val="en-US"/>
        </w:rPr>
      </w:pPr>
      <w:r>
        <w:rPr>
          <w:rFonts w:ascii="Times" w:hAnsi="Times"/>
          <w:sz w:val="24"/>
          <w:szCs w:val="24"/>
          <w:lang w:val="en-US"/>
        </w:rPr>
        <w:t>7</w:t>
      </w:r>
      <w:r w:rsidR="004A72C5" w:rsidRPr="001B311C">
        <w:rPr>
          <w:rFonts w:ascii="Times" w:hAnsi="Times"/>
          <w:sz w:val="24"/>
          <w:szCs w:val="24"/>
          <w:lang w:val="en-US"/>
        </w:rPr>
        <w:t>.1 Concrete Recommendations for Clinical Practice</w:t>
      </w:r>
    </w:p>
    <w:p w14:paraId="0780B049" w14:textId="1AEF0F49" w:rsidR="004A72C5" w:rsidRPr="001B311C" w:rsidRDefault="004A72C5" w:rsidP="001B311C">
      <w:pPr>
        <w:pStyle w:val="MdParagraph"/>
        <w:spacing w:line="360" w:lineRule="auto"/>
        <w:jc w:val="both"/>
        <w:rPr>
          <w:rFonts w:ascii="Times" w:hAnsi="Times"/>
          <w:lang w:val="en-US"/>
        </w:rPr>
      </w:pPr>
      <w:r w:rsidRPr="001B311C">
        <w:rPr>
          <w:rFonts w:ascii="Times" w:hAnsi="Times"/>
          <w:lang w:val="en-US"/>
        </w:rPr>
        <w:t>To address the neurobiological mechanisms underlying post-treatment weight regain, we propose the following evidence-based interventions:</w:t>
      </w:r>
    </w:p>
    <w:p w14:paraId="6EF7A1A1" w14:textId="77777777" w:rsidR="004A72C5" w:rsidRPr="001B311C" w:rsidRDefault="004A72C5" w:rsidP="001B311C">
      <w:pPr>
        <w:pStyle w:val="MdSpace"/>
        <w:spacing w:after="60" w:line="360" w:lineRule="auto"/>
        <w:jc w:val="both"/>
        <w:rPr>
          <w:rFonts w:ascii="Times" w:hAnsi="Times"/>
          <w:lang w:val="en-US"/>
        </w:rPr>
      </w:pPr>
    </w:p>
    <w:p w14:paraId="0ACB4B31" w14:textId="29CACE71"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1. Extended Maintenance Therapy with Dose Optimization</w:t>
      </w:r>
      <w:r w:rsidRPr="001B311C">
        <w:rPr>
          <w:rFonts w:ascii="Times" w:hAnsi="Times"/>
          <w:lang w:val="en-US"/>
        </w:rPr>
        <w:t xml:space="preserve"> Rather than abrupt treatment discontinuation, a gradual tapering protocol or extended low-dose maintenance therapy should be considered for patients at high risk of rapid weight regain. This approach allows for continued partial suppression of reward circuit overactivity while permitting gradual neurobiological adaptation. Individualized risk stratification based on baseline inflammatory markers, cortisol levels, and psychological stress burden could guide treatment duration and maintenance dosing</w:t>
      </w:r>
      <w:r w:rsidR="00C21631">
        <w:rPr>
          <w:rFonts w:ascii="Times" w:hAnsi="Times"/>
          <w:lang w:val="en-US"/>
        </w:rPr>
        <w:t xml:space="preserve"> (1</w:t>
      </w:r>
      <w:r w:rsidR="00BF074C">
        <w:rPr>
          <w:rFonts w:ascii="Times" w:hAnsi="Times"/>
          <w:lang w:val="en-US"/>
        </w:rPr>
        <w:t>7</w:t>
      </w:r>
      <w:r w:rsidR="00C21631">
        <w:rPr>
          <w:rFonts w:ascii="Times" w:hAnsi="Times"/>
          <w:lang w:val="en-US"/>
        </w:rPr>
        <w:t>).</w:t>
      </w:r>
    </w:p>
    <w:p w14:paraId="72B8D809" w14:textId="3381E3FB"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2. Biomarker-Guided Monitoring</w:t>
      </w:r>
      <w:r w:rsidRPr="001B311C">
        <w:rPr>
          <w:rFonts w:ascii="Times" w:hAnsi="Times"/>
          <w:lang w:val="en-US"/>
        </w:rPr>
        <w:t xml:space="preserve"> Implementation of biomarker panels during treatment and at discontinuation could identify patients at heightened risk for weight rebound. Key biomarkers include: (a) inflammatory markers (high-sensitivity C-reactive protein, interleukin-6, tumor necrosis factor-alpha); (b) neuroendocrine markers (fasting cortisol, ghrelin, leptin ratios); and (c) functional neuroimaging or neurophysiological markers of reward circuit reactivity. Patients with persistent inflammatory signals or dysregulated HPA axis function warrant intensified post-treatment support</w:t>
      </w:r>
      <w:r w:rsidR="00C21631">
        <w:rPr>
          <w:rFonts w:ascii="Times" w:hAnsi="Times"/>
          <w:lang w:val="en-US"/>
        </w:rPr>
        <w:t xml:space="preserve"> (1</w:t>
      </w:r>
      <w:r w:rsidR="00BF074C">
        <w:rPr>
          <w:rFonts w:ascii="Times" w:hAnsi="Times"/>
          <w:lang w:val="en-US"/>
        </w:rPr>
        <w:t>8</w:t>
      </w:r>
      <w:r w:rsidR="00C21631">
        <w:rPr>
          <w:rFonts w:ascii="Times" w:hAnsi="Times"/>
          <w:lang w:val="en-US"/>
        </w:rPr>
        <w:t>).</w:t>
      </w:r>
    </w:p>
    <w:p w14:paraId="427B4842" w14:textId="2B4075F6"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3. Integrated Psychotherapeutic Interventions</w:t>
      </w:r>
      <w:r w:rsidRPr="001B311C">
        <w:rPr>
          <w:rFonts w:ascii="Times" w:hAnsi="Times"/>
          <w:lang w:val="en-US"/>
        </w:rPr>
        <w:t xml:space="preserve"> Cognitive-behavioral therapy (CBT) specifically targeting food-related cue reactivity and stress management should be initiated before treatment discontinuation and continued for at least 6-12 months post-cessation. Mindfulness-based interventions and acceptance and commitment therapy (ACT) have demonstrated efficacy in modulating reward circuit responsiveness and reducing relapse risk in addiction-like </w:t>
      </w:r>
      <w:proofErr w:type="gramStart"/>
      <w:r w:rsidRPr="001B311C">
        <w:rPr>
          <w:rFonts w:ascii="Times" w:hAnsi="Times"/>
          <w:lang w:val="en-US"/>
        </w:rPr>
        <w:t>behaviors, and</w:t>
      </w:r>
      <w:proofErr w:type="gramEnd"/>
      <w:r w:rsidRPr="001B311C">
        <w:rPr>
          <w:rFonts w:ascii="Times" w:hAnsi="Times"/>
          <w:lang w:val="en-US"/>
        </w:rPr>
        <w:t xml:space="preserve"> may be similarly beneficial in this context</w:t>
      </w:r>
      <w:r w:rsidR="00C21631">
        <w:rPr>
          <w:rFonts w:ascii="Times" w:hAnsi="Times"/>
          <w:lang w:val="en-US"/>
        </w:rPr>
        <w:t xml:space="preserve"> (1</w:t>
      </w:r>
      <w:r w:rsidR="00BF074C">
        <w:rPr>
          <w:rFonts w:ascii="Times" w:hAnsi="Times"/>
          <w:lang w:val="en-US"/>
        </w:rPr>
        <w:t>9</w:t>
      </w:r>
      <w:r w:rsidR="00C21631">
        <w:rPr>
          <w:rFonts w:ascii="Times" w:hAnsi="Times"/>
          <w:lang w:val="en-US"/>
        </w:rPr>
        <w:t>).</w:t>
      </w:r>
    </w:p>
    <w:p w14:paraId="0E8FF255" w14:textId="7F68F9FA" w:rsidR="004A72C5"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4. Nutritional and Lifestyle Modifications</w:t>
      </w:r>
      <w:r w:rsidRPr="001B311C">
        <w:rPr>
          <w:rFonts w:ascii="Times" w:hAnsi="Times"/>
          <w:lang w:val="en-US"/>
        </w:rPr>
        <w:t xml:space="preserve"> Implementation of structured dietary programs emphasizing reduced exposure to highly palatable, ultra-processed foods during the post-</w:t>
      </w:r>
      <w:r w:rsidRPr="001B311C">
        <w:rPr>
          <w:rFonts w:ascii="Times" w:hAnsi="Times"/>
          <w:lang w:val="en-US"/>
        </w:rPr>
        <w:lastRenderedPageBreak/>
        <w:t>treatment period is critical. Environmental modification to reduce cue exposure, combined with structured physical activity programs, provides additional behavioral scaffolding to counteract the heightened motivational salience of food stimuli during the vulnerable post-treatment window</w:t>
      </w:r>
      <w:r w:rsidR="00C21631">
        <w:rPr>
          <w:rFonts w:ascii="Times" w:hAnsi="Times"/>
          <w:lang w:val="en-US"/>
        </w:rPr>
        <w:t xml:space="preserve"> (20</w:t>
      </w:r>
      <w:r w:rsidR="007D62EE">
        <w:rPr>
          <w:rFonts w:ascii="Times" w:hAnsi="Times"/>
          <w:lang w:val="en-US"/>
        </w:rPr>
        <w:t>-24</w:t>
      </w:r>
      <w:r w:rsidR="00C21631">
        <w:rPr>
          <w:rFonts w:ascii="Times" w:hAnsi="Times"/>
          <w:lang w:val="en-US"/>
        </w:rPr>
        <w:t>).</w:t>
      </w:r>
    </w:p>
    <w:p w14:paraId="4F316146" w14:textId="346DA26E" w:rsidR="00206FA5" w:rsidRDefault="00206FA5" w:rsidP="001B311C">
      <w:pPr>
        <w:pStyle w:val="MdParagraph"/>
        <w:spacing w:line="360" w:lineRule="auto"/>
        <w:jc w:val="both"/>
        <w:rPr>
          <w:rFonts w:ascii="Times" w:hAnsi="Times"/>
          <w:lang w:val="en-US"/>
        </w:rPr>
      </w:pPr>
    </w:p>
    <w:p w14:paraId="6CFD344B" w14:textId="48CC1562" w:rsidR="00206FA5" w:rsidRDefault="00206FA5" w:rsidP="001B311C">
      <w:pPr>
        <w:pStyle w:val="MdParagraph"/>
        <w:spacing w:line="360" w:lineRule="auto"/>
        <w:jc w:val="both"/>
        <w:rPr>
          <w:rFonts w:ascii="Times" w:hAnsi="Times"/>
          <w:lang w:val="en-US"/>
        </w:rPr>
      </w:pPr>
    </w:p>
    <w:p w14:paraId="585D3F6B" w14:textId="0C56DE84" w:rsidR="00206FA5" w:rsidRDefault="00206FA5" w:rsidP="001B311C">
      <w:pPr>
        <w:pStyle w:val="MdParagraph"/>
        <w:spacing w:line="360" w:lineRule="auto"/>
        <w:jc w:val="both"/>
        <w:rPr>
          <w:rFonts w:ascii="Times" w:hAnsi="Times"/>
          <w:lang w:val="en-US"/>
        </w:rPr>
      </w:pPr>
    </w:p>
    <w:p w14:paraId="7BA31DFB" w14:textId="3BC21095" w:rsidR="00206FA5" w:rsidRDefault="00206FA5" w:rsidP="001B311C">
      <w:pPr>
        <w:pStyle w:val="MdParagraph"/>
        <w:spacing w:line="360" w:lineRule="auto"/>
        <w:jc w:val="both"/>
        <w:rPr>
          <w:rFonts w:ascii="Times" w:hAnsi="Times"/>
          <w:lang w:val="en-US"/>
        </w:rPr>
      </w:pPr>
    </w:p>
    <w:p w14:paraId="1F02FB46" w14:textId="506E696C" w:rsidR="00206FA5" w:rsidRDefault="00206FA5" w:rsidP="001B311C">
      <w:pPr>
        <w:pStyle w:val="MdParagraph"/>
        <w:spacing w:line="360" w:lineRule="auto"/>
        <w:jc w:val="both"/>
        <w:rPr>
          <w:rFonts w:ascii="Times" w:hAnsi="Times"/>
          <w:lang w:val="en-US"/>
        </w:rPr>
      </w:pPr>
    </w:p>
    <w:p w14:paraId="36CF2888" w14:textId="77777777" w:rsidR="00206FA5" w:rsidRPr="001B311C" w:rsidRDefault="00206FA5" w:rsidP="001B311C">
      <w:pPr>
        <w:pStyle w:val="MdParagraph"/>
        <w:spacing w:line="360" w:lineRule="auto"/>
        <w:jc w:val="both"/>
        <w:rPr>
          <w:rFonts w:ascii="Times" w:hAnsi="Times"/>
          <w:lang w:val="en-US"/>
        </w:rPr>
      </w:pPr>
    </w:p>
    <w:p w14:paraId="5714846E" w14:textId="77777777" w:rsidR="0087470C" w:rsidRDefault="0087470C" w:rsidP="004A72C5">
      <w:pPr>
        <w:ind w:firstLine="708"/>
        <w:jc w:val="both"/>
        <w:rPr>
          <w:lang w:val="en-US"/>
        </w:rPr>
      </w:pPr>
    </w:p>
    <w:p w14:paraId="50F84406" w14:textId="50D313E8" w:rsidR="0087470C" w:rsidRDefault="004A72C5" w:rsidP="0087470C">
      <w:pPr>
        <w:ind w:firstLine="708"/>
        <w:jc w:val="both"/>
        <w:rPr>
          <w:lang w:val="en-US"/>
        </w:rPr>
      </w:pPr>
      <w:r>
        <w:rPr>
          <w:noProof/>
          <w:lang w:val="en-US"/>
        </w:rPr>
        <w:lastRenderedPageBreak/>
        <w:drawing>
          <wp:inline distT="0" distB="0" distL="0" distR="0" wp14:anchorId="4CAF833F" wp14:editId="1CC8DA83">
            <wp:extent cx="4963160" cy="8097926"/>
            <wp:effectExtent l="0" t="0" r="8890" b="0"/>
            <wp:docPr id="177026275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2752" name="Imagem 1" descr="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971" cy="8102513"/>
                    </a:xfrm>
                    <a:prstGeom prst="rect">
                      <a:avLst/>
                    </a:prstGeom>
                  </pic:spPr>
                </pic:pic>
              </a:graphicData>
            </a:graphic>
          </wp:inline>
        </w:drawing>
      </w:r>
    </w:p>
    <w:p w14:paraId="3FDE2C33" w14:textId="77777777" w:rsidR="0087470C" w:rsidRDefault="0087470C" w:rsidP="0087470C">
      <w:pPr>
        <w:ind w:firstLine="708"/>
        <w:jc w:val="both"/>
        <w:rPr>
          <w:rFonts w:ascii="-webkit-standard" w:hAnsi="-webkit-standard"/>
          <w:color w:val="000000"/>
          <w:sz w:val="27"/>
          <w:szCs w:val="27"/>
          <w:lang w:val="en-US"/>
        </w:rPr>
      </w:pPr>
    </w:p>
    <w:p w14:paraId="71B9C4E1" w14:textId="15B93B3A" w:rsidR="00E87463" w:rsidRDefault="00E87463" w:rsidP="00E87463">
      <w:pPr>
        <w:jc w:val="both"/>
        <w:rPr>
          <w:lang w:val="en-US"/>
        </w:rPr>
      </w:pPr>
      <w:r w:rsidRPr="00626A9C">
        <w:rPr>
          <w:b/>
          <w:bCs/>
          <w:lang w:val="en-US"/>
        </w:rPr>
        <w:t xml:space="preserve">Figure 1. Neurobiological mechanisms underlying post-GLP-1RA weight regain. </w:t>
      </w:r>
      <w:r w:rsidRPr="00626A9C">
        <w:rPr>
          <w:lang w:val="en-US"/>
        </w:rPr>
        <w:t xml:space="preserve">The mesolimbic reward circuit, comprising projections from the ventral tegmental area to the nucleus accumbens and prefrontal cortex, is central to food-related </w:t>
      </w:r>
      <w:r w:rsidRPr="00626A9C">
        <w:rPr>
          <w:lang w:val="en-US"/>
        </w:rPr>
        <w:lastRenderedPageBreak/>
        <w:t xml:space="preserve">incentive salience. GLP-1 receptor activation modulates glutamatergic neurotransmission and inhibits NMDA receptors, transiently reducing the motivational value attributed to food stimuli. However, prolonged pharmacological exposure induces neural adaptation, with partial recovery of dopaminergic signaling reflecting the homeostatic resilience of reward circuits. Upon drug withdrawal, this "trained" system, no longer constrained by pharmacological attenuation, rapidly reacquires elevated motivational value for food-related cues, facilitating compulsive relapse and weight regain. Adapted from Cook; Sandoval, 2024 (9). </w:t>
      </w:r>
      <w:r w:rsidR="00626A9C" w:rsidRPr="00626A9C">
        <w:rPr>
          <w:rStyle w:val="Forte"/>
          <w:lang w:val="en-US"/>
        </w:rPr>
        <w:t>Source: Adapted from</w:t>
      </w:r>
      <w:r w:rsidR="00626A9C" w:rsidRPr="00626A9C">
        <w:rPr>
          <w:lang w:val="en-US"/>
        </w:rPr>
        <w:t xml:space="preserve"> Cook; Sandoval, 2024 (9). Annotations highlight key mechanisms discussed in the present work</w:t>
      </w:r>
      <w:r w:rsidR="00626A9C" w:rsidRPr="00626A9C">
        <w:rPr>
          <w:rStyle w:val="nfase"/>
          <w:lang w:val="en-US"/>
        </w:rPr>
        <w:t>.</w:t>
      </w:r>
      <w:r w:rsidR="00626A9C" w:rsidRPr="00626A9C">
        <w:rPr>
          <w:lang w:val="en-US"/>
        </w:rPr>
        <w:t xml:space="preserve"> </w:t>
      </w:r>
    </w:p>
    <w:p w14:paraId="7E21D976" w14:textId="73A08950" w:rsidR="003844C5" w:rsidRDefault="003844C5" w:rsidP="00E87463">
      <w:pPr>
        <w:jc w:val="both"/>
        <w:rPr>
          <w:b/>
          <w:bCs/>
          <w:lang w:val="en-US"/>
        </w:rPr>
      </w:pPr>
    </w:p>
    <w:p w14:paraId="2B0F5D4D" w14:textId="77777777" w:rsidR="003844C5" w:rsidRPr="00005ED1" w:rsidRDefault="003844C5" w:rsidP="003844C5">
      <w:pPr>
        <w:pStyle w:val="SemEspaamento"/>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077B17FC" w14:textId="77777777" w:rsidR="003844C5" w:rsidRPr="00005ED1" w:rsidRDefault="003844C5" w:rsidP="003844C5">
      <w:pPr>
        <w:pStyle w:val="SemEspaamento"/>
        <w:rPr>
          <w:rFonts w:ascii="Arial" w:hAnsi="Arial" w:cs="Arial"/>
          <w:highlight w:val="yellow"/>
        </w:rPr>
      </w:pPr>
    </w:p>
    <w:p w14:paraId="1853DD31" w14:textId="77777777" w:rsidR="003844C5" w:rsidRPr="00005ED1" w:rsidRDefault="003844C5" w:rsidP="003844C5">
      <w:pPr>
        <w:pStyle w:val="SemEspaamento"/>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70C0AF3B" w14:textId="77777777" w:rsidR="003844C5" w:rsidRPr="00E87463" w:rsidRDefault="003844C5" w:rsidP="00E87463">
      <w:pPr>
        <w:jc w:val="both"/>
        <w:rPr>
          <w:b/>
          <w:bCs/>
          <w:lang w:val="en-US"/>
        </w:rPr>
      </w:pPr>
    </w:p>
    <w:p w14:paraId="17EDA233" w14:textId="77777777" w:rsidR="00E87463" w:rsidRPr="00E87463" w:rsidRDefault="00E87463" w:rsidP="00E87463">
      <w:pPr>
        <w:jc w:val="both"/>
        <w:rPr>
          <w:b/>
          <w:bCs/>
          <w:lang w:val="en-US"/>
        </w:rPr>
      </w:pPr>
    </w:p>
    <w:p w14:paraId="2570B108" w14:textId="7EC2F2E8" w:rsidR="00E87463" w:rsidRDefault="00E87463" w:rsidP="00E87463">
      <w:pPr>
        <w:jc w:val="both"/>
        <w:rPr>
          <w:b/>
          <w:bCs/>
        </w:rPr>
      </w:pPr>
      <w:r w:rsidRPr="00E87463">
        <w:rPr>
          <w:b/>
          <w:bCs/>
        </w:rPr>
        <w:t>REFERENCES</w:t>
      </w:r>
    </w:p>
    <w:p w14:paraId="3A41416E" w14:textId="77777777" w:rsidR="00CB0318" w:rsidRDefault="00CB0318" w:rsidP="00E87463">
      <w:pPr>
        <w:jc w:val="both"/>
        <w:rPr>
          <w:b/>
          <w:bCs/>
        </w:rPr>
      </w:pPr>
    </w:p>
    <w:p w14:paraId="368E0C75" w14:textId="77777777" w:rsidR="00CB0318" w:rsidRPr="007D62EE" w:rsidRDefault="00CB0318" w:rsidP="00E87463">
      <w:pPr>
        <w:jc w:val="both"/>
        <w:rPr>
          <w:rFonts w:asciiTheme="majorHAnsi" w:hAnsiTheme="majorHAnsi"/>
          <w:b/>
          <w:bCs/>
        </w:rPr>
      </w:pPr>
    </w:p>
    <w:p w14:paraId="2126FB3A" w14:textId="77777777" w:rsidR="00CB0318" w:rsidRPr="007D62EE" w:rsidRDefault="00CB0318" w:rsidP="00E87463">
      <w:pPr>
        <w:jc w:val="both"/>
        <w:rPr>
          <w:rFonts w:asciiTheme="majorHAnsi" w:hAnsiTheme="majorHAnsi"/>
        </w:rPr>
      </w:pPr>
    </w:p>
    <w:p w14:paraId="6F4445E3" w14:textId="77777777" w:rsidR="00E87463" w:rsidRPr="007D62EE" w:rsidRDefault="00E87463" w:rsidP="00E87463">
      <w:pPr>
        <w:numPr>
          <w:ilvl w:val="0"/>
          <w:numId w:val="2"/>
        </w:numPr>
        <w:jc w:val="both"/>
        <w:rPr>
          <w:rFonts w:asciiTheme="majorHAnsi" w:hAnsiTheme="majorHAnsi"/>
        </w:rPr>
      </w:pPr>
      <w:r w:rsidRPr="007D62EE">
        <w:rPr>
          <w:rFonts w:asciiTheme="majorHAnsi" w:hAnsiTheme="majorHAnsi"/>
          <w:lang w:val="en-US"/>
        </w:rPr>
        <w:t xml:space="preserve">Sumithran P, Proietto J. The </w:t>
      </w:r>
      <w:proofErr w:type="spellStart"/>
      <w:r w:rsidRPr="007D62EE">
        <w:rPr>
          <w:rFonts w:asciiTheme="majorHAnsi" w:hAnsiTheme="majorHAnsi"/>
          <w:lang w:val="en-US"/>
        </w:rPr>
        <w:t>defence</w:t>
      </w:r>
      <w:proofErr w:type="spellEnd"/>
      <w:r w:rsidRPr="007D62EE">
        <w:rPr>
          <w:rFonts w:asciiTheme="majorHAnsi" w:hAnsiTheme="majorHAnsi"/>
          <w:lang w:val="en-US"/>
        </w:rPr>
        <w:t xml:space="preserve"> of body weight: physiological basis for weight regain. </w:t>
      </w:r>
      <w:r w:rsidRPr="007D62EE">
        <w:rPr>
          <w:rFonts w:asciiTheme="majorHAnsi" w:hAnsiTheme="majorHAnsi"/>
        </w:rPr>
        <w:t>Lancet Diabetes Endocrinol. 2013;1(2):114-21. doi:10.1016/S2213-8587(13)70029-0.</w:t>
      </w:r>
    </w:p>
    <w:p w14:paraId="30CEDC06" w14:textId="206B56D0" w:rsidR="00360E88" w:rsidRPr="007D62EE" w:rsidRDefault="00360E88" w:rsidP="00E87463">
      <w:pPr>
        <w:numPr>
          <w:ilvl w:val="0"/>
          <w:numId w:val="2"/>
        </w:numPr>
        <w:jc w:val="both"/>
        <w:rPr>
          <w:rFonts w:asciiTheme="majorHAnsi" w:hAnsiTheme="majorHAnsi"/>
          <w:highlight w:val="yellow"/>
        </w:rPr>
      </w:pPr>
      <w:r w:rsidRPr="007D62EE">
        <w:rPr>
          <w:rFonts w:asciiTheme="majorHAnsi" w:hAnsiTheme="majorHAnsi"/>
          <w:highlight w:val="yellow"/>
          <w:lang w:val="en-US"/>
        </w:rPr>
        <w:t xml:space="preserve">Yao H, Zhang A, Li D, Wu Y, Wang CZ, Wan JY, Yuan CS. Comparative effectiveness of GLP-1 receptor agonists on </w:t>
      </w:r>
      <w:proofErr w:type="spellStart"/>
      <w:r w:rsidRPr="007D62EE">
        <w:rPr>
          <w:rFonts w:asciiTheme="majorHAnsi" w:hAnsiTheme="majorHAnsi"/>
          <w:highlight w:val="yellow"/>
          <w:lang w:val="en-US"/>
        </w:rPr>
        <w:t>glycaemic</w:t>
      </w:r>
      <w:proofErr w:type="spellEnd"/>
      <w:r w:rsidRPr="007D62EE">
        <w:rPr>
          <w:rFonts w:asciiTheme="majorHAnsi" w:hAnsiTheme="majorHAnsi"/>
          <w:highlight w:val="yellow"/>
          <w:lang w:val="en-US"/>
        </w:rPr>
        <w:t xml:space="preserve"> control, body weight, and lipid profile for type 2 diabetes: systematic review and network meta-analysis. </w:t>
      </w:r>
      <w:r w:rsidRPr="007D62EE">
        <w:rPr>
          <w:rFonts w:asciiTheme="majorHAnsi" w:hAnsiTheme="majorHAnsi"/>
          <w:highlight w:val="yellow"/>
        </w:rPr>
        <w:t>BMJ. 2024;384:e076410. doi:10.1136/bmj-2023-076410.</w:t>
      </w:r>
    </w:p>
    <w:p w14:paraId="293A0855" w14:textId="77777777" w:rsidR="00E87463" w:rsidRPr="007D62EE" w:rsidRDefault="00E87463" w:rsidP="00E87463">
      <w:pPr>
        <w:numPr>
          <w:ilvl w:val="0"/>
          <w:numId w:val="2"/>
        </w:numPr>
        <w:jc w:val="both"/>
        <w:rPr>
          <w:rFonts w:asciiTheme="majorHAnsi" w:hAnsiTheme="majorHAnsi"/>
          <w:lang w:val="en-US"/>
        </w:rPr>
      </w:pPr>
      <w:r w:rsidRPr="007D62EE">
        <w:rPr>
          <w:rFonts w:asciiTheme="majorHAnsi" w:hAnsiTheme="majorHAnsi"/>
          <w:lang w:val="en-US"/>
        </w:rPr>
        <w:t xml:space="preserve">Seetharaman R, Pawar S, Advani M. One hundred years since insulin discovery: An update on current and future perspectives for pharmacotherapy of diabetes mellitus. Br J Clin </w:t>
      </w:r>
      <w:proofErr w:type="spellStart"/>
      <w:r w:rsidRPr="007D62EE">
        <w:rPr>
          <w:rFonts w:asciiTheme="majorHAnsi" w:hAnsiTheme="majorHAnsi"/>
          <w:lang w:val="en-US"/>
        </w:rPr>
        <w:t>Pharmacol</w:t>
      </w:r>
      <w:proofErr w:type="spellEnd"/>
      <w:r w:rsidRPr="007D62EE">
        <w:rPr>
          <w:rFonts w:asciiTheme="majorHAnsi" w:hAnsiTheme="majorHAnsi"/>
          <w:lang w:val="en-US"/>
        </w:rPr>
        <w:t>. 2022;88(4):1598-612. doi:10.1111/bcp.15100.</w:t>
      </w:r>
    </w:p>
    <w:p w14:paraId="7BA9C226" w14:textId="77777777" w:rsidR="00360E88" w:rsidRPr="007D62EE" w:rsidRDefault="00360E88" w:rsidP="00360E88">
      <w:pPr>
        <w:numPr>
          <w:ilvl w:val="0"/>
          <w:numId w:val="2"/>
        </w:numPr>
        <w:jc w:val="both"/>
        <w:rPr>
          <w:rFonts w:asciiTheme="majorHAnsi" w:hAnsiTheme="majorHAnsi"/>
          <w:lang w:val="en-US"/>
        </w:rPr>
      </w:pPr>
      <w:r w:rsidRPr="007D62EE">
        <w:rPr>
          <w:rFonts w:asciiTheme="majorHAnsi" w:hAnsiTheme="majorHAnsi"/>
          <w:highlight w:val="yellow"/>
          <w:lang w:val="en-US"/>
        </w:rPr>
        <w:t xml:space="preserve">McGowan BM, </w:t>
      </w:r>
      <w:proofErr w:type="spellStart"/>
      <w:r w:rsidRPr="007D62EE">
        <w:rPr>
          <w:rFonts w:asciiTheme="majorHAnsi" w:hAnsiTheme="majorHAnsi"/>
          <w:highlight w:val="yellow"/>
          <w:lang w:val="en-US"/>
        </w:rPr>
        <w:t>Bruun</w:t>
      </w:r>
      <w:proofErr w:type="spellEnd"/>
      <w:r w:rsidRPr="007D62EE">
        <w:rPr>
          <w:rFonts w:asciiTheme="majorHAnsi" w:hAnsiTheme="majorHAnsi"/>
          <w:highlight w:val="yellow"/>
          <w:lang w:val="en-US"/>
        </w:rPr>
        <w:t xml:space="preserve"> JM, </w:t>
      </w:r>
      <w:proofErr w:type="spellStart"/>
      <w:r w:rsidRPr="007D62EE">
        <w:rPr>
          <w:rFonts w:asciiTheme="majorHAnsi" w:hAnsiTheme="majorHAnsi"/>
          <w:highlight w:val="yellow"/>
          <w:lang w:val="en-US"/>
        </w:rPr>
        <w:t>Capehorn</w:t>
      </w:r>
      <w:proofErr w:type="spellEnd"/>
      <w:r w:rsidRPr="007D62EE">
        <w:rPr>
          <w:rFonts w:asciiTheme="majorHAnsi" w:hAnsiTheme="majorHAnsi"/>
          <w:highlight w:val="yellow"/>
          <w:lang w:val="en-US"/>
        </w:rPr>
        <w:t xml:space="preserve"> M, Pedersen SD, </w:t>
      </w:r>
      <w:proofErr w:type="spellStart"/>
      <w:r w:rsidRPr="007D62EE">
        <w:rPr>
          <w:rFonts w:asciiTheme="majorHAnsi" w:hAnsiTheme="majorHAnsi"/>
          <w:highlight w:val="yellow"/>
          <w:lang w:val="en-US"/>
        </w:rPr>
        <w:t>Pietiläinen</w:t>
      </w:r>
      <w:proofErr w:type="spellEnd"/>
      <w:r w:rsidRPr="007D62EE">
        <w:rPr>
          <w:rFonts w:asciiTheme="majorHAnsi" w:hAnsiTheme="majorHAnsi"/>
          <w:highlight w:val="yellow"/>
          <w:lang w:val="en-US"/>
        </w:rPr>
        <w:t xml:space="preserve"> KH, </w:t>
      </w:r>
      <w:proofErr w:type="spellStart"/>
      <w:r w:rsidRPr="007D62EE">
        <w:rPr>
          <w:rFonts w:asciiTheme="majorHAnsi" w:hAnsiTheme="majorHAnsi"/>
          <w:highlight w:val="yellow"/>
          <w:lang w:val="en-US"/>
        </w:rPr>
        <w:t>Muniraju</w:t>
      </w:r>
      <w:proofErr w:type="spellEnd"/>
      <w:r w:rsidRPr="007D62EE">
        <w:rPr>
          <w:rFonts w:asciiTheme="majorHAnsi" w:hAnsiTheme="majorHAnsi"/>
          <w:highlight w:val="yellow"/>
          <w:lang w:val="en-US"/>
        </w:rPr>
        <w:t xml:space="preserve"> HAK, et al; STEP 10 Study Group. Efficacy and safety of once-weekly </w:t>
      </w:r>
      <w:proofErr w:type="spellStart"/>
      <w:r w:rsidRPr="007D62EE">
        <w:rPr>
          <w:rFonts w:asciiTheme="majorHAnsi" w:hAnsiTheme="majorHAnsi"/>
          <w:highlight w:val="yellow"/>
          <w:lang w:val="en-US"/>
        </w:rPr>
        <w:t>semaglutide</w:t>
      </w:r>
      <w:proofErr w:type="spellEnd"/>
      <w:r w:rsidRPr="007D62EE">
        <w:rPr>
          <w:rFonts w:asciiTheme="majorHAnsi" w:hAnsiTheme="majorHAnsi"/>
          <w:highlight w:val="yellow"/>
          <w:lang w:val="en-US"/>
        </w:rPr>
        <w:t xml:space="preserve"> 2·4 mg versus placebo in people with obesity and prediabetes (STEP 10): a </w:t>
      </w:r>
      <w:proofErr w:type="spellStart"/>
      <w:r w:rsidRPr="007D62EE">
        <w:rPr>
          <w:rFonts w:asciiTheme="majorHAnsi" w:hAnsiTheme="majorHAnsi"/>
          <w:highlight w:val="yellow"/>
          <w:lang w:val="en-US"/>
        </w:rPr>
        <w:t>randomised</w:t>
      </w:r>
      <w:proofErr w:type="spellEnd"/>
      <w:r w:rsidRPr="007D62EE">
        <w:rPr>
          <w:rFonts w:asciiTheme="majorHAnsi" w:hAnsiTheme="majorHAnsi"/>
          <w:highlight w:val="yellow"/>
          <w:lang w:val="en-US"/>
        </w:rPr>
        <w:t xml:space="preserve">, double-blind, placebo-controlled, </w:t>
      </w:r>
      <w:proofErr w:type="spellStart"/>
      <w:r w:rsidRPr="007D62EE">
        <w:rPr>
          <w:rFonts w:asciiTheme="majorHAnsi" w:hAnsiTheme="majorHAnsi"/>
          <w:highlight w:val="yellow"/>
          <w:lang w:val="en-US"/>
        </w:rPr>
        <w:t>multicentre</w:t>
      </w:r>
      <w:proofErr w:type="spellEnd"/>
      <w:r w:rsidRPr="007D62EE">
        <w:rPr>
          <w:rFonts w:asciiTheme="majorHAnsi" w:hAnsiTheme="majorHAnsi"/>
          <w:highlight w:val="yellow"/>
          <w:lang w:val="en-US"/>
        </w:rPr>
        <w:t xml:space="preserve"> phase 3 trial. Lancet Diabetes Endocrinol. 2024;12(9):631-642. doi:10.1016/S2213-8587(24)00182-7.</w:t>
      </w:r>
    </w:p>
    <w:p w14:paraId="325E69E4" w14:textId="1B1B26BC" w:rsidR="00E87463" w:rsidRPr="007D62EE" w:rsidRDefault="00E87463" w:rsidP="00360E88">
      <w:pPr>
        <w:numPr>
          <w:ilvl w:val="0"/>
          <w:numId w:val="2"/>
        </w:numPr>
        <w:jc w:val="both"/>
        <w:rPr>
          <w:rFonts w:asciiTheme="majorHAnsi" w:hAnsiTheme="majorHAnsi"/>
          <w:lang w:val="en-US"/>
        </w:rPr>
      </w:pPr>
      <w:r w:rsidRPr="007D62EE">
        <w:rPr>
          <w:rFonts w:asciiTheme="majorHAnsi" w:hAnsiTheme="majorHAnsi"/>
          <w:lang w:val="en-US"/>
        </w:rPr>
        <w:t xml:space="preserve">Volkow ND, Wise RA, Baler R. The dopamine motive system: implications for drug and food addiction. Nat Rev </w:t>
      </w:r>
      <w:proofErr w:type="spellStart"/>
      <w:r w:rsidRPr="007D62EE">
        <w:rPr>
          <w:rFonts w:asciiTheme="majorHAnsi" w:hAnsiTheme="majorHAnsi"/>
          <w:lang w:val="en-US"/>
        </w:rPr>
        <w:t>Neurosci</w:t>
      </w:r>
      <w:proofErr w:type="spellEnd"/>
      <w:r w:rsidRPr="007D62EE">
        <w:rPr>
          <w:rFonts w:asciiTheme="majorHAnsi" w:hAnsiTheme="majorHAnsi"/>
          <w:lang w:val="en-US"/>
        </w:rPr>
        <w:t>. 2017;18(12):741-52. doi:10.1038/nrn.2017.130.</w:t>
      </w:r>
    </w:p>
    <w:p w14:paraId="6B110E77" w14:textId="77777777" w:rsidR="00E87463" w:rsidRPr="007D62EE" w:rsidRDefault="00E87463" w:rsidP="00E87463">
      <w:pPr>
        <w:numPr>
          <w:ilvl w:val="0"/>
          <w:numId w:val="2"/>
        </w:numPr>
        <w:jc w:val="both"/>
        <w:rPr>
          <w:rFonts w:asciiTheme="majorHAnsi" w:hAnsiTheme="majorHAnsi"/>
        </w:rPr>
      </w:pPr>
      <w:r w:rsidRPr="007D62EE">
        <w:rPr>
          <w:rFonts w:asciiTheme="majorHAnsi" w:hAnsiTheme="majorHAnsi"/>
          <w:lang w:val="en-US"/>
        </w:rPr>
        <w:t xml:space="preserve">Everitt BJ, Robbins TW. Neural systems of reinforcement for drug addiction: from actions to habits to compulsion. </w:t>
      </w:r>
      <w:r w:rsidRPr="007D62EE">
        <w:rPr>
          <w:rFonts w:asciiTheme="majorHAnsi" w:hAnsiTheme="majorHAnsi"/>
        </w:rPr>
        <w:t>Nat Neurosci. 2005;8(11):1481-9. doi:10.1038/nn1579.</w:t>
      </w:r>
    </w:p>
    <w:p w14:paraId="1D33A26A" w14:textId="6F11FFD1" w:rsidR="00A53B81" w:rsidRPr="007D62EE" w:rsidRDefault="00A53B81" w:rsidP="00A53B81">
      <w:pPr>
        <w:pStyle w:val="NormalWeb"/>
        <w:numPr>
          <w:ilvl w:val="0"/>
          <w:numId w:val="2"/>
        </w:numPr>
        <w:rPr>
          <w:rFonts w:asciiTheme="majorHAnsi" w:hAnsiTheme="majorHAnsi"/>
          <w:highlight w:val="yellow"/>
        </w:rPr>
      </w:pPr>
      <w:proofErr w:type="spellStart"/>
      <w:r w:rsidRPr="007D62EE">
        <w:rPr>
          <w:rFonts w:asciiTheme="majorHAnsi" w:hAnsiTheme="majorHAnsi"/>
          <w:highlight w:val="yellow"/>
        </w:rPr>
        <w:t>Dhurandhar</w:t>
      </w:r>
      <w:proofErr w:type="spellEnd"/>
      <w:r w:rsidRPr="007D62EE">
        <w:rPr>
          <w:rFonts w:asciiTheme="majorHAnsi" w:hAnsiTheme="majorHAnsi"/>
          <w:highlight w:val="yellow"/>
        </w:rPr>
        <w:t xml:space="preserve"> EJ, Maki KC, </w:t>
      </w:r>
      <w:proofErr w:type="spellStart"/>
      <w:r w:rsidRPr="007D62EE">
        <w:rPr>
          <w:rFonts w:asciiTheme="majorHAnsi" w:hAnsiTheme="majorHAnsi"/>
          <w:highlight w:val="yellow"/>
        </w:rPr>
        <w:t>Dhurandhar</w:t>
      </w:r>
      <w:proofErr w:type="spellEnd"/>
      <w:r w:rsidRPr="007D62EE">
        <w:rPr>
          <w:rFonts w:asciiTheme="majorHAnsi" w:hAnsiTheme="majorHAnsi"/>
          <w:highlight w:val="yellow"/>
        </w:rPr>
        <w:t xml:space="preserve"> NV, Kyle TK, </w:t>
      </w:r>
      <w:proofErr w:type="spellStart"/>
      <w:r w:rsidRPr="007D62EE">
        <w:rPr>
          <w:rFonts w:asciiTheme="majorHAnsi" w:hAnsiTheme="majorHAnsi"/>
          <w:highlight w:val="yellow"/>
        </w:rPr>
        <w:t>Yurkow</w:t>
      </w:r>
      <w:proofErr w:type="spellEnd"/>
      <w:r w:rsidRPr="007D62EE">
        <w:rPr>
          <w:rFonts w:asciiTheme="majorHAnsi" w:hAnsiTheme="majorHAnsi"/>
          <w:highlight w:val="yellow"/>
        </w:rPr>
        <w:t xml:space="preserve"> S, Hawkins MAW, et al. </w:t>
      </w:r>
      <w:r w:rsidRPr="007D62EE">
        <w:rPr>
          <w:rFonts w:asciiTheme="majorHAnsi" w:hAnsiTheme="majorHAnsi"/>
          <w:highlight w:val="yellow"/>
          <w:lang w:val="en-US"/>
        </w:rPr>
        <w:t>Food noise: definition, measurement, and future research directions.</w:t>
      </w:r>
      <w:r w:rsidRPr="007D62EE">
        <w:rPr>
          <w:rStyle w:val="apple-converted-space"/>
          <w:rFonts w:asciiTheme="majorHAnsi" w:eastAsiaTheme="majorEastAsia" w:hAnsiTheme="majorHAnsi"/>
          <w:highlight w:val="yellow"/>
          <w:lang w:val="en-US"/>
        </w:rPr>
        <w:t> </w:t>
      </w:r>
      <w:proofErr w:type="spellStart"/>
      <w:r w:rsidRPr="007D62EE">
        <w:rPr>
          <w:rStyle w:val="Forte"/>
          <w:rFonts w:asciiTheme="majorHAnsi" w:eastAsiaTheme="majorEastAsia" w:hAnsiTheme="majorHAnsi"/>
          <w:b w:val="0"/>
          <w:bCs w:val="0"/>
          <w:highlight w:val="yellow"/>
          <w:lang w:val="en-US"/>
        </w:rPr>
        <w:t>Nutr</w:t>
      </w:r>
      <w:proofErr w:type="spellEnd"/>
      <w:r w:rsidRPr="007D62EE">
        <w:rPr>
          <w:rStyle w:val="Forte"/>
          <w:rFonts w:asciiTheme="majorHAnsi" w:eastAsiaTheme="majorEastAsia" w:hAnsiTheme="majorHAnsi"/>
          <w:b w:val="0"/>
          <w:bCs w:val="0"/>
          <w:highlight w:val="yellow"/>
          <w:lang w:val="en-US"/>
        </w:rPr>
        <w:t xml:space="preserve"> Diabetes</w:t>
      </w:r>
      <w:r w:rsidRPr="007D62EE">
        <w:rPr>
          <w:rStyle w:val="Forte"/>
          <w:rFonts w:asciiTheme="majorHAnsi" w:eastAsiaTheme="majorEastAsia" w:hAnsiTheme="majorHAnsi"/>
          <w:highlight w:val="yellow"/>
          <w:lang w:val="en-US"/>
        </w:rPr>
        <w:t>.</w:t>
      </w:r>
      <w:r w:rsidRPr="007D62EE">
        <w:rPr>
          <w:rStyle w:val="apple-converted-space"/>
          <w:rFonts w:asciiTheme="majorHAnsi" w:eastAsiaTheme="majorEastAsia" w:hAnsiTheme="majorHAnsi"/>
          <w:highlight w:val="yellow"/>
          <w:lang w:val="en-US"/>
        </w:rPr>
        <w:t> </w:t>
      </w:r>
      <w:r w:rsidRPr="007D62EE">
        <w:rPr>
          <w:rFonts w:asciiTheme="majorHAnsi" w:hAnsiTheme="majorHAnsi"/>
          <w:highlight w:val="yellow"/>
        </w:rPr>
        <w:t xml:space="preserve">2025;15(1):30. </w:t>
      </w:r>
      <w:proofErr w:type="spellStart"/>
      <w:r w:rsidRPr="007D62EE">
        <w:rPr>
          <w:rFonts w:asciiTheme="majorHAnsi" w:hAnsiTheme="majorHAnsi"/>
          <w:highlight w:val="yellow"/>
        </w:rPr>
        <w:t>doi</w:t>
      </w:r>
      <w:proofErr w:type="spellEnd"/>
      <w:r w:rsidRPr="007D62EE">
        <w:rPr>
          <w:rFonts w:asciiTheme="majorHAnsi" w:hAnsiTheme="majorHAnsi"/>
          <w:highlight w:val="yellow"/>
        </w:rPr>
        <w:t>:</w:t>
      </w:r>
      <w:r w:rsidRPr="007D62EE">
        <w:rPr>
          <w:rStyle w:val="apple-converted-space"/>
          <w:rFonts w:asciiTheme="majorHAnsi" w:eastAsiaTheme="majorEastAsia" w:hAnsiTheme="majorHAnsi"/>
          <w:highlight w:val="yellow"/>
        </w:rPr>
        <w:t> </w:t>
      </w:r>
      <w:r w:rsidRPr="007D62EE">
        <w:rPr>
          <w:rStyle w:val="Forte"/>
          <w:rFonts w:asciiTheme="majorHAnsi" w:eastAsiaTheme="majorEastAsia" w:hAnsiTheme="majorHAnsi"/>
          <w:b w:val="0"/>
          <w:bCs w:val="0"/>
          <w:highlight w:val="yellow"/>
        </w:rPr>
        <w:t>10.1038/s41387-025-00382-x</w:t>
      </w:r>
      <w:r w:rsidRPr="007D62EE">
        <w:rPr>
          <w:rFonts w:asciiTheme="majorHAnsi" w:hAnsiTheme="majorHAnsi"/>
          <w:b/>
          <w:bCs/>
          <w:highlight w:val="yellow"/>
        </w:rPr>
        <w:t>.</w:t>
      </w:r>
      <w:r w:rsidRPr="007D62EE">
        <w:rPr>
          <w:rStyle w:val="apple-converted-space"/>
          <w:rFonts w:asciiTheme="majorHAnsi" w:eastAsiaTheme="majorEastAsia" w:hAnsiTheme="majorHAnsi"/>
          <w:highlight w:val="yellow"/>
        </w:rPr>
        <w:t> </w:t>
      </w:r>
    </w:p>
    <w:p w14:paraId="60EA71C8" w14:textId="6EE83E5D" w:rsidR="00A53B81" w:rsidRPr="007D62EE" w:rsidRDefault="00A53B81" w:rsidP="00A53B81">
      <w:pPr>
        <w:pStyle w:val="NormalWeb"/>
        <w:numPr>
          <w:ilvl w:val="0"/>
          <w:numId w:val="2"/>
        </w:numPr>
        <w:rPr>
          <w:rFonts w:asciiTheme="majorHAnsi" w:hAnsiTheme="majorHAnsi"/>
          <w:highlight w:val="yellow"/>
        </w:rPr>
      </w:pPr>
      <w:r w:rsidRPr="007D62EE">
        <w:rPr>
          <w:rFonts w:asciiTheme="majorHAnsi" w:hAnsiTheme="majorHAnsi"/>
          <w:highlight w:val="yellow"/>
          <w:lang w:val="en-US"/>
        </w:rPr>
        <w:lastRenderedPageBreak/>
        <w:t>Hayashi D, Edwards C, Emond JA, Gilbert-Diamond D, Butt M, Rigby A, Masterson TD. What is food noise? A conceptual model of food cue reactivity.</w:t>
      </w:r>
      <w:r w:rsidRPr="007D62EE">
        <w:rPr>
          <w:rStyle w:val="apple-converted-space"/>
          <w:rFonts w:asciiTheme="majorHAnsi" w:eastAsiaTheme="majorEastAsia" w:hAnsiTheme="majorHAnsi"/>
          <w:highlight w:val="yellow"/>
          <w:lang w:val="en-US"/>
        </w:rPr>
        <w:t> </w:t>
      </w:r>
      <w:proofErr w:type="spellStart"/>
      <w:r w:rsidRPr="007D62EE">
        <w:rPr>
          <w:rStyle w:val="Forte"/>
          <w:rFonts w:asciiTheme="majorHAnsi" w:eastAsiaTheme="majorEastAsia" w:hAnsiTheme="majorHAnsi"/>
          <w:b w:val="0"/>
          <w:bCs w:val="0"/>
          <w:highlight w:val="yellow"/>
        </w:rPr>
        <w:t>Nutrients</w:t>
      </w:r>
      <w:proofErr w:type="spellEnd"/>
      <w:r w:rsidRPr="007D62EE">
        <w:rPr>
          <w:rStyle w:val="Forte"/>
          <w:rFonts w:asciiTheme="majorHAnsi" w:eastAsiaTheme="majorEastAsia" w:hAnsiTheme="majorHAnsi"/>
          <w:b w:val="0"/>
          <w:bCs w:val="0"/>
          <w:highlight w:val="yellow"/>
        </w:rPr>
        <w:t>.</w:t>
      </w:r>
      <w:r w:rsidRPr="007D62EE">
        <w:rPr>
          <w:rStyle w:val="apple-converted-space"/>
          <w:rFonts w:asciiTheme="majorHAnsi" w:eastAsiaTheme="majorEastAsia" w:hAnsiTheme="majorHAnsi"/>
          <w:highlight w:val="yellow"/>
        </w:rPr>
        <w:t> </w:t>
      </w:r>
      <w:r w:rsidRPr="007D62EE">
        <w:rPr>
          <w:rFonts w:asciiTheme="majorHAnsi" w:hAnsiTheme="majorHAnsi"/>
          <w:highlight w:val="yellow"/>
        </w:rPr>
        <w:t xml:space="preserve">2023;15(22):4809. </w:t>
      </w:r>
      <w:proofErr w:type="spellStart"/>
      <w:r w:rsidRPr="007D62EE">
        <w:rPr>
          <w:rFonts w:asciiTheme="majorHAnsi" w:hAnsiTheme="majorHAnsi"/>
          <w:highlight w:val="yellow"/>
        </w:rPr>
        <w:t>doi</w:t>
      </w:r>
      <w:proofErr w:type="spellEnd"/>
      <w:r w:rsidRPr="007D62EE">
        <w:rPr>
          <w:rFonts w:asciiTheme="majorHAnsi" w:hAnsiTheme="majorHAnsi"/>
          <w:highlight w:val="yellow"/>
        </w:rPr>
        <w:t>:</w:t>
      </w:r>
      <w:r w:rsidRPr="007D62EE">
        <w:rPr>
          <w:rStyle w:val="apple-converted-space"/>
          <w:rFonts w:asciiTheme="majorHAnsi" w:eastAsiaTheme="majorEastAsia" w:hAnsiTheme="majorHAnsi"/>
          <w:highlight w:val="yellow"/>
        </w:rPr>
        <w:t> </w:t>
      </w:r>
      <w:r w:rsidRPr="007D62EE">
        <w:rPr>
          <w:rStyle w:val="Forte"/>
          <w:rFonts w:asciiTheme="majorHAnsi" w:eastAsiaTheme="majorEastAsia" w:hAnsiTheme="majorHAnsi"/>
          <w:b w:val="0"/>
          <w:bCs w:val="0"/>
          <w:highlight w:val="yellow"/>
        </w:rPr>
        <w:t>10.3390/nu15224809</w:t>
      </w:r>
      <w:r w:rsidRPr="007D62EE">
        <w:rPr>
          <w:rFonts w:asciiTheme="majorHAnsi" w:hAnsiTheme="majorHAnsi"/>
          <w:b/>
          <w:bCs/>
          <w:highlight w:val="yellow"/>
        </w:rPr>
        <w:t>.</w:t>
      </w:r>
      <w:r w:rsidRPr="007D62EE">
        <w:rPr>
          <w:rStyle w:val="apple-converted-space"/>
          <w:rFonts w:asciiTheme="majorHAnsi" w:eastAsiaTheme="majorEastAsia" w:hAnsiTheme="majorHAnsi"/>
          <w:highlight w:val="yellow"/>
        </w:rPr>
        <w:t> </w:t>
      </w:r>
    </w:p>
    <w:p w14:paraId="3F34C639" w14:textId="77777777" w:rsidR="00BF074C" w:rsidRPr="007D62EE" w:rsidRDefault="00A53B81" w:rsidP="00BF074C">
      <w:pPr>
        <w:pStyle w:val="NormalWeb"/>
        <w:numPr>
          <w:ilvl w:val="0"/>
          <w:numId w:val="2"/>
        </w:numPr>
        <w:rPr>
          <w:rStyle w:val="apple-converted-space"/>
          <w:rFonts w:asciiTheme="majorHAnsi" w:hAnsiTheme="majorHAnsi"/>
          <w:highlight w:val="yellow"/>
        </w:rPr>
      </w:pPr>
      <w:r w:rsidRPr="007D62EE">
        <w:rPr>
          <w:rFonts w:asciiTheme="majorHAnsi" w:hAnsiTheme="majorHAnsi"/>
          <w:highlight w:val="yellow"/>
          <w:lang w:val="en-US"/>
        </w:rPr>
        <w:t>Rossi AA. Tying food addiction to uncontrolled eating: the roles of eating-related thoughts and emotional eating.</w:t>
      </w:r>
      <w:r w:rsidRPr="007D62EE">
        <w:rPr>
          <w:rStyle w:val="apple-converted-space"/>
          <w:rFonts w:asciiTheme="majorHAnsi" w:eastAsiaTheme="majorEastAsia" w:hAnsiTheme="majorHAnsi"/>
          <w:highlight w:val="yellow"/>
          <w:lang w:val="en-US"/>
        </w:rPr>
        <w:t> </w:t>
      </w:r>
      <w:proofErr w:type="spellStart"/>
      <w:r w:rsidRPr="007D62EE">
        <w:rPr>
          <w:rStyle w:val="Forte"/>
          <w:rFonts w:asciiTheme="majorHAnsi" w:eastAsiaTheme="majorEastAsia" w:hAnsiTheme="majorHAnsi"/>
          <w:b w:val="0"/>
          <w:bCs w:val="0"/>
          <w:highlight w:val="yellow"/>
        </w:rPr>
        <w:t>Nutrients</w:t>
      </w:r>
      <w:proofErr w:type="spellEnd"/>
      <w:r w:rsidRPr="007D62EE">
        <w:rPr>
          <w:rStyle w:val="Forte"/>
          <w:rFonts w:asciiTheme="majorHAnsi" w:eastAsiaTheme="majorEastAsia" w:hAnsiTheme="majorHAnsi"/>
          <w:b w:val="0"/>
          <w:bCs w:val="0"/>
          <w:highlight w:val="yellow"/>
        </w:rPr>
        <w:t>.</w:t>
      </w:r>
      <w:r w:rsidRPr="007D62EE">
        <w:rPr>
          <w:rStyle w:val="apple-converted-space"/>
          <w:rFonts w:asciiTheme="majorHAnsi" w:eastAsiaTheme="majorEastAsia" w:hAnsiTheme="majorHAnsi"/>
          <w:highlight w:val="yellow"/>
        </w:rPr>
        <w:t> </w:t>
      </w:r>
      <w:r w:rsidRPr="007D62EE">
        <w:rPr>
          <w:rFonts w:asciiTheme="majorHAnsi" w:hAnsiTheme="majorHAnsi"/>
          <w:highlight w:val="yellow"/>
        </w:rPr>
        <w:t xml:space="preserve">2025;17(3):369. </w:t>
      </w:r>
      <w:proofErr w:type="spellStart"/>
      <w:r w:rsidRPr="007D62EE">
        <w:rPr>
          <w:rFonts w:asciiTheme="majorHAnsi" w:hAnsiTheme="majorHAnsi"/>
          <w:highlight w:val="yellow"/>
        </w:rPr>
        <w:t>doi</w:t>
      </w:r>
      <w:proofErr w:type="spellEnd"/>
      <w:r w:rsidRPr="007D62EE">
        <w:rPr>
          <w:rFonts w:asciiTheme="majorHAnsi" w:hAnsiTheme="majorHAnsi"/>
          <w:highlight w:val="yellow"/>
        </w:rPr>
        <w:t>:</w:t>
      </w:r>
      <w:r w:rsidRPr="007D62EE">
        <w:rPr>
          <w:rStyle w:val="apple-converted-space"/>
          <w:rFonts w:asciiTheme="majorHAnsi" w:eastAsiaTheme="majorEastAsia" w:hAnsiTheme="majorHAnsi"/>
          <w:highlight w:val="yellow"/>
        </w:rPr>
        <w:t> </w:t>
      </w:r>
      <w:r w:rsidRPr="007D62EE">
        <w:rPr>
          <w:rStyle w:val="Forte"/>
          <w:rFonts w:asciiTheme="majorHAnsi" w:eastAsiaTheme="majorEastAsia" w:hAnsiTheme="majorHAnsi"/>
          <w:b w:val="0"/>
          <w:bCs w:val="0"/>
          <w:highlight w:val="yellow"/>
        </w:rPr>
        <w:t>10.3390/nu17030369</w:t>
      </w:r>
      <w:r w:rsidRPr="007D62EE">
        <w:rPr>
          <w:rFonts w:asciiTheme="majorHAnsi" w:hAnsiTheme="majorHAnsi"/>
          <w:b/>
          <w:bCs/>
          <w:highlight w:val="yellow"/>
        </w:rPr>
        <w:t>.</w:t>
      </w:r>
      <w:r w:rsidRPr="007D62EE">
        <w:rPr>
          <w:rStyle w:val="apple-converted-space"/>
          <w:rFonts w:asciiTheme="majorHAnsi" w:eastAsiaTheme="majorEastAsia" w:hAnsiTheme="majorHAnsi"/>
          <w:b/>
          <w:bCs/>
          <w:highlight w:val="yellow"/>
        </w:rPr>
        <w:t> </w:t>
      </w:r>
    </w:p>
    <w:p w14:paraId="54898881" w14:textId="69AD7A2B" w:rsidR="00BF074C" w:rsidRPr="007D62EE" w:rsidRDefault="00BF074C" w:rsidP="00BF074C">
      <w:pPr>
        <w:pStyle w:val="NormalWeb"/>
        <w:numPr>
          <w:ilvl w:val="0"/>
          <w:numId w:val="2"/>
        </w:numPr>
        <w:rPr>
          <w:rFonts w:asciiTheme="majorHAnsi" w:hAnsiTheme="majorHAnsi"/>
          <w:highlight w:val="yellow"/>
        </w:rPr>
      </w:pPr>
      <w:proofErr w:type="spellStart"/>
      <w:r w:rsidRPr="007D62EE">
        <w:rPr>
          <w:rFonts w:asciiTheme="majorHAnsi" w:hAnsiTheme="majorHAnsi"/>
          <w:color w:val="000000"/>
          <w:lang w:val="en-US"/>
        </w:rPr>
        <w:t>Bekhbat</w:t>
      </w:r>
      <w:proofErr w:type="spellEnd"/>
      <w:r w:rsidRPr="007D62EE">
        <w:rPr>
          <w:rFonts w:asciiTheme="majorHAnsi" w:hAnsiTheme="majorHAnsi"/>
          <w:color w:val="000000"/>
          <w:lang w:val="en-US"/>
        </w:rPr>
        <w:t xml:space="preserve"> M, Li Z, Mehta ND, et al. Functional connectivity in reward circuitry and symptoms of anhedonia as therapeutic targets in depression with high inflammation: evidence from a dopamine challenge study.</w:t>
      </w:r>
      <w:r w:rsidRPr="007D62EE">
        <w:rPr>
          <w:rStyle w:val="apple-converted-space"/>
          <w:rFonts w:asciiTheme="majorHAnsi" w:eastAsiaTheme="majorEastAsia" w:hAnsiTheme="majorHAnsi"/>
          <w:color w:val="000000"/>
          <w:lang w:val="en-US"/>
        </w:rPr>
        <w:t> </w:t>
      </w:r>
      <w:r w:rsidRPr="007D62EE">
        <w:rPr>
          <w:rStyle w:val="Forte"/>
          <w:rFonts w:asciiTheme="majorHAnsi" w:eastAsiaTheme="majorEastAsia" w:hAnsiTheme="majorHAnsi"/>
          <w:color w:val="000000"/>
        </w:rPr>
        <w:t>Mol Psychiatry.</w:t>
      </w:r>
      <w:r w:rsidRPr="007D62EE">
        <w:rPr>
          <w:rFonts w:asciiTheme="majorHAnsi" w:hAnsiTheme="majorHAnsi"/>
          <w:color w:val="000000"/>
        </w:rPr>
        <w:t>2022;27(10):4113-4121. doi:10.1038/s41380-022-01715-3.</w:t>
      </w:r>
    </w:p>
    <w:p w14:paraId="0864E5BE" w14:textId="77777777" w:rsidR="00E87463" w:rsidRPr="007D62EE" w:rsidRDefault="00E87463" w:rsidP="00E87463">
      <w:pPr>
        <w:numPr>
          <w:ilvl w:val="0"/>
          <w:numId w:val="2"/>
        </w:numPr>
        <w:jc w:val="both"/>
        <w:rPr>
          <w:rFonts w:asciiTheme="majorHAnsi" w:hAnsiTheme="majorHAnsi"/>
          <w:lang w:val="en-US"/>
        </w:rPr>
      </w:pPr>
      <w:r w:rsidRPr="007D62EE">
        <w:rPr>
          <w:rFonts w:asciiTheme="majorHAnsi" w:hAnsiTheme="majorHAnsi"/>
        </w:rPr>
        <w:t xml:space="preserve">Zhu Z, Gong R, Rodriguez V, et al. </w:t>
      </w:r>
      <w:r w:rsidRPr="007D62EE">
        <w:rPr>
          <w:rFonts w:asciiTheme="majorHAnsi" w:hAnsiTheme="majorHAnsi"/>
          <w:lang w:val="en-US"/>
        </w:rPr>
        <w:t>Hedonic eating is controlled by dopamine neurons that oppose GLP-1R satiety. Science. 2025;387(6729</w:t>
      </w:r>
      <w:proofErr w:type="gramStart"/>
      <w:r w:rsidRPr="007D62EE">
        <w:rPr>
          <w:rFonts w:asciiTheme="majorHAnsi" w:hAnsiTheme="majorHAnsi"/>
          <w:lang w:val="en-US"/>
        </w:rPr>
        <w:t>):eadt</w:t>
      </w:r>
      <w:proofErr w:type="gramEnd"/>
      <w:r w:rsidRPr="007D62EE">
        <w:rPr>
          <w:rFonts w:asciiTheme="majorHAnsi" w:hAnsiTheme="majorHAnsi"/>
          <w:lang w:val="en-US"/>
        </w:rPr>
        <w:t>0773. doi:10.1126/</w:t>
      </w:r>
      <w:proofErr w:type="gramStart"/>
      <w:r w:rsidRPr="007D62EE">
        <w:rPr>
          <w:rFonts w:asciiTheme="majorHAnsi" w:hAnsiTheme="majorHAnsi"/>
          <w:lang w:val="en-US"/>
        </w:rPr>
        <w:t>science.adt</w:t>
      </w:r>
      <w:proofErr w:type="gramEnd"/>
      <w:r w:rsidRPr="007D62EE">
        <w:rPr>
          <w:rFonts w:asciiTheme="majorHAnsi" w:hAnsiTheme="majorHAnsi"/>
          <w:lang w:val="en-US"/>
        </w:rPr>
        <w:t>0773.</w:t>
      </w:r>
    </w:p>
    <w:p w14:paraId="26E742E4" w14:textId="7D973924" w:rsidR="00E71387" w:rsidRPr="007D62EE" w:rsidRDefault="00E71387" w:rsidP="00E87463">
      <w:pPr>
        <w:numPr>
          <w:ilvl w:val="0"/>
          <w:numId w:val="2"/>
        </w:numPr>
        <w:jc w:val="both"/>
        <w:rPr>
          <w:rFonts w:asciiTheme="majorHAnsi" w:hAnsiTheme="majorHAnsi"/>
          <w:lang w:val="en-US"/>
        </w:rPr>
      </w:pPr>
      <w:r w:rsidRPr="007D62EE">
        <w:rPr>
          <w:rFonts w:asciiTheme="majorHAnsi" w:hAnsiTheme="majorHAnsi"/>
          <w:color w:val="000000"/>
          <w:lang w:val="en-US"/>
        </w:rPr>
        <w:t xml:space="preserve">Kerr JA, Patton GC, </w:t>
      </w:r>
      <w:proofErr w:type="spellStart"/>
      <w:r w:rsidRPr="007D62EE">
        <w:rPr>
          <w:rFonts w:asciiTheme="majorHAnsi" w:hAnsiTheme="majorHAnsi"/>
          <w:color w:val="000000"/>
          <w:lang w:val="en-US"/>
        </w:rPr>
        <w:t>Cini</w:t>
      </w:r>
      <w:proofErr w:type="spellEnd"/>
      <w:r w:rsidRPr="007D62EE">
        <w:rPr>
          <w:rFonts w:asciiTheme="majorHAnsi" w:hAnsiTheme="majorHAnsi"/>
          <w:color w:val="000000"/>
          <w:lang w:val="en-US"/>
        </w:rPr>
        <w:t xml:space="preserve"> KI, Abate YH, Abbas N, Abd Al </w:t>
      </w:r>
      <w:proofErr w:type="spellStart"/>
      <w:r w:rsidRPr="007D62EE">
        <w:rPr>
          <w:rFonts w:asciiTheme="majorHAnsi" w:hAnsiTheme="majorHAnsi"/>
          <w:color w:val="000000"/>
          <w:lang w:val="en-US"/>
        </w:rPr>
        <w:t>Magied</w:t>
      </w:r>
      <w:proofErr w:type="spellEnd"/>
      <w:r w:rsidRPr="007D62EE">
        <w:rPr>
          <w:rFonts w:asciiTheme="majorHAnsi" w:hAnsiTheme="majorHAnsi"/>
          <w:color w:val="000000"/>
          <w:lang w:val="en-US"/>
        </w:rPr>
        <w:t xml:space="preserve"> AHA, et al. Global, regional, and national prevalence of child and adolescent overweight and obesity, 1990–2021, with forecasts to 2050: a forecasting study for the Global Burden of Disease Study 2021.</w:t>
      </w:r>
      <w:r w:rsidRPr="007D62EE">
        <w:rPr>
          <w:rStyle w:val="apple-converted-space"/>
          <w:rFonts w:asciiTheme="majorHAnsi" w:hAnsiTheme="majorHAnsi"/>
          <w:color w:val="000000"/>
          <w:lang w:val="en-US"/>
        </w:rPr>
        <w:t> </w:t>
      </w:r>
      <w:r w:rsidRPr="007D62EE">
        <w:rPr>
          <w:rStyle w:val="Forte"/>
          <w:rFonts w:asciiTheme="majorHAnsi" w:hAnsiTheme="majorHAnsi"/>
          <w:b w:val="0"/>
          <w:bCs w:val="0"/>
          <w:color w:val="000000"/>
        </w:rPr>
        <w:t>Lancet</w:t>
      </w:r>
      <w:r w:rsidRPr="007D62EE">
        <w:rPr>
          <w:rStyle w:val="Forte"/>
          <w:rFonts w:asciiTheme="majorHAnsi" w:hAnsiTheme="majorHAnsi"/>
          <w:color w:val="000000"/>
        </w:rPr>
        <w:t>.</w:t>
      </w:r>
      <w:r w:rsidRPr="007D62EE">
        <w:rPr>
          <w:rStyle w:val="apple-converted-space"/>
          <w:rFonts w:asciiTheme="majorHAnsi" w:hAnsiTheme="majorHAnsi"/>
          <w:color w:val="000000"/>
        </w:rPr>
        <w:t> </w:t>
      </w:r>
      <w:r w:rsidRPr="007D62EE">
        <w:rPr>
          <w:rFonts w:asciiTheme="majorHAnsi" w:hAnsiTheme="majorHAnsi"/>
          <w:color w:val="000000"/>
        </w:rPr>
        <w:t>2025;405(10481):785-812. doi:10.1016/S0140-6736(25)00397-6.</w:t>
      </w:r>
    </w:p>
    <w:p w14:paraId="04CECA36" w14:textId="77777777" w:rsidR="00E87463" w:rsidRPr="007D62EE" w:rsidRDefault="00E87463" w:rsidP="00145ADA">
      <w:pPr>
        <w:numPr>
          <w:ilvl w:val="0"/>
          <w:numId w:val="2"/>
        </w:numPr>
        <w:jc w:val="both"/>
        <w:rPr>
          <w:rFonts w:asciiTheme="majorHAnsi" w:hAnsiTheme="majorHAnsi"/>
          <w:lang w:val="en-US"/>
        </w:rPr>
      </w:pPr>
      <w:proofErr w:type="spellStart"/>
      <w:r w:rsidRPr="007D62EE">
        <w:rPr>
          <w:rFonts w:asciiTheme="majorHAnsi" w:hAnsiTheme="majorHAnsi"/>
          <w:lang w:val="en-US"/>
        </w:rPr>
        <w:t>Bekhbat</w:t>
      </w:r>
      <w:proofErr w:type="spellEnd"/>
      <w:r w:rsidRPr="007D62EE">
        <w:rPr>
          <w:rFonts w:asciiTheme="majorHAnsi" w:hAnsiTheme="majorHAnsi"/>
          <w:lang w:val="en-US"/>
        </w:rPr>
        <w:t xml:space="preserve"> M, Li Z, Mehta ND, et al. Functional connectivity in reward circuitry and symptoms of anhedonia as therapeutic targets in depression with high inflammation: evidence from a dopamine challenge study. </w:t>
      </w:r>
      <w:r w:rsidRPr="007D62EE">
        <w:rPr>
          <w:rFonts w:asciiTheme="majorHAnsi" w:hAnsiTheme="majorHAnsi"/>
        </w:rPr>
        <w:t>Mol Psychiatry. 2022;27(10):4113-21. doi:10.1038/s41380-022-01715-3.</w:t>
      </w:r>
    </w:p>
    <w:p w14:paraId="0C302741" w14:textId="77777777" w:rsidR="00E87463" w:rsidRPr="007D62EE" w:rsidRDefault="00E87463" w:rsidP="00E87463">
      <w:pPr>
        <w:numPr>
          <w:ilvl w:val="0"/>
          <w:numId w:val="2"/>
        </w:numPr>
        <w:jc w:val="both"/>
        <w:rPr>
          <w:rFonts w:asciiTheme="majorHAnsi" w:hAnsiTheme="majorHAnsi"/>
        </w:rPr>
      </w:pPr>
      <w:r w:rsidRPr="007D62EE">
        <w:rPr>
          <w:rFonts w:asciiTheme="majorHAnsi" w:hAnsiTheme="majorHAnsi"/>
          <w:lang w:val="en-US"/>
        </w:rPr>
        <w:t xml:space="preserve">Chao AM, </w:t>
      </w:r>
      <w:proofErr w:type="spellStart"/>
      <w:r w:rsidRPr="007D62EE">
        <w:rPr>
          <w:rFonts w:asciiTheme="majorHAnsi" w:hAnsiTheme="majorHAnsi"/>
          <w:lang w:val="en-US"/>
        </w:rPr>
        <w:t>Jastreboff</w:t>
      </w:r>
      <w:proofErr w:type="spellEnd"/>
      <w:r w:rsidRPr="007D62EE">
        <w:rPr>
          <w:rFonts w:asciiTheme="majorHAnsi" w:hAnsiTheme="majorHAnsi"/>
          <w:lang w:val="en-US"/>
        </w:rPr>
        <w:t xml:space="preserve"> AM, White MA, Grilo CM, Sinha R. Stress, cortisol, and other appetite-related hormones: prospective prediction of 6-month changes in food cravings and weight. </w:t>
      </w:r>
      <w:r w:rsidRPr="007D62EE">
        <w:rPr>
          <w:rFonts w:asciiTheme="majorHAnsi" w:hAnsiTheme="majorHAnsi"/>
        </w:rPr>
        <w:t>Obesity (Silver Spring). 2017;25(4):713-20. doi:10.1002/oby.21790.</w:t>
      </w:r>
    </w:p>
    <w:p w14:paraId="2E5E8D7B" w14:textId="77777777" w:rsidR="00E87463" w:rsidRPr="007D62EE" w:rsidRDefault="00E87463" w:rsidP="00E87463">
      <w:pPr>
        <w:numPr>
          <w:ilvl w:val="0"/>
          <w:numId w:val="2"/>
        </w:numPr>
        <w:jc w:val="both"/>
        <w:rPr>
          <w:rFonts w:asciiTheme="majorHAnsi" w:hAnsiTheme="majorHAnsi"/>
        </w:rPr>
      </w:pPr>
      <w:r w:rsidRPr="007D62EE">
        <w:rPr>
          <w:rFonts w:asciiTheme="majorHAnsi" w:hAnsiTheme="majorHAnsi"/>
          <w:lang w:val="en-US"/>
        </w:rPr>
        <w:t xml:space="preserve">Cook TM, Sandoval D. Dual-action obesity drug rewires brain circuits for appetite. </w:t>
      </w:r>
      <w:r w:rsidRPr="007D62EE">
        <w:rPr>
          <w:rFonts w:asciiTheme="majorHAnsi" w:hAnsiTheme="majorHAnsi"/>
        </w:rPr>
        <w:t>Nature. 2024;629(8014):1011-2. doi:10.1038/d41586-024-01352-6.</w:t>
      </w:r>
    </w:p>
    <w:p w14:paraId="6A799284" w14:textId="77777777" w:rsidR="00C21631" w:rsidRPr="007D62EE" w:rsidRDefault="00E87463" w:rsidP="00C21631">
      <w:pPr>
        <w:numPr>
          <w:ilvl w:val="0"/>
          <w:numId w:val="2"/>
        </w:numPr>
        <w:jc w:val="both"/>
        <w:rPr>
          <w:rFonts w:asciiTheme="majorHAnsi" w:hAnsiTheme="majorHAnsi"/>
        </w:rPr>
      </w:pPr>
      <w:r w:rsidRPr="007D62EE">
        <w:rPr>
          <w:rFonts w:asciiTheme="majorHAnsi" w:hAnsiTheme="majorHAnsi"/>
          <w:lang w:val="en-US"/>
        </w:rPr>
        <w:t xml:space="preserve">Kuckuck S, van der </w:t>
      </w:r>
      <w:proofErr w:type="spellStart"/>
      <w:r w:rsidRPr="007D62EE">
        <w:rPr>
          <w:rFonts w:asciiTheme="majorHAnsi" w:hAnsiTheme="majorHAnsi"/>
          <w:lang w:val="en-US"/>
        </w:rPr>
        <w:t>Valk</w:t>
      </w:r>
      <w:proofErr w:type="spellEnd"/>
      <w:r w:rsidRPr="007D62EE">
        <w:rPr>
          <w:rFonts w:asciiTheme="majorHAnsi" w:hAnsiTheme="majorHAnsi"/>
          <w:lang w:val="en-US"/>
        </w:rPr>
        <w:t xml:space="preserve"> ES, </w:t>
      </w:r>
      <w:proofErr w:type="spellStart"/>
      <w:r w:rsidRPr="007D62EE">
        <w:rPr>
          <w:rFonts w:asciiTheme="majorHAnsi" w:hAnsiTheme="majorHAnsi"/>
          <w:lang w:val="en-US"/>
        </w:rPr>
        <w:t>Scheurink</w:t>
      </w:r>
      <w:proofErr w:type="spellEnd"/>
      <w:r w:rsidRPr="007D62EE">
        <w:rPr>
          <w:rFonts w:asciiTheme="majorHAnsi" w:hAnsiTheme="majorHAnsi"/>
          <w:lang w:val="en-US"/>
        </w:rPr>
        <w:t xml:space="preserve"> AJW, van Rossum EFC. Glucocorticoids, stress and eating: the mediating role of appetite-regulating hormones. </w:t>
      </w:r>
      <w:r w:rsidRPr="007D62EE">
        <w:rPr>
          <w:rFonts w:asciiTheme="majorHAnsi" w:hAnsiTheme="majorHAnsi"/>
        </w:rPr>
        <w:t>Obes Rev. 2023;24(2):e13539. doi:10.1111/obr.13539.</w:t>
      </w:r>
    </w:p>
    <w:p w14:paraId="6CAA9E3C" w14:textId="4FE277C8" w:rsidR="00C21631" w:rsidRPr="007D62EE" w:rsidRDefault="00C21631" w:rsidP="00C21631">
      <w:pPr>
        <w:pStyle w:val="NormalWeb"/>
        <w:numPr>
          <w:ilvl w:val="0"/>
          <w:numId w:val="2"/>
        </w:numPr>
        <w:rPr>
          <w:rStyle w:val="apple-converted-space"/>
          <w:rFonts w:asciiTheme="majorHAnsi" w:hAnsiTheme="majorHAnsi"/>
          <w:highlight w:val="yellow"/>
        </w:rPr>
      </w:pPr>
      <w:r w:rsidRPr="007D62EE">
        <w:rPr>
          <w:rFonts w:asciiTheme="majorHAnsi" w:hAnsiTheme="majorHAnsi"/>
          <w:highlight w:val="yellow"/>
          <w:lang w:val="en-US"/>
        </w:rPr>
        <w:t xml:space="preserve">Rodriguez PJ, Zhang V, </w:t>
      </w:r>
      <w:proofErr w:type="spellStart"/>
      <w:r w:rsidRPr="007D62EE">
        <w:rPr>
          <w:rFonts w:asciiTheme="majorHAnsi" w:hAnsiTheme="majorHAnsi"/>
          <w:highlight w:val="yellow"/>
          <w:lang w:val="en-US"/>
        </w:rPr>
        <w:t>Gratzl</w:t>
      </w:r>
      <w:proofErr w:type="spellEnd"/>
      <w:r w:rsidRPr="007D62EE">
        <w:rPr>
          <w:rFonts w:asciiTheme="majorHAnsi" w:hAnsiTheme="majorHAnsi"/>
          <w:highlight w:val="yellow"/>
          <w:lang w:val="en-US"/>
        </w:rPr>
        <w:t xml:space="preserve"> S, Do D, Goodwin Cartwright B, Baker C, et al. Discontinuation and </w:t>
      </w:r>
      <w:proofErr w:type="spellStart"/>
      <w:r w:rsidRPr="007D62EE">
        <w:rPr>
          <w:rFonts w:asciiTheme="majorHAnsi" w:hAnsiTheme="majorHAnsi"/>
          <w:highlight w:val="yellow"/>
          <w:lang w:val="en-US"/>
        </w:rPr>
        <w:t>reinitiation</w:t>
      </w:r>
      <w:proofErr w:type="spellEnd"/>
      <w:r w:rsidRPr="007D62EE">
        <w:rPr>
          <w:rFonts w:asciiTheme="majorHAnsi" w:hAnsiTheme="majorHAnsi"/>
          <w:highlight w:val="yellow"/>
          <w:lang w:val="en-US"/>
        </w:rPr>
        <w:t xml:space="preserve"> of dual-labeled GLP-1 receptor agonists among US adults with overweight or obesity.</w:t>
      </w:r>
      <w:r w:rsidRPr="007D62EE">
        <w:rPr>
          <w:rStyle w:val="apple-converted-space"/>
          <w:rFonts w:asciiTheme="majorHAnsi" w:eastAsiaTheme="majorEastAsia" w:hAnsiTheme="majorHAnsi"/>
          <w:highlight w:val="yellow"/>
          <w:lang w:val="en-US"/>
        </w:rPr>
        <w:t> </w:t>
      </w:r>
      <w:r w:rsidRPr="007D62EE">
        <w:rPr>
          <w:rStyle w:val="Forte"/>
          <w:rFonts w:asciiTheme="majorHAnsi" w:eastAsiaTheme="majorEastAsia" w:hAnsiTheme="majorHAnsi"/>
          <w:b w:val="0"/>
          <w:bCs w:val="0"/>
          <w:highlight w:val="yellow"/>
        </w:rPr>
        <w:t xml:space="preserve">JAMA </w:t>
      </w:r>
      <w:proofErr w:type="spellStart"/>
      <w:r w:rsidRPr="007D62EE">
        <w:rPr>
          <w:rStyle w:val="Forte"/>
          <w:rFonts w:asciiTheme="majorHAnsi" w:eastAsiaTheme="majorEastAsia" w:hAnsiTheme="majorHAnsi"/>
          <w:b w:val="0"/>
          <w:bCs w:val="0"/>
          <w:highlight w:val="yellow"/>
        </w:rPr>
        <w:t>Netw</w:t>
      </w:r>
      <w:proofErr w:type="spellEnd"/>
      <w:r w:rsidRPr="007D62EE">
        <w:rPr>
          <w:rStyle w:val="Forte"/>
          <w:rFonts w:asciiTheme="majorHAnsi" w:eastAsiaTheme="majorEastAsia" w:hAnsiTheme="majorHAnsi"/>
          <w:b w:val="0"/>
          <w:bCs w:val="0"/>
          <w:highlight w:val="yellow"/>
        </w:rPr>
        <w:t xml:space="preserve"> Open</w:t>
      </w:r>
      <w:r w:rsidRPr="007D62EE">
        <w:rPr>
          <w:rStyle w:val="Forte"/>
          <w:rFonts w:asciiTheme="majorHAnsi" w:eastAsiaTheme="majorEastAsia" w:hAnsiTheme="majorHAnsi"/>
          <w:highlight w:val="yellow"/>
        </w:rPr>
        <w:t>.</w:t>
      </w:r>
      <w:r w:rsidRPr="007D62EE">
        <w:rPr>
          <w:rStyle w:val="apple-converted-space"/>
          <w:rFonts w:asciiTheme="majorHAnsi" w:eastAsiaTheme="majorEastAsia" w:hAnsiTheme="majorHAnsi"/>
          <w:highlight w:val="yellow"/>
        </w:rPr>
        <w:t> </w:t>
      </w:r>
      <w:r w:rsidRPr="007D62EE">
        <w:rPr>
          <w:rFonts w:asciiTheme="majorHAnsi" w:hAnsiTheme="majorHAnsi"/>
          <w:highlight w:val="yellow"/>
        </w:rPr>
        <w:t>2025;8(1):e2457349. doi:10.1001/jamanetworkopen.2024.57349.</w:t>
      </w:r>
      <w:r w:rsidRPr="007D62EE">
        <w:rPr>
          <w:rStyle w:val="apple-converted-space"/>
          <w:rFonts w:asciiTheme="majorHAnsi" w:eastAsiaTheme="majorEastAsia" w:hAnsiTheme="majorHAnsi"/>
          <w:highlight w:val="yellow"/>
        </w:rPr>
        <w:t> </w:t>
      </w:r>
    </w:p>
    <w:p w14:paraId="733A0C08" w14:textId="25F5E5F7" w:rsidR="00BF074C" w:rsidRPr="007D62EE" w:rsidRDefault="00BF074C" w:rsidP="00BF074C">
      <w:pPr>
        <w:pStyle w:val="NormalWeb"/>
        <w:numPr>
          <w:ilvl w:val="0"/>
          <w:numId w:val="2"/>
        </w:numPr>
        <w:rPr>
          <w:rFonts w:asciiTheme="majorHAnsi" w:hAnsiTheme="majorHAnsi"/>
          <w:highlight w:val="yellow"/>
          <w:lang w:val="en-US"/>
        </w:rPr>
      </w:pPr>
      <w:proofErr w:type="spellStart"/>
      <w:r w:rsidRPr="007D62EE">
        <w:rPr>
          <w:rFonts w:asciiTheme="majorHAnsi" w:hAnsiTheme="majorHAnsi"/>
          <w:highlight w:val="yellow"/>
          <w:lang w:val="en-US"/>
        </w:rPr>
        <w:t>Grilo</w:t>
      </w:r>
      <w:proofErr w:type="spellEnd"/>
      <w:r w:rsidRPr="007D62EE">
        <w:rPr>
          <w:rFonts w:asciiTheme="majorHAnsi" w:hAnsiTheme="majorHAnsi"/>
          <w:highlight w:val="yellow"/>
          <w:lang w:val="en-US"/>
        </w:rPr>
        <w:t xml:space="preserve"> CM, </w:t>
      </w:r>
      <w:proofErr w:type="spellStart"/>
      <w:r w:rsidRPr="007D62EE">
        <w:rPr>
          <w:rFonts w:asciiTheme="majorHAnsi" w:hAnsiTheme="majorHAnsi"/>
          <w:highlight w:val="yellow"/>
          <w:lang w:val="en-US"/>
        </w:rPr>
        <w:t>Ivezaj</w:t>
      </w:r>
      <w:proofErr w:type="spellEnd"/>
      <w:r w:rsidRPr="007D62EE">
        <w:rPr>
          <w:rFonts w:asciiTheme="majorHAnsi" w:hAnsiTheme="majorHAnsi"/>
          <w:highlight w:val="yellow"/>
          <w:lang w:val="en-US"/>
        </w:rPr>
        <w:t xml:space="preserve"> V, Tek C, </w:t>
      </w:r>
      <w:proofErr w:type="spellStart"/>
      <w:r w:rsidRPr="007D62EE">
        <w:rPr>
          <w:rFonts w:asciiTheme="majorHAnsi" w:hAnsiTheme="majorHAnsi"/>
          <w:highlight w:val="yellow"/>
          <w:lang w:val="en-US"/>
        </w:rPr>
        <w:t>Yurkow</w:t>
      </w:r>
      <w:proofErr w:type="spellEnd"/>
      <w:r w:rsidRPr="007D62EE">
        <w:rPr>
          <w:rFonts w:asciiTheme="majorHAnsi" w:hAnsiTheme="majorHAnsi"/>
          <w:highlight w:val="yellow"/>
          <w:lang w:val="en-US"/>
        </w:rPr>
        <w:t xml:space="preserve"> S, Wiedemann AA, </w:t>
      </w:r>
      <w:proofErr w:type="spellStart"/>
      <w:r w:rsidRPr="007D62EE">
        <w:rPr>
          <w:rFonts w:asciiTheme="majorHAnsi" w:hAnsiTheme="majorHAnsi"/>
          <w:highlight w:val="yellow"/>
          <w:lang w:val="en-US"/>
        </w:rPr>
        <w:t>Gueorguieva</w:t>
      </w:r>
      <w:proofErr w:type="spellEnd"/>
      <w:r w:rsidRPr="007D62EE">
        <w:rPr>
          <w:rFonts w:asciiTheme="majorHAnsi" w:hAnsiTheme="majorHAnsi"/>
          <w:highlight w:val="yellow"/>
          <w:lang w:val="en-US"/>
        </w:rPr>
        <w:t xml:space="preserve"> R. Cognitive behavioral therapy and </w:t>
      </w:r>
      <w:proofErr w:type="spellStart"/>
      <w:r w:rsidRPr="007D62EE">
        <w:rPr>
          <w:rFonts w:asciiTheme="majorHAnsi" w:hAnsiTheme="majorHAnsi"/>
          <w:highlight w:val="yellow"/>
          <w:lang w:val="en-US"/>
        </w:rPr>
        <w:t>lisdexamfetamine</w:t>
      </w:r>
      <w:proofErr w:type="spellEnd"/>
      <w:r w:rsidRPr="007D62EE">
        <w:rPr>
          <w:rFonts w:asciiTheme="majorHAnsi" w:hAnsiTheme="majorHAnsi"/>
          <w:highlight w:val="yellow"/>
          <w:lang w:val="en-US"/>
        </w:rPr>
        <w:t>, alone and combined, for binge-eating disorder with obesity: a randomized controlled trial.</w:t>
      </w:r>
      <w:r w:rsidRPr="007D62EE">
        <w:rPr>
          <w:rStyle w:val="apple-converted-space"/>
          <w:rFonts w:asciiTheme="majorHAnsi" w:eastAsiaTheme="majorEastAsia" w:hAnsiTheme="majorHAnsi"/>
          <w:highlight w:val="yellow"/>
          <w:lang w:val="en-US"/>
        </w:rPr>
        <w:t> </w:t>
      </w:r>
      <w:r w:rsidRPr="007D62EE">
        <w:rPr>
          <w:rStyle w:val="Forte"/>
          <w:rFonts w:asciiTheme="majorHAnsi" w:eastAsiaTheme="majorEastAsia" w:hAnsiTheme="majorHAnsi"/>
          <w:b w:val="0"/>
          <w:bCs w:val="0"/>
          <w:highlight w:val="yellow"/>
          <w:lang w:val="en-US"/>
        </w:rPr>
        <w:t>Am J Psychiatry</w:t>
      </w:r>
      <w:r w:rsidRPr="007D62EE">
        <w:rPr>
          <w:rStyle w:val="Forte"/>
          <w:rFonts w:asciiTheme="majorHAnsi" w:eastAsiaTheme="majorEastAsia" w:hAnsiTheme="majorHAnsi"/>
          <w:highlight w:val="yellow"/>
          <w:lang w:val="en-US"/>
        </w:rPr>
        <w:t>.</w:t>
      </w:r>
      <w:r w:rsidRPr="007D62EE">
        <w:rPr>
          <w:rStyle w:val="apple-converted-space"/>
          <w:rFonts w:asciiTheme="majorHAnsi" w:eastAsiaTheme="majorEastAsia" w:hAnsiTheme="majorHAnsi"/>
          <w:highlight w:val="yellow"/>
          <w:lang w:val="en-US"/>
        </w:rPr>
        <w:t> </w:t>
      </w:r>
      <w:r w:rsidRPr="007D62EE">
        <w:rPr>
          <w:rFonts w:asciiTheme="majorHAnsi" w:hAnsiTheme="majorHAnsi"/>
          <w:highlight w:val="yellow"/>
          <w:lang w:val="en-US"/>
        </w:rPr>
        <w:t xml:space="preserve">2025;182(2):209-218. </w:t>
      </w:r>
      <w:proofErr w:type="gramStart"/>
      <w:r w:rsidRPr="007D62EE">
        <w:rPr>
          <w:rFonts w:asciiTheme="majorHAnsi" w:hAnsiTheme="majorHAnsi"/>
          <w:highlight w:val="yellow"/>
          <w:lang w:val="en-US"/>
        </w:rPr>
        <w:t>doi:10.1176/appi.ajp</w:t>
      </w:r>
      <w:proofErr w:type="gramEnd"/>
      <w:r w:rsidRPr="007D62EE">
        <w:rPr>
          <w:rFonts w:asciiTheme="majorHAnsi" w:hAnsiTheme="majorHAnsi"/>
          <w:highlight w:val="yellow"/>
          <w:lang w:val="en-US"/>
        </w:rPr>
        <w:t>.20230982.</w:t>
      </w:r>
      <w:r w:rsidRPr="007D62EE">
        <w:rPr>
          <w:rStyle w:val="apple-converted-space"/>
          <w:rFonts w:asciiTheme="majorHAnsi" w:eastAsiaTheme="majorEastAsia" w:hAnsiTheme="majorHAnsi"/>
          <w:highlight w:val="yellow"/>
          <w:lang w:val="en-US"/>
        </w:rPr>
        <w:t> </w:t>
      </w:r>
    </w:p>
    <w:p w14:paraId="688562E0" w14:textId="6AFFD155" w:rsidR="00C21631" w:rsidRPr="007D62EE" w:rsidRDefault="00C21631" w:rsidP="00C21631">
      <w:pPr>
        <w:pStyle w:val="NormalWeb"/>
        <w:numPr>
          <w:ilvl w:val="0"/>
          <w:numId w:val="2"/>
        </w:numPr>
        <w:rPr>
          <w:rFonts w:asciiTheme="majorHAnsi" w:hAnsiTheme="majorHAnsi"/>
          <w:highlight w:val="yellow"/>
        </w:rPr>
      </w:pPr>
      <w:r w:rsidRPr="007D62EE">
        <w:rPr>
          <w:rFonts w:asciiTheme="majorHAnsi" w:hAnsiTheme="majorHAnsi"/>
          <w:highlight w:val="yellow"/>
          <w:lang w:val="en-US"/>
        </w:rPr>
        <w:t xml:space="preserve">Page MJ, McKenzie JE, </w:t>
      </w:r>
      <w:proofErr w:type="spellStart"/>
      <w:r w:rsidRPr="007D62EE">
        <w:rPr>
          <w:rFonts w:asciiTheme="majorHAnsi" w:hAnsiTheme="majorHAnsi"/>
          <w:highlight w:val="yellow"/>
          <w:lang w:val="en-US"/>
        </w:rPr>
        <w:t>Bossuyt</w:t>
      </w:r>
      <w:proofErr w:type="spellEnd"/>
      <w:r w:rsidRPr="007D62EE">
        <w:rPr>
          <w:rFonts w:asciiTheme="majorHAnsi" w:hAnsiTheme="majorHAnsi"/>
          <w:highlight w:val="yellow"/>
          <w:lang w:val="en-US"/>
        </w:rPr>
        <w:t xml:space="preserve"> PM, </w:t>
      </w:r>
      <w:proofErr w:type="spellStart"/>
      <w:r w:rsidRPr="007D62EE">
        <w:rPr>
          <w:rFonts w:asciiTheme="majorHAnsi" w:hAnsiTheme="majorHAnsi"/>
          <w:highlight w:val="yellow"/>
          <w:lang w:val="en-US"/>
        </w:rPr>
        <w:t>Boutron</w:t>
      </w:r>
      <w:proofErr w:type="spellEnd"/>
      <w:r w:rsidRPr="007D62EE">
        <w:rPr>
          <w:rFonts w:asciiTheme="majorHAnsi" w:hAnsiTheme="majorHAnsi"/>
          <w:highlight w:val="yellow"/>
          <w:lang w:val="en-US"/>
        </w:rPr>
        <w:t xml:space="preserve"> I, Hoffmann TC, Mulrow CD, et al. The PRISMA 2020 statement: an updated guideline for reporting systematic reviews.</w:t>
      </w:r>
      <w:r w:rsidRPr="007D62EE">
        <w:rPr>
          <w:rStyle w:val="apple-converted-space"/>
          <w:rFonts w:asciiTheme="majorHAnsi" w:eastAsiaTheme="majorEastAsia" w:hAnsiTheme="majorHAnsi"/>
          <w:highlight w:val="yellow"/>
          <w:lang w:val="en-US"/>
        </w:rPr>
        <w:t> </w:t>
      </w:r>
      <w:r w:rsidRPr="007D62EE">
        <w:rPr>
          <w:rStyle w:val="Forte"/>
          <w:rFonts w:asciiTheme="majorHAnsi" w:eastAsiaTheme="majorEastAsia" w:hAnsiTheme="majorHAnsi"/>
          <w:b w:val="0"/>
          <w:bCs w:val="0"/>
          <w:highlight w:val="yellow"/>
        </w:rPr>
        <w:t>BMJ.</w:t>
      </w:r>
      <w:r w:rsidRPr="007D62EE">
        <w:rPr>
          <w:rStyle w:val="apple-converted-space"/>
          <w:rFonts w:asciiTheme="majorHAnsi" w:eastAsiaTheme="majorEastAsia" w:hAnsiTheme="majorHAnsi"/>
          <w:highlight w:val="yellow"/>
        </w:rPr>
        <w:t> </w:t>
      </w:r>
      <w:r w:rsidRPr="007D62EE">
        <w:rPr>
          <w:rFonts w:asciiTheme="majorHAnsi" w:hAnsiTheme="majorHAnsi"/>
          <w:highlight w:val="yellow"/>
        </w:rPr>
        <w:t>2021;372:n71. doi:10.1136/</w:t>
      </w:r>
      <w:proofErr w:type="gramStart"/>
      <w:r w:rsidRPr="007D62EE">
        <w:rPr>
          <w:rFonts w:asciiTheme="majorHAnsi" w:hAnsiTheme="majorHAnsi"/>
          <w:highlight w:val="yellow"/>
        </w:rPr>
        <w:t>bmj.n</w:t>
      </w:r>
      <w:proofErr w:type="gramEnd"/>
      <w:r w:rsidRPr="007D62EE">
        <w:rPr>
          <w:rFonts w:asciiTheme="majorHAnsi" w:hAnsiTheme="majorHAnsi"/>
          <w:highlight w:val="yellow"/>
        </w:rPr>
        <w:t>71.</w:t>
      </w:r>
      <w:r w:rsidRPr="007D62EE">
        <w:rPr>
          <w:rStyle w:val="apple-converted-space"/>
          <w:rFonts w:asciiTheme="majorHAnsi" w:eastAsiaTheme="majorEastAsia" w:hAnsiTheme="majorHAnsi"/>
          <w:highlight w:val="yellow"/>
        </w:rPr>
        <w:t> </w:t>
      </w:r>
    </w:p>
    <w:p w14:paraId="0743DC85" w14:textId="703BE9AB" w:rsidR="00C21631" w:rsidRPr="007D62EE" w:rsidRDefault="00C21631" w:rsidP="00C21631">
      <w:pPr>
        <w:pStyle w:val="NormalWeb"/>
        <w:numPr>
          <w:ilvl w:val="0"/>
          <w:numId w:val="2"/>
        </w:numPr>
        <w:rPr>
          <w:rFonts w:asciiTheme="majorHAnsi" w:hAnsiTheme="majorHAnsi"/>
          <w:highlight w:val="yellow"/>
          <w:lang w:val="en-US"/>
        </w:rPr>
      </w:pPr>
      <w:proofErr w:type="spellStart"/>
      <w:r w:rsidRPr="007D62EE">
        <w:rPr>
          <w:rFonts w:asciiTheme="majorHAnsi" w:hAnsiTheme="majorHAnsi"/>
          <w:highlight w:val="yellow"/>
          <w:lang w:val="en-US"/>
        </w:rPr>
        <w:t>Sathiya</w:t>
      </w:r>
      <w:proofErr w:type="spellEnd"/>
      <w:r w:rsidRPr="007D62EE">
        <w:rPr>
          <w:rFonts w:asciiTheme="majorHAnsi" w:hAnsiTheme="majorHAnsi"/>
          <w:highlight w:val="yellow"/>
          <w:lang w:val="en-US"/>
        </w:rPr>
        <w:t xml:space="preserve"> Narayana Murthy DS, Murali DU, Bhargava S. Exploring the obesity risks of ultra-processed diets</w:t>
      </w:r>
      <w:r w:rsidRPr="007D62EE">
        <w:rPr>
          <w:rFonts w:asciiTheme="majorHAnsi" w:hAnsiTheme="majorHAnsi"/>
          <w:b/>
          <w:bCs/>
          <w:highlight w:val="yellow"/>
          <w:lang w:val="en-US"/>
        </w:rPr>
        <w:t>.</w:t>
      </w:r>
      <w:r w:rsidRPr="007D62EE">
        <w:rPr>
          <w:rStyle w:val="apple-converted-space"/>
          <w:rFonts w:asciiTheme="majorHAnsi" w:eastAsiaTheme="majorEastAsia" w:hAnsiTheme="majorHAnsi"/>
          <w:b/>
          <w:bCs/>
          <w:highlight w:val="yellow"/>
          <w:lang w:val="en-US"/>
        </w:rPr>
        <w:t> </w:t>
      </w:r>
      <w:r w:rsidRPr="007D62EE">
        <w:rPr>
          <w:rStyle w:val="Forte"/>
          <w:rFonts w:asciiTheme="majorHAnsi" w:eastAsiaTheme="majorEastAsia" w:hAnsiTheme="majorHAnsi"/>
          <w:b w:val="0"/>
          <w:bCs w:val="0"/>
          <w:highlight w:val="yellow"/>
          <w:lang w:val="en-US"/>
        </w:rPr>
        <w:t>Int J Pharm Bio Sci</w:t>
      </w:r>
      <w:r w:rsidRPr="007D62EE">
        <w:rPr>
          <w:rStyle w:val="Forte"/>
          <w:rFonts w:asciiTheme="majorHAnsi" w:eastAsiaTheme="majorEastAsia" w:hAnsiTheme="majorHAnsi"/>
          <w:highlight w:val="yellow"/>
          <w:lang w:val="en-US"/>
        </w:rPr>
        <w:t>.</w:t>
      </w:r>
      <w:r w:rsidRPr="007D62EE">
        <w:rPr>
          <w:rStyle w:val="apple-converted-space"/>
          <w:rFonts w:asciiTheme="majorHAnsi" w:eastAsiaTheme="majorEastAsia" w:hAnsiTheme="majorHAnsi"/>
          <w:highlight w:val="yellow"/>
          <w:lang w:val="en-US"/>
        </w:rPr>
        <w:t> </w:t>
      </w:r>
      <w:r w:rsidRPr="007D62EE">
        <w:rPr>
          <w:rFonts w:asciiTheme="majorHAnsi" w:hAnsiTheme="majorHAnsi"/>
          <w:highlight w:val="yellow"/>
          <w:lang w:val="en-US"/>
        </w:rPr>
        <w:t>2025;16(1):8-15. doi:10.22376/Ijpbs.2025.16.</w:t>
      </w:r>
      <w:proofErr w:type="gramStart"/>
      <w:r w:rsidRPr="007D62EE">
        <w:rPr>
          <w:rFonts w:asciiTheme="majorHAnsi" w:hAnsiTheme="majorHAnsi"/>
          <w:highlight w:val="yellow"/>
          <w:lang w:val="en-US"/>
        </w:rPr>
        <w:t>1.b</w:t>
      </w:r>
      <w:proofErr w:type="gramEnd"/>
      <w:r w:rsidRPr="007D62EE">
        <w:rPr>
          <w:rFonts w:asciiTheme="majorHAnsi" w:hAnsiTheme="majorHAnsi"/>
          <w:highlight w:val="yellow"/>
          <w:lang w:val="en-US"/>
        </w:rPr>
        <w:t>8-15.</w:t>
      </w:r>
      <w:r w:rsidRPr="007D62EE">
        <w:rPr>
          <w:rStyle w:val="apple-converted-space"/>
          <w:rFonts w:asciiTheme="majorHAnsi" w:eastAsiaTheme="majorEastAsia" w:hAnsiTheme="majorHAnsi"/>
          <w:highlight w:val="yellow"/>
          <w:lang w:val="en-US"/>
        </w:rPr>
        <w:t> </w:t>
      </w:r>
    </w:p>
    <w:p w14:paraId="70090F7F" w14:textId="77777777" w:rsidR="007D62EE" w:rsidRPr="007D62EE" w:rsidRDefault="00C21631" w:rsidP="007D62EE">
      <w:pPr>
        <w:pStyle w:val="NormalWeb"/>
        <w:numPr>
          <w:ilvl w:val="0"/>
          <w:numId w:val="2"/>
        </w:numPr>
        <w:rPr>
          <w:rStyle w:val="apple-converted-space"/>
          <w:rFonts w:asciiTheme="majorHAnsi" w:hAnsiTheme="majorHAnsi"/>
          <w:highlight w:val="yellow"/>
        </w:rPr>
      </w:pPr>
      <w:proofErr w:type="spellStart"/>
      <w:r w:rsidRPr="007D62EE">
        <w:rPr>
          <w:rFonts w:asciiTheme="majorHAnsi" w:hAnsiTheme="majorHAnsi"/>
          <w:highlight w:val="yellow"/>
        </w:rPr>
        <w:t>Aremu</w:t>
      </w:r>
      <w:proofErr w:type="spellEnd"/>
      <w:r w:rsidRPr="007D62EE">
        <w:rPr>
          <w:rFonts w:asciiTheme="majorHAnsi" w:hAnsiTheme="majorHAnsi"/>
          <w:highlight w:val="yellow"/>
        </w:rPr>
        <w:t xml:space="preserve"> SO, </w:t>
      </w:r>
      <w:proofErr w:type="spellStart"/>
      <w:r w:rsidRPr="007D62EE">
        <w:rPr>
          <w:rFonts w:asciiTheme="majorHAnsi" w:hAnsiTheme="majorHAnsi"/>
          <w:highlight w:val="yellow"/>
        </w:rPr>
        <w:t>Akute</w:t>
      </w:r>
      <w:proofErr w:type="spellEnd"/>
      <w:r w:rsidRPr="007D62EE">
        <w:rPr>
          <w:rFonts w:asciiTheme="majorHAnsi" w:hAnsiTheme="majorHAnsi"/>
          <w:highlight w:val="yellow"/>
        </w:rPr>
        <w:t xml:space="preserve"> B, </w:t>
      </w:r>
      <w:proofErr w:type="spellStart"/>
      <w:r w:rsidRPr="007D62EE">
        <w:rPr>
          <w:rFonts w:asciiTheme="majorHAnsi" w:hAnsiTheme="majorHAnsi"/>
          <w:highlight w:val="yellow"/>
        </w:rPr>
        <w:t>Aremu</w:t>
      </w:r>
      <w:proofErr w:type="spellEnd"/>
      <w:r w:rsidRPr="007D62EE">
        <w:rPr>
          <w:rFonts w:asciiTheme="majorHAnsi" w:hAnsiTheme="majorHAnsi"/>
          <w:highlight w:val="yellow"/>
        </w:rPr>
        <w:t xml:space="preserve"> DO, </w:t>
      </w:r>
      <w:proofErr w:type="spellStart"/>
      <w:r w:rsidRPr="007D62EE">
        <w:rPr>
          <w:rFonts w:asciiTheme="majorHAnsi" w:hAnsiTheme="majorHAnsi"/>
          <w:highlight w:val="yellow"/>
        </w:rPr>
        <w:t>Zando</w:t>
      </w:r>
      <w:proofErr w:type="spellEnd"/>
      <w:r w:rsidRPr="007D62EE">
        <w:rPr>
          <w:rFonts w:asciiTheme="majorHAnsi" w:hAnsiTheme="majorHAnsi"/>
          <w:highlight w:val="yellow"/>
        </w:rPr>
        <w:t xml:space="preserve"> C, </w:t>
      </w:r>
      <w:proofErr w:type="spellStart"/>
      <w:r w:rsidRPr="007D62EE">
        <w:rPr>
          <w:rFonts w:asciiTheme="majorHAnsi" w:hAnsiTheme="majorHAnsi"/>
          <w:highlight w:val="yellow"/>
        </w:rPr>
        <w:t>Aremu</w:t>
      </w:r>
      <w:proofErr w:type="spellEnd"/>
      <w:r w:rsidRPr="007D62EE">
        <w:rPr>
          <w:rFonts w:asciiTheme="majorHAnsi" w:hAnsiTheme="majorHAnsi"/>
          <w:highlight w:val="yellow"/>
        </w:rPr>
        <w:t xml:space="preserve"> ED, </w:t>
      </w:r>
      <w:proofErr w:type="spellStart"/>
      <w:r w:rsidRPr="007D62EE">
        <w:rPr>
          <w:rFonts w:asciiTheme="majorHAnsi" w:hAnsiTheme="majorHAnsi"/>
          <w:highlight w:val="yellow"/>
        </w:rPr>
        <w:t>Nwachukwu</w:t>
      </w:r>
      <w:proofErr w:type="spellEnd"/>
      <w:r w:rsidRPr="007D62EE">
        <w:rPr>
          <w:rFonts w:asciiTheme="majorHAnsi" w:hAnsiTheme="majorHAnsi"/>
          <w:highlight w:val="yellow"/>
        </w:rPr>
        <w:t xml:space="preserve"> OJ, et al. </w:t>
      </w:r>
      <w:r w:rsidRPr="007D62EE">
        <w:rPr>
          <w:rFonts w:asciiTheme="majorHAnsi" w:hAnsiTheme="majorHAnsi"/>
          <w:highlight w:val="yellow"/>
          <w:lang w:val="en-US"/>
        </w:rPr>
        <w:t xml:space="preserve">Dietary strategies for preventing and managing obesity through evidence-based </w:t>
      </w:r>
      <w:r w:rsidRPr="007D62EE">
        <w:rPr>
          <w:rFonts w:asciiTheme="majorHAnsi" w:hAnsiTheme="majorHAnsi"/>
          <w:highlight w:val="yellow"/>
          <w:lang w:val="en-US"/>
        </w:rPr>
        <w:lastRenderedPageBreak/>
        <w:t>nutritional interventions.</w:t>
      </w:r>
      <w:r w:rsidRPr="007D62EE">
        <w:rPr>
          <w:rStyle w:val="apple-converted-space"/>
          <w:rFonts w:asciiTheme="majorHAnsi" w:eastAsiaTheme="majorEastAsia" w:hAnsiTheme="majorHAnsi"/>
          <w:highlight w:val="yellow"/>
          <w:lang w:val="en-US"/>
        </w:rPr>
        <w:t> </w:t>
      </w:r>
      <w:proofErr w:type="spellStart"/>
      <w:r w:rsidRPr="007D62EE">
        <w:rPr>
          <w:rStyle w:val="Forte"/>
          <w:rFonts w:asciiTheme="majorHAnsi" w:eastAsiaTheme="majorEastAsia" w:hAnsiTheme="majorHAnsi"/>
          <w:b w:val="0"/>
          <w:bCs w:val="0"/>
          <w:highlight w:val="yellow"/>
        </w:rPr>
        <w:t>Discover</w:t>
      </w:r>
      <w:proofErr w:type="spellEnd"/>
      <w:r w:rsidRPr="007D62EE">
        <w:rPr>
          <w:rStyle w:val="Forte"/>
          <w:rFonts w:asciiTheme="majorHAnsi" w:eastAsiaTheme="majorEastAsia" w:hAnsiTheme="majorHAnsi"/>
          <w:b w:val="0"/>
          <w:bCs w:val="0"/>
          <w:highlight w:val="yellow"/>
        </w:rPr>
        <w:t xml:space="preserve"> </w:t>
      </w:r>
      <w:proofErr w:type="spellStart"/>
      <w:r w:rsidRPr="007D62EE">
        <w:rPr>
          <w:rStyle w:val="Forte"/>
          <w:rFonts w:asciiTheme="majorHAnsi" w:eastAsiaTheme="majorEastAsia" w:hAnsiTheme="majorHAnsi"/>
          <w:b w:val="0"/>
          <w:bCs w:val="0"/>
          <w:highlight w:val="yellow"/>
        </w:rPr>
        <w:t>Public</w:t>
      </w:r>
      <w:proofErr w:type="spellEnd"/>
      <w:r w:rsidRPr="007D62EE">
        <w:rPr>
          <w:rStyle w:val="Forte"/>
          <w:rFonts w:asciiTheme="majorHAnsi" w:eastAsiaTheme="majorEastAsia" w:hAnsiTheme="majorHAnsi"/>
          <w:b w:val="0"/>
          <w:bCs w:val="0"/>
          <w:highlight w:val="yellow"/>
        </w:rPr>
        <w:t xml:space="preserve"> Health.</w:t>
      </w:r>
      <w:r w:rsidRPr="007D62EE">
        <w:rPr>
          <w:rStyle w:val="apple-converted-space"/>
          <w:rFonts w:asciiTheme="majorHAnsi" w:eastAsiaTheme="majorEastAsia" w:hAnsiTheme="majorHAnsi"/>
          <w:highlight w:val="yellow"/>
        </w:rPr>
        <w:t> </w:t>
      </w:r>
      <w:r w:rsidRPr="007D62EE">
        <w:rPr>
          <w:rFonts w:asciiTheme="majorHAnsi" w:hAnsiTheme="majorHAnsi"/>
          <w:highlight w:val="yellow"/>
        </w:rPr>
        <w:t>2025;22(1):424. doi:10.1186/s12982-025-00818-w.</w:t>
      </w:r>
      <w:r w:rsidRPr="007D62EE">
        <w:rPr>
          <w:rStyle w:val="apple-converted-space"/>
          <w:rFonts w:asciiTheme="majorHAnsi" w:eastAsiaTheme="majorEastAsia" w:hAnsiTheme="majorHAnsi"/>
          <w:highlight w:val="yellow"/>
        </w:rPr>
        <w:t> </w:t>
      </w:r>
    </w:p>
    <w:p w14:paraId="2A54F76A" w14:textId="77777777" w:rsidR="007D62EE" w:rsidRPr="007D62EE" w:rsidRDefault="007D62EE" w:rsidP="007D62EE">
      <w:pPr>
        <w:pStyle w:val="NormalWeb"/>
        <w:numPr>
          <w:ilvl w:val="0"/>
          <w:numId w:val="2"/>
        </w:numPr>
        <w:rPr>
          <w:rFonts w:asciiTheme="majorHAnsi" w:hAnsiTheme="majorHAnsi"/>
          <w:highlight w:val="yellow"/>
        </w:rPr>
      </w:pPr>
      <w:r w:rsidRPr="007D62EE">
        <w:rPr>
          <w:rFonts w:asciiTheme="majorHAnsi" w:hAnsiTheme="majorHAnsi"/>
          <w:color w:val="000000"/>
          <w:highlight w:val="yellow"/>
          <w:lang w:val="en-US"/>
        </w:rPr>
        <w:t>Sun Q. Weight regain after cessation of GLP-1 drugs.</w:t>
      </w:r>
      <w:r w:rsidRPr="007D62EE">
        <w:rPr>
          <w:rStyle w:val="apple-converted-space"/>
          <w:rFonts w:asciiTheme="majorHAnsi" w:eastAsiaTheme="majorEastAsia" w:hAnsiTheme="majorHAnsi"/>
          <w:color w:val="000000"/>
          <w:highlight w:val="yellow"/>
          <w:lang w:val="en-US"/>
        </w:rPr>
        <w:t> </w:t>
      </w:r>
      <w:r w:rsidRPr="007D62EE">
        <w:rPr>
          <w:rStyle w:val="Forte"/>
          <w:rFonts w:asciiTheme="majorHAnsi" w:eastAsiaTheme="majorEastAsia" w:hAnsiTheme="majorHAnsi"/>
          <w:b w:val="0"/>
          <w:bCs w:val="0"/>
          <w:color w:val="000000"/>
          <w:highlight w:val="yellow"/>
          <w:lang w:val="en-US"/>
        </w:rPr>
        <w:t>BMJ</w:t>
      </w:r>
      <w:r w:rsidRPr="007D62EE">
        <w:rPr>
          <w:rFonts w:asciiTheme="majorHAnsi" w:hAnsiTheme="majorHAnsi"/>
          <w:color w:val="000000"/>
          <w:highlight w:val="yellow"/>
          <w:lang w:val="en-US"/>
        </w:rPr>
        <w:t>. 2026 Jan 7;</w:t>
      </w:r>
      <w:proofErr w:type="gramStart"/>
      <w:r w:rsidRPr="007D62EE">
        <w:rPr>
          <w:rFonts w:asciiTheme="majorHAnsi" w:hAnsiTheme="majorHAnsi"/>
          <w:color w:val="000000"/>
          <w:highlight w:val="yellow"/>
          <w:lang w:val="en-US"/>
        </w:rPr>
        <w:t>392:r</w:t>
      </w:r>
      <w:proofErr w:type="gramEnd"/>
      <w:r w:rsidRPr="007D62EE">
        <w:rPr>
          <w:rFonts w:asciiTheme="majorHAnsi" w:hAnsiTheme="majorHAnsi"/>
          <w:color w:val="000000"/>
          <w:highlight w:val="yellow"/>
          <w:lang w:val="en-US"/>
        </w:rPr>
        <w:t>2586. doi:10.1136/</w:t>
      </w:r>
      <w:proofErr w:type="gramStart"/>
      <w:r w:rsidRPr="007D62EE">
        <w:rPr>
          <w:rFonts w:asciiTheme="majorHAnsi" w:hAnsiTheme="majorHAnsi"/>
          <w:color w:val="000000"/>
          <w:highlight w:val="yellow"/>
          <w:lang w:val="en-US"/>
        </w:rPr>
        <w:t>bmj.r</w:t>
      </w:r>
      <w:proofErr w:type="gramEnd"/>
      <w:r w:rsidRPr="007D62EE">
        <w:rPr>
          <w:rFonts w:asciiTheme="majorHAnsi" w:hAnsiTheme="majorHAnsi"/>
          <w:color w:val="000000"/>
          <w:highlight w:val="yellow"/>
          <w:lang w:val="en-US"/>
        </w:rPr>
        <w:t>2586</w:t>
      </w:r>
    </w:p>
    <w:p w14:paraId="2685C70C" w14:textId="77777777" w:rsidR="007D62EE" w:rsidRPr="007D62EE" w:rsidRDefault="00B26BB1" w:rsidP="007D62EE">
      <w:pPr>
        <w:pStyle w:val="NormalWeb"/>
        <w:numPr>
          <w:ilvl w:val="0"/>
          <w:numId w:val="2"/>
        </w:numPr>
        <w:rPr>
          <w:rFonts w:asciiTheme="majorHAnsi" w:hAnsiTheme="majorHAnsi"/>
          <w:highlight w:val="yellow"/>
          <w:lang w:val="en-US"/>
        </w:rPr>
      </w:pPr>
      <w:r w:rsidRPr="007D62EE">
        <w:rPr>
          <w:rFonts w:asciiTheme="majorHAnsi" w:hAnsiTheme="majorHAnsi"/>
          <w:highlight w:val="yellow"/>
          <w:lang w:val="en-US"/>
        </w:rPr>
        <w:t xml:space="preserve">Klein HE, </w:t>
      </w:r>
      <w:proofErr w:type="spellStart"/>
      <w:r w:rsidRPr="007D62EE">
        <w:rPr>
          <w:rFonts w:asciiTheme="majorHAnsi" w:hAnsiTheme="majorHAnsi"/>
          <w:highlight w:val="yellow"/>
          <w:lang w:val="en-US"/>
        </w:rPr>
        <w:t>Gasoyan</w:t>
      </w:r>
      <w:proofErr w:type="spellEnd"/>
      <w:r w:rsidRPr="007D62EE">
        <w:rPr>
          <w:rFonts w:asciiTheme="majorHAnsi" w:hAnsiTheme="majorHAnsi"/>
          <w:highlight w:val="yellow"/>
          <w:lang w:val="en-US"/>
        </w:rPr>
        <w:t xml:space="preserve"> H.</w:t>
      </w:r>
      <w:r w:rsidRPr="007D62EE">
        <w:rPr>
          <w:rStyle w:val="apple-converted-space"/>
          <w:rFonts w:asciiTheme="majorHAnsi" w:eastAsiaTheme="majorEastAsia" w:hAnsiTheme="majorHAnsi"/>
          <w:highlight w:val="yellow"/>
          <w:lang w:val="en-US"/>
        </w:rPr>
        <w:t> </w:t>
      </w:r>
      <w:r w:rsidRPr="007D62EE">
        <w:rPr>
          <w:rStyle w:val="nfase"/>
          <w:rFonts w:asciiTheme="majorHAnsi" w:eastAsiaTheme="majorEastAsia" w:hAnsiTheme="majorHAnsi"/>
          <w:highlight w:val="yellow"/>
          <w:lang w:val="en-US"/>
        </w:rPr>
        <w:t xml:space="preserve">Weight Regain After GLP-1 Discontinuation is Less Rapid in Real World: Hamlet </w:t>
      </w:r>
      <w:proofErr w:type="spellStart"/>
      <w:r w:rsidRPr="007D62EE">
        <w:rPr>
          <w:rStyle w:val="nfase"/>
          <w:rFonts w:asciiTheme="majorHAnsi" w:eastAsiaTheme="majorEastAsia" w:hAnsiTheme="majorHAnsi"/>
          <w:highlight w:val="yellow"/>
          <w:lang w:val="en-US"/>
        </w:rPr>
        <w:t>Gasoyan</w:t>
      </w:r>
      <w:proofErr w:type="spellEnd"/>
      <w:r w:rsidRPr="007D62EE">
        <w:rPr>
          <w:rStyle w:val="nfase"/>
          <w:rFonts w:asciiTheme="majorHAnsi" w:eastAsiaTheme="majorEastAsia" w:hAnsiTheme="majorHAnsi"/>
          <w:highlight w:val="yellow"/>
          <w:lang w:val="en-US"/>
        </w:rPr>
        <w:t xml:space="preserve">, </w:t>
      </w:r>
      <w:proofErr w:type="gramStart"/>
      <w:r w:rsidRPr="007D62EE">
        <w:rPr>
          <w:rStyle w:val="nfase"/>
          <w:rFonts w:asciiTheme="majorHAnsi" w:eastAsiaTheme="majorEastAsia" w:hAnsiTheme="majorHAnsi"/>
          <w:highlight w:val="yellow"/>
          <w:lang w:val="en-US"/>
        </w:rPr>
        <w:t>PhD</w:t>
      </w:r>
      <w:r w:rsidRPr="007D62EE">
        <w:rPr>
          <w:rFonts w:asciiTheme="majorHAnsi" w:hAnsiTheme="majorHAnsi"/>
          <w:highlight w:val="yellow"/>
          <w:lang w:val="en-US"/>
        </w:rPr>
        <w:t>[</w:t>
      </w:r>
      <w:proofErr w:type="gramEnd"/>
      <w:r w:rsidRPr="007D62EE">
        <w:rPr>
          <w:rFonts w:asciiTheme="majorHAnsi" w:hAnsiTheme="majorHAnsi"/>
          <w:highlight w:val="yellow"/>
          <w:lang w:val="en-US"/>
        </w:rPr>
        <w:t>Internet].</w:t>
      </w:r>
      <w:r w:rsidRPr="007D62EE">
        <w:rPr>
          <w:rStyle w:val="apple-converted-space"/>
          <w:rFonts w:asciiTheme="majorHAnsi" w:eastAsiaTheme="majorEastAsia" w:hAnsiTheme="majorHAnsi"/>
          <w:highlight w:val="yellow"/>
          <w:lang w:val="en-US"/>
        </w:rPr>
        <w:t> </w:t>
      </w:r>
      <w:r w:rsidRPr="007D62EE">
        <w:rPr>
          <w:rStyle w:val="Forte"/>
          <w:rFonts w:asciiTheme="majorHAnsi" w:eastAsiaTheme="majorEastAsia" w:hAnsiTheme="majorHAnsi"/>
          <w:b w:val="0"/>
          <w:bCs w:val="0"/>
          <w:highlight w:val="yellow"/>
          <w:lang w:val="en-US"/>
        </w:rPr>
        <w:t>The American Journal of Managed Care (AJMC)</w:t>
      </w:r>
      <w:r w:rsidRPr="007D62EE">
        <w:rPr>
          <w:rFonts w:asciiTheme="majorHAnsi" w:hAnsiTheme="majorHAnsi"/>
          <w:highlight w:val="yellow"/>
          <w:lang w:val="en-US"/>
        </w:rPr>
        <w:t>. 2025 Jun 22 [cited 2026 Jan 31]. Available from:</w:t>
      </w:r>
      <w:r w:rsidRPr="007D62EE">
        <w:rPr>
          <w:rStyle w:val="apple-converted-space"/>
          <w:rFonts w:asciiTheme="majorHAnsi" w:eastAsiaTheme="majorEastAsia" w:hAnsiTheme="majorHAnsi"/>
          <w:highlight w:val="yellow"/>
          <w:lang w:val="en-US"/>
        </w:rPr>
        <w:t> </w:t>
      </w:r>
      <w:hyperlink r:id="rId8" w:tgtFrame="_new" w:history="1">
        <w:r w:rsidRPr="007D62EE">
          <w:rPr>
            <w:rStyle w:val="Hyperlink"/>
            <w:rFonts w:asciiTheme="majorHAnsi" w:eastAsiaTheme="majorEastAsia" w:hAnsiTheme="majorHAnsi"/>
            <w:highlight w:val="yellow"/>
            <w:lang w:val="en-US"/>
          </w:rPr>
          <w:t>https://www.ajmc.com/view/weight-regain-after-glp-1-discontinuation-is-less-rapid-in-real-world-hamlet-gasoyan-phd</w:t>
        </w:r>
      </w:hyperlink>
    </w:p>
    <w:p w14:paraId="2AEE99ED" w14:textId="237DA73E" w:rsidR="00B26BB1" w:rsidRPr="007D62EE" w:rsidRDefault="00B26BB1" w:rsidP="007D62EE">
      <w:pPr>
        <w:pStyle w:val="NormalWeb"/>
        <w:numPr>
          <w:ilvl w:val="0"/>
          <w:numId w:val="2"/>
        </w:numPr>
        <w:rPr>
          <w:rFonts w:asciiTheme="majorHAnsi" w:hAnsiTheme="majorHAnsi"/>
          <w:highlight w:val="yellow"/>
        </w:rPr>
      </w:pPr>
      <w:r w:rsidRPr="007D62EE">
        <w:rPr>
          <w:rFonts w:asciiTheme="majorHAnsi" w:hAnsiTheme="majorHAnsi"/>
          <w:highlight w:val="yellow"/>
          <w:lang w:val="en-US"/>
        </w:rPr>
        <w:t xml:space="preserve"> </w:t>
      </w:r>
      <w:proofErr w:type="spellStart"/>
      <w:r w:rsidRPr="007D62EE">
        <w:rPr>
          <w:rFonts w:asciiTheme="majorHAnsi" w:hAnsiTheme="majorHAnsi"/>
          <w:highlight w:val="yellow"/>
          <w:lang w:val="en-US"/>
        </w:rPr>
        <w:t>Quarenghi M,</w:t>
      </w:r>
      <w:proofErr w:type="spellEnd"/>
      <w:r w:rsidRPr="007D62EE">
        <w:rPr>
          <w:rFonts w:asciiTheme="majorHAnsi" w:hAnsiTheme="majorHAnsi"/>
          <w:highlight w:val="yellow"/>
          <w:lang w:val="en-US"/>
        </w:rPr>
        <w:t xml:space="preserve"> </w:t>
      </w:r>
      <w:proofErr w:type="spellStart"/>
      <w:r w:rsidRPr="007D62EE">
        <w:rPr>
          <w:rFonts w:asciiTheme="majorHAnsi" w:hAnsiTheme="majorHAnsi"/>
          <w:highlight w:val="yellow"/>
          <w:lang w:val="en-US"/>
        </w:rPr>
        <w:t>Capelli</w:t>
      </w:r>
      <w:proofErr w:type="spellEnd"/>
      <w:r w:rsidRPr="007D62EE">
        <w:rPr>
          <w:rFonts w:asciiTheme="majorHAnsi" w:hAnsiTheme="majorHAnsi"/>
          <w:highlight w:val="yellow"/>
          <w:lang w:val="en-US"/>
        </w:rPr>
        <w:t xml:space="preserve"> S, </w:t>
      </w:r>
      <w:proofErr w:type="spellStart"/>
      <w:r w:rsidRPr="007D62EE">
        <w:rPr>
          <w:rFonts w:asciiTheme="majorHAnsi" w:hAnsiTheme="majorHAnsi"/>
          <w:highlight w:val="yellow"/>
          <w:lang w:val="en-US"/>
        </w:rPr>
        <w:t>Galligani</w:t>
      </w:r>
      <w:proofErr w:type="spellEnd"/>
      <w:r w:rsidRPr="007D62EE">
        <w:rPr>
          <w:rFonts w:asciiTheme="majorHAnsi" w:hAnsiTheme="majorHAnsi"/>
          <w:highlight w:val="yellow"/>
          <w:lang w:val="en-US"/>
        </w:rPr>
        <w:t xml:space="preserve"> G, Giana A, </w:t>
      </w:r>
      <w:proofErr w:type="spellStart"/>
      <w:r w:rsidRPr="007D62EE">
        <w:rPr>
          <w:rFonts w:asciiTheme="majorHAnsi" w:hAnsiTheme="majorHAnsi"/>
          <w:highlight w:val="yellow"/>
          <w:lang w:val="en-US"/>
        </w:rPr>
        <w:t>Preatoni</w:t>
      </w:r>
      <w:proofErr w:type="spellEnd"/>
      <w:r w:rsidRPr="007D62EE">
        <w:rPr>
          <w:rFonts w:asciiTheme="majorHAnsi" w:hAnsiTheme="majorHAnsi"/>
          <w:highlight w:val="yellow"/>
          <w:lang w:val="en-US"/>
        </w:rPr>
        <w:t xml:space="preserve"> G, </w:t>
      </w:r>
      <w:proofErr w:type="spellStart"/>
      <w:r w:rsidRPr="007D62EE">
        <w:rPr>
          <w:rFonts w:asciiTheme="majorHAnsi" w:hAnsiTheme="majorHAnsi"/>
          <w:highlight w:val="yellow"/>
          <w:lang w:val="en-US"/>
        </w:rPr>
        <w:t>Turri</w:t>
      </w:r>
      <w:proofErr w:type="spellEnd"/>
      <w:r w:rsidRPr="007D62EE">
        <w:rPr>
          <w:rFonts w:asciiTheme="majorHAnsi" w:hAnsiTheme="majorHAnsi"/>
          <w:highlight w:val="yellow"/>
          <w:lang w:val="en-US"/>
        </w:rPr>
        <w:t xml:space="preserve"> </w:t>
      </w:r>
      <w:proofErr w:type="spellStart"/>
      <w:r w:rsidRPr="007D62EE">
        <w:rPr>
          <w:rFonts w:asciiTheme="majorHAnsi" w:hAnsiTheme="majorHAnsi"/>
          <w:highlight w:val="yellow"/>
          <w:lang w:val="en-US"/>
        </w:rPr>
        <w:t>Quarenghi</w:t>
      </w:r>
      <w:proofErr w:type="spellEnd"/>
      <w:r w:rsidRPr="007D62EE">
        <w:rPr>
          <w:rFonts w:asciiTheme="majorHAnsi" w:hAnsiTheme="majorHAnsi"/>
          <w:highlight w:val="yellow"/>
          <w:lang w:val="en-US"/>
        </w:rPr>
        <w:t xml:space="preserve"> R. Weight Regain After Liraglutide, </w:t>
      </w:r>
      <w:proofErr w:type="spellStart"/>
      <w:r w:rsidRPr="007D62EE">
        <w:rPr>
          <w:rFonts w:asciiTheme="majorHAnsi" w:hAnsiTheme="majorHAnsi"/>
          <w:highlight w:val="yellow"/>
          <w:lang w:val="en-US"/>
        </w:rPr>
        <w:t>Semaglutide</w:t>
      </w:r>
      <w:proofErr w:type="spellEnd"/>
      <w:r w:rsidRPr="007D62EE">
        <w:rPr>
          <w:rFonts w:asciiTheme="majorHAnsi" w:hAnsiTheme="majorHAnsi"/>
          <w:highlight w:val="yellow"/>
          <w:lang w:val="en-US"/>
        </w:rPr>
        <w:t xml:space="preserve"> or </w:t>
      </w:r>
      <w:proofErr w:type="spellStart"/>
      <w:r w:rsidRPr="007D62EE">
        <w:rPr>
          <w:rFonts w:asciiTheme="majorHAnsi" w:hAnsiTheme="majorHAnsi"/>
          <w:highlight w:val="yellow"/>
          <w:lang w:val="en-US"/>
        </w:rPr>
        <w:t>Tirzepatide</w:t>
      </w:r>
      <w:proofErr w:type="spellEnd"/>
      <w:r w:rsidRPr="007D62EE">
        <w:rPr>
          <w:rFonts w:asciiTheme="majorHAnsi" w:hAnsiTheme="majorHAnsi"/>
          <w:highlight w:val="yellow"/>
          <w:lang w:val="en-US"/>
        </w:rPr>
        <w:t xml:space="preserve"> Interruption: A Narrative Review of Randomized Studies.</w:t>
      </w:r>
      <w:r w:rsidRPr="007D62EE">
        <w:rPr>
          <w:rStyle w:val="apple-converted-space"/>
          <w:rFonts w:asciiTheme="majorHAnsi" w:eastAsiaTheme="majorEastAsia" w:hAnsiTheme="majorHAnsi"/>
          <w:highlight w:val="yellow"/>
          <w:lang w:val="en-US"/>
        </w:rPr>
        <w:t> </w:t>
      </w:r>
      <w:r w:rsidRPr="007D62EE">
        <w:rPr>
          <w:rStyle w:val="Forte"/>
          <w:rFonts w:asciiTheme="majorHAnsi" w:eastAsiaTheme="majorEastAsia" w:hAnsiTheme="majorHAnsi"/>
          <w:b w:val="0"/>
          <w:bCs w:val="0"/>
          <w:highlight w:val="yellow"/>
          <w:lang w:val="en-US"/>
        </w:rPr>
        <w:t>J Clin Me</w:t>
      </w:r>
      <w:r w:rsidRPr="007D62EE">
        <w:rPr>
          <w:rStyle w:val="Forte"/>
          <w:rFonts w:asciiTheme="majorHAnsi" w:eastAsiaTheme="majorEastAsia" w:hAnsiTheme="majorHAnsi"/>
          <w:highlight w:val="yellow"/>
          <w:lang w:val="en-US"/>
        </w:rPr>
        <w:t>d</w:t>
      </w:r>
      <w:r w:rsidRPr="007D62EE">
        <w:rPr>
          <w:rFonts w:asciiTheme="majorHAnsi" w:hAnsiTheme="majorHAnsi"/>
          <w:highlight w:val="yellow"/>
          <w:lang w:val="en-US"/>
        </w:rPr>
        <w:t>. 2025 May 28;14(11):3791. doi:10.3390/jcm14113791</w:t>
      </w:r>
    </w:p>
    <w:p w14:paraId="00C7BAB8" w14:textId="77777777" w:rsidR="00B26BB1" w:rsidRPr="007D62EE" w:rsidRDefault="00B26BB1" w:rsidP="00B26BB1">
      <w:pPr>
        <w:pStyle w:val="NormalWeb"/>
        <w:ind w:left="720"/>
        <w:rPr>
          <w:rFonts w:ascii="Times" w:hAnsi="Times"/>
          <w:highlight w:val="yellow"/>
          <w:lang w:val="en-US"/>
        </w:rPr>
      </w:pPr>
    </w:p>
    <w:p w14:paraId="31E19FD9" w14:textId="3EC20B17" w:rsidR="00A53B81" w:rsidRPr="0087470C" w:rsidRDefault="00A53B81" w:rsidP="00D36583">
      <w:pPr>
        <w:jc w:val="both"/>
        <w:rPr>
          <w:lang w:val="en-US"/>
        </w:rPr>
      </w:pPr>
    </w:p>
    <w:sectPr w:rsidR="00A53B81" w:rsidRPr="0087470C">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EA696" w14:textId="77777777" w:rsidR="00D14F1C" w:rsidRDefault="00D14F1C" w:rsidP="00C029D3">
      <w:r>
        <w:separator/>
      </w:r>
    </w:p>
  </w:endnote>
  <w:endnote w:type="continuationSeparator" w:id="0">
    <w:p w14:paraId="6BE22D68" w14:textId="77777777" w:rsidR="00D14F1C" w:rsidRDefault="00D14F1C" w:rsidP="00C0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68EC" w14:textId="77777777" w:rsidR="00C029D3" w:rsidRDefault="00C029D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316A" w14:textId="77777777" w:rsidR="00C029D3" w:rsidRDefault="00C029D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4466" w14:textId="77777777" w:rsidR="00C029D3" w:rsidRDefault="00C029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E65C9" w14:textId="77777777" w:rsidR="00D14F1C" w:rsidRDefault="00D14F1C" w:rsidP="00C029D3">
      <w:r>
        <w:separator/>
      </w:r>
    </w:p>
  </w:footnote>
  <w:footnote w:type="continuationSeparator" w:id="0">
    <w:p w14:paraId="0AB818FC" w14:textId="77777777" w:rsidR="00D14F1C" w:rsidRDefault="00D14F1C" w:rsidP="00C02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2F15" w14:textId="7CDC2C80" w:rsidR="00C029D3" w:rsidRDefault="00D14F1C">
    <w:pPr>
      <w:pStyle w:val="Cabealho"/>
    </w:pPr>
    <w:r>
      <w:rPr>
        <w:noProof/>
      </w:rPr>
      <w:pict w14:anchorId="59ED3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7" o:spid="_x0000_s1027" type="#_x0000_t136" alt="" style="position:absolute;margin-left:0;margin-top:0;width:539.45pt;height:59.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8B0D" w14:textId="2F398E58" w:rsidR="00C029D3" w:rsidRDefault="00D14F1C">
    <w:pPr>
      <w:pStyle w:val="Cabealho"/>
    </w:pPr>
    <w:r>
      <w:rPr>
        <w:noProof/>
      </w:rPr>
      <w:pict w14:anchorId="2DB90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8" o:spid="_x0000_s1026" type="#_x0000_t136" alt="" style="position:absolute;margin-left:0;margin-top:0;width:539.45pt;height:59.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6003" w14:textId="4C911074" w:rsidR="00C029D3" w:rsidRDefault="00D14F1C">
    <w:pPr>
      <w:pStyle w:val="Cabealho"/>
    </w:pPr>
    <w:r>
      <w:rPr>
        <w:noProof/>
      </w:rPr>
      <w:pict w14:anchorId="6A976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6" o:spid="_x0000_s1025" type="#_x0000_t136" alt="" style="position:absolute;margin-left:0;margin-top:0;width:539.45pt;height:59.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0053A"/>
    <w:multiLevelType w:val="multilevel"/>
    <w:tmpl w:val="45A4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3E3806"/>
    <w:multiLevelType w:val="hybridMultilevel"/>
    <w:tmpl w:val="817258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4B46AF0"/>
    <w:multiLevelType w:val="multilevel"/>
    <w:tmpl w:val="83386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8327730">
    <w:abstractNumId w:val="2"/>
  </w:num>
  <w:num w:numId="2" w16cid:durableId="595210782">
    <w:abstractNumId w:val="0"/>
  </w:num>
  <w:num w:numId="3" w16cid:durableId="999236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0C"/>
    <w:rsid w:val="00091271"/>
    <w:rsid w:val="00145ADA"/>
    <w:rsid w:val="001B311C"/>
    <w:rsid w:val="001B69D8"/>
    <w:rsid w:val="00206FA5"/>
    <w:rsid w:val="00360E88"/>
    <w:rsid w:val="003844C5"/>
    <w:rsid w:val="00412515"/>
    <w:rsid w:val="0042207D"/>
    <w:rsid w:val="004A72C5"/>
    <w:rsid w:val="004D0872"/>
    <w:rsid w:val="005D4413"/>
    <w:rsid w:val="00626A9C"/>
    <w:rsid w:val="006B2BFA"/>
    <w:rsid w:val="007D62EE"/>
    <w:rsid w:val="0087470C"/>
    <w:rsid w:val="008C3D06"/>
    <w:rsid w:val="0097481C"/>
    <w:rsid w:val="009E1015"/>
    <w:rsid w:val="00A05336"/>
    <w:rsid w:val="00A53B81"/>
    <w:rsid w:val="00B028FC"/>
    <w:rsid w:val="00B26BB1"/>
    <w:rsid w:val="00BF074C"/>
    <w:rsid w:val="00C029D3"/>
    <w:rsid w:val="00C21631"/>
    <w:rsid w:val="00CA2ED8"/>
    <w:rsid w:val="00CA5349"/>
    <w:rsid w:val="00CB0318"/>
    <w:rsid w:val="00D14F1C"/>
    <w:rsid w:val="00D36583"/>
    <w:rsid w:val="00D911A4"/>
    <w:rsid w:val="00DA5A33"/>
    <w:rsid w:val="00E320BB"/>
    <w:rsid w:val="00E71387"/>
    <w:rsid w:val="00E87463"/>
    <w:rsid w:val="00F152F5"/>
    <w:rsid w:val="00F710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64C3"/>
  <w15:chartTrackingRefBased/>
  <w15:docId w15:val="{10814F17-0658-BD43-802B-B4ABF140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747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8747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7470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7470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7470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7470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7470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7470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7470C"/>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470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87470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7470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7470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7470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7470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7470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7470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7470C"/>
    <w:rPr>
      <w:rFonts w:eastAsiaTheme="majorEastAsia" w:cstheme="majorBidi"/>
      <w:color w:val="272727" w:themeColor="text1" w:themeTint="D8"/>
    </w:rPr>
  </w:style>
  <w:style w:type="paragraph" w:styleId="Ttulo">
    <w:name w:val="Title"/>
    <w:basedOn w:val="Normal"/>
    <w:next w:val="Normal"/>
    <w:link w:val="TtuloChar"/>
    <w:uiPriority w:val="10"/>
    <w:qFormat/>
    <w:rsid w:val="0087470C"/>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747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7470C"/>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7470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7470C"/>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87470C"/>
    <w:rPr>
      <w:i/>
      <w:iCs/>
      <w:color w:val="404040" w:themeColor="text1" w:themeTint="BF"/>
    </w:rPr>
  </w:style>
  <w:style w:type="paragraph" w:styleId="PargrafodaLista">
    <w:name w:val="List Paragraph"/>
    <w:basedOn w:val="Normal"/>
    <w:uiPriority w:val="34"/>
    <w:qFormat/>
    <w:rsid w:val="0087470C"/>
    <w:pPr>
      <w:ind w:left="720"/>
      <w:contextualSpacing/>
    </w:pPr>
  </w:style>
  <w:style w:type="character" w:styleId="nfaseIntensa">
    <w:name w:val="Intense Emphasis"/>
    <w:basedOn w:val="Fontepargpadro"/>
    <w:uiPriority w:val="21"/>
    <w:qFormat/>
    <w:rsid w:val="0087470C"/>
    <w:rPr>
      <w:i/>
      <w:iCs/>
      <w:color w:val="0F4761" w:themeColor="accent1" w:themeShade="BF"/>
    </w:rPr>
  </w:style>
  <w:style w:type="paragraph" w:styleId="CitaoIntensa">
    <w:name w:val="Intense Quote"/>
    <w:basedOn w:val="Normal"/>
    <w:next w:val="Normal"/>
    <w:link w:val="CitaoIntensaChar"/>
    <w:uiPriority w:val="30"/>
    <w:qFormat/>
    <w:rsid w:val="008747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7470C"/>
    <w:rPr>
      <w:i/>
      <w:iCs/>
      <w:color w:val="0F4761" w:themeColor="accent1" w:themeShade="BF"/>
    </w:rPr>
  </w:style>
  <w:style w:type="character" w:styleId="RefernciaIntensa">
    <w:name w:val="Intense Reference"/>
    <w:basedOn w:val="Fontepargpadro"/>
    <w:uiPriority w:val="32"/>
    <w:qFormat/>
    <w:rsid w:val="0087470C"/>
    <w:rPr>
      <w:b/>
      <w:bCs/>
      <w:smallCaps/>
      <w:color w:val="0F4761" w:themeColor="accent1" w:themeShade="BF"/>
      <w:spacing w:val="5"/>
    </w:rPr>
  </w:style>
  <w:style w:type="character" w:customStyle="1" w:styleId="apple-converted-space">
    <w:name w:val="apple-converted-space"/>
    <w:basedOn w:val="Fontepargpadro"/>
    <w:rsid w:val="0087470C"/>
  </w:style>
  <w:style w:type="character" w:styleId="Forte">
    <w:name w:val="Strong"/>
    <w:basedOn w:val="Fontepargpadro"/>
    <w:uiPriority w:val="22"/>
    <w:qFormat/>
    <w:rsid w:val="0087470C"/>
    <w:rPr>
      <w:b/>
      <w:bCs/>
    </w:rPr>
  </w:style>
  <w:style w:type="paragraph" w:styleId="NormalWeb">
    <w:name w:val="Normal (Web)"/>
    <w:basedOn w:val="Normal"/>
    <w:uiPriority w:val="99"/>
    <w:unhideWhenUsed/>
    <w:rsid w:val="00D36583"/>
    <w:pPr>
      <w:spacing w:before="100" w:beforeAutospacing="1" w:after="100" w:afterAutospacing="1"/>
    </w:pPr>
    <w:rPr>
      <w:rFonts w:ascii="Times New Roman" w:eastAsia="Times New Roman" w:hAnsi="Times New Roman" w:cs="Times New Roman"/>
      <w:kern w:val="0"/>
      <w:lang w:eastAsia="pt-BR"/>
      <w14:ligatures w14:val="none"/>
    </w:rPr>
  </w:style>
  <w:style w:type="character" w:styleId="nfase">
    <w:name w:val="Emphasis"/>
    <w:basedOn w:val="Fontepargpadro"/>
    <w:uiPriority w:val="20"/>
    <w:qFormat/>
    <w:rsid w:val="00D36583"/>
    <w:rPr>
      <w:i/>
      <w:iCs/>
    </w:rPr>
  </w:style>
  <w:style w:type="character" w:customStyle="1" w:styleId="ms-1">
    <w:name w:val="ms-1"/>
    <w:basedOn w:val="Fontepargpadro"/>
    <w:rsid w:val="00D36583"/>
  </w:style>
  <w:style w:type="character" w:customStyle="1" w:styleId="max-w-15ch">
    <w:name w:val="max-w-[15ch]"/>
    <w:basedOn w:val="Fontepargpadro"/>
    <w:rsid w:val="00D36583"/>
  </w:style>
  <w:style w:type="character" w:customStyle="1" w:styleId="-me-1">
    <w:name w:val="-me-1"/>
    <w:basedOn w:val="Fontepargpadro"/>
    <w:rsid w:val="00D36583"/>
  </w:style>
  <w:style w:type="paragraph" w:customStyle="1" w:styleId="MdHeading1">
    <w:name w:val="MdHeading1"/>
    <w:qFormat/>
    <w:rsid w:val="00F152F5"/>
    <w:pPr>
      <w:keepNext/>
      <w:spacing w:before="480" w:after="240"/>
      <w:outlineLvl w:val="0"/>
    </w:pPr>
    <w:rPr>
      <w:rFonts w:ascii="Times New Roman" w:eastAsia="Times New Roman" w:hAnsi="Times New Roman" w:cs="Times New Roman"/>
      <w:b/>
      <w:bCs/>
      <w:kern w:val="0"/>
      <w:sz w:val="36"/>
      <w:szCs w:val="36"/>
      <w:lang w:eastAsia="pt-BR"/>
      <w14:ligatures w14:val="none"/>
    </w:rPr>
  </w:style>
  <w:style w:type="paragraph" w:customStyle="1" w:styleId="MdParagraph">
    <w:name w:val="MdParagraph"/>
    <w:qFormat/>
    <w:rsid w:val="00F152F5"/>
    <w:pPr>
      <w:spacing w:before="120" w:after="120"/>
    </w:pPr>
    <w:rPr>
      <w:rFonts w:ascii="Times New Roman" w:eastAsia="Times New Roman" w:hAnsi="Times New Roman" w:cs="Times New Roman"/>
      <w:kern w:val="0"/>
      <w:lang w:eastAsia="pt-BR"/>
      <w14:ligatures w14:val="none"/>
    </w:rPr>
  </w:style>
  <w:style w:type="paragraph" w:customStyle="1" w:styleId="MdHeading2">
    <w:name w:val="MdHeading2"/>
    <w:qFormat/>
    <w:rsid w:val="00F152F5"/>
    <w:pPr>
      <w:keepNext/>
      <w:spacing w:before="400" w:after="200"/>
      <w:outlineLvl w:val="1"/>
    </w:pPr>
    <w:rPr>
      <w:rFonts w:ascii="Times New Roman" w:eastAsia="Times New Roman" w:hAnsi="Times New Roman" w:cs="Times New Roman"/>
      <w:b/>
      <w:bCs/>
      <w:kern w:val="0"/>
      <w:sz w:val="32"/>
      <w:szCs w:val="32"/>
      <w:lang w:eastAsia="pt-BR"/>
      <w14:ligatures w14:val="none"/>
    </w:rPr>
  </w:style>
  <w:style w:type="paragraph" w:customStyle="1" w:styleId="MdSpace">
    <w:name w:val="MdSpace"/>
    <w:qFormat/>
    <w:rsid w:val="004A72C5"/>
    <w:rPr>
      <w:rFonts w:ascii="Times New Roman" w:eastAsia="Times New Roman" w:hAnsi="Times New Roman" w:cs="Times New Roman"/>
      <w:kern w:val="0"/>
      <w:sz w:val="12"/>
      <w:szCs w:val="12"/>
      <w:lang w:eastAsia="pt-BR"/>
      <w14:ligatures w14:val="none"/>
    </w:rPr>
  </w:style>
  <w:style w:type="paragraph" w:customStyle="1" w:styleId="MdHr">
    <w:name w:val="MdHr"/>
    <w:qFormat/>
    <w:rsid w:val="004A72C5"/>
    <w:pPr>
      <w:pBdr>
        <w:bottom w:val="single" w:sz="1" w:space="1" w:color="A5A5A5"/>
      </w:pBdr>
      <w:spacing w:before="240" w:after="240"/>
    </w:pPr>
    <w:rPr>
      <w:rFonts w:ascii="Times New Roman" w:eastAsia="Times New Roman" w:hAnsi="Times New Roman" w:cs="Times New Roman"/>
      <w:kern w:val="0"/>
      <w:lang w:eastAsia="pt-BR"/>
      <w14:ligatures w14:val="none"/>
    </w:rPr>
  </w:style>
  <w:style w:type="paragraph" w:customStyle="1" w:styleId="MdHeading3">
    <w:name w:val="MdHeading3"/>
    <w:qFormat/>
    <w:rsid w:val="004A72C5"/>
    <w:pPr>
      <w:keepNext/>
      <w:spacing w:before="320" w:after="160"/>
      <w:outlineLvl w:val="2"/>
    </w:pPr>
    <w:rPr>
      <w:rFonts w:ascii="Times New Roman" w:eastAsia="Times New Roman" w:hAnsi="Times New Roman" w:cs="Times New Roman"/>
      <w:b/>
      <w:bCs/>
      <w:kern w:val="0"/>
      <w:sz w:val="28"/>
      <w:szCs w:val="28"/>
      <w:lang w:eastAsia="pt-BR"/>
      <w14:ligatures w14:val="none"/>
    </w:rPr>
  </w:style>
  <w:style w:type="character" w:customStyle="1" w:styleId="MdStrong">
    <w:name w:val="MdStrong"/>
    <w:uiPriority w:val="99"/>
    <w:unhideWhenUsed/>
    <w:qFormat/>
    <w:rsid w:val="004A72C5"/>
    <w:rPr>
      <w:b/>
      <w:bCs/>
    </w:rPr>
  </w:style>
  <w:style w:type="character" w:styleId="Hyperlink">
    <w:name w:val="Hyperlink"/>
    <w:basedOn w:val="Fontepargpadro"/>
    <w:uiPriority w:val="99"/>
    <w:unhideWhenUsed/>
    <w:rsid w:val="00E320BB"/>
    <w:rPr>
      <w:color w:val="467886" w:themeColor="hyperlink"/>
      <w:u w:val="single"/>
    </w:rPr>
  </w:style>
  <w:style w:type="character" w:styleId="MenoPendente">
    <w:name w:val="Unresolved Mention"/>
    <w:basedOn w:val="Fontepargpadro"/>
    <w:uiPriority w:val="99"/>
    <w:semiHidden/>
    <w:unhideWhenUsed/>
    <w:rsid w:val="00E320BB"/>
    <w:rPr>
      <w:color w:val="605E5C"/>
      <w:shd w:val="clear" w:color="auto" w:fill="E1DFDD"/>
    </w:rPr>
  </w:style>
  <w:style w:type="paragraph" w:styleId="Cabealho">
    <w:name w:val="header"/>
    <w:basedOn w:val="Normal"/>
    <w:link w:val="CabealhoChar"/>
    <w:uiPriority w:val="99"/>
    <w:unhideWhenUsed/>
    <w:rsid w:val="00C029D3"/>
    <w:pPr>
      <w:tabs>
        <w:tab w:val="center" w:pos="4680"/>
        <w:tab w:val="right" w:pos="9360"/>
      </w:tabs>
    </w:pPr>
  </w:style>
  <w:style w:type="character" w:customStyle="1" w:styleId="CabealhoChar">
    <w:name w:val="Cabeçalho Char"/>
    <w:basedOn w:val="Fontepargpadro"/>
    <w:link w:val="Cabealho"/>
    <w:uiPriority w:val="99"/>
    <w:rsid w:val="00C029D3"/>
  </w:style>
  <w:style w:type="paragraph" w:styleId="Rodap">
    <w:name w:val="footer"/>
    <w:basedOn w:val="Normal"/>
    <w:link w:val="RodapChar"/>
    <w:uiPriority w:val="99"/>
    <w:unhideWhenUsed/>
    <w:rsid w:val="00C029D3"/>
    <w:pPr>
      <w:tabs>
        <w:tab w:val="center" w:pos="4680"/>
        <w:tab w:val="right" w:pos="9360"/>
      </w:tabs>
    </w:pPr>
  </w:style>
  <w:style w:type="character" w:customStyle="1" w:styleId="RodapChar">
    <w:name w:val="Rodapé Char"/>
    <w:basedOn w:val="Fontepargpadro"/>
    <w:link w:val="Rodap"/>
    <w:uiPriority w:val="99"/>
    <w:rsid w:val="00C029D3"/>
  </w:style>
  <w:style w:type="paragraph" w:styleId="SemEspaamento">
    <w:name w:val="No Spacing"/>
    <w:uiPriority w:val="1"/>
    <w:qFormat/>
    <w:rsid w:val="003844C5"/>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91916">
      <w:bodyDiv w:val="1"/>
      <w:marLeft w:val="0"/>
      <w:marRight w:val="0"/>
      <w:marTop w:val="0"/>
      <w:marBottom w:val="0"/>
      <w:divBdr>
        <w:top w:val="none" w:sz="0" w:space="0" w:color="auto"/>
        <w:left w:val="none" w:sz="0" w:space="0" w:color="auto"/>
        <w:bottom w:val="none" w:sz="0" w:space="0" w:color="auto"/>
        <w:right w:val="none" w:sz="0" w:space="0" w:color="auto"/>
      </w:divBdr>
      <w:divsChild>
        <w:div w:id="1894004487">
          <w:marLeft w:val="0"/>
          <w:marRight w:val="0"/>
          <w:marTop w:val="0"/>
          <w:marBottom w:val="0"/>
          <w:divBdr>
            <w:top w:val="none" w:sz="0" w:space="0" w:color="auto"/>
            <w:left w:val="none" w:sz="0" w:space="0" w:color="auto"/>
            <w:bottom w:val="none" w:sz="0" w:space="0" w:color="auto"/>
            <w:right w:val="none" w:sz="0" w:space="0" w:color="auto"/>
          </w:divBdr>
          <w:divsChild>
            <w:div w:id="1709722288">
              <w:marLeft w:val="0"/>
              <w:marRight w:val="0"/>
              <w:marTop w:val="0"/>
              <w:marBottom w:val="0"/>
              <w:divBdr>
                <w:top w:val="none" w:sz="0" w:space="0" w:color="auto"/>
                <w:left w:val="none" w:sz="0" w:space="0" w:color="auto"/>
                <w:bottom w:val="none" w:sz="0" w:space="0" w:color="auto"/>
                <w:right w:val="none" w:sz="0" w:space="0" w:color="auto"/>
              </w:divBdr>
              <w:divsChild>
                <w:div w:id="731195821">
                  <w:marLeft w:val="0"/>
                  <w:marRight w:val="0"/>
                  <w:marTop w:val="0"/>
                  <w:marBottom w:val="0"/>
                  <w:divBdr>
                    <w:top w:val="none" w:sz="0" w:space="0" w:color="auto"/>
                    <w:left w:val="none" w:sz="0" w:space="0" w:color="auto"/>
                    <w:bottom w:val="none" w:sz="0" w:space="0" w:color="auto"/>
                    <w:right w:val="none" w:sz="0" w:space="0" w:color="auto"/>
                  </w:divBdr>
                  <w:divsChild>
                    <w:div w:id="1351177633">
                      <w:marLeft w:val="0"/>
                      <w:marRight w:val="0"/>
                      <w:marTop w:val="0"/>
                      <w:marBottom w:val="0"/>
                      <w:divBdr>
                        <w:top w:val="none" w:sz="0" w:space="0" w:color="auto"/>
                        <w:left w:val="none" w:sz="0" w:space="0" w:color="auto"/>
                        <w:bottom w:val="none" w:sz="0" w:space="0" w:color="auto"/>
                        <w:right w:val="none" w:sz="0" w:space="0" w:color="auto"/>
                      </w:divBdr>
                      <w:divsChild>
                        <w:div w:id="767504283">
                          <w:marLeft w:val="0"/>
                          <w:marRight w:val="0"/>
                          <w:marTop w:val="0"/>
                          <w:marBottom w:val="0"/>
                          <w:divBdr>
                            <w:top w:val="none" w:sz="0" w:space="0" w:color="auto"/>
                            <w:left w:val="none" w:sz="0" w:space="0" w:color="auto"/>
                            <w:bottom w:val="none" w:sz="0" w:space="0" w:color="auto"/>
                            <w:right w:val="none" w:sz="0" w:space="0" w:color="auto"/>
                          </w:divBdr>
                          <w:divsChild>
                            <w:div w:id="1912229194">
                              <w:marLeft w:val="0"/>
                              <w:marRight w:val="0"/>
                              <w:marTop w:val="0"/>
                              <w:marBottom w:val="0"/>
                              <w:divBdr>
                                <w:top w:val="none" w:sz="0" w:space="0" w:color="auto"/>
                                <w:left w:val="none" w:sz="0" w:space="0" w:color="auto"/>
                                <w:bottom w:val="none" w:sz="0" w:space="0" w:color="auto"/>
                                <w:right w:val="none" w:sz="0" w:space="0" w:color="auto"/>
                              </w:divBdr>
                              <w:divsChild>
                                <w:div w:id="13677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348747">
      <w:bodyDiv w:val="1"/>
      <w:marLeft w:val="0"/>
      <w:marRight w:val="0"/>
      <w:marTop w:val="0"/>
      <w:marBottom w:val="0"/>
      <w:divBdr>
        <w:top w:val="none" w:sz="0" w:space="0" w:color="auto"/>
        <w:left w:val="none" w:sz="0" w:space="0" w:color="auto"/>
        <w:bottom w:val="none" w:sz="0" w:space="0" w:color="auto"/>
        <w:right w:val="none" w:sz="0" w:space="0" w:color="auto"/>
      </w:divBdr>
    </w:div>
    <w:div w:id="339086093">
      <w:bodyDiv w:val="1"/>
      <w:marLeft w:val="0"/>
      <w:marRight w:val="0"/>
      <w:marTop w:val="0"/>
      <w:marBottom w:val="0"/>
      <w:divBdr>
        <w:top w:val="none" w:sz="0" w:space="0" w:color="auto"/>
        <w:left w:val="none" w:sz="0" w:space="0" w:color="auto"/>
        <w:bottom w:val="none" w:sz="0" w:space="0" w:color="auto"/>
        <w:right w:val="none" w:sz="0" w:space="0" w:color="auto"/>
      </w:divBdr>
    </w:div>
    <w:div w:id="536936636">
      <w:bodyDiv w:val="1"/>
      <w:marLeft w:val="0"/>
      <w:marRight w:val="0"/>
      <w:marTop w:val="0"/>
      <w:marBottom w:val="0"/>
      <w:divBdr>
        <w:top w:val="none" w:sz="0" w:space="0" w:color="auto"/>
        <w:left w:val="none" w:sz="0" w:space="0" w:color="auto"/>
        <w:bottom w:val="none" w:sz="0" w:space="0" w:color="auto"/>
        <w:right w:val="none" w:sz="0" w:space="0" w:color="auto"/>
      </w:divBdr>
    </w:div>
    <w:div w:id="632254915">
      <w:bodyDiv w:val="1"/>
      <w:marLeft w:val="0"/>
      <w:marRight w:val="0"/>
      <w:marTop w:val="0"/>
      <w:marBottom w:val="0"/>
      <w:divBdr>
        <w:top w:val="none" w:sz="0" w:space="0" w:color="auto"/>
        <w:left w:val="none" w:sz="0" w:space="0" w:color="auto"/>
        <w:bottom w:val="none" w:sz="0" w:space="0" w:color="auto"/>
        <w:right w:val="none" w:sz="0" w:space="0" w:color="auto"/>
      </w:divBdr>
      <w:divsChild>
        <w:div w:id="1385909037">
          <w:marLeft w:val="0"/>
          <w:marRight w:val="0"/>
          <w:marTop w:val="0"/>
          <w:marBottom w:val="0"/>
          <w:divBdr>
            <w:top w:val="none" w:sz="0" w:space="0" w:color="auto"/>
            <w:left w:val="none" w:sz="0" w:space="0" w:color="auto"/>
            <w:bottom w:val="none" w:sz="0" w:space="0" w:color="auto"/>
            <w:right w:val="none" w:sz="0" w:space="0" w:color="auto"/>
          </w:divBdr>
          <w:divsChild>
            <w:div w:id="1128935406">
              <w:marLeft w:val="0"/>
              <w:marRight w:val="0"/>
              <w:marTop w:val="0"/>
              <w:marBottom w:val="0"/>
              <w:divBdr>
                <w:top w:val="none" w:sz="0" w:space="0" w:color="auto"/>
                <w:left w:val="none" w:sz="0" w:space="0" w:color="auto"/>
                <w:bottom w:val="none" w:sz="0" w:space="0" w:color="auto"/>
                <w:right w:val="none" w:sz="0" w:space="0" w:color="auto"/>
              </w:divBdr>
              <w:divsChild>
                <w:div w:id="2056081469">
                  <w:marLeft w:val="0"/>
                  <w:marRight w:val="0"/>
                  <w:marTop w:val="0"/>
                  <w:marBottom w:val="0"/>
                  <w:divBdr>
                    <w:top w:val="none" w:sz="0" w:space="0" w:color="auto"/>
                    <w:left w:val="none" w:sz="0" w:space="0" w:color="auto"/>
                    <w:bottom w:val="none" w:sz="0" w:space="0" w:color="auto"/>
                    <w:right w:val="none" w:sz="0" w:space="0" w:color="auto"/>
                  </w:divBdr>
                  <w:divsChild>
                    <w:div w:id="1051271997">
                      <w:marLeft w:val="0"/>
                      <w:marRight w:val="0"/>
                      <w:marTop w:val="0"/>
                      <w:marBottom w:val="0"/>
                      <w:divBdr>
                        <w:top w:val="none" w:sz="0" w:space="0" w:color="auto"/>
                        <w:left w:val="none" w:sz="0" w:space="0" w:color="auto"/>
                        <w:bottom w:val="none" w:sz="0" w:space="0" w:color="auto"/>
                        <w:right w:val="none" w:sz="0" w:space="0" w:color="auto"/>
                      </w:divBdr>
                      <w:divsChild>
                        <w:div w:id="109790655">
                          <w:marLeft w:val="0"/>
                          <w:marRight w:val="0"/>
                          <w:marTop w:val="0"/>
                          <w:marBottom w:val="0"/>
                          <w:divBdr>
                            <w:top w:val="none" w:sz="0" w:space="0" w:color="auto"/>
                            <w:left w:val="none" w:sz="0" w:space="0" w:color="auto"/>
                            <w:bottom w:val="none" w:sz="0" w:space="0" w:color="auto"/>
                            <w:right w:val="none" w:sz="0" w:space="0" w:color="auto"/>
                          </w:divBdr>
                          <w:divsChild>
                            <w:div w:id="1645353052">
                              <w:marLeft w:val="0"/>
                              <w:marRight w:val="0"/>
                              <w:marTop w:val="0"/>
                              <w:marBottom w:val="0"/>
                              <w:divBdr>
                                <w:top w:val="none" w:sz="0" w:space="0" w:color="auto"/>
                                <w:left w:val="none" w:sz="0" w:space="0" w:color="auto"/>
                                <w:bottom w:val="none" w:sz="0" w:space="0" w:color="auto"/>
                                <w:right w:val="none" w:sz="0" w:space="0" w:color="auto"/>
                              </w:divBdr>
                              <w:divsChild>
                                <w:div w:id="11451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12571">
      <w:bodyDiv w:val="1"/>
      <w:marLeft w:val="0"/>
      <w:marRight w:val="0"/>
      <w:marTop w:val="0"/>
      <w:marBottom w:val="0"/>
      <w:divBdr>
        <w:top w:val="none" w:sz="0" w:space="0" w:color="auto"/>
        <w:left w:val="none" w:sz="0" w:space="0" w:color="auto"/>
        <w:bottom w:val="none" w:sz="0" w:space="0" w:color="auto"/>
        <w:right w:val="none" w:sz="0" w:space="0" w:color="auto"/>
      </w:divBdr>
      <w:divsChild>
        <w:div w:id="828793090">
          <w:marLeft w:val="0"/>
          <w:marRight w:val="0"/>
          <w:marTop w:val="15"/>
          <w:marBottom w:val="15"/>
          <w:divBdr>
            <w:top w:val="single" w:sz="2" w:space="0" w:color="E5E7EB"/>
            <w:left w:val="single" w:sz="2" w:space="0" w:color="E5E7EB"/>
            <w:bottom w:val="single" w:sz="2" w:space="0" w:color="E5E7EB"/>
            <w:right w:val="single" w:sz="2" w:space="0" w:color="E5E7EB"/>
          </w:divBdr>
          <w:divsChild>
            <w:div w:id="24727188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14317812">
          <w:marLeft w:val="0"/>
          <w:marRight w:val="0"/>
          <w:marTop w:val="15"/>
          <w:marBottom w:val="15"/>
          <w:divBdr>
            <w:top w:val="single" w:sz="2" w:space="0" w:color="E5E7EB"/>
            <w:left w:val="single" w:sz="2" w:space="0" w:color="E5E7EB"/>
            <w:bottom w:val="single" w:sz="2" w:space="0" w:color="E5E7EB"/>
            <w:right w:val="single" w:sz="2" w:space="0" w:color="E5E7EB"/>
          </w:divBdr>
          <w:divsChild>
            <w:div w:id="164528146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65963860">
          <w:marLeft w:val="0"/>
          <w:marRight w:val="0"/>
          <w:marTop w:val="15"/>
          <w:marBottom w:val="15"/>
          <w:divBdr>
            <w:top w:val="single" w:sz="2" w:space="0" w:color="E5E7EB"/>
            <w:left w:val="single" w:sz="2" w:space="0" w:color="E5E7EB"/>
            <w:bottom w:val="single" w:sz="2" w:space="0" w:color="E5E7EB"/>
            <w:right w:val="single" w:sz="2" w:space="0" w:color="E5E7EB"/>
          </w:divBdr>
          <w:divsChild>
            <w:div w:id="51866418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85448535">
          <w:marLeft w:val="0"/>
          <w:marRight w:val="0"/>
          <w:marTop w:val="15"/>
          <w:marBottom w:val="15"/>
          <w:divBdr>
            <w:top w:val="single" w:sz="2" w:space="0" w:color="E5E7EB"/>
            <w:left w:val="single" w:sz="2" w:space="0" w:color="E5E7EB"/>
            <w:bottom w:val="single" w:sz="2" w:space="0" w:color="E5E7EB"/>
            <w:right w:val="single" w:sz="2" w:space="0" w:color="E5E7EB"/>
          </w:divBdr>
          <w:divsChild>
            <w:div w:id="92164436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308894808">
          <w:marLeft w:val="0"/>
          <w:marRight w:val="0"/>
          <w:marTop w:val="15"/>
          <w:marBottom w:val="15"/>
          <w:divBdr>
            <w:top w:val="single" w:sz="2" w:space="0" w:color="E5E7EB"/>
            <w:left w:val="single" w:sz="2" w:space="0" w:color="E5E7EB"/>
            <w:bottom w:val="single" w:sz="2" w:space="0" w:color="E5E7EB"/>
            <w:right w:val="single" w:sz="2" w:space="0" w:color="E5E7EB"/>
          </w:divBdr>
          <w:divsChild>
            <w:div w:id="19623389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23794700">
          <w:marLeft w:val="0"/>
          <w:marRight w:val="0"/>
          <w:marTop w:val="15"/>
          <w:marBottom w:val="15"/>
          <w:divBdr>
            <w:top w:val="single" w:sz="2" w:space="0" w:color="E5E7EB"/>
            <w:left w:val="single" w:sz="2" w:space="0" w:color="E5E7EB"/>
            <w:bottom w:val="single" w:sz="2" w:space="0" w:color="E5E7EB"/>
            <w:right w:val="single" w:sz="2" w:space="0" w:color="E5E7EB"/>
          </w:divBdr>
          <w:divsChild>
            <w:div w:id="7798957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14312788">
          <w:marLeft w:val="0"/>
          <w:marRight w:val="0"/>
          <w:marTop w:val="15"/>
          <w:marBottom w:val="15"/>
          <w:divBdr>
            <w:top w:val="single" w:sz="2" w:space="0" w:color="E5E7EB"/>
            <w:left w:val="single" w:sz="2" w:space="0" w:color="E5E7EB"/>
            <w:bottom w:val="single" w:sz="2" w:space="0" w:color="E5E7EB"/>
            <w:right w:val="single" w:sz="2" w:space="0" w:color="E5E7EB"/>
          </w:divBdr>
          <w:divsChild>
            <w:div w:id="22002492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02470407">
          <w:marLeft w:val="0"/>
          <w:marRight w:val="0"/>
          <w:marTop w:val="15"/>
          <w:marBottom w:val="15"/>
          <w:divBdr>
            <w:top w:val="single" w:sz="2" w:space="0" w:color="E5E7EB"/>
            <w:left w:val="single" w:sz="2" w:space="0" w:color="E5E7EB"/>
            <w:bottom w:val="single" w:sz="2" w:space="0" w:color="E5E7EB"/>
            <w:right w:val="single" w:sz="2" w:space="0" w:color="E5E7EB"/>
          </w:divBdr>
          <w:divsChild>
            <w:div w:id="125693449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677490560">
          <w:marLeft w:val="0"/>
          <w:marRight w:val="0"/>
          <w:marTop w:val="15"/>
          <w:marBottom w:val="15"/>
          <w:divBdr>
            <w:top w:val="single" w:sz="2" w:space="0" w:color="E5E7EB"/>
            <w:left w:val="single" w:sz="2" w:space="0" w:color="E5E7EB"/>
            <w:bottom w:val="single" w:sz="2" w:space="0" w:color="E5E7EB"/>
            <w:right w:val="single" w:sz="2" w:space="0" w:color="E5E7EB"/>
          </w:divBdr>
          <w:divsChild>
            <w:div w:id="15750492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33957251">
          <w:marLeft w:val="0"/>
          <w:marRight w:val="0"/>
          <w:marTop w:val="15"/>
          <w:marBottom w:val="15"/>
          <w:divBdr>
            <w:top w:val="single" w:sz="2" w:space="0" w:color="E5E7EB"/>
            <w:left w:val="single" w:sz="2" w:space="0" w:color="E5E7EB"/>
            <w:bottom w:val="single" w:sz="2" w:space="0" w:color="E5E7EB"/>
            <w:right w:val="single" w:sz="2" w:space="0" w:color="E5E7EB"/>
          </w:divBdr>
          <w:divsChild>
            <w:div w:id="136937902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93322086">
          <w:marLeft w:val="0"/>
          <w:marRight w:val="0"/>
          <w:marTop w:val="15"/>
          <w:marBottom w:val="15"/>
          <w:divBdr>
            <w:top w:val="single" w:sz="2" w:space="0" w:color="E5E7EB"/>
            <w:left w:val="single" w:sz="2" w:space="0" w:color="E5E7EB"/>
            <w:bottom w:val="single" w:sz="2" w:space="0" w:color="E5E7EB"/>
            <w:right w:val="single" w:sz="2" w:space="0" w:color="E5E7EB"/>
          </w:divBdr>
          <w:divsChild>
            <w:div w:id="1268729246">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719403168">
      <w:bodyDiv w:val="1"/>
      <w:marLeft w:val="0"/>
      <w:marRight w:val="0"/>
      <w:marTop w:val="0"/>
      <w:marBottom w:val="0"/>
      <w:divBdr>
        <w:top w:val="none" w:sz="0" w:space="0" w:color="auto"/>
        <w:left w:val="none" w:sz="0" w:space="0" w:color="auto"/>
        <w:bottom w:val="none" w:sz="0" w:space="0" w:color="auto"/>
        <w:right w:val="none" w:sz="0" w:space="0" w:color="auto"/>
      </w:divBdr>
    </w:div>
    <w:div w:id="783814121">
      <w:bodyDiv w:val="1"/>
      <w:marLeft w:val="0"/>
      <w:marRight w:val="0"/>
      <w:marTop w:val="0"/>
      <w:marBottom w:val="0"/>
      <w:divBdr>
        <w:top w:val="none" w:sz="0" w:space="0" w:color="auto"/>
        <w:left w:val="none" w:sz="0" w:space="0" w:color="auto"/>
        <w:bottom w:val="none" w:sz="0" w:space="0" w:color="auto"/>
        <w:right w:val="none" w:sz="0" w:space="0" w:color="auto"/>
      </w:divBdr>
    </w:div>
    <w:div w:id="870798856">
      <w:bodyDiv w:val="1"/>
      <w:marLeft w:val="0"/>
      <w:marRight w:val="0"/>
      <w:marTop w:val="0"/>
      <w:marBottom w:val="0"/>
      <w:divBdr>
        <w:top w:val="none" w:sz="0" w:space="0" w:color="auto"/>
        <w:left w:val="none" w:sz="0" w:space="0" w:color="auto"/>
        <w:bottom w:val="none" w:sz="0" w:space="0" w:color="auto"/>
        <w:right w:val="none" w:sz="0" w:space="0" w:color="auto"/>
      </w:divBdr>
      <w:divsChild>
        <w:div w:id="799887120">
          <w:marLeft w:val="0"/>
          <w:marRight w:val="0"/>
          <w:marTop w:val="15"/>
          <w:marBottom w:val="15"/>
          <w:divBdr>
            <w:top w:val="single" w:sz="2" w:space="0" w:color="E5E7EB"/>
            <w:left w:val="single" w:sz="2" w:space="0" w:color="E5E7EB"/>
            <w:bottom w:val="single" w:sz="2" w:space="0" w:color="E5E7EB"/>
            <w:right w:val="single" w:sz="2" w:space="0" w:color="E5E7EB"/>
          </w:divBdr>
          <w:divsChild>
            <w:div w:id="151711140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92251651">
          <w:marLeft w:val="0"/>
          <w:marRight w:val="0"/>
          <w:marTop w:val="15"/>
          <w:marBottom w:val="15"/>
          <w:divBdr>
            <w:top w:val="single" w:sz="2" w:space="0" w:color="E5E7EB"/>
            <w:left w:val="single" w:sz="2" w:space="0" w:color="E5E7EB"/>
            <w:bottom w:val="single" w:sz="2" w:space="0" w:color="E5E7EB"/>
            <w:right w:val="single" w:sz="2" w:space="0" w:color="E5E7EB"/>
          </w:divBdr>
          <w:divsChild>
            <w:div w:id="94118673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90668538">
          <w:marLeft w:val="0"/>
          <w:marRight w:val="0"/>
          <w:marTop w:val="15"/>
          <w:marBottom w:val="15"/>
          <w:divBdr>
            <w:top w:val="single" w:sz="2" w:space="0" w:color="E5E7EB"/>
            <w:left w:val="single" w:sz="2" w:space="0" w:color="E5E7EB"/>
            <w:bottom w:val="single" w:sz="2" w:space="0" w:color="E5E7EB"/>
            <w:right w:val="single" w:sz="2" w:space="0" w:color="E5E7EB"/>
          </w:divBdr>
          <w:divsChild>
            <w:div w:id="167156247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71329519">
          <w:marLeft w:val="0"/>
          <w:marRight w:val="0"/>
          <w:marTop w:val="15"/>
          <w:marBottom w:val="15"/>
          <w:divBdr>
            <w:top w:val="single" w:sz="2" w:space="0" w:color="E5E7EB"/>
            <w:left w:val="single" w:sz="2" w:space="0" w:color="E5E7EB"/>
            <w:bottom w:val="single" w:sz="2" w:space="0" w:color="E5E7EB"/>
            <w:right w:val="single" w:sz="2" w:space="0" w:color="E5E7EB"/>
          </w:divBdr>
          <w:divsChild>
            <w:div w:id="91635527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778599555">
          <w:marLeft w:val="0"/>
          <w:marRight w:val="0"/>
          <w:marTop w:val="15"/>
          <w:marBottom w:val="15"/>
          <w:divBdr>
            <w:top w:val="single" w:sz="2" w:space="0" w:color="E5E7EB"/>
            <w:left w:val="single" w:sz="2" w:space="0" w:color="E5E7EB"/>
            <w:bottom w:val="single" w:sz="2" w:space="0" w:color="E5E7EB"/>
            <w:right w:val="single" w:sz="2" w:space="0" w:color="E5E7EB"/>
          </w:divBdr>
          <w:divsChild>
            <w:div w:id="194060193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9816953">
          <w:marLeft w:val="0"/>
          <w:marRight w:val="0"/>
          <w:marTop w:val="15"/>
          <w:marBottom w:val="15"/>
          <w:divBdr>
            <w:top w:val="single" w:sz="2" w:space="0" w:color="E5E7EB"/>
            <w:left w:val="single" w:sz="2" w:space="0" w:color="E5E7EB"/>
            <w:bottom w:val="single" w:sz="2" w:space="0" w:color="E5E7EB"/>
            <w:right w:val="single" w:sz="2" w:space="0" w:color="E5E7EB"/>
          </w:divBdr>
          <w:divsChild>
            <w:div w:id="128111303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69395073">
          <w:marLeft w:val="0"/>
          <w:marRight w:val="0"/>
          <w:marTop w:val="15"/>
          <w:marBottom w:val="15"/>
          <w:divBdr>
            <w:top w:val="single" w:sz="2" w:space="0" w:color="E5E7EB"/>
            <w:left w:val="single" w:sz="2" w:space="0" w:color="E5E7EB"/>
            <w:bottom w:val="single" w:sz="2" w:space="0" w:color="E5E7EB"/>
            <w:right w:val="single" w:sz="2" w:space="0" w:color="E5E7EB"/>
          </w:divBdr>
          <w:divsChild>
            <w:div w:id="97113509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45829385">
          <w:marLeft w:val="0"/>
          <w:marRight w:val="0"/>
          <w:marTop w:val="15"/>
          <w:marBottom w:val="15"/>
          <w:divBdr>
            <w:top w:val="single" w:sz="2" w:space="0" w:color="E5E7EB"/>
            <w:left w:val="single" w:sz="2" w:space="0" w:color="E5E7EB"/>
            <w:bottom w:val="single" w:sz="2" w:space="0" w:color="E5E7EB"/>
            <w:right w:val="single" w:sz="2" w:space="0" w:color="E5E7EB"/>
          </w:divBdr>
          <w:divsChild>
            <w:div w:id="135437638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509679635">
          <w:marLeft w:val="0"/>
          <w:marRight w:val="0"/>
          <w:marTop w:val="15"/>
          <w:marBottom w:val="15"/>
          <w:divBdr>
            <w:top w:val="single" w:sz="2" w:space="0" w:color="E5E7EB"/>
            <w:left w:val="single" w:sz="2" w:space="0" w:color="E5E7EB"/>
            <w:bottom w:val="single" w:sz="2" w:space="0" w:color="E5E7EB"/>
            <w:right w:val="single" w:sz="2" w:space="0" w:color="E5E7EB"/>
          </w:divBdr>
          <w:divsChild>
            <w:div w:id="73362010">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38601382">
          <w:marLeft w:val="0"/>
          <w:marRight w:val="0"/>
          <w:marTop w:val="15"/>
          <w:marBottom w:val="15"/>
          <w:divBdr>
            <w:top w:val="single" w:sz="2" w:space="0" w:color="E5E7EB"/>
            <w:left w:val="single" w:sz="2" w:space="0" w:color="E5E7EB"/>
            <w:bottom w:val="single" w:sz="2" w:space="0" w:color="E5E7EB"/>
            <w:right w:val="single" w:sz="2" w:space="0" w:color="E5E7EB"/>
          </w:divBdr>
          <w:divsChild>
            <w:div w:id="63263863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33668063">
          <w:marLeft w:val="0"/>
          <w:marRight w:val="0"/>
          <w:marTop w:val="15"/>
          <w:marBottom w:val="15"/>
          <w:divBdr>
            <w:top w:val="single" w:sz="2" w:space="0" w:color="E5E7EB"/>
            <w:left w:val="single" w:sz="2" w:space="0" w:color="E5E7EB"/>
            <w:bottom w:val="single" w:sz="2" w:space="0" w:color="E5E7EB"/>
            <w:right w:val="single" w:sz="2" w:space="0" w:color="E5E7EB"/>
          </w:divBdr>
          <w:divsChild>
            <w:div w:id="188375689">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022825745">
      <w:bodyDiv w:val="1"/>
      <w:marLeft w:val="0"/>
      <w:marRight w:val="0"/>
      <w:marTop w:val="0"/>
      <w:marBottom w:val="0"/>
      <w:divBdr>
        <w:top w:val="none" w:sz="0" w:space="0" w:color="auto"/>
        <w:left w:val="none" w:sz="0" w:space="0" w:color="auto"/>
        <w:bottom w:val="none" w:sz="0" w:space="0" w:color="auto"/>
        <w:right w:val="none" w:sz="0" w:space="0" w:color="auto"/>
      </w:divBdr>
      <w:divsChild>
        <w:div w:id="883325628">
          <w:marLeft w:val="0"/>
          <w:marRight w:val="0"/>
          <w:marTop w:val="15"/>
          <w:marBottom w:val="15"/>
          <w:divBdr>
            <w:top w:val="single" w:sz="2" w:space="0" w:color="E5E7EB"/>
            <w:left w:val="single" w:sz="2" w:space="0" w:color="E5E7EB"/>
            <w:bottom w:val="single" w:sz="2" w:space="0" w:color="E5E7EB"/>
            <w:right w:val="single" w:sz="2" w:space="0" w:color="E5E7EB"/>
          </w:divBdr>
          <w:divsChild>
            <w:div w:id="728769460">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032952348">
          <w:marLeft w:val="0"/>
          <w:marRight w:val="0"/>
          <w:marTop w:val="15"/>
          <w:marBottom w:val="15"/>
          <w:divBdr>
            <w:top w:val="single" w:sz="2" w:space="0" w:color="E5E7EB"/>
            <w:left w:val="single" w:sz="2" w:space="0" w:color="E5E7EB"/>
            <w:bottom w:val="single" w:sz="2" w:space="0" w:color="E5E7EB"/>
            <w:right w:val="single" w:sz="2" w:space="0" w:color="E5E7EB"/>
          </w:divBdr>
          <w:divsChild>
            <w:div w:id="60361014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054233355">
          <w:marLeft w:val="0"/>
          <w:marRight w:val="0"/>
          <w:marTop w:val="15"/>
          <w:marBottom w:val="15"/>
          <w:divBdr>
            <w:top w:val="single" w:sz="2" w:space="0" w:color="E5E7EB"/>
            <w:left w:val="single" w:sz="2" w:space="0" w:color="E5E7EB"/>
            <w:bottom w:val="single" w:sz="2" w:space="0" w:color="E5E7EB"/>
            <w:right w:val="single" w:sz="2" w:space="0" w:color="E5E7EB"/>
          </w:divBdr>
          <w:divsChild>
            <w:div w:id="43621568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561793665">
          <w:marLeft w:val="0"/>
          <w:marRight w:val="0"/>
          <w:marTop w:val="15"/>
          <w:marBottom w:val="15"/>
          <w:divBdr>
            <w:top w:val="single" w:sz="2" w:space="0" w:color="E5E7EB"/>
            <w:left w:val="single" w:sz="2" w:space="0" w:color="E5E7EB"/>
            <w:bottom w:val="single" w:sz="2" w:space="0" w:color="E5E7EB"/>
            <w:right w:val="single" w:sz="2" w:space="0" w:color="E5E7EB"/>
          </w:divBdr>
          <w:divsChild>
            <w:div w:id="191269127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123835549">
          <w:marLeft w:val="0"/>
          <w:marRight w:val="0"/>
          <w:marTop w:val="15"/>
          <w:marBottom w:val="15"/>
          <w:divBdr>
            <w:top w:val="single" w:sz="2" w:space="0" w:color="E5E7EB"/>
            <w:left w:val="single" w:sz="2" w:space="0" w:color="E5E7EB"/>
            <w:bottom w:val="single" w:sz="2" w:space="0" w:color="E5E7EB"/>
            <w:right w:val="single" w:sz="2" w:space="0" w:color="E5E7EB"/>
          </w:divBdr>
          <w:divsChild>
            <w:div w:id="128877436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1393098">
          <w:marLeft w:val="0"/>
          <w:marRight w:val="0"/>
          <w:marTop w:val="15"/>
          <w:marBottom w:val="15"/>
          <w:divBdr>
            <w:top w:val="single" w:sz="2" w:space="0" w:color="E5E7EB"/>
            <w:left w:val="single" w:sz="2" w:space="0" w:color="E5E7EB"/>
            <w:bottom w:val="single" w:sz="2" w:space="0" w:color="E5E7EB"/>
            <w:right w:val="single" w:sz="2" w:space="0" w:color="E5E7EB"/>
          </w:divBdr>
          <w:divsChild>
            <w:div w:id="736325433">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651136190">
          <w:marLeft w:val="0"/>
          <w:marRight w:val="0"/>
          <w:marTop w:val="15"/>
          <w:marBottom w:val="15"/>
          <w:divBdr>
            <w:top w:val="single" w:sz="2" w:space="0" w:color="E5E7EB"/>
            <w:left w:val="single" w:sz="2" w:space="0" w:color="E5E7EB"/>
            <w:bottom w:val="single" w:sz="2" w:space="0" w:color="E5E7EB"/>
            <w:right w:val="single" w:sz="2" w:space="0" w:color="E5E7EB"/>
          </w:divBdr>
          <w:divsChild>
            <w:div w:id="192394580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81488245">
          <w:marLeft w:val="0"/>
          <w:marRight w:val="0"/>
          <w:marTop w:val="15"/>
          <w:marBottom w:val="15"/>
          <w:divBdr>
            <w:top w:val="single" w:sz="2" w:space="0" w:color="E5E7EB"/>
            <w:left w:val="single" w:sz="2" w:space="0" w:color="E5E7EB"/>
            <w:bottom w:val="single" w:sz="2" w:space="0" w:color="E5E7EB"/>
            <w:right w:val="single" w:sz="2" w:space="0" w:color="E5E7EB"/>
          </w:divBdr>
          <w:divsChild>
            <w:div w:id="158395073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15458869">
          <w:marLeft w:val="0"/>
          <w:marRight w:val="0"/>
          <w:marTop w:val="15"/>
          <w:marBottom w:val="15"/>
          <w:divBdr>
            <w:top w:val="single" w:sz="2" w:space="0" w:color="E5E7EB"/>
            <w:left w:val="single" w:sz="2" w:space="0" w:color="E5E7EB"/>
            <w:bottom w:val="single" w:sz="2" w:space="0" w:color="E5E7EB"/>
            <w:right w:val="single" w:sz="2" w:space="0" w:color="E5E7EB"/>
          </w:divBdr>
          <w:divsChild>
            <w:div w:id="121380727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623341841">
          <w:marLeft w:val="0"/>
          <w:marRight w:val="0"/>
          <w:marTop w:val="15"/>
          <w:marBottom w:val="15"/>
          <w:divBdr>
            <w:top w:val="single" w:sz="2" w:space="0" w:color="E5E7EB"/>
            <w:left w:val="single" w:sz="2" w:space="0" w:color="E5E7EB"/>
            <w:bottom w:val="single" w:sz="2" w:space="0" w:color="E5E7EB"/>
            <w:right w:val="single" w:sz="2" w:space="0" w:color="E5E7EB"/>
          </w:divBdr>
          <w:divsChild>
            <w:div w:id="90164674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073696142">
          <w:marLeft w:val="0"/>
          <w:marRight w:val="0"/>
          <w:marTop w:val="15"/>
          <w:marBottom w:val="15"/>
          <w:divBdr>
            <w:top w:val="single" w:sz="2" w:space="0" w:color="E5E7EB"/>
            <w:left w:val="single" w:sz="2" w:space="0" w:color="E5E7EB"/>
            <w:bottom w:val="single" w:sz="2" w:space="0" w:color="E5E7EB"/>
            <w:right w:val="single" w:sz="2" w:space="0" w:color="E5E7EB"/>
          </w:divBdr>
          <w:divsChild>
            <w:div w:id="836842673">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854299422">
      <w:bodyDiv w:val="1"/>
      <w:marLeft w:val="0"/>
      <w:marRight w:val="0"/>
      <w:marTop w:val="0"/>
      <w:marBottom w:val="0"/>
      <w:divBdr>
        <w:top w:val="none" w:sz="0" w:space="0" w:color="auto"/>
        <w:left w:val="none" w:sz="0" w:space="0" w:color="auto"/>
        <w:bottom w:val="none" w:sz="0" w:space="0" w:color="auto"/>
        <w:right w:val="none" w:sz="0" w:space="0" w:color="auto"/>
      </w:divBdr>
    </w:div>
    <w:div w:id="2009555221">
      <w:bodyDiv w:val="1"/>
      <w:marLeft w:val="0"/>
      <w:marRight w:val="0"/>
      <w:marTop w:val="0"/>
      <w:marBottom w:val="0"/>
      <w:divBdr>
        <w:top w:val="none" w:sz="0" w:space="0" w:color="auto"/>
        <w:left w:val="none" w:sz="0" w:space="0" w:color="auto"/>
        <w:bottom w:val="none" w:sz="0" w:space="0" w:color="auto"/>
        <w:right w:val="none" w:sz="0" w:space="0" w:color="auto"/>
      </w:divBdr>
    </w:div>
    <w:div w:id="2050032127">
      <w:bodyDiv w:val="1"/>
      <w:marLeft w:val="0"/>
      <w:marRight w:val="0"/>
      <w:marTop w:val="0"/>
      <w:marBottom w:val="0"/>
      <w:divBdr>
        <w:top w:val="none" w:sz="0" w:space="0" w:color="auto"/>
        <w:left w:val="none" w:sz="0" w:space="0" w:color="auto"/>
        <w:bottom w:val="none" w:sz="0" w:space="0" w:color="auto"/>
        <w:right w:val="none" w:sz="0" w:space="0" w:color="auto"/>
      </w:divBdr>
    </w:div>
    <w:div w:id="213589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jmc.com/view/weight-regain-after-glp-1-discontinuation-is-less-rapid-in-real-world-hamlet-gasoyan-phd?utm_source=chatgpt.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3382</Words>
  <Characters>19892</Characters>
  <Application>Microsoft Office Word</Application>
  <DocSecurity>0</DocSecurity>
  <Lines>306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Kerolayne De Melo Nogueira</dc:creator>
  <cp:keywords/>
  <dc:description/>
  <cp:lastModifiedBy>Kerolayne Nogueira</cp:lastModifiedBy>
  <cp:revision>2</cp:revision>
  <dcterms:created xsi:type="dcterms:W3CDTF">2026-01-31T17:05:00Z</dcterms:created>
  <dcterms:modified xsi:type="dcterms:W3CDTF">2026-01-31T17:05:00Z</dcterms:modified>
</cp:coreProperties>
</file>