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136530" w14:textId="243CFFD7" w:rsidR="001B54CE" w:rsidRDefault="001B54CE" w:rsidP="00310F6A">
      <w:pPr>
        <w:pStyle w:val="NormalWeb"/>
        <w:spacing w:before="0" w:beforeAutospacing="0" w:after="0" w:afterAutospacing="0" w:line="480" w:lineRule="auto"/>
        <w:ind w:leftChars="200" w:left="420"/>
        <w:jc w:val="center"/>
        <w:rPr>
          <w:rFonts w:eastAsia="-webkit-standard"/>
          <w:b/>
          <w:bCs/>
          <w:color w:val="000000"/>
        </w:rPr>
      </w:pPr>
      <w:r w:rsidRPr="001B54CE">
        <w:rPr>
          <w:rFonts w:eastAsia="-webkit-standard"/>
          <w:b/>
          <w:bCs/>
          <w:color w:val="000000"/>
        </w:rPr>
        <w:t xml:space="preserve">IN VIVO EVALUATION OF THE ANTI-ANEMIC POTENTIAL OF </w:t>
      </w:r>
      <w:r w:rsidRPr="001B54CE">
        <w:rPr>
          <w:rFonts w:eastAsia="-webkit-standard"/>
          <w:b/>
          <w:bCs/>
          <w:i/>
          <w:iCs/>
          <w:color w:val="000000"/>
        </w:rPr>
        <w:t>TALINUM TRIANGULARE</w:t>
      </w:r>
      <w:r w:rsidRPr="001B54CE">
        <w:rPr>
          <w:rFonts w:eastAsia="-webkit-standard"/>
          <w:b/>
          <w:bCs/>
          <w:color w:val="000000"/>
        </w:rPr>
        <w:t xml:space="preserve"> ON PACKED CELL VOLUME AND HISTOPATHOLOGY IN PHENYL HYDRAZINE-INDUCED FEMALE WISTAR RATS</w:t>
      </w:r>
    </w:p>
    <w:p w14:paraId="5BB5876B" w14:textId="77777777" w:rsidR="00310F6A" w:rsidRDefault="00310F6A" w:rsidP="00310F6A">
      <w:pPr>
        <w:pStyle w:val="NormalWeb"/>
        <w:spacing w:before="0" w:beforeAutospacing="0" w:after="0" w:afterAutospacing="0" w:line="480" w:lineRule="auto"/>
        <w:ind w:leftChars="200" w:left="420"/>
        <w:jc w:val="center"/>
        <w:rPr>
          <w:rFonts w:eastAsia="-webkit-standard"/>
          <w:b/>
          <w:bCs/>
          <w:color w:val="000000"/>
        </w:rPr>
      </w:pPr>
    </w:p>
    <w:p w14:paraId="5E18F56D" w14:textId="77777777" w:rsidR="00310F6A" w:rsidRDefault="00310F6A" w:rsidP="00310F6A">
      <w:pPr>
        <w:jc w:val="center"/>
        <w:rPr>
          <w:sz w:val="11"/>
          <w:szCs w:val="11"/>
        </w:rPr>
      </w:pPr>
    </w:p>
    <w:p w14:paraId="7E8C4377" w14:textId="77777777" w:rsidR="00310F6A" w:rsidRDefault="00310F6A" w:rsidP="00310F6A">
      <w:pPr>
        <w:jc w:val="center"/>
        <w:rPr>
          <w:sz w:val="11"/>
          <w:szCs w:val="11"/>
        </w:rPr>
      </w:pPr>
    </w:p>
    <w:p w14:paraId="66052982" w14:textId="77777777" w:rsidR="00310F6A" w:rsidRDefault="00310F6A" w:rsidP="00310F6A">
      <w:pPr>
        <w:pStyle w:val="NormalWeb"/>
        <w:spacing w:after="0" w:afterAutospacing="0" w:line="480" w:lineRule="auto"/>
        <w:rPr>
          <w:b/>
          <w:bCs/>
          <w:iCs/>
        </w:rPr>
      </w:pPr>
      <w:r>
        <w:rPr>
          <w:b/>
          <w:bCs/>
          <w:iCs/>
        </w:rPr>
        <w:t xml:space="preserve">  ABSTRACT </w:t>
      </w:r>
    </w:p>
    <w:p w14:paraId="6F16550A" w14:textId="09622EFE" w:rsidR="00310F6A" w:rsidRDefault="00310F6A" w:rsidP="00310F6A">
      <w:pPr>
        <w:pStyle w:val="NormalWeb"/>
        <w:spacing w:after="0" w:afterAutospacing="0"/>
        <w:jc w:val="both"/>
      </w:pPr>
      <w:r>
        <w:rPr>
          <w:iCs/>
        </w:rPr>
        <w:t xml:space="preserve">Anemia is a medical condition in which the red blood cells count is less than normal. </w:t>
      </w:r>
      <w:r>
        <w:rPr>
          <w:iCs/>
          <w:lang w:val="en-GB"/>
        </w:rPr>
        <w:t>Th</w:t>
      </w:r>
      <w:r w:rsidR="002F4BB5">
        <w:rPr>
          <w:iCs/>
          <w:lang w:val="en-GB"/>
        </w:rPr>
        <w:t>is</w:t>
      </w:r>
      <w:r>
        <w:rPr>
          <w:iCs/>
          <w:lang w:val="en-GB"/>
        </w:rPr>
        <w:t xml:space="preserve"> study looked at the effect of </w:t>
      </w:r>
      <w:r w:rsidRPr="002F4BB5">
        <w:rPr>
          <w:i/>
        </w:rPr>
        <w:t>Talinum triangulare</w:t>
      </w:r>
      <w:r>
        <w:rPr>
          <w:iCs/>
        </w:rPr>
        <w:t xml:space="preserve"> extract</w:t>
      </w:r>
      <w:r>
        <w:rPr>
          <w:iCs/>
          <w:lang w:val="en-GB"/>
        </w:rPr>
        <w:t xml:space="preserve"> (TTE)</w:t>
      </w:r>
      <w:r>
        <w:rPr>
          <w:iCs/>
        </w:rPr>
        <w:t xml:space="preserve"> on phenylhydrazine (PHZ) induced anemic Wistar rats. 30 Female Wistar rats grouped into 5 rats per group</w:t>
      </w:r>
      <w:r>
        <w:rPr>
          <w:iCs/>
          <w:lang w:val="en-GB"/>
        </w:rPr>
        <w:t xml:space="preserve"> were used</w:t>
      </w:r>
      <w:r w:rsidR="002F4BB5">
        <w:rPr>
          <w:iCs/>
          <w:lang w:val="en-GB"/>
        </w:rPr>
        <w:t xml:space="preserve">; </w:t>
      </w:r>
      <w:r>
        <w:rPr>
          <w:iCs/>
        </w:rPr>
        <w:t>group 1 was given 100mg TTE, group 2</w:t>
      </w:r>
      <w:r>
        <w:rPr>
          <w:iCs/>
          <w:lang w:val="en-GB"/>
        </w:rPr>
        <w:t>,</w:t>
      </w:r>
      <w:r>
        <w:rPr>
          <w:iCs/>
        </w:rPr>
        <w:t xml:space="preserve"> given 200mg TTE, group 3</w:t>
      </w:r>
      <w:r>
        <w:rPr>
          <w:iCs/>
          <w:lang w:val="en-GB"/>
        </w:rPr>
        <w:t>,</w:t>
      </w:r>
      <w:r>
        <w:rPr>
          <w:iCs/>
        </w:rPr>
        <w:t xml:space="preserve"> given 300mg TTE, group 4</w:t>
      </w:r>
      <w:r>
        <w:rPr>
          <w:iCs/>
          <w:lang w:val="en-GB"/>
        </w:rPr>
        <w:t>,</w:t>
      </w:r>
      <w:r>
        <w:rPr>
          <w:iCs/>
        </w:rPr>
        <w:t xml:space="preserve"> given 400mg TTE, group 5</w:t>
      </w:r>
      <w:r>
        <w:rPr>
          <w:iCs/>
          <w:lang w:val="en-GB"/>
        </w:rPr>
        <w:t>,</w:t>
      </w:r>
      <w:r>
        <w:rPr>
          <w:iCs/>
        </w:rPr>
        <w:t xml:space="preserve"> given Bunto blood tonic and group 6 normal saline (control). PHZ was administered to rats intraperitoneally (IP) at a dose of 40 mg/kg of body for two consecutive days. Treatment began after it was certified that the rats were anemic. Packed cell volume</w:t>
      </w:r>
      <w:r w:rsidR="002F4BB5">
        <w:rPr>
          <w:iCs/>
        </w:rPr>
        <w:t xml:space="preserve"> </w:t>
      </w:r>
      <w:r>
        <w:rPr>
          <w:iCs/>
          <w:lang w:val="en-GB"/>
        </w:rPr>
        <w:t xml:space="preserve">of </w:t>
      </w:r>
      <w:proofErr w:type="spellStart"/>
      <w:r>
        <w:rPr>
          <w:iCs/>
          <w:lang w:val="en-GB"/>
        </w:rPr>
        <w:t>anemic</w:t>
      </w:r>
      <w:proofErr w:type="spellEnd"/>
      <w:r>
        <w:rPr>
          <w:iCs/>
          <w:lang w:val="en-GB"/>
        </w:rPr>
        <w:t xml:space="preserve"> rats</w:t>
      </w:r>
      <w:r>
        <w:rPr>
          <w:iCs/>
        </w:rPr>
        <w:t xml:space="preserve"> was taken after 24 hou</w:t>
      </w:r>
      <w:r w:rsidR="002F4BB5">
        <w:rPr>
          <w:iCs/>
        </w:rPr>
        <w:t xml:space="preserve">rs. </w:t>
      </w:r>
      <w:r>
        <w:rPr>
          <w:iCs/>
          <w:lang w:val="en-GB"/>
        </w:rPr>
        <w:t xml:space="preserve"> </w:t>
      </w:r>
      <w:r>
        <w:rPr>
          <w:iCs/>
        </w:rPr>
        <w:t xml:space="preserve">After medication, rats on 400 mg/kg dosage showed the greatest increase in the mean values for PCV count of 41.8%, 41.8% and 45.8% respectively, when compared to the anemic control group </w:t>
      </w:r>
      <w:r>
        <w:rPr>
          <w:iCs/>
          <w:lang w:val="en-GB"/>
        </w:rPr>
        <w:t>with p</w:t>
      </w:r>
      <w:r>
        <w:rPr>
          <w:iCs/>
        </w:rPr>
        <w:t xml:space="preserve">&lt;0.05. There </w:t>
      </w:r>
      <w:r>
        <w:rPr>
          <w:iCs/>
          <w:lang w:val="en-GB"/>
        </w:rPr>
        <w:t>was</w:t>
      </w:r>
      <w:r>
        <w:rPr>
          <w:iCs/>
        </w:rPr>
        <w:t xml:space="preserve"> increase in PCV percentage of group</w:t>
      </w:r>
      <w:r w:rsidR="002F4BB5">
        <w:rPr>
          <w:iCs/>
        </w:rPr>
        <w:t>s</w:t>
      </w:r>
      <w:r>
        <w:rPr>
          <w:iCs/>
        </w:rPr>
        <w:t xml:space="preserve"> 2 and 3 and no increase was shown for group</w:t>
      </w:r>
      <w:r w:rsidR="002F4BB5">
        <w:rPr>
          <w:iCs/>
        </w:rPr>
        <w:t>s</w:t>
      </w:r>
      <w:r>
        <w:rPr>
          <w:iCs/>
        </w:rPr>
        <w:t xml:space="preserve"> 1 and 4 on 21</w:t>
      </w:r>
      <w:r w:rsidR="002F4BB5" w:rsidRPr="002F4BB5">
        <w:rPr>
          <w:iCs/>
          <w:vertAlign w:val="superscript"/>
        </w:rPr>
        <w:t>st</w:t>
      </w:r>
      <w:r w:rsidR="002F4BB5">
        <w:rPr>
          <w:iCs/>
        </w:rPr>
        <w:t xml:space="preserve"> </w:t>
      </w:r>
      <w:r>
        <w:rPr>
          <w:iCs/>
        </w:rPr>
        <w:t>day and 28</w:t>
      </w:r>
      <w:r w:rsidR="002F4BB5" w:rsidRPr="002F4BB5">
        <w:rPr>
          <w:iCs/>
          <w:vertAlign w:val="superscript"/>
        </w:rPr>
        <w:t>th</w:t>
      </w:r>
      <w:r w:rsidR="002F4BB5">
        <w:rPr>
          <w:iCs/>
        </w:rPr>
        <w:t xml:space="preserve"> </w:t>
      </w:r>
      <w:r w:rsidR="002F4BB5">
        <w:rPr>
          <w:iCs/>
          <w:lang w:val="en-GB"/>
        </w:rPr>
        <w:t>day</w:t>
      </w:r>
      <w:r>
        <w:rPr>
          <w:iCs/>
        </w:rPr>
        <w:t xml:space="preserve"> of administration of </w:t>
      </w:r>
      <w:r>
        <w:rPr>
          <w:iCs/>
          <w:lang w:val="en-GB"/>
        </w:rPr>
        <w:t>TTE</w:t>
      </w:r>
      <w:r>
        <w:rPr>
          <w:i/>
          <w:iCs/>
        </w:rPr>
        <w:t>.</w:t>
      </w:r>
      <w:r>
        <w:t xml:space="preserve"> The mean values of PCV were not significantly different between the groups treated with 400mg</w:t>
      </w:r>
      <w:r w:rsidR="002F4BB5">
        <w:t>TTE</w:t>
      </w:r>
      <w:r>
        <w:t>, 300mg</w:t>
      </w:r>
      <w:r w:rsidR="002F4BB5">
        <w:t xml:space="preserve"> TTE</w:t>
      </w:r>
      <w:r>
        <w:t>, 200mg</w:t>
      </w:r>
      <w:r w:rsidR="002F4BB5">
        <w:t xml:space="preserve"> TTE</w:t>
      </w:r>
      <w:r>
        <w:t>, or 100m</w:t>
      </w:r>
      <w:r w:rsidR="002F4BB5">
        <w:t>gTTE</w:t>
      </w:r>
      <w:r>
        <w:t xml:space="preserve">. </w:t>
      </w:r>
      <w:r>
        <w:rPr>
          <w:lang w:val="en-GB"/>
        </w:rPr>
        <w:t>H</w:t>
      </w:r>
      <w:proofErr w:type="spellStart"/>
      <w:r>
        <w:t>isto</w:t>
      </w:r>
      <w:proofErr w:type="spellEnd"/>
      <w:r w:rsidR="001B54CE">
        <w:t>-</w:t>
      </w:r>
      <w:r w:rsidR="001C321C">
        <w:t>patho</w:t>
      </w:r>
      <w:r>
        <w:t>logical changes in the liver and kidney of rats treated with phenylhydrazine</w:t>
      </w:r>
      <w:r>
        <w:rPr>
          <w:lang w:val="en-GB"/>
        </w:rPr>
        <w:t xml:space="preserve"> revealed</w:t>
      </w:r>
      <w:r>
        <w:t xml:space="preserve"> kidneys of rats in groups 1, 2, and 3 showed normal structures, while those in groups 4 and 5 showed mild degenerative vacuolation. The liver,</w:t>
      </w:r>
      <w:r>
        <w:rPr>
          <w:lang w:val="en-GB"/>
        </w:rPr>
        <w:t xml:space="preserve"> showed</w:t>
      </w:r>
      <w:r>
        <w:t xml:space="preserve"> mild necrotic changes in</w:t>
      </w:r>
      <w:r w:rsidR="001C321C">
        <w:t xml:space="preserve"> the</w:t>
      </w:r>
      <w:r>
        <w:t xml:space="preserve"> hepatocytes.  </w:t>
      </w:r>
      <w:r>
        <w:rPr>
          <w:lang w:val="en-GB"/>
        </w:rPr>
        <w:t>T</w:t>
      </w:r>
      <w:r>
        <w:t xml:space="preserve">his study showed that the mean packed cell volume (PCV) significantly </w:t>
      </w:r>
      <w:r>
        <w:rPr>
          <w:lang w:val="en-GB"/>
        </w:rPr>
        <w:t>increased after TTE administration, revealing the anti-</w:t>
      </w:r>
      <w:r>
        <w:t xml:space="preserve">anemic </w:t>
      </w:r>
      <w:r w:rsidR="002F4BB5">
        <w:t>potential</w:t>
      </w:r>
      <w:r>
        <w:rPr>
          <w:lang w:val="en-GB"/>
        </w:rPr>
        <w:t>s</w:t>
      </w:r>
      <w:r>
        <w:t xml:space="preserve"> of </w:t>
      </w:r>
      <w:r>
        <w:rPr>
          <w:lang w:val="en-GB"/>
        </w:rPr>
        <w:t xml:space="preserve">TTE noting </w:t>
      </w:r>
      <w:r>
        <w:t>varied efficacy levels post-treatment.</w:t>
      </w:r>
      <w:r w:rsidR="001B54CE">
        <w:t xml:space="preserve"> The study showed </w:t>
      </w:r>
      <w:r w:rsidR="001B54CE" w:rsidRPr="0027549D">
        <w:rPr>
          <w:i/>
          <w:iCs/>
        </w:rPr>
        <w:t>Talinum triangulare</w:t>
      </w:r>
      <w:r w:rsidR="001B54CE">
        <w:t xml:space="preserve"> as a futuristic medicinal plant in the management of anaemia.</w:t>
      </w:r>
    </w:p>
    <w:p w14:paraId="46C9414A" w14:textId="72244579" w:rsidR="00310F6A" w:rsidRDefault="00310F6A" w:rsidP="00310F6A">
      <w:pPr>
        <w:pStyle w:val="NormalWeb"/>
        <w:spacing w:after="0" w:afterAutospacing="0" w:line="480" w:lineRule="auto"/>
        <w:rPr>
          <w:i/>
          <w:iCs/>
        </w:rPr>
      </w:pPr>
      <w:r>
        <w:rPr>
          <w:b/>
          <w:bCs/>
          <w:i/>
          <w:iCs/>
        </w:rPr>
        <w:t>Keywords</w:t>
      </w:r>
      <w:r>
        <w:rPr>
          <w:i/>
          <w:iCs/>
        </w:rPr>
        <w:t xml:space="preserve">: Anemia, Talinum triangulare, </w:t>
      </w:r>
      <w:r w:rsidR="002F4BB5">
        <w:rPr>
          <w:i/>
          <w:iCs/>
        </w:rPr>
        <w:t>Phenyl</w:t>
      </w:r>
      <w:r>
        <w:rPr>
          <w:i/>
          <w:iCs/>
        </w:rPr>
        <w:t>/hydrazine, Histopathology.</w:t>
      </w:r>
    </w:p>
    <w:p w14:paraId="31DA9A03" w14:textId="77777777" w:rsidR="00310F6A" w:rsidRDefault="00310F6A" w:rsidP="00310F6A">
      <w:pPr>
        <w:spacing w:line="480" w:lineRule="auto"/>
        <w:rPr>
          <w:rFonts w:ascii="Times New Roman" w:hAnsi="Times New Roman"/>
          <w:b/>
          <w:bCs/>
          <w:sz w:val="24"/>
        </w:rPr>
      </w:pPr>
      <w:r>
        <w:rPr>
          <w:rFonts w:ascii="Times New Roman" w:hAnsi="Times New Roman"/>
          <w:b/>
          <w:bCs/>
          <w:sz w:val="24"/>
        </w:rPr>
        <w:t xml:space="preserve">  INTRODUCTION                                                 </w:t>
      </w:r>
    </w:p>
    <w:p w14:paraId="7D00E842" w14:textId="77777777" w:rsidR="001037CE" w:rsidRDefault="001037CE" w:rsidP="001037CE">
      <w:pPr>
        <w:spacing w:line="480" w:lineRule="auto"/>
        <w:rPr>
          <w:rFonts w:ascii="Times New Roman" w:hAnsi="Times New Roman"/>
          <w:sz w:val="24"/>
        </w:rPr>
      </w:pPr>
      <w:r>
        <w:rPr>
          <w:rFonts w:ascii="Times New Roman" w:hAnsi="Times New Roman"/>
          <w:sz w:val="24"/>
        </w:rPr>
        <w:t>Anemia is a public health problem that affects people from both developed and developing countries (</w:t>
      </w:r>
      <w:proofErr w:type="spellStart"/>
      <w:r>
        <w:rPr>
          <w:rFonts w:ascii="Times New Roman" w:hAnsi="Times New Roman"/>
          <w:sz w:val="24"/>
        </w:rPr>
        <w:t>Aduwamai</w:t>
      </w:r>
      <w:proofErr w:type="spellEnd"/>
      <w:r>
        <w:rPr>
          <w:rFonts w:ascii="Times New Roman" w:hAnsi="Times New Roman"/>
          <w:sz w:val="24"/>
        </w:rPr>
        <w:t xml:space="preserve"> et al., 2018; Adewuyi et al., 2025). It is defined as a condition in which the amount of hemoglobin which carries oxygen is lower than normal (</w:t>
      </w:r>
      <w:proofErr w:type="spellStart"/>
      <w:r>
        <w:rPr>
          <w:rFonts w:ascii="Times New Roman" w:hAnsi="Times New Roman"/>
          <w:sz w:val="24"/>
        </w:rPr>
        <w:t>Bigoniya</w:t>
      </w:r>
      <w:proofErr w:type="spellEnd"/>
      <w:r>
        <w:rPr>
          <w:rFonts w:ascii="Times New Roman" w:hAnsi="Times New Roman"/>
          <w:sz w:val="24"/>
        </w:rPr>
        <w:t xml:space="preserve"> et al., 2013; Yildiz et al., 2021). Hemoglobin is contained in red blood cells which are the most abundant visible components in the</w:t>
      </w:r>
      <w:r>
        <w:rPr>
          <w:rFonts w:ascii="Times New Roman" w:hAnsi="Times New Roman"/>
          <w:sz w:val="24"/>
          <w:lang w:val="en-GB"/>
        </w:rPr>
        <w:t xml:space="preserve"> </w:t>
      </w:r>
      <w:r>
        <w:rPr>
          <w:rFonts w:ascii="Times New Roman" w:hAnsi="Times New Roman"/>
          <w:sz w:val="24"/>
        </w:rPr>
        <w:t xml:space="preserve">blood system. Their lifespan is about 120 days (Xiong, 2014). Reduced number </w:t>
      </w:r>
      <w:r>
        <w:rPr>
          <w:rFonts w:ascii="Times New Roman" w:hAnsi="Times New Roman"/>
          <w:sz w:val="24"/>
        </w:rPr>
        <w:lastRenderedPageBreak/>
        <w:t>of erythrocytes can cause anemia and lack of oxygen for body tissues (</w:t>
      </w:r>
      <w:proofErr w:type="spellStart"/>
      <w:r>
        <w:rPr>
          <w:rFonts w:ascii="Times New Roman" w:hAnsi="Times New Roman"/>
          <w:sz w:val="24"/>
        </w:rPr>
        <w:t>Libregts</w:t>
      </w:r>
      <w:proofErr w:type="spellEnd"/>
      <w:r>
        <w:rPr>
          <w:rFonts w:ascii="Times New Roman" w:hAnsi="Times New Roman"/>
          <w:sz w:val="24"/>
        </w:rPr>
        <w:t xml:space="preserve">, 2011). </w:t>
      </w:r>
    </w:p>
    <w:p w14:paraId="26DB2CB5" w14:textId="77777777" w:rsidR="001037CE" w:rsidRDefault="001037CE" w:rsidP="001037CE">
      <w:pPr>
        <w:spacing w:line="480" w:lineRule="auto"/>
        <w:rPr>
          <w:rFonts w:ascii="Times New Roman" w:eastAsia="Noto Sans" w:hAnsi="Times New Roman"/>
          <w:color w:val="000000"/>
          <w:kern w:val="0"/>
          <w:sz w:val="24"/>
          <w:shd w:val="clear" w:color="auto" w:fill="FFFFFF"/>
        </w:rPr>
      </w:pPr>
      <w:r>
        <w:rPr>
          <w:rFonts w:ascii="Times New Roman" w:hAnsi="Times New Roman"/>
          <w:sz w:val="24"/>
        </w:rPr>
        <w:t xml:space="preserve">There are several types of anemia; blood loss anemia, aplastic anemia, </w:t>
      </w:r>
      <w:proofErr w:type="spellStart"/>
      <w:r>
        <w:rPr>
          <w:rFonts w:ascii="Times New Roman" w:hAnsi="Times New Roman"/>
          <w:sz w:val="24"/>
        </w:rPr>
        <w:t>megoblastic</w:t>
      </w:r>
      <w:proofErr w:type="spellEnd"/>
      <w:r>
        <w:rPr>
          <w:rFonts w:ascii="Times New Roman" w:hAnsi="Times New Roman"/>
          <w:sz w:val="24"/>
        </w:rPr>
        <w:t xml:space="preserve"> anemia, hemolytic anemia are some examples (Dubois et al., 2006; Hall and Hall, 2007;</w:t>
      </w:r>
      <w:r w:rsidRPr="001F5BA2">
        <w:rPr>
          <w:rFonts w:ascii="Times New Roman" w:hAnsi="Times New Roman"/>
          <w:sz w:val="24"/>
        </w:rPr>
        <w:t xml:space="preserve"> </w:t>
      </w:r>
      <w:proofErr w:type="spellStart"/>
      <w:r w:rsidRPr="001F5BA2">
        <w:rPr>
          <w:rFonts w:ascii="Times New Roman" w:hAnsi="Times New Roman"/>
          <w:sz w:val="24"/>
        </w:rPr>
        <w:t>Gamit</w:t>
      </w:r>
      <w:proofErr w:type="spellEnd"/>
      <w:r w:rsidRPr="001F5BA2">
        <w:rPr>
          <w:rFonts w:ascii="Times New Roman" w:hAnsi="Times New Roman"/>
          <w:sz w:val="24"/>
        </w:rPr>
        <w:t xml:space="preserve"> and </w:t>
      </w:r>
      <w:proofErr w:type="spellStart"/>
      <w:r w:rsidRPr="001F5BA2">
        <w:rPr>
          <w:rFonts w:ascii="Times New Roman" w:hAnsi="Times New Roman"/>
          <w:sz w:val="24"/>
        </w:rPr>
        <w:t>Talwelkar</w:t>
      </w:r>
      <w:proofErr w:type="spellEnd"/>
      <w:r w:rsidRPr="001F5BA2">
        <w:rPr>
          <w:rFonts w:ascii="Times New Roman" w:hAnsi="Times New Roman"/>
          <w:sz w:val="24"/>
        </w:rPr>
        <w:t>,</w:t>
      </w:r>
      <w:r>
        <w:rPr>
          <w:rFonts w:ascii="Times New Roman" w:hAnsi="Times New Roman"/>
          <w:sz w:val="24"/>
        </w:rPr>
        <w:t xml:space="preserve"> </w:t>
      </w:r>
      <w:r w:rsidRPr="001F5BA2">
        <w:rPr>
          <w:rFonts w:ascii="Times New Roman" w:hAnsi="Times New Roman"/>
          <w:sz w:val="24"/>
        </w:rPr>
        <w:t>2017</w:t>
      </w:r>
      <w:r>
        <w:rPr>
          <w:rFonts w:ascii="Times New Roman" w:hAnsi="Times New Roman"/>
          <w:sz w:val="24"/>
        </w:rPr>
        <w:t>).</w:t>
      </w:r>
      <w:r>
        <w:rPr>
          <w:rFonts w:ascii="Times New Roman" w:hAnsi="Times New Roman"/>
          <w:sz w:val="24"/>
          <w:lang w:val="en-GB"/>
        </w:rPr>
        <w:t xml:space="preserve"> </w:t>
      </w:r>
      <w:r>
        <w:rPr>
          <w:rFonts w:ascii="Times New Roman" w:hAnsi="Times New Roman"/>
          <w:sz w:val="24"/>
        </w:rPr>
        <w:t>Iron deficiency anemia is the most prevalent type of anemia worldwide and approximately 30% of the world population is affected this anemia (</w:t>
      </w:r>
      <w:proofErr w:type="spellStart"/>
      <w:r>
        <w:rPr>
          <w:rFonts w:ascii="Times New Roman" w:hAnsi="Times New Roman"/>
          <w:sz w:val="24"/>
        </w:rPr>
        <w:t>Staubli</w:t>
      </w:r>
      <w:proofErr w:type="spellEnd"/>
      <w:r>
        <w:rPr>
          <w:rFonts w:ascii="Times New Roman" w:hAnsi="Times New Roman"/>
          <w:sz w:val="24"/>
        </w:rPr>
        <w:t xml:space="preserve"> </w:t>
      </w:r>
      <w:proofErr w:type="spellStart"/>
      <w:r>
        <w:rPr>
          <w:rFonts w:ascii="Times New Roman" w:hAnsi="Times New Roman"/>
          <w:sz w:val="24"/>
        </w:rPr>
        <w:t>Asobayire</w:t>
      </w:r>
      <w:proofErr w:type="spellEnd"/>
      <w:r>
        <w:rPr>
          <w:rFonts w:ascii="Times New Roman" w:hAnsi="Times New Roman"/>
          <w:sz w:val="24"/>
        </w:rPr>
        <w:t xml:space="preserve">, 2005; WHO, 2009; Mclean et al., 2009; </w:t>
      </w:r>
      <w:proofErr w:type="spellStart"/>
      <w:r>
        <w:rPr>
          <w:rFonts w:ascii="Times New Roman" w:hAnsi="Times New Roman"/>
          <w:sz w:val="24"/>
        </w:rPr>
        <w:t>Camaschella</w:t>
      </w:r>
      <w:proofErr w:type="spellEnd"/>
      <w:r>
        <w:rPr>
          <w:rFonts w:ascii="Times New Roman" w:hAnsi="Times New Roman"/>
          <w:sz w:val="24"/>
        </w:rPr>
        <w:t>, 2017; Leung et al., 2024).</w:t>
      </w:r>
      <w:r>
        <w:rPr>
          <w:rFonts w:ascii="Times New Roman" w:hAnsi="Times New Roman"/>
          <w:sz w:val="24"/>
          <w:lang w:val="en-GB"/>
        </w:rPr>
        <w:t xml:space="preserve"> </w:t>
      </w:r>
      <w:r>
        <w:rPr>
          <w:rFonts w:ascii="Times New Roman" w:eastAsia="Noto Sans" w:hAnsi="Times New Roman"/>
          <w:color w:val="000000"/>
          <w:kern w:val="0"/>
          <w:sz w:val="24"/>
          <w:shd w:val="clear" w:color="auto" w:fill="FFFFFF"/>
        </w:rPr>
        <w:t>Anaemia may be caused by several factors: nutrient deficiencies through inadequate diets or inadequate absorption of nutrients (</w:t>
      </w:r>
      <w:proofErr w:type="spellStart"/>
      <w:r>
        <w:rPr>
          <w:rFonts w:ascii="Times New Roman" w:eastAsia="Noto Sans" w:hAnsi="Times New Roman"/>
          <w:color w:val="000000"/>
          <w:kern w:val="0"/>
          <w:sz w:val="24"/>
          <w:shd w:val="clear" w:color="auto" w:fill="FFFFFF"/>
        </w:rPr>
        <w:t>Chinko</w:t>
      </w:r>
      <w:proofErr w:type="spellEnd"/>
      <w:r>
        <w:rPr>
          <w:rFonts w:ascii="Times New Roman" w:eastAsia="Noto Sans" w:hAnsi="Times New Roman"/>
          <w:color w:val="000000"/>
          <w:kern w:val="0"/>
          <w:sz w:val="24"/>
          <w:shd w:val="clear" w:color="auto" w:fill="FFFFFF"/>
        </w:rPr>
        <w:t xml:space="preserve"> et al., 2020; Hussein et al., 2023), infections (e.g. malaria, parasitic infections, tuberculosis, HIV), inflammation, chronic diseases, </w:t>
      </w:r>
      <w:proofErr w:type="spellStart"/>
      <w:r>
        <w:rPr>
          <w:rFonts w:ascii="Times New Roman" w:eastAsia="Noto Sans" w:hAnsi="Times New Roman"/>
          <w:color w:val="000000"/>
          <w:kern w:val="0"/>
          <w:sz w:val="24"/>
          <w:shd w:val="clear" w:color="auto" w:fill="FFFFFF"/>
        </w:rPr>
        <w:t>gynaecological</w:t>
      </w:r>
      <w:proofErr w:type="spellEnd"/>
      <w:r>
        <w:rPr>
          <w:rFonts w:ascii="Times New Roman" w:eastAsia="Noto Sans" w:hAnsi="Times New Roman"/>
          <w:color w:val="000000"/>
          <w:kern w:val="0"/>
          <w:sz w:val="24"/>
          <w:shd w:val="clear" w:color="auto" w:fill="FFFFFF"/>
        </w:rPr>
        <w:t xml:space="preserve"> and obstetric conditions, and inherited red blood cell disorders. The most common nutritional cause of anaemia is iron deficiency, although deficiencies in folate, vitamins B12 and A are also important causes. </w:t>
      </w:r>
    </w:p>
    <w:p w14:paraId="414ED1A1" w14:textId="77777777" w:rsidR="001037CE" w:rsidRDefault="001037CE" w:rsidP="001037CE">
      <w:pPr>
        <w:widowControl/>
        <w:spacing w:line="480" w:lineRule="auto"/>
        <w:rPr>
          <w:rFonts w:ascii="Times New Roman" w:hAnsi="Times New Roman"/>
          <w:sz w:val="24"/>
        </w:rPr>
      </w:pPr>
      <w:r>
        <w:rPr>
          <w:rFonts w:ascii="Times New Roman" w:hAnsi="Times New Roman"/>
          <w:sz w:val="24"/>
        </w:rPr>
        <w:t>Anemia has multiple causes categorized as poor, insufficient or abnormal red blood cells production, excessive red blood cells destruction and excessive red blood cell loss (Dacia and Lewis, 2004; Turner et al., 2018). According to WHO 2005 (</w:t>
      </w:r>
      <w:r w:rsidRPr="007F6DAB">
        <w:rPr>
          <w:rFonts w:ascii="Times New Roman" w:eastAsia="Times" w:hAnsi="Times New Roman"/>
          <w:color w:val="000000"/>
          <w:sz w:val="24"/>
        </w:rPr>
        <w:t>Bhushan, 2005</w:t>
      </w:r>
      <w:r>
        <w:rPr>
          <w:rFonts w:ascii="Times New Roman" w:hAnsi="Times New Roman"/>
          <w:sz w:val="24"/>
        </w:rPr>
        <w:t>), several factors are associated with anemia; these are iron deficiency (Al-</w:t>
      </w:r>
      <w:proofErr w:type="spellStart"/>
      <w:r>
        <w:rPr>
          <w:rFonts w:ascii="Times New Roman" w:hAnsi="Times New Roman"/>
          <w:sz w:val="24"/>
        </w:rPr>
        <w:t>Zebedi</w:t>
      </w:r>
      <w:proofErr w:type="spellEnd"/>
      <w:r>
        <w:rPr>
          <w:rFonts w:ascii="Times New Roman" w:hAnsi="Times New Roman"/>
          <w:sz w:val="24"/>
        </w:rPr>
        <w:t xml:space="preserve"> et al., 2014), micronutrient deficiency, malaria (Crawley, 2004), parasitic infestation and HIV infection. Quite a number of medicinal plants are traditionally used to alleviate anemia. Some of these plants include </w:t>
      </w:r>
      <w:proofErr w:type="spellStart"/>
      <w:r w:rsidRPr="002F4BB5">
        <w:rPr>
          <w:rFonts w:ascii="Times New Roman" w:hAnsi="Times New Roman"/>
          <w:i/>
          <w:iCs/>
          <w:sz w:val="24"/>
        </w:rPr>
        <w:t>Spinacia</w:t>
      </w:r>
      <w:proofErr w:type="spellEnd"/>
      <w:r w:rsidRPr="002F4BB5">
        <w:rPr>
          <w:rFonts w:ascii="Times New Roman" w:hAnsi="Times New Roman"/>
          <w:i/>
          <w:iCs/>
          <w:sz w:val="24"/>
        </w:rPr>
        <w:t xml:space="preserve"> oleracea, </w:t>
      </w:r>
      <w:proofErr w:type="spellStart"/>
      <w:r w:rsidRPr="002F4BB5">
        <w:rPr>
          <w:rFonts w:ascii="Times New Roman" w:hAnsi="Times New Roman"/>
          <w:i/>
          <w:iCs/>
          <w:sz w:val="24"/>
        </w:rPr>
        <w:t>Telfeira</w:t>
      </w:r>
      <w:proofErr w:type="spellEnd"/>
      <w:r w:rsidRPr="002F4BB5">
        <w:rPr>
          <w:rFonts w:ascii="Times New Roman" w:hAnsi="Times New Roman"/>
          <w:i/>
          <w:iCs/>
          <w:sz w:val="24"/>
        </w:rPr>
        <w:t xml:space="preserve"> </w:t>
      </w:r>
      <w:proofErr w:type="spellStart"/>
      <w:r w:rsidRPr="002F4BB5">
        <w:rPr>
          <w:rFonts w:ascii="Times New Roman" w:hAnsi="Times New Roman"/>
          <w:i/>
          <w:iCs/>
          <w:sz w:val="24"/>
        </w:rPr>
        <w:t>occidetallis</w:t>
      </w:r>
      <w:proofErr w:type="spellEnd"/>
      <w:r w:rsidRPr="002F4BB5">
        <w:rPr>
          <w:rFonts w:ascii="Times New Roman" w:hAnsi="Times New Roman"/>
          <w:i/>
          <w:iCs/>
          <w:sz w:val="24"/>
        </w:rPr>
        <w:t xml:space="preserve">, Jatropha </w:t>
      </w:r>
      <w:proofErr w:type="spellStart"/>
      <w:r w:rsidRPr="002F4BB5">
        <w:rPr>
          <w:rFonts w:ascii="Times New Roman" w:hAnsi="Times New Roman"/>
          <w:i/>
          <w:iCs/>
          <w:sz w:val="24"/>
        </w:rPr>
        <w:t>curcas</w:t>
      </w:r>
      <w:proofErr w:type="spellEnd"/>
      <w:r w:rsidRPr="002F4BB5">
        <w:rPr>
          <w:rFonts w:ascii="Times New Roman" w:hAnsi="Times New Roman"/>
          <w:i/>
          <w:iCs/>
          <w:sz w:val="24"/>
        </w:rPr>
        <w:t xml:space="preserve">, </w:t>
      </w:r>
      <w:proofErr w:type="spellStart"/>
      <w:r w:rsidRPr="002F4BB5">
        <w:rPr>
          <w:rFonts w:ascii="Times New Roman" w:hAnsi="Times New Roman"/>
          <w:i/>
          <w:iCs/>
          <w:sz w:val="24"/>
        </w:rPr>
        <w:t>Waltheria</w:t>
      </w:r>
      <w:proofErr w:type="spellEnd"/>
      <w:r w:rsidRPr="002F4BB5">
        <w:rPr>
          <w:rFonts w:ascii="Times New Roman" w:hAnsi="Times New Roman"/>
          <w:i/>
          <w:iCs/>
          <w:sz w:val="24"/>
        </w:rPr>
        <w:t xml:space="preserve"> </w:t>
      </w:r>
      <w:proofErr w:type="spellStart"/>
      <w:r w:rsidRPr="002F4BB5">
        <w:rPr>
          <w:rFonts w:ascii="Times New Roman" w:hAnsi="Times New Roman"/>
          <w:i/>
          <w:iCs/>
          <w:sz w:val="24"/>
        </w:rPr>
        <w:t>indica</w:t>
      </w:r>
      <w:proofErr w:type="spellEnd"/>
      <w:r>
        <w:rPr>
          <w:rFonts w:ascii="Times New Roman" w:hAnsi="Times New Roman"/>
          <w:sz w:val="24"/>
        </w:rPr>
        <w:t xml:space="preserve">, </w:t>
      </w:r>
      <w:proofErr w:type="spellStart"/>
      <w:r w:rsidRPr="002F4BB5">
        <w:rPr>
          <w:rFonts w:ascii="Times New Roman" w:hAnsi="Times New Roman"/>
          <w:i/>
          <w:iCs/>
          <w:sz w:val="24"/>
        </w:rPr>
        <w:t>Spondias</w:t>
      </w:r>
      <w:proofErr w:type="spellEnd"/>
      <w:r w:rsidRPr="002F4BB5">
        <w:rPr>
          <w:rFonts w:ascii="Times New Roman" w:hAnsi="Times New Roman"/>
          <w:i/>
          <w:iCs/>
          <w:sz w:val="24"/>
        </w:rPr>
        <w:t xml:space="preserve"> </w:t>
      </w:r>
      <w:proofErr w:type="spellStart"/>
      <w:r w:rsidRPr="002F4BB5">
        <w:rPr>
          <w:rFonts w:ascii="Times New Roman" w:hAnsi="Times New Roman"/>
          <w:i/>
          <w:iCs/>
          <w:sz w:val="24"/>
        </w:rPr>
        <w:t>mombin</w:t>
      </w:r>
      <w:proofErr w:type="spellEnd"/>
      <w:r>
        <w:rPr>
          <w:rFonts w:ascii="Times New Roman" w:hAnsi="Times New Roman"/>
          <w:i/>
          <w:iCs/>
          <w:sz w:val="24"/>
        </w:rPr>
        <w:t xml:space="preserve">, </w:t>
      </w:r>
      <w:proofErr w:type="spellStart"/>
      <w:r>
        <w:rPr>
          <w:rFonts w:ascii="Times New Roman" w:hAnsi="Times New Roman"/>
          <w:i/>
          <w:iCs/>
          <w:sz w:val="24"/>
        </w:rPr>
        <w:t>Carica</w:t>
      </w:r>
      <w:proofErr w:type="spellEnd"/>
      <w:r>
        <w:rPr>
          <w:rFonts w:ascii="Times New Roman" w:hAnsi="Times New Roman"/>
          <w:i/>
          <w:iCs/>
          <w:sz w:val="24"/>
        </w:rPr>
        <w:t xml:space="preserve"> papaya, and </w:t>
      </w:r>
      <w:proofErr w:type="spellStart"/>
      <w:r>
        <w:rPr>
          <w:rFonts w:ascii="Times New Roman" w:hAnsi="Times New Roman"/>
          <w:i/>
          <w:iCs/>
          <w:sz w:val="24"/>
        </w:rPr>
        <w:t>Moringer</w:t>
      </w:r>
      <w:proofErr w:type="spellEnd"/>
      <w:r>
        <w:rPr>
          <w:rFonts w:ascii="Times New Roman" w:hAnsi="Times New Roman"/>
          <w:i/>
          <w:iCs/>
          <w:sz w:val="24"/>
        </w:rPr>
        <w:t xml:space="preserve"> oleifera</w:t>
      </w:r>
      <w:r>
        <w:rPr>
          <w:rFonts w:ascii="Times New Roman" w:hAnsi="Times New Roman"/>
          <w:sz w:val="24"/>
        </w:rPr>
        <w:t xml:space="preserve"> (Dina et al., 2006; Kayode and Kayode, 2011; Damodara, 2013; Luka et al., 2014; </w:t>
      </w:r>
      <w:proofErr w:type="spellStart"/>
      <w:r>
        <w:rPr>
          <w:rFonts w:ascii="Times New Roman" w:hAnsi="Times New Roman"/>
          <w:sz w:val="24"/>
        </w:rPr>
        <w:t>Otitoju</w:t>
      </w:r>
      <w:proofErr w:type="spellEnd"/>
      <w:r>
        <w:rPr>
          <w:rFonts w:ascii="Times New Roman" w:hAnsi="Times New Roman"/>
          <w:sz w:val="24"/>
        </w:rPr>
        <w:t xml:space="preserve"> et al., 2014; Gheith et al., 2019). </w:t>
      </w:r>
    </w:p>
    <w:p w14:paraId="07CCD7F9" w14:textId="77777777" w:rsidR="001037CE" w:rsidRDefault="001037CE" w:rsidP="001037CE">
      <w:pPr>
        <w:widowControl/>
        <w:spacing w:line="480" w:lineRule="auto"/>
        <w:rPr>
          <w:rFonts w:ascii="Times New Roman" w:hAnsi="Times New Roman"/>
          <w:sz w:val="24"/>
        </w:rPr>
      </w:pPr>
      <w:r w:rsidRPr="002F4BB5">
        <w:rPr>
          <w:rFonts w:ascii="Times New Roman" w:hAnsi="Times New Roman"/>
          <w:i/>
          <w:iCs/>
          <w:sz w:val="24"/>
        </w:rPr>
        <w:t>Talinum triangulare</w:t>
      </w:r>
      <w:r>
        <w:rPr>
          <w:rFonts w:ascii="Times New Roman" w:hAnsi="Times New Roman"/>
          <w:sz w:val="24"/>
        </w:rPr>
        <w:t xml:space="preserve"> (Water leaf) is an edible leafy vegetable that belongs to the family </w:t>
      </w:r>
      <w:proofErr w:type="spellStart"/>
      <w:r>
        <w:rPr>
          <w:rFonts w:ascii="Times New Roman" w:hAnsi="Times New Roman"/>
          <w:sz w:val="24"/>
        </w:rPr>
        <w:t>Portulaceae</w:t>
      </w:r>
      <w:proofErr w:type="spellEnd"/>
      <w:r>
        <w:rPr>
          <w:rFonts w:ascii="Times New Roman" w:hAnsi="Times New Roman"/>
          <w:sz w:val="24"/>
        </w:rPr>
        <w:t xml:space="preserve">. It is a herbaceous perennial plant that normally has its stem evident above ground. The genus Talinum generally are self-pollinated, but there is the tendency for the population to be </w:t>
      </w:r>
      <w:r>
        <w:rPr>
          <w:rFonts w:ascii="Times New Roman" w:hAnsi="Times New Roman"/>
          <w:sz w:val="24"/>
        </w:rPr>
        <w:lastRenderedPageBreak/>
        <w:t xml:space="preserve">heterogeneous due to their floral propensity for insect pollinations. </w:t>
      </w:r>
      <w:r w:rsidRPr="002F4BB5">
        <w:rPr>
          <w:rFonts w:ascii="Times New Roman" w:hAnsi="Times New Roman"/>
          <w:i/>
          <w:iCs/>
          <w:sz w:val="24"/>
        </w:rPr>
        <w:t>Talinum triangulare</w:t>
      </w:r>
      <w:r>
        <w:rPr>
          <w:rFonts w:ascii="Times New Roman" w:hAnsi="Times New Roman"/>
          <w:sz w:val="24"/>
        </w:rPr>
        <w:t xml:space="preserve"> is an erect, glabrous perennial herb with stem and leaves succulent but roots swollen and fleshy, has purple flowers. It is rich in vitamins A and C, iron, and calcium. The leaves are tender and have a slightly tangy flavor. Waterleaf is often used in soups, stews, and salads. It is known for its nutritional benefits and is a popular ingredient in Nigerian cuisine. The leaves are edible as vegetable, and are used to speed up the elimination of </w:t>
      </w:r>
      <w:proofErr w:type="spellStart"/>
      <w:r>
        <w:rPr>
          <w:rFonts w:ascii="Times New Roman" w:hAnsi="Times New Roman"/>
          <w:sz w:val="24"/>
        </w:rPr>
        <w:t>feaces</w:t>
      </w:r>
      <w:proofErr w:type="spellEnd"/>
      <w:r>
        <w:rPr>
          <w:rFonts w:ascii="Times New Roman" w:hAnsi="Times New Roman"/>
          <w:sz w:val="24"/>
        </w:rPr>
        <w:t xml:space="preserve"> from the body; also used to feed livestock; treat gastrointestinal disorder, dropsy, swelling, oedema and to reduce cardiovascular diseases. </w:t>
      </w:r>
      <w:r w:rsidRPr="002F4BB5">
        <w:rPr>
          <w:rFonts w:ascii="Times New Roman" w:hAnsi="Times New Roman"/>
          <w:i/>
          <w:iCs/>
          <w:sz w:val="24"/>
        </w:rPr>
        <w:t>Talinum triangulare</w:t>
      </w:r>
      <w:r>
        <w:rPr>
          <w:rFonts w:ascii="Times New Roman" w:hAnsi="Times New Roman"/>
          <w:sz w:val="24"/>
        </w:rPr>
        <w:t xml:space="preserve"> has among other plants been enlisted in an inventory of medicinal plants in a homestead garden, where traditional medical practitioners harness its parts for herbal preparations (Temitope and Omotayo, 2012; Barman et al., 2024). </w:t>
      </w:r>
    </w:p>
    <w:p w14:paraId="58860DB3" w14:textId="77777777" w:rsidR="001037CE" w:rsidRDefault="001037CE" w:rsidP="001037CE">
      <w:pPr>
        <w:pStyle w:val="NormalWeb"/>
        <w:spacing w:before="0" w:beforeAutospacing="0" w:after="0" w:afterAutospacing="0" w:line="480" w:lineRule="auto"/>
        <w:ind w:right="75"/>
        <w:jc w:val="both"/>
      </w:pPr>
      <w:r>
        <w:rPr>
          <w:rFonts w:hint="eastAsia"/>
        </w:rPr>
        <w:t>In vivo is Latin</w:t>
      </w:r>
      <w:r>
        <w:t xml:space="preserve"> word</w:t>
      </w:r>
      <w:r>
        <w:rPr>
          <w:rFonts w:hint="eastAsia"/>
        </w:rPr>
        <w:t xml:space="preserve"> for "within the living." It refers to studies that are done within living organisms, such as human or animal. It involves observing and analyzing biological processes and interactions in their natural environment. For example, in the context of assessing anemia, in vivo studies would involve examining blood samples and conducting tests within the body of a living organism</w:t>
      </w:r>
      <w:r>
        <w:t xml:space="preserve"> (</w:t>
      </w:r>
      <w:proofErr w:type="spellStart"/>
      <w:r>
        <w:t>Ochei</w:t>
      </w:r>
      <w:proofErr w:type="spellEnd"/>
      <w:r>
        <w:t xml:space="preserve"> and </w:t>
      </w:r>
      <w:proofErr w:type="spellStart"/>
      <w:r>
        <w:t>Kolhathar</w:t>
      </w:r>
      <w:proofErr w:type="spellEnd"/>
      <w:r>
        <w:t>, 2008)</w:t>
      </w:r>
      <w:r>
        <w:rPr>
          <w:rFonts w:hint="eastAsia"/>
        </w:rPr>
        <w:t>. It allows researchers to better understand how the condition affects the organism as whole. In vivo testing is often employed over in vitro because it is better suited for observing the overall effects of an experiment on a living subject.</w:t>
      </w:r>
    </w:p>
    <w:p w14:paraId="29C8663E" w14:textId="54BB19B0" w:rsidR="001037CE" w:rsidRDefault="001037CE" w:rsidP="001037CE">
      <w:pPr>
        <w:pStyle w:val="NormalWeb"/>
        <w:spacing w:before="0" w:beforeAutospacing="0" w:after="0" w:afterAutospacing="0" w:line="480" w:lineRule="auto"/>
        <w:ind w:right="75"/>
        <w:jc w:val="both"/>
        <w:rPr>
          <w:rFonts w:eastAsia="-webkit-standard"/>
          <w:color w:val="000000"/>
        </w:rPr>
      </w:pPr>
      <w:r>
        <w:rPr>
          <w:rFonts w:hint="eastAsia"/>
        </w:rPr>
        <w:t>The use of in vivo assessment in medicinal plants is for assessing effectiveness of medicinal plants for anemia in vivo</w:t>
      </w:r>
      <w:r>
        <w:t xml:space="preserve"> (</w:t>
      </w:r>
      <w:proofErr w:type="spellStart"/>
      <w:r>
        <w:t>Burkhill</w:t>
      </w:r>
      <w:proofErr w:type="spellEnd"/>
      <w:r>
        <w:t>, 1985)</w:t>
      </w:r>
      <w:r>
        <w:rPr>
          <w:rFonts w:hint="eastAsia"/>
        </w:rPr>
        <w:t xml:space="preserve">, researchers often conduct experiments using animal models. They administer extracts or preparations of the plant to the animals and then observe any changes in their blood parameters, such as hemoglobin levels or red blood cell count. Medicinal plants </w:t>
      </w:r>
      <w:r>
        <w:t>have</w:t>
      </w:r>
      <w:r>
        <w:rPr>
          <w:rFonts w:hint="eastAsia"/>
        </w:rPr>
        <w:t xml:space="preserve"> potential therapeutic benefits for treating anemia and various diseases</w:t>
      </w:r>
      <w:r>
        <w:t xml:space="preserve"> (</w:t>
      </w:r>
      <w:proofErr w:type="spellStart"/>
      <w:r>
        <w:t>Sofowora</w:t>
      </w:r>
      <w:proofErr w:type="spellEnd"/>
      <w:r>
        <w:t xml:space="preserve">, 1993; </w:t>
      </w:r>
      <w:proofErr w:type="spellStart"/>
      <w:r>
        <w:t>Temitayo</w:t>
      </w:r>
      <w:proofErr w:type="spellEnd"/>
      <w:r>
        <w:t xml:space="preserve"> and Omotayo, 2012).</w:t>
      </w:r>
    </w:p>
    <w:p w14:paraId="080726AD" w14:textId="77777777" w:rsidR="001037CE" w:rsidRDefault="001037CE" w:rsidP="001037CE">
      <w:pPr>
        <w:spacing w:line="480" w:lineRule="auto"/>
        <w:rPr>
          <w:rFonts w:ascii="Times New Roman" w:hAnsi="Times New Roman"/>
          <w:sz w:val="24"/>
        </w:rPr>
      </w:pPr>
      <w:r>
        <w:rPr>
          <w:rFonts w:ascii="Times New Roman" w:hAnsi="Times New Roman"/>
          <w:sz w:val="24"/>
        </w:rPr>
        <w:lastRenderedPageBreak/>
        <w:t>Phenylhydrazine is a chemical agent commonly used to induce hemolytic anemia (</w:t>
      </w:r>
      <w:proofErr w:type="spellStart"/>
      <w:r>
        <w:rPr>
          <w:rFonts w:ascii="Times New Roman" w:hAnsi="Times New Roman"/>
          <w:sz w:val="24"/>
        </w:rPr>
        <w:t>Yeshoda</w:t>
      </w:r>
      <w:proofErr w:type="spellEnd"/>
      <w:r>
        <w:rPr>
          <w:rFonts w:ascii="Times New Roman" w:hAnsi="Times New Roman"/>
          <w:sz w:val="24"/>
        </w:rPr>
        <w:t xml:space="preserve">, 1942; Clemens, 1984; </w:t>
      </w:r>
      <w:proofErr w:type="spellStart"/>
      <w:r>
        <w:rPr>
          <w:rFonts w:ascii="Times New Roman" w:hAnsi="Times New Roman"/>
          <w:sz w:val="24"/>
        </w:rPr>
        <w:t>Arbonnier</w:t>
      </w:r>
      <w:proofErr w:type="spellEnd"/>
      <w:r>
        <w:rPr>
          <w:rFonts w:ascii="Times New Roman" w:hAnsi="Times New Roman"/>
          <w:sz w:val="24"/>
        </w:rPr>
        <w:t xml:space="preserve">, 2000; Diallo et al, 2008, Ogbe et al., 2010; Luka et al., 2014, </w:t>
      </w:r>
      <w:proofErr w:type="spellStart"/>
      <w:r>
        <w:rPr>
          <w:rFonts w:ascii="Times New Roman" w:hAnsi="Times New Roman"/>
          <w:sz w:val="24"/>
        </w:rPr>
        <w:t>Aduwamai</w:t>
      </w:r>
      <w:proofErr w:type="spellEnd"/>
      <w:r>
        <w:rPr>
          <w:rFonts w:ascii="Times New Roman" w:hAnsi="Times New Roman"/>
          <w:sz w:val="24"/>
        </w:rPr>
        <w:t xml:space="preserve"> et al., 2024) in experimental animals. The first synthetic hydrazine derivative, phenylhydrazine, was created in 1875 by German organic scientist Hermann-Emil-Fischer. At room temperature, it is a light yellow crystalline or oily liquid, and at low temperatures, monoclinic prismatic crystals develop. It quickly turns dark brown or dark crimson in hue from oxidation in the air. Phenylhydrazine creates monoclinic prisms that, when exposed to air, melt into an oil at room temperature, turning it from yellow to dark crimson (Trease and Evans, 1989).</w:t>
      </w:r>
    </w:p>
    <w:p w14:paraId="15637FA2" w14:textId="77777777" w:rsidR="001037CE" w:rsidRDefault="001037CE" w:rsidP="001037CE">
      <w:pPr>
        <w:spacing w:line="480" w:lineRule="auto"/>
        <w:rPr>
          <w:rFonts w:ascii="Times New Roman" w:hAnsi="Times New Roman"/>
          <w:sz w:val="24"/>
        </w:rPr>
      </w:pPr>
      <w:r>
        <w:rPr>
          <w:rFonts w:ascii="Times New Roman" w:hAnsi="Times New Roman"/>
          <w:sz w:val="24"/>
        </w:rPr>
        <w:t>Anemia means a decreased number of red blood cells in circulation (Turner, 2018). Packed Cell Volume (PCV, also often called hematocrit) is the most common way to measure anemia and refers to the percentage of blood volume that is taken up by red blood cells. The normal PCV for a rat is</w:t>
      </w:r>
      <w:r>
        <w:rPr>
          <w:rFonts w:ascii="Times New Roman" w:hAnsi="Times New Roman"/>
          <w:sz w:val="24"/>
          <w:lang w:val="en-GB"/>
        </w:rPr>
        <w:t xml:space="preserve"> </w:t>
      </w:r>
      <w:r>
        <w:rPr>
          <w:rFonts w:ascii="Times New Roman" w:hAnsi="Times New Roman"/>
          <w:sz w:val="24"/>
        </w:rPr>
        <w:t>25-45%, and any PCV below 25% is considered anemic (Onyeabo et al., 2017).</w:t>
      </w:r>
      <w:r>
        <w:rPr>
          <w:rFonts w:ascii="Times New Roman" w:hAnsi="Times New Roman"/>
          <w:sz w:val="24"/>
          <w:lang w:val="en-GB"/>
        </w:rPr>
        <w:t xml:space="preserve"> </w:t>
      </w:r>
      <w:r>
        <w:rPr>
          <w:rFonts w:ascii="Times New Roman" w:hAnsi="Times New Roman"/>
          <w:sz w:val="24"/>
        </w:rPr>
        <w:t xml:space="preserve">The packed cell volume or </w:t>
      </w:r>
      <w:proofErr w:type="spellStart"/>
      <w:r>
        <w:rPr>
          <w:rFonts w:ascii="Times New Roman" w:hAnsi="Times New Roman"/>
          <w:sz w:val="24"/>
        </w:rPr>
        <w:t>haematocrit</w:t>
      </w:r>
      <w:proofErr w:type="spellEnd"/>
      <w:r>
        <w:rPr>
          <w:rFonts w:ascii="Times New Roman" w:hAnsi="Times New Roman"/>
          <w:sz w:val="24"/>
        </w:rPr>
        <w:t xml:space="preserve"> (PCV) is a measurement of the ratio of the volume occupied by the RBCs to the volume of whole blood in a sample of capillary or venous blood. There are many diseases that can be detected by testing Hematocrit. </w:t>
      </w:r>
      <w:r>
        <w:rPr>
          <w:rFonts w:ascii="Times New Roman" w:hAnsi="Times New Roman"/>
          <w:sz w:val="24"/>
          <w:lang w:val="en-GB"/>
        </w:rPr>
        <w:t>The aim of this study is t</w:t>
      </w:r>
      <w:r>
        <w:rPr>
          <w:rFonts w:ascii="Times New Roman" w:hAnsi="Times New Roman"/>
          <w:sz w:val="24"/>
        </w:rPr>
        <w:t xml:space="preserve">o evaluate the </w:t>
      </w:r>
      <w:proofErr w:type="spellStart"/>
      <w:r>
        <w:rPr>
          <w:rFonts w:ascii="Times New Roman" w:hAnsi="Times New Roman"/>
          <w:sz w:val="24"/>
          <w:lang w:val="en-GB"/>
        </w:rPr>
        <w:t>i</w:t>
      </w:r>
      <w:proofErr w:type="spellEnd"/>
      <w:r>
        <w:rPr>
          <w:rFonts w:ascii="Times New Roman" w:hAnsi="Times New Roman"/>
          <w:sz w:val="24"/>
        </w:rPr>
        <w:t>n-</w:t>
      </w:r>
      <w:r>
        <w:rPr>
          <w:rFonts w:ascii="Times New Roman" w:hAnsi="Times New Roman"/>
          <w:sz w:val="24"/>
          <w:lang w:val="en-GB"/>
        </w:rPr>
        <w:t>v</w:t>
      </w:r>
      <w:proofErr w:type="spellStart"/>
      <w:r>
        <w:rPr>
          <w:rFonts w:ascii="Times New Roman" w:hAnsi="Times New Roman"/>
          <w:sz w:val="24"/>
        </w:rPr>
        <w:t>ivo</w:t>
      </w:r>
      <w:proofErr w:type="spellEnd"/>
      <w:r>
        <w:rPr>
          <w:rFonts w:ascii="Times New Roman" w:hAnsi="Times New Roman"/>
          <w:sz w:val="24"/>
        </w:rPr>
        <w:t xml:space="preserve"> assessment of anemic potentials of </w:t>
      </w:r>
      <w:r>
        <w:rPr>
          <w:rFonts w:ascii="Times New Roman" w:hAnsi="Times New Roman"/>
          <w:i/>
          <w:iCs/>
          <w:sz w:val="24"/>
        </w:rPr>
        <w:t xml:space="preserve">Talinum </w:t>
      </w:r>
      <w:proofErr w:type="spellStart"/>
      <w:r>
        <w:rPr>
          <w:rFonts w:ascii="Times New Roman" w:hAnsi="Times New Roman"/>
          <w:i/>
          <w:iCs/>
          <w:sz w:val="24"/>
        </w:rPr>
        <w:t>triangulare</w:t>
      </w:r>
      <w:proofErr w:type="spellEnd"/>
      <w:r>
        <w:rPr>
          <w:rFonts w:ascii="Times New Roman" w:hAnsi="Times New Roman"/>
          <w:sz w:val="24"/>
        </w:rPr>
        <w:t xml:space="preserve"> in Female albino </w:t>
      </w:r>
      <w:r>
        <w:rPr>
          <w:rFonts w:ascii="Times New Roman" w:hAnsi="Times New Roman"/>
          <w:sz w:val="24"/>
          <w:lang w:val="en-GB"/>
        </w:rPr>
        <w:t>W</w:t>
      </w:r>
      <w:proofErr w:type="spellStart"/>
      <w:r>
        <w:rPr>
          <w:rFonts w:ascii="Times New Roman" w:hAnsi="Times New Roman"/>
          <w:sz w:val="24"/>
        </w:rPr>
        <w:t>istar</w:t>
      </w:r>
      <w:proofErr w:type="spellEnd"/>
      <w:r>
        <w:rPr>
          <w:rFonts w:ascii="Times New Roman" w:hAnsi="Times New Roman"/>
          <w:sz w:val="24"/>
        </w:rPr>
        <w:t xml:space="preserve"> rats.</w:t>
      </w:r>
    </w:p>
    <w:p w14:paraId="5C15FE74" w14:textId="77777777" w:rsidR="00310F6A" w:rsidRDefault="00310F6A" w:rsidP="00310F6A">
      <w:pPr>
        <w:pStyle w:val="NormalWeb"/>
        <w:spacing w:after="210" w:afterAutospacing="0" w:line="480" w:lineRule="auto"/>
        <w:jc w:val="both"/>
        <w:rPr>
          <w:rFonts w:eastAsia="-webkit-standard"/>
          <w:color w:val="000000"/>
          <w:lang w:val="en-GB"/>
        </w:rPr>
      </w:pPr>
      <w:r>
        <w:rPr>
          <w:rFonts w:eastAsia="-webkit-standard"/>
          <w:b/>
          <w:color w:val="000000"/>
        </w:rPr>
        <w:t>MATERIALS</w:t>
      </w:r>
      <w:r>
        <w:rPr>
          <w:rFonts w:eastAsia="-webkit-standard"/>
          <w:b/>
          <w:color w:val="000000"/>
          <w:lang w:val="en-GB"/>
        </w:rPr>
        <w:t xml:space="preserve"> AND METHODS</w:t>
      </w:r>
    </w:p>
    <w:p w14:paraId="52CF9A55" w14:textId="292CA7E3" w:rsidR="00310F6A" w:rsidRDefault="00310F6A" w:rsidP="00310F6A">
      <w:pPr>
        <w:widowControl/>
        <w:spacing w:after="100" w:afterAutospacing="1" w:line="480" w:lineRule="auto"/>
        <w:rPr>
          <w:rFonts w:ascii="Times New Roman" w:eastAsia="-webkit-standard" w:hAnsi="Times New Roman"/>
          <w:color w:val="000000"/>
          <w:sz w:val="24"/>
        </w:rPr>
      </w:pPr>
      <w:r>
        <w:rPr>
          <w:rFonts w:ascii="Times New Roman" w:eastAsia="Rubik" w:hAnsi="Times New Roman"/>
          <w:color w:val="333333"/>
          <w:sz w:val="24"/>
        </w:rPr>
        <w:t xml:space="preserve">Micro </w:t>
      </w:r>
      <w:proofErr w:type="spellStart"/>
      <w:r>
        <w:rPr>
          <w:rFonts w:ascii="Times New Roman" w:eastAsia="Rubik" w:hAnsi="Times New Roman"/>
          <w:color w:val="333333"/>
          <w:sz w:val="24"/>
        </w:rPr>
        <w:t>haematocrit</w:t>
      </w:r>
      <w:proofErr w:type="spellEnd"/>
      <w:r>
        <w:rPr>
          <w:rFonts w:ascii="Times New Roman" w:eastAsia="Rubik" w:hAnsi="Times New Roman"/>
          <w:color w:val="333333"/>
          <w:sz w:val="24"/>
        </w:rPr>
        <w:t xml:space="preserve"> (capillary) tubes,</w:t>
      </w:r>
      <w:r w:rsidR="002F4BB5">
        <w:rPr>
          <w:rFonts w:ascii="Times New Roman" w:eastAsia="Rubik" w:hAnsi="Times New Roman"/>
          <w:color w:val="333333"/>
          <w:sz w:val="24"/>
        </w:rPr>
        <w:t xml:space="preserve"> </w:t>
      </w:r>
      <w:r>
        <w:rPr>
          <w:rFonts w:ascii="Times New Roman" w:eastAsia="-webkit-standard" w:hAnsi="Times New Roman"/>
          <w:color w:val="000000"/>
          <w:sz w:val="24"/>
        </w:rPr>
        <w:t xml:space="preserve">Centrifuge, Refrigerator </w:t>
      </w:r>
      <w:r>
        <w:rPr>
          <w:rFonts w:ascii="Times New Roman" w:eastAsia="Rubik" w:hAnsi="Times New Roman"/>
          <w:color w:val="333333"/>
          <w:sz w:val="24"/>
        </w:rPr>
        <w:t>Clean, non-sterile gloves</w:t>
      </w:r>
      <w:r>
        <w:rPr>
          <w:rFonts w:ascii="Times New Roman" w:eastAsia="-webkit-standard" w:hAnsi="Times New Roman"/>
          <w:color w:val="000000"/>
          <w:sz w:val="24"/>
        </w:rPr>
        <w:t>, Micro Pipette, Cotton Wool, Needle</w:t>
      </w:r>
      <w:r w:rsidR="002F4BB5">
        <w:rPr>
          <w:rFonts w:ascii="Times New Roman" w:eastAsia="-webkit-standard" w:hAnsi="Times New Roman"/>
          <w:color w:val="000000"/>
          <w:sz w:val="24"/>
        </w:rPr>
        <w:t>,</w:t>
      </w:r>
      <w:r>
        <w:rPr>
          <w:rFonts w:ascii="Times New Roman" w:eastAsia="-webkit-standard" w:hAnsi="Times New Roman"/>
          <w:color w:val="000000"/>
          <w:sz w:val="24"/>
        </w:rPr>
        <w:t xml:space="preserve"> Syringe, Hand Gloves, Sample Bottles, Capillary Tubes, </w:t>
      </w:r>
      <w:r w:rsidR="002F4BB5">
        <w:rPr>
          <w:rFonts w:ascii="Times New Roman" w:eastAsia="-webkit-standard" w:hAnsi="Times New Roman"/>
          <w:color w:val="000000"/>
          <w:sz w:val="24"/>
        </w:rPr>
        <w:t>Sealants,</w:t>
      </w:r>
      <w:r>
        <w:rPr>
          <w:rFonts w:ascii="Times New Roman" w:eastAsia="-webkit-standard" w:hAnsi="Times New Roman"/>
          <w:color w:val="000000"/>
          <w:sz w:val="24"/>
        </w:rPr>
        <w:t xml:space="preserve"> Pheny</w:t>
      </w:r>
      <w:r w:rsidR="002F4BB5">
        <w:rPr>
          <w:rFonts w:ascii="Times New Roman" w:eastAsia="-webkit-standard" w:hAnsi="Times New Roman"/>
          <w:color w:val="000000"/>
          <w:sz w:val="24"/>
        </w:rPr>
        <w:t>l</w:t>
      </w:r>
      <w:r>
        <w:rPr>
          <w:rFonts w:ascii="Times New Roman" w:eastAsia="-webkit-standard" w:hAnsi="Times New Roman"/>
          <w:color w:val="000000"/>
          <w:sz w:val="24"/>
        </w:rPr>
        <w:t>hydrazine, Sodium</w:t>
      </w:r>
      <w:r w:rsidR="002F4BB5">
        <w:rPr>
          <w:rFonts w:ascii="Times New Roman" w:eastAsia="-webkit-standard" w:hAnsi="Times New Roman"/>
          <w:color w:val="000000"/>
          <w:sz w:val="24"/>
        </w:rPr>
        <w:t xml:space="preserve"> </w:t>
      </w:r>
      <w:r>
        <w:rPr>
          <w:rFonts w:ascii="Times New Roman" w:eastAsia="-webkit-standard" w:hAnsi="Times New Roman"/>
          <w:color w:val="000000"/>
          <w:sz w:val="24"/>
        </w:rPr>
        <w:t>chloride, Methylated Spirit,</w:t>
      </w:r>
      <w:r w:rsidR="002F4BB5">
        <w:rPr>
          <w:rFonts w:ascii="Times New Roman" w:eastAsia="-webkit-standard" w:hAnsi="Times New Roman"/>
          <w:color w:val="000000"/>
          <w:sz w:val="24"/>
        </w:rPr>
        <w:t xml:space="preserve"> </w:t>
      </w:r>
      <w:r>
        <w:rPr>
          <w:rFonts w:ascii="Times New Roman" w:eastAsia="-webkit-standard" w:hAnsi="Times New Roman"/>
          <w:color w:val="000000"/>
          <w:sz w:val="24"/>
        </w:rPr>
        <w:t>Distilled Water.</w:t>
      </w:r>
    </w:p>
    <w:p w14:paraId="016081D4" w14:textId="77777777" w:rsidR="00310F6A" w:rsidRDefault="00310F6A" w:rsidP="00310F6A">
      <w:pPr>
        <w:pStyle w:val="NormalWeb"/>
        <w:spacing w:after="210" w:afterAutospacing="0" w:line="480" w:lineRule="auto"/>
        <w:jc w:val="both"/>
        <w:rPr>
          <w:rFonts w:eastAsia="-webkit-standard"/>
          <w:color w:val="000000"/>
        </w:rPr>
      </w:pPr>
      <w:r>
        <w:rPr>
          <w:rFonts w:eastAsia="-webkit-standard"/>
          <w:b/>
          <w:color w:val="000000"/>
        </w:rPr>
        <w:t>Methods</w:t>
      </w:r>
    </w:p>
    <w:p w14:paraId="6E615869" w14:textId="77777777" w:rsidR="00310F6A" w:rsidRDefault="00310F6A" w:rsidP="00310F6A">
      <w:pPr>
        <w:pStyle w:val="NormalWeb"/>
        <w:spacing w:after="180" w:afterAutospacing="0" w:line="480" w:lineRule="auto"/>
        <w:jc w:val="both"/>
        <w:rPr>
          <w:rFonts w:eastAsia="-webkit-standard"/>
          <w:color w:val="000000"/>
        </w:rPr>
      </w:pPr>
      <w:r>
        <w:rPr>
          <w:rFonts w:eastAsia="-webkit-standard"/>
          <w:b/>
          <w:color w:val="000000"/>
        </w:rPr>
        <w:t>Plant Extraction procedure </w:t>
      </w:r>
    </w:p>
    <w:p w14:paraId="2789AF68" w14:textId="55D236F7" w:rsidR="00310F6A" w:rsidRDefault="00310F6A" w:rsidP="00310F6A">
      <w:pPr>
        <w:pStyle w:val="NormalWeb"/>
        <w:spacing w:after="0" w:afterAutospacing="0" w:line="480" w:lineRule="auto"/>
        <w:jc w:val="both"/>
        <w:rPr>
          <w:rFonts w:eastAsia="-webkit-standard"/>
          <w:color w:val="000000"/>
        </w:rPr>
      </w:pPr>
      <w:r>
        <w:rPr>
          <w:rFonts w:eastAsia="-webkit-standard"/>
          <w:color w:val="000000"/>
        </w:rPr>
        <w:lastRenderedPageBreak/>
        <w:t xml:space="preserve">Fresh plant of T. triangulare was bought freshly from </w:t>
      </w:r>
      <w:proofErr w:type="spellStart"/>
      <w:r w:rsidR="002F4BB5">
        <w:rPr>
          <w:rFonts w:eastAsia="-webkit-standard"/>
          <w:color w:val="000000"/>
        </w:rPr>
        <w:t>O</w:t>
      </w:r>
      <w:r>
        <w:rPr>
          <w:rFonts w:eastAsia="-webkit-standard"/>
          <w:color w:val="000000"/>
        </w:rPr>
        <w:t>je</w:t>
      </w:r>
      <w:proofErr w:type="spellEnd"/>
      <w:r>
        <w:rPr>
          <w:rFonts w:eastAsia="-webkit-standard"/>
          <w:color w:val="000000"/>
        </w:rPr>
        <w:t xml:space="preserve"> market </w:t>
      </w:r>
      <w:r w:rsidR="002F4BB5">
        <w:rPr>
          <w:rFonts w:eastAsia="-webkit-standard"/>
          <w:color w:val="000000"/>
        </w:rPr>
        <w:t>E</w:t>
      </w:r>
      <w:r>
        <w:rPr>
          <w:rFonts w:eastAsia="-webkit-standard"/>
          <w:color w:val="000000"/>
        </w:rPr>
        <w:t>de</w:t>
      </w:r>
      <w:r w:rsidR="0052265F">
        <w:rPr>
          <w:rFonts w:eastAsia="-webkit-standard"/>
          <w:color w:val="000000"/>
        </w:rPr>
        <w:t>, Osun State, Nigeria.</w:t>
      </w:r>
      <w:r>
        <w:rPr>
          <w:rFonts w:eastAsia="-webkit-standard"/>
          <w:color w:val="000000"/>
        </w:rPr>
        <w:t xml:space="preserve"> The plant was identified in the laboratory. The leaves </w:t>
      </w:r>
      <w:r w:rsidR="002F4BB5">
        <w:rPr>
          <w:rFonts w:eastAsia="-webkit-standard"/>
          <w:color w:val="000000"/>
        </w:rPr>
        <w:t>were</w:t>
      </w:r>
      <w:r>
        <w:rPr>
          <w:rFonts w:eastAsia="-webkit-standard"/>
          <w:color w:val="000000"/>
        </w:rPr>
        <w:t xml:space="preserve"> then air dried for four weeks and then when dried was grounded using blender and 500g was weighed and diluted into 5 liters distilled water.</w:t>
      </w:r>
    </w:p>
    <w:p w14:paraId="681AE027" w14:textId="77777777" w:rsidR="00310F6A" w:rsidRDefault="00310F6A" w:rsidP="00310F6A">
      <w:pPr>
        <w:pStyle w:val="NormalWeb"/>
        <w:spacing w:after="0" w:afterAutospacing="0" w:line="480" w:lineRule="auto"/>
        <w:jc w:val="both"/>
        <w:rPr>
          <w:rFonts w:eastAsia="-webkit-standard"/>
          <w:color w:val="000000"/>
        </w:rPr>
      </w:pPr>
      <w:r>
        <w:rPr>
          <w:rFonts w:eastAsia="-webkit-standard"/>
          <w:color w:val="000000"/>
        </w:rPr>
        <w:t>The solution was kept under appropriate temperature for 72hours. The extract was filtered and the filtrate taken for rotary evaporation at Redeemer’s University Ede. The residue obtained was kept in a beaker until when needed. </w:t>
      </w:r>
    </w:p>
    <w:p w14:paraId="6A161AEC" w14:textId="77777777" w:rsidR="00310F6A" w:rsidRDefault="00310F6A" w:rsidP="00310F6A">
      <w:pPr>
        <w:pStyle w:val="NormalWeb"/>
        <w:spacing w:after="180" w:afterAutospacing="0" w:line="480" w:lineRule="auto"/>
        <w:jc w:val="both"/>
        <w:rPr>
          <w:rFonts w:eastAsia="-webkit-standard"/>
          <w:color w:val="000000"/>
        </w:rPr>
      </w:pPr>
      <w:r>
        <w:rPr>
          <w:rFonts w:eastAsia="-webkit-standard"/>
          <w:color w:val="000000"/>
        </w:rPr>
        <w:t> </w:t>
      </w:r>
      <w:r>
        <w:rPr>
          <w:rFonts w:eastAsia="-webkit-standard"/>
          <w:b/>
          <w:color w:val="000000"/>
        </w:rPr>
        <w:t>Animal Housing </w:t>
      </w:r>
    </w:p>
    <w:p w14:paraId="6D13B902" w14:textId="19799060" w:rsidR="00310F6A" w:rsidRDefault="00310F6A" w:rsidP="00310F6A">
      <w:pPr>
        <w:pStyle w:val="NormalWeb"/>
        <w:spacing w:after="180" w:afterAutospacing="0" w:line="480" w:lineRule="auto"/>
        <w:jc w:val="both"/>
        <w:rPr>
          <w:rFonts w:eastAsia="-webkit-standard"/>
          <w:color w:val="000000"/>
        </w:rPr>
      </w:pPr>
      <w:r>
        <w:rPr>
          <w:rFonts w:eastAsia="-webkit-standard"/>
          <w:color w:val="000000"/>
        </w:rPr>
        <w:t>Thirty healthy female Wistar rats, weighing 120-150g, were breed at the Animal house</w:t>
      </w:r>
      <w:r w:rsidR="008C76FA">
        <w:rPr>
          <w:rFonts w:eastAsia="-webkit-standard"/>
          <w:color w:val="000000"/>
        </w:rPr>
        <w:t>,</w:t>
      </w:r>
      <w:r>
        <w:rPr>
          <w:rFonts w:eastAsia="-webkit-standard"/>
          <w:color w:val="000000"/>
        </w:rPr>
        <w:t xml:space="preserve"> Federal Polytechnic Ede. The animals were housed in plastic cages under conducive environment</w:t>
      </w:r>
      <w:r w:rsidR="008C76FA">
        <w:rPr>
          <w:rFonts w:eastAsia="-webkit-standard"/>
          <w:color w:val="000000"/>
        </w:rPr>
        <w:t xml:space="preserve">. </w:t>
      </w:r>
      <w:r>
        <w:rPr>
          <w:rFonts w:eastAsia="-webkit-standard"/>
          <w:color w:val="000000"/>
        </w:rPr>
        <w:t xml:space="preserve">All rats were fed </w:t>
      </w:r>
      <w:r w:rsidR="008C76FA" w:rsidRPr="008C76FA">
        <w:rPr>
          <w:rFonts w:eastAsia="-webkit-standard"/>
          <w:i/>
          <w:iCs/>
          <w:color w:val="000000"/>
        </w:rPr>
        <w:t>ad libitum</w:t>
      </w:r>
      <w:r>
        <w:rPr>
          <w:rFonts w:eastAsia="-webkit-standard"/>
          <w:color w:val="000000"/>
        </w:rPr>
        <w:t>. The animals were acclimatized for 1 week before the beginning of the study.</w:t>
      </w:r>
    </w:p>
    <w:p w14:paraId="28AD636F" w14:textId="77777777" w:rsidR="00310F6A" w:rsidRDefault="00310F6A" w:rsidP="00310F6A">
      <w:pPr>
        <w:pStyle w:val="NormalWeb"/>
        <w:spacing w:after="180" w:afterAutospacing="0" w:line="480" w:lineRule="auto"/>
        <w:jc w:val="both"/>
        <w:rPr>
          <w:rFonts w:eastAsia="-webkit-standard"/>
          <w:b/>
          <w:bCs/>
          <w:color w:val="000000"/>
        </w:rPr>
      </w:pPr>
      <w:r>
        <w:rPr>
          <w:rFonts w:eastAsia="-webkit-standard"/>
          <w:b/>
          <w:bCs/>
          <w:color w:val="000000"/>
        </w:rPr>
        <w:t>Animal grouping</w:t>
      </w:r>
    </w:p>
    <w:p w14:paraId="1ECC6DC5" w14:textId="1E6A4D28" w:rsidR="00310F6A" w:rsidRDefault="00310F6A" w:rsidP="00310F6A">
      <w:pPr>
        <w:pStyle w:val="NormalWeb"/>
        <w:spacing w:after="180" w:afterAutospacing="0" w:line="480" w:lineRule="auto"/>
        <w:jc w:val="both"/>
        <w:rPr>
          <w:rFonts w:eastAsia="-webkit-standard"/>
          <w:color w:val="000000"/>
        </w:rPr>
      </w:pPr>
      <w:r>
        <w:rPr>
          <w:rFonts w:eastAsia="-webkit-standard"/>
          <w:color w:val="000000"/>
        </w:rPr>
        <w:t xml:space="preserve">Thirty female </w:t>
      </w:r>
      <w:r w:rsidR="008C76FA">
        <w:rPr>
          <w:rFonts w:eastAsia="-webkit-standard"/>
          <w:color w:val="000000"/>
        </w:rPr>
        <w:t>Wistar</w:t>
      </w:r>
      <w:r>
        <w:rPr>
          <w:rFonts w:eastAsia="-webkit-standard"/>
          <w:color w:val="000000"/>
        </w:rPr>
        <w:t xml:space="preserve"> albino rats w</w:t>
      </w:r>
      <w:r w:rsidR="008C76FA">
        <w:rPr>
          <w:rFonts w:eastAsia="-webkit-standard"/>
          <w:color w:val="000000"/>
        </w:rPr>
        <w:t>ere</w:t>
      </w:r>
      <w:r>
        <w:rPr>
          <w:rFonts w:eastAsia="-webkit-standard"/>
          <w:color w:val="000000"/>
        </w:rPr>
        <w:t xml:space="preserve"> divided into six groups ranging from 120g-150g of five rats each hosted in separate cages</w:t>
      </w:r>
      <w:r w:rsidR="00D61551">
        <w:rPr>
          <w:rFonts w:eastAsia="-webkit-standard"/>
          <w:color w:val="000000"/>
        </w:rPr>
        <w:t xml:space="preserve">. </w:t>
      </w:r>
      <w:r>
        <w:rPr>
          <w:rFonts w:eastAsia="-webkit-standard"/>
          <w:color w:val="000000"/>
        </w:rPr>
        <w:t>The 6 groups of animals will in addition to normal feed and water and will be treated in the following order:</w:t>
      </w:r>
    </w:p>
    <w:p w14:paraId="239BED3E" w14:textId="0B47A737" w:rsidR="00310F6A" w:rsidRDefault="00310F6A" w:rsidP="00310F6A">
      <w:pPr>
        <w:pStyle w:val="NormalWeb"/>
        <w:spacing w:after="180" w:afterAutospacing="0" w:line="480" w:lineRule="auto"/>
        <w:jc w:val="both"/>
        <w:rPr>
          <w:rFonts w:eastAsia="-webkit-standard"/>
          <w:color w:val="000000"/>
        </w:rPr>
      </w:pPr>
      <w:r>
        <w:rPr>
          <w:rFonts w:eastAsia="-webkit-standard"/>
          <w:color w:val="000000"/>
        </w:rPr>
        <w:t xml:space="preserve">Group </w:t>
      </w:r>
      <w:r w:rsidR="00D61551">
        <w:rPr>
          <w:rFonts w:eastAsia="-webkit-standard"/>
          <w:color w:val="000000"/>
        </w:rPr>
        <w:t>1</w:t>
      </w:r>
      <w:r>
        <w:rPr>
          <w:rFonts w:eastAsia="-webkit-standard"/>
          <w:color w:val="000000"/>
        </w:rPr>
        <w:t>:</w:t>
      </w:r>
      <w:r w:rsidR="008C76FA">
        <w:rPr>
          <w:rFonts w:eastAsia="-webkit-standard"/>
          <w:color w:val="000000"/>
        </w:rPr>
        <w:t xml:space="preserve"> </w:t>
      </w:r>
      <w:r>
        <w:rPr>
          <w:rFonts w:eastAsia="-webkit-standard"/>
          <w:color w:val="000000"/>
        </w:rPr>
        <w:t>Anemic and treated with 100mg/kg body weight talinum triangulare for 28 days.</w:t>
      </w:r>
    </w:p>
    <w:p w14:paraId="2FE932B9" w14:textId="67F04778" w:rsidR="00310F6A" w:rsidRDefault="00310F6A" w:rsidP="00310F6A">
      <w:pPr>
        <w:pStyle w:val="NormalWeb"/>
        <w:spacing w:after="180" w:afterAutospacing="0" w:line="480" w:lineRule="auto"/>
        <w:jc w:val="both"/>
        <w:rPr>
          <w:rFonts w:eastAsia="-webkit-standard"/>
          <w:color w:val="000000"/>
        </w:rPr>
      </w:pPr>
      <w:r>
        <w:rPr>
          <w:rFonts w:eastAsia="-webkit-standard"/>
          <w:color w:val="000000"/>
        </w:rPr>
        <w:t xml:space="preserve">Group </w:t>
      </w:r>
      <w:r w:rsidR="00D61551">
        <w:rPr>
          <w:rFonts w:eastAsia="-webkit-standard"/>
          <w:color w:val="000000"/>
        </w:rPr>
        <w:t>2</w:t>
      </w:r>
      <w:r w:rsidR="008C76FA">
        <w:rPr>
          <w:rFonts w:eastAsia="-webkit-standard"/>
          <w:color w:val="000000"/>
        </w:rPr>
        <w:t>:</w:t>
      </w:r>
      <w:r>
        <w:rPr>
          <w:rFonts w:eastAsia="-webkit-standard"/>
          <w:color w:val="000000"/>
        </w:rPr>
        <w:t xml:space="preserve"> Anemic and treated with 200mg/kg body weight talinum triangulare for 28 days.</w:t>
      </w:r>
    </w:p>
    <w:p w14:paraId="204BBCD3" w14:textId="025D8FDD" w:rsidR="00310F6A" w:rsidRDefault="00310F6A" w:rsidP="00310F6A">
      <w:pPr>
        <w:pStyle w:val="NormalWeb"/>
        <w:spacing w:after="180" w:afterAutospacing="0" w:line="480" w:lineRule="auto"/>
        <w:jc w:val="both"/>
        <w:rPr>
          <w:rFonts w:eastAsia="-webkit-standard"/>
          <w:color w:val="000000"/>
        </w:rPr>
      </w:pPr>
      <w:r>
        <w:rPr>
          <w:rFonts w:eastAsia="-webkit-standard"/>
          <w:color w:val="000000"/>
        </w:rPr>
        <w:t xml:space="preserve">Group </w:t>
      </w:r>
      <w:r w:rsidR="00D61551">
        <w:rPr>
          <w:rFonts w:eastAsia="-webkit-standard"/>
          <w:color w:val="000000"/>
        </w:rPr>
        <w:t>3</w:t>
      </w:r>
      <w:r>
        <w:rPr>
          <w:rFonts w:eastAsia="-webkit-standard"/>
          <w:color w:val="000000"/>
        </w:rPr>
        <w:t>: Anemic and treated with 300mg/kg body weight talinum triangulare for 28 days</w:t>
      </w:r>
    </w:p>
    <w:p w14:paraId="1497A76C" w14:textId="64481C42" w:rsidR="00310F6A" w:rsidRDefault="00310F6A" w:rsidP="00310F6A">
      <w:pPr>
        <w:pStyle w:val="NormalWeb"/>
        <w:spacing w:after="180" w:afterAutospacing="0" w:line="480" w:lineRule="auto"/>
        <w:jc w:val="both"/>
        <w:rPr>
          <w:rFonts w:eastAsia="-webkit-standard"/>
          <w:color w:val="000000"/>
        </w:rPr>
      </w:pPr>
      <w:r>
        <w:rPr>
          <w:rFonts w:eastAsia="-webkit-standard"/>
          <w:color w:val="000000"/>
        </w:rPr>
        <w:t xml:space="preserve">Group </w:t>
      </w:r>
      <w:r w:rsidR="00D61551">
        <w:rPr>
          <w:rFonts w:eastAsia="-webkit-standard"/>
          <w:color w:val="000000"/>
        </w:rPr>
        <w:t>4</w:t>
      </w:r>
      <w:r>
        <w:rPr>
          <w:rFonts w:eastAsia="-webkit-standard"/>
          <w:color w:val="000000"/>
        </w:rPr>
        <w:t>: Anemic and treated with 400mg/kg body weight talinum triangulare. for 28 days</w:t>
      </w:r>
    </w:p>
    <w:p w14:paraId="18FE99A0" w14:textId="3178D512" w:rsidR="00310F6A" w:rsidRDefault="00310F6A" w:rsidP="00310F6A">
      <w:pPr>
        <w:pStyle w:val="NormalWeb"/>
        <w:spacing w:after="180" w:afterAutospacing="0" w:line="480" w:lineRule="auto"/>
        <w:jc w:val="both"/>
        <w:rPr>
          <w:rFonts w:eastAsia="-webkit-standard"/>
          <w:color w:val="000000"/>
        </w:rPr>
      </w:pPr>
      <w:r>
        <w:rPr>
          <w:rFonts w:eastAsia="-webkit-standard"/>
          <w:color w:val="000000"/>
        </w:rPr>
        <w:lastRenderedPageBreak/>
        <w:t xml:space="preserve">Group </w:t>
      </w:r>
      <w:r w:rsidR="00D61551">
        <w:rPr>
          <w:rFonts w:eastAsia="-webkit-standard"/>
          <w:color w:val="000000"/>
        </w:rPr>
        <w:t>5</w:t>
      </w:r>
      <w:r>
        <w:rPr>
          <w:rFonts w:eastAsia="-webkit-standard"/>
          <w:color w:val="000000"/>
        </w:rPr>
        <w:t xml:space="preserve">: Anemic and treated with </w:t>
      </w:r>
      <w:proofErr w:type="spellStart"/>
      <w:r>
        <w:rPr>
          <w:rFonts w:eastAsia="-webkit-standard"/>
          <w:color w:val="000000"/>
        </w:rPr>
        <w:t>bunto</w:t>
      </w:r>
      <w:proofErr w:type="spellEnd"/>
      <w:r>
        <w:rPr>
          <w:rFonts w:eastAsia="-webkit-standard"/>
          <w:color w:val="000000"/>
        </w:rPr>
        <w:t xml:space="preserve"> blood tonic for 28 days.</w:t>
      </w:r>
    </w:p>
    <w:p w14:paraId="7A585C39" w14:textId="3553634D" w:rsidR="00310F6A" w:rsidRDefault="00310F6A" w:rsidP="00310F6A">
      <w:pPr>
        <w:pStyle w:val="NormalWeb"/>
        <w:spacing w:after="180" w:afterAutospacing="0" w:line="480" w:lineRule="auto"/>
        <w:jc w:val="both"/>
        <w:rPr>
          <w:rFonts w:eastAsia="-webkit-standard"/>
          <w:color w:val="000000"/>
        </w:rPr>
      </w:pPr>
      <w:r>
        <w:rPr>
          <w:rFonts w:eastAsia="-webkit-standard"/>
          <w:color w:val="000000"/>
        </w:rPr>
        <w:t xml:space="preserve">Group </w:t>
      </w:r>
      <w:r w:rsidR="00D61551">
        <w:rPr>
          <w:rFonts w:eastAsia="-webkit-standard"/>
          <w:color w:val="000000"/>
        </w:rPr>
        <w:t>6</w:t>
      </w:r>
      <w:r>
        <w:rPr>
          <w:rFonts w:eastAsia="-webkit-standard"/>
          <w:color w:val="000000"/>
        </w:rPr>
        <w:t>: Not anemic and no treatment for 28 days.</w:t>
      </w:r>
      <w:r w:rsidR="008C76FA">
        <w:rPr>
          <w:rFonts w:eastAsia="-webkit-standard"/>
          <w:color w:val="000000"/>
        </w:rPr>
        <w:t xml:space="preserve"> (control group, given Normal Saline-NS)</w:t>
      </w:r>
    </w:p>
    <w:p w14:paraId="014D34DF" w14:textId="77777777" w:rsidR="008C76FA" w:rsidRDefault="008C76FA" w:rsidP="00310F6A">
      <w:pPr>
        <w:pStyle w:val="NormalWeb"/>
        <w:spacing w:after="180" w:afterAutospacing="0" w:line="480" w:lineRule="auto"/>
        <w:jc w:val="both"/>
        <w:rPr>
          <w:rFonts w:eastAsia="-webkit-standard"/>
          <w:b/>
          <w:color w:val="000000"/>
        </w:rPr>
      </w:pPr>
    </w:p>
    <w:p w14:paraId="2AD6F364" w14:textId="2097F98C" w:rsidR="00310F6A" w:rsidRDefault="00310F6A" w:rsidP="00310F6A">
      <w:pPr>
        <w:pStyle w:val="NormalWeb"/>
        <w:spacing w:after="180" w:afterAutospacing="0" w:line="480" w:lineRule="auto"/>
        <w:jc w:val="both"/>
        <w:rPr>
          <w:rFonts w:eastAsia="-webkit-standard"/>
          <w:color w:val="000000"/>
        </w:rPr>
      </w:pPr>
      <w:r>
        <w:rPr>
          <w:rFonts w:eastAsia="-webkit-standard"/>
          <w:b/>
          <w:color w:val="000000"/>
        </w:rPr>
        <w:t>Induction of anemia</w:t>
      </w:r>
    </w:p>
    <w:p w14:paraId="13440066" w14:textId="5B1A84BB" w:rsidR="00310F6A" w:rsidRDefault="00310F6A" w:rsidP="00310F6A">
      <w:pPr>
        <w:pStyle w:val="NormalWeb"/>
        <w:spacing w:after="180" w:afterAutospacing="0" w:line="480" w:lineRule="auto"/>
        <w:jc w:val="both"/>
        <w:rPr>
          <w:rFonts w:eastAsia="-webkit-standard"/>
          <w:color w:val="000000"/>
        </w:rPr>
      </w:pPr>
      <w:r>
        <w:rPr>
          <w:rFonts w:eastAsia="-webkit-standard"/>
          <w:color w:val="000000"/>
        </w:rPr>
        <w:t xml:space="preserve">Anemia was induced by Intraperitoneal (IP) injection of PHZ at 40 mg/kg for 2 consecutive days. Rats that developed anemia with </w:t>
      </w:r>
      <w:r w:rsidR="0083091A">
        <w:rPr>
          <w:rFonts w:eastAsia="-webkit-standard"/>
          <w:color w:val="000000"/>
        </w:rPr>
        <w:t>PCV%</w:t>
      </w:r>
      <w:r>
        <w:rPr>
          <w:rFonts w:eastAsia="-webkit-standard"/>
          <w:color w:val="000000"/>
        </w:rPr>
        <w:t xml:space="preserve"> lower than 25</w:t>
      </w:r>
      <w:r w:rsidR="0083091A">
        <w:rPr>
          <w:rFonts w:eastAsia="-webkit-standard"/>
          <w:color w:val="000000"/>
        </w:rPr>
        <w:t>%</w:t>
      </w:r>
      <w:r>
        <w:rPr>
          <w:rFonts w:eastAsia="-webkit-standard"/>
          <w:color w:val="000000"/>
        </w:rPr>
        <w:t xml:space="preserve"> were considered anemic and were used for the study (</w:t>
      </w:r>
      <w:r>
        <w:rPr>
          <w:rFonts w:eastAsia="-webkit-standard"/>
          <w:color w:val="222222"/>
          <w:shd w:val="clear" w:color="auto" w:fill="FFFFFF"/>
        </w:rPr>
        <w:t>Garrod and O'</w:t>
      </w:r>
      <w:r w:rsidR="008C76FA">
        <w:rPr>
          <w:rFonts w:eastAsia="-webkit-standard"/>
          <w:color w:val="222222"/>
          <w:shd w:val="clear" w:color="auto" w:fill="FFFFFF"/>
        </w:rPr>
        <w:t>G</w:t>
      </w:r>
      <w:r>
        <w:rPr>
          <w:rFonts w:eastAsia="-webkit-standard"/>
          <w:color w:val="222222"/>
          <w:shd w:val="clear" w:color="auto" w:fill="FFFFFF"/>
        </w:rPr>
        <w:t>rady, (1971</w:t>
      </w:r>
      <w:r w:rsidR="0052265F">
        <w:rPr>
          <w:rFonts w:eastAsia="-webkit-standard"/>
          <w:color w:val="222222"/>
          <w:shd w:val="clear" w:color="auto" w:fill="FFFFFF"/>
        </w:rPr>
        <w:t xml:space="preserve">; </w:t>
      </w:r>
      <w:proofErr w:type="spellStart"/>
      <w:r w:rsidR="0052265F">
        <w:rPr>
          <w:rFonts w:eastAsia="-webkit-standard"/>
          <w:color w:val="222222"/>
          <w:shd w:val="clear" w:color="auto" w:fill="FFFFFF"/>
        </w:rPr>
        <w:t>Chinko</w:t>
      </w:r>
      <w:proofErr w:type="spellEnd"/>
      <w:r w:rsidR="0052265F">
        <w:rPr>
          <w:rFonts w:eastAsia="-webkit-standard"/>
          <w:color w:val="222222"/>
          <w:shd w:val="clear" w:color="auto" w:fill="FFFFFF"/>
        </w:rPr>
        <w:t xml:space="preserve"> et al., 2020</w:t>
      </w:r>
      <w:r>
        <w:rPr>
          <w:rFonts w:eastAsia="-webkit-standard"/>
          <w:color w:val="212121"/>
          <w:shd w:val="clear" w:color="auto" w:fill="FFFFFF"/>
        </w:rPr>
        <w:t>).</w:t>
      </w:r>
    </w:p>
    <w:p w14:paraId="32CFFDF5" w14:textId="2362E9CE" w:rsidR="00310F6A" w:rsidRDefault="00310F6A" w:rsidP="0052265F">
      <w:pPr>
        <w:pStyle w:val="NormalWeb"/>
        <w:tabs>
          <w:tab w:val="left" w:pos="8505"/>
        </w:tabs>
        <w:spacing w:after="180" w:afterAutospacing="0" w:line="480" w:lineRule="auto"/>
        <w:jc w:val="both"/>
        <w:rPr>
          <w:rFonts w:eastAsia="-webkit-standard"/>
          <w:color w:val="000000"/>
        </w:rPr>
      </w:pPr>
      <w:r>
        <w:rPr>
          <w:rFonts w:eastAsia="-webkit-standard"/>
          <w:b/>
          <w:color w:val="000000"/>
        </w:rPr>
        <w:t>Collection of blood sample </w:t>
      </w:r>
      <w:r w:rsidR="0052265F">
        <w:rPr>
          <w:rFonts w:eastAsia="-webkit-standard"/>
          <w:b/>
          <w:color w:val="000000"/>
        </w:rPr>
        <w:tab/>
      </w:r>
    </w:p>
    <w:p w14:paraId="704E5C9E" w14:textId="2FB0E635" w:rsidR="00310F6A" w:rsidRDefault="00310F6A" w:rsidP="00310F6A">
      <w:pPr>
        <w:pStyle w:val="NormalWeb"/>
        <w:spacing w:before="0" w:beforeAutospacing="0" w:after="0" w:afterAutospacing="0" w:line="480" w:lineRule="auto"/>
        <w:ind w:right="75"/>
        <w:jc w:val="both"/>
        <w:rPr>
          <w:rFonts w:eastAsia="-webkit-standard"/>
          <w:color w:val="000000"/>
        </w:rPr>
      </w:pPr>
      <w:r>
        <w:rPr>
          <w:rFonts w:eastAsia="-webkit-standard"/>
          <w:color w:val="212121"/>
          <w:shd w:val="clear" w:color="auto" w:fill="FFFFFF"/>
        </w:rPr>
        <w:t>The tail was immersed in 42 °C water for 40-50 sec to dilate blood vessels and the tail was dried with a paper towel.  The tail vein was made to ble</w:t>
      </w:r>
      <w:r w:rsidR="008C76FA">
        <w:rPr>
          <w:rFonts w:eastAsia="-webkit-standard"/>
          <w:color w:val="212121"/>
          <w:shd w:val="clear" w:color="auto" w:fill="FFFFFF"/>
        </w:rPr>
        <w:t>e</w:t>
      </w:r>
      <w:r>
        <w:rPr>
          <w:rFonts w:eastAsia="-webkit-standard"/>
          <w:color w:val="212121"/>
          <w:shd w:val="clear" w:color="auto" w:fill="FFFFFF"/>
        </w:rPr>
        <w:t>d (the whole body was rotated with the tail to prevent twisting the tail).</w:t>
      </w:r>
      <w:r>
        <w:rPr>
          <w:rFonts w:eastAsia="-webkit-standard"/>
          <w:color w:val="212121"/>
        </w:rPr>
        <w:t> The left and right tail veins that lie lateral to the artery were targeted and the tail was pigmented, which varies by strain and increases with age. </w:t>
      </w:r>
      <w:r>
        <w:rPr>
          <w:rFonts w:eastAsia="-webkit-standard"/>
          <w:color w:val="212121"/>
          <w:shd w:val="clear" w:color="auto" w:fill="FFFFFF"/>
        </w:rPr>
        <w:t>Slowly the catheter was inserted into the vein at a shallow angle approximately 5 cm from the tip of the tail. When the vein is penetrated, blood will flow into the catheter. Slowly withdraw the plunger of the syringe to collect the desired volume at a steady rate (~20 µl per sec).</w:t>
      </w:r>
      <w:r w:rsidR="008C76FA">
        <w:rPr>
          <w:rFonts w:eastAsia="-webkit-standard"/>
          <w:color w:val="212121"/>
          <w:shd w:val="clear" w:color="auto" w:fill="FFFFFF"/>
        </w:rPr>
        <w:t xml:space="preserve"> </w:t>
      </w:r>
      <w:r>
        <w:rPr>
          <w:rFonts w:eastAsia="-webkit-standard"/>
          <w:color w:val="000000"/>
        </w:rPr>
        <w:t xml:space="preserve">(Memphis, Drumwright and Co, 2007). The blood sample was </w:t>
      </w:r>
      <w:r w:rsidR="008C76FA">
        <w:rPr>
          <w:rFonts w:eastAsia="-webkit-standard"/>
          <w:color w:val="000000"/>
        </w:rPr>
        <w:t>collected</w:t>
      </w:r>
      <w:r>
        <w:rPr>
          <w:rFonts w:eastAsia="-webkit-standard"/>
          <w:color w:val="000000"/>
        </w:rPr>
        <w:t xml:space="preserve"> on day 0 and day 1 to certify that the rats were anemic. After certification blood sampl</w:t>
      </w:r>
      <w:r w:rsidR="008C76FA">
        <w:rPr>
          <w:rFonts w:eastAsia="-webkit-standard"/>
          <w:color w:val="000000"/>
        </w:rPr>
        <w:t>es</w:t>
      </w:r>
      <w:r>
        <w:rPr>
          <w:rFonts w:eastAsia="-webkit-standard"/>
          <w:color w:val="000000"/>
        </w:rPr>
        <w:t xml:space="preserve"> w</w:t>
      </w:r>
      <w:r w:rsidR="008C76FA">
        <w:rPr>
          <w:rFonts w:eastAsia="-webkit-standard"/>
          <w:color w:val="000000"/>
        </w:rPr>
        <w:t>ere</w:t>
      </w:r>
      <w:r>
        <w:rPr>
          <w:rFonts w:eastAsia="-webkit-standard"/>
          <w:color w:val="000000"/>
        </w:rPr>
        <w:t xml:space="preserve"> collected on day 7,</w:t>
      </w:r>
      <w:r w:rsidR="008C76FA">
        <w:rPr>
          <w:rFonts w:eastAsia="-webkit-standard"/>
          <w:color w:val="000000"/>
        </w:rPr>
        <w:t xml:space="preserve"> </w:t>
      </w:r>
      <w:r>
        <w:rPr>
          <w:rFonts w:eastAsia="-webkit-standard"/>
          <w:color w:val="000000"/>
        </w:rPr>
        <w:t>14,</w:t>
      </w:r>
      <w:r w:rsidR="008C76FA">
        <w:rPr>
          <w:rFonts w:eastAsia="-webkit-standard"/>
          <w:color w:val="000000"/>
        </w:rPr>
        <w:t xml:space="preserve"> </w:t>
      </w:r>
      <w:r>
        <w:rPr>
          <w:rFonts w:eastAsia="-webkit-standard"/>
          <w:color w:val="000000"/>
        </w:rPr>
        <w:t xml:space="preserve">21 and 28 </w:t>
      </w:r>
      <w:r w:rsidR="008C76FA">
        <w:rPr>
          <w:rFonts w:eastAsia="-webkit-standard"/>
          <w:color w:val="000000"/>
        </w:rPr>
        <w:t>respectively and PCV determined consecutively.</w:t>
      </w:r>
    </w:p>
    <w:p w14:paraId="09441795" w14:textId="33B420B6" w:rsidR="00310F6A" w:rsidRDefault="00310F6A" w:rsidP="00310F6A">
      <w:pPr>
        <w:pStyle w:val="NormalWeb"/>
        <w:spacing w:after="180" w:afterAutospacing="0" w:line="480" w:lineRule="auto"/>
        <w:jc w:val="both"/>
        <w:rPr>
          <w:rFonts w:eastAsia="-webkit-standard"/>
          <w:color w:val="000000"/>
        </w:rPr>
      </w:pPr>
      <w:r>
        <w:rPr>
          <w:rFonts w:eastAsia="-webkit-standard"/>
          <w:color w:val="000000"/>
        </w:rPr>
        <w:t> </w:t>
      </w:r>
      <w:r>
        <w:rPr>
          <w:rFonts w:eastAsia="-webkit-standard"/>
          <w:color w:val="000000"/>
          <w:lang w:val="en-GB"/>
        </w:rPr>
        <w:t>O</w:t>
      </w:r>
      <w:proofErr w:type="spellStart"/>
      <w:r>
        <w:rPr>
          <w:rFonts w:eastAsia="-webkit-standard"/>
          <w:b/>
          <w:color w:val="212121"/>
        </w:rPr>
        <w:t>ral</w:t>
      </w:r>
      <w:proofErr w:type="spellEnd"/>
      <w:r>
        <w:rPr>
          <w:rFonts w:eastAsia="-webkit-standard"/>
          <w:b/>
          <w:color w:val="212121"/>
        </w:rPr>
        <w:t xml:space="preserve"> Administration of </w:t>
      </w:r>
      <w:r w:rsidR="008C76FA">
        <w:rPr>
          <w:rFonts w:eastAsia="-webkit-standard"/>
          <w:b/>
          <w:color w:val="212121"/>
        </w:rPr>
        <w:t>TTE</w:t>
      </w:r>
      <w:r>
        <w:rPr>
          <w:rFonts w:eastAsia="-webkit-standard"/>
          <w:b/>
          <w:color w:val="212121"/>
        </w:rPr>
        <w:t xml:space="preserve"> into rat</w:t>
      </w:r>
    </w:p>
    <w:p w14:paraId="14495E1D" w14:textId="66B1A134" w:rsidR="00310F6A" w:rsidRDefault="00310F6A" w:rsidP="00310F6A">
      <w:pPr>
        <w:pStyle w:val="NormalWeb"/>
        <w:spacing w:after="180" w:afterAutospacing="0" w:line="480" w:lineRule="auto"/>
        <w:jc w:val="both"/>
        <w:rPr>
          <w:rFonts w:eastAsia="-webkit-standard"/>
          <w:color w:val="222222"/>
          <w:shd w:val="clear" w:color="auto" w:fill="FFFFFF"/>
        </w:rPr>
      </w:pPr>
      <w:r>
        <w:rPr>
          <w:rFonts w:eastAsia="-webkit-standard"/>
          <w:color w:val="222222"/>
          <w:shd w:val="clear" w:color="auto" w:fill="FFFFFF"/>
        </w:rPr>
        <w:lastRenderedPageBreak/>
        <w:t xml:space="preserve">The thirty rats were divided equally into 6 groups: </w:t>
      </w:r>
      <w:r w:rsidR="00D61551">
        <w:rPr>
          <w:rFonts w:eastAsia="-webkit-standard"/>
          <w:color w:val="222222"/>
          <w:shd w:val="clear" w:color="auto" w:fill="FFFFFF"/>
        </w:rPr>
        <w:t>1, 2</w:t>
      </w:r>
      <w:r>
        <w:rPr>
          <w:rFonts w:eastAsia="-webkit-standard"/>
          <w:color w:val="222222"/>
          <w:shd w:val="clear" w:color="auto" w:fill="FFFFFF"/>
        </w:rPr>
        <w:t xml:space="preserve">, </w:t>
      </w:r>
      <w:r w:rsidR="00D61551">
        <w:rPr>
          <w:rFonts w:eastAsia="-webkit-standard"/>
          <w:color w:val="222222"/>
          <w:shd w:val="clear" w:color="auto" w:fill="FFFFFF"/>
        </w:rPr>
        <w:t>3</w:t>
      </w:r>
      <w:r>
        <w:rPr>
          <w:rFonts w:eastAsia="-webkit-standard"/>
          <w:color w:val="222222"/>
          <w:shd w:val="clear" w:color="auto" w:fill="FFFFFF"/>
        </w:rPr>
        <w:t xml:space="preserve">, </w:t>
      </w:r>
      <w:r w:rsidR="00D61551">
        <w:rPr>
          <w:rFonts w:eastAsia="-webkit-standard"/>
          <w:color w:val="222222"/>
          <w:shd w:val="clear" w:color="auto" w:fill="FFFFFF"/>
        </w:rPr>
        <w:t>4</w:t>
      </w:r>
      <w:r>
        <w:rPr>
          <w:rFonts w:eastAsia="-webkit-standard"/>
          <w:color w:val="222222"/>
          <w:shd w:val="clear" w:color="auto" w:fill="FFFFFF"/>
        </w:rPr>
        <w:t>, </w:t>
      </w:r>
      <w:r w:rsidR="00D61551">
        <w:rPr>
          <w:rFonts w:eastAsia="-webkit-standard"/>
          <w:color w:val="222222"/>
          <w:shd w:val="clear" w:color="auto" w:fill="FFFFFF"/>
        </w:rPr>
        <w:t>5</w:t>
      </w:r>
      <w:r w:rsidR="008C76FA">
        <w:rPr>
          <w:rFonts w:eastAsia="-webkit-standard"/>
          <w:color w:val="222222"/>
          <w:shd w:val="clear" w:color="auto" w:fill="FFFFFF"/>
        </w:rPr>
        <w:t xml:space="preserve"> </w:t>
      </w:r>
      <w:r>
        <w:rPr>
          <w:rFonts w:eastAsia="-webkit-standard"/>
          <w:color w:val="222222"/>
          <w:shd w:val="clear" w:color="auto" w:fill="FFFFFF"/>
        </w:rPr>
        <w:t xml:space="preserve">and </w:t>
      </w:r>
      <w:r w:rsidR="00D61551">
        <w:rPr>
          <w:rFonts w:eastAsia="-webkit-standard"/>
          <w:color w:val="222222"/>
          <w:shd w:val="clear" w:color="auto" w:fill="FFFFFF"/>
        </w:rPr>
        <w:t>6</w:t>
      </w:r>
      <w:r>
        <w:rPr>
          <w:rFonts w:eastAsia="-webkit-standard"/>
          <w:color w:val="222222"/>
          <w:shd w:val="clear" w:color="auto" w:fill="FFFFFF"/>
        </w:rPr>
        <w:t xml:space="preserve">. The plant extract was administered orally to the rats once daily for 28 days. Group </w:t>
      </w:r>
      <w:r w:rsidR="00D61551">
        <w:rPr>
          <w:rFonts w:eastAsia="-webkit-standard"/>
          <w:color w:val="222222"/>
          <w:shd w:val="clear" w:color="auto" w:fill="FFFFFF"/>
        </w:rPr>
        <w:t>6</w:t>
      </w:r>
      <w:r>
        <w:rPr>
          <w:rFonts w:eastAsia="-webkit-standard"/>
          <w:color w:val="222222"/>
          <w:shd w:val="clear" w:color="auto" w:fill="FFFFFF"/>
        </w:rPr>
        <w:t xml:space="preserve"> which served as </w:t>
      </w:r>
      <w:r w:rsidR="008C76FA">
        <w:rPr>
          <w:rFonts w:eastAsia="-webkit-standard"/>
          <w:color w:val="222222"/>
          <w:shd w:val="clear" w:color="auto" w:fill="FFFFFF"/>
        </w:rPr>
        <w:t xml:space="preserve">positive </w:t>
      </w:r>
      <w:r>
        <w:rPr>
          <w:rFonts w:eastAsia="-webkit-standard"/>
          <w:color w:val="222222"/>
          <w:shd w:val="clear" w:color="auto" w:fill="FFFFFF"/>
        </w:rPr>
        <w:t xml:space="preserve">control received </w:t>
      </w:r>
      <w:r w:rsidR="008C76FA">
        <w:rPr>
          <w:rFonts w:eastAsia="-webkit-standard"/>
          <w:color w:val="222222"/>
          <w:shd w:val="clear" w:color="auto" w:fill="FFFFFF"/>
        </w:rPr>
        <w:t>NS</w:t>
      </w:r>
      <w:r>
        <w:rPr>
          <w:rFonts w:eastAsia="-webkit-standard"/>
          <w:color w:val="222222"/>
          <w:shd w:val="clear" w:color="auto" w:fill="FFFFFF"/>
        </w:rPr>
        <w:t xml:space="preserve"> only and Group</w:t>
      </w:r>
      <w:r w:rsidR="008C76FA">
        <w:rPr>
          <w:rFonts w:eastAsia="-webkit-standard"/>
          <w:color w:val="222222"/>
          <w:shd w:val="clear" w:color="auto" w:fill="FFFFFF"/>
        </w:rPr>
        <w:t xml:space="preserve"> </w:t>
      </w:r>
      <w:r w:rsidR="00D61551">
        <w:rPr>
          <w:rFonts w:eastAsia="-webkit-standard"/>
          <w:color w:val="222222"/>
          <w:shd w:val="clear" w:color="auto" w:fill="FFFFFF"/>
        </w:rPr>
        <w:t>5</w:t>
      </w:r>
      <w:r>
        <w:rPr>
          <w:rFonts w:eastAsia="-webkit-standard"/>
          <w:color w:val="222222"/>
          <w:shd w:val="clear" w:color="auto" w:fill="FFFFFF"/>
        </w:rPr>
        <w:t xml:space="preserve"> was take</w:t>
      </w:r>
      <w:r w:rsidR="008C76FA">
        <w:rPr>
          <w:rFonts w:eastAsia="-webkit-standard"/>
          <w:color w:val="222222"/>
          <w:shd w:val="clear" w:color="auto" w:fill="FFFFFF"/>
        </w:rPr>
        <w:t>n</w:t>
      </w:r>
      <w:r>
        <w:rPr>
          <w:rFonts w:eastAsia="-webkit-standard"/>
          <w:color w:val="222222"/>
          <w:shd w:val="clear" w:color="auto" w:fill="FFFFFF"/>
        </w:rPr>
        <w:t xml:space="preserve"> as negative control</w:t>
      </w:r>
      <w:r w:rsidR="008C76FA">
        <w:rPr>
          <w:rFonts w:eastAsia="-webkit-standard"/>
          <w:color w:val="222222"/>
          <w:shd w:val="clear" w:color="auto" w:fill="FFFFFF"/>
        </w:rPr>
        <w:t xml:space="preserve"> and</w:t>
      </w:r>
      <w:r>
        <w:rPr>
          <w:rFonts w:eastAsia="-webkit-standard"/>
          <w:color w:val="222222"/>
          <w:shd w:val="clear" w:color="auto" w:fill="FFFFFF"/>
        </w:rPr>
        <w:t xml:space="preserve"> treated with100 mg kg</w:t>
      </w:r>
      <w:r>
        <w:rPr>
          <w:rFonts w:eastAsia="-webkit-standard"/>
          <w:color w:val="222222"/>
          <w:shd w:val="clear" w:color="auto" w:fill="FFFFFF"/>
          <w:vertAlign w:val="superscript"/>
        </w:rPr>
        <w:t>-1</w:t>
      </w:r>
      <w:r>
        <w:rPr>
          <w:rFonts w:eastAsia="-webkit-standard"/>
          <w:color w:val="222222"/>
          <w:shd w:val="clear" w:color="auto" w:fill="FFFFFF"/>
        </w:rPr>
        <w:t> of  blood tonic</w:t>
      </w:r>
      <w:r w:rsidR="008C76FA">
        <w:rPr>
          <w:rFonts w:eastAsia="-webkit-standard"/>
          <w:color w:val="222222"/>
          <w:shd w:val="clear" w:color="auto" w:fill="FFFFFF"/>
        </w:rPr>
        <w:t xml:space="preserve"> </w:t>
      </w:r>
      <w:r>
        <w:rPr>
          <w:rFonts w:eastAsia="-webkit-standard"/>
          <w:color w:val="222222"/>
          <w:shd w:val="clear" w:color="auto" w:fill="FFFFFF"/>
        </w:rPr>
        <w:t xml:space="preserve">(Bunto). While groups </w:t>
      </w:r>
      <w:r w:rsidR="00D61551">
        <w:rPr>
          <w:rFonts w:eastAsia="-webkit-standard"/>
          <w:color w:val="222222"/>
          <w:shd w:val="clear" w:color="auto" w:fill="FFFFFF"/>
        </w:rPr>
        <w:t>1</w:t>
      </w:r>
      <w:r>
        <w:rPr>
          <w:rFonts w:eastAsia="-webkit-standard"/>
          <w:color w:val="222222"/>
          <w:shd w:val="clear" w:color="auto" w:fill="FFFFFF"/>
        </w:rPr>
        <w:t xml:space="preserve"> to </w:t>
      </w:r>
      <w:r w:rsidR="00D61551">
        <w:rPr>
          <w:rFonts w:eastAsia="-webkit-standard"/>
          <w:color w:val="222222"/>
          <w:shd w:val="clear" w:color="auto" w:fill="FFFFFF"/>
        </w:rPr>
        <w:t>4</w:t>
      </w:r>
      <w:r>
        <w:rPr>
          <w:rFonts w:eastAsia="-webkit-standard"/>
          <w:color w:val="222222"/>
          <w:shd w:val="clear" w:color="auto" w:fill="FFFFFF"/>
        </w:rPr>
        <w:t> received 100, 200, 300 and 400 mg kg</w:t>
      </w:r>
      <w:r>
        <w:rPr>
          <w:rFonts w:eastAsia="-webkit-standard"/>
          <w:color w:val="222222"/>
          <w:shd w:val="clear" w:color="auto" w:fill="FFFFFF"/>
          <w:vertAlign w:val="superscript"/>
        </w:rPr>
        <w:t>-1</w:t>
      </w:r>
      <w:r>
        <w:rPr>
          <w:rFonts w:eastAsia="-webkit-standard"/>
          <w:color w:val="222222"/>
          <w:shd w:val="clear" w:color="auto" w:fill="FFFFFF"/>
        </w:rPr>
        <w:t xml:space="preserve"> of the extract, respectively. The weight of the rats </w:t>
      </w:r>
      <w:r w:rsidR="008C76FA">
        <w:rPr>
          <w:rFonts w:eastAsia="-webkit-standard"/>
          <w:color w:val="222222"/>
          <w:shd w:val="clear" w:color="auto" w:fill="FFFFFF"/>
        </w:rPr>
        <w:t>was</w:t>
      </w:r>
      <w:r>
        <w:rPr>
          <w:rFonts w:eastAsia="-webkit-standard"/>
          <w:color w:val="222222"/>
          <w:shd w:val="clear" w:color="auto" w:fill="FFFFFF"/>
        </w:rPr>
        <w:t xml:space="preserve"> taken on days 1, 7, 14, 21 and 28 (i.e. weeks 1, 2, 3 and 4).</w:t>
      </w:r>
    </w:p>
    <w:p w14:paraId="5DAC2DBD" w14:textId="77777777" w:rsidR="00310F6A" w:rsidRDefault="00310F6A" w:rsidP="00310F6A">
      <w:pPr>
        <w:pStyle w:val="NormalWeb"/>
        <w:spacing w:after="180" w:afterAutospacing="0" w:line="480" w:lineRule="auto"/>
        <w:rPr>
          <w:b/>
          <w:bCs/>
        </w:rPr>
      </w:pPr>
      <w:r>
        <w:rPr>
          <w:b/>
          <w:bCs/>
        </w:rPr>
        <w:t xml:space="preserve"> Determination of Packed Cell Volume (PCV)</w:t>
      </w:r>
    </w:p>
    <w:p w14:paraId="31639622" w14:textId="3FF46E47" w:rsidR="00310F6A" w:rsidRDefault="00310F6A" w:rsidP="00310F6A">
      <w:pPr>
        <w:pStyle w:val="NormalWeb"/>
        <w:spacing w:after="180" w:afterAutospacing="0" w:line="480" w:lineRule="auto"/>
        <w:jc w:val="both"/>
        <w:rPr>
          <w:rFonts w:eastAsia="-webkit-standard"/>
          <w:color w:val="222222"/>
          <w:shd w:val="clear" w:color="auto" w:fill="FFFFFF"/>
        </w:rPr>
      </w:pPr>
      <w:r>
        <w:t xml:space="preserve">1 ml of blood samples were collected from the rats into bottles containing Ethylene diamine tetra acetic acid (EDTA) anticoagulant and was properly mixed using a blood mixer. PCV was determined by the microhematocrit by placing the heparinized blood in a capillary tube (also known as microhematocrit tube), the capillary tube was filled to 75% of its length, sealed with plasticine and centrifuged in a micro </w:t>
      </w:r>
      <w:r w:rsidR="008C76FA">
        <w:t>hematocrit</w:t>
      </w:r>
      <w:r>
        <w:t xml:space="preserve"> centrifuge at 10,000 RPM for ten minutes, this separates the blood into layers</w:t>
      </w:r>
      <w:r w:rsidR="0001128B">
        <w:t xml:space="preserve"> (</w:t>
      </w:r>
      <w:proofErr w:type="spellStart"/>
      <w:r w:rsidR="0001128B" w:rsidRPr="0001128B">
        <w:t>Ochei</w:t>
      </w:r>
      <w:proofErr w:type="spellEnd"/>
      <w:r w:rsidR="0001128B" w:rsidRPr="0001128B">
        <w:t xml:space="preserve"> and Kolhatkar (2008</w:t>
      </w:r>
      <w:r w:rsidR="0001128B">
        <w:t>)</w:t>
      </w:r>
      <w:r>
        <w:t xml:space="preserve">. It </w:t>
      </w:r>
      <w:r w:rsidR="008C76FA">
        <w:t>was</w:t>
      </w:r>
      <w:r>
        <w:t xml:space="preserve"> then placed on the micro hematocrit and read. The Microhematocrit centrifuge components include a motor that supplies power to the shaft and rotor centrifuge heads (carriers) that spin on the rotor and a lid latch or lid. centrifuge apply centrifugal force to separate suspended particles from a liquid or to separate liquids of different densities, the micro </w:t>
      </w:r>
      <w:r w:rsidR="008C76FA">
        <w:t>hematocrit</w:t>
      </w:r>
      <w:r>
        <w:t xml:space="preserve"> centrifuge is a special purpose version of a fixed head unit, quickly attains speed of 11,000 rpm and RCFs (relative centrifugal force) of up to15,000g to spin micro capillary tube samples. The PCV values were properly recorded, all blood samples were </w:t>
      </w:r>
      <w:r w:rsidR="008C76FA">
        <w:t>analyzed</w:t>
      </w:r>
      <w:r>
        <w:t xml:space="preserve"> within 2hrs after collection</w:t>
      </w:r>
      <w:r w:rsidR="008C76FA">
        <w:t>.</w:t>
      </w:r>
    </w:p>
    <w:p w14:paraId="54837476" w14:textId="77777777" w:rsidR="00310F6A" w:rsidRDefault="00310F6A" w:rsidP="00310F6A">
      <w:pPr>
        <w:pStyle w:val="NormalWeb"/>
        <w:spacing w:after="180" w:afterAutospacing="0" w:line="480" w:lineRule="auto"/>
        <w:jc w:val="both"/>
        <w:rPr>
          <w:rFonts w:eastAsia="-webkit-standard"/>
          <w:color w:val="222222"/>
          <w:shd w:val="clear" w:color="auto" w:fill="FFFFFF"/>
        </w:rPr>
      </w:pPr>
      <w:r>
        <w:rPr>
          <w:rFonts w:eastAsia="-webkit-standard"/>
          <w:b/>
          <w:bCs/>
          <w:color w:val="222222"/>
          <w:shd w:val="clear" w:color="auto" w:fill="FFFFFF"/>
        </w:rPr>
        <w:t xml:space="preserve"> HISTOPATHOLOGY </w:t>
      </w:r>
    </w:p>
    <w:p w14:paraId="5217B21A" w14:textId="77777777" w:rsidR="00310F6A" w:rsidRDefault="00310F6A" w:rsidP="00310F6A">
      <w:pPr>
        <w:pStyle w:val="NormalWeb"/>
        <w:spacing w:after="180" w:afterAutospacing="0" w:line="480" w:lineRule="auto"/>
        <w:jc w:val="both"/>
        <w:rPr>
          <w:rFonts w:eastAsia="-webkit-standard"/>
          <w:color w:val="222222"/>
          <w:shd w:val="clear" w:color="auto" w:fill="FFFFFF"/>
        </w:rPr>
      </w:pPr>
      <w:r>
        <w:rPr>
          <w:rFonts w:eastAsia="-webkit-standard"/>
          <w:b/>
          <w:color w:val="000000"/>
        </w:rPr>
        <w:lastRenderedPageBreak/>
        <w:t xml:space="preserve"> TISSUE PROCESSING</w:t>
      </w:r>
    </w:p>
    <w:p w14:paraId="7218641D" w14:textId="77777777" w:rsidR="00310F6A" w:rsidRDefault="00310F6A" w:rsidP="00310F6A">
      <w:pPr>
        <w:pStyle w:val="NormalWeb"/>
        <w:spacing w:after="120" w:afterAutospacing="0" w:line="480" w:lineRule="auto"/>
        <w:jc w:val="both"/>
        <w:rPr>
          <w:rFonts w:eastAsia="-webkit-standard"/>
          <w:color w:val="000000"/>
        </w:rPr>
      </w:pPr>
      <w:r>
        <w:rPr>
          <w:rFonts w:eastAsia="-webkit-standard"/>
          <w:color w:val="000000"/>
        </w:rPr>
        <w:t>The aim of tissue processing is to embed the tissue in a medium firm enough to support the tissue and give it sufficient rigidity to enable thin sections to be cut and yet soft enough not to damage the knife or tissue with preservation of the structure with the least possible alteration.</w:t>
      </w:r>
    </w:p>
    <w:p w14:paraId="2CC5901E" w14:textId="77777777" w:rsidR="00310F6A" w:rsidRDefault="00310F6A" w:rsidP="00310F6A">
      <w:pPr>
        <w:pStyle w:val="NormalWeb"/>
        <w:spacing w:after="120" w:afterAutospacing="0" w:line="480" w:lineRule="auto"/>
        <w:jc w:val="both"/>
        <w:rPr>
          <w:rFonts w:eastAsia="-webkit-standard"/>
          <w:color w:val="000000"/>
        </w:rPr>
      </w:pPr>
      <w:r>
        <w:rPr>
          <w:rFonts w:eastAsia="-webkit-standard"/>
          <w:color w:val="000000"/>
        </w:rPr>
        <w:t>Tissue processing involves the following.</w:t>
      </w:r>
    </w:p>
    <w:p w14:paraId="323691D0"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1. Fixation</w:t>
      </w:r>
    </w:p>
    <w:p w14:paraId="728493E7"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2. Dehydration</w:t>
      </w:r>
    </w:p>
    <w:p w14:paraId="632AFFB9"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3. Clearing</w:t>
      </w:r>
    </w:p>
    <w:p w14:paraId="03A15153"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4. Embedding</w:t>
      </w:r>
    </w:p>
    <w:p w14:paraId="5EB98CF4"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5. Sectioning</w:t>
      </w:r>
    </w:p>
    <w:p w14:paraId="0F616880"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6. Sliding</w:t>
      </w:r>
    </w:p>
    <w:p w14:paraId="26F2B3A5"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7. Staining</w:t>
      </w:r>
    </w:p>
    <w:p w14:paraId="47E27CCF" w14:textId="77777777" w:rsidR="00310F6A" w:rsidRDefault="00310F6A" w:rsidP="00310F6A">
      <w:pPr>
        <w:widowControl/>
        <w:spacing w:after="120" w:line="480" w:lineRule="auto"/>
        <w:ind w:left="540"/>
        <w:rPr>
          <w:rFonts w:eastAsia="-webkit-standard"/>
          <w:b/>
          <w:color w:val="000000"/>
        </w:rPr>
      </w:pPr>
      <w:r>
        <w:rPr>
          <w:rFonts w:ascii="Times New Roman" w:eastAsia="-webkit-standard" w:hAnsi="Times New Roman"/>
          <w:color w:val="000000"/>
          <w:kern w:val="0"/>
          <w:sz w:val="24"/>
        </w:rPr>
        <w:t>8. Covering</w:t>
      </w:r>
    </w:p>
    <w:p w14:paraId="56DAF00F" w14:textId="77777777" w:rsidR="00310F6A" w:rsidRDefault="00310F6A" w:rsidP="00310F6A">
      <w:pPr>
        <w:pStyle w:val="NormalWeb"/>
        <w:spacing w:after="120" w:afterAutospacing="0" w:line="480" w:lineRule="auto"/>
        <w:jc w:val="both"/>
        <w:rPr>
          <w:rFonts w:eastAsia="-webkit-standard"/>
          <w:color w:val="000000"/>
        </w:rPr>
      </w:pPr>
      <w:r>
        <w:rPr>
          <w:rFonts w:eastAsia="-webkit-standard"/>
          <w:b/>
          <w:color w:val="000000"/>
        </w:rPr>
        <w:t>TISSUE PREPARATION FOR TISSUE PROCESSING</w:t>
      </w:r>
    </w:p>
    <w:p w14:paraId="2FF79596" w14:textId="17C4D423" w:rsidR="00310F6A" w:rsidRDefault="00310F6A" w:rsidP="008C76FA">
      <w:pPr>
        <w:widowControl/>
        <w:spacing w:after="120" w:line="480" w:lineRule="auto"/>
        <w:rPr>
          <w:rFonts w:ascii="Times New Roman" w:eastAsia="-webkit-standard" w:hAnsi="Times New Roman"/>
          <w:color w:val="000000"/>
          <w:sz w:val="24"/>
        </w:rPr>
      </w:pPr>
      <w:r>
        <w:rPr>
          <w:rFonts w:ascii="Times New Roman" w:eastAsia="-webkit-standard" w:hAnsi="Times New Roman"/>
          <w:color w:val="000000"/>
          <w:kern w:val="0"/>
          <w:sz w:val="24"/>
        </w:rPr>
        <w:t>After harvesting, the tissues were placed in a fixative (10% formaldehyde) to prevent autolysis and putrefaction.</w:t>
      </w:r>
      <w:r w:rsidR="008C76FA">
        <w:rPr>
          <w:rFonts w:ascii="Times New Roman" w:eastAsia="-webkit-standard" w:hAnsi="Times New Roman"/>
          <w:color w:val="000000"/>
          <w:sz w:val="24"/>
        </w:rPr>
        <w:t xml:space="preserve"> </w:t>
      </w:r>
      <w:r>
        <w:rPr>
          <w:rFonts w:ascii="Times New Roman" w:eastAsia="-webkit-standard" w:hAnsi="Times New Roman"/>
          <w:color w:val="000000"/>
          <w:kern w:val="0"/>
          <w:sz w:val="24"/>
        </w:rPr>
        <w:t>The tissues were grossed into small bits to ensure proper penetration of the fixative.</w:t>
      </w:r>
      <w:r w:rsidR="008C76FA">
        <w:rPr>
          <w:rFonts w:ascii="Times New Roman" w:eastAsia="-webkit-standard" w:hAnsi="Times New Roman"/>
          <w:color w:val="000000"/>
          <w:sz w:val="24"/>
        </w:rPr>
        <w:t xml:space="preserve"> </w:t>
      </w:r>
      <w:r>
        <w:rPr>
          <w:rFonts w:ascii="Times New Roman" w:eastAsia="-webkit-standard" w:hAnsi="Times New Roman"/>
          <w:color w:val="000000"/>
          <w:kern w:val="0"/>
          <w:sz w:val="24"/>
        </w:rPr>
        <w:t xml:space="preserve"> For optimal fixation and </w:t>
      </w:r>
      <w:r w:rsidR="008C76FA">
        <w:rPr>
          <w:rFonts w:ascii="Times New Roman" w:eastAsia="-webkit-standard" w:hAnsi="Times New Roman"/>
          <w:color w:val="000000"/>
          <w:kern w:val="0"/>
          <w:sz w:val="24"/>
        </w:rPr>
        <w:t>high-quality</w:t>
      </w:r>
      <w:r>
        <w:rPr>
          <w:rFonts w:ascii="Times New Roman" w:eastAsia="-webkit-standard" w:hAnsi="Times New Roman"/>
          <w:color w:val="000000"/>
          <w:kern w:val="0"/>
          <w:sz w:val="24"/>
        </w:rPr>
        <w:t xml:space="preserve"> processing, the dimensions of the tissue specimen are important and ideally, the thickness should not exceed 4mm. The tissues were cut in small bits of about 4mm and placed into a histology tissue cassette.</w:t>
      </w:r>
    </w:p>
    <w:p w14:paraId="483267FE" w14:textId="77777777" w:rsidR="00310F6A" w:rsidRDefault="00310F6A" w:rsidP="00310F6A">
      <w:pPr>
        <w:pStyle w:val="NormalWeb"/>
        <w:spacing w:after="120" w:afterAutospacing="0" w:line="480" w:lineRule="auto"/>
        <w:jc w:val="both"/>
        <w:rPr>
          <w:rFonts w:eastAsia="-webkit-standard"/>
          <w:color w:val="000000"/>
        </w:rPr>
      </w:pPr>
      <w:r>
        <w:rPr>
          <w:rFonts w:eastAsia="-webkit-standard"/>
          <w:b/>
          <w:color w:val="000000"/>
        </w:rPr>
        <w:lastRenderedPageBreak/>
        <w:t xml:space="preserve"> FIXATION</w:t>
      </w:r>
    </w:p>
    <w:p w14:paraId="10D32A2C" w14:textId="2528E39C" w:rsidR="00310F6A" w:rsidRDefault="00310F6A" w:rsidP="008C76FA">
      <w:pPr>
        <w:widowControl/>
        <w:spacing w:after="120" w:line="480" w:lineRule="auto"/>
        <w:rPr>
          <w:rFonts w:ascii="Times New Roman" w:eastAsia="-webkit-standard" w:hAnsi="Times New Roman"/>
          <w:color w:val="000000"/>
          <w:sz w:val="24"/>
        </w:rPr>
      </w:pPr>
      <w:r>
        <w:rPr>
          <w:rFonts w:ascii="Times New Roman" w:eastAsia="-webkit-standard" w:hAnsi="Times New Roman"/>
          <w:color w:val="000000"/>
          <w:kern w:val="0"/>
          <w:sz w:val="24"/>
        </w:rPr>
        <w:t>This was done to preserve the structure of the tissue and was achieved by the influence of a chemical compound called Fixative.</w:t>
      </w:r>
      <w:r w:rsidR="008C76FA">
        <w:rPr>
          <w:rFonts w:ascii="Times New Roman" w:eastAsia="-webkit-standard" w:hAnsi="Times New Roman"/>
          <w:color w:val="000000"/>
          <w:sz w:val="24"/>
        </w:rPr>
        <w:t xml:space="preserve"> </w:t>
      </w:r>
      <w:r>
        <w:rPr>
          <w:rFonts w:ascii="Times New Roman" w:eastAsia="-webkit-standard" w:hAnsi="Times New Roman"/>
          <w:color w:val="000000"/>
          <w:kern w:val="0"/>
          <w:sz w:val="24"/>
        </w:rPr>
        <w:t>The common type of fixative used in tissue processing is 10% formaldehyde which was used in this study.</w:t>
      </w:r>
      <w:r w:rsidR="008C76FA">
        <w:rPr>
          <w:rFonts w:ascii="Times New Roman" w:eastAsia="-webkit-standard" w:hAnsi="Times New Roman"/>
          <w:color w:val="000000"/>
          <w:sz w:val="24"/>
        </w:rPr>
        <w:t xml:space="preserve"> </w:t>
      </w:r>
      <w:r>
        <w:rPr>
          <w:rFonts w:ascii="Times New Roman" w:eastAsia="-webkit-standard" w:hAnsi="Times New Roman"/>
          <w:color w:val="000000"/>
          <w:kern w:val="0"/>
          <w:sz w:val="24"/>
        </w:rPr>
        <w:t>Time required is 1mm / hour fixation.</w:t>
      </w:r>
    </w:p>
    <w:p w14:paraId="10058C6A" w14:textId="77777777" w:rsidR="00310F6A" w:rsidRDefault="00310F6A" w:rsidP="00310F6A">
      <w:pPr>
        <w:pStyle w:val="NormalWeb"/>
        <w:spacing w:after="120" w:afterAutospacing="0" w:line="480" w:lineRule="auto"/>
        <w:jc w:val="both"/>
        <w:rPr>
          <w:rFonts w:eastAsia="-webkit-standard"/>
          <w:color w:val="000000"/>
        </w:rPr>
      </w:pPr>
      <w:r>
        <w:rPr>
          <w:rFonts w:eastAsia="-webkit-standard"/>
          <w:b/>
          <w:color w:val="000000"/>
        </w:rPr>
        <w:t xml:space="preserve"> DEHYDRATION</w:t>
      </w:r>
    </w:p>
    <w:p w14:paraId="6EE2CC10" w14:textId="7A037064" w:rsidR="00310F6A" w:rsidRDefault="00310F6A" w:rsidP="008C76FA">
      <w:pPr>
        <w:widowControl/>
        <w:spacing w:after="120" w:line="480" w:lineRule="auto"/>
        <w:rPr>
          <w:rFonts w:ascii="Times New Roman" w:eastAsia="-webkit-standard" w:hAnsi="Times New Roman"/>
          <w:color w:val="000000"/>
          <w:sz w:val="24"/>
        </w:rPr>
      </w:pPr>
      <w:r>
        <w:rPr>
          <w:rFonts w:ascii="Times New Roman" w:eastAsia="-webkit-standard" w:hAnsi="Times New Roman"/>
          <w:color w:val="000000"/>
          <w:kern w:val="0"/>
          <w:sz w:val="24"/>
        </w:rPr>
        <w:t>The next stage was dehydration which is the removal of extractable water from the tissue.</w:t>
      </w:r>
      <w:r w:rsidR="008C76FA">
        <w:rPr>
          <w:rFonts w:ascii="Times New Roman" w:eastAsia="-webkit-standard" w:hAnsi="Times New Roman"/>
          <w:color w:val="000000"/>
          <w:sz w:val="24"/>
        </w:rPr>
        <w:t xml:space="preserve"> </w:t>
      </w:r>
      <w:r>
        <w:rPr>
          <w:rFonts w:ascii="Times New Roman" w:eastAsia="-webkit-standard" w:hAnsi="Times New Roman"/>
          <w:color w:val="000000"/>
          <w:kern w:val="0"/>
          <w:sz w:val="24"/>
        </w:rPr>
        <w:t>Graduated strength of alcohol was employed at series consisting of 30%, 50%, 70%, 90% and 100% alcohol to produce good results.</w:t>
      </w:r>
      <w:r w:rsidR="008C76FA">
        <w:rPr>
          <w:rFonts w:ascii="Times New Roman" w:eastAsia="-webkit-standard" w:hAnsi="Times New Roman"/>
          <w:color w:val="000000"/>
          <w:sz w:val="24"/>
        </w:rPr>
        <w:t xml:space="preserve"> </w:t>
      </w:r>
      <w:r>
        <w:rPr>
          <w:rFonts w:ascii="Times New Roman" w:eastAsia="-webkit-standard" w:hAnsi="Times New Roman"/>
          <w:color w:val="000000"/>
          <w:kern w:val="0"/>
          <w:sz w:val="24"/>
        </w:rPr>
        <w:t>Average time used was 20-30 mins in each solution of alcohol</w:t>
      </w:r>
    </w:p>
    <w:p w14:paraId="0DBB7EDF" w14:textId="77777777" w:rsidR="00310F6A" w:rsidRDefault="00310F6A" w:rsidP="00310F6A">
      <w:pPr>
        <w:pStyle w:val="NormalWeb"/>
        <w:spacing w:after="120" w:afterAutospacing="0" w:line="480" w:lineRule="auto"/>
        <w:jc w:val="both"/>
        <w:rPr>
          <w:rFonts w:eastAsia="-webkit-standard"/>
          <w:color w:val="000000"/>
        </w:rPr>
      </w:pPr>
      <w:r>
        <w:rPr>
          <w:rFonts w:eastAsia="-webkit-standard"/>
          <w:b/>
          <w:color w:val="000000"/>
        </w:rPr>
        <w:t xml:space="preserve"> CLEARING</w:t>
      </w:r>
    </w:p>
    <w:p w14:paraId="0A7C167B" w14:textId="76B32406" w:rsidR="00310F6A" w:rsidRDefault="00310F6A" w:rsidP="008C76FA">
      <w:pPr>
        <w:widowControl/>
        <w:spacing w:after="120" w:line="480" w:lineRule="auto"/>
        <w:rPr>
          <w:rFonts w:ascii="Times New Roman" w:eastAsia="-webkit-standard" w:hAnsi="Times New Roman"/>
          <w:color w:val="000000"/>
          <w:sz w:val="24"/>
        </w:rPr>
      </w:pPr>
      <w:r>
        <w:rPr>
          <w:rFonts w:ascii="Times New Roman" w:eastAsia="-webkit-standard" w:hAnsi="Times New Roman"/>
          <w:color w:val="000000"/>
          <w:kern w:val="0"/>
          <w:sz w:val="24"/>
        </w:rPr>
        <w:t xml:space="preserve">Clearing is also known as </w:t>
      </w:r>
      <w:r w:rsidR="008C76FA">
        <w:rPr>
          <w:rFonts w:ascii="Times New Roman" w:eastAsia="-webkit-standard" w:hAnsi="Times New Roman"/>
          <w:color w:val="000000"/>
          <w:kern w:val="0"/>
          <w:sz w:val="24"/>
        </w:rPr>
        <w:t>dealcoholizing</w:t>
      </w:r>
      <w:r>
        <w:rPr>
          <w:rFonts w:ascii="Times New Roman" w:eastAsia="-webkit-standard" w:hAnsi="Times New Roman"/>
          <w:color w:val="000000"/>
          <w:kern w:val="0"/>
          <w:sz w:val="24"/>
        </w:rPr>
        <w:t>. The aim of this was to replace alcohol in the tissue by a solvent which is miscible with paraffin wax.</w:t>
      </w:r>
      <w:r w:rsidR="008C76FA">
        <w:rPr>
          <w:rFonts w:ascii="Times New Roman" w:eastAsia="-webkit-standard" w:hAnsi="Times New Roman"/>
          <w:color w:val="000000"/>
          <w:sz w:val="24"/>
        </w:rPr>
        <w:t xml:space="preserve"> </w:t>
      </w:r>
      <w:r>
        <w:rPr>
          <w:rFonts w:ascii="Times New Roman" w:eastAsia="-webkit-standard" w:hAnsi="Times New Roman"/>
          <w:color w:val="000000"/>
          <w:kern w:val="0"/>
          <w:sz w:val="24"/>
        </w:rPr>
        <w:t>Xylene and Chloroform is the most commonly used for this process but xylene was used in this study.</w:t>
      </w:r>
    </w:p>
    <w:p w14:paraId="5577270D" w14:textId="77777777" w:rsidR="00310F6A" w:rsidRDefault="00310F6A" w:rsidP="00310F6A">
      <w:pPr>
        <w:pStyle w:val="NormalWeb"/>
        <w:spacing w:after="120" w:afterAutospacing="0" w:line="480" w:lineRule="auto"/>
        <w:jc w:val="both"/>
        <w:rPr>
          <w:rFonts w:eastAsia="-webkit-standard"/>
          <w:color w:val="000000"/>
        </w:rPr>
      </w:pPr>
      <w:r>
        <w:rPr>
          <w:rFonts w:eastAsia="-webkit-standard"/>
          <w:b/>
          <w:color w:val="000000"/>
        </w:rPr>
        <w:t>EMBEDDING</w:t>
      </w:r>
    </w:p>
    <w:p w14:paraId="2FD8B70F" w14:textId="45AD95C7" w:rsidR="00310F6A" w:rsidRDefault="00310F6A" w:rsidP="008C76FA">
      <w:pPr>
        <w:widowControl/>
        <w:spacing w:after="120" w:line="480" w:lineRule="auto"/>
        <w:rPr>
          <w:rFonts w:ascii="Times New Roman" w:eastAsia="-webkit-standard" w:hAnsi="Times New Roman"/>
          <w:color w:val="000000"/>
          <w:sz w:val="24"/>
        </w:rPr>
      </w:pPr>
      <w:r>
        <w:rPr>
          <w:rFonts w:ascii="Times New Roman" w:eastAsia="-webkit-standard" w:hAnsi="Times New Roman"/>
          <w:color w:val="000000"/>
          <w:kern w:val="0"/>
          <w:sz w:val="24"/>
        </w:rPr>
        <w:t>Before sectioning of the tissue, it must be embedded in a material which after hardening has the consistency that permits it to be cut into thin sections.</w:t>
      </w:r>
      <w:r w:rsidR="008C76FA">
        <w:rPr>
          <w:rFonts w:ascii="Times New Roman" w:eastAsia="-webkit-standard" w:hAnsi="Times New Roman"/>
          <w:color w:val="000000"/>
          <w:sz w:val="24"/>
        </w:rPr>
        <w:t xml:space="preserve"> </w:t>
      </w:r>
      <w:r>
        <w:rPr>
          <w:rFonts w:ascii="Times New Roman" w:eastAsia="-webkit-standard" w:hAnsi="Times New Roman"/>
          <w:color w:val="000000"/>
          <w:kern w:val="0"/>
          <w:sz w:val="24"/>
        </w:rPr>
        <w:t>Paraffin wax is the most frequently used agent which was used on the embedding process of the tissue.</w:t>
      </w:r>
      <w:r w:rsidR="008C76FA">
        <w:rPr>
          <w:rFonts w:ascii="Times New Roman" w:eastAsia="-webkit-standard" w:hAnsi="Times New Roman"/>
          <w:color w:val="000000"/>
          <w:sz w:val="24"/>
        </w:rPr>
        <w:t xml:space="preserve"> </w:t>
      </w:r>
      <w:r>
        <w:rPr>
          <w:rFonts w:ascii="Times New Roman" w:eastAsia="-webkit-standard" w:hAnsi="Times New Roman"/>
          <w:color w:val="000000"/>
          <w:kern w:val="0"/>
          <w:sz w:val="24"/>
        </w:rPr>
        <w:t>During the embedding process, paraffin was heated to 60</w:t>
      </w:r>
      <w:r>
        <w:rPr>
          <w:rFonts w:ascii="Cambria Math" w:eastAsia="-webkit-standard" w:hAnsi="Cambria Math" w:cs="Cambria Math"/>
          <w:color w:val="000000"/>
          <w:kern w:val="0"/>
          <w:sz w:val="24"/>
        </w:rPr>
        <w:t>⁰</w:t>
      </w:r>
      <w:r>
        <w:rPr>
          <w:rFonts w:ascii="Times New Roman" w:eastAsia="-webkit-standard" w:hAnsi="Times New Roman"/>
          <w:color w:val="000000"/>
          <w:kern w:val="0"/>
          <w:sz w:val="24"/>
        </w:rPr>
        <w:t>C and in cooling, the paraffin with the tissue forms a firm tissue block.</w:t>
      </w:r>
    </w:p>
    <w:p w14:paraId="27F3751F" w14:textId="77777777" w:rsidR="00310F6A" w:rsidRDefault="00310F6A" w:rsidP="00310F6A">
      <w:pPr>
        <w:pStyle w:val="NormalWeb"/>
        <w:spacing w:after="120" w:afterAutospacing="0" w:line="480" w:lineRule="auto"/>
        <w:jc w:val="both"/>
        <w:rPr>
          <w:rFonts w:eastAsia="-webkit-standard"/>
          <w:color w:val="000000"/>
        </w:rPr>
      </w:pPr>
      <w:r>
        <w:rPr>
          <w:rFonts w:eastAsia="-webkit-standard"/>
          <w:b/>
          <w:color w:val="000000"/>
        </w:rPr>
        <w:t>SECTIONING</w:t>
      </w:r>
    </w:p>
    <w:p w14:paraId="3EC49CB2" w14:textId="29D80652" w:rsidR="00310F6A" w:rsidRDefault="00310F6A" w:rsidP="00D61551">
      <w:pPr>
        <w:widowControl/>
        <w:spacing w:after="120" w:line="480" w:lineRule="auto"/>
        <w:rPr>
          <w:rFonts w:ascii="Times New Roman" w:eastAsia="-webkit-standard" w:hAnsi="Times New Roman"/>
          <w:color w:val="000000"/>
          <w:sz w:val="24"/>
        </w:rPr>
      </w:pPr>
      <w:r>
        <w:rPr>
          <w:rFonts w:ascii="Times New Roman" w:eastAsia="-webkit-standard" w:hAnsi="Times New Roman"/>
          <w:color w:val="000000"/>
          <w:kern w:val="0"/>
          <w:sz w:val="24"/>
        </w:rPr>
        <w:lastRenderedPageBreak/>
        <w:t>This is the process of cutting /sectioning the tissue into thin sections</w:t>
      </w:r>
      <w:r w:rsidR="00D61551">
        <w:rPr>
          <w:rFonts w:ascii="Times New Roman" w:eastAsia="-webkit-standard" w:hAnsi="Times New Roman"/>
          <w:color w:val="000000"/>
          <w:kern w:val="0"/>
          <w:sz w:val="24"/>
        </w:rPr>
        <w:t xml:space="preserve">. </w:t>
      </w:r>
      <w:r>
        <w:rPr>
          <w:rFonts w:ascii="Times New Roman" w:eastAsia="-webkit-standard" w:hAnsi="Times New Roman"/>
          <w:color w:val="000000"/>
          <w:kern w:val="0"/>
          <w:sz w:val="24"/>
        </w:rPr>
        <w:t>This was done by the help of a machine called a Microtome.</w:t>
      </w:r>
      <w:r w:rsidR="00D61551">
        <w:rPr>
          <w:rFonts w:ascii="Times New Roman" w:eastAsia="-webkit-standard" w:hAnsi="Times New Roman"/>
          <w:color w:val="000000"/>
          <w:sz w:val="24"/>
        </w:rPr>
        <w:t xml:space="preserve"> </w:t>
      </w:r>
      <w:r>
        <w:rPr>
          <w:rFonts w:ascii="Times New Roman" w:eastAsia="-webkit-standard" w:hAnsi="Times New Roman"/>
          <w:color w:val="000000"/>
          <w:kern w:val="0"/>
          <w:sz w:val="24"/>
        </w:rPr>
        <w:t>The tissues were cut into 4 microns of thickness.</w:t>
      </w:r>
    </w:p>
    <w:p w14:paraId="17BC2B9D" w14:textId="77777777" w:rsidR="00310F6A" w:rsidRDefault="00310F6A" w:rsidP="00310F6A">
      <w:pPr>
        <w:pStyle w:val="NormalWeb"/>
        <w:spacing w:after="120" w:afterAutospacing="0" w:line="480" w:lineRule="auto"/>
        <w:jc w:val="both"/>
        <w:rPr>
          <w:rFonts w:eastAsia="-webkit-standard"/>
          <w:color w:val="000000"/>
        </w:rPr>
      </w:pPr>
      <w:r>
        <w:rPr>
          <w:rFonts w:eastAsia="-webkit-standard"/>
          <w:color w:val="000000"/>
        </w:rPr>
        <w:t> </w:t>
      </w:r>
      <w:r>
        <w:rPr>
          <w:rFonts w:eastAsia="-webkit-standard"/>
          <w:b/>
          <w:color w:val="000000"/>
        </w:rPr>
        <w:t xml:space="preserve"> SLIDING</w:t>
      </w:r>
    </w:p>
    <w:p w14:paraId="51352D77" w14:textId="4515D59B" w:rsidR="00310F6A" w:rsidRDefault="00310F6A" w:rsidP="00D61551">
      <w:pPr>
        <w:widowControl/>
        <w:spacing w:after="120" w:line="480" w:lineRule="auto"/>
        <w:rPr>
          <w:rFonts w:ascii="Times New Roman" w:eastAsia="-webkit-standard" w:hAnsi="Times New Roman"/>
          <w:color w:val="000000"/>
          <w:sz w:val="24"/>
        </w:rPr>
      </w:pPr>
      <w:r>
        <w:rPr>
          <w:rFonts w:ascii="Times New Roman" w:eastAsia="-webkit-standard" w:hAnsi="Times New Roman"/>
          <w:color w:val="000000"/>
          <w:kern w:val="0"/>
          <w:sz w:val="24"/>
        </w:rPr>
        <w:t xml:space="preserve">After the sectioning was done, the sliced sections </w:t>
      </w:r>
      <w:r w:rsidR="00D61551">
        <w:rPr>
          <w:rFonts w:ascii="Times New Roman" w:eastAsia="-webkit-standard" w:hAnsi="Times New Roman"/>
          <w:color w:val="000000"/>
          <w:kern w:val="0"/>
          <w:sz w:val="24"/>
        </w:rPr>
        <w:t>were</w:t>
      </w:r>
      <w:r>
        <w:rPr>
          <w:rFonts w:ascii="Times New Roman" w:eastAsia="-webkit-standard" w:hAnsi="Times New Roman"/>
          <w:color w:val="000000"/>
          <w:kern w:val="0"/>
          <w:sz w:val="24"/>
        </w:rPr>
        <w:t xml:space="preserve"> floated in a warm water bath.</w:t>
      </w:r>
      <w:r w:rsidR="00D61551">
        <w:rPr>
          <w:rFonts w:ascii="Times New Roman" w:eastAsia="-webkit-standard" w:hAnsi="Times New Roman"/>
          <w:color w:val="000000"/>
          <w:sz w:val="24"/>
        </w:rPr>
        <w:t xml:space="preserve"> </w:t>
      </w:r>
      <w:r>
        <w:rPr>
          <w:rFonts w:ascii="Times New Roman" w:eastAsia="-webkit-standard" w:hAnsi="Times New Roman"/>
          <w:color w:val="000000"/>
          <w:kern w:val="0"/>
          <w:sz w:val="24"/>
        </w:rPr>
        <w:t>A clean glass slide was used to pick the thin section on the water bath in such a way that no air bubble was trapped between them.</w:t>
      </w:r>
      <w:r w:rsidR="00D61551">
        <w:rPr>
          <w:rFonts w:ascii="Times New Roman" w:eastAsia="-webkit-standard" w:hAnsi="Times New Roman"/>
          <w:color w:val="000000"/>
          <w:sz w:val="24"/>
        </w:rPr>
        <w:t xml:space="preserve"> </w:t>
      </w:r>
      <w:r>
        <w:rPr>
          <w:rFonts w:ascii="Times New Roman" w:eastAsia="-webkit-standard" w:hAnsi="Times New Roman"/>
          <w:color w:val="000000"/>
          <w:kern w:val="0"/>
          <w:sz w:val="24"/>
        </w:rPr>
        <w:t>The slide with the tissue was then subjected to heat in an hot air oven to get rid of the excess wax leaving the tissue alone mounted on the glass slide.</w:t>
      </w:r>
    </w:p>
    <w:p w14:paraId="001E0B12" w14:textId="77777777" w:rsidR="00310F6A" w:rsidRDefault="00310F6A" w:rsidP="00310F6A">
      <w:pPr>
        <w:pStyle w:val="NormalWeb"/>
        <w:spacing w:after="120" w:afterAutospacing="0" w:line="480" w:lineRule="auto"/>
        <w:jc w:val="both"/>
        <w:rPr>
          <w:rFonts w:eastAsia="-webkit-standard"/>
          <w:color w:val="000000"/>
        </w:rPr>
      </w:pPr>
      <w:r>
        <w:rPr>
          <w:rFonts w:eastAsia="-webkit-standard"/>
          <w:b/>
          <w:color w:val="000000"/>
        </w:rPr>
        <w:t>STAINING</w:t>
      </w:r>
    </w:p>
    <w:p w14:paraId="4FD40A73" w14:textId="5B8464E8" w:rsidR="00310F6A" w:rsidRDefault="00310F6A" w:rsidP="00D61551">
      <w:pPr>
        <w:widowControl/>
        <w:spacing w:after="120" w:line="480" w:lineRule="auto"/>
        <w:rPr>
          <w:rFonts w:ascii="Times New Roman" w:eastAsia="-webkit-standard" w:hAnsi="Times New Roman"/>
          <w:color w:val="000000"/>
          <w:sz w:val="24"/>
        </w:rPr>
      </w:pPr>
      <w:r>
        <w:rPr>
          <w:rFonts w:ascii="Times New Roman" w:eastAsia="-webkit-standard" w:hAnsi="Times New Roman"/>
          <w:color w:val="000000"/>
          <w:kern w:val="0"/>
          <w:sz w:val="24"/>
        </w:rPr>
        <w:t>The staining process was the next stage after mounting the tissue on the slide.</w:t>
      </w:r>
      <w:r w:rsidR="00D61551">
        <w:rPr>
          <w:rFonts w:ascii="Times New Roman" w:eastAsia="-webkit-standard" w:hAnsi="Times New Roman"/>
          <w:color w:val="000000"/>
          <w:sz w:val="24"/>
        </w:rPr>
        <w:t xml:space="preserve"> </w:t>
      </w:r>
      <w:r>
        <w:rPr>
          <w:rFonts w:ascii="Times New Roman" w:eastAsia="-webkit-standard" w:hAnsi="Times New Roman"/>
          <w:color w:val="000000"/>
          <w:kern w:val="0"/>
          <w:sz w:val="24"/>
        </w:rPr>
        <w:t>Because the tissues of the body are colorless at this stage, it will be difficult to study their details and so the staining technique enhances natural contrast and permits distinction to be made between them.</w:t>
      </w:r>
      <w:r w:rsidR="00D61551">
        <w:rPr>
          <w:rFonts w:ascii="Times New Roman" w:eastAsia="-webkit-standard" w:hAnsi="Times New Roman"/>
          <w:color w:val="000000"/>
          <w:sz w:val="24"/>
        </w:rPr>
        <w:t xml:space="preserve"> </w:t>
      </w:r>
      <w:r>
        <w:rPr>
          <w:rFonts w:ascii="Times New Roman" w:eastAsia="-webkit-standard" w:hAnsi="Times New Roman"/>
          <w:color w:val="000000"/>
          <w:kern w:val="0"/>
          <w:sz w:val="24"/>
        </w:rPr>
        <w:t>The most commonly used dye is a combination of Hematoxylin and Eosin (H&amp;E) which was used in the staining of the tissues.</w:t>
      </w:r>
    </w:p>
    <w:p w14:paraId="14A1B153" w14:textId="77777777" w:rsidR="00310F6A" w:rsidRDefault="00310F6A" w:rsidP="00310F6A">
      <w:pPr>
        <w:pStyle w:val="NormalWeb"/>
        <w:spacing w:after="120" w:afterAutospacing="0" w:line="480" w:lineRule="auto"/>
        <w:jc w:val="both"/>
        <w:rPr>
          <w:rFonts w:eastAsia="-webkit-standard"/>
          <w:color w:val="000000"/>
        </w:rPr>
      </w:pPr>
      <w:r>
        <w:rPr>
          <w:rFonts w:eastAsia="-webkit-standard"/>
          <w:b/>
          <w:color w:val="000000"/>
        </w:rPr>
        <w:t xml:space="preserve"> H&amp;E STAINING PROCEDURE</w:t>
      </w:r>
    </w:p>
    <w:p w14:paraId="1A1C84F0"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1. Dewax paraffin sections in xylene for 3-5 minutes</w:t>
      </w:r>
    </w:p>
    <w:p w14:paraId="7F1549D9" w14:textId="26008F74" w:rsidR="00310F6A" w:rsidRDefault="00310F6A" w:rsidP="00D61551">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2. Pass through descending grades of alcohol as follows</w:t>
      </w:r>
      <w:r w:rsidR="00D61551">
        <w:rPr>
          <w:rFonts w:ascii="Times New Roman" w:eastAsia="-webkit-standard" w:hAnsi="Times New Roman"/>
          <w:color w:val="000000"/>
          <w:kern w:val="0"/>
          <w:sz w:val="24"/>
        </w:rPr>
        <w:t>;</w:t>
      </w:r>
      <w:r w:rsidR="00D61551">
        <w:rPr>
          <w:rFonts w:ascii="Times New Roman" w:eastAsia="-webkit-standard" w:hAnsi="Times New Roman"/>
          <w:color w:val="000000"/>
          <w:sz w:val="24"/>
        </w:rPr>
        <w:t xml:space="preserve"> </w:t>
      </w:r>
      <w:r>
        <w:rPr>
          <w:rFonts w:ascii="Times New Roman" w:eastAsia="-webkit-standard" w:hAnsi="Times New Roman"/>
          <w:color w:val="000000"/>
          <w:kern w:val="0"/>
          <w:sz w:val="24"/>
        </w:rPr>
        <w:t>100% for 1 minute; 3 changes</w:t>
      </w:r>
      <w:r w:rsidR="00D61551">
        <w:rPr>
          <w:rFonts w:ascii="Times New Roman" w:eastAsia="-webkit-standard" w:hAnsi="Times New Roman"/>
          <w:color w:val="000000"/>
          <w:sz w:val="24"/>
        </w:rPr>
        <w:t xml:space="preserve">, </w:t>
      </w:r>
      <w:r>
        <w:rPr>
          <w:rFonts w:ascii="Times New Roman" w:eastAsia="-webkit-standard" w:hAnsi="Times New Roman"/>
          <w:color w:val="000000"/>
          <w:kern w:val="0"/>
          <w:sz w:val="24"/>
        </w:rPr>
        <w:t>90% for 1 minute</w:t>
      </w:r>
      <w:r w:rsidR="00D61551">
        <w:rPr>
          <w:rFonts w:ascii="Times New Roman" w:eastAsia="-webkit-standard" w:hAnsi="Times New Roman"/>
          <w:color w:val="000000"/>
          <w:sz w:val="24"/>
        </w:rPr>
        <w:t xml:space="preserve">, </w:t>
      </w:r>
      <w:r>
        <w:rPr>
          <w:rFonts w:ascii="Times New Roman" w:eastAsia="-webkit-standard" w:hAnsi="Times New Roman"/>
          <w:color w:val="000000"/>
          <w:kern w:val="0"/>
          <w:sz w:val="24"/>
        </w:rPr>
        <w:t>70% for 1 minute</w:t>
      </w:r>
      <w:r w:rsidR="00D61551">
        <w:rPr>
          <w:rFonts w:ascii="Times New Roman" w:eastAsia="-webkit-standard" w:hAnsi="Times New Roman"/>
          <w:color w:val="000000"/>
          <w:sz w:val="24"/>
        </w:rPr>
        <w:t xml:space="preserve">, </w:t>
      </w:r>
      <w:r>
        <w:rPr>
          <w:rFonts w:ascii="Times New Roman" w:eastAsia="-webkit-standard" w:hAnsi="Times New Roman"/>
          <w:color w:val="000000"/>
          <w:kern w:val="0"/>
          <w:sz w:val="24"/>
        </w:rPr>
        <w:t>50% for 1 minute.</w:t>
      </w:r>
    </w:p>
    <w:p w14:paraId="6EBF0191"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3. Rinse sections in tap water for 1 minute</w:t>
      </w:r>
    </w:p>
    <w:p w14:paraId="30ABFBB5"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4. Stain in Hematoxylin for 15 minutes</w:t>
      </w:r>
    </w:p>
    <w:p w14:paraId="50E4151C" w14:textId="164E4E2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5. Wash in running water f</w:t>
      </w:r>
      <w:r w:rsidR="0083091A">
        <w:rPr>
          <w:rFonts w:ascii="Times New Roman" w:eastAsia="-webkit-standard" w:hAnsi="Times New Roman"/>
          <w:color w:val="000000"/>
          <w:kern w:val="0"/>
          <w:sz w:val="24"/>
        </w:rPr>
        <w:t>o</w:t>
      </w:r>
      <w:r>
        <w:rPr>
          <w:rFonts w:ascii="Times New Roman" w:eastAsia="-webkit-standard" w:hAnsi="Times New Roman"/>
          <w:color w:val="000000"/>
          <w:kern w:val="0"/>
          <w:sz w:val="24"/>
        </w:rPr>
        <w:t>r about 3 minutes</w:t>
      </w:r>
    </w:p>
    <w:p w14:paraId="590AC284"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lastRenderedPageBreak/>
        <w:t>6. Differentiate in acid alcohol for about 5-10 seconds</w:t>
      </w:r>
    </w:p>
    <w:p w14:paraId="0CD518A6"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7. Blue in tap water for 5 minutes</w:t>
      </w:r>
    </w:p>
    <w:p w14:paraId="661F51D9"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8. Counter-stain in Eosin for 5 minutes</w:t>
      </w:r>
    </w:p>
    <w:p w14:paraId="5A93DEDA"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9. Wash off excess stain in water</w:t>
      </w:r>
    </w:p>
    <w:p w14:paraId="75D9360C" w14:textId="77777777" w:rsidR="00310F6A" w:rsidRDefault="00310F6A" w:rsidP="00310F6A">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10. Dehydrate in ascending grades of alcohol ( 50%, 70%, 90% and 100%) for 1 minute each</w:t>
      </w:r>
    </w:p>
    <w:p w14:paraId="28FB56EF" w14:textId="77777777" w:rsidR="00310F6A" w:rsidRDefault="00310F6A" w:rsidP="00310F6A">
      <w:pPr>
        <w:widowControl/>
        <w:spacing w:after="120" w:line="480" w:lineRule="auto"/>
        <w:ind w:left="540"/>
        <w:rPr>
          <w:rFonts w:ascii="Times New Roman" w:eastAsia="-webkit-standard" w:hAnsi="Times New Roman"/>
          <w:color w:val="000000"/>
          <w:kern w:val="0"/>
          <w:sz w:val="24"/>
        </w:rPr>
      </w:pPr>
      <w:r>
        <w:rPr>
          <w:rFonts w:ascii="Times New Roman" w:eastAsia="-webkit-standard" w:hAnsi="Times New Roman"/>
          <w:color w:val="000000"/>
          <w:kern w:val="0"/>
          <w:sz w:val="24"/>
        </w:rPr>
        <w:t>11. Clear in xylene and mount with D.P.X (DEPEX)</w:t>
      </w:r>
    </w:p>
    <w:p w14:paraId="01CB8798" w14:textId="77777777" w:rsidR="001404DA" w:rsidRDefault="001404DA" w:rsidP="001404DA">
      <w:pPr>
        <w:widowControl/>
        <w:spacing w:after="120" w:line="480" w:lineRule="auto"/>
        <w:ind w:left="540"/>
        <w:rPr>
          <w:rFonts w:ascii="Times New Roman" w:eastAsia="-webkit-standard" w:hAnsi="Times New Roman"/>
          <w:b/>
          <w:color w:val="000000"/>
          <w:sz w:val="24"/>
        </w:rPr>
      </w:pPr>
    </w:p>
    <w:p w14:paraId="6F470D9E" w14:textId="053C9FCF" w:rsidR="001404DA" w:rsidRPr="001404DA" w:rsidRDefault="001404DA" w:rsidP="001404DA">
      <w:pPr>
        <w:widowControl/>
        <w:spacing w:after="120" w:line="480" w:lineRule="auto"/>
        <w:ind w:left="540"/>
        <w:rPr>
          <w:rFonts w:ascii="Times New Roman" w:eastAsia="-webkit-standard" w:hAnsi="Times New Roman"/>
          <w:b/>
          <w:color w:val="000000"/>
          <w:sz w:val="24"/>
        </w:rPr>
      </w:pPr>
      <w:r w:rsidRPr="001404DA">
        <w:rPr>
          <w:rFonts w:ascii="Times New Roman" w:eastAsia="-webkit-standard" w:hAnsi="Times New Roman"/>
          <w:b/>
          <w:color w:val="000000"/>
          <w:sz w:val="24"/>
        </w:rPr>
        <w:t xml:space="preserve">Statistical Analysis </w:t>
      </w:r>
    </w:p>
    <w:p w14:paraId="62B107D4" w14:textId="781D78F4" w:rsidR="00D61551" w:rsidRPr="001404DA" w:rsidRDefault="001404DA" w:rsidP="001404DA">
      <w:pPr>
        <w:widowControl/>
        <w:spacing w:after="120" w:line="480" w:lineRule="auto"/>
        <w:ind w:left="540"/>
        <w:rPr>
          <w:rFonts w:ascii="Times New Roman" w:eastAsia="-webkit-standard" w:hAnsi="Times New Roman"/>
          <w:b/>
          <w:color w:val="000000"/>
          <w:sz w:val="24"/>
        </w:rPr>
      </w:pPr>
      <w:r w:rsidRPr="001404DA">
        <w:rPr>
          <w:rFonts w:ascii="Times New Roman" w:eastAsia="-webkit-standard" w:hAnsi="Times New Roman"/>
          <w:color w:val="000000"/>
          <w:sz w:val="24"/>
        </w:rPr>
        <w:t>Data are presented as mean ± SE. One-way analysis of variance (ANOVA) was used for assessing differences among groups. This was followed by Bonferroni's post-hoc paired comparison using Windows SPSS version 20.0 (SPSS Inc., Chicago IL, USA). P &lt; 0.05 was taken as indicating statistically significant differences.</w:t>
      </w:r>
    </w:p>
    <w:p w14:paraId="4D42C9F1" w14:textId="7E8C2D41" w:rsidR="00310F6A" w:rsidRDefault="00310F6A" w:rsidP="00310F6A">
      <w:pPr>
        <w:pStyle w:val="NormalWeb"/>
        <w:spacing w:after="180" w:afterAutospacing="0" w:line="480" w:lineRule="auto"/>
        <w:rPr>
          <w:b/>
        </w:rPr>
      </w:pPr>
      <w:r>
        <w:rPr>
          <w:b/>
        </w:rPr>
        <w:t>RESULTS</w:t>
      </w:r>
    </w:p>
    <w:p w14:paraId="164A0875" w14:textId="77777777" w:rsidR="00310F6A" w:rsidRDefault="00310F6A" w:rsidP="00310F6A">
      <w:pPr>
        <w:widowControl/>
        <w:spacing w:line="480" w:lineRule="auto"/>
        <w:rPr>
          <w:rFonts w:ascii="Times New Roman" w:eastAsia="-webkit-standard" w:hAnsi="Times New Roman"/>
          <w:color w:val="222222"/>
          <w:sz w:val="24"/>
          <w:shd w:val="clear" w:color="auto" w:fill="FFFFFF"/>
        </w:rPr>
      </w:pPr>
      <w:r>
        <w:rPr>
          <w:rFonts w:ascii="Times New Roman" w:hAnsi="Times New Roman"/>
          <w:b/>
          <w:color w:val="000000"/>
          <w:kern w:val="0"/>
          <w:sz w:val="24"/>
        </w:rPr>
        <w:t>Table 1:</w:t>
      </w:r>
      <w:r>
        <w:rPr>
          <w:rFonts w:ascii="Times New Roman" w:hAnsi="Times New Roman"/>
          <w:color w:val="000000"/>
          <w:kern w:val="0"/>
          <w:sz w:val="24"/>
        </w:rPr>
        <w:t xml:space="preserve"> Packed cell volume (PCV) of anemic rats treated with aqueous extracts of T.</w:t>
      </w:r>
      <w:r>
        <w:rPr>
          <w:rFonts w:ascii="Times New Roman" w:hAnsi="Times New Roman"/>
          <w:color w:val="000000"/>
          <w:kern w:val="0"/>
          <w:sz w:val="24"/>
          <w:lang w:val="en-GB"/>
        </w:rPr>
        <w:t xml:space="preserve"> </w:t>
      </w:r>
      <w:r>
        <w:rPr>
          <w:rFonts w:ascii="Times New Roman" w:hAnsi="Times New Roman"/>
          <w:color w:val="000000"/>
          <w:kern w:val="0"/>
          <w:sz w:val="24"/>
        </w:rPr>
        <w:t>Triangulare, Bunto blood tonic, and normal saline for 7,14,21 and 28 days respectively.</w:t>
      </w:r>
    </w:p>
    <w:tbl>
      <w:tblPr>
        <w:tblStyle w:val="TableGrid"/>
        <w:tblW w:w="5000" w:type="pct"/>
        <w:tblLook w:val="04A0" w:firstRow="1" w:lastRow="0" w:firstColumn="1" w:lastColumn="0" w:noHBand="0" w:noVBand="1"/>
      </w:tblPr>
      <w:tblGrid>
        <w:gridCol w:w="2024"/>
        <w:gridCol w:w="1221"/>
        <w:gridCol w:w="1221"/>
        <w:gridCol w:w="1221"/>
        <w:gridCol w:w="1221"/>
        <w:gridCol w:w="1221"/>
        <w:gridCol w:w="1221"/>
      </w:tblGrid>
      <w:tr w:rsidR="00310F6A" w14:paraId="0CB764C5" w14:textId="77777777" w:rsidTr="00FE523D">
        <w:trPr>
          <w:trHeight w:val="440"/>
        </w:trPr>
        <w:tc>
          <w:tcPr>
            <w:tcW w:w="1082" w:type="pct"/>
          </w:tcPr>
          <w:p w14:paraId="3133252E" w14:textId="77777777" w:rsidR="00310F6A" w:rsidRDefault="00310F6A" w:rsidP="00FE523D">
            <w:pPr>
              <w:widowControl/>
              <w:jc w:val="left"/>
              <w:rPr>
                <w:rFonts w:ascii="Times New Roman" w:eastAsia="-webkit-standard" w:hAnsi="Times New Roman"/>
                <w:b/>
                <w:bCs/>
                <w:color w:val="000000" w:themeColor="text1"/>
                <w:sz w:val="24"/>
                <w:shd w:val="clear" w:color="auto" w:fill="FFFFFF"/>
              </w:rPr>
            </w:pPr>
            <w:r>
              <w:rPr>
                <w:rFonts w:ascii="Times New Roman" w:eastAsia="-webkit-standard" w:hAnsi="Times New Roman"/>
                <w:b/>
                <w:bCs/>
                <w:color w:val="000000" w:themeColor="text1"/>
                <w:sz w:val="24"/>
                <w:shd w:val="clear" w:color="auto" w:fill="FFFFFF"/>
              </w:rPr>
              <w:t>GROUP</w:t>
            </w:r>
          </w:p>
        </w:tc>
        <w:tc>
          <w:tcPr>
            <w:tcW w:w="653" w:type="pct"/>
          </w:tcPr>
          <w:p w14:paraId="122623CA"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DAY 0</w:t>
            </w:r>
          </w:p>
        </w:tc>
        <w:tc>
          <w:tcPr>
            <w:tcW w:w="653" w:type="pct"/>
          </w:tcPr>
          <w:p w14:paraId="5C37BA32"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DAY 1</w:t>
            </w:r>
          </w:p>
        </w:tc>
        <w:tc>
          <w:tcPr>
            <w:tcW w:w="653" w:type="pct"/>
          </w:tcPr>
          <w:p w14:paraId="60EF0ABF"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DAY 7</w:t>
            </w:r>
          </w:p>
        </w:tc>
        <w:tc>
          <w:tcPr>
            <w:tcW w:w="653" w:type="pct"/>
          </w:tcPr>
          <w:p w14:paraId="4D7C2185"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DAY 14</w:t>
            </w:r>
          </w:p>
        </w:tc>
        <w:tc>
          <w:tcPr>
            <w:tcW w:w="653" w:type="pct"/>
          </w:tcPr>
          <w:p w14:paraId="2E1EC6E1"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DAY 21</w:t>
            </w:r>
          </w:p>
        </w:tc>
        <w:tc>
          <w:tcPr>
            <w:tcW w:w="653" w:type="pct"/>
          </w:tcPr>
          <w:p w14:paraId="6DC07E3A"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DAY 28</w:t>
            </w:r>
          </w:p>
        </w:tc>
      </w:tr>
      <w:tr w:rsidR="00310F6A" w14:paraId="3A90A546" w14:textId="77777777" w:rsidTr="00FE523D">
        <w:trPr>
          <w:trHeight w:val="880"/>
        </w:trPr>
        <w:tc>
          <w:tcPr>
            <w:tcW w:w="1082" w:type="pct"/>
          </w:tcPr>
          <w:p w14:paraId="72A18A0B" w14:textId="30F04539" w:rsidR="00310F6A" w:rsidRDefault="00D61551" w:rsidP="00FE523D">
            <w:pPr>
              <w:widowControl/>
              <w:jc w:val="left"/>
              <w:rPr>
                <w:rFonts w:ascii="Times New Roman" w:eastAsia="-webkit-standard" w:hAnsi="Times New Roman"/>
                <w:b/>
                <w:bCs/>
                <w:color w:val="000000" w:themeColor="text1"/>
                <w:sz w:val="24"/>
                <w:shd w:val="clear" w:color="auto" w:fill="FFFFFF"/>
              </w:rPr>
            </w:pPr>
            <w:r>
              <w:rPr>
                <w:rFonts w:ascii="Times New Roman" w:eastAsia="-webkit-standard" w:hAnsi="Times New Roman"/>
                <w:b/>
                <w:bCs/>
                <w:color w:val="000000" w:themeColor="text1"/>
                <w:sz w:val="24"/>
                <w:shd w:val="clear" w:color="auto" w:fill="FFFFFF"/>
              </w:rPr>
              <w:t>100mg/kg/</w:t>
            </w:r>
            <w:proofErr w:type="spellStart"/>
            <w:r>
              <w:rPr>
                <w:rFonts w:ascii="Times New Roman" w:eastAsia="-webkit-standard" w:hAnsi="Times New Roman"/>
                <w:b/>
                <w:bCs/>
                <w:color w:val="000000" w:themeColor="text1"/>
                <w:sz w:val="24"/>
                <w:shd w:val="clear" w:color="auto" w:fill="FFFFFF"/>
              </w:rPr>
              <w:t>bw</w:t>
            </w:r>
            <w:proofErr w:type="spellEnd"/>
          </w:p>
        </w:tc>
        <w:tc>
          <w:tcPr>
            <w:tcW w:w="653" w:type="pct"/>
          </w:tcPr>
          <w:p w14:paraId="3A39B5D7"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38.0 ± 3.08</w:t>
            </w:r>
          </w:p>
        </w:tc>
        <w:tc>
          <w:tcPr>
            <w:tcW w:w="653" w:type="pct"/>
          </w:tcPr>
          <w:p w14:paraId="5301DE08"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24.8±1.98</w:t>
            </w:r>
          </w:p>
        </w:tc>
        <w:tc>
          <w:tcPr>
            <w:tcW w:w="653" w:type="pct"/>
          </w:tcPr>
          <w:p w14:paraId="09AFCC73"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32.6±1.94</w:t>
            </w:r>
          </w:p>
        </w:tc>
        <w:tc>
          <w:tcPr>
            <w:tcW w:w="653" w:type="pct"/>
          </w:tcPr>
          <w:p w14:paraId="38430EB3"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37.6±2.88</w:t>
            </w:r>
          </w:p>
        </w:tc>
        <w:tc>
          <w:tcPr>
            <w:tcW w:w="653" w:type="pct"/>
          </w:tcPr>
          <w:p w14:paraId="7F97C855"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41.6±2.07</w:t>
            </w:r>
          </w:p>
        </w:tc>
        <w:tc>
          <w:tcPr>
            <w:tcW w:w="653" w:type="pct"/>
          </w:tcPr>
          <w:p w14:paraId="7CED66E0"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41.6±2.07</w:t>
            </w:r>
          </w:p>
        </w:tc>
      </w:tr>
      <w:tr w:rsidR="00310F6A" w14:paraId="36BBE610" w14:textId="77777777" w:rsidTr="00FE523D">
        <w:trPr>
          <w:trHeight w:val="880"/>
        </w:trPr>
        <w:tc>
          <w:tcPr>
            <w:tcW w:w="1082" w:type="pct"/>
          </w:tcPr>
          <w:p w14:paraId="5A2138AF" w14:textId="7AD9DAF8" w:rsidR="00310F6A" w:rsidRDefault="00310F6A" w:rsidP="00FE523D">
            <w:pPr>
              <w:widowControl/>
              <w:jc w:val="left"/>
              <w:rPr>
                <w:rFonts w:ascii="Times New Roman" w:eastAsia="-webkit-standard" w:hAnsi="Times New Roman"/>
                <w:b/>
                <w:bCs/>
                <w:color w:val="000000" w:themeColor="text1"/>
                <w:sz w:val="24"/>
                <w:shd w:val="clear" w:color="auto" w:fill="FFFFFF"/>
              </w:rPr>
            </w:pPr>
            <w:r>
              <w:rPr>
                <w:rFonts w:ascii="Times New Roman" w:eastAsia="-webkit-standard" w:hAnsi="Times New Roman"/>
                <w:b/>
                <w:bCs/>
                <w:color w:val="000000" w:themeColor="text1"/>
                <w:sz w:val="24"/>
                <w:shd w:val="clear" w:color="auto" w:fill="FFFFFF"/>
              </w:rPr>
              <w:t>2</w:t>
            </w:r>
            <w:r w:rsidR="00D61551">
              <w:rPr>
                <w:rFonts w:ascii="Times New Roman" w:eastAsia="-webkit-standard" w:hAnsi="Times New Roman"/>
                <w:b/>
                <w:bCs/>
                <w:color w:val="000000" w:themeColor="text1"/>
                <w:sz w:val="24"/>
                <w:shd w:val="clear" w:color="auto" w:fill="FFFFFF"/>
              </w:rPr>
              <w:t>00mg/kg/</w:t>
            </w:r>
            <w:proofErr w:type="spellStart"/>
            <w:r w:rsidR="00D61551">
              <w:rPr>
                <w:rFonts w:ascii="Times New Roman" w:eastAsia="-webkit-standard" w:hAnsi="Times New Roman"/>
                <w:b/>
                <w:bCs/>
                <w:color w:val="000000" w:themeColor="text1"/>
                <w:sz w:val="24"/>
                <w:shd w:val="clear" w:color="auto" w:fill="FFFFFF"/>
              </w:rPr>
              <w:t>bw</w:t>
            </w:r>
            <w:proofErr w:type="spellEnd"/>
          </w:p>
        </w:tc>
        <w:tc>
          <w:tcPr>
            <w:tcW w:w="653" w:type="pct"/>
          </w:tcPr>
          <w:p w14:paraId="47886BA3"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34.8±5.01</w:t>
            </w:r>
          </w:p>
        </w:tc>
        <w:tc>
          <w:tcPr>
            <w:tcW w:w="653" w:type="pct"/>
          </w:tcPr>
          <w:p w14:paraId="579632CA"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22.4±1.14</w:t>
            </w:r>
          </w:p>
        </w:tc>
        <w:tc>
          <w:tcPr>
            <w:tcW w:w="653" w:type="pct"/>
          </w:tcPr>
          <w:p w14:paraId="382762C6"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37.2±2.28</w:t>
            </w:r>
          </w:p>
        </w:tc>
        <w:tc>
          <w:tcPr>
            <w:tcW w:w="653" w:type="pct"/>
          </w:tcPr>
          <w:p w14:paraId="5A051547"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40.6±2.96</w:t>
            </w:r>
          </w:p>
        </w:tc>
        <w:tc>
          <w:tcPr>
            <w:tcW w:w="653" w:type="pct"/>
          </w:tcPr>
          <w:p w14:paraId="100E2C59"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42.4±2.70</w:t>
            </w:r>
          </w:p>
        </w:tc>
        <w:tc>
          <w:tcPr>
            <w:tcW w:w="653" w:type="pct"/>
          </w:tcPr>
          <w:p w14:paraId="0AC806DC"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42.8±1.48</w:t>
            </w:r>
          </w:p>
        </w:tc>
      </w:tr>
      <w:tr w:rsidR="00310F6A" w14:paraId="6409F8A5" w14:textId="77777777" w:rsidTr="00FE523D">
        <w:trPr>
          <w:trHeight w:val="880"/>
        </w:trPr>
        <w:tc>
          <w:tcPr>
            <w:tcW w:w="1082" w:type="pct"/>
          </w:tcPr>
          <w:p w14:paraId="6175B9DE" w14:textId="38A835BE" w:rsidR="00310F6A" w:rsidRDefault="00310F6A" w:rsidP="00FE523D">
            <w:pPr>
              <w:widowControl/>
              <w:jc w:val="left"/>
              <w:rPr>
                <w:rFonts w:ascii="Times New Roman" w:eastAsia="-webkit-standard" w:hAnsi="Times New Roman"/>
                <w:b/>
                <w:bCs/>
                <w:color w:val="000000" w:themeColor="text1"/>
                <w:sz w:val="24"/>
                <w:shd w:val="clear" w:color="auto" w:fill="FFFFFF"/>
              </w:rPr>
            </w:pPr>
            <w:r>
              <w:rPr>
                <w:rFonts w:ascii="Times New Roman" w:eastAsia="-webkit-standard" w:hAnsi="Times New Roman"/>
                <w:b/>
                <w:bCs/>
                <w:color w:val="000000" w:themeColor="text1"/>
                <w:sz w:val="24"/>
                <w:shd w:val="clear" w:color="auto" w:fill="FFFFFF"/>
              </w:rPr>
              <w:t>300mg/kg/</w:t>
            </w:r>
            <w:proofErr w:type="spellStart"/>
            <w:r>
              <w:rPr>
                <w:rFonts w:ascii="Times New Roman" w:eastAsia="-webkit-standard" w:hAnsi="Times New Roman"/>
                <w:b/>
                <w:bCs/>
                <w:color w:val="000000" w:themeColor="text1"/>
                <w:sz w:val="24"/>
                <w:shd w:val="clear" w:color="auto" w:fill="FFFFFF"/>
              </w:rPr>
              <w:t>b</w:t>
            </w:r>
            <w:r w:rsidR="00D61551">
              <w:rPr>
                <w:rFonts w:ascii="Times New Roman" w:eastAsia="-webkit-standard" w:hAnsi="Times New Roman"/>
                <w:b/>
                <w:bCs/>
                <w:color w:val="000000" w:themeColor="text1"/>
                <w:sz w:val="24"/>
                <w:shd w:val="clear" w:color="auto" w:fill="FFFFFF"/>
              </w:rPr>
              <w:t>w</w:t>
            </w:r>
            <w:proofErr w:type="spellEnd"/>
          </w:p>
        </w:tc>
        <w:tc>
          <w:tcPr>
            <w:tcW w:w="653" w:type="pct"/>
          </w:tcPr>
          <w:p w14:paraId="7C68737A"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34.6±5.07</w:t>
            </w:r>
          </w:p>
        </w:tc>
        <w:tc>
          <w:tcPr>
            <w:tcW w:w="653" w:type="pct"/>
          </w:tcPr>
          <w:p w14:paraId="4E231CDC"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20.2±0.44</w:t>
            </w:r>
          </w:p>
        </w:tc>
        <w:tc>
          <w:tcPr>
            <w:tcW w:w="653" w:type="pct"/>
          </w:tcPr>
          <w:p w14:paraId="34170268"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34.4±3.36</w:t>
            </w:r>
          </w:p>
        </w:tc>
        <w:tc>
          <w:tcPr>
            <w:tcW w:w="653" w:type="pct"/>
          </w:tcPr>
          <w:p w14:paraId="71C42B7E"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39.0±4.69</w:t>
            </w:r>
          </w:p>
        </w:tc>
        <w:tc>
          <w:tcPr>
            <w:tcW w:w="653" w:type="pct"/>
          </w:tcPr>
          <w:p w14:paraId="0DC56734"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40.0±1.41</w:t>
            </w:r>
          </w:p>
        </w:tc>
        <w:tc>
          <w:tcPr>
            <w:tcW w:w="653" w:type="pct"/>
          </w:tcPr>
          <w:p w14:paraId="6914F50E"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41.8±2.30</w:t>
            </w:r>
          </w:p>
        </w:tc>
      </w:tr>
      <w:tr w:rsidR="00310F6A" w14:paraId="43FF891B" w14:textId="77777777" w:rsidTr="00FE523D">
        <w:trPr>
          <w:trHeight w:val="880"/>
        </w:trPr>
        <w:tc>
          <w:tcPr>
            <w:tcW w:w="1082" w:type="pct"/>
          </w:tcPr>
          <w:p w14:paraId="6D94B49F" w14:textId="2410A674" w:rsidR="00310F6A" w:rsidRDefault="00310F6A" w:rsidP="00FE523D">
            <w:pPr>
              <w:widowControl/>
              <w:jc w:val="left"/>
              <w:rPr>
                <w:rFonts w:ascii="Times New Roman" w:eastAsia="-webkit-standard" w:hAnsi="Times New Roman"/>
                <w:b/>
                <w:bCs/>
                <w:color w:val="000000" w:themeColor="text1"/>
                <w:sz w:val="24"/>
                <w:shd w:val="clear" w:color="auto" w:fill="FFFFFF"/>
              </w:rPr>
            </w:pPr>
            <w:r>
              <w:rPr>
                <w:rFonts w:ascii="Times New Roman" w:eastAsia="-webkit-standard" w:hAnsi="Times New Roman"/>
                <w:b/>
                <w:bCs/>
                <w:color w:val="000000" w:themeColor="text1"/>
                <w:sz w:val="24"/>
                <w:shd w:val="clear" w:color="auto" w:fill="FFFFFF"/>
              </w:rPr>
              <w:lastRenderedPageBreak/>
              <w:t>400mg/kg/</w:t>
            </w:r>
            <w:proofErr w:type="spellStart"/>
            <w:r>
              <w:rPr>
                <w:rFonts w:ascii="Times New Roman" w:eastAsia="-webkit-standard" w:hAnsi="Times New Roman"/>
                <w:b/>
                <w:bCs/>
                <w:color w:val="000000" w:themeColor="text1"/>
                <w:sz w:val="24"/>
                <w:shd w:val="clear" w:color="auto" w:fill="FFFFFF"/>
              </w:rPr>
              <w:t>b</w:t>
            </w:r>
            <w:r w:rsidR="00D61551">
              <w:rPr>
                <w:rFonts w:ascii="Times New Roman" w:eastAsia="-webkit-standard" w:hAnsi="Times New Roman"/>
                <w:b/>
                <w:bCs/>
                <w:color w:val="000000" w:themeColor="text1"/>
                <w:sz w:val="24"/>
                <w:shd w:val="clear" w:color="auto" w:fill="FFFFFF"/>
              </w:rPr>
              <w:t>w</w:t>
            </w:r>
            <w:proofErr w:type="spellEnd"/>
          </w:p>
        </w:tc>
        <w:tc>
          <w:tcPr>
            <w:tcW w:w="653" w:type="pct"/>
          </w:tcPr>
          <w:p w14:paraId="7CE21A10"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33.8±5.67</w:t>
            </w:r>
          </w:p>
        </w:tc>
        <w:tc>
          <w:tcPr>
            <w:tcW w:w="653" w:type="pct"/>
          </w:tcPr>
          <w:p w14:paraId="090EE402"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23.2±0.59</w:t>
            </w:r>
          </w:p>
        </w:tc>
        <w:tc>
          <w:tcPr>
            <w:tcW w:w="653" w:type="pct"/>
          </w:tcPr>
          <w:p w14:paraId="1B4DCE83"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35.0±3.31</w:t>
            </w:r>
          </w:p>
        </w:tc>
        <w:tc>
          <w:tcPr>
            <w:tcW w:w="653" w:type="pct"/>
          </w:tcPr>
          <w:p w14:paraId="12F82A65"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41.8±2.38</w:t>
            </w:r>
          </w:p>
        </w:tc>
        <w:tc>
          <w:tcPr>
            <w:tcW w:w="653" w:type="pct"/>
          </w:tcPr>
          <w:p w14:paraId="557F1E03"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41.8±1.78</w:t>
            </w:r>
          </w:p>
        </w:tc>
        <w:tc>
          <w:tcPr>
            <w:tcW w:w="653" w:type="pct"/>
          </w:tcPr>
          <w:p w14:paraId="08AF3136"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45.8±1.78</w:t>
            </w:r>
          </w:p>
        </w:tc>
      </w:tr>
      <w:tr w:rsidR="00310F6A" w14:paraId="19E503E7" w14:textId="77777777" w:rsidTr="00FE523D">
        <w:trPr>
          <w:trHeight w:val="880"/>
        </w:trPr>
        <w:tc>
          <w:tcPr>
            <w:tcW w:w="1082" w:type="pct"/>
          </w:tcPr>
          <w:p w14:paraId="3D3BBC42" w14:textId="0973DE80" w:rsidR="00310F6A" w:rsidRDefault="00310F6A" w:rsidP="00FE523D">
            <w:pPr>
              <w:widowControl/>
              <w:jc w:val="left"/>
              <w:rPr>
                <w:rFonts w:ascii="Times New Roman" w:eastAsia="-webkit-standard" w:hAnsi="Times New Roman"/>
                <w:b/>
                <w:bCs/>
                <w:color w:val="000000" w:themeColor="text1"/>
                <w:sz w:val="24"/>
                <w:shd w:val="clear" w:color="auto" w:fill="FFFFFF"/>
              </w:rPr>
            </w:pPr>
            <w:r>
              <w:rPr>
                <w:rFonts w:ascii="Times New Roman" w:eastAsia="-webkit-standard" w:hAnsi="Times New Roman"/>
                <w:b/>
                <w:bCs/>
                <w:color w:val="000000" w:themeColor="text1"/>
                <w:sz w:val="24"/>
                <w:shd w:val="clear" w:color="auto" w:fill="FFFFFF"/>
              </w:rPr>
              <w:t>Neg. control (Bunto)</w:t>
            </w:r>
          </w:p>
        </w:tc>
        <w:tc>
          <w:tcPr>
            <w:tcW w:w="653" w:type="pct"/>
          </w:tcPr>
          <w:p w14:paraId="37B1F596"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40.4±1.67</w:t>
            </w:r>
          </w:p>
        </w:tc>
        <w:tc>
          <w:tcPr>
            <w:tcW w:w="653" w:type="pct"/>
          </w:tcPr>
          <w:p w14:paraId="41274B84"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24.2±2.16</w:t>
            </w:r>
          </w:p>
        </w:tc>
        <w:tc>
          <w:tcPr>
            <w:tcW w:w="653" w:type="pct"/>
          </w:tcPr>
          <w:p w14:paraId="1B88E07F"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36.0±3.80</w:t>
            </w:r>
          </w:p>
        </w:tc>
        <w:tc>
          <w:tcPr>
            <w:tcW w:w="653" w:type="pct"/>
          </w:tcPr>
          <w:p w14:paraId="6D191DEF"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41.8±2.86</w:t>
            </w:r>
          </w:p>
        </w:tc>
        <w:tc>
          <w:tcPr>
            <w:tcW w:w="653" w:type="pct"/>
          </w:tcPr>
          <w:p w14:paraId="779E43B2"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41.8±1.78</w:t>
            </w:r>
          </w:p>
        </w:tc>
        <w:tc>
          <w:tcPr>
            <w:tcW w:w="653" w:type="pct"/>
          </w:tcPr>
          <w:p w14:paraId="0D97F6D5"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43.2±2.38</w:t>
            </w:r>
          </w:p>
        </w:tc>
      </w:tr>
      <w:tr w:rsidR="00310F6A" w14:paraId="3E88396F" w14:textId="77777777" w:rsidTr="00FE523D">
        <w:trPr>
          <w:trHeight w:val="880"/>
        </w:trPr>
        <w:tc>
          <w:tcPr>
            <w:tcW w:w="1082" w:type="pct"/>
          </w:tcPr>
          <w:p w14:paraId="01D36314" w14:textId="50CF24DD" w:rsidR="00310F6A" w:rsidRDefault="00310F6A" w:rsidP="00FE523D">
            <w:pPr>
              <w:widowControl/>
              <w:jc w:val="left"/>
              <w:rPr>
                <w:rFonts w:ascii="Times New Roman" w:eastAsia="-webkit-standard" w:hAnsi="Times New Roman"/>
                <w:b/>
                <w:bCs/>
                <w:color w:val="000000" w:themeColor="text1"/>
                <w:sz w:val="24"/>
                <w:shd w:val="clear" w:color="auto" w:fill="FFFFFF"/>
              </w:rPr>
            </w:pPr>
            <w:r>
              <w:rPr>
                <w:rFonts w:ascii="Times New Roman" w:eastAsia="-webkit-standard" w:hAnsi="Times New Roman"/>
                <w:b/>
                <w:bCs/>
                <w:color w:val="000000" w:themeColor="text1"/>
                <w:sz w:val="24"/>
                <w:shd w:val="clear" w:color="auto" w:fill="FFFFFF"/>
              </w:rPr>
              <w:t>Normal saline</w:t>
            </w:r>
            <w:r w:rsidR="001404DA">
              <w:rPr>
                <w:rFonts w:ascii="Times New Roman" w:eastAsia="-webkit-standard" w:hAnsi="Times New Roman"/>
                <w:b/>
                <w:bCs/>
                <w:color w:val="000000" w:themeColor="text1"/>
                <w:sz w:val="24"/>
                <w:shd w:val="clear" w:color="auto" w:fill="FFFFFF"/>
              </w:rPr>
              <w:t xml:space="preserve"> (positive control)</w:t>
            </w:r>
          </w:p>
        </w:tc>
        <w:tc>
          <w:tcPr>
            <w:tcW w:w="653" w:type="pct"/>
          </w:tcPr>
          <w:p w14:paraId="258CA58C"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44.8±4.14</w:t>
            </w:r>
          </w:p>
        </w:tc>
        <w:tc>
          <w:tcPr>
            <w:tcW w:w="653" w:type="pct"/>
          </w:tcPr>
          <w:p w14:paraId="1FB7B6F1"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44.8±4.14</w:t>
            </w:r>
          </w:p>
        </w:tc>
        <w:tc>
          <w:tcPr>
            <w:tcW w:w="653" w:type="pct"/>
          </w:tcPr>
          <w:p w14:paraId="65F2062D"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36.2±3.56</w:t>
            </w:r>
          </w:p>
        </w:tc>
        <w:tc>
          <w:tcPr>
            <w:tcW w:w="653" w:type="pct"/>
          </w:tcPr>
          <w:p w14:paraId="10E3E942"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43.4±2.70</w:t>
            </w:r>
          </w:p>
        </w:tc>
        <w:tc>
          <w:tcPr>
            <w:tcW w:w="653" w:type="pct"/>
          </w:tcPr>
          <w:p w14:paraId="12783497"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43.0±6.59</w:t>
            </w:r>
          </w:p>
        </w:tc>
        <w:tc>
          <w:tcPr>
            <w:tcW w:w="653" w:type="pct"/>
          </w:tcPr>
          <w:p w14:paraId="28862D65" w14:textId="77777777" w:rsidR="00310F6A" w:rsidRDefault="00310F6A" w:rsidP="00FE523D">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45.4±3.84</w:t>
            </w:r>
          </w:p>
        </w:tc>
      </w:tr>
    </w:tbl>
    <w:p w14:paraId="0B102494" w14:textId="77777777" w:rsidR="00310F6A" w:rsidRDefault="00310F6A" w:rsidP="00310F6A">
      <w:pPr>
        <w:widowControl/>
        <w:spacing w:line="480" w:lineRule="auto"/>
        <w:jc w:val="left"/>
        <w:rPr>
          <w:rFonts w:ascii="Times New Roman" w:eastAsia="-webkit-standard" w:hAnsi="Times New Roman"/>
          <w:color w:val="222222"/>
          <w:sz w:val="24"/>
          <w:shd w:val="clear" w:color="auto" w:fill="FFFFFF"/>
        </w:rPr>
      </w:pPr>
    </w:p>
    <w:p w14:paraId="0557FFA9" w14:textId="1B48BEDF" w:rsidR="00310F6A" w:rsidRDefault="00310F6A" w:rsidP="00310F6A">
      <w:pPr>
        <w:widowControl/>
        <w:spacing w:line="480" w:lineRule="auto"/>
        <w:rPr>
          <w:rFonts w:ascii="Times New Roman" w:hAnsi="Times New Roman"/>
          <w:sz w:val="24"/>
        </w:rPr>
      </w:pPr>
      <w:r>
        <w:rPr>
          <w:rFonts w:ascii="Times New Roman" w:hAnsi="Times New Roman"/>
          <w:sz w:val="24"/>
        </w:rPr>
        <w:t xml:space="preserve">Table 1, shows the progressive effect of </w:t>
      </w:r>
      <w:proofErr w:type="spellStart"/>
      <w:r w:rsidRPr="00D61551">
        <w:rPr>
          <w:rFonts w:ascii="Times New Roman" w:hAnsi="Times New Roman"/>
          <w:bCs/>
          <w:i/>
          <w:iCs/>
          <w:color w:val="000000"/>
          <w:kern w:val="0"/>
          <w:sz w:val="24"/>
        </w:rPr>
        <w:t>Talinium</w:t>
      </w:r>
      <w:proofErr w:type="spellEnd"/>
      <w:r w:rsidRPr="00D61551">
        <w:rPr>
          <w:rFonts w:ascii="Times New Roman" w:hAnsi="Times New Roman"/>
          <w:bCs/>
          <w:i/>
          <w:iCs/>
          <w:color w:val="000000"/>
          <w:kern w:val="0"/>
          <w:sz w:val="24"/>
        </w:rPr>
        <w:t xml:space="preserve"> </w:t>
      </w:r>
      <w:proofErr w:type="spellStart"/>
      <w:r w:rsidRPr="00D61551">
        <w:rPr>
          <w:rFonts w:ascii="Times New Roman" w:hAnsi="Times New Roman"/>
          <w:bCs/>
          <w:i/>
          <w:iCs/>
          <w:color w:val="000000"/>
          <w:kern w:val="0"/>
          <w:sz w:val="24"/>
        </w:rPr>
        <w:t>triangulare</w:t>
      </w:r>
      <w:proofErr w:type="spellEnd"/>
      <w:r>
        <w:rPr>
          <w:rFonts w:ascii="Times New Roman" w:hAnsi="Times New Roman"/>
          <w:b/>
          <w:color w:val="000000"/>
          <w:kern w:val="0"/>
          <w:sz w:val="24"/>
        </w:rPr>
        <w:t xml:space="preserve"> </w:t>
      </w:r>
      <w:r>
        <w:rPr>
          <w:rFonts w:ascii="Times New Roman" w:hAnsi="Times New Roman"/>
          <w:sz w:val="24"/>
        </w:rPr>
        <w:t>leaf extract</w:t>
      </w:r>
      <w:r w:rsidR="00D61551">
        <w:rPr>
          <w:rFonts w:ascii="Times New Roman" w:hAnsi="Times New Roman"/>
          <w:sz w:val="24"/>
        </w:rPr>
        <w:t xml:space="preserve"> (TTE) </w:t>
      </w:r>
      <w:r>
        <w:rPr>
          <w:rFonts w:ascii="Times New Roman" w:hAnsi="Times New Roman"/>
          <w:sz w:val="24"/>
        </w:rPr>
        <w:t>on PCV levels of rats in percentage. Administration of Phenylhydrazine to rat significantly reduced the PCV levels of rats. Administration of plant extract to rats revealed a dose dependent increase in PCV levels of rats compared to control. The PCV level of rats increased significantly (p&lt;0.05) at 200 and 300 mg extract concentration compared to control. A progressive increase in PCV levels was observed with days of treatment. A significantly higher (p&lt;0.05) increase in PCV was observed at day 21 of treatment in all the groups compared to day 0. However, rats in group 4, treated with 400 mg of the plant extract, had significantly higher (p&lt;0.05) PCV at day 28 compared to other groups treated with different concentrations of the plant extract.</w:t>
      </w:r>
    </w:p>
    <w:p w14:paraId="1BF7AB39" w14:textId="6B128333" w:rsidR="00310F6A" w:rsidRDefault="00310F6A" w:rsidP="00310F6A">
      <w:pPr>
        <w:widowControl/>
        <w:spacing w:line="480" w:lineRule="auto"/>
        <w:jc w:val="left"/>
        <w:rPr>
          <w:rFonts w:ascii="Times New Roman" w:hAnsi="Times New Roman"/>
          <w:b/>
          <w:color w:val="222222"/>
          <w:kern w:val="0"/>
          <w:sz w:val="24"/>
        </w:rPr>
      </w:pPr>
      <w:r>
        <w:rPr>
          <w:rFonts w:ascii="Times New Roman" w:hAnsi="Times New Roman"/>
          <w:b/>
          <w:color w:val="222222"/>
          <w:kern w:val="0"/>
          <w:sz w:val="24"/>
        </w:rPr>
        <w:t>Table 2:</w:t>
      </w:r>
      <w:r>
        <w:rPr>
          <w:b/>
          <w:szCs w:val="18"/>
        </w:rPr>
        <w:t xml:space="preserve">  </w:t>
      </w:r>
      <w:r>
        <w:rPr>
          <w:rFonts w:ascii="Times New Roman" w:hAnsi="Times New Roman"/>
          <w:sz w:val="24"/>
        </w:rPr>
        <w:t>Comparison of the packed cell volume (PCV) in the pre and post phenylhydrazine induced Wistar rats at statistical value p&lt;0.05</w:t>
      </w:r>
    </w:p>
    <w:tbl>
      <w:tblPr>
        <w:tblStyle w:val="TableGrid"/>
        <w:tblW w:w="0" w:type="auto"/>
        <w:tblLook w:val="04A0" w:firstRow="1" w:lastRow="0" w:firstColumn="1" w:lastColumn="0" w:noHBand="0" w:noVBand="1"/>
      </w:tblPr>
      <w:tblGrid>
        <w:gridCol w:w="1286"/>
        <w:gridCol w:w="1344"/>
        <w:gridCol w:w="1344"/>
        <w:gridCol w:w="1344"/>
        <w:gridCol w:w="1344"/>
        <w:gridCol w:w="1344"/>
        <w:gridCol w:w="1344"/>
      </w:tblGrid>
      <w:tr w:rsidR="00310F6A" w14:paraId="4F7198C5" w14:textId="77777777" w:rsidTr="00FE523D">
        <w:tc>
          <w:tcPr>
            <w:tcW w:w="1368" w:type="dxa"/>
          </w:tcPr>
          <w:p w14:paraId="07705F5C" w14:textId="77777777" w:rsidR="00310F6A" w:rsidRDefault="00310F6A" w:rsidP="00FE523D">
            <w:pPr>
              <w:widowControl/>
              <w:tabs>
                <w:tab w:val="left" w:pos="525"/>
              </w:tabs>
              <w:rPr>
                <w:rFonts w:ascii="Times New Roman" w:hAnsi="Times New Roman"/>
                <w:b/>
                <w:bCs/>
                <w:color w:val="222222"/>
                <w:sz w:val="24"/>
              </w:rPr>
            </w:pPr>
            <w:r>
              <w:rPr>
                <w:rFonts w:ascii="Times New Roman" w:hAnsi="Times New Roman"/>
                <w:b/>
                <w:bCs/>
                <w:color w:val="222222"/>
                <w:sz w:val="24"/>
              </w:rPr>
              <w:t>PCV</w:t>
            </w:r>
          </w:p>
        </w:tc>
        <w:tc>
          <w:tcPr>
            <w:tcW w:w="1368" w:type="dxa"/>
          </w:tcPr>
          <w:p w14:paraId="7D0701FE" w14:textId="064651FD" w:rsidR="00310F6A" w:rsidRDefault="00310F6A" w:rsidP="00FE523D">
            <w:pPr>
              <w:widowControl/>
              <w:tabs>
                <w:tab w:val="left" w:pos="525"/>
              </w:tabs>
              <w:rPr>
                <w:rFonts w:ascii="Times New Roman" w:hAnsi="Times New Roman"/>
                <w:b/>
                <w:bCs/>
                <w:color w:val="222222"/>
                <w:sz w:val="24"/>
              </w:rPr>
            </w:pPr>
            <w:r>
              <w:rPr>
                <w:rFonts w:ascii="Times New Roman" w:hAnsi="Times New Roman"/>
                <w:b/>
                <w:bCs/>
                <w:color w:val="222222"/>
                <w:sz w:val="24"/>
              </w:rPr>
              <w:t>Group</w:t>
            </w:r>
            <w:r w:rsidR="00D61551">
              <w:rPr>
                <w:rFonts w:ascii="Times New Roman" w:hAnsi="Times New Roman"/>
                <w:b/>
                <w:bCs/>
                <w:color w:val="222222"/>
                <w:sz w:val="24"/>
              </w:rPr>
              <w:t xml:space="preserve"> A</w:t>
            </w:r>
          </w:p>
        </w:tc>
        <w:tc>
          <w:tcPr>
            <w:tcW w:w="1368" w:type="dxa"/>
          </w:tcPr>
          <w:p w14:paraId="10E4689C" w14:textId="77777777" w:rsidR="00310F6A" w:rsidRDefault="00310F6A" w:rsidP="00FE523D">
            <w:pPr>
              <w:widowControl/>
              <w:tabs>
                <w:tab w:val="left" w:pos="525"/>
              </w:tabs>
              <w:rPr>
                <w:rFonts w:ascii="Times New Roman" w:hAnsi="Times New Roman"/>
                <w:b/>
                <w:bCs/>
                <w:color w:val="222222"/>
                <w:sz w:val="24"/>
              </w:rPr>
            </w:pPr>
            <w:r>
              <w:rPr>
                <w:rFonts w:ascii="Times New Roman" w:hAnsi="Times New Roman"/>
                <w:b/>
                <w:bCs/>
                <w:color w:val="222222"/>
                <w:sz w:val="24"/>
              </w:rPr>
              <w:t>Group2</w:t>
            </w:r>
          </w:p>
        </w:tc>
        <w:tc>
          <w:tcPr>
            <w:tcW w:w="1368" w:type="dxa"/>
          </w:tcPr>
          <w:p w14:paraId="258DDB8D" w14:textId="77777777" w:rsidR="00310F6A" w:rsidRDefault="00310F6A" w:rsidP="00FE523D">
            <w:pPr>
              <w:widowControl/>
              <w:tabs>
                <w:tab w:val="left" w:pos="525"/>
              </w:tabs>
              <w:rPr>
                <w:rFonts w:ascii="Times New Roman" w:hAnsi="Times New Roman"/>
                <w:b/>
                <w:bCs/>
                <w:color w:val="222222"/>
                <w:sz w:val="24"/>
              </w:rPr>
            </w:pPr>
            <w:r>
              <w:rPr>
                <w:rFonts w:ascii="Times New Roman" w:hAnsi="Times New Roman"/>
                <w:b/>
                <w:bCs/>
                <w:color w:val="222222"/>
                <w:sz w:val="24"/>
              </w:rPr>
              <w:t>Group3</w:t>
            </w:r>
          </w:p>
        </w:tc>
        <w:tc>
          <w:tcPr>
            <w:tcW w:w="1368" w:type="dxa"/>
          </w:tcPr>
          <w:p w14:paraId="4E2C7083" w14:textId="77777777" w:rsidR="00310F6A" w:rsidRDefault="00310F6A" w:rsidP="00FE523D">
            <w:pPr>
              <w:widowControl/>
              <w:tabs>
                <w:tab w:val="left" w:pos="525"/>
              </w:tabs>
              <w:rPr>
                <w:rFonts w:ascii="Times New Roman" w:hAnsi="Times New Roman"/>
                <w:b/>
                <w:bCs/>
                <w:color w:val="222222"/>
                <w:sz w:val="24"/>
              </w:rPr>
            </w:pPr>
            <w:r>
              <w:rPr>
                <w:rFonts w:ascii="Times New Roman" w:hAnsi="Times New Roman"/>
                <w:b/>
                <w:bCs/>
                <w:color w:val="222222"/>
                <w:sz w:val="24"/>
              </w:rPr>
              <w:t>Group4</w:t>
            </w:r>
          </w:p>
        </w:tc>
        <w:tc>
          <w:tcPr>
            <w:tcW w:w="1368" w:type="dxa"/>
          </w:tcPr>
          <w:p w14:paraId="19E52596" w14:textId="77777777" w:rsidR="00310F6A" w:rsidRDefault="00310F6A" w:rsidP="00FE523D">
            <w:pPr>
              <w:widowControl/>
              <w:tabs>
                <w:tab w:val="left" w:pos="525"/>
              </w:tabs>
              <w:rPr>
                <w:rFonts w:ascii="Times New Roman" w:hAnsi="Times New Roman"/>
                <w:b/>
                <w:bCs/>
                <w:color w:val="222222"/>
                <w:sz w:val="24"/>
              </w:rPr>
            </w:pPr>
            <w:r>
              <w:rPr>
                <w:rFonts w:ascii="Times New Roman" w:hAnsi="Times New Roman"/>
                <w:b/>
                <w:bCs/>
                <w:color w:val="222222"/>
                <w:sz w:val="24"/>
              </w:rPr>
              <w:t>Group5</w:t>
            </w:r>
          </w:p>
        </w:tc>
        <w:tc>
          <w:tcPr>
            <w:tcW w:w="1368" w:type="dxa"/>
          </w:tcPr>
          <w:p w14:paraId="06DFB6B9" w14:textId="77777777" w:rsidR="00310F6A" w:rsidRDefault="00310F6A" w:rsidP="00FE523D">
            <w:pPr>
              <w:widowControl/>
              <w:tabs>
                <w:tab w:val="left" w:pos="525"/>
              </w:tabs>
              <w:rPr>
                <w:rFonts w:ascii="Times New Roman" w:hAnsi="Times New Roman"/>
                <w:b/>
                <w:bCs/>
                <w:color w:val="222222"/>
                <w:sz w:val="24"/>
              </w:rPr>
            </w:pPr>
            <w:r>
              <w:rPr>
                <w:rFonts w:ascii="Times New Roman" w:hAnsi="Times New Roman"/>
                <w:b/>
                <w:bCs/>
                <w:color w:val="222222"/>
                <w:sz w:val="24"/>
              </w:rPr>
              <w:t>Group6</w:t>
            </w:r>
          </w:p>
        </w:tc>
      </w:tr>
      <w:tr w:rsidR="00310F6A" w14:paraId="7D866679" w14:textId="77777777" w:rsidTr="00FE523D">
        <w:tc>
          <w:tcPr>
            <w:tcW w:w="1368" w:type="dxa"/>
          </w:tcPr>
          <w:p w14:paraId="53FE94EF" w14:textId="77777777" w:rsidR="00310F6A" w:rsidRDefault="00310F6A" w:rsidP="00FE523D">
            <w:pPr>
              <w:widowControl/>
              <w:tabs>
                <w:tab w:val="left" w:pos="525"/>
              </w:tabs>
              <w:rPr>
                <w:rFonts w:ascii="Times New Roman" w:hAnsi="Times New Roman"/>
                <w:b/>
                <w:bCs/>
                <w:color w:val="222222"/>
                <w:sz w:val="24"/>
              </w:rPr>
            </w:pPr>
            <w:r>
              <w:rPr>
                <w:rFonts w:ascii="Times New Roman" w:hAnsi="Times New Roman"/>
                <w:b/>
                <w:bCs/>
                <w:color w:val="222222"/>
                <w:sz w:val="24"/>
              </w:rPr>
              <w:t>DAY 0</w:t>
            </w:r>
          </w:p>
        </w:tc>
        <w:tc>
          <w:tcPr>
            <w:tcW w:w="1368" w:type="dxa"/>
          </w:tcPr>
          <w:p w14:paraId="68A466B8"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38.0±3.08</w:t>
            </w:r>
          </w:p>
        </w:tc>
        <w:tc>
          <w:tcPr>
            <w:tcW w:w="1368" w:type="dxa"/>
          </w:tcPr>
          <w:p w14:paraId="06058F24"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34.8±5.01</w:t>
            </w:r>
          </w:p>
        </w:tc>
        <w:tc>
          <w:tcPr>
            <w:tcW w:w="1368" w:type="dxa"/>
          </w:tcPr>
          <w:p w14:paraId="1E5119F1"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34.6±5.07</w:t>
            </w:r>
          </w:p>
        </w:tc>
        <w:tc>
          <w:tcPr>
            <w:tcW w:w="1368" w:type="dxa"/>
          </w:tcPr>
          <w:p w14:paraId="285CFF6E"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33.8±5.67</w:t>
            </w:r>
          </w:p>
        </w:tc>
        <w:tc>
          <w:tcPr>
            <w:tcW w:w="1368" w:type="dxa"/>
          </w:tcPr>
          <w:p w14:paraId="12BFE060"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40.4±1.67</w:t>
            </w:r>
          </w:p>
        </w:tc>
        <w:tc>
          <w:tcPr>
            <w:tcW w:w="1368" w:type="dxa"/>
          </w:tcPr>
          <w:p w14:paraId="660F8C4D"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44.8±4.14</w:t>
            </w:r>
          </w:p>
        </w:tc>
      </w:tr>
      <w:tr w:rsidR="00310F6A" w14:paraId="234AC4F7" w14:textId="77777777" w:rsidTr="00FE523D">
        <w:tc>
          <w:tcPr>
            <w:tcW w:w="1368" w:type="dxa"/>
          </w:tcPr>
          <w:p w14:paraId="28161D81" w14:textId="77777777" w:rsidR="00310F6A" w:rsidRDefault="00310F6A" w:rsidP="00FE523D">
            <w:pPr>
              <w:widowControl/>
              <w:tabs>
                <w:tab w:val="left" w:pos="525"/>
              </w:tabs>
              <w:rPr>
                <w:rFonts w:ascii="Times New Roman" w:hAnsi="Times New Roman"/>
                <w:b/>
                <w:bCs/>
                <w:color w:val="222222"/>
                <w:sz w:val="24"/>
              </w:rPr>
            </w:pPr>
            <w:r>
              <w:rPr>
                <w:rFonts w:ascii="Times New Roman" w:hAnsi="Times New Roman"/>
                <w:b/>
                <w:bCs/>
                <w:color w:val="222222"/>
                <w:sz w:val="24"/>
              </w:rPr>
              <w:t>DAY 2</w:t>
            </w:r>
          </w:p>
        </w:tc>
        <w:tc>
          <w:tcPr>
            <w:tcW w:w="1368" w:type="dxa"/>
          </w:tcPr>
          <w:p w14:paraId="7376A6EA"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24.8±1.98</w:t>
            </w:r>
          </w:p>
        </w:tc>
        <w:tc>
          <w:tcPr>
            <w:tcW w:w="1368" w:type="dxa"/>
          </w:tcPr>
          <w:p w14:paraId="29EE6308"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22.4±1.14</w:t>
            </w:r>
          </w:p>
        </w:tc>
        <w:tc>
          <w:tcPr>
            <w:tcW w:w="1368" w:type="dxa"/>
          </w:tcPr>
          <w:p w14:paraId="395A05D8"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20.2±0.44</w:t>
            </w:r>
          </w:p>
        </w:tc>
        <w:tc>
          <w:tcPr>
            <w:tcW w:w="1368" w:type="dxa"/>
          </w:tcPr>
          <w:p w14:paraId="4D9F0470"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23.2±0.59</w:t>
            </w:r>
          </w:p>
        </w:tc>
        <w:tc>
          <w:tcPr>
            <w:tcW w:w="1368" w:type="dxa"/>
          </w:tcPr>
          <w:p w14:paraId="687A15C6"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24.2±2.16</w:t>
            </w:r>
          </w:p>
        </w:tc>
        <w:tc>
          <w:tcPr>
            <w:tcW w:w="1368" w:type="dxa"/>
          </w:tcPr>
          <w:p w14:paraId="2EA24C02"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44.8±4.14</w:t>
            </w:r>
          </w:p>
        </w:tc>
      </w:tr>
      <w:tr w:rsidR="00310F6A" w14:paraId="23E7625B" w14:textId="77777777" w:rsidTr="00FE523D">
        <w:tc>
          <w:tcPr>
            <w:tcW w:w="1368" w:type="dxa"/>
          </w:tcPr>
          <w:p w14:paraId="06730237" w14:textId="77777777" w:rsidR="00310F6A" w:rsidRDefault="00310F6A" w:rsidP="00FE523D">
            <w:pPr>
              <w:widowControl/>
              <w:tabs>
                <w:tab w:val="left" w:pos="525"/>
              </w:tabs>
              <w:rPr>
                <w:rFonts w:ascii="Times New Roman" w:hAnsi="Times New Roman"/>
                <w:b/>
                <w:bCs/>
                <w:color w:val="222222"/>
                <w:sz w:val="24"/>
              </w:rPr>
            </w:pPr>
            <w:r>
              <w:rPr>
                <w:rFonts w:ascii="Times New Roman" w:hAnsi="Times New Roman"/>
                <w:b/>
                <w:bCs/>
                <w:color w:val="222222"/>
                <w:sz w:val="24"/>
              </w:rPr>
              <w:t>P-value</w:t>
            </w:r>
          </w:p>
        </w:tc>
        <w:tc>
          <w:tcPr>
            <w:tcW w:w="1368" w:type="dxa"/>
          </w:tcPr>
          <w:p w14:paraId="05289A3A"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 xml:space="preserve">  0.00004</w:t>
            </w:r>
          </w:p>
        </w:tc>
        <w:tc>
          <w:tcPr>
            <w:tcW w:w="1368" w:type="dxa"/>
          </w:tcPr>
          <w:p w14:paraId="01B156ED"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 xml:space="preserve">   0.0006</w:t>
            </w:r>
          </w:p>
        </w:tc>
        <w:tc>
          <w:tcPr>
            <w:tcW w:w="1368" w:type="dxa"/>
          </w:tcPr>
          <w:p w14:paraId="0B6069E3"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 xml:space="preserve">   0.0003</w:t>
            </w:r>
          </w:p>
        </w:tc>
        <w:tc>
          <w:tcPr>
            <w:tcW w:w="1368" w:type="dxa"/>
          </w:tcPr>
          <w:p w14:paraId="0CCAEE41"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 xml:space="preserve">  0.00005</w:t>
            </w:r>
          </w:p>
        </w:tc>
        <w:tc>
          <w:tcPr>
            <w:tcW w:w="1368" w:type="dxa"/>
          </w:tcPr>
          <w:p w14:paraId="6022F457"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 xml:space="preserve">    0.000</w:t>
            </w:r>
          </w:p>
        </w:tc>
        <w:tc>
          <w:tcPr>
            <w:tcW w:w="1368" w:type="dxa"/>
          </w:tcPr>
          <w:p w14:paraId="38049C27" w14:textId="77777777" w:rsidR="00310F6A" w:rsidRDefault="00310F6A" w:rsidP="00FE523D">
            <w:pPr>
              <w:widowControl/>
              <w:tabs>
                <w:tab w:val="left" w:pos="525"/>
              </w:tabs>
              <w:rPr>
                <w:rFonts w:ascii="Times New Roman" w:hAnsi="Times New Roman"/>
                <w:bCs/>
                <w:color w:val="222222"/>
                <w:sz w:val="24"/>
              </w:rPr>
            </w:pPr>
            <w:r>
              <w:rPr>
                <w:rFonts w:ascii="Times New Roman" w:hAnsi="Times New Roman"/>
                <w:bCs/>
                <w:color w:val="222222"/>
                <w:sz w:val="24"/>
              </w:rPr>
              <w:t xml:space="preserve">    0.738</w:t>
            </w:r>
          </w:p>
        </w:tc>
      </w:tr>
    </w:tbl>
    <w:p w14:paraId="7EB4FCE5" w14:textId="7E41F4EB" w:rsidR="00310F6A" w:rsidRDefault="00310F6A" w:rsidP="00310F6A">
      <w:pPr>
        <w:spacing w:line="480" w:lineRule="auto"/>
        <w:rPr>
          <w:rFonts w:ascii="Times New Roman" w:hAnsi="Times New Roman"/>
          <w:sz w:val="24"/>
        </w:rPr>
      </w:pPr>
      <w:r>
        <w:rPr>
          <w:rFonts w:ascii="Times New Roman" w:hAnsi="Times New Roman"/>
          <w:sz w:val="24"/>
        </w:rPr>
        <w:t xml:space="preserve">Differences between two or more means at </w:t>
      </w:r>
      <w:r w:rsidR="0083091A">
        <w:rPr>
          <w:rFonts w:ascii="Times New Roman" w:hAnsi="Times New Roman"/>
          <w:sz w:val="24"/>
        </w:rPr>
        <w:t xml:space="preserve">p-value </w:t>
      </w:r>
      <w:r>
        <w:rPr>
          <w:rFonts w:ascii="Times New Roman" w:hAnsi="Times New Roman"/>
          <w:sz w:val="24"/>
        </w:rPr>
        <w:t>&lt; 0.05 w</w:t>
      </w:r>
      <w:r w:rsidR="0083091A">
        <w:rPr>
          <w:rFonts w:ascii="Times New Roman" w:hAnsi="Times New Roman"/>
          <w:sz w:val="24"/>
        </w:rPr>
        <w:t>as</w:t>
      </w:r>
      <w:r>
        <w:rPr>
          <w:rFonts w:ascii="Times New Roman" w:hAnsi="Times New Roman"/>
          <w:sz w:val="24"/>
        </w:rPr>
        <w:t xml:space="preserve"> considered statistically significant.</w:t>
      </w:r>
    </w:p>
    <w:p w14:paraId="0056D41B" w14:textId="77777777" w:rsidR="00310F6A" w:rsidRDefault="00310F6A" w:rsidP="00310F6A">
      <w:pPr>
        <w:spacing w:line="480" w:lineRule="auto"/>
        <w:rPr>
          <w:rFonts w:ascii="Times New Roman" w:hAnsi="Times New Roman"/>
          <w:b/>
          <w:sz w:val="24"/>
        </w:rPr>
      </w:pPr>
    </w:p>
    <w:p w14:paraId="44035EAA" w14:textId="77777777" w:rsidR="00B10BA8" w:rsidRDefault="00B10BA8" w:rsidP="00310F6A">
      <w:pPr>
        <w:spacing w:line="480" w:lineRule="auto"/>
        <w:rPr>
          <w:rFonts w:ascii="Times New Roman" w:hAnsi="Times New Roman"/>
          <w:b/>
          <w:sz w:val="24"/>
        </w:rPr>
      </w:pPr>
    </w:p>
    <w:p w14:paraId="2CBA7C46" w14:textId="77777777" w:rsidR="00B10BA8" w:rsidRDefault="00B10BA8" w:rsidP="00310F6A">
      <w:pPr>
        <w:spacing w:line="480" w:lineRule="auto"/>
        <w:rPr>
          <w:rFonts w:ascii="Times New Roman" w:hAnsi="Times New Roman"/>
          <w:b/>
          <w:sz w:val="24"/>
        </w:rPr>
      </w:pPr>
    </w:p>
    <w:p w14:paraId="376DB705" w14:textId="77777777" w:rsidR="00B10BA8" w:rsidRDefault="00B10BA8" w:rsidP="00310F6A">
      <w:pPr>
        <w:spacing w:line="480" w:lineRule="auto"/>
        <w:rPr>
          <w:rFonts w:ascii="Times New Roman" w:hAnsi="Times New Roman"/>
          <w:b/>
          <w:sz w:val="24"/>
        </w:rPr>
      </w:pPr>
    </w:p>
    <w:p w14:paraId="1E13CD7A" w14:textId="18F2513B" w:rsidR="00310F6A" w:rsidRDefault="00310F6A" w:rsidP="00B10BA8">
      <w:pPr>
        <w:spacing w:line="360" w:lineRule="auto"/>
        <w:rPr>
          <w:rFonts w:ascii="Times New Roman" w:hAnsi="Times New Roman"/>
          <w:bCs/>
          <w:sz w:val="24"/>
        </w:rPr>
      </w:pPr>
      <w:r>
        <w:rPr>
          <w:rFonts w:ascii="Times New Roman" w:hAnsi="Times New Roman"/>
          <w:b/>
          <w:sz w:val="24"/>
        </w:rPr>
        <w:lastRenderedPageBreak/>
        <w:t>Table 3:</w:t>
      </w:r>
      <w:r>
        <w:rPr>
          <w:rFonts w:ascii="Times New Roman" w:hAnsi="Times New Roman"/>
          <w:bCs/>
          <w:sz w:val="24"/>
        </w:rPr>
        <w:t xml:space="preserve"> Comparison between the packed cell volume of 100mg vs 400mg of T</w:t>
      </w:r>
      <w:r w:rsidR="00D61551">
        <w:rPr>
          <w:rFonts w:ascii="Times New Roman" w:hAnsi="Times New Roman"/>
          <w:bCs/>
          <w:sz w:val="24"/>
        </w:rPr>
        <w:t>TE</w:t>
      </w:r>
      <w:r>
        <w:rPr>
          <w:rFonts w:ascii="Times New Roman" w:hAnsi="Times New Roman"/>
          <w:bCs/>
          <w:sz w:val="24"/>
        </w:rPr>
        <w:t xml:space="preserve"> on phenyl hydrazine induced Wistar </w:t>
      </w:r>
      <w:r w:rsidR="00D61551">
        <w:rPr>
          <w:rFonts w:ascii="Times New Roman" w:hAnsi="Times New Roman"/>
          <w:bCs/>
          <w:sz w:val="24"/>
        </w:rPr>
        <w:t>rats</w:t>
      </w:r>
      <w:r>
        <w:rPr>
          <w:rFonts w:ascii="Times New Roman" w:hAnsi="Times New Roman"/>
          <w:bCs/>
          <w:sz w:val="24"/>
        </w:rPr>
        <w:t>.</w:t>
      </w:r>
    </w:p>
    <w:tbl>
      <w:tblPr>
        <w:tblStyle w:val="TableGrid"/>
        <w:tblW w:w="0" w:type="auto"/>
        <w:tblLook w:val="04A0" w:firstRow="1" w:lastRow="0" w:firstColumn="1" w:lastColumn="0" w:noHBand="0" w:noVBand="1"/>
      </w:tblPr>
      <w:tblGrid>
        <w:gridCol w:w="1861"/>
        <w:gridCol w:w="1872"/>
        <w:gridCol w:w="1872"/>
        <w:gridCol w:w="1872"/>
        <w:gridCol w:w="1873"/>
      </w:tblGrid>
      <w:tr w:rsidR="00310F6A" w14:paraId="2A4D61E5" w14:textId="77777777" w:rsidTr="00FE523D">
        <w:tc>
          <w:tcPr>
            <w:tcW w:w="1915" w:type="dxa"/>
          </w:tcPr>
          <w:p w14:paraId="78BE879A"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Groups </w:t>
            </w:r>
          </w:p>
        </w:tc>
        <w:tc>
          <w:tcPr>
            <w:tcW w:w="1915" w:type="dxa"/>
          </w:tcPr>
          <w:p w14:paraId="406515B5"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 7</w:t>
            </w:r>
          </w:p>
        </w:tc>
        <w:tc>
          <w:tcPr>
            <w:tcW w:w="1915" w:type="dxa"/>
          </w:tcPr>
          <w:p w14:paraId="00FE96DA"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Pr>
                <w:rFonts w:ascii="Times New Roman" w:hAnsi="Times New Roman"/>
                <w:b/>
                <w:bCs/>
                <w:color w:val="222222"/>
                <w:sz w:val="24"/>
                <w:lang w:val="en-GB"/>
              </w:rPr>
              <w:t xml:space="preserve"> </w:t>
            </w:r>
            <w:r>
              <w:rPr>
                <w:rFonts w:ascii="Times New Roman" w:hAnsi="Times New Roman"/>
                <w:b/>
                <w:bCs/>
                <w:color w:val="222222"/>
                <w:sz w:val="24"/>
              </w:rPr>
              <w:t>14</w:t>
            </w:r>
          </w:p>
        </w:tc>
        <w:tc>
          <w:tcPr>
            <w:tcW w:w="1915" w:type="dxa"/>
          </w:tcPr>
          <w:p w14:paraId="41EDD15B"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Pr>
                <w:rFonts w:ascii="Times New Roman" w:hAnsi="Times New Roman"/>
                <w:b/>
                <w:bCs/>
                <w:color w:val="222222"/>
                <w:sz w:val="24"/>
                <w:lang w:val="en-GB"/>
              </w:rPr>
              <w:t xml:space="preserve"> </w:t>
            </w:r>
            <w:r>
              <w:rPr>
                <w:rFonts w:ascii="Times New Roman" w:hAnsi="Times New Roman"/>
                <w:b/>
                <w:bCs/>
                <w:color w:val="222222"/>
                <w:sz w:val="24"/>
              </w:rPr>
              <w:t>21</w:t>
            </w:r>
          </w:p>
        </w:tc>
        <w:tc>
          <w:tcPr>
            <w:tcW w:w="1916" w:type="dxa"/>
          </w:tcPr>
          <w:p w14:paraId="5B8577AF"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Pr>
                <w:rFonts w:ascii="Times New Roman" w:hAnsi="Times New Roman"/>
                <w:b/>
                <w:bCs/>
                <w:color w:val="222222"/>
                <w:sz w:val="24"/>
                <w:lang w:val="en-GB"/>
              </w:rPr>
              <w:t xml:space="preserve"> </w:t>
            </w:r>
            <w:r>
              <w:rPr>
                <w:rFonts w:ascii="Times New Roman" w:hAnsi="Times New Roman"/>
                <w:b/>
                <w:bCs/>
                <w:color w:val="222222"/>
                <w:sz w:val="24"/>
              </w:rPr>
              <w:t>28</w:t>
            </w:r>
          </w:p>
        </w:tc>
      </w:tr>
      <w:tr w:rsidR="00310F6A" w14:paraId="56875FF6" w14:textId="77777777" w:rsidTr="00FE523D">
        <w:tc>
          <w:tcPr>
            <w:tcW w:w="1915" w:type="dxa"/>
          </w:tcPr>
          <w:p w14:paraId="75B1688D" w14:textId="77777777" w:rsidR="00310F6A" w:rsidRDefault="00310F6A" w:rsidP="00FE523D">
            <w:pPr>
              <w:jc w:val="center"/>
              <w:rPr>
                <w:rFonts w:ascii="Times New Roman" w:hAnsi="Times New Roman"/>
                <w:color w:val="222222"/>
                <w:sz w:val="24"/>
              </w:rPr>
            </w:pPr>
            <w:r>
              <w:rPr>
                <w:rFonts w:ascii="Times New Roman" w:hAnsi="Times New Roman"/>
                <w:color w:val="222222"/>
                <w:sz w:val="24"/>
              </w:rPr>
              <w:t>1</w:t>
            </w:r>
          </w:p>
        </w:tc>
        <w:tc>
          <w:tcPr>
            <w:tcW w:w="1915" w:type="dxa"/>
          </w:tcPr>
          <w:p w14:paraId="3204EBAD" w14:textId="77777777" w:rsidR="00310F6A" w:rsidRDefault="00310F6A" w:rsidP="00FE523D">
            <w:pPr>
              <w:rPr>
                <w:rFonts w:ascii="Times New Roman" w:hAnsi="Times New Roman"/>
                <w:color w:val="222222"/>
                <w:sz w:val="24"/>
              </w:rPr>
            </w:pPr>
            <w:r>
              <w:rPr>
                <w:rFonts w:ascii="Times New Roman" w:hAnsi="Times New Roman"/>
                <w:color w:val="222222"/>
                <w:sz w:val="24"/>
              </w:rPr>
              <w:t>32.6±1.94</w:t>
            </w:r>
          </w:p>
        </w:tc>
        <w:tc>
          <w:tcPr>
            <w:tcW w:w="1915" w:type="dxa"/>
          </w:tcPr>
          <w:p w14:paraId="01D20878" w14:textId="77777777" w:rsidR="00310F6A" w:rsidRDefault="00310F6A" w:rsidP="00FE523D">
            <w:pPr>
              <w:rPr>
                <w:rFonts w:ascii="Times New Roman" w:hAnsi="Times New Roman"/>
                <w:color w:val="222222"/>
                <w:sz w:val="24"/>
              </w:rPr>
            </w:pPr>
            <w:r>
              <w:rPr>
                <w:rFonts w:ascii="Times New Roman" w:hAnsi="Times New Roman"/>
                <w:color w:val="222222"/>
                <w:sz w:val="24"/>
              </w:rPr>
              <w:t>37.6±2.88</w:t>
            </w:r>
          </w:p>
        </w:tc>
        <w:tc>
          <w:tcPr>
            <w:tcW w:w="1915" w:type="dxa"/>
          </w:tcPr>
          <w:p w14:paraId="719B950B" w14:textId="77777777" w:rsidR="00310F6A" w:rsidRDefault="00310F6A" w:rsidP="00FE523D">
            <w:pPr>
              <w:rPr>
                <w:rFonts w:ascii="Times New Roman" w:hAnsi="Times New Roman"/>
                <w:color w:val="222222"/>
                <w:sz w:val="24"/>
              </w:rPr>
            </w:pPr>
            <w:r>
              <w:rPr>
                <w:rFonts w:ascii="Times New Roman" w:hAnsi="Times New Roman"/>
                <w:color w:val="222222"/>
                <w:sz w:val="24"/>
              </w:rPr>
              <w:t>41.6±2.07</w:t>
            </w:r>
          </w:p>
        </w:tc>
        <w:tc>
          <w:tcPr>
            <w:tcW w:w="1916" w:type="dxa"/>
          </w:tcPr>
          <w:p w14:paraId="78B1C2B4" w14:textId="77777777" w:rsidR="00310F6A" w:rsidRDefault="00310F6A" w:rsidP="00FE523D">
            <w:pPr>
              <w:rPr>
                <w:rFonts w:ascii="Times New Roman" w:hAnsi="Times New Roman"/>
                <w:color w:val="222222"/>
                <w:sz w:val="24"/>
              </w:rPr>
            </w:pPr>
            <w:r>
              <w:rPr>
                <w:rFonts w:ascii="Times New Roman" w:hAnsi="Times New Roman"/>
                <w:color w:val="222222"/>
                <w:sz w:val="24"/>
              </w:rPr>
              <w:t>41.6±2.07</w:t>
            </w:r>
          </w:p>
        </w:tc>
      </w:tr>
      <w:tr w:rsidR="00310F6A" w14:paraId="2C1A6C9B" w14:textId="77777777" w:rsidTr="00FE523D">
        <w:tc>
          <w:tcPr>
            <w:tcW w:w="1915" w:type="dxa"/>
          </w:tcPr>
          <w:p w14:paraId="227941DA" w14:textId="77777777" w:rsidR="00310F6A" w:rsidRDefault="00310F6A" w:rsidP="00FE523D">
            <w:pPr>
              <w:jc w:val="center"/>
              <w:rPr>
                <w:rFonts w:ascii="Times New Roman" w:hAnsi="Times New Roman"/>
                <w:color w:val="222222"/>
                <w:sz w:val="24"/>
              </w:rPr>
            </w:pPr>
            <w:r>
              <w:rPr>
                <w:rFonts w:ascii="Times New Roman" w:hAnsi="Times New Roman"/>
                <w:color w:val="222222"/>
                <w:sz w:val="24"/>
              </w:rPr>
              <w:t>4</w:t>
            </w:r>
          </w:p>
        </w:tc>
        <w:tc>
          <w:tcPr>
            <w:tcW w:w="1915" w:type="dxa"/>
          </w:tcPr>
          <w:p w14:paraId="20E007BD" w14:textId="77777777" w:rsidR="00310F6A" w:rsidRDefault="00310F6A" w:rsidP="00FE523D">
            <w:pPr>
              <w:rPr>
                <w:rFonts w:ascii="Times New Roman" w:hAnsi="Times New Roman"/>
                <w:color w:val="222222"/>
                <w:sz w:val="24"/>
              </w:rPr>
            </w:pPr>
            <w:r>
              <w:rPr>
                <w:rFonts w:ascii="Times New Roman" w:hAnsi="Times New Roman"/>
                <w:color w:val="222222"/>
                <w:sz w:val="24"/>
              </w:rPr>
              <w:t>35.0±3.31</w:t>
            </w:r>
          </w:p>
        </w:tc>
        <w:tc>
          <w:tcPr>
            <w:tcW w:w="1915" w:type="dxa"/>
          </w:tcPr>
          <w:p w14:paraId="4D959256" w14:textId="77777777" w:rsidR="00310F6A" w:rsidRDefault="00310F6A" w:rsidP="00FE523D">
            <w:pPr>
              <w:rPr>
                <w:rFonts w:ascii="Times New Roman" w:hAnsi="Times New Roman"/>
                <w:color w:val="222222"/>
                <w:sz w:val="24"/>
              </w:rPr>
            </w:pPr>
            <w:r>
              <w:rPr>
                <w:rFonts w:ascii="Times New Roman" w:hAnsi="Times New Roman"/>
                <w:color w:val="222222"/>
                <w:sz w:val="24"/>
              </w:rPr>
              <w:t>41.8±2.38</w:t>
            </w:r>
          </w:p>
        </w:tc>
        <w:tc>
          <w:tcPr>
            <w:tcW w:w="1915" w:type="dxa"/>
          </w:tcPr>
          <w:p w14:paraId="7E1BBB50" w14:textId="77777777" w:rsidR="00310F6A" w:rsidRDefault="00310F6A" w:rsidP="00FE523D">
            <w:pPr>
              <w:rPr>
                <w:rFonts w:ascii="Times New Roman" w:hAnsi="Times New Roman"/>
                <w:color w:val="222222"/>
                <w:sz w:val="24"/>
              </w:rPr>
            </w:pPr>
            <w:r>
              <w:rPr>
                <w:rFonts w:ascii="Times New Roman" w:hAnsi="Times New Roman"/>
                <w:color w:val="222222"/>
                <w:sz w:val="24"/>
              </w:rPr>
              <w:t>41.8±1.78</w:t>
            </w:r>
          </w:p>
        </w:tc>
        <w:tc>
          <w:tcPr>
            <w:tcW w:w="1916" w:type="dxa"/>
          </w:tcPr>
          <w:p w14:paraId="08EDF69C" w14:textId="77777777" w:rsidR="00310F6A" w:rsidRDefault="00310F6A" w:rsidP="00FE523D">
            <w:pPr>
              <w:rPr>
                <w:rFonts w:ascii="Times New Roman" w:hAnsi="Times New Roman"/>
                <w:color w:val="222222"/>
                <w:sz w:val="24"/>
              </w:rPr>
            </w:pPr>
            <w:r>
              <w:rPr>
                <w:rFonts w:ascii="Times New Roman" w:hAnsi="Times New Roman"/>
                <w:color w:val="222222"/>
                <w:sz w:val="24"/>
              </w:rPr>
              <w:t>45.8±1.78</w:t>
            </w:r>
          </w:p>
        </w:tc>
      </w:tr>
      <w:tr w:rsidR="00310F6A" w14:paraId="78E58286" w14:textId="77777777" w:rsidTr="00FE523D">
        <w:tc>
          <w:tcPr>
            <w:tcW w:w="1915" w:type="dxa"/>
          </w:tcPr>
          <w:p w14:paraId="0CC5370D" w14:textId="77777777" w:rsidR="00310F6A" w:rsidRDefault="00310F6A" w:rsidP="00FE523D">
            <w:pPr>
              <w:rPr>
                <w:rFonts w:ascii="Times New Roman" w:hAnsi="Times New Roman"/>
                <w:color w:val="222222"/>
                <w:sz w:val="24"/>
              </w:rPr>
            </w:pPr>
            <w:r>
              <w:rPr>
                <w:rFonts w:ascii="Times New Roman" w:hAnsi="Times New Roman"/>
                <w:color w:val="222222"/>
                <w:sz w:val="24"/>
              </w:rPr>
              <w:t xml:space="preserve">        </w:t>
            </w:r>
            <w:r>
              <w:rPr>
                <w:rFonts w:ascii="Times New Roman" w:hAnsi="Times New Roman"/>
                <w:color w:val="222222"/>
                <w:sz w:val="24"/>
                <w:lang w:val="en-GB"/>
              </w:rPr>
              <w:t>p</w:t>
            </w:r>
            <w:r>
              <w:rPr>
                <w:rFonts w:ascii="Times New Roman" w:hAnsi="Times New Roman"/>
                <w:color w:val="222222"/>
                <w:sz w:val="24"/>
              </w:rPr>
              <w:t>-value</w:t>
            </w:r>
          </w:p>
        </w:tc>
        <w:tc>
          <w:tcPr>
            <w:tcW w:w="1915" w:type="dxa"/>
          </w:tcPr>
          <w:p w14:paraId="04DD9ECE" w14:textId="77777777" w:rsidR="00310F6A" w:rsidRDefault="00310F6A" w:rsidP="00FE523D">
            <w:pPr>
              <w:rPr>
                <w:rFonts w:ascii="Times New Roman" w:hAnsi="Times New Roman"/>
                <w:color w:val="222222"/>
                <w:sz w:val="24"/>
              </w:rPr>
            </w:pPr>
            <w:r>
              <w:rPr>
                <w:rFonts w:ascii="Times New Roman" w:hAnsi="Times New Roman"/>
                <w:color w:val="222222"/>
                <w:sz w:val="24"/>
              </w:rPr>
              <w:t xml:space="preserve">     0.20</w:t>
            </w:r>
          </w:p>
        </w:tc>
        <w:tc>
          <w:tcPr>
            <w:tcW w:w="1915" w:type="dxa"/>
          </w:tcPr>
          <w:p w14:paraId="4521F756" w14:textId="77777777" w:rsidR="00310F6A" w:rsidRDefault="00310F6A" w:rsidP="00FE523D">
            <w:pPr>
              <w:rPr>
                <w:rFonts w:ascii="Times New Roman" w:hAnsi="Times New Roman"/>
                <w:color w:val="222222"/>
                <w:sz w:val="24"/>
              </w:rPr>
            </w:pPr>
            <w:r>
              <w:rPr>
                <w:rFonts w:ascii="Times New Roman" w:hAnsi="Times New Roman"/>
                <w:color w:val="222222"/>
                <w:sz w:val="24"/>
              </w:rPr>
              <w:t xml:space="preserve">     0.04</w:t>
            </w:r>
          </w:p>
        </w:tc>
        <w:tc>
          <w:tcPr>
            <w:tcW w:w="1915" w:type="dxa"/>
          </w:tcPr>
          <w:p w14:paraId="431A886A" w14:textId="77777777" w:rsidR="00310F6A" w:rsidRDefault="00310F6A" w:rsidP="00FE523D">
            <w:pPr>
              <w:rPr>
                <w:rFonts w:ascii="Times New Roman" w:hAnsi="Times New Roman"/>
                <w:color w:val="222222"/>
                <w:sz w:val="24"/>
              </w:rPr>
            </w:pPr>
            <w:r>
              <w:rPr>
                <w:rFonts w:ascii="Times New Roman" w:hAnsi="Times New Roman"/>
                <w:color w:val="222222"/>
                <w:sz w:val="24"/>
              </w:rPr>
              <w:t xml:space="preserve">     0.87</w:t>
            </w:r>
          </w:p>
        </w:tc>
        <w:tc>
          <w:tcPr>
            <w:tcW w:w="1916" w:type="dxa"/>
          </w:tcPr>
          <w:p w14:paraId="6BF0331B" w14:textId="77777777" w:rsidR="00310F6A" w:rsidRDefault="00310F6A" w:rsidP="00FE523D">
            <w:pPr>
              <w:rPr>
                <w:rFonts w:ascii="Times New Roman" w:hAnsi="Times New Roman"/>
                <w:color w:val="222222"/>
                <w:sz w:val="24"/>
              </w:rPr>
            </w:pPr>
            <w:r>
              <w:rPr>
                <w:rFonts w:ascii="Times New Roman" w:hAnsi="Times New Roman"/>
                <w:color w:val="222222"/>
                <w:sz w:val="24"/>
              </w:rPr>
              <w:t xml:space="preserve">     0.01</w:t>
            </w:r>
          </w:p>
        </w:tc>
      </w:tr>
    </w:tbl>
    <w:p w14:paraId="17CD484B" w14:textId="6104C1EA" w:rsidR="00310F6A" w:rsidRDefault="00310F6A" w:rsidP="00310F6A">
      <w:pPr>
        <w:widowControl/>
        <w:tabs>
          <w:tab w:val="left" w:pos="525"/>
        </w:tabs>
        <w:spacing w:line="480" w:lineRule="auto"/>
        <w:rPr>
          <w:rFonts w:ascii="Times New Roman" w:hAnsi="Times New Roman"/>
          <w:sz w:val="24"/>
        </w:rPr>
      </w:pPr>
      <w:r>
        <w:rPr>
          <w:rFonts w:ascii="Times New Roman" w:hAnsi="Times New Roman"/>
          <w:sz w:val="24"/>
        </w:rPr>
        <w:t xml:space="preserve">Differences between two or more means at </w:t>
      </w:r>
      <w:r w:rsidR="0083091A">
        <w:rPr>
          <w:rFonts w:ascii="Times New Roman" w:hAnsi="Times New Roman"/>
          <w:sz w:val="24"/>
        </w:rPr>
        <w:t>p-</w:t>
      </w:r>
      <w:r>
        <w:rPr>
          <w:rFonts w:ascii="Times New Roman" w:hAnsi="Times New Roman"/>
          <w:sz w:val="24"/>
        </w:rPr>
        <w:t>value &lt; 0.05 w</w:t>
      </w:r>
      <w:r w:rsidR="0083091A">
        <w:rPr>
          <w:rFonts w:ascii="Times New Roman" w:hAnsi="Times New Roman"/>
          <w:sz w:val="24"/>
        </w:rPr>
        <w:t xml:space="preserve">as </w:t>
      </w:r>
      <w:r>
        <w:rPr>
          <w:rFonts w:ascii="Times New Roman" w:hAnsi="Times New Roman"/>
          <w:sz w:val="24"/>
        </w:rPr>
        <w:t>considered statistically significant.</w:t>
      </w:r>
    </w:p>
    <w:p w14:paraId="395B113B" w14:textId="10D788D6" w:rsidR="00310F6A" w:rsidRDefault="00310F6A" w:rsidP="00310F6A">
      <w:pPr>
        <w:spacing w:line="480" w:lineRule="auto"/>
        <w:rPr>
          <w:rFonts w:ascii="Times New Roman" w:hAnsi="Times New Roman"/>
          <w:bCs/>
          <w:sz w:val="24"/>
        </w:rPr>
      </w:pPr>
      <w:r>
        <w:rPr>
          <w:rFonts w:ascii="Times New Roman" w:hAnsi="Times New Roman"/>
          <w:b/>
          <w:sz w:val="24"/>
        </w:rPr>
        <w:t>Table 4:</w:t>
      </w:r>
      <w:r>
        <w:rPr>
          <w:rFonts w:ascii="Times New Roman" w:hAnsi="Times New Roman"/>
          <w:bCs/>
          <w:sz w:val="24"/>
        </w:rPr>
        <w:t xml:space="preserve"> Comparison between the packed cell volume of 400mg of T</w:t>
      </w:r>
      <w:r w:rsidR="00D61551">
        <w:rPr>
          <w:rFonts w:ascii="Times New Roman" w:hAnsi="Times New Roman"/>
          <w:bCs/>
          <w:sz w:val="24"/>
        </w:rPr>
        <w:t xml:space="preserve">TE </w:t>
      </w:r>
      <w:r>
        <w:rPr>
          <w:rFonts w:ascii="Times New Roman" w:hAnsi="Times New Roman"/>
          <w:bCs/>
          <w:sz w:val="24"/>
        </w:rPr>
        <w:t xml:space="preserve">with </w:t>
      </w:r>
      <w:r w:rsidR="00D61551">
        <w:rPr>
          <w:rFonts w:ascii="Times New Roman" w:hAnsi="Times New Roman"/>
          <w:bCs/>
          <w:sz w:val="24"/>
        </w:rPr>
        <w:t>NS</w:t>
      </w:r>
      <w:r>
        <w:rPr>
          <w:rFonts w:ascii="Times New Roman" w:hAnsi="Times New Roman"/>
          <w:bCs/>
          <w:sz w:val="24"/>
        </w:rPr>
        <w:t xml:space="preserve"> on Wistar Rat</w:t>
      </w:r>
      <w:r w:rsidR="00D61551">
        <w:rPr>
          <w:rFonts w:ascii="Times New Roman" w:hAnsi="Times New Roman"/>
          <w:bCs/>
          <w:sz w:val="24"/>
        </w:rPr>
        <w:t>s</w:t>
      </w:r>
      <w:r>
        <w:rPr>
          <w:rFonts w:ascii="Times New Roman" w:hAnsi="Times New Roman"/>
          <w:bCs/>
          <w:sz w:val="24"/>
        </w:rPr>
        <w:t>.</w:t>
      </w:r>
    </w:p>
    <w:tbl>
      <w:tblPr>
        <w:tblStyle w:val="TableGrid"/>
        <w:tblW w:w="9579" w:type="dxa"/>
        <w:tblLook w:val="04A0" w:firstRow="1" w:lastRow="0" w:firstColumn="1" w:lastColumn="0" w:noHBand="0" w:noVBand="1"/>
      </w:tblPr>
      <w:tblGrid>
        <w:gridCol w:w="1915"/>
        <w:gridCol w:w="1916"/>
        <w:gridCol w:w="1916"/>
        <w:gridCol w:w="1916"/>
        <w:gridCol w:w="1916"/>
      </w:tblGrid>
      <w:tr w:rsidR="00310F6A" w14:paraId="7D1D0311" w14:textId="77777777" w:rsidTr="00FE523D">
        <w:tc>
          <w:tcPr>
            <w:tcW w:w="1915" w:type="dxa"/>
          </w:tcPr>
          <w:p w14:paraId="75B0CFCF"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Groups </w:t>
            </w:r>
          </w:p>
        </w:tc>
        <w:tc>
          <w:tcPr>
            <w:tcW w:w="1916" w:type="dxa"/>
          </w:tcPr>
          <w:p w14:paraId="1B212E10"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 7</w:t>
            </w:r>
          </w:p>
        </w:tc>
        <w:tc>
          <w:tcPr>
            <w:tcW w:w="1916" w:type="dxa"/>
          </w:tcPr>
          <w:p w14:paraId="62F0EB03" w14:textId="2D7074F1"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14</w:t>
            </w:r>
          </w:p>
        </w:tc>
        <w:tc>
          <w:tcPr>
            <w:tcW w:w="1916" w:type="dxa"/>
          </w:tcPr>
          <w:p w14:paraId="4F74ABB4" w14:textId="4E431060"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21</w:t>
            </w:r>
          </w:p>
        </w:tc>
        <w:tc>
          <w:tcPr>
            <w:tcW w:w="1916" w:type="dxa"/>
          </w:tcPr>
          <w:p w14:paraId="49EBFB85" w14:textId="7DD81002"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28</w:t>
            </w:r>
          </w:p>
        </w:tc>
      </w:tr>
      <w:tr w:rsidR="00310F6A" w14:paraId="2CC3DB15" w14:textId="77777777" w:rsidTr="00FE523D">
        <w:tc>
          <w:tcPr>
            <w:tcW w:w="1915" w:type="dxa"/>
          </w:tcPr>
          <w:p w14:paraId="5D0B96A4" w14:textId="77777777" w:rsidR="00310F6A" w:rsidRDefault="00310F6A" w:rsidP="00FE523D">
            <w:pPr>
              <w:jc w:val="center"/>
              <w:rPr>
                <w:rFonts w:ascii="Times New Roman" w:hAnsi="Times New Roman"/>
                <w:color w:val="222222"/>
                <w:sz w:val="24"/>
              </w:rPr>
            </w:pPr>
            <w:r>
              <w:rPr>
                <w:rFonts w:ascii="Times New Roman" w:hAnsi="Times New Roman"/>
                <w:color w:val="222222"/>
                <w:sz w:val="24"/>
              </w:rPr>
              <w:t>4</w:t>
            </w:r>
          </w:p>
        </w:tc>
        <w:tc>
          <w:tcPr>
            <w:tcW w:w="1916" w:type="dxa"/>
          </w:tcPr>
          <w:p w14:paraId="209EE7F9" w14:textId="77777777" w:rsidR="00310F6A" w:rsidRDefault="00310F6A" w:rsidP="00FE523D">
            <w:pPr>
              <w:rPr>
                <w:rFonts w:ascii="Times New Roman" w:hAnsi="Times New Roman"/>
                <w:color w:val="222222"/>
                <w:sz w:val="24"/>
              </w:rPr>
            </w:pPr>
            <w:r>
              <w:rPr>
                <w:rFonts w:ascii="Times New Roman" w:hAnsi="Times New Roman"/>
                <w:color w:val="222222"/>
                <w:sz w:val="24"/>
              </w:rPr>
              <w:t>35.0±3.31</w:t>
            </w:r>
          </w:p>
        </w:tc>
        <w:tc>
          <w:tcPr>
            <w:tcW w:w="1916" w:type="dxa"/>
          </w:tcPr>
          <w:p w14:paraId="0B35FF7F" w14:textId="77777777" w:rsidR="00310F6A" w:rsidRDefault="00310F6A" w:rsidP="00FE523D">
            <w:pPr>
              <w:rPr>
                <w:rFonts w:ascii="Times New Roman" w:hAnsi="Times New Roman"/>
                <w:color w:val="222222"/>
                <w:sz w:val="24"/>
              </w:rPr>
            </w:pPr>
            <w:r>
              <w:rPr>
                <w:rFonts w:ascii="Times New Roman" w:hAnsi="Times New Roman"/>
                <w:color w:val="222222"/>
                <w:sz w:val="24"/>
              </w:rPr>
              <w:t>41.8±2.38</w:t>
            </w:r>
          </w:p>
        </w:tc>
        <w:tc>
          <w:tcPr>
            <w:tcW w:w="1916" w:type="dxa"/>
          </w:tcPr>
          <w:p w14:paraId="31975BEB" w14:textId="77777777" w:rsidR="00310F6A" w:rsidRDefault="00310F6A" w:rsidP="00FE523D">
            <w:pPr>
              <w:rPr>
                <w:rFonts w:ascii="Times New Roman" w:hAnsi="Times New Roman"/>
                <w:color w:val="222222"/>
                <w:sz w:val="24"/>
              </w:rPr>
            </w:pPr>
            <w:r>
              <w:rPr>
                <w:rFonts w:ascii="Times New Roman" w:hAnsi="Times New Roman"/>
                <w:color w:val="222222"/>
                <w:sz w:val="24"/>
              </w:rPr>
              <w:t>41.8±1.78</w:t>
            </w:r>
          </w:p>
        </w:tc>
        <w:tc>
          <w:tcPr>
            <w:tcW w:w="1916" w:type="dxa"/>
          </w:tcPr>
          <w:p w14:paraId="16AE035E" w14:textId="77777777" w:rsidR="00310F6A" w:rsidRDefault="00310F6A" w:rsidP="00FE523D">
            <w:pPr>
              <w:rPr>
                <w:rFonts w:ascii="Times New Roman" w:hAnsi="Times New Roman"/>
                <w:color w:val="222222"/>
                <w:sz w:val="24"/>
              </w:rPr>
            </w:pPr>
            <w:r>
              <w:rPr>
                <w:rFonts w:ascii="Times New Roman" w:hAnsi="Times New Roman"/>
                <w:color w:val="222222"/>
                <w:sz w:val="24"/>
              </w:rPr>
              <w:t>45.8±1.78</w:t>
            </w:r>
          </w:p>
        </w:tc>
      </w:tr>
      <w:tr w:rsidR="00310F6A" w14:paraId="422C067B" w14:textId="77777777" w:rsidTr="00FE523D">
        <w:tc>
          <w:tcPr>
            <w:tcW w:w="1915" w:type="dxa"/>
          </w:tcPr>
          <w:p w14:paraId="70B8755D" w14:textId="77777777" w:rsidR="00310F6A" w:rsidRDefault="00310F6A" w:rsidP="00FE523D">
            <w:pPr>
              <w:jc w:val="center"/>
              <w:rPr>
                <w:rFonts w:ascii="Times New Roman" w:hAnsi="Times New Roman"/>
                <w:color w:val="222222"/>
                <w:sz w:val="24"/>
              </w:rPr>
            </w:pPr>
            <w:r>
              <w:rPr>
                <w:rFonts w:ascii="Times New Roman" w:hAnsi="Times New Roman"/>
                <w:color w:val="222222"/>
                <w:sz w:val="24"/>
              </w:rPr>
              <w:t>6</w:t>
            </w:r>
          </w:p>
        </w:tc>
        <w:tc>
          <w:tcPr>
            <w:tcW w:w="1916" w:type="dxa"/>
          </w:tcPr>
          <w:p w14:paraId="6F7B6E96" w14:textId="77777777" w:rsidR="00310F6A" w:rsidRDefault="00310F6A" w:rsidP="00FE523D">
            <w:pPr>
              <w:rPr>
                <w:rFonts w:ascii="Times New Roman" w:hAnsi="Times New Roman"/>
                <w:color w:val="222222"/>
                <w:sz w:val="24"/>
              </w:rPr>
            </w:pPr>
            <w:r>
              <w:rPr>
                <w:rFonts w:ascii="Times New Roman" w:hAnsi="Times New Roman"/>
                <w:color w:val="222222"/>
                <w:sz w:val="24"/>
              </w:rPr>
              <w:t>36.2±3.56</w:t>
            </w:r>
          </w:p>
        </w:tc>
        <w:tc>
          <w:tcPr>
            <w:tcW w:w="1916" w:type="dxa"/>
          </w:tcPr>
          <w:p w14:paraId="6D4E6FCB" w14:textId="77777777" w:rsidR="00310F6A" w:rsidRDefault="00310F6A" w:rsidP="00FE523D">
            <w:pPr>
              <w:rPr>
                <w:rFonts w:ascii="Times New Roman" w:hAnsi="Times New Roman"/>
                <w:color w:val="222222"/>
                <w:sz w:val="24"/>
              </w:rPr>
            </w:pPr>
            <w:r>
              <w:rPr>
                <w:rFonts w:ascii="Times New Roman" w:hAnsi="Times New Roman"/>
                <w:color w:val="222222"/>
                <w:sz w:val="24"/>
              </w:rPr>
              <w:t>43.4±2.70</w:t>
            </w:r>
          </w:p>
        </w:tc>
        <w:tc>
          <w:tcPr>
            <w:tcW w:w="1916" w:type="dxa"/>
          </w:tcPr>
          <w:p w14:paraId="7523AFF6" w14:textId="77777777" w:rsidR="00310F6A" w:rsidRDefault="00310F6A" w:rsidP="00FE523D">
            <w:pPr>
              <w:rPr>
                <w:rFonts w:ascii="Times New Roman" w:hAnsi="Times New Roman"/>
                <w:color w:val="222222"/>
                <w:sz w:val="24"/>
              </w:rPr>
            </w:pPr>
            <w:r>
              <w:rPr>
                <w:rFonts w:ascii="Times New Roman" w:hAnsi="Times New Roman"/>
                <w:color w:val="222222"/>
                <w:sz w:val="24"/>
              </w:rPr>
              <w:t>43.0±6.59</w:t>
            </w:r>
          </w:p>
        </w:tc>
        <w:tc>
          <w:tcPr>
            <w:tcW w:w="1916" w:type="dxa"/>
          </w:tcPr>
          <w:p w14:paraId="75225BE3" w14:textId="77777777" w:rsidR="00310F6A" w:rsidRDefault="00310F6A" w:rsidP="00FE523D">
            <w:pPr>
              <w:rPr>
                <w:rFonts w:ascii="Times New Roman" w:hAnsi="Times New Roman"/>
                <w:color w:val="222222"/>
                <w:sz w:val="24"/>
              </w:rPr>
            </w:pPr>
            <w:r>
              <w:rPr>
                <w:rFonts w:ascii="Times New Roman" w:hAnsi="Times New Roman"/>
                <w:color w:val="222222"/>
                <w:sz w:val="24"/>
              </w:rPr>
              <w:t>45.4±3.84</w:t>
            </w:r>
          </w:p>
        </w:tc>
      </w:tr>
      <w:tr w:rsidR="00310F6A" w14:paraId="18150BAB" w14:textId="77777777" w:rsidTr="00FE523D">
        <w:tc>
          <w:tcPr>
            <w:tcW w:w="1915" w:type="dxa"/>
          </w:tcPr>
          <w:p w14:paraId="2E016FA1" w14:textId="1B443EB7" w:rsidR="00310F6A" w:rsidRDefault="00310F6A" w:rsidP="00FE523D">
            <w:pPr>
              <w:rPr>
                <w:rFonts w:ascii="Times New Roman" w:hAnsi="Times New Roman"/>
                <w:color w:val="222222"/>
                <w:sz w:val="24"/>
              </w:rPr>
            </w:pPr>
            <w:r>
              <w:rPr>
                <w:rFonts w:ascii="Times New Roman" w:hAnsi="Times New Roman"/>
                <w:color w:val="222222"/>
                <w:sz w:val="24"/>
              </w:rPr>
              <w:t xml:space="preserve">        </w:t>
            </w:r>
            <w:r w:rsidR="0083091A">
              <w:rPr>
                <w:rFonts w:ascii="Times New Roman" w:hAnsi="Times New Roman"/>
                <w:color w:val="222222"/>
                <w:sz w:val="24"/>
              </w:rPr>
              <w:t>p</w:t>
            </w:r>
            <w:r>
              <w:rPr>
                <w:rFonts w:ascii="Times New Roman" w:hAnsi="Times New Roman"/>
                <w:color w:val="222222"/>
                <w:sz w:val="24"/>
              </w:rPr>
              <w:t>-value</w:t>
            </w:r>
          </w:p>
        </w:tc>
        <w:tc>
          <w:tcPr>
            <w:tcW w:w="1916" w:type="dxa"/>
          </w:tcPr>
          <w:p w14:paraId="08245041" w14:textId="77777777" w:rsidR="00310F6A" w:rsidRDefault="00310F6A" w:rsidP="00FE523D">
            <w:pPr>
              <w:rPr>
                <w:rFonts w:ascii="Times New Roman" w:hAnsi="Times New Roman"/>
                <w:color w:val="222222"/>
                <w:sz w:val="24"/>
              </w:rPr>
            </w:pPr>
            <w:r>
              <w:rPr>
                <w:rFonts w:ascii="Times New Roman" w:hAnsi="Times New Roman"/>
                <w:color w:val="222222"/>
                <w:sz w:val="24"/>
              </w:rPr>
              <w:t xml:space="preserve">     0.88</w:t>
            </w:r>
          </w:p>
        </w:tc>
        <w:tc>
          <w:tcPr>
            <w:tcW w:w="1916" w:type="dxa"/>
          </w:tcPr>
          <w:p w14:paraId="74277C24" w14:textId="77777777" w:rsidR="00310F6A" w:rsidRDefault="00310F6A" w:rsidP="00FE523D">
            <w:pPr>
              <w:rPr>
                <w:rFonts w:ascii="Times New Roman" w:hAnsi="Times New Roman"/>
                <w:color w:val="222222"/>
                <w:sz w:val="24"/>
              </w:rPr>
            </w:pPr>
            <w:r>
              <w:rPr>
                <w:rFonts w:ascii="Times New Roman" w:hAnsi="Times New Roman"/>
                <w:color w:val="222222"/>
                <w:sz w:val="24"/>
              </w:rPr>
              <w:t xml:space="preserve">     0.08</w:t>
            </w:r>
          </w:p>
        </w:tc>
        <w:tc>
          <w:tcPr>
            <w:tcW w:w="1916" w:type="dxa"/>
          </w:tcPr>
          <w:p w14:paraId="29D26991" w14:textId="77777777" w:rsidR="00310F6A" w:rsidRDefault="00310F6A" w:rsidP="00FE523D">
            <w:pPr>
              <w:rPr>
                <w:rFonts w:ascii="Times New Roman" w:hAnsi="Times New Roman"/>
                <w:color w:val="222222"/>
                <w:sz w:val="24"/>
              </w:rPr>
            </w:pPr>
            <w:r>
              <w:rPr>
                <w:rFonts w:ascii="Times New Roman" w:hAnsi="Times New Roman"/>
                <w:color w:val="222222"/>
                <w:sz w:val="24"/>
              </w:rPr>
              <w:t xml:space="preserve">     0.66</w:t>
            </w:r>
          </w:p>
        </w:tc>
        <w:tc>
          <w:tcPr>
            <w:tcW w:w="1916" w:type="dxa"/>
          </w:tcPr>
          <w:p w14:paraId="08289627" w14:textId="77777777" w:rsidR="00310F6A" w:rsidRDefault="00310F6A" w:rsidP="00FE523D">
            <w:pPr>
              <w:rPr>
                <w:rFonts w:ascii="Times New Roman" w:hAnsi="Times New Roman"/>
                <w:color w:val="222222"/>
                <w:sz w:val="24"/>
              </w:rPr>
            </w:pPr>
            <w:r>
              <w:rPr>
                <w:rFonts w:ascii="Times New Roman" w:hAnsi="Times New Roman"/>
                <w:color w:val="222222"/>
                <w:sz w:val="24"/>
              </w:rPr>
              <w:t xml:space="preserve">     0.84</w:t>
            </w:r>
          </w:p>
        </w:tc>
      </w:tr>
    </w:tbl>
    <w:p w14:paraId="7A6D6D1E" w14:textId="118D078E" w:rsidR="00310F6A" w:rsidRDefault="00310F6A" w:rsidP="00310F6A">
      <w:pPr>
        <w:widowControl/>
        <w:tabs>
          <w:tab w:val="left" w:pos="525"/>
        </w:tabs>
        <w:spacing w:line="480" w:lineRule="auto"/>
        <w:rPr>
          <w:rFonts w:ascii="Times New Roman" w:hAnsi="Times New Roman"/>
          <w:b/>
          <w:sz w:val="24"/>
        </w:rPr>
      </w:pPr>
      <w:r>
        <w:rPr>
          <w:rFonts w:ascii="Times New Roman" w:hAnsi="Times New Roman"/>
          <w:sz w:val="24"/>
        </w:rPr>
        <w:t xml:space="preserve">Differences between two or more means at </w:t>
      </w:r>
      <w:r w:rsidR="0083091A">
        <w:rPr>
          <w:rFonts w:ascii="Times New Roman" w:hAnsi="Times New Roman"/>
          <w:sz w:val="24"/>
        </w:rPr>
        <w:t xml:space="preserve">p-value </w:t>
      </w:r>
      <w:r>
        <w:rPr>
          <w:rFonts w:ascii="Times New Roman" w:hAnsi="Times New Roman"/>
          <w:sz w:val="24"/>
        </w:rPr>
        <w:t>&lt; 0.05 w</w:t>
      </w:r>
      <w:r w:rsidR="0083091A">
        <w:rPr>
          <w:rFonts w:ascii="Times New Roman" w:hAnsi="Times New Roman"/>
          <w:sz w:val="24"/>
        </w:rPr>
        <w:t xml:space="preserve">as </w:t>
      </w:r>
      <w:r>
        <w:rPr>
          <w:rFonts w:ascii="Times New Roman" w:hAnsi="Times New Roman"/>
          <w:sz w:val="24"/>
        </w:rPr>
        <w:t>considered statistically significant.</w:t>
      </w:r>
    </w:p>
    <w:p w14:paraId="53001B79" w14:textId="461D021A" w:rsidR="00310F6A" w:rsidRDefault="00310F6A" w:rsidP="00310F6A">
      <w:pPr>
        <w:spacing w:line="480" w:lineRule="auto"/>
        <w:rPr>
          <w:rFonts w:ascii="Times New Roman" w:hAnsi="Times New Roman"/>
          <w:bCs/>
          <w:sz w:val="24"/>
        </w:rPr>
      </w:pPr>
      <w:r>
        <w:rPr>
          <w:rFonts w:ascii="Times New Roman" w:hAnsi="Times New Roman"/>
          <w:b/>
          <w:sz w:val="24"/>
        </w:rPr>
        <w:t>Table 5:</w:t>
      </w:r>
      <w:r>
        <w:rPr>
          <w:rFonts w:ascii="Times New Roman" w:hAnsi="Times New Roman"/>
          <w:bCs/>
          <w:sz w:val="24"/>
        </w:rPr>
        <w:t xml:space="preserve"> Comparison between the packed cell volume of 300mg of T</w:t>
      </w:r>
      <w:r w:rsidR="00D61551">
        <w:rPr>
          <w:rFonts w:ascii="Times New Roman" w:hAnsi="Times New Roman"/>
          <w:bCs/>
          <w:sz w:val="24"/>
        </w:rPr>
        <w:t xml:space="preserve">TE </w:t>
      </w:r>
      <w:r>
        <w:rPr>
          <w:rFonts w:ascii="Times New Roman" w:hAnsi="Times New Roman"/>
          <w:bCs/>
          <w:sz w:val="24"/>
        </w:rPr>
        <w:t>with Bunto blood tonic on Wistar Rat</w:t>
      </w:r>
      <w:r w:rsidR="00D61551">
        <w:rPr>
          <w:rFonts w:ascii="Times New Roman" w:hAnsi="Times New Roman"/>
          <w:bCs/>
          <w:sz w:val="24"/>
        </w:rPr>
        <w:t>s</w:t>
      </w:r>
    </w:p>
    <w:tbl>
      <w:tblPr>
        <w:tblStyle w:val="TableGrid"/>
        <w:tblW w:w="9579" w:type="dxa"/>
        <w:tblLook w:val="04A0" w:firstRow="1" w:lastRow="0" w:firstColumn="1" w:lastColumn="0" w:noHBand="0" w:noVBand="1"/>
      </w:tblPr>
      <w:tblGrid>
        <w:gridCol w:w="1915"/>
        <w:gridCol w:w="1916"/>
        <w:gridCol w:w="1916"/>
        <w:gridCol w:w="1916"/>
        <w:gridCol w:w="1916"/>
      </w:tblGrid>
      <w:tr w:rsidR="00310F6A" w14:paraId="28D8B3A1" w14:textId="77777777" w:rsidTr="00FE523D">
        <w:tc>
          <w:tcPr>
            <w:tcW w:w="1915" w:type="dxa"/>
          </w:tcPr>
          <w:p w14:paraId="462AC94C"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Groups </w:t>
            </w:r>
          </w:p>
        </w:tc>
        <w:tc>
          <w:tcPr>
            <w:tcW w:w="1916" w:type="dxa"/>
          </w:tcPr>
          <w:p w14:paraId="7279485D"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 7</w:t>
            </w:r>
          </w:p>
        </w:tc>
        <w:tc>
          <w:tcPr>
            <w:tcW w:w="1916" w:type="dxa"/>
          </w:tcPr>
          <w:p w14:paraId="31DA1D3C" w14:textId="64EB1476"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14</w:t>
            </w:r>
          </w:p>
        </w:tc>
        <w:tc>
          <w:tcPr>
            <w:tcW w:w="1916" w:type="dxa"/>
          </w:tcPr>
          <w:p w14:paraId="17A04D9B" w14:textId="297CD6E6"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21</w:t>
            </w:r>
          </w:p>
        </w:tc>
        <w:tc>
          <w:tcPr>
            <w:tcW w:w="1916" w:type="dxa"/>
          </w:tcPr>
          <w:p w14:paraId="7BCDFFBB" w14:textId="354CFBD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28</w:t>
            </w:r>
          </w:p>
        </w:tc>
      </w:tr>
      <w:tr w:rsidR="00310F6A" w14:paraId="0D565533" w14:textId="77777777" w:rsidTr="00FE523D">
        <w:tc>
          <w:tcPr>
            <w:tcW w:w="1915" w:type="dxa"/>
          </w:tcPr>
          <w:p w14:paraId="1C6FE35C" w14:textId="77777777" w:rsidR="00310F6A" w:rsidRPr="0083091A" w:rsidRDefault="00310F6A" w:rsidP="00FE523D">
            <w:pPr>
              <w:jc w:val="center"/>
              <w:rPr>
                <w:rFonts w:ascii="Times New Roman" w:hAnsi="Times New Roman"/>
                <w:color w:val="222222"/>
                <w:sz w:val="24"/>
              </w:rPr>
            </w:pPr>
            <w:r w:rsidRPr="0083091A">
              <w:rPr>
                <w:rFonts w:ascii="Times New Roman" w:hAnsi="Times New Roman"/>
                <w:color w:val="222222"/>
                <w:sz w:val="24"/>
              </w:rPr>
              <w:t>3</w:t>
            </w:r>
          </w:p>
        </w:tc>
        <w:tc>
          <w:tcPr>
            <w:tcW w:w="1916" w:type="dxa"/>
          </w:tcPr>
          <w:p w14:paraId="0B71F8EC"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34.4±3.36</w:t>
            </w:r>
          </w:p>
        </w:tc>
        <w:tc>
          <w:tcPr>
            <w:tcW w:w="1916" w:type="dxa"/>
          </w:tcPr>
          <w:p w14:paraId="2E672790"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39.0±4.69</w:t>
            </w:r>
          </w:p>
        </w:tc>
        <w:tc>
          <w:tcPr>
            <w:tcW w:w="1916" w:type="dxa"/>
          </w:tcPr>
          <w:p w14:paraId="46659122"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40.0±1.41</w:t>
            </w:r>
          </w:p>
        </w:tc>
        <w:tc>
          <w:tcPr>
            <w:tcW w:w="1916" w:type="dxa"/>
          </w:tcPr>
          <w:p w14:paraId="417DACAE"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41.8±2.30</w:t>
            </w:r>
          </w:p>
        </w:tc>
      </w:tr>
      <w:tr w:rsidR="00310F6A" w14:paraId="35E3F196" w14:textId="77777777" w:rsidTr="00FE523D">
        <w:tc>
          <w:tcPr>
            <w:tcW w:w="1915" w:type="dxa"/>
          </w:tcPr>
          <w:p w14:paraId="440F2BAA" w14:textId="77777777" w:rsidR="00310F6A" w:rsidRPr="0083091A" w:rsidRDefault="00310F6A" w:rsidP="00FE523D">
            <w:pPr>
              <w:jc w:val="center"/>
              <w:rPr>
                <w:rFonts w:ascii="Times New Roman" w:hAnsi="Times New Roman"/>
                <w:color w:val="222222"/>
                <w:sz w:val="24"/>
              </w:rPr>
            </w:pPr>
            <w:r w:rsidRPr="0083091A">
              <w:rPr>
                <w:rFonts w:ascii="Times New Roman" w:hAnsi="Times New Roman"/>
                <w:color w:val="222222"/>
                <w:sz w:val="24"/>
              </w:rPr>
              <w:t>5</w:t>
            </w:r>
          </w:p>
        </w:tc>
        <w:tc>
          <w:tcPr>
            <w:tcW w:w="1916" w:type="dxa"/>
          </w:tcPr>
          <w:p w14:paraId="150B040F"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36.0±3.80</w:t>
            </w:r>
          </w:p>
        </w:tc>
        <w:tc>
          <w:tcPr>
            <w:tcW w:w="1916" w:type="dxa"/>
          </w:tcPr>
          <w:p w14:paraId="62A76B1F"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41.8±2.86</w:t>
            </w:r>
          </w:p>
        </w:tc>
        <w:tc>
          <w:tcPr>
            <w:tcW w:w="1916" w:type="dxa"/>
          </w:tcPr>
          <w:p w14:paraId="4BC55C87"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41.8±1.78</w:t>
            </w:r>
          </w:p>
        </w:tc>
        <w:tc>
          <w:tcPr>
            <w:tcW w:w="1916" w:type="dxa"/>
          </w:tcPr>
          <w:p w14:paraId="6D7B7FD5"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43.2±2.38</w:t>
            </w:r>
          </w:p>
        </w:tc>
      </w:tr>
      <w:tr w:rsidR="00310F6A" w14:paraId="79FC0918" w14:textId="77777777" w:rsidTr="00FE523D">
        <w:tc>
          <w:tcPr>
            <w:tcW w:w="1915" w:type="dxa"/>
          </w:tcPr>
          <w:p w14:paraId="04B7CDDB"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w:t>
            </w:r>
            <w:r w:rsidRPr="0083091A">
              <w:rPr>
                <w:rFonts w:ascii="Times New Roman" w:hAnsi="Times New Roman"/>
                <w:color w:val="222222"/>
                <w:sz w:val="24"/>
                <w:lang w:val="en-GB"/>
              </w:rPr>
              <w:t>p-v</w:t>
            </w:r>
            <w:proofErr w:type="spellStart"/>
            <w:r w:rsidRPr="0083091A">
              <w:rPr>
                <w:rFonts w:ascii="Times New Roman" w:hAnsi="Times New Roman"/>
                <w:color w:val="222222"/>
                <w:sz w:val="24"/>
              </w:rPr>
              <w:t>alue</w:t>
            </w:r>
            <w:proofErr w:type="spellEnd"/>
          </w:p>
        </w:tc>
        <w:tc>
          <w:tcPr>
            <w:tcW w:w="1916" w:type="dxa"/>
          </w:tcPr>
          <w:p w14:paraId="1A60ED2E"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0.50</w:t>
            </w:r>
          </w:p>
        </w:tc>
        <w:tc>
          <w:tcPr>
            <w:tcW w:w="1916" w:type="dxa"/>
          </w:tcPr>
          <w:p w14:paraId="1377AE0B"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0.28</w:t>
            </w:r>
          </w:p>
        </w:tc>
        <w:tc>
          <w:tcPr>
            <w:tcW w:w="1916" w:type="dxa"/>
          </w:tcPr>
          <w:p w14:paraId="715C958A"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0.12</w:t>
            </w:r>
          </w:p>
        </w:tc>
        <w:tc>
          <w:tcPr>
            <w:tcW w:w="1916" w:type="dxa"/>
          </w:tcPr>
          <w:p w14:paraId="07E1BC28"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0.38</w:t>
            </w:r>
          </w:p>
        </w:tc>
      </w:tr>
    </w:tbl>
    <w:p w14:paraId="54F5D142" w14:textId="41FFD73E" w:rsidR="00310F6A" w:rsidRDefault="00310F6A" w:rsidP="00310F6A">
      <w:pPr>
        <w:widowControl/>
        <w:tabs>
          <w:tab w:val="left" w:pos="525"/>
        </w:tabs>
        <w:spacing w:line="480" w:lineRule="auto"/>
        <w:rPr>
          <w:rFonts w:ascii="Times New Roman" w:hAnsi="Times New Roman"/>
          <w:bCs/>
          <w:sz w:val="24"/>
        </w:rPr>
      </w:pPr>
      <w:r>
        <w:rPr>
          <w:rFonts w:ascii="Times New Roman" w:hAnsi="Times New Roman"/>
          <w:sz w:val="24"/>
        </w:rPr>
        <w:t xml:space="preserve">Differences between two or more means at </w:t>
      </w:r>
      <w:r w:rsidR="0083091A">
        <w:rPr>
          <w:rFonts w:ascii="Times New Roman" w:hAnsi="Times New Roman"/>
          <w:sz w:val="24"/>
        </w:rPr>
        <w:t xml:space="preserve">p-value </w:t>
      </w:r>
      <w:r>
        <w:rPr>
          <w:rFonts w:ascii="Times New Roman" w:hAnsi="Times New Roman"/>
          <w:sz w:val="24"/>
        </w:rPr>
        <w:t>&lt; 0.05 w</w:t>
      </w:r>
      <w:r w:rsidR="0083091A">
        <w:rPr>
          <w:rFonts w:ascii="Times New Roman" w:hAnsi="Times New Roman"/>
          <w:sz w:val="24"/>
        </w:rPr>
        <w:t xml:space="preserve">as </w:t>
      </w:r>
      <w:r>
        <w:rPr>
          <w:rFonts w:ascii="Times New Roman" w:hAnsi="Times New Roman"/>
          <w:sz w:val="24"/>
        </w:rPr>
        <w:t>considered statistically significant.</w:t>
      </w:r>
    </w:p>
    <w:p w14:paraId="7569AE69" w14:textId="3DE88EF1" w:rsidR="00310F6A" w:rsidRDefault="00310F6A" w:rsidP="00310F6A">
      <w:pPr>
        <w:spacing w:line="480" w:lineRule="auto"/>
        <w:rPr>
          <w:rFonts w:ascii="Times New Roman" w:hAnsi="Times New Roman"/>
          <w:bCs/>
          <w:sz w:val="24"/>
        </w:rPr>
      </w:pPr>
      <w:r>
        <w:rPr>
          <w:rFonts w:ascii="Times New Roman" w:hAnsi="Times New Roman"/>
          <w:b/>
          <w:sz w:val="24"/>
        </w:rPr>
        <w:t>Table 6:</w:t>
      </w:r>
      <w:r>
        <w:rPr>
          <w:rFonts w:ascii="Times New Roman" w:hAnsi="Times New Roman"/>
          <w:bCs/>
          <w:sz w:val="24"/>
        </w:rPr>
        <w:t xml:space="preserve"> Comparison between the packed cell volume of 200mg vs 400mg of T</w:t>
      </w:r>
      <w:r w:rsidR="00D61551">
        <w:rPr>
          <w:rFonts w:ascii="Times New Roman" w:hAnsi="Times New Roman"/>
          <w:bCs/>
          <w:sz w:val="24"/>
        </w:rPr>
        <w:t>TE</w:t>
      </w:r>
      <w:r>
        <w:rPr>
          <w:rFonts w:ascii="Times New Roman" w:hAnsi="Times New Roman"/>
          <w:bCs/>
          <w:sz w:val="24"/>
        </w:rPr>
        <w:t xml:space="preserve"> on phenyl hydrazine induced Wistar</w:t>
      </w:r>
      <w:r>
        <w:rPr>
          <w:rFonts w:ascii="Times New Roman" w:hAnsi="Times New Roman"/>
          <w:bCs/>
          <w:sz w:val="24"/>
          <w:lang w:val="en-GB"/>
        </w:rPr>
        <w:t xml:space="preserve"> </w:t>
      </w:r>
      <w:r w:rsidR="00D61551">
        <w:rPr>
          <w:rFonts w:ascii="Times New Roman" w:hAnsi="Times New Roman"/>
          <w:bCs/>
          <w:sz w:val="24"/>
          <w:lang w:val="en-GB"/>
        </w:rPr>
        <w:t>rats</w:t>
      </w:r>
    </w:p>
    <w:tbl>
      <w:tblPr>
        <w:tblStyle w:val="TableGrid"/>
        <w:tblW w:w="0" w:type="auto"/>
        <w:tblLook w:val="04A0" w:firstRow="1" w:lastRow="0" w:firstColumn="1" w:lastColumn="0" w:noHBand="0" w:noVBand="1"/>
      </w:tblPr>
      <w:tblGrid>
        <w:gridCol w:w="1861"/>
        <w:gridCol w:w="1872"/>
        <w:gridCol w:w="1872"/>
        <w:gridCol w:w="1872"/>
        <w:gridCol w:w="1873"/>
      </w:tblGrid>
      <w:tr w:rsidR="00310F6A" w14:paraId="6CF58D15" w14:textId="77777777" w:rsidTr="00FE523D">
        <w:tc>
          <w:tcPr>
            <w:tcW w:w="1915" w:type="dxa"/>
          </w:tcPr>
          <w:p w14:paraId="7254DF63"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Groups </w:t>
            </w:r>
          </w:p>
        </w:tc>
        <w:tc>
          <w:tcPr>
            <w:tcW w:w="1915" w:type="dxa"/>
          </w:tcPr>
          <w:p w14:paraId="3D0AD2E0"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 7</w:t>
            </w:r>
          </w:p>
        </w:tc>
        <w:tc>
          <w:tcPr>
            <w:tcW w:w="1915" w:type="dxa"/>
          </w:tcPr>
          <w:p w14:paraId="6348A33B" w14:textId="2426ABA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14</w:t>
            </w:r>
          </w:p>
        </w:tc>
        <w:tc>
          <w:tcPr>
            <w:tcW w:w="1915" w:type="dxa"/>
          </w:tcPr>
          <w:p w14:paraId="74AAEFB0" w14:textId="7A93EFD8"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21</w:t>
            </w:r>
          </w:p>
        </w:tc>
        <w:tc>
          <w:tcPr>
            <w:tcW w:w="1916" w:type="dxa"/>
          </w:tcPr>
          <w:p w14:paraId="5CBA2A4C" w14:textId="18652AEE"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28</w:t>
            </w:r>
          </w:p>
        </w:tc>
      </w:tr>
      <w:tr w:rsidR="00310F6A" w14:paraId="22D98697" w14:textId="77777777" w:rsidTr="00FE523D">
        <w:tc>
          <w:tcPr>
            <w:tcW w:w="1915" w:type="dxa"/>
          </w:tcPr>
          <w:p w14:paraId="233258EA" w14:textId="77777777" w:rsidR="00310F6A" w:rsidRPr="0083091A" w:rsidRDefault="00310F6A" w:rsidP="00FE523D">
            <w:pPr>
              <w:jc w:val="center"/>
              <w:rPr>
                <w:rFonts w:ascii="Times New Roman" w:hAnsi="Times New Roman"/>
                <w:color w:val="222222"/>
                <w:sz w:val="24"/>
              </w:rPr>
            </w:pPr>
            <w:r w:rsidRPr="0083091A">
              <w:rPr>
                <w:rFonts w:ascii="Times New Roman" w:hAnsi="Times New Roman"/>
                <w:color w:val="222222"/>
                <w:sz w:val="24"/>
              </w:rPr>
              <w:t>2</w:t>
            </w:r>
          </w:p>
        </w:tc>
        <w:tc>
          <w:tcPr>
            <w:tcW w:w="1915" w:type="dxa"/>
          </w:tcPr>
          <w:p w14:paraId="5D89CD44"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37.2±2.28</w:t>
            </w:r>
          </w:p>
        </w:tc>
        <w:tc>
          <w:tcPr>
            <w:tcW w:w="1915" w:type="dxa"/>
          </w:tcPr>
          <w:p w14:paraId="0A9495C1"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40.6±2.96</w:t>
            </w:r>
          </w:p>
        </w:tc>
        <w:tc>
          <w:tcPr>
            <w:tcW w:w="1915" w:type="dxa"/>
          </w:tcPr>
          <w:p w14:paraId="0141BDBF"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42.4±2.70</w:t>
            </w:r>
          </w:p>
        </w:tc>
        <w:tc>
          <w:tcPr>
            <w:tcW w:w="1916" w:type="dxa"/>
          </w:tcPr>
          <w:p w14:paraId="5218F771"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42.8±1.48</w:t>
            </w:r>
          </w:p>
        </w:tc>
      </w:tr>
      <w:tr w:rsidR="00310F6A" w14:paraId="17B72BC3" w14:textId="77777777" w:rsidTr="00FE523D">
        <w:tc>
          <w:tcPr>
            <w:tcW w:w="1915" w:type="dxa"/>
          </w:tcPr>
          <w:p w14:paraId="0E0D1A50" w14:textId="77777777" w:rsidR="00310F6A" w:rsidRPr="0083091A" w:rsidRDefault="00310F6A" w:rsidP="00FE523D">
            <w:pPr>
              <w:jc w:val="center"/>
              <w:rPr>
                <w:rFonts w:ascii="Times New Roman" w:hAnsi="Times New Roman"/>
                <w:color w:val="222222"/>
                <w:sz w:val="24"/>
              </w:rPr>
            </w:pPr>
            <w:r w:rsidRPr="0083091A">
              <w:rPr>
                <w:rFonts w:ascii="Times New Roman" w:hAnsi="Times New Roman"/>
                <w:color w:val="222222"/>
                <w:sz w:val="24"/>
              </w:rPr>
              <w:t>4</w:t>
            </w:r>
          </w:p>
        </w:tc>
        <w:tc>
          <w:tcPr>
            <w:tcW w:w="1915" w:type="dxa"/>
          </w:tcPr>
          <w:p w14:paraId="27B71F2B"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35.0±3.31</w:t>
            </w:r>
          </w:p>
        </w:tc>
        <w:tc>
          <w:tcPr>
            <w:tcW w:w="1915" w:type="dxa"/>
          </w:tcPr>
          <w:p w14:paraId="37337FA0"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41.8±2.38</w:t>
            </w:r>
          </w:p>
        </w:tc>
        <w:tc>
          <w:tcPr>
            <w:tcW w:w="1915" w:type="dxa"/>
          </w:tcPr>
          <w:p w14:paraId="4DB3F025"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41.8±1.78</w:t>
            </w:r>
          </w:p>
        </w:tc>
        <w:tc>
          <w:tcPr>
            <w:tcW w:w="1916" w:type="dxa"/>
          </w:tcPr>
          <w:p w14:paraId="0B109F2D"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45.8±1.78</w:t>
            </w:r>
          </w:p>
        </w:tc>
      </w:tr>
      <w:tr w:rsidR="00310F6A" w14:paraId="4072CE29" w14:textId="77777777" w:rsidTr="00FE523D">
        <w:tc>
          <w:tcPr>
            <w:tcW w:w="1915" w:type="dxa"/>
          </w:tcPr>
          <w:p w14:paraId="691683F8"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w:t>
            </w:r>
            <w:r w:rsidRPr="0083091A">
              <w:rPr>
                <w:rFonts w:ascii="Times New Roman" w:hAnsi="Times New Roman"/>
                <w:color w:val="222222"/>
                <w:sz w:val="24"/>
                <w:lang w:val="en-GB"/>
              </w:rPr>
              <w:t>p-v</w:t>
            </w:r>
            <w:proofErr w:type="spellStart"/>
            <w:r w:rsidRPr="0083091A">
              <w:rPr>
                <w:rFonts w:ascii="Times New Roman" w:hAnsi="Times New Roman"/>
                <w:color w:val="222222"/>
                <w:sz w:val="24"/>
              </w:rPr>
              <w:t>alue</w:t>
            </w:r>
            <w:proofErr w:type="spellEnd"/>
          </w:p>
        </w:tc>
        <w:tc>
          <w:tcPr>
            <w:tcW w:w="1915" w:type="dxa"/>
          </w:tcPr>
          <w:p w14:paraId="1FD1C0C6"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0.25</w:t>
            </w:r>
          </w:p>
        </w:tc>
        <w:tc>
          <w:tcPr>
            <w:tcW w:w="1915" w:type="dxa"/>
          </w:tcPr>
          <w:p w14:paraId="4CDD3330"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0.50</w:t>
            </w:r>
          </w:p>
        </w:tc>
        <w:tc>
          <w:tcPr>
            <w:tcW w:w="1915" w:type="dxa"/>
          </w:tcPr>
          <w:p w14:paraId="5D01884F"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0.69</w:t>
            </w:r>
          </w:p>
        </w:tc>
        <w:tc>
          <w:tcPr>
            <w:tcW w:w="1916" w:type="dxa"/>
          </w:tcPr>
          <w:p w14:paraId="1ED730AB"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0.20</w:t>
            </w:r>
          </w:p>
        </w:tc>
      </w:tr>
    </w:tbl>
    <w:p w14:paraId="0F5BE406" w14:textId="1727D965" w:rsidR="00310F6A" w:rsidRDefault="00310F6A" w:rsidP="00310F6A">
      <w:pPr>
        <w:widowControl/>
        <w:tabs>
          <w:tab w:val="left" w:pos="525"/>
        </w:tabs>
        <w:spacing w:line="360" w:lineRule="auto"/>
        <w:rPr>
          <w:rFonts w:ascii="Times New Roman" w:hAnsi="Times New Roman"/>
          <w:b/>
          <w:sz w:val="24"/>
        </w:rPr>
      </w:pPr>
      <w:r>
        <w:rPr>
          <w:rFonts w:ascii="Times New Roman" w:hAnsi="Times New Roman"/>
          <w:sz w:val="24"/>
        </w:rPr>
        <w:t xml:space="preserve">Differences between two or more means at </w:t>
      </w:r>
      <w:r>
        <w:rPr>
          <w:rFonts w:ascii="Times New Roman" w:hAnsi="Times New Roman"/>
          <w:sz w:val="24"/>
          <w:lang w:val="en-GB"/>
        </w:rPr>
        <w:t>p-</w:t>
      </w:r>
      <w:r>
        <w:rPr>
          <w:rFonts w:ascii="Times New Roman" w:hAnsi="Times New Roman"/>
          <w:sz w:val="24"/>
        </w:rPr>
        <w:t>value &lt; 0.05 w</w:t>
      </w:r>
      <w:r w:rsidR="00D61551">
        <w:rPr>
          <w:rFonts w:ascii="Times New Roman" w:hAnsi="Times New Roman"/>
          <w:sz w:val="24"/>
        </w:rPr>
        <w:t xml:space="preserve">as </w:t>
      </w:r>
      <w:r>
        <w:rPr>
          <w:rFonts w:ascii="Times New Roman" w:hAnsi="Times New Roman"/>
          <w:sz w:val="24"/>
        </w:rPr>
        <w:t>considered statistically significant.</w:t>
      </w:r>
    </w:p>
    <w:p w14:paraId="181BCF28" w14:textId="77777777" w:rsidR="00D61551" w:rsidRDefault="00D61551" w:rsidP="00310F6A">
      <w:pPr>
        <w:spacing w:line="360" w:lineRule="auto"/>
        <w:rPr>
          <w:rFonts w:ascii="Times New Roman" w:hAnsi="Times New Roman"/>
          <w:b/>
          <w:sz w:val="24"/>
        </w:rPr>
      </w:pPr>
    </w:p>
    <w:p w14:paraId="53476796" w14:textId="6ECBB641" w:rsidR="00310F6A" w:rsidRDefault="00310F6A" w:rsidP="00310F6A">
      <w:pPr>
        <w:spacing w:line="360" w:lineRule="auto"/>
        <w:rPr>
          <w:rFonts w:ascii="Times New Roman" w:hAnsi="Times New Roman"/>
          <w:bCs/>
          <w:sz w:val="24"/>
        </w:rPr>
      </w:pPr>
      <w:r>
        <w:rPr>
          <w:rFonts w:ascii="Times New Roman" w:hAnsi="Times New Roman"/>
          <w:b/>
          <w:sz w:val="24"/>
        </w:rPr>
        <w:t>Table 7:</w:t>
      </w:r>
      <w:r>
        <w:rPr>
          <w:rFonts w:ascii="Times New Roman" w:hAnsi="Times New Roman"/>
          <w:bCs/>
          <w:sz w:val="24"/>
        </w:rPr>
        <w:t xml:space="preserve"> Comparison between the packed cell volume of 100mg of T</w:t>
      </w:r>
      <w:r w:rsidR="00D61551">
        <w:rPr>
          <w:rFonts w:ascii="Times New Roman" w:hAnsi="Times New Roman"/>
          <w:bCs/>
          <w:sz w:val="24"/>
        </w:rPr>
        <w:t xml:space="preserve">TE </w:t>
      </w:r>
      <w:r>
        <w:rPr>
          <w:rFonts w:ascii="Times New Roman" w:hAnsi="Times New Roman"/>
          <w:bCs/>
          <w:sz w:val="24"/>
        </w:rPr>
        <w:t xml:space="preserve">with </w:t>
      </w:r>
      <w:r w:rsidR="00D61551">
        <w:rPr>
          <w:rFonts w:ascii="Times New Roman" w:hAnsi="Times New Roman"/>
          <w:bCs/>
          <w:sz w:val="24"/>
        </w:rPr>
        <w:t>NS</w:t>
      </w:r>
      <w:r>
        <w:rPr>
          <w:rFonts w:ascii="Times New Roman" w:hAnsi="Times New Roman"/>
          <w:bCs/>
          <w:sz w:val="24"/>
        </w:rPr>
        <w:t xml:space="preserve"> on Wistar Rat </w:t>
      </w:r>
      <w:r w:rsidR="00D61551">
        <w:rPr>
          <w:rFonts w:ascii="Times New Roman" w:hAnsi="Times New Roman"/>
          <w:bCs/>
          <w:sz w:val="24"/>
        </w:rPr>
        <w:t>s</w:t>
      </w:r>
      <w:r>
        <w:rPr>
          <w:rFonts w:ascii="Times New Roman" w:hAnsi="Times New Roman"/>
          <w:bCs/>
          <w:sz w:val="24"/>
        </w:rPr>
        <w:t xml:space="preserve"> </w:t>
      </w:r>
    </w:p>
    <w:tbl>
      <w:tblPr>
        <w:tblStyle w:val="TableGrid"/>
        <w:tblW w:w="9579" w:type="dxa"/>
        <w:tblLook w:val="04A0" w:firstRow="1" w:lastRow="0" w:firstColumn="1" w:lastColumn="0" w:noHBand="0" w:noVBand="1"/>
      </w:tblPr>
      <w:tblGrid>
        <w:gridCol w:w="1915"/>
        <w:gridCol w:w="1916"/>
        <w:gridCol w:w="1916"/>
        <w:gridCol w:w="1916"/>
        <w:gridCol w:w="1916"/>
      </w:tblGrid>
      <w:tr w:rsidR="00310F6A" w14:paraId="3DA230E2" w14:textId="77777777" w:rsidTr="00FE523D">
        <w:tc>
          <w:tcPr>
            <w:tcW w:w="1915" w:type="dxa"/>
          </w:tcPr>
          <w:p w14:paraId="755DC22D"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Groups </w:t>
            </w:r>
          </w:p>
        </w:tc>
        <w:tc>
          <w:tcPr>
            <w:tcW w:w="1916" w:type="dxa"/>
          </w:tcPr>
          <w:p w14:paraId="28EF2CA3" w14:textId="77777777"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 7</w:t>
            </w:r>
          </w:p>
        </w:tc>
        <w:tc>
          <w:tcPr>
            <w:tcW w:w="1916" w:type="dxa"/>
          </w:tcPr>
          <w:p w14:paraId="7A903F74" w14:textId="7C2CB0DE"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14</w:t>
            </w:r>
          </w:p>
        </w:tc>
        <w:tc>
          <w:tcPr>
            <w:tcW w:w="1916" w:type="dxa"/>
          </w:tcPr>
          <w:p w14:paraId="0ADF47F8" w14:textId="598A2EA1"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21</w:t>
            </w:r>
          </w:p>
        </w:tc>
        <w:tc>
          <w:tcPr>
            <w:tcW w:w="1916" w:type="dxa"/>
          </w:tcPr>
          <w:p w14:paraId="32D8AE44" w14:textId="252BCB9A" w:rsidR="00310F6A" w:rsidRDefault="00310F6A" w:rsidP="00FE523D">
            <w:pPr>
              <w:rPr>
                <w:rFonts w:ascii="Times New Roman" w:hAnsi="Times New Roman"/>
                <w:b/>
                <w:bCs/>
                <w:color w:val="222222"/>
                <w:sz w:val="24"/>
              </w:rPr>
            </w:pPr>
            <w:r>
              <w:rPr>
                <w:rFonts w:ascii="Times New Roman" w:hAnsi="Times New Roman"/>
                <w:b/>
                <w:bCs/>
                <w:color w:val="222222"/>
                <w:sz w:val="24"/>
              </w:rPr>
              <w:t xml:space="preserve">    DAY</w:t>
            </w:r>
            <w:r w:rsidR="0083091A">
              <w:rPr>
                <w:rFonts w:ascii="Times New Roman" w:hAnsi="Times New Roman"/>
                <w:b/>
                <w:bCs/>
                <w:color w:val="222222"/>
                <w:sz w:val="24"/>
              </w:rPr>
              <w:t xml:space="preserve"> </w:t>
            </w:r>
            <w:r>
              <w:rPr>
                <w:rFonts w:ascii="Times New Roman" w:hAnsi="Times New Roman"/>
                <w:b/>
                <w:bCs/>
                <w:color w:val="222222"/>
                <w:sz w:val="24"/>
              </w:rPr>
              <w:t>28</w:t>
            </w:r>
          </w:p>
        </w:tc>
      </w:tr>
      <w:tr w:rsidR="00310F6A" w14:paraId="5562658A" w14:textId="77777777" w:rsidTr="00FE523D">
        <w:tc>
          <w:tcPr>
            <w:tcW w:w="1915" w:type="dxa"/>
          </w:tcPr>
          <w:p w14:paraId="123A2133" w14:textId="77777777" w:rsidR="00310F6A" w:rsidRPr="0083091A" w:rsidRDefault="00310F6A" w:rsidP="00FE523D">
            <w:pPr>
              <w:jc w:val="center"/>
              <w:rPr>
                <w:rFonts w:ascii="Times New Roman" w:hAnsi="Times New Roman"/>
                <w:color w:val="222222"/>
                <w:sz w:val="24"/>
              </w:rPr>
            </w:pPr>
            <w:r w:rsidRPr="0083091A">
              <w:rPr>
                <w:rFonts w:ascii="Times New Roman" w:hAnsi="Times New Roman"/>
                <w:color w:val="222222"/>
                <w:sz w:val="24"/>
              </w:rPr>
              <w:t>1</w:t>
            </w:r>
          </w:p>
        </w:tc>
        <w:tc>
          <w:tcPr>
            <w:tcW w:w="1916" w:type="dxa"/>
          </w:tcPr>
          <w:p w14:paraId="5B1865DC"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32.6±1.94</w:t>
            </w:r>
          </w:p>
        </w:tc>
        <w:tc>
          <w:tcPr>
            <w:tcW w:w="1916" w:type="dxa"/>
          </w:tcPr>
          <w:p w14:paraId="52089BF0"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37.6±2.88</w:t>
            </w:r>
          </w:p>
        </w:tc>
        <w:tc>
          <w:tcPr>
            <w:tcW w:w="1916" w:type="dxa"/>
          </w:tcPr>
          <w:p w14:paraId="2F53190F"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41.6±2.07</w:t>
            </w:r>
          </w:p>
        </w:tc>
        <w:tc>
          <w:tcPr>
            <w:tcW w:w="1916" w:type="dxa"/>
          </w:tcPr>
          <w:p w14:paraId="21F52A3F"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41.6±2.07</w:t>
            </w:r>
          </w:p>
        </w:tc>
      </w:tr>
      <w:tr w:rsidR="00310F6A" w14:paraId="64509F63" w14:textId="77777777" w:rsidTr="00FE523D">
        <w:tc>
          <w:tcPr>
            <w:tcW w:w="1915" w:type="dxa"/>
          </w:tcPr>
          <w:p w14:paraId="3ADE30E1" w14:textId="77777777" w:rsidR="00310F6A" w:rsidRPr="0083091A" w:rsidRDefault="00310F6A" w:rsidP="00FE523D">
            <w:pPr>
              <w:jc w:val="center"/>
              <w:rPr>
                <w:rFonts w:ascii="Times New Roman" w:hAnsi="Times New Roman"/>
                <w:color w:val="222222"/>
                <w:sz w:val="24"/>
              </w:rPr>
            </w:pPr>
            <w:r w:rsidRPr="0083091A">
              <w:rPr>
                <w:rFonts w:ascii="Times New Roman" w:hAnsi="Times New Roman"/>
                <w:color w:val="222222"/>
                <w:sz w:val="24"/>
              </w:rPr>
              <w:t>6</w:t>
            </w:r>
          </w:p>
        </w:tc>
        <w:tc>
          <w:tcPr>
            <w:tcW w:w="1916" w:type="dxa"/>
          </w:tcPr>
          <w:p w14:paraId="79060818"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36.2±3.56</w:t>
            </w:r>
          </w:p>
        </w:tc>
        <w:tc>
          <w:tcPr>
            <w:tcW w:w="1916" w:type="dxa"/>
          </w:tcPr>
          <w:p w14:paraId="7771712F"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43.4±2.70</w:t>
            </w:r>
          </w:p>
        </w:tc>
        <w:tc>
          <w:tcPr>
            <w:tcW w:w="1916" w:type="dxa"/>
          </w:tcPr>
          <w:p w14:paraId="56100AA3"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43.0±6.59</w:t>
            </w:r>
          </w:p>
        </w:tc>
        <w:tc>
          <w:tcPr>
            <w:tcW w:w="1916" w:type="dxa"/>
          </w:tcPr>
          <w:p w14:paraId="40750514"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45.4±3.84</w:t>
            </w:r>
          </w:p>
        </w:tc>
      </w:tr>
      <w:tr w:rsidR="00310F6A" w14:paraId="13A2888F" w14:textId="77777777" w:rsidTr="00FE523D">
        <w:tc>
          <w:tcPr>
            <w:tcW w:w="1915" w:type="dxa"/>
          </w:tcPr>
          <w:p w14:paraId="03FF91FA" w14:textId="5980B8AB"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w:t>
            </w:r>
            <w:r w:rsidR="0083091A">
              <w:rPr>
                <w:rFonts w:ascii="Times New Roman" w:hAnsi="Times New Roman"/>
                <w:color w:val="222222"/>
                <w:sz w:val="24"/>
              </w:rPr>
              <w:t>p-v</w:t>
            </w:r>
            <w:r w:rsidRPr="0083091A">
              <w:rPr>
                <w:rFonts w:ascii="Times New Roman" w:hAnsi="Times New Roman"/>
                <w:color w:val="222222"/>
                <w:sz w:val="24"/>
              </w:rPr>
              <w:t>alue</w:t>
            </w:r>
          </w:p>
        </w:tc>
        <w:tc>
          <w:tcPr>
            <w:tcW w:w="1916" w:type="dxa"/>
          </w:tcPr>
          <w:p w14:paraId="7E8FE4B4"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0.08</w:t>
            </w:r>
          </w:p>
        </w:tc>
        <w:tc>
          <w:tcPr>
            <w:tcW w:w="1916" w:type="dxa"/>
          </w:tcPr>
          <w:p w14:paraId="7145D921"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0.01</w:t>
            </w:r>
          </w:p>
        </w:tc>
        <w:tc>
          <w:tcPr>
            <w:tcW w:w="1916" w:type="dxa"/>
          </w:tcPr>
          <w:p w14:paraId="1FA7BE0D"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0.61</w:t>
            </w:r>
          </w:p>
        </w:tc>
        <w:tc>
          <w:tcPr>
            <w:tcW w:w="1916" w:type="dxa"/>
          </w:tcPr>
          <w:p w14:paraId="0132C454" w14:textId="77777777" w:rsidR="00310F6A" w:rsidRPr="0083091A" w:rsidRDefault="00310F6A" w:rsidP="00FE523D">
            <w:pPr>
              <w:rPr>
                <w:rFonts w:ascii="Times New Roman" w:hAnsi="Times New Roman"/>
                <w:color w:val="222222"/>
                <w:sz w:val="24"/>
              </w:rPr>
            </w:pPr>
            <w:r w:rsidRPr="0083091A">
              <w:rPr>
                <w:rFonts w:ascii="Times New Roman" w:hAnsi="Times New Roman"/>
                <w:color w:val="222222"/>
                <w:sz w:val="24"/>
              </w:rPr>
              <w:t xml:space="preserve">     0.09</w:t>
            </w:r>
          </w:p>
        </w:tc>
      </w:tr>
    </w:tbl>
    <w:p w14:paraId="5D5D98B6" w14:textId="77777777" w:rsidR="00310F6A" w:rsidRDefault="00310F6A" w:rsidP="00310F6A">
      <w:pPr>
        <w:spacing w:line="480" w:lineRule="auto"/>
        <w:rPr>
          <w:rFonts w:ascii="Times New Roman" w:hAnsi="Times New Roman"/>
          <w:bCs/>
          <w:sz w:val="24"/>
        </w:rPr>
      </w:pPr>
    </w:p>
    <w:p w14:paraId="1E764931" w14:textId="58214411" w:rsidR="00D61551" w:rsidRDefault="00310F6A" w:rsidP="00E6434A">
      <w:pPr>
        <w:widowControl/>
        <w:tabs>
          <w:tab w:val="left" w:pos="525"/>
        </w:tabs>
        <w:spacing w:line="480" w:lineRule="auto"/>
        <w:rPr>
          <w:rFonts w:ascii="Times New Roman" w:hAnsi="Times New Roman"/>
          <w:sz w:val="24"/>
        </w:rPr>
      </w:pPr>
      <w:r>
        <w:rPr>
          <w:rFonts w:ascii="Times New Roman" w:hAnsi="Times New Roman"/>
          <w:sz w:val="24"/>
        </w:rPr>
        <w:lastRenderedPageBreak/>
        <w:t xml:space="preserve">Differences between two or more means at </w:t>
      </w:r>
      <w:r w:rsidR="0083091A">
        <w:rPr>
          <w:rFonts w:ascii="Times New Roman" w:hAnsi="Times New Roman"/>
          <w:sz w:val="24"/>
        </w:rPr>
        <w:t xml:space="preserve">p-value </w:t>
      </w:r>
      <w:r>
        <w:rPr>
          <w:rFonts w:ascii="Times New Roman" w:hAnsi="Times New Roman"/>
          <w:sz w:val="24"/>
        </w:rPr>
        <w:t xml:space="preserve">&lt; 0.05 </w:t>
      </w:r>
      <w:r w:rsidR="00D61551">
        <w:rPr>
          <w:rFonts w:ascii="Times New Roman" w:hAnsi="Times New Roman"/>
          <w:sz w:val="24"/>
        </w:rPr>
        <w:t>was considered</w:t>
      </w:r>
      <w:r>
        <w:rPr>
          <w:rFonts w:ascii="Times New Roman" w:hAnsi="Times New Roman"/>
          <w:sz w:val="24"/>
        </w:rPr>
        <w:t xml:space="preserve"> statistically significant.</w:t>
      </w:r>
    </w:p>
    <w:p w14:paraId="3DE38A43" w14:textId="25940E1E" w:rsidR="00310F6A" w:rsidRDefault="00310F6A" w:rsidP="00310F6A">
      <w:pPr>
        <w:spacing w:after="160" w:line="480" w:lineRule="auto"/>
        <w:rPr>
          <w:rFonts w:ascii="Times New Roman" w:hAnsi="Times New Roman"/>
          <w:sz w:val="24"/>
        </w:rPr>
      </w:pPr>
      <w:r>
        <w:rPr>
          <w:rFonts w:ascii="Times New Roman" w:hAnsi="Times New Roman"/>
          <w:sz w:val="24"/>
        </w:rPr>
        <w:t>Table 2, indicate</w:t>
      </w:r>
      <w:r w:rsidR="00D61551">
        <w:rPr>
          <w:rFonts w:ascii="Times New Roman" w:hAnsi="Times New Roman"/>
          <w:sz w:val="24"/>
        </w:rPr>
        <w:t>d</w:t>
      </w:r>
      <w:r>
        <w:rPr>
          <w:rFonts w:ascii="Times New Roman" w:hAnsi="Times New Roman"/>
          <w:sz w:val="24"/>
        </w:rPr>
        <w:t xml:space="preserve"> that the mean value of packed cell volume (PCV) after the induction of phenyl hydrazine significantly(p&lt;0.05) reduced, the phenyl hydrazine induced have significant reduction on the packed cell volume.</w:t>
      </w:r>
    </w:p>
    <w:p w14:paraId="5D3C0A60" w14:textId="59FF99C3" w:rsidR="00310F6A" w:rsidRDefault="00310F6A" w:rsidP="00310F6A">
      <w:pPr>
        <w:spacing w:before="240" w:after="160" w:line="480" w:lineRule="auto"/>
        <w:rPr>
          <w:rFonts w:ascii="Times New Roman" w:hAnsi="Times New Roman"/>
          <w:sz w:val="24"/>
        </w:rPr>
      </w:pPr>
      <w:r>
        <w:rPr>
          <w:rFonts w:ascii="Times New Roman" w:hAnsi="Times New Roman"/>
          <w:sz w:val="24"/>
        </w:rPr>
        <w:t>Table 3 show</w:t>
      </w:r>
      <w:r w:rsidR="00D61551">
        <w:rPr>
          <w:rFonts w:ascii="Times New Roman" w:hAnsi="Times New Roman"/>
          <w:sz w:val="24"/>
        </w:rPr>
        <w:t>ed</w:t>
      </w:r>
      <w:r>
        <w:rPr>
          <w:rFonts w:ascii="Times New Roman" w:hAnsi="Times New Roman"/>
          <w:sz w:val="24"/>
        </w:rPr>
        <w:t xml:space="preserve"> the mean values of packed cell volume (PCV) of the group treated with 400mg of T.</w:t>
      </w:r>
      <w:r w:rsidR="00D61551">
        <w:rPr>
          <w:rFonts w:ascii="Times New Roman" w:hAnsi="Times New Roman"/>
          <w:sz w:val="24"/>
        </w:rPr>
        <w:t xml:space="preserve"> </w:t>
      </w:r>
      <w:r>
        <w:rPr>
          <w:rFonts w:ascii="Times New Roman" w:hAnsi="Times New Roman"/>
          <w:sz w:val="24"/>
        </w:rPr>
        <w:t>triangulare extract showed significant changes (p&lt;0.05) when compared to the group treated with 100mg of T.</w:t>
      </w:r>
      <w:r w:rsidR="00D61551">
        <w:rPr>
          <w:rFonts w:ascii="Times New Roman" w:hAnsi="Times New Roman"/>
          <w:sz w:val="24"/>
        </w:rPr>
        <w:t xml:space="preserve"> </w:t>
      </w:r>
      <w:r>
        <w:rPr>
          <w:rFonts w:ascii="Times New Roman" w:hAnsi="Times New Roman"/>
          <w:sz w:val="24"/>
        </w:rPr>
        <w:t>triangulare throughout day</w:t>
      </w:r>
      <w:r w:rsidR="0083091A">
        <w:rPr>
          <w:rFonts w:ascii="Times New Roman" w:hAnsi="Times New Roman"/>
          <w:sz w:val="24"/>
        </w:rPr>
        <w:t xml:space="preserve"> </w:t>
      </w:r>
      <w:r>
        <w:rPr>
          <w:rFonts w:ascii="Times New Roman" w:hAnsi="Times New Roman"/>
          <w:sz w:val="24"/>
        </w:rPr>
        <w:t>14th and day</w:t>
      </w:r>
      <w:r w:rsidR="0083091A">
        <w:rPr>
          <w:rFonts w:ascii="Times New Roman" w:hAnsi="Times New Roman"/>
          <w:sz w:val="24"/>
        </w:rPr>
        <w:t xml:space="preserve"> </w:t>
      </w:r>
      <w:r>
        <w:rPr>
          <w:rFonts w:ascii="Times New Roman" w:hAnsi="Times New Roman"/>
          <w:sz w:val="24"/>
        </w:rPr>
        <w:t>28th of administration, while the 7</w:t>
      </w:r>
      <w:r w:rsidRPr="0083091A">
        <w:rPr>
          <w:rFonts w:ascii="Times New Roman" w:hAnsi="Times New Roman"/>
          <w:sz w:val="24"/>
          <w:vertAlign w:val="superscript"/>
        </w:rPr>
        <w:t>th</w:t>
      </w:r>
      <w:r w:rsidR="0083091A">
        <w:rPr>
          <w:rFonts w:ascii="Times New Roman" w:hAnsi="Times New Roman"/>
          <w:sz w:val="24"/>
        </w:rPr>
        <w:t xml:space="preserve"> </w:t>
      </w:r>
      <w:r>
        <w:rPr>
          <w:rFonts w:ascii="Times New Roman" w:hAnsi="Times New Roman"/>
          <w:sz w:val="24"/>
        </w:rPr>
        <w:t>day and 2</w:t>
      </w:r>
      <w:r w:rsidR="0083091A">
        <w:rPr>
          <w:rFonts w:ascii="Times New Roman" w:hAnsi="Times New Roman"/>
          <w:sz w:val="24"/>
        </w:rPr>
        <w:t>1</w:t>
      </w:r>
      <w:r w:rsidRPr="0083091A">
        <w:rPr>
          <w:rFonts w:ascii="Times New Roman" w:hAnsi="Times New Roman"/>
          <w:sz w:val="24"/>
          <w:vertAlign w:val="superscript"/>
        </w:rPr>
        <w:t>st</w:t>
      </w:r>
      <w:r w:rsidR="0083091A">
        <w:rPr>
          <w:rFonts w:ascii="Times New Roman" w:hAnsi="Times New Roman"/>
          <w:sz w:val="24"/>
        </w:rPr>
        <w:t xml:space="preserve"> </w:t>
      </w:r>
      <w:r>
        <w:rPr>
          <w:rFonts w:ascii="Times New Roman" w:hAnsi="Times New Roman"/>
          <w:sz w:val="24"/>
        </w:rPr>
        <w:t xml:space="preserve"> day of </w:t>
      </w:r>
      <w:r w:rsidR="00D61551">
        <w:rPr>
          <w:rFonts w:ascii="Times New Roman" w:hAnsi="Times New Roman"/>
          <w:sz w:val="24"/>
        </w:rPr>
        <w:t>administration showed</w:t>
      </w:r>
      <w:r>
        <w:rPr>
          <w:rFonts w:ascii="Times New Roman" w:hAnsi="Times New Roman"/>
          <w:sz w:val="24"/>
        </w:rPr>
        <w:t xml:space="preserve"> no significant changes as their p values show 0.20 and 0.87 respectively, where p &gt; 0.05.</w:t>
      </w:r>
    </w:p>
    <w:p w14:paraId="6366DD24" w14:textId="0F3D3392" w:rsidR="00310F6A" w:rsidRDefault="00310F6A" w:rsidP="00310F6A">
      <w:pPr>
        <w:spacing w:after="160" w:line="480" w:lineRule="auto"/>
        <w:rPr>
          <w:rFonts w:ascii="Times New Roman" w:hAnsi="Times New Roman"/>
          <w:sz w:val="24"/>
        </w:rPr>
      </w:pPr>
      <w:r>
        <w:rPr>
          <w:rFonts w:ascii="Times New Roman" w:hAnsi="Times New Roman"/>
          <w:sz w:val="24"/>
        </w:rPr>
        <w:t xml:space="preserve"> Table 4 shows the mean values of PCV of the group treated with 400mg/body weight of the rats have no significant(p&lt;0.05) changes on the days of administration with </w:t>
      </w:r>
      <w:r w:rsidR="00D61551">
        <w:rPr>
          <w:rFonts w:ascii="Times New Roman" w:hAnsi="Times New Roman"/>
          <w:sz w:val="24"/>
        </w:rPr>
        <w:t xml:space="preserve">TTE </w:t>
      </w:r>
      <w:r>
        <w:rPr>
          <w:rFonts w:ascii="Times New Roman" w:hAnsi="Times New Roman"/>
          <w:sz w:val="24"/>
        </w:rPr>
        <w:t>compared to the control group using normal saline on the days of administration.</w:t>
      </w:r>
    </w:p>
    <w:p w14:paraId="7C3E86DD" w14:textId="07976E46" w:rsidR="00310F6A" w:rsidRDefault="00310F6A" w:rsidP="00310F6A">
      <w:pPr>
        <w:spacing w:after="160" w:line="480" w:lineRule="auto"/>
        <w:rPr>
          <w:rFonts w:ascii="Times New Roman" w:hAnsi="Times New Roman"/>
          <w:sz w:val="24"/>
        </w:rPr>
      </w:pPr>
      <w:r>
        <w:rPr>
          <w:rFonts w:ascii="Times New Roman" w:hAnsi="Times New Roman"/>
          <w:sz w:val="24"/>
        </w:rPr>
        <w:t>Table 5 shows the mean values of packed cell volume (PCV) of the group treated with 300mg of T</w:t>
      </w:r>
      <w:r w:rsidR="00D61551">
        <w:rPr>
          <w:rFonts w:ascii="Times New Roman" w:hAnsi="Times New Roman"/>
          <w:sz w:val="24"/>
        </w:rPr>
        <w:t>TE</w:t>
      </w:r>
      <w:r>
        <w:rPr>
          <w:rFonts w:ascii="Times New Roman" w:hAnsi="Times New Roman"/>
          <w:sz w:val="24"/>
        </w:rPr>
        <w:t xml:space="preserve"> which showed no significant changes (p&lt;0.05) when compared to the group treated with Bunto Tonic throughout the days of administration.</w:t>
      </w:r>
    </w:p>
    <w:p w14:paraId="05C8D5DB" w14:textId="168CD512" w:rsidR="00310F6A" w:rsidRDefault="00310F6A" w:rsidP="00310F6A">
      <w:pPr>
        <w:spacing w:after="160" w:line="480" w:lineRule="auto"/>
        <w:rPr>
          <w:rFonts w:ascii="Times New Roman" w:hAnsi="Times New Roman"/>
          <w:bCs/>
          <w:sz w:val="24"/>
        </w:rPr>
      </w:pPr>
      <w:r>
        <w:rPr>
          <w:rFonts w:ascii="Times New Roman" w:hAnsi="Times New Roman"/>
          <w:sz w:val="24"/>
        </w:rPr>
        <w:t>Table 6 shows the mean values of packed cell volume (PCV) of the group treated with 400mg of T</w:t>
      </w:r>
      <w:r w:rsidR="00D61551">
        <w:rPr>
          <w:rFonts w:ascii="Times New Roman" w:hAnsi="Times New Roman"/>
          <w:sz w:val="24"/>
        </w:rPr>
        <w:t>TE</w:t>
      </w:r>
      <w:r>
        <w:rPr>
          <w:rFonts w:ascii="Times New Roman" w:hAnsi="Times New Roman"/>
          <w:sz w:val="24"/>
        </w:rPr>
        <w:t xml:space="preserve"> which showed no significant changes (p&lt;0.05) when compared to the group treated with 200mg of T.</w:t>
      </w:r>
      <w:r w:rsidR="00D61551">
        <w:rPr>
          <w:rFonts w:ascii="Times New Roman" w:hAnsi="Times New Roman"/>
          <w:sz w:val="24"/>
        </w:rPr>
        <w:t xml:space="preserve"> </w:t>
      </w:r>
      <w:r>
        <w:rPr>
          <w:rFonts w:ascii="Times New Roman" w:hAnsi="Times New Roman"/>
          <w:sz w:val="24"/>
        </w:rPr>
        <w:t xml:space="preserve">triangulare </w:t>
      </w:r>
      <w:r>
        <w:rPr>
          <w:rFonts w:ascii="Times New Roman" w:hAnsi="Times New Roman"/>
          <w:bCs/>
          <w:sz w:val="24"/>
        </w:rPr>
        <w:t>on phenyl hydrazine induced Wistar Rat throughout the administrations.</w:t>
      </w:r>
    </w:p>
    <w:p w14:paraId="04C0F8EC" w14:textId="6CB97966" w:rsidR="00310F6A" w:rsidRDefault="00310F6A" w:rsidP="00310F6A">
      <w:pPr>
        <w:spacing w:after="160" w:line="480" w:lineRule="auto"/>
        <w:rPr>
          <w:rFonts w:ascii="Times New Roman" w:hAnsi="Times New Roman"/>
          <w:bCs/>
          <w:sz w:val="24"/>
        </w:rPr>
      </w:pPr>
      <w:r>
        <w:rPr>
          <w:rFonts w:ascii="Times New Roman" w:hAnsi="Times New Roman"/>
          <w:sz w:val="24"/>
        </w:rPr>
        <w:t>Table 7 shows the mean values of PCV of the group treated with 100mg/body weight of the rats have no significant(p&lt;0.05) changes on the 7</w:t>
      </w:r>
      <w:r>
        <w:rPr>
          <w:rFonts w:ascii="Times New Roman" w:hAnsi="Times New Roman"/>
          <w:sz w:val="24"/>
          <w:vertAlign w:val="superscript"/>
        </w:rPr>
        <w:t>th</w:t>
      </w:r>
      <w:r>
        <w:rPr>
          <w:rFonts w:ascii="Times New Roman" w:hAnsi="Times New Roman"/>
          <w:sz w:val="24"/>
        </w:rPr>
        <w:t>,21</w:t>
      </w:r>
      <w:r>
        <w:rPr>
          <w:rFonts w:ascii="Times New Roman" w:hAnsi="Times New Roman"/>
          <w:sz w:val="24"/>
          <w:vertAlign w:val="superscript"/>
        </w:rPr>
        <w:t>st</w:t>
      </w:r>
      <w:r>
        <w:rPr>
          <w:rFonts w:ascii="Times New Roman" w:hAnsi="Times New Roman"/>
          <w:sz w:val="24"/>
        </w:rPr>
        <w:t xml:space="preserve"> and 28</w:t>
      </w:r>
      <w:r>
        <w:rPr>
          <w:rFonts w:ascii="Times New Roman" w:hAnsi="Times New Roman"/>
          <w:sz w:val="24"/>
          <w:vertAlign w:val="superscript"/>
        </w:rPr>
        <w:t>th</w:t>
      </w:r>
      <w:r>
        <w:rPr>
          <w:rFonts w:ascii="Times New Roman" w:hAnsi="Times New Roman"/>
          <w:sz w:val="24"/>
        </w:rPr>
        <w:t xml:space="preserve"> days of administration with </w:t>
      </w:r>
      <w:r w:rsidR="00D61551">
        <w:rPr>
          <w:rFonts w:ascii="Times New Roman" w:hAnsi="Times New Roman"/>
          <w:sz w:val="24"/>
        </w:rPr>
        <w:t>TTE while</w:t>
      </w:r>
      <w:r>
        <w:rPr>
          <w:rFonts w:ascii="Times New Roman" w:hAnsi="Times New Roman"/>
          <w:sz w:val="24"/>
        </w:rPr>
        <w:t>, 14</w:t>
      </w:r>
      <w:r>
        <w:rPr>
          <w:rFonts w:ascii="Times New Roman" w:hAnsi="Times New Roman"/>
          <w:sz w:val="24"/>
          <w:vertAlign w:val="superscript"/>
        </w:rPr>
        <w:t>th</w:t>
      </w:r>
      <w:r>
        <w:rPr>
          <w:rFonts w:ascii="Times New Roman" w:hAnsi="Times New Roman"/>
          <w:sz w:val="24"/>
        </w:rPr>
        <w:t xml:space="preserve"> day of administration has a </w:t>
      </w:r>
      <w:r w:rsidR="00D61551">
        <w:rPr>
          <w:rFonts w:ascii="Times New Roman" w:hAnsi="Times New Roman"/>
          <w:sz w:val="24"/>
        </w:rPr>
        <w:t>significant change (P&lt;0.05)</w:t>
      </w:r>
      <w:r>
        <w:rPr>
          <w:rFonts w:ascii="Times New Roman" w:hAnsi="Times New Roman"/>
          <w:sz w:val="24"/>
        </w:rPr>
        <w:t xml:space="preserve"> with </w:t>
      </w:r>
      <w:r w:rsidR="00D61551">
        <w:rPr>
          <w:rFonts w:ascii="Times New Roman" w:hAnsi="Times New Roman"/>
          <w:sz w:val="24"/>
        </w:rPr>
        <w:t>TTE</w:t>
      </w:r>
      <w:r>
        <w:rPr>
          <w:rFonts w:ascii="Times New Roman" w:hAnsi="Times New Roman"/>
          <w:sz w:val="24"/>
        </w:rPr>
        <w:t xml:space="preserve"> compared to the control group using normal saline on administration days.</w:t>
      </w:r>
    </w:p>
    <w:p w14:paraId="7A1A1859" w14:textId="2234866E" w:rsidR="00310F6A" w:rsidRDefault="00310F6A" w:rsidP="00310F6A">
      <w:pPr>
        <w:widowControl/>
        <w:spacing w:line="480" w:lineRule="auto"/>
        <w:rPr>
          <w:rFonts w:ascii="Times New Roman" w:hAnsi="Times New Roman"/>
          <w:b/>
          <w:bCs/>
          <w:color w:val="222222"/>
          <w:kern w:val="0"/>
          <w:sz w:val="24"/>
        </w:rPr>
      </w:pPr>
      <w:r>
        <w:rPr>
          <w:rFonts w:ascii="Times New Roman" w:hAnsi="Times New Roman"/>
          <w:b/>
          <w:bCs/>
          <w:color w:val="222222"/>
          <w:kern w:val="0"/>
          <w:sz w:val="24"/>
        </w:rPr>
        <w:lastRenderedPageBreak/>
        <w:t>HISTOPATHOLOGY INVESTIGATION</w:t>
      </w:r>
      <w:r w:rsidR="00E6434A">
        <w:rPr>
          <w:rFonts w:ascii="Times New Roman" w:hAnsi="Times New Roman"/>
          <w:b/>
          <w:bCs/>
          <w:color w:val="222222"/>
          <w:kern w:val="0"/>
          <w:sz w:val="24"/>
        </w:rPr>
        <w:t>S</w:t>
      </w:r>
    </w:p>
    <w:p w14:paraId="56250B63" w14:textId="22733DCF" w:rsidR="00310F6A" w:rsidRDefault="00310F6A" w:rsidP="00310F6A">
      <w:pPr>
        <w:widowControl/>
        <w:tabs>
          <w:tab w:val="left" w:pos="414"/>
        </w:tabs>
        <w:spacing w:line="480" w:lineRule="auto"/>
        <w:rPr>
          <w:rFonts w:ascii="Times New Roman" w:hAnsi="Times New Roman"/>
          <w:b/>
          <w:bCs/>
          <w:color w:val="222222"/>
          <w:kern w:val="0"/>
          <w:sz w:val="24"/>
        </w:rPr>
      </w:pPr>
      <w:r>
        <w:rPr>
          <w:rFonts w:ascii="Times New Roman" w:hAnsi="Times New Roman"/>
          <w:b/>
          <w:noProof/>
          <w:color w:val="222222"/>
          <w:kern w:val="0"/>
          <w:sz w:val="24"/>
          <w:lang w:val="en-GB" w:eastAsia="en-GB"/>
        </w:rPr>
        <w:drawing>
          <wp:inline distT="0" distB="0" distL="0" distR="0" wp14:anchorId="1F3657F1" wp14:editId="02D88714">
            <wp:extent cx="5758815" cy="2927985"/>
            <wp:effectExtent l="0" t="0" r="1333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
                    <a:srcRect/>
                    <a:stretch>
                      <a:fillRect/>
                    </a:stretch>
                  </pic:blipFill>
                  <pic:spPr>
                    <a:xfrm>
                      <a:off x="0" y="0"/>
                      <a:ext cx="5758815" cy="2927985"/>
                    </a:xfrm>
                    <a:prstGeom prst="rect">
                      <a:avLst/>
                    </a:prstGeom>
                    <a:noFill/>
                    <a:ln w="9525">
                      <a:noFill/>
                      <a:miter lim="800000"/>
                      <a:headEnd/>
                      <a:tailEnd/>
                    </a:ln>
                  </pic:spPr>
                </pic:pic>
              </a:graphicData>
            </a:graphic>
          </wp:inline>
        </w:drawing>
      </w:r>
    </w:p>
    <w:p w14:paraId="6632B4F2" w14:textId="77777777" w:rsidR="00310F6A" w:rsidRDefault="00310F6A" w:rsidP="00310F6A">
      <w:pPr>
        <w:pStyle w:val="NormalWeb"/>
        <w:spacing w:after="120" w:afterAutospacing="0" w:line="480" w:lineRule="auto"/>
        <w:jc w:val="both"/>
        <w:rPr>
          <w:rFonts w:eastAsia="-webkit-standard"/>
          <w:color w:val="000000"/>
        </w:rPr>
      </w:pPr>
      <w:r>
        <w:rPr>
          <w:rFonts w:eastAsia="-webkit-standard"/>
          <w:color w:val="000000"/>
        </w:rPr>
        <w:t>Fig</w:t>
      </w:r>
      <w:r>
        <w:rPr>
          <w:rFonts w:eastAsia="-webkit-standard"/>
          <w:color w:val="000000"/>
          <w:lang w:val="en-GB"/>
        </w:rPr>
        <w:t xml:space="preserve"> </w:t>
      </w:r>
      <w:r>
        <w:rPr>
          <w:rFonts w:eastAsia="-webkit-standard"/>
          <w:color w:val="000000"/>
        </w:rPr>
        <w:t xml:space="preserve">1:  Photomicrograph of the Kidney, stained with Hematoxylin and Eosin (H&amp;E) </w:t>
      </w:r>
      <w:r>
        <w:rPr>
          <w:rFonts w:eastAsia="-webkit-standard"/>
          <w:color w:val="000000"/>
          <w:lang w:val="en-GB"/>
        </w:rPr>
        <w:t>*</w:t>
      </w:r>
      <w:r>
        <w:rPr>
          <w:rFonts w:eastAsia="-webkit-standard"/>
          <w:color w:val="000000"/>
        </w:rPr>
        <w:t xml:space="preserve">100. </w:t>
      </w:r>
    </w:p>
    <w:p w14:paraId="42549BE7" w14:textId="77777777" w:rsidR="00310F6A" w:rsidRDefault="00310F6A" w:rsidP="00310F6A">
      <w:pPr>
        <w:pStyle w:val="NormalWeb"/>
        <w:spacing w:after="120" w:afterAutospacing="0" w:line="480" w:lineRule="auto"/>
        <w:jc w:val="both"/>
        <w:rPr>
          <w:rFonts w:eastAsia="-webkit-standard"/>
          <w:color w:val="000000"/>
        </w:rPr>
      </w:pPr>
      <w:r>
        <w:rPr>
          <w:rFonts w:eastAsia="-webkit-standard"/>
          <w:color w:val="000000"/>
        </w:rPr>
        <w:t>Rats in groups 1, 2, and 3 display a </w:t>
      </w:r>
      <w:r>
        <w:rPr>
          <w:rFonts w:eastAsia="-webkit-standard"/>
          <w:color w:val="000000"/>
          <w:shd w:val="clear" w:color="auto" w:fill="FFFFFF"/>
        </w:rPr>
        <w:t>normal histological structure with glomerulus (G) proximal convoluted tubules (PCT), distal convoluted tubules (DCT) and the urinary space intact. </w:t>
      </w:r>
      <w:r>
        <w:rPr>
          <w:rFonts w:eastAsia="-webkit-standard"/>
          <w:color w:val="000000"/>
        </w:rPr>
        <w:t>Kidney sections of rats in groups 4 and 5 displayed mild </w:t>
      </w:r>
      <w:r>
        <w:rPr>
          <w:rFonts w:eastAsia="-webkit-standard"/>
          <w:color w:val="000000"/>
          <w:shd w:val="clear" w:color="auto" w:fill="FFFFFF"/>
        </w:rPr>
        <w:t>degenerative changes marked by vacuolations in the renal tubule and pyknotic cells (black star). </w:t>
      </w:r>
      <w:r>
        <w:rPr>
          <w:rFonts w:eastAsia="-webkit-standard"/>
          <w:color w:val="000000"/>
        </w:rPr>
        <w:t xml:space="preserve">Rats in group 6 displayed a normal renal cytoarchitecture characterized by </w:t>
      </w:r>
      <w:proofErr w:type="spellStart"/>
      <w:r>
        <w:rPr>
          <w:rFonts w:eastAsia="-webkit-standard"/>
          <w:color w:val="000000"/>
        </w:rPr>
        <w:t>well defined</w:t>
      </w:r>
      <w:proofErr w:type="spellEnd"/>
      <w:r>
        <w:rPr>
          <w:rFonts w:eastAsia="-webkit-standard"/>
          <w:color w:val="000000"/>
        </w:rPr>
        <w:t xml:space="preserve"> glomerulus, urinary space, and tubules. </w:t>
      </w:r>
    </w:p>
    <w:p w14:paraId="42EDCDA7" w14:textId="77777777" w:rsidR="00310F6A" w:rsidRDefault="00310F6A" w:rsidP="00310F6A">
      <w:pPr>
        <w:pStyle w:val="NormalWeb"/>
        <w:spacing w:after="120" w:afterAutospacing="0" w:line="480" w:lineRule="auto"/>
        <w:jc w:val="center"/>
        <w:rPr>
          <w:rFonts w:eastAsia="-webkit-standard"/>
          <w:color w:val="000000"/>
        </w:rPr>
      </w:pPr>
      <w:r>
        <w:rPr>
          <w:rFonts w:eastAsia="-webkit-standard"/>
          <w:noProof/>
          <w:color w:val="000000"/>
          <w:lang w:val="en-GB" w:eastAsia="en-GB"/>
        </w:rPr>
        <w:lastRenderedPageBreak/>
        <w:drawing>
          <wp:inline distT="0" distB="0" distL="0" distR="0" wp14:anchorId="47C2CB87" wp14:editId="1706DBE8">
            <wp:extent cx="5758815" cy="2927985"/>
            <wp:effectExtent l="0" t="0" r="13335" b="5715"/>
            <wp:docPr id="8" name="Picture 8" descr="C:\Users\USER\AppData\Local\Temp\WPDNSE\{39510755-0000-0000-0000-000000000000}\6ee5d1ef8c945809f866915a9c62bd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USER\AppData\Local\Temp\WPDNSE\{39510755-0000-0000-0000-000000000000}\6ee5d1ef8c945809f866915a9c62bd4c"/>
                    <pic:cNvPicPr>
                      <a:picLocks noChangeAspect="1" noChangeArrowheads="1"/>
                    </pic:cNvPicPr>
                  </pic:nvPicPr>
                  <pic:blipFill>
                    <a:blip r:embed="rId8" r:link="rId9"/>
                    <a:srcRect/>
                    <a:stretch>
                      <a:fillRect/>
                    </a:stretch>
                  </pic:blipFill>
                  <pic:spPr>
                    <a:xfrm>
                      <a:off x="0" y="0"/>
                      <a:ext cx="5758815" cy="2927985"/>
                    </a:xfrm>
                    <a:prstGeom prst="rect">
                      <a:avLst/>
                    </a:prstGeom>
                    <a:noFill/>
                    <a:ln w="9525">
                      <a:noFill/>
                      <a:miter lim="800000"/>
                      <a:headEnd/>
                      <a:tailEnd/>
                    </a:ln>
                  </pic:spPr>
                </pic:pic>
              </a:graphicData>
            </a:graphic>
          </wp:inline>
        </w:drawing>
      </w:r>
    </w:p>
    <w:p w14:paraId="37F74640" w14:textId="77777777" w:rsidR="00310F6A" w:rsidRDefault="00310F6A" w:rsidP="00310F6A">
      <w:pPr>
        <w:pStyle w:val="NormalWeb"/>
        <w:spacing w:after="0" w:afterAutospacing="0" w:line="480" w:lineRule="auto"/>
        <w:jc w:val="both"/>
        <w:rPr>
          <w:rFonts w:eastAsia="-webkit-standard"/>
          <w:color w:val="000000"/>
        </w:rPr>
      </w:pPr>
      <w:r>
        <w:rPr>
          <w:rFonts w:eastAsia="-webkit-standard"/>
          <w:color w:val="000000"/>
        </w:rPr>
        <w:t>Fig</w:t>
      </w:r>
      <w:r>
        <w:rPr>
          <w:rFonts w:eastAsia="-webkit-standard"/>
          <w:color w:val="000000"/>
          <w:lang w:val="en-GB"/>
        </w:rPr>
        <w:t xml:space="preserve"> </w:t>
      </w:r>
      <w:r>
        <w:rPr>
          <w:rFonts w:eastAsia="-webkit-standard"/>
          <w:color w:val="000000"/>
        </w:rPr>
        <w:t xml:space="preserve">2    Photomicrograph of the liver, stained with Hematoxylin and Eosin (H&amp;E) X100. </w:t>
      </w:r>
    </w:p>
    <w:p w14:paraId="244EE323" w14:textId="77777777" w:rsidR="00310F6A" w:rsidRDefault="00310F6A" w:rsidP="00310F6A">
      <w:pPr>
        <w:pStyle w:val="NormalWeb"/>
        <w:spacing w:after="0" w:afterAutospacing="0" w:line="480" w:lineRule="auto"/>
        <w:jc w:val="both"/>
        <w:rPr>
          <w:rFonts w:eastAsia="-webkit-standard"/>
          <w:color w:val="000000"/>
        </w:rPr>
      </w:pPr>
      <w:r>
        <w:rPr>
          <w:rFonts w:eastAsia="-webkit-standard"/>
          <w:color w:val="000000"/>
        </w:rPr>
        <w:t>Rats in groups 1 and 2 showed normal hepatic cytoarchitecture </w:t>
      </w:r>
      <w:r>
        <w:rPr>
          <w:rFonts w:eastAsia="-webkit-standard"/>
          <w:color w:val="000000"/>
          <w:shd w:val="clear" w:color="auto" w:fill="FFFFFF"/>
        </w:rPr>
        <w:t>with central vein and surrounding hepatocytes, sinusoids and portal triad consisting of the portal vein, bile duct and hepatic artery. </w:t>
      </w:r>
    </w:p>
    <w:p w14:paraId="016C800C" w14:textId="77777777" w:rsidR="00310F6A" w:rsidRDefault="00310F6A" w:rsidP="00310F6A">
      <w:pPr>
        <w:pStyle w:val="NormalWeb"/>
        <w:spacing w:after="0" w:afterAutospacing="0" w:line="480" w:lineRule="auto"/>
        <w:jc w:val="both"/>
        <w:rPr>
          <w:rFonts w:eastAsia="-webkit-standard"/>
          <w:color w:val="000000"/>
        </w:rPr>
      </w:pPr>
      <w:r>
        <w:rPr>
          <w:rFonts w:eastAsia="-webkit-standard"/>
          <w:color w:val="000000"/>
        </w:rPr>
        <w:t>The liver section of rats in groups 3 and 4 is indicative of mild degenerative changes marked by distended portal vein (red star) with blood sinusoids suggestive of portal inflammation and enlarged sinusoids (black star). </w:t>
      </w:r>
      <w:r>
        <w:rPr>
          <w:rFonts w:eastAsia="-webkit-standard"/>
          <w:color w:val="000000"/>
          <w:shd w:val="clear" w:color="auto" w:fill="FFFFFF"/>
        </w:rPr>
        <w:t>Mild necrotic changes can be observed in the hepatocytes. </w:t>
      </w:r>
      <w:r>
        <w:rPr>
          <w:rFonts w:eastAsia="-webkit-standard"/>
          <w:color w:val="000000"/>
        </w:rPr>
        <w:t>Rats in groups 5 and 6 presented with mild </w:t>
      </w:r>
      <w:r>
        <w:rPr>
          <w:rFonts w:eastAsia="-webkit-standard"/>
          <w:color w:val="000000"/>
          <w:shd w:val="clear" w:color="auto" w:fill="FFFFFF"/>
        </w:rPr>
        <w:t>cytoplasmic vacuolation, and fatty changes of hepatocytes but on a general outlook, the cytoarchitecture appears normal.</w:t>
      </w:r>
    </w:p>
    <w:p w14:paraId="500F7A00" w14:textId="65F9A210" w:rsidR="00310F6A" w:rsidRDefault="00310F6A" w:rsidP="00E6434A">
      <w:pPr>
        <w:pStyle w:val="NormalWeb"/>
        <w:spacing w:after="120" w:afterAutospacing="0" w:line="480" w:lineRule="auto"/>
        <w:jc w:val="both"/>
        <w:rPr>
          <w:rFonts w:eastAsia="-webkit-standard"/>
          <w:color w:val="000000"/>
          <w:shd w:val="clear" w:color="auto" w:fill="FFFFFF"/>
        </w:rPr>
      </w:pPr>
      <w:r>
        <w:rPr>
          <w:rFonts w:eastAsia="-webkit-standard"/>
          <w:color w:val="000000"/>
          <w:shd w:val="clear" w:color="auto" w:fill="FFFFFF"/>
        </w:rPr>
        <w:t>CV=Central vein; S=Sinusoids; H=Hepatocytes; PT=Portal triad</w:t>
      </w:r>
    </w:p>
    <w:p w14:paraId="7CC82ADD" w14:textId="77777777" w:rsidR="00310F6A" w:rsidRDefault="00310F6A" w:rsidP="00310F6A">
      <w:pPr>
        <w:pStyle w:val="NormalWeb"/>
        <w:tabs>
          <w:tab w:val="left" w:pos="7238"/>
          <w:tab w:val="center" w:pos="8070"/>
        </w:tabs>
        <w:spacing w:after="120" w:afterAutospacing="0" w:line="480" w:lineRule="auto"/>
        <w:rPr>
          <w:rFonts w:eastAsia="-webkit-standard"/>
          <w:b/>
          <w:color w:val="000000"/>
          <w:shd w:val="clear" w:color="auto" w:fill="FFFFFF"/>
        </w:rPr>
      </w:pPr>
      <w:r>
        <w:rPr>
          <w:rFonts w:eastAsia="-webkit-standard"/>
          <w:b/>
          <w:color w:val="000000"/>
          <w:shd w:val="clear" w:color="auto" w:fill="FFFFFF"/>
        </w:rPr>
        <w:t xml:space="preserve"> DISCUSSION </w:t>
      </w:r>
    </w:p>
    <w:p w14:paraId="26214A76" w14:textId="7657B168" w:rsidR="00310F6A" w:rsidRDefault="00310F6A" w:rsidP="00310F6A">
      <w:pPr>
        <w:pStyle w:val="NormalWeb"/>
        <w:spacing w:after="120" w:afterAutospacing="0" w:line="480" w:lineRule="auto"/>
        <w:jc w:val="both"/>
        <w:rPr>
          <w:b/>
        </w:rPr>
      </w:pPr>
      <w:r>
        <w:rPr>
          <w:rFonts w:eastAsia="-webkit-standard"/>
          <w:color w:val="000000"/>
          <w:shd w:val="clear" w:color="auto" w:fill="FFFFFF"/>
        </w:rPr>
        <w:t>The study investigated the effect aqueous extract of T.</w:t>
      </w:r>
      <w:r w:rsidR="00E6434A">
        <w:rPr>
          <w:rFonts w:eastAsia="-webkit-standard"/>
          <w:color w:val="000000"/>
          <w:shd w:val="clear" w:color="auto" w:fill="FFFFFF"/>
        </w:rPr>
        <w:t xml:space="preserve"> triangulare on</w:t>
      </w:r>
      <w:r>
        <w:rPr>
          <w:rFonts w:eastAsia="-webkit-standard"/>
          <w:color w:val="000000"/>
          <w:shd w:val="clear" w:color="auto" w:fill="FFFFFF"/>
        </w:rPr>
        <w:t xml:space="preserve"> packed cell volume in females Wistar albino rats. Thirty female albino rats in six groups were used for the study. The </w:t>
      </w:r>
      <w:r>
        <w:rPr>
          <w:rFonts w:eastAsia="-webkit-standard"/>
          <w:color w:val="000000"/>
          <w:shd w:val="clear" w:color="auto" w:fill="FFFFFF"/>
        </w:rPr>
        <w:lastRenderedPageBreak/>
        <w:t xml:space="preserve">groups </w:t>
      </w:r>
      <w:r w:rsidR="0083091A">
        <w:rPr>
          <w:rFonts w:eastAsia="-webkit-standard"/>
          <w:color w:val="000000"/>
          <w:shd w:val="clear" w:color="auto" w:fill="FFFFFF"/>
        </w:rPr>
        <w:t xml:space="preserve">(1-6) </w:t>
      </w:r>
      <w:r>
        <w:rPr>
          <w:rFonts w:eastAsia="-webkit-standard"/>
          <w:color w:val="000000"/>
          <w:shd w:val="clear" w:color="auto" w:fill="FFFFFF"/>
        </w:rPr>
        <w:t>comprised 100mg/kg, 200mg/kg, 300mg/kg and 400mg/kg plant extract, a group on (Bunto blood tonic used to treat anemia), a normal (non-anemic) group. When phenylhydrazine was administered to the various rat groups, anemia was developed by a significant decrease in PCV levels of rats</w:t>
      </w:r>
      <w:r w:rsidR="00781964">
        <w:rPr>
          <w:rFonts w:eastAsia="-webkit-standard"/>
          <w:color w:val="000000"/>
          <w:shd w:val="clear" w:color="auto" w:fill="FFFFFF"/>
        </w:rPr>
        <w:t xml:space="preserve"> (</w:t>
      </w:r>
      <w:proofErr w:type="spellStart"/>
      <w:r w:rsidR="007E67DB">
        <w:rPr>
          <w:rFonts w:eastAsia="-webkit-standard"/>
          <w:color w:val="000000"/>
          <w:shd w:val="clear" w:color="auto" w:fill="FFFFFF"/>
        </w:rPr>
        <w:t>Arbonnier</w:t>
      </w:r>
      <w:proofErr w:type="spellEnd"/>
      <w:r w:rsidR="007E67DB">
        <w:rPr>
          <w:rFonts w:eastAsia="-webkit-standard"/>
          <w:color w:val="000000"/>
          <w:shd w:val="clear" w:color="auto" w:fill="FFFFFF"/>
        </w:rPr>
        <w:t xml:space="preserve">, 2000; </w:t>
      </w:r>
      <w:proofErr w:type="spellStart"/>
      <w:r w:rsidR="00781964">
        <w:rPr>
          <w:rFonts w:eastAsia="-webkit-standard"/>
          <w:color w:val="000000"/>
          <w:shd w:val="clear" w:color="auto" w:fill="FFFFFF"/>
        </w:rPr>
        <w:t>Onyeabo</w:t>
      </w:r>
      <w:proofErr w:type="spellEnd"/>
      <w:r w:rsidR="00781964">
        <w:rPr>
          <w:rFonts w:eastAsia="-webkit-standard"/>
          <w:color w:val="000000"/>
          <w:shd w:val="clear" w:color="auto" w:fill="FFFFFF"/>
        </w:rPr>
        <w:t xml:space="preserve"> et al., 2017)</w:t>
      </w:r>
      <w:r>
        <w:rPr>
          <w:rFonts w:eastAsia="-webkit-standard"/>
          <w:color w:val="000000"/>
          <w:shd w:val="clear" w:color="auto" w:fill="FFFFFF"/>
        </w:rPr>
        <w:t xml:space="preserve">. The primary criteria for determining anemia </w:t>
      </w:r>
      <w:r w:rsidR="0083091A">
        <w:rPr>
          <w:rFonts w:eastAsia="-webkit-standard"/>
          <w:color w:val="000000"/>
          <w:shd w:val="clear" w:color="auto" w:fill="FFFFFF"/>
        </w:rPr>
        <w:t>is</w:t>
      </w:r>
      <w:r>
        <w:rPr>
          <w:rFonts w:eastAsia="-webkit-standard"/>
          <w:color w:val="000000"/>
          <w:shd w:val="clear" w:color="auto" w:fill="FFFFFF"/>
        </w:rPr>
        <w:t xml:space="preserve"> PCV</w:t>
      </w:r>
      <w:r w:rsidR="0083091A">
        <w:rPr>
          <w:rFonts w:eastAsia="-webkit-standard"/>
          <w:color w:val="000000"/>
          <w:shd w:val="clear" w:color="auto" w:fill="FFFFFF"/>
        </w:rPr>
        <w:t>%</w:t>
      </w:r>
      <w:r>
        <w:rPr>
          <w:rFonts w:eastAsia="-webkit-standard"/>
          <w:color w:val="000000"/>
          <w:shd w:val="clear" w:color="auto" w:fill="FFFFFF"/>
        </w:rPr>
        <w:t xml:space="preserve">. </w:t>
      </w:r>
      <w:r w:rsidRPr="0083091A">
        <w:rPr>
          <w:rFonts w:eastAsia="-webkit-standard"/>
          <w:i/>
          <w:iCs/>
          <w:color w:val="000000"/>
          <w:shd w:val="clear" w:color="auto" w:fill="FFFFFF"/>
        </w:rPr>
        <w:t>Talinum triangulare</w:t>
      </w:r>
      <w:r>
        <w:rPr>
          <w:rFonts w:eastAsia="-webkit-standard"/>
          <w:color w:val="000000"/>
          <w:shd w:val="clear" w:color="auto" w:fill="FFFFFF"/>
        </w:rPr>
        <w:t xml:space="preserve"> extract</w:t>
      </w:r>
      <w:r w:rsidR="0083091A">
        <w:rPr>
          <w:rFonts w:eastAsia="-webkit-standard"/>
          <w:color w:val="000000"/>
          <w:shd w:val="clear" w:color="auto" w:fill="FFFFFF"/>
        </w:rPr>
        <w:t xml:space="preserve"> (TTE)</w:t>
      </w:r>
      <w:r>
        <w:rPr>
          <w:rFonts w:eastAsia="-webkit-standard"/>
          <w:color w:val="000000"/>
          <w:shd w:val="clear" w:color="auto" w:fill="FFFFFF"/>
        </w:rPr>
        <w:t xml:space="preserve"> was then given to Wistar rats to observe its effects in comparison to those of other groups given normal saline and Bunto blood tonic. The T</w:t>
      </w:r>
      <w:r w:rsidR="00E6434A">
        <w:rPr>
          <w:rFonts w:eastAsia="-webkit-standard"/>
          <w:color w:val="000000"/>
          <w:shd w:val="clear" w:color="auto" w:fill="FFFFFF"/>
        </w:rPr>
        <w:t>TE</w:t>
      </w:r>
      <w:r>
        <w:rPr>
          <w:rFonts w:eastAsia="-webkit-standard"/>
          <w:color w:val="000000"/>
          <w:shd w:val="clear" w:color="auto" w:fill="FFFFFF"/>
        </w:rPr>
        <w:t xml:space="preserve"> contributed in the faster reversal of the phenylhydrazine induced anemia in rats treated with the extract for four weeks.</w:t>
      </w:r>
      <w:r w:rsidR="00E6434A">
        <w:rPr>
          <w:rFonts w:eastAsia="-webkit-standard"/>
          <w:color w:val="000000"/>
          <w:shd w:val="clear" w:color="auto" w:fill="FFFFFF"/>
        </w:rPr>
        <w:t xml:space="preserve"> Aqueous leaf</w:t>
      </w:r>
      <w:r>
        <w:rPr>
          <w:rFonts w:eastAsia="-webkit-standard"/>
          <w:color w:val="000000"/>
          <w:shd w:val="clear" w:color="auto" w:fill="FFFFFF"/>
        </w:rPr>
        <w:t xml:space="preserve"> extract of T. </w:t>
      </w:r>
      <w:r w:rsidR="00E6434A">
        <w:rPr>
          <w:rFonts w:eastAsia="-webkit-standard"/>
          <w:color w:val="000000"/>
          <w:shd w:val="clear" w:color="auto" w:fill="FFFFFF"/>
        </w:rPr>
        <w:t>triangulare</w:t>
      </w:r>
      <w:r>
        <w:rPr>
          <w:rFonts w:eastAsia="-webkit-standard"/>
          <w:color w:val="000000"/>
          <w:shd w:val="clear" w:color="auto" w:fill="FFFFFF"/>
        </w:rPr>
        <w:t xml:space="preserve"> caused significant increases [p&lt;0.05} in the mean </w:t>
      </w:r>
      <w:r w:rsidR="00E6434A">
        <w:rPr>
          <w:rFonts w:eastAsia="-webkit-standard"/>
          <w:color w:val="000000"/>
          <w:shd w:val="clear" w:color="auto" w:fill="FFFFFF"/>
        </w:rPr>
        <w:t>values of</w:t>
      </w:r>
      <w:r>
        <w:rPr>
          <w:rFonts w:eastAsia="-webkit-standard"/>
          <w:color w:val="000000"/>
          <w:shd w:val="clear" w:color="auto" w:fill="FFFFFF"/>
        </w:rPr>
        <w:t xml:space="preserve"> PCV. This clearly indicate that on day 7 treatment we already record</w:t>
      </w:r>
      <w:r w:rsidR="0083091A">
        <w:rPr>
          <w:rFonts w:eastAsia="-webkit-standard"/>
          <w:color w:val="000000"/>
          <w:shd w:val="clear" w:color="auto" w:fill="FFFFFF"/>
        </w:rPr>
        <w:t>ed</w:t>
      </w:r>
      <w:r>
        <w:rPr>
          <w:rFonts w:eastAsia="-webkit-standard"/>
          <w:color w:val="000000"/>
          <w:shd w:val="clear" w:color="auto" w:fill="FFFFFF"/>
        </w:rPr>
        <w:t xml:space="preserve"> significant changes on PCV even though the treatment lasted for 28 days. A similar result was obtained by </w:t>
      </w:r>
      <w:proofErr w:type="spellStart"/>
      <w:r>
        <w:rPr>
          <w:rFonts w:eastAsia="-webkit-standard"/>
          <w:color w:val="000000"/>
          <w:shd w:val="clear" w:color="auto" w:fill="FFFFFF"/>
        </w:rPr>
        <w:t>Chinko</w:t>
      </w:r>
      <w:proofErr w:type="spellEnd"/>
      <w:r>
        <w:rPr>
          <w:rFonts w:eastAsia="-webkit-standard"/>
          <w:i/>
          <w:iCs/>
          <w:color w:val="000000"/>
          <w:shd w:val="clear" w:color="auto" w:fill="FFFFFF"/>
        </w:rPr>
        <w:t xml:space="preserve"> et al,</w:t>
      </w:r>
      <w:r w:rsidR="00E6434A">
        <w:rPr>
          <w:rFonts w:eastAsia="-webkit-standard"/>
          <w:i/>
          <w:iCs/>
          <w:color w:val="000000"/>
          <w:shd w:val="clear" w:color="auto" w:fill="FFFFFF"/>
        </w:rPr>
        <w:t xml:space="preserve"> </w:t>
      </w:r>
      <w:r>
        <w:rPr>
          <w:rFonts w:eastAsia="-webkit-standard"/>
          <w:i/>
          <w:iCs/>
          <w:color w:val="000000"/>
          <w:shd w:val="clear" w:color="auto" w:fill="FFFFFF"/>
        </w:rPr>
        <w:t xml:space="preserve">(2020), </w:t>
      </w:r>
      <w:r>
        <w:rPr>
          <w:rFonts w:eastAsia="-webkit-standard"/>
          <w:color w:val="000000"/>
          <w:shd w:val="clear" w:color="auto" w:fill="FFFFFF"/>
        </w:rPr>
        <w:t xml:space="preserve">whose work showed a dose dependent anti-anemia property of that treatment with </w:t>
      </w:r>
      <w:r w:rsidRPr="00310F6A">
        <w:rPr>
          <w:rFonts w:eastAsia="-webkit-standard"/>
          <w:i/>
          <w:iCs/>
          <w:color w:val="000000"/>
          <w:shd w:val="clear" w:color="auto" w:fill="FFFFFF"/>
        </w:rPr>
        <w:t xml:space="preserve">Tectona grandis, T. occidentals </w:t>
      </w:r>
      <w:r w:rsidRPr="00310F6A">
        <w:rPr>
          <w:rFonts w:eastAsia="-webkit-standard"/>
          <w:color w:val="000000"/>
          <w:shd w:val="clear" w:color="auto" w:fill="FFFFFF"/>
        </w:rPr>
        <w:t>and</w:t>
      </w:r>
      <w:r w:rsidRPr="00310F6A">
        <w:rPr>
          <w:rFonts w:eastAsia="-webkit-standard"/>
          <w:i/>
          <w:iCs/>
          <w:color w:val="000000"/>
          <w:shd w:val="clear" w:color="auto" w:fill="FFFFFF"/>
        </w:rPr>
        <w:t xml:space="preserve"> A. </w:t>
      </w:r>
      <w:r w:rsidR="00E6434A" w:rsidRPr="00310F6A">
        <w:rPr>
          <w:rFonts w:eastAsia="-webkit-standard"/>
          <w:i/>
          <w:iCs/>
          <w:color w:val="000000"/>
          <w:shd w:val="clear" w:color="auto" w:fill="FFFFFF"/>
        </w:rPr>
        <w:t>hybridus</w:t>
      </w:r>
      <w:r w:rsidR="00E6434A">
        <w:rPr>
          <w:rFonts w:eastAsia="-webkit-standard"/>
          <w:color w:val="000000"/>
          <w:shd w:val="clear" w:color="auto" w:fill="FFFFFF"/>
        </w:rPr>
        <w:t>, medicinal</w:t>
      </w:r>
      <w:r>
        <w:rPr>
          <w:rFonts w:eastAsia="-webkit-standard"/>
          <w:color w:val="000000"/>
          <w:shd w:val="clear" w:color="auto" w:fill="FFFFFF"/>
        </w:rPr>
        <w:t xml:space="preserve"> plants used in their region to treat anemia.</w:t>
      </w:r>
    </w:p>
    <w:p w14:paraId="6632532D" w14:textId="43C5929C" w:rsidR="00310F6A" w:rsidRDefault="00310F6A" w:rsidP="00310F6A">
      <w:pPr>
        <w:pStyle w:val="NormalWeb"/>
        <w:spacing w:after="120" w:afterAutospacing="0" w:line="480" w:lineRule="auto"/>
        <w:jc w:val="both"/>
      </w:pPr>
      <w:r>
        <w:t>Histological examination of the liver and kidney revealed some changes in both organs of the treated groups.</w:t>
      </w:r>
      <w:r>
        <w:rPr>
          <w:lang w:val="en-GB"/>
        </w:rPr>
        <w:t xml:space="preserve"> </w:t>
      </w:r>
      <w:r>
        <w:t xml:space="preserve">The effect of </w:t>
      </w:r>
      <w:r w:rsidR="00E6434A">
        <w:t>Triangulare</w:t>
      </w:r>
      <w:r>
        <w:t xml:space="preserve"> on histopathology examinations of kidney tissues in phenylhydrazine induced anemic rats. Kidney of rats in groups 1,2 and 3 showed a normal histopathology structure with glomerulus (G) proximal convoluted tubules (PCT), distal convoluted tubules (DCT) and the urinary space intact (fig 1).</w:t>
      </w:r>
    </w:p>
    <w:p w14:paraId="33ADDC09" w14:textId="5E6EE3FC" w:rsidR="00310F6A" w:rsidRDefault="00310F6A" w:rsidP="00310F6A">
      <w:pPr>
        <w:pStyle w:val="NormalWeb"/>
        <w:spacing w:after="120" w:afterAutospacing="0" w:line="480" w:lineRule="auto"/>
        <w:jc w:val="both"/>
      </w:pPr>
      <w:r>
        <w:t xml:space="preserve">Meanwhile, kidney of rats from groups 4 and 5 revealed mild degenerative vacuolation in renal tubules and pyknotic cells (fig 2). Rats in group 6 displayed a normal renal cytoarchitecture with well-defined glomerulus, urinary space, and tubules. Previous studies have reported that the kidney section obtained from a rat treated with phenylhydrazine showed histological changes which </w:t>
      </w:r>
      <w:r>
        <w:lastRenderedPageBreak/>
        <w:t>include degenerative vacuolation and normal renal cytoarchitecture defined glomerulus, urinary space and tubules</w:t>
      </w:r>
      <w:r w:rsidR="0052265F">
        <w:t xml:space="preserve"> (</w:t>
      </w:r>
      <w:proofErr w:type="spellStart"/>
      <w:r w:rsidR="0052265F">
        <w:t>Turaskar</w:t>
      </w:r>
      <w:proofErr w:type="spellEnd"/>
      <w:r w:rsidR="0052265F">
        <w:t>, 2013</w:t>
      </w:r>
      <w:r w:rsidR="007E67DB">
        <w:t xml:space="preserve">; </w:t>
      </w:r>
      <w:proofErr w:type="spellStart"/>
      <w:r w:rsidR="007E67DB">
        <w:t>Arshish</w:t>
      </w:r>
      <w:proofErr w:type="spellEnd"/>
      <w:r w:rsidR="007E67DB">
        <w:t xml:space="preserve"> et al., 2013</w:t>
      </w:r>
      <w:r w:rsidR="0052265F">
        <w:t>)</w:t>
      </w:r>
      <w:r w:rsidR="007E67DB">
        <w:t>.</w:t>
      </w:r>
    </w:p>
    <w:p w14:paraId="2FDF1452" w14:textId="32A78866" w:rsidR="00310F6A" w:rsidRDefault="00310F6A" w:rsidP="00310F6A">
      <w:pPr>
        <w:pStyle w:val="NormalWeb"/>
        <w:spacing w:after="120" w:afterAutospacing="0" w:line="480" w:lineRule="auto"/>
        <w:jc w:val="both"/>
      </w:pPr>
      <w:r>
        <w:t>The effect of T.</w:t>
      </w:r>
      <w:r w:rsidR="003E2684">
        <w:t xml:space="preserve"> </w:t>
      </w:r>
      <w:r>
        <w:t>triangulare</w:t>
      </w:r>
      <w:r w:rsidR="00E6434A">
        <w:t xml:space="preserve"> extract</w:t>
      </w:r>
      <w:r>
        <w:t xml:space="preserve"> on histopathology examinations of liver tissues in phenylhydrazine induced anemic rats. A normal hepatic cytoarchitecture was observed in group 1 and 2(fi</w:t>
      </w:r>
      <w:r>
        <w:rPr>
          <w:lang w:val="en-GB"/>
        </w:rPr>
        <w:t xml:space="preserve">g. </w:t>
      </w:r>
      <w:r>
        <w:t>1). Groups 3 and 4 showed histological changes in the liver not similar to the control group (fig 2). However, degenerative changes in the liver tissue of anemic rats were seen including mild necrotic of hepatocytes (fig</w:t>
      </w:r>
      <w:r>
        <w:rPr>
          <w:lang w:val="en-GB"/>
        </w:rPr>
        <w:t xml:space="preserve"> </w:t>
      </w:r>
      <w:r>
        <w:t>2). Mild cytoplasmic vacuolation and fatty changes of hepatocytes appears normal cytoarchitecture in rats in group 5 and 6.</w:t>
      </w:r>
      <w:r>
        <w:rPr>
          <w:lang w:val="en-GB"/>
        </w:rPr>
        <w:t xml:space="preserve"> </w:t>
      </w:r>
      <w:r>
        <w:t>The liver is a complex and vital organ in the body. It exerts many pivotal functions in maintenance, performance, regulating homeostasis of the body, xenobiotic metabolism, and detoxification. Because the liver is the first site of contact for different types of therapeutic drugs, xenobiotics, and toxins, this organ is vulnerable to chemical-induced injuries.</w:t>
      </w:r>
      <w:r w:rsidR="00C179CD">
        <w:t xml:space="preserve">  T. triangulare has shown in the past to ameliorate changes in liver for example following administration of MSG (Monosodium glutamate), (Nwakanma et al., 2021).</w:t>
      </w:r>
    </w:p>
    <w:p w14:paraId="1C1B5978" w14:textId="680FF7D4" w:rsidR="00310F6A" w:rsidRDefault="00310F6A" w:rsidP="00310F6A">
      <w:pPr>
        <w:widowControl/>
        <w:spacing w:line="480" w:lineRule="auto"/>
        <w:rPr>
          <w:rFonts w:ascii="Times New Roman" w:hAnsi="Times New Roman"/>
          <w:sz w:val="24"/>
        </w:rPr>
      </w:pPr>
      <w:r>
        <w:rPr>
          <w:rFonts w:ascii="Times New Roman" w:hAnsi="Times New Roman"/>
          <w:sz w:val="24"/>
        </w:rPr>
        <w:t xml:space="preserve">Histopathological findings of liver and kidney tissues in Wistar rats showed mild necrotic changes in the hepatocytes, mild degenerative change with mild cytoplasmic vacuolation and a </w:t>
      </w:r>
      <w:r w:rsidR="00E6434A">
        <w:rPr>
          <w:rFonts w:ascii="Times New Roman" w:hAnsi="Times New Roman"/>
          <w:sz w:val="24"/>
        </w:rPr>
        <w:t>fatty change of hepatocytes</w:t>
      </w:r>
      <w:r>
        <w:rPr>
          <w:rFonts w:ascii="Times New Roman" w:hAnsi="Times New Roman"/>
          <w:sz w:val="24"/>
        </w:rPr>
        <w:t xml:space="preserve"> in PHZ-treated rats.</w:t>
      </w:r>
    </w:p>
    <w:p w14:paraId="6044159A" w14:textId="7BC1FEEA" w:rsidR="00310F6A" w:rsidRDefault="00310F6A" w:rsidP="00310F6A">
      <w:pPr>
        <w:widowControl/>
        <w:spacing w:line="480" w:lineRule="auto"/>
        <w:rPr>
          <w:rFonts w:ascii="Times New Roman" w:hAnsi="Times New Roman"/>
          <w:b/>
          <w:bCs/>
          <w:color w:val="222222"/>
          <w:kern w:val="0"/>
          <w:sz w:val="24"/>
        </w:rPr>
      </w:pPr>
      <w:r>
        <w:rPr>
          <w:rFonts w:ascii="Times New Roman" w:hAnsi="Times New Roman"/>
          <w:sz w:val="24"/>
        </w:rPr>
        <w:t>In support of our findings, mild degenerative and fatty changes have also been reported in the liver and tissues of rats exposed to PHZ.</w:t>
      </w:r>
      <w:r w:rsidR="00C179CD">
        <w:rPr>
          <w:rFonts w:ascii="Times New Roman" w:hAnsi="Times New Roman"/>
          <w:sz w:val="24"/>
        </w:rPr>
        <w:t xml:space="preserve"> </w:t>
      </w:r>
    </w:p>
    <w:p w14:paraId="2EFD99F3" w14:textId="77777777" w:rsidR="00310F6A" w:rsidRDefault="00310F6A" w:rsidP="00310F6A">
      <w:pPr>
        <w:widowControl/>
        <w:spacing w:line="480" w:lineRule="auto"/>
        <w:rPr>
          <w:rFonts w:ascii="Times New Roman" w:hAnsi="Times New Roman"/>
          <w:b/>
          <w:bCs/>
          <w:color w:val="222222"/>
          <w:kern w:val="0"/>
          <w:sz w:val="24"/>
        </w:rPr>
      </w:pPr>
    </w:p>
    <w:p w14:paraId="5207D36C" w14:textId="77777777" w:rsidR="00310F6A" w:rsidRDefault="00310F6A" w:rsidP="00310F6A">
      <w:pPr>
        <w:widowControl/>
        <w:spacing w:line="480" w:lineRule="auto"/>
        <w:rPr>
          <w:rFonts w:ascii="Times New Roman" w:hAnsi="Times New Roman"/>
          <w:b/>
          <w:bCs/>
          <w:color w:val="222222"/>
          <w:kern w:val="0"/>
          <w:sz w:val="24"/>
        </w:rPr>
      </w:pPr>
      <w:r>
        <w:rPr>
          <w:rFonts w:ascii="Times New Roman" w:hAnsi="Times New Roman"/>
          <w:b/>
          <w:bCs/>
          <w:color w:val="222222"/>
          <w:kern w:val="0"/>
          <w:sz w:val="24"/>
        </w:rPr>
        <w:t xml:space="preserve">CONCLUSION </w:t>
      </w:r>
    </w:p>
    <w:p w14:paraId="1146AF67" w14:textId="63A9080C" w:rsidR="00310F6A" w:rsidRDefault="00310F6A" w:rsidP="00310F6A">
      <w:pPr>
        <w:widowControl/>
        <w:spacing w:line="480" w:lineRule="auto"/>
        <w:rPr>
          <w:rFonts w:ascii="Times New Roman" w:hAnsi="Times New Roman"/>
          <w:sz w:val="24"/>
        </w:rPr>
      </w:pPr>
      <w:r>
        <w:rPr>
          <w:rFonts w:ascii="Times New Roman" w:hAnsi="Times New Roman"/>
          <w:color w:val="222222"/>
          <w:kern w:val="0"/>
          <w:sz w:val="24"/>
        </w:rPr>
        <w:t xml:space="preserve">The study evaluated the anemic potential of Talinum triangulare aqueous extract on PCV of female Wistar rats induced with phenyl hydrazine. The results of the study may have implications for the </w:t>
      </w:r>
      <w:r>
        <w:rPr>
          <w:rFonts w:ascii="Times New Roman" w:hAnsi="Times New Roman"/>
          <w:color w:val="222222"/>
          <w:kern w:val="0"/>
          <w:sz w:val="24"/>
        </w:rPr>
        <w:lastRenderedPageBreak/>
        <w:t xml:space="preserve">potential use of </w:t>
      </w:r>
      <w:r w:rsidRPr="00310F6A">
        <w:rPr>
          <w:rFonts w:ascii="Times New Roman" w:hAnsi="Times New Roman"/>
          <w:i/>
          <w:iCs/>
          <w:color w:val="222222"/>
          <w:kern w:val="0"/>
          <w:sz w:val="24"/>
        </w:rPr>
        <w:t>Talinum triangulare</w:t>
      </w:r>
      <w:r>
        <w:rPr>
          <w:rFonts w:ascii="Times New Roman" w:hAnsi="Times New Roman"/>
          <w:color w:val="222222"/>
          <w:kern w:val="0"/>
          <w:sz w:val="24"/>
        </w:rPr>
        <w:t xml:space="preserve"> as a treatment of anemia, while showing varied degrees of efficacy after treatment. </w:t>
      </w:r>
    </w:p>
    <w:p w14:paraId="5FC3BBBD" w14:textId="77777777" w:rsidR="00310F6A" w:rsidRDefault="00310F6A" w:rsidP="00310F6A">
      <w:pPr>
        <w:pStyle w:val="NormalWeb"/>
        <w:spacing w:after="180" w:afterAutospacing="0" w:line="480" w:lineRule="auto"/>
        <w:jc w:val="both"/>
        <w:rPr>
          <w:rFonts w:eastAsia="-webkit-standard"/>
          <w:b/>
          <w:bCs/>
          <w:color w:val="222222"/>
          <w:shd w:val="clear" w:color="auto" w:fill="FFFFFF"/>
        </w:rPr>
      </w:pPr>
      <w:r>
        <w:rPr>
          <w:rFonts w:eastAsia="-webkit-standard"/>
          <w:b/>
          <w:bCs/>
          <w:color w:val="222222"/>
          <w:shd w:val="clear" w:color="auto" w:fill="FFFFFF"/>
        </w:rPr>
        <w:t xml:space="preserve"> RECOMMENDATION</w:t>
      </w:r>
    </w:p>
    <w:p w14:paraId="730619C6" w14:textId="77777777" w:rsidR="00310F6A" w:rsidRDefault="00310F6A" w:rsidP="00310F6A">
      <w:pPr>
        <w:pStyle w:val="NormalWeb"/>
        <w:numPr>
          <w:ilvl w:val="0"/>
          <w:numId w:val="1"/>
        </w:numPr>
        <w:spacing w:after="180" w:afterAutospacing="0" w:line="480" w:lineRule="auto"/>
        <w:jc w:val="both"/>
      </w:pPr>
      <w:r>
        <w:t xml:space="preserve">It will be of great interest to see what happens when </w:t>
      </w:r>
      <w:proofErr w:type="spellStart"/>
      <w:r>
        <w:rPr>
          <w:i/>
        </w:rPr>
        <w:t>Talinium</w:t>
      </w:r>
      <w:proofErr w:type="spellEnd"/>
      <w:r>
        <w:rPr>
          <w:i/>
        </w:rPr>
        <w:t xml:space="preserve">  </w:t>
      </w:r>
      <w:proofErr w:type="spellStart"/>
      <w:r>
        <w:rPr>
          <w:i/>
        </w:rPr>
        <w:t>triangulare</w:t>
      </w:r>
      <w:proofErr w:type="spellEnd"/>
      <w:r>
        <w:t xml:space="preserve"> is combined with another plant extract in order to alleviate anemia.</w:t>
      </w:r>
    </w:p>
    <w:p w14:paraId="4C17B225" w14:textId="77777777" w:rsidR="00310F6A" w:rsidRDefault="00310F6A" w:rsidP="00310F6A">
      <w:pPr>
        <w:pStyle w:val="NormalWeb"/>
        <w:numPr>
          <w:ilvl w:val="0"/>
          <w:numId w:val="1"/>
        </w:numPr>
        <w:spacing w:after="180" w:afterAutospacing="0" w:line="480" w:lineRule="auto"/>
        <w:jc w:val="both"/>
      </w:pPr>
      <w:r>
        <w:t xml:space="preserve">It is important to note that further research is needed to determine the safety and effectiveness of using this plant extract for medicinal purposes in humans. </w:t>
      </w:r>
    </w:p>
    <w:p w14:paraId="441A20F7" w14:textId="77777777" w:rsidR="00310F6A" w:rsidRPr="004B2CE0" w:rsidRDefault="00310F6A" w:rsidP="00310F6A">
      <w:pPr>
        <w:pStyle w:val="NormalWeb"/>
        <w:numPr>
          <w:ilvl w:val="0"/>
          <w:numId w:val="1"/>
        </w:numPr>
        <w:spacing w:after="180" w:afterAutospacing="0" w:line="480" w:lineRule="auto"/>
        <w:jc w:val="both"/>
        <w:rPr>
          <w:rFonts w:eastAsia="-webkit-standard"/>
          <w:b/>
          <w:bCs/>
          <w:i/>
          <w:iCs/>
          <w:color w:val="222222"/>
          <w:shd w:val="clear" w:color="auto" w:fill="FFFFFF"/>
        </w:rPr>
      </w:pPr>
      <w:r>
        <w:t xml:space="preserve">However the study supports the therapeutic use of </w:t>
      </w:r>
      <w:r w:rsidRPr="00781964">
        <w:rPr>
          <w:i/>
          <w:iCs/>
        </w:rPr>
        <w:t>Talinum triangulare</w:t>
      </w:r>
      <w:r>
        <w:t xml:space="preserve"> plant for the treatment of anemia and further studies are necessary for the screening of its hepatoprotective properties alongside mechanism of action. </w:t>
      </w:r>
    </w:p>
    <w:p w14:paraId="396F704F" w14:textId="77777777" w:rsidR="00310F6A" w:rsidRPr="00005ED1" w:rsidRDefault="00310F6A" w:rsidP="00310F6A">
      <w:pPr>
        <w:pStyle w:val="NoSpacing"/>
        <w:numPr>
          <w:ilvl w:val="0"/>
          <w:numId w:val="1"/>
        </w:numPr>
        <w:rPr>
          <w:rFonts w:ascii="Arial" w:hAnsi="Arial" w:cs="Arial"/>
          <w:highlight w:val="yellow"/>
        </w:rPr>
      </w:pPr>
      <w:bookmarkStart w:id="0" w:name="_Hlk198031404"/>
      <w:r w:rsidRPr="00005ED1">
        <w:rPr>
          <w:rFonts w:ascii="Arial" w:hAnsi="Arial" w:cs="Arial"/>
          <w:highlight w:val="yellow"/>
        </w:rPr>
        <w:t>Disclaimer (Artificial intelligence)</w:t>
      </w:r>
    </w:p>
    <w:p w14:paraId="0334529B" w14:textId="77777777" w:rsidR="00310F6A" w:rsidRPr="00005ED1" w:rsidRDefault="00310F6A" w:rsidP="00310F6A">
      <w:pPr>
        <w:pStyle w:val="NoSpacing"/>
        <w:numPr>
          <w:ilvl w:val="0"/>
          <w:numId w:val="1"/>
        </w:numPr>
        <w:rPr>
          <w:rFonts w:ascii="Arial" w:hAnsi="Arial" w:cs="Arial"/>
          <w:highlight w:val="yellow"/>
        </w:rPr>
      </w:pPr>
    </w:p>
    <w:p w14:paraId="0951B7DD" w14:textId="77777777" w:rsidR="00310F6A" w:rsidRPr="00005ED1" w:rsidRDefault="00310F6A" w:rsidP="00310F6A">
      <w:pPr>
        <w:pStyle w:val="NoSpacing"/>
        <w:numPr>
          <w:ilvl w:val="0"/>
          <w:numId w:val="1"/>
        </w:numPr>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09E69B76" w14:textId="77777777" w:rsidR="00310F6A" w:rsidRPr="003E2684" w:rsidRDefault="00310F6A" w:rsidP="003E2684">
      <w:pPr>
        <w:pStyle w:val="NoSpacing"/>
        <w:ind w:left="720"/>
        <w:rPr>
          <w:rFonts w:ascii="Arial" w:hAnsi="Arial" w:cs="Arial"/>
        </w:rPr>
      </w:pPr>
    </w:p>
    <w:p w14:paraId="6EE6BA42" w14:textId="77777777" w:rsidR="00310F6A" w:rsidRDefault="00310F6A" w:rsidP="00310F6A">
      <w:pPr>
        <w:pStyle w:val="NormalWeb"/>
        <w:spacing w:after="180" w:afterAutospacing="0" w:line="480" w:lineRule="auto"/>
        <w:jc w:val="both"/>
        <w:rPr>
          <w:rFonts w:eastAsia="-webkit-standard"/>
          <w:b/>
          <w:bCs/>
          <w:iCs/>
          <w:color w:val="222222"/>
          <w:shd w:val="clear" w:color="auto" w:fill="FFFFFF"/>
        </w:rPr>
      </w:pPr>
      <w:r>
        <w:rPr>
          <w:rFonts w:eastAsia="-webkit-standard"/>
          <w:b/>
          <w:bCs/>
          <w:iCs/>
          <w:color w:val="222222"/>
          <w:shd w:val="clear" w:color="auto" w:fill="FFFFFF"/>
        </w:rPr>
        <w:t xml:space="preserve">REFERENCES </w:t>
      </w:r>
    </w:p>
    <w:p w14:paraId="7223B6DA" w14:textId="7B9428DC" w:rsidR="003E2684" w:rsidRPr="003E2684" w:rsidRDefault="003E2684" w:rsidP="002E7E6D">
      <w:pPr>
        <w:pStyle w:val="NormalWeb"/>
        <w:numPr>
          <w:ilvl w:val="0"/>
          <w:numId w:val="2"/>
        </w:numPr>
        <w:spacing w:after="180" w:afterAutospacing="0" w:line="480" w:lineRule="auto"/>
        <w:jc w:val="both"/>
        <w:rPr>
          <w:rFonts w:eastAsia="-webkit-standard"/>
          <w:iCs/>
          <w:color w:val="222222"/>
          <w:shd w:val="clear" w:color="auto" w:fill="FFFFFF"/>
        </w:rPr>
      </w:pPr>
      <w:bookmarkStart w:id="1" w:name="_GoBack"/>
      <w:proofErr w:type="spellStart"/>
      <w:r w:rsidRPr="003E2684">
        <w:rPr>
          <w:rFonts w:eastAsia="-webkit-standard"/>
          <w:iCs/>
          <w:color w:val="222222"/>
          <w:shd w:val="clear" w:color="auto" w:fill="FFFFFF"/>
        </w:rPr>
        <w:t>Adewuyi</w:t>
      </w:r>
      <w:proofErr w:type="spellEnd"/>
      <w:r w:rsidRPr="003E2684">
        <w:rPr>
          <w:rFonts w:eastAsia="-webkit-standard"/>
          <w:iCs/>
          <w:color w:val="222222"/>
          <w:shd w:val="clear" w:color="auto" w:fill="FFFFFF"/>
        </w:rPr>
        <w:t xml:space="preserve"> HA</w:t>
      </w:r>
      <w:r w:rsidR="00A6511C">
        <w:rPr>
          <w:rFonts w:eastAsia="-webkit-standard"/>
          <w:iCs/>
          <w:color w:val="222222"/>
          <w:shd w:val="clear" w:color="auto" w:fill="FFFFFF"/>
        </w:rPr>
        <w:t>,</w:t>
      </w:r>
      <w:r w:rsidRPr="003E2684">
        <w:rPr>
          <w:rFonts w:eastAsia="-webkit-standard"/>
          <w:iCs/>
          <w:color w:val="222222"/>
          <w:shd w:val="clear" w:color="auto" w:fill="FFFFFF"/>
        </w:rPr>
        <w:t xml:space="preserve"> </w:t>
      </w:r>
      <w:proofErr w:type="spellStart"/>
      <w:r w:rsidRPr="003E2684">
        <w:rPr>
          <w:rFonts w:eastAsia="-webkit-standard"/>
          <w:iCs/>
          <w:color w:val="222222"/>
          <w:shd w:val="clear" w:color="auto" w:fill="FFFFFF"/>
        </w:rPr>
        <w:t>Oluwadepo</w:t>
      </w:r>
      <w:proofErr w:type="spellEnd"/>
      <w:r w:rsidRPr="003E2684">
        <w:rPr>
          <w:rFonts w:eastAsia="-webkit-standard"/>
          <w:iCs/>
          <w:color w:val="222222"/>
          <w:shd w:val="clear" w:color="auto" w:fill="FFFFFF"/>
        </w:rPr>
        <w:t xml:space="preserve"> TJ</w:t>
      </w:r>
      <w:r w:rsidR="00A6511C">
        <w:rPr>
          <w:rFonts w:eastAsia="-webkit-standard"/>
          <w:iCs/>
          <w:color w:val="222222"/>
          <w:shd w:val="clear" w:color="auto" w:fill="FFFFFF"/>
        </w:rPr>
        <w:t>,</w:t>
      </w:r>
      <w:r w:rsidR="00753F25" w:rsidRPr="003E2684">
        <w:rPr>
          <w:rFonts w:eastAsia="-webkit-standard"/>
          <w:iCs/>
          <w:color w:val="222222"/>
          <w:shd w:val="clear" w:color="auto" w:fill="FFFFFF"/>
        </w:rPr>
        <w:t xml:space="preserve"> </w:t>
      </w:r>
      <w:proofErr w:type="spellStart"/>
      <w:r w:rsidR="00753F25" w:rsidRPr="003E2684">
        <w:rPr>
          <w:rFonts w:eastAsia="-webkit-standard"/>
          <w:iCs/>
          <w:color w:val="222222"/>
          <w:shd w:val="clear" w:color="auto" w:fill="FFFFFF"/>
        </w:rPr>
        <w:t>Zephania</w:t>
      </w:r>
      <w:proofErr w:type="spellEnd"/>
      <w:r w:rsidRPr="003E2684">
        <w:rPr>
          <w:rFonts w:eastAsia="-webkit-standard"/>
          <w:iCs/>
          <w:color w:val="222222"/>
          <w:shd w:val="clear" w:color="auto" w:fill="FFFFFF"/>
        </w:rPr>
        <w:t>, JC</w:t>
      </w:r>
      <w:r w:rsidR="00A6511C">
        <w:rPr>
          <w:rFonts w:eastAsia="-webkit-standard"/>
          <w:iCs/>
          <w:color w:val="222222"/>
          <w:shd w:val="clear" w:color="auto" w:fill="FFFFFF"/>
        </w:rPr>
        <w:t>,</w:t>
      </w:r>
      <w:r w:rsidRPr="003E2684">
        <w:rPr>
          <w:rFonts w:eastAsia="-webkit-standard"/>
          <w:iCs/>
          <w:color w:val="222222"/>
          <w:shd w:val="clear" w:color="auto" w:fill="FFFFFF"/>
        </w:rPr>
        <w:t xml:space="preserve"> Ibraheem, A</w:t>
      </w:r>
      <w:r w:rsidR="00A6511C">
        <w:rPr>
          <w:rFonts w:eastAsia="-webkit-standard"/>
          <w:iCs/>
          <w:color w:val="222222"/>
          <w:shd w:val="clear" w:color="auto" w:fill="FFFFFF"/>
        </w:rPr>
        <w:t>,</w:t>
      </w:r>
      <w:r w:rsidRPr="003E2684">
        <w:rPr>
          <w:rFonts w:eastAsia="-webkit-standard"/>
          <w:iCs/>
          <w:color w:val="222222"/>
          <w:shd w:val="clear" w:color="auto" w:fill="FFFFFF"/>
        </w:rPr>
        <w:t xml:space="preserve"> Ajibola AC</w:t>
      </w:r>
      <w:r w:rsidR="00A6511C">
        <w:rPr>
          <w:rFonts w:eastAsia="-webkit-standard"/>
          <w:iCs/>
          <w:color w:val="222222"/>
          <w:shd w:val="clear" w:color="auto" w:fill="FFFFFF"/>
        </w:rPr>
        <w:t>,</w:t>
      </w:r>
      <w:r w:rsidRPr="003E2684">
        <w:rPr>
          <w:rFonts w:eastAsia="-webkit-standard"/>
          <w:iCs/>
          <w:color w:val="222222"/>
          <w:shd w:val="clear" w:color="auto" w:fill="FFFFFF"/>
        </w:rPr>
        <w:t xml:space="preserve"> </w:t>
      </w:r>
      <w:proofErr w:type="spellStart"/>
      <w:r w:rsidRPr="003E2684">
        <w:rPr>
          <w:rFonts w:eastAsia="-webkit-standard"/>
          <w:iCs/>
          <w:color w:val="222222"/>
          <w:shd w:val="clear" w:color="auto" w:fill="FFFFFF"/>
        </w:rPr>
        <w:t>Chijioke</w:t>
      </w:r>
      <w:proofErr w:type="spellEnd"/>
      <w:r w:rsidRPr="003E2684">
        <w:rPr>
          <w:rFonts w:eastAsia="-webkit-standard"/>
          <w:iCs/>
          <w:color w:val="222222"/>
          <w:shd w:val="clear" w:color="auto" w:fill="FFFFFF"/>
        </w:rPr>
        <w:t xml:space="preserve"> AK</w:t>
      </w:r>
      <w:r w:rsidR="00A6511C">
        <w:rPr>
          <w:rFonts w:eastAsia="-webkit-standard"/>
          <w:iCs/>
          <w:color w:val="222222"/>
          <w:shd w:val="clear" w:color="auto" w:fill="FFFFFF"/>
        </w:rPr>
        <w:t>,</w:t>
      </w:r>
      <w:r w:rsidRPr="003E2684">
        <w:rPr>
          <w:rFonts w:eastAsia="-webkit-standard"/>
          <w:iCs/>
          <w:color w:val="222222"/>
          <w:shd w:val="clear" w:color="auto" w:fill="FFFFFF"/>
        </w:rPr>
        <w:t xml:space="preserve"> </w:t>
      </w:r>
      <w:proofErr w:type="spellStart"/>
      <w:r w:rsidRPr="003E2684">
        <w:rPr>
          <w:rFonts w:eastAsia="-webkit-standard"/>
          <w:iCs/>
          <w:color w:val="222222"/>
          <w:shd w:val="clear" w:color="auto" w:fill="FFFFFF"/>
        </w:rPr>
        <w:t>Aladesanmi</w:t>
      </w:r>
      <w:proofErr w:type="spellEnd"/>
      <w:r w:rsidRPr="003E2684">
        <w:rPr>
          <w:rFonts w:eastAsia="-webkit-standard"/>
          <w:iCs/>
          <w:color w:val="222222"/>
          <w:shd w:val="clear" w:color="auto" w:fill="FFFFFF"/>
        </w:rPr>
        <w:t xml:space="preserve">, TM. 2025. Standardized Method </w:t>
      </w:r>
      <w:r>
        <w:rPr>
          <w:rFonts w:eastAsia="-webkit-standard"/>
          <w:iCs/>
          <w:color w:val="222222"/>
          <w:shd w:val="clear" w:color="auto" w:fill="FFFFFF"/>
        </w:rPr>
        <w:t>f</w:t>
      </w:r>
      <w:r w:rsidRPr="003E2684">
        <w:rPr>
          <w:rFonts w:eastAsia="-webkit-standard"/>
          <w:iCs/>
          <w:color w:val="222222"/>
          <w:shd w:val="clear" w:color="auto" w:fill="FFFFFF"/>
        </w:rPr>
        <w:t xml:space="preserve">or Evaluating Plant Extracts </w:t>
      </w:r>
      <w:r>
        <w:rPr>
          <w:rFonts w:eastAsia="-webkit-standard"/>
          <w:iCs/>
          <w:color w:val="222222"/>
          <w:shd w:val="clear" w:color="auto" w:fill="FFFFFF"/>
        </w:rPr>
        <w:t>f</w:t>
      </w:r>
      <w:r w:rsidRPr="003E2684">
        <w:rPr>
          <w:rFonts w:eastAsia="-webkit-standard"/>
          <w:iCs/>
          <w:color w:val="222222"/>
          <w:shd w:val="clear" w:color="auto" w:fill="FFFFFF"/>
        </w:rPr>
        <w:t xml:space="preserve">or Anemia Treatment </w:t>
      </w:r>
      <w:r>
        <w:rPr>
          <w:rFonts w:eastAsia="-webkit-standard"/>
          <w:iCs/>
          <w:color w:val="222222"/>
          <w:shd w:val="clear" w:color="auto" w:fill="FFFFFF"/>
        </w:rPr>
        <w:t>i</w:t>
      </w:r>
      <w:r w:rsidRPr="003E2684">
        <w:rPr>
          <w:rFonts w:eastAsia="-webkit-standard"/>
          <w:iCs/>
          <w:color w:val="222222"/>
          <w:shd w:val="clear" w:color="auto" w:fill="FFFFFF"/>
        </w:rPr>
        <w:t xml:space="preserve">n Public Health Nutrition: Using A Rat Model </w:t>
      </w:r>
      <w:r w:rsidR="00A6511C">
        <w:rPr>
          <w:rFonts w:eastAsia="-webkit-standard"/>
          <w:iCs/>
          <w:color w:val="222222"/>
          <w:shd w:val="clear" w:color="auto" w:fill="FFFFFF"/>
        </w:rPr>
        <w:t>o</w:t>
      </w:r>
      <w:r w:rsidRPr="003E2684">
        <w:rPr>
          <w:rFonts w:eastAsia="-webkit-standard"/>
          <w:iCs/>
          <w:color w:val="222222"/>
          <w:shd w:val="clear" w:color="auto" w:fill="FFFFFF"/>
        </w:rPr>
        <w:t>f Chemically-Induced Anemia. </w:t>
      </w:r>
      <w:r w:rsidRPr="003E2684">
        <w:rPr>
          <w:rFonts w:eastAsia="-webkit-standard"/>
          <w:color w:val="222222"/>
          <w:shd w:val="clear" w:color="auto" w:fill="FFFFFF"/>
        </w:rPr>
        <w:t>International Journal of Medical Biological and Pharmaceutical Science.</w:t>
      </w:r>
    </w:p>
    <w:p w14:paraId="607B5024" w14:textId="5E838C2B" w:rsidR="00D50E6C" w:rsidRDefault="00D50E6C" w:rsidP="002E7E6D">
      <w:pPr>
        <w:pStyle w:val="NormalWeb"/>
        <w:numPr>
          <w:ilvl w:val="0"/>
          <w:numId w:val="2"/>
        </w:numPr>
        <w:spacing w:after="180" w:afterAutospacing="0" w:line="480" w:lineRule="auto"/>
        <w:jc w:val="both"/>
      </w:pPr>
      <w:proofErr w:type="spellStart"/>
      <w:r w:rsidRPr="00D50E6C">
        <w:lastRenderedPageBreak/>
        <w:t>Aduwamai</w:t>
      </w:r>
      <w:proofErr w:type="spellEnd"/>
      <w:r w:rsidR="0004323F">
        <w:t xml:space="preserve"> </w:t>
      </w:r>
      <w:r w:rsidRPr="00D50E6C">
        <w:t xml:space="preserve">UH, Abimbola MM, Ahmed ZH. 2018. Effect of </w:t>
      </w:r>
      <w:r w:rsidRPr="0004323F">
        <w:rPr>
          <w:i/>
          <w:iCs/>
        </w:rPr>
        <w:t>Solanum nigrum</w:t>
      </w:r>
      <w:r w:rsidRPr="00D50E6C">
        <w:t xml:space="preserve"> methanol leaf extract on phenylhydrazine induced anemia in rats. Jordan Journal of Biological Sciences</w:t>
      </w:r>
      <w:r w:rsidR="0001128B">
        <w:t>.</w:t>
      </w:r>
      <w:r w:rsidRPr="00D50E6C">
        <w:t> 11(1)</w:t>
      </w:r>
      <w:r w:rsidR="0001128B">
        <w:t xml:space="preserve">: </w:t>
      </w:r>
      <w:r w:rsidRPr="00D50E6C">
        <w:t>65-71.</w:t>
      </w:r>
    </w:p>
    <w:p w14:paraId="75BE659E" w14:textId="02A58EBB" w:rsidR="00D50E6C" w:rsidRPr="002E7E6D" w:rsidRDefault="00D50E6C" w:rsidP="002E7E6D">
      <w:pPr>
        <w:pStyle w:val="ListParagraph"/>
        <w:numPr>
          <w:ilvl w:val="0"/>
          <w:numId w:val="2"/>
        </w:numPr>
        <w:spacing w:before="75" w:after="75" w:line="480" w:lineRule="auto"/>
        <w:rPr>
          <w:rFonts w:ascii="Times New Roman" w:eastAsia="Times New Roman" w:hAnsi="Times New Roman"/>
          <w:kern w:val="0"/>
          <w:sz w:val="24"/>
        </w:rPr>
      </w:pPr>
      <w:r w:rsidRPr="002E7E6D">
        <w:rPr>
          <w:rFonts w:ascii="Times New Roman" w:eastAsia="Times" w:hAnsi="Times New Roman"/>
          <w:color w:val="000000"/>
          <w:sz w:val="24"/>
        </w:rPr>
        <w:t>Al-</w:t>
      </w:r>
      <w:proofErr w:type="spellStart"/>
      <w:r w:rsidRPr="002E7E6D">
        <w:rPr>
          <w:rFonts w:ascii="Times New Roman" w:eastAsia="Times" w:hAnsi="Times New Roman"/>
          <w:color w:val="000000"/>
          <w:sz w:val="24"/>
        </w:rPr>
        <w:t>Zabedi</w:t>
      </w:r>
      <w:proofErr w:type="spellEnd"/>
      <w:r w:rsidRPr="002E7E6D">
        <w:rPr>
          <w:rFonts w:ascii="Times New Roman" w:eastAsia="Times" w:hAnsi="Times New Roman"/>
          <w:color w:val="000000"/>
          <w:sz w:val="24"/>
        </w:rPr>
        <w:t xml:space="preserve"> EM, </w:t>
      </w:r>
      <w:proofErr w:type="spellStart"/>
      <w:r w:rsidRPr="002E7E6D">
        <w:rPr>
          <w:rFonts w:ascii="Times New Roman" w:eastAsia="Times" w:hAnsi="Times New Roman"/>
          <w:color w:val="000000"/>
          <w:sz w:val="24"/>
        </w:rPr>
        <w:t>Kaid</w:t>
      </w:r>
      <w:proofErr w:type="spellEnd"/>
      <w:r w:rsidRPr="002E7E6D">
        <w:rPr>
          <w:rFonts w:ascii="Times New Roman" w:eastAsia="Times" w:hAnsi="Times New Roman"/>
          <w:color w:val="000000"/>
          <w:sz w:val="24"/>
        </w:rPr>
        <w:t xml:space="preserve"> FA, Sady H, Al-Adhroey A H, </w:t>
      </w:r>
      <w:proofErr w:type="spellStart"/>
      <w:r w:rsidRPr="002E7E6D">
        <w:rPr>
          <w:rFonts w:ascii="Times New Roman" w:eastAsia="Times" w:hAnsi="Times New Roman"/>
          <w:color w:val="000000"/>
          <w:sz w:val="24"/>
        </w:rPr>
        <w:t>Amran</w:t>
      </w:r>
      <w:proofErr w:type="spellEnd"/>
      <w:r w:rsidRPr="002E7E6D">
        <w:rPr>
          <w:rFonts w:ascii="Times New Roman" w:eastAsia="Times" w:hAnsi="Times New Roman"/>
          <w:color w:val="000000"/>
          <w:sz w:val="24"/>
        </w:rPr>
        <w:t xml:space="preserve"> A </w:t>
      </w:r>
      <w:proofErr w:type="spellStart"/>
      <w:r w:rsidRPr="002E7E6D">
        <w:rPr>
          <w:rFonts w:ascii="Times New Roman" w:eastAsia="Times" w:hAnsi="Times New Roman"/>
          <w:color w:val="000000"/>
          <w:sz w:val="24"/>
        </w:rPr>
        <w:t>A</w:t>
      </w:r>
      <w:proofErr w:type="spellEnd"/>
      <w:r w:rsidRPr="002E7E6D">
        <w:rPr>
          <w:rFonts w:ascii="Times New Roman" w:eastAsia="Times" w:hAnsi="Times New Roman"/>
          <w:color w:val="000000"/>
          <w:sz w:val="24"/>
        </w:rPr>
        <w:t>, Al-</w:t>
      </w:r>
      <w:proofErr w:type="spellStart"/>
      <w:r w:rsidRPr="002E7E6D">
        <w:rPr>
          <w:rFonts w:ascii="Times New Roman" w:eastAsia="Times" w:hAnsi="Times New Roman"/>
          <w:color w:val="000000"/>
          <w:sz w:val="24"/>
        </w:rPr>
        <w:t>Maktari</w:t>
      </w:r>
      <w:proofErr w:type="spellEnd"/>
      <w:r w:rsidRPr="002E7E6D">
        <w:rPr>
          <w:rFonts w:ascii="Times New Roman" w:eastAsia="Times" w:hAnsi="Times New Roman"/>
          <w:color w:val="000000"/>
          <w:sz w:val="24"/>
        </w:rPr>
        <w:t xml:space="preserve"> M T. 2014. </w:t>
      </w:r>
      <w:r w:rsidRPr="002E7E6D">
        <w:rPr>
          <w:rFonts w:ascii="Times New Roman" w:eastAsia="Times New Roman" w:hAnsi="Times New Roman"/>
          <w:kern w:val="0"/>
          <w:sz w:val="24"/>
        </w:rPr>
        <w:t>Prevalence and Risk Factors of Iron Deficiency Anemia among Children in Yemen</w:t>
      </w:r>
      <w:r w:rsidRPr="002E7E6D">
        <w:rPr>
          <w:rFonts w:ascii="Times New Roman" w:eastAsia="Times" w:hAnsi="Times New Roman"/>
          <w:color w:val="000000"/>
          <w:sz w:val="24"/>
        </w:rPr>
        <w:t>. American Journal of Health Research. 2(5): 119-326.</w:t>
      </w:r>
    </w:p>
    <w:p w14:paraId="244D57DC" w14:textId="6B20A5BF" w:rsidR="00D50E6C" w:rsidRDefault="00D50E6C" w:rsidP="002E7E6D">
      <w:pPr>
        <w:pStyle w:val="NormalWeb"/>
        <w:numPr>
          <w:ilvl w:val="0"/>
          <w:numId w:val="2"/>
        </w:numPr>
        <w:spacing w:after="0" w:afterAutospacing="0" w:line="480" w:lineRule="auto"/>
        <w:jc w:val="both"/>
        <w:rPr>
          <w:rFonts w:eastAsia="-webkit-standard"/>
          <w:color w:val="000000"/>
        </w:rPr>
      </w:pPr>
      <w:proofErr w:type="spellStart"/>
      <w:r>
        <w:rPr>
          <w:rFonts w:eastAsia="Times"/>
          <w:color w:val="000000"/>
        </w:rPr>
        <w:t>Arbonnier</w:t>
      </w:r>
      <w:proofErr w:type="spellEnd"/>
      <w:r>
        <w:rPr>
          <w:rFonts w:eastAsia="Times"/>
          <w:color w:val="000000"/>
        </w:rPr>
        <w:t xml:space="preserve"> M</w:t>
      </w:r>
      <w:r w:rsidR="0052265F">
        <w:rPr>
          <w:rFonts w:eastAsia="Times"/>
          <w:color w:val="000000"/>
        </w:rPr>
        <w:t>.</w:t>
      </w:r>
      <w:r>
        <w:rPr>
          <w:rFonts w:eastAsia="Times"/>
          <w:color w:val="000000"/>
        </w:rPr>
        <w:t xml:space="preserve"> 2000. </w:t>
      </w:r>
      <w:proofErr w:type="spellStart"/>
      <w:r>
        <w:rPr>
          <w:rFonts w:eastAsia="Times"/>
          <w:color w:val="000000"/>
        </w:rPr>
        <w:t>Arbres</w:t>
      </w:r>
      <w:proofErr w:type="spellEnd"/>
      <w:r>
        <w:rPr>
          <w:rFonts w:eastAsia="Times"/>
          <w:color w:val="000000"/>
        </w:rPr>
        <w:t xml:space="preserve">, </w:t>
      </w:r>
      <w:proofErr w:type="spellStart"/>
      <w:r>
        <w:rPr>
          <w:rFonts w:eastAsia="Times"/>
          <w:color w:val="000000"/>
        </w:rPr>
        <w:t>arbustes</w:t>
      </w:r>
      <w:proofErr w:type="spellEnd"/>
      <w:r>
        <w:rPr>
          <w:rFonts w:eastAsia="Times"/>
          <w:color w:val="000000"/>
        </w:rPr>
        <w:t xml:space="preserve"> et </w:t>
      </w:r>
      <w:proofErr w:type="spellStart"/>
      <w:r>
        <w:rPr>
          <w:rFonts w:eastAsia="Times"/>
          <w:color w:val="000000"/>
        </w:rPr>
        <w:t>lianes</w:t>
      </w:r>
      <w:proofErr w:type="spellEnd"/>
      <w:r>
        <w:rPr>
          <w:rFonts w:eastAsia="Times"/>
          <w:color w:val="000000"/>
        </w:rPr>
        <w:t xml:space="preserve"> des zones </w:t>
      </w:r>
      <w:proofErr w:type="spellStart"/>
      <w:r>
        <w:rPr>
          <w:rFonts w:eastAsia="Times"/>
          <w:color w:val="000000"/>
        </w:rPr>
        <w:t>seches</w:t>
      </w:r>
      <w:proofErr w:type="spellEnd"/>
      <w:r>
        <w:rPr>
          <w:rFonts w:eastAsia="Times"/>
          <w:color w:val="000000"/>
        </w:rPr>
        <w:t xml:space="preserve"> </w:t>
      </w:r>
      <w:proofErr w:type="spellStart"/>
      <w:r>
        <w:rPr>
          <w:rFonts w:eastAsia="Times"/>
          <w:color w:val="000000"/>
        </w:rPr>
        <w:t>d’Afrique</w:t>
      </w:r>
      <w:proofErr w:type="spellEnd"/>
      <w:r>
        <w:rPr>
          <w:rFonts w:eastAsia="Times"/>
          <w:color w:val="000000"/>
        </w:rPr>
        <w:t xml:space="preserve"> de </w:t>
      </w:r>
      <w:proofErr w:type="spellStart"/>
      <w:r>
        <w:rPr>
          <w:rFonts w:eastAsia="Times"/>
          <w:color w:val="000000"/>
        </w:rPr>
        <w:t>l’Ouest</w:t>
      </w:r>
      <w:proofErr w:type="spellEnd"/>
      <w:r>
        <w:rPr>
          <w:rFonts w:eastAsia="Times"/>
          <w:color w:val="000000"/>
        </w:rPr>
        <w:t>. CIRAD/MNHN/UICN, pp: 541. Berger J, 2007. Phenylhydrazine haemato-toxicity. Journal of Applied Biomedicine. 5: ISSN 1214 0287, 125-130.</w:t>
      </w:r>
    </w:p>
    <w:p w14:paraId="46305755" w14:textId="77777777" w:rsidR="00D50E6C" w:rsidRDefault="00D50E6C" w:rsidP="002E7E6D">
      <w:pPr>
        <w:pStyle w:val="NormalWeb"/>
        <w:numPr>
          <w:ilvl w:val="0"/>
          <w:numId w:val="2"/>
        </w:numPr>
        <w:spacing w:after="180" w:afterAutospacing="0" w:line="480" w:lineRule="auto"/>
        <w:jc w:val="both"/>
      </w:pPr>
      <w:r>
        <w:t xml:space="preserve">Ashish T, Sachin M, Rizwan S, </w:t>
      </w:r>
      <w:proofErr w:type="spellStart"/>
      <w:r>
        <w:t>Gadhpayle</w:t>
      </w:r>
      <w:proofErr w:type="spellEnd"/>
      <w:r>
        <w:t xml:space="preserve"> J, </w:t>
      </w:r>
      <w:proofErr w:type="spellStart"/>
      <w:r>
        <w:t>Bhongade</w:t>
      </w:r>
      <w:proofErr w:type="spellEnd"/>
      <w:r>
        <w:t xml:space="preserve"> SL, Vikas S. 2013. Anti-</w:t>
      </w:r>
      <w:proofErr w:type="spellStart"/>
      <w:r>
        <w:t>anaemic</w:t>
      </w:r>
      <w:proofErr w:type="spellEnd"/>
      <w:r>
        <w:t xml:space="preserve"> Potential of </w:t>
      </w:r>
      <w:proofErr w:type="spellStart"/>
      <w:r w:rsidRPr="00310F6A">
        <w:rPr>
          <w:i/>
          <w:iCs/>
        </w:rPr>
        <w:t>Swertia</w:t>
      </w:r>
      <w:proofErr w:type="spellEnd"/>
      <w:r w:rsidRPr="00310F6A">
        <w:rPr>
          <w:i/>
          <w:iCs/>
        </w:rPr>
        <w:t xml:space="preserve"> </w:t>
      </w:r>
      <w:proofErr w:type="spellStart"/>
      <w:r w:rsidRPr="00310F6A">
        <w:rPr>
          <w:i/>
          <w:iCs/>
        </w:rPr>
        <w:t>chirataon</w:t>
      </w:r>
      <w:proofErr w:type="spellEnd"/>
      <w:r>
        <w:t xml:space="preserve"> </w:t>
      </w:r>
      <w:proofErr w:type="spellStart"/>
      <w:r>
        <w:t>phenylhydrazine</w:t>
      </w:r>
      <w:proofErr w:type="spellEnd"/>
      <w:r>
        <w:t xml:space="preserve"> induced </w:t>
      </w:r>
      <w:proofErr w:type="spellStart"/>
      <w:r>
        <w:t>reticulocytosis</w:t>
      </w:r>
      <w:proofErr w:type="spellEnd"/>
      <w:r>
        <w:t xml:space="preserve"> in rats. Asian Journal of Pharmaceutical Sciences.</w:t>
      </w:r>
    </w:p>
    <w:p w14:paraId="00638AE6" w14:textId="2F88947A" w:rsidR="0013225A" w:rsidRPr="00E6434A" w:rsidRDefault="0013225A" w:rsidP="002E7E6D">
      <w:pPr>
        <w:pStyle w:val="NormalWeb"/>
        <w:numPr>
          <w:ilvl w:val="0"/>
          <w:numId w:val="2"/>
        </w:numPr>
        <w:spacing w:after="180" w:afterAutospacing="0" w:line="480" w:lineRule="auto"/>
        <w:jc w:val="both"/>
      </w:pPr>
      <w:r w:rsidRPr="0013225A">
        <w:t>Barman D, Puro KN, Boruah</w:t>
      </w:r>
      <w:r>
        <w:t xml:space="preserve"> </w:t>
      </w:r>
      <w:r w:rsidRPr="0013225A">
        <w:t>JLH</w:t>
      </w:r>
      <w:r>
        <w:t>,</w:t>
      </w:r>
      <w:r w:rsidRPr="0013225A">
        <w:t xml:space="preserve"> Kumar</w:t>
      </w:r>
      <w:r>
        <w:t xml:space="preserve"> </w:t>
      </w:r>
      <w:r w:rsidRPr="0013225A">
        <w:t>D, Medhi K, Mazumder</w:t>
      </w:r>
      <w:r w:rsidR="00E60FBE">
        <w:t xml:space="preserve"> </w:t>
      </w:r>
      <w:r w:rsidRPr="0013225A">
        <w:t xml:space="preserve">B, Baishya R. 2024. </w:t>
      </w:r>
      <w:r w:rsidRPr="0013225A">
        <w:rPr>
          <w:i/>
          <w:iCs/>
        </w:rPr>
        <w:t>Talinum triangulare</w:t>
      </w:r>
      <w:r w:rsidRPr="0013225A">
        <w:t xml:space="preserve"> (Jacq.) Willd: A review of its traditional uses, phytochemistry, and pharmacology along with network pharmacology analysis of its components and targets. Food Chemistry Advances 5</w:t>
      </w:r>
      <w:r>
        <w:t>:</w:t>
      </w:r>
      <w:r w:rsidRPr="0013225A">
        <w:t xml:space="preserve"> 100768.</w:t>
      </w:r>
    </w:p>
    <w:p w14:paraId="47932B80" w14:textId="77777777" w:rsidR="00D50E6C" w:rsidRDefault="00D50E6C" w:rsidP="002E7E6D">
      <w:pPr>
        <w:pStyle w:val="NormalWeb"/>
        <w:numPr>
          <w:ilvl w:val="0"/>
          <w:numId w:val="2"/>
        </w:numPr>
        <w:spacing w:after="0" w:afterAutospacing="0" w:line="480" w:lineRule="auto"/>
        <w:jc w:val="both"/>
        <w:rPr>
          <w:rFonts w:eastAsia="Times"/>
          <w:color w:val="000000"/>
        </w:rPr>
      </w:pPr>
      <w:bookmarkStart w:id="2" w:name="_Hlk222110995"/>
      <w:r>
        <w:rPr>
          <w:rFonts w:eastAsia="Times"/>
          <w:color w:val="000000"/>
        </w:rPr>
        <w:t xml:space="preserve">Bhushan </w:t>
      </w:r>
      <w:bookmarkEnd w:id="2"/>
      <w:r>
        <w:rPr>
          <w:rFonts w:eastAsia="Times"/>
          <w:color w:val="000000"/>
        </w:rPr>
        <w:t xml:space="preserve">P.  2005. WHO-CIPIH study nine on traditional medicine, Draft report. pp. 5-12. </w:t>
      </w:r>
    </w:p>
    <w:p w14:paraId="73F89C3F" w14:textId="77777777" w:rsidR="00D50E6C" w:rsidRDefault="00D50E6C" w:rsidP="002E7E6D">
      <w:pPr>
        <w:pStyle w:val="NormalWeb"/>
        <w:numPr>
          <w:ilvl w:val="0"/>
          <w:numId w:val="2"/>
        </w:numPr>
        <w:spacing w:after="0" w:afterAutospacing="0" w:line="480" w:lineRule="auto"/>
        <w:jc w:val="both"/>
        <w:rPr>
          <w:rFonts w:eastAsia="Times"/>
          <w:color w:val="000000"/>
        </w:rPr>
      </w:pPr>
      <w:r>
        <w:rPr>
          <w:rFonts w:eastAsia="Times"/>
          <w:color w:val="000000"/>
        </w:rPr>
        <w:t>Burkill H M. 1985. The Useful Plants of West Tropical Africa. Vol I. Families A-D.  Royal Botanic Gardens – Kew.</w:t>
      </w:r>
    </w:p>
    <w:p w14:paraId="58631BA8" w14:textId="7F12DCBA" w:rsidR="003E2684" w:rsidRDefault="003E2684" w:rsidP="002E7E6D">
      <w:pPr>
        <w:pStyle w:val="NormalWeb"/>
        <w:numPr>
          <w:ilvl w:val="0"/>
          <w:numId w:val="2"/>
        </w:numPr>
        <w:spacing w:after="0" w:afterAutospacing="0" w:line="480" w:lineRule="auto"/>
        <w:jc w:val="both"/>
        <w:rPr>
          <w:rFonts w:eastAsia="-webkit-standard"/>
          <w:color w:val="000000"/>
        </w:rPr>
      </w:pPr>
      <w:proofErr w:type="spellStart"/>
      <w:r w:rsidRPr="003E2684">
        <w:rPr>
          <w:rFonts w:eastAsia="-webkit-standard"/>
          <w:color w:val="000000"/>
        </w:rPr>
        <w:t>Camaschella</w:t>
      </w:r>
      <w:proofErr w:type="spellEnd"/>
      <w:r w:rsidRPr="003E2684">
        <w:rPr>
          <w:rFonts w:eastAsia="-webkit-standard"/>
          <w:color w:val="000000"/>
        </w:rPr>
        <w:t>, C. 2017. New insights into iron deficiency and iron deficiency anemia. Blood reviews 31(4)</w:t>
      </w:r>
      <w:r w:rsidR="00801D35">
        <w:rPr>
          <w:rFonts w:eastAsia="-webkit-standard"/>
          <w:color w:val="000000"/>
        </w:rPr>
        <w:t>:</w:t>
      </w:r>
      <w:r w:rsidRPr="003E2684">
        <w:rPr>
          <w:rFonts w:eastAsia="-webkit-standard"/>
          <w:color w:val="000000"/>
        </w:rPr>
        <w:t xml:space="preserve"> 225-233.</w:t>
      </w:r>
    </w:p>
    <w:p w14:paraId="5FCE42E2" w14:textId="3F7B2CB5" w:rsidR="00801D35" w:rsidRDefault="00801D35" w:rsidP="002E7E6D">
      <w:pPr>
        <w:pStyle w:val="NormalWeb"/>
        <w:numPr>
          <w:ilvl w:val="0"/>
          <w:numId w:val="2"/>
        </w:numPr>
        <w:spacing w:after="0" w:afterAutospacing="0" w:line="480" w:lineRule="auto"/>
        <w:jc w:val="both"/>
        <w:rPr>
          <w:rFonts w:eastAsia="-webkit-standard"/>
          <w:color w:val="000000"/>
        </w:rPr>
      </w:pPr>
      <w:proofErr w:type="spellStart"/>
      <w:r w:rsidRPr="00801D35">
        <w:rPr>
          <w:rFonts w:eastAsia="-webkit-standard"/>
          <w:color w:val="000000"/>
        </w:rPr>
        <w:lastRenderedPageBreak/>
        <w:t>Chinko</w:t>
      </w:r>
      <w:proofErr w:type="spellEnd"/>
      <w:r w:rsidR="0004323F">
        <w:rPr>
          <w:rFonts w:eastAsia="-webkit-standard"/>
          <w:color w:val="000000"/>
        </w:rPr>
        <w:t xml:space="preserve"> </w:t>
      </w:r>
      <w:r w:rsidRPr="00801D35">
        <w:rPr>
          <w:rFonts w:eastAsia="-webkit-standard"/>
          <w:color w:val="000000"/>
        </w:rPr>
        <w:t xml:space="preserve">BC, </w:t>
      </w:r>
      <w:proofErr w:type="spellStart"/>
      <w:r w:rsidRPr="00801D35">
        <w:rPr>
          <w:rFonts w:eastAsia="-webkit-standard"/>
          <w:color w:val="000000"/>
        </w:rPr>
        <w:t>Egbejimi</w:t>
      </w:r>
      <w:proofErr w:type="spellEnd"/>
      <w:r w:rsidR="0004323F">
        <w:rPr>
          <w:rFonts w:eastAsia="-webkit-standard"/>
          <w:color w:val="000000"/>
        </w:rPr>
        <w:t xml:space="preserve"> </w:t>
      </w:r>
      <w:r w:rsidRPr="00801D35">
        <w:rPr>
          <w:rFonts w:eastAsia="-webkit-standard"/>
          <w:color w:val="000000"/>
        </w:rPr>
        <w:t>AM, Hart</w:t>
      </w:r>
      <w:r w:rsidR="0004323F">
        <w:rPr>
          <w:rFonts w:eastAsia="-webkit-standard"/>
          <w:color w:val="000000"/>
        </w:rPr>
        <w:t xml:space="preserve"> </w:t>
      </w:r>
      <w:r w:rsidRPr="00801D35">
        <w:rPr>
          <w:rFonts w:eastAsia="-webkit-standard"/>
          <w:color w:val="000000"/>
        </w:rPr>
        <w:t xml:space="preserve">VO, </w:t>
      </w:r>
      <w:proofErr w:type="spellStart"/>
      <w:r w:rsidRPr="00801D35">
        <w:rPr>
          <w:rFonts w:eastAsia="-webkit-standard"/>
          <w:color w:val="000000"/>
        </w:rPr>
        <w:t>Okpalaji</w:t>
      </w:r>
      <w:proofErr w:type="spellEnd"/>
      <w:r w:rsidRPr="00801D35">
        <w:rPr>
          <w:rFonts w:eastAsia="-webkit-standard"/>
          <w:color w:val="000000"/>
        </w:rPr>
        <w:t xml:space="preserve"> CB, </w:t>
      </w:r>
      <w:proofErr w:type="spellStart"/>
      <w:r w:rsidRPr="00801D35">
        <w:rPr>
          <w:rFonts w:eastAsia="-webkit-standard"/>
          <w:color w:val="000000"/>
        </w:rPr>
        <w:t>Onyebuenyi</w:t>
      </w:r>
      <w:proofErr w:type="spellEnd"/>
      <w:r w:rsidR="0004323F">
        <w:rPr>
          <w:rFonts w:eastAsia="-webkit-standard"/>
          <w:color w:val="000000"/>
        </w:rPr>
        <w:t xml:space="preserve"> </w:t>
      </w:r>
      <w:r w:rsidRPr="00801D35">
        <w:rPr>
          <w:rFonts w:eastAsia="-webkit-standard"/>
          <w:color w:val="000000"/>
        </w:rPr>
        <w:t xml:space="preserve">MO, </w:t>
      </w:r>
      <w:proofErr w:type="spellStart"/>
      <w:r w:rsidRPr="00801D35">
        <w:rPr>
          <w:rFonts w:eastAsia="-webkit-standard"/>
          <w:color w:val="000000"/>
        </w:rPr>
        <w:t>Okuremi</w:t>
      </w:r>
      <w:proofErr w:type="spellEnd"/>
      <w:r w:rsidRPr="00801D35">
        <w:rPr>
          <w:rFonts w:eastAsia="-webkit-standard"/>
          <w:color w:val="000000"/>
        </w:rPr>
        <w:t xml:space="preserve"> HO, </w:t>
      </w:r>
      <w:proofErr w:type="spellStart"/>
      <w:r w:rsidRPr="00801D35">
        <w:rPr>
          <w:rFonts w:eastAsia="-webkit-standard"/>
          <w:color w:val="000000"/>
        </w:rPr>
        <w:t>Ododo</w:t>
      </w:r>
      <w:proofErr w:type="spellEnd"/>
      <w:r w:rsidRPr="00801D35">
        <w:rPr>
          <w:rFonts w:eastAsia="-webkit-standard"/>
          <w:color w:val="000000"/>
        </w:rPr>
        <w:t xml:space="preserve"> A. 2020. A comparative evaluation of the </w:t>
      </w:r>
      <w:proofErr w:type="spellStart"/>
      <w:r w:rsidRPr="00801D35">
        <w:rPr>
          <w:rFonts w:eastAsia="-webkit-standard"/>
          <w:color w:val="000000"/>
        </w:rPr>
        <w:t>haematopoietic</w:t>
      </w:r>
      <w:proofErr w:type="spellEnd"/>
      <w:r w:rsidRPr="00801D35">
        <w:rPr>
          <w:rFonts w:eastAsia="-webkit-standard"/>
          <w:color w:val="000000"/>
        </w:rPr>
        <w:t xml:space="preserve"> potentials of ethanolic extracts of </w:t>
      </w:r>
      <w:r w:rsidRPr="0004323F">
        <w:rPr>
          <w:rFonts w:eastAsia="-webkit-standard"/>
          <w:i/>
          <w:iCs/>
          <w:color w:val="000000"/>
        </w:rPr>
        <w:t xml:space="preserve">Talinum </w:t>
      </w:r>
      <w:proofErr w:type="spellStart"/>
      <w:r w:rsidRPr="0004323F">
        <w:rPr>
          <w:rFonts w:eastAsia="-webkit-standard"/>
          <w:i/>
          <w:iCs/>
          <w:color w:val="000000"/>
        </w:rPr>
        <w:t>triangulare</w:t>
      </w:r>
      <w:proofErr w:type="spellEnd"/>
      <w:r w:rsidRPr="0004323F">
        <w:rPr>
          <w:rFonts w:eastAsia="-webkit-standard"/>
          <w:i/>
          <w:iCs/>
          <w:color w:val="000000"/>
        </w:rPr>
        <w:t xml:space="preserve">, </w:t>
      </w:r>
      <w:proofErr w:type="spellStart"/>
      <w:r w:rsidRPr="0004323F">
        <w:rPr>
          <w:rFonts w:eastAsia="-webkit-standard"/>
          <w:i/>
          <w:iCs/>
          <w:color w:val="000000"/>
        </w:rPr>
        <w:t>Telfairia</w:t>
      </w:r>
      <w:proofErr w:type="spellEnd"/>
      <w:r w:rsidRPr="0004323F">
        <w:rPr>
          <w:rFonts w:eastAsia="-webkit-standard"/>
          <w:i/>
          <w:iCs/>
          <w:color w:val="000000"/>
        </w:rPr>
        <w:t xml:space="preserve"> </w:t>
      </w:r>
      <w:proofErr w:type="spellStart"/>
      <w:r w:rsidRPr="0004323F">
        <w:rPr>
          <w:rFonts w:eastAsia="-webkit-standard"/>
          <w:i/>
          <w:iCs/>
          <w:color w:val="000000"/>
        </w:rPr>
        <w:t>occidentalis</w:t>
      </w:r>
      <w:proofErr w:type="spellEnd"/>
      <w:r w:rsidRPr="0004323F">
        <w:rPr>
          <w:rFonts w:eastAsia="-webkit-standard"/>
          <w:i/>
          <w:iCs/>
          <w:color w:val="000000"/>
        </w:rPr>
        <w:t xml:space="preserve"> </w:t>
      </w:r>
      <w:r w:rsidRPr="0004323F">
        <w:rPr>
          <w:rFonts w:eastAsia="-webkit-standard"/>
          <w:color w:val="000000"/>
        </w:rPr>
        <w:t>and</w:t>
      </w:r>
      <w:r w:rsidRPr="0004323F">
        <w:rPr>
          <w:rFonts w:eastAsia="-webkit-standard"/>
          <w:i/>
          <w:iCs/>
          <w:color w:val="000000"/>
        </w:rPr>
        <w:t xml:space="preserve"> Amaranthus hybridus</w:t>
      </w:r>
      <w:r w:rsidRPr="00801D35">
        <w:rPr>
          <w:rFonts w:eastAsia="-webkit-standard"/>
          <w:color w:val="000000"/>
        </w:rPr>
        <w:t xml:space="preserve"> on 2, 4-dinitrophenylhydrazine (</w:t>
      </w:r>
      <w:proofErr w:type="spellStart"/>
      <w:r w:rsidRPr="00801D35">
        <w:rPr>
          <w:rFonts w:eastAsia="-webkit-standard"/>
          <w:color w:val="000000"/>
        </w:rPr>
        <w:t>dnph</w:t>
      </w:r>
      <w:proofErr w:type="spellEnd"/>
      <w:r w:rsidRPr="00801D35">
        <w:rPr>
          <w:rFonts w:eastAsia="-webkit-standard"/>
          <w:color w:val="000000"/>
        </w:rPr>
        <w:t xml:space="preserve">) induced </w:t>
      </w:r>
      <w:proofErr w:type="spellStart"/>
      <w:r w:rsidRPr="00801D35">
        <w:rPr>
          <w:rFonts w:eastAsia="-webkit-standard"/>
          <w:color w:val="000000"/>
        </w:rPr>
        <w:t>anaemic</w:t>
      </w:r>
      <w:proofErr w:type="spellEnd"/>
      <w:r w:rsidRPr="00801D35">
        <w:rPr>
          <w:rFonts w:eastAsia="-webkit-standard"/>
          <w:color w:val="000000"/>
        </w:rPr>
        <w:t xml:space="preserve"> </w:t>
      </w:r>
      <w:r w:rsidR="0004323F" w:rsidRPr="00801D35">
        <w:rPr>
          <w:rFonts w:eastAsia="-webkit-standard"/>
          <w:color w:val="000000"/>
        </w:rPr>
        <w:t>Wistar</w:t>
      </w:r>
      <w:r w:rsidRPr="00801D35">
        <w:rPr>
          <w:rFonts w:eastAsia="-webkit-standard"/>
          <w:color w:val="000000"/>
        </w:rPr>
        <w:t xml:space="preserve"> rats</w:t>
      </w:r>
      <w:r w:rsidRPr="0004323F">
        <w:rPr>
          <w:rFonts w:eastAsia="-webkit-standard"/>
          <w:color w:val="000000"/>
        </w:rPr>
        <w:t>. European Journal of Biomedical and Pharmaceutical Sciences 7(4)</w:t>
      </w:r>
      <w:r w:rsidR="0004323F">
        <w:rPr>
          <w:rFonts w:eastAsia="-webkit-standard"/>
          <w:color w:val="000000"/>
        </w:rPr>
        <w:t>:</w:t>
      </w:r>
      <w:r w:rsidRPr="0004323F">
        <w:rPr>
          <w:rFonts w:eastAsia="-webkit-standard"/>
          <w:color w:val="000000"/>
        </w:rPr>
        <w:t xml:space="preserve"> </w:t>
      </w:r>
      <w:r w:rsidRPr="00801D35">
        <w:rPr>
          <w:rFonts w:eastAsia="-webkit-standard"/>
          <w:color w:val="000000"/>
        </w:rPr>
        <w:t>383-89.</w:t>
      </w:r>
    </w:p>
    <w:p w14:paraId="238F196B" w14:textId="38DF3CE0" w:rsidR="00D50E6C" w:rsidRDefault="00D50E6C" w:rsidP="002E7E6D">
      <w:pPr>
        <w:pStyle w:val="NormalWeb"/>
        <w:numPr>
          <w:ilvl w:val="0"/>
          <w:numId w:val="2"/>
        </w:numPr>
        <w:spacing w:after="180" w:afterAutospacing="0" w:line="480" w:lineRule="auto"/>
        <w:jc w:val="both"/>
      </w:pPr>
      <w:r>
        <w:t>Clemens MR, Remmer H, Waller HD. 1984. Phenylhydrazine-induced lipid peroxidation of red blood cells: in vitro and in vivo monitoring by the production of volatile hydrocarbons. Biochemical Pharmacology 33:1715-1718.</w:t>
      </w:r>
    </w:p>
    <w:p w14:paraId="43CEF384" w14:textId="65094ABC" w:rsidR="00D50E6C" w:rsidRDefault="00D50E6C" w:rsidP="002E7E6D">
      <w:pPr>
        <w:pStyle w:val="NormalWeb"/>
        <w:numPr>
          <w:ilvl w:val="0"/>
          <w:numId w:val="2"/>
        </w:numPr>
        <w:spacing w:after="0" w:afterAutospacing="0" w:line="480" w:lineRule="auto"/>
        <w:jc w:val="both"/>
        <w:rPr>
          <w:rFonts w:eastAsia="Times"/>
          <w:color w:val="000000"/>
        </w:rPr>
      </w:pPr>
      <w:r>
        <w:rPr>
          <w:rFonts w:eastAsia="Times"/>
          <w:color w:val="000000"/>
        </w:rPr>
        <w:t>Crawley J</w:t>
      </w:r>
      <w:r w:rsidR="0001128B">
        <w:rPr>
          <w:rFonts w:eastAsia="Times"/>
          <w:color w:val="000000"/>
        </w:rPr>
        <w:t>.</w:t>
      </w:r>
      <w:r>
        <w:rPr>
          <w:rFonts w:eastAsia="Times"/>
          <w:color w:val="000000"/>
        </w:rPr>
        <w:t xml:space="preserve"> 2004. Reducing the burden of anaemia in infants and young children in malaria-endemic countries of Africa: from evidence to action. American Journal of Tropical Medical Hygiene. 71(suppl 2): 25-34. </w:t>
      </w:r>
    </w:p>
    <w:p w14:paraId="7560DA07" w14:textId="736EDF69" w:rsidR="00D50E6C" w:rsidRDefault="00D50E6C" w:rsidP="002E7E6D">
      <w:pPr>
        <w:pStyle w:val="NormalWeb"/>
        <w:numPr>
          <w:ilvl w:val="0"/>
          <w:numId w:val="2"/>
        </w:numPr>
        <w:spacing w:after="180" w:afterAutospacing="0" w:line="480" w:lineRule="auto"/>
        <w:jc w:val="both"/>
      </w:pPr>
      <w:r>
        <w:t xml:space="preserve">Damodara KM. 2013. Ethanolic extract of </w:t>
      </w:r>
      <w:proofErr w:type="spellStart"/>
      <w:r w:rsidRPr="00310F6A">
        <w:rPr>
          <w:i/>
          <w:iCs/>
        </w:rPr>
        <w:t>Nardostachys</w:t>
      </w:r>
      <w:proofErr w:type="spellEnd"/>
      <w:r w:rsidRPr="00310F6A">
        <w:rPr>
          <w:i/>
          <w:iCs/>
          <w:lang w:val="en-GB"/>
        </w:rPr>
        <w:t xml:space="preserve"> </w:t>
      </w:r>
      <w:proofErr w:type="spellStart"/>
      <w:r w:rsidRPr="00310F6A">
        <w:rPr>
          <w:i/>
          <w:iCs/>
        </w:rPr>
        <w:t>jatamansi</w:t>
      </w:r>
      <w:proofErr w:type="spellEnd"/>
      <w:r>
        <w:t xml:space="preserve"> potentiates </w:t>
      </w:r>
      <w:proofErr w:type="spellStart"/>
      <w:r>
        <w:t>haematopoietic</w:t>
      </w:r>
      <w:proofErr w:type="spellEnd"/>
      <w:r>
        <w:t xml:space="preserve"> system in albino Wistar rats.</w:t>
      </w:r>
      <w:r>
        <w:rPr>
          <w:lang w:val="en-GB"/>
        </w:rPr>
        <w:t xml:space="preserve"> </w:t>
      </w:r>
      <w:r>
        <w:t>Nitte Universal Journal of Health Sciences 3(1): 25-29.</w:t>
      </w:r>
    </w:p>
    <w:p w14:paraId="1F993EE6" w14:textId="77777777" w:rsidR="00D50E6C" w:rsidRDefault="00D50E6C" w:rsidP="002E7E6D">
      <w:pPr>
        <w:pStyle w:val="NormalWeb"/>
        <w:numPr>
          <w:ilvl w:val="0"/>
          <w:numId w:val="2"/>
        </w:numPr>
        <w:spacing w:after="180" w:afterAutospacing="0" w:line="480" w:lineRule="auto"/>
        <w:jc w:val="both"/>
      </w:pPr>
      <w:r>
        <w:t xml:space="preserve">Demo T, </w:t>
      </w:r>
      <w:proofErr w:type="spellStart"/>
      <w:r>
        <w:t>Mtopi</w:t>
      </w:r>
      <w:proofErr w:type="spellEnd"/>
      <w:r>
        <w:t xml:space="preserve"> O, </w:t>
      </w:r>
      <w:proofErr w:type="spellStart"/>
      <w:r>
        <w:t>Nguelefack</w:t>
      </w:r>
      <w:proofErr w:type="spellEnd"/>
      <w:r>
        <w:t xml:space="preserve"> B, </w:t>
      </w:r>
      <w:proofErr w:type="spellStart"/>
      <w:r>
        <w:t>Kamtchoung</w:t>
      </w:r>
      <w:proofErr w:type="spellEnd"/>
      <w:r>
        <w:t xml:space="preserve"> P. 2007. Vasorelaxant effect of extracts on isolated rat vascular smooth muscle. Journal of Ethnopharmacology 111 (1): 104-109.</w:t>
      </w:r>
    </w:p>
    <w:p w14:paraId="308A877E" w14:textId="77777777" w:rsidR="00D50E6C" w:rsidRDefault="00D50E6C" w:rsidP="002E7E6D">
      <w:pPr>
        <w:pStyle w:val="NormalWeb"/>
        <w:numPr>
          <w:ilvl w:val="0"/>
          <w:numId w:val="2"/>
        </w:numPr>
        <w:spacing w:after="180" w:afterAutospacing="0" w:line="480" w:lineRule="auto"/>
        <w:jc w:val="both"/>
      </w:pPr>
      <w:r>
        <w:t xml:space="preserve">Diallo A, </w:t>
      </w:r>
      <w:proofErr w:type="spellStart"/>
      <w:r>
        <w:t>Gbeassor</w:t>
      </w:r>
      <w:proofErr w:type="spellEnd"/>
      <w:r>
        <w:t xml:space="preserve"> M, </w:t>
      </w:r>
      <w:proofErr w:type="spellStart"/>
      <w:r>
        <w:t>Vovor</w:t>
      </w:r>
      <w:proofErr w:type="spellEnd"/>
      <w:r>
        <w:t xml:space="preserve"> A, </w:t>
      </w:r>
      <w:proofErr w:type="spellStart"/>
      <w:r>
        <w:t>Eklu-Gadegbeku</w:t>
      </w:r>
      <w:proofErr w:type="spellEnd"/>
      <w:r>
        <w:t xml:space="preserve"> K, </w:t>
      </w:r>
      <w:proofErr w:type="spellStart"/>
      <w:r>
        <w:t>Aklikokou</w:t>
      </w:r>
      <w:proofErr w:type="spellEnd"/>
      <w:r>
        <w:t xml:space="preserve"> K. </w:t>
      </w:r>
      <w:proofErr w:type="spellStart"/>
      <w:r>
        <w:t>Agbonon</w:t>
      </w:r>
      <w:proofErr w:type="spellEnd"/>
      <w:r>
        <w:t xml:space="preserve"> A, </w:t>
      </w:r>
      <w:proofErr w:type="spellStart"/>
      <w:r>
        <w:t>Abena</w:t>
      </w:r>
      <w:proofErr w:type="spellEnd"/>
      <w:r>
        <w:t xml:space="preserve"> A, Souza C, </w:t>
      </w:r>
      <w:proofErr w:type="spellStart"/>
      <w:r>
        <w:t>Akpagana</w:t>
      </w:r>
      <w:proofErr w:type="spellEnd"/>
      <w:r>
        <w:t xml:space="preserve"> K. 2008. Effect of </w:t>
      </w:r>
      <w:r w:rsidRPr="00675C75">
        <w:rPr>
          <w:i/>
          <w:iCs/>
        </w:rPr>
        <w:t>Tectona grandis</w:t>
      </w:r>
      <w:r>
        <w:t xml:space="preserve"> phenylhydrazine induced anemia in rats. </w:t>
      </w:r>
      <w:proofErr w:type="spellStart"/>
      <w:r>
        <w:t>Fitoterapia</w:t>
      </w:r>
      <w:proofErr w:type="spellEnd"/>
      <w:r>
        <w:t xml:space="preserve"> 79: 332-336.</w:t>
      </w:r>
    </w:p>
    <w:p w14:paraId="77DB214C" w14:textId="39F36B92" w:rsidR="003E514F" w:rsidRDefault="003E514F" w:rsidP="002E7E6D">
      <w:pPr>
        <w:pStyle w:val="NormalWeb"/>
        <w:numPr>
          <w:ilvl w:val="0"/>
          <w:numId w:val="2"/>
        </w:numPr>
        <w:spacing w:after="180" w:afterAutospacing="0" w:line="480" w:lineRule="auto"/>
        <w:jc w:val="both"/>
      </w:pPr>
      <w:r w:rsidRPr="003E514F">
        <w:t xml:space="preserve">Dubois RW, Goodnough LT, </w:t>
      </w:r>
      <w:proofErr w:type="spellStart"/>
      <w:r w:rsidRPr="003E514F">
        <w:t>Ershler</w:t>
      </w:r>
      <w:proofErr w:type="spellEnd"/>
      <w:r w:rsidRPr="003E514F">
        <w:t xml:space="preserve"> WB, Van Winkle L, </w:t>
      </w:r>
      <w:proofErr w:type="spellStart"/>
      <w:r w:rsidRPr="003E514F">
        <w:t>Nissenson</w:t>
      </w:r>
      <w:proofErr w:type="spellEnd"/>
      <w:r w:rsidRPr="003E514F">
        <w:t xml:space="preserve"> AR. Identification, diagnosis, and management of anemia in adult ambulatory patients treated by primary care </w:t>
      </w:r>
      <w:r w:rsidRPr="003E514F">
        <w:lastRenderedPageBreak/>
        <w:t xml:space="preserve">physicians: evidence-based and consensus recommendations. </w:t>
      </w:r>
      <w:proofErr w:type="spellStart"/>
      <w:r w:rsidRPr="003E514F">
        <w:t>Curr</w:t>
      </w:r>
      <w:proofErr w:type="spellEnd"/>
      <w:r w:rsidRPr="003E514F">
        <w:t xml:space="preserve"> Med Res </w:t>
      </w:r>
      <w:proofErr w:type="spellStart"/>
      <w:r w:rsidRPr="003E514F">
        <w:t>Opin</w:t>
      </w:r>
      <w:proofErr w:type="spellEnd"/>
      <w:r w:rsidRPr="003E514F">
        <w:t xml:space="preserve">. 2006 Feb;22(2):385-95. </w:t>
      </w:r>
      <w:proofErr w:type="spellStart"/>
      <w:r w:rsidRPr="003E514F">
        <w:t>doi</w:t>
      </w:r>
      <w:proofErr w:type="spellEnd"/>
      <w:r w:rsidRPr="003E514F">
        <w:t>: 10.1185/030079906X89720. PMID: 16466611.</w:t>
      </w:r>
    </w:p>
    <w:p w14:paraId="4D7CB7A0" w14:textId="0AE1771F" w:rsidR="00D50E6C" w:rsidRDefault="00D50E6C" w:rsidP="002E7E6D">
      <w:pPr>
        <w:pStyle w:val="NormalWeb"/>
        <w:numPr>
          <w:ilvl w:val="0"/>
          <w:numId w:val="2"/>
        </w:numPr>
        <w:spacing w:after="180" w:afterAutospacing="0" w:line="480" w:lineRule="auto"/>
        <w:jc w:val="both"/>
      </w:pPr>
      <w:bookmarkStart w:id="3" w:name="_Hlk222110579"/>
      <w:proofErr w:type="spellStart"/>
      <w:r>
        <w:t>Gamit</w:t>
      </w:r>
      <w:proofErr w:type="spellEnd"/>
      <w:r>
        <w:t xml:space="preserve"> M, </w:t>
      </w:r>
      <w:proofErr w:type="spellStart"/>
      <w:r>
        <w:t>Talwelkar</w:t>
      </w:r>
      <w:proofErr w:type="spellEnd"/>
      <w:r>
        <w:t xml:space="preserve"> HS.</w:t>
      </w:r>
      <w:r w:rsidR="00B10BA8">
        <w:t xml:space="preserve"> </w:t>
      </w:r>
      <w:r>
        <w:t xml:space="preserve">2017.  </w:t>
      </w:r>
      <w:bookmarkEnd w:id="3"/>
      <w:r>
        <w:t>Survey of different types of anemia. International Journal of Medical Sciences and Public Health 6:4</w:t>
      </w:r>
      <w:r w:rsidR="001037CE">
        <w:t>.</w:t>
      </w:r>
    </w:p>
    <w:p w14:paraId="4C8FC985" w14:textId="7854BB62" w:rsidR="001037CE" w:rsidRDefault="001037CE" w:rsidP="002E7E6D">
      <w:pPr>
        <w:pStyle w:val="NormalWeb"/>
        <w:numPr>
          <w:ilvl w:val="0"/>
          <w:numId w:val="2"/>
        </w:numPr>
        <w:spacing w:after="180" w:afterAutospacing="0" w:line="480" w:lineRule="auto"/>
        <w:jc w:val="both"/>
      </w:pPr>
      <w:r w:rsidRPr="001037CE">
        <w:t xml:space="preserve">Garrod, L., </w:t>
      </w:r>
      <w:proofErr w:type="spellStart"/>
      <w:r w:rsidRPr="001037CE">
        <w:t>O'grady</w:t>
      </w:r>
      <w:proofErr w:type="spellEnd"/>
      <w:r w:rsidRPr="001037CE">
        <w:t>, F. W., &amp; Gelfand, M. Livingstone Medical Books.</w:t>
      </w:r>
    </w:p>
    <w:p w14:paraId="449D6092" w14:textId="71004C95" w:rsidR="00D50E6C" w:rsidRDefault="00D50E6C" w:rsidP="002E7E6D">
      <w:pPr>
        <w:pStyle w:val="NormalWeb"/>
        <w:numPr>
          <w:ilvl w:val="0"/>
          <w:numId w:val="2"/>
        </w:numPr>
        <w:spacing w:after="180" w:afterAutospacing="0" w:line="480" w:lineRule="auto"/>
        <w:jc w:val="both"/>
      </w:pPr>
      <w:proofErr w:type="spellStart"/>
      <w:r w:rsidRPr="00D50E6C">
        <w:t>Gheith</w:t>
      </w:r>
      <w:proofErr w:type="spellEnd"/>
      <w:r w:rsidRPr="00D50E6C">
        <w:t xml:space="preserve"> I</w:t>
      </w:r>
      <w:r w:rsidR="0001128B">
        <w:t>,</w:t>
      </w:r>
      <w:r w:rsidRPr="00D50E6C">
        <w:t xml:space="preserve"> El-</w:t>
      </w:r>
      <w:proofErr w:type="spellStart"/>
      <w:r w:rsidRPr="00D50E6C">
        <w:t>Mahmoudy</w:t>
      </w:r>
      <w:proofErr w:type="spellEnd"/>
      <w:r w:rsidRPr="00D50E6C">
        <w:t xml:space="preserve"> A. 2019</w:t>
      </w:r>
      <w:r w:rsidR="00E60FBE">
        <w:t>.</w:t>
      </w:r>
      <w:r w:rsidRPr="00D50E6C">
        <w:t xml:space="preserve"> Hemogram and iron indices in renal anemia and the amelioration with </w:t>
      </w:r>
      <w:r w:rsidRPr="00675C75">
        <w:rPr>
          <w:i/>
          <w:iCs/>
        </w:rPr>
        <w:t>Carica papaya</w:t>
      </w:r>
      <w:r w:rsidRPr="00D50E6C">
        <w:t xml:space="preserve"> leaf extract applied on albino rat model</w:t>
      </w:r>
      <w:r w:rsidRPr="00D50E6C">
        <w:rPr>
          <w:i/>
          <w:iCs/>
        </w:rPr>
        <w:t>. </w:t>
      </w:r>
      <w:r w:rsidRPr="00D50E6C">
        <w:t>Bioscience Reports, 39(4)</w:t>
      </w:r>
      <w:r w:rsidR="0001128B">
        <w:t>:</w:t>
      </w:r>
      <w:r w:rsidRPr="00D50E6C">
        <w:t xml:space="preserve"> BSR20181699.</w:t>
      </w:r>
    </w:p>
    <w:p w14:paraId="5D0699A9" w14:textId="78F08B49" w:rsidR="003E514F" w:rsidRDefault="003E514F" w:rsidP="002E7E6D">
      <w:pPr>
        <w:pStyle w:val="NormalWeb"/>
        <w:numPr>
          <w:ilvl w:val="0"/>
          <w:numId w:val="2"/>
        </w:numPr>
        <w:spacing w:after="180" w:afterAutospacing="0" w:line="480" w:lineRule="auto"/>
        <w:jc w:val="both"/>
      </w:pPr>
      <w:r w:rsidRPr="003E514F">
        <w:t>Hall, J. E., &amp; Hall, M. E. (2020). </w:t>
      </w:r>
      <w:r w:rsidRPr="003E514F">
        <w:rPr>
          <w:i/>
          <w:iCs/>
        </w:rPr>
        <w:t>Guyton and Hall textbook of medical physiology e-book: Guyton and Hall textbook of medical physiology e-book</w:t>
      </w:r>
      <w:r w:rsidRPr="003E514F">
        <w:t>. Elsevier Health Sciences.</w:t>
      </w:r>
    </w:p>
    <w:p w14:paraId="53C70745" w14:textId="318FEB31" w:rsidR="00E60FBE" w:rsidRPr="00D50E6C" w:rsidRDefault="00E60FBE" w:rsidP="002E7E6D">
      <w:pPr>
        <w:pStyle w:val="NormalWeb"/>
        <w:numPr>
          <w:ilvl w:val="0"/>
          <w:numId w:val="2"/>
        </w:numPr>
        <w:spacing w:after="180" w:afterAutospacing="0" w:line="480" w:lineRule="auto"/>
        <w:jc w:val="both"/>
      </w:pPr>
      <w:proofErr w:type="spellStart"/>
      <w:r w:rsidRPr="00E60FBE">
        <w:t>Hussien</w:t>
      </w:r>
      <w:proofErr w:type="spellEnd"/>
      <w:r>
        <w:t xml:space="preserve"> </w:t>
      </w:r>
      <w:r w:rsidRPr="00E60FBE">
        <w:t xml:space="preserve">RS, </w:t>
      </w:r>
      <w:proofErr w:type="spellStart"/>
      <w:r w:rsidRPr="00E60FBE">
        <w:t>Jabuk</w:t>
      </w:r>
      <w:proofErr w:type="spellEnd"/>
      <w:r>
        <w:t xml:space="preserve"> </w:t>
      </w:r>
      <w:r w:rsidRPr="00E60FBE">
        <w:t xml:space="preserve">SI, </w:t>
      </w:r>
      <w:proofErr w:type="spellStart"/>
      <w:r w:rsidRPr="00E60FBE">
        <w:t>Altaee</w:t>
      </w:r>
      <w:proofErr w:type="spellEnd"/>
      <w:r>
        <w:t xml:space="preserve"> </w:t>
      </w:r>
      <w:r w:rsidRPr="00E60FBE">
        <w:t>ZM, Al-</w:t>
      </w:r>
      <w:proofErr w:type="spellStart"/>
      <w:r w:rsidRPr="00E60FBE">
        <w:t>Maamori</w:t>
      </w:r>
      <w:proofErr w:type="spellEnd"/>
      <w:r w:rsidRPr="00E60FBE">
        <w:t xml:space="preserve"> AM. 2023. Review of anemia: types and causes. European Journal of Research Development and Sustainability </w:t>
      </w:r>
      <w:r w:rsidRPr="00E60FBE">
        <w:rPr>
          <w:i/>
          <w:iCs/>
        </w:rPr>
        <w:t>4</w:t>
      </w:r>
      <w:r w:rsidRPr="00E60FBE">
        <w:t>(7)</w:t>
      </w:r>
      <w:r>
        <w:t xml:space="preserve">: </w:t>
      </w:r>
      <w:r w:rsidRPr="00E60FBE">
        <w:t>1-3.</w:t>
      </w:r>
    </w:p>
    <w:p w14:paraId="648EAD02" w14:textId="3242B5E6" w:rsidR="00D50E6C" w:rsidRDefault="00D50E6C" w:rsidP="002E7E6D">
      <w:pPr>
        <w:pStyle w:val="NormalWeb"/>
        <w:numPr>
          <w:ilvl w:val="0"/>
          <w:numId w:val="2"/>
        </w:numPr>
        <w:spacing w:after="180" w:afterAutospacing="0" w:line="480" w:lineRule="auto"/>
        <w:jc w:val="both"/>
      </w:pPr>
      <w:r>
        <w:t xml:space="preserve">Kayode AAA, Kayode OT. 2011. Some medicinal values of </w:t>
      </w:r>
      <w:proofErr w:type="spellStart"/>
      <w:r w:rsidRPr="00310F6A">
        <w:rPr>
          <w:i/>
          <w:iCs/>
        </w:rPr>
        <w:t>Telfairia</w:t>
      </w:r>
      <w:proofErr w:type="spellEnd"/>
      <w:r w:rsidRPr="00310F6A">
        <w:rPr>
          <w:i/>
          <w:iCs/>
        </w:rPr>
        <w:t xml:space="preserve"> </w:t>
      </w:r>
      <w:proofErr w:type="spellStart"/>
      <w:r w:rsidRPr="00310F6A">
        <w:rPr>
          <w:i/>
          <w:iCs/>
        </w:rPr>
        <w:t>occidentalis</w:t>
      </w:r>
      <w:proofErr w:type="spellEnd"/>
      <w:r>
        <w:t>: A Review. American Journal of Biochemistry and Molecular Biology 1:9</w:t>
      </w:r>
      <w:r w:rsidR="003E2684">
        <w:t>.</w:t>
      </w:r>
    </w:p>
    <w:p w14:paraId="0B5C25DB" w14:textId="7D20BD05" w:rsidR="003E2684" w:rsidRDefault="003E2684" w:rsidP="002E7E6D">
      <w:pPr>
        <w:pStyle w:val="NormalWeb"/>
        <w:numPr>
          <w:ilvl w:val="0"/>
          <w:numId w:val="2"/>
        </w:numPr>
        <w:spacing w:after="180" w:afterAutospacing="0" w:line="480" w:lineRule="auto"/>
        <w:jc w:val="both"/>
      </w:pPr>
      <w:r w:rsidRPr="003E2684">
        <w:t>Leung AK, Lam JM, Wong</w:t>
      </w:r>
      <w:r w:rsidR="0001128B">
        <w:t xml:space="preserve"> </w:t>
      </w:r>
      <w:r w:rsidRPr="003E2684">
        <w:t>AH, Hon</w:t>
      </w:r>
      <w:r w:rsidR="0001128B">
        <w:t xml:space="preserve"> </w:t>
      </w:r>
      <w:r w:rsidRPr="003E2684">
        <w:t>KL,  Li X. 2024. Iron deficiency anemia: an updated review. Current pediatric reviews, 20(3)</w:t>
      </w:r>
      <w:r w:rsidR="0001128B">
        <w:t xml:space="preserve">: </w:t>
      </w:r>
      <w:r w:rsidRPr="003E2684">
        <w:t>339-356.</w:t>
      </w:r>
    </w:p>
    <w:p w14:paraId="1BE6F8CA" w14:textId="67EA148E" w:rsidR="003E514F" w:rsidRDefault="003E514F" w:rsidP="002E7E6D">
      <w:pPr>
        <w:pStyle w:val="NormalWeb"/>
        <w:numPr>
          <w:ilvl w:val="0"/>
          <w:numId w:val="2"/>
        </w:numPr>
        <w:spacing w:after="180" w:afterAutospacing="0" w:line="480" w:lineRule="auto"/>
        <w:jc w:val="both"/>
      </w:pPr>
      <w:proofErr w:type="spellStart"/>
      <w:r w:rsidRPr="003E514F">
        <w:t>Libregts</w:t>
      </w:r>
      <w:proofErr w:type="spellEnd"/>
      <w:r w:rsidRPr="003E514F">
        <w:t xml:space="preserve">, S. F., Gutiérrez, L., de Bruin, A. M., </w:t>
      </w:r>
      <w:proofErr w:type="spellStart"/>
      <w:r w:rsidRPr="003E514F">
        <w:t>Wensveen</w:t>
      </w:r>
      <w:proofErr w:type="spellEnd"/>
      <w:r w:rsidRPr="003E514F">
        <w:t xml:space="preserve">, F. M., Papadopoulos, P., van </w:t>
      </w:r>
      <w:proofErr w:type="spellStart"/>
      <w:r w:rsidRPr="003E514F">
        <w:t>Ijcken</w:t>
      </w:r>
      <w:proofErr w:type="spellEnd"/>
      <w:r w:rsidRPr="003E514F">
        <w:t>, W., ... &amp; Nolte, M. A. (2011). Chronic IFN-γ production in mice induces anemia by reducing erythrocyte life span and inhibiting erythropoiesis through an IRF-1/PU. 1 axis. </w:t>
      </w:r>
      <w:r w:rsidRPr="003E514F">
        <w:rPr>
          <w:i/>
          <w:iCs/>
        </w:rPr>
        <w:t>Blood, The Journal of the American Society of Hematology</w:t>
      </w:r>
      <w:r w:rsidRPr="003E514F">
        <w:t>, </w:t>
      </w:r>
      <w:r w:rsidRPr="003E514F">
        <w:rPr>
          <w:i/>
          <w:iCs/>
        </w:rPr>
        <w:t>118</w:t>
      </w:r>
      <w:r w:rsidRPr="003E514F">
        <w:t>(9), 2578-2588.</w:t>
      </w:r>
    </w:p>
    <w:p w14:paraId="50901C1D" w14:textId="11BC6C51" w:rsidR="00D50E6C" w:rsidRPr="002E7E6D" w:rsidRDefault="00D50E6C" w:rsidP="002E7E6D">
      <w:pPr>
        <w:pStyle w:val="ListParagraph"/>
        <w:numPr>
          <w:ilvl w:val="0"/>
          <w:numId w:val="2"/>
        </w:numPr>
        <w:spacing w:before="75" w:after="75" w:line="480" w:lineRule="auto"/>
        <w:rPr>
          <w:rFonts w:ascii="Times New Roman" w:eastAsia="Times New Roman" w:hAnsi="Times New Roman"/>
          <w:kern w:val="0"/>
          <w:sz w:val="24"/>
        </w:rPr>
      </w:pPr>
      <w:r w:rsidRPr="002E7E6D">
        <w:rPr>
          <w:rFonts w:ascii="Times New Roman" w:hAnsi="Times New Roman"/>
          <w:sz w:val="24"/>
        </w:rPr>
        <w:t xml:space="preserve">Luka CD, </w:t>
      </w:r>
      <w:proofErr w:type="spellStart"/>
      <w:r w:rsidRPr="002E7E6D">
        <w:rPr>
          <w:rFonts w:ascii="Times New Roman" w:hAnsi="Times New Roman"/>
          <w:sz w:val="24"/>
        </w:rPr>
        <w:t>Abdulkarim</w:t>
      </w:r>
      <w:proofErr w:type="spellEnd"/>
      <w:r w:rsidRPr="002E7E6D">
        <w:rPr>
          <w:rFonts w:ascii="Times New Roman" w:hAnsi="Times New Roman"/>
          <w:sz w:val="24"/>
        </w:rPr>
        <w:t xml:space="preserve"> M, </w:t>
      </w:r>
      <w:proofErr w:type="spellStart"/>
      <w:r w:rsidRPr="002E7E6D">
        <w:rPr>
          <w:rFonts w:ascii="Times New Roman" w:hAnsi="Times New Roman"/>
          <w:sz w:val="24"/>
        </w:rPr>
        <w:t>Adoga</w:t>
      </w:r>
      <w:proofErr w:type="spellEnd"/>
      <w:r w:rsidRPr="002E7E6D">
        <w:rPr>
          <w:rFonts w:ascii="Times New Roman" w:hAnsi="Times New Roman"/>
          <w:sz w:val="24"/>
        </w:rPr>
        <w:t xml:space="preserve"> GI, </w:t>
      </w:r>
      <w:proofErr w:type="spellStart"/>
      <w:r w:rsidRPr="002E7E6D">
        <w:rPr>
          <w:rFonts w:ascii="Times New Roman" w:hAnsi="Times New Roman"/>
          <w:sz w:val="24"/>
        </w:rPr>
        <w:t>Tijjani</w:t>
      </w:r>
      <w:proofErr w:type="spellEnd"/>
      <w:r w:rsidRPr="002E7E6D">
        <w:rPr>
          <w:rFonts w:ascii="Times New Roman" w:hAnsi="Times New Roman"/>
          <w:sz w:val="24"/>
        </w:rPr>
        <w:t xml:space="preserve"> H Olatunde A.</w:t>
      </w:r>
      <w:r w:rsidRPr="002E7E6D">
        <w:rPr>
          <w:rFonts w:ascii="Times New Roman" w:hAnsi="Times New Roman"/>
          <w:sz w:val="24"/>
          <w:lang w:val="en-GB"/>
        </w:rPr>
        <w:t xml:space="preserve"> </w:t>
      </w:r>
      <w:r w:rsidRPr="002E7E6D">
        <w:rPr>
          <w:rFonts w:ascii="Times New Roman" w:hAnsi="Times New Roman"/>
          <w:sz w:val="24"/>
        </w:rPr>
        <w:t>2014. Anti-</w:t>
      </w:r>
      <w:proofErr w:type="spellStart"/>
      <w:r w:rsidRPr="002E7E6D">
        <w:rPr>
          <w:rFonts w:ascii="Times New Roman" w:hAnsi="Times New Roman"/>
          <w:sz w:val="24"/>
        </w:rPr>
        <w:t>anaemic</w:t>
      </w:r>
      <w:proofErr w:type="spellEnd"/>
      <w:r w:rsidRPr="002E7E6D">
        <w:rPr>
          <w:rFonts w:ascii="Times New Roman" w:hAnsi="Times New Roman"/>
          <w:sz w:val="24"/>
        </w:rPr>
        <w:t xml:space="preserve"> potential </w:t>
      </w:r>
      <w:r w:rsidRPr="002E7E6D">
        <w:rPr>
          <w:rFonts w:ascii="Times New Roman" w:hAnsi="Times New Roman"/>
          <w:sz w:val="24"/>
        </w:rPr>
        <w:lastRenderedPageBreak/>
        <w:t xml:space="preserve">of aqueous extract of </w:t>
      </w:r>
      <w:r w:rsidRPr="002E7E6D">
        <w:rPr>
          <w:rFonts w:ascii="Times New Roman" w:hAnsi="Times New Roman"/>
          <w:i/>
          <w:iCs/>
          <w:sz w:val="24"/>
        </w:rPr>
        <w:t xml:space="preserve">Spinacia </w:t>
      </w:r>
      <w:r w:rsidRPr="002E7E6D">
        <w:rPr>
          <w:rFonts w:ascii="Times New Roman" w:eastAsia="Times New Roman" w:hAnsi="Times New Roman"/>
          <w:i/>
          <w:iCs/>
          <w:kern w:val="0"/>
          <w:sz w:val="24"/>
        </w:rPr>
        <w:t>oleracea</w:t>
      </w:r>
      <w:r w:rsidRPr="002E7E6D">
        <w:rPr>
          <w:rFonts w:ascii="Times New Roman" w:eastAsia="Times New Roman" w:hAnsi="Times New Roman"/>
          <w:kern w:val="0"/>
          <w:sz w:val="24"/>
        </w:rPr>
        <w:t xml:space="preserve"> Leaf in Phenylhydrazine-treated Rats.  New York Science Journal.</w:t>
      </w:r>
    </w:p>
    <w:p w14:paraId="43935E13" w14:textId="48CF778C" w:rsidR="00D50E6C" w:rsidRPr="002E7E6D" w:rsidRDefault="00D50E6C" w:rsidP="002E7E6D">
      <w:pPr>
        <w:pStyle w:val="ListParagraph"/>
        <w:numPr>
          <w:ilvl w:val="0"/>
          <w:numId w:val="2"/>
        </w:numPr>
        <w:spacing w:before="75" w:after="75" w:line="480" w:lineRule="auto"/>
        <w:rPr>
          <w:rFonts w:eastAsia="Times"/>
          <w:color w:val="000000"/>
        </w:rPr>
      </w:pPr>
      <w:r w:rsidRPr="002E7E6D">
        <w:rPr>
          <w:rFonts w:ascii="Times New Roman" w:eastAsia="Times New Roman" w:hAnsi="Times New Roman"/>
          <w:kern w:val="0"/>
          <w:sz w:val="24"/>
        </w:rPr>
        <w:t>McLean E, Cogswell</w:t>
      </w:r>
      <w:r w:rsidR="0001128B" w:rsidRPr="002E7E6D">
        <w:rPr>
          <w:rFonts w:ascii="Times New Roman" w:eastAsia="Times New Roman" w:hAnsi="Times New Roman"/>
          <w:kern w:val="0"/>
          <w:sz w:val="24"/>
        </w:rPr>
        <w:t xml:space="preserve"> </w:t>
      </w:r>
      <w:r w:rsidRPr="002E7E6D">
        <w:rPr>
          <w:rFonts w:ascii="Times New Roman" w:eastAsia="Times New Roman" w:hAnsi="Times New Roman"/>
          <w:kern w:val="0"/>
          <w:sz w:val="24"/>
        </w:rPr>
        <w:t xml:space="preserve">M, Egli I, Wojdyla D, de Benoist B. 2009. Worldwide prevalence of anaemia, WHO Vitamin and Mineral Nutrition Information System, 1993–2005. </w:t>
      </w:r>
      <w:r w:rsidRPr="002E7E6D">
        <w:rPr>
          <w:rFonts w:ascii="Times New Roman" w:eastAsia="Times" w:hAnsi="Times New Roman"/>
          <w:color w:val="000000"/>
          <w:sz w:val="24"/>
        </w:rPr>
        <w:t>WHO Global Database on Anaemia. WHO-CDC, 48 p.</w:t>
      </w:r>
      <w:r w:rsidRPr="002E7E6D">
        <w:rPr>
          <w:rFonts w:eastAsia="Times"/>
          <w:color w:val="000000"/>
        </w:rPr>
        <w:t xml:space="preserve"> </w:t>
      </w:r>
    </w:p>
    <w:p w14:paraId="0A51D3D0" w14:textId="70AA2399" w:rsidR="00C179CD" w:rsidRPr="002E7E6D" w:rsidRDefault="00C179CD" w:rsidP="002E7E6D">
      <w:pPr>
        <w:pStyle w:val="ListParagraph"/>
        <w:numPr>
          <w:ilvl w:val="0"/>
          <w:numId w:val="2"/>
        </w:numPr>
        <w:spacing w:before="75" w:after="75" w:line="480" w:lineRule="auto"/>
        <w:rPr>
          <w:rFonts w:ascii="Times New Roman" w:eastAsia="Times" w:hAnsi="Times New Roman"/>
          <w:color w:val="000000"/>
          <w:sz w:val="24"/>
        </w:rPr>
      </w:pPr>
      <w:r w:rsidRPr="002E7E6D">
        <w:rPr>
          <w:rFonts w:ascii="Times New Roman" w:eastAsia="Times" w:hAnsi="Times New Roman"/>
          <w:color w:val="000000"/>
          <w:sz w:val="24"/>
        </w:rPr>
        <w:t xml:space="preserve">Nwakanma AA, Okpara UD, </w:t>
      </w:r>
      <w:proofErr w:type="spellStart"/>
      <w:r w:rsidRPr="002E7E6D">
        <w:rPr>
          <w:rFonts w:ascii="Times New Roman" w:eastAsia="Times" w:hAnsi="Times New Roman"/>
          <w:color w:val="000000"/>
          <w:sz w:val="24"/>
        </w:rPr>
        <w:t>Elemuo</w:t>
      </w:r>
      <w:proofErr w:type="spellEnd"/>
      <w:r w:rsidRPr="002E7E6D">
        <w:rPr>
          <w:rFonts w:ascii="Times New Roman" w:eastAsia="Times" w:hAnsi="Times New Roman"/>
          <w:color w:val="000000"/>
          <w:sz w:val="24"/>
        </w:rPr>
        <w:t xml:space="preserve"> CO. 2021. Histological Study of the Anti-Oxidative Potentials of Ethanolic Leaf Extract of </w:t>
      </w:r>
      <w:r w:rsidRPr="002E7E6D">
        <w:rPr>
          <w:rFonts w:ascii="Times New Roman" w:eastAsia="Times" w:hAnsi="Times New Roman"/>
          <w:i/>
          <w:iCs/>
          <w:color w:val="000000"/>
          <w:sz w:val="24"/>
        </w:rPr>
        <w:t>Talinum Triangulare</w:t>
      </w:r>
      <w:r w:rsidRPr="002E7E6D">
        <w:rPr>
          <w:rFonts w:ascii="Times New Roman" w:eastAsia="Times" w:hAnsi="Times New Roman"/>
          <w:color w:val="000000"/>
          <w:sz w:val="24"/>
        </w:rPr>
        <w:t xml:space="preserve"> (Water Leaf) on the Liver of Monosodium Glutamate (MSG) Induced Hepatotoxicity in Albino Wistar Rats. </w:t>
      </w:r>
      <w:r w:rsidR="00801D35" w:rsidRPr="002E7E6D">
        <w:rPr>
          <w:rFonts w:ascii="Times New Roman" w:eastAsia="Times" w:hAnsi="Times New Roman"/>
          <w:color w:val="000000"/>
          <w:sz w:val="24"/>
        </w:rPr>
        <w:t xml:space="preserve">  </w:t>
      </w:r>
      <w:r w:rsidRPr="002E7E6D">
        <w:rPr>
          <w:rFonts w:ascii="Times New Roman" w:eastAsia="Times" w:hAnsi="Times New Roman"/>
          <w:color w:val="000000"/>
          <w:sz w:val="24"/>
        </w:rPr>
        <w:t> </w:t>
      </w:r>
      <w:r w:rsidRPr="002E7E6D">
        <w:rPr>
          <w:rFonts w:ascii="Times New Roman" w:eastAsia="Times" w:hAnsi="Times New Roman"/>
          <w:i/>
          <w:iCs/>
          <w:color w:val="000000"/>
          <w:sz w:val="24"/>
        </w:rPr>
        <w:t>19</w:t>
      </w:r>
      <w:r w:rsidRPr="002E7E6D">
        <w:rPr>
          <w:rFonts w:ascii="Times New Roman" w:eastAsia="Times" w:hAnsi="Times New Roman"/>
          <w:color w:val="000000"/>
          <w:sz w:val="24"/>
        </w:rPr>
        <w:t>, 12-16.</w:t>
      </w:r>
    </w:p>
    <w:p w14:paraId="2ED18EB6" w14:textId="28CC0771" w:rsidR="0001128B" w:rsidRPr="002E7E6D" w:rsidRDefault="0001128B" w:rsidP="002E7E6D">
      <w:pPr>
        <w:pStyle w:val="ListParagraph"/>
        <w:numPr>
          <w:ilvl w:val="0"/>
          <w:numId w:val="2"/>
        </w:numPr>
        <w:spacing w:before="75" w:after="75" w:line="480" w:lineRule="auto"/>
        <w:rPr>
          <w:rFonts w:ascii="Times New Roman" w:eastAsia="Times New Roman" w:hAnsi="Times New Roman"/>
          <w:kern w:val="0"/>
          <w:sz w:val="24"/>
        </w:rPr>
      </w:pPr>
      <w:proofErr w:type="spellStart"/>
      <w:r w:rsidRPr="002E7E6D">
        <w:rPr>
          <w:rFonts w:ascii="Times New Roman" w:eastAsia="Times New Roman" w:hAnsi="Times New Roman"/>
          <w:kern w:val="0"/>
          <w:sz w:val="24"/>
        </w:rPr>
        <w:t>Ochei</w:t>
      </w:r>
      <w:proofErr w:type="spellEnd"/>
      <w:r w:rsidRPr="002E7E6D">
        <w:rPr>
          <w:rFonts w:ascii="Times New Roman" w:eastAsia="Times New Roman" w:hAnsi="Times New Roman"/>
          <w:kern w:val="0"/>
          <w:sz w:val="24"/>
        </w:rPr>
        <w:t xml:space="preserve"> J, Kolhatkar A. 2008. Medical laboratory sciences: Theory and practice (pp. 663–665). New York: Tata McGraw Hill. Retrieved from https://www.researchgate. net/publication/290158410 Medical Laboratory Science Theory and Practice. </w:t>
      </w:r>
    </w:p>
    <w:p w14:paraId="0FC185A4" w14:textId="0F664FF9" w:rsidR="0001128B" w:rsidRDefault="0001128B" w:rsidP="002E7E6D">
      <w:pPr>
        <w:pStyle w:val="NormalWeb"/>
        <w:numPr>
          <w:ilvl w:val="0"/>
          <w:numId w:val="2"/>
        </w:numPr>
        <w:spacing w:after="180" w:afterAutospacing="0" w:line="480" w:lineRule="auto"/>
        <w:jc w:val="both"/>
      </w:pPr>
      <w:proofErr w:type="spellStart"/>
      <w:r w:rsidRPr="0001128B">
        <w:t>Ogbe</w:t>
      </w:r>
      <w:proofErr w:type="spellEnd"/>
      <w:r w:rsidRPr="0001128B">
        <w:t xml:space="preserve"> RJ, </w:t>
      </w:r>
      <w:proofErr w:type="spellStart"/>
      <w:r w:rsidRPr="0001128B">
        <w:t>Adoga</w:t>
      </w:r>
      <w:proofErr w:type="spellEnd"/>
      <w:r>
        <w:t xml:space="preserve"> </w:t>
      </w:r>
      <w:r w:rsidRPr="0001128B">
        <w:t>GI, Abu</w:t>
      </w:r>
      <w:r>
        <w:t xml:space="preserve"> </w:t>
      </w:r>
      <w:r w:rsidRPr="0001128B">
        <w:t>AH. 2010. Anti</w:t>
      </w:r>
      <w:r>
        <w:t>-</w:t>
      </w:r>
      <w:proofErr w:type="spellStart"/>
      <w:r w:rsidRPr="0001128B">
        <w:t>anaemic</w:t>
      </w:r>
      <w:proofErr w:type="spellEnd"/>
      <w:r w:rsidRPr="0001128B">
        <w:t xml:space="preserve"> potentials of some plant extracts on phenyl hydrazine induced anemia in rabbits. J</w:t>
      </w:r>
      <w:r>
        <w:t>ournal of</w:t>
      </w:r>
      <w:r w:rsidRPr="0001128B">
        <w:t xml:space="preserve"> Med</w:t>
      </w:r>
      <w:r>
        <w:t xml:space="preserve">icinal </w:t>
      </w:r>
      <w:r w:rsidRPr="0001128B">
        <w:t>Plants Res</w:t>
      </w:r>
      <w:r>
        <w:t>earch</w:t>
      </w:r>
      <w:r w:rsidRPr="0001128B">
        <w:t xml:space="preserve"> 4(8)</w:t>
      </w:r>
      <w:r>
        <w:t>:</w:t>
      </w:r>
      <w:r w:rsidRPr="0001128B">
        <w:t xml:space="preserve"> 680–684. </w:t>
      </w:r>
      <w:hyperlink r:id="rId10" w:history="1">
        <w:r w:rsidRPr="00092926">
          <w:rPr>
            <w:rStyle w:val="Hyperlink"/>
          </w:rPr>
          <w:t>http://dx.doi.org/10.5897/JMPR09.487</w:t>
        </w:r>
      </w:hyperlink>
      <w:r w:rsidR="00781964">
        <w:t>.</w:t>
      </w:r>
    </w:p>
    <w:p w14:paraId="7C65DE9C" w14:textId="74BC674C" w:rsidR="00781964" w:rsidRDefault="00781964" w:rsidP="002E7E6D">
      <w:pPr>
        <w:pStyle w:val="NormalWeb"/>
        <w:numPr>
          <w:ilvl w:val="0"/>
          <w:numId w:val="2"/>
        </w:numPr>
        <w:spacing w:after="180" w:afterAutospacing="0" w:line="480" w:lineRule="auto"/>
        <w:jc w:val="both"/>
      </w:pPr>
      <w:r w:rsidRPr="00781964">
        <w:t xml:space="preserve">Onyeabo C, Achi NK, </w:t>
      </w:r>
      <w:proofErr w:type="spellStart"/>
      <w:r w:rsidRPr="00781964">
        <w:t>Ekeleme-Egedigwe</w:t>
      </w:r>
      <w:proofErr w:type="spellEnd"/>
      <w:r w:rsidRPr="00781964">
        <w:t xml:space="preserve"> CA, </w:t>
      </w:r>
      <w:proofErr w:type="spellStart"/>
      <w:r w:rsidRPr="00781964">
        <w:t>Ebere</w:t>
      </w:r>
      <w:proofErr w:type="spellEnd"/>
      <w:r w:rsidRPr="00781964">
        <w:t xml:space="preserve"> CU,  Okoro</w:t>
      </w:r>
      <w:r>
        <w:t xml:space="preserve"> </w:t>
      </w:r>
      <w:r w:rsidRPr="00781964">
        <w:t xml:space="preserve">CK. </w:t>
      </w:r>
      <w:r>
        <w:t>2</w:t>
      </w:r>
      <w:r w:rsidRPr="00781964">
        <w:t xml:space="preserve">017. </w:t>
      </w:r>
      <w:proofErr w:type="spellStart"/>
      <w:r w:rsidRPr="00781964">
        <w:t>Haematological</w:t>
      </w:r>
      <w:proofErr w:type="spellEnd"/>
      <w:r w:rsidRPr="00781964">
        <w:t xml:space="preserve"> and biochemical studies on </w:t>
      </w:r>
      <w:r w:rsidRPr="00781964">
        <w:rPr>
          <w:i/>
          <w:iCs/>
        </w:rPr>
        <w:t xml:space="preserve">Justicia </w:t>
      </w:r>
      <w:proofErr w:type="spellStart"/>
      <w:r w:rsidRPr="00781964">
        <w:rPr>
          <w:i/>
          <w:iCs/>
        </w:rPr>
        <w:t>carnea</w:t>
      </w:r>
      <w:proofErr w:type="spellEnd"/>
      <w:r w:rsidRPr="00781964">
        <w:t xml:space="preserve"> leaves extract in phenylhydrazine induced-anemia in albino rats. Acta </w:t>
      </w:r>
      <w:proofErr w:type="spellStart"/>
      <w:r w:rsidRPr="00781964">
        <w:t>Scientiarum</w:t>
      </w:r>
      <w:proofErr w:type="spellEnd"/>
      <w:r w:rsidRPr="00781964">
        <w:t xml:space="preserve"> </w:t>
      </w:r>
      <w:proofErr w:type="spellStart"/>
      <w:r w:rsidRPr="00781964">
        <w:t>Polonorum</w:t>
      </w:r>
      <w:proofErr w:type="spellEnd"/>
      <w:r w:rsidRPr="00781964">
        <w:t xml:space="preserve"> </w:t>
      </w:r>
      <w:proofErr w:type="spellStart"/>
      <w:r w:rsidRPr="00781964">
        <w:t>Technologia</w:t>
      </w:r>
      <w:proofErr w:type="spellEnd"/>
      <w:r w:rsidRPr="00781964">
        <w:t xml:space="preserve"> </w:t>
      </w:r>
      <w:proofErr w:type="spellStart"/>
      <w:r w:rsidRPr="00781964">
        <w:t>Alimentaria</w:t>
      </w:r>
      <w:proofErr w:type="spellEnd"/>
      <w:r w:rsidRPr="00781964">
        <w:t>, </w:t>
      </w:r>
      <w:r w:rsidRPr="00781964">
        <w:rPr>
          <w:i/>
          <w:iCs/>
        </w:rPr>
        <w:t>16</w:t>
      </w:r>
      <w:r w:rsidRPr="00781964">
        <w:t>(2)</w:t>
      </w:r>
      <w:r>
        <w:t>:</w:t>
      </w:r>
      <w:r w:rsidRPr="00781964">
        <w:t>217-230.</w:t>
      </w:r>
    </w:p>
    <w:p w14:paraId="41BCDEB0" w14:textId="3D5B2AA0" w:rsidR="00D50E6C" w:rsidRDefault="00D50E6C" w:rsidP="002E7E6D">
      <w:pPr>
        <w:pStyle w:val="NormalWeb"/>
        <w:numPr>
          <w:ilvl w:val="0"/>
          <w:numId w:val="2"/>
        </w:numPr>
        <w:spacing w:after="180" w:afterAutospacing="0" w:line="480" w:lineRule="auto"/>
        <w:jc w:val="both"/>
      </w:pPr>
      <w:proofErr w:type="spellStart"/>
      <w:r w:rsidRPr="00D50E6C">
        <w:t>Otitoju</w:t>
      </w:r>
      <w:proofErr w:type="spellEnd"/>
      <w:r w:rsidRPr="00D50E6C">
        <w:t xml:space="preserve"> O</w:t>
      </w:r>
      <w:r>
        <w:t>,</w:t>
      </w:r>
      <w:r w:rsidRPr="00D50E6C">
        <w:t xml:space="preserve"> </w:t>
      </w:r>
      <w:proofErr w:type="spellStart"/>
      <w:r w:rsidRPr="00D50E6C">
        <w:t>Nwamarah</w:t>
      </w:r>
      <w:proofErr w:type="spellEnd"/>
      <w:r w:rsidRPr="00D50E6C">
        <w:t xml:space="preserve"> JU, </w:t>
      </w:r>
      <w:proofErr w:type="spellStart"/>
      <w:r w:rsidRPr="00D50E6C">
        <w:t>Otitoju</w:t>
      </w:r>
      <w:proofErr w:type="spellEnd"/>
      <w:r w:rsidRPr="00D50E6C">
        <w:t xml:space="preserve"> GTO, Okorie AU, Stevens</w:t>
      </w:r>
      <w:r w:rsidR="0001128B">
        <w:t xml:space="preserve"> </w:t>
      </w:r>
      <w:r w:rsidRPr="00D50E6C">
        <w:t xml:space="preserve">C, </w:t>
      </w:r>
      <w:proofErr w:type="spellStart"/>
      <w:r w:rsidRPr="00D50E6C">
        <w:t>Baiyeri</w:t>
      </w:r>
      <w:proofErr w:type="spellEnd"/>
      <w:r w:rsidRPr="00D50E6C">
        <w:t xml:space="preserve">, KP. 2014. Effect of </w:t>
      </w:r>
      <w:r w:rsidRPr="0001128B">
        <w:rPr>
          <w:i/>
          <w:iCs/>
        </w:rPr>
        <w:t>Moringa oleifera</w:t>
      </w:r>
      <w:r w:rsidRPr="00D50E6C">
        <w:t xml:space="preserve"> aqueous leaf extract on some </w:t>
      </w:r>
      <w:r w:rsidR="0001128B" w:rsidRPr="00D50E6C">
        <w:t>hematological</w:t>
      </w:r>
      <w:r w:rsidRPr="00D50E6C">
        <w:t xml:space="preserve"> indices in Wistar rats. Chemical and </w:t>
      </w:r>
      <w:r w:rsidR="0001128B">
        <w:t>P</w:t>
      </w:r>
      <w:r w:rsidRPr="00D50E6C">
        <w:t xml:space="preserve">rocess </w:t>
      </w:r>
      <w:r w:rsidR="0001128B">
        <w:t>E</w:t>
      </w:r>
      <w:r w:rsidRPr="00D50E6C">
        <w:t xml:space="preserve">ngineering </w:t>
      </w:r>
      <w:r w:rsidR="0001128B">
        <w:t>R</w:t>
      </w:r>
      <w:r w:rsidRPr="00D50E6C">
        <w:t>esearch</w:t>
      </w:r>
      <w:r w:rsidR="0001128B">
        <w:t>.</w:t>
      </w:r>
      <w:r w:rsidRPr="00D50E6C">
        <w:t>18</w:t>
      </w:r>
      <w:r w:rsidR="0001128B">
        <w:t>:</w:t>
      </w:r>
      <w:r w:rsidRPr="00D50E6C">
        <w:t xml:space="preserve"> 26-30.</w:t>
      </w:r>
    </w:p>
    <w:p w14:paraId="05B7D2AB" w14:textId="77777777" w:rsidR="00D50E6C" w:rsidRDefault="00D50E6C" w:rsidP="002E7E6D">
      <w:pPr>
        <w:pStyle w:val="NormalWeb"/>
        <w:numPr>
          <w:ilvl w:val="0"/>
          <w:numId w:val="2"/>
        </w:numPr>
        <w:spacing w:after="180" w:afterAutospacing="0" w:line="480" w:lineRule="auto"/>
        <w:jc w:val="both"/>
      </w:pPr>
      <w:proofErr w:type="spellStart"/>
      <w:r>
        <w:lastRenderedPageBreak/>
        <w:t>Sofowora</w:t>
      </w:r>
      <w:proofErr w:type="spellEnd"/>
      <w:r>
        <w:t xml:space="preserve"> A. 1993. Medicinal Plants and Traditional Medicine sin Africa. Spectrum Books Ltd, Ibadan Nigeria. P, 289.</w:t>
      </w:r>
    </w:p>
    <w:p w14:paraId="09BFC842" w14:textId="417D6461" w:rsidR="00D50E6C" w:rsidRDefault="00D50E6C" w:rsidP="002E7E6D">
      <w:pPr>
        <w:pStyle w:val="NormalWeb"/>
        <w:numPr>
          <w:ilvl w:val="0"/>
          <w:numId w:val="2"/>
        </w:numPr>
        <w:spacing w:after="180" w:afterAutospacing="0" w:line="480" w:lineRule="auto"/>
        <w:jc w:val="both"/>
      </w:pPr>
      <w:r>
        <w:t>Temitope IB, Omotayo FO. 2012. Comparative phytochemical analysis of selected medicinal plants in Nigeria. International Journal of Advanced Chemical Research 1(1): 011-018.</w:t>
      </w:r>
    </w:p>
    <w:p w14:paraId="1D723F28" w14:textId="77777777" w:rsidR="00D50E6C" w:rsidRDefault="00D50E6C" w:rsidP="002E7E6D">
      <w:pPr>
        <w:pStyle w:val="NormalWeb"/>
        <w:numPr>
          <w:ilvl w:val="0"/>
          <w:numId w:val="2"/>
        </w:numPr>
        <w:spacing w:after="180" w:afterAutospacing="0" w:line="480" w:lineRule="auto"/>
        <w:jc w:val="both"/>
      </w:pPr>
      <w:r>
        <w:t xml:space="preserve">Trease GE and Evans WC. 1989. Textbook of Pharmacognosy.12th edition </w:t>
      </w:r>
      <w:proofErr w:type="spellStart"/>
      <w:r>
        <w:t>Balliere</w:t>
      </w:r>
      <w:proofErr w:type="spellEnd"/>
      <w:r>
        <w:t>, Tindall London P, 45-50.</w:t>
      </w:r>
    </w:p>
    <w:p w14:paraId="42ED9754" w14:textId="19C12AEA" w:rsidR="00D50E6C" w:rsidRDefault="00D50E6C" w:rsidP="002E7E6D">
      <w:pPr>
        <w:pStyle w:val="NormalWeb"/>
        <w:numPr>
          <w:ilvl w:val="0"/>
          <w:numId w:val="2"/>
        </w:numPr>
        <w:spacing w:after="180" w:afterAutospacing="0" w:line="480" w:lineRule="auto"/>
        <w:jc w:val="both"/>
      </w:pPr>
      <w:proofErr w:type="spellStart"/>
      <w:r>
        <w:t>Turaskar</w:t>
      </w:r>
      <w:proofErr w:type="spellEnd"/>
      <w:r>
        <w:t xml:space="preserve"> A. 2013. Inhibitory potential of </w:t>
      </w:r>
      <w:proofErr w:type="spellStart"/>
      <w:r w:rsidRPr="00310F6A">
        <w:rPr>
          <w:i/>
          <w:iCs/>
        </w:rPr>
        <w:t>Picrorrhiza</w:t>
      </w:r>
      <w:proofErr w:type="spellEnd"/>
      <w:r w:rsidRPr="00310F6A">
        <w:rPr>
          <w:i/>
          <w:iCs/>
        </w:rPr>
        <w:t xml:space="preserve"> </w:t>
      </w:r>
      <w:proofErr w:type="spellStart"/>
      <w:r w:rsidRPr="00310F6A">
        <w:rPr>
          <w:i/>
          <w:iCs/>
        </w:rPr>
        <w:t>kurroa</w:t>
      </w:r>
      <w:proofErr w:type="spellEnd"/>
      <w:r w:rsidRPr="00310F6A">
        <w:rPr>
          <w:i/>
          <w:iCs/>
        </w:rPr>
        <w:t xml:space="preserve"> </w:t>
      </w:r>
      <w:proofErr w:type="spellStart"/>
      <w:r w:rsidRPr="00310F6A">
        <w:rPr>
          <w:i/>
          <w:iCs/>
        </w:rPr>
        <w:t>royleex</w:t>
      </w:r>
      <w:proofErr w:type="spellEnd"/>
      <w:r w:rsidRPr="00310F6A">
        <w:rPr>
          <w:i/>
          <w:iCs/>
        </w:rPr>
        <w:t>.</w:t>
      </w:r>
      <w:r>
        <w:t xml:space="preserve"> extract on phenylhydrazine induced reticulocytosis in rats. Journal </w:t>
      </w:r>
      <w:r w:rsidR="00B10BA8">
        <w:t>of Pharmacology</w:t>
      </w:r>
      <w:r>
        <w:t xml:space="preserve"> and Clinical Research. 6 (2): 215-216.</w:t>
      </w:r>
    </w:p>
    <w:p w14:paraId="66D45FC3" w14:textId="5298A213" w:rsidR="00FF6F12" w:rsidRDefault="00FF6F12" w:rsidP="002E7E6D">
      <w:pPr>
        <w:pStyle w:val="NormalWeb"/>
        <w:numPr>
          <w:ilvl w:val="0"/>
          <w:numId w:val="2"/>
        </w:numPr>
        <w:spacing w:after="180" w:afterAutospacing="0" w:line="480" w:lineRule="auto"/>
        <w:jc w:val="both"/>
      </w:pPr>
      <w:r w:rsidRPr="00FF6F12">
        <w:t xml:space="preserve">Turner J, Parsi M,  </w:t>
      </w:r>
      <w:proofErr w:type="spellStart"/>
      <w:r w:rsidRPr="00FF6F12">
        <w:t>Badireddy</w:t>
      </w:r>
      <w:proofErr w:type="spellEnd"/>
      <w:r w:rsidR="0004323F">
        <w:t xml:space="preserve"> </w:t>
      </w:r>
      <w:r w:rsidRPr="00FF6F12">
        <w:t>M. (2018). Anemia.</w:t>
      </w:r>
      <w:r w:rsidR="0040553F">
        <w:t xml:space="preserve"> </w:t>
      </w:r>
    </w:p>
    <w:p w14:paraId="2FD35B64" w14:textId="77777777" w:rsidR="00D50E6C" w:rsidRDefault="00D50E6C" w:rsidP="002E7E6D">
      <w:pPr>
        <w:pStyle w:val="NormalWeb"/>
        <w:numPr>
          <w:ilvl w:val="0"/>
          <w:numId w:val="2"/>
        </w:numPr>
        <w:spacing w:after="180" w:afterAutospacing="0" w:line="480" w:lineRule="auto"/>
        <w:jc w:val="both"/>
      </w:pPr>
      <w:r>
        <w:t>World Health Organization. 1989.</w:t>
      </w:r>
      <w:r w:rsidRPr="007B21A1">
        <w:rPr>
          <w:rFonts w:ascii="Arial" w:eastAsia="Times New Roman" w:hAnsi="Arial" w:cs="Arial"/>
          <w:sz w:val="18"/>
          <w:szCs w:val="18"/>
        </w:rPr>
        <w:t xml:space="preserve"> </w:t>
      </w:r>
      <w:r w:rsidRPr="00703E28">
        <w:rPr>
          <w:rFonts w:eastAsia="Times New Roman"/>
        </w:rPr>
        <w:t xml:space="preserve">Preventing and controlling iron deficiency anaemia through primary health care: a guide for health administrators and </w:t>
      </w:r>
      <w:proofErr w:type="spellStart"/>
      <w:r w:rsidRPr="00703E28">
        <w:rPr>
          <w:rFonts w:eastAsia="Times New Roman"/>
        </w:rPr>
        <w:t>programme</w:t>
      </w:r>
      <w:proofErr w:type="spellEnd"/>
      <w:r w:rsidRPr="00703E28">
        <w:rPr>
          <w:rFonts w:eastAsia="Times New Roman"/>
        </w:rPr>
        <w:t xml:space="preserve"> managers</w:t>
      </w:r>
      <w:r>
        <w:t>. WHO Publications 8.</w:t>
      </w:r>
    </w:p>
    <w:p w14:paraId="5A65D80E" w14:textId="77777777" w:rsidR="00D50E6C" w:rsidRPr="002E7E6D" w:rsidRDefault="00D50E6C" w:rsidP="002E7E6D">
      <w:pPr>
        <w:pStyle w:val="ListParagraph"/>
        <w:numPr>
          <w:ilvl w:val="0"/>
          <w:numId w:val="2"/>
        </w:numPr>
        <w:spacing w:before="75" w:after="75" w:line="480" w:lineRule="auto"/>
        <w:rPr>
          <w:rFonts w:ascii="Times New Roman" w:eastAsia="Times New Roman" w:hAnsi="Times New Roman"/>
          <w:kern w:val="0"/>
          <w:sz w:val="24"/>
        </w:rPr>
      </w:pPr>
      <w:r w:rsidRPr="002E7E6D">
        <w:rPr>
          <w:rFonts w:ascii="Times New Roman" w:hAnsi="Times New Roman"/>
          <w:sz w:val="24"/>
        </w:rPr>
        <w:t xml:space="preserve">World Health Organization. 2005. </w:t>
      </w:r>
      <w:r w:rsidRPr="002E7E6D">
        <w:rPr>
          <w:rFonts w:ascii="Times New Roman" w:eastAsia="Times New Roman" w:hAnsi="Times New Roman"/>
          <w:kern w:val="0"/>
          <w:sz w:val="24"/>
        </w:rPr>
        <w:t xml:space="preserve"> Worldwide prevalence of anaemia 1993-2005: WHO global database on anaemia </w:t>
      </w:r>
      <w:r w:rsidRPr="002E7E6D">
        <w:rPr>
          <w:rFonts w:ascii="Times New Roman" w:hAnsi="Times New Roman"/>
          <w:sz w:val="24"/>
        </w:rPr>
        <w:t>World Health Organization.</w:t>
      </w:r>
    </w:p>
    <w:p w14:paraId="101E6AEE" w14:textId="77777777" w:rsidR="00D50E6C" w:rsidRDefault="00D50E6C" w:rsidP="002E7E6D">
      <w:pPr>
        <w:pStyle w:val="NormalWeb"/>
        <w:numPr>
          <w:ilvl w:val="0"/>
          <w:numId w:val="2"/>
        </w:numPr>
        <w:spacing w:after="180" w:afterAutospacing="0" w:line="480" w:lineRule="auto"/>
        <w:jc w:val="both"/>
      </w:pPr>
      <w:r>
        <w:t xml:space="preserve">World Health Organization. 2005. Global Database on Iron Deficiency and Anaemia, Micronutrient Deficiency Information System Geneva: World Health Organization. </w:t>
      </w:r>
    </w:p>
    <w:p w14:paraId="79F8D7C4" w14:textId="77777777" w:rsidR="00D50E6C" w:rsidRPr="002E7E6D" w:rsidRDefault="00D50E6C" w:rsidP="002E7E6D">
      <w:pPr>
        <w:pStyle w:val="ListParagraph"/>
        <w:numPr>
          <w:ilvl w:val="0"/>
          <w:numId w:val="2"/>
        </w:numPr>
        <w:spacing w:before="75" w:after="75" w:line="480" w:lineRule="auto"/>
        <w:rPr>
          <w:rFonts w:ascii="Times New Roman" w:eastAsia="Times New Roman" w:hAnsi="Times New Roman"/>
          <w:kern w:val="0"/>
          <w:sz w:val="24"/>
        </w:rPr>
      </w:pPr>
      <w:r w:rsidRPr="002E7E6D">
        <w:rPr>
          <w:rFonts w:ascii="Times New Roman" w:hAnsi="Times New Roman"/>
          <w:sz w:val="24"/>
        </w:rPr>
        <w:t xml:space="preserve">World Health Organization. Micronutrient Deficiencies: </w:t>
      </w:r>
      <w:r w:rsidRPr="002E7E6D">
        <w:rPr>
          <w:rFonts w:ascii="Times New Roman" w:eastAsia="Times New Roman" w:hAnsi="Times New Roman"/>
          <w:kern w:val="0"/>
          <w:sz w:val="24"/>
        </w:rPr>
        <w:t xml:space="preserve">Preventing and controlling micronutrient deficiencies in populations affected by an emergency </w:t>
      </w:r>
      <w:r w:rsidRPr="002E7E6D">
        <w:rPr>
          <w:rFonts w:ascii="Times New Roman" w:hAnsi="Times New Roman"/>
          <w:sz w:val="24"/>
        </w:rPr>
        <w:t>Geneva: WHO; 2015, 1:2</w:t>
      </w:r>
    </w:p>
    <w:p w14:paraId="5A7A79F4" w14:textId="77777777" w:rsidR="00D50E6C" w:rsidRDefault="00D50E6C" w:rsidP="002E7E6D">
      <w:pPr>
        <w:pStyle w:val="NormalWeb"/>
        <w:numPr>
          <w:ilvl w:val="0"/>
          <w:numId w:val="2"/>
        </w:numPr>
        <w:spacing w:after="180" w:afterAutospacing="0" w:line="480" w:lineRule="auto"/>
        <w:jc w:val="both"/>
      </w:pPr>
      <w:proofErr w:type="spellStart"/>
      <w:r>
        <w:lastRenderedPageBreak/>
        <w:t>Yeshoda</w:t>
      </w:r>
      <w:proofErr w:type="spellEnd"/>
      <w:r>
        <w:t xml:space="preserve"> M. 1942. Phenylhydrazine anemia in rats. Current Sciences. 11: 360-363.</w:t>
      </w:r>
    </w:p>
    <w:p w14:paraId="119CD44E" w14:textId="70D78C79" w:rsidR="00E60FBE" w:rsidRDefault="00E60FBE" w:rsidP="002E7E6D">
      <w:pPr>
        <w:pStyle w:val="NormalWeb"/>
        <w:numPr>
          <w:ilvl w:val="0"/>
          <w:numId w:val="2"/>
        </w:numPr>
        <w:spacing w:after="180" w:afterAutospacing="0" w:line="480" w:lineRule="auto"/>
        <w:jc w:val="both"/>
      </w:pPr>
      <w:proofErr w:type="spellStart"/>
      <w:r w:rsidRPr="00E60FBE">
        <w:t>Yıldı</w:t>
      </w:r>
      <w:r>
        <w:t>z</w:t>
      </w:r>
      <w:proofErr w:type="spellEnd"/>
      <w:r>
        <w:t xml:space="preserve"> </w:t>
      </w:r>
      <w:r w:rsidRPr="00E60FBE">
        <w:t xml:space="preserve">TK, </w:t>
      </w:r>
      <w:proofErr w:type="spellStart"/>
      <w:r w:rsidRPr="00E60FBE">
        <w:t>Yurtay</w:t>
      </w:r>
      <w:proofErr w:type="spellEnd"/>
      <w:r>
        <w:t xml:space="preserve"> </w:t>
      </w:r>
      <w:r w:rsidRPr="00E60FBE">
        <w:t xml:space="preserve">N, </w:t>
      </w:r>
      <w:proofErr w:type="spellStart"/>
      <w:r w:rsidRPr="00E60FBE">
        <w:t>Öneç</w:t>
      </w:r>
      <w:proofErr w:type="spellEnd"/>
      <w:r w:rsidRPr="00E60FBE">
        <w:t xml:space="preserve"> B. 2021. Classifying anemia types using artificial learning methods. Engineering Science and Technology, an International Journal</w:t>
      </w:r>
      <w:r>
        <w:t>.</w:t>
      </w:r>
      <w:r w:rsidRPr="00E60FBE">
        <w:t> </w:t>
      </w:r>
      <w:r w:rsidRPr="00E60FBE">
        <w:rPr>
          <w:i/>
          <w:iCs/>
        </w:rPr>
        <w:t>24</w:t>
      </w:r>
      <w:r w:rsidRPr="00E60FBE">
        <w:t>(1)</w:t>
      </w:r>
      <w:r>
        <w:t xml:space="preserve">: </w:t>
      </w:r>
      <w:r w:rsidRPr="00E60FBE">
        <w:t>50-70.</w:t>
      </w:r>
      <w:bookmarkEnd w:id="1"/>
    </w:p>
    <w:sectPr w:rsidR="00E60FBE">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02A86" w14:textId="77777777" w:rsidR="00796113" w:rsidRDefault="00796113" w:rsidP="0052265F">
      <w:r>
        <w:separator/>
      </w:r>
    </w:p>
  </w:endnote>
  <w:endnote w:type="continuationSeparator" w:id="0">
    <w:p w14:paraId="02FF3DA1" w14:textId="77777777" w:rsidR="00796113" w:rsidRDefault="00796113" w:rsidP="00522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webkit-standard">
    <w:altName w:val="Arial Unicode MS"/>
    <w:charset w:val="00"/>
    <w:family w:val="auto"/>
    <w:pitch w:val="default"/>
    <w:sig w:usb0="00000000" w:usb1="00000000" w:usb2="00000000" w:usb3="00000000" w:csb0="00040001" w:csb1="00000000"/>
  </w:font>
  <w:font w:name="Noto Sans">
    <w:charset w:val="00"/>
    <w:family w:val="swiss"/>
    <w:pitch w:val="variable"/>
    <w:sig w:usb0="E00082FF" w:usb1="400078FF" w:usb2="00000021" w:usb3="00000000" w:csb0="0000019F" w:csb1="00000000"/>
  </w:font>
  <w:font w:name="Times">
    <w:altName w:val="Times New Roman"/>
    <w:panose1 w:val="02020603050405020304"/>
    <w:charset w:val="00"/>
    <w:family w:val="roman"/>
    <w:pitch w:val="default"/>
    <w:sig w:usb0="00000000" w:usb1="00000000" w:usb2="00000009" w:usb3="00000000" w:csb0="000001FF" w:csb1="00000000"/>
  </w:font>
  <w:font w:name="Rubik">
    <w:altName w:val="Arial Unicode MS"/>
    <w:charset w:val="00"/>
    <w:family w:val="auto"/>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4744004"/>
      <w:docPartObj>
        <w:docPartGallery w:val="Page Numbers (Bottom of Page)"/>
        <w:docPartUnique/>
      </w:docPartObj>
    </w:sdtPr>
    <w:sdtEndPr>
      <w:rPr>
        <w:noProof/>
      </w:rPr>
    </w:sdtEndPr>
    <w:sdtContent>
      <w:p w14:paraId="06C07950" w14:textId="27C7CDD3" w:rsidR="00B10BA8" w:rsidRDefault="00B10B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A049F1" w14:textId="77777777" w:rsidR="00B10BA8" w:rsidRDefault="00B10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E8E69" w14:textId="77777777" w:rsidR="00796113" w:rsidRDefault="00796113" w:rsidP="0052265F">
      <w:r>
        <w:separator/>
      </w:r>
    </w:p>
  </w:footnote>
  <w:footnote w:type="continuationSeparator" w:id="0">
    <w:p w14:paraId="476B26B6" w14:textId="77777777" w:rsidR="00796113" w:rsidRDefault="00796113" w:rsidP="005226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1133F"/>
    <w:multiLevelType w:val="multilevel"/>
    <w:tmpl w:val="132113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7D1B4CE2"/>
    <w:multiLevelType w:val="hybridMultilevel"/>
    <w:tmpl w:val="A1DCF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F6A"/>
    <w:rsid w:val="0001128B"/>
    <w:rsid w:val="0004323F"/>
    <w:rsid w:val="001037CE"/>
    <w:rsid w:val="0013225A"/>
    <w:rsid w:val="001404DA"/>
    <w:rsid w:val="001B410F"/>
    <w:rsid w:val="001B54CE"/>
    <w:rsid w:val="001C321C"/>
    <w:rsid w:val="0027549D"/>
    <w:rsid w:val="002A695A"/>
    <w:rsid w:val="002E7E6D"/>
    <w:rsid w:val="002F4BB5"/>
    <w:rsid w:val="00310F6A"/>
    <w:rsid w:val="003E2684"/>
    <w:rsid w:val="003E514F"/>
    <w:rsid w:val="0040553F"/>
    <w:rsid w:val="00414485"/>
    <w:rsid w:val="00422E97"/>
    <w:rsid w:val="0052265F"/>
    <w:rsid w:val="00625AE0"/>
    <w:rsid w:val="00675C75"/>
    <w:rsid w:val="006A4982"/>
    <w:rsid w:val="00703E28"/>
    <w:rsid w:val="00753F25"/>
    <w:rsid w:val="00781964"/>
    <w:rsid w:val="00796113"/>
    <w:rsid w:val="007E4A14"/>
    <w:rsid w:val="007E67DB"/>
    <w:rsid w:val="00801D35"/>
    <w:rsid w:val="0083091A"/>
    <w:rsid w:val="008C76FA"/>
    <w:rsid w:val="0091069D"/>
    <w:rsid w:val="00A6511C"/>
    <w:rsid w:val="00A71F9C"/>
    <w:rsid w:val="00B10BA8"/>
    <w:rsid w:val="00C11B8A"/>
    <w:rsid w:val="00C179CD"/>
    <w:rsid w:val="00C6113D"/>
    <w:rsid w:val="00D50E6C"/>
    <w:rsid w:val="00D61551"/>
    <w:rsid w:val="00D822CE"/>
    <w:rsid w:val="00E60FBE"/>
    <w:rsid w:val="00E6434A"/>
    <w:rsid w:val="00F70688"/>
    <w:rsid w:val="00FF6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FF610"/>
  <w15:chartTrackingRefBased/>
  <w15:docId w15:val="{5D20DD3B-A909-4E02-920C-F9F8832C0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0F6A"/>
    <w:pPr>
      <w:widowControl w:val="0"/>
      <w:spacing w:after="0" w:line="240" w:lineRule="auto"/>
      <w:jc w:val="both"/>
    </w:pPr>
    <w:rPr>
      <w:rFonts w:ascii="Calibri" w:eastAsia="SimSun" w:hAnsi="Calibri" w:cs="Times New Roman"/>
      <w:sz w:val="21"/>
      <w:lang w:eastAsia="zh-CN"/>
      <w14:ligatures w14:val="none"/>
    </w:rPr>
  </w:style>
  <w:style w:type="paragraph" w:styleId="Heading1">
    <w:name w:val="heading 1"/>
    <w:basedOn w:val="Normal"/>
    <w:next w:val="Normal"/>
    <w:link w:val="Heading1Char"/>
    <w:uiPriority w:val="9"/>
    <w:qFormat/>
    <w:rsid w:val="00310F6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10F6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0F6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10F6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0F6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0F6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0F6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0F6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0F6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F6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10F6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10F6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10F6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10F6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0F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0F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0F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0F6A"/>
    <w:rPr>
      <w:rFonts w:eastAsiaTheme="majorEastAsia" w:cstheme="majorBidi"/>
      <w:color w:val="272727" w:themeColor="text1" w:themeTint="D8"/>
    </w:rPr>
  </w:style>
  <w:style w:type="paragraph" w:styleId="Title">
    <w:name w:val="Title"/>
    <w:basedOn w:val="Normal"/>
    <w:next w:val="Normal"/>
    <w:link w:val="TitleChar"/>
    <w:uiPriority w:val="10"/>
    <w:qFormat/>
    <w:rsid w:val="00310F6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0F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0F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0F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0F6A"/>
    <w:pPr>
      <w:spacing w:before="160"/>
      <w:jc w:val="center"/>
    </w:pPr>
    <w:rPr>
      <w:i/>
      <w:iCs/>
      <w:color w:val="404040" w:themeColor="text1" w:themeTint="BF"/>
    </w:rPr>
  </w:style>
  <w:style w:type="character" w:customStyle="1" w:styleId="QuoteChar">
    <w:name w:val="Quote Char"/>
    <w:basedOn w:val="DefaultParagraphFont"/>
    <w:link w:val="Quote"/>
    <w:uiPriority w:val="29"/>
    <w:rsid w:val="00310F6A"/>
    <w:rPr>
      <w:i/>
      <w:iCs/>
      <w:color w:val="404040" w:themeColor="text1" w:themeTint="BF"/>
    </w:rPr>
  </w:style>
  <w:style w:type="paragraph" w:styleId="ListParagraph">
    <w:name w:val="List Paragraph"/>
    <w:basedOn w:val="Normal"/>
    <w:uiPriority w:val="34"/>
    <w:qFormat/>
    <w:rsid w:val="00310F6A"/>
    <w:pPr>
      <w:ind w:left="720"/>
      <w:contextualSpacing/>
    </w:pPr>
  </w:style>
  <w:style w:type="character" w:styleId="IntenseEmphasis">
    <w:name w:val="Intense Emphasis"/>
    <w:basedOn w:val="DefaultParagraphFont"/>
    <w:uiPriority w:val="21"/>
    <w:qFormat/>
    <w:rsid w:val="00310F6A"/>
    <w:rPr>
      <w:i/>
      <w:iCs/>
      <w:color w:val="2F5496" w:themeColor="accent1" w:themeShade="BF"/>
    </w:rPr>
  </w:style>
  <w:style w:type="paragraph" w:styleId="IntenseQuote">
    <w:name w:val="Intense Quote"/>
    <w:basedOn w:val="Normal"/>
    <w:next w:val="Normal"/>
    <w:link w:val="IntenseQuoteChar"/>
    <w:uiPriority w:val="30"/>
    <w:qFormat/>
    <w:rsid w:val="00310F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0F6A"/>
    <w:rPr>
      <w:i/>
      <w:iCs/>
      <w:color w:val="2F5496" w:themeColor="accent1" w:themeShade="BF"/>
    </w:rPr>
  </w:style>
  <w:style w:type="character" w:styleId="IntenseReference">
    <w:name w:val="Intense Reference"/>
    <w:basedOn w:val="DefaultParagraphFont"/>
    <w:uiPriority w:val="32"/>
    <w:qFormat/>
    <w:rsid w:val="00310F6A"/>
    <w:rPr>
      <w:b/>
      <w:bCs/>
      <w:smallCaps/>
      <w:color w:val="2F5496" w:themeColor="accent1" w:themeShade="BF"/>
      <w:spacing w:val="5"/>
    </w:rPr>
  </w:style>
  <w:style w:type="paragraph" w:styleId="NormalWeb">
    <w:name w:val="Normal (Web)"/>
    <w:unhideWhenUsed/>
    <w:qFormat/>
    <w:rsid w:val="00310F6A"/>
    <w:pPr>
      <w:spacing w:before="100" w:beforeAutospacing="1" w:after="100" w:afterAutospacing="1" w:line="240" w:lineRule="auto"/>
    </w:pPr>
    <w:rPr>
      <w:rFonts w:ascii="Times New Roman" w:eastAsia="SimSun" w:hAnsi="Times New Roman" w:cs="Times New Roman"/>
      <w:kern w:val="0"/>
      <w:lang w:eastAsia="zh-CN"/>
      <w14:ligatures w14:val="none"/>
    </w:rPr>
  </w:style>
  <w:style w:type="table" w:styleId="TableGrid">
    <w:name w:val="Table Grid"/>
    <w:basedOn w:val="TableNormal"/>
    <w:uiPriority w:val="59"/>
    <w:unhideWhenUsed/>
    <w:qFormat/>
    <w:rsid w:val="00310F6A"/>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10F6A"/>
    <w:pPr>
      <w:spacing w:after="0" w:line="240" w:lineRule="auto"/>
    </w:pPr>
    <w:rPr>
      <w:sz w:val="22"/>
      <w:szCs w:val="22"/>
    </w:rPr>
  </w:style>
  <w:style w:type="character" w:styleId="Hyperlink">
    <w:name w:val="Hyperlink"/>
    <w:basedOn w:val="DefaultParagraphFont"/>
    <w:uiPriority w:val="99"/>
    <w:unhideWhenUsed/>
    <w:rsid w:val="0001128B"/>
    <w:rPr>
      <w:color w:val="0563C1" w:themeColor="hyperlink"/>
      <w:u w:val="single"/>
    </w:rPr>
  </w:style>
  <w:style w:type="character" w:styleId="UnresolvedMention">
    <w:name w:val="Unresolved Mention"/>
    <w:basedOn w:val="DefaultParagraphFont"/>
    <w:uiPriority w:val="99"/>
    <w:semiHidden/>
    <w:unhideWhenUsed/>
    <w:rsid w:val="0001128B"/>
    <w:rPr>
      <w:color w:val="605E5C"/>
      <w:shd w:val="clear" w:color="auto" w:fill="E1DFDD"/>
    </w:rPr>
  </w:style>
  <w:style w:type="paragraph" w:styleId="Header">
    <w:name w:val="header"/>
    <w:basedOn w:val="Normal"/>
    <w:link w:val="HeaderChar"/>
    <w:uiPriority w:val="99"/>
    <w:unhideWhenUsed/>
    <w:rsid w:val="0052265F"/>
    <w:pPr>
      <w:tabs>
        <w:tab w:val="center" w:pos="4680"/>
        <w:tab w:val="right" w:pos="9360"/>
      </w:tabs>
    </w:pPr>
  </w:style>
  <w:style w:type="character" w:customStyle="1" w:styleId="HeaderChar">
    <w:name w:val="Header Char"/>
    <w:basedOn w:val="DefaultParagraphFont"/>
    <w:link w:val="Header"/>
    <w:uiPriority w:val="99"/>
    <w:rsid w:val="0052265F"/>
    <w:rPr>
      <w:rFonts w:ascii="Calibri" w:eastAsia="SimSun" w:hAnsi="Calibri" w:cs="Times New Roman"/>
      <w:sz w:val="21"/>
      <w:lang w:eastAsia="zh-CN"/>
      <w14:ligatures w14:val="none"/>
    </w:rPr>
  </w:style>
  <w:style w:type="paragraph" w:styleId="Footer">
    <w:name w:val="footer"/>
    <w:basedOn w:val="Normal"/>
    <w:link w:val="FooterChar"/>
    <w:uiPriority w:val="99"/>
    <w:unhideWhenUsed/>
    <w:rsid w:val="0052265F"/>
    <w:pPr>
      <w:tabs>
        <w:tab w:val="center" w:pos="4680"/>
        <w:tab w:val="right" w:pos="9360"/>
      </w:tabs>
    </w:pPr>
  </w:style>
  <w:style w:type="character" w:customStyle="1" w:styleId="FooterChar">
    <w:name w:val="Footer Char"/>
    <w:basedOn w:val="DefaultParagraphFont"/>
    <w:link w:val="Footer"/>
    <w:uiPriority w:val="99"/>
    <w:rsid w:val="0052265F"/>
    <w:rPr>
      <w:rFonts w:ascii="Calibri" w:eastAsia="SimSun" w:hAnsi="Calibri" w:cs="Times New Roman"/>
      <w:sz w:val="21"/>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dx.doi.org/10.5897/JMPR09.487" TargetMode="External"/><Relationship Id="rId4" Type="http://schemas.openxmlformats.org/officeDocument/2006/relationships/webSettings" Target="webSettings.xml"/><Relationship Id="rId9" Type="http://schemas.openxmlformats.org/officeDocument/2006/relationships/image" Target="file:///C:\Users\USER\AppData\Local\Temp\WPDNSE\%2525257b39510755-0000-0000-0000-000000000000%2525257d\6ee5d1ef8c945809f866915a9c62bd4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TotalTime>
  <Pages>25</Pages>
  <Words>5570</Words>
  <Characters>31754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SDI 1022</cp:lastModifiedBy>
  <cp:revision>17</cp:revision>
  <dcterms:created xsi:type="dcterms:W3CDTF">2026-02-11T03:45:00Z</dcterms:created>
  <dcterms:modified xsi:type="dcterms:W3CDTF">2026-02-19T05:30:00Z</dcterms:modified>
</cp:coreProperties>
</file>