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CCA" w:rsidRDefault="00B1219A">
      <w:pPr>
        <w:widowControl w:val="0"/>
        <w:pBdr>
          <w:top w:val="nil"/>
          <w:left w:val="nil"/>
          <w:bottom w:val="nil"/>
          <w:right w:val="nil"/>
          <w:between w:val="nil"/>
        </w:pBdr>
        <w:spacing w:after="0" w:line="276" w:lineRule="auto"/>
      </w:pPr>
      <w:r>
        <w:pict w14:anchorId="6B9C1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50pt;height:50pt;z-index:251656704;visibility:hidden">
            <o:lock v:ext="edit" selection="t"/>
          </v:shape>
        </w:pict>
      </w:r>
      <w:r>
        <w:pict w14:anchorId="5D717FAA">
          <v:shape id="_x0000_s1033" type="#_x0000_t136" style="position:absolute;margin-left:0;margin-top:0;width:50pt;height:50pt;z-index:251657728;visibility:hidden">
            <o:lock v:ext="edit" selection="t"/>
          </v:shape>
        </w:pict>
      </w:r>
      <w:r>
        <w:pict w14:anchorId="16ED6775">
          <v:shape id="_x0000_s1032" type="#_x0000_t136" style="position:absolute;margin-left:0;margin-top:0;width:50pt;height:50pt;z-index:251658752;visibility:hidden">
            <o:lock v:ext="edit" selection="t"/>
          </v:shape>
        </w:pict>
      </w:r>
    </w:p>
    <w:p w:rsidR="00592CCA" w:rsidRDefault="00B1219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Navigating the Grey Area: </w:t>
      </w:r>
      <w:proofErr w:type="spellStart"/>
      <w:r>
        <w:rPr>
          <w:rFonts w:ascii="Times New Roman" w:eastAsia="Times New Roman" w:hAnsi="Times New Roman" w:cs="Times New Roman"/>
          <w:b/>
          <w:bCs/>
          <w:sz w:val="24"/>
          <w:szCs w:val="24"/>
        </w:rPr>
        <w:t>Periviable</w:t>
      </w:r>
      <w:proofErr w:type="spellEnd"/>
      <w:r>
        <w:rPr>
          <w:rFonts w:ascii="Times New Roman" w:eastAsia="Times New Roman" w:hAnsi="Times New Roman" w:cs="Times New Roman"/>
          <w:b/>
          <w:bCs/>
          <w:sz w:val="24"/>
          <w:szCs w:val="24"/>
        </w:rPr>
        <w:t xml:space="preserve"> Preterm Prelabour Rupture of Membrane Complicated by Subclinical Chorioamnionitis</w:t>
      </w:r>
    </w:p>
    <w:p w:rsidR="00592CCA" w:rsidRDefault="00B1219A">
      <w:pPr>
        <w:rPr>
          <w:rFonts w:ascii="Times New Roman" w:eastAsia="Times New Roman" w:hAnsi="Times New Roman" w:cs="Times New Roman"/>
          <w:sz w:val="24"/>
          <w:szCs w:val="24"/>
        </w:rPr>
      </w:pPr>
      <w:r>
        <w:pict w14:anchorId="5D631EF7">
          <v:rect id="_x0000_i1025" style="width:0;height:1.5pt" o:hralign="center" o:hrstd="t" o:hr="t" fillcolor="#a0a0a0" stroked="f"/>
        </w:pict>
      </w:r>
    </w:p>
    <w:p w:rsidR="00592CCA" w:rsidRDefault="00B1219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Periviable preterm prelabour rupture of membranes (PPROM), defined as rupture of membranes before 26 weeks of gestation, is an uncommon but serious obstetric complication that carries significant risks of perinatal mortality and maternal morbidity. Early r</w:t>
      </w:r>
      <w:r>
        <w:rPr>
          <w:rFonts w:ascii="Times New Roman" w:eastAsia="Times New Roman" w:hAnsi="Times New Roman" w:cs="Times New Roman"/>
          <w:sz w:val="24"/>
          <w:szCs w:val="24"/>
        </w:rPr>
        <w:t>ecognition and timely management are critical, as decisions must balance the potential for fetal survival with the risk of maternal infection and other complications. Subclinical chorioamnionitis, in particular, can develop without overt clinical signs, ma</w:t>
      </w:r>
      <w:r>
        <w:rPr>
          <w:rFonts w:ascii="Times New Roman" w:eastAsia="Times New Roman" w:hAnsi="Times New Roman" w:cs="Times New Roman"/>
          <w:sz w:val="24"/>
          <w:szCs w:val="24"/>
        </w:rPr>
        <w:t>king diagnosis challenging and often reliant on laboratory and imaging findings.This case highlights the complex  course of a 31-year-old primigravida at 25 weeks and 2 days gestation diagnosed with subclinical chorioamnionitis complicating periviable (PPR</w:t>
      </w:r>
      <w:r>
        <w:rPr>
          <w:rFonts w:ascii="Times New Roman" w:eastAsia="Times New Roman" w:hAnsi="Times New Roman" w:cs="Times New Roman"/>
          <w:sz w:val="24"/>
          <w:szCs w:val="24"/>
        </w:rPr>
        <w:t>OM) with severe oligohydramnios, resulting in intrauterine fetal demise despite appropriate antibiotic course initiation. This case underscores the importance of early detection of subclinical chorioamnionitis, careful surveillance, and individualized, mul</w:t>
      </w:r>
      <w:r>
        <w:rPr>
          <w:rFonts w:ascii="Times New Roman" w:eastAsia="Times New Roman" w:hAnsi="Times New Roman" w:cs="Times New Roman"/>
          <w:sz w:val="24"/>
          <w:szCs w:val="24"/>
        </w:rPr>
        <w:t>tidisciplinary decision-making in periviable PPROM. It highlights the need for sensitive counselling to support maternal safety while considering fetal prognosis, providing a practical example of the challenges in managing high-risk periviable pregnancies.</w:t>
      </w:r>
    </w:p>
    <w:p w:rsidR="00592CCA" w:rsidRDefault="00B1219A">
      <w:pPr>
        <w:rPr>
          <w:rFonts w:ascii="Times New Roman" w:eastAsia="Times New Roman" w:hAnsi="Times New Roman" w:cs="Times New Roman"/>
          <w:sz w:val="24"/>
          <w:szCs w:val="24"/>
        </w:rPr>
      </w:pPr>
      <w:r>
        <w:pict w14:anchorId="543797C5">
          <v:rect id="_x0000_i1026" style="width:0;height:1.5pt" o:hralign="center" o:hrstd="t" o:hr="t" fillcolor="#a0a0a0" stroked="f"/>
        </w:pict>
      </w:r>
    </w:p>
    <w:p w:rsidR="00592CCA" w:rsidRDefault="00B1219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Periviable PPROM is defined as rupture of membranes occurring between 20 0/7 and 25 6/7 weeks of gestation, before the onset of labour, in the gestational window where neonatal survival is possible but highly uncertain [1,14]. This conditio</w:t>
      </w:r>
      <w:r>
        <w:rPr>
          <w:rFonts w:ascii="Times New Roman" w:eastAsia="Times New Roman" w:hAnsi="Times New Roman" w:cs="Times New Roman"/>
          <w:sz w:val="24"/>
          <w:szCs w:val="24"/>
        </w:rPr>
        <w:t>n is a rare but serious obstetric complication associated with high perinatal mortality and significant maternal morbidity. When stratified by gestational age, population-based data from China show that leaking occurring between 24 and 27 + 6 weeks made up</w:t>
      </w:r>
      <w:r>
        <w:rPr>
          <w:rFonts w:ascii="Times New Roman" w:eastAsia="Times New Roman" w:hAnsi="Times New Roman" w:cs="Times New Roman"/>
          <w:sz w:val="24"/>
          <w:szCs w:val="24"/>
        </w:rPr>
        <w:t xml:space="preserve"> 25.8% to 51.6% of all PPROM cases over several study years [1]. A prospective study of 178 singleton pregnancies with PPROM between 20–25 weeks reported neonatal survival of only 6.7% when delivery occurred before 25 weeks, compared to 89.4% when delivery</w:t>
      </w:r>
      <w:r>
        <w:rPr>
          <w:rFonts w:ascii="Times New Roman" w:eastAsia="Times New Roman" w:hAnsi="Times New Roman" w:cs="Times New Roman"/>
          <w:sz w:val="24"/>
          <w:szCs w:val="24"/>
        </w:rPr>
        <w:t xml:space="preserve"> occurred between 26 and 34 weeks [1].</w:t>
      </w:r>
      <w:r>
        <w:rPr>
          <w:rFonts w:ascii="Times New Roman" w:eastAsia="Times New Roman" w:hAnsi="Times New Roman" w:cs="Times New Roman"/>
          <w:sz w:val="24"/>
          <w:szCs w:val="24"/>
        </w:rPr>
        <w:br/>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important risks in such cases is chorioamnionitis, which may occur in the absence of overt clinical signs, a condition referred to as subclinical chorioamnionitis. </w:t>
      </w:r>
      <w:r>
        <w:rPr>
          <w:rFonts w:ascii="Times New Roman" w:eastAsia="Times New Roman" w:hAnsi="Times New Roman" w:cs="Times New Roman"/>
          <w:sz w:val="24"/>
          <w:szCs w:val="24"/>
        </w:rPr>
        <w:br/>
        <w:t xml:space="preserve">Subclinical chorioamnionitis often </w:t>
      </w:r>
      <w:r>
        <w:rPr>
          <w:rFonts w:ascii="Times New Roman" w:eastAsia="Times New Roman" w:hAnsi="Times New Roman" w:cs="Times New Roman"/>
          <w:sz w:val="24"/>
          <w:szCs w:val="24"/>
        </w:rPr>
        <w:t>lacks overt clinical signs such as fever, uterine tenderness, or tachycardia, making it difficult to diagnose before delivery. Its recognition usually relies on laboratory trends and histopathologic confirmation postpartum. Histologic analyses reveal neutr</w:t>
      </w:r>
      <w:r>
        <w:rPr>
          <w:rFonts w:ascii="Times New Roman" w:eastAsia="Times New Roman" w:hAnsi="Times New Roman" w:cs="Times New Roman"/>
          <w:sz w:val="24"/>
          <w:szCs w:val="24"/>
        </w:rPr>
        <w:t>ophilic infiltration of fetal membranes despite absence of classical infection symptoms, highlighting the silent nature of this condition. Sim et al. (2020) – In a cohort of pre-viable PPROM (&lt;24 weeks), clinical chorioamnionitis occurred in 47.7% and hist</w:t>
      </w:r>
      <w:r>
        <w:rPr>
          <w:rFonts w:ascii="Times New Roman" w:eastAsia="Times New Roman" w:hAnsi="Times New Roman" w:cs="Times New Roman"/>
          <w:sz w:val="24"/>
          <w:szCs w:val="24"/>
        </w:rPr>
        <w:t>ological chorioamnionitis in 81.8% of cases, highlighting very high rates of underlying infection in early PPROM [2].</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Yu et al. &amp; Wahabi et al. (within broader PPROM outcomes studies) report chorioamnionitis rates ranging ~17.8% to 4.7% in mixed PPROM coho</w:t>
      </w:r>
      <w:r>
        <w:rPr>
          <w:rFonts w:ascii="Times New Roman" w:eastAsia="Times New Roman" w:hAnsi="Times New Roman" w:cs="Times New Roman"/>
          <w:sz w:val="24"/>
          <w:szCs w:val="24"/>
        </w:rPr>
        <w:t>rts (23–36+6 weeks), but these reflect clinical diagnoses, which tend to underestimate infection compared with histology [3].</w:t>
      </w:r>
      <w:r>
        <w:rPr>
          <w:rFonts w:ascii="Times New Roman" w:eastAsia="Times New Roman" w:hAnsi="Times New Roman" w:cs="Times New Roman"/>
          <w:sz w:val="24"/>
          <w:szCs w:val="24"/>
        </w:rPr>
        <w:br/>
        <w:t xml:space="preserve">This entity poses a diagnostic challenge, as decisions must be made based on laboratory parameters, imaging findings, and overall </w:t>
      </w:r>
      <w:r>
        <w:rPr>
          <w:rFonts w:ascii="Times New Roman" w:eastAsia="Times New Roman" w:hAnsi="Times New Roman" w:cs="Times New Roman"/>
          <w:sz w:val="24"/>
          <w:szCs w:val="24"/>
        </w:rPr>
        <w:t xml:space="preserve">clinical risk rather than classical symptoms to reduce maternal and fetal morbidity. </w:t>
      </w:r>
    </w:p>
    <w:p w:rsidR="00592CCA" w:rsidRDefault="00B1219A">
      <w:pPr>
        <w:rPr>
          <w:rFonts w:ascii="Times New Roman" w:eastAsia="Times New Roman" w:hAnsi="Times New Roman" w:cs="Times New Roman"/>
          <w:sz w:val="24"/>
          <w:szCs w:val="24"/>
        </w:rPr>
      </w:pPr>
      <w:r>
        <w:pict w14:anchorId="0F172777">
          <v:rect id="_x0000_i1027" style="width:0;height:1.5pt" o:hralign="center" o:hrstd="t" o:hr="t" fillcolor="#a0a0a0" stroked="f"/>
        </w:pict>
      </w:r>
    </w:p>
    <w:p w:rsidR="00592CCA" w:rsidRDefault="00B1219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Summary</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Our patient, a 31-year-old primigravida, has no underlying medical illness. The patient had proper routine antenatal follow ups with regular obstetrics sca</w:t>
      </w:r>
      <w:r>
        <w:rPr>
          <w:rFonts w:ascii="Times New Roman" w:eastAsia="Times New Roman" w:hAnsi="Times New Roman" w:cs="Times New Roman"/>
          <w:sz w:val="24"/>
          <w:szCs w:val="24"/>
        </w:rPr>
        <w:t>ns. However, at 25 weeks and 2 days gestation, the patient presented with leaking liquor. Otherwise the patient had no fever, not tachycardic, clinically the uterus was at 26 weeks with no uterine irritability. On admission, speculum examination revealed n</w:t>
      </w:r>
      <w:r>
        <w:rPr>
          <w:rFonts w:ascii="Times New Roman" w:eastAsia="Times New Roman" w:hAnsi="Times New Roman" w:cs="Times New Roman"/>
          <w:sz w:val="24"/>
          <w:szCs w:val="24"/>
        </w:rPr>
        <w:t>on foul smelling clear amniotic fluid with the cervical os opening of the tip of a finger. Obstetrics ultrasound confirmed oligohydramnios with an amniotic fluid index (AFI) of 6.8 cm and estimated fetal weight of 612gram, with normal umbilical artery Dopp</w:t>
      </w:r>
      <w:r>
        <w:rPr>
          <w:rFonts w:ascii="Times New Roman" w:eastAsia="Times New Roman" w:hAnsi="Times New Roman" w:cs="Times New Roman"/>
          <w:sz w:val="24"/>
          <w:szCs w:val="24"/>
        </w:rPr>
        <w:t xml:space="preserve">ler waveform. </w:t>
      </w:r>
    </w:p>
    <w:p w:rsidR="00592CCA" w:rsidRDefault="00592CCA">
      <w:pPr>
        <w:rPr>
          <w:rFonts w:ascii="Times New Roman" w:eastAsia="Times New Roman" w:hAnsi="Times New Roman" w:cs="Times New Roman"/>
          <w:sz w:val="24"/>
          <w:szCs w:val="24"/>
        </w:rPr>
      </w:pP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 was managed as PPROM with oligohydramnios and treated with tablet Erythromycin Ethylsuccinate (EES) 400mg twice daily for 10 days and completed antenatal corticosteroids with intramuscular Dexamethasone 12mg twice for a day. Thr</w:t>
      </w:r>
      <w:r>
        <w:rPr>
          <w:rFonts w:ascii="Times New Roman" w:eastAsia="Times New Roman" w:hAnsi="Times New Roman" w:cs="Times New Roman"/>
          <w:sz w:val="24"/>
          <w:szCs w:val="24"/>
        </w:rPr>
        <w:t>oughout admission the patient was actively leaking but remained afebrile and not tachycardic. However, septic parameters demonstrated an upward trend, with white blood cell count increasing from 12.6 × 10⁹/L to 32.6 × 10⁹/L, and C-reactive protein rising f</w:t>
      </w:r>
      <w:r>
        <w:rPr>
          <w:rFonts w:ascii="Times New Roman" w:eastAsia="Times New Roman" w:hAnsi="Times New Roman" w:cs="Times New Roman"/>
          <w:sz w:val="24"/>
          <w:szCs w:val="24"/>
        </w:rPr>
        <w:t xml:space="preserve">rom 7.2 mg/L to 13.1 mg/L (Table 1). A repeat obstetrics ultrasound at 26 weeks and 4 days gestation revealed anhydramnios, fetal lung hypoplasia, and abnormal umbilical artery Doppler with intermittent absent end-diastolic flow. Taking into consideration </w:t>
      </w:r>
      <w:r>
        <w:rPr>
          <w:rFonts w:ascii="Times New Roman" w:eastAsia="Times New Roman" w:hAnsi="Times New Roman" w:cs="Times New Roman"/>
          <w:sz w:val="24"/>
          <w:szCs w:val="24"/>
        </w:rPr>
        <w:t xml:space="preserve">the worsening septic parameters and the subclinical chorioamnionitis was made. After detailed counselling regarding poor fetal prognosis and risks to maternal health, termination of pregnancy was performed. </w:t>
      </w:r>
      <w:r>
        <w:rPr>
          <w:rFonts w:ascii="Times New Roman" w:eastAsia="Times New Roman" w:hAnsi="Times New Roman" w:cs="Times New Roman"/>
          <w:sz w:val="24"/>
          <w:szCs w:val="24"/>
        </w:rPr>
        <w:br/>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Due to an unfavorable cervix, the patient was t</w:t>
      </w:r>
      <w:r>
        <w:rPr>
          <w:rFonts w:ascii="Times New Roman" w:eastAsia="Times New Roman" w:hAnsi="Times New Roman" w:cs="Times New Roman"/>
          <w:sz w:val="24"/>
          <w:szCs w:val="24"/>
        </w:rPr>
        <w:t xml:space="preserve">hen induced with tablet misoprostol 400mcg every four hours based on local practice for one day. Following a successful induction of labour, the patient subsequently </w:t>
      </w:r>
      <w:bookmarkStart w:id="0" w:name="_GoBack"/>
      <w:bookmarkEnd w:id="0"/>
      <w:r>
        <w:rPr>
          <w:rFonts w:ascii="Times New Roman" w:eastAsia="Times New Roman" w:hAnsi="Times New Roman" w:cs="Times New Roman"/>
          <w:sz w:val="24"/>
          <w:szCs w:val="24"/>
        </w:rPr>
        <w:t>delivered a fresh stillborn male infant weighing 790gram (</w:t>
      </w:r>
      <w:r w:rsidR="00412C08">
        <w:rPr>
          <w:rFonts w:ascii="Times New Roman" w:eastAsia="Times New Roman" w:hAnsi="Times New Roman" w:cs="Times New Roman"/>
          <w:sz w:val="24"/>
          <w:szCs w:val="24"/>
        </w:rPr>
        <w:t>Figure</w:t>
      </w:r>
      <w:r>
        <w:rPr>
          <w:rFonts w:ascii="Times New Roman" w:eastAsia="Times New Roman" w:hAnsi="Times New Roman" w:cs="Times New Roman"/>
          <w:sz w:val="24"/>
          <w:szCs w:val="24"/>
        </w:rPr>
        <w:t xml:space="preserve"> 1). The patient was then </w:t>
      </w:r>
      <w:r>
        <w:rPr>
          <w:rFonts w:ascii="Times New Roman" w:eastAsia="Times New Roman" w:hAnsi="Times New Roman" w:cs="Times New Roman"/>
          <w:sz w:val="24"/>
          <w:szCs w:val="24"/>
        </w:rPr>
        <w:t>commenced of intravenous Cefuroxime 1.5gram thrice daily and intravenous Metronidazole 400mg twice daily for 5 days for adequate coverage of chorioamnionitis. The patient remains asymptomatic in ward and both the white blood cell count and C-reactive prote</w:t>
      </w:r>
      <w:r>
        <w:rPr>
          <w:rFonts w:ascii="Times New Roman" w:eastAsia="Times New Roman" w:hAnsi="Times New Roman" w:cs="Times New Roman"/>
          <w:sz w:val="24"/>
          <w:szCs w:val="24"/>
        </w:rPr>
        <w:t xml:space="preserve">in noted reduced to 7.1 × 10⁹/L and 1.2 mg/L respectively prior discharge (Table 1). Placental histopathology confirmed acute chorioamnionitis, while the placental swab culture and sensitivity grew Streptococcus agalactiae sensitive to ampicillin. </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1728788" cy="2216752"/>
            <wp:effectExtent l="0" t="0" r="0" b="0"/>
            <wp:docPr id="5167975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28788" cy="2216752"/>
                    </a:xfrm>
                    <a:prstGeom prst="rect">
                      <a:avLst/>
                    </a:prstGeom>
                    <a:ln/>
                  </pic:spPr>
                </pic:pic>
              </a:graphicData>
            </a:graphic>
          </wp:inline>
        </w:drawing>
      </w:r>
      <w:r>
        <w:rPr>
          <w:rFonts w:ascii="Times New Roman" w:eastAsia="Times New Roman" w:hAnsi="Times New Roman" w:cs="Times New Roman"/>
          <w:sz w:val="24"/>
          <w:szCs w:val="24"/>
        </w:rPr>
        <w:br/>
      </w:r>
      <w:r w:rsidR="0091382E">
        <w:rPr>
          <w:rFonts w:ascii="Times New Roman" w:eastAsia="Times New Roman" w:hAnsi="Times New Roman" w:cs="Times New Roman"/>
          <w:sz w:val="24"/>
          <w:szCs w:val="24"/>
        </w:rPr>
        <w:t>Figure</w:t>
      </w:r>
      <w:r>
        <w:rPr>
          <w:rFonts w:ascii="Times New Roman" w:eastAsia="Times New Roman" w:hAnsi="Times New Roman" w:cs="Times New Roman"/>
          <w:sz w:val="24"/>
          <w:szCs w:val="24"/>
        </w:rPr>
        <w:t xml:space="preserve"> 1: male fresh stillbirth</w:t>
      </w:r>
      <w:r>
        <w:rPr>
          <w:rFonts w:ascii="Times New Roman" w:eastAsia="Times New Roman" w:hAnsi="Times New Roman" w:cs="Times New Roman"/>
          <w:sz w:val="24"/>
          <w:szCs w:val="24"/>
        </w:rPr>
        <w:br/>
      </w:r>
    </w:p>
    <w:tbl>
      <w:tblPr>
        <w:tblStyle w:val="a"/>
        <w:tblW w:w="9025" w:type="dxa"/>
        <w:tblBorders>
          <w:top w:val="nil"/>
          <w:left w:val="nil"/>
          <w:bottom w:val="nil"/>
          <w:right w:val="nil"/>
          <w:insideH w:val="nil"/>
          <w:insideV w:val="nil"/>
        </w:tblBorders>
        <w:tblLayout w:type="fixed"/>
        <w:tblLook w:val="0600" w:firstRow="0" w:lastRow="0" w:firstColumn="0" w:lastColumn="0" w:noHBand="1" w:noVBand="1"/>
      </w:tblPr>
      <w:tblGrid>
        <w:gridCol w:w="1348"/>
        <w:gridCol w:w="1073"/>
        <w:gridCol w:w="1072"/>
        <w:gridCol w:w="1072"/>
        <w:gridCol w:w="1072"/>
        <w:gridCol w:w="1129"/>
        <w:gridCol w:w="1043"/>
        <w:gridCol w:w="1216"/>
      </w:tblGrid>
      <w:tr w:rsidR="00592CCA">
        <w:trPr>
          <w:trHeight w:val="2445"/>
        </w:trPr>
        <w:tc>
          <w:tcPr>
            <w:tcW w:w="134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Admission day/</w:t>
            </w:r>
          </w:p>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Blood parameters </w:t>
            </w:r>
          </w:p>
        </w:tc>
        <w:tc>
          <w:tcPr>
            <w:tcW w:w="1072"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D1 of admission  </w:t>
            </w:r>
          </w:p>
        </w:tc>
        <w:tc>
          <w:tcPr>
            <w:tcW w:w="1072"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D3 of admission  </w:t>
            </w:r>
          </w:p>
        </w:tc>
        <w:tc>
          <w:tcPr>
            <w:tcW w:w="1072"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D5 of admission  </w:t>
            </w:r>
          </w:p>
        </w:tc>
        <w:tc>
          <w:tcPr>
            <w:tcW w:w="1072"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D7 of admission  </w:t>
            </w:r>
          </w:p>
        </w:tc>
        <w:tc>
          <w:tcPr>
            <w:tcW w:w="1129"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D10 of admission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*D10 completion of T EES 400mg BD</w:t>
            </w:r>
          </w:p>
        </w:tc>
        <w:tc>
          <w:tcPr>
            <w:tcW w:w="1043"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D12 of admission</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 *D2 of post delivery </w:t>
            </w:r>
          </w:p>
        </w:tc>
        <w:tc>
          <w:tcPr>
            <w:tcW w:w="1216" w:type="dxa"/>
            <w:tcBorders>
              <w:top w:val="single" w:sz="5" w:space="0" w:color="000000"/>
              <w:left w:val="nil"/>
              <w:bottom w:val="single" w:sz="5" w:space="0" w:color="000000"/>
              <w:right w:val="single" w:sz="5" w:space="0" w:color="000000"/>
            </w:tcBorders>
            <w:tcMar>
              <w:top w:w="20" w:type="dxa"/>
              <w:left w:w="20" w:type="dxa"/>
              <w:bottom w:w="20" w:type="dxa"/>
              <w:right w:w="2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D15 of admission</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t xml:space="preserve"> *D5 completion of IV Cefuroxime 1.5g TDS and IV Metronidazole 400mg BD</w:t>
            </w:r>
          </w:p>
        </w:tc>
      </w:tr>
      <w:tr w:rsidR="00592CCA">
        <w:trPr>
          <w:trHeight w:val="930"/>
        </w:trPr>
        <w:tc>
          <w:tcPr>
            <w:tcW w:w="1347"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592CCA" w:rsidRDefault="00B1219A">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White cell count (WCC): ×10⁹/L</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14.6</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25.1</w:t>
            </w:r>
          </w:p>
        </w:tc>
        <w:tc>
          <w:tcPr>
            <w:tcW w:w="1129"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c>
          <w:tcPr>
            <w:tcW w:w="1043"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1216" w:type="dxa"/>
            <w:tcBorders>
              <w:top w:val="nil"/>
              <w:left w:val="nil"/>
              <w:bottom w:val="single" w:sz="5" w:space="0" w:color="000000"/>
              <w:right w:val="single" w:sz="5" w:space="0" w:color="000000"/>
            </w:tcBorders>
            <w:tcMar>
              <w:top w:w="20" w:type="dxa"/>
              <w:left w:w="20" w:type="dxa"/>
              <w:bottom w:w="20" w:type="dxa"/>
              <w:right w:w="2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r>
      <w:tr w:rsidR="00592CCA">
        <w:trPr>
          <w:trHeight w:val="690"/>
        </w:trPr>
        <w:tc>
          <w:tcPr>
            <w:tcW w:w="1347"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592CCA" w:rsidRDefault="00B1219A">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Haemoglobin (Hb): g/dL</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1129"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c>
          <w:tcPr>
            <w:tcW w:w="1043"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1216" w:type="dxa"/>
            <w:tcBorders>
              <w:top w:val="nil"/>
              <w:left w:val="nil"/>
              <w:bottom w:val="single" w:sz="5" w:space="0" w:color="000000"/>
              <w:right w:val="single" w:sz="5" w:space="0" w:color="000000"/>
            </w:tcBorders>
            <w:tcMar>
              <w:top w:w="20" w:type="dxa"/>
              <w:left w:w="20" w:type="dxa"/>
              <w:bottom w:w="20" w:type="dxa"/>
              <w:right w:w="2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r>
      <w:tr w:rsidR="00592CCA">
        <w:trPr>
          <w:trHeight w:val="690"/>
        </w:trPr>
        <w:tc>
          <w:tcPr>
            <w:tcW w:w="1347"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592CCA" w:rsidRDefault="00B1219A">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Platelet count: ×10⁹/L</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245</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289</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325</w:t>
            </w:r>
          </w:p>
        </w:tc>
        <w:tc>
          <w:tcPr>
            <w:tcW w:w="1129"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w:t>
            </w:r>
          </w:p>
        </w:tc>
        <w:tc>
          <w:tcPr>
            <w:tcW w:w="1043"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w:t>
            </w:r>
          </w:p>
        </w:tc>
        <w:tc>
          <w:tcPr>
            <w:tcW w:w="1216" w:type="dxa"/>
            <w:tcBorders>
              <w:top w:val="nil"/>
              <w:left w:val="nil"/>
              <w:bottom w:val="single" w:sz="5" w:space="0" w:color="000000"/>
              <w:right w:val="single" w:sz="5" w:space="0" w:color="000000"/>
            </w:tcBorders>
            <w:tcMar>
              <w:top w:w="20" w:type="dxa"/>
              <w:left w:w="20" w:type="dxa"/>
              <w:bottom w:w="20" w:type="dxa"/>
              <w:right w:w="2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r>
      <w:tr w:rsidR="00592CCA">
        <w:trPr>
          <w:trHeight w:val="690"/>
        </w:trPr>
        <w:tc>
          <w:tcPr>
            <w:tcW w:w="1347"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592CCA" w:rsidRDefault="00B1219A">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C-reactive protein </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1072"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1129"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c>
          <w:tcPr>
            <w:tcW w:w="1043" w:type="dxa"/>
            <w:tcBorders>
              <w:top w:val="nil"/>
              <w:left w:val="nil"/>
              <w:bottom w:val="single" w:sz="5" w:space="0" w:color="000000"/>
              <w:right w:val="single" w:sz="5" w:space="0" w:color="000000"/>
            </w:tcBorders>
            <w:tcMar>
              <w:top w:w="100" w:type="dxa"/>
              <w:left w:w="100" w:type="dxa"/>
              <w:bottom w:w="100" w:type="dxa"/>
              <w:right w:w="10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1216" w:type="dxa"/>
            <w:tcBorders>
              <w:top w:val="nil"/>
              <w:left w:val="nil"/>
              <w:bottom w:val="single" w:sz="5" w:space="0" w:color="000000"/>
              <w:right w:val="single" w:sz="5" w:space="0" w:color="000000"/>
            </w:tcBorders>
            <w:tcMar>
              <w:top w:w="20" w:type="dxa"/>
              <w:left w:w="20" w:type="dxa"/>
              <w:bottom w:w="20" w:type="dxa"/>
              <w:right w:w="20" w:type="dxa"/>
            </w:tcMar>
          </w:tcPr>
          <w:p w:rsidR="00592CCA" w:rsidRDefault="00B121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bl>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blood parameters trend </w:t>
      </w:r>
    </w:p>
    <w:p w:rsidR="00592CCA" w:rsidRDefault="00592CCA">
      <w:pPr>
        <w:rPr>
          <w:rFonts w:ascii="Times New Roman" w:eastAsia="Times New Roman" w:hAnsi="Times New Roman" w:cs="Times New Roman"/>
          <w:sz w:val="24"/>
          <w:szCs w:val="24"/>
        </w:rPr>
      </w:pPr>
    </w:p>
    <w:p w:rsidR="00592CCA" w:rsidRDefault="00B1219A">
      <w:pPr>
        <w:rPr>
          <w:rFonts w:ascii="Times New Roman" w:eastAsia="Times New Roman" w:hAnsi="Times New Roman" w:cs="Times New Roman"/>
          <w:sz w:val="24"/>
          <w:szCs w:val="24"/>
        </w:rPr>
      </w:pPr>
      <w:r>
        <w:pict>
          <v:rect id="_x0000_i1028" style="width:0;height:1.5pt" o:hralign="center" o:hrstd="t" o:hr="t" fillcolor="#a0a0a0" stroked="f"/>
        </w:pict>
      </w:r>
    </w:p>
    <w:p w:rsidR="00592CCA" w:rsidRDefault="00592CCA">
      <w:pPr>
        <w:rPr>
          <w:rFonts w:ascii="Times New Roman" w:eastAsia="Times New Roman" w:hAnsi="Times New Roman" w:cs="Times New Roman"/>
          <w:sz w:val="24"/>
          <w:szCs w:val="24"/>
        </w:rPr>
      </w:pPr>
    </w:p>
    <w:p w:rsidR="00592CCA" w:rsidRDefault="00B1219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Recognising infection in periviable PPROM remains critically challenging. Subclinical chorioamnionitis often lacks the classical clinical signs such as maternal fever, uterine </w:t>
      </w:r>
      <w:r>
        <w:rPr>
          <w:rFonts w:ascii="Times New Roman" w:eastAsia="Times New Roman" w:hAnsi="Times New Roman" w:cs="Times New Roman"/>
          <w:sz w:val="24"/>
          <w:szCs w:val="24"/>
        </w:rPr>
        <w:lastRenderedPageBreak/>
        <w:t>tenderness, or abnormal fetal heart patterns. Yet its presence is frequently con</w:t>
      </w:r>
      <w:r>
        <w:rPr>
          <w:rFonts w:ascii="Times New Roman" w:eastAsia="Times New Roman" w:hAnsi="Times New Roman" w:cs="Times New Roman"/>
          <w:sz w:val="24"/>
          <w:szCs w:val="24"/>
        </w:rPr>
        <w:t>firmed histologically post-delivery, underscoring the risk of delayed identification. Guidance from the Society for Maternal-Fetal Medicine emphasizes the vital importance of individualized counseling due to risks of severe maternal morbidity and mortality</w:t>
      </w:r>
      <w:r>
        <w:rPr>
          <w:rFonts w:ascii="Times New Roman" w:eastAsia="Times New Roman" w:hAnsi="Times New Roman" w:cs="Times New Roman"/>
          <w:sz w:val="24"/>
          <w:szCs w:val="24"/>
        </w:rPr>
        <w:t>, advocating for expectant management only when appropriate and with vigilant monitoring—including the cautious use of antibiotics for latency, weighed against gestational age thresholds [4, 14]. The Royal College of Obstetricians and Gynaecologists simila</w:t>
      </w:r>
      <w:r>
        <w:rPr>
          <w:rFonts w:ascii="Times New Roman" w:eastAsia="Times New Roman" w:hAnsi="Times New Roman" w:cs="Times New Roman"/>
          <w:sz w:val="24"/>
          <w:szCs w:val="24"/>
        </w:rPr>
        <w:t>rly warns of significant maternal and neonatal consequences following PPROM before 24 weeks, stressing that infection—even subclinical—can necessitate termination for medical reasons in the interest of maternal health [4].</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Empirical data from retrospective</w:t>
      </w:r>
      <w:r>
        <w:rPr>
          <w:rFonts w:ascii="Times New Roman" w:eastAsia="Times New Roman" w:hAnsi="Times New Roman" w:cs="Times New Roman"/>
          <w:sz w:val="24"/>
          <w:szCs w:val="24"/>
        </w:rPr>
        <w:t xml:space="preserve"> cohorts highlight that over half of expectantly managed periviable PPROM cases show histological chorioamnionitis, and while maternal sepsis remains uncommon, the progression from subclinical to overt infection is unpredictable [5]. </w:t>
      </w:r>
      <w:r>
        <w:rPr>
          <w:rFonts w:ascii="Times New Roman" w:eastAsia="Times New Roman" w:hAnsi="Times New Roman" w:cs="Times New Roman"/>
          <w:sz w:val="24"/>
          <w:szCs w:val="24"/>
        </w:rPr>
        <w:br/>
        <w:t>Moreover, compared to</w:t>
      </w:r>
      <w:r>
        <w:rPr>
          <w:rFonts w:ascii="Times New Roman" w:eastAsia="Times New Roman" w:hAnsi="Times New Roman" w:cs="Times New Roman"/>
          <w:sz w:val="24"/>
          <w:szCs w:val="24"/>
        </w:rPr>
        <w:t xml:space="preserve"> termination of pregnancy, expectant management carries substantially higher maternal morbidity—up to 60% versus 33%—emphasizing the importance of recognizing evolving infection even in the absence of overt signs [6]. The recent ACOG practice advisory echo</w:t>
      </w:r>
      <w:r>
        <w:rPr>
          <w:rFonts w:ascii="Times New Roman" w:eastAsia="Times New Roman" w:hAnsi="Times New Roman" w:cs="Times New Roman"/>
          <w:sz w:val="24"/>
          <w:szCs w:val="24"/>
        </w:rPr>
        <w:t>es this concern, termination of pregnancy must be offered, while noting that elevated maternal risks with expectant management require it to be part of any informed discussion[7].</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A retrospective study found that the best predictors of PPROM with chorioamn</w:t>
      </w:r>
      <w:r>
        <w:rPr>
          <w:rFonts w:ascii="Times New Roman" w:eastAsia="Times New Roman" w:hAnsi="Times New Roman" w:cs="Times New Roman"/>
          <w:sz w:val="24"/>
          <w:szCs w:val="24"/>
        </w:rPr>
        <w:t>ionitis were the combination of CRP and WBC count (AUC ~ 0.702; sensitivity ~ 60%, specificity ~ 76%). Including IL-6 and neutrophil count gave similar predictive value [8]. Another studies also showed prepepsin as a parameter in diagnosing chorioamnioniti</w:t>
      </w:r>
      <w:r>
        <w:rPr>
          <w:rFonts w:ascii="Times New Roman" w:eastAsia="Times New Roman" w:hAnsi="Times New Roman" w:cs="Times New Roman"/>
          <w:sz w:val="24"/>
          <w:szCs w:val="24"/>
        </w:rPr>
        <w:t>s in periviable leaking, however the striking fluctuations in presepsin level after the diagnosis of PPROM can be used to predict subclinical chorioamnionitis and determine the optimal timing of delivery before the clinical signs of chorioamnionitis are es</w:t>
      </w:r>
      <w:r>
        <w:rPr>
          <w:rFonts w:ascii="Times New Roman" w:eastAsia="Times New Roman" w:hAnsi="Times New Roman" w:cs="Times New Roman"/>
          <w:sz w:val="24"/>
          <w:szCs w:val="24"/>
        </w:rPr>
        <w:t xml:space="preserve">tablished. Presepsin level itself was neither diagnostic nor prognostic for neonatal sepsis  [9]. </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IL-6 is one of the most consistently elevated inflammatory cytokines in PPROM and chorioamnionitis and reflects intra-amniotic inflammation. Systematic evidence shows both serum and amniotic fluid IL-6 levels are significantly higher in PPROM complicated b</w:t>
      </w:r>
      <w:r>
        <w:rPr>
          <w:rFonts w:ascii="Times New Roman" w:eastAsia="Times New Roman" w:hAnsi="Times New Roman" w:cs="Times New Roman"/>
          <w:sz w:val="24"/>
          <w:szCs w:val="24"/>
        </w:rPr>
        <w:t>y infection and have potential value in early identification [10].  IL-6 is a central pro-inflammatory mediator and can be measured in maternal serum, cervicovaginal fluid, or amniotic fluid to augment diagnosis. On the other hand, Procalcitonin has been e</w:t>
      </w:r>
      <w:r>
        <w:rPr>
          <w:rFonts w:ascii="Times New Roman" w:eastAsia="Times New Roman" w:hAnsi="Times New Roman" w:cs="Times New Roman"/>
          <w:sz w:val="24"/>
          <w:szCs w:val="24"/>
        </w:rPr>
        <w:t xml:space="preserve">valuated but generally shows poor sensitivity in predicting chorioamnionitis in PPROM compared with CRP or IL-6 [11]. </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Proteomic approaches have identified potential novel plasma proteins (such as FCGR3A and haptoglobin) associated with intra-amniotic infe</w:t>
      </w:r>
      <w:r>
        <w:rPr>
          <w:rFonts w:ascii="Times New Roman" w:eastAsia="Times New Roman" w:hAnsi="Times New Roman" w:cs="Times New Roman"/>
          <w:sz w:val="24"/>
          <w:szCs w:val="24"/>
        </w:rPr>
        <w:t xml:space="preserve">ction and inflammation in PPROM patients, though diagnostic performance is currently poor and requires further study [12]. </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Streptococcus agalactiae (Group B Streptococcus) commonly colonizes the maternal genital tract which results in ascending infection </w:t>
      </w:r>
      <w:r>
        <w:rPr>
          <w:rFonts w:ascii="Times New Roman" w:eastAsia="Times New Roman" w:hAnsi="Times New Roman" w:cs="Times New Roman"/>
          <w:sz w:val="24"/>
          <w:szCs w:val="24"/>
        </w:rPr>
        <w:t xml:space="preserve"> that triggers response to weaken structural integrity and predisposes the fetal membranes to rupture, particularly in the periviable period. Such infection often begins as subclinical chorioamnionitis. In fact, colonization with S. agalactiae has been sig</w:t>
      </w:r>
      <w:r>
        <w:rPr>
          <w:rFonts w:ascii="Times New Roman" w:eastAsia="Times New Roman" w:hAnsi="Times New Roman" w:cs="Times New Roman"/>
          <w:sz w:val="24"/>
          <w:szCs w:val="24"/>
        </w:rPr>
        <w:t xml:space="preserve">nificantly correlated with histologic chorioamnionitis and premature rupture of </w:t>
      </w:r>
      <w:r>
        <w:rPr>
          <w:rFonts w:ascii="Times New Roman" w:eastAsia="Times New Roman" w:hAnsi="Times New Roman" w:cs="Times New Roman"/>
          <w:sz w:val="24"/>
          <w:szCs w:val="24"/>
        </w:rPr>
        <w:lastRenderedPageBreak/>
        <w:t xml:space="preserve">membranes, alongside raised inflammatory markers like interleukin-8 and TNF-α in the umbilical cord blood [13]. </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Antibiotic therapy is a cornerstone of preterm prelabor rupture</w:t>
      </w:r>
      <w:r>
        <w:rPr>
          <w:rFonts w:ascii="Times New Roman" w:eastAsia="Times New Roman" w:hAnsi="Times New Roman" w:cs="Times New Roman"/>
          <w:sz w:val="24"/>
          <w:szCs w:val="24"/>
        </w:rPr>
        <w:t xml:space="preserve"> of membranes (PPROM) management because it can prolong the latency period and reduce maternal and neonatal infectious morbidity. Historically, latency protocols such as the Mercer protocol use erythromycin (often erythromycin ethylsuccinate, EES) combined</w:t>
      </w:r>
      <w:r>
        <w:rPr>
          <w:rFonts w:ascii="Times New Roman" w:eastAsia="Times New Roman" w:hAnsi="Times New Roman" w:cs="Times New Roman"/>
          <w:sz w:val="24"/>
          <w:szCs w:val="24"/>
        </w:rPr>
        <w:t xml:space="preserve"> with ampicillin or amoxicillin to delay delivery and reduce the risk of infection. Recent observational data suggest that alternative regimens, such as cefuroxime plus azithromycin, may be more effective than ampicillin-based protocols in reducing materna</w:t>
      </w:r>
      <w:r>
        <w:rPr>
          <w:rFonts w:ascii="Times New Roman" w:eastAsia="Times New Roman" w:hAnsi="Times New Roman" w:cs="Times New Roman"/>
          <w:sz w:val="24"/>
          <w:szCs w:val="24"/>
        </w:rPr>
        <w:t xml:space="preserve">l peripartum infections, including clinical chorioamnionitis, and associated complications in PPROM [15]. </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Recent retrospective comparative data suggest that cephalosporin-based regimens combined with macrolides, such as cefuroxime plus azithromycin, are a</w:t>
      </w:r>
      <w:r>
        <w:rPr>
          <w:rFonts w:ascii="Times New Roman" w:eastAsia="Times New Roman" w:hAnsi="Times New Roman" w:cs="Times New Roman"/>
          <w:sz w:val="24"/>
          <w:szCs w:val="24"/>
        </w:rPr>
        <w:t>ssociated with lower rates of clinical chorioamnionitis and intrapartum fever compared with older ampicillin-macrolide protocols, reflecting shifts in local microbial sensitivity and clinical practice.</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studies with cefuroxime and metronidazole in chor</w:t>
      </w:r>
      <w:r>
        <w:rPr>
          <w:rFonts w:ascii="Times New Roman" w:eastAsia="Times New Roman" w:hAnsi="Times New Roman" w:cs="Times New Roman"/>
          <w:sz w:val="24"/>
          <w:szCs w:val="24"/>
        </w:rPr>
        <w:t>ioamnionitis shows a good combinations as these cephalosporins and anaerobic coverage (e.g., metronidazole) are biologically plausible and commonly used in practice to target Gram-negative and anaerobic organisms implicated in intra-amniotic infection, par</w:t>
      </w:r>
      <w:r>
        <w:rPr>
          <w:rFonts w:ascii="Times New Roman" w:eastAsia="Times New Roman" w:hAnsi="Times New Roman" w:cs="Times New Roman"/>
          <w:sz w:val="24"/>
          <w:szCs w:val="24"/>
        </w:rPr>
        <w:t xml:space="preserve">ticularly when there is clinical deterioration [16]. </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Overall, current evidence supports routine latency antibiotics in PPROM and suggests that regimens incorporating broader aerobic and anaerobic coverage may improve infectious outcomes, however robust ra</w:t>
      </w:r>
      <w:r>
        <w:rPr>
          <w:rFonts w:ascii="Times New Roman" w:eastAsia="Times New Roman" w:hAnsi="Times New Roman" w:cs="Times New Roman"/>
          <w:sz w:val="24"/>
          <w:szCs w:val="24"/>
        </w:rPr>
        <w:t xml:space="preserve">ndomized controlled trials comparing specific IV antibiotic combinations for chorioamnionitis treatment remain limited, and practice is guided by microbiologic patterns, gestational age, and clinical severity [17]. </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Once infection becomes overt or maternal</w:t>
      </w:r>
      <w:r>
        <w:rPr>
          <w:rFonts w:ascii="Times New Roman" w:eastAsia="Times New Roman" w:hAnsi="Times New Roman" w:cs="Times New Roman"/>
          <w:sz w:val="24"/>
          <w:szCs w:val="24"/>
        </w:rPr>
        <w:t xml:space="preserve"> condition deteriorates, maternal safety unequivocally takes precedence over continuation. This case exemplifies the fragility of the periviable window and reinforces that proactive, evidence-based monitoring and shared decision-making is vital to optimize</w:t>
      </w:r>
      <w:r>
        <w:rPr>
          <w:rFonts w:ascii="Times New Roman" w:eastAsia="Times New Roman" w:hAnsi="Times New Roman" w:cs="Times New Roman"/>
          <w:sz w:val="24"/>
          <w:szCs w:val="24"/>
        </w:rPr>
        <w:t xml:space="preserve"> outcomes for both mother and fetus. The case emphasizes early identification of subclinical chorioamnionitis and the importance of individualized decision-making in periviable PPROM.</w:t>
      </w:r>
    </w:p>
    <w:p w:rsidR="00592CCA" w:rsidRDefault="00B1219A">
      <w:pPr>
        <w:rPr>
          <w:rFonts w:ascii="Times New Roman" w:eastAsia="Times New Roman" w:hAnsi="Times New Roman" w:cs="Times New Roman"/>
          <w:sz w:val="24"/>
          <w:szCs w:val="24"/>
        </w:rPr>
      </w:pPr>
      <w:r>
        <w:pict>
          <v:rect id="_x0000_i1029" style="width:0;height:1.5pt" o:hralign="center" o:hrstd="t" o:hr="t" fillcolor="#a0a0a0" stroked="f"/>
        </w:pict>
      </w:r>
    </w:p>
    <w:p w:rsidR="00592CCA" w:rsidRDefault="00592CCA">
      <w:pPr>
        <w:rPr>
          <w:rFonts w:ascii="Times New Roman" w:eastAsia="Times New Roman" w:hAnsi="Times New Roman" w:cs="Times New Roman"/>
          <w:b/>
          <w:bCs/>
          <w:sz w:val="24"/>
          <w:szCs w:val="24"/>
        </w:rPr>
      </w:pPr>
    </w:p>
    <w:p w:rsidR="00592CCA" w:rsidRDefault="00B1219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 &amp; Recommendations</w:t>
      </w:r>
    </w:p>
    <w:p w:rsidR="00592CCA" w:rsidRDefault="00B1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Periviable PPROM complicated by subclini</w:t>
      </w:r>
      <w:r>
        <w:rPr>
          <w:rFonts w:ascii="Times New Roman" w:eastAsia="Times New Roman" w:hAnsi="Times New Roman" w:cs="Times New Roman"/>
          <w:sz w:val="24"/>
          <w:szCs w:val="24"/>
        </w:rPr>
        <w:t>cal chorioamnionitis illustrates the difficult balance between prolonging pregnancy to improve neonatal survival and minimizing maternal–fetal risks of infection. The silent nature of subclinical infection highlights the need for vigilance and individualiz</w:t>
      </w:r>
      <w:r>
        <w:rPr>
          <w:rFonts w:ascii="Times New Roman" w:eastAsia="Times New Roman" w:hAnsi="Times New Roman" w:cs="Times New Roman"/>
          <w:sz w:val="24"/>
          <w:szCs w:val="24"/>
        </w:rPr>
        <w:t>ed care in such cases.</w:t>
      </w:r>
    </w:p>
    <w:p w:rsidR="00592CCA" w:rsidRDefault="00B1219A">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high suspicion for subclinical infection in periviable PPROM, using close maternal–fetal monitoring and laboratory markers to guide timely intervention.</w:t>
      </w:r>
    </w:p>
    <w:p w:rsidR="00592CCA" w:rsidRDefault="00B1219A">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Adopt individualized, multidisciplinary decision-making, incorporating </w:t>
      </w:r>
      <w:r>
        <w:rPr>
          <w:rFonts w:ascii="Times New Roman" w:eastAsia="Times New Roman" w:hAnsi="Times New Roman" w:cs="Times New Roman"/>
          <w:sz w:val="24"/>
          <w:szCs w:val="24"/>
        </w:rPr>
        <w:t>maternal wishes, gestational age, and neonatal prognosis in counseling and management.</w:t>
      </w:r>
    </w:p>
    <w:p w:rsidR="00592CCA" w:rsidRDefault="00B1219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Initiate appropriate antibiotic therapy early, including latency regimens and GBS prophylaxis, while monitoring for signs of progression to overt infection.</w:t>
      </w:r>
    </w:p>
    <w:p w:rsidR="00592CCA" w:rsidRDefault="00B1219A">
      <w:pPr>
        <w:rPr>
          <w:rFonts w:ascii="Times New Roman" w:eastAsia="Times New Roman" w:hAnsi="Times New Roman" w:cs="Times New Roman"/>
          <w:sz w:val="24"/>
          <w:szCs w:val="24"/>
        </w:rPr>
      </w:pPr>
      <w:r>
        <w:pict>
          <v:rect id="_x0000_i1030" style="width:0;height:1.5pt" o:hralign="center" o:hrstd="t" o:hr="t" fillcolor="#a0a0a0" stroked="f"/>
        </w:pict>
      </w:r>
    </w:p>
    <w:p w:rsidR="00592CCA" w:rsidRDefault="00B1219A">
      <w:pPr>
        <w:spacing w:before="240" w:after="240" w:line="276" w:lineRule="auto"/>
        <w:rPr>
          <w:rFonts w:ascii="Times New Roman" w:eastAsia="Times New Roman" w:hAnsi="Times New Roman" w:cs="Times New Roman"/>
          <w:u w:val="single"/>
        </w:rPr>
      </w:pPr>
      <w:r>
        <w:rPr>
          <w:rFonts w:ascii="Times New Roman" w:eastAsia="Times New Roman" w:hAnsi="Times New Roman" w:cs="Times New Roman"/>
          <w:u w:val="single"/>
        </w:rPr>
        <w:t>Acknowledg</w:t>
      </w:r>
      <w:r>
        <w:rPr>
          <w:rFonts w:ascii="Times New Roman" w:eastAsia="Times New Roman" w:hAnsi="Times New Roman" w:cs="Times New Roman"/>
          <w:u w:val="single"/>
        </w:rPr>
        <w:t>ement</w:t>
      </w:r>
    </w:p>
    <w:p w:rsidR="00592CCA" w:rsidRDefault="00B1219A">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The authors would like to express their sincere gratitude to the patient (Madam P) for willingly participating in this study and for providing informed consent for publication. The patient’s cooperation made this work possible. We also  thank the dep</w:t>
      </w:r>
      <w:r>
        <w:rPr>
          <w:rFonts w:ascii="Times New Roman" w:eastAsia="Times New Roman" w:hAnsi="Times New Roman" w:cs="Times New Roman"/>
        </w:rPr>
        <w:t>artment of O&amp;G Hospital Sungai Buloh Malaysia for the opportunity.</w:t>
      </w:r>
    </w:p>
    <w:p w:rsidR="00592CCA" w:rsidRDefault="00B1219A">
      <w:pPr>
        <w:spacing w:before="240" w:after="240" w:line="276" w:lineRule="auto"/>
        <w:rPr>
          <w:rFonts w:ascii="Times New Roman" w:eastAsia="Times New Roman" w:hAnsi="Times New Roman" w:cs="Times New Roman"/>
          <w:u w:val="single"/>
        </w:rPr>
      </w:pPr>
      <w:r>
        <w:rPr>
          <w:rFonts w:ascii="Times New Roman" w:eastAsia="Times New Roman" w:hAnsi="Times New Roman" w:cs="Times New Roman"/>
          <w:u w:val="single"/>
        </w:rPr>
        <w:t>Informed consent</w:t>
      </w:r>
    </w:p>
    <w:p w:rsidR="00592CCA" w:rsidRDefault="00B1219A">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 xml:space="preserve">Both written and verbal informed consent was obtained from the patient (Mdm P) for publication of this report and any accompanying </w:t>
      </w:r>
      <w:r w:rsidR="00C840A9">
        <w:rPr>
          <w:rFonts w:ascii="Times New Roman" w:eastAsia="Times New Roman" w:hAnsi="Times New Roman" w:cs="Times New Roman"/>
        </w:rPr>
        <w:t>Figure</w:t>
      </w:r>
      <w:r>
        <w:rPr>
          <w:rFonts w:ascii="Times New Roman" w:eastAsia="Times New Roman" w:hAnsi="Times New Roman" w:cs="Times New Roman"/>
        </w:rPr>
        <w:t>.</w:t>
      </w:r>
    </w:p>
    <w:p w:rsidR="00592CCA" w:rsidRDefault="00B1219A">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Both authors contributed significantly to the conception, data collection, analysis, manuscript drafting, and final approval of the submitted version.</w:t>
      </w:r>
    </w:p>
    <w:p w:rsidR="00592CCA" w:rsidRDefault="00B1219A">
      <w:pPr>
        <w:spacing w:after="0" w:line="240" w:lineRule="auto"/>
        <w:rPr>
          <w:rFonts w:ascii="Times New Roman" w:eastAsia="Times New Roman" w:hAnsi="Times New Roman" w:cs="Times New Roman"/>
          <w:u w:val="single"/>
        </w:rPr>
      </w:pPr>
      <w:bookmarkStart w:id="1" w:name="_heading=h.dgq2xtgf8sqf" w:colFirst="0" w:colLast="0"/>
      <w:bookmarkEnd w:id="1"/>
      <w:r>
        <w:rPr>
          <w:rFonts w:ascii="Times New Roman" w:eastAsia="Times New Roman" w:hAnsi="Times New Roman" w:cs="Times New Roman"/>
          <w:u w:val="single"/>
        </w:rPr>
        <w:t>D</w:t>
      </w:r>
      <w:r>
        <w:rPr>
          <w:rFonts w:ascii="Times New Roman" w:eastAsia="Times New Roman" w:hAnsi="Times New Roman" w:cs="Times New Roman"/>
          <w:u w:val="single"/>
        </w:rPr>
        <w:t>isclaimer (Artificial intelligence)</w:t>
      </w:r>
    </w:p>
    <w:p w:rsidR="00592CCA" w:rsidRDefault="00592CCA">
      <w:pPr>
        <w:spacing w:after="0" w:line="240" w:lineRule="auto"/>
        <w:rPr>
          <w:rFonts w:ascii="Times New Roman" w:eastAsia="Times New Roman" w:hAnsi="Times New Roman" w:cs="Times New Roman"/>
          <w:highlight w:val="yellow"/>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Author(s) hereby declare that NO generative AI technologies such as Large Language Models (ChatGPT, COPILOT, etc.) and</w:t>
      </w:r>
      <w:r>
        <w:rPr>
          <w:rFonts w:ascii="Times New Roman" w:eastAsia="Times New Roman" w:hAnsi="Times New Roman" w:cs="Times New Roman"/>
        </w:rPr>
        <w:t xml:space="preserve"> text-to-image generators have been used during the writing or editing of this manuscript. </w:t>
      </w:r>
    </w:p>
    <w:p w:rsidR="00592CCA" w:rsidRDefault="00592CCA">
      <w:pPr>
        <w:rPr>
          <w:rFonts w:ascii="Times New Roman" w:eastAsia="Times New Roman" w:hAnsi="Times New Roman" w:cs="Times New Roman"/>
          <w:b/>
          <w:bCs/>
          <w:sz w:val="24"/>
          <w:szCs w:val="24"/>
        </w:rPr>
      </w:pPr>
    </w:p>
    <w:p w:rsidR="00592CCA" w:rsidRDefault="00592CCA">
      <w:pPr>
        <w:rPr>
          <w:rFonts w:ascii="Times New Roman" w:eastAsia="Times New Roman" w:hAnsi="Times New Roman" w:cs="Times New Roman"/>
          <w:b/>
          <w:bCs/>
          <w:sz w:val="24"/>
          <w:szCs w:val="24"/>
        </w:rPr>
      </w:pPr>
    </w:p>
    <w:p w:rsidR="00592CCA" w:rsidRDefault="00592CCA">
      <w:pPr>
        <w:rPr>
          <w:rFonts w:ascii="Times New Roman" w:eastAsia="Times New Roman" w:hAnsi="Times New Roman" w:cs="Times New Roman"/>
          <w:b/>
          <w:bCs/>
          <w:sz w:val="24"/>
          <w:szCs w:val="24"/>
        </w:rPr>
      </w:pPr>
    </w:p>
    <w:p w:rsidR="00592CCA" w:rsidRDefault="00592CCA">
      <w:pPr>
        <w:rPr>
          <w:rFonts w:ascii="Times New Roman" w:eastAsia="Times New Roman" w:hAnsi="Times New Roman" w:cs="Times New Roman"/>
          <w:b/>
          <w:bCs/>
          <w:sz w:val="24"/>
          <w:szCs w:val="24"/>
        </w:rPr>
      </w:pPr>
    </w:p>
    <w:p w:rsidR="00592CCA" w:rsidRDefault="00592CCA">
      <w:pPr>
        <w:rPr>
          <w:rFonts w:ascii="Times New Roman" w:eastAsia="Times New Roman" w:hAnsi="Times New Roman" w:cs="Times New Roman"/>
          <w:b/>
          <w:bCs/>
          <w:sz w:val="24"/>
          <w:szCs w:val="24"/>
        </w:rPr>
      </w:pPr>
    </w:p>
    <w:p w:rsidR="00592CCA" w:rsidRDefault="00B1219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Battarbee, A. N., Osmundson, S. S., McCarthy, A. M., Louis, J. M., Society for Maternal-Fetal Medicine (SMFM, &amp; SMFM Publications Committee. (202</w:t>
      </w:r>
      <w:r>
        <w:rPr>
          <w:rFonts w:ascii="Times New Roman" w:eastAsia="Times New Roman" w:hAnsi="Times New Roman" w:cs="Times New Roman"/>
          <w:sz w:val="24"/>
          <w:szCs w:val="24"/>
        </w:rPr>
        <w:t>4). Society for Maternal-Fetal Medicine Consult Series# 71: Management of previable and periviable preterm prelabor rupture of membranes. American Journal of Obstetrics and Gynecology, 231(4), B2-B15.</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Sim, W. H., Ng, H., &amp; Sheehan, P. (2020). Maternal </w:t>
      </w:r>
      <w:r>
        <w:rPr>
          <w:rFonts w:ascii="Times New Roman" w:eastAsia="Times New Roman" w:hAnsi="Times New Roman" w:cs="Times New Roman"/>
          <w:sz w:val="24"/>
          <w:szCs w:val="24"/>
        </w:rPr>
        <w:t>and neonatal outcomes following expectant management of preterm prelabor rupture of membranes before viability. The Journal of Maternal-Fetal &amp; Neonatal Medicine, 33(4), 533-541.</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Ağaoğlu, R. T., Öztürk, Ö., Ulusoy, C. O., Günday, F., Sarikaya Kurt, D.,</w:t>
      </w:r>
      <w:r>
        <w:rPr>
          <w:rFonts w:ascii="Times New Roman" w:eastAsia="Times New Roman" w:hAnsi="Times New Roman" w:cs="Times New Roman"/>
          <w:sz w:val="24"/>
          <w:szCs w:val="24"/>
        </w:rPr>
        <w:t xml:space="preserve"> Aksu, M., ... &amp; Yakut Yücel, K. (2025). Perinatal outcomes and predictors of neonatal mortality in preterm premature rupture of membranes: a tertiary center experience. BMC Pregnancy and Childbirth, 25(1), 585.</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Li Y, et al. Incidence and perinatal out</w:t>
      </w:r>
      <w:r>
        <w:rPr>
          <w:rFonts w:ascii="Times New Roman" w:eastAsia="Times New Roman" w:hAnsi="Times New Roman" w:cs="Times New Roman"/>
          <w:sz w:val="24"/>
          <w:szCs w:val="24"/>
        </w:rPr>
        <w:t>comes of preterm premature rupture of membranes: A multicenter study in China. BMC Pregnancy Childbirth. 2021;21:377. [PMCID: PMC8107868]</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Care of Women with Preterm Prelabour Rupture of the Membranes Prior to 24+0 Weeks of Gestation. Scientific Impact </w:t>
      </w:r>
      <w:r>
        <w:rPr>
          <w:rFonts w:ascii="Times New Roman" w:eastAsia="Times New Roman" w:hAnsi="Times New Roman" w:cs="Times New Roman"/>
          <w:sz w:val="24"/>
          <w:szCs w:val="24"/>
        </w:rPr>
        <w:t>Paper No. 76. London: RCOG; 2024.</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6/Pylypjuk, C., &amp; Majeau, L. (2021). Perinatal outcomes and influence of amniotic fluid volume following previable, preterm prelabor rupture of membranes (pPPROM): a historical cohort study. International journal of women</w:t>
      </w:r>
      <w:r>
        <w:rPr>
          <w:rFonts w:ascii="Times New Roman" w:eastAsia="Times New Roman" w:hAnsi="Times New Roman" w:cs="Times New Roman"/>
          <w:sz w:val="24"/>
          <w:szCs w:val="24"/>
        </w:rPr>
        <w:t>'s health, 627-637.</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Dayal, S., Jenkins, S. M., &amp; Hong, P. L. (2024). Preterm and term prelabor rupture of membranes (PPROM and PROM). In StatPearls [Internet]. StatPearls Publishing.</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American College of Obstetricians and Gynecologists. Practice Adv</w:t>
      </w:r>
      <w:r>
        <w:rPr>
          <w:rFonts w:ascii="Times New Roman" w:eastAsia="Times New Roman" w:hAnsi="Times New Roman" w:cs="Times New Roman"/>
          <w:sz w:val="24"/>
          <w:szCs w:val="24"/>
        </w:rPr>
        <w:t>isory: Preterm Prelabor Rupture of Membranes. Washington, DC: ACOG; June 2025.</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Kong, X., Jiang, L., Zhang, B., Sun, L., &amp; Liu, K. (2023). Predicting chorioamnionitis in patients with preterm premature rupture of membranes using inflammatory indexes: a retrospective study. Taiwanese Journal of Obstetrics and Gynecology, 62(1), 112-</w:t>
      </w:r>
      <w:r>
        <w:rPr>
          <w:rFonts w:ascii="Times New Roman" w:eastAsia="Times New Roman" w:hAnsi="Times New Roman" w:cs="Times New Roman"/>
          <w:sz w:val="24"/>
          <w:szCs w:val="24"/>
        </w:rPr>
        <w:t>118.</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Neamțu, S. I., Sava, M., Bereanu, A. S., Bădilă, R. M., Codru, I. R., Vintilă, B. I., ... &amp; Chicea, R. (2025). Evaluation of Maternal Inflammatory Biomarkers in Preterm Prelabor Rupture of Membranes: A Systematic Review and Meta-Analysis. Medicin</w:t>
      </w:r>
      <w:r>
        <w:rPr>
          <w:rFonts w:ascii="Times New Roman" w:eastAsia="Times New Roman" w:hAnsi="Times New Roman" w:cs="Times New Roman"/>
          <w:sz w:val="24"/>
          <w:szCs w:val="24"/>
        </w:rPr>
        <w:t>a, 62(1), 20.</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Areia, A. L., Areia, M., &amp; Mota-Pinto, A. (2021). Procalcitonin in preterm rupture of membranes: a systematic review and meta-analysis. Archives of Gynecology and Obstetrics, 303(4), 917-924.</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Back, J. H., Kim, S. Y., Gu, M. B., Kim, H. J., Lee, K. N., Lee, J. E., &amp; Park, K. H. (2023). Proteomic analysis of plasma to identify novel biomarkers for intra-amniotic infection and/or inflammation in preterm premature rupture of membranes. Scientif</w:t>
      </w:r>
      <w:r>
        <w:rPr>
          <w:rFonts w:ascii="Times New Roman" w:eastAsia="Times New Roman" w:hAnsi="Times New Roman" w:cs="Times New Roman"/>
          <w:sz w:val="24"/>
          <w:szCs w:val="24"/>
        </w:rPr>
        <w:t>ic reports, 13(1), 5658.</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Çakar, E., Çakar, Ş. E., Taşan, H. A., Karçaaltıncaba, D., Şentürk, M. B., Koç, N., &amp; Uluhan, R. (2016). Diagnostic and prognostic value of presepsin for subclinical chorioamnionitis in pregnancies between 23-28 week with pret</w:t>
      </w:r>
      <w:r>
        <w:rPr>
          <w:rFonts w:ascii="Times New Roman" w:eastAsia="Times New Roman" w:hAnsi="Times New Roman" w:cs="Times New Roman"/>
          <w:sz w:val="24"/>
          <w:szCs w:val="24"/>
        </w:rPr>
        <w:t>erm premature rupture of the membranes. Balkan medical journal, 33(6), 668-674.</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Patras, K. A., &amp; Nizet, V. (2018). Group B streptococcal maternal colonization and neonatal disease: molecular mechanisms and preventative approaches. Frontiers in pediatr</w:t>
      </w:r>
      <w:r>
        <w:rPr>
          <w:rFonts w:ascii="Times New Roman" w:eastAsia="Times New Roman" w:hAnsi="Times New Roman" w:cs="Times New Roman"/>
          <w:sz w:val="24"/>
          <w:szCs w:val="24"/>
        </w:rPr>
        <w:t>ics, 6, 27.</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Wolf, M. F., Shqara, R. A., Goldinfeld, G., Miron, D., &amp; Lowenstein, L. (2025). Two Prophylactic Antibiotic Protocols Compared for the Treatment of Preterm Pre-labor Rupture of Membranes. Journal of Obstetrics and Gynaecology Canada, 10305</w:t>
      </w:r>
      <w:r>
        <w:rPr>
          <w:rFonts w:ascii="Times New Roman" w:eastAsia="Times New Roman" w:hAnsi="Times New Roman" w:cs="Times New Roman"/>
          <w:sz w:val="24"/>
          <w:szCs w:val="24"/>
        </w:rPr>
        <w:t>0.</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Kay, V. R., Liang, I., Twiss, J., &amp; Morais, M. (2025). A Retrospective Comparison of Antibiotic Regimens for Treatment of Chorioamnionitis. O&amp;G Open, 2(4), e104.</w:t>
      </w:r>
    </w:p>
    <w:p w:rsidR="00592CCA" w:rsidRDefault="00592CCA">
      <w:pPr>
        <w:spacing w:after="0" w:line="240" w:lineRule="auto"/>
        <w:rPr>
          <w:rFonts w:ascii="Times New Roman" w:eastAsia="Times New Roman" w:hAnsi="Times New Roman" w:cs="Times New Roman"/>
          <w:sz w:val="24"/>
          <w:szCs w:val="24"/>
        </w:rPr>
      </w:pPr>
    </w:p>
    <w:p w:rsidR="00592CCA" w:rsidRDefault="00B121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 Conde-Agudelo, A., Romero, R., Jung, E. J., &amp; Sánchez, Á. J. G. (2020). Managemen</w:t>
      </w:r>
      <w:r>
        <w:rPr>
          <w:rFonts w:ascii="Times New Roman" w:eastAsia="Times New Roman" w:hAnsi="Times New Roman" w:cs="Times New Roman"/>
          <w:sz w:val="24"/>
          <w:szCs w:val="24"/>
        </w:rPr>
        <w:t>t of clinical chorioamnionitis: an evidence-based approach. American journal of obstetrics and gynecology, 223(6), 848-869.</w:t>
      </w:r>
    </w:p>
    <w:p w:rsidR="00592CCA" w:rsidRDefault="00592CCA">
      <w:pPr>
        <w:rPr>
          <w:rFonts w:ascii="Times New Roman" w:eastAsia="Times New Roman" w:hAnsi="Times New Roman" w:cs="Times New Roman"/>
          <w:sz w:val="24"/>
          <w:szCs w:val="24"/>
        </w:rPr>
      </w:pPr>
    </w:p>
    <w:p w:rsidR="00592CCA" w:rsidRDefault="00592CCA">
      <w:pPr>
        <w:rPr>
          <w:rFonts w:ascii="Times New Roman" w:eastAsia="Times New Roman" w:hAnsi="Times New Roman" w:cs="Times New Roman"/>
          <w:sz w:val="24"/>
          <w:szCs w:val="24"/>
        </w:rPr>
      </w:pPr>
    </w:p>
    <w:p w:rsidR="00592CCA" w:rsidRDefault="00592CCA">
      <w:pPr>
        <w:rPr>
          <w:rFonts w:ascii="Times New Roman" w:eastAsia="Times New Roman" w:hAnsi="Times New Roman" w:cs="Times New Roman"/>
          <w:sz w:val="24"/>
          <w:szCs w:val="24"/>
        </w:rPr>
      </w:pPr>
    </w:p>
    <w:p w:rsidR="00592CCA" w:rsidRDefault="00592CCA">
      <w:pPr>
        <w:rPr>
          <w:rFonts w:ascii="Times New Roman" w:eastAsia="Times New Roman" w:hAnsi="Times New Roman" w:cs="Times New Roman"/>
          <w:b/>
          <w:bCs/>
          <w:sz w:val="24"/>
          <w:szCs w:val="24"/>
          <w:u w:val="single"/>
        </w:rPr>
      </w:pPr>
    </w:p>
    <w:sectPr w:rsidR="00592CC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19A" w:rsidRDefault="00B1219A">
      <w:pPr>
        <w:spacing w:after="0" w:line="240" w:lineRule="auto"/>
      </w:pPr>
      <w:r>
        <w:separator/>
      </w:r>
    </w:p>
  </w:endnote>
  <w:endnote w:type="continuationSeparator" w:id="0">
    <w:p w:rsidR="00B1219A" w:rsidRDefault="00B12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54A439-440B-469D-B6FC-5B7C99B69FEB}"/>
    <w:embedItalic r:id="rId2" w:fontKey="{700FE97F-CB2D-456C-B0FC-E3C72E3E2AB9}"/>
  </w:font>
  <w:font w:name="Calibri Light">
    <w:panose1 w:val="020F0302020204030204"/>
    <w:charset w:val="00"/>
    <w:family w:val="swiss"/>
    <w:pitch w:val="variable"/>
    <w:sig w:usb0="E4002EFF" w:usb1="C200247B" w:usb2="00000009" w:usb3="00000000" w:csb0="000001FF" w:csb1="00000000"/>
    <w:embedRegular r:id="rId3" w:fontKey="{0FE68D31-3372-45DC-A017-9246BDFF6A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CCA" w:rsidRDefault="00592CC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CCA" w:rsidRDefault="00592CC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CCA" w:rsidRDefault="00592CC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19A" w:rsidRDefault="00B1219A">
      <w:pPr>
        <w:spacing w:after="0" w:line="240" w:lineRule="auto"/>
      </w:pPr>
      <w:r>
        <w:separator/>
      </w:r>
    </w:p>
  </w:footnote>
  <w:footnote w:type="continuationSeparator" w:id="0">
    <w:p w:rsidR="00B1219A" w:rsidRDefault="00B12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CCA" w:rsidRDefault="00B1219A">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3pt;height:100.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CCA" w:rsidRDefault="00B1219A">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3pt;height:100.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CCA" w:rsidRDefault="00B1219A">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3pt;height:100.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03E9"/>
    <w:multiLevelType w:val="multilevel"/>
    <w:tmpl w:val="81320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CCA"/>
    <w:rsid w:val="00297519"/>
    <w:rsid w:val="00412C08"/>
    <w:rsid w:val="00592CCA"/>
    <w:rsid w:val="007770DC"/>
    <w:rsid w:val="0091382E"/>
    <w:rsid w:val="00AB3DEE"/>
    <w:rsid w:val="00B1219A"/>
    <w:rsid w:val="00C76BCE"/>
    <w:rsid w:val="00C840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F1E268"/>
  <w15:docId w15:val="{5537519D-A3D9-449B-8676-C68CE0A0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MY"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16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6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6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416F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6F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6F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6F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6F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6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6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6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6FD9"/>
    <w:rPr>
      <w:rFonts w:eastAsiaTheme="majorEastAsia" w:cstheme="majorBidi"/>
      <w:color w:val="272727" w:themeColor="text1" w:themeTint="D8"/>
    </w:rPr>
  </w:style>
  <w:style w:type="character" w:customStyle="1" w:styleId="TitleChar">
    <w:name w:val="Title Char"/>
    <w:basedOn w:val="DefaultParagraphFont"/>
    <w:link w:val="Title"/>
    <w:uiPriority w:val="10"/>
    <w:rsid w:val="00416FD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16F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6FD9"/>
    <w:pPr>
      <w:spacing w:before="160"/>
      <w:jc w:val="center"/>
    </w:pPr>
    <w:rPr>
      <w:i/>
      <w:iCs/>
      <w:color w:val="404040" w:themeColor="text1" w:themeTint="BF"/>
    </w:rPr>
  </w:style>
  <w:style w:type="character" w:customStyle="1" w:styleId="QuoteChar">
    <w:name w:val="Quote Char"/>
    <w:basedOn w:val="DefaultParagraphFont"/>
    <w:link w:val="Quote"/>
    <w:uiPriority w:val="29"/>
    <w:rsid w:val="00416FD9"/>
    <w:rPr>
      <w:i/>
      <w:iCs/>
      <w:color w:val="404040" w:themeColor="text1" w:themeTint="BF"/>
    </w:rPr>
  </w:style>
  <w:style w:type="paragraph" w:styleId="ListParagraph">
    <w:name w:val="List Paragraph"/>
    <w:basedOn w:val="Normal"/>
    <w:uiPriority w:val="34"/>
    <w:qFormat/>
    <w:rsid w:val="00416FD9"/>
    <w:pPr>
      <w:ind w:left="720"/>
      <w:contextualSpacing/>
    </w:pPr>
  </w:style>
  <w:style w:type="character" w:styleId="IntenseEmphasis">
    <w:name w:val="Intense Emphasis"/>
    <w:basedOn w:val="DefaultParagraphFont"/>
    <w:uiPriority w:val="21"/>
    <w:qFormat/>
    <w:rsid w:val="00416FD9"/>
    <w:rPr>
      <w:i/>
      <w:iCs/>
      <w:color w:val="2F5496" w:themeColor="accent1" w:themeShade="BF"/>
    </w:rPr>
  </w:style>
  <w:style w:type="paragraph" w:styleId="IntenseQuote">
    <w:name w:val="Intense Quote"/>
    <w:basedOn w:val="Normal"/>
    <w:next w:val="Normal"/>
    <w:link w:val="IntenseQuoteChar"/>
    <w:uiPriority w:val="30"/>
    <w:qFormat/>
    <w:rsid w:val="00416F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6FD9"/>
    <w:rPr>
      <w:i/>
      <w:iCs/>
      <w:color w:val="2F5496" w:themeColor="accent1" w:themeShade="BF"/>
    </w:rPr>
  </w:style>
  <w:style w:type="character" w:styleId="IntenseReference">
    <w:name w:val="Intense Reference"/>
    <w:basedOn w:val="DefaultParagraphFont"/>
    <w:uiPriority w:val="32"/>
    <w:qFormat/>
    <w:rsid w:val="00416FD9"/>
    <w:rPr>
      <w:b/>
      <w:bCs/>
      <w:smallCaps/>
      <w:color w:val="2F5496" w:themeColor="accent1" w:themeShade="BF"/>
      <w:spacing w:val="5"/>
    </w:rPr>
  </w:style>
  <w:style w:type="character" w:styleId="Hyperlink">
    <w:name w:val="Hyperlink"/>
    <w:basedOn w:val="DefaultParagraphFont"/>
    <w:uiPriority w:val="99"/>
    <w:unhideWhenUsed/>
    <w:rsid w:val="00FB4433"/>
    <w:rPr>
      <w:color w:val="0563C1" w:themeColor="hyperlink"/>
      <w:u w:val="single"/>
    </w:rPr>
  </w:style>
  <w:style w:type="character" w:styleId="UnresolvedMention">
    <w:name w:val="Unresolved Mention"/>
    <w:basedOn w:val="DefaultParagraphFont"/>
    <w:uiPriority w:val="99"/>
    <w:semiHidden/>
    <w:unhideWhenUsed/>
    <w:rsid w:val="00FB4433"/>
    <w:rPr>
      <w:color w:val="605E5C"/>
      <w:shd w:val="clear" w:color="auto" w:fill="E1DFDD"/>
    </w:rPr>
  </w:style>
  <w:style w:type="paragraph" w:styleId="Header">
    <w:name w:val="header"/>
    <w:basedOn w:val="Normal"/>
    <w:link w:val="HeaderChar"/>
    <w:uiPriority w:val="99"/>
    <w:unhideWhenUsed/>
    <w:rsid w:val="00A60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F5C"/>
  </w:style>
  <w:style w:type="paragraph" w:styleId="Footer">
    <w:name w:val="footer"/>
    <w:basedOn w:val="Normal"/>
    <w:link w:val="FooterChar"/>
    <w:uiPriority w:val="99"/>
    <w:unhideWhenUsed/>
    <w:rsid w:val="00A60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F5C"/>
  </w:style>
  <w:style w:type="paragraph" w:styleId="NoSpacing">
    <w:name w:val="No Spacing"/>
    <w:uiPriority w:val="1"/>
    <w:qFormat/>
    <w:rsid w:val="00F70B49"/>
    <w:pPr>
      <w:spacing w:after="0" w:line="240" w:lineRule="auto"/>
    </w:pPr>
    <w:rPr>
      <w:rFonts w:asciiTheme="minorHAnsi" w:eastAsiaTheme="minorHAnsi" w:hAnsiTheme="minorHAnsi" w:cstheme="minorBidi"/>
      <w:lang w:val="en-GB"/>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djD6vVRTXy28LkRBcod4Z6OH4Q==">CgMxLjAyDmguZGdxMnh0Z2Y4c3FmOAByITFFSFBreWV1ZGd5NENKelQ1U1NUd1JfOUVBU1FTM2pkbw==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2748</Words>
  <Characters>15670</Characters>
  <Application>Microsoft Office Word</Application>
  <DocSecurity>0</DocSecurity>
  <Lines>130</Lines>
  <Paragraphs>36</Paragraphs>
  <ScaleCrop>false</ScaleCrop>
  <Company/>
  <LinksUpToDate>false</LinksUpToDate>
  <CharactersWithSpaces>18382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Ignatius</dc:creator>
  <cp:lastModifiedBy>SDI 1158</cp:lastModifiedBy>
  <cp:revision>8</cp:revision>
  <dcterms:created xsi:type="dcterms:W3CDTF">2025-08-09T12:23:00Z</dcterms:created>
  <dcterms:modified xsi:type="dcterms:W3CDTF">2026-02-05T07:32:00Z</dcterms:modified>
</cp:coreProperties>
</file>