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9E" w:rsidRDefault="0000639E">
      <w:pPr>
        <w:jc w:val="right"/>
        <w:rPr>
          <w:rFonts w:ascii="Times New Roman" w:hAnsi="Times New Roman" w:cs="Times New Roman"/>
          <w:b/>
          <w:bCs/>
          <w:sz w:val="28"/>
          <w:szCs w:val="28"/>
        </w:rPr>
      </w:pPr>
    </w:p>
    <w:p w:rsidR="0000639E" w:rsidRDefault="005A15D8">
      <w:pPr>
        <w:jc w:val="right"/>
        <w:rPr>
          <w:rFonts w:ascii="Times New Roman" w:hAnsi="Times New Roman" w:cs="Times New Roman"/>
          <w:b/>
          <w:bCs/>
          <w:sz w:val="28"/>
          <w:szCs w:val="28"/>
        </w:rPr>
      </w:pPr>
      <w:r>
        <w:rPr>
          <w:rFonts w:ascii="Times New Roman" w:hAnsi="Times New Roman" w:cs="Times New Roman"/>
          <w:b/>
          <w:bCs/>
          <w:sz w:val="28"/>
          <w:szCs w:val="28"/>
        </w:rPr>
        <w:t>HELLP syndrome: Predictive factors and benefits of a standardized treatment protocol in a cohort of 1,254 cases of preeclampsia</w:t>
      </w:r>
    </w:p>
    <w:p w:rsidR="0000639E" w:rsidRDefault="0000639E">
      <w:pPr>
        <w:jc w:val="right"/>
        <w:rPr>
          <w:rFonts w:ascii="Times New Roman" w:hAnsi="Times New Roman" w:cs="Times New Roman"/>
          <w:b/>
          <w:bCs/>
          <w:sz w:val="24"/>
          <w:szCs w:val="24"/>
        </w:rPr>
      </w:pPr>
    </w:p>
    <w:p w:rsidR="0000639E" w:rsidRDefault="0000639E"/>
    <w:p w:rsidR="0000639E" w:rsidRDefault="005A15D8">
      <w:pPr>
        <w:rPr>
          <w:rFonts w:ascii="Times New Roman" w:hAnsi="Times New Roman" w:cs="Times New Roman"/>
          <w:b/>
          <w:bCs/>
          <w:sz w:val="28"/>
          <w:szCs w:val="28"/>
        </w:rPr>
      </w:pPr>
      <w:r>
        <w:rPr>
          <w:rFonts w:ascii="Times New Roman" w:hAnsi="Times New Roman" w:cs="Times New Roman"/>
          <w:b/>
          <w:bCs/>
          <w:sz w:val="28"/>
          <w:szCs w:val="28"/>
        </w:rPr>
        <w:t>Abstract</w:t>
      </w:r>
    </w:p>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Introduction</w:t>
      </w:r>
    </w:p>
    <w:p w:rsidR="0000639E" w:rsidRDefault="005A15D8">
      <w:pPr>
        <w:rPr>
          <w:rFonts w:ascii="Times New Roman" w:hAnsi="Times New Roman" w:cs="Times New Roman"/>
          <w:sz w:val="24"/>
          <w:szCs w:val="24"/>
        </w:rPr>
      </w:pPr>
      <w:r>
        <w:rPr>
          <w:rFonts w:ascii="Times New Roman" w:hAnsi="Times New Roman" w:cs="Times New Roman"/>
          <w:sz w:val="24"/>
          <w:szCs w:val="24"/>
        </w:rPr>
        <w:t>HELLP syndrome (Hemolysis, Elevated Liver Enzymes, Low Platelets) is one of the most severe complications of preeclampsia, posing a life-threatening risk to both mother and fetus. In middle-income countries, its management is complicated by delays in consultation and limited resources. This study aims to determine the incidence of the syndrome, its predictive factors, and to evaluate the impact of a standardized protocol on morbidity and mortality.</w:t>
      </w:r>
    </w:p>
    <w:p w:rsidR="0000639E" w:rsidRDefault="005A15D8">
      <w:r>
        <w:rPr>
          <w:rStyle w:val="Policepardfaut"/>
          <w:rFonts w:ascii="Times New Roman" w:hAnsi="Times New Roman" w:cs="Times New Roman"/>
          <w:b/>
          <w:bCs/>
          <w:sz w:val="24"/>
          <w:szCs w:val="24"/>
        </w:rPr>
        <w:t>Methods</w:t>
      </w:r>
      <w:r>
        <w:rPr>
          <w:rStyle w:val="Policepardfaut"/>
          <w:rFonts w:ascii="Times New Roman" w:hAnsi="Times New Roman" w:cs="Times New Roman"/>
          <w:sz w:val="24"/>
          <w:szCs w:val="24"/>
        </w:rPr>
        <w:t>:</w:t>
      </w:r>
    </w:p>
    <w:p w:rsidR="0000639E" w:rsidRDefault="005A15D8">
      <w:r>
        <w:rPr>
          <w:rStyle w:val="Policepardfaut"/>
          <w:rFonts w:ascii="Times New Roman" w:hAnsi="Times New Roman" w:cs="Times New Roman"/>
          <w:sz w:val="24"/>
          <w:szCs w:val="24"/>
        </w:rPr>
        <w:t>An analytical, comparative, prospective, and interventional study was conducted over four years at Annaba University Hospital, including 1,254 patients with preeclampsia. The study was designed to compare two consecutive periods: an initial observational phase (T1), conducted before the implementation of any standardized protocol, and an interventional phase (T2), following the introduction of a multidisciplinary management protocol incorporating antenatal corticosteroid therapy, conservative (expectant) management, and structured fluid management.</w:t>
      </w:r>
    </w:p>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Results</w:t>
      </w:r>
    </w:p>
    <w:p w:rsidR="0000639E" w:rsidRDefault="005A15D8">
      <w:r>
        <w:rPr>
          <w:rStyle w:val="Policepardfaut"/>
          <w:rFonts w:ascii="Times New Roman" w:hAnsi="Times New Roman" w:cs="Times New Roman"/>
          <w:sz w:val="24"/>
          <w:szCs w:val="24"/>
        </w:rPr>
        <w:t>Among 1,254 women with preeclampsia, 223 developed HELLP syndrome, corresponding to an incidence of 17.8%. The clinical presentation was dominated by hepatic cytolysis, observed in 197 cases (88.3%), and severe thrombocytopenia (&lt;100,000/mm³) in 160 cases (71.8%). Acute renal failure complicated 153 cases (68.6%), reflecting delayed diagnosis and management. Implementation of the multidisciplinary management protocol during the interventional phase (T2) was associated with a significant reduction in neonatal mortality (35.6% vs. 44.4%; p = 0.0087), as well as a decrease in platelet transfusion requirements (p = 0.004) and a shorter maternal length of hospital stay (p &lt; 0.0001). Importantly, this more conservative, expectant approach did not increase maternal morbidity</w:t>
      </w:r>
      <w:r>
        <w:t>.</w:t>
      </w:r>
    </w:p>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Conclusion</w:t>
      </w:r>
    </w:p>
    <w:p w:rsidR="0000639E" w:rsidRDefault="005A15D8">
      <w:pPr>
        <w:rPr>
          <w:rFonts w:ascii="Times New Roman" w:hAnsi="Times New Roman" w:cs="Times New Roman"/>
          <w:sz w:val="24"/>
          <w:szCs w:val="24"/>
        </w:rPr>
      </w:pPr>
      <w:r>
        <w:rPr>
          <w:rFonts w:ascii="Times New Roman" w:hAnsi="Times New Roman" w:cs="Times New Roman"/>
          <w:sz w:val="24"/>
          <w:szCs w:val="24"/>
        </w:rPr>
        <w:t>Standards of care are changing the prognosis for HELLP syndrome. A conservative approach between 28 and 34 weeks of gestation is beneficial and safe in our setting, when strict monitoring is in place.</w:t>
      </w:r>
    </w:p>
    <w:p w:rsidR="0000639E" w:rsidRDefault="0000639E">
      <w:pPr>
        <w:rPr>
          <w:rFonts w:ascii="Times New Roman" w:hAnsi="Times New Roman" w:cs="Times New Roman"/>
          <w:sz w:val="24"/>
          <w:szCs w:val="24"/>
        </w:rPr>
      </w:pPr>
    </w:p>
    <w:p w:rsidR="0000639E" w:rsidRDefault="005A15D8">
      <w:r>
        <w:rPr>
          <w:rStyle w:val="Policepardfaut"/>
          <w:rFonts w:ascii="Times New Roman" w:hAnsi="Times New Roman" w:cs="Times New Roman"/>
          <w:b/>
          <w:bCs/>
          <w:sz w:val="24"/>
          <w:szCs w:val="24"/>
        </w:rPr>
        <w:t>Keywords</w:t>
      </w:r>
      <w:r>
        <w:rPr>
          <w:rStyle w:val="Policepardfaut"/>
          <w:rFonts w:ascii="Times New Roman" w:hAnsi="Times New Roman" w:cs="Times New Roman"/>
          <w:sz w:val="24"/>
          <w:szCs w:val="24"/>
        </w:rPr>
        <w:t>: HELLP syndrome, preeclampsia, predictive factors, standardized protocol, corticosteroid therapy, acute renal failure.</w:t>
      </w:r>
    </w:p>
    <w:p w:rsidR="0000639E" w:rsidRDefault="0000639E">
      <w:pPr>
        <w:rPr>
          <w:rFonts w:ascii="Times New Roman" w:hAnsi="Times New Roman" w:cs="Times New Roman"/>
          <w:sz w:val="24"/>
          <w:szCs w:val="24"/>
        </w:rPr>
      </w:pPr>
    </w:p>
    <w:p w:rsidR="0000639E" w:rsidRDefault="0000639E"/>
    <w:p w:rsidR="0000639E" w:rsidRDefault="0000639E"/>
    <w:p w:rsidR="0000639E" w:rsidRDefault="0000639E"/>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Introduction</w:t>
      </w:r>
    </w:p>
    <w:p w:rsidR="0000639E" w:rsidRDefault="005A15D8">
      <w:pPr>
        <w:pStyle w:val="NormalWeb"/>
        <w:rPr>
          <w:lang w:val="en-US"/>
        </w:rPr>
      </w:pPr>
      <w:r>
        <w:rPr>
          <w:lang w:val="en-US"/>
        </w:rPr>
        <w:t>HELLP syndrome—an acronym introduced by Louis Weinstein in 1982 to describe the triad of hemolysis, elevated liver enzymes, and thrombocytopenia—is a complex and potentially life-threatening condition within the spectrum of hypertensive disorders of pregnancy. Long regarded as an evolutionary variant of severe preeclampsia, it is now recognized by several authors as a distinct clinical entity that may occur in the absence of the cardinal features of hypertension or proteinuria in approximately 15–20% of cases. This atypical presentation renders HELLP syndrome a true diagnostic chameleon and a major therapeutic challenge for both obstetricians and intensivists (1).</w:t>
      </w:r>
    </w:p>
    <w:p w:rsidR="0000639E" w:rsidRDefault="005A15D8">
      <w:pPr>
        <w:pStyle w:val="NormalWeb"/>
        <w:rPr>
          <w:lang w:val="en-US"/>
        </w:rPr>
      </w:pPr>
      <w:r>
        <w:rPr>
          <w:lang w:val="en-US"/>
        </w:rPr>
        <w:t xml:space="preserve">From an epidemiological perspective, HELLP syndrome complicates approximately 0.5–0.9% of all pregnancies and occurs in 10–20% of women with severe preeclampsia (2). However, these figures—largely derived from Western populations—mask substantial regional disparities. In middle-income countries, particularly in the Maghreb region, the incidence and severity of HELLP syndrome appear to be amplified by environmental, socioeconomic, and healthcare system–related factors, including limited access to prenatal care, delays in referral to tertiary-level maternity units, and a higher prevalence of undiagnosed or poorly controlled hypertension (3). In Algeria, studies by </w:t>
      </w:r>
      <w:proofErr w:type="spellStart"/>
      <w:r>
        <w:rPr>
          <w:lang w:val="en-US"/>
        </w:rPr>
        <w:t>Beldjilali</w:t>
      </w:r>
      <w:proofErr w:type="spellEnd"/>
      <w:r>
        <w:rPr>
          <w:lang w:val="en-US"/>
        </w:rPr>
        <w:t xml:space="preserve"> and </w:t>
      </w:r>
      <w:proofErr w:type="spellStart"/>
      <w:r>
        <w:rPr>
          <w:lang w:val="en-US"/>
        </w:rPr>
        <w:t>Zelmat</w:t>
      </w:r>
      <w:proofErr w:type="spellEnd"/>
      <w:r>
        <w:rPr>
          <w:lang w:val="en-US"/>
        </w:rPr>
        <w:t xml:space="preserve"> (4,5) report a notably higher incidence among referred preeclamptic populations, reaching up to 14–15%, likely reflecting the concentration of severe cases in university hospital settings.</w:t>
      </w:r>
    </w:p>
    <w:p w:rsidR="0000639E" w:rsidRDefault="005A15D8">
      <w:pPr>
        <w:rPr>
          <w:rFonts w:ascii="Times New Roman" w:hAnsi="Times New Roman" w:cs="Times New Roman"/>
          <w:sz w:val="24"/>
          <w:szCs w:val="24"/>
        </w:rPr>
      </w:pPr>
      <w:r>
        <w:rPr>
          <w:rFonts w:ascii="Times New Roman" w:hAnsi="Times New Roman" w:cs="Times New Roman"/>
          <w:sz w:val="24"/>
          <w:szCs w:val="24"/>
        </w:rPr>
        <w:t>The pathophysiology of HELLP syndrome is based on systemic thrombotic microangiopathy secondary to generalized endothelial dysfunction (6). Endothelial damage triggers a cascade of events including platelet activation, formation of fibrin thrombi in the microcirculation (responsible for consumption thrombocytopenia), and mechanical fragmentation of erythrocytes as they pass through this fibrin network (microangiopathic hemolysis). In the liver, fibrin deposits in the sinusoids lead to obstruction of blood flow, hepatocellular ischemia (cytolysis), and distension of the Glisson's capsule, the anatomical substrate of the characteristic epigastric pain, which can progress to subcapsular hematoma of the liver and its cataclysmic rupture.</w:t>
      </w:r>
    </w:p>
    <w:p w:rsidR="0000639E" w:rsidRDefault="005A15D8">
      <w:pPr>
        <w:rPr>
          <w:rFonts w:ascii="Times New Roman" w:hAnsi="Times New Roman" w:cs="Times New Roman"/>
          <w:sz w:val="24"/>
          <w:szCs w:val="24"/>
        </w:rPr>
      </w:pPr>
      <w:r>
        <w:rPr>
          <w:rFonts w:ascii="Times New Roman" w:hAnsi="Times New Roman" w:cs="Times New Roman"/>
          <w:sz w:val="24"/>
          <w:szCs w:val="24"/>
        </w:rPr>
        <w:t>The maternal prognosis remains concerning, with mortality rates ranging from 1% in Western specialist centers to over 20% in some series in low-resource countries. Morbidity is high, dominated by disseminated intravascular coagulation (DIC), acute renal failure (ARF), acute pulmonary edema (APE), and retroplacental hematoma (RPH). The perinatal prognosis is equally grim, with mortality rates ranging from 7% to 60%, a direct consequence of prematurity induced to save the mother, intrauterine growth restriction (IUGR), and chronic hypoxia.</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The therapeutic management of HELLP syndrome has remained a subject of considerable controversy for several decades. The traditional paradigm advocating immediate termination of pregnancy—regardless of gestational age—to arrest maternal pathophysiological deterioration contrasts with a more conservative strategy aimed at prolonging pregnancy for 48 to 72 hours in order to promote fetal lung maturation through antenatal corticosteroid administration. While learned societies such as the American College of Obstetricians and Gynecologists (ACOG) generally support an early interventional approach (8), other schools of thought, particularly in Europe (9), advocate expectant management under strict maternal and fetal surveillance for pregnancies between 24 and 34 weeks of gestation. Likewise, the administration of high-dose corticosteroids (dexamethasone) for maternal benefit—particularly to improve thrombocytopenia—remains controversial: although recommended by </w:t>
      </w:r>
      <w:r>
        <w:rPr>
          <w:rFonts w:ascii="Times New Roman" w:hAnsi="Times New Roman" w:cs="Times New Roman"/>
          <w:sz w:val="24"/>
          <w:szCs w:val="24"/>
        </w:rPr>
        <w:lastRenderedPageBreak/>
        <w:t xml:space="preserve">some authors, notably Martin (10), it has not demonstrated a mortality benefit according to Cochrane reviews and World Health Organization (WHO) </w:t>
      </w:r>
      <w:proofErr w:type="gramStart"/>
      <w:r>
        <w:rPr>
          <w:rFonts w:ascii="Times New Roman" w:hAnsi="Times New Roman" w:cs="Times New Roman"/>
          <w:sz w:val="24"/>
          <w:szCs w:val="24"/>
        </w:rPr>
        <w:t>recommendations.(</w:t>
      </w:r>
      <w:proofErr w:type="gramEnd"/>
      <w:r>
        <w:rPr>
          <w:rFonts w:ascii="Times New Roman" w:hAnsi="Times New Roman" w:cs="Times New Roman"/>
          <w:sz w:val="24"/>
          <w:szCs w:val="24"/>
        </w:rPr>
        <w:t>27)</w:t>
      </w:r>
    </w:p>
    <w:p w:rsidR="0000639E" w:rsidRDefault="005A15D8">
      <w:pPr>
        <w:rPr>
          <w:rFonts w:ascii="Times New Roman" w:hAnsi="Times New Roman" w:cs="Times New Roman"/>
          <w:sz w:val="24"/>
          <w:szCs w:val="24"/>
        </w:rPr>
      </w:pPr>
      <w:r>
        <w:rPr>
          <w:rFonts w:ascii="Times New Roman" w:hAnsi="Times New Roman" w:cs="Times New Roman"/>
          <w:sz w:val="24"/>
          <w:szCs w:val="24"/>
        </w:rPr>
        <w:t>Against this background of high morbidity and mortality and ongoing therapeutic controversies, we conducted this study at the Annaba University Hospital Center. This work forms part of a quality improvement initiative aimed at assessing the actual impact of implementing a standardized, multidisciplinary management protocol. The transition from empirical practice to a structured, evidence-based strategy incorporates a reasoned conservative approach, systematic corticosteroid therapy, and optimization of intensive care management.</w:t>
      </w:r>
    </w:p>
    <w:p w:rsidR="0000639E" w:rsidRDefault="0000639E">
      <w:pPr>
        <w:rPr>
          <w:rFonts w:ascii="Times New Roman" w:hAnsi="Times New Roman" w:cs="Times New Roman"/>
          <w:sz w:val="24"/>
          <w:szCs w:val="24"/>
        </w:rPr>
      </w:pPr>
    </w:p>
    <w:p w:rsidR="0000639E" w:rsidRDefault="005A15D8">
      <w:pPr>
        <w:suppressAutoHyphens w:val="0"/>
        <w:spacing w:before="100" w:after="100"/>
        <w:textAlignment w:val="auto"/>
        <w:outlineLvl w:val="2"/>
        <w:rPr>
          <w:rFonts w:ascii="Times New Roman" w:eastAsia="Times New Roman" w:hAnsi="Times New Roman" w:cs="Times New Roman"/>
          <w:b/>
          <w:bCs/>
          <w:kern w:val="0"/>
          <w:sz w:val="27"/>
          <w:szCs w:val="27"/>
          <w:lang w:eastAsia="fr-FR"/>
        </w:rPr>
      </w:pPr>
      <w:r>
        <w:rPr>
          <w:rFonts w:ascii="Times New Roman" w:eastAsia="Times New Roman" w:hAnsi="Times New Roman" w:cs="Times New Roman"/>
          <w:b/>
          <w:bCs/>
          <w:kern w:val="0"/>
          <w:sz w:val="27"/>
          <w:szCs w:val="27"/>
          <w:lang w:eastAsia="fr-FR"/>
        </w:rPr>
        <w:t>Materials and Methods</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We conducted a prospective longitudinal interventional, evaluative, and analytical study over a four-year period, from January 1, 2020, to December 31, 2023. The study was carried out in the Departments of Obstetrics and Gynecology and Surgical Intensive Care at the Annaba University Hospital Center.</w:t>
      </w:r>
    </w:p>
    <w:p w:rsidR="0000639E" w:rsidRDefault="005A15D8">
      <w:pPr>
        <w:suppressAutoHyphens w:val="0"/>
        <w:spacing w:before="100" w:after="100"/>
        <w:textAlignment w:val="auto"/>
        <w:outlineLvl w:val="2"/>
        <w:rPr>
          <w:rFonts w:ascii="Times New Roman" w:eastAsia="Times New Roman" w:hAnsi="Times New Roman" w:cs="Times New Roman"/>
          <w:b/>
          <w:bCs/>
          <w:kern w:val="0"/>
          <w:sz w:val="27"/>
          <w:szCs w:val="27"/>
          <w:lang w:eastAsia="fr-FR"/>
        </w:rPr>
      </w:pPr>
      <w:r>
        <w:rPr>
          <w:rFonts w:ascii="Times New Roman" w:eastAsia="Times New Roman" w:hAnsi="Times New Roman" w:cs="Times New Roman"/>
          <w:b/>
          <w:bCs/>
          <w:kern w:val="0"/>
          <w:sz w:val="27"/>
          <w:szCs w:val="27"/>
          <w:lang w:eastAsia="fr-FR"/>
        </w:rPr>
        <w:t>Study Population and Selection Criteria</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The source population consisted of all pregnant women admitted with a diagnosis of preeclampsia during the study period.</w:t>
      </w: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Inclusion criteria:</w:t>
      </w:r>
      <w:r>
        <w:rPr>
          <w:rStyle w:val="Policepardfaut"/>
          <w:rFonts w:ascii="Times New Roman" w:eastAsia="Times New Roman" w:hAnsi="Times New Roman" w:cs="Times New Roman"/>
          <w:kern w:val="0"/>
          <w:sz w:val="24"/>
          <w:szCs w:val="24"/>
          <w:lang w:eastAsia="fr-FR"/>
        </w:rPr>
        <w:br/>
        <w:t>All pregnant women with preeclampsia, defined according to internationally accepted criteria as new-onset gestational hypertension (blood pressure ≥ 140/90 mmHg after 20 weeks of gestation) associated with proteinuria ≥ 300 mg/24 hours, were included, whether or not the condition was complicated by HELLP syndrome.</w:t>
      </w: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Exclusion criteria:</w:t>
      </w:r>
      <w:r>
        <w:rPr>
          <w:rStyle w:val="Policepardfaut"/>
          <w:rFonts w:ascii="Times New Roman" w:eastAsia="Times New Roman" w:hAnsi="Times New Roman" w:cs="Times New Roman"/>
          <w:kern w:val="0"/>
          <w:sz w:val="24"/>
          <w:szCs w:val="24"/>
          <w:lang w:eastAsia="fr-FR"/>
        </w:rPr>
        <w:br/>
        <w:t>Patients were excluded from the analysis if they presented:</w:t>
      </w:r>
    </w:p>
    <w:p w:rsidR="0000639E" w:rsidRDefault="005A15D8">
      <w:pPr>
        <w:rPr>
          <w:rFonts w:ascii="Times New Roman" w:hAnsi="Times New Roman" w:cs="Times New Roman"/>
          <w:sz w:val="24"/>
          <w:szCs w:val="24"/>
        </w:rPr>
      </w:pPr>
      <w:r>
        <w:rPr>
          <w:rFonts w:ascii="Times New Roman" w:hAnsi="Times New Roman" w:cs="Times New Roman"/>
          <w:sz w:val="24"/>
          <w:szCs w:val="24"/>
        </w:rPr>
        <w:t>Chronic hypertension: Hypertension diagnosed before pregnancy or before 20 weeks of gestation, or persisting beyond 12 weeks postpartum.</w:t>
      </w:r>
    </w:p>
    <w:p w:rsidR="0000639E" w:rsidRDefault="005A15D8">
      <w:pPr>
        <w:rPr>
          <w:rFonts w:ascii="Times New Roman" w:hAnsi="Times New Roman" w:cs="Times New Roman"/>
          <w:sz w:val="24"/>
          <w:szCs w:val="24"/>
        </w:rPr>
      </w:pPr>
      <w:r>
        <w:rPr>
          <w:rFonts w:ascii="Times New Roman" w:hAnsi="Times New Roman" w:cs="Times New Roman"/>
          <w:sz w:val="24"/>
          <w:szCs w:val="24"/>
        </w:rPr>
        <w:t>Isolated gestational hypertension without proteinuria or thrombocytopenia: New-onset hypertension at or after 20 weeks of gestation without proteinuria or laboratory evidence of thrombocytopenia.</w:t>
      </w:r>
    </w:p>
    <w:p w:rsidR="0000639E" w:rsidRDefault="005A15D8">
      <w:pPr>
        <w:rPr>
          <w:rFonts w:ascii="Times New Roman" w:hAnsi="Times New Roman" w:cs="Times New Roman"/>
          <w:sz w:val="24"/>
          <w:szCs w:val="24"/>
        </w:rPr>
      </w:pPr>
      <w:r>
        <w:rPr>
          <w:rFonts w:ascii="Times New Roman" w:hAnsi="Times New Roman" w:cs="Times New Roman"/>
          <w:sz w:val="24"/>
          <w:szCs w:val="24"/>
        </w:rPr>
        <w:t>Idiopathic thrombocytopenic purpura (ITP): Immune-mediated isolated thrombocytopenia unrelated to pregnancy complications.</w:t>
      </w:r>
    </w:p>
    <w:p w:rsidR="0000639E" w:rsidRDefault="005A15D8">
      <w:pPr>
        <w:rPr>
          <w:rFonts w:ascii="Times New Roman" w:hAnsi="Times New Roman" w:cs="Times New Roman"/>
          <w:sz w:val="24"/>
          <w:szCs w:val="24"/>
        </w:rPr>
      </w:pPr>
      <w:r>
        <w:rPr>
          <w:rFonts w:ascii="Times New Roman" w:hAnsi="Times New Roman" w:cs="Times New Roman"/>
          <w:sz w:val="24"/>
          <w:szCs w:val="24"/>
        </w:rPr>
        <w:t>Hemolytic uremic syndrome (HUS) unrelated to preeclampsia: Thrombotic microangiopathy with hemolytic anemia, thrombocytopenia, and acute kidney injury not associated with preeclampsia.</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Isolated acute fatty liver of pregnancy: Acute liver dysfunction due to </w:t>
      </w:r>
      <w:proofErr w:type="spellStart"/>
      <w:r>
        <w:rPr>
          <w:rFonts w:ascii="Times New Roman" w:hAnsi="Times New Roman" w:cs="Times New Roman"/>
          <w:sz w:val="24"/>
          <w:szCs w:val="24"/>
        </w:rPr>
        <w:t>microvesicular</w:t>
      </w:r>
      <w:proofErr w:type="spellEnd"/>
      <w:r>
        <w:rPr>
          <w:rFonts w:ascii="Times New Roman" w:hAnsi="Times New Roman" w:cs="Times New Roman"/>
          <w:sz w:val="24"/>
          <w:szCs w:val="24"/>
        </w:rPr>
        <w:t xml:space="preserve"> steatosis occurring independently of preeclampsia or HELLP syndrome.</w:t>
      </w:r>
    </w:p>
    <w:p w:rsidR="0000639E" w:rsidRDefault="005A15D8">
      <w:pPr>
        <w:pStyle w:val="NormalWeb"/>
      </w:pPr>
      <w:r>
        <w:rPr>
          <w:rStyle w:val="Policepardfaut"/>
          <w:lang w:val="en-US"/>
        </w:rPr>
        <w:t xml:space="preserve">A total of </w:t>
      </w:r>
      <w:r>
        <w:rPr>
          <w:rStyle w:val="lev"/>
          <w:lang w:val="en-US"/>
        </w:rPr>
        <w:t>1,254 preeclamptic patients</w:t>
      </w:r>
      <w:r>
        <w:rPr>
          <w:rStyle w:val="Policepardfaut"/>
          <w:lang w:val="en-US"/>
        </w:rPr>
        <w:t xml:space="preserve"> were included in the overall cohort. Among them, a subgroup of </w:t>
      </w:r>
      <w:r>
        <w:rPr>
          <w:rStyle w:val="lev"/>
          <w:lang w:val="en-US"/>
        </w:rPr>
        <w:t>223 patients</w:t>
      </w:r>
      <w:r>
        <w:rPr>
          <w:rStyle w:val="Policepardfaut"/>
          <w:lang w:val="en-US"/>
        </w:rPr>
        <w:t xml:space="preserve"> developed HELLP syndrome, which constituted the primary population of interest for the analysis of clinical characteristics and the impact of the management protocol.</w:t>
      </w:r>
    </w:p>
    <w:p w:rsidR="0000639E" w:rsidRDefault="005A15D8">
      <w:pPr>
        <w:pStyle w:val="Titre3"/>
        <w:rPr>
          <w:lang w:val="en-US"/>
        </w:rPr>
      </w:pPr>
      <w:r>
        <w:rPr>
          <w:lang w:val="en-US"/>
        </w:rPr>
        <w:t>Study Design: Two Sequential Phases</w:t>
      </w:r>
    </w:p>
    <w:p w:rsidR="0000639E" w:rsidRDefault="005A15D8">
      <w:pPr>
        <w:pStyle w:val="NormalWeb"/>
        <w:rPr>
          <w:lang w:val="en-US"/>
        </w:rPr>
      </w:pPr>
      <w:r>
        <w:rPr>
          <w:lang w:val="en-US"/>
        </w:rPr>
        <w:lastRenderedPageBreak/>
        <w:t>The study followed a sequential before–after design to assess the effectiveness of the intervention.</w:t>
      </w:r>
    </w:p>
    <w:p w:rsidR="0000639E" w:rsidRDefault="005A15D8">
      <w:pPr>
        <w:pStyle w:val="NormalWeb"/>
      </w:pPr>
      <w:r>
        <w:rPr>
          <w:rStyle w:val="lev"/>
          <w:lang w:val="en-US"/>
        </w:rPr>
        <w:t>Phase 1 (T1 – Control Period): January 1, 2020 to December 31, 2021,</w:t>
      </w:r>
      <w:r>
        <w:rPr>
          <w:rStyle w:val="Policepardfaut"/>
          <w:lang w:val="en-US"/>
        </w:rPr>
        <w:br/>
        <w:t>This phase corresponded to a retrospective observational period covering the first two years of the study. During this time, patient management relied on heterogeneous individual practices, in the absence of a unified protocol, and was frequently characterized by either early interventional delivery or non-standardized use of corticosteroid therapy.</w:t>
      </w:r>
    </w:p>
    <w:p w:rsidR="0000639E" w:rsidRDefault="005A15D8">
      <w:pPr>
        <w:pStyle w:val="NormalWeb"/>
      </w:pPr>
      <w:r>
        <w:rPr>
          <w:rStyle w:val="lev"/>
          <w:lang w:val="en-US"/>
        </w:rPr>
        <w:t>Phase 2 (T2 – Interventional Period): January 1, 2022, to December 31, 2023.</w:t>
      </w:r>
      <w:r>
        <w:rPr>
          <w:rStyle w:val="Policepardfaut"/>
          <w:lang w:val="en-US"/>
        </w:rPr>
        <w:br/>
        <w:t>This prospective phase encompassed the subsequent two years and was marked by the implementation and strict application of a standardized, multidisciplinary management protocol.</w:t>
      </w:r>
    </w:p>
    <w:p w:rsidR="0000639E" w:rsidRDefault="0000639E">
      <w:pPr>
        <w:pStyle w:val="NormalWeb"/>
        <w:rPr>
          <w:lang w:val="en-US"/>
        </w:rPr>
      </w:pPr>
    </w:p>
    <w:p w:rsidR="0000639E" w:rsidRDefault="0000639E">
      <w:pPr>
        <w:pStyle w:val="NormalWeb"/>
        <w:rPr>
          <w:lang w:val="en-US"/>
        </w:rPr>
      </w:pPr>
    </w:p>
    <w:p w:rsidR="0000639E" w:rsidRDefault="005A15D8">
      <w:pPr>
        <w:pStyle w:val="Titre3"/>
        <w:rPr>
          <w:lang w:val="en-US"/>
        </w:rPr>
      </w:pPr>
      <w:r>
        <w:rPr>
          <w:lang w:val="en-US"/>
        </w:rPr>
        <w:t>Management Protocol (Phase T2)</w:t>
      </w:r>
    </w:p>
    <w:p w:rsidR="0000639E" w:rsidRDefault="005A15D8">
      <w:pPr>
        <w:pStyle w:val="NormalWeb"/>
        <w:rPr>
          <w:lang w:val="en-US"/>
        </w:rPr>
      </w:pPr>
      <w:r>
        <w:rPr>
          <w:lang w:val="en-US"/>
        </w:rPr>
        <w:t xml:space="preserve">The implemented protocol aimed to harmonize clinical practices in accordance with international guidelines, adapted to local resource availability: </w:t>
      </w:r>
    </w:p>
    <w:p w:rsidR="0000639E" w:rsidRDefault="005A15D8">
      <w:pPr>
        <w:suppressAutoHyphens w:val="0"/>
        <w:spacing w:before="100" w:after="100"/>
        <w:textAlignment w:val="auto"/>
        <w:rPr>
          <w:rFonts w:ascii="Times New Roman" w:eastAsia="Times New Roman" w:hAnsi="Times New Roman" w:cs="Times New Roman"/>
          <w:b/>
          <w:bCs/>
          <w:kern w:val="0"/>
          <w:sz w:val="24"/>
          <w:szCs w:val="24"/>
          <w:lang w:eastAsia="fr-FR"/>
        </w:rPr>
      </w:pPr>
      <w:r>
        <w:rPr>
          <w:rFonts w:ascii="Times New Roman" w:eastAsia="Times New Roman" w:hAnsi="Times New Roman" w:cs="Times New Roman"/>
          <w:b/>
          <w:bCs/>
          <w:kern w:val="0"/>
          <w:sz w:val="24"/>
          <w:szCs w:val="24"/>
          <w:lang w:eastAsia="fr-FR"/>
        </w:rPr>
        <w:t>1. Obstetric Management (Conservative Treatment):</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For pregnancies between 24 and 34 weeks of gestation, a conservative (expectant) management strategy was recommended for up to 48 hours in patients who were clinically stable at presentation or could be stabilized after initial treatment. This approach included close maternal and fetal monitoring in a high-dependency setting. The primary objective of expectant management was to allow administration of antenatal corticosteroids to promote fetal lung maturation. Maternal monitoring comprised frequent assessment of blood pressure, urine output, neurological status, and laboratory parameters, while fetal surveillance included continuous or repeated cardiotocography and ultrasound evaluation as indicated.</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Immediate delivery was indicated in the presence of major maternal complications, including placental abruption, disseminated intravascular coagulation (DIC), acute pulmonary edema, refractory acute kidney injury, recurrent eclamptic seizures, or suspected hepatic rupture. Delivery was also indicated in cases of fetal compromise, particularly persistent abnormal fetal heart rate patterns or other signs of acute fetal distress.</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Beyond 34 weeks of gestation, a policy of delivery was favored, given the increased maternal risks associated with continuation of pregnancy and the limited expected benefit of further prolongation for fetal outcomes.</w:t>
      </w:r>
    </w:p>
    <w:p w:rsidR="0000639E" w:rsidRDefault="005A15D8">
      <w:pPr>
        <w:suppressAutoHyphens w:val="0"/>
        <w:spacing w:after="0"/>
        <w:textAlignment w:val="auto"/>
      </w:pPr>
      <w:r>
        <w:rPr>
          <w:rStyle w:val="Policepardfaut"/>
          <w:rFonts w:ascii="Times New Roman" w:eastAsia="Times New Roman" w:hAnsi="Times New Roman" w:cs="Times New Roman"/>
          <w:kern w:val="0"/>
          <w:sz w:val="24"/>
          <w:szCs w:val="24"/>
          <w:lang w:eastAsia="fr-FR"/>
        </w:rPr>
        <w:br/>
      </w:r>
      <w:r>
        <w:rPr>
          <w:rStyle w:val="Policepardfaut"/>
          <w:rFonts w:ascii="Times New Roman" w:eastAsia="Times New Roman" w:hAnsi="Times New Roman" w:cs="Times New Roman"/>
          <w:b/>
          <w:bCs/>
          <w:kern w:val="0"/>
          <w:sz w:val="24"/>
          <w:szCs w:val="24"/>
          <w:lang w:eastAsia="fr-FR"/>
        </w:rPr>
        <w:t>2. Corticosteroid Therapy:</w:t>
      </w:r>
      <w:r>
        <w:rPr>
          <w:rStyle w:val="Policepardfaut"/>
          <w:rFonts w:ascii="Times New Roman" w:eastAsia="Times New Roman" w:hAnsi="Times New Roman" w:cs="Times New Roman"/>
          <w:kern w:val="0"/>
          <w:sz w:val="24"/>
          <w:szCs w:val="24"/>
          <w:lang w:eastAsia="fr-FR"/>
        </w:rPr>
        <w:br/>
      </w:r>
      <w:r>
        <w:rPr>
          <w:rStyle w:val="Policepardfaut"/>
          <w:rFonts w:ascii="Times New Roman" w:hAnsi="Times New Roman" w:cs="Times New Roman"/>
          <w:sz w:val="24"/>
          <w:szCs w:val="24"/>
        </w:rPr>
        <w:t xml:space="preserve">Betamethasone was systematically administered (12 mg intramuscularly once daily for two consecutive days) to promote fetal lung maturation. Maternal corticosteroid therapy (dexamethasone 10 mg every 12 hours) was introduced in cases of severe thrombocytopenia (&lt; 50,000/mm³) to achieve a transient increase in platelet count, thereby facilitating neuraxial anesthesia or reducing hemorrhagic risk during surgical </w:t>
      </w:r>
      <w:proofErr w:type="gramStart"/>
      <w:r>
        <w:rPr>
          <w:rStyle w:val="Policepardfaut"/>
          <w:rFonts w:ascii="Times New Roman" w:hAnsi="Times New Roman" w:cs="Times New Roman"/>
          <w:sz w:val="24"/>
          <w:szCs w:val="24"/>
        </w:rPr>
        <w:t>intervention.(</w:t>
      </w:r>
      <w:proofErr w:type="gramEnd"/>
      <w:r>
        <w:rPr>
          <w:rStyle w:val="Policepardfaut"/>
          <w:rFonts w:ascii="Times New Roman" w:hAnsi="Times New Roman" w:cs="Times New Roman"/>
          <w:sz w:val="24"/>
          <w:szCs w:val="24"/>
        </w:rPr>
        <w:t>26)</w:t>
      </w: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3. </w:t>
      </w:r>
      <w:proofErr w:type="spellStart"/>
      <w:r>
        <w:rPr>
          <w:rStyle w:val="Policepardfaut"/>
          <w:rFonts w:ascii="Times New Roman" w:eastAsia="Times New Roman" w:hAnsi="Times New Roman" w:cs="Times New Roman"/>
          <w:b/>
          <w:bCs/>
          <w:kern w:val="0"/>
          <w:sz w:val="24"/>
          <w:szCs w:val="24"/>
          <w:lang w:val="fr-FR" w:eastAsia="fr-FR"/>
        </w:rPr>
        <w:t>Resuscitation</w:t>
      </w:r>
      <w:proofErr w:type="spellEnd"/>
      <w:r>
        <w:rPr>
          <w:rStyle w:val="Policepardfaut"/>
          <w:rFonts w:ascii="Times New Roman" w:eastAsia="Times New Roman" w:hAnsi="Times New Roman" w:cs="Times New Roman"/>
          <w:b/>
          <w:bCs/>
          <w:kern w:val="0"/>
          <w:sz w:val="24"/>
          <w:szCs w:val="24"/>
          <w:lang w:val="fr-FR" w:eastAsia="fr-FR"/>
        </w:rPr>
        <w:t xml:space="preserve"> and </w:t>
      </w:r>
      <w:proofErr w:type="spellStart"/>
      <w:proofErr w:type="gramStart"/>
      <w:r>
        <w:rPr>
          <w:rStyle w:val="Policepardfaut"/>
          <w:rFonts w:ascii="Times New Roman" w:eastAsia="Times New Roman" w:hAnsi="Times New Roman" w:cs="Times New Roman"/>
          <w:b/>
          <w:bCs/>
          <w:kern w:val="0"/>
          <w:sz w:val="24"/>
          <w:szCs w:val="24"/>
          <w:lang w:val="fr-FR" w:eastAsia="fr-FR"/>
        </w:rPr>
        <w:t>Stabilization</w:t>
      </w:r>
      <w:proofErr w:type="spellEnd"/>
      <w:r>
        <w:rPr>
          <w:rStyle w:val="Policepardfaut"/>
          <w:rFonts w:ascii="Times New Roman" w:eastAsia="Times New Roman" w:hAnsi="Times New Roman" w:cs="Times New Roman"/>
          <w:b/>
          <w:bCs/>
          <w:kern w:val="0"/>
          <w:sz w:val="24"/>
          <w:szCs w:val="24"/>
          <w:lang w:val="fr-FR" w:eastAsia="fr-FR"/>
        </w:rPr>
        <w:t>:</w:t>
      </w:r>
      <w:proofErr w:type="gramEnd"/>
    </w:p>
    <w:p w:rsidR="0000639E" w:rsidRDefault="005A15D8">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Aggressive blood pressure control (nicardipine, labetalol) to maintain systolic blood pressure &lt; 160 mmHg and diastolic blood pressure &lt; 110 mmHg.</w:t>
      </w:r>
    </w:p>
    <w:p w:rsidR="0000639E" w:rsidRDefault="005A15D8">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Eclampsia prophylaxis with magnesium sulfate (</w:t>
      </w:r>
      <w:proofErr w:type="spellStart"/>
      <w:r>
        <w:rPr>
          <w:rFonts w:ascii="Times New Roman" w:hAnsi="Times New Roman" w:cs="Times New Roman"/>
          <w:sz w:val="24"/>
          <w:szCs w:val="24"/>
        </w:rPr>
        <w:t>Zuspan</w:t>
      </w:r>
      <w:proofErr w:type="spellEnd"/>
      <w:r>
        <w:rPr>
          <w:rFonts w:ascii="Times New Roman" w:hAnsi="Times New Roman" w:cs="Times New Roman"/>
          <w:sz w:val="24"/>
          <w:szCs w:val="24"/>
        </w:rPr>
        <w:t xml:space="preserve"> regimen or an adapted protocol).</w:t>
      </w:r>
    </w:p>
    <w:p w:rsidR="0000639E" w:rsidRDefault="005A15D8">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Careful fluid management to prevent acute kidney injury while minimizing the risk of pulmonary edema.</w:t>
      </w:r>
    </w:p>
    <w:p w:rsidR="0000639E" w:rsidRDefault="005A15D8">
      <w:pPr>
        <w:pStyle w:val="NormalWeb"/>
      </w:pPr>
      <w:r>
        <w:rPr>
          <w:rStyle w:val="lev"/>
          <w:lang w:val="en-US"/>
        </w:rPr>
        <w:t>4. Transfusion Strategy:</w:t>
      </w:r>
      <w:r>
        <w:rPr>
          <w:rStyle w:val="Policepardfaut"/>
          <w:lang w:val="en-US"/>
        </w:rPr>
        <w:br/>
        <w:t>Platelet transfusion was restricted to patients with severe thrombocytopenia (&lt; 50,000/mm³) associated with active bleeding or prior to surgical intervention (cesarean delivery), in accordance with anesthetic safety thresholds.</w:t>
      </w:r>
    </w:p>
    <w:p w:rsidR="0000639E" w:rsidRDefault="005A15D8">
      <w:r>
        <w:rPr>
          <w:rStyle w:val="lev"/>
        </w:rPr>
        <w:t>5. Anesthetic Management:</w:t>
      </w:r>
      <w:r>
        <w:br/>
      </w:r>
      <w:r>
        <w:rPr>
          <w:rStyle w:val="Policepardfaut"/>
          <w:rFonts w:ascii="Times New Roman" w:hAnsi="Times New Roman" w:cs="Times New Roman"/>
          <w:sz w:val="24"/>
          <w:szCs w:val="24"/>
        </w:rPr>
        <w:t xml:space="preserve">Regional anesthesia (spinal anesthesia) was favored whenever coagulation parameters were acceptable—typically platelet counts &gt; 75,000/mm³ in the absence of coagulopathy—in order to avoid the risks associated with general anesthesia in pregnant women, including difficult airway management and hypertensive surges during </w:t>
      </w:r>
      <w:proofErr w:type="gramStart"/>
      <w:r>
        <w:rPr>
          <w:rStyle w:val="Policepardfaut"/>
          <w:rFonts w:ascii="Times New Roman" w:hAnsi="Times New Roman" w:cs="Times New Roman"/>
          <w:sz w:val="24"/>
          <w:szCs w:val="24"/>
        </w:rPr>
        <w:t>induction.(</w:t>
      </w:r>
      <w:proofErr w:type="gramEnd"/>
      <w:r>
        <w:rPr>
          <w:rStyle w:val="Policepardfaut"/>
          <w:rFonts w:ascii="Times New Roman" w:hAnsi="Times New Roman" w:cs="Times New Roman"/>
          <w:sz w:val="24"/>
          <w:szCs w:val="24"/>
        </w:rPr>
        <w:t xml:space="preserve"> 27)</w:t>
      </w:r>
    </w:p>
    <w:p w:rsidR="0000639E" w:rsidRDefault="0000639E">
      <w:pPr>
        <w:rPr>
          <w:rFonts w:ascii="Times New Roman" w:hAnsi="Times New Roman" w:cs="Times New Roman"/>
          <w:sz w:val="24"/>
          <w:szCs w:val="24"/>
        </w:rPr>
      </w:pPr>
    </w:p>
    <w:p w:rsidR="0000639E" w:rsidRDefault="005A15D8">
      <w:pPr>
        <w:pStyle w:val="Titre3"/>
        <w:rPr>
          <w:lang w:val="en-US"/>
        </w:rPr>
      </w:pPr>
      <w:r>
        <w:rPr>
          <w:lang w:val="en-US"/>
        </w:rPr>
        <w:t>Data Collection and Statistical Analysis</w:t>
      </w:r>
    </w:p>
    <w:p w:rsidR="0000639E" w:rsidRDefault="005A15D8">
      <w:pPr>
        <w:rPr>
          <w:rFonts w:ascii="Times New Roman" w:hAnsi="Times New Roman" w:cs="Times New Roman"/>
          <w:sz w:val="24"/>
          <w:szCs w:val="24"/>
        </w:rPr>
      </w:pPr>
      <w:r>
        <w:rPr>
          <w:rFonts w:ascii="Times New Roman" w:hAnsi="Times New Roman" w:cs="Times New Roman"/>
          <w:sz w:val="24"/>
          <w:szCs w:val="24"/>
        </w:rPr>
        <w:t>Data were collected using standardized case report forms that included sociodemographic, clinical, biological, and ultrasonographic variables, as well as therapeutic interventions (type of anesthesia, transfusion, corticosteroid therapy) and outcome variables (maternal and perinatal complications).</w:t>
      </w:r>
    </w:p>
    <w:p w:rsidR="0000639E" w:rsidRDefault="005A15D8">
      <w:pPr>
        <w:rPr>
          <w:rFonts w:ascii="Times New Roman" w:hAnsi="Times New Roman" w:cs="Times New Roman"/>
          <w:sz w:val="24"/>
          <w:szCs w:val="24"/>
        </w:rPr>
      </w:pPr>
      <w:r>
        <w:rPr>
          <w:rFonts w:ascii="Times New Roman" w:hAnsi="Times New Roman" w:cs="Times New Roman"/>
          <w:sz w:val="24"/>
          <w:szCs w:val="24"/>
        </w:rPr>
        <w:t>Statistical analysis was performed using appropriate statistical software. Comparisons between groups (HELLP vs. non-HELLP, T1 vs. T2) were conducted using the chi-square test for categorical variables and the Student’s t-test for continuous variables. Relative risk (RR) with its 95% confidence interval (95% CI) was calculated. A p-value &lt; 0.05 was considered statistically significant.</w:t>
      </w:r>
    </w:p>
    <w:p w:rsidR="0000639E" w:rsidRDefault="0000639E">
      <w:pPr>
        <w:rPr>
          <w:rFonts w:ascii="Times New Roman" w:hAnsi="Times New Roman" w:cs="Times New Roman"/>
          <w:sz w:val="24"/>
          <w:szCs w:val="24"/>
        </w:rPr>
      </w:pPr>
    </w:p>
    <w:p w:rsidR="0000639E" w:rsidRDefault="005A15D8">
      <w:pPr>
        <w:pStyle w:val="Titre2"/>
        <w:rPr>
          <w:rFonts w:ascii="Times New Roman" w:hAnsi="Times New Roman"/>
          <w:b/>
          <w:bCs/>
          <w:color w:val="000000"/>
          <w:sz w:val="28"/>
          <w:szCs w:val="28"/>
        </w:rPr>
      </w:pPr>
      <w:r>
        <w:rPr>
          <w:rFonts w:ascii="Times New Roman" w:hAnsi="Times New Roman"/>
          <w:b/>
          <w:bCs/>
          <w:color w:val="000000"/>
          <w:sz w:val="28"/>
          <w:szCs w:val="28"/>
        </w:rPr>
        <w:t>Results</w:t>
      </w:r>
    </w:p>
    <w:p w:rsidR="0000639E" w:rsidRDefault="005A15D8">
      <w:pPr>
        <w:pStyle w:val="Titre3"/>
        <w:rPr>
          <w:lang w:val="en-US"/>
        </w:rPr>
      </w:pPr>
      <w:r>
        <w:rPr>
          <w:lang w:val="en-US"/>
        </w:rPr>
        <w:t>Incidence and Epidemiological Characteristics</w:t>
      </w:r>
    </w:p>
    <w:p w:rsidR="0000639E" w:rsidRDefault="005A15D8">
      <w:pPr>
        <w:rPr>
          <w:rFonts w:ascii="Times New Roman" w:hAnsi="Times New Roman" w:cs="Times New Roman"/>
          <w:sz w:val="24"/>
          <w:szCs w:val="24"/>
        </w:rPr>
      </w:pPr>
      <w:r>
        <w:rPr>
          <w:rFonts w:ascii="Times New Roman" w:hAnsi="Times New Roman" w:cs="Times New Roman"/>
          <w:sz w:val="24"/>
          <w:szCs w:val="24"/>
        </w:rPr>
        <w:t>Over the four-year study period, HELLP syndrome was diagnosed in 223 patients among 1,254 cases of preeclampsia, corresponding to an incidence of 17.8% within the preeclamptic population. When considering all deliveries, the overall incidence was 0.4%, highlighting the relative rarity of the condition in the general obstetric population, but its high prevalence in a tertiary referral center.</w:t>
      </w:r>
    </w:p>
    <w:p w:rsidR="0000639E" w:rsidRDefault="005A15D8">
      <w:pPr>
        <w:rPr>
          <w:rFonts w:ascii="Times New Roman" w:hAnsi="Times New Roman" w:cs="Times New Roman"/>
          <w:sz w:val="24"/>
          <w:szCs w:val="24"/>
        </w:rPr>
      </w:pPr>
      <w:r>
        <w:rPr>
          <w:rFonts w:ascii="Times New Roman" w:hAnsi="Times New Roman" w:cs="Times New Roman"/>
          <w:sz w:val="24"/>
          <w:szCs w:val="24"/>
        </w:rPr>
        <w:t>The temporal distribution of cases was balanced between the two study periods, with 108 cases in T1 and 115 cases in T2.</w:t>
      </w:r>
    </w:p>
    <w:p w:rsidR="0000639E" w:rsidRDefault="005A15D8">
      <w:pPr>
        <w:rPr>
          <w:rFonts w:ascii="Times New Roman" w:hAnsi="Times New Roman" w:cs="Times New Roman"/>
          <w:sz w:val="24"/>
          <w:szCs w:val="24"/>
        </w:rPr>
      </w:pPr>
      <w:r>
        <w:rPr>
          <w:rFonts w:ascii="Times New Roman" w:hAnsi="Times New Roman" w:cs="Times New Roman"/>
          <w:sz w:val="24"/>
          <w:szCs w:val="24"/>
        </w:rPr>
        <w:t>Analysis of risk factors identified several significant determinants (Table 1):</w:t>
      </w:r>
    </w:p>
    <w:p w:rsidR="0000639E" w:rsidRDefault="005A15D8">
      <w:pPr>
        <w:pStyle w:val="NormalWeb"/>
        <w:numPr>
          <w:ilvl w:val="0"/>
          <w:numId w:val="2"/>
        </w:numPr>
      </w:pPr>
      <w:r>
        <w:rPr>
          <w:rStyle w:val="lev"/>
          <w:lang w:val="en-US"/>
        </w:rPr>
        <w:t>Maternal age:</w:t>
      </w:r>
      <w:r>
        <w:rPr>
          <w:rStyle w:val="Policepardfaut"/>
          <w:lang w:val="en-US"/>
        </w:rPr>
        <w:br/>
        <w:t>Maternal age greater than 35 years emerged as a major risk factor (RR = 1.47; 95% CI: 1.15–1.87; p = 0.0022). The mean age of patients with HELLP syndrome was 32.69 ± 5.4 years.</w:t>
      </w:r>
    </w:p>
    <w:p w:rsidR="0000639E" w:rsidRDefault="005A15D8">
      <w:pPr>
        <w:pStyle w:val="NormalWeb"/>
        <w:numPr>
          <w:ilvl w:val="0"/>
          <w:numId w:val="2"/>
        </w:numPr>
      </w:pPr>
      <w:r>
        <w:rPr>
          <w:rStyle w:val="lev"/>
          <w:lang w:val="en-US"/>
        </w:rPr>
        <w:t>Parity:</w:t>
      </w:r>
      <w:r>
        <w:rPr>
          <w:rStyle w:val="Policepardfaut"/>
          <w:lang w:val="en-US"/>
        </w:rPr>
        <w:br/>
        <w:t>Multiparity was identified as a predisposing factor (RR = 1.59; p = 0.0006), in contrast to classical preeclampsia, where primiparity is often predominant. In this cohort, primiparity appeared to confer a relative protective effect against progression to HELLP syndrome (RR = 0.74).</w:t>
      </w:r>
    </w:p>
    <w:p w:rsidR="0000639E" w:rsidRDefault="005A15D8">
      <w:pPr>
        <w:pStyle w:val="NormalWeb"/>
        <w:numPr>
          <w:ilvl w:val="0"/>
          <w:numId w:val="2"/>
        </w:numPr>
      </w:pPr>
      <w:r>
        <w:rPr>
          <w:rStyle w:val="lev"/>
          <w:lang w:val="en-US"/>
        </w:rPr>
        <w:lastRenderedPageBreak/>
        <w:t>Medical history:</w:t>
      </w:r>
      <w:r>
        <w:rPr>
          <w:rStyle w:val="Policepardfaut"/>
          <w:lang w:val="en-US"/>
        </w:rPr>
        <w:br/>
        <w:t>A history of hypertensive disorders of pregnancy (RR = 1.50) and early-onset, severe arterial hypertension during pregnancy (RR = 2.33) were strongly associated with the occurrence of HELLP syndrome.</w:t>
      </w:r>
    </w:p>
    <w:p w:rsidR="0000639E" w:rsidRDefault="005A15D8">
      <w:pPr>
        <w:pStyle w:val="NormalWeb"/>
        <w:numPr>
          <w:ilvl w:val="0"/>
          <w:numId w:val="2"/>
        </w:numPr>
      </w:pPr>
      <w:r>
        <w:rPr>
          <w:rStyle w:val="lev"/>
          <w:lang w:val="en-US"/>
        </w:rPr>
        <w:t>Socio-environmental factors:</w:t>
      </w:r>
      <w:r>
        <w:rPr>
          <w:rStyle w:val="Policepardfaut"/>
          <w:lang w:val="en-US"/>
        </w:rPr>
        <w:br/>
        <w:t xml:space="preserve">Low socioeconomic status (RR = 1.70) and geographical remoteness (referral from outside the </w:t>
      </w:r>
      <w:proofErr w:type="spellStart"/>
      <w:r>
        <w:rPr>
          <w:rStyle w:val="Policepardfaut"/>
          <w:lang w:val="en-US"/>
        </w:rPr>
        <w:t>wilaya</w:t>
      </w:r>
      <w:proofErr w:type="spellEnd"/>
      <w:r>
        <w:rPr>
          <w:rStyle w:val="Policepardfaut"/>
          <w:lang w:val="en-US"/>
        </w:rPr>
        <w:t>; RR = 2.43) were identified as aggravating factors, reflecting the impact of social determinants of health and delays in access to care on disease severity. Emergency medical evacuation was associated with a markedly increased relative risk (RR = 3.53).</w:t>
      </w:r>
    </w:p>
    <w:p w:rsidR="0000639E" w:rsidRDefault="0000639E">
      <w:pPr>
        <w:pStyle w:val="NormalWeb"/>
        <w:rPr>
          <w:lang w:val="en-US"/>
        </w:rPr>
      </w:pPr>
    </w:p>
    <w:p w:rsidR="0000639E" w:rsidRDefault="005A15D8">
      <w:pPr>
        <w:pStyle w:val="Titre3"/>
        <w:rPr>
          <w:lang w:val="en-US"/>
        </w:rPr>
      </w:pPr>
      <w:r>
        <w:rPr>
          <w:lang w:val="en-US"/>
        </w:rPr>
        <w:t>Clinical and Biological Profile (Table 2)</w:t>
      </w:r>
    </w:p>
    <w:p w:rsidR="0000639E" w:rsidRDefault="005A15D8">
      <w:pPr>
        <w:rPr>
          <w:rFonts w:ascii="Times New Roman" w:hAnsi="Times New Roman" w:cs="Times New Roman"/>
          <w:sz w:val="24"/>
          <w:szCs w:val="24"/>
        </w:rPr>
      </w:pPr>
      <w:r>
        <w:rPr>
          <w:rFonts w:ascii="Times New Roman" w:hAnsi="Times New Roman" w:cs="Times New Roman"/>
          <w:sz w:val="24"/>
          <w:szCs w:val="24"/>
        </w:rPr>
        <w:t>The initial clinical presentation was dominated by functional symptoms with high predictive value. Severe epigastric pain radiating in a band-like pattern emerged as the most discriminating symptom, present in 52.5% of patients with HELLP syndrome compared with 3.1% of non-HELLP patients, increasing the likelihood of diagnosis by more than eightfold (RR = 8.19; p &lt; 0.0001). Vomiting (37.2%, RR = 6.49), severe headaches (87.4%, RR = 3.97), and visual disturbances (66.8%, RR = 2.81) were also highly prevalent. Severe arterial hypertension (≥ 160/110 mmHg) was documented in 40.8% of cases.</w:t>
      </w:r>
    </w:p>
    <w:p w:rsidR="0000639E" w:rsidRDefault="005A15D8">
      <w:pPr>
        <w:rPr>
          <w:rFonts w:ascii="Times New Roman" w:hAnsi="Times New Roman" w:cs="Times New Roman"/>
          <w:sz w:val="24"/>
          <w:szCs w:val="24"/>
        </w:rPr>
      </w:pPr>
      <w:r>
        <w:rPr>
          <w:rFonts w:ascii="Times New Roman" w:hAnsi="Times New Roman" w:cs="Times New Roman"/>
          <w:sz w:val="24"/>
          <w:szCs w:val="24"/>
        </w:rPr>
        <w:t>From a biological standpoint, the severity of organ involvement was marked. Thrombocytopenia below 100,000/mm³ was observed in 71.8% of patients, among whom 15.7% had class I severe thrombocytopenia (&lt; 50,000/mm³). Elevated transaminase levels (AST &gt; 80 IU/L in our laboratory) were almost universal, affecting 88.3% of patients (RR = 39.7). LDH levels &gt; 600 IU/L were found in 65.9% of cases. Massive proteinuria (&gt; 3.5 g/24 h or +++ on dipstick testing) was present in 42.5% of patients and was associated with a threefold increased risk of HELLP syndrome.</w:t>
      </w:r>
    </w:p>
    <w:p w:rsidR="0000639E" w:rsidRDefault="0000639E"/>
    <w:p w:rsidR="0000639E" w:rsidRDefault="005A15D8">
      <w:pPr>
        <w:pStyle w:val="Titre3"/>
        <w:rPr>
          <w:lang w:val="en-US"/>
        </w:rPr>
      </w:pPr>
      <w:r>
        <w:rPr>
          <w:lang w:val="en-US"/>
        </w:rPr>
        <w:t>Maternal Morbidity and Visceral Complications (Table 3)</w:t>
      </w:r>
    </w:p>
    <w:p w:rsidR="0000639E" w:rsidRDefault="005A15D8">
      <w:pPr>
        <w:rPr>
          <w:rFonts w:ascii="Times New Roman" w:hAnsi="Times New Roman" w:cs="Times New Roman"/>
          <w:sz w:val="24"/>
          <w:szCs w:val="24"/>
        </w:rPr>
      </w:pPr>
      <w:r>
        <w:rPr>
          <w:rFonts w:ascii="Times New Roman" w:hAnsi="Times New Roman" w:cs="Times New Roman"/>
          <w:sz w:val="24"/>
          <w:szCs w:val="24"/>
        </w:rPr>
        <w:t>In our cohort, HELLP syndrome was associated with substantial maternal morbidity. The most frequent and alarming complication was acute kidney injury (AKI), diagnosed in 68.6% of patients with HELLP syndrome compared with 15.2% in the control group (RR = 6.66; p &lt; 0.0001). Other major complications included eclampsia in 22.0% of cases (RR = 2.43) and coagulation disorders, particularly disseminated intravascular coagulation (DIC), in 13.5% of patients (RR = 5.25). Placental abruption occurred in 14.8% of cases, with no statistically significant difference compared with the control group.</w:t>
      </w:r>
    </w:p>
    <w:p w:rsidR="0000639E" w:rsidRDefault="005A15D8">
      <w:pPr>
        <w:rPr>
          <w:rFonts w:ascii="Times New Roman" w:hAnsi="Times New Roman" w:cs="Times New Roman"/>
          <w:sz w:val="24"/>
          <w:szCs w:val="24"/>
        </w:rPr>
      </w:pPr>
      <w:r>
        <w:rPr>
          <w:rFonts w:ascii="Times New Roman" w:hAnsi="Times New Roman" w:cs="Times New Roman"/>
          <w:sz w:val="24"/>
          <w:szCs w:val="24"/>
        </w:rPr>
        <w:t>Subscapular hepatic hematoma was identified in eight cases on ultrasonography, reflecting the extreme severity of hepatic involvement.</w:t>
      </w:r>
    </w:p>
    <w:p w:rsidR="0000639E" w:rsidRDefault="005A15D8">
      <w:r>
        <w:rPr>
          <w:rStyle w:val="Policepardfaut"/>
          <w:rFonts w:ascii="Times New Roman" w:hAnsi="Times New Roman" w:cs="Times New Roman"/>
          <w:sz w:val="24"/>
          <w:szCs w:val="24"/>
        </w:rPr>
        <w:t>The overall maternal mortality rate in the series was 1.79%, with no statistically significant difference between periods T1 and T2, although the causes of death evolved over time, with fewer catastrophic hemorrhagic events observed during T2.</w:t>
      </w:r>
    </w:p>
    <w:p w:rsidR="0000639E" w:rsidRDefault="0000639E"/>
    <w:p w:rsidR="0000639E" w:rsidRDefault="005A15D8">
      <w:pPr>
        <w:pStyle w:val="Titre3"/>
        <w:rPr>
          <w:lang w:val="en-US"/>
        </w:rPr>
      </w:pPr>
      <w:r>
        <w:rPr>
          <w:lang w:val="en-US"/>
        </w:rPr>
        <w:t>Impact of the Protocol: Comparison between T1 and T2</w:t>
      </w:r>
    </w:p>
    <w:p w:rsidR="0000639E" w:rsidRDefault="005A15D8">
      <w:pPr>
        <w:rPr>
          <w:rFonts w:ascii="Times New Roman" w:hAnsi="Times New Roman" w:cs="Times New Roman"/>
          <w:sz w:val="24"/>
          <w:szCs w:val="24"/>
        </w:rPr>
      </w:pPr>
      <w:r>
        <w:rPr>
          <w:rFonts w:ascii="Times New Roman" w:hAnsi="Times New Roman" w:cs="Times New Roman"/>
          <w:sz w:val="24"/>
          <w:szCs w:val="24"/>
        </w:rPr>
        <w:t>The introduction of a standardized management protocol during phase 2 resulted in substantial changes in clinical management and outcomes:</w:t>
      </w:r>
    </w:p>
    <w:p w:rsidR="0000639E" w:rsidRDefault="005A15D8">
      <w:pPr>
        <w:pStyle w:val="Titre3"/>
        <w:rPr>
          <w:lang w:val="en-US"/>
        </w:rPr>
      </w:pPr>
      <w:r>
        <w:rPr>
          <w:lang w:val="en-US"/>
        </w:rPr>
        <w:lastRenderedPageBreak/>
        <w:t>1. Obstetric Management and Duration of Pregnancy</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The rate of pregnancy prolongation, defined as expectant management exceeding 48 hours, increased markedly after protocol implementation, rising from 12% in T1 to 46.9% in T2, representing a fourfold improvement. This strategy was primarily applied to pregnancies at the threshold of viability (28–34 weeks of gestation), where the preservation rate of ongoing pregnancy reached 73%, highlighting the benefit of targeted expectant management in this high-risk subgroup.</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Following the introduction of the standardized protocol, the duration of expectant management became more structured and predictable. During T1, the length of expectant management was highly variable (mean 4.12 ± 3.53 days), reflecting a lack of standardized guidance. In contrast, during T2, this duration stabilized at 2.11 ± 2.5 days, closely aligning with the recommended timeframe for completion of antenatal corticosteroid therapy. By defining a clear objective—achieving adequate fetal lung maturation without prolonging exposure to maternal or fetal risks—this approach minimized unnecessary and potentially hazardous delays in delivery, optimizing both maternal and neonatal outcomes.</w:t>
      </w:r>
    </w:p>
    <w:p w:rsidR="0000639E" w:rsidRDefault="005A15D8">
      <w:pPr>
        <w:pStyle w:val="Titre3"/>
        <w:rPr>
          <w:lang w:val="en-US"/>
        </w:rPr>
      </w:pPr>
      <w:r>
        <w:rPr>
          <w:lang w:val="en-US"/>
        </w:rPr>
        <w:t>2. Therapeutic Management and Anesthesia</w:t>
      </w:r>
    </w:p>
    <w:p w:rsidR="0000639E" w:rsidRDefault="005A15D8">
      <w:pPr>
        <w:rPr>
          <w:rFonts w:ascii="Times New Roman" w:hAnsi="Times New Roman" w:cs="Times New Roman"/>
          <w:sz w:val="24"/>
          <w:szCs w:val="24"/>
        </w:rPr>
      </w:pPr>
      <w:r>
        <w:rPr>
          <w:rFonts w:ascii="Times New Roman" w:hAnsi="Times New Roman" w:cs="Times New Roman"/>
          <w:sz w:val="24"/>
          <w:szCs w:val="24"/>
        </w:rPr>
        <w:t>The use of maternal corticosteroid therapy increased markedly, from 17.6% in T1 to 47.8% in T2. In parallel, anesthetic management underwent a substantial shift. The use of regional anesthesia increased significantly (27.8% in T2 vs. 11% in T1; p = 0.001), allowing a corresponding reduction in general anesthesia (72.2% vs. 88.9%) among patients with acceptable coagulation profiles.</w:t>
      </w:r>
    </w:p>
    <w:p w:rsidR="0000639E" w:rsidRDefault="005A15D8">
      <w:pPr>
        <w:rPr>
          <w:rFonts w:ascii="Times New Roman" w:hAnsi="Times New Roman" w:cs="Times New Roman"/>
          <w:sz w:val="24"/>
          <w:szCs w:val="24"/>
        </w:rPr>
      </w:pPr>
      <w:r>
        <w:rPr>
          <w:rFonts w:ascii="Times New Roman" w:hAnsi="Times New Roman" w:cs="Times New Roman"/>
          <w:sz w:val="24"/>
          <w:szCs w:val="24"/>
        </w:rPr>
        <w:t>From a transfusion standpoint, rationalization of indications led to a significant decrease in platelet concentrate transfusion (26.4% in T2 vs. 46.5% in T1; p = 0.004), suggesting improved effectiveness of resuscitative measures and corticosteroid therapy in stabilizing platelet counts.</w:t>
      </w:r>
    </w:p>
    <w:p w:rsidR="0000639E" w:rsidRDefault="005A15D8">
      <w:pPr>
        <w:pStyle w:val="Titre3"/>
        <w:rPr>
          <w:lang w:val="en-US"/>
        </w:rPr>
      </w:pPr>
      <w:r>
        <w:rPr>
          <w:lang w:val="en-US"/>
        </w:rPr>
        <w:t>3. Perinatal Outcomes</w:t>
      </w:r>
    </w:p>
    <w:p w:rsidR="0000639E" w:rsidRDefault="005A15D8">
      <w:pPr>
        <w:rPr>
          <w:rFonts w:ascii="Times New Roman" w:hAnsi="Times New Roman" w:cs="Times New Roman"/>
          <w:sz w:val="24"/>
          <w:szCs w:val="24"/>
        </w:rPr>
      </w:pPr>
      <w:r>
        <w:rPr>
          <w:rFonts w:ascii="Times New Roman" w:hAnsi="Times New Roman" w:cs="Times New Roman"/>
          <w:sz w:val="24"/>
          <w:szCs w:val="24"/>
        </w:rPr>
        <w:t>The most striking impact of protocol implementation was observed in early neonatal mortality (&lt; 7 days), which decreased from 44.4% in T1 to 35.6% in T2 (p = 0.0087). This improvement appears to be directly attributable to optimized fetal lung maturation and enhanced perinatal preparation.</w:t>
      </w:r>
    </w:p>
    <w:p w:rsidR="0000639E" w:rsidRDefault="005A15D8">
      <w:pPr>
        <w:rPr>
          <w:rFonts w:ascii="Times New Roman" w:hAnsi="Times New Roman" w:cs="Times New Roman"/>
          <w:sz w:val="24"/>
          <w:szCs w:val="24"/>
        </w:rPr>
      </w:pPr>
      <w:r>
        <w:rPr>
          <w:rFonts w:ascii="Times New Roman" w:hAnsi="Times New Roman" w:cs="Times New Roman"/>
          <w:sz w:val="24"/>
          <w:szCs w:val="24"/>
        </w:rPr>
        <w:t>The rate of intrauterine fetal death (IUFD) also showed a downward trend (10.4% in T2 vs. 17.6% in T1), although this difference did not reach statistical significance (p = 0.12), likely reflecting the high proportion of patients referred with an already demised fetus.</w:t>
      </w:r>
    </w:p>
    <w:p w:rsidR="0000639E" w:rsidRDefault="005A15D8">
      <w:pPr>
        <w:pStyle w:val="Titre3"/>
        <w:rPr>
          <w:lang w:val="en-US"/>
        </w:rPr>
      </w:pPr>
      <w:r>
        <w:rPr>
          <w:lang w:val="en-US"/>
        </w:rPr>
        <w:t>4. Postpartum Morbidity and Length of Hospital Stay</w:t>
      </w:r>
    </w:p>
    <w:p w:rsidR="0000639E" w:rsidRDefault="005A15D8">
      <w:pPr>
        <w:rPr>
          <w:rFonts w:ascii="Times New Roman" w:hAnsi="Times New Roman" w:cs="Times New Roman"/>
          <w:sz w:val="24"/>
          <w:szCs w:val="24"/>
        </w:rPr>
      </w:pPr>
      <w:r>
        <w:rPr>
          <w:rFonts w:ascii="Times New Roman" w:hAnsi="Times New Roman" w:cs="Times New Roman"/>
          <w:sz w:val="24"/>
          <w:szCs w:val="24"/>
        </w:rPr>
        <w:t>The mean duration of maternal hospitalization was significantly reduced, decreasing from 10.51 days in T1 to 7.53 days in T2 (p &lt; 0.0001). Severe hemorrhagic complications, including hemostatic hysterectomy, were no longer observed during T2 (0 cases vs. 2 cases in T1). Additionally, postpartum blood pressure instability was reduced by half (6.1% vs. 12.4%; p = 0.0001).</w:t>
      </w:r>
    </w:p>
    <w:p w:rsidR="0000639E" w:rsidRDefault="0000639E">
      <w:pPr>
        <w:pStyle w:val="Titre2"/>
      </w:pPr>
    </w:p>
    <w:p w:rsidR="0000639E" w:rsidRDefault="0000639E">
      <w:pPr>
        <w:pStyle w:val="Titre2"/>
      </w:pPr>
    </w:p>
    <w:p w:rsidR="0000639E" w:rsidRDefault="005A15D8">
      <w:pPr>
        <w:pStyle w:val="Titre2"/>
        <w:rPr>
          <w:rFonts w:ascii="Times New Roman" w:hAnsi="Times New Roman"/>
          <w:b/>
          <w:bCs/>
          <w:color w:val="000000"/>
        </w:rPr>
      </w:pPr>
      <w:r>
        <w:rPr>
          <w:rFonts w:ascii="Times New Roman" w:hAnsi="Times New Roman"/>
          <w:b/>
          <w:bCs/>
          <w:color w:val="000000"/>
        </w:rPr>
        <w:t>Discussion</w:t>
      </w:r>
    </w:p>
    <w:p w:rsidR="0000639E" w:rsidRDefault="005A15D8">
      <w:pPr>
        <w:pStyle w:val="Titre3"/>
        <w:rPr>
          <w:lang w:val="en-US"/>
        </w:rPr>
      </w:pPr>
      <w:r>
        <w:rPr>
          <w:lang w:val="en-US"/>
        </w:rPr>
        <w:t>Epidemiological Profile and Predictive Factors</w:t>
      </w:r>
    </w:p>
    <w:p w:rsidR="0000639E" w:rsidRDefault="005A15D8">
      <w:pPr>
        <w:rPr>
          <w:rFonts w:ascii="Times New Roman" w:hAnsi="Times New Roman" w:cs="Times New Roman"/>
          <w:sz w:val="24"/>
          <w:szCs w:val="24"/>
        </w:rPr>
      </w:pPr>
      <w:r>
        <w:rPr>
          <w:rFonts w:ascii="Times New Roman" w:hAnsi="Times New Roman" w:cs="Times New Roman"/>
          <w:sz w:val="24"/>
          <w:szCs w:val="24"/>
        </w:rPr>
        <w:lastRenderedPageBreak/>
        <w:t xml:space="preserve">The 17.8% incidence of HELLP syndrome among preeclamptic patients observed in our study is relatively high compared with commonly reported international averages (10–20%) and lies at the upper range of </w:t>
      </w:r>
      <w:proofErr w:type="spellStart"/>
      <w:r>
        <w:rPr>
          <w:rFonts w:ascii="Times New Roman" w:hAnsi="Times New Roman" w:cs="Times New Roman"/>
          <w:sz w:val="24"/>
          <w:szCs w:val="24"/>
        </w:rPr>
        <w:t>Maghrebian</w:t>
      </w:r>
      <w:proofErr w:type="spellEnd"/>
      <w:r>
        <w:rPr>
          <w:rFonts w:ascii="Times New Roman" w:hAnsi="Times New Roman" w:cs="Times New Roman"/>
          <w:sz w:val="24"/>
          <w:szCs w:val="24"/>
        </w:rPr>
        <w:t xml:space="preserve"> data. It exceeds the rates reported by Ben </w:t>
      </w:r>
      <w:proofErr w:type="spellStart"/>
      <w:r>
        <w:rPr>
          <w:rFonts w:ascii="Times New Roman" w:hAnsi="Times New Roman" w:cs="Times New Roman"/>
          <w:sz w:val="24"/>
          <w:szCs w:val="24"/>
        </w:rPr>
        <w:t>Letaifa</w:t>
      </w:r>
      <w:proofErr w:type="spellEnd"/>
      <w:r>
        <w:rPr>
          <w:rFonts w:ascii="Times New Roman" w:hAnsi="Times New Roman" w:cs="Times New Roman"/>
          <w:sz w:val="24"/>
          <w:szCs w:val="24"/>
        </w:rPr>
        <w:t xml:space="preserve"> in Tunisia (9.7%) and Hani Bilal in </w:t>
      </w:r>
      <w:proofErr w:type="spellStart"/>
      <w:r>
        <w:rPr>
          <w:rFonts w:ascii="Times New Roman" w:hAnsi="Times New Roman" w:cs="Times New Roman"/>
          <w:sz w:val="24"/>
          <w:szCs w:val="24"/>
        </w:rPr>
        <w:t>Béjaïa</w:t>
      </w:r>
      <w:proofErr w:type="spellEnd"/>
      <w:r>
        <w:rPr>
          <w:rFonts w:ascii="Times New Roman" w:hAnsi="Times New Roman" w:cs="Times New Roman"/>
          <w:sz w:val="24"/>
          <w:szCs w:val="24"/>
        </w:rPr>
        <w:t xml:space="preserve"> (9.12%), while approaching those described by </w:t>
      </w:r>
      <w:proofErr w:type="spellStart"/>
      <w:r>
        <w:rPr>
          <w:rFonts w:ascii="Times New Roman" w:hAnsi="Times New Roman" w:cs="Times New Roman"/>
          <w:sz w:val="24"/>
          <w:szCs w:val="24"/>
        </w:rPr>
        <w:t>Zelmat</w:t>
      </w:r>
      <w:proofErr w:type="spellEnd"/>
      <w:r>
        <w:rPr>
          <w:rFonts w:ascii="Times New Roman" w:hAnsi="Times New Roman" w:cs="Times New Roman"/>
          <w:sz w:val="24"/>
          <w:szCs w:val="24"/>
        </w:rPr>
        <w:t xml:space="preserve"> in Oran (14.13%) and </w:t>
      </w:r>
      <w:proofErr w:type="spellStart"/>
      <w:r>
        <w:rPr>
          <w:rFonts w:ascii="Times New Roman" w:hAnsi="Times New Roman" w:cs="Times New Roman"/>
          <w:sz w:val="24"/>
          <w:szCs w:val="24"/>
        </w:rPr>
        <w:t>Sibai</w:t>
      </w:r>
      <w:proofErr w:type="spellEnd"/>
      <w:r>
        <w:rPr>
          <w:rFonts w:ascii="Times New Roman" w:hAnsi="Times New Roman" w:cs="Times New Roman"/>
          <w:sz w:val="24"/>
          <w:szCs w:val="24"/>
        </w:rPr>
        <w:t xml:space="preserve"> in the United States (18.9%).</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This elevated incidence reflects the role of Annaba University Hospital as a tertiary referral and last-resort center, receiving the most severe and advanced cases from a large geographical area. Delayed referral—with 72.6% of patients transferred from outside the </w:t>
      </w:r>
      <w:proofErr w:type="spellStart"/>
      <w:r>
        <w:rPr>
          <w:rFonts w:ascii="Times New Roman" w:hAnsi="Times New Roman" w:cs="Times New Roman"/>
          <w:sz w:val="24"/>
          <w:szCs w:val="24"/>
        </w:rPr>
        <w:t>wilaya</w:t>
      </w:r>
      <w:proofErr w:type="spellEnd"/>
      <w:r>
        <w:rPr>
          <w:rFonts w:ascii="Times New Roman" w:hAnsi="Times New Roman" w:cs="Times New Roman"/>
          <w:sz w:val="24"/>
          <w:szCs w:val="24"/>
        </w:rPr>
        <w:t>—appears to be a key determinant of this epidemiology of severity.</w:t>
      </w:r>
    </w:p>
    <w:p w:rsidR="0000639E" w:rsidRDefault="005A15D8">
      <w:pPr>
        <w:rPr>
          <w:rFonts w:ascii="Times New Roman" w:hAnsi="Times New Roman" w:cs="Times New Roman"/>
          <w:sz w:val="24"/>
          <w:szCs w:val="24"/>
        </w:rPr>
      </w:pPr>
      <w:r>
        <w:rPr>
          <w:rFonts w:ascii="Times New Roman" w:hAnsi="Times New Roman" w:cs="Times New Roman"/>
          <w:sz w:val="24"/>
          <w:szCs w:val="24"/>
        </w:rPr>
        <w:t>The strong association with multiparity (RR = 1.59) and advanced maternal age (&gt; 35 years) is consistent with existing literature and suggests that HELLP syndrome, unlike classical preeclampsia typically affecting young primiparous women, often develops in a maternal context already compromised by age and/or vascular history.</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Our findings strongly reaffirm the </w:t>
      </w:r>
      <w:proofErr w:type="spellStart"/>
      <w:r>
        <w:rPr>
          <w:rFonts w:ascii="Times New Roman" w:hAnsi="Times New Roman" w:cs="Times New Roman"/>
          <w:sz w:val="24"/>
          <w:szCs w:val="24"/>
        </w:rPr>
        <w:t>semiological</w:t>
      </w:r>
      <w:proofErr w:type="spellEnd"/>
      <w:r>
        <w:rPr>
          <w:rFonts w:ascii="Times New Roman" w:hAnsi="Times New Roman" w:cs="Times New Roman"/>
          <w:sz w:val="24"/>
          <w:szCs w:val="24"/>
        </w:rPr>
        <w:t xml:space="preserve"> value of epigastric pain and vomiting. The characteristic “epigastric band-like pain” should not be regarded as a trivial digestive symptom of late pregnancy, but rather as the clinical expression of ischemic and capsular hepatic distension. With a relative risk exceeding 8, its presence should prompt immediate biological assessment. This observation is in line with the seminal description by Weinstein (1) and more recent studies showing that such symptoms frequently precede major laboratory abnormalities. Raising awareness among frontline healthcare providers regarding these warning signs is therefore essential to reduce diagnostic delays.</w:t>
      </w:r>
    </w:p>
    <w:p w:rsidR="0000639E" w:rsidRDefault="0000639E">
      <w:pPr>
        <w:rPr>
          <w:rFonts w:ascii="Times New Roman" w:hAnsi="Times New Roman" w:cs="Times New Roman"/>
          <w:sz w:val="24"/>
          <w:szCs w:val="24"/>
        </w:rPr>
      </w:pPr>
    </w:p>
    <w:p w:rsidR="0000639E" w:rsidRDefault="005A15D8">
      <w:pPr>
        <w:pStyle w:val="Titre3"/>
        <w:rPr>
          <w:lang w:val="en-US"/>
        </w:rPr>
      </w:pPr>
      <w:r>
        <w:rPr>
          <w:lang w:val="en-US"/>
        </w:rPr>
        <w:t>Associated Morbidity</w:t>
      </w:r>
    </w:p>
    <w:p w:rsidR="0000639E" w:rsidRDefault="005A15D8">
      <w:r>
        <w:rPr>
          <w:rStyle w:val="Policepardfaut"/>
          <w:rFonts w:ascii="Times New Roman" w:hAnsi="Times New Roman" w:cs="Times New Roman"/>
          <w:sz w:val="24"/>
          <w:szCs w:val="24"/>
        </w:rPr>
        <w:t xml:space="preserve">The most striking finding in our cohort is the extremely high incidence of acute kidney injury (AKI), affecting 68.6% of patients. </w:t>
      </w:r>
      <w:r>
        <w:rPr>
          <w:rStyle w:val="Policepardfaut"/>
          <w:rFonts w:ascii="Times New Roman" w:hAnsi="Times New Roman" w:cs="Times New Roman"/>
        </w:rPr>
        <w:t xml:space="preserve">Acute renal failure (ARF) during preeclampsia or HELLP syndrome is defined by creatinine &gt;90 µmol/L and urea &gt;7 mmol/L. </w:t>
      </w:r>
      <w:r>
        <w:rPr>
          <w:rStyle w:val="Policepardfaut"/>
          <w:rFonts w:ascii="Times New Roman" w:hAnsi="Times New Roman" w:cs="Times New Roman"/>
          <w:sz w:val="24"/>
          <w:szCs w:val="24"/>
        </w:rPr>
        <w:t xml:space="preserve">This rate is substantially higher than the 7.7% reported by </w:t>
      </w:r>
      <w:proofErr w:type="spellStart"/>
      <w:r>
        <w:rPr>
          <w:rStyle w:val="Policepardfaut"/>
          <w:rFonts w:ascii="Times New Roman" w:hAnsi="Times New Roman" w:cs="Times New Roman"/>
          <w:sz w:val="24"/>
          <w:szCs w:val="24"/>
        </w:rPr>
        <w:t>Sibai</w:t>
      </w:r>
      <w:proofErr w:type="spellEnd"/>
      <w:r>
        <w:rPr>
          <w:rStyle w:val="Policepardfaut"/>
          <w:rFonts w:ascii="Times New Roman" w:hAnsi="Times New Roman" w:cs="Times New Roman"/>
          <w:sz w:val="24"/>
          <w:szCs w:val="24"/>
        </w:rPr>
        <w:t xml:space="preserve"> and the 31% reported by Ben </w:t>
      </w:r>
      <w:proofErr w:type="spellStart"/>
      <w:r>
        <w:rPr>
          <w:rStyle w:val="Policepardfaut"/>
          <w:rFonts w:ascii="Times New Roman" w:hAnsi="Times New Roman" w:cs="Times New Roman"/>
          <w:sz w:val="24"/>
          <w:szCs w:val="24"/>
        </w:rPr>
        <w:t>Letaifa</w:t>
      </w:r>
      <w:proofErr w:type="spellEnd"/>
      <w:r>
        <w:rPr>
          <w:rStyle w:val="Policepardfaut"/>
          <w:rFonts w:ascii="Times New Roman" w:hAnsi="Times New Roman" w:cs="Times New Roman"/>
          <w:sz w:val="24"/>
          <w:szCs w:val="24"/>
        </w:rPr>
        <w:t xml:space="preserve">, raising important concerns. </w:t>
      </w:r>
      <w:r>
        <w:rPr>
          <w:rStyle w:val="Policepardfaut"/>
          <w:rFonts w:ascii="Times New Roman" w:hAnsi="Times New Roman" w:cs="Times New Roman"/>
        </w:rPr>
        <w:t>Clinically, it typically presents as oliguria with effective hypovolemia. Histology shows acute tubular necrosis with glomerular endotheliosis, characteristic of PE. Prognosis is generally favorable in patients without preexisting kidney disease, with full recovery of renal function, but is poor in those with prior renal disease, with up to 80% requiring permanent dialysis</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 This discrepancy is likely multifactorial, including:</w:t>
      </w:r>
    </w:p>
    <w:p w:rsidR="0000639E" w:rsidRDefault="005A15D8">
      <w:pPr>
        <w:pStyle w:val="NormalWeb"/>
        <w:numPr>
          <w:ilvl w:val="0"/>
          <w:numId w:val="3"/>
        </w:numPr>
      </w:pPr>
      <w:r>
        <w:rPr>
          <w:rStyle w:val="lev"/>
          <w:lang w:val="en-US"/>
        </w:rPr>
        <w:t>Prolonged hypovolemia:</w:t>
      </w:r>
      <w:r>
        <w:rPr>
          <w:rStyle w:val="Policepardfaut"/>
          <w:lang w:val="en-US"/>
        </w:rPr>
        <w:br/>
        <w:t>Delayed transfer—often lasting several hours—exposes patients to severe dehydration, which, when combined with the systemic vasoconstriction characteristic of preeclampsia, may precipitate acute tubular necrosis or severe functional renal failure.</w:t>
      </w:r>
    </w:p>
    <w:p w:rsidR="0000639E" w:rsidRDefault="005A15D8">
      <w:pPr>
        <w:pStyle w:val="NormalWeb"/>
        <w:numPr>
          <w:ilvl w:val="0"/>
          <w:numId w:val="3"/>
        </w:numPr>
      </w:pPr>
      <w:r>
        <w:rPr>
          <w:rStyle w:val="Policepardfaut"/>
          <w:lang w:val="en-US"/>
        </w:rPr>
        <w:t xml:space="preserve"> </w:t>
      </w:r>
      <w:r>
        <w:rPr>
          <w:rStyle w:val="lev"/>
          <w:lang w:val="en-US"/>
        </w:rPr>
        <w:t>Severity of Hemolysis:</w:t>
      </w:r>
      <w:r>
        <w:rPr>
          <w:rStyle w:val="Policepardfaut"/>
          <w:lang w:val="en-US"/>
        </w:rPr>
        <w:br/>
        <w:t>Massive hemoglobinuria may exert direct tubular toxicity, thereby contributing to the high incidence of renal impairment observed in our cohort.</w:t>
      </w:r>
    </w:p>
    <w:p w:rsidR="0000639E" w:rsidRDefault="005A15D8">
      <w:pPr>
        <w:pStyle w:val="NormalWeb"/>
        <w:numPr>
          <w:ilvl w:val="0"/>
          <w:numId w:val="3"/>
        </w:numPr>
      </w:pPr>
      <w:r>
        <w:rPr>
          <w:rStyle w:val="lev"/>
          <w:lang w:val="en-US"/>
        </w:rPr>
        <w:t>Upstream Fluid Management:</w:t>
      </w:r>
      <w:r>
        <w:rPr>
          <w:rStyle w:val="Policepardfaut"/>
          <w:lang w:val="en-US"/>
        </w:rPr>
        <w:br/>
        <w:t>Excessively strict fluid restriction, often taught to prevent acute pulmonary edema, may be harmful when not tailored to the patient’s true intravascular volume status. This apparent “epidemic” of acute kidney injury highlights the urgent need to optimize early fluid resuscitation as soon as HELLP syndrome is suspected, even prior to referral to a tertiary care center.</w:t>
      </w:r>
    </w:p>
    <w:p w:rsidR="0000639E" w:rsidRDefault="0000639E">
      <w:pPr>
        <w:pStyle w:val="NormalWeb"/>
        <w:ind w:left="360"/>
        <w:rPr>
          <w:lang w:val="en-US"/>
        </w:rPr>
      </w:pPr>
    </w:p>
    <w:p w:rsidR="0000639E" w:rsidRDefault="005A15D8">
      <w:pPr>
        <w:pStyle w:val="Titre3"/>
        <w:rPr>
          <w:lang w:val="en-US"/>
        </w:rPr>
      </w:pPr>
      <w:r>
        <w:rPr>
          <w:lang w:val="en-US"/>
        </w:rPr>
        <w:t>Conservative Management</w:t>
      </w:r>
    </w:p>
    <w:p w:rsidR="0000639E" w:rsidRDefault="005A15D8">
      <w:pPr>
        <w:rPr>
          <w:rFonts w:ascii="Times New Roman" w:hAnsi="Times New Roman" w:cs="Times New Roman"/>
          <w:sz w:val="24"/>
          <w:szCs w:val="24"/>
        </w:rPr>
      </w:pPr>
      <w:r>
        <w:rPr>
          <w:rFonts w:ascii="Times New Roman" w:hAnsi="Times New Roman" w:cs="Times New Roman"/>
          <w:sz w:val="24"/>
          <w:szCs w:val="24"/>
        </w:rPr>
        <w:t>Obstetric management of HELLP syndrome before 34 weeks of gestation remains a matter of debate. While the American approach is often interventionist, aiming to rapidly interrupt the maternal disease process, our findings provide support for the temporary conservative strategy advocated by the Dutch school.</w:t>
      </w:r>
    </w:p>
    <w:p w:rsidR="0000639E" w:rsidRDefault="005A15D8">
      <w:pPr>
        <w:rPr>
          <w:rFonts w:ascii="Times New Roman" w:hAnsi="Times New Roman" w:cs="Times New Roman"/>
          <w:sz w:val="24"/>
          <w:szCs w:val="24"/>
        </w:rPr>
      </w:pPr>
      <w:r>
        <w:rPr>
          <w:rFonts w:ascii="Times New Roman" w:hAnsi="Times New Roman" w:cs="Times New Roman"/>
          <w:sz w:val="24"/>
          <w:szCs w:val="24"/>
        </w:rPr>
        <w:t>By prolonging pregnancy for 48 hours under strict monitoring, we observed a significant reduction in neonatal mortality, without any increase in maternal mortality or severe maternal morbidity. These results are consistent with those reported by Haddad et al., who found no excess maternal risk associated with expectant management.</w:t>
      </w:r>
    </w:p>
    <w:p w:rsidR="0000639E" w:rsidRDefault="005A15D8">
      <w:pPr>
        <w:rPr>
          <w:rFonts w:ascii="Times New Roman" w:hAnsi="Times New Roman" w:cs="Times New Roman"/>
          <w:sz w:val="24"/>
          <w:szCs w:val="24"/>
        </w:rPr>
      </w:pPr>
      <w:r>
        <w:rPr>
          <w:rFonts w:ascii="Times New Roman" w:hAnsi="Times New Roman" w:cs="Times New Roman"/>
          <w:sz w:val="24"/>
          <w:szCs w:val="24"/>
        </w:rPr>
        <w:t>Importantly, the protocol allowed for standardization of the expectant period, avoiding excessive conservative management. The mean duration of expectant management was limited to approximately 2 days, compared with 4 days during the control period, thereby preventing unnecessary maternal exposure once the fetal benefit of corticosteroid therapy had been achieved.</w:t>
      </w:r>
    </w:p>
    <w:p w:rsidR="0000639E" w:rsidRDefault="005A15D8">
      <w:pPr>
        <w:pStyle w:val="Titre3"/>
        <w:rPr>
          <w:lang w:val="en-US"/>
        </w:rPr>
      </w:pPr>
      <w:r>
        <w:rPr>
          <w:lang w:val="en-US"/>
        </w:rPr>
        <w:t>Corticosteroid Therapy and Platelet Count: A Biological Benefit?</w:t>
      </w:r>
    </w:p>
    <w:p w:rsidR="0000639E" w:rsidRDefault="005A15D8">
      <w:pPr>
        <w:rPr>
          <w:rFonts w:ascii="Times New Roman" w:hAnsi="Times New Roman" w:cs="Times New Roman"/>
          <w:sz w:val="24"/>
          <w:szCs w:val="24"/>
        </w:rPr>
      </w:pPr>
      <w:r>
        <w:rPr>
          <w:rFonts w:ascii="Times New Roman" w:hAnsi="Times New Roman" w:cs="Times New Roman"/>
          <w:sz w:val="24"/>
          <w:szCs w:val="24"/>
        </w:rPr>
        <w:t>The use of corticosteroids in HELLP syndrome remains controversial. While their benefit for fetal lung maturation is undisputed, their impact on maternal outcomes is less clear. Cochrane meta-analyses have found no evidence of reduced maternal mortality associated with corticosteroid use.</w:t>
      </w:r>
    </w:p>
    <w:p w:rsidR="0000639E" w:rsidRDefault="005A15D8">
      <w:pPr>
        <w:rPr>
          <w:rFonts w:ascii="Times New Roman" w:hAnsi="Times New Roman" w:cs="Times New Roman"/>
          <w:sz w:val="24"/>
          <w:szCs w:val="24"/>
        </w:rPr>
      </w:pPr>
      <w:r>
        <w:rPr>
          <w:rFonts w:ascii="Times New Roman" w:hAnsi="Times New Roman" w:cs="Times New Roman"/>
          <w:sz w:val="24"/>
          <w:szCs w:val="24"/>
        </w:rPr>
        <w:t>Nevertheless, our study—consistent with the findings of Martin et al.—demonstrates a significant reduction in platelet transfusion requirements during phase 2. This observation suggests that corticosteroids may accelerate biological recovery, representing a major clinical advantage in our setting, where the availability of blood products—particularly platelets—can be limited.</w:t>
      </w:r>
    </w:p>
    <w:p w:rsidR="0000639E" w:rsidRDefault="005A15D8">
      <w:r>
        <w:rPr>
          <w:rStyle w:val="Policepardfaut"/>
          <w:rFonts w:ascii="Times New Roman" w:hAnsi="Times New Roman" w:cs="Times New Roman"/>
          <w:sz w:val="24"/>
          <w:szCs w:val="24"/>
        </w:rPr>
        <w:t>Furthermore, the transient increase in platelet count more frequently allowed access to regional anesthesia, thereby avoiding the well-known risks associated with general anesthesia in pregnant women.</w:t>
      </w:r>
    </w:p>
    <w:p w:rsidR="0000639E" w:rsidRDefault="005A15D8">
      <w:pPr>
        <w:pStyle w:val="Titre3"/>
        <w:rPr>
          <w:lang w:val="en-US"/>
        </w:rPr>
      </w:pPr>
      <w:r>
        <w:rPr>
          <w:lang w:val="en-US"/>
        </w:rPr>
        <w:t>Perinatal Prognosis</w:t>
      </w:r>
    </w:p>
    <w:p w:rsidR="0000639E" w:rsidRDefault="005A15D8">
      <w:pPr>
        <w:rPr>
          <w:rFonts w:ascii="Times New Roman" w:hAnsi="Times New Roman" w:cs="Times New Roman"/>
          <w:sz w:val="24"/>
          <w:szCs w:val="24"/>
        </w:rPr>
      </w:pPr>
      <w:r>
        <w:rPr>
          <w:rFonts w:ascii="Times New Roman" w:hAnsi="Times New Roman" w:cs="Times New Roman"/>
          <w:sz w:val="24"/>
          <w:szCs w:val="24"/>
        </w:rPr>
        <w:t>Despite the improvements achieved, perinatal mortality remained high, reaching 39.9% overall and 35.6% during phase T2. These figures are markedly higher than those reported in Western series (7–20%), yet comparable to regional data. This excess mortality reflects the high prevalence of extreme prematurity and severe intrauterine growth restriction, which were often already present at the time of admission.</w:t>
      </w:r>
    </w:p>
    <w:p w:rsidR="0000639E" w:rsidRDefault="005A15D8">
      <w:pPr>
        <w:rPr>
          <w:rFonts w:ascii="Times New Roman" w:hAnsi="Times New Roman" w:cs="Times New Roman"/>
          <w:sz w:val="24"/>
          <w:szCs w:val="24"/>
        </w:rPr>
      </w:pPr>
      <w:r>
        <w:rPr>
          <w:rFonts w:ascii="Times New Roman" w:hAnsi="Times New Roman" w:cs="Times New Roman"/>
          <w:sz w:val="24"/>
          <w:szCs w:val="24"/>
        </w:rPr>
        <w:t>HELLP syndrome acts as a risk multiplier, quadrupling neonatal mortality compared with uncomplicated preeclampsia. Nevertheless, the improvement observed during phase T2 demonstrates that optimization of care—including antenatal corticosteroid therapy, in utero transfer, and enhanced neonatal resuscitation—can significantly improve survival, even in the most severe cases.</w:t>
      </w:r>
    </w:p>
    <w:p w:rsidR="0000639E" w:rsidRDefault="005A15D8">
      <w:pPr>
        <w:pStyle w:val="Titre3"/>
        <w:rPr>
          <w:lang w:val="en-US"/>
        </w:rPr>
      </w:pPr>
      <w:r>
        <w:rPr>
          <w:lang w:val="en-US"/>
        </w:rPr>
        <w:t>Maternal Mortality</w:t>
      </w:r>
    </w:p>
    <w:p w:rsidR="0000639E" w:rsidRDefault="005A15D8">
      <w:pPr>
        <w:rPr>
          <w:rFonts w:ascii="Times New Roman" w:hAnsi="Times New Roman" w:cs="Times New Roman"/>
          <w:sz w:val="24"/>
          <w:szCs w:val="24"/>
        </w:rPr>
      </w:pPr>
      <w:r>
        <w:rPr>
          <w:rFonts w:ascii="Times New Roman" w:hAnsi="Times New Roman" w:cs="Times New Roman"/>
          <w:sz w:val="24"/>
          <w:szCs w:val="24"/>
        </w:rPr>
        <w:t>Maternal mortality associated with HELLP syndrome varies widely in the literature, ranging from 0 to 24% across major series. Our findings are consistent with these reports, with a maternal mortality rate of 1.79%, evenly distributed between the two study periods.</w:t>
      </w:r>
    </w:p>
    <w:p w:rsidR="0000639E" w:rsidRDefault="005A15D8">
      <w:pPr>
        <w:pStyle w:val="Titre2"/>
        <w:rPr>
          <w:rFonts w:ascii="Times New Roman" w:hAnsi="Times New Roman"/>
          <w:b/>
          <w:bCs/>
          <w:color w:val="000000"/>
        </w:rPr>
      </w:pPr>
      <w:r>
        <w:rPr>
          <w:rFonts w:ascii="Times New Roman" w:hAnsi="Times New Roman"/>
          <w:b/>
          <w:bCs/>
          <w:color w:val="000000"/>
        </w:rPr>
        <w:lastRenderedPageBreak/>
        <w:t>Conclusion</w:t>
      </w:r>
    </w:p>
    <w:p w:rsidR="0000639E" w:rsidRDefault="005A15D8">
      <w:pPr>
        <w:rPr>
          <w:rFonts w:ascii="Times New Roman" w:hAnsi="Times New Roman" w:cs="Times New Roman"/>
          <w:sz w:val="24"/>
          <w:szCs w:val="24"/>
        </w:rPr>
      </w:pPr>
      <w:r>
        <w:rPr>
          <w:rFonts w:ascii="Times New Roman" w:hAnsi="Times New Roman" w:cs="Times New Roman"/>
          <w:sz w:val="24"/>
          <w:szCs w:val="24"/>
        </w:rPr>
        <w:t>In eastern Algeria, HELLP syndrome remains a major obstetric emergency, characterized by a high incidence and a severe profile of visceral complications.</w:t>
      </w:r>
    </w:p>
    <w:p w:rsidR="0000639E" w:rsidRDefault="005A15D8">
      <w:pPr>
        <w:rPr>
          <w:rFonts w:ascii="Times New Roman" w:hAnsi="Times New Roman" w:cs="Times New Roman"/>
          <w:sz w:val="24"/>
          <w:szCs w:val="24"/>
        </w:rPr>
      </w:pPr>
      <w:r>
        <w:rPr>
          <w:rFonts w:ascii="Times New Roman" w:hAnsi="Times New Roman" w:cs="Times New Roman"/>
          <w:sz w:val="24"/>
          <w:szCs w:val="24"/>
        </w:rPr>
        <w:t>The transition from empirical management to a standardized care protocol significantly improved outcomes for both mothers and newborns. The adoption of a carefully reasoned 48-hour expectant management strategy for pregnancies remote from term, combined with systematic corticosteroid therapy and rationalized anesthetic and transfusion practices, proved to be both effective and safe.</w:t>
      </w:r>
    </w:p>
    <w:p w:rsidR="0000639E" w:rsidRDefault="005A15D8">
      <w:pPr>
        <w:rPr>
          <w:rFonts w:ascii="Times New Roman" w:hAnsi="Times New Roman" w:cs="Times New Roman"/>
          <w:sz w:val="24"/>
          <w:szCs w:val="24"/>
        </w:rPr>
      </w:pPr>
      <w:r>
        <w:rPr>
          <w:rFonts w:ascii="Times New Roman" w:hAnsi="Times New Roman" w:cs="Times New Roman"/>
          <w:sz w:val="24"/>
          <w:szCs w:val="24"/>
        </w:rPr>
        <w:t>Future efforts should focus on the upstream components of the care pathway, including early recognition of clinical warning signs—particularly epigastric pain—optimization of transfer conditions through early fluid resuscitation to prevent acute kidney injury, and the widespread implementation of standardized protocols across the entire perinatal care network.</w:t>
      </w:r>
    </w:p>
    <w:p w:rsidR="0000639E" w:rsidRPr="00945BF5" w:rsidRDefault="0000639E">
      <w:pPr>
        <w:pStyle w:val="NormalWeb"/>
        <w:rPr>
          <w:b/>
          <w:lang w:val="en-US"/>
        </w:rPr>
      </w:pPr>
    </w:p>
    <w:p w:rsidR="00945BF5" w:rsidRPr="00945BF5" w:rsidRDefault="00945BF5" w:rsidP="00945BF5">
      <w:pPr>
        <w:pStyle w:val="NormalWeb"/>
        <w:rPr>
          <w:b/>
          <w:lang w:val="en-US"/>
        </w:rPr>
      </w:pPr>
      <w:r w:rsidRPr="00945BF5">
        <w:rPr>
          <w:b/>
          <w:lang w:val="en-US"/>
        </w:rPr>
        <w:t>Ethical Approval</w:t>
      </w:r>
    </w:p>
    <w:p w:rsidR="0000639E" w:rsidRDefault="00945BF5" w:rsidP="00945BF5">
      <w:pPr>
        <w:pStyle w:val="NormalWeb"/>
        <w:rPr>
          <w:lang w:val="en-US"/>
        </w:rPr>
      </w:pPr>
      <w:r w:rsidRPr="00945BF5">
        <w:rPr>
          <w:lang w:val="en-US"/>
        </w:rPr>
        <w:t>As per international standards or university standards written ethical approval has been collected and preserved by the author(s).</w:t>
      </w:r>
    </w:p>
    <w:p w:rsidR="00945BF5" w:rsidRDefault="00945BF5" w:rsidP="00945BF5">
      <w:pPr>
        <w:pStyle w:val="NormalWeb"/>
        <w:rPr>
          <w:lang w:val="en-US"/>
        </w:rPr>
      </w:pPr>
    </w:p>
    <w:p w:rsidR="00945BF5" w:rsidRPr="00945BF5" w:rsidRDefault="00945BF5" w:rsidP="00945BF5">
      <w:pPr>
        <w:pStyle w:val="NormalWeb"/>
        <w:rPr>
          <w:b/>
          <w:lang w:val="en-US"/>
        </w:rPr>
      </w:pPr>
      <w:r w:rsidRPr="00945BF5">
        <w:rPr>
          <w:b/>
          <w:lang w:val="en-US"/>
        </w:rPr>
        <w:t xml:space="preserve">Consent </w:t>
      </w:r>
    </w:p>
    <w:p w:rsidR="00945BF5" w:rsidRDefault="00945BF5" w:rsidP="00945BF5">
      <w:pPr>
        <w:pStyle w:val="NormalWeb"/>
        <w:rPr>
          <w:lang w:val="en-US"/>
        </w:rPr>
      </w:pPr>
      <w:r w:rsidRPr="00945BF5">
        <w:rPr>
          <w:lang w:val="en-US"/>
        </w:rPr>
        <w:t>As per international standards or university standards, patient(s) written consent has been collected and preserved by the author(s).</w:t>
      </w:r>
    </w:p>
    <w:p w:rsidR="0000639E" w:rsidRDefault="0000639E">
      <w:pPr>
        <w:pStyle w:val="NormalWeb"/>
        <w:rPr>
          <w:lang w:val="en-US"/>
        </w:rPr>
      </w:pPr>
    </w:p>
    <w:p w:rsidR="0000639E" w:rsidRDefault="005A15D8">
      <w:pPr>
        <w:pStyle w:val="NormalWeb"/>
        <w:rPr>
          <w:lang w:val="en-US"/>
        </w:rPr>
      </w:pPr>
      <w:r>
        <w:rPr>
          <w:lang w:val="en-US"/>
        </w:rPr>
        <w:t>COMPETING INTERESTS DISCLAIMER:</w:t>
      </w:r>
    </w:p>
    <w:p w:rsidR="0000639E" w:rsidRDefault="005A15D8">
      <w:pPr>
        <w:pStyle w:val="NormalWeb"/>
        <w:rPr>
          <w:lang w:val="en-US"/>
        </w:rPr>
      </w:pPr>
      <w:r>
        <w:rPr>
          <w:lang w:val="en-US"/>
        </w:rPr>
        <w:t>Authors have declared that they have no known competing financial interests OR non-financial interests OR personal relationships that could have appeared to influence the work reported in this paper.</w:t>
      </w:r>
    </w:p>
    <w:p w:rsidR="0000639E" w:rsidRDefault="0000639E">
      <w:pPr>
        <w:pStyle w:val="NormalWeb"/>
        <w:rPr>
          <w:lang w:val="en-US"/>
        </w:rPr>
      </w:pPr>
    </w:p>
    <w:p w:rsidR="0000639E" w:rsidRPr="00F35E5E" w:rsidRDefault="005A15D8">
      <w:pPr>
        <w:pStyle w:val="Sansinterligne"/>
        <w:rPr>
          <w:rFonts w:ascii="Arial" w:hAnsi="Arial" w:cs="Arial"/>
          <w:b/>
          <w:shd w:val="clear" w:color="auto" w:fill="FFFF00"/>
        </w:rPr>
      </w:pPr>
      <w:bookmarkStart w:id="0" w:name="_Hlk219284361"/>
      <w:bookmarkStart w:id="1" w:name="_Hlk198031404"/>
      <w:bookmarkStart w:id="2" w:name="_Hlk219128673"/>
      <w:bookmarkStart w:id="3" w:name="_GoBack"/>
      <w:r w:rsidRPr="00F35E5E">
        <w:rPr>
          <w:rFonts w:ascii="Arial" w:hAnsi="Arial" w:cs="Arial"/>
          <w:b/>
          <w:shd w:val="clear" w:color="auto" w:fill="FFFF00"/>
        </w:rPr>
        <w:t>Disclaimer (Artificial intelligence)</w:t>
      </w:r>
    </w:p>
    <w:bookmarkEnd w:id="3"/>
    <w:p w:rsidR="0000639E" w:rsidRDefault="0000639E">
      <w:pPr>
        <w:pStyle w:val="Sansinterligne"/>
        <w:rPr>
          <w:rFonts w:ascii="Arial" w:hAnsi="Arial" w:cs="Arial"/>
          <w:shd w:val="clear" w:color="auto" w:fill="FFFF00"/>
        </w:rPr>
      </w:pPr>
    </w:p>
    <w:p w:rsidR="0000639E" w:rsidRDefault="005A15D8">
      <w:pPr>
        <w:pStyle w:val="Sansinterligne"/>
        <w:rPr>
          <w:rFonts w:ascii="Arial" w:hAnsi="Arial" w:cs="Arial"/>
          <w:shd w:val="clear" w:color="auto" w:fill="FFFF00"/>
        </w:rPr>
      </w:pPr>
      <w:r>
        <w:rPr>
          <w:rFonts w:ascii="Arial" w:hAnsi="Arial" w:cs="Arial"/>
          <w:shd w:val="clear" w:color="auto" w:fill="FFFF00"/>
        </w:rPr>
        <w:t>Author(s) hereby declare that NO generative AI technologies such as Large Language Models (</w:t>
      </w:r>
      <w:proofErr w:type="spellStart"/>
      <w:r>
        <w:rPr>
          <w:rFonts w:ascii="Arial" w:hAnsi="Arial" w:cs="Arial"/>
          <w:shd w:val="clear" w:color="auto" w:fill="FFFF00"/>
        </w:rPr>
        <w:t>ChatGPT</w:t>
      </w:r>
      <w:proofErr w:type="spellEnd"/>
      <w:r>
        <w:rPr>
          <w:rFonts w:ascii="Arial" w:hAnsi="Arial" w:cs="Arial"/>
          <w:shd w:val="clear" w:color="auto" w:fill="FFFF00"/>
        </w:rPr>
        <w:t>, COPILOT, etc.) and text-to-image generators have been used during the writing or editing of this manuscript</w:t>
      </w:r>
      <w:bookmarkEnd w:id="0"/>
      <w:r>
        <w:rPr>
          <w:rFonts w:ascii="Arial" w:hAnsi="Arial" w:cs="Arial"/>
          <w:shd w:val="clear" w:color="auto" w:fill="FFFF00"/>
        </w:rPr>
        <w:t>.</w:t>
      </w:r>
    </w:p>
    <w:bookmarkEnd w:id="1"/>
    <w:p w:rsidR="0000639E" w:rsidRDefault="0000639E">
      <w:pPr>
        <w:pStyle w:val="Sansinterligne"/>
        <w:rPr>
          <w:rFonts w:ascii="Arial" w:hAnsi="Arial" w:cs="Arial"/>
        </w:rPr>
      </w:pPr>
    </w:p>
    <w:p w:rsidR="0000639E" w:rsidRDefault="0000639E">
      <w:pPr>
        <w:pStyle w:val="Sansinterligne"/>
        <w:rPr>
          <w:rFonts w:ascii="Arial" w:hAnsi="Arial" w:cs="Arial"/>
        </w:rPr>
      </w:pPr>
    </w:p>
    <w:p w:rsidR="0000639E" w:rsidRDefault="0000639E">
      <w:pPr>
        <w:pStyle w:val="Sansinterligne"/>
        <w:rPr>
          <w:rFonts w:ascii="Arial" w:hAnsi="Arial" w:cs="Arial"/>
        </w:rPr>
      </w:pPr>
    </w:p>
    <w:bookmarkEnd w:id="2"/>
    <w:p w:rsidR="0000639E" w:rsidRDefault="0000639E">
      <w:pPr>
        <w:pStyle w:val="Sansinterligne"/>
        <w:rPr>
          <w:rFonts w:ascii="Arial" w:hAnsi="Arial" w:cs="Arial"/>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pStyle w:val="NormalWeb"/>
        <w:rPr>
          <w:b/>
          <w:bCs/>
          <w:lang w:val="en-US"/>
        </w:rPr>
      </w:pPr>
      <w:r>
        <w:rPr>
          <w:b/>
          <w:bCs/>
          <w:lang w:val="en-US"/>
        </w:rPr>
        <w:t xml:space="preserve">References </w:t>
      </w:r>
    </w:p>
    <w:p w:rsidR="0000639E" w:rsidRDefault="005A15D8">
      <w:pPr>
        <w:pStyle w:val="NormalWeb"/>
        <w:rPr>
          <w:lang w:val="en-US"/>
        </w:rPr>
      </w:pPr>
      <w:r>
        <w:rPr>
          <w:lang w:val="en-US"/>
        </w:rPr>
        <w:t>1. Weinstein L. Syndrome of hemolysis, elevated liver enzymes, and low platelet count:</w:t>
      </w:r>
    </w:p>
    <w:p w:rsidR="0000639E" w:rsidRDefault="005A15D8">
      <w:pPr>
        <w:pStyle w:val="NormalWeb"/>
        <w:rPr>
          <w:lang w:val="en-US"/>
        </w:rPr>
      </w:pPr>
      <w:r>
        <w:rPr>
          <w:lang w:val="en-US"/>
        </w:rPr>
        <w:t xml:space="preserve">a severe consequence of hypertension in pregnancy. Am J </w:t>
      </w:r>
      <w:proofErr w:type="spellStart"/>
      <w:r>
        <w:rPr>
          <w:lang w:val="en-US"/>
        </w:rPr>
        <w:t>Obstet</w:t>
      </w:r>
      <w:proofErr w:type="spellEnd"/>
      <w:r>
        <w:rPr>
          <w:lang w:val="en-US"/>
        </w:rPr>
        <w:t xml:space="preserve"> Gynecol.</w:t>
      </w:r>
    </w:p>
    <w:p w:rsidR="0000639E" w:rsidRDefault="005A15D8">
      <w:pPr>
        <w:pStyle w:val="NormalWeb"/>
        <w:rPr>
          <w:lang w:val="en-US"/>
        </w:rPr>
      </w:pPr>
      <w:r>
        <w:rPr>
          <w:lang w:val="en-US"/>
        </w:rPr>
        <w:t>1982;142(2):159-67.</w:t>
      </w:r>
    </w:p>
    <w:p w:rsidR="0000639E" w:rsidRDefault="005A15D8">
      <w:pPr>
        <w:pStyle w:val="NormalWeb"/>
        <w:rPr>
          <w:lang w:val="en-US"/>
        </w:rPr>
      </w:pPr>
      <w:r>
        <w:rPr>
          <w:lang w:val="en-US"/>
        </w:rPr>
        <w:t xml:space="preserve">2. </w:t>
      </w:r>
      <w:proofErr w:type="spellStart"/>
      <w:r>
        <w:rPr>
          <w:lang w:val="en-US"/>
        </w:rPr>
        <w:t>Mamouni</w:t>
      </w:r>
      <w:proofErr w:type="spellEnd"/>
      <w:r>
        <w:rPr>
          <w:lang w:val="en-US"/>
        </w:rPr>
        <w:t xml:space="preserve"> N, </w:t>
      </w:r>
      <w:proofErr w:type="spellStart"/>
      <w:r>
        <w:rPr>
          <w:lang w:val="en-US"/>
        </w:rPr>
        <w:t>Bougern</w:t>
      </w:r>
      <w:proofErr w:type="spellEnd"/>
      <w:r>
        <w:rPr>
          <w:lang w:val="en-US"/>
        </w:rPr>
        <w:t xml:space="preserve"> H, </w:t>
      </w:r>
      <w:proofErr w:type="spellStart"/>
      <w:r>
        <w:rPr>
          <w:lang w:val="en-US"/>
        </w:rPr>
        <w:t>Derkaoui</w:t>
      </w:r>
      <w:proofErr w:type="spellEnd"/>
      <w:r>
        <w:rPr>
          <w:lang w:val="en-US"/>
        </w:rPr>
        <w:t xml:space="preserve"> A, et al. HELLP syndrome: about 61 cases</w:t>
      </w:r>
    </w:p>
    <w:p w:rsidR="0000639E" w:rsidRDefault="005A15D8">
      <w:pPr>
        <w:pStyle w:val="NormalWeb"/>
        <w:rPr>
          <w:lang w:val="en-US"/>
        </w:rPr>
      </w:pPr>
      <w:r>
        <w:rPr>
          <w:lang w:val="en-US"/>
        </w:rPr>
        <w:lastRenderedPageBreak/>
        <w:t xml:space="preserve">and review of the literature. Pan </w:t>
      </w:r>
      <w:proofErr w:type="spellStart"/>
      <w:r>
        <w:rPr>
          <w:lang w:val="en-US"/>
        </w:rPr>
        <w:t>Afr</w:t>
      </w:r>
      <w:proofErr w:type="spellEnd"/>
      <w:r>
        <w:rPr>
          <w:lang w:val="en-US"/>
        </w:rPr>
        <w:t xml:space="preserve"> Med J. </w:t>
      </w:r>
      <w:proofErr w:type="gramStart"/>
      <w:r>
        <w:rPr>
          <w:lang w:val="en-US"/>
        </w:rPr>
        <w:t>2012;11:30</w:t>
      </w:r>
      <w:proofErr w:type="gramEnd"/>
      <w:r>
        <w:rPr>
          <w:lang w:val="en-US"/>
        </w:rPr>
        <w:t>.</w:t>
      </w:r>
    </w:p>
    <w:p w:rsidR="0000639E" w:rsidRDefault="005A15D8">
      <w:pPr>
        <w:pStyle w:val="NormalWeb"/>
        <w:rPr>
          <w:lang w:val="en-US"/>
        </w:rPr>
      </w:pPr>
      <w:r>
        <w:rPr>
          <w:lang w:val="en-US"/>
        </w:rPr>
        <w:t xml:space="preserve">3. </w:t>
      </w:r>
      <w:proofErr w:type="spellStart"/>
      <w:r>
        <w:rPr>
          <w:lang w:val="en-US"/>
        </w:rPr>
        <w:t>Benjelloun</w:t>
      </w:r>
      <w:proofErr w:type="spellEnd"/>
      <w:r>
        <w:rPr>
          <w:lang w:val="en-US"/>
        </w:rPr>
        <w:t xml:space="preserve"> AT, et al. Epidemiology of pre-eclampsia in the Greater</w:t>
      </w:r>
    </w:p>
    <w:p w:rsidR="0000639E" w:rsidRDefault="005A15D8">
      <w:pPr>
        <w:pStyle w:val="NormalWeb"/>
        <w:rPr>
          <w:lang w:val="en-US"/>
        </w:rPr>
      </w:pPr>
      <w:r>
        <w:rPr>
          <w:lang w:val="en-US"/>
        </w:rPr>
        <w:t xml:space="preserve">Casablanca region. Pan </w:t>
      </w:r>
      <w:proofErr w:type="spellStart"/>
      <w:r>
        <w:rPr>
          <w:lang w:val="en-US"/>
        </w:rPr>
        <w:t>Afr</w:t>
      </w:r>
      <w:proofErr w:type="spellEnd"/>
      <w:r>
        <w:rPr>
          <w:lang w:val="en-US"/>
        </w:rPr>
        <w:t xml:space="preserve"> Med J. 2020;35(112). DOI: 10.11604/pamj.2020.35.112.19282.</w:t>
      </w:r>
    </w:p>
    <w:p w:rsidR="0000639E" w:rsidRDefault="005A15D8">
      <w:pPr>
        <w:pStyle w:val="NormalWeb"/>
        <w:rPr>
          <w:lang w:val="en-US"/>
        </w:rPr>
      </w:pPr>
      <w:r>
        <w:rPr>
          <w:lang w:val="en-US"/>
        </w:rPr>
        <w:t xml:space="preserve">4. </w:t>
      </w:r>
      <w:proofErr w:type="spellStart"/>
      <w:r>
        <w:rPr>
          <w:lang w:val="en-US"/>
        </w:rPr>
        <w:t>Beldjilali</w:t>
      </w:r>
      <w:proofErr w:type="spellEnd"/>
      <w:r>
        <w:rPr>
          <w:lang w:val="en-US"/>
        </w:rPr>
        <w:t xml:space="preserve"> M. Severe pre-eclampsia: epidemiological, clinical, evolutionary and</w:t>
      </w:r>
    </w:p>
    <w:p w:rsidR="0000639E" w:rsidRDefault="005A15D8">
      <w:pPr>
        <w:pStyle w:val="NormalWeb"/>
        <w:rPr>
          <w:lang w:val="en-US"/>
        </w:rPr>
      </w:pPr>
      <w:r>
        <w:rPr>
          <w:lang w:val="en-US"/>
        </w:rPr>
        <w:t>prognostic aspects. Doctoral thesis. University of Oran. 2012</w:t>
      </w:r>
    </w:p>
    <w:p w:rsidR="0000639E" w:rsidRDefault="005A15D8">
      <w:pPr>
        <w:pStyle w:val="NormalWeb"/>
      </w:pPr>
      <w:r>
        <w:t xml:space="preserve">5. </w:t>
      </w:r>
      <w:proofErr w:type="spellStart"/>
      <w:r>
        <w:t>Zelmat</w:t>
      </w:r>
      <w:proofErr w:type="spellEnd"/>
      <w:r>
        <w:t xml:space="preserve"> SA, </w:t>
      </w:r>
      <w:proofErr w:type="spellStart"/>
      <w:r>
        <w:t>Bouabida</w:t>
      </w:r>
      <w:proofErr w:type="spellEnd"/>
      <w:r>
        <w:t xml:space="preserve"> D, </w:t>
      </w:r>
      <w:proofErr w:type="spellStart"/>
      <w:r>
        <w:t>Bellalaoui</w:t>
      </w:r>
      <w:proofErr w:type="spellEnd"/>
      <w:r>
        <w:t xml:space="preserve"> I, et al. </w:t>
      </w:r>
      <w:r>
        <w:rPr>
          <w:rStyle w:val="Policepardfaut"/>
          <w:lang w:val="en-US"/>
        </w:rPr>
        <w:t xml:space="preserve">Evaluation of </w:t>
      </w:r>
      <w:proofErr w:type="spellStart"/>
      <w:r>
        <w:rPr>
          <w:rStyle w:val="Policepardfaut"/>
          <w:lang w:val="en-US"/>
        </w:rPr>
        <w:t>Hellp</w:t>
      </w:r>
      <w:proofErr w:type="spellEnd"/>
      <w:r>
        <w:rPr>
          <w:rStyle w:val="Policepardfaut"/>
          <w:lang w:val="en-US"/>
        </w:rPr>
        <w:t xml:space="preserve"> Syndrome</w:t>
      </w:r>
    </w:p>
    <w:p w:rsidR="0000639E" w:rsidRDefault="005A15D8">
      <w:pPr>
        <w:pStyle w:val="NormalWeb"/>
      </w:pPr>
      <w:r>
        <w:rPr>
          <w:rStyle w:val="Policepardfaut"/>
          <w:lang w:val="en-US"/>
        </w:rPr>
        <w:t xml:space="preserve">Management. </w:t>
      </w:r>
      <w:proofErr w:type="spellStart"/>
      <w:r>
        <w:t>Obstet</w:t>
      </w:r>
      <w:proofErr w:type="spellEnd"/>
      <w:r>
        <w:t xml:space="preserve"> </w:t>
      </w:r>
      <w:proofErr w:type="spellStart"/>
      <w:r>
        <w:t>Gynecol</w:t>
      </w:r>
      <w:proofErr w:type="spellEnd"/>
      <w:r>
        <w:t xml:space="preserve"> </w:t>
      </w:r>
      <w:proofErr w:type="spellStart"/>
      <w:r>
        <w:t>Res</w:t>
      </w:r>
      <w:proofErr w:type="spellEnd"/>
      <w:r>
        <w:t xml:space="preserve">. </w:t>
      </w:r>
      <w:proofErr w:type="gramStart"/>
      <w:r>
        <w:t>2020;</w:t>
      </w:r>
      <w:proofErr w:type="gramEnd"/>
      <w:r>
        <w:t>3(4):242-250.</w:t>
      </w:r>
    </w:p>
    <w:p w:rsidR="0000639E" w:rsidRDefault="005A15D8">
      <w:pPr>
        <w:pStyle w:val="NormalWeb"/>
      </w:pPr>
      <w:r>
        <w:t xml:space="preserve">6. Rimmer EM, et al. </w:t>
      </w:r>
      <w:r>
        <w:rPr>
          <w:rStyle w:val="Policepardfaut"/>
          <w:lang w:val="en-US"/>
        </w:rPr>
        <w:t xml:space="preserve">HELLP Syndrome—Holistic Insight into Pathophysiology. </w:t>
      </w:r>
      <w:r>
        <w:t>Int J</w:t>
      </w:r>
    </w:p>
    <w:p w:rsidR="0000639E" w:rsidRDefault="005A15D8">
      <w:pPr>
        <w:pStyle w:val="NormalWeb"/>
      </w:pPr>
      <w:r>
        <w:t xml:space="preserve">Mol </w:t>
      </w:r>
      <w:proofErr w:type="spellStart"/>
      <w:r>
        <w:t>Sci</w:t>
      </w:r>
      <w:proofErr w:type="spellEnd"/>
      <w:r>
        <w:t xml:space="preserve">. </w:t>
      </w:r>
      <w:proofErr w:type="gramStart"/>
      <w:r>
        <w:t>2022;</w:t>
      </w:r>
      <w:proofErr w:type="gramEnd"/>
      <w:r>
        <w:t xml:space="preserve">23(5):2413. </w:t>
      </w:r>
      <w:proofErr w:type="gramStart"/>
      <w:r>
        <w:t>DOI:</w:t>
      </w:r>
      <w:proofErr w:type="gramEnd"/>
      <w:r>
        <w:t xml:space="preserve"> 10.3390/ijms23052413 (PMCID: PMC8875732).</w:t>
      </w:r>
    </w:p>
    <w:p w:rsidR="0000639E" w:rsidRDefault="005A15D8">
      <w:pPr>
        <w:pStyle w:val="NormalWeb"/>
      </w:pPr>
      <w:r>
        <w:t xml:space="preserve">7. </w:t>
      </w:r>
      <w:proofErr w:type="spellStart"/>
      <w:r>
        <w:t>Sukoco</w:t>
      </w:r>
      <w:proofErr w:type="spellEnd"/>
      <w:r>
        <w:t xml:space="preserve"> A, et al. </w:t>
      </w:r>
      <w:r>
        <w:rPr>
          <w:rStyle w:val="Policepardfaut"/>
          <w:lang w:val="en-US"/>
        </w:rPr>
        <w:t>HELLP syndrome as a major contributor to adverse maternal and</w:t>
      </w:r>
    </w:p>
    <w:p w:rsidR="0000639E" w:rsidRDefault="005A15D8">
      <w:pPr>
        <w:pStyle w:val="NormalWeb"/>
        <w:rPr>
          <w:lang w:val="en-US"/>
        </w:rPr>
      </w:pPr>
      <w:r>
        <w:rPr>
          <w:lang w:val="en-US"/>
        </w:rPr>
        <w:t>perinatal outcomes in preeclampsia: a multicenter study in Indonesia. BMC Pregnancy</w:t>
      </w:r>
    </w:p>
    <w:p w:rsidR="0000639E" w:rsidRDefault="005A15D8">
      <w:pPr>
        <w:pStyle w:val="NormalWeb"/>
        <w:rPr>
          <w:lang w:val="en-US"/>
        </w:rPr>
      </w:pPr>
      <w:r>
        <w:rPr>
          <w:lang w:val="en-US"/>
        </w:rPr>
        <w:t xml:space="preserve">Childbirth. </w:t>
      </w:r>
      <w:proofErr w:type="gramStart"/>
      <w:r>
        <w:rPr>
          <w:lang w:val="en-US"/>
        </w:rPr>
        <w:t>2025;25:892</w:t>
      </w:r>
      <w:proofErr w:type="gramEnd"/>
      <w:r>
        <w:rPr>
          <w:lang w:val="en-US"/>
        </w:rPr>
        <w:t>. DOI: 10.1186/s12884-025-07230-5 (PMCID:</w:t>
      </w:r>
    </w:p>
    <w:p w:rsidR="0000639E" w:rsidRDefault="005A15D8">
      <w:pPr>
        <w:pStyle w:val="NormalWeb"/>
        <w:rPr>
          <w:lang w:val="en-US"/>
        </w:rPr>
      </w:pPr>
      <w:r>
        <w:rPr>
          <w:lang w:val="en-US"/>
        </w:rPr>
        <w:t>PMC12750787).</w:t>
      </w:r>
    </w:p>
    <w:p w:rsidR="0000639E" w:rsidRDefault="005A15D8">
      <w:pPr>
        <w:pStyle w:val="NormalWeb"/>
        <w:rPr>
          <w:lang w:val="en-US"/>
        </w:rPr>
      </w:pPr>
      <w:r>
        <w:rPr>
          <w:lang w:val="en-US"/>
        </w:rPr>
        <w:t>8. American College of Obstetricians and Gynecologists (ACOG). Gestational</w:t>
      </w:r>
    </w:p>
    <w:p w:rsidR="0000639E" w:rsidRDefault="005A15D8">
      <w:pPr>
        <w:pStyle w:val="NormalWeb"/>
        <w:rPr>
          <w:lang w:val="en-US"/>
        </w:rPr>
      </w:pPr>
      <w:r>
        <w:rPr>
          <w:lang w:val="en-US"/>
        </w:rPr>
        <w:t xml:space="preserve">Hypertension and Preeclampsia: ACOG Practice Bulletin, Number 222. </w:t>
      </w:r>
      <w:proofErr w:type="spellStart"/>
      <w:r>
        <w:rPr>
          <w:lang w:val="en-US"/>
        </w:rPr>
        <w:t>Obstet</w:t>
      </w:r>
      <w:proofErr w:type="spellEnd"/>
    </w:p>
    <w:p w:rsidR="0000639E" w:rsidRDefault="005A15D8">
      <w:pPr>
        <w:pStyle w:val="NormalWeb"/>
        <w:rPr>
          <w:lang w:val="en-US"/>
        </w:rPr>
      </w:pPr>
      <w:r>
        <w:rPr>
          <w:lang w:val="en-US"/>
        </w:rPr>
        <w:t>Gynecol. 2020;135(6</w:t>
      </w:r>
      <w:proofErr w:type="gramStart"/>
      <w:r>
        <w:rPr>
          <w:lang w:val="en-US"/>
        </w:rPr>
        <w:t>):e</w:t>
      </w:r>
      <w:proofErr w:type="gramEnd"/>
      <w:r>
        <w:rPr>
          <w:lang w:val="en-US"/>
        </w:rPr>
        <w:t>237-e260.</w:t>
      </w:r>
    </w:p>
    <w:p w:rsidR="0000639E" w:rsidRDefault="005A15D8">
      <w:pPr>
        <w:pStyle w:val="NormalWeb"/>
        <w:rPr>
          <w:lang w:val="en-US"/>
        </w:rPr>
      </w:pPr>
      <w:r>
        <w:rPr>
          <w:lang w:val="en-US"/>
        </w:rPr>
        <w:t xml:space="preserve">9. Visser W, </w:t>
      </w:r>
      <w:proofErr w:type="spellStart"/>
      <w:r>
        <w:rPr>
          <w:lang w:val="en-US"/>
        </w:rPr>
        <w:t>Wallenburg</w:t>
      </w:r>
      <w:proofErr w:type="spellEnd"/>
      <w:r>
        <w:rPr>
          <w:lang w:val="en-US"/>
        </w:rPr>
        <w:t xml:space="preserve"> HC. Temporizing management of severe pre-eclampsia with and</w:t>
      </w:r>
    </w:p>
    <w:p w:rsidR="0000639E" w:rsidRDefault="005A15D8">
      <w:pPr>
        <w:pStyle w:val="NormalWeb"/>
        <w:rPr>
          <w:lang w:val="en-US"/>
        </w:rPr>
      </w:pPr>
      <w:r>
        <w:rPr>
          <w:lang w:val="en-US"/>
        </w:rPr>
        <w:t xml:space="preserve">without the HELLP syndrome. Br J </w:t>
      </w:r>
      <w:proofErr w:type="spellStart"/>
      <w:r>
        <w:rPr>
          <w:lang w:val="en-US"/>
        </w:rPr>
        <w:t>Obstet</w:t>
      </w:r>
      <w:proofErr w:type="spellEnd"/>
      <w:r>
        <w:rPr>
          <w:lang w:val="en-US"/>
        </w:rPr>
        <w:t xml:space="preserve"> </w:t>
      </w:r>
      <w:proofErr w:type="spellStart"/>
      <w:r>
        <w:rPr>
          <w:lang w:val="en-US"/>
        </w:rPr>
        <w:t>Gynaecol</w:t>
      </w:r>
      <w:proofErr w:type="spellEnd"/>
      <w:r>
        <w:rPr>
          <w:lang w:val="en-US"/>
        </w:rPr>
        <w:t>. 1995;102(2):111-7.</w:t>
      </w:r>
    </w:p>
    <w:p w:rsidR="0000639E" w:rsidRDefault="005A15D8">
      <w:pPr>
        <w:pStyle w:val="NormalWeb"/>
        <w:rPr>
          <w:lang w:val="en-US"/>
        </w:rPr>
      </w:pPr>
      <w:r>
        <w:rPr>
          <w:lang w:val="en-US"/>
        </w:rPr>
        <w:t>10. Martin JN Jr, Rose CH, Briery CM. Understanding and managing HELLP syndrome:</w:t>
      </w:r>
    </w:p>
    <w:p w:rsidR="0000639E" w:rsidRDefault="005A15D8">
      <w:pPr>
        <w:pStyle w:val="NormalWeb"/>
        <w:rPr>
          <w:lang w:val="en-US"/>
        </w:rPr>
      </w:pPr>
      <w:r>
        <w:rPr>
          <w:lang w:val="en-US"/>
        </w:rPr>
        <w:t xml:space="preserve">the integral role of aggressive glucocorticoids for mother and child. Am J </w:t>
      </w:r>
      <w:proofErr w:type="spellStart"/>
      <w:r>
        <w:rPr>
          <w:lang w:val="en-US"/>
        </w:rPr>
        <w:t>Obstet</w:t>
      </w:r>
      <w:proofErr w:type="spellEnd"/>
    </w:p>
    <w:p w:rsidR="0000639E" w:rsidRDefault="005A15D8">
      <w:pPr>
        <w:pStyle w:val="NormalWeb"/>
        <w:rPr>
          <w:lang w:val="en-US"/>
        </w:rPr>
      </w:pPr>
      <w:r>
        <w:rPr>
          <w:lang w:val="en-US"/>
        </w:rPr>
        <w:t>Gynecol. 2006;195(4):914-34.</w:t>
      </w:r>
    </w:p>
    <w:p w:rsidR="0000639E" w:rsidRDefault="005A15D8">
      <w:pPr>
        <w:pStyle w:val="NormalWeb"/>
        <w:rPr>
          <w:lang w:val="en-US"/>
        </w:rPr>
      </w:pPr>
      <w:r>
        <w:rPr>
          <w:lang w:val="en-US"/>
        </w:rPr>
        <w:t xml:space="preserve">11. Ben </w:t>
      </w:r>
      <w:proofErr w:type="spellStart"/>
      <w:r>
        <w:rPr>
          <w:lang w:val="en-US"/>
        </w:rPr>
        <w:t>Letaifa</w:t>
      </w:r>
      <w:proofErr w:type="spellEnd"/>
      <w:r>
        <w:rPr>
          <w:lang w:val="en-US"/>
        </w:rPr>
        <w:t xml:space="preserve"> D, Ben Hamada S, Salem N, et al. Maternal-fetal morbidity and mortality</w:t>
      </w:r>
    </w:p>
    <w:p w:rsidR="0000639E" w:rsidRDefault="005A15D8">
      <w:pPr>
        <w:pStyle w:val="NormalWeb"/>
        <w:rPr>
          <w:lang w:val="en-US"/>
        </w:rPr>
      </w:pPr>
      <w:r>
        <w:rPr>
          <w:lang w:val="en-US"/>
        </w:rPr>
        <w:t xml:space="preserve">associated with </w:t>
      </w:r>
      <w:proofErr w:type="spellStart"/>
      <w:r>
        <w:rPr>
          <w:lang w:val="en-US"/>
        </w:rPr>
        <w:t>Hellp</w:t>
      </w:r>
      <w:proofErr w:type="spellEnd"/>
      <w:r>
        <w:rPr>
          <w:lang w:val="en-US"/>
        </w:rPr>
        <w:t xml:space="preserve"> syndrome. Ann Fr </w:t>
      </w:r>
      <w:proofErr w:type="spellStart"/>
      <w:r>
        <w:rPr>
          <w:lang w:val="en-US"/>
        </w:rPr>
        <w:t>Anesth</w:t>
      </w:r>
      <w:proofErr w:type="spellEnd"/>
      <w:r>
        <w:rPr>
          <w:lang w:val="en-US"/>
        </w:rPr>
        <w:t xml:space="preserve"> </w:t>
      </w:r>
      <w:proofErr w:type="spellStart"/>
      <w:r>
        <w:rPr>
          <w:lang w:val="en-US"/>
        </w:rPr>
        <w:t>Reanim</w:t>
      </w:r>
      <w:proofErr w:type="spellEnd"/>
      <w:r>
        <w:rPr>
          <w:lang w:val="en-US"/>
        </w:rPr>
        <w:t>. 2000;19(10):712-8.</w:t>
      </w:r>
    </w:p>
    <w:p w:rsidR="0000639E" w:rsidRDefault="00A023BF">
      <w:hyperlink r:id="rId7" w:history="1">
        <w:r w:rsidR="005A15D8">
          <w:rPr>
            <w:rStyle w:val="Lienhypertexte"/>
            <w:rFonts w:ascii="Times New Roman" w:hAnsi="Times New Roman" w:cs="Times New Roman"/>
            <w:sz w:val="24"/>
            <w:szCs w:val="24"/>
          </w:rPr>
          <w:t>DOI: 10.26502/ogr046</w:t>
        </w:r>
      </w:hyperlink>
    </w:p>
    <w:p w:rsidR="0000639E" w:rsidRDefault="005A15D8">
      <w:pPr>
        <w:pStyle w:val="NormalWeb"/>
        <w:rPr>
          <w:lang w:val="en-US"/>
        </w:rPr>
      </w:pPr>
      <w:r>
        <w:rPr>
          <w:lang w:val="en-US"/>
        </w:rPr>
        <w:t xml:space="preserve">12. </w:t>
      </w:r>
      <w:proofErr w:type="spellStart"/>
      <w:r>
        <w:rPr>
          <w:lang w:val="en-US"/>
        </w:rPr>
        <w:t>Sibai</w:t>
      </w:r>
      <w:proofErr w:type="spellEnd"/>
      <w:r>
        <w:rPr>
          <w:lang w:val="en-US"/>
        </w:rPr>
        <w:t xml:space="preserve"> BM. The HELLP syndrome (hemolysis, elevated liver enzymes, and low</w:t>
      </w:r>
    </w:p>
    <w:p w:rsidR="0000639E" w:rsidRDefault="005A15D8">
      <w:pPr>
        <w:pStyle w:val="NormalWeb"/>
      </w:pPr>
      <w:r>
        <w:rPr>
          <w:rStyle w:val="Policepardfaut"/>
          <w:lang w:val="en-US"/>
        </w:rPr>
        <w:t xml:space="preserve">platelets): much ado about nothing? Am J </w:t>
      </w:r>
      <w:proofErr w:type="spellStart"/>
      <w:r>
        <w:rPr>
          <w:rStyle w:val="Policepardfaut"/>
          <w:lang w:val="en-US"/>
        </w:rPr>
        <w:t>Obstet</w:t>
      </w:r>
      <w:proofErr w:type="spellEnd"/>
      <w:r>
        <w:rPr>
          <w:rStyle w:val="Policepardfaut"/>
          <w:lang w:val="en-US"/>
        </w:rPr>
        <w:t xml:space="preserve"> Gynecol. 1990;162(2):311-6. </w:t>
      </w:r>
      <w:proofErr w:type="gramStart"/>
      <w:r>
        <w:t>PMID:</w:t>
      </w:r>
      <w:proofErr w:type="gramEnd"/>
    </w:p>
    <w:p w:rsidR="0000639E" w:rsidRDefault="005A15D8">
      <w:pPr>
        <w:pStyle w:val="NormalWeb"/>
      </w:pPr>
      <w:r>
        <w:t>2309811.</w:t>
      </w:r>
    </w:p>
    <w:p w:rsidR="0000639E" w:rsidRDefault="005A15D8">
      <w:pPr>
        <w:pStyle w:val="NormalWeb"/>
      </w:pPr>
      <w:r>
        <w:t>13. Cavaignac-Vitalis M, Vidal F, Simon-</w:t>
      </w:r>
      <w:proofErr w:type="spellStart"/>
      <w:r>
        <w:t>Toulza</w:t>
      </w:r>
      <w:proofErr w:type="spellEnd"/>
      <w:r>
        <w:t xml:space="preserve"> C, et al. </w:t>
      </w:r>
      <w:r>
        <w:rPr>
          <w:rStyle w:val="Policepardfaut"/>
          <w:lang w:val="en-US"/>
        </w:rPr>
        <w:t>Conservative versus active</w:t>
      </w:r>
    </w:p>
    <w:p w:rsidR="0000639E" w:rsidRDefault="005A15D8">
      <w:pPr>
        <w:pStyle w:val="NormalWeb"/>
        <w:rPr>
          <w:lang w:val="en-US"/>
        </w:rPr>
      </w:pPr>
      <w:r>
        <w:rPr>
          <w:lang w:val="en-US"/>
        </w:rPr>
        <w:t xml:space="preserve">management in HELLP syndrome: results from a cohort study. J </w:t>
      </w:r>
      <w:proofErr w:type="spellStart"/>
      <w:r>
        <w:rPr>
          <w:lang w:val="en-US"/>
        </w:rPr>
        <w:t>Matern</w:t>
      </w:r>
      <w:proofErr w:type="spellEnd"/>
      <w:r>
        <w:rPr>
          <w:lang w:val="en-US"/>
        </w:rPr>
        <w:t xml:space="preserve"> Fetal</w:t>
      </w:r>
    </w:p>
    <w:p w:rsidR="0000639E" w:rsidRDefault="005A15D8">
      <w:pPr>
        <w:pStyle w:val="NormalWeb"/>
        <w:rPr>
          <w:lang w:val="en-US"/>
        </w:rPr>
      </w:pPr>
      <w:r>
        <w:rPr>
          <w:lang w:val="en-US"/>
        </w:rPr>
        <w:t>Neonatal Med. 2019;32(11):1769-1775.</w:t>
      </w:r>
    </w:p>
    <w:p w:rsidR="0000639E" w:rsidRDefault="005A15D8">
      <w:pPr>
        <w:pStyle w:val="NormalWeb"/>
        <w:rPr>
          <w:lang w:val="en-US"/>
        </w:rPr>
      </w:pPr>
      <w:r>
        <w:rPr>
          <w:lang w:val="en-US"/>
        </w:rPr>
        <w:t xml:space="preserve">14. Haddad B, Barton JR, Livingston JC, Chahine R, </w:t>
      </w:r>
      <w:proofErr w:type="spellStart"/>
      <w:r>
        <w:rPr>
          <w:lang w:val="en-US"/>
        </w:rPr>
        <w:t>Sibai</w:t>
      </w:r>
      <w:proofErr w:type="spellEnd"/>
      <w:r>
        <w:rPr>
          <w:lang w:val="en-US"/>
        </w:rPr>
        <w:t xml:space="preserve"> BM. HELLP (hemolysis,</w:t>
      </w:r>
    </w:p>
    <w:p w:rsidR="0000639E" w:rsidRDefault="005A15D8">
      <w:pPr>
        <w:pStyle w:val="NormalWeb"/>
        <w:rPr>
          <w:lang w:val="en-US"/>
        </w:rPr>
      </w:pPr>
      <w:r>
        <w:rPr>
          <w:lang w:val="en-US"/>
        </w:rPr>
        <w:t>elevated liver enzymes, and low platelet count) syndrome versus severe preeclampsia:</w:t>
      </w:r>
    </w:p>
    <w:p w:rsidR="0000639E" w:rsidRDefault="005A15D8">
      <w:pPr>
        <w:pStyle w:val="NormalWeb"/>
        <w:rPr>
          <w:lang w:val="en-US"/>
        </w:rPr>
      </w:pPr>
      <w:r>
        <w:rPr>
          <w:lang w:val="en-US"/>
        </w:rPr>
        <w:t>Onset at &amp;</w:t>
      </w:r>
      <w:proofErr w:type="spellStart"/>
      <w:r>
        <w:rPr>
          <w:lang w:val="en-US"/>
        </w:rPr>
        <w:t>lt</w:t>
      </w:r>
      <w:proofErr w:type="spellEnd"/>
      <w:r>
        <w:rPr>
          <w:lang w:val="en-US"/>
        </w:rPr>
        <w:t xml:space="preserve">; or = 28.0 weeks' gestation Am J </w:t>
      </w:r>
      <w:proofErr w:type="spellStart"/>
      <w:r>
        <w:rPr>
          <w:lang w:val="en-US"/>
        </w:rPr>
        <w:t>Obstet</w:t>
      </w:r>
      <w:proofErr w:type="spellEnd"/>
      <w:r>
        <w:rPr>
          <w:lang w:val="en-US"/>
        </w:rPr>
        <w:t xml:space="preserve"> Gynecol. 2000;183(6):1475</w:t>
      </w:r>
    </w:p>
    <w:p w:rsidR="0000639E" w:rsidRDefault="005A15D8">
      <w:pPr>
        <w:pStyle w:val="NormalWeb"/>
        <w:rPr>
          <w:lang w:val="en-US"/>
        </w:rPr>
      </w:pPr>
      <w:r>
        <w:rPr>
          <w:lang w:val="en-US"/>
        </w:rPr>
        <w:t xml:space="preserve">15. Woudstra DM, Chandra S, </w:t>
      </w:r>
      <w:proofErr w:type="spellStart"/>
      <w:r>
        <w:rPr>
          <w:lang w:val="en-US"/>
        </w:rPr>
        <w:t>Hofmeyr</w:t>
      </w:r>
      <w:proofErr w:type="spellEnd"/>
      <w:r>
        <w:rPr>
          <w:lang w:val="en-US"/>
        </w:rPr>
        <w:t xml:space="preserve"> GJ, </w:t>
      </w:r>
      <w:proofErr w:type="spellStart"/>
      <w:r>
        <w:rPr>
          <w:lang w:val="en-US"/>
        </w:rPr>
        <w:t>Dowswell</w:t>
      </w:r>
      <w:proofErr w:type="spellEnd"/>
      <w:r>
        <w:rPr>
          <w:lang w:val="en-US"/>
        </w:rPr>
        <w:t xml:space="preserve"> T. Corticosteroids for HELLP</w:t>
      </w:r>
    </w:p>
    <w:p w:rsidR="0000639E" w:rsidRDefault="005A15D8">
      <w:pPr>
        <w:pStyle w:val="NormalWeb"/>
      </w:pPr>
      <w:proofErr w:type="gramStart"/>
      <w:r>
        <w:t>syndrome</w:t>
      </w:r>
      <w:proofErr w:type="gramEnd"/>
      <w:r>
        <w:t xml:space="preserve"> in </w:t>
      </w:r>
      <w:proofErr w:type="spellStart"/>
      <w:r>
        <w:t>pregnancy</w:t>
      </w:r>
      <w:proofErr w:type="spellEnd"/>
      <w:r>
        <w:t xml:space="preserve">. Cochrane </w:t>
      </w:r>
      <w:proofErr w:type="spellStart"/>
      <w:r>
        <w:t>Database</w:t>
      </w:r>
      <w:proofErr w:type="spellEnd"/>
      <w:r>
        <w:t xml:space="preserve"> </w:t>
      </w:r>
      <w:proofErr w:type="spellStart"/>
      <w:r>
        <w:t>Syst</w:t>
      </w:r>
      <w:proofErr w:type="spellEnd"/>
      <w:r>
        <w:t xml:space="preserve"> </w:t>
      </w:r>
      <w:proofErr w:type="spellStart"/>
      <w:r>
        <w:t>Rev</w:t>
      </w:r>
      <w:proofErr w:type="spellEnd"/>
      <w:r>
        <w:t>. 2025;(4</w:t>
      </w:r>
      <w:proofErr w:type="gramStart"/>
      <w:r>
        <w:t>):</w:t>
      </w:r>
      <w:proofErr w:type="gramEnd"/>
      <w:r>
        <w:t xml:space="preserve">CD008148. </w:t>
      </w:r>
      <w:proofErr w:type="spellStart"/>
      <w:proofErr w:type="gramStart"/>
      <w:r>
        <w:t>doi</w:t>
      </w:r>
      <w:proofErr w:type="spellEnd"/>
      <w:r>
        <w:t>:</w:t>
      </w:r>
      <w:proofErr w:type="gramEnd"/>
    </w:p>
    <w:p w:rsidR="0000639E" w:rsidRDefault="005A15D8">
      <w:pPr>
        <w:pStyle w:val="NormalWeb"/>
      </w:pPr>
      <w:r>
        <w:t>10.1002/14651858.CD008148.pub3.</w:t>
      </w:r>
    </w:p>
    <w:p w:rsidR="0000639E" w:rsidRDefault="005A15D8">
      <w:pPr>
        <w:pStyle w:val="NormalWeb"/>
      </w:pPr>
      <w:r>
        <w:t xml:space="preserve">16. Fonseca JE, et al. </w:t>
      </w:r>
      <w:r>
        <w:rPr>
          <w:rStyle w:val="Policepardfaut"/>
          <w:lang w:val="en-US"/>
        </w:rPr>
        <w:t>Dexamethasone for the treatment of class I HELLP</w:t>
      </w:r>
    </w:p>
    <w:p w:rsidR="0000639E" w:rsidRDefault="005A15D8">
      <w:pPr>
        <w:pStyle w:val="NormalWeb"/>
      </w:pPr>
      <w:proofErr w:type="gramStart"/>
      <w:r>
        <w:lastRenderedPageBreak/>
        <w:t>syndrome</w:t>
      </w:r>
      <w:proofErr w:type="gramEnd"/>
      <w:r>
        <w:t xml:space="preserve">. </w:t>
      </w:r>
      <w:proofErr w:type="spellStart"/>
      <w:r>
        <w:t>Pregnancy</w:t>
      </w:r>
      <w:proofErr w:type="spellEnd"/>
      <w:r>
        <w:t xml:space="preserve"> Hypertension. </w:t>
      </w:r>
      <w:proofErr w:type="gramStart"/>
      <w:r>
        <w:t>2019;</w:t>
      </w:r>
      <w:proofErr w:type="gramEnd"/>
      <w:r>
        <w:t xml:space="preserve">18:197-200. </w:t>
      </w:r>
      <w:proofErr w:type="spellStart"/>
      <w:proofErr w:type="gramStart"/>
      <w:r>
        <w:t>doi</w:t>
      </w:r>
      <w:proofErr w:type="spellEnd"/>
      <w:r>
        <w:t>:</w:t>
      </w:r>
      <w:proofErr w:type="gramEnd"/>
    </w:p>
    <w:p w:rsidR="0000639E" w:rsidRDefault="005A15D8">
      <w:pPr>
        <w:pStyle w:val="NormalWeb"/>
      </w:pPr>
      <w:r>
        <w:t>10.1016/j.preghy.2019.09.007.</w:t>
      </w:r>
    </w:p>
    <w:p w:rsidR="0000639E" w:rsidRDefault="005A15D8">
      <w:pPr>
        <w:pStyle w:val="NormalWeb"/>
        <w:rPr>
          <w:lang w:val="en-US"/>
        </w:rPr>
      </w:pPr>
      <w:r>
        <w:rPr>
          <w:lang w:val="en-US"/>
        </w:rPr>
        <w:t xml:space="preserve">17. </w:t>
      </w:r>
      <w:proofErr w:type="spellStart"/>
      <w:r>
        <w:rPr>
          <w:lang w:val="en-US"/>
        </w:rPr>
        <w:t>Yulistiani</w:t>
      </w:r>
      <w:proofErr w:type="spellEnd"/>
      <w:r>
        <w:rPr>
          <w:lang w:val="en-US"/>
        </w:rPr>
        <w:t xml:space="preserve"> Y, et al. The effect of corticosteroid administration on maternal outcomes in</w:t>
      </w:r>
    </w:p>
    <w:p w:rsidR="0000639E" w:rsidRDefault="005A15D8">
      <w:pPr>
        <w:pStyle w:val="NormalWeb"/>
      </w:pPr>
      <w:r>
        <w:rPr>
          <w:rStyle w:val="Policepardfaut"/>
          <w:lang w:val="en-US"/>
        </w:rPr>
        <w:t xml:space="preserve">HELLP syndrome. J Educ Health </w:t>
      </w:r>
      <w:proofErr w:type="spellStart"/>
      <w:r>
        <w:rPr>
          <w:rStyle w:val="Policepardfaut"/>
          <w:lang w:val="en-US"/>
        </w:rPr>
        <w:t>Promot</w:t>
      </w:r>
      <w:proofErr w:type="spellEnd"/>
      <w:r>
        <w:rPr>
          <w:rStyle w:val="Policepardfaut"/>
          <w:lang w:val="en-US"/>
        </w:rPr>
        <w:t xml:space="preserve">. </w:t>
      </w:r>
      <w:proofErr w:type="gramStart"/>
      <w:r>
        <w:t>2024;</w:t>
      </w:r>
      <w:proofErr w:type="gramEnd"/>
      <w:r>
        <w:t>13:1480.</w:t>
      </w:r>
    </w:p>
    <w:p w:rsidR="0000639E" w:rsidRDefault="005A15D8">
      <w:pPr>
        <w:pStyle w:val="NormalWeb"/>
      </w:pPr>
      <w:proofErr w:type="gramStart"/>
      <w:r>
        <w:t>doi:10.4103/jehp.jehp</w:t>
      </w:r>
      <w:proofErr w:type="gramEnd"/>
      <w:r>
        <w:t>_1480_24.</w:t>
      </w:r>
    </w:p>
    <w:p w:rsidR="0000639E" w:rsidRDefault="005A15D8">
      <w:pPr>
        <w:pStyle w:val="NormalWeb"/>
      </w:pPr>
      <w:r>
        <w:t xml:space="preserve">18. Bauer ME, Arendt K, </w:t>
      </w:r>
      <w:proofErr w:type="spellStart"/>
      <w:r>
        <w:t>Beilin</w:t>
      </w:r>
      <w:proofErr w:type="spellEnd"/>
      <w:r>
        <w:t xml:space="preserve"> Y, et al. </w:t>
      </w:r>
      <w:r>
        <w:rPr>
          <w:rStyle w:val="Policepardfaut"/>
          <w:lang w:val="en-US"/>
        </w:rPr>
        <w:t>The Society for Obstetric Anesthesia and</w:t>
      </w:r>
    </w:p>
    <w:p w:rsidR="0000639E" w:rsidRDefault="005A15D8">
      <w:pPr>
        <w:pStyle w:val="NormalWeb"/>
        <w:rPr>
          <w:lang w:val="en-US"/>
        </w:rPr>
      </w:pPr>
      <w:r>
        <w:rPr>
          <w:lang w:val="en-US"/>
        </w:rPr>
        <w:t>Perinatology Interdisciplinary Consensus Statement on Neuraxial Procedures in</w:t>
      </w:r>
    </w:p>
    <w:p w:rsidR="0000639E" w:rsidRDefault="005A15D8">
      <w:pPr>
        <w:pStyle w:val="NormalWeb"/>
      </w:pPr>
      <w:r>
        <w:rPr>
          <w:rStyle w:val="Policepardfaut"/>
          <w:lang w:val="en-US"/>
        </w:rPr>
        <w:t xml:space="preserve">Obstetric Patients </w:t>
      </w:r>
      <w:proofErr w:type="gramStart"/>
      <w:r>
        <w:rPr>
          <w:rStyle w:val="Policepardfaut"/>
          <w:lang w:val="en-US"/>
        </w:rPr>
        <w:t>With</w:t>
      </w:r>
      <w:proofErr w:type="gramEnd"/>
      <w:r>
        <w:rPr>
          <w:rStyle w:val="Policepardfaut"/>
          <w:lang w:val="en-US"/>
        </w:rPr>
        <w:t xml:space="preserve"> Thrombocytopenia. </w:t>
      </w:r>
      <w:proofErr w:type="spellStart"/>
      <w:r>
        <w:t>Anesth</w:t>
      </w:r>
      <w:proofErr w:type="spellEnd"/>
      <w:r>
        <w:t xml:space="preserve"> </w:t>
      </w:r>
      <w:proofErr w:type="spellStart"/>
      <w:r>
        <w:t>Analg</w:t>
      </w:r>
      <w:proofErr w:type="spellEnd"/>
      <w:r>
        <w:t xml:space="preserve">. </w:t>
      </w:r>
      <w:proofErr w:type="gramStart"/>
      <w:r>
        <w:t>2021;</w:t>
      </w:r>
      <w:proofErr w:type="gramEnd"/>
      <w:r>
        <w:t>132(6):1531-1544.</w:t>
      </w:r>
    </w:p>
    <w:p w:rsidR="0000639E" w:rsidRDefault="005A15D8">
      <w:pPr>
        <w:pStyle w:val="NormalWeb"/>
      </w:pPr>
      <w:r>
        <w:t xml:space="preserve">19. </w:t>
      </w:r>
      <w:proofErr w:type="spellStart"/>
      <w:r>
        <w:t>Sukoco</w:t>
      </w:r>
      <w:proofErr w:type="spellEnd"/>
      <w:r>
        <w:t xml:space="preserve"> A, et al. </w:t>
      </w:r>
      <w:r>
        <w:rPr>
          <w:rStyle w:val="Policepardfaut"/>
          <w:lang w:val="en-US"/>
        </w:rPr>
        <w:t>HELLP syndrome as a major contributor to adverse maternal and</w:t>
      </w:r>
    </w:p>
    <w:p w:rsidR="0000639E" w:rsidRDefault="005A15D8">
      <w:pPr>
        <w:pStyle w:val="NormalWeb"/>
        <w:rPr>
          <w:lang w:val="en-US"/>
        </w:rPr>
      </w:pPr>
      <w:r>
        <w:rPr>
          <w:lang w:val="en-US"/>
        </w:rPr>
        <w:t>perinatal outcomes in preeclampsia: a multicenter study in Indonesia. BMC Pregnancy</w:t>
      </w:r>
    </w:p>
    <w:p w:rsidR="0000639E" w:rsidRDefault="005A15D8">
      <w:pPr>
        <w:pStyle w:val="NormalWeb"/>
        <w:rPr>
          <w:lang w:val="en-US"/>
        </w:rPr>
      </w:pPr>
      <w:r>
        <w:rPr>
          <w:lang w:val="en-US"/>
        </w:rPr>
        <w:t xml:space="preserve">Childbirth. </w:t>
      </w:r>
      <w:proofErr w:type="gramStart"/>
      <w:r>
        <w:rPr>
          <w:lang w:val="en-US"/>
        </w:rPr>
        <w:t>2025;25:892</w:t>
      </w:r>
      <w:proofErr w:type="gramEnd"/>
      <w:r>
        <w:rPr>
          <w:lang w:val="en-US"/>
        </w:rPr>
        <w:t>. DOI: 10.1186/s12884-025-07230-5 (PMCID:</w:t>
      </w:r>
    </w:p>
    <w:p w:rsidR="0000639E" w:rsidRDefault="005A15D8">
      <w:pPr>
        <w:pStyle w:val="NormalWeb"/>
        <w:rPr>
          <w:lang w:val="en-US"/>
        </w:rPr>
      </w:pPr>
      <w:r>
        <w:rPr>
          <w:lang w:val="en-US"/>
        </w:rPr>
        <w:t>PMC12750787).</w:t>
      </w:r>
    </w:p>
    <w:p w:rsidR="0000639E" w:rsidRDefault="005A15D8">
      <w:pPr>
        <w:pStyle w:val="NormalWeb"/>
      </w:pPr>
      <w:r>
        <w:rPr>
          <w:rStyle w:val="Policepardfaut"/>
          <w:lang w:val="en-US"/>
        </w:rPr>
        <w:t xml:space="preserve">20. MOBIO NKMP, et al. </w:t>
      </w:r>
      <w:r>
        <w:t>Facteurs pronostiques du HELLP syndrome en réanimation au</w:t>
      </w:r>
    </w:p>
    <w:p w:rsidR="0000639E" w:rsidRDefault="005A15D8">
      <w:pPr>
        <w:pStyle w:val="NormalWeb"/>
        <w:rPr>
          <w:lang w:val="en-US"/>
        </w:rPr>
      </w:pPr>
      <w:r>
        <w:rPr>
          <w:lang w:val="en-US"/>
        </w:rPr>
        <w:t xml:space="preserve">CHU of Treichville (Abidjan). J </w:t>
      </w:r>
      <w:proofErr w:type="spellStart"/>
      <w:r>
        <w:rPr>
          <w:lang w:val="en-US"/>
        </w:rPr>
        <w:t>Afr</w:t>
      </w:r>
      <w:proofErr w:type="spellEnd"/>
      <w:r>
        <w:rPr>
          <w:lang w:val="en-US"/>
        </w:rPr>
        <w:t xml:space="preserve"> </w:t>
      </w:r>
      <w:proofErr w:type="spellStart"/>
      <w:r>
        <w:rPr>
          <w:lang w:val="en-US"/>
        </w:rPr>
        <w:t>Reanim</w:t>
      </w:r>
      <w:proofErr w:type="spellEnd"/>
      <w:r>
        <w:rPr>
          <w:lang w:val="en-US"/>
        </w:rPr>
        <w:t xml:space="preserve"> Med </w:t>
      </w:r>
      <w:proofErr w:type="spellStart"/>
      <w:r>
        <w:rPr>
          <w:lang w:val="en-US"/>
        </w:rPr>
        <w:t>Urg</w:t>
      </w:r>
      <w:proofErr w:type="spellEnd"/>
      <w:r>
        <w:rPr>
          <w:lang w:val="en-US"/>
        </w:rPr>
        <w:t>. 2025;1(1):40-6.</w:t>
      </w:r>
    </w:p>
    <w:p w:rsidR="0000639E" w:rsidRDefault="005A15D8">
      <w:pPr>
        <w:pStyle w:val="NormalWeb"/>
      </w:pPr>
      <w:r>
        <w:t>21. Kouamé I, et al. Facteurs prédictifs du décès maternel au cours du HELLP syndrome</w:t>
      </w:r>
    </w:p>
    <w:p w:rsidR="0000639E" w:rsidRDefault="005A15D8">
      <w:pPr>
        <w:pStyle w:val="NormalWeb"/>
        <w:rPr>
          <w:lang w:val="en-US"/>
        </w:rPr>
      </w:pPr>
      <w:r>
        <w:rPr>
          <w:lang w:val="en-US"/>
        </w:rPr>
        <w:t>in reanimation. Reanimation. 2015;25(1):40-6.</w:t>
      </w:r>
    </w:p>
    <w:p w:rsidR="0000639E" w:rsidRDefault="005A15D8">
      <w:pPr>
        <w:pStyle w:val="NormalWeb"/>
        <w:rPr>
          <w:lang w:val="en-US"/>
        </w:rPr>
      </w:pPr>
      <w:r>
        <w:rPr>
          <w:lang w:val="en-US"/>
        </w:rPr>
        <w:t>22. SFAR/CNGOF. Prize in charge of the patient with a severe pre-eclampsia.</w:t>
      </w:r>
    </w:p>
    <w:p w:rsidR="0000639E" w:rsidRDefault="005A15D8">
      <w:pPr>
        <w:pStyle w:val="NormalWeb"/>
        <w:rPr>
          <w:lang w:val="en-US"/>
        </w:rPr>
      </w:pPr>
      <w:proofErr w:type="spellStart"/>
      <w:r>
        <w:rPr>
          <w:lang w:val="en-US"/>
        </w:rPr>
        <w:t>Recommandations</w:t>
      </w:r>
      <w:proofErr w:type="spellEnd"/>
      <w:r>
        <w:rPr>
          <w:lang w:val="en-US"/>
        </w:rPr>
        <w:t xml:space="preserve"> formalized by experts. 2020</w:t>
      </w:r>
    </w:p>
    <w:p w:rsidR="0000639E" w:rsidRDefault="005A15D8">
      <w:pPr>
        <w:rPr>
          <w:rFonts w:ascii="Times New Roman" w:hAnsi="Times New Roman" w:cs="Times New Roman"/>
          <w:sz w:val="24"/>
          <w:szCs w:val="24"/>
        </w:rPr>
      </w:pPr>
      <w:r>
        <w:rPr>
          <w:rFonts w:ascii="Times New Roman" w:hAnsi="Times New Roman" w:cs="Times New Roman"/>
          <w:sz w:val="24"/>
          <w:szCs w:val="24"/>
        </w:rPr>
        <w:t>23.Abdulahi FM, et al. HELLP syndrome and associated factors among pregnant women with preeclampsia/ eclampsia at a referral hospital in southwestern Uganda: a cross-sectional study BMC Pregnancy Childbirth 2024 ;24:626</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24.Yimlefack NC, et al. Clinical Presentation, Management and </w:t>
      </w:r>
      <w:proofErr w:type="spellStart"/>
      <w:r>
        <w:rPr>
          <w:rFonts w:ascii="Times New Roman" w:hAnsi="Times New Roman" w:cs="Times New Roman"/>
          <w:sz w:val="24"/>
          <w:szCs w:val="24"/>
        </w:rPr>
        <w:t>Materno</w:t>
      </w:r>
      <w:proofErr w:type="spellEnd"/>
      <w:r>
        <w:rPr>
          <w:rFonts w:ascii="Times New Roman" w:hAnsi="Times New Roman" w:cs="Times New Roman"/>
          <w:sz w:val="24"/>
          <w:szCs w:val="24"/>
        </w:rPr>
        <w:t xml:space="preserve">-Fetal Outcome of Patients with HELLP Syndrome at the Yaoundé </w:t>
      </w:r>
      <w:proofErr w:type="spellStart"/>
      <w:r>
        <w:rPr>
          <w:rFonts w:ascii="Times New Roman" w:hAnsi="Times New Roman" w:cs="Times New Roman"/>
          <w:sz w:val="24"/>
          <w:szCs w:val="24"/>
        </w:rPr>
        <w:t>Gyneco</w:t>
      </w:r>
      <w:proofErr w:type="spellEnd"/>
      <w:r>
        <w:rPr>
          <w:rFonts w:ascii="Times New Roman" w:hAnsi="Times New Roman" w:cs="Times New Roman"/>
          <w:sz w:val="24"/>
          <w:szCs w:val="24"/>
        </w:rPr>
        <w:t>-Obstetrics and Pediatric Hospital Open Journal of Obstetrics and Gynecology 2023;13:1432-51</w:t>
      </w:r>
    </w:p>
    <w:p w:rsidR="0000639E" w:rsidRDefault="005A15D8">
      <w:r>
        <w:rPr>
          <w:rStyle w:val="Policepardfaut"/>
          <w:rFonts w:ascii="Times New Roman" w:hAnsi="Times New Roman" w:cs="Times New Roman"/>
          <w:sz w:val="24"/>
          <w:szCs w:val="24"/>
          <w:lang w:val="fr-FR"/>
        </w:rPr>
        <w:t xml:space="preserve">25.Vera Ponce VJ, et al. </w:t>
      </w:r>
      <w:r>
        <w:rPr>
          <w:rStyle w:val="Policepardfaut"/>
          <w:rFonts w:ascii="Times New Roman" w:hAnsi="Times New Roman" w:cs="Times New Roman"/>
          <w:sz w:val="24"/>
          <w:szCs w:val="24"/>
        </w:rPr>
        <w:t xml:space="preserve">Global prevalence of preeclampsia, eclampsia, and HELLP syndrome: a systematic review and meta-analysis Front. </w:t>
      </w:r>
      <w:proofErr w:type="spellStart"/>
      <w:r>
        <w:rPr>
          <w:rStyle w:val="Policepardfaut"/>
          <w:rFonts w:ascii="Times New Roman" w:hAnsi="Times New Roman" w:cs="Times New Roman"/>
          <w:sz w:val="24"/>
          <w:szCs w:val="24"/>
        </w:rPr>
        <w:t>Reprod</w:t>
      </w:r>
      <w:proofErr w:type="spellEnd"/>
      <w:r>
        <w:rPr>
          <w:rStyle w:val="Policepardfaut"/>
          <w:rFonts w:ascii="Times New Roman" w:hAnsi="Times New Roman" w:cs="Times New Roman"/>
          <w:sz w:val="24"/>
          <w:szCs w:val="24"/>
        </w:rPr>
        <w:t xml:space="preserve">. Health 2025;7: </w:t>
      </w:r>
      <w:hyperlink r:id="rId8" w:history="1">
        <w:r>
          <w:rPr>
            <w:rStyle w:val="Lienhypertexte"/>
            <w:rFonts w:ascii="Times New Roman" w:hAnsi="Times New Roman" w:cs="Times New Roman"/>
            <w:sz w:val="24"/>
            <w:szCs w:val="24"/>
          </w:rPr>
          <w:t>https://doi.org/10.3389/frph.2025.1706009</w:t>
        </w:r>
      </w:hyperlink>
      <w:r>
        <w:rPr>
          <w:rStyle w:val="Lienhypertexte"/>
          <w:rFonts w:ascii="Times New Roman" w:hAnsi="Times New Roman" w:cs="Times New Roman"/>
          <w:sz w:val="24"/>
          <w:szCs w:val="24"/>
        </w:rPr>
        <w:t xml:space="preserve">    </w:t>
      </w:r>
    </w:p>
    <w:p w:rsidR="0000639E" w:rsidRDefault="005A15D8">
      <w:r>
        <w:rPr>
          <w:rStyle w:val="ng-star-inserted"/>
          <w:rFonts w:ascii="Segoe UI" w:hAnsi="Segoe UI" w:cs="Segoe UI"/>
          <w:color w:val="000000"/>
          <w:sz w:val="24"/>
          <w:szCs w:val="24"/>
          <w:shd w:val="clear" w:color="auto" w:fill="FFFFFF"/>
        </w:rPr>
        <w:t>26.</w:t>
      </w:r>
      <w:r>
        <w:rPr>
          <w:sz w:val="24"/>
          <w:szCs w:val="24"/>
        </w:rPr>
        <w:t xml:space="preserve"> </w:t>
      </w:r>
      <w:r>
        <w:rPr>
          <w:rStyle w:val="Policepardfaut"/>
          <w:rFonts w:ascii="Times New Roman" w:hAnsi="Times New Roman" w:cs="Times New Roman"/>
          <w:sz w:val="24"/>
          <w:szCs w:val="24"/>
        </w:rPr>
        <w:t>Martin JN Jr, Perry KG Jr, Roberts WE, et al. The use of high-dose corticosteroids for the treatment of HELLP syndrome. American Journal of Obstetrics and Gynecology. 1993;169(5):1254–1260.</w:t>
      </w:r>
    </w:p>
    <w:p w:rsidR="0000639E" w:rsidRDefault="005A15D8">
      <w:r>
        <w:rPr>
          <w:rStyle w:val="Policepardfaut"/>
          <w:rFonts w:ascii="Times New Roman" w:hAnsi="Times New Roman" w:cs="Times New Roman"/>
          <w:sz w:val="24"/>
          <w:szCs w:val="24"/>
          <w:lang w:val="fr-FR"/>
        </w:rPr>
        <w:t xml:space="preserve">27.Bauer ME, Arendt KW, </w:t>
      </w:r>
      <w:proofErr w:type="spellStart"/>
      <w:r>
        <w:rPr>
          <w:rStyle w:val="Policepardfaut"/>
          <w:rFonts w:ascii="Times New Roman" w:hAnsi="Times New Roman" w:cs="Times New Roman"/>
          <w:sz w:val="24"/>
          <w:szCs w:val="24"/>
          <w:lang w:val="fr-FR"/>
        </w:rPr>
        <w:t>Beilin</w:t>
      </w:r>
      <w:proofErr w:type="spellEnd"/>
      <w:r>
        <w:rPr>
          <w:rStyle w:val="Policepardfaut"/>
          <w:rFonts w:ascii="Times New Roman" w:hAnsi="Times New Roman" w:cs="Times New Roman"/>
          <w:sz w:val="24"/>
          <w:szCs w:val="24"/>
          <w:lang w:val="fr-FR"/>
        </w:rPr>
        <w:t xml:space="preserve"> Y, et al. </w:t>
      </w:r>
      <w:r>
        <w:rPr>
          <w:rStyle w:val="Policepardfaut"/>
          <w:rFonts w:ascii="Times New Roman" w:hAnsi="Times New Roman" w:cs="Times New Roman"/>
          <w:sz w:val="24"/>
          <w:szCs w:val="24"/>
        </w:rPr>
        <w:t xml:space="preserve">Neuraxial procedures in obstetric patients with thrombocytopenia: a </w:t>
      </w:r>
      <w:proofErr w:type="spellStart"/>
      <w:r>
        <w:rPr>
          <w:rStyle w:val="Policepardfaut"/>
          <w:rFonts w:ascii="Times New Roman" w:hAnsi="Times New Roman" w:cs="Times New Roman"/>
          <w:sz w:val="24"/>
          <w:szCs w:val="24"/>
        </w:rPr>
        <w:t>multisociety</w:t>
      </w:r>
      <w:proofErr w:type="spellEnd"/>
      <w:r>
        <w:rPr>
          <w:rStyle w:val="Policepardfaut"/>
          <w:rFonts w:ascii="Times New Roman" w:hAnsi="Times New Roman" w:cs="Times New Roman"/>
          <w:sz w:val="24"/>
          <w:szCs w:val="24"/>
        </w:rPr>
        <w:t xml:space="preserve"> consensus statement. Anesthesia &amp; Analgesia. 2021;132(6):1531–1544.</w:t>
      </w: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1: Socio-demographic Predictive Factors</w:t>
      </w:r>
    </w:p>
    <w:tbl>
      <w:tblPr>
        <w:tblW w:w="8763" w:type="dxa"/>
        <w:tblLayout w:type="fixed"/>
        <w:tblCellMar>
          <w:left w:w="10" w:type="dxa"/>
          <w:right w:w="10" w:type="dxa"/>
        </w:tblCellMar>
        <w:tblLook w:val="0000" w:firstRow="0" w:lastRow="0" w:firstColumn="0" w:lastColumn="0" w:noHBand="0" w:noVBand="0"/>
      </w:tblPr>
      <w:tblGrid>
        <w:gridCol w:w="2235"/>
        <w:gridCol w:w="1134"/>
        <w:gridCol w:w="708"/>
        <w:gridCol w:w="709"/>
        <w:gridCol w:w="851"/>
        <w:gridCol w:w="1357"/>
        <w:gridCol w:w="756"/>
        <w:gridCol w:w="1013"/>
      </w:tblGrid>
      <w:tr w:rsidR="0000639E">
        <w:trPr>
          <w:trHeight w:val="315"/>
        </w:trPr>
        <w:tc>
          <w:tcPr>
            <w:tcW w:w="2235"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Variables</w:t>
            </w:r>
          </w:p>
        </w:tc>
        <w:tc>
          <w:tcPr>
            <w:tcW w:w="1842" w:type="dxa"/>
            <w:gridSpan w:val="2"/>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proofErr w:type="spellStart"/>
            <w:r>
              <w:rPr>
                <w:lang w:eastAsia="fr-FR"/>
              </w:rPr>
              <w:t>Hellp</w:t>
            </w:r>
            <w:proofErr w:type="spellEnd"/>
          </w:p>
          <w:p w:rsidR="0000639E" w:rsidRDefault="005A15D8">
            <w:pPr>
              <w:pStyle w:val="Sansinterligne"/>
              <w:jc w:val="both"/>
              <w:rPr>
                <w:lang w:eastAsia="fr-FR"/>
              </w:rPr>
            </w:pPr>
            <w:r>
              <w:rPr>
                <w:lang w:eastAsia="fr-FR"/>
              </w:rPr>
              <w:t>N=223</w:t>
            </w:r>
          </w:p>
          <w:p w:rsidR="0000639E" w:rsidRDefault="0000639E">
            <w:pPr>
              <w:pStyle w:val="Sansinterligne"/>
              <w:jc w:val="both"/>
              <w:rPr>
                <w:lang w:eastAsia="fr-FR"/>
              </w:rPr>
            </w:pPr>
          </w:p>
        </w:tc>
        <w:tc>
          <w:tcPr>
            <w:tcW w:w="1560" w:type="dxa"/>
            <w:gridSpan w:val="2"/>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 xml:space="preserve">Pas </w:t>
            </w:r>
            <w:proofErr w:type="spellStart"/>
            <w:r>
              <w:rPr>
                <w:lang w:eastAsia="fr-FR"/>
              </w:rPr>
              <w:t>Hellp</w:t>
            </w:r>
            <w:proofErr w:type="spellEnd"/>
            <w:r>
              <w:rPr>
                <w:lang w:eastAsia="fr-FR"/>
              </w:rPr>
              <w:t xml:space="preserve">       N=1031</w:t>
            </w:r>
          </w:p>
        </w:tc>
        <w:tc>
          <w:tcPr>
            <w:tcW w:w="1357"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RR</w:t>
            </w:r>
          </w:p>
          <w:p w:rsidR="0000639E" w:rsidRDefault="005A15D8">
            <w:pPr>
              <w:pStyle w:val="Sansinterligne"/>
              <w:jc w:val="both"/>
            </w:pPr>
            <w:r>
              <w:rPr>
                <w:rStyle w:val="Policepardfaut"/>
                <w:b/>
                <w:lang w:eastAsia="fr-FR"/>
              </w:rPr>
              <w:t>ICà95%</w:t>
            </w:r>
          </w:p>
        </w:tc>
        <w:tc>
          <w:tcPr>
            <w:tcW w:w="75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Khi2</w:t>
            </w:r>
          </w:p>
        </w:tc>
        <w:tc>
          <w:tcPr>
            <w:tcW w:w="101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p</w:t>
            </w:r>
          </w:p>
        </w:tc>
      </w:tr>
      <w:tr w:rsidR="0000639E">
        <w:trPr>
          <w:trHeight w:val="315"/>
        </w:trPr>
        <w:tc>
          <w:tcPr>
            <w:tcW w:w="2235"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n</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n</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w:t>
            </w:r>
          </w:p>
        </w:tc>
        <w:tc>
          <w:tcPr>
            <w:tcW w:w="1357" w:type="dxa"/>
            <w:shd w:val="clear" w:color="auto" w:fill="auto"/>
            <w:noWrap/>
            <w:tcMar>
              <w:top w:w="0" w:type="dxa"/>
              <w:left w:w="108" w:type="dxa"/>
              <w:bottom w:w="0" w:type="dxa"/>
              <w:right w:w="108" w:type="dxa"/>
            </w:tcMar>
          </w:tcPr>
          <w:p w:rsidR="0000639E" w:rsidRDefault="0000639E">
            <w:pPr>
              <w:pStyle w:val="Sansinterligne"/>
              <w:jc w:val="both"/>
              <w:rPr>
                <w:b/>
                <w:lang w:eastAsia="fr-FR"/>
              </w:rPr>
            </w:pPr>
          </w:p>
        </w:tc>
        <w:tc>
          <w:tcPr>
            <w:tcW w:w="756" w:type="dxa"/>
            <w:shd w:val="clear" w:color="auto" w:fill="auto"/>
            <w:tcMar>
              <w:top w:w="0" w:type="dxa"/>
              <w:left w:w="108" w:type="dxa"/>
              <w:bottom w:w="0" w:type="dxa"/>
              <w:right w:w="108" w:type="dxa"/>
            </w:tcMar>
          </w:tcPr>
          <w:p w:rsidR="0000639E" w:rsidRDefault="0000639E">
            <w:pPr>
              <w:pStyle w:val="Sansinterligne"/>
              <w:jc w:val="both"/>
              <w:rPr>
                <w:b/>
                <w:bCs/>
                <w:lang w:eastAsia="fr-FR"/>
              </w:rPr>
            </w:pPr>
          </w:p>
        </w:tc>
        <w:tc>
          <w:tcPr>
            <w:tcW w:w="1013" w:type="dxa"/>
            <w:shd w:val="clear" w:color="auto" w:fill="auto"/>
            <w:tcMar>
              <w:top w:w="0" w:type="dxa"/>
              <w:left w:w="108" w:type="dxa"/>
              <w:bottom w:w="0" w:type="dxa"/>
              <w:right w:w="108" w:type="dxa"/>
            </w:tcMar>
          </w:tcPr>
          <w:p w:rsidR="0000639E" w:rsidRDefault="0000639E">
            <w:pPr>
              <w:pStyle w:val="Sansinterligne"/>
              <w:jc w:val="both"/>
              <w:rPr>
                <w:b/>
                <w:bCs/>
                <w:lang w:eastAsia="fr-FR"/>
              </w:rPr>
            </w:pPr>
          </w:p>
        </w:tc>
      </w:tr>
      <w:tr w:rsidR="0000639E">
        <w:trPr>
          <w:trHeight w:val="295"/>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 xml:space="preserve">Referral from </w:t>
            </w:r>
          </w:p>
          <w:p w:rsidR="0000639E" w:rsidRDefault="005A15D8">
            <w:pPr>
              <w:pStyle w:val="Sansinterligne"/>
              <w:jc w:val="both"/>
            </w:pPr>
            <w:r>
              <w:rPr>
                <w:rStyle w:val="Policepardfaut"/>
                <w:lang w:val="en-US" w:eastAsia="fr-FR"/>
              </w:rPr>
              <w:t>outside the region</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162</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72.6</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493</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47.8</w:t>
            </w:r>
          </w:p>
        </w:tc>
        <w:tc>
          <w:tcPr>
            <w:tcW w:w="1357" w:type="dxa"/>
            <w:vMerge w:val="restart"/>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2.43</w:t>
            </w:r>
          </w:p>
          <w:p w:rsidR="0000639E" w:rsidRDefault="005A15D8">
            <w:pPr>
              <w:pStyle w:val="Sansinterligne"/>
              <w:jc w:val="both"/>
              <w:rPr>
                <w:b/>
                <w:bCs/>
                <w:lang w:eastAsia="fr-FR"/>
              </w:rPr>
            </w:pPr>
            <w:r>
              <w:rPr>
                <w:b/>
                <w:bCs/>
                <w:lang w:eastAsia="fr-FR"/>
              </w:rPr>
              <w:t>1.85-3.19</w:t>
            </w:r>
          </w:p>
        </w:tc>
        <w:tc>
          <w:tcPr>
            <w:tcW w:w="756" w:type="dxa"/>
            <w:vMerge w:val="restart"/>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45.3</w:t>
            </w:r>
          </w:p>
        </w:tc>
        <w:tc>
          <w:tcPr>
            <w:tcW w:w="1013" w:type="dxa"/>
            <w:vMerge w:val="restart"/>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&lt;0.0001</w:t>
            </w:r>
          </w:p>
        </w:tc>
      </w:tr>
      <w:tr w:rsidR="0000639E">
        <w:trPr>
          <w:trHeight w:val="329"/>
        </w:trPr>
        <w:tc>
          <w:tcPr>
            <w:tcW w:w="2235"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1134"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708"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709"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851"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1357" w:type="dxa"/>
            <w:vMerge/>
            <w:shd w:val="clear" w:color="auto" w:fill="auto"/>
            <w:noWrap/>
            <w:tcMar>
              <w:top w:w="0" w:type="dxa"/>
              <w:left w:w="108" w:type="dxa"/>
              <w:bottom w:w="0" w:type="dxa"/>
              <w:right w:w="108" w:type="dxa"/>
            </w:tcMar>
          </w:tcPr>
          <w:p w:rsidR="0000639E" w:rsidRDefault="0000639E">
            <w:pPr>
              <w:pStyle w:val="Sansinterligne"/>
              <w:jc w:val="both"/>
              <w:rPr>
                <w:b/>
                <w:bCs/>
                <w:lang w:eastAsia="fr-FR"/>
              </w:rPr>
            </w:pPr>
          </w:p>
        </w:tc>
        <w:tc>
          <w:tcPr>
            <w:tcW w:w="756" w:type="dxa"/>
            <w:vMerge/>
            <w:shd w:val="clear" w:color="auto" w:fill="auto"/>
            <w:tcMar>
              <w:top w:w="0" w:type="dxa"/>
              <w:left w:w="108" w:type="dxa"/>
              <w:bottom w:w="0" w:type="dxa"/>
              <w:right w:w="108" w:type="dxa"/>
            </w:tcMar>
          </w:tcPr>
          <w:p w:rsidR="0000639E" w:rsidRDefault="0000639E">
            <w:pPr>
              <w:pStyle w:val="Sansinterligne"/>
              <w:jc w:val="both"/>
              <w:rPr>
                <w:b/>
                <w:bCs/>
                <w:lang w:eastAsia="fr-FR"/>
              </w:rPr>
            </w:pPr>
          </w:p>
        </w:tc>
        <w:tc>
          <w:tcPr>
            <w:tcW w:w="1013" w:type="dxa"/>
            <w:vMerge/>
            <w:shd w:val="clear" w:color="auto" w:fill="auto"/>
            <w:tcMar>
              <w:top w:w="0" w:type="dxa"/>
              <w:left w:w="108" w:type="dxa"/>
              <w:bottom w:w="0" w:type="dxa"/>
              <w:right w:w="108" w:type="dxa"/>
            </w:tcMar>
          </w:tcPr>
          <w:p w:rsidR="0000639E" w:rsidRDefault="0000639E">
            <w:pPr>
              <w:pStyle w:val="Sansinterligne"/>
              <w:jc w:val="both"/>
              <w:rPr>
                <w:b/>
                <w:bCs/>
                <w:lang w:eastAsia="fr-FR"/>
              </w:rPr>
            </w:pPr>
          </w:p>
        </w:tc>
      </w:tr>
      <w:tr w:rsidR="0000639E">
        <w:trPr>
          <w:trHeight w:val="250"/>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Medical Transfer</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173</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77.6</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447</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43.4</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3.53</w:t>
            </w:r>
          </w:p>
          <w:p w:rsidR="0000639E" w:rsidRDefault="005A15D8">
            <w:pPr>
              <w:pStyle w:val="Sansinterligne"/>
              <w:jc w:val="both"/>
              <w:rPr>
                <w:b/>
                <w:bCs/>
                <w:lang w:eastAsia="fr-FR"/>
              </w:rPr>
            </w:pPr>
            <w:r>
              <w:rPr>
                <w:b/>
                <w:bCs/>
                <w:lang w:eastAsia="fr-FR"/>
              </w:rPr>
              <w:t>2.63-4.75</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85.9</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&lt;0.0001</w:t>
            </w:r>
          </w:p>
        </w:tc>
      </w:tr>
      <w:tr w:rsidR="0000639E">
        <w:trPr>
          <w:trHeight w:val="249"/>
        </w:trPr>
        <w:tc>
          <w:tcPr>
            <w:tcW w:w="2235" w:type="dxa"/>
            <w:shd w:val="clear" w:color="auto" w:fill="auto"/>
            <w:noWrap/>
            <w:tcMar>
              <w:top w:w="0" w:type="dxa"/>
              <w:left w:w="108" w:type="dxa"/>
              <w:bottom w:w="0" w:type="dxa"/>
              <w:right w:w="108" w:type="dxa"/>
            </w:tcMar>
          </w:tcPr>
          <w:p w:rsidR="0000639E" w:rsidRDefault="005A15D8">
            <w:pPr>
              <w:pStyle w:val="Sansinterligne"/>
              <w:jc w:val="both"/>
            </w:pPr>
            <w:r>
              <w:t>Low socioeconomic status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27</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12.1</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67</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6.5</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1.7</w:t>
            </w:r>
          </w:p>
          <w:p w:rsidR="0000639E" w:rsidRDefault="005A15D8">
            <w:pPr>
              <w:pStyle w:val="Sansinterligne"/>
              <w:jc w:val="both"/>
              <w:rPr>
                <w:b/>
                <w:bCs/>
                <w:lang w:eastAsia="fr-FR"/>
              </w:rPr>
            </w:pPr>
            <w:r>
              <w:rPr>
                <w:b/>
                <w:bCs/>
                <w:lang w:eastAsia="fr-FR"/>
              </w:rPr>
              <w:t>1.21-2.4</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8.31</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0.0039</w:t>
            </w:r>
          </w:p>
        </w:tc>
      </w:tr>
      <w:tr w:rsidR="0000639E">
        <w:trPr>
          <w:trHeight w:val="272"/>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Age &gt;35ans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82</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36.8</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274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26.6</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1.47</w:t>
            </w:r>
          </w:p>
          <w:p w:rsidR="0000639E" w:rsidRDefault="005A15D8">
            <w:pPr>
              <w:pStyle w:val="Sansinterligne"/>
              <w:jc w:val="both"/>
              <w:rPr>
                <w:lang w:eastAsia="fr-FR"/>
              </w:rPr>
            </w:pPr>
            <w:r>
              <w:rPr>
                <w:lang w:eastAsia="fr-FR"/>
              </w:rPr>
              <w:t>1.15-1.87</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9.37</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0.0022</w:t>
            </w:r>
          </w:p>
        </w:tc>
      </w:tr>
      <w:tr w:rsidR="0000639E">
        <w:trPr>
          <w:trHeight w:val="273"/>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Age &lt;25ans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23</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10.3</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124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12</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0.86</w:t>
            </w:r>
          </w:p>
          <w:p w:rsidR="0000639E" w:rsidRDefault="005A15D8">
            <w:pPr>
              <w:pStyle w:val="Sansinterligne"/>
              <w:jc w:val="both"/>
              <w:rPr>
                <w:lang w:eastAsia="fr-FR"/>
              </w:rPr>
            </w:pPr>
            <w:r>
              <w:rPr>
                <w:lang w:eastAsia="fr-FR"/>
              </w:rPr>
              <w:t>0.58-1.28</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0.52</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0.4708</w:t>
            </w:r>
          </w:p>
        </w:tc>
      </w:tr>
      <w:tr w:rsidR="0000639E">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rPr>
                <w:rStyle w:val="Policepardfaut"/>
                <w:bCs/>
                <w:lang w:eastAsia="fr-FR"/>
              </w:rPr>
              <w:t>Age (</w:t>
            </w:r>
            <w:r>
              <w:t>mean</w:t>
            </w:r>
            <w:r>
              <w:rPr>
                <w:rStyle w:val="Policepardfaut"/>
                <w:bCs/>
                <w:lang w:eastAsia="fr-FR"/>
              </w:rPr>
              <w:t>)</w:t>
            </w:r>
          </w:p>
        </w:tc>
        <w:tc>
          <w:tcPr>
            <w:tcW w:w="1842" w:type="dxa"/>
            <w:gridSpan w:val="2"/>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32.69±5.4</w:t>
            </w:r>
          </w:p>
        </w:tc>
        <w:tc>
          <w:tcPr>
            <w:tcW w:w="1560" w:type="dxa"/>
            <w:gridSpan w:val="2"/>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31.92±5.3</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Cs/>
                <w:lang w:eastAsia="fr-FR"/>
              </w:rPr>
            </w:pPr>
            <w:r>
              <w:rPr>
                <w:bCs/>
                <w:lang w:eastAsia="fr-FR"/>
              </w:rPr>
              <w:t>.…………</w:t>
            </w:r>
          </w:p>
        </w:tc>
        <w:tc>
          <w:tcPr>
            <w:tcW w:w="756" w:type="dxa"/>
            <w:shd w:val="clear" w:color="auto" w:fill="auto"/>
            <w:tcMar>
              <w:top w:w="0" w:type="dxa"/>
              <w:left w:w="108" w:type="dxa"/>
              <w:bottom w:w="0" w:type="dxa"/>
              <w:right w:w="108" w:type="dxa"/>
            </w:tcMar>
          </w:tcPr>
          <w:p w:rsidR="0000639E" w:rsidRDefault="0000639E">
            <w:pPr>
              <w:pStyle w:val="Sansinterligne"/>
              <w:jc w:val="both"/>
              <w:rPr>
                <w:b/>
                <w:bCs/>
                <w:lang w:eastAsia="fr-FR"/>
              </w:rPr>
            </w:pP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0.0514</w:t>
            </w:r>
          </w:p>
        </w:tc>
      </w:tr>
      <w:tr w:rsidR="0000639E">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spacing w:after="240"/>
              <w:jc w:val="both"/>
            </w:pPr>
            <w:r>
              <w:t>Mean gestational age (weeks)</w:t>
            </w:r>
          </w:p>
        </w:tc>
        <w:tc>
          <w:tcPr>
            <w:tcW w:w="1842" w:type="dxa"/>
            <w:gridSpan w:val="2"/>
            <w:shd w:val="clear" w:color="auto" w:fill="auto"/>
            <w:noWrap/>
            <w:tcMar>
              <w:top w:w="0" w:type="dxa"/>
              <w:left w:w="108" w:type="dxa"/>
              <w:bottom w:w="0" w:type="dxa"/>
              <w:right w:w="108" w:type="dxa"/>
            </w:tcMar>
          </w:tcPr>
          <w:p w:rsidR="0000639E" w:rsidRDefault="005A15D8">
            <w:pPr>
              <w:pStyle w:val="Sansinterligne"/>
              <w:spacing w:after="240"/>
              <w:jc w:val="both"/>
              <w:rPr>
                <w:lang w:eastAsia="fr-FR"/>
              </w:rPr>
            </w:pPr>
            <w:r>
              <w:rPr>
                <w:lang w:eastAsia="fr-FR"/>
              </w:rPr>
              <w:t>32.34±3.6</w:t>
            </w:r>
          </w:p>
        </w:tc>
        <w:tc>
          <w:tcPr>
            <w:tcW w:w="1560" w:type="dxa"/>
            <w:gridSpan w:val="2"/>
            <w:shd w:val="clear" w:color="auto" w:fill="auto"/>
            <w:noWrap/>
            <w:tcMar>
              <w:top w:w="0" w:type="dxa"/>
              <w:left w:w="108" w:type="dxa"/>
              <w:bottom w:w="0" w:type="dxa"/>
              <w:right w:w="108" w:type="dxa"/>
            </w:tcMar>
          </w:tcPr>
          <w:p w:rsidR="0000639E" w:rsidRDefault="005A15D8">
            <w:pPr>
              <w:pStyle w:val="Sansinterligne"/>
              <w:spacing w:after="240"/>
              <w:jc w:val="both"/>
              <w:rPr>
                <w:lang w:eastAsia="fr-FR"/>
              </w:rPr>
            </w:pPr>
            <w:r>
              <w:rPr>
                <w:lang w:eastAsia="fr-FR"/>
              </w:rPr>
              <w:t>35.76±3.07</w:t>
            </w:r>
          </w:p>
        </w:tc>
        <w:tc>
          <w:tcPr>
            <w:tcW w:w="1357" w:type="dxa"/>
            <w:shd w:val="clear" w:color="auto" w:fill="auto"/>
            <w:noWrap/>
            <w:tcMar>
              <w:top w:w="0" w:type="dxa"/>
              <w:left w:w="108" w:type="dxa"/>
              <w:bottom w:w="0" w:type="dxa"/>
              <w:right w:w="108" w:type="dxa"/>
            </w:tcMar>
          </w:tcPr>
          <w:p w:rsidR="0000639E" w:rsidRDefault="005A15D8">
            <w:pPr>
              <w:pStyle w:val="Sansinterligne"/>
              <w:spacing w:after="240"/>
              <w:jc w:val="both"/>
              <w:rPr>
                <w:bCs/>
                <w:lang w:eastAsia="fr-FR"/>
              </w:rPr>
            </w:pPr>
            <w:r>
              <w:rPr>
                <w:bCs/>
                <w:lang w:eastAsia="fr-FR"/>
              </w:rPr>
              <w:t>………….</w:t>
            </w:r>
          </w:p>
        </w:tc>
        <w:tc>
          <w:tcPr>
            <w:tcW w:w="756" w:type="dxa"/>
            <w:shd w:val="clear" w:color="auto" w:fill="auto"/>
            <w:tcMar>
              <w:top w:w="0" w:type="dxa"/>
              <w:left w:w="108" w:type="dxa"/>
              <w:bottom w:w="0" w:type="dxa"/>
              <w:right w:w="108" w:type="dxa"/>
            </w:tcMar>
          </w:tcPr>
          <w:p w:rsidR="0000639E" w:rsidRDefault="0000639E">
            <w:pPr>
              <w:pStyle w:val="Sansinterligne"/>
              <w:spacing w:after="240"/>
              <w:jc w:val="both"/>
              <w:rPr>
                <w:b/>
                <w:bCs/>
                <w:lang w:eastAsia="fr-FR"/>
              </w:rPr>
            </w:pPr>
          </w:p>
        </w:tc>
        <w:tc>
          <w:tcPr>
            <w:tcW w:w="1013" w:type="dxa"/>
            <w:shd w:val="clear" w:color="auto" w:fill="auto"/>
            <w:tcMar>
              <w:top w:w="0" w:type="dxa"/>
              <w:left w:w="108" w:type="dxa"/>
              <w:bottom w:w="0" w:type="dxa"/>
              <w:right w:w="108" w:type="dxa"/>
            </w:tcMar>
          </w:tcPr>
          <w:p w:rsidR="0000639E" w:rsidRDefault="005A15D8">
            <w:pPr>
              <w:pStyle w:val="Sansinterligne"/>
              <w:spacing w:after="240"/>
              <w:jc w:val="both"/>
              <w:rPr>
                <w:b/>
                <w:bCs/>
                <w:lang w:eastAsia="fr-FR" w:bidi="ar-DZ"/>
              </w:rPr>
            </w:pPr>
            <w:r>
              <w:rPr>
                <w:b/>
                <w:bCs/>
                <w:lang w:eastAsia="fr-FR" w:bidi="ar-DZ"/>
              </w:rPr>
              <w:t>&lt;0.0001</w:t>
            </w:r>
          </w:p>
        </w:tc>
      </w:tr>
      <w:tr w:rsidR="0000639E">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IMC&gt;30</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134</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60.1</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570</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55.3</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1.18</w:t>
            </w:r>
          </w:p>
          <w:p w:rsidR="0000639E" w:rsidRDefault="005A15D8">
            <w:pPr>
              <w:pStyle w:val="Sansinterligne"/>
              <w:jc w:val="both"/>
              <w:rPr>
                <w:lang w:eastAsia="fr-FR"/>
              </w:rPr>
            </w:pPr>
            <w:r>
              <w:rPr>
                <w:lang w:eastAsia="fr-FR"/>
              </w:rPr>
              <w:t>0.92-1.50</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1.71</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0.1899</w:t>
            </w:r>
          </w:p>
        </w:tc>
      </w:tr>
      <w:tr w:rsidR="0000639E">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t xml:space="preserve">Primiparous </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87</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39.0</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494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47.9</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0.74</w:t>
            </w:r>
          </w:p>
          <w:p w:rsidR="0000639E" w:rsidRDefault="005A15D8">
            <w:pPr>
              <w:pStyle w:val="Sansinterligne"/>
              <w:jc w:val="both"/>
              <w:rPr>
                <w:lang w:eastAsia="fr-FR"/>
              </w:rPr>
            </w:pPr>
            <w:r>
              <w:rPr>
                <w:lang w:eastAsia="fr-FR"/>
              </w:rPr>
              <w:t>0.58-0.95</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5.84</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0.0156</w:t>
            </w:r>
          </w:p>
        </w:tc>
      </w:tr>
      <w:tr w:rsidR="0000639E">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t>Multiparous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61</w:t>
            </w:r>
          </w:p>
          <w:p w:rsidR="0000639E" w:rsidRDefault="0000639E">
            <w:pPr>
              <w:pStyle w:val="Sansinterligne"/>
              <w:jc w:val="both"/>
              <w:rPr>
                <w:color w:val="000000"/>
                <w:lang w:eastAsia="fr-FR"/>
              </w:rPr>
            </w:pPr>
          </w:p>
        </w:tc>
        <w:tc>
          <w:tcPr>
            <w:tcW w:w="708"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27.4</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179</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17.4</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1.59</w:t>
            </w:r>
          </w:p>
          <w:p w:rsidR="0000639E" w:rsidRDefault="005A15D8">
            <w:pPr>
              <w:pStyle w:val="Sansinterligne"/>
              <w:jc w:val="both"/>
              <w:rPr>
                <w:b/>
                <w:lang w:eastAsia="fr-FR"/>
              </w:rPr>
            </w:pPr>
            <w:r>
              <w:rPr>
                <w:b/>
                <w:lang w:eastAsia="fr-FR"/>
              </w:rPr>
              <w:t>1.23-2.06</w:t>
            </w:r>
          </w:p>
        </w:tc>
        <w:tc>
          <w:tcPr>
            <w:tcW w:w="756"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11.82</w:t>
            </w:r>
          </w:p>
        </w:tc>
        <w:tc>
          <w:tcPr>
            <w:tcW w:w="1013"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0.0006</w:t>
            </w:r>
          </w:p>
        </w:tc>
      </w:tr>
      <w:tr w:rsidR="0000639E">
        <w:trPr>
          <w:trHeight w:val="276"/>
        </w:trPr>
        <w:tc>
          <w:tcPr>
            <w:tcW w:w="2235" w:type="dxa"/>
            <w:shd w:val="clear" w:color="auto" w:fill="auto"/>
            <w:noWrap/>
            <w:tcMar>
              <w:top w:w="0" w:type="dxa"/>
              <w:left w:w="108" w:type="dxa"/>
              <w:bottom w:w="0" w:type="dxa"/>
              <w:right w:w="108" w:type="dxa"/>
            </w:tcMar>
          </w:tcPr>
          <w:p w:rsidR="0000639E" w:rsidRDefault="005A15D8">
            <w:pPr>
              <w:pStyle w:val="Sansinterligne"/>
              <w:jc w:val="both"/>
            </w:pPr>
            <w:r>
              <w:t>Medical history</w:t>
            </w:r>
            <w:r>
              <w:rPr>
                <w:rStyle w:val="Policepardfaut"/>
                <w:lang w:eastAsia="fr-FR"/>
              </w:rPr>
              <w:t xml:space="preserve"> </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27</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12.1</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101</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9.8</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Cs/>
                <w:lang w:eastAsia="fr-FR"/>
              </w:rPr>
            </w:pPr>
            <w:r>
              <w:rPr>
                <w:bCs/>
                <w:lang w:eastAsia="fr-FR"/>
              </w:rPr>
              <w:t>1.21</w:t>
            </w:r>
          </w:p>
          <w:p w:rsidR="0000639E" w:rsidRDefault="005A15D8">
            <w:pPr>
              <w:pStyle w:val="Sansinterligne"/>
              <w:jc w:val="both"/>
              <w:rPr>
                <w:lang w:eastAsia="fr-FR"/>
              </w:rPr>
            </w:pPr>
            <w:r>
              <w:rPr>
                <w:lang w:eastAsia="fr-FR"/>
              </w:rPr>
              <w:t>0.8-1.73</w:t>
            </w:r>
          </w:p>
        </w:tc>
        <w:tc>
          <w:tcPr>
            <w:tcW w:w="756" w:type="dxa"/>
            <w:shd w:val="clear" w:color="auto" w:fill="auto"/>
            <w:tcMar>
              <w:top w:w="0" w:type="dxa"/>
              <w:left w:w="108" w:type="dxa"/>
              <w:bottom w:w="0" w:type="dxa"/>
              <w:right w:w="108" w:type="dxa"/>
            </w:tcMar>
          </w:tcPr>
          <w:p w:rsidR="0000639E" w:rsidRDefault="005A15D8">
            <w:pPr>
              <w:pStyle w:val="Sansinterligne"/>
              <w:jc w:val="both"/>
              <w:rPr>
                <w:bCs/>
                <w:lang w:eastAsia="fr-FR"/>
              </w:rPr>
            </w:pPr>
            <w:r>
              <w:rPr>
                <w:bCs/>
                <w:lang w:eastAsia="fr-FR"/>
              </w:rPr>
              <w:t>1.05</w:t>
            </w:r>
          </w:p>
        </w:tc>
        <w:tc>
          <w:tcPr>
            <w:tcW w:w="1013" w:type="dxa"/>
            <w:shd w:val="clear" w:color="auto" w:fill="auto"/>
            <w:tcMar>
              <w:top w:w="0" w:type="dxa"/>
              <w:left w:w="108" w:type="dxa"/>
              <w:bottom w:w="0" w:type="dxa"/>
              <w:right w:w="108" w:type="dxa"/>
            </w:tcMar>
          </w:tcPr>
          <w:p w:rsidR="0000639E" w:rsidRDefault="005A15D8">
            <w:pPr>
              <w:pStyle w:val="Sansinterligne"/>
              <w:jc w:val="both"/>
              <w:rPr>
                <w:bCs/>
                <w:lang w:eastAsia="fr-FR"/>
              </w:rPr>
            </w:pPr>
            <w:r>
              <w:rPr>
                <w:bCs/>
                <w:lang w:eastAsia="fr-FR"/>
              </w:rPr>
              <w:t>0.3035</w:t>
            </w:r>
          </w:p>
        </w:tc>
      </w:tr>
      <w:tr w:rsidR="0000639E">
        <w:trPr>
          <w:trHeight w:val="295"/>
        </w:trPr>
        <w:tc>
          <w:tcPr>
            <w:tcW w:w="2235" w:type="dxa"/>
            <w:shd w:val="clear" w:color="auto" w:fill="auto"/>
            <w:noWrap/>
            <w:tcMar>
              <w:top w:w="0" w:type="dxa"/>
              <w:left w:w="108" w:type="dxa"/>
              <w:bottom w:w="0" w:type="dxa"/>
              <w:right w:w="108" w:type="dxa"/>
            </w:tcMar>
          </w:tcPr>
          <w:p w:rsidR="0000639E" w:rsidRDefault="005A15D8">
            <w:pPr>
              <w:rPr>
                <w:rFonts w:ascii="Times New Roman" w:hAnsi="Times New Roman" w:cs="Times New Roman"/>
              </w:rPr>
            </w:pPr>
            <w:r>
              <w:rPr>
                <w:rFonts w:ascii="Times New Roman" w:hAnsi="Times New Roman" w:cs="Times New Roman"/>
              </w:rPr>
              <w:t>History of preeclampsia</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53</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23.9</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164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15.9</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1.50</w:t>
            </w:r>
          </w:p>
          <w:p w:rsidR="0000639E" w:rsidRDefault="005A15D8">
            <w:pPr>
              <w:pStyle w:val="Sansinterligne"/>
              <w:jc w:val="both"/>
              <w:rPr>
                <w:b/>
                <w:lang w:eastAsia="fr-FR"/>
              </w:rPr>
            </w:pPr>
            <w:r>
              <w:rPr>
                <w:b/>
                <w:lang w:eastAsia="fr-FR"/>
              </w:rPr>
              <w:t>1.14-1.96</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8.05</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0.0045</w:t>
            </w:r>
          </w:p>
        </w:tc>
      </w:tr>
      <w:tr w:rsidR="0000639E">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rPr>
                <w:rStyle w:val="lev"/>
                <w:b w:val="0"/>
                <w:bCs w:val="0"/>
              </w:rPr>
              <w:t>Access to healthcare</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210</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94.2</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998</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96.8</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0.62</w:t>
            </w:r>
          </w:p>
          <w:p w:rsidR="0000639E" w:rsidRDefault="005A15D8">
            <w:pPr>
              <w:pStyle w:val="Sansinterligne"/>
              <w:jc w:val="both"/>
              <w:rPr>
                <w:b/>
                <w:lang w:eastAsia="fr-FR"/>
              </w:rPr>
            </w:pPr>
            <w:r>
              <w:rPr>
                <w:b/>
                <w:lang w:eastAsia="fr-FR"/>
              </w:rPr>
              <w:t>0.38-0.99</w:t>
            </w:r>
          </w:p>
        </w:tc>
        <w:tc>
          <w:tcPr>
            <w:tcW w:w="756"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3.58</w:t>
            </w:r>
          </w:p>
        </w:tc>
        <w:tc>
          <w:tcPr>
            <w:tcW w:w="1013"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0.0583</w:t>
            </w:r>
          </w:p>
        </w:tc>
      </w:tr>
      <w:tr w:rsidR="0000639E">
        <w:trPr>
          <w:trHeight w:val="261"/>
        </w:trPr>
        <w:tc>
          <w:tcPr>
            <w:tcW w:w="2235" w:type="dxa"/>
            <w:shd w:val="clear" w:color="auto" w:fill="auto"/>
            <w:noWrap/>
            <w:tcMar>
              <w:top w:w="0" w:type="dxa"/>
              <w:left w:w="108" w:type="dxa"/>
              <w:bottom w:w="0" w:type="dxa"/>
              <w:right w:w="108" w:type="dxa"/>
            </w:tcMar>
          </w:tcPr>
          <w:p w:rsidR="0000639E" w:rsidRDefault="005A15D8">
            <w:pPr>
              <w:pStyle w:val="Sansinterligne"/>
              <w:jc w:val="both"/>
            </w:pPr>
            <w:r>
              <w:t>Multiple pregnancy</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4.0</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36</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3.5</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1.13</w:t>
            </w:r>
          </w:p>
          <w:p w:rsidR="0000639E" w:rsidRDefault="005A15D8">
            <w:pPr>
              <w:pStyle w:val="Sansinterligne"/>
              <w:jc w:val="both"/>
              <w:rPr>
                <w:lang w:eastAsia="fr-FR"/>
              </w:rPr>
            </w:pPr>
            <w:r>
              <w:rPr>
                <w:lang w:eastAsia="fr-FR"/>
              </w:rPr>
              <w:t>0.62-2.05</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0.15</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0.692</w:t>
            </w:r>
          </w:p>
        </w:tc>
      </w:tr>
      <w:tr w:rsidR="0000639E">
        <w:trPr>
          <w:trHeight w:val="317"/>
        </w:trPr>
        <w:tc>
          <w:tcPr>
            <w:tcW w:w="2235"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val="en-US"/>
              </w:rPr>
            </w:pPr>
            <w:r>
              <w:rPr>
                <w:lang w:val="en-US"/>
              </w:rPr>
              <w:t>BP &gt;140/90 at the start of pregnancy</w:t>
            </w:r>
          </w:p>
        </w:tc>
        <w:tc>
          <w:tcPr>
            <w:tcW w:w="1134"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97</w:t>
            </w:r>
          </w:p>
        </w:tc>
        <w:tc>
          <w:tcPr>
            <w:tcW w:w="708"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43.5</w:t>
            </w:r>
          </w:p>
        </w:tc>
        <w:tc>
          <w:tcPr>
            <w:tcW w:w="709"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214</w:t>
            </w:r>
          </w:p>
        </w:tc>
        <w:tc>
          <w:tcPr>
            <w:tcW w:w="85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20.8</w:t>
            </w:r>
          </w:p>
        </w:tc>
        <w:tc>
          <w:tcPr>
            <w:tcW w:w="1357"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2.33</w:t>
            </w:r>
          </w:p>
          <w:p w:rsidR="0000639E" w:rsidRDefault="005A15D8">
            <w:pPr>
              <w:pStyle w:val="Sansinterligne"/>
              <w:jc w:val="both"/>
              <w:rPr>
                <w:b/>
                <w:lang w:eastAsia="fr-FR"/>
              </w:rPr>
            </w:pPr>
            <w:r>
              <w:rPr>
                <w:b/>
                <w:lang w:eastAsia="fr-FR"/>
              </w:rPr>
              <w:t>1.85-2.94</w:t>
            </w:r>
          </w:p>
        </w:tc>
        <w:tc>
          <w:tcPr>
            <w:tcW w:w="75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50.84</w:t>
            </w:r>
          </w:p>
        </w:tc>
        <w:tc>
          <w:tcPr>
            <w:tcW w:w="101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&lt;0.0001</w:t>
            </w:r>
          </w:p>
        </w:tc>
      </w:tr>
    </w:tbl>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pStyle w:val="NormalWeb"/>
        <w:rPr>
          <w:b/>
          <w:bCs/>
          <w:lang w:val="en-US"/>
        </w:rPr>
      </w:pPr>
      <w:r>
        <w:rPr>
          <w:b/>
          <w:bCs/>
          <w:lang w:val="en-US"/>
        </w:rPr>
        <w:t>Table 2: Clinical and Biological Predictive Factors</w:t>
      </w:r>
    </w:p>
    <w:tbl>
      <w:tblPr>
        <w:tblW w:w="8254" w:type="dxa"/>
        <w:tblCellMar>
          <w:left w:w="10" w:type="dxa"/>
          <w:right w:w="10" w:type="dxa"/>
        </w:tblCellMar>
        <w:tblLook w:val="0000" w:firstRow="0" w:lastRow="0" w:firstColumn="0" w:lastColumn="0" w:noHBand="0" w:noVBand="0"/>
      </w:tblPr>
      <w:tblGrid>
        <w:gridCol w:w="2343"/>
        <w:gridCol w:w="901"/>
        <w:gridCol w:w="607"/>
        <w:gridCol w:w="1090"/>
        <w:gridCol w:w="607"/>
        <w:gridCol w:w="1060"/>
        <w:gridCol w:w="718"/>
        <w:gridCol w:w="942"/>
      </w:tblGrid>
      <w:tr w:rsidR="0000639E">
        <w:trPr>
          <w:trHeight w:val="315"/>
        </w:trPr>
        <w:tc>
          <w:tcPr>
            <w:tcW w:w="2343"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Variables </w:t>
            </w:r>
          </w:p>
        </w:tc>
        <w:tc>
          <w:tcPr>
            <w:tcW w:w="90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HELLP</w:t>
            </w:r>
          </w:p>
          <w:p w:rsidR="0000639E" w:rsidRDefault="005A15D8">
            <w:pPr>
              <w:pStyle w:val="Sansinterligne"/>
              <w:spacing w:line="276" w:lineRule="auto"/>
              <w:jc w:val="both"/>
              <w:rPr>
                <w:lang w:eastAsia="fr-FR"/>
              </w:rPr>
            </w:pPr>
            <w:r>
              <w:rPr>
                <w:lang w:eastAsia="fr-FR"/>
              </w:rPr>
              <w:t>N=223</w:t>
            </w:r>
          </w:p>
        </w:tc>
        <w:tc>
          <w:tcPr>
            <w:tcW w:w="60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w:t>
            </w:r>
          </w:p>
        </w:tc>
        <w:tc>
          <w:tcPr>
            <w:tcW w:w="1090"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Non </w:t>
            </w:r>
            <w:proofErr w:type="spellStart"/>
            <w:r>
              <w:rPr>
                <w:lang w:eastAsia="fr-FR"/>
              </w:rPr>
              <w:t>hellp</w:t>
            </w:r>
            <w:proofErr w:type="spellEnd"/>
          </w:p>
          <w:p w:rsidR="0000639E" w:rsidRDefault="005A15D8">
            <w:pPr>
              <w:pStyle w:val="Sansinterligne"/>
              <w:spacing w:line="276" w:lineRule="auto"/>
              <w:jc w:val="both"/>
              <w:rPr>
                <w:lang w:eastAsia="fr-FR"/>
              </w:rPr>
            </w:pPr>
            <w:r>
              <w:rPr>
                <w:lang w:eastAsia="fr-FR"/>
              </w:rPr>
              <w:t>N=1031</w:t>
            </w:r>
          </w:p>
        </w:tc>
        <w:tc>
          <w:tcPr>
            <w:tcW w:w="60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w:t>
            </w:r>
          </w:p>
        </w:tc>
        <w:tc>
          <w:tcPr>
            <w:tcW w:w="1060"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RR</w:t>
            </w:r>
          </w:p>
          <w:p w:rsidR="0000639E" w:rsidRDefault="005A15D8">
            <w:pPr>
              <w:pStyle w:val="Sansinterligne"/>
              <w:spacing w:line="276" w:lineRule="auto"/>
              <w:jc w:val="both"/>
              <w:rPr>
                <w:bCs/>
                <w:lang w:eastAsia="fr-FR"/>
              </w:rPr>
            </w:pPr>
            <w:r>
              <w:rPr>
                <w:bCs/>
                <w:lang w:eastAsia="fr-FR"/>
              </w:rPr>
              <w:t>IC95%</w:t>
            </w:r>
          </w:p>
        </w:tc>
        <w:tc>
          <w:tcPr>
            <w:tcW w:w="718"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Khi2</w:t>
            </w:r>
          </w:p>
        </w:tc>
        <w:tc>
          <w:tcPr>
            <w:tcW w:w="942"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P</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BP≥160/110mmHg</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91</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40.8</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179</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17.4</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2.51</w:t>
            </w:r>
          </w:p>
          <w:p w:rsidR="0000639E" w:rsidRDefault="005A15D8">
            <w:pPr>
              <w:pStyle w:val="Sansinterligne"/>
              <w:spacing w:line="276" w:lineRule="auto"/>
              <w:jc w:val="both"/>
              <w:rPr>
                <w:bCs/>
                <w:lang w:eastAsia="fr-FR"/>
              </w:rPr>
            </w:pPr>
            <w:r>
              <w:rPr>
                <w:bCs/>
                <w:lang w:eastAsia="fr-FR"/>
              </w:rPr>
              <w:t>1.99-3.16</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59.64</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Headaches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195</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87.4</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604</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58.6</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3.97</w:t>
            </w:r>
          </w:p>
          <w:p w:rsidR="0000639E" w:rsidRDefault="005A15D8">
            <w:pPr>
              <w:pStyle w:val="Sansinterligne"/>
              <w:spacing w:line="276" w:lineRule="auto"/>
              <w:jc w:val="both"/>
            </w:pPr>
            <w:r>
              <w:rPr>
                <w:rStyle w:val="Policepardfaut"/>
                <w:lang w:eastAsia="fr-FR"/>
              </w:rPr>
              <w:t>2.71-5.79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66.05</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Visual disturbances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149</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66.8</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374</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36.3</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2.81</w:t>
            </w:r>
          </w:p>
          <w:p w:rsidR="0000639E" w:rsidRDefault="005A15D8">
            <w:pPr>
              <w:pStyle w:val="Sansinterligne"/>
              <w:spacing w:line="276" w:lineRule="auto"/>
              <w:jc w:val="both"/>
            </w:pPr>
            <w:r>
              <w:rPr>
                <w:rStyle w:val="Policepardfaut"/>
                <w:lang w:eastAsia="fr-FR"/>
              </w:rPr>
              <w:t>2.18-3.63</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70.34</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Auditory disturbances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117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52.5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323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31.3</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2.04</w:t>
            </w:r>
          </w:p>
          <w:p w:rsidR="0000639E" w:rsidRDefault="005A15D8">
            <w:pPr>
              <w:pStyle w:val="Sansinterligne"/>
              <w:spacing w:line="276" w:lineRule="auto"/>
              <w:jc w:val="both"/>
              <w:rPr>
                <w:lang w:eastAsia="fr-FR"/>
              </w:rPr>
            </w:pPr>
            <w:r>
              <w:rPr>
                <w:lang w:eastAsia="fr-FR"/>
              </w:rPr>
              <w:t>1.61-2.59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35.96</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Epigastric pain</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117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52.5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32</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8.19</w:t>
            </w:r>
          </w:p>
          <w:p w:rsidR="0000639E" w:rsidRDefault="005A15D8">
            <w:pPr>
              <w:pStyle w:val="Sansinterligne"/>
              <w:spacing w:line="276" w:lineRule="auto"/>
              <w:jc w:val="both"/>
            </w:pPr>
            <w:r>
              <w:rPr>
                <w:rStyle w:val="Policepardfaut"/>
                <w:lang w:eastAsia="fr-FR"/>
              </w:rPr>
              <w:t>6.70-9.99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426.6</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Vomiting </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37.2</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22</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6.49</w:t>
            </w:r>
          </w:p>
          <w:p w:rsidR="0000639E" w:rsidRDefault="005A15D8">
            <w:pPr>
              <w:pStyle w:val="Sansinterligne"/>
              <w:spacing w:line="276" w:lineRule="auto"/>
              <w:jc w:val="both"/>
              <w:rPr>
                <w:lang w:eastAsia="fr-FR"/>
              </w:rPr>
            </w:pPr>
            <w:r>
              <w:rPr>
                <w:lang w:eastAsia="fr-FR"/>
              </w:rPr>
              <w:t>5.40-7.80</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294</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proofErr w:type="spellStart"/>
            <w:r>
              <w:rPr>
                <w:lang w:eastAsia="fr-FR"/>
              </w:rPr>
              <w:t>Jundice</w:t>
            </w:r>
            <w:proofErr w:type="spellEnd"/>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7.6</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0.1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5.67</w:t>
            </w:r>
          </w:p>
          <w:p w:rsidR="0000639E" w:rsidRDefault="005A15D8">
            <w:pPr>
              <w:pStyle w:val="Sansinterligne"/>
              <w:spacing w:line="276" w:lineRule="auto"/>
              <w:jc w:val="both"/>
              <w:rPr>
                <w:lang w:eastAsia="fr-FR"/>
              </w:rPr>
            </w:pPr>
            <w:r>
              <w:rPr>
                <w:lang w:eastAsia="fr-FR"/>
              </w:rPr>
              <w:t>4.79-6.70</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72.70</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Abnormal deep </w:t>
            </w:r>
          </w:p>
          <w:p w:rsidR="0000639E" w:rsidRDefault="005A15D8">
            <w:pPr>
              <w:pStyle w:val="Sansinterligne"/>
              <w:spacing w:line="276" w:lineRule="auto"/>
              <w:jc w:val="both"/>
            </w:pPr>
            <w:r>
              <w:rPr>
                <w:rStyle w:val="Policepardfaut"/>
                <w:lang w:eastAsia="fr-FR"/>
              </w:rPr>
              <w:t>tendon reflexes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155</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69.5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483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46.8</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2.00</w:t>
            </w:r>
          </w:p>
          <w:p w:rsidR="0000639E" w:rsidRDefault="005A15D8">
            <w:pPr>
              <w:pStyle w:val="Sansinterligne"/>
              <w:spacing w:line="276" w:lineRule="auto"/>
              <w:jc w:val="both"/>
            </w:pPr>
            <w:r>
              <w:rPr>
                <w:rStyle w:val="Policepardfaut"/>
                <w:lang w:eastAsia="fr-FR"/>
              </w:rPr>
              <w:t>1.61-2.59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37.66</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proofErr w:type="spellStart"/>
            <w:r>
              <w:rPr>
                <w:rStyle w:val="Policepardfaut"/>
                <w:lang w:eastAsia="fr-FR"/>
              </w:rPr>
              <w:t>Oligoanuria</w:t>
            </w:r>
            <w:proofErr w:type="spellEnd"/>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23.8</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15.2</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1.55</w:t>
            </w:r>
          </w:p>
          <w:p w:rsidR="0000639E" w:rsidRDefault="005A15D8">
            <w:pPr>
              <w:pStyle w:val="Sansinterligne"/>
              <w:spacing w:line="276" w:lineRule="auto"/>
              <w:jc w:val="both"/>
              <w:rPr>
                <w:lang w:eastAsia="fr-FR"/>
              </w:rPr>
            </w:pPr>
            <w:r>
              <w:rPr>
                <w:lang w:eastAsia="fr-FR"/>
              </w:rPr>
              <w:t>1.18-20.8</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9.58</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0.0020</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Urine dipstick </w:t>
            </w:r>
          </w:p>
          <w:p w:rsidR="0000639E" w:rsidRDefault="005A15D8">
            <w:pPr>
              <w:pStyle w:val="Sansinterligne"/>
              <w:spacing w:line="276" w:lineRule="auto"/>
              <w:jc w:val="both"/>
            </w:pPr>
            <w:r>
              <w:rPr>
                <w:rStyle w:val="Policepardfaut"/>
                <w:lang w:eastAsia="fr-FR"/>
              </w:rPr>
              <w:t>protein ≥+++</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52</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23.3</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3.01</w:t>
            </w:r>
          </w:p>
          <w:p w:rsidR="0000639E" w:rsidRDefault="005A15D8">
            <w:pPr>
              <w:pStyle w:val="Sansinterligne"/>
              <w:spacing w:line="276" w:lineRule="auto"/>
              <w:jc w:val="both"/>
              <w:rPr>
                <w:bCs/>
                <w:lang w:eastAsia="fr-FR"/>
              </w:rPr>
            </w:pPr>
            <w:r>
              <w:rPr>
                <w:bCs/>
                <w:lang w:eastAsia="fr-FR"/>
              </w:rPr>
              <w:t>2.36-3.84</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65.17</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24-hour urine</w:t>
            </w:r>
          </w:p>
          <w:p w:rsidR="0000639E" w:rsidRDefault="005A15D8">
            <w:pPr>
              <w:pStyle w:val="Sansinterligne"/>
              <w:spacing w:line="276" w:lineRule="auto"/>
              <w:jc w:val="both"/>
            </w:pPr>
            <w:r>
              <w:rPr>
                <w:rStyle w:val="Policepardfaut"/>
                <w:lang w:eastAsia="fr-FR"/>
              </w:rPr>
              <w:t xml:space="preserve"> protein&gt;3.5</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94</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42.5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135</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13.2</w:t>
            </w:r>
          </w:p>
        </w:tc>
        <w:tc>
          <w:tcPr>
            <w:tcW w:w="106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3.28</w:t>
            </w:r>
          </w:p>
          <w:p w:rsidR="0000639E" w:rsidRDefault="005A15D8">
            <w:pPr>
              <w:pStyle w:val="Sansinterligne"/>
              <w:spacing w:line="276" w:lineRule="auto"/>
              <w:jc w:val="both"/>
              <w:rPr>
                <w:lang w:eastAsia="fr-FR"/>
              </w:rPr>
            </w:pPr>
            <w:r>
              <w:rPr>
                <w:lang w:eastAsia="fr-FR"/>
              </w:rPr>
              <w:t>2.61-4.10</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103.7</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rPr>
          <w:trHeight w:val="315"/>
        </w:trPr>
        <w:tc>
          <w:tcPr>
            <w:tcW w:w="2343"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lang w:eastAsia="fr-FR"/>
              </w:rPr>
            </w:pPr>
          </w:p>
        </w:tc>
        <w:tc>
          <w:tcPr>
            <w:tcW w:w="901"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lang w:eastAsia="fr-FR"/>
              </w:rPr>
            </w:pPr>
          </w:p>
        </w:tc>
        <w:tc>
          <w:tcPr>
            <w:tcW w:w="607"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1090"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lang w:eastAsia="fr-FR"/>
              </w:rPr>
            </w:pPr>
          </w:p>
        </w:tc>
        <w:tc>
          <w:tcPr>
            <w:tcW w:w="607"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1060"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b/>
                <w:bCs/>
                <w:lang w:eastAsia="fr-FR"/>
              </w:rPr>
            </w:pPr>
          </w:p>
        </w:tc>
        <w:tc>
          <w:tcPr>
            <w:tcW w:w="718"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b/>
                <w:bCs/>
                <w:lang w:eastAsia="fr-FR"/>
              </w:rPr>
            </w:pPr>
          </w:p>
        </w:tc>
        <w:tc>
          <w:tcPr>
            <w:tcW w:w="942"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b/>
                <w:bCs/>
                <w:lang w:eastAsia="fr-FR"/>
              </w:rPr>
            </w:pPr>
          </w:p>
        </w:tc>
      </w:tr>
    </w:tbl>
    <w:p w:rsidR="0000639E" w:rsidRDefault="0000639E">
      <w:pPr>
        <w:pStyle w:val="NormalWeb"/>
        <w:rPr>
          <w:lang w:val="en-US"/>
        </w:rPr>
      </w:pPr>
    </w:p>
    <w:p w:rsidR="0000639E" w:rsidRDefault="005A15D8">
      <w:pPr>
        <w:pStyle w:val="NormalWeb"/>
        <w:rPr>
          <w:lang w:val="en-US"/>
        </w:rPr>
      </w:pPr>
      <w:r>
        <w:rPr>
          <w:lang w:val="en-US"/>
        </w:rPr>
        <w:t>Abdominopelvic ultrasound revealed 8 subcapsular liver hematomas complicating HELLP syndrome, 3 of which were ruptured.</w:t>
      </w: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3: Association of HELLP Syndrome with Other Maternal Complications</w:t>
      </w:r>
    </w:p>
    <w:tbl>
      <w:tblPr>
        <w:tblW w:w="8401" w:type="dxa"/>
        <w:jc w:val="center"/>
        <w:tblCellMar>
          <w:left w:w="10" w:type="dxa"/>
          <w:right w:w="10" w:type="dxa"/>
        </w:tblCellMar>
        <w:tblLook w:val="0000" w:firstRow="0" w:lastRow="0" w:firstColumn="0" w:lastColumn="0" w:noHBand="0" w:noVBand="0"/>
      </w:tblPr>
      <w:tblGrid>
        <w:gridCol w:w="2130"/>
        <w:gridCol w:w="586"/>
        <w:gridCol w:w="645"/>
        <w:gridCol w:w="551"/>
        <w:gridCol w:w="607"/>
        <w:gridCol w:w="551"/>
        <w:gridCol w:w="607"/>
        <w:gridCol w:w="1056"/>
        <w:gridCol w:w="721"/>
        <w:gridCol w:w="947"/>
      </w:tblGrid>
      <w:tr w:rsidR="0000639E">
        <w:trPr>
          <w:trHeight w:val="346"/>
          <w:jc w:val="center"/>
        </w:trPr>
        <w:tc>
          <w:tcPr>
            <w:tcW w:w="2130"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Associated</w:t>
            </w:r>
          </w:p>
          <w:p w:rsidR="0000639E" w:rsidRDefault="005A15D8">
            <w:pPr>
              <w:pStyle w:val="Sansinterligne"/>
              <w:spacing w:line="360" w:lineRule="auto"/>
              <w:jc w:val="both"/>
              <w:rPr>
                <w:b/>
                <w:bCs/>
                <w:lang w:eastAsia="fr-FR"/>
              </w:rPr>
            </w:pPr>
            <w:r>
              <w:rPr>
                <w:b/>
                <w:bCs/>
                <w:lang w:eastAsia="fr-FR"/>
              </w:rPr>
              <w:t>Complications</w:t>
            </w:r>
          </w:p>
        </w:tc>
        <w:tc>
          <w:tcPr>
            <w:tcW w:w="1231"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proofErr w:type="spellStart"/>
            <w:r>
              <w:rPr>
                <w:lang w:eastAsia="fr-FR"/>
              </w:rPr>
              <w:t>Hellp</w:t>
            </w:r>
            <w:proofErr w:type="spellEnd"/>
          </w:p>
          <w:p w:rsidR="0000639E" w:rsidRDefault="005A15D8">
            <w:pPr>
              <w:pStyle w:val="Sansinterligne"/>
              <w:spacing w:line="360" w:lineRule="auto"/>
              <w:jc w:val="both"/>
              <w:rPr>
                <w:lang w:eastAsia="fr-FR"/>
              </w:rPr>
            </w:pPr>
            <w:r>
              <w:rPr>
                <w:lang w:eastAsia="fr-FR"/>
              </w:rPr>
              <w:t>N=223    %</w:t>
            </w:r>
          </w:p>
        </w:tc>
        <w:tc>
          <w:tcPr>
            <w:tcW w:w="1158"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Non      %</w:t>
            </w:r>
          </w:p>
          <w:p w:rsidR="0000639E" w:rsidRDefault="005A15D8">
            <w:pPr>
              <w:pStyle w:val="Sansinterligne"/>
              <w:spacing w:line="360" w:lineRule="auto"/>
              <w:jc w:val="both"/>
              <w:rPr>
                <w:lang w:eastAsia="fr-FR"/>
              </w:rPr>
            </w:pPr>
            <w:proofErr w:type="spellStart"/>
            <w:r>
              <w:rPr>
                <w:lang w:eastAsia="fr-FR"/>
              </w:rPr>
              <w:t>hellp</w:t>
            </w:r>
            <w:proofErr w:type="spellEnd"/>
          </w:p>
        </w:tc>
        <w:tc>
          <w:tcPr>
            <w:tcW w:w="1158"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Total   %</w:t>
            </w:r>
          </w:p>
        </w:tc>
        <w:tc>
          <w:tcPr>
            <w:tcW w:w="105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RR</w:t>
            </w:r>
          </w:p>
          <w:p w:rsidR="0000639E" w:rsidRDefault="005A15D8">
            <w:pPr>
              <w:pStyle w:val="Sansinterligne"/>
              <w:spacing w:line="360" w:lineRule="auto"/>
              <w:jc w:val="both"/>
              <w:rPr>
                <w:lang w:eastAsia="fr-FR"/>
              </w:rPr>
            </w:pPr>
            <w:r>
              <w:rPr>
                <w:lang w:eastAsia="fr-FR"/>
              </w:rPr>
              <w:t>ICà95%</w:t>
            </w:r>
          </w:p>
        </w:tc>
        <w:tc>
          <w:tcPr>
            <w:tcW w:w="72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Khi2</w:t>
            </w:r>
          </w:p>
        </w:tc>
        <w:tc>
          <w:tcPr>
            <w:tcW w:w="94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 xml:space="preserve">P </w:t>
            </w:r>
          </w:p>
          <w:p w:rsidR="0000639E" w:rsidRDefault="005A15D8">
            <w:pPr>
              <w:pStyle w:val="Sansinterligne"/>
              <w:spacing w:line="360" w:lineRule="auto"/>
              <w:jc w:val="both"/>
              <w:rPr>
                <w:b/>
                <w:bCs/>
                <w:lang w:eastAsia="fr-FR"/>
              </w:rPr>
            </w:pPr>
            <w:r>
              <w:rPr>
                <w:b/>
                <w:bCs/>
                <w:lang w:eastAsia="fr-FR"/>
              </w:rPr>
              <w:t>Value</w:t>
            </w:r>
          </w:p>
        </w:tc>
      </w:tr>
      <w:tr w:rsidR="0000639E">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lang w:eastAsia="fr-FR"/>
              </w:rPr>
              <w:t>Renal failure</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153</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68.6</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157</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15.2</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310</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24.7</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6.66</w:t>
            </w:r>
          </w:p>
          <w:p w:rsidR="0000639E" w:rsidRDefault="005A15D8">
            <w:pPr>
              <w:pStyle w:val="Sansinterligne"/>
              <w:spacing w:line="360" w:lineRule="auto"/>
              <w:jc w:val="both"/>
              <w:rPr>
                <w:b/>
                <w:bCs/>
                <w:lang w:eastAsia="fr-FR"/>
              </w:rPr>
            </w:pPr>
            <w:r>
              <w:rPr>
                <w:b/>
                <w:bCs/>
                <w:lang w:eastAsia="fr-FR"/>
              </w:rPr>
              <w:t>5.17-5.56</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280.7</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&lt;0.0001</w:t>
            </w:r>
          </w:p>
        </w:tc>
      </w:tr>
      <w:tr w:rsidR="0000639E">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lang w:eastAsia="fr-FR"/>
              </w:rPr>
              <w:t>Placental abruption</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33</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14.8</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145</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14.1</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178</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14.2</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1.05</w:t>
            </w:r>
          </w:p>
          <w:p w:rsidR="0000639E" w:rsidRDefault="005A15D8">
            <w:pPr>
              <w:pStyle w:val="Sansinterligne"/>
              <w:spacing w:line="360" w:lineRule="auto"/>
              <w:jc w:val="both"/>
              <w:rPr>
                <w:lang w:eastAsia="fr-FR"/>
              </w:rPr>
            </w:pPr>
            <w:r>
              <w:rPr>
                <w:lang w:eastAsia="fr-FR"/>
              </w:rPr>
              <w:t>0.75-1.47</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0.08</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0.7758</w:t>
            </w:r>
          </w:p>
        </w:tc>
      </w:tr>
      <w:tr w:rsidR="0000639E">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lang w:eastAsia="fr-FR"/>
              </w:rPr>
              <w:t>Eclampsia</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49</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22.0</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81</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7.9</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130</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10.4</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2.43</w:t>
            </w:r>
          </w:p>
          <w:p w:rsidR="0000639E" w:rsidRDefault="005A15D8">
            <w:pPr>
              <w:pStyle w:val="Sansinterligne"/>
              <w:spacing w:line="360" w:lineRule="auto"/>
              <w:jc w:val="both"/>
            </w:pPr>
            <w:r>
              <w:rPr>
                <w:rStyle w:val="Policepardfaut"/>
                <w:b/>
                <w:bCs/>
                <w:lang w:eastAsia="fr-FR"/>
              </w:rPr>
              <w:t>1.88-3.16</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39.32</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&lt;0.0001</w:t>
            </w:r>
          </w:p>
        </w:tc>
      </w:tr>
      <w:tr w:rsidR="0000639E">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 xml:space="preserve">Intrauterine </w:t>
            </w:r>
          </w:p>
          <w:p w:rsidR="0000639E" w:rsidRDefault="005A15D8">
            <w:pPr>
              <w:pStyle w:val="Sansinterligne"/>
              <w:spacing w:line="360" w:lineRule="auto"/>
              <w:jc w:val="both"/>
            </w:pPr>
            <w:r>
              <w:rPr>
                <w:rStyle w:val="Policepardfaut"/>
                <w:lang w:eastAsia="fr-FR"/>
              </w:rPr>
              <w:t>growth restriction</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75</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33.6</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289</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28.0</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364</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29.0</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1.24</w:t>
            </w:r>
          </w:p>
          <w:p w:rsidR="0000639E" w:rsidRDefault="005A15D8">
            <w:pPr>
              <w:pStyle w:val="Sansinterligne"/>
              <w:spacing w:line="360" w:lineRule="auto"/>
              <w:jc w:val="both"/>
              <w:rPr>
                <w:lang w:eastAsia="fr-FR"/>
              </w:rPr>
            </w:pPr>
            <w:r>
              <w:rPr>
                <w:lang w:eastAsia="fr-FR"/>
              </w:rPr>
              <w:t>0.9-1.6</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2.89</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0.0889</w:t>
            </w:r>
          </w:p>
        </w:tc>
      </w:tr>
      <w:tr w:rsidR="0000639E">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proofErr w:type="spellStart"/>
            <w:r>
              <w:rPr>
                <w:rStyle w:val="Policepardfaut"/>
                <w:lang w:eastAsia="fr-FR"/>
              </w:rPr>
              <w:t>Hemostatic</w:t>
            </w:r>
            <w:proofErr w:type="spellEnd"/>
            <w:r>
              <w:rPr>
                <w:rStyle w:val="Policepardfaut"/>
                <w:lang w:eastAsia="fr-FR"/>
              </w:rPr>
              <w:t xml:space="preserve"> disorder</w:t>
            </w:r>
          </w:p>
        </w:tc>
        <w:tc>
          <w:tcPr>
            <w:tcW w:w="586"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30</w:t>
            </w:r>
          </w:p>
        </w:tc>
        <w:tc>
          <w:tcPr>
            <w:tcW w:w="645"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b/>
                <w:kern w:val="0"/>
                <w:lang w:eastAsia="fr-FR"/>
              </w:rPr>
            </w:pPr>
            <w:r>
              <w:rPr>
                <w:rFonts w:ascii="Times New Roman" w:eastAsia="Calibri" w:hAnsi="Times New Roman" w:cs="Times New Roman"/>
                <w:b/>
                <w:kern w:val="0"/>
                <w:lang w:eastAsia="fr-FR"/>
              </w:rPr>
              <w:t>13.5</w:t>
            </w:r>
          </w:p>
        </w:tc>
        <w:tc>
          <w:tcPr>
            <w:tcW w:w="551"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6</w:t>
            </w:r>
          </w:p>
        </w:tc>
        <w:tc>
          <w:tcPr>
            <w:tcW w:w="607"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0.6</w:t>
            </w:r>
          </w:p>
        </w:tc>
        <w:tc>
          <w:tcPr>
            <w:tcW w:w="551"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36</w:t>
            </w:r>
          </w:p>
        </w:tc>
        <w:tc>
          <w:tcPr>
            <w:tcW w:w="607"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13.5</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5.25</w:t>
            </w:r>
          </w:p>
          <w:p w:rsidR="0000639E" w:rsidRDefault="005A15D8">
            <w:pPr>
              <w:pStyle w:val="Sansinterligne"/>
              <w:spacing w:line="360" w:lineRule="auto"/>
              <w:jc w:val="both"/>
              <w:rPr>
                <w:b/>
                <w:lang w:eastAsia="fr-FR"/>
              </w:rPr>
            </w:pPr>
            <w:r>
              <w:rPr>
                <w:b/>
                <w:lang w:eastAsia="fr-FR"/>
              </w:rPr>
              <w:t>4.32-6.39</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108.9</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&lt;0.0001</w:t>
            </w:r>
          </w:p>
        </w:tc>
      </w:tr>
      <w:tr w:rsidR="0000639E">
        <w:trPr>
          <w:jc w:val="center"/>
        </w:trPr>
        <w:tc>
          <w:tcPr>
            <w:tcW w:w="2130"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lev"/>
                <w:b w:val="0"/>
                <w:bCs w:val="0"/>
                <w:lang w:eastAsia="fr-FR"/>
              </w:rPr>
              <w:t>Hypertensive crisis</w:t>
            </w:r>
          </w:p>
        </w:tc>
        <w:tc>
          <w:tcPr>
            <w:tcW w:w="58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91</w:t>
            </w:r>
          </w:p>
        </w:tc>
        <w:tc>
          <w:tcPr>
            <w:tcW w:w="64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85.7</w:t>
            </w:r>
          </w:p>
        </w:tc>
        <w:tc>
          <w:tcPr>
            <w:tcW w:w="55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507</w:t>
            </w:r>
          </w:p>
        </w:tc>
        <w:tc>
          <w:tcPr>
            <w:tcW w:w="60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49.2</w:t>
            </w:r>
          </w:p>
        </w:tc>
        <w:tc>
          <w:tcPr>
            <w:tcW w:w="55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698</w:t>
            </w:r>
          </w:p>
        </w:tc>
        <w:tc>
          <w:tcPr>
            <w:tcW w:w="60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55.7</w:t>
            </w:r>
          </w:p>
        </w:tc>
        <w:tc>
          <w:tcPr>
            <w:tcW w:w="105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4.75</w:t>
            </w:r>
          </w:p>
          <w:p w:rsidR="0000639E" w:rsidRDefault="005A15D8">
            <w:pPr>
              <w:pStyle w:val="Sansinterligne"/>
              <w:spacing w:line="360" w:lineRule="auto"/>
              <w:jc w:val="both"/>
              <w:rPr>
                <w:b/>
                <w:bCs/>
                <w:lang w:eastAsia="fr-FR"/>
              </w:rPr>
            </w:pPr>
            <w:r>
              <w:rPr>
                <w:b/>
                <w:bCs/>
                <w:lang w:eastAsia="fr-FR"/>
              </w:rPr>
              <w:t>3.33-6.80</w:t>
            </w:r>
          </w:p>
        </w:tc>
        <w:tc>
          <w:tcPr>
            <w:tcW w:w="72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101.2</w:t>
            </w:r>
          </w:p>
        </w:tc>
        <w:tc>
          <w:tcPr>
            <w:tcW w:w="94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&lt;0.0001</w:t>
            </w:r>
          </w:p>
        </w:tc>
      </w:tr>
    </w:tbl>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lastRenderedPageBreak/>
        <w:t>Table 4: Conservative Management According to Gestational Age</w:t>
      </w:r>
    </w:p>
    <w:tbl>
      <w:tblPr>
        <w:tblW w:w="7162" w:type="dxa"/>
        <w:tblCellMar>
          <w:left w:w="10" w:type="dxa"/>
          <w:right w:w="10" w:type="dxa"/>
        </w:tblCellMar>
        <w:tblLook w:val="0000" w:firstRow="0" w:lastRow="0" w:firstColumn="0" w:lastColumn="0" w:noHBand="0" w:noVBand="0"/>
      </w:tblPr>
      <w:tblGrid>
        <w:gridCol w:w="840"/>
        <w:gridCol w:w="705"/>
        <w:gridCol w:w="841"/>
        <w:gridCol w:w="1213"/>
        <w:gridCol w:w="973"/>
        <w:gridCol w:w="911"/>
        <w:gridCol w:w="846"/>
        <w:gridCol w:w="833"/>
      </w:tblGrid>
      <w:tr w:rsidR="0000639E">
        <w:tc>
          <w:tcPr>
            <w:tcW w:w="840"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 xml:space="preserve">Period </w:t>
            </w:r>
          </w:p>
        </w:tc>
        <w:tc>
          <w:tcPr>
            <w:tcW w:w="705"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proofErr w:type="spellStart"/>
            <w:r>
              <w:rPr>
                <w:lang w:eastAsia="fr-FR"/>
              </w:rPr>
              <w:t>Hellp</w:t>
            </w:r>
            <w:proofErr w:type="spellEnd"/>
          </w:p>
        </w:tc>
        <w:tc>
          <w:tcPr>
            <w:tcW w:w="84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ALT</w:t>
            </w:r>
          </w:p>
          <w:p w:rsidR="0000639E" w:rsidRDefault="005A15D8">
            <w:pPr>
              <w:pStyle w:val="Sansinterligne"/>
              <w:spacing w:line="276" w:lineRule="auto"/>
              <w:jc w:val="both"/>
              <w:rPr>
                <w:lang w:eastAsia="fr-FR"/>
              </w:rPr>
            </w:pPr>
            <w:r>
              <w:rPr>
                <w:lang w:eastAsia="fr-FR"/>
              </w:rPr>
              <w:t>&lt;28SA</w:t>
            </w:r>
          </w:p>
        </w:tc>
        <w:tc>
          <w:tcPr>
            <w:tcW w:w="121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Extremely</w:t>
            </w:r>
          </w:p>
          <w:p w:rsidR="0000639E" w:rsidRDefault="005A15D8">
            <w:pPr>
              <w:pStyle w:val="Sansinterligne"/>
              <w:spacing w:line="276" w:lineRule="auto"/>
              <w:jc w:val="both"/>
            </w:pPr>
            <w:r>
              <w:rPr>
                <w:rStyle w:val="Policepardfaut"/>
                <w:lang w:eastAsia="fr-FR"/>
              </w:rPr>
              <w:t xml:space="preserve"> preterm</w:t>
            </w:r>
          </w:p>
          <w:p w:rsidR="0000639E" w:rsidRDefault="005A15D8">
            <w:pPr>
              <w:pStyle w:val="Sansinterligne"/>
              <w:spacing w:line="276" w:lineRule="auto"/>
              <w:jc w:val="both"/>
              <w:rPr>
                <w:lang w:eastAsia="fr-FR"/>
              </w:rPr>
            </w:pPr>
            <w:r>
              <w:rPr>
                <w:lang w:eastAsia="fr-FR"/>
              </w:rPr>
              <w:t>28-32</w:t>
            </w:r>
          </w:p>
        </w:tc>
        <w:tc>
          <w:tcPr>
            <w:tcW w:w="97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Preterm</w:t>
            </w:r>
          </w:p>
          <w:p w:rsidR="0000639E" w:rsidRDefault="005A15D8">
            <w:pPr>
              <w:pStyle w:val="Sansinterligne"/>
              <w:spacing w:line="276" w:lineRule="auto"/>
              <w:jc w:val="both"/>
              <w:rPr>
                <w:lang w:eastAsia="fr-FR"/>
              </w:rPr>
            </w:pPr>
            <w:r>
              <w:rPr>
                <w:lang w:eastAsia="fr-FR"/>
              </w:rPr>
              <w:t>32-34</w:t>
            </w:r>
          </w:p>
        </w:tc>
        <w:tc>
          <w:tcPr>
            <w:tcW w:w="91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Preterm</w:t>
            </w:r>
          </w:p>
          <w:p w:rsidR="0000639E" w:rsidRDefault="005A15D8">
            <w:pPr>
              <w:pStyle w:val="Sansinterligne"/>
              <w:spacing w:line="276" w:lineRule="auto"/>
              <w:jc w:val="both"/>
              <w:rPr>
                <w:lang w:eastAsia="fr-FR"/>
              </w:rPr>
            </w:pPr>
            <w:r>
              <w:rPr>
                <w:lang w:eastAsia="fr-FR"/>
              </w:rPr>
              <w:t>34-37</w:t>
            </w:r>
          </w:p>
        </w:tc>
        <w:tc>
          <w:tcPr>
            <w:tcW w:w="84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 Terme</w:t>
            </w:r>
          </w:p>
          <w:p w:rsidR="0000639E" w:rsidRDefault="005A15D8">
            <w:pPr>
              <w:pStyle w:val="Sansinterligne"/>
              <w:spacing w:line="276" w:lineRule="auto"/>
              <w:jc w:val="both"/>
              <w:rPr>
                <w:lang w:eastAsia="fr-FR"/>
              </w:rPr>
            </w:pPr>
            <w:r>
              <w:rPr>
                <w:lang w:eastAsia="fr-FR"/>
              </w:rPr>
              <w:t>≥37</w:t>
            </w:r>
          </w:p>
        </w:tc>
        <w:tc>
          <w:tcPr>
            <w:tcW w:w="83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lang w:eastAsia="fr-FR"/>
              </w:rPr>
            </w:pPr>
            <w:r>
              <w:rPr>
                <w:b/>
                <w:lang w:eastAsia="fr-FR"/>
              </w:rPr>
              <w:t>p</w:t>
            </w:r>
          </w:p>
        </w:tc>
      </w:tr>
      <w:tr w:rsidR="0000639E">
        <w:tc>
          <w:tcPr>
            <w:tcW w:w="840" w:type="dxa"/>
            <w:vMerge w:val="restart"/>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T1                 </w:t>
            </w:r>
          </w:p>
          <w:p w:rsidR="0000639E" w:rsidRDefault="005A15D8">
            <w:pPr>
              <w:pStyle w:val="Sansinterligne"/>
              <w:spacing w:line="276" w:lineRule="auto"/>
              <w:jc w:val="both"/>
              <w:rPr>
                <w:lang w:eastAsia="fr-FR"/>
              </w:rPr>
            </w:pPr>
            <w:r>
              <w:rPr>
                <w:lang w:eastAsia="fr-FR"/>
              </w:rPr>
              <w:t xml:space="preserve">                     </w:t>
            </w:r>
          </w:p>
        </w:tc>
        <w:tc>
          <w:tcPr>
            <w:tcW w:w="705"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proofErr w:type="spellStart"/>
            <w:r>
              <w:rPr>
                <w:b/>
                <w:bCs/>
                <w:lang w:eastAsia="fr-FR"/>
              </w:rPr>
              <w:t>Oui</w:t>
            </w:r>
            <w:proofErr w:type="spellEnd"/>
            <w:r>
              <w:rPr>
                <w:b/>
                <w:bCs/>
                <w:lang w:eastAsia="fr-FR"/>
              </w:rPr>
              <w:t xml:space="preserve"> </w:t>
            </w:r>
          </w:p>
        </w:tc>
        <w:tc>
          <w:tcPr>
            <w:tcW w:w="84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5</w:t>
            </w:r>
          </w:p>
        </w:tc>
        <w:tc>
          <w:tcPr>
            <w:tcW w:w="121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62.5</w:t>
            </w:r>
          </w:p>
        </w:tc>
        <w:tc>
          <w:tcPr>
            <w:tcW w:w="97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23.8</w:t>
            </w:r>
          </w:p>
        </w:tc>
        <w:tc>
          <w:tcPr>
            <w:tcW w:w="91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22.2</w:t>
            </w:r>
          </w:p>
        </w:tc>
        <w:tc>
          <w:tcPr>
            <w:tcW w:w="846"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17.3</w:t>
            </w:r>
          </w:p>
        </w:tc>
        <w:tc>
          <w:tcPr>
            <w:tcW w:w="833" w:type="dxa"/>
            <w:shd w:val="clear" w:color="auto" w:fill="auto"/>
            <w:tcMar>
              <w:top w:w="0" w:type="dxa"/>
              <w:left w:w="108" w:type="dxa"/>
              <w:bottom w:w="0" w:type="dxa"/>
              <w:right w:w="108" w:type="dxa"/>
            </w:tcMar>
          </w:tcPr>
          <w:p w:rsidR="0000639E" w:rsidRDefault="005A15D8">
            <w:pPr>
              <w:pStyle w:val="Sansinterligne"/>
              <w:spacing w:line="276" w:lineRule="auto"/>
              <w:jc w:val="both"/>
              <w:rPr>
                <w:b/>
                <w:lang w:eastAsia="fr-FR"/>
              </w:rPr>
            </w:pPr>
            <w:r>
              <w:rPr>
                <w:b/>
                <w:lang w:eastAsia="fr-FR"/>
              </w:rPr>
              <w:t>0.0112</w:t>
            </w:r>
          </w:p>
        </w:tc>
      </w:tr>
      <w:tr w:rsidR="0000639E">
        <w:tc>
          <w:tcPr>
            <w:tcW w:w="840" w:type="dxa"/>
            <w:vMerge/>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70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Non </w:t>
            </w:r>
          </w:p>
        </w:tc>
        <w:tc>
          <w:tcPr>
            <w:tcW w:w="84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w:t>
            </w:r>
          </w:p>
        </w:tc>
        <w:tc>
          <w:tcPr>
            <w:tcW w:w="1213"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37.5</w:t>
            </w:r>
          </w:p>
        </w:tc>
        <w:tc>
          <w:tcPr>
            <w:tcW w:w="973"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76.2</w:t>
            </w:r>
          </w:p>
        </w:tc>
        <w:tc>
          <w:tcPr>
            <w:tcW w:w="91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77.8</w:t>
            </w:r>
          </w:p>
        </w:tc>
        <w:tc>
          <w:tcPr>
            <w:tcW w:w="846"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82.7</w:t>
            </w:r>
          </w:p>
        </w:tc>
        <w:tc>
          <w:tcPr>
            <w:tcW w:w="833" w:type="dxa"/>
            <w:shd w:val="clear" w:color="auto" w:fill="auto"/>
            <w:tcMar>
              <w:top w:w="0" w:type="dxa"/>
              <w:left w:w="108" w:type="dxa"/>
              <w:bottom w:w="0" w:type="dxa"/>
              <w:right w:w="108" w:type="dxa"/>
            </w:tcMar>
          </w:tcPr>
          <w:p w:rsidR="0000639E" w:rsidRDefault="0000639E">
            <w:pPr>
              <w:pStyle w:val="Sansinterligne"/>
              <w:spacing w:line="276" w:lineRule="auto"/>
              <w:jc w:val="both"/>
              <w:rPr>
                <w:b/>
                <w:lang w:eastAsia="fr-FR"/>
              </w:rPr>
            </w:pPr>
          </w:p>
        </w:tc>
      </w:tr>
      <w:tr w:rsidR="0000639E">
        <w:tc>
          <w:tcPr>
            <w:tcW w:w="840"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T2                 </w:t>
            </w:r>
          </w:p>
          <w:p w:rsidR="0000639E" w:rsidRDefault="005A15D8">
            <w:pPr>
              <w:pStyle w:val="Sansinterligne"/>
              <w:spacing w:line="276" w:lineRule="auto"/>
              <w:jc w:val="both"/>
              <w:rPr>
                <w:lang w:eastAsia="fr-FR"/>
              </w:rPr>
            </w:pPr>
            <w:r>
              <w:rPr>
                <w:lang w:eastAsia="fr-FR"/>
              </w:rPr>
              <w:t xml:space="preserve">                     </w:t>
            </w:r>
          </w:p>
        </w:tc>
        <w:tc>
          <w:tcPr>
            <w:tcW w:w="705"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proofErr w:type="spellStart"/>
            <w:r>
              <w:rPr>
                <w:b/>
                <w:bCs/>
                <w:lang w:eastAsia="fr-FR"/>
              </w:rPr>
              <w:t>Oui</w:t>
            </w:r>
            <w:proofErr w:type="spellEnd"/>
            <w:r>
              <w:rPr>
                <w:b/>
                <w:bCs/>
                <w:lang w:eastAsia="fr-FR"/>
              </w:rPr>
              <w:t xml:space="preserve"> </w:t>
            </w:r>
          </w:p>
        </w:tc>
        <w:tc>
          <w:tcPr>
            <w:tcW w:w="84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0.0</w:t>
            </w:r>
          </w:p>
        </w:tc>
        <w:tc>
          <w:tcPr>
            <w:tcW w:w="121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70.9</w:t>
            </w:r>
          </w:p>
        </w:tc>
        <w:tc>
          <w:tcPr>
            <w:tcW w:w="97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73.0</w:t>
            </w:r>
          </w:p>
        </w:tc>
        <w:tc>
          <w:tcPr>
            <w:tcW w:w="91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6.7</w:t>
            </w:r>
          </w:p>
        </w:tc>
        <w:tc>
          <w:tcPr>
            <w:tcW w:w="846"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0.0</w:t>
            </w:r>
          </w:p>
        </w:tc>
        <w:tc>
          <w:tcPr>
            <w:tcW w:w="833" w:type="dxa"/>
            <w:shd w:val="clear" w:color="auto" w:fill="auto"/>
            <w:tcMar>
              <w:top w:w="0" w:type="dxa"/>
              <w:left w:w="108" w:type="dxa"/>
              <w:bottom w:w="0" w:type="dxa"/>
              <w:right w:w="108" w:type="dxa"/>
            </w:tcMar>
          </w:tcPr>
          <w:p w:rsidR="0000639E" w:rsidRDefault="005A15D8">
            <w:pPr>
              <w:pStyle w:val="Sansinterligne"/>
              <w:spacing w:line="276" w:lineRule="auto"/>
              <w:jc w:val="both"/>
              <w:rPr>
                <w:b/>
                <w:lang w:eastAsia="fr-FR"/>
              </w:rPr>
            </w:pPr>
            <w:r>
              <w:rPr>
                <w:b/>
                <w:lang w:eastAsia="fr-FR"/>
              </w:rPr>
              <w:t>0.0019</w:t>
            </w:r>
          </w:p>
        </w:tc>
      </w:tr>
      <w:tr w:rsidR="0000639E">
        <w:tc>
          <w:tcPr>
            <w:tcW w:w="840"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70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Non </w:t>
            </w:r>
          </w:p>
        </w:tc>
        <w:tc>
          <w:tcPr>
            <w:tcW w:w="84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100</w:t>
            </w:r>
          </w:p>
        </w:tc>
        <w:tc>
          <w:tcPr>
            <w:tcW w:w="121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29.1</w:t>
            </w:r>
          </w:p>
        </w:tc>
        <w:tc>
          <w:tcPr>
            <w:tcW w:w="97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27.0</w:t>
            </w:r>
          </w:p>
        </w:tc>
        <w:tc>
          <w:tcPr>
            <w:tcW w:w="91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93.3</w:t>
            </w:r>
          </w:p>
        </w:tc>
        <w:tc>
          <w:tcPr>
            <w:tcW w:w="84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100</w:t>
            </w:r>
          </w:p>
        </w:tc>
        <w:tc>
          <w:tcPr>
            <w:tcW w:w="833"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r>
    </w:tbl>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5: Comparison of the Duration of Conservative Management</w:t>
      </w:r>
    </w:p>
    <w:tbl>
      <w:tblPr>
        <w:tblW w:w="6715" w:type="dxa"/>
        <w:tblCellMar>
          <w:left w:w="10" w:type="dxa"/>
          <w:right w:w="10" w:type="dxa"/>
        </w:tblCellMar>
        <w:tblLook w:val="0000" w:firstRow="0" w:lastRow="0" w:firstColumn="0" w:lastColumn="0" w:noHBand="0" w:noVBand="0"/>
      </w:tblPr>
      <w:tblGrid>
        <w:gridCol w:w="787"/>
        <w:gridCol w:w="898"/>
        <w:gridCol w:w="931"/>
        <w:gridCol w:w="735"/>
        <w:gridCol w:w="1104"/>
        <w:gridCol w:w="638"/>
        <w:gridCol w:w="675"/>
        <w:gridCol w:w="947"/>
      </w:tblGrid>
      <w:tr w:rsidR="0000639E">
        <w:trPr>
          <w:trHeight w:val="418"/>
        </w:trPr>
        <w:tc>
          <w:tcPr>
            <w:tcW w:w="78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val="en-US" w:eastAsia="fr-FR"/>
              </w:rPr>
            </w:pPr>
            <w:r>
              <w:rPr>
                <w:lang w:val="en-US" w:eastAsia="fr-FR"/>
              </w:rPr>
              <w:t>Period</w:t>
            </w:r>
          </w:p>
        </w:tc>
        <w:tc>
          <w:tcPr>
            <w:tcW w:w="898"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val="en-US" w:eastAsia="fr-FR"/>
              </w:rPr>
            </w:pPr>
            <w:r>
              <w:rPr>
                <w:lang w:val="en-US" w:eastAsia="fr-FR"/>
              </w:rPr>
              <w:t>HELLP</w:t>
            </w:r>
          </w:p>
        </w:tc>
        <w:tc>
          <w:tcPr>
            <w:tcW w:w="93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Sample </w:t>
            </w:r>
          </w:p>
          <w:p w:rsidR="0000639E" w:rsidRDefault="005A15D8">
            <w:pPr>
              <w:pStyle w:val="Sansinterligne"/>
              <w:spacing w:line="276" w:lineRule="auto"/>
              <w:jc w:val="both"/>
            </w:pPr>
            <w:r>
              <w:rPr>
                <w:rStyle w:val="Policepardfaut"/>
                <w:lang w:eastAsia="fr-FR"/>
              </w:rPr>
              <w:t xml:space="preserve">size (n) </w:t>
            </w:r>
          </w:p>
        </w:tc>
        <w:tc>
          <w:tcPr>
            <w:tcW w:w="735"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Mean </w:t>
            </w:r>
          </w:p>
        </w:tc>
        <w:tc>
          <w:tcPr>
            <w:tcW w:w="1104"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Standard </w:t>
            </w:r>
          </w:p>
          <w:p w:rsidR="0000639E" w:rsidRDefault="005A15D8">
            <w:pPr>
              <w:pStyle w:val="Sansinterligne"/>
              <w:spacing w:line="276" w:lineRule="auto"/>
              <w:jc w:val="both"/>
            </w:pPr>
            <w:r>
              <w:rPr>
                <w:rStyle w:val="Policepardfaut"/>
                <w:lang w:eastAsia="fr-FR"/>
              </w:rPr>
              <w:t xml:space="preserve">deviation </w:t>
            </w:r>
          </w:p>
        </w:tc>
        <w:tc>
          <w:tcPr>
            <w:tcW w:w="638"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Min.</w:t>
            </w:r>
          </w:p>
        </w:tc>
        <w:tc>
          <w:tcPr>
            <w:tcW w:w="675"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Max.</w:t>
            </w:r>
          </w:p>
        </w:tc>
        <w:tc>
          <w:tcPr>
            <w:tcW w:w="94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P Val</w:t>
            </w:r>
          </w:p>
        </w:tc>
      </w:tr>
      <w:tr w:rsidR="0000639E">
        <w:tc>
          <w:tcPr>
            <w:tcW w:w="787" w:type="dxa"/>
            <w:vMerge w:val="restart"/>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T1</w:t>
            </w:r>
          </w:p>
        </w:tc>
        <w:tc>
          <w:tcPr>
            <w:tcW w:w="89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N </w:t>
            </w:r>
          </w:p>
        </w:tc>
        <w:tc>
          <w:tcPr>
            <w:tcW w:w="93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128 </w:t>
            </w:r>
          </w:p>
        </w:tc>
        <w:tc>
          <w:tcPr>
            <w:tcW w:w="73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4.59 </w:t>
            </w:r>
          </w:p>
        </w:tc>
        <w:tc>
          <w:tcPr>
            <w:tcW w:w="1104"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4.56 </w:t>
            </w:r>
          </w:p>
        </w:tc>
        <w:tc>
          <w:tcPr>
            <w:tcW w:w="63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7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25</w:t>
            </w:r>
          </w:p>
        </w:tc>
        <w:tc>
          <w:tcPr>
            <w:tcW w:w="947" w:type="dxa"/>
            <w:vMerge w:val="restart"/>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0.5813</w:t>
            </w:r>
          </w:p>
        </w:tc>
      </w:tr>
      <w:tr w:rsidR="0000639E">
        <w:tc>
          <w:tcPr>
            <w:tcW w:w="787" w:type="dxa"/>
            <w:vMerge/>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89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O </w:t>
            </w:r>
          </w:p>
        </w:tc>
        <w:tc>
          <w:tcPr>
            <w:tcW w:w="93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13</w:t>
            </w:r>
          </w:p>
        </w:tc>
        <w:tc>
          <w:tcPr>
            <w:tcW w:w="735"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 xml:space="preserve">4.12 </w:t>
            </w:r>
          </w:p>
        </w:tc>
        <w:tc>
          <w:tcPr>
            <w:tcW w:w="1104"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3.53 </w:t>
            </w:r>
          </w:p>
        </w:tc>
        <w:tc>
          <w:tcPr>
            <w:tcW w:w="63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7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w:t>
            </w:r>
          </w:p>
        </w:tc>
        <w:tc>
          <w:tcPr>
            <w:tcW w:w="947" w:type="dxa"/>
            <w:vMerge/>
            <w:shd w:val="clear" w:color="auto" w:fill="auto"/>
            <w:tcMar>
              <w:top w:w="0" w:type="dxa"/>
              <w:left w:w="108" w:type="dxa"/>
              <w:bottom w:w="0" w:type="dxa"/>
              <w:right w:w="108" w:type="dxa"/>
            </w:tcMar>
          </w:tcPr>
          <w:p w:rsidR="0000639E" w:rsidRDefault="0000639E">
            <w:pPr>
              <w:pStyle w:val="Sansinterligne"/>
              <w:spacing w:line="276" w:lineRule="auto"/>
              <w:jc w:val="both"/>
              <w:rPr>
                <w:b/>
                <w:bCs/>
                <w:lang w:eastAsia="fr-FR"/>
              </w:rPr>
            </w:pPr>
          </w:p>
        </w:tc>
      </w:tr>
      <w:tr w:rsidR="0000639E">
        <w:tc>
          <w:tcPr>
            <w:tcW w:w="787"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T2</w:t>
            </w:r>
          </w:p>
        </w:tc>
        <w:tc>
          <w:tcPr>
            <w:tcW w:w="89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N</w:t>
            </w:r>
          </w:p>
        </w:tc>
        <w:tc>
          <w:tcPr>
            <w:tcW w:w="93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107 </w:t>
            </w:r>
          </w:p>
        </w:tc>
        <w:tc>
          <w:tcPr>
            <w:tcW w:w="73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7.19 </w:t>
            </w:r>
          </w:p>
        </w:tc>
        <w:tc>
          <w:tcPr>
            <w:tcW w:w="1104"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5.58 </w:t>
            </w:r>
          </w:p>
        </w:tc>
        <w:tc>
          <w:tcPr>
            <w:tcW w:w="63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7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20</w:t>
            </w:r>
          </w:p>
        </w:tc>
        <w:tc>
          <w:tcPr>
            <w:tcW w:w="947"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c>
          <w:tcPr>
            <w:tcW w:w="787"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898"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O</w:t>
            </w:r>
          </w:p>
        </w:tc>
        <w:tc>
          <w:tcPr>
            <w:tcW w:w="93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54 </w:t>
            </w:r>
          </w:p>
        </w:tc>
        <w:tc>
          <w:tcPr>
            <w:tcW w:w="73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 xml:space="preserve">2.11 </w:t>
            </w:r>
          </w:p>
        </w:tc>
        <w:tc>
          <w:tcPr>
            <w:tcW w:w="1104"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2.50 </w:t>
            </w:r>
          </w:p>
        </w:tc>
        <w:tc>
          <w:tcPr>
            <w:tcW w:w="638"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w:t>
            </w:r>
          </w:p>
        </w:tc>
        <w:tc>
          <w:tcPr>
            <w:tcW w:w="67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16</w:t>
            </w:r>
          </w:p>
        </w:tc>
        <w:tc>
          <w:tcPr>
            <w:tcW w:w="947"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r>
    </w:tbl>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Table </w:t>
      </w:r>
      <w:proofErr w:type="gramStart"/>
      <w:r>
        <w:rPr>
          <w:rStyle w:val="Policepardfaut"/>
          <w:rFonts w:ascii="Times New Roman" w:eastAsia="Times New Roman" w:hAnsi="Times New Roman" w:cs="Times New Roman"/>
          <w:b/>
          <w:bCs/>
          <w:kern w:val="0"/>
          <w:sz w:val="24"/>
          <w:szCs w:val="24"/>
          <w:lang w:val="fr-FR" w:eastAsia="fr-FR"/>
        </w:rPr>
        <w:t>6:</w:t>
      </w:r>
      <w:proofErr w:type="gramEnd"/>
      <w:r>
        <w:rPr>
          <w:rStyle w:val="Policepardfaut"/>
          <w:rFonts w:ascii="Times New Roman" w:eastAsia="Times New Roman" w:hAnsi="Times New Roman" w:cs="Times New Roman"/>
          <w:b/>
          <w:bCs/>
          <w:kern w:val="0"/>
          <w:sz w:val="24"/>
          <w:szCs w:val="24"/>
          <w:lang w:val="fr-FR" w:eastAsia="fr-FR"/>
        </w:rPr>
        <w:t xml:space="preserve"> </w:t>
      </w:r>
      <w:proofErr w:type="spellStart"/>
      <w:r>
        <w:rPr>
          <w:rStyle w:val="Policepardfaut"/>
          <w:rFonts w:ascii="Times New Roman" w:eastAsia="Times New Roman" w:hAnsi="Times New Roman" w:cs="Times New Roman"/>
          <w:b/>
          <w:bCs/>
          <w:kern w:val="0"/>
          <w:sz w:val="24"/>
          <w:szCs w:val="24"/>
          <w:lang w:val="fr-FR" w:eastAsia="fr-FR"/>
        </w:rPr>
        <w:t>Prenatal</w:t>
      </w:r>
      <w:proofErr w:type="spellEnd"/>
      <w:r>
        <w:rPr>
          <w:rStyle w:val="Policepardfaut"/>
          <w:rFonts w:ascii="Times New Roman" w:eastAsia="Times New Roman" w:hAnsi="Times New Roman" w:cs="Times New Roman"/>
          <w:b/>
          <w:bCs/>
          <w:kern w:val="0"/>
          <w:sz w:val="24"/>
          <w:szCs w:val="24"/>
          <w:lang w:val="fr-FR" w:eastAsia="fr-FR"/>
        </w:rPr>
        <w:t xml:space="preserve"> </w:t>
      </w:r>
      <w:proofErr w:type="spellStart"/>
      <w:r>
        <w:rPr>
          <w:rStyle w:val="Policepardfaut"/>
          <w:rFonts w:ascii="Times New Roman" w:eastAsia="Times New Roman" w:hAnsi="Times New Roman" w:cs="Times New Roman"/>
          <w:b/>
          <w:bCs/>
          <w:kern w:val="0"/>
          <w:sz w:val="24"/>
          <w:szCs w:val="24"/>
          <w:lang w:val="fr-FR" w:eastAsia="fr-FR"/>
        </w:rPr>
        <w:t>Preventive</w:t>
      </w:r>
      <w:proofErr w:type="spellEnd"/>
      <w:r>
        <w:rPr>
          <w:rStyle w:val="Policepardfaut"/>
          <w:rFonts w:ascii="Times New Roman" w:eastAsia="Times New Roman" w:hAnsi="Times New Roman" w:cs="Times New Roman"/>
          <w:b/>
          <w:bCs/>
          <w:kern w:val="0"/>
          <w:sz w:val="24"/>
          <w:szCs w:val="24"/>
          <w:lang w:val="fr-FR" w:eastAsia="fr-FR"/>
        </w:rPr>
        <w:t xml:space="preserve"> </w:t>
      </w:r>
      <w:proofErr w:type="spellStart"/>
      <w:r>
        <w:rPr>
          <w:rStyle w:val="Policepardfaut"/>
          <w:rFonts w:ascii="Times New Roman" w:eastAsia="Times New Roman" w:hAnsi="Times New Roman" w:cs="Times New Roman"/>
          <w:b/>
          <w:bCs/>
          <w:kern w:val="0"/>
          <w:sz w:val="24"/>
          <w:szCs w:val="24"/>
          <w:lang w:val="fr-FR" w:eastAsia="fr-FR"/>
        </w:rPr>
        <w:t>Corticosteroid</w:t>
      </w:r>
      <w:proofErr w:type="spellEnd"/>
      <w:r>
        <w:rPr>
          <w:rStyle w:val="Policepardfaut"/>
          <w:rFonts w:ascii="Times New Roman" w:eastAsia="Times New Roman" w:hAnsi="Times New Roman" w:cs="Times New Roman"/>
          <w:b/>
          <w:bCs/>
          <w:kern w:val="0"/>
          <w:sz w:val="24"/>
          <w:szCs w:val="24"/>
          <w:lang w:val="fr-FR" w:eastAsia="fr-FR"/>
        </w:rPr>
        <w:t xml:space="preserve"> </w:t>
      </w:r>
      <w:proofErr w:type="spellStart"/>
      <w:r>
        <w:rPr>
          <w:rStyle w:val="Policepardfaut"/>
          <w:rFonts w:ascii="Times New Roman" w:eastAsia="Times New Roman" w:hAnsi="Times New Roman" w:cs="Times New Roman"/>
          <w:b/>
          <w:bCs/>
          <w:kern w:val="0"/>
          <w:sz w:val="24"/>
          <w:szCs w:val="24"/>
          <w:lang w:val="fr-FR" w:eastAsia="fr-FR"/>
        </w:rPr>
        <w:t>Therapy</w:t>
      </w:r>
      <w:proofErr w:type="spellEnd"/>
    </w:p>
    <w:tbl>
      <w:tblPr>
        <w:tblW w:w="7270" w:type="dxa"/>
        <w:tblCellMar>
          <w:left w:w="10" w:type="dxa"/>
          <w:right w:w="10" w:type="dxa"/>
        </w:tblCellMar>
        <w:tblLook w:val="0000" w:firstRow="0" w:lastRow="0" w:firstColumn="0" w:lastColumn="0" w:noHBand="0" w:noVBand="0"/>
      </w:tblPr>
      <w:tblGrid>
        <w:gridCol w:w="2369"/>
        <w:gridCol w:w="904"/>
        <w:gridCol w:w="661"/>
        <w:gridCol w:w="1274"/>
        <w:gridCol w:w="661"/>
        <w:gridCol w:w="740"/>
        <w:gridCol w:w="661"/>
      </w:tblGrid>
      <w:tr w:rsidR="0000639E">
        <w:trPr>
          <w:trHeight w:val="315"/>
        </w:trPr>
        <w:tc>
          <w:tcPr>
            <w:tcW w:w="2369"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suppressAutoHyphens w:val="0"/>
              <w:spacing w:before="100" w:after="100"/>
              <w:textAlignment w:val="auto"/>
              <w:rPr>
                <w:rFonts w:ascii="Times New Roman" w:eastAsia="Times New Roman" w:hAnsi="Times New Roman" w:cs="Times New Roman"/>
                <w:kern w:val="0"/>
                <w:sz w:val="24"/>
                <w:szCs w:val="24"/>
                <w:lang w:val="fr-FR" w:eastAsia="fr-FR"/>
              </w:rPr>
            </w:pPr>
            <w:proofErr w:type="spellStart"/>
            <w:r>
              <w:rPr>
                <w:rFonts w:ascii="Times New Roman" w:eastAsia="Times New Roman" w:hAnsi="Times New Roman" w:cs="Times New Roman"/>
                <w:kern w:val="0"/>
                <w:sz w:val="24"/>
                <w:szCs w:val="24"/>
                <w:lang w:val="fr-FR" w:eastAsia="fr-FR"/>
              </w:rPr>
              <w:t>Corticosteroid</w:t>
            </w:r>
            <w:proofErr w:type="spellEnd"/>
            <w:r>
              <w:rPr>
                <w:rFonts w:ascii="Times New Roman" w:eastAsia="Times New Roman" w:hAnsi="Times New Roman" w:cs="Times New Roman"/>
                <w:kern w:val="0"/>
                <w:sz w:val="24"/>
                <w:szCs w:val="24"/>
                <w:lang w:val="fr-FR" w:eastAsia="fr-FR"/>
              </w:rPr>
              <w:t xml:space="preserve"> </w:t>
            </w:r>
            <w:proofErr w:type="spellStart"/>
            <w:r>
              <w:rPr>
                <w:rFonts w:ascii="Times New Roman" w:eastAsia="Times New Roman" w:hAnsi="Times New Roman" w:cs="Times New Roman"/>
                <w:kern w:val="0"/>
                <w:sz w:val="24"/>
                <w:szCs w:val="24"/>
                <w:lang w:val="fr-FR" w:eastAsia="fr-FR"/>
              </w:rPr>
              <w:t>therapy</w:t>
            </w:r>
            <w:proofErr w:type="spellEnd"/>
          </w:p>
          <w:p w:rsidR="0000639E" w:rsidRDefault="0000639E">
            <w:pPr>
              <w:pStyle w:val="Sous-titre"/>
              <w:spacing w:after="0"/>
              <w:jc w:val="both"/>
              <w:rPr>
                <w:rFonts w:ascii="Times New Roman" w:hAnsi="Times New Roman"/>
                <w:b/>
                <w:bCs/>
                <w:sz w:val="22"/>
                <w:szCs w:val="22"/>
              </w:rPr>
            </w:pPr>
          </w:p>
        </w:tc>
        <w:tc>
          <w:tcPr>
            <w:tcW w:w="904"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 w:name="_Toc26429559"/>
            <w:bookmarkStart w:id="5" w:name="_Toc26467111"/>
            <w:proofErr w:type="spellStart"/>
            <w:r>
              <w:rPr>
                <w:rFonts w:ascii="Times New Roman" w:hAnsi="Times New Roman"/>
                <w:sz w:val="22"/>
                <w:szCs w:val="22"/>
              </w:rPr>
              <w:t>Hellp</w:t>
            </w:r>
            <w:bookmarkEnd w:id="4"/>
            <w:bookmarkEnd w:id="5"/>
            <w:proofErr w:type="spellEnd"/>
          </w:p>
          <w:p w:rsidR="0000639E" w:rsidRDefault="005A15D8">
            <w:pPr>
              <w:pStyle w:val="Sous-titre"/>
              <w:spacing w:after="0"/>
              <w:jc w:val="both"/>
              <w:rPr>
                <w:rFonts w:ascii="Times New Roman" w:hAnsi="Times New Roman"/>
                <w:sz w:val="22"/>
                <w:szCs w:val="22"/>
              </w:rPr>
            </w:pPr>
            <w:bookmarkStart w:id="6" w:name="_Toc26429560"/>
            <w:bookmarkStart w:id="7" w:name="_Toc26467112"/>
            <w:r>
              <w:rPr>
                <w:rFonts w:ascii="Times New Roman" w:hAnsi="Times New Roman"/>
                <w:sz w:val="22"/>
                <w:szCs w:val="22"/>
              </w:rPr>
              <w:t>N=223</w:t>
            </w:r>
            <w:bookmarkEnd w:id="6"/>
            <w:bookmarkEnd w:id="7"/>
          </w:p>
        </w:tc>
        <w:tc>
          <w:tcPr>
            <w:tcW w:w="66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8" w:name="_Toc26429561"/>
            <w:bookmarkStart w:id="9" w:name="_Toc26467113"/>
            <w:r>
              <w:rPr>
                <w:rFonts w:ascii="Times New Roman" w:hAnsi="Times New Roman"/>
                <w:sz w:val="22"/>
                <w:szCs w:val="22"/>
              </w:rPr>
              <w:t>%</w:t>
            </w:r>
            <w:bookmarkEnd w:id="8"/>
            <w:bookmarkEnd w:id="9"/>
          </w:p>
        </w:tc>
        <w:tc>
          <w:tcPr>
            <w:tcW w:w="1274"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0" w:name="_Toc26429562"/>
            <w:bookmarkStart w:id="11" w:name="_Toc26467114"/>
            <w:r>
              <w:rPr>
                <w:rFonts w:ascii="Times New Roman" w:hAnsi="Times New Roman"/>
                <w:sz w:val="22"/>
                <w:szCs w:val="22"/>
              </w:rPr>
              <w:t xml:space="preserve">Non </w:t>
            </w:r>
            <w:proofErr w:type="spellStart"/>
            <w:r>
              <w:rPr>
                <w:rFonts w:ascii="Times New Roman" w:hAnsi="Times New Roman"/>
                <w:sz w:val="22"/>
                <w:szCs w:val="22"/>
              </w:rPr>
              <w:t>Hellp</w:t>
            </w:r>
            <w:bookmarkEnd w:id="10"/>
            <w:bookmarkEnd w:id="11"/>
            <w:proofErr w:type="spellEnd"/>
          </w:p>
          <w:p w:rsidR="0000639E" w:rsidRDefault="005A15D8">
            <w:pPr>
              <w:pStyle w:val="Sous-titre"/>
              <w:spacing w:after="0"/>
              <w:jc w:val="both"/>
              <w:rPr>
                <w:rFonts w:ascii="Times New Roman" w:hAnsi="Times New Roman"/>
                <w:sz w:val="22"/>
                <w:szCs w:val="22"/>
              </w:rPr>
            </w:pPr>
            <w:bookmarkStart w:id="12" w:name="_Toc26429563"/>
            <w:bookmarkStart w:id="13" w:name="_Toc26467115"/>
            <w:r>
              <w:rPr>
                <w:rFonts w:ascii="Times New Roman" w:hAnsi="Times New Roman"/>
                <w:sz w:val="22"/>
                <w:szCs w:val="22"/>
              </w:rPr>
              <w:t>N=1031</w:t>
            </w:r>
            <w:bookmarkEnd w:id="12"/>
            <w:bookmarkEnd w:id="13"/>
          </w:p>
        </w:tc>
        <w:tc>
          <w:tcPr>
            <w:tcW w:w="66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4" w:name="_Toc26429564"/>
            <w:bookmarkStart w:id="15" w:name="_Toc26467116"/>
            <w:r>
              <w:rPr>
                <w:rFonts w:ascii="Times New Roman" w:hAnsi="Times New Roman"/>
                <w:sz w:val="22"/>
                <w:szCs w:val="22"/>
              </w:rPr>
              <w:t>%</w:t>
            </w:r>
            <w:bookmarkEnd w:id="14"/>
            <w:bookmarkEnd w:id="15"/>
          </w:p>
        </w:tc>
        <w:tc>
          <w:tcPr>
            <w:tcW w:w="740"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6" w:name="_Toc26429565"/>
            <w:bookmarkStart w:id="17" w:name="_Toc26467117"/>
            <w:r>
              <w:rPr>
                <w:rFonts w:ascii="Times New Roman" w:hAnsi="Times New Roman"/>
                <w:sz w:val="22"/>
                <w:szCs w:val="22"/>
              </w:rPr>
              <w:t>Total</w:t>
            </w:r>
            <w:bookmarkEnd w:id="16"/>
            <w:bookmarkEnd w:id="17"/>
          </w:p>
        </w:tc>
        <w:tc>
          <w:tcPr>
            <w:tcW w:w="66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8" w:name="_Toc26429566"/>
            <w:bookmarkStart w:id="19" w:name="_Toc26467118"/>
            <w:r>
              <w:rPr>
                <w:rFonts w:ascii="Times New Roman" w:hAnsi="Times New Roman"/>
                <w:sz w:val="22"/>
                <w:szCs w:val="22"/>
              </w:rPr>
              <w:t>%</w:t>
            </w:r>
            <w:bookmarkEnd w:id="18"/>
            <w:bookmarkEnd w:id="19"/>
          </w:p>
        </w:tc>
      </w:tr>
      <w:tr w:rsidR="0000639E">
        <w:trPr>
          <w:trHeight w:val="315"/>
        </w:trPr>
        <w:tc>
          <w:tcPr>
            <w:tcW w:w="2369"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r>
              <w:rPr>
                <w:rFonts w:ascii="Times New Roman" w:hAnsi="Times New Roman"/>
                <w:sz w:val="22"/>
                <w:szCs w:val="22"/>
              </w:rPr>
              <w:t>T1+T2</w:t>
            </w:r>
          </w:p>
        </w:tc>
        <w:tc>
          <w:tcPr>
            <w:tcW w:w="90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0" w:name="_Toc26429568"/>
            <w:bookmarkStart w:id="21" w:name="_Toc26467120"/>
            <w:r>
              <w:rPr>
                <w:rFonts w:ascii="Times New Roman" w:hAnsi="Times New Roman"/>
                <w:sz w:val="22"/>
                <w:szCs w:val="22"/>
              </w:rPr>
              <w:t>74</w:t>
            </w:r>
            <w:bookmarkEnd w:id="20"/>
            <w:bookmarkEnd w:id="21"/>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2" w:name="_Toc26429569"/>
            <w:bookmarkStart w:id="23" w:name="_Toc26467121"/>
            <w:r>
              <w:rPr>
                <w:rFonts w:ascii="Times New Roman" w:hAnsi="Times New Roman"/>
                <w:sz w:val="22"/>
                <w:szCs w:val="22"/>
              </w:rPr>
              <w:t>33.2</w:t>
            </w:r>
            <w:bookmarkEnd w:id="22"/>
            <w:bookmarkEnd w:id="23"/>
          </w:p>
        </w:tc>
        <w:tc>
          <w:tcPr>
            <w:tcW w:w="127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4" w:name="_Toc26429570"/>
            <w:bookmarkStart w:id="25" w:name="_Toc26467122"/>
            <w:r>
              <w:rPr>
                <w:rFonts w:ascii="Times New Roman" w:hAnsi="Times New Roman"/>
                <w:sz w:val="22"/>
                <w:szCs w:val="22"/>
              </w:rPr>
              <w:t>117</w:t>
            </w:r>
            <w:bookmarkEnd w:id="24"/>
            <w:bookmarkEnd w:id="25"/>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6" w:name="_Toc26429571"/>
            <w:bookmarkStart w:id="27" w:name="_Toc26467123"/>
            <w:r>
              <w:rPr>
                <w:rFonts w:ascii="Times New Roman" w:hAnsi="Times New Roman"/>
                <w:sz w:val="22"/>
                <w:szCs w:val="22"/>
              </w:rPr>
              <w:t>11.3</w:t>
            </w:r>
            <w:bookmarkEnd w:id="26"/>
            <w:bookmarkEnd w:id="27"/>
          </w:p>
        </w:tc>
        <w:tc>
          <w:tcPr>
            <w:tcW w:w="740"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8" w:name="_Toc26429572"/>
            <w:bookmarkStart w:id="29" w:name="_Toc26467124"/>
            <w:r>
              <w:rPr>
                <w:rFonts w:ascii="Times New Roman" w:hAnsi="Times New Roman"/>
                <w:sz w:val="22"/>
                <w:szCs w:val="22"/>
              </w:rPr>
              <w:t>191</w:t>
            </w:r>
            <w:bookmarkEnd w:id="28"/>
            <w:bookmarkEnd w:id="29"/>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0" w:name="_Toc26429573"/>
            <w:bookmarkStart w:id="31" w:name="_Toc26467125"/>
            <w:r>
              <w:rPr>
                <w:rFonts w:ascii="Times New Roman" w:hAnsi="Times New Roman"/>
                <w:sz w:val="22"/>
                <w:szCs w:val="22"/>
              </w:rPr>
              <w:t>15.2</w:t>
            </w:r>
            <w:bookmarkEnd w:id="30"/>
            <w:bookmarkEnd w:id="31"/>
          </w:p>
        </w:tc>
      </w:tr>
      <w:tr w:rsidR="0000639E">
        <w:trPr>
          <w:trHeight w:val="315"/>
        </w:trPr>
        <w:tc>
          <w:tcPr>
            <w:tcW w:w="2369"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2" w:name="_Toc26429574"/>
            <w:bookmarkStart w:id="33" w:name="_Toc26467126"/>
            <w:r>
              <w:rPr>
                <w:rFonts w:ascii="Times New Roman" w:hAnsi="Times New Roman"/>
                <w:sz w:val="22"/>
                <w:szCs w:val="22"/>
              </w:rPr>
              <w:t>T1</w:t>
            </w:r>
            <w:bookmarkEnd w:id="32"/>
            <w:bookmarkEnd w:id="33"/>
          </w:p>
        </w:tc>
        <w:tc>
          <w:tcPr>
            <w:tcW w:w="90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4" w:name="_Toc26429575"/>
            <w:bookmarkStart w:id="35" w:name="_Toc26467127"/>
            <w:r>
              <w:rPr>
                <w:rFonts w:ascii="Times New Roman" w:hAnsi="Times New Roman"/>
                <w:sz w:val="22"/>
                <w:szCs w:val="22"/>
              </w:rPr>
              <w:t>19</w:t>
            </w:r>
            <w:bookmarkEnd w:id="34"/>
            <w:bookmarkEnd w:id="35"/>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b/>
                <w:bCs/>
                <w:sz w:val="22"/>
                <w:szCs w:val="22"/>
              </w:rPr>
            </w:pPr>
            <w:bookmarkStart w:id="36" w:name="_Toc26429576"/>
            <w:bookmarkStart w:id="37" w:name="_Toc26467128"/>
            <w:r>
              <w:rPr>
                <w:rFonts w:ascii="Times New Roman" w:hAnsi="Times New Roman"/>
                <w:b/>
                <w:bCs/>
                <w:sz w:val="22"/>
                <w:szCs w:val="22"/>
              </w:rPr>
              <w:t>17.6</w:t>
            </w:r>
            <w:bookmarkEnd w:id="36"/>
            <w:bookmarkEnd w:id="37"/>
          </w:p>
        </w:tc>
        <w:tc>
          <w:tcPr>
            <w:tcW w:w="127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8" w:name="_Toc26429577"/>
            <w:bookmarkStart w:id="39" w:name="_Toc26467129"/>
            <w:r>
              <w:rPr>
                <w:rFonts w:ascii="Times New Roman" w:hAnsi="Times New Roman"/>
                <w:sz w:val="22"/>
                <w:szCs w:val="22"/>
              </w:rPr>
              <w:t>39</w:t>
            </w:r>
            <w:bookmarkEnd w:id="38"/>
            <w:bookmarkEnd w:id="39"/>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0" w:name="_Toc26429578"/>
            <w:bookmarkStart w:id="41" w:name="_Toc26467130"/>
            <w:r>
              <w:rPr>
                <w:rFonts w:ascii="Times New Roman" w:hAnsi="Times New Roman"/>
                <w:sz w:val="22"/>
                <w:szCs w:val="22"/>
              </w:rPr>
              <w:t>7.5</w:t>
            </w:r>
            <w:bookmarkEnd w:id="40"/>
            <w:bookmarkEnd w:id="41"/>
          </w:p>
        </w:tc>
        <w:tc>
          <w:tcPr>
            <w:tcW w:w="740"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2" w:name="_Toc26429579"/>
            <w:bookmarkStart w:id="43" w:name="_Toc26467131"/>
            <w:r>
              <w:rPr>
                <w:rFonts w:ascii="Times New Roman" w:hAnsi="Times New Roman"/>
                <w:sz w:val="22"/>
                <w:szCs w:val="22"/>
              </w:rPr>
              <w:t>58</w:t>
            </w:r>
            <w:bookmarkEnd w:id="42"/>
            <w:bookmarkEnd w:id="43"/>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4" w:name="_Toc26429580"/>
            <w:bookmarkStart w:id="45" w:name="_Toc26467132"/>
            <w:r>
              <w:rPr>
                <w:rFonts w:ascii="Times New Roman" w:hAnsi="Times New Roman"/>
                <w:sz w:val="22"/>
                <w:szCs w:val="22"/>
              </w:rPr>
              <w:t>9.2</w:t>
            </w:r>
            <w:bookmarkEnd w:id="44"/>
            <w:bookmarkEnd w:id="45"/>
          </w:p>
        </w:tc>
      </w:tr>
      <w:tr w:rsidR="0000639E">
        <w:trPr>
          <w:trHeight w:val="315"/>
        </w:trPr>
        <w:tc>
          <w:tcPr>
            <w:tcW w:w="2369"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6" w:name="_Toc26429581"/>
            <w:bookmarkStart w:id="47" w:name="_Toc26467133"/>
            <w:r>
              <w:rPr>
                <w:rFonts w:ascii="Times New Roman" w:hAnsi="Times New Roman"/>
                <w:sz w:val="22"/>
                <w:szCs w:val="22"/>
              </w:rPr>
              <w:t>T2</w:t>
            </w:r>
            <w:bookmarkEnd w:id="46"/>
            <w:bookmarkEnd w:id="47"/>
          </w:p>
        </w:tc>
        <w:tc>
          <w:tcPr>
            <w:tcW w:w="904"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8" w:name="_Toc26429582"/>
            <w:bookmarkStart w:id="49" w:name="_Toc26467134"/>
            <w:r>
              <w:rPr>
                <w:rFonts w:ascii="Times New Roman" w:hAnsi="Times New Roman"/>
                <w:sz w:val="22"/>
                <w:szCs w:val="22"/>
              </w:rPr>
              <w:t>55</w:t>
            </w:r>
            <w:bookmarkEnd w:id="48"/>
            <w:bookmarkEnd w:id="49"/>
          </w:p>
        </w:tc>
        <w:tc>
          <w:tcPr>
            <w:tcW w:w="66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b/>
                <w:bCs/>
                <w:sz w:val="22"/>
                <w:szCs w:val="22"/>
              </w:rPr>
            </w:pPr>
            <w:bookmarkStart w:id="50" w:name="_Toc26429583"/>
            <w:bookmarkStart w:id="51" w:name="_Toc26467135"/>
            <w:r>
              <w:rPr>
                <w:rFonts w:ascii="Times New Roman" w:hAnsi="Times New Roman"/>
                <w:b/>
                <w:bCs/>
                <w:sz w:val="22"/>
                <w:szCs w:val="22"/>
              </w:rPr>
              <w:t>47.8</w:t>
            </w:r>
            <w:bookmarkEnd w:id="50"/>
            <w:bookmarkEnd w:id="51"/>
          </w:p>
        </w:tc>
        <w:tc>
          <w:tcPr>
            <w:tcW w:w="1274"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2" w:name="_Toc26429584"/>
            <w:bookmarkStart w:id="53" w:name="_Toc26467136"/>
            <w:r>
              <w:rPr>
                <w:rFonts w:ascii="Times New Roman" w:hAnsi="Times New Roman"/>
                <w:sz w:val="22"/>
                <w:szCs w:val="22"/>
              </w:rPr>
              <w:t>78</w:t>
            </w:r>
            <w:bookmarkEnd w:id="52"/>
            <w:bookmarkEnd w:id="53"/>
          </w:p>
        </w:tc>
        <w:tc>
          <w:tcPr>
            <w:tcW w:w="66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4" w:name="_Toc26429585"/>
            <w:bookmarkStart w:id="55" w:name="_Toc26467137"/>
            <w:r>
              <w:rPr>
                <w:rFonts w:ascii="Times New Roman" w:hAnsi="Times New Roman"/>
                <w:sz w:val="22"/>
                <w:szCs w:val="22"/>
              </w:rPr>
              <w:t>15.3</w:t>
            </w:r>
            <w:bookmarkEnd w:id="54"/>
            <w:bookmarkEnd w:id="55"/>
          </w:p>
        </w:tc>
        <w:tc>
          <w:tcPr>
            <w:tcW w:w="740"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6" w:name="_Toc26429586"/>
            <w:bookmarkStart w:id="57" w:name="_Toc26467138"/>
            <w:r>
              <w:rPr>
                <w:rFonts w:ascii="Times New Roman" w:hAnsi="Times New Roman"/>
                <w:sz w:val="22"/>
                <w:szCs w:val="22"/>
              </w:rPr>
              <w:t>133</w:t>
            </w:r>
            <w:bookmarkEnd w:id="56"/>
            <w:bookmarkEnd w:id="57"/>
          </w:p>
        </w:tc>
        <w:tc>
          <w:tcPr>
            <w:tcW w:w="66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8" w:name="_Toc26429587"/>
            <w:bookmarkStart w:id="59" w:name="_Toc26467139"/>
            <w:r>
              <w:rPr>
                <w:rFonts w:ascii="Times New Roman" w:hAnsi="Times New Roman"/>
                <w:sz w:val="22"/>
                <w:szCs w:val="22"/>
              </w:rPr>
              <w:t>21.3</w:t>
            </w:r>
            <w:bookmarkEnd w:id="58"/>
            <w:bookmarkEnd w:id="59"/>
          </w:p>
        </w:tc>
      </w:tr>
    </w:tbl>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Table </w:t>
      </w:r>
      <w:proofErr w:type="gramStart"/>
      <w:r>
        <w:rPr>
          <w:rStyle w:val="Policepardfaut"/>
          <w:rFonts w:ascii="Times New Roman" w:eastAsia="Times New Roman" w:hAnsi="Times New Roman" w:cs="Times New Roman"/>
          <w:b/>
          <w:bCs/>
          <w:kern w:val="0"/>
          <w:sz w:val="24"/>
          <w:szCs w:val="24"/>
          <w:lang w:val="fr-FR" w:eastAsia="fr-FR"/>
        </w:rPr>
        <w:t>7:</w:t>
      </w:r>
      <w:proofErr w:type="gramEnd"/>
      <w:r>
        <w:rPr>
          <w:rStyle w:val="Policepardfaut"/>
          <w:rFonts w:ascii="Times New Roman" w:eastAsia="Times New Roman" w:hAnsi="Times New Roman" w:cs="Times New Roman"/>
          <w:b/>
          <w:bCs/>
          <w:kern w:val="0"/>
          <w:sz w:val="24"/>
          <w:szCs w:val="24"/>
          <w:lang w:val="fr-FR" w:eastAsia="fr-FR"/>
        </w:rPr>
        <w:t xml:space="preserve"> Type of </w:t>
      </w:r>
      <w:proofErr w:type="spellStart"/>
      <w:r>
        <w:rPr>
          <w:rStyle w:val="Policepardfaut"/>
          <w:rFonts w:ascii="Times New Roman" w:eastAsia="Times New Roman" w:hAnsi="Times New Roman" w:cs="Times New Roman"/>
          <w:b/>
          <w:bCs/>
          <w:kern w:val="0"/>
          <w:sz w:val="24"/>
          <w:szCs w:val="24"/>
          <w:lang w:val="fr-FR" w:eastAsia="fr-FR"/>
        </w:rPr>
        <w:t>Anesthesia</w:t>
      </w:r>
      <w:proofErr w:type="spellEnd"/>
    </w:p>
    <w:tbl>
      <w:tblPr>
        <w:tblW w:w="6914" w:type="dxa"/>
        <w:tblCellMar>
          <w:left w:w="10" w:type="dxa"/>
          <w:right w:w="10" w:type="dxa"/>
        </w:tblCellMar>
        <w:tblLook w:val="0000" w:firstRow="0" w:lastRow="0" w:firstColumn="0" w:lastColumn="0" w:noHBand="0" w:noVBand="0"/>
      </w:tblPr>
      <w:tblGrid>
        <w:gridCol w:w="2689"/>
        <w:gridCol w:w="460"/>
        <w:gridCol w:w="642"/>
        <w:gridCol w:w="497"/>
        <w:gridCol w:w="636"/>
        <w:gridCol w:w="581"/>
        <w:gridCol w:w="642"/>
        <w:gridCol w:w="767"/>
      </w:tblGrid>
      <w:tr w:rsidR="0000639E">
        <w:trPr>
          <w:trHeight w:val="88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Period</w:t>
            </w: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val="fr-FR" w:eastAsia="fr-FR"/>
              </w:rPr>
            </w:pPr>
          </w:p>
          <w:p w:rsidR="0000639E" w:rsidRDefault="005A15D8">
            <w:pPr>
              <w:suppressAutoHyphens w:val="0"/>
              <w:spacing w:before="100" w:after="100"/>
              <w:textAlignment w:val="auto"/>
              <w:rPr>
                <w:rFonts w:ascii="Times New Roman" w:eastAsia="Times New Roman" w:hAnsi="Times New Roman" w:cs="Times New Roman"/>
                <w:b/>
                <w:bCs/>
                <w:kern w:val="0"/>
                <w:sz w:val="24"/>
                <w:szCs w:val="24"/>
                <w:lang w:val="fr-FR" w:eastAsia="fr-FR"/>
              </w:rPr>
            </w:pPr>
            <w:proofErr w:type="spellStart"/>
            <w:r>
              <w:rPr>
                <w:rFonts w:ascii="Times New Roman" w:eastAsia="Times New Roman" w:hAnsi="Times New Roman" w:cs="Times New Roman"/>
                <w:b/>
                <w:bCs/>
                <w:kern w:val="0"/>
                <w:sz w:val="24"/>
                <w:szCs w:val="24"/>
                <w:lang w:val="fr-FR" w:eastAsia="fr-FR"/>
              </w:rPr>
              <w:t>Anesthetic</w:t>
            </w:r>
            <w:proofErr w:type="spellEnd"/>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Technique</w:t>
            </w: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T1 </w:t>
            </w: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T2 </w:t>
            </w: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spacing w:after="0" w:line="360" w:lineRule="auto"/>
              <w:jc w:val="both"/>
              <w:textAlignment w:val="auto"/>
              <w:rPr>
                <w:rFonts w:ascii="Times New Roman" w:eastAsia="Calibri" w:hAnsi="Times New Roman" w:cs="Times New Roman"/>
                <w:bCs/>
                <w:sz w:val="24"/>
                <w:szCs w:val="24"/>
              </w:rPr>
            </w:pP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P-value</w:t>
            </w:r>
          </w:p>
        </w:tc>
      </w:tr>
      <w:tr w:rsidR="0000639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spacing w:after="0" w:line="360" w:lineRule="auto"/>
              <w:jc w:val="both"/>
              <w:textAlignment w:val="auto"/>
              <w:rPr>
                <w:rFonts w:ascii="Times New Roman" w:eastAsia="Calibri" w:hAnsi="Times New Roman" w:cs="Times New Roman"/>
                <w:bCs/>
                <w:sz w:val="24"/>
                <w:szCs w:val="24"/>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n</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n</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n</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spacing w:after="0" w:line="360" w:lineRule="auto"/>
              <w:jc w:val="both"/>
              <w:textAlignment w:val="auto"/>
              <w:rPr>
                <w:rFonts w:ascii="Times New Roman" w:eastAsia="Calibri" w:hAnsi="Times New Roman" w:cs="Times New Roman"/>
                <w:b/>
                <w:bCs/>
                <w:sz w:val="24"/>
                <w:szCs w:val="24"/>
              </w:rPr>
            </w:pPr>
          </w:p>
        </w:tc>
      </w:tr>
      <w:tr w:rsidR="0000639E">
        <w:trPr>
          <w:trHeight w:val="150"/>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Anesthesia general </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96</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88.9</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83</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72.2</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177</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80.2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0.02</w:t>
            </w:r>
          </w:p>
        </w:tc>
      </w:tr>
      <w:tr w:rsidR="0000639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pPr>
            <w:r>
              <w:rPr>
                <w:rStyle w:val="Policepardfaut"/>
                <w:rFonts w:ascii="Times New Roman" w:eastAsia="Calibri" w:hAnsi="Times New Roman" w:cs="Times New Roman"/>
                <w:sz w:val="24"/>
                <w:szCs w:val="24"/>
              </w:rPr>
              <w:lastRenderedPageBreak/>
              <w:t>Regional anesthesia</w:t>
            </w:r>
            <w:r>
              <w:rPr>
                <w:rStyle w:val="Policepardfaut"/>
                <w:rFonts w:ascii="Times New Roman" w:eastAsia="Calibri" w:hAnsi="Times New Roman" w:cs="Times New Roman"/>
                <w:bCs/>
                <w:sz w:val="24"/>
                <w:szCs w:val="24"/>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27.8</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19.7</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0.001</w:t>
            </w:r>
          </w:p>
        </w:tc>
      </w:tr>
    </w:tbl>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8: Comparison of Perinatal Mortality between the Two Periods</w:t>
      </w:r>
    </w:p>
    <w:p w:rsidR="0000639E" w:rsidRDefault="0000639E">
      <w:pPr>
        <w:pStyle w:val="NormalWeb"/>
        <w:rPr>
          <w:lang w:val="en-US"/>
        </w:rPr>
      </w:pPr>
    </w:p>
    <w:tbl>
      <w:tblPr>
        <w:tblW w:w="7627" w:type="dxa"/>
        <w:tblLayout w:type="fixed"/>
        <w:tblCellMar>
          <w:left w:w="10" w:type="dxa"/>
          <w:right w:w="10" w:type="dxa"/>
        </w:tblCellMar>
        <w:tblLook w:val="0000" w:firstRow="0" w:lastRow="0" w:firstColumn="0" w:lastColumn="0" w:noHBand="0" w:noVBand="0"/>
      </w:tblPr>
      <w:tblGrid>
        <w:gridCol w:w="1358"/>
        <w:gridCol w:w="576"/>
        <w:gridCol w:w="758"/>
        <w:gridCol w:w="576"/>
        <w:gridCol w:w="758"/>
        <w:gridCol w:w="576"/>
        <w:gridCol w:w="638"/>
        <w:gridCol w:w="1253"/>
        <w:gridCol w:w="1134"/>
      </w:tblGrid>
      <w:tr w:rsidR="0000639E">
        <w:trPr>
          <w:trHeight w:val="587"/>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 xml:space="preserve">Prenatal </w:t>
            </w:r>
          </w:p>
          <w:p w:rsidR="0000639E" w:rsidRDefault="005A15D8">
            <w:pPr>
              <w:pStyle w:val="Sansinterligne"/>
              <w:spacing w:line="360" w:lineRule="auto"/>
              <w:jc w:val="both"/>
              <w:rPr>
                <w:lang w:val="en-US"/>
              </w:rPr>
            </w:pPr>
            <w:r>
              <w:rPr>
                <w:lang w:val="en-US"/>
              </w:rPr>
              <w:t xml:space="preserve">Mortality </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T1</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T2</w:t>
            </w:r>
          </w:p>
        </w:tc>
        <w:tc>
          <w:tcPr>
            <w:tcW w:w="1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TOTAL</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RR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lang w:val="en-US"/>
              </w:rPr>
            </w:pPr>
            <w:r>
              <w:rPr>
                <w:b/>
                <w:lang w:val="en-US"/>
              </w:rPr>
              <w:t>p</w:t>
            </w:r>
          </w:p>
        </w:tc>
      </w:tr>
      <w:tr w:rsidR="0000639E">
        <w:trPr>
          <w:trHeight w:val="587"/>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rPr>
                <w:lang w:val="en-US"/>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n</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n</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n</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rPr>
                <w:b/>
                <w:lang w:val="en-US"/>
              </w:rPr>
            </w:pPr>
          </w:p>
        </w:tc>
      </w:tr>
      <w:tr w:rsidR="0000639E">
        <w:trPr>
          <w:trHeight w:val="379"/>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Death</w:t>
            </w:r>
            <w:r>
              <w:rPr>
                <w:rStyle w:val="Policepardfaut"/>
                <w:lang w:val="en-US"/>
              </w:rPr>
              <w:t>&lt;7jrs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44.4</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35.6</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89</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39.9</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0.73</w:t>
            </w:r>
          </w:p>
          <w:p w:rsidR="0000639E" w:rsidRDefault="005A15D8">
            <w:pPr>
              <w:pStyle w:val="Sansinterligne"/>
              <w:spacing w:line="360" w:lineRule="auto"/>
              <w:jc w:val="both"/>
              <w:rPr>
                <w:b/>
                <w:bCs/>
              </w:rPr>
            </w:pPr>
            <w:r>
              <w:rPr>
                <w:b/>
                <w:bCs/>
              </w:rPr>
              <w:t>0.54-1.00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0.0087</w:t>
            </w:r>
          </w:p>
        </w:tc>
      </w:tr>
      <w:tr w:rsidR="0000639E">
        <w:trPr>
          <w:trHeight w:val="379"/>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MFIU</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17.6</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12</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10.4</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31</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13.9</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0.1226</w:t>
            </w:r>
          </w:p>
        </w:tc>
      </w:tr>
      <w:tr w:rsidR="0000639E">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Alive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37.9</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62</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53.9</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103</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46.2</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r>
      <w:tr w:rsidR="0000639E">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Total</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100.0</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100.0</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223</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r>
    </w:tbl>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9: Comparison of HELLP Syndrome Progression Between the Two Periods</w:t>
      </w:r>
    </w:p>
    <w:tbl>
      <w:tblPr>
        <w:tblW w:w="7406" w:type="dxa"/>
        <w:tblCellMar>
          <w:left w:w="10" w:type="dxa"/>
          <w:right w:w="10" w:type="dxa"/>
        </w:tblCellMar>
        <w:tblLook w:val="0000" w:firstRow="0" w:lastRow="0" w:firstColumn="0" w:lastColumn="0" w:noHBand="0" w:noVBand="0"/>
      </w:tblPr>
      <w:tblGrid>
        <w:gridCol w:w="2949"/>
        <w:gridCol w:w="486"/>
        <w:gridCol w:w="661"/>
        <w:gridCol w:w="486"/>
        <w:gridCol w:w="661"/>
        <w:gridCol w:w="591"/>
        <w:gridCol w:w="661"/>
        <w:gridCol w:w="911"/>
      </w:tblGrid>
      <w:tr w:rsidR="0000639E">
        <w:trPr>
          <w:trHeight w:val="346"/>
        </w:trPr>
        <w:tc>
          <w:tcPr>
            <w:tcW w:w="2949" w:type="dxa"/>
            <w:vMerge w:val="restart"/>
            <w:tcBorders>
              <w:top w:val="single" w:sz="12" w:space="0" w:color="008000"/>
            </w:tcBorders>
            <w:shd w:val="clear" w:color="auto" w:fill="auto"/>
            <w:tcMar>
              <w:top w:w="0" w:type="dxa"/>
              <w:left w:w="108" w:type="dxa"/>
              <w:bottom w:w="0" w:type="dxa"/>
              <w:right w:w="108" w:type="dxa"/>
            </w:tcMar>
          </w:tcPr>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Postpartum </w:t>
            </w:r>
            <w:proofErr w:type="spellStart"/>
            <w:r>
              <w:rPr>
                <w:rStyle w:val="Policepardfaut"/>
                <w:rFonts w:ascii="Times New Roman" w:eastAsia="Times New Roman" w:hAnsi="Times New Roman" w:cs="Times New Roman"/>
                <w:b/>
                <w:bCs/>
                <w:kern w:val="0"/>
                <w:sz w:val="24"/>
                <w:szCs w:val="24"/>
                <w:lang w:val="fr-FR" w:eastAsia="fr-FR"/>
              </w:rPr>
              <w:t>outcome</w:t>
            </w:r>
            <w:proofErr w:type="spellEnd"/>
          </w:p>
          <w:p w:rsidR="0000639E" w:rsidRDefault="0000639E">
            <w:pPr>
              <w:pStyle w:val="Sous-titre"/>
              <w:spacing w:after="0"/>
              <w:jc w:val="both"/>
              <w:rPr>
                <w:rFonts w:ascii="Times New Roman" w:hAnsi="Times New Roman"/>
                <w:color w:val="auto"/>
                <w:sz w:val="22"/>
                <w:szCs w:val="22"/>
                <w:lang w:eastAsia="fr-FR"/>
              </w:rPr>
            </w:pPr>
          </w:p>
        </w:tc>
        <w:tc>
          <w:tcPr>
            <w:tcW w:w="1147"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0" w:name="_Toc26429617"/>
            <w:bookmarkStart w:id="61" w:name="_Toc26467169"/>
            <w:r>
              <w:rPr>
                <w:rFonts w:ascii="Times New Roman" w:hAnsi="Times New Roman"/>
                <w:color w:val="auto"/>
                <w:sz w:val="22"/>
                <w:szCs w:val="22"/>
                <w:lang w:eastAsia="fr-FR"/>
              </w:rPr>
              <w:t>T1</w:t>
            </w:r>
            <w:bookmarkEnd w:id="60"/>
            <w:bookmarkEnd w:id="61"/>
          </w:p>
        </w:tc>
        <w:tc>
          <w:tcPr>
            <w:tcW w:w="1147"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2" w:name="_Toc26429618"/>
            <w:bookmarkStart w:id="63" w:name="_Toc26467170"/>
            <w:r>
              <w:rPr>
                <w:rFonts w:ascii="Times New Roman" w:hAnsi="Times New Roman"/>
                <w:color w:val="auto"/>
                <w:sz w:val="22"/>
                <w:szCs w:val="22"/>
                <w:lang w:eastAsia="fr-FR"/>
              </w:rPr>
              <w:t>T2</w:t>
            </w:r>
            <w:bookmarkEnd w:id="62"/>
            <w:bookmarkEnd w:id="63"/>
          </w:p>
        </w:tc>
        <w:tc>
          <w:tcPr>
            <w:tcW w:w="1252"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r>
              <w:rPr>
                <w:rFonts w:ascii="Times New Roman" w:hAnsi="Times New Roman"/>
                <w:color w:val="auto"/>
                <w:sz w:val="22"/>
                <w:szCs w:val="22"/>
                <w:lang w:eastAsia="fr-FR"/>
              </w:rPr>
              <w:t xml:space="preserve">    </w:t>
            </w:r>
            <w:bookmarkStart w:id="64" w:name="_Toc26429619"/>
            <w:bookmarkStart w:id="65" w:name="_Toc26467171"/>
            <w:r>
              <w:rPr>
                <w:rFonts w:ascii="Times New Roman" w:hAnsi="Times New Roman"/>
                <w:color w:val="auto"/>
                <w:sz w:val="22"/>
                <w:szCs w:val="22"/>
                <w:lang w:eastAsia="fr-FR"/>
              </w:rPr>
              <w:t>Total</w:t>
            </w:r>
            <w:bookmarkEnd w:id="64"/>
            <w:bookmarkEnd w:id="65"/>
            <w:r>
              <w:rPr>
                <w:rFonts w:ascii="Times New Roman" w:hAnsi="Times New Roman"/>
                <w:color w:val="auto"/>
                <w:sz w:val="22"/>
                <w:szCs w:val="22"/>
                <w:lang w:eastAsia="fr-FR"/>
              </w:rPr>
              <w:t xml:space="preserve"> </w:t>
            </w:r>
          </w:p>
        </w:tc>
        <w:tc>
          <w:tcPr>
            <w:tcW w:w="911" w:type="dxa"/>
            <w:vMerge w:val="restart"/>
            <w:tcBorders>
              <w:top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6" w:name="_Toc26429620"/>
            <w:bookmarkStart w:id="67" w:name="_Toc26467172"/>
            <w:r>
              <w:rPr>
                <w:rFonts w:ascii="Times New Roman" w:hAnsi="Times New Roman"/>
                <w:color w:val="auto"/>
                <w:sz w:val="22"/>
                <w:szCs w:val="22"/>
                <w:lang w:eastAsia="fr-FR"/>
              </w:rPr>
              <w:t>P</w:t>
            </w:r>
            <w:bookmarkEnd w:id="66"/>
            <w:bookmarkEnd w:id="67"/>
          </w:p>
          <w:p w:rsidR="0000639E" w:rsidRDefault="0000639E">
            <w:pPr>
              <w:pStyle w:val="Sous-titre"/>
              <w:spacing w:after="0"/>
              <w:jc w:val="both"/>
              <w:rPr>
                <w:rFonts w:ascii="Times New Roman" w:hAnsi="Times New Roman"/>
                <w:color w:val="auto"/>
                <w:sz w:val="22"/>
                <w:szCs w:val="22"/>
                <w:lang w:eastAsia="fr-FR"/>
              </w:rPr>
            </w:pPr>
          </w:p>
        </w:tc>
      </w:tr>
      <w:tr w:rsidR="0000639E">
        <w:trPr>
          <w:trHeight w:val="230"/>
        </w:trPr>
        <w:tc>
          <w:tcPr>
            <w:tcW w:w="2949" w:type="dxa"/>
            <w:vMerge/>
            <w:tcBorders>
              <w:top w:val="single" w:sz="12" w:space="0" w:color="008000"/>
            </w:tcBorders>
            <w:shd w:val="clear" w:color="auto" w:fill="auto"/>
            <w:tcMar>
              <w:top w:w="0" w:type="dxa"/>
              <w:left w:w="108" w:type="dxa"/>
              <w:bottom w:w="0" w:type="dxa"/>
              <w:right w:w="108" w:type="dxa"/>
            </w:tcMar>
          </w:tcPr>
          <w:p w:rsidR="0000639E" w:rsidRDefault="0000639E">
            <w:pPr>
              <w:pStyle w:val="Sous-titre"/>
              <w:spacing w:after="0"/>
              <w:jc w:val="both"/>
              <w:rPr>
                <w:rFonts w:ascii="Times New Roman" w:hAnsi="Times New Roman"/>
                <w:color w:val="auto"/>
                <w:sz w:val="22"/>
                <w:szCs w:val="22"/>
                <w:lang w:eastAsia="fr-FR"/>
              </w:rPr>
            </w:pP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8" w:name="_Toc26429621"/>
            <w:bookmarkStart w:id="69" w:name="_Toc26467173"/>
            <w:proofErr w:type="gramStart"/>
            <w:r>
              <w:rPr>
                <w:rFonts w:ascii="Times New Roman" w:hAnsi="Times New Roman"/>
                <w:color w:val="auto"/>
                <w:sz w:val="22"/>
                <w:szCs w:val="22"/>
                <w:lang w:eastAsia="fr-FR"/>
              </w:rPr>
              <w:t>n</w:t>
            </w:r>
            <w:bookmarkEnd w:id="68"/>
            <w:bookmarkEnd w:id="69"/>
            <w:proofErr w:type="gramEnd"/>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0" w:name="_Toc26429622"/>
            <w:bookmarkStart w:id="71" w:name="_Toc26467174"/>
            <w:r>
              <w:rPr>
                <w:rFonts w:ascii="Times New Roman" w:hAnsi="Times New Roman"/>
                <w:color w:val="auto"/>
                <w:sz w:val="22"/>
                <w:szCs w:val="22"/>
                <w:lang w:eastAsia="fr-FR"/>
              </w:rPr>
              <w:t>%</w:t>
            </w:r>
            <w:bookmarkEnd w:id="70"/>
            <w:bookmarkEnd w:id="71"/>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2" w:name="_Toc26429623"/>
            <w:bookmarkStart w:id="73" w:name="_Toc26467175"/>
            <w:proofErr w:type="gramStart"/>
            <w:r>
              <w:rPr>
                <w:rFonts w:ascii="Times New Roman" w:hAnsi="Times New Roman"/>
                <w:color w:val="auto"/>
                <w:sz w:val="22"/>
                <w:szCs w:val="22"/>
                <w:lang w:eastAsia="fr-FR"/>
              </w:rPr>
              <w:t>n</w:t>
            </w:r>
            <w:bookmarkEnd w:id="72"/>
            <w:bookmarkEnd w:id="73"/>
            <w:proofErr w:type="gramEnd"/>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4" w:name="_Toc26429624"/>
            <w:bookmarkStart w:id="75" w:name="_Toc26467176"/>
            <w:r>
              <w:rPr>
                <w:rFonts w:ascii="Times New Roman" w:hAnsi="Times New Roman"/>
                <w:color w:val="auto"/>
                <w:sz w:val="22"/>
                <w:szCs w:val="22"/>
                <w:lang w:eastAsia="fr-FR"/>
              </w:rPr>
              <w:t>%</w:t>
            </w:r>
            <w:bookmarkEnd w:id="74"/>
            <w:bookmarkEnd w:id="75"/>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6" w:name="_Toc26429625"/>
            <w:bookmarkStart w:id="77" w:name="_Toc26467177"/>
            <w:proofErr w:type="gramStart"/>
            <w:r>
              <w:rPr>
                <w:rFonts w:ascii="Times New Roman" w:hAnsi="Times New Roman"/>
                <w:color w:val="auto"/>
                <w:sz w:val="22"/>
                <w:szCs w:val="22"/>
                <w:lang w:eastAsia="fr-FR"/>
              </w:rPr>
              <w:t>n</w:t>
            </w:r>
            <w:bookmarkEnd w:id="76"/>
            <w:bookmarkEnd w:id="77"/>
            <w:proofErr w:type="gramEnd"/>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8" w:name="_Toc26429626"/>
            <w:bookmarkStart w:id="79" w:name="_Toc26467178"/>
            <w:r>
              <w:rPr>
                <w:rFonts w:ascii="Times New Roman" w:hAnsi="Times New Roman"/>
                <w:color w:val="auto"/>
                <w:sz w:val="22"/>
                <w:szCs w:val="22"/>
                <w:lang w:eastAsia="fr-FR"/>
              </w:rPr>
              <w:t>%</w:t>
            </w:r>
            <w:bookmarkEnd w:id="78"/>
            <w:bookmarkEnd w:id="79"/>
          </w:p>
        </w:tc>
        <w:tc>
          <w:tcPr>
            <w:tcW w:w="911" w:type="dxa"/>
            <w:vMerge/>
            <w:tcBorders>
              <w:top w:val="single" w:sz="12" w:space="0" w:color="008000"/>
            </w:tcBorders>
            <w:shd w:val="clear" w:color="auto" w:fill="auto"/>
            <w:tcMar>
              <w:top w:w="0" w:type="dxa"/>
              <w:left w:w="108" w:type="dxa"/>
              <w:bottom w:w="0" w:type="dxa"/>
              <w:right w:w="108" w:type="dxa"/>
            </w:tcMar>
          </w:tcPr>
          <w:p w:rsidR="0000639E" w:rsidRDefault="0000639E">
            <w:pPr>
              <w:pStyle w:val="Sous-titre"/>
              <w:spacing w:after="0"/>
              <w:jc w:val="both"/>
              <w:rPr>
                <w:rFonts w:ascii="Times New Roman" w:hAnsi="Times New Roman"/>
                <w:color w:val="auto"/>
                <w:sz w:val="22"/>
                <w:szCs w:val="22"/>
                <w:lang w:eastAsia="fr-FR"/>
              </w:rPr>
            </w:pPr>
          </w:p>
        </w:tc>
      </w:tr>
      <w:tr w:rsidR="0000639E">
        <w:tc>
          <w:tcPr>
            <w:tcW w:w="2949"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proofErr w:type="spellStart"/>
            <w:r>
              <w:rPr>
                <w:rFonts w:ascii="Times New Roman" w:hAnsi="Times New Roman"/>
                <w:color w:val="auto"/>
                <w:sz w:val="22"/>
                <w:szCs w:val="22"/>
                <w:lang w:eastAsia="fr-FR"/>
              </w:rPr>
              <w:t>Renal</w:t>
            </w:r>
            <w:proofErr w:type="spellEnd"/>
            <w:r>
              <w:rPr>
                <w:rFonts w:ascii="Times New Roman" w:hAnsi="Times New Roman"/>
                <w:color w:val="auto"/>
                <w:sz w:val="22"/>
                <w:szCs w:val="22"/>
                <w:lang w:eastAsia="fr-FR"/>
              </w:rPr>
              <w:t xml:space="preserve"> Failure</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0" w:name="_Toc26429628"/>
            <w:bookmarkStart w:id="81" w:name="_Toc26467180"/>
            <w:r>
              <w:rPr>
                <w:rFonts w:ascii="Times New Roman" w:hAnsi="Times New Roman"/>
                <w:color w:val="auto"/>
                <w:sz w:val="22"/>
                <w:szCs w:val="22"/>
                <w:lang w:eastAsia="fr-FR"/>
              </w:rPr>
              <w:t>85</w:t>
            </w:r>
            <w:bookmarkEnd w:id="80"/>
            <w:bookmarkEnd w:id="81"/>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2" w:name="_Toc26429629"/>
            <w:bookmarkStart w:id="83" w:name="_Toc26467181"/>
            <w:r>
              <w:rPr>
                <w:rFonts w:ascii="Times New Roman" w:hAnsi="Times New Roman"/>
                <w:color w:val="auto"/>
                <w:sz w:val="22"/>
                <w:szCs w:val="22"/>
                <w:lang w:eastAsia="fr-FR"/>
              </w:rPr>
              <w:t>21.8</w:t>
            </w:r>
            <w:bookmarkEnd w:id="82"/>
            <w:bookmarkEnd w:id="83"/>
            <w:r>
              <w:rPr>
                <w:rFonts w:ascii="Times New Roman" w:hAnsi="Times New Roman"/>
                <w:color w:val="auto"/>
                <w:sz w:val="22"/>
                <w:szCs w:val="22"/>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4" w:name="_Toc26429630"/>
            <w:bookmarkStart w:id="85" w:name="_Toc26467182"/>
            <w:r>
              <w:rPr>
                <w:rFonts w:ascii="Times New Roman" w:hAnsi="Times New Roman"/>
                <w:color w:val="auto"/>
                <w:sz w:val="22"/>
                <w:szCs w:val="22"/>
                <w:lang w:eastAsia="fr-FR"/>
              </w:rPr>
              <w:t>74</w:t>
            </w:r>
            <w:bookmarkEnd w:id="84"/>
            <w:bookmarkEnd w:id="85"/>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6" w:name="_Toc26429631"/>
            <w:bookmarkStart w:id="87" w:name="_Toc26467183"/>
            <w:r>
              <w:rPr>
                <w:rFonts w:ascii="Times New Roman" w:hAnsi="Times New Roman"/>
                <w:color w:val="auto"/>
                <w:sz w:val="22"/>
                <w:szCs w:val="22"/>
                <w:lang w:eastAsia="fr-FR"/>
              </w:rPr>
              <w:t>19.4</w:t>
            </w:r>
            <w:bookmarkEnd w:id="86"/>
            <w:bookmarkEnd w:id="87"/>
            <w:r>
              <w:rPr>
                <w:rFonts w:ascii="Times New Roman" w:hAnsi="Times New Roman"/>
                <w:color w:val="auto"/>
                <w:sz w:val="22"/>
                <w:szCs w:val="22"/>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8" w:name="_Toc26429632"/>
            <w:bookmarkStart w:id="89" w:name="_Toc26467184"/>
            <w:r>
              <w:rPr>
                <w:rFonts w:ascii="Times New Roman" w:hAnsi="Times New Roman"/>
                <w:color w:val="auto"/>
                <w:sz w:val="22"/>
                <w:szCs w:val="22"/>
                <w:lang w:eastAsia="fr-FR"/>
              </w:rPr>
              <w:t>159</w:t>
            </w:r>
            <w:bookmarkEnd w:id="88"/>
            <w:bookmarkEnd w:id="89"/>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0" w:name="_Toc26429633"/>
            <w:bookmarkStart w:id="91" w:name="_Toc26467185"/>
            <w:r>
              <w:rPr>
                <w:rFonts w:ascii="Times New Roman" w:hAnsi="Times New Roman"/>
                <w:color w:val="auto"/>
                <w:sz w:val="22"/>
                <w:szCs w:val="22"/>
                <w:lang w:eastAsia="fr-FR"/>
              </w:rPr>
              <w:t>20.6</w:t>
            </w:r>
            <w:bookmarkEnd w:id="90"/>
            <w:bookmarkEnd w:id="91"/>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2" w:name="_Toc26429634"/>
            <w:bookmarkStart w:id="93" w:name="_Toc26467186"/>
            <w:r>
              <w:rPr>
                <w:rFonts w:ascii="Times New Roman" w:hAnsi="Times New Roman"/>
                <w:color w:val="auto"/>
                <w:sz w:val="22"/>
                <w:szCs w:val="22"/>
                <w:lang w:eastAsia="fr-FR"/>
              </w:rPr>
              <w:t>NS</w:t>
            </w:r>
            <w:bookmarkEnd w:id="92"/>
            <w:bookmarkEnd w:id="93"/>
          </w:p>
        </w:tc>
      </w:tr>
      <w:tr w:rsidR="0000639E">
        <w:tc>
          <w:tcPr>
            <w:tcW w:w="2949" w:type="dxa"/>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 xml:space="preserve">Blood pressure </w:t>
            </w:r>
            <w:proofErr w:type="spellStart"/>
            <w:r>
              <w:rPr>
                <w:rFonts w:ascii="Times New Roman" w:eastAsia="Times New Roman" w:hAnsi="Times New Roman" w:cs="Times New Roman"/>
                <w:kern w:val="0"/>
                <w:sz w:val="24"/>
                <w:szCs w:val="24"/>
                <w:lang w:val="fr-FR" w:eastAsia="fr-FR"/>
              </w:rPr>
              <w:t>instability</w:t>
            </w:r>
            <w:proofErr w:type="spellEnd"/>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4" w:name="_Toc26429636"/>
            <w:bookmarkStart w:id="95" w:name="_Toc26467188"/>
            <w:r>
              <w:rPr>
                <w:rFonts w:ascii="Times New Roman" w:hAnsi="Times New Roman"/>
                <w:color w:val="auto"/>
                <w:sz w:val="22"/>
                <w:szCs w:val="22"/>
                <w:lang w:eastAsia="fr-FR"/>
              </w:rPr>
              <w:t>78</w:t>
            </w:r>
            <w:bookmarkEnd w:id="94"/>
            <w:bookmarkEnd w:id="95"/>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6" w:name="_Toc26429637"/>
            <w:bookmarkStart w:id="97" w:name="_Toc26467189"/>
            <w:r>
              <w:rPr>
                <w:rFonts w:ascii="Times New Roman" w:hAnsi="Times New Roman"/>
                <w:color w:val="auto"/>
                <w:sz w:val="22"/>
                <w:szCs w:val="22"/>
                <w:lang w:eastAsia="fr-FR"/>
              </w:rPr>
              <w:t>12.4</w:t>
            </w:r>
            <w:bookmarkEnd w:id="96"/>
            <w:bookmarkEnd w:id="97"/>
            <w:r>
              <w:rPr>
                <w:rFonts w:ascii="Times New Roman" w:hAnsi="Times New Roman"/>
                <w:color w:val="auto"/>
                <w:sz w:val="22"/>
                <w:szCs w:val="22"/>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8" w:name="_Toc26429638"/>
            <w:bookmarkStart w:id="99" w:name="_Toc26467190"/>
            <w:r>
              <w:rPr>
                <w:rFonts w:ascii="Times New Roman" w:hAnsi="Times New Roman"/>
                <w:color w:val="auto"/>
                <w:sz w:val="22"/>
                <w:szCs w:val="22"/>
                <w:lang w:eastAsia="fr-FR"/>
              </w:rPr>
              <w:t>38</w:t>
            </w:r>
            <w:bookmarkEnd w:id="98"/>
            <w:bookmarkEnd w:id="99"/>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0" w:name="_Toc26429639"/>
            <w:bookmarkStart w:id="101" w:name="_Toc26467191"/>
            <w:r>
              <w:rPr>
                <w:rFonts w:ascii="Times New Roman" w:hAnsi="Times New Roman"/>
                <w:color w:val="auto"/>
                <w:sz w:val="22"/>
                <w:szCs w:val="22"/>
                <w:lang w:eastAsia="fr-FR"/>
              </w:rPr>
              <w:t>6.1</w:t>
            </w:r>
            <w:bookmarkEnd w:id="100"/>
            <w:bookmarkEnd w:id="101"/>
            <w:r>
              <w:rPr>
                <w:rFonts w:ascii="Times New Roman" w:hAnsi="Times New Roman"/>
                <w:color w:val="auto"/>
                <w:sz w:val="22"/>
                <w:szCs w:val="22"/>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2" w:name="_Toc26429640"/>
            <w:bookmarkStart w:id="103" w:name="_Toc26467192"/>
            <w:r>
              <w:rPr>
                <w:rFonts w:ascii="Times New Roman" w:hAnsi="Times New Roman"/>
                <w:color w:val="auto"/>
                <w:sz w:val="22"/>
                <w:szCs w:val="22"/>
                <w:lang w:eastAsia="fr-FR"/>
              </w:rPr>
              <w:t>116</w:t>
            </w:r>
            <w:bookmarkEnd w:id="102"/>
            <w:bookmarkEnd w:id="103"/>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4" w:name="_Toc26429641"/>
            <w:bookmarkStart w:id="105" w:name="_Toc26467193"/>
            <w:r>
              <w:rPr>
                <w:rFonts w:ascii="Times New Roman" w:hAnsi="Times New Roman"/>
                <w:color w:val="auto"/>
                <w:sz w:val="22"/>
                <w:szCs w:val="22"/>
                <w:lang w:eastAsia="fr-FR"/>
              </w:rPr>
              <w:t>9.3</w:t>
            </w:r>
            <w:bookmarkEnd w:id="104"/>
            <w:bookmarkEnd w:id="105"/>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6" w:name="_Toc26429642"/>
            <w:bookmarkStart w:id="107" w:name="_Toc26467194"/>
            <w:r>
              <w:rPr>
                <w:rFonts w:ascii="Times New Roman" w:hAnsi="Times New Roman"/>
                <w:color w:val="auto"/>
                <w:sz w:val="22"/>
                <w:szCs w:val="22"/>
                <w:lang w:eastAsia="fr-FR"/>
              </w:rPr>
              <w:t>0.0001</w:t>
            </w:r>
            <w:bookmarkEnd w:id="106"/>
            <w:bookmarkEnd w:id="107"/>
          </w:p>
        </w:tc>
      </w:tr>
      <w:tr w:rsidR="0000639E">
        <w:tc>
          <w:tcPr>
            <w:tcW w:w="2949" w:type="dxa"/>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proofErr w:type="spellStart"/>
            <w:r>
              <w:rPr>
                <w:rFonts w:ascii="Times New Roman" w:eastAsia="Times New Roman" w:hAnsi="Times New Roman" w:cs="Times New Roman"/>
                <w:kern w:val="0"/>
                <w:sz w:val="24"/>
                <w:szCs w:val="24"/>
                <w:lang w:val="fr-FR" w:eastAsia="fr-FR"/>
              </w:rPr>
              <w:t>Subcapsular</w:t>
            </w:r>
            <w:proofErr w:type="spellEnd"/>
            <w:r>
              <w:rPr>
                <w:rFonts w:ascii="Times New Roman" w:eastAsia="Times New Roman" w:hAnsi="Times New Roman" w:cs="Times New Roman"/>
                <w:kern w:val="0"/>
                <w:sz w:val="24"/>
                <w:szCs w:val="24"/>
                <w:lang w:val="fr-FR" w:eastAsia="fr-FR"/>
              </w:rPr>
              <w:t xml:space="preserve"> </w:t>
            </w:r>
            <w:proofErr w:type="spellStart"/>
            <w:r>
              <w:rPr>
                <w:rFonts w:ascii="Times New Roman" w:eastAsia="Times New Roman" w:hAnsi="Times New Roman" w:cs="Times New Roman"/>
                <w:kern w:val="0"/>
                <w:sz w:val="24"/>
                <w:szCs w:val="24"/>
                <w:lang w:val="fr-FR" w:eastAsia="fr-FR"/>
              </w:rPr>
              <w:t>liver</w:t>
            </w:r>
            <w:proofErr w:type="spellEnd"/>
            <w:r>
              <w:rPr>
                <w:rFonts w:ascii="Times New Roman" w:eastAsia="Times New Roman" w:hAnsi="Times New Roman" w:cs="Times New Roman"/>
                <w:kern w:val="0"/>
                <w:sz w:val="24"/>
                <w:szCs w:val="24"/>
                <w:lang w:val="fr-FR" w:eastAsia="fr-FR"/>
              </w:rPr>
              <w:t xml:space="preserve"> </w:t>
            </w:r>
            <w:proofErr w:type="spellStart"/>
            <w:r>
              <w:rPr>
                <w:rFonts w:ascii="Times New Roman" w:eastAsia="Times New Roman" w:hAnsi="Times New Roman" w:cs="Times New Roman"/>
                <w:kern w:val="0"/>
                <w:sz w:val="24"/>
                <w:szCs w:val="24"/>
                <w:lang w:val="fr-FR" w:eastAsia="fr-FR"/>
              </w:rPr>
              <w:t>hematoma</w:t>
            </w:r>
            <w:proofErr w:type="spellEnd"/>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8" w:name="_Toc26429644"/>
            <w:bookmarkStart w:id="109" w:name="_Toc26467196"/>
            <w:r>
              <w:rPr>
                <w:rFonts w:ascii="Times New Roman" w:hAnsi="Times New Roman"/>
                <w:color w:val="auto"/>
                <w:sz w:val="22"/>
                <w:szCs w:val="22"/>
                <w:lang w:eastAsia="fr-FR"/>
              </w:rPr>
              <w:t>5</w:t>
            </w:r>
            <w:bookmarkEnd w:id="108"/>
            <w:bookmarkEnd w:id="109"/>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0" w:name="_Toc26429645"/>
            <w:bookmarkStart w:id="111" w:name="_Toc26467197"/>
            <w:r>
              <w:rPr>
                <w:rFonts w:ascii="Times New Roman" w:hAnsi="Times New Roman"/>
                <w:color w:val="auto"/>
                <w:sz w:val="22"/>
                <w:szCs w:val="22"/>
                <w:lang w:eastAsia="fr-FR"/>
              </w:rPr>
              <w:t>0.8</w:t>
            </w:r>
            <w:bookmarkEnd w:id="110"/>
            <w:bookmarkEnd w:id="111"/>
            <w:r>
              <w:rPr>
                <w:rFonts w:ascii="Times New Roman" w:hAnsi="Times New Roman"/>
                <w:color w:val="auto"/>
                <w:sz w:val="22"/>
                <w:szCs w:val="22"/>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2" w:name="_Toc26429646"/>
            <w:bookmarkStart w:id="113" w:name="_Toc26467198"/>
            <w:r>
              <w:rPr>
                <w:rFonts w:ascii="Times New Roman" w:hAnsi="Times New Roman"/>
                <w:color w:val="auto"/>
                <w:sz w:val="22"/>
                <w:szCs w:val="22"/>
                <w:lang w:eastAsia="fr-FR"/>
              </w:rPr>
              <w:t>2</w:t>
            </w:r>
            <w:bookmarkEnd w:id="112"/>
            <w:bookmarkEnd w:id="113"/>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4" w:name="_Toc26429647"/>
            <w:bookmarkStart w:id="115" w:name="_Toc26467199"/>
            <w:r>
              <w:rPr>
                <w:rFonts w:ascii="Times New Roman" w:hAnsi="Times New Roman"/>
                <w:color w:val="auto"/>
                <w:sz w:val="22"/>
                <w:szCs w:val="22"/>
                <w:lang w:eastAsia="fr-FR"/>
              </w:rPr>
              <w:t>0.3</w:t>
            </w:r>
            <w:bookmarkEnd w:id="114"/>
            <w:bookmarkEnd w:id="115"/>
            <w:r>
              <w:rPr>
                <w:rFonts w:ascii="Times New Roman" w:hAnsi="Times New Roman"/>
                <w:color w:val="auto"/>
                <w:sz w:val="22"/>
                <w:szCs w:val="22"/>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6" w:name="_Toc26429648"/>
            <w:bookmarkStart w:id="117" w:name="_Toc26467200"/>
            <w:r>
              <w:rPr>
                <w:rFonts w:ascii="Times New Roman" w:hAnsi="Times New Roman"/>
                <w:color w:val="auto"/>
                <w:sz w:val="22"/>
                <w:szCs w:val="22"/>
                <w:lang w:eastAsia="fr-FR"/>
              </w:rPr>
              <w:t>7</w:t>
            </w:r>
            <w:bookmarkEnd w:id="116"/>
            <w:bookmarkEnd w:id="117"/>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8" w:name="_Toc26429649"/>
            <w:bookmarkStart w:id="119" w:name="_Toc26467201"/>
            <w:r>
              <w:rPr>
                <w:rFonts w:ascii="Times New Roman" w:hAnsi="Times New Roman"/>
                <w:color w:val="auto"/>
                <w:sz w:val="22"/>
                <w:szCs w:val="22"/>
                <w:lang w:eastAsia="fr-FR"/>
              </w:rPr>
              <w:t>0.6</w:t>
            </w:r>
            <w:bookmarkEnd w:id="118"/>
            <w:bookmarkEnd w:id="119"/>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20" w:name="_Toc26429650"/>
            <w:bookmarkStart w:id="121" w:name="_Toc26467202"/>
            <w:r>
              <w:rPr>
                <w:rFonts w:ascii="Times New Roman" w:hAnsi="Times New Roman"/>
                <w:color w:val="auto"/>
                <w:sz w:val="22"/>
                <w:szCs w:val="22"/>
                <w:lang w:eastAsia="fr-FR"/>
              </w:rPr>
              <w:t>NS</w:t>
            </w:r>
            <w:bookmarkEnd w:id="120"/>
            <w:bookmarkEnd w:id="121"/>
          </w:p>
        </w:tc>
      </w:tr>
      <w:tr w:rsidR="0000639E">
        <w:tc>
          <w:tcPr>
            <w:tcW w:w="2949" w:type="dxa"/>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 xml:space="preserve">Postpartum </w:t>
            </w:r>
            <w:proofErr w:type="spellStart"/>
            <w:r>
              <w:rPr>
                <w:rFonts w:ascii="Times New Roman" w:eastAsia="Times New Roman" w:hAnsi="Times New Roman" w:cs="Times New Roman"/>
                <w:kern w:val="0"/>
                <w:sz w:val="24"/>
                <w:szCs w:val="24"/>
                <w:lang w:val="fr-FR" w:eastAsia="fr-FR"/>
              </w:rPr>
              <w:t>hemorrhage</w:t>
            </w:r>
            <w:proofErr w:type="spellEnd"/>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2" w:name="_Toc26429652"/>
            <w:bookmarkStart w:id="123" w:name="_Toc26467204"/>
            <w:r>
              <w:rPr>
                <w:rFonts w:ascii="Times New Roman" w:hAnsi="Times New Roman"/>
                <w:color w:val="auto"/>
                <w:sz w:val="24"/>
                <w:szCs w:val="24"/>
                <w:lang w:eastAsia="fr-FR"/>
              </w:rPr>
              <w:t>13</w:t>
            </w:r>
            <w:bookmarkEnd w:id="122"/>
            <w:bookmarkEnd w:id="123"/>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4" w:name="_Toc26429653"/>
            <w:bookmarkStart w:id="125" w:name="_Toc26467205"/>
            <w:r>
              <w:rPr>
                <w:rFonts w:ascii="Times New Roman" w:hAnsi="Times New Roman"/>
                <w:color w:val="auto"/>
                <w:sz w:val="24"/>
                <w:szCs w:val="24"/>
                <w:lang w:eastAsia="fr-FR"/>
              </w:rPr>
              <w:t>2.1</w:t>
            </w:r>
            <w:bookmarkEnd w:id="124"/>
            <w:bookmarkEnd w:id="125"/>
            <w:r>
              <w:rPr>
                <w:rFonts w:ascii="Times New Roman" w:hAnsi="Times New Roman"/>
                <w:color w:val="auto"/>
                <w:sz w:val="24"/>
                <w:szCs w:val="24"/>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6" w:name="_Toc26429654"/>
            <w:bookmarkStart w:id="127" w:name="_Toc26467206"/>
            <w:r>
              <w:rPr>
                <w:rFonts w:ascii="Times New Roman" w:hAnsi="Times New Roman"/>
                <w:color w:val="auto"/>
                <w:sz w:val="24"/>
                <w:szCs w:val="24"/>
                <w:lang w:eastAsia="fr-FR"/>
              </w:rPr>
              <w:t>10</w:t>
            </w:r>
            <w:bookmarkEnd w:id="126"/>
            <w:bookmarkEnd w:id="127"/>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8" w:name="_Toc26429655"/>
            <w:bookmarkStart w:id="129" w:name="_Toc26467207"/>
            <w:r>
              <w:rPr>
                <w:rFonts w:ascii="Times New Roman" w:hAnsi="Times New Roman"/>
                <w:color w:val="auto"/>
                <w:sz w:val="24"/>
                <w:szCs w:val="24"/>
                <w:lang w:eastAsia="fr-FR"/>
              </w:rPr>
              <w:t>1.6</w:t>
            </w:r>
            <w:bookmarkEnd w:id="128"/>
            <w:bookmarkEnd w:id="129"/>
            <w:r>
              <w:rPr>
                <w:rFonts w:ascii="Times New Roman" w:hAnsi="Times New Roman"/>
                <w:color w:val="auto"/>
                <w:sz w:val="24"/>
                <w:szCs w:val="24"/>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0" w:name="_Toc26429656"/>
            <w:bookmarkStart w:id="131" w:name="_Toc26467208"/>
            <w:r>
              <w:rPr>
                <w:rFonts w:ascii="Times New Roman" w:hAnsi="Times New Roman"/>
                <w:color w:val="auto"/>
                <w:sz w:val="24"/>
                <w:szCs w:val="24"/>
                <w:lang w:eastAsia="fr-FR"/>
              </w:rPr>
              <w:t>23</w:t>
            </w:r>
            <w:bookmarkEnd w:id="130"/>
            <w:bookmarkEnd w:id="131"/>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2" w:name="_Toc26429657"/>
            <w:bookmarkStart w:id="133" w:name="_Toc26467209"/>
            <w:r>
              <w:rPr>
                <w:rFonts w:ascii="Times New Roman" w:hAnsi="Times New Roman"/>
                <w:color w:val="auto"/>
                <w:sz w:val="24"/>
                <w:szCs w:val="24"/>
                <w:lang w:eastAsia="fr-FR"/>
              </w:rPr>
              <w:t>1.8</w:t>
            </w:r>
            <w:bookmarkEnd w:id="132"/>
            <w:bookmarkEnd w:id="133"/>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4" w:name="_Toc26429658"/>
            <w:bookmarkStart w:id="135" w:name="_Toc26467210"/>
            <w:r>
              <w:rPr>
                <w:rFonts w:ascii="Times New Roman" w:hAnsi="Times New Roman"/>
                <w:color w:val="auto"/>
                <w:sz w:val="24"/>
                <w:szCs w:val="24"/>
                <w:lang w:eastAsia="fr-FR"/>
              </w:rPr>
              <w:t>NS</w:t>
            </w:r>
            <w:bookmarkEnd w:id="134"/>
            <w:bookmarkEnd w:id="135"/>
          </w:p>
        </w:tc>
      </w:tr>
      <w:tr w:rsidR="0000639E">
        <w:tc>
          <w:tcPr>
            <w:tcW w:w="2949" w:type="dxa"/>
            <w:tcBorders>
              <w:bottom w:val="single" w:sz="12" w:space="0" w:color="008000"/>
            </w:tcBorders>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proofErr w:type="spellStart"/>
            <w:r>
              <w:rPr>
                <w:rFonts w:ascii="Times New Roman" w:eastAsia="Times New Roman" w:hAnsi="Times New Roman" w:cs="Times New Roman"/>
                <w:kern w:val="0"/>
                <w:sz w:val="24"/>
                <w:szCs w:val="24"/>
                <w:lang w:val="fr-FR" w:eastAsia="fr-FR"/>
              </w:rPr>
              <w:t>Hysterectomy</w:t>
            </w:r>
            <w:proofErr w:type="spellEnd"/>
          </w:p>
        </w:tc>
        <w:tc>
          <w:tcPr>
            <w:tcW w:w="486"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6" w:name="_Toc26429660"/>
            <w:bookmarkStart w:id="137" w:name="_Toc26467212"/>
            <w:r>
              <w:rPr>
                <w:rFonts w:ascii="Times New Roman" w:hAnsi="Times New Roman"/>
                <w:color w:val="auto"/>
                <w:sz w:val="24"/>
                <w:szCs w:val="24"/>
                <w:lang w:eastAsia="fr-FR"/>
              </w:rPr>
              <w:t>2</w:t>
            </w:r>
            <w:bookmarkEnd w:id="136"/>
            <w:bookmarkEnd w:id="137"/>
          </w:p>
        </w:tc>
        <w:tc>
          <w:tcPr>
            <w:tcW w:w="66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8" w:name="_Toc26429661"/>
            <w:bookmarkStart w:id="139" w:name="_Toc26467213"/>
            <w:r>
              <w:rPr>
                <w:rFonts w:ascii="Times New Roman" w:hAnsi="Times New Roman"/>
                <w:color w:val="auto"/>
                <w:sz w:val="24"/>
                <w:szCs w:val="24"/>
                <w:lang w:eastAsia="fr-FR"/>
              </w:rPr>
              <w:t>0.3</w:t>
            </w:r>
            <w:bookmarkEnd w:id="138"/>
            <w:bookmarkEnd w:id="139"/>
            <w:r>
              <w:rPr>
                <w:rFonts w:ascii="Times New Roman" w:hAnsi="Times New Roman"/>
                <w:color w:val="auto"/>
                <w:sz w:val="24"/>
                <w:szCs w:val="24"/>
                <w:lang w:eastAsia="fr-FR"/>
              </w:rPr>
              <w:t xml:space="preserve"> </w:t>
            </w:r>
          </w:p>
        </w:tc>
        <w:tc>
          <w:tcPr>
            <w:tcW w:w="486"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0" w:name="_Toc26429662"/>
            <w:bookmarkStart w:id="141" w:name="_Toc26467214"/>
            <w:r>
              <w:rPr>
                <w:rFonts w:ascii="Times New Roman" w:hAnsi="Times New Roman"/>
                <w:color w:val="auto"/>
                <w:sz w:val="24"/>
                <w:szCs w:val="24"/>
                <w:lang w:eastAsia="fr-FR"/>
              </w:rPr>
              <w:t>0</w:t>
            </w:r>
            <w:bookmarkEnd w:id="140"/>
            <w:bookmarkEnd w:id="141"/>
          </w:p>
        </w:tc>
        <w:tc>
          <w:tcPr>
            <w:tcW w:w="66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2" w:name="_Toc26429663"/>
            <w:bookmarkStart w:id="143" w:name="_Toc26467215"/>
            <w:r>
              <w:rPr>
                <w:rFonts w:ascii="Times New Roman" w:hAnsi="Times New Roman"/>
                <w:color w:val="auto"/>
                <w:sz w:val="24"/>
                <w:szCs w:val="24"/>
                <w:lang w:eastAsia="fr-FR"/>
              </w:rPr>
              <w:t>0.0</w:t>
            </w:r>
            <w:bookmarkEnd w:id="142"/>
            <w:bookmarkEnd w:id="143"/>
            <w:r>
              <w:rPr>
                <w:rFonts w:ascii="Times New Roman" w:hAnsi="Times New Roman"/>
                <w:color w:val="auto"/>
                <w:sz w:val="24"/>
                <w:szCs w:val="24"/>
                <w:lang w:eastAsia="fr-FR"/>
              </w:rPr>
              <w:t xml:space="preserve"> </w:t>
            </w:r>
          </w:p>
        </w:tc>
        <w:tc>
          <w:tcPr>
            <w:tcW w:w="59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4" w:name="_Toc26429664"/>
            <w:bookmarkStart w:id="145" w:name="_Toc26467216"/>
            <w:r>
              <w:rPr>
                <w:rFonts w:ascii="Times New Roman" w:hAnsi="Times New Roman"/>
                <w:color w:val="auto"/>
                <w:sz w:val="24"/>
                <w:szCs w:val="24"/>
                <w:lang w:eastAsia="fr-FR"/>
              </w:rPr>
              <w:t>2</w:t>
            </w:r>
            <w:bookmarkEnd w:id="144"/>
            <w:bookmarkEnd w:id="145"/>
          </w:p>
        </w:tc>
        <w:tc>
          <w:tcPr>
            <w:tcW w:w="66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6" w:name="_Toc26429665"/>
            <w:bookmarkStart w:id="147" w:name="_Toc26467217"/>
            <w:r>
              <w:rPr>
                <w:rFonts w:ascii="Times New Roman" w:hAnsi="Times New Roman"/>
                <w:color w:val="auto"/>
                <w:sz w:val="24"/>
                <w:szCs w:val="24"/>
                <w:lang w:eastAsia="fr-FR"/>
              </w:rPr>
              <w:t>0.2</w:t>
            </w:r>
            <w:bookmarkEnd w:id="146"/>
            <w:bookmarkEnd w:id="147"/>
          </w:p>
        </w:tc>
        <w:tc>
          <w:tcPr>
            <w:tcW w:w="91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8" w:name="_Toc26429666"/>
            <w:bookmarkStart w:id="149" w:name="_Toc26467218"/>
            <w:r>
              <w:rPr>
                <w:rFonts w:ascii="Times New Roman" w:hAnsi="Times New Roman"/>
                <w:color w:val="auto"/>
                <w:sz w:val="24"/>
                <w:szCs w:val="24"/>
                <w:lang w:eastAsia="fr-FR"/>
              </w:rPr>
              <w:t>NS</w:t>
            </w:r>
            <w:bookmarkEnd w:id="148"/>
            <w:bookmarkEnd w:id="149"/>
          </w:p>
        </w:tc>
      </w:tr>
    </w:tbl>
    <w:p w:rsidR="0000639E" w:rsidRDefault="0000639E">
      <w:pPr>
        <w:rPr>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10: Transfusion of Different Labile Blood Products</w:t>
      </w:r>
    </w:p>
    <w:tbl>
      <w:tblPr>
        <w:tblW w:w="5945" w:type="dxa"/>
        <w:tblCellMar>
          <w:left w:w="10" w:type="dxa"/>
          <w:right w:w="10" w:type="dxa"/>
        </w:tblCellMar>
        <w:tblLook w:val="0000" w:firstRow="0" w:lastRow="0" w:firstColumn="0" w:lastColumn="0" w:noHBand="0" w:noVBand="0"/>
      </w:tblPr>
      <w:tblGrid>
        <w:gridCol w:w="2794"/>
        <w:gridCol w:w="699"/>
        <w:gridCol w:w="699"/>
        <w:gridCol w:w="864"/>
        <w:gridCol w:w="889"/>
      </w:tblGrid>
      <w:tr w:rsidR="0000639E">
        <w:tc>
          <w:tcPr>
            <w:tcW w:w="2794"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Blood Products</w:t>
            </w:r>
          </w:p>
        </w:tc>
        <w:tc>
          <w:tcPr>
            <w:tcW w:w="69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T1 %</w:t>
            </w:r>
          </w:p>
        </w:tc>
        <w:tc>
          <w:tcPr>
            <w:tcW w:w="69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T2 %</w:t>
            </w:r>
          </w:p>
        </w:tc>
        <w:tc>
          <w:tcPr>
            <w:tcW w:w="864"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Total%</w:t>
            </w:r>
          </w:p>
        </w:tc>
        <w:tc>
          <w:tcPr>
            <w:tcW w:w="88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P-value</w:t>
            </w:r>
          </w:p>
        </w:tc>
      </w:tr>
      <w:tr w:rsidR="0000639E">
        <w:tc>
          <w:tcPr>
            <w:tcW w:w="279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 xml:space="preserve">Transfusion </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62.5</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41.3</w:t>
            </w:r>
          </w:p>
        </w:tc>
        <w:tc>
          <w:tcPr>
            <w:tcW w:w="86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50.22</w:t>
            </w:r>
          </w:p>
        </w:tc>
        <w:tc>
          <w:tcPr>
            <w:tcW w:w="88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0.1</w:t>
            </w:r>
          </w:p>
        </w:tc>
      </w:tr>
      <w:tr w:rsidR="0000639E">
        <w:tc>
          <w:tcPr>
            <w:tcW w:w="2794" w:type="dxa"/>
            <w:shd w:val="clear" w:color="auto" w:fill="auto"/>
            <w:tcMar>
              <w:top w:w="0" w:type="dxa"/>
              <w:left w:w="108" w:type="dxa"/>
              <w:bottom w:w="0" w:type="dxa"/>
              <w:right w:w="108" w:type="dxa"/>
            </w:tcMar>
          </w:tcPr>
          <w:p w:rsidR="0000639E" w:rsidRDefault="005A15D8">
            <w:pPr>
              <w:spacing w:after="0" w:line="276" w:lineRule="auto"/>
              <w:jc w:val="both"/>
              <w:textAlignment w:val="auto"/>
            </w:pPr>
            <w:r>
              <w:rPr>
                <w:rStyle w:val="Policepardfaut"/>
                <w:rFonts w:ascii="Times New Roman" w:eastAsia="Calibri" w:hAnsi="Times New Roman"/>
                <w:kern w:val="0"/>
                <w:sz w:val="20"/>
                <w:szCs w:val="20"/>
                <w:lang w:eastAsia="fr-FR"/>
              </w:rPr>
              <w:t>Platelet concentrate</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46.5</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26.4</w:t>
            </w:r>
          </w:p>
        </w:tc>
        <w:tc>
          <w:tcPr>
            <w:tcW w:w="86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30.5</w:t>
            </w:r>
          </w:p>
        </w:tc>
        <w:tc>
          <w:tcPr>
            <w:tcW w:w="88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
                <w:bCs/>
                <w:kern w:val="0"/>
                <w:lang w:eastAsia="fr-FR"/>
              </w:rPr>
            </w:pPr>
            <w:r>
              <w:rPr>
                <w:rFonts w:ascii="Times New Roman" w:eastAsia="Calibri" w:hAnsi="Times New Roman" w:cs="Times New Roman"/>
                <w:b/>
                <w:bCs/>
                <w:kern w:val="0"/>
                <w:lang w:eastAsia="fr-FR"/>
              </w:rPr>
              <w:t>0.004</w:t>
            </w:r>
          </w:p>
        </w:tc>
      </w:tr>
      <w:tr w:rsidR="0000639E">
        <w:tc>
          <w:tcPr>
            <w:tcW w:w="2794" w:type="dxa"/>
            <w:shd w:val="clear" w:color="auto" w:fill="auto"/>
            <w:tcMar>
              <w:top w:w="0" w:type="dxa"/>
              <w:left w:w="108" w:type="dxa"/>
              <w:bottom w:w="0" w:type="dxa"/>
              <w:right w:w="108" w:type="dxa"/>
            </w:tcMar>
          </w:tcPr>
          <w:p w:rsidR="0000639E" w:rsidRDefault="005A15D8">
            <w:pPr>
              <w:spacing w:after="0" w:line="276" w:lineRule="auto"/>
              <w:jc w:val="both"/>
              <w:textAlignment w:val="auto"/>
            </w:pPr>
            <w:r>
              <w:rPr>
                <w:rStyle w:val="Policepardfaut"/>
                <w:rFonts w:ascii="Times New Roman" w:eastAsia="Calibri" w:hAnsi="Times New Roman" w:cs="Times New Roman"/>
                <w:bCs/>
                <w:kern w:val="0"/>
                <w:lang w:eastAsia="fr-FR"/>
              </w:rPr>
              <w:t xml:space="preserve"> </w:t>
            </w:r>
            <w:r>
              <w:rPr>
                <w:rStyle w:val="Policepardfaut"/>
                <w:rFonts w:ascii="Times New Roman" w:eastAsia="Calibri" w:hAnsi="Times New Roman"/>
                <w:kern w:val="0"/>
                <w:sz w:val="20"/>
                <w:szCs w:val="20"/>
                <w:lang w:eastAsia="fr-FR"/>
              </w:rPr>
              <w:t>FFP</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20.7</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18.5</w:t>
            </w:r>
          </w:p>
        </w:tc>
        <w:tc>
          <w:tcPr>
            <w:tcW w:w="86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20.1</w:t>
            </w:r>
          </w:p>
        </w:tc>
        <w:tc>
          <w:tcPr>
            <w:tcW w:w="88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0.7</w:t>
            </w:r>
          </w:p>
        </w:tc>
      </w:tr>
      <w:tr w:rsidR="0000639E">
        <w:tc>
          <w:tcPr>
            <w:tcW w:w="2794"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pPr>
            <w:r>
              <w:rPr>
                <w:rStyle w:val="lev"/>
                <w:rFonts w:ascii="Times New Roman" w:eastAsia="Calibri" w:hAnsi="Times New Roman"/>
                <w:b w:val="0"/>
                <w:bCs w:val="0"/>
                <w:kern w:val="0"/>
                <w:sz w:val="20"/>
                <w:szCs w:val="20"/>
                <w:lang w:eastAsia="fr-FR"/>
              </w:rPr>
              <w:t>Packed red blood cells (PRBCs)</w:t>
            </w:r>
            <w:r>
              <w:rPr>
                <w:rStyle w:val="Policepardfaut"/>
                <w:rFonts w:ascii="Times New Roman" w:eastAsia="Calibri" w:hAnsi="Times New Roman" w:cs="Times New Roman"/>
                <w:b/>
                <w:bCs/>
                <w:kern w:val="0"/>
                <w:lang w:eastAsia="fr-FR"/>
              </w:rPr>
              <w:t xml:space="preserve"> </w:t>
            </w:r>
          </w:p>
        </w:tc>
        <w:tc>
          <w:tcPr>
            <w:tcW w:w="699"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33</w:t>
            </w:r>
          </w:p>
        </w:tc>
        <w:tc>
          <w:tcPr>
            <w:tcW w:w="699"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28.6</w:t>
            </w:r>
          </w:p>
        </w:tc>
        <w:tc>
          <w:tcPr>
            <w:tcW w:w="864"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18.4</w:t>
            </w:r>
          </w:p>
        </w:tc>
        <w:tc>
          <w:tcPr>
            <w:tcW w:w="889"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0.1</w:t>
            </w:r>
          </w:p>
        </w:tc>
      </w:tr>
    </w:tbl>
    <w:p w:rsidR="0000639E" w:rsidRDefault="0000639E">
      <w:pPr>
        <w:rPr>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Table </w:t>
      </w:r>
      <w:proofErr w:type="gramStart"/>
      <w:r>
        <w:rPr>
          <w:rStyle w:val="Policepardfaut"/>
          <w:rFonts w:ascii="Times New Roman" w:eastAsia="Times New Roman" w:hAnsi="Times New Roman" w:cs="Times New Roman"/>
          <w:b/>
          <w:bCs/>
          <w:kern w:val="0"/>
          <w:sz w:val="24"/>
          <w:szCs w:val="24"/>
          <w:lang w:val="fr-FR" w:eastAsia="fr-FR"/>
        </w:rPr>
        <w:t>11:</w:t>
      </w:r>
      <w:proofErr w:type="gramEnd"/>
      <w:r>
        <w:rPr>
          <w:rStyle w:val="Policepardfaut"/>
          <w:rFonts w:ascii="Times New Roman" w:eastAsia="Times New Roman" w:hAnsi="Times New Roman" w:cs="Times New Roman"/>
          <w:b/>
          <w:bCs/>
          <w:kern w:val="0"/>
          <w:sz w:val="24"/>
          <w:szCs w:val="24"/>
          <w:lang w:val="fr-FR" w:eastAsia="fr-FR"/>
        </w:rPr>
        <w:t xml:space="preserve"> Duration of </w:t>
      </w:r>
      <w:proofErr w:type="spellStart"/>
      <w:r>
        <w:rPr>
          <w:rStyle w:val="Policepardfaut"/>
          <w:rFonts w:ascii="Times New Roman" w:eastAsia="Times New Roman" w:hAnsi="Times New Roman" w:cs="Times New Roman"/>
          <w:b/>
          <w:bCs/>
          <w:kern w:val="0"/>
          <w:sz w:val="24"/>
          <w:szCs w:val="24"/>
          <w:lang w:val="fr-FR" w:eastAsia="fr-FR"/>
        </w:rPr>
        <w:t>Maternal</w:t>
      </w:r>
      <w:proofErr w:type="spellEnd"/>
      <w:r>
        <w:rPr>
          <w:rStyle w:val="Policepardfaut"/>
          <w:rFonts w:ascii="Times New Roman" w:eastAsia="Times New Roman" w:hAnsi="Times New Roman" w:cs="Times New Roman"/>
          <w:b/>
          <w:bCs/>
          <w:kern w:val="0"/>
          <w:sz w:val="24"/>
          <w:szCs w:val="24"/>
          <w:lang w:val="fr-FR" w:eastAsia="fr-FR"/>
        </w:rPr>
        <w:t xml:space="preserve"> </w:t>
      </w:r>
      <w:proofErr w:type="spellStart"/>
      <w:r>
        <w:rPr>
          <w:rStyle w:val="Policepardfaut"/>
          <w:rFonts w:ascii="Times New Roman" w:eastAsia="Times New Roman" w:hAnsi="Times New Roman" w:cs="Times New Roman"/>
          <w:b/>
          <w:bCs/>
          <w:kern w:val="0"/>
          <w:sz w:val="24"/>
          <w:szCs w:val="24"/>
          <w:lang w:val="fr-FR" w:eastAsia="fr-FR"/>
        </w:rPr>
        <w:t>Hospitalization</w:t>
      </w:r>
      <w:proofErr w:type="spellEnd"/>
    </w:p>
    <w:tbl>
      <w:tblPr>
        <w:tblW w:w="8637" w:type="dxa"/>
        <w:tblCellMar>
          <w:left w:w="10" w:type="dxa"/>
          <w:right w:w="10" w:type="dxa"/>
        </w:tblCellMar>
        <w:tblLook w:val="0000" w:firstRow="0" w:lastRow="0" w:firstColumn="0" w:lastColumn="0" w:noHBand="0" w:noVBand="0"/>
      </w:tblPr>
      <w:tblGrid>
        <w:gridCol w:w="737"/>
        <w:gridCol w:w="963"/>
        <w:gridCol w:w="1709"/>
        <w:gridCol w:w="763"/>
        <w:gridCol w:w="2023"/>
        <w:gridCol w:w="677"/>
        <w:gridCol w:w="716"/>
        <w:gridCol w:w="1049"/>
      </w:tblGrid>
      <w:tr w:rsidR="0000639E">
        <w:tc>
          <w:tcPr>
            <w:tcW w:w="73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proofErr w:type="spellStart"/>
            <w:r>
              <w:rPr>
                <w:lang w:val="en-US"/>
              </w:rPr>
              <w:lastRenderedPageBreak/>
              <w:t>Priod</w:t>
            </w:r>
            <w:proofErr w:type="spellEnd"/>
          </w:p>
        </w:tc>
        <w:tc>
          <w:tcPr>
            <w:tcW w:w="96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HELLP</w:t>
            </w:r>
          </w:p>
        </w:tc>
        <w:tc>
          <w:tcPr>
            <w:tcW w:w="170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Sample size (n) </w:t>
            </w:r>
          </w:p>
        </w:tc>
        <w:tc>
          <w:tcPr>
            <w:tcW w:w="76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Mean </w:t>
            </w:r>
          </w:p>
        </w:tc>
        <w:tc>
          <w:tcPr>
            <w:tcW w:w="202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uppressAutoHyphens w:val="0"/>
              <w:spacing w:before="100" w:after="100"/>
              <w:textAlignment w:val="auto"/>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 xml:space="preserve">Standard </w:t>
            </w:r>
            <w:proofErr w:type="spellStart"/>
            <w:r>
              <w:rPr>
                <w:rFonts w:ascii="Times New Roman" w:eastAsia="Times New Roman" w:hAnsi="Times New Roman" w:cs="Times New Roman"/>
                <w:kern w:val="0"/>
                <w:sz w:val="24"/>
                <w:szCs w:val="24"/>
                <w:lang w:val="fr-FR" w:eastAsia="fr-FR"/>
              </w:rPr>
              <w:t>deviation</w:t>
            </w:r>
            <w:proofErr w:type="spellEnd"/>
          </w:p>
          <w:p w:rsidR="0000639E" w:rsidRDefault="0000639E">
            <w:pPr>
              <w:pStyle w:val="Sansinterligne"/>
              <w:spacing w:line="360" w:lineRule="auto"/>
              <w:jc w:val="both"/>
            </w:pPr>
          </w:p>
        </w:tc>
        <w:tc>
          <w:tcPr>
            <w:tcW w:w="67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Min.</w:t>
            </w:r>
          </w:p>
        </w:tc>
        <w:tc>
          <w:tcPr>
            <w:tcW w:w="71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Max.</w:t>
            </w:r>
          </w:p>
        </w:tc>
        <w:tc>
          <w:tcPr>
            <w:tcW w:w="104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proofErr w:type="spellStart"/>
            <w:r>
              <w:t>Valeur</w:t>
            </w:r>
            <w:proofErr w:type="spellEnd"/>
            <w:r>
              <w:t xml:space="preserve"> p</w:t>
            </w:r>
          </w:p>
        </w:tc>
      </w:tr>
      <w:tr w:rsidR="0000639E">
        <w:tc>
          <w:tcPr>
            <w:tcW w:w="737" w:type="dxa"/>
            <w:vMerge w:val="restart"/>
            <w:shd w:val="clear" w:color="auto" w:fill="auto"/>
            <w:tcMar>
              <w:top w:w="0" w:type="dxa"/>
              <w:left w:w="108" w:type="dxa"/>
              <w:bottom w:w="0" w:type="dxa"/>
              <w:right w:w="108" w:type="dxa"/>
            </w:tcMar>
          </w:tcPr>
          <w:p w:rsidR="0000639E" w:rsidRDefault="005A15D8">
            <w:pPr>
              <w:pStyle w:val="Sansinterligne"/>
              <w:spacing w:line="360" w:lineRule="auto"/>
              <w:jc w:val="both"/>
            </w:pPr>
            <w:r>
              <w:t>T1</w:t>
            </w:r>
          </w:p>
        </w:tc>
        <w:tc>
          <w:tcPr>
            <w:tcW w:w="9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N </w:t>
            </w:r>
          </w:p>
        </w:tc>
        <w:tc>
          <w:tcPr>
            <w:tcW w:w="1709"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521 </w:t>
            </w:r>
          </w:p>
        </w:tc>
        <w:tc>
          <w:tcPr>
            <w:tcW w:w="7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5.62 </w:t>
            </w:r>
          </w:p>
        </w:tc>
        <w:tc>
          <w:tcPr>
            <w:tcW w:w="202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4.19 </w:t>
            </w:r>
          </w:p>
        </w:tc>
        <w:tc>
          <w:tcPr>
            <w:tcW w:w="677" w:type="dxa"/>
            <w:shd w:val="clear" w:color="auto" w:fill="auto"/>
            <w:tcMar>
              <w:top w:w="0" w:type="dxa"/>
              <w:left w:w="108" w:type="dxa"/>
              <w:bottom w:w="0" w:type="dxa"/>
              <w:right w:w="108" w:type="dxa"/>
            </w:tcMar>
          </w:tcPr>
          <w:p w:rsidR="0000639E" w:rsidRDefault="005A15D8">
            <w:pPr>
              <w:pStyle w:val="Sansinterligne"/>
              <w:spacing w:line="360" w:lineRule="auto"/>
              <w:jc w:val="both"/>
            </w:pPr>
            <w:r>
              <w:t>1</w:t>
            </w:r>
          </w:p>
        </w:tc>
        <w:tc>
          <w:tcPr>
            <w:tcW w:w="716" w:type="dxa"/>
            <w:shd w:val="clear" w:color="auto" w:fill="auto"/>
            <w:tcMar>
              <w:top w:w="0" w:type="dxa"/>
              <w:left w:w="108" w:type="dxa"/>
              <w:bottom w:w="0" w:type="dxa"/>
              <w:right w:w="108" w:type="dxa"/>
            </w:tcMar>
          </w:tcPr>
          <w:p w:rsidR="0000639E" w:rsidRDefault="005A15D8">
            <w:pPr>
              <w:pStyle w:val="Sansinterligne"/>
              <w:spacing w:line="360" w:lineRule="auto"/>
              <w:jc w:val="both"/>
            </w:pPr>
            <w:r>
              <w:t>33</w:t>
            </w:r>
          </w:p>
        </w:tc>
        <w:tc>
          <w:tcPr>
            <w:tcW w:w="1049" w:type="dxa"/>
            <w:vMerge w:val="restart"/>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890909</wp:posOffset>
                      </wp:positionH>
                      <wp:positionV relativeFrom="paragraph">
                        <wp:posOffset>165735</wp:posOffset>
                      </wp:positionV>
                      <wp:extent cx="798198" cy="297180"/>
                      <wp:effectExtent l="0" t="0" r="20952" b="26670"/>
                      <wp:wrapNone/>
                      <wp:docPr id="1" name="Zone de texte 4"/>
                      <wp:cNvGraphicFramePr/>
                      <a:graphic xmlns:a="http://schemas.openxmlformats.org/drawingml/2006/main">
                        <a:graphicData uri="http://schemas.microsoft.com/office/word/2010/wordprocessingShape">
                          <wps:wsp>
                            <wps:cNvSpPr txBox="1"/>
                            <wps:spPr>
                              <a:xfrm>
                                <a:off x="0" y="0"/>
                                <a:ext cx="798198" cy="297180"/>
                              </a:xfrm>
                              <a:prstGeom prst="rect">
                                <a:avLst/>
                              </a:prstGeom>
                              <a:solidFill>
                                <a:srgbClr val="FFFFFF"/>
                              </a:solidFill>
                              <a:ln w="9528">
                                <a:solidFill>
                                  <a:srgbClr val="000000"/>
                                </a:solidFill>
                                <a:prstDash val="solid"/>
                              </a:ln>
                            </wps:spPr>
                            <wps:txbx>
                              <w:txbxContent>
                                <w:p w:rsidR="0000639E" w:rsidRDefault="005A15D8">
                                  <w:pPr>
                                    <w:rPr>
                                      <w:b/>
                                      <w:bCs/>
                                    </w:rPr>
                                  </w:pPr>
                                  <w:r>
                                    <w:rPr>
                                      <w:b/>
                                      <w:bCs/>
                                    </w:rPr>
                                    <w:t>P=0.0004</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70.15pt;margin-top:13.05pt;width:62.8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" strokeweight=".26467mm">
                      <v:textbox>
                        <w:txbxContent>
                          <w:p w:rsidR="0000639E" w:rsidRDefault="005A15D8">
                            <w:pPr>
                              <w:rPr>
                                <w:b/>
                                <w:bCs/>
                              </w:rPr>
                            </w:pPr>
                            <w:r>
                              <w:rPr>
                                <w:b/>
                                <w:bCs/>
                              </w:rPr>
                              <w:t>P=0.0004</w:t>
                            </w:r>
                          </w:p>
                        </w:txbxContent>
                      </v:textbox>
                    </v:shape>
                  </w:pict>
                </mc:Fallback>
              </mc:AlternateContent>
            </w:r>
            <w:r>
              <w:rPr>
                <w:rStyle w:val="Policepardfaut"/>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15243</wp:posOffset>
                      </wp:positionV>
                      <wp:extent cx="90809" cy="771525"/>
                      <wp:effectExtent l="0" t="0" r="23491" b="28575"/>
                      <wp:wrapNone/>
                      <wp:docPr id="2" name="Accolade fermante 2"/>
                      <wp:cNvGraphicFramePr/>
                      <a:graphic xmlns:a="http://schemas.openxmlformats.org/drawingml/2006/main">
                        <a:graphicData uri="http://schemas.microsoft.com/office/word/2010/wordprocessingShape">
                          <wps:wsp>
                            <wps:cNvSpPr/>
                            <wps:spPr>
                              <a:xfrm>
                                <a:off x="0" y="0"/>
                                <a:ext cx="90809" cy="771525"/>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70862"/>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9528" cap="flat">
                                <a:solidFill>
                                  <a:srgbClr val="000000"/>
                                </a:solidFill>
                                <a:prstDash val="solid"/>
                                <a:round/>
                              </a:ln>
                            </wps:spPr>
                            <wps:bodyPr lIns="0" tIns="0" rIns="0" bIns="0"/>
                          </wps:wsp>
                        </a:graphicData>
                      </a:graphic>
                    </wp:anchor>
                  </w:drawing>
                </mc:Choice>
                <mc:Fallback>
                  <w:pict>
                    <v:shape w14:anchorId="68348934" id="Accolade fermante 2" o:spid="_x0000_s1026" style="position:absolute;margin-left:54.45pt;margin-top:1.2pt;width:7.1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0809,77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" path="m,nswa-45405,,45405,128698,,,45405,64349l45405,321413at45405,257064,136215,385762,45405,321413,90810,385762,45405,385762,136215,514460,90810,385762,45405,450111l45405,707176wa-45405,642827,45405,771525,45405,707176,,771525l,xem,nfwa-45405,,45405,128698,,,45405,64349l45405,321413at45405,257064,136215,385762,45405,321413,90810,385762,45405,385762,136215,514460,90810,385762,45405,450111l45405,707176wa-45405,642827,45405,771525,45405,707176,,771525e" filled="f" strokeweight=".26467mm">
                      <v:path arrowok="t" o:connecttype="custom" o:connectlocs="45405,0;90809,385763;45405,771525;0,385763;0,0;90809,385763;0,771525" o:connectangles="270,0,90,180,90,180,270" textboxrect="0,18847,32106,752678"/>
                    </v:shape>
                  </w:pict>
                </mc:Fallback>
              </mc:AlternateContent>
            </w:r>
            <w:r>
              <w:rPr>
                <w:rStyle w:val="Policepardfaut"/>
                <w:b/>
                <w:bCs/>
              </w:rPr>
              <w:t>&lt;0.0001</w:t>
            </w:r>
          </w:p>
        </w:tc>
      </w:tr>
      <w:tr w:rsidR="0000639E">
        <w:tc>
          <w:tcPr>
            <w:tcW w:w="737" w:type="dxa"/>
            <w:vMerge/>
            <w:shd w:val="clear" w:color="auto" w:fill="auto"/>
            <w:tcMar>
              <w:top w:w="0" w:type="dxa"/>
              <w:left w:w="108" w:type="dxa"/>
              <w:bottom w:w="0" w:type="dxa"/>
              <w:right w:w="108" w:type="dxa"/>
            </w:tcMar>
          </w:tcPr>
          <w:p w:rsidR="0000639E" w:rsidRDefault="0000639E">
            <w:pPr>
              <w:pStyle w:val="Sansinterligne"/>
              <w:spacing w:line="360" w:lineRule="auto"/>
              <w:jc w:val="both"/>
            </w:pPr>
          </w:p>
        </w:tc>
        <w:tc>
          <w:tcPr>
            <w:tcW w:w="9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O </w:t>
            </w:r>
          </w:p>
        </w:tc>
        <w:tc>
          <w:tcPr>
            <w:tcW w:w="1709"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108 </w:t>
            </w:r>
          </w:p>
        </w:tc>
        <w:tc>
          <w:tcPr>
            <w:tcW w:w="763" w:type="dxa"/>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10.51 </w:t>
            </w:r>
          </w:p>
        </w:tc>
        <w:tc>
          <w:tcPr>
            <w:tcW w:w="2023" w:type="dxa"/>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7.75 </w:t>
            </w:r>
          </w:p>
        </w:tc>
        <w:tc>
          <w:tcPr>
            <w:tcW w:w="677" w:type="dxa"/>
            <w:shd w:val="clear" w:color="auto" w:fill="auto"/>
            <w:tcMar>
              <w:top w:w="0" w:type="dxa"/>
              <w:left w:w="108" w:type="dxa"/>
              <w:bottom w:w="0" w:type="dxa"/>
              <w:right w:w="108" w:type="dxa"/>
            </w:tcMar>
          </w:tcPr>
          <w:p w:rsidR="0000639E" w:rsidRDefault="005A15D8">
            <w:pPr>
              <w:pStyle w:val="Sansinterligne"/>
              <w:spacing w:line="360" w:lineRule="auto"/>
              <w:jc w:val="both"/>
            </w:pPr>
            <w:r>
              <w:t>2</w:t>
            </w:r>
          </w:p>
        </w:tc>
        <w:tc>
          <w:tcPr>
            <w:tcW w:w="716" w:type="dxa"/>
            <w:shd w:val="clear" w:color="auto" w:fill="auto"/>
            <w:tcMar>
              <w:top w:w="0" w:type="dxa"/>
              <w:left w:w="108" w:type="dxa"/>
              <w:bottom w:w="0" w:type="dxa"/>
              <w:right w:w="108" w:type="dxa"/>
            </w:tcMar>
          </w:tcPr>
          <w:p w:rsidR="0000639E" w:rsidRDefault="005A15D8">
            <w:pPr>
              <w:pStyle w:val="Sansinterligne"/>
              <w:spacing w:line="360" w:lineRule="auto"/>
              <w:jc w:val="both"/>
            </w:pPr>
            <w:r>
              <w:t>53</w:t>
            </w:r>
          </w:p>
        </w:tc>
        <w:tc>
          <w:tcPr>
            <w:tcW w:w="1049" w:type="dxa"/>
            <w:vMerge/>
            <w:shd w:val="clear" w:color="auto" w:fill="auto"/>
            <w:tcMar>
              <w:top w:w="0" w:type="dxa"/>
              <w:left w:w="108" w:type="dxa"/>
              <w:bottom w:w="0" w:type="dxa"/>
              <w:right w:w="108" w:type="dxa"/>
            </w:tcMar>
          </w:tcPr>
          <w:p w:rsidR="0000639E" w:rsidRDefault="0000639E">
            <w:pPr>
              <w:pStyle w:val="Sansinterligne"/>
              <w:spacing w:line="360" w:lineRule="auto"/>
              <w:jc w:val="both"/>
              <w:rPr>
                <w:b/>
                <w:bCs/>
              </w:rPr>
            </w:pPr>
          </w:p>
        </w:tc>
      </w:tr>
      <w:tr w:rsidR="0000639E">
        <w:tc>
          <w:tcPr>
            <w:tcW w:w="737"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T2</w:t>
            </w:r>
          </w:p>
        </w:tc>
        <w:tc>
          <w:tcPr>
            <w:tcW w:w="963" w:type="dxa"/>
            <w:shd w:val="clear" w:color="auto" w:fill="auto"/>
            <w:tcMar>
              <w:top w:w="0" w:type="dxa"/>
              <w:left w:w="108" w:type="dxa"/>
              <w:bottom w:w="0" w:type="dxa"/>
              <w:right w:w="108" w:type="dxa"/>
            </w:tcMar>
          </w:tcPr>
          <w:p w:rsidR="0000639E" w:rsidRDefault="005A15D8">
            <w:pPr>
              <w:pStyle w:val="Sansinterligne"/>
              <w:spacing w:line="360" w:lineRule="auto"/>
              <w:jc w:val="both"/>
            </w:pPr>
            <w:r>
              <w:t>N</w:t>
            </w:r>
          </w:p>
        </w:tc>
        <w:tc>
          <w:tcPr>
            <w:tcW w:w="1709"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510 </w:t>
            </w:r>
          </w:p>
        </w:tc>
        <w:tc>
          <w:tcPr>
            <w:tcW w:w="7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5.38 </w:t>
            </w:r>
          </w:p>
        </w:tc>
        <w:tc>
          <w:tcPr>
            <w:tcW w:w="202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4.59 </w:t>
            </w:r>
          </w:p>
        </w:tc>
        <w:tc>
          <w:tcPr>
            <w:tcW w:w="677" w:type="dxa"/>
            <w:shd w:val="clear" w:color="auto" w:fill="auto"/>
            <w:tcMar>
              <w:top w:w="0" w:type="dxa"/>
              <w:left w:w="108" w:type="dxa"/>
              <w:bottom w:w="0" w:type="dxa"/>
              <w:right w:w="108" w:type="dxa"/>
            </w:tcMar>
          </w:tcPr>
          <w:p w:rsidR="0000639E" w:rsidRDefault="005A15D8">
            <w:pPr>
              <w:pStyle w:val="Sansinterligne"/>
              <w:spacing w:line="360" w:lineRule="auto"/>
              <w:jc w:val="both"/>
            </w:pPr>
            <w:r>
              <w:t>1</w:t>
            </w:r>
          </w:p>
        </w:tc>
        <w:tc>
          <w:tcPr>
            <w:tcW w:w="716" w:type="dxa"/>
            <w:shd w:val="clear" w:color="auto" w:fill="auto"/>
            <w:tcMar>
              <w:top w:w="0" w:type="dxa"/>
              <w:left w:w="108" w:type="dxa"/>
              <w:bottom w:w="0" w:type="dxa"/>
              <w:right w:w="108" w:type="dxa"/>
            </w:tcMar>
          </w:tcPr>
          <w:p w:rsidR="0000639E" w:rsidRDefault="005A15D8">
            <w:pPr>
              <w:pStyle w:val="Sansinterligne"/>
              <w:spacing w:line="360" w:lineRule="auto"/>
              <w:jc w:val="both"/>
            </w:pPr>
            <w:r>
              <w:t>30</w:t>
            </w:r>
          </w:p>
        </w:tc>
        <w:tc>
          <w:tcPr>
            <w:tcW w:w="1049"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&lt;0.0001</w:t>
            </w:r>
          </w:p>
        </w:tc>
      </w:tr>
      <w:tr w:rsidR="0000639E">
        <w:tc>
          <w:tcPr>
            <w:tcW w:w="737"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c>
          <w:tcPr>
            <w:tcW w:w="96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O</w:t>
            </w:r>
          </w:p>
        </w:tc>
        <w:tc>
          <w:tcPr>
            <w:tcW w:w="1709"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115 </w:t>
            </w:r>
          </w:p>
        </w:tc>
        <w:tc>
          <w:tcPr>
            <w:tcW w:w="76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7.53 </w:t>
            </w:r>
          </w:p>
        </w:tc>
        <w:tc>
          <w:tcPr>
            <w:tcW w:w="202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4.21 </w:t>
            </w:r>
          </w:p>
        </w:tc>
        <w:tc>
          <w:tcPr>
            <w:tcW w:w="67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2</w:t>
            </w:r>
          </w:p>
        </w:tc>
        <w:tc>
          <w:tcPr>
            <w:tcW w:w="71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31</w:t>
            </w:r>
          </w:p>
        </w:tc>
        <w:tc>
          <w:tcPr>
            <w:tcW w:w="1049"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r>
    </w:tbl>
    <w:p w:rsidR="0000639E" w:rsidRDefault="0000639E">
      <w:pPr>
        <w:rPr>
          <w:lang w:eastAsia="fr-FR"/>
        </w:rPr>
      </w:pPr>
    </w:p>
    <w:sectPr w:rsidR="0000639E">
      <w:headerReference w:type="default"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3BF" w:rsidRDefault="00A023BF">
      <w:pPr>
        <w:spacing w:after="0"/>
      </w:pPr>
      <w:r>
        <w:separator/>
      </w:r>
    </w:p>
  </w:endnote>
  <w:endnote w:type="continuationSeparator" w:id="0">
    <w:p w:rsidR="00A023BF" w:rsidRDefault="00A023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40" w:rsidRDefault="00A023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3BF" w:rsidRDefault="00A023BF">
      <w:pPr>
        <w:spacing w:after="0"/>
      </w:pPr>
      <w:r>
        <w:rPr>
          <w:color w:val="000000"/>
        </w:rPr>
        <w:separator/>
      </w:r>
    </w:p>
  </w:footnote>
  <w:footnote w:type="continuationSeparator" w:id="0">
    <w:p w:rsidR="00A023BF" w:rsidRDefault="00A023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40" w:rsidRDefault="00A023BF">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52814" o:spid="_x0000_s2049" type="#_x0000_t136" style="position:absolute;margin-left:0;margin-top:0;width:574.65pt;height:64.8pt;rotation:2949127fd;z-index:251659264;visibility:visible;mso-wrap-style:none;mso-position-horizontal:center;mso-position-horizontal-relative:margin;mso-position-vertical:center;mso-position-vertical-relative:margin;v-text-anchor:top" fillcolor="silver" stroked="f">
          <v:fill opacity="32896f"/>
          <v:textpath style="font-family:&quot;Aptos&quot;;font-size:18pt;v-text-align:lef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479F"/>
    <w:multiLevelType w:val="multilevel"/>
    <w:tmpl w:val="E3CCC2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9620A93"/>
    <w:multiLevelType w:val="multilevel"/>
    <w:tmpl w:val="9B56B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3BD69B5"/>
    <w:multiLevelType w:val="multilevel"/>
    <w:tmpl w:val="027484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39E"/>
    <w:rsid w:val="0000639E"/>
    <w:rsid w:val="005A15D8"/>
    <w:rsid w:val="00945BF5"/>
    <w:rsid w:val="00A023BF"/>
    <w:rsid w:val="00C94DA3"/>
    <w:rsid w:val="00F35E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C38CC7"/>
  <w15:docId w15:val="{C14B125F-E0F2-4EB9-B382-6908520C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2">
    <w:name w:val="Titre 2"/>
    <w:basedOn w:val="Normal"/>
    <w:next w:val="Normal"/>
    <w:pPr>
      <w:keepNext/>
      <w:keepLines/>
      <w:spacing w:before="40" w:after="0"/>
      <w:outlineLvl w:val="1"/>
    </w:pPr>
    <w:rPr>
      <w:rFonts w:ascii="Calibri Light" w:eastAsia="Times New Roman" w:hAnsi="Calibri Light" w:cs="Times New Roman"/>
      <w:color w:val="2E74B5"/>
      <w:sz w:val="26"/>
      <w:szCs w:val="26"/>
    </w:rPr>
  </w:style>
  <w:style w:type="paragraph" w:customStyle="1" w:styleId="Titre3">
    <w:name w:val="Titre 3"/>
    <w:basedOn w:val="Normal"/>
    <w:pPr>
      <w:suppressAutoHyphens w:val="0"/>
      <w:spacing w:before="100" w:after="100"/>
      <w:textAlignment w:val="auto"/>
      <w:outlineLvl w:val="2"/>
    </w:pPr>
    <w:rPr>
      <w:rFonts w:ascii="Times New Roman" w:eastAsia="Times New Roman" w:hAnsi="Times New Roman" w:cs="Times New Roman"/>
      <w:b/>
      <w:bCs/>
      <w:kern w:val="0"/>
      <w:sz w:val="27"/>
      <w:szCs w:val="27"/>
      <w:lang w:val="fr-FR" w:eastAsia="fr-FR"/>
    </w:rPr>
  </w:style>
  <w:style w:type="character" w:customStyle="1" w:styleId="Policepardfaut">
    <w:name w:val="Police par défaut"/>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sz w:val="24"/>
      <w:szCs w:val="24"/>
      <w:lang w:val="fr-FR" w:eastAsia="fr-FR"/>
    </w:r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lev">
    <w:name w:val="Élevé"/>
    <w:basedOn w:val="Policepardfaut"/>
    <w:rPr>
      <w:b/>
      <w:bCs/>
    </w:rPr>
  </w:style>
  <w:style w:type="character" w:customStyle="1" w:styleId="Titre2Car">
    <w:name w:val="Titre 2 Car"/>
    <w:basedOn w:val="Policepardfaut"/>
    <w:rPr>
      <w:rFonts w:ascii="Calibri Light" w:eastAsia="Times New Roman" w:hAnsi="Calibri Light" w:cs="Times New Roman"/>
      <w:color w:val="2E74B5"/>
      <w:sz w:val="26"/>
      <w:szCs w:val="26"/>
      <w:lang w:val="en-US"/>
    </w:rPr>
  </w:style>
  <w:style w:type="character" w:customStyle="1" w:styleId="Accentuation">
    <w:name w:val="Accentuation"/>
    <w:basedOn w:val="Policepardfaut"/>
    <w:rPr>
      <w:i/>
      <w:iCs/>
    </w:rPr>
  </w:style>
  <w:style w:type="paragraph" w:customStyle="1" w:styleId="z-Hautduformulaire">
    <w:name w:val="z-Haut du formulaire"/>
    <w:basedOn w:val="Normal"/>
    <w:next w:val="Normal"/>
    <w:pPr>
      <w:pBdr>
        <w:bottom w:val="single" w:sz="6" w:space="1" w:color="000000"/>
      </w:pBdr>
      <w:suppressAutoHyphens w:val="0"/>
      <w:spacing w:after="0"/>
      <w:jc w:val="center"/>
      <w:textAlignment w:val="auto"/>
    </w:pPr>
    <w:rPr>
      <w:rFonts w:ascii="Arial" w:eastAsia="Times New Roman" w:hAnsi="Arial"/>
      <w:vanish/>
      <w:kern w:val="0"/>
      <w:sz w:val="16"/>
      <w:szCs w:val="16"/>
      <w:lang w:val="fr-FR" w:eastAsia="fr-FR"/>
    </w:rPr>
  </w:style>
  <w:style w:type="character" w:customStyle="1" w:styleId="z-HautduformulaireCar">
    <w:name w:val="z-Haut du formulaire Car"/>
    <w:basedOn w:val="Policepardfaut"/>
    <w:rPr>
      <w:rFonts w:ascii="Arial" w:eastAsia="Times New Roman" w:hAnsi="Arial"/>
      <w:vanish/>
      <w:kern w:val="0"/>
      <w:sz w:val="16"/>
      <w:szCs w:val="16"/>
      <w:lang w:eastAsia="fr-FR"/>
    </w:rPr>
  </w:style>
  <w:style w:type="paragraph" w:customStyle="1" w:styleId="z-Basduformulaire">
    <w:name w:val="z-Bas du formulaire"/>
    <w:basedOn w:val="Normal"/>
    <w:next w:val="Normal"/>
    <w:pPr>
      <w:pBdr>
        <w:top w:val="single" w:sz="6" w:space="1" w:color="000000"/>
      </w:pBdr>
      <w:suppressAutoHyphens w:val="0"/>
      <w:spacing w:after="0"/>
      <w:jc w:val="center"/>
      <w:textAlignment w:val="auto"/>
    </w:pPr>
    <w:rPr>
      <w:rFonts w:ascii="Arial" w:eastAsia="Times New Roman" w:hAnsi="Arial"/>
      <w:vanish/>
      <w:kern w:val="0"/>
      <w:sz w:val="16"/>
      <w:szCs w:val="16"/>
      <w:lang w:val="fr-FR" w:eastAsia="fr-FR"/>
    </w:rPr>
  </w:style>
  <w:style w:type="character" w:customStyle="1" w:styleId="z-BasduformulaireCar">
    <w:name w:val="z-Bas du formulaire Car"/>
    <w:basedOn w:val="Policepardfaut"/>
    <w:rPr>
      <w:rFonts w:ascii="Arial" w:eastAsia="Times New Roman" w:hAnsi="Arial"/>
      <w:vanish/>
      <w:kern w:val="0"/>
      <w:sz w:val="16"/>
      <w:szCs w:val="16"/>
      <w:lang w:eastAsia="fr-FR"/>
    </w:rPr>
  </w:style>
  <w:style w:type="paragraph" w:customStyle="1" w:styleId="placeholder">
    <w:name w:val="placeholder"/>
    <w:basedOn w:val="Normal"/>
    <w:pPr>
      <w:suppressAutoHyphens w:val="0"/>
      <w:spacing w:before="100" w:after="100"/>
      <w:textAlignment w:val="auto"/>
    </w:pPr>
    <w:rPr>
      <w:rFonts w:ascii="Times New Roman" w:eastAsia="Times New Roman" w:hAnsi="Times New Roman" w:cs="Times New Roman"/>
      <w:kern w:val="0"/>
      <w:sz w:val="24"/>
      <w:szCs w:val="24"/>
      <w:lang w:val="fr-FR" w:eastAsia="fr-FR"/>
    </w:rPr>
  </w:style>
  <w:style w:type="paragraph" w:customStyle="1" w:styleId="Sansinterligne">
    <w:name w:val="Sans interligne"/>
    <w:pPr>
      <w:spacing w:after="0"/>
      <w:textAlignment w:val="auto"/>
    </w:pPr>
    <w:rPr>
      <w:rFonts w:ascii="Calibri" w:eastAsia="Calibri" w:hAnsi="Calibri" w:cs="Times New Roman"/>
      <w:kern w:val="0"/>
      <w:lang w:val="en-GB"/>
    </w:rPr>
  </w:style>
  <w:style w:type="paragraph" w:customStyle="1" w:styleId="Sous-titre">
    <w:name w:val="Sous-titre"/>
    <w:basedOn w:val="Normal"/>
    <w:next w:val="Normal"/>
    <w:pPr>
      <w:suppressAutoHyphens w:val="0"/>
      <w:spacing w:line="276" w:lineRule="auto"/>
      <w:textAlignment w:val="auto"/>
    </w:pPr>
    <w:rPr>
      <w:rFonts w:ascii="Calibri" w:eastAsia="Times New Roman" w:hAnsi="Calibri" w:cs="Times New Roman"/>
      <w:color w:val="595959"/>
      <w:spacing w:val="15"/>
      <w:sz w:val="28"/>
      <w:szCs w:val="28"/>
      <w:lang w:val="fr-FR"/>
    </w:rPr>
  </w:style>
  <w:style w:type="character" w:customStyle="1" w:styleId="Sous-titreCar">
    <w:name w:val="Sous-titre Car"/>
    <w:basedOn w:val="Policepardfaut"/>
    <w:rPr>
      <w:rFonts w:ascii="Calibri" w:eastAsia="Times New Roman" w:hAnsi="Calibri" w:cs="Times New Roman"/>
      <w:color w:val="595959"/>
      <w:spacing w:val="15"/>
      <w:kern w:val="3"/>
      <w:sz w:val="28"/>
      <w:szCs w:val="28"/>
    </w:rPr>
  </w:style>
  <w:style w:type="paragraph" w:customStyle="1" w:styleId="Paragraphedeliste">
    <w:name w:val="Paragraphe de liste"/>
    <w:basedOn w:val="Normal"/>
    <w:pPr>
      <w:ind w:left="720"/>
    </w:pPr>
  </w:style>
  <w:style w:type="character" w:customStyle="1" w:styleId="Lienhypertexte">
    <w:name w:val="Lien hypertexte"/>
    <w:basedOn w:val="Policepardfaut"/>
    <w:rPr>
      <w:color w:val="0563C1"/>
      <w:u w:val="single"/>
    </w:rPr>
  </w:style>
  <w:style w:type="character" w:styleId="UnresolvedMention">
    <w:name w:val="Unresolved Mention"/>
    <w:basedOn w:val="Policepardfaut"/>
    <w:rPr>
      <w:color w:val="605E5C"/>
      <w:shd w:val="clear" w:color="auto" w:fill="E1DFDD"/>
    </w:rPr>
  </w:style>
  <w:style w:type="paragraph" w:customStyle="1" w:styleId="En-tte">
    <w:name w:val="En-tête"/>
    <w:basedOn w:val="Normal"/>
    <w:pPr>
      <w:tabs>
        <w:tab w:val="center" w:pos="4680"/>
        <w:tab w:val="right" w:pos="9360"/>
      </w:tabs>
      <w:spacing w:after="0"/>
    </w:pPr>
  </w:style>
  <w:style w:type="character" w:customStyle="1" w:styleId="HeaderChar">
    <w:name w:val="Header Char"/>
    <w:basedOn w:val="Policepardfaut"/>
    <w:rPr>
      <w:lang w:val="en-US"/>
    </w:rPr>
  </w:style>
  <w:style w:type="paragraph" w:customStyle="1" w:styleId="Pieddepage">
    <w:name w:val="Pied de page"/>
    <w:basedOn w:val="Normal"/>
    <w:pPr>
      <w:tabs>
        <w:tab w:val="center" w:pos="4680"/>
        <w:tab w:val="right" w:pos="9360"/>
      </w:tabs>
      <w:spacing w:after="0"/>
    </w:pPr>
  </w:style>
  <w:style w:type="character" w:customStyle="1" w:styleId="FooterChar">
    <w:name w:val="Footer Char"/>
    <w:basedOn w:val="Policepardfaut"/>
    <w:rPr>
      <w:lang w:val="en-US"/>
    </w:rPr>
  </w:style>
  <w:style w:type="character" w:customStyle="1" w:styleId="dont-break-out">
    <w:name w:val="dont-break-out"/>
    <w:basedOn w:val="Policepardfaut"/>
  </w:style>
  <w:style w:type="character" w:customStyle="1" w:styleId="ng-star-inserted">
    <w:name w:val="ng-star-inserted"/>
    <w:basedOn w:val="Policepardfaut"/>
  </w:style>
  <w:style w:type="paragraph" w:styleId="Header">
    <w:name w:val="header"/>
    <w:basedOn w:val="Normal"/>
    <w:link w:val="HeaderChar1"/>
    <w:uiPriority w:val="99"/>
    <w:unhideWhenUsed/>
    <w:pPr>
      <w:tabs>
        <w:tab w:val="center" w:pos="4513"/>
        <w:tab w:val="right" w:pos="9026"/>
      </w:tabs>
      <w:spacing w:after="0"/>
    </w:pPr>
  </w:style>
  <w:style w:type="character" w:customStyle="1" w:styleId="HeaderChar1">
    <w:name w:val="Header Char1"/>
    <w:basedOn w:val="DefaultParagraphFont"/>
    <w:link w:val="Header"/>
    <w:uiPriority w:val="99"/>
    <w:rPr>
      <w:lang w:val="en-US"/>
    </w:rPr>
  </w:style>
  <w:style w:type="paragraph" w:styleId="Footer">
    <w:name w:val="footer"/>
    <w:basedOn w:val="Normal"/>
    <w:link w:val="FooterChar1"/>
    <w:uiPriority w:val="99"/>
    <w:unhideWhenUsed/>
    <w:pPr>
      <w:tabs>
        <w:tab w:val="center" w:pos="4513"/>
        <w:tab w:val="right" w:pos="9026"/>
      </w:tabs>
      <w:spacing w:after="0"/>
    </w:pPr>
  </w:style>
  <w:style w:type="character" w:customStyle="1" w:styleId="FooterChar1">
    <w:name w:val="Footer Char1"/>
    <w:basedOn w:val="DefaultParagraphFont"/>
    <w:link w:val="Footer"/>
    <w:uiPriority w:val="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89/frph.2025.1706009" TargetMode="External"/><Relationship Id="rId3" Type="http://schemas.openxmlformats.org/officeDocument/2006/relationships/settings" Target="settings.xml"/><Relationship Id="rId7" Type="http://schemas.openxmlformats.org/officeDocument/2006/relationships/hyperlink" Target="https://www.doi.org/10.26502/ogr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5774</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 840 G8</dc:creator>
  <dc:description/>
  <cp:lastModifiedBy>SDI 1158</cp:lastModifiedBy>
  <cp:revision>4</cp:revision>
  <dcterms:created xsi:type="dcterms:W3CDTF">2026-02-13T10:36:00Z</dcterms:created>
  <dcterms:modified xsi:type="dcterms:W3CDTF">2026-02-14T06:45:00Z</dcterms:modified>
</cp:coreProperties>
</file>