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11502" w14:textId="77777777" w:rsidR="003B607A" w:rsidRDefault="003B607A" w:rsidP="00B324C0">
      <w:pPr>
        <w:spacing w:line="360" w:lineRule="auto"/>
        <w:jc w:val="both"/>
        <w:rPr>
          <w:rFonts w:ascii="Times New Roman" w:eastAsia="Times New Roman" w:hAnsi="Times New Roman" w:cs="Times New Roman"/>
          <w:b/>
          <w:bCs/>
          <w:sz w:val="24"/>
          <w:szCs w:val="24"/>
        </w:rPr>
      </w:pPr>
    </w:p>
    <w:p w14:paraId="31AFB74F" w14:textId="432AC483" w:rsidR="00E84E4C" w:rsidRDefault="005E0515" w:rsidP="00EB59BA">
      <w:pPr>
        <w:spacing w:line="360" w:lineRule="auto"/>
        <w:jc w:val="center"/>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 xml:space="preserve">The Socio-Economic Implications </w:t>
      </w:r>
      <w:proofErr w:type="gramStart"/>
      <w:r w:rsidRPr="00B324C0">
        <w:rPr>
          <w:rFonts w:ascii="Times New Roman" w:eastAsia="Times New Roman" w:hAnsi="Times New Roman" w:cs="Times New Roman"/>
          <w:b/>
          <w:bCs/>
          <w:sz w:val="24"/>
          <w:szCs w:val="24"/>
        </w:rPr>
        <w:t>Of</w:t>
      </w:r>
      <w:proofErr w:type="gramEnd"/>
      <w:r w:rsidRPr="00B324C0">
        <w:rPr>
          <w:rFonts w:ascii="Times New Roman" w:eastAsia="Times New Roman" w:hAnsi="Times New Roman" w:cs="Times New Roman"/>
          <w:b/>
          <w:bCs/>
          <w:sz w:val="24"/>
          <w:szCs w:val="24"/>
        </w:rPr>
        <w:t xml:space="preserve"> Gold Price Inflation For Rural Households In India</w:t>
      </w:r>
    </w:p>
    <w:p w14:paraId="6DFC14BA" w14:textId="77777777" w:rsidR="00547450" w:rsidRDefault="00547450" w:rsidP="00B324C0">
      <w:pPr>
        <w:spacing w:line="360" w:lineRule="auto"/>
        <w:jc w:val="both"/>
        <w:rPr>
          <w:rFonts w:ascii="Times New Roman" w:eastAsia="Times New Roman" w:hAnsi="Times New Roman" w:cs="Times New Roman"/>
          <w:b/>
          <w:bCs/>
          <w:sz w:val="24"/>
          <w:szCs w:val="24"/>
          <w:lang w:val="en-IN"/>
        </w:rPr>
      </w:pPr>
    </w:p>
    <w:p w14:paraId="1E6B0402" w14:textId="2999025B" w:rsidR="0015485A" w:rsidRDefault="00EB59BA" w:rsidP="00B324C0">
      <w:pPr>
        <w:spacing w:line="360"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ABSTRACT</w:t>
      </w:r>
    </w:p>
    <w:p w14:paraId="0A857B8D" w14:textId="3F5D6529" w:rsidR="003B607A" w:rsidRDefault="0015485A" w:rsidP="0015485A">
      <w:pPr>
        <w:spacing w:line="360" w:lineRule="auto"/>
        <w:ind w:firstLine="720"/>
        <w:jc w:val="both"/>
        <w:rPr>
          <w:rFonts w:ascii="Times New Roman" w:eastAsia="Times New Roman" w:hAnsi="Times New Roman" w:cs="Times New Roman"/>
          <w:bCs/>
          <w:sz w:val="24"/>
          <w:szCs w:val="24"/>
          <w:lang w:val="en-IN"/>
        </w:rPr>
      </w:pPr>
      <w:r w:rsidRPr="0015485A">
        <w:rPr>
          <w:rFonts w:ascii="Times New Roman" w:eastAsia="Times New Roman" w:hAnsi="Times New Roman" w:cs="Times New Roman"/>
          <w:bCs/>
          <w:sz w:val="24"/>
          <w:szCs w:val="24"/>
          <w:lang w:val="en-IN"/>
        </w:rPr>
        <w:t xml:space="preserve">This paper examines </w:t>
      </w:r>
      <w:r w:rsidR="007A1172">
        <w:rPr>
          <w:rFonts w:ascii="Times New Roman" w:eastAsia="Times New Roman" w:hAnsi="Times New Roman" w:cs="Times New Roman"/>
          <w:bCs/>
          <w:sz w:val="24"/>
          <w:szCs w:val="24"/>
          <w:lang w:val="en-IN"/>
        </w:rPr>
        <w:t>t</w:t>
      </w:r>
      <w:r w:rsidRPr="0015485A">
        <w:rPr>
          <w:rFonts w:ascii="Times New Roman" w:eastAsia="Times New Roman" w:hAnsi="Times New Roman" w:cs="Times New Roman"/>
          <w:bCs/>
          <w:sz w:val="24"/>
          <w:szCs w:val="24"/>
          <w:lang w:val="en-IN"/>
        </w:rPr>
        <w:t>he Socio-Economic Implications of Gold Price Inflation for Rural Households in India, focusing specifically on Tamil Nadu as a case study. Gold is considered a vital asset for economically disadvantaged families due to its accessibility, liquidity, cultural significance</w:t>
      </w:r>
      <w:r w:rsidR="007A1172">
        <w:rPr>
          <w:rFonts w:ascii="Times New Roman" w:eastAsia="Times New Roman" w:hAnsi="Times New Roman" w:cs="Times New Roman"/>
          <w:bCs/>
          <w:sz w:val="24"/>
          <w:szCs w:val="24"/>
          <w:lang w:val="en-IN"/>
        </w:rPr>
        <w:t>,</w:t>
      </w:r>
      <w:r w:rsidR="003D000D">
        <w:rPr>
          <w:rFonts w:ascii="Times New Roman" w:eastAsia="Times New Roman" w:hAnsi="Times New Roman" w:cs="Times New Roman"/>
          <w:bCs/>
          <w:sz w:val="24"/>
          <w:szCs w:val="24"/>
          <w:lang w:val="en-IN"/>
        </w:rPr>
        <w:t xml:space="preserve"> </w:t>
      </w:r>
      <w:r w:rsidRPr="0015485A">
        <w:rPr>
          <w:rFonts w:ascii="Times New Roman" w:eastAsia="Times New Roman" w:hAnsi="Times New Roman" w:cs="Times New Roman"/>
          <w:bCs/>
          <w:sz w:val="24"/>
          <w:szCs w:val="24"/>
          <w:lang w:val="en-IN"/>
        </w:rPr>
        <w:t>particularly in matrimonial customs</w:t>
      </w:r>
      <w:r w:rsidR="003D000D">
        <w:rPr>
          <w:rFonts w:ascii="Times New Roman" w:eastAsia="Times New Roman" w:hAnsi="Times New Roman" w:cs="Times New Roman"/>
          <w:bCs/>
          <w:sz w:val="24"/>
          <w:szCs w:val="24"/>
          <w:lang w:val="en-IN"/>
        </w:rPr>
        <w:t xml:space="preserve"> </w:t>
      </w:r>
      <w:r w:rsidRPr="0015485A">
        <w:rPr>
          <w:rFonts w:ascii="Times New Roman" w:eastAsia="Times New Roman" w:hAnsi="Times New Roman" w:cs="Times New Roman"/>
          <w:bCs/>
          <w:sz w:val="24"/>
          <w:szCs w:val="24"/>
          <w:lang w:val="en-IN"/>
        </w:rPr>
        <w:t>and its tendency to yield higher returns compared to assets like land or bank savings. The problem is acute because while gold prices have experienced tremendous inflation over the past 10 years, increasing from ₹27,445 to ₹85,300, the income of poor people in India has remained stagnant. This disparity has left the desire of many rural households to own gold unfulfilled. The study’s primary objectives were to examine the impact of rising gold prices on purchasing behavio</w:t>
      </w:r>
      <w:r w:rsidR="007A1172">
        <w:rPr>
          <w:rFonts w:ascii="Times New Roman" w:eastAsia="Times New Roman" w:hAnsi="Times New Roman" w:cs="Times New Roman"/>
          <w:bCs/>
          <w:sz w:val="24"/>
          <w:szCs w:val="24"/>
          <w:lang w:val="en-IN"/>
        </w:rPr>
        <w:t>u</w:t>
      </w:r>
      <w:r w:rsidRPr="0015485A">
        <w:rPr>
          <w:rFonts w:ascii="Times New Roman" w:eastAsia="Times New Roman" w:hAnsi="Times New Roman" w:cs="Times New Roman"/>
          <w:bCs/>
          <w:sz w:val="24"/>
          <w:szCs w:val="24"/>
          <w:lang w:val="en-IN"/>
        </w:rPr>
        <w:t>r and financial planning, assess the effect on the socio-economic aspirations and emotional well-being of low-income families, and analy</w:t>
      </w:r>
      <w:r w:rsidR="007A1172">
        <w:rPr>
          <w:rFonts w:ascii="Times New Roman" w:eastAsia="Times New Roman" w:hAnsi="Times New Roman" w:cs="Times New Roman"/>
          <w:bCs/>
          <w:sz w:val="24"/>
          <w:szCs w:val="24"/>
          <w:lang w:val="en-IN"/>
        </w:rPr>
        <w:t>s</w:t>
      </w:r>
      <w:r w:rsidRPr="0015485A">
        <w:rPr>
          <w:rFonts w:ascii="Times New Roman" w:eastAsia="Times New Roman" w:hAnsi="Times New Roman" w:cs="Times New Roman"/>
          <w:bCs/>
          <w:sz w:val="24"/>
          <w:szCs w:val="24"/>
          <w:lang w:val="en-IN"/>
        </w:rPr>
        <w:t>e the coping strategies adopted by these households. The methodology employed both primary and secondary data, with primary data collected from a purposive sample of 56 households in Mailam Village, Villupuram District. Empirical evidence shows that gold holds significant socio-economic and cultural value for the majority of respondents. A large proportion (67.9 per</w:t>
      </w:r>
      <w:r w:rsidR="007A1172">
        <w:rPr>
          <w:rFonts w:ascii="Times New Roman" w:eastAsia="Times New Roman" w:hAnsi="Times New Roman" w:cs="Times New Roman"/>
          <w:bCs/>
          <w:sz w:val="24"/>
          <w:szCs w:val="24"/>
          <w:lang w:val="en-IN"/>
        </w:rPr>
        <w:t xml:space="preserve"> </w:t>
      </w:r>
      <w:r w:rsidRPr="0015485A">
        <w:rPr>
          <w:rFonts w:ascii="Times New Roman" w:eastAsia="Times New Roman" w:hAnsi="Times New Roman" w:cs="Times New Roman"/>
          <w:bCs/>
          <w:sz w:val="24"/>
          <w:szCs w:val="24"/>
          <w:lang w:val="en-IN"/>
        </w:rPr>
        <w:t>cent) of respondents reported experiencing pressure to buy gold for their daughter’s marriage. Due to price hikes, 68 per</w:t>
      </w:r>
      <w:r w:rsidR="007A1172">
        <w:rPr>
          <w:rFonts w:ascii="Times New Roman" w:eastAsia="Times New Roman" w:hAnsi="Times New Roman" w:cs="Times New Roman"/>
          <w:bCs/>
          <w:sz w:val="24"/>
          <w:szCs w:val="24"/>
          <w:lang w:val="en-IN"/>
        </w:rPr>
        <w:t xml:space="preserve"> </w:t>
      </w:r>
      <w:r w:rsidRPr="0015485A">
        <w:rPr>
          <w:rFonts w:ascii="Times New Roman" w:eastAsia="Times New Roman" w:hAnsi="Times New Roman" w:cs="Times New Roman"/>
          <w:bCs/>
          <w:sz w:val="24"/>
          <w:szCs w:val="24"/>
          <w:lang w:val="en-IN"/>
        </w:rPr>
        <w:t>cent of respondents reported that their ability to purchase gold was affected, leading them primarily to reduce the quantity purchased or delay the purchase. Overall, 59 per</w:t>
      </w:r>
      <w:r w:rsidR="007A1172">
        <w:rPr>
          <w:rFonts w:ascii="Times New Roman" w:eastAsia="Times New Roman" w:hAnsi="Times New Roman" w:cs="Times New Roman"/>
          <w:bCs/>
          <w:sz w:val="24"/>
          <w:szCs w:val="24"/>
          <w:lang w:val="en-IN"/>
        </w:rPr>
        <w:t xml:space="preserve"> </w:t>
      </w:r>
      <w:r w:rsidRPr="0015485A">
        <w:rPr>
          <w:rFonts w:ascii="Times New Roman" w:eastAsia="Times New Roman" w:hAnsi="Times New Roman" w:cs="Times New Roman"/>
          <w:bCs/>
          <w:sz w:val="24"/>
          <w:szCs w:val="24"/>
          <w:lang w:val="en-IN"/>
        </w:rPr>
        <w:t xml:space="preserve">cent of respondents had postponed or </w:t>
      </w:r>
      <w:r w:rsidR="003D000D" w:rsidRPr="0015485A">
        <w:rPr>
          <w:rFonts w:ascii="Times New Roman" w:eastAsia="Times New Roman" w:hAnsi="Times New Roman" w:cs="Times New Roman"/>
          <w:bCs/>
          <w:sz w:val="24"/>
          <w:szCs w:val="24"/>
          <w:lang w:val="en-IN"/>
        </w:rPr>
        <w:t>cancelled</w:t>
      </w:r>
      <w:r w:rsidRPr="0015485A">
        <w:rPr>
          <w:rFonts w:ascii="Times New Roman" w:eastAsia="Times New Roman" w:hAnsi="Times New Roman" w:cs="Times New Roman"/>
          <w:bCs/>
          <w:sz w:val="24"/>
          <w:szCs w:val="24"/>
          <w:lang w:val="en-IN"/>
        </w:rPr>
        <w:t xml:space="preserve"> planned gold purchases. Furthermore, 75 per</w:t>
      </w:r>
      <w:r w:rsidR="007A1172">
        <w:rPr>
          <w:rFonts w:ascii="Times New Roman" w:eastAsia="Times New Roman" w:hAnsi="Times New Roman" w:cs="Times New Roman"/>
          <w:bCs/>
          <w:sz w:val="24"/>
          <w:szCs w:val="24"/>
          <w:lang w:val="en-IN"/>
        </w:rPr>
        <w:t xml:space="preserve"> </w:t>
      </w:r>
      <w:r w:rsidRPr="0015485A">
        <w:rPr>
          <w:rFonts w:ascii="Times New Roman" w:eastAsia="Times New Roman" w:hAnsi="Times New Roman" w:cs="Times New Roman"/>
          <w:bCs/>
          <w:sz w:val="24"/>
          <w:szCs w:val="24"/>
          <w:lang w:val="en-IN"/>
        </w:rPr>
        <w:t>cent of respondents felt that rising gold prices have widened the gap between their aspirations and reality, and 60.7 per</w:t>
      </w:r>
      <w:r w:rsidR="007A1172">
        <w:rPr>
          <w:rFonts w:ascii="Times New Roman" w:eastAsia="Times New Roman" w:hAnsi="Times New Roman" w:cs="Times New Roman"/>
          <w:bCs/>
          <w:sz w:val="24"/>
          <w:szCs w:val="24"/>
          <w:lang w:val="en-IN"/>
        </w:rPr>
        <w:t xml:space="preserve"> </w:t>
      </w:r>
      <w:r w:rsidRPr="0015485A">
        <w:rPr>
          <w:rFonts w:ascii="Times New Roman" w:eastAsia="Times New Roman" w:hAnsi="Times New Roman" w:cs="Times New Roman"/>
          <w:bCs/>
          <w:sz w:val="24"/>
          <w:szCs w:val="24"/>
          <w:lang w:val="en-IN"/>
        </w:rPr>
        <w:t>cent reported experiencing emotional stress or social discomfort due to their inability to afford gold. To manage inflation, the most common strategies adopted were delaying purchases until prices stabili</w:t>
      </w:r>
      <w:r w:rsidR="007A1172">
        <w:rPr>
          <w:rFonts w:ascii="Times New Roman" w:eastAsia="Times New Roman" w:hAnsi="Times New Roman" w:cs="Times New Roman"/>
          <w:bCs/>
          <w:sz w:val="24"/>
          <w:szCs w:val="24"/>
          <w:lang w:val="en-IN"/>
        </w:rPr>
        <w:t>s</w:t>
      </w:r>
      <w:r w:rsidRPr="0015485A">
        <w:rPr>
          <w:rFonts w:ascii="Times New Roman" w:eastAsia="Times New Roman" w:hAnsi="Times New Roman" w:cs="Times New Roman"/>
          <w:bCs/>
          <w:sz w:val="24"/>
          <w:szCs w:val="24"/>
          <w:lang w:val="en-IN"/>
        </w:rPr>
        <w:t>e (53.6 per</w:t>
      </w:r>
      <w:r w:rsidR="007A1172">
        <w:rPr>
          <w:rFonts w:ascii="Times New Roman" w:eastAsia="Times New Roman" w:hAnsi="Times New Roman" w:cs="Times New Roman"/>
          <w:bCs/>
          <w:sz w:val="24"/>
          <w:szCs w:val="24"/>
          <w:lang w:val="en-IN"/>
        </w:rPr>
        <w:t xml:space="preserve"> </w:t>
      </w:r>
      <w:r w:rsidRPr="0015485A">
        <w:rPr>
          <w:rFonts w:ascii="Times New Roman" w:eastAsia="Times New Roman" w:hAnsi="Times New Roman" w:cs="Times New Roman"/>
          <w:bCs/>
          <w:sz w:val="24"/>
          <w:szCs w:val="24"/>
          <w:lang w:val="en-IN"/>
        </w:rPr>
        <w:t>cent) and buying smaller quantities of gold (46.4 per</w:t>
      </w:r>
      <w:r w:rsidR="007A1172">
        <w:rPr>
          <w:rFonts w:ascii="Times New Roman" w:eastAsia="Times New Roman" w:hAnsi="Times New Roman" w:cs="Times New Roman"/>
          <w:bCs/>
          <w:sz w:val="24"/>
          <w:szCs w:val="24"/>
          <w:lang w:val="en-IN"/>
        </w:rPr>
        <w:t xml:space="preserve"> </w:t>
      </w:r>
      <w:r w:rsidRPr="0015485A">
        <w:rPr>
          <w:rFonts w:ascii="Times New Roman" w:eastAsia="Times New Roman" w:hAnsi="Times New Roman" w:cs="Times New Roman"/>
          <w:bCs/>
          <w:sz w:val="24"/>
          <w:szCs w:val="24"/>
          <w:lang w:val="en-IN"/>
        </w:rPr>
        <w:t>cent).</w:t>
      </w:r>
    </w:p>
    <w:p w14:paraId="3DE173E4" w14:textId="7ACE54E5" w:rsidR="0015485A" w:rsidRDefault="0015485A" w:rsidP="0015485A">
      <w:pPr>
        <w:spacing w:line="360" w:lineRule="auto"/>
        <w:jc w:val="both"/>
        <w:rPr>
          <w:rFonts w:ascii="Times New Roman" w:eastAsia="Times New Roman" w:hAnsi="Times New Roman" w:cs="Times New Roman"/>
          <w:b/>
          <w:bCs/>
          <w:sz w:val="24"/>
          <w:szCs w:val="24"/>
          <w:lang w:val="en-IN"/>
        </w:rPr>
      </w:pPr>
      <w:r w:rsidRPr="0015485A">
        <w:rPr>
          <w:rFonts w:ascii="Times New Roman" w:eastAsia="Times New Roman" w:hAnsi="Times New Roman" w:cs="Times New Roman"/>
          <w:b/>
          <w:bCs/>
          <w:i/>
          <w:sz w:val="24"/>
          <w:szCs w:val="24"/>
          <w:lang w:val="en-IN"/>
        </w:rPr>
        <w:t xml:space="preserve">Keywords: </w:t>
      </w:r>
      <w:r w:rsidRPr="0015485A">
        <w:rPr>
          <w:rFonts w:ascii="Times New Roman" w:eastAsia="Times New Roman" w:hAnsi="Times New Roman" w:cs="Times New Roman"/>
          <w:b/>
          <w:bCs/>
          <w:sz w:val="24"/>
          <w:szCs w:val="24"/>
          <w:lang w:val="en-IN"/>
        </w:rPr>
        <w:t xml:space="preserve">Gold price inflation, Rural households, </w:t>
      </w:r>
      <w:proofErr w:type="gramStart"/>
      <w:r w:rsidRPr="0015485A">
        <w:rPr>
          <w:rFonts w:ascii="Times New Roman" w:eastAsia="Times New Roman" w:hAnsi="Times New Roman" w:cs="Times New Roman"/>
          <w:b/>
          <w:bCs/>
          <w:sz w:val="24"/>
          <w:szCs w:val="24"/>
          <w:lang w:val="en-IN"/>
        </w:rPr>
        <w:t>Coping</w:t>
      </w:r>
      <w:proofErr w:type="gramEnd"/>
      <w:r w:rsidRPr="0015485A">
        <w:rPr>
          <w:rFonts w:ascii="Times New Roman" w:eastAsia="Times New Roman" w:hAnsi="Times New Roman" w:cs="Times New Roman"/>
          <w:b/>
          <w:bCs/>
          <w:sz w:val="24"/>
          <w:szCs w:val="24"/>
          <w:lang w:val="en-IN"/>
        </w:rPr>
        <w:t xml:space="preserve"> strategies, Purchasing behaviour</w:t>
      </w:r>
    </w:p>
    <w:p w14:paraId="589BC6A2" w14:textId="6B200EFD" w:rsidR="00E06C30" w:rsidRDefault="00E06C30" w:rsidP="0015485A">
      <w:pPr>
        <w:spacing w:line="360" w:lineRule="auto"/>
        <w:jc w:val="both"/>
        <w:rPr>
          <w:rFonts w:ascii="Times New Roman" w:eastAsia="Times New Roman" w:hAnsi="Times New Roman" w:cs="Times New Roman"/>
          <w:b/>
          <w:bCs/>
          <w:i/>
          <w:sz w:val="24"/>
          <w:szCs w:val="24"/>
          <w:lang w:val="en-IN"/>
        </w:rPr>
      </w:pPr>
    </w:p>
    <w:p w14:paraId="47EBED75" w14:textId="77777777" w:rsidR="00E06C30" w:rsidRPr="0015485A" w:rsidRDefault="00E06C30" w:rsidP="0015485A">
      <w:pPr>
        <w:spacing w:line="360" w:lineRule="auto"/>
        <w:jc w:val="both"/>
        <w:rPr>
          <w:rFonts w:ascii="Times New Roman" w:eastAsia="Times New Roman" w:hAnsi="Times New Roman" w:cs="Times New Roman"/>
          <w:b/>
          <w:bCs/>
          <w:i/>
          <w:sz w:val="24"/>
          <w:szCs w:val="24"/>
          <w:lang w:val="en-IN"/>
        </w:rPr>
      </w:pPr>
    </w:p>
    <w:p w14:paraId="0D27B6FE" w14:textId="77777777" w:rsidR="003B607A" w:rsidRPr="003B607A" w:rsidRDefault="00EB59BA" w:rsidP="003B607A">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14:paraId="47A3D47D" w14:textId="593AC579" w:rsidR="00E84E4C" w:rsidRPr="00B324C0" w:rsidRDefault="00984DED" w:rsidP="00B324C0">
      <w:pPr>
        <w:spacing w:line="360" w:lineRule="auto"/>
        <w:ind w:firstLine="720"/>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Gold remains a vital asset for economically disadvantaged families in India, particularly due to its accessibility and cultural significance. Unlike other forms of property</w:t>
      </w:r>
      <w:r w:rsidR="007A1172">
        <w:rPr>
          <w:rFonts w:ascii="Times New Roman" w:eastAsia="Times New Roman" w:hAnsi="Times New Roman" w:cs="Times New Roman"/>
          <w:sz w:val="24"/>
          <w:szCs w:val="24"/>
        </w:rPr>
        <w:t>,</w:t>
      </w:r>
      <w:r w:rsidRPr="00B324C0">
        <w:rPr>
          <w:rFonts w:ascii="Times New Roman" w:eastAsia="Times New Roman" w:hAnsi="Times New Roman" w:cs="Times New Roman"/>
          <w:sz w:val="24"/>
          <w:szCs w:val="24"/>
        </w:rPr>
        <w:t xml:space="preserve"> such as land or vehicles, the purchase of physical gold involves minimal documentation and procedural requirements. In many Indian states</w:t>
      </w:r>
      <w:r w:rsidR="007A1172">
        <w:rPr>
          <w:rFonts w:ascii="Times New Roman" w:eastAsia="Times New Roman" w:hAnsi="Times New Roman" w:cs="Times New Roman"/>
          <w:sz w:val="24"/>
          <w:szCs w:val="24"/>
        </w:rPr>
        <w:t>,</w:t>
      </w:r>
      <w:r w:rsidR="00EB59BA">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especially in the southern regions including Kerala, Karnataka, Andhra Pradesh, Telangana, and Tamil Nadu</w:t>
      </w:r>
      <w:r w:rsidR="007A1172">
        <w:rPr>
          <w:rFonts w:ascii="Times New Roman" w:eastAsia="Times New Roman" w:hAnsi="Times New Roman" w:cs="Times New Roman"/>
          <w:sz w:val="24"/>
          <w:szCs w:val="24"/>
        </w:rPr>
        <w:t>,</w:t>
      </w:r>
      <w:r w:rsidR="00EB59BA">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 xml:space="preserve">gold plays a central role in matrimonial customs. It is often regarded as a symbol of prestige and a determinant of the social standing of a marriage. The liquidity of gold further enhances its appeal, as it can be easily sold compared to other assets. In contrast, investments such as land, automobiles, or bank savings typically yield lower returns. With gold prices reaching historic highs during 2024 and 2025, families from lower-middle-class backgrounds increasingly </w:t>
      </w:r>
      <w:proofErr w:type="spellStart"/>
      <w:r w:rsidRPr="00B324C0">
        <w:rPr>
          <w:rFonts w:ascii="Times New Roman" w:eastAsia="Times New Roman" w:hAnsi="Times New Roman" w:cs="Times New Roman"/>
          <w:sz w:val="24"/>
          <w:szCs w:val="24"/>
        </w:rPr>
        <w:t>prioriti</w:t>
      </w:r>
      <w:r w:rsidR="007A1172">
        <w:rPr>
          <w:rFonts w:ascii="Times New Roman" w:eastAsia="Times New Roman" w:hAnsi="Times New Roman" w:cs="Times New Roman"/>
          <w:sz w:val="24"/>
          <w:szCs w:val="24"/>
        </w:rPr>
        <w:t>s</w:t>
      </w:r>
      <w:r w:rsidRPr="00B324C0">
        <w:rPr>
          <w:rFonts w:ascii="Times New Roman" w:eastAsia="Times New Roman" w:hAnsi="Times New Roman" w:cs="Times New Roman"/>
          <w:sz w:val="24"/>
          <w:szCs w:val="24"/>
        </w:rPr>
        <w:t>e</w:t>
      </w:r>
      <w:proofErr w:type="spellEnd"/>
      <w:r w:rsidRPr="00B324C0">
        <w:rPr>
          <w:rFonts w:ascii="Times New Roman" w:eastAsia="Times New Roman" w:hAnsi="Times New Roman" w:cs="Times New Roman"/>
          <w:sz w:val="24"/>
          <w:szCs w:val="24"/>
        </w:rPr>
        <w:t xml:space="preserve"> gold accumulation, particularly when preparing for the marriage of female children. Although the Dowry Prohibition Act of 1961 </w:t>
      </w:r>
      <w:proofErr w:type="spellStart"/>
      <w:r w:rsidRPr="00B324C0">
        <w:rPr>
          <w:rFonts w:ascii="Times New Roman" w:eastAsia="Times New Roman" w:hAnsi="Times New Roman" w:cs="Times New Roman"/>
          <w:sz w:val="24"/>
          <w:szCs w:val="24"/>
        </w:rPr>
        <w:t>criminali</w:t>
      </w:r>
      <w:r w:rsidR="007A1172">
        <w:rPr>
          <w:rFonts w:ascii="Times New Roman" w:eastAsia="Times New Roman" w:hAnsi="Times New Roman" w:cs="Times New Roman"/>
          <w:sz w:val="24"/>
          <w:szCs w:val="24"/>
        </w:rPr>
        <w:t>s</w:t>
      </w:r>
      <w:r w:rsidRPr="00B324C0">
        <w:rPr>
          <w:rFonts w:ascii="Times New Roman" w:eastAsia="Times New Roman" w:hAnsi="Times New Roman" w:cs="Times New Roman"/>
          <w:sz w:val="24"/>
          <w:szCs w:val="24"/>
        </w:rPr>
        <w:t>es</w:t>
      </w:r>
      <w:proofErr w:type="spellEnd"/>
      <w:r w:rsidRPr="00B324C0">
        <w:rPr>
          <w:rFonts w:ascii="Times New Roman" w:eastAsia="Times New Roman" w:hAnsi="Times New Roman" w:cs="Times New Roman"/>
          <w:sz w:val="24"/>
          <w:szCs w:val="24"/>
        </w:rPr>
        <w:t xml:space="preserve"> the exchange of property or valuable security between parties before or after marriage, the practice of dowry continues to persist in subtle and culturally embedded forms. This paper examines the socio-economic impact of rising gold prices on rural women and their families in India, with a specific focus on Tamil Nadu as a case study.</w:t>
      </w:r>
    </w:p>
    <w:p w14:paraId="731B8B4F" w14:textId="77777777" w:rsidR="00E84E4C" w:rsidRPr="00B324C0" w:rsidRDefault="00EB59BA" w:rsidP="00B324C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STATEMENT OF THE PROBLEM</w:t>
      </w:r>
    </w:p>
    <w:p w14:paraId="02BC55FB" w14:textId="7E216A4F" w:rsidR="00E84E4C" w:rsidRPr="00B324C0" w:rsidRDefault="00984DED" w:rsidP="00EB59BA">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ab/>
      </w:r>
      <w:r w:rsidRPr="00B324C0">
        <w:rPr>
          <w:rFonts w:ascii="Times New Roman" w:eastAsia="Times New Roman" w:hAnsi="Times New Roman" w:cs="Times New Roman"/>
          <w:sz w:val="24"/>
          <w:szCs w:val="24"/>
        </w:rPr>
        <w:t>Gold is a common asset for all income groups. It is easily accessible and widely accepted. Over the past 10 years, the price of gold has increased tremendously from ₹27,445 to ₹85,300.</w:t>
      </w:r>
      <w:r w:rsidRPr="00B324C0">
        <w:rPr>
          <w:rFonts w:ascii="Times New Roman" w:eastAsia="Times New Roman" w:hAnsi="Times New Roman" w:cs="Times New Roman"/>
          <w:sz w:val="24"/>
          <w:szCs w:val="24"/>
          <w:vertAlign w:val="superscript"/>
        </w:rPr>
        <w:footnoteReference w:id="1"/>
      </w:r>
      <w:r w:rsidRPr="00B324C0">
        <w:rPr>
          <w:rFonts w:ascii="Times New Roman" w:eastAsia="Times New Roman" w:hAnsi="Times New Roman" w:cs="Times New Roman"/>
          <w:sz w:val="24"/>
          <w:szCs w:val="24"/>
        </w:rPr>
        <w:t xml:space="preserve"> This reflects high inflation in the gold market in India. At the same time, the income of poor people in India has remained stagnant. Gold is an important determinant in the marriage arrangements of daughters in poor households. Due to the rising price of gold, it has been observed that the majority of rural households are unable to purchase new gold. Their desire to own gold remains unfulfilled. Hence, the study needs to focus on </w:t>
      </w:r>
      <w:r w:rsidR="007A1172">
        <w:rPr>
          <w:rFonts w:ascii="Times New Roman" w:eastAsia="Times New Roman" w:hAnsi="Times New Roman" w:cs="Times New Roman"/>
          <w:sz w:val="24"/>
          <w:szCs w:val="24"/>
        </w:rPr>
        <w:t>t</w:t>
      </w:r>
      <w:r w:rsidRPr="00B324C0">
        <w:rPr>
          <w:rFonts w:ascii="Times New Roman" w:eastAsia="Times New Roman" w:hAnsi="Times New Roman" w:cs="Times New Roman"/>
          <w:sz w:val="24"/>
          <w:szCs w:val="24"/>
        </w:rPr>
        <w:t>he Socio-Economic Implications of Gold Price Inflation for Rural Households in India.</w:t>
      </w:r>
    </w:p>
    <w:p w14:paraId="0E3B3077" w14:textId="77777777" w:rsidR="00E84E4C" w:rsidRPr="00B324C0" w:rsidRDefault="00EB59BA"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REVIEW OF RELATED LITERATURE</w:t>
      </w:r>
    </w:p>
    <w:p w14:paraId="0FBEF424" w14:textId="31D1DC5F"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lastRenderedPageBreak/>
        <w:tab/>
      </w:r>
      <w:proofErr w:type="spellStart"/>
      <w:r w:rsidRPr="00B324C0">
        <w:rPr>
          <w:rFonts w:ascii="Times New Roman" w:eastAsia="Times New Roman" w:hAnsi="Times New Roman" w:cs="Times New Roman"/>
          <w:b/>
          <w:bCs/>
          <w:sz w:val="24"/>
          <w:szCs w:val="24"/>
        </w:rPr>
        <w:t>Pradap</w:t>
      </w:r>
      <w:proofErr w:type="spellEnd"/>
      <w:r w:rsidRPr="00B324C0">
        <w:rPr>
          <w:rFonts w:ascii="Times New Roman" w:eastAsia="Times New Roman" w:hAnsi="Times New Roman" w:cs="Times New Roman"/>
          <w:b/>
          <w:bCs/>
          <w:sz w:val="24"/>
          <w:szCs w:val="24"/>
        </w:rPr>
        <w:t xml:space="preserve"> Singh (2013), </w:t>
      </w:r>
      <w:r w:rsidRPr="00B324C0">
        <w:rPr>
          <w:rFonts w:ascii="Times New Roman" w:eastAsia="Times New Roman" w:hAnsi="Times New Roman" w:cs="Times New Roman"/>
          <w:sz w:val="24"/>
          <w:szCs w:val="24"/>
        </w:rPr>
        <w:t xml:space="preserve">in his study "Gold Price in India: Study of Trends and Patterns," used only secondary data. The study did not include any primary data sources. According to </w:t>
      </w:r>
      <w:r w:rsidRPr="00B324C0">
        <w:rPr>
          <w:rFonts w:ascii="Times New Roman" w:eastAsia="Times New Roman" w:hAnsi="Times New Roman" w:cs="Times New Roman"/>
          <w:b/>
          <w:bCs/>
          <w:sz w:val="24"/>
          <w:szCs w:val="24"/>
        </w:rPr>
        <w:t>Vaibhav Daga and Leena James (2020)</w:t>
      </w:r>
      <w:r w:rsidRPr="00B324C0">
        <w:rPr>
          <w:rFonts w:ascii="Times New Roman" w:eastAsia="Times New Roman" w:hAnsi="Times New Roman" w:cs="Times New Roman"/>
          <w:sz w:val="24"/>
          <w:szCs w:val="24"/>
        </w:rPr>
        <w:t xml:space="preserve">, there is no significant relationship between inflation and the price of gold in the country, as evidenced by their analytical findings. Furthermore, the study indicates a weak correlation between gold prices and crude oil. </w:t>
      </w:r>
      <w:r w:rsidRPr="00B324C0">
        <w:rPr>
          <w:rFonts w:ascii="Times New Roman" w:eastAsia="Times New Roman" w:hAnsi="Times New Roman" w:cs="Times New Roman"/>
          <w:b/>
          <w:bCs/>
          <w:sz w:val="24"/>
          <w:szCs w:val="24"/>
        </w:rPr>
        <w:t>Charan Singh (2015)</w:t>
      </w:r>
      <w:r w:rsidRPr="00B324C0">
        <w:rPr>
          <w:rFonts w:ascii="Times New Roman" w:eastAsia="Times New Roman" w:hAnsi="Times New Roman" w:cs="Times New Roman"/>
          <w:sz w:val="24"/>
          <w:szCs w:val="24"/>
        </w:rPr>
        <w:t xml:space="preserve"> provided a comprehensive analysis of the historical significance of gold in China, Turkey, and India, along with an overview of the gold markets in these regions. Drawing upon secondary sources, the study estimated that approximately 21,000 </w:t>
      </w:r>
      <w:proofErr w:type="spellStart"/>
      <w:r w:rsidRPr="00B324C0">
        <w:rPr>
          <w:rFonts w:ascii="Times New Roman" w:eastAsia="Times New Roman" w:hAnsi="Times New Roman" w:cs="Times New Roman"/>
          <w:sz w:val="24"/>
          <w:szCs w:val="24"/>
        </w:rPr>
        <w:t>tonnes</w:t>
      </w:r>
      <w:proofErr w:type="spellEnd"/>
      <w:r w:rsidRPr="00B324C0">
        <w:rPr>
          <w:rFonts w:ascii="Times New Roman" w:eastAsia="Times New Roman" w:hAnsi="Times New Roman" w:cs="Times New Roman"/>
          <w:sz w:val="24"/>
          <w:szCs w:val="24"/>
        </w:rPr>
        <w:t xml:space="preserve"> of gold are held by households and temples across India. According to </w:t>
      </w:r>
      <w:r w:rsidRPr="00B324C0">
        <w:rPr>
          <w:rFonts w:ascii="Times New Roman" w:eastAsia="Times New Roman" w:hAnsi="Times New Roman" w:cs="Times New Roman"/>
          <w:b/>
          <w:bCs/>
          <w:sz w:val="24"/>
          <w:szCs w:val="24"/>
        </w:rPr>
        <w:t>Banhi Guha and Gautam Bandyopadhyay (2016)</w:t>
      </w:r>
      <w:r w:rsidRPr="00B324C0">
        <w:rPr>
          <w:rFonts w:ascii="Times New Roman" w:eastAsia="Times New Roman" w:hAnsi="Times New Roman" w:cs="Times New Roman"/>
          <w:sz w:val="24"/>
          <w:szCs w:val="24"/>
        </w:rPr>
        <w:t xml:space="preserve">, the predominant motive behind gold investment is speculative in nature, driven by the consistent appreciation in gold prices over time. Their study </w:t>
      </w:r>
      <w:proofErr w:type="spellStart"/>
      <w:r w:rsidRPr="00B324C0">
        <w:rPr>
          <w:rFonts w:ascii="Times New Roman" w:eastAsia="Times New Roman" w:hAnsi="Times New Roman" w:cs="Times New Roman"/>
          <w:sz w:val="24"/>
          <w:szCs w:val="24"/>
        </w:rPr>
        <w:t>utili</w:t>
      </w:r>
      <w:r w:rsidR="007A1172">
        <w:rPr>
          <w:rFonts w:ascii="Times New Roman" w:eastAsia="Times New Roman" w:hAnsi="Times New Roman" w:cs="Times New Roman"/>
          <w:sz w:val="24"/>
          <w:szCs w:val="24"/>
        </w:rPr>
        <w:t>s</w:t>
      </w:r>
      <w:r w:rsidRPr="00B324C0">
        <w:rPr>
          <w:rFonts w:ascii="Times New Roman" w:eastAsia="Times New Roman" w:hAnsi="Times New Roman" w:cs="Times New Roman"/>
          <w:sz w:val="24"/>
          <w:szCs w:val="24"/>
        </w:rPr>
        <w:t>ed</w:t>
      </w:r>
      <w:proofErr w:type="spellEnd"/>
      <w:r w:rsidRPr="00B324C0">
        <w:rPr>
          <w:rFonts w:ascii="Times New Roman" w:eastAsia="Times New Roman" w:hAnsi="Times New Roman" w:cs="Times New Roman"/>
          <w:sz w:val="24"/>
          <w:szCs w:val="24"/>
        </w:rPr>
        <w:t xml:space="preserve"> secondary data and applied the ARIMA (</w:t>
      </w:r>
      <w:proofErr w:type="spellStart"/>
      <w:r w:rsidRPr="00B324C0">
        <w:rPr>
          <w:rFonts w:ascii="Times New Roman" w:eastAsia="Times New Roman" w:hAnsi="Times New Roman" w:cs="Times New Roman"/>
          <w:sz w:val="24"/>
          <w:szCs w:val="24"/>
        </w:rPr>
        <w:t>AutoRegressive</w:t>
      </w:r>
      <w:proofErr w:type="spellEnd"/>
      <w:r w:rsidRPr="00B324C0">
        <w:rPr>
          <w:rFonts w:ascii="Times New Roman" w:eastAsia="Times New Roman" w:hAnsi="Times New Roman" w:cs="Times New Roman"/>
          <w:sz w:val="24"/>
          <w:szCs w:val="24"/>
        </w:rPr>
        <w:t xml:space="preserve"> Integrated Moving Average) model to forecast future trends in gold pricing. </w:t>
      </w:r>
      <w:r w:rsidRPr="00B324C0">
        <w:rPr>
          <w:rFonts w:ascii="Times New Roman" w:eastAsia="Times New Roman" w:hAnsi="Times New Roman" w:cs="Times New Roman"/>
          <w:b/>
          <w:bCs/>
          <w:sz w:val="24"/>
          <w:szCs w:val="24"/>
        </w:rPr>
        <w:t>Vanitha S. and Saravanakumar K. (2019)</w:t>
      </w:r>
      <w:r w:rsidRPr="00B324C0">
        <w:rPr>
          <w:rFonts w:ascii="Times New Roman" w:eastAsia="Times New Roman" w:hAnsi="Times New Roman" w:cs="Times New Roman"/>
          <w:sz w:val="24"/>
          <w:szCs w:val="24"/>
        </w:rPr>
        <w:t xml:space="preserve"> highlighted in their study that factors such as inflation, global market movements, government gold reserves, festive seasons, interest rate trends, stock market performance, and production costs significantly influence gold prices. The study also noted that gold and silver function as close substitutes for one another.</w:t>
      </w:r>
      <w:r w:rsidRPr="00B324C0">
        <w:rPr>
          <w:rFonts w:ascii="Times New Roman" w:eastAsia="Times New Roman" w:hAnsi="Times New Roman" w:cs="Times New Roman"/>
          <w:b/>
          <w:bCs/>
          <w:sz w:val="24"/>
          <w:szCs w:val="24"/>
        </w:rPr>
        <w:t xml:space="preserve"> Rajesh </w:t>
      </w:r>
      <w:proofErr w:type="spellStart"/>
      <w:r w:rsidRPr="00B324C0">
        <w:rPr>
          <w:rFonts w:ascii="Times New Roman" w:eastAsia="Times New Roman" w:hAnsi="Times New Roman" w:cs="Times New Roman"/>
          <w:b/>
          <w:bCs/>
          <w:sz w:val="24"/>
          <w:szCs w:val="24"/>
        </w:rPr>
        <w:t>Sukla</w:t>
      </w:r>
      <w:proofErr w:type="spellEnd"/>
      <w:r w:rsidRPr="00B324C0">
        <w:rPr>
          <w:rFonts w:ascii="Times New Roman" w:eastAsia="Times New Roman" w:hAnsi="Times New Roman" w:cs="Times New Roman"/>
          <w:b/>
          <w:bCs/>
          <w:sz w:val="24"/>
          <w:szCs w:val="24"/>
        </w:rPr>
        <w:t xml:space="preserve"> &amp; </w:t>
      </w:r>
      <w:proofErr w:type="spellStart"/>
      <w:r w:rsidRPr="00B324C0">
        <w:rPr>
          <w:rFonts w:ascii="Times New Roman" w:eastAsia="Times New Roman" w:hAnsi="Times New Roman" w:cs="Times New Roman"/>
          <w:b/>
          <w:bCs/>
          <w:sz w:val="24"/>
          <w:szCs w:val="24"/>
        </w:rPr>
        <w:t>Megha</w:t>
      </w:r>
      <w:proofErr w:type="spellEnd"/>
      <w:r w:rsidRPr="00B324C0">
        <w:rPr>
          <w:rFonts w:ascii="Times New Roman" w:eastAsia="Times New Roman" w:hAnsi="Times New Roman" w:cs="Times New Roman"/>
          <w:b/>
          <w:bCs/>
          <w:sz w:val="24"/>
          <w:szCs w:val="24"/>
        </w:rPr>
        <w:t xml:space="preserve"> Shree et al.</w:t>
      </w:r>
    </w:p>
    <w:p w14:paraId="2BA8C852" w14:textId="77777777" w:rsidR="00E84E4C" w:rsidRPr="00B324C0" w:rsidRDefault="00EB59BA" w:rsidP="00B324C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GAP</w:t>
      </w:r>
    </w:p>
    <w:p w14:paraId="0519B0F5" w14:textId="0B7B3A19"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ab/>
      </w:r>
      <w:r w:rsidRPr="00B324C0">
        <w:rPr>
          <w:rFonts w:ascii="Times New Roman" w:eastAsia="Times New Roman" w:hAnsi="Times New Roman" w:cs="Times New Roman"/>
          <w:sz w:val="24"/>
          <w:szCs w:val="24"/>
        </w:rPr>
        <w:t xml:space="preserve">Based on the literature review survey, it was noted that many of the studies used secondary data. No studies intensively </w:t>
      </w:r>
      <w:proofErr w:type="spellStart"/>
      <w:r w:rsidRPr="00B324C0">
        <w:rPr>
          <w:rFonts w:ascii="Times New Roman" w:eastAsia="Times New Roman" w:hAnsi="Times New Roman" w:cs="Times New Roman"/>
          <w:sz w:val="24"/>
          <w:szCs w:val="24"/>
        </w:rPr>
        <w:t>analy</w:t>
      </w:r>
      <w:r w:rsidR="007A1172">
        <w:rPr>
          <w:rFonts w:ascii="Times New Roman" w:eastAsia="Times New Roman" w:hAnsi="Times New Roman" w:cs="Times New Roman"/>
          <w:sz w:val="24"/>
          <w:szCs w:val="24"/>
        </w:rPr>
        <w:t>sed</w:t>
      </w:r>
      <w:proofErr w:type="spellEnd"/>
      <w:r w:rsidRPr="00B324C0">
        <w:rPr>
          <w:rFonts w:ascii="Times New Roman" w:eastAsia="Times New Roman" w:hAnsi="Times New Roman" w:cs="Times New Roman"/>
          <w:sz w:val="24"/>
          <w:szCs w:val="24"/>
        </w:rPr>
        <w:t xml:space="preserve"> the status of household inflation of gold in India. To fulfil this lacuna, the study focused on </w:t>
      </w:r>
      <w:r w:rsidR="007A1172">
        <w:rPr>
          <w:rFonts w:ascii="Times New Roman" w:eastAsia="Times New Roman" w:hAnsi="Times New Roman" w:cs="Times New Roman"/>
          <w:sz w:val="24"/>
          <w:szCs w:val="24"/>
        </w:rPr>
        <w:t>t</w:t>
      </w:r>
      <w:r w:rsidRPr="00B324C0">
        <w:rPr>
          <w:rFonts w:ascii="Times New Roman" w:eastAsia="Times New Roman" w:hAnsi="Times New Roman" w:cs="Times New Roman"/>
          <w:sz w:val="24"/>
          <w:szCs w:val="24"/>
        </w:rPr>
        <w:t>he Socio-Economic Implications of Gold Price Inflation for Rural Households in India.</w:t>
      </w:r>
    </w:p>
    <w:p w14:paraId="45A65F33" w14:textId="5945B597" w:rsidR="00E84E4C" w:rsidRPr="00B324C0" w:rsidRDefault="00EB59BA"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METHODOLOGY</w:t>
      </w:r>
    </w:p>
    <w:p w14:paraId="1A9F0A36" w14:textId="6E32EFB8"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ab/>
      </w:r>
      <w:r w:rsidRPr="00B324C0">
        <w:rPr>
          <w:rFonts w:ascii="Times New Roman" w:eastAsia="Times New Roman" w:hAnsi="Times New Roman" w:cs="Times New Roman"/>
          <w:sz w:val="24"/>
          <w:szCs w:val="24"/>
        </w:rPr>
        <w:t>The study is based on both primary and secondary data. Primary data was collected from rural households in Milam Village, Villupuram District. To understand the ground realities of the respondents, data w</w:t>
      </w:r>
      <w:r w:rsidR="007A1172">
        <w:rPr>
          <w:rFonts w:ascii="Times New Roman" w:eastAsia="Times New Roman" w:hAnsi="Times New Roman" w:cs="Times New Roman"/>
          <w:sz w:val="24"/>
          <w:szCs w:val="24"/>
        </w:rPr>
        <w:t>ere</w:t>
      </w:r>
      <w:r w:rsidRPr="00B324C0">
        <w:rPr>
          <w:rFonts w:ascii="Times New Roman" w:eastAsia="Times New Roman" w:hAnsi="Times New Roman" w:cs="Times New Roman"/>
          <w:sz w:val="24"/>
          <w:szCs w:val="24"/>
        </w:rPr>
        <w:t xml:space="preserve"> gathered from 56 households in the village. The sample was chosen purposively for the study. Simple statistical methods were used to </w:t>
      </w:r>
      <w:proofErr w:type="spellStart"/>
      <w:r w:rsidRPr="00B324C0">
        <w:rPr>
          <w:rFonts w:ascii="Times New Roman" w:eastAsia="Times New Roman" w:hAnsi="Times New Roman" w:cs="Times New Roman"/>
          <w:sz w:val="24"/>
          <w:szCs w:val="24"/>
        </w:rPr>
        <w:t>analy</w:t>
      </w:r>
      <w:r w:rsidR="007A1172">
        <w:rPr>
          <w:rFonts w:ascii="Times New Roman" w:eastAsia="Times New Roman" w:hAnsi="Times New Roman" w:cs="Times New Roman"/>
          <w:sz w:val="24"/>
          <w:szCs w:val="24"/>
        </w:rPr>
        <w:t>s</w:t>
      </w:r>
      <w:r w:rsidRPr="00B324C0">
        <w:rPr>
          <w:rFonts w:ascii="Times New Roman" w:eastAsia="Times New Roman" w:hAnsi="Times New Roman" w:cs="Times New Roman"/>
          <w:sz w:val="24"/>
          <w:szCs w:val="24"/>
        </w:rPr>
        <w:t>e</w:t>
      </w:r>
      <w:proofErr w:type="spellEnd"/>
      <w:r w:rsidRPr="00B324C0">
        <w:rPr>
          <w:rFonts w:ascii="Times New Roman" w:eastAsia="Times New Roman" w:hAnsi="Times New Roman" w:cs="Times New Roman"/>
          <w:sz w:val="24"/>
          <w:szCs w:val="24"/>
        </w:rPr>
        <w:t xml:space="preserve"> the data.</w:t>
      </w:r>
    </w:p>
    <w:p w14:paraId="6257758F" w14:textId="77777777" w:rsidR="00E84E4C" w:rsidRPr="00B324C0" w:rsidRDefault="00EB59BA" w:rsidP="00B324C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OF THE STUDY</w:t>
      </w:r>
    </w:p>
    <w:p w14:paraId="5045D4C7" w14:textId="67A3F3EA" w:rsidR="00E84E4C" w:rsidRPr="00B324C0" w:rsidRDefault="00984DED" w:rsidP="00B324C0">
      <w:pPr>
        <w:numPr>
          <w:ilvl w:val="0"/>
          <w:numId w:val="2"/>
        </w:numPr>
        <w:pBdr>
          <w:top w:val="nil"/>
          <w:left w:val="nil"/>
          <w:bottom w:val="nil"/>
          <w:right w:val="nil"/>
          <w:between w:val="nil"/>
        </w:pBdr>
        <w:spacing w:before="280" w:after="0" w:line="360" w:lineRule="auto"/>
        <w:jc w:val="both"/>
        <w:rPr>
          <w:rFonts w:ascii="Times New Roman" w:hAnsi="Times New Roman" w:cs="Times New Roman"/>
          <w:sz w:val="24"/>
          <w:szCs w:val="24"/>
        </w:rPr>
      </w:pPr>
      <w:r w:rsidRPr="00B324C0">
        <w:rPr>
          <w:rFonts w:ascii="Times New Roman" w:eastAsia="Times New Roman" w:hAnsi="Times New Roman" w:cs="Times New Roman"/>
          <w:sz w:val="24"/>
          <w:szCs w:val="24"/>
        </w:rPr>
        <w:lastRenderedPageBreak/>
        <w:t xml:space="preserve">To examine the impact of rising gold prices on the purchasing </w:t>
      </w:r>
      <w:proofErr w:type="spellStart"/>
      <w:r w:rsidRPr="00B324C0">
        <w:rPr>
          <w:rFonts w:ascii="Times New Roman" w:eastAsia="Times New Roman" w:hAnsi="Times New Roman" w:cs="Times New Roman"/>
          <w:sz w:val="24"/>
          <w:szCs w:val="24"/>
        </w:rPr>
        <w:t>behavio</w:t>
      </w:r>
      <w:r w:rsidR="007A1172">
        <w:rPr>
          <w:rFonts w:ascii="Times New Roman" w:eastAsia="Times New Roman" w:hAnsi="Times New Roman" w:cs="Times New Roman"/>
          <w:sz w:val="24"/>
          <w:szCs w:val="24"/>
        </w:rPr>
        <w:t>u</w:t>
      </w:r>
      <w:r w:rsidRPr="00B324C0">
        <w:rPr>
          <w:rFonts w:ascii="Times New Roman" w:eastAsia="Times New Roman" w:hAnsi="Times New Roman" w:cs="Times New Roman"/>
          <w:sz w:val="24"/>
          <w:szCs w:val="24"/>
        </w:rPr>
        <w:t>r</w:t>
      </w:r>
      <w:proofErr w:type="spellEnd"/>
      <w:r w:rsidRPr="00B324C0">
        <w:rPr>
          <w:rFonts w:ascii="Times New Roman" w:eastAsia="Times New Roman" w:hAnsi="Times New Roman" w:cs="Times New Roman"/>
          <w:sz w:val="24"/>
          <w:szCs w:val="24"/>
        </w:rPr>
        <w:t xml:space="preserve"> and financial planning of rural households. </w:t>
      </w:r>
    </w:p>
    <w:p w14:paraId="2200AA5D" w14:textId="77777777" w:rsidR="00E84E4C" w:rsidRPr="00B324C0" w:rsidRDefault="00984DED" w:rsidP="00B324C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To assess the extent to which gold price inflation has affected the socio-economic aspirations and emotional well-being of low-income families.</w:t>
      </w:r>
    </w:p>
    <w:p w14:paraId="0E9483FC" w14:textId="5018EF5F" w:rsidR="00E84E4C" w:rsidRPr="00B324C0" w:rsidRDefault="00984DED" w:rsidP="00B324C0">
      <w:pPr>
        <w:numPr>
          <w:ilvl w:val="0"/>
          <w:numId w:val="2"/>
        </w:numPr>
        <w:pBdr>
          <w:top w:val="nil"/>
          <w:left w:val="nil"/>
          <w:bottom w:val="nil"/>
          <w:right w:val="nil"/>
          <w:between w:val="nil"/>
        </w:pBdr>
        <w:spacing w:after="280" w:line="360" w:lineRule="auto"/>
        <w:jc w:val="both"/>
        <w:rPr>
          <w:rFonts w:ascii="Times New Roman" w:hAnsi="Times New Roman" w:cs="Times New Roman"/>
          <w:sz w:val="24"/>
          <w:szCs w:val="24"/>
        </w:rPr>
      </w:pPr>
      <w:r w:rsidRPr="00B324C0">
        <w:rPr>
          <w:rFonts w:ascii="Times New Roman" w:eastAsia="Times New Roman" w:hAnsi="Times New Roman" w:cs="Times New Roman"/>
          <w:sz w:val="24"/>
          <w:szCs w:val="24"/>
        </w:rPr>
        <w:t xml:space="preserve">To </w:t>
      </w:r>
      <w:proofErr w:type="spellStart"/>
      <w:r w:rsidRPr="00B324C0">
        <w:rPr>
          <w:rFonts w:ascii="Times New Roman" w:eastAsia="Times New Roman" w:hAnsi="Times New Roman" w:cs="Times New Roman"/>
          <w:sz w:val="24"/>
          <w:szCs w:val="24"/>
        </w:rPr>
        <w:t>analy</w:t>
      </w:r>
      <w:r w:rsidR="007A1172">
        <w:rPr>
          <w:rFonts w:ascii="Times New Roman" w:eastAsia="Times New Roman" w:hAnsi="Times New Roman" w:cs="Times New Roman"/>
          <w:sz w:val="24"/>
          <w:szCs w:val="24"/>
        </w:rPr>
        <w:t>s</w:t>
      </w:r>
      <w:r w:rsidRPr="00B324C0">
        <w:rPr>
          <w:rFonts w:ascii="Times New Roman" w:eastAsia="Times New Roman" w:hAnsi="Times New Roman" w:cs="Times New Roman"/>
          <w:sz w:val="24"/>
          <w:szCs w:val="24"/>
        </w:rPr>
        <w:t>e</w:t>
      </w:r>
      <w:proofErr w:type="spellEnd"/>
      <w:r w:rsidRPr="00B324C0">
        <w:rPr>
          <w:rFonts w:ascii="Times New Roman" w:eastAsia="Times New Roman" w:hAnsi="Times New Roman" w:cs="Times New Roman"/>
          <w:sz w:val="24"/>
          <w:szCs w:val="24"/>
        </w:rPr>
        <w:t xml:space="preserve"> coping strategies adopted by rural households in response to gold price inflation.</w:t>
      </w:r>
    </w:p>
    <w:p w14:paraId="729817FC" w14:textId="77777777" w:rsidR="00E84E4C" w:rsidRPr="00B324C0" w:rsidRDefault="00EB59BA" w:rsidP="00B324C0">
      <w:pPr>
        <w:pBdr>
          <w:top w:val="nil"/>
          <w:left w:val="nil"/>
          <w:bottom w:val="nil"/>
          <w:right w:val="nil"/>
          <w:between w:val="nil"/>
        </w:pBdr>
        <w:spacing w:before="280" w:after="2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PROFILE OF THE STUDY AREA</w:t>
      </w:r>
    </w:p>
    <w:p w14:paraId="4FDD1CA7" w14:textId="01A2BDF5" w:rsidR="00E84E4C" w:rsidRPr="00B324C0" w:rsidRDefault="00EB59BA" w:rsidP="00B324C0">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Villuppuram</w:t>
      </w:r>
      <w:proofErr w:type="spellEnd"/>
      <w:r w:rsidR="00984DED" w:rsidRPr="00B324C0">
        <w:rPr>
          <w:rFonts w:ascii="Times New Roman" w:eastAsia="Times New Roman" w:hAnsi="Times New Roman" w:cs="Times New Roman"/>
          <w:sz w:val="24"/>
          <w:szCs w:val="24"/>
        </w:rPr>
        <w:t xml:space="preserve"> District is the 23rd district of the State of Tamil Nadu. The </w:t>
      </w:r>
      <w:proofErr w:type="spellStart"/>
      <w:r>
        <w:rPr>
          <w:rFonts w:ascii="Times New Roman" w:eastAsia="Times New Roman" w:hAnsi="Times New Roman" w:cs="Times New Roman"/>
          <w:sz w:val="24"/>
          <w:szCs w:val="24"/>
        </w:rPr>
        <w:t>Villuppuram</w:t>
      </w:r>
      <w:proofErr w:type="spellEnd"/>
      <w:r w:rsidR="00984DED" w:rsidRPr="00B324C0">
        <w:rPr>
          <w:rFonts w:ascii="Times New Roman" w:eastAsia="Times New Roman" w:hAnsi="Times New Roman" w:cs="Times New Roman"/>
          <w:sz w:val="24"/>
          <w:szCs w:val="24"/>
        </w:rPr>
        <w:t xml:space="preserve"> district commenced its function on 30th September 1993 with headquarters at </w:t>
      </w:r>
      <w:proofErr w:type="spellStart"/>
      <w:r>
        <w:rPr>
          <w:rFonts w:ascii="Times New Roman" w:eastAsia="Times New Roman" w:hAnsi="Times New Roman" w:cs="Times New Roman"/>
          <w:sz w:val="24"/>
          <w:szCs w:val="24"/>
        </w:rPr>
        <w:t>Villuppuram</w:t>
      </w:r>
      <w:proofErr w:type="spellEnd"/>
      <w:r w:rsidR="007A1172">
        <w:rPr>
          <w:rFonts w:ascii="Times New Roman" w:eastAsia="Times New Roman" w:hAnsi="Times New Roman" w:cs="Times New Roman"/>
          <w:sz w:val="24"/>
          <w:szCs w:val="24"/>
        </w:rPr>
        <w:t>, which</w:t>
      </w:r>
      <w:r w:rsidR="00984DED" w:rsidRPr="00B324C0">
        <w:rPr>
          <w:rFonts w:ascii="Times New Roman" w:eastAsia="Times New Roman" w:hAnsi="Times New Roman" w:cs="Times New Roman"/>
          <w:sz w:val="24"/>
          <w:szCs w:val="24"/>
        </w:rPr>
        <w:t xml:space="preserve"> was part of </w:t>
      </w:r>
      <w:r w:rsidR="007A1172">
        <w:rPr>
          <w:rFonts w:ascii="Times New Roman" w:eastAsia="Times New Roman" w:hAnsi="Times New Roman" w:cs="Times New Roman"/>
          <w:sz w:val="24"/>
          <w:szCs w:val="24"/>
        </w:rPr>
        <w:t xml:space="preserve">the </w:t>
      </w:r>
      <w:r w:rsidR="00984DED" w:rsidRPr="00B324C0">
        <w:rPr>
          <w:rFonts w:ascii="Times New Roman" w:eastAsia="Times New Roman" w:hAnsi="Times New Roman" w:cs="Times New Roman"/>
          <w:sz w:val="24"/>
          <w:szCs w:val="24"/>
        </w:rPr>
        <w:t xml:space="preserve">erstwhile South </w:t>
      </w:r>
      <w:proofErr w:type="spellStart"/>
      <w:r w:rsidR="00984DED" w:rsidRPr="00B324C0">
        <w:rPr>
          <w:rFonts w:ascii="Times New Roman" w:eastAsia="Times New Roman" w:hAnsi="Times New Roman" w:cs="Times New Roman"/>
          <w:sz w:val="24"/>
          <w:szCs w:val="24"/>
        </w:rPr>
        <w:t>Arcot</w:t>
      </w:r>
      <w:proofErr w:type="spellEnd"/>
      <w:r w:rsidR="00984DED" w:rsidRPr="00B324C0">
        <w:rPr>
          <w:rFonts w:ascii="Times New Roman" w:eastAsia="Times New Roman" w:hAnsi="Times New Roman" w:cs="Times New Roman"/>
          <w:sz w:val="24"/>
          <w:szCs w:val="24"/>
        </w:rPr>
        <w:t xml:space="preserve"> district. It has been recently bifurcated into </w:t>
      </w:r>
      <w:proofErr w:type="spellStart"/>
      <w:r>
        <w:rPr>
          <w:rFonts w:ascii="Times New Roman" w:eastAsia="Times New Roman" w:hAnsi="Times New Roman" w:cs="Times New Roman"/>
          <w:sz w:val="24"/>
          <w:szCs w:val="24"/>
        </w:rPr>
        <w:t>Villuppuram</w:t>
      </w:r>
      <w:proofErr w:type="spellEnd"/>
      <w:r w:rsidR="00984DED" w:rsidRPr="00B324C0">
        <w:rPr>
          <w:rFonts w:ascii="Times New Roman" w:eastAsia="Times New Roman" w:hAnsi="Times New Roman" w:cs="Times New Roman"/>
          <w:sz w:val="24"/>
          <w:szCs w:val="24"/>
        </w:rPr>
        <w:t xml:space="preserve"> and </w:t>
      </w:r>
      <w:proofErr w:type="spellStart"/>
      <w:r w:rsidR="00984DED" w:rsidRPr="00B324C0">
        <w:rPr>
          <w:rFonts w:ascii="Times New Roman" w:eastAsia="Times New Roman" w:hAnsi="Times New Roman" w:cs="Times New Roman"/>
          <w:sz w:val="24"/>
          <w:szCs w:val="24"/>
        </w:rPr>
        <w:t>Kallakuruchi</w:t>
      </w:r>
      <w:proofErr w:type="spellEnd"/>
      <w:r w:rsidR="00984DED" w:rsidRPr="00B324C0">
        <w:rPr>
          <w:rFonts w:ascii="Times New Roman" w:eastAsia="Times New Roman" w:hAnsi="Times New Roman" w:cs="Times New Roman"/>
          <w:sz w:val="24"/>
          <w:szCs w:val="24"/>
        </w:rPr>
        <w:t xml:space="preserve"> district</w:t>
      </w:r>
      <w:r w:rsidR="007A1172">
        <w:rPr>
          <w:rFonts w:ascii="Times New Roman" w:eastAsia="Times New Roman" w:hAnsi="Times New Roman" w:cs="Times New Roman"/>
          <w:sz w:val="24"/>
          <w:szCs w:val="24"/>
        </w:rPr>
        <w:t>s</w:t>
      </w:r>
      <w:r w:rsidR="00984DED" w:rsidRPr="00B324C0">
        <w:rPr>
          <w:rFonts w:ascii="Times New Roman" w:eastAsia="Times New Roman" w:hAnsi="Times New Roman" w:cs="Times New Roman"/>
          <w:sz w:val="24"/>
          <w:szCs w:val="24"/>
        </w:rPr>
        <w:t xml:space="preserve"> on 12.11.2019</w:t>
      </w:r>
      <w:r w:rsidR="007A1172">
        <w:rPr>
          <w:rFonts w:ascii="Times New Roman" w:eastAsia="Times New Roman" w:hAnsi="Times New Roman" w:cs="Times New Roman"/>
          <w:sz w:val="24"/>
          <w:szCs w:val="24"/>
        </w:rPr>
        <w:t>,</w:t>
      </w:r>
      <w:r w:rsidR="00984DED" w:rsidRPr="00B324C0">
        <w:rPr>
          <w:rFonts w:ascii="Times New Roman" w:eastAsia="Times New Roman" w:hAnsi="Times New Roman" w:cs="Times New Roman"/>
          <w:sz w:val="24"/>
          <w:szCs w:val="24"/>
        </w:rPr>
        <w:t xml:space="preserve"> which had </w:t>
      </w:r>
      <w:r w:rsidR="007A1172">
        <w:rPr>
          <w:rFonts w:ascii="Times New Roman" w:eastAsia="Times New Roman" w:hAnsi="Times New Roman" w:cs="Times New Roman"/>
          <w:sz w:val="24"/>
          <w:szCs w:val="24"/>
        </w:rPr>
        <w:t xml:space="preserve">a </w:t>
      </w:r>
      <w:r w:rsidR="00984DED" w:rsidRPr="00B324C0">
        <w:rPr>
          <w:rFonts w:ascii="Times New Roman" w:eastAsia="Times New Roman" w:hAnsi="Times New Roman" w:cs="Times New Roman"/>
          <w:sz w:val="24"/>
          <w:szCs w:val="24"/>
        </w:rPr>
        <w:t xml:space="preserve">combined extent of 7245.91Sq.Km. </w:t>
      </w:r>
      <w:proofErr w:type="spellStart"/>
      <w:r>
        <w:rPr>
          <w:rFonts w:ascii="Times New Roman" w:eastAsia="Times New Roman" w:hAnsi="Times New Roman" w:cs="Times New Roman"/>
          <w:sz w:val="24"/>
          <w:szCs w:val="24"/>
        </w:rPr>
        <w:t>Villuppuram</w:t>
      </w:r>
      <w:proofErr w:type="spellEnd"/>
      <w:r w:rsidR="00984DED" w:rsidRPr="00B324C0">
        <w:rPr>
          <w:rFonts w:ascii="Times New Roman" w:eastAsia="Times New Roman" w:hAnsi="Times New Roman" w:cs="Times New Roman"/>
          <w:sz w:val="24"/>
          <w:szCs w:val="24"/>
        </w:rPr>
        <w:t xml:space="preserve"> district is well connected through roadways, railways and waterways.</w:t>
      </w:r>
      <w:r w:rsidR="00984DED" w:rsidRPr="00B324C0">
        <w:rPr>
          <w:rFonts w:ascii="Times New Roman" w:eastAsia="Times New Roman" w:hAnsi="Times New Roman" w:cs="Times New Roman"/>
          <w:sz w:val="24"/>
          <w:szCs w:val="24"/>
          <w:vertAlign w:val="superscript"/>
        </w:rPr>
        <w:footnoteReference w:id="2"/>
      </w:r>
      <w:r w:rsidR="00984DED" w:rsidRPr="00B324C0">
        <w:rPr>
          <w:rFonts w:ascii="Times New Roman" w:eastAsia="Times New Roman" w:hAnsi="Times New Roman" w:cs="Times New Roman"/>
          <w:sz w:val="24"/>
          <w:szCs w:val="24"/>
        </w:rPr>
        <w:t xml:space="preserve"> There are two Revenue Divisions, Nine Revenue Taluks, </w:t>
      </w:r>
      <w:r w:rsidR="007A1172">
        <w:rPr>
          <w:rFonts w:ascii="Times New Roman" w:eastAsia="Times New Roman" w:hAnsi="Times New Roman" w:cs="Times New Roman"/>
          <w:sz w:val="24"/>
          <w:szCs w:val="24"/>
        </w:rPr>
        <w:t>t</w:t>
      </w:r>
      <w:r w:rsidR="00984DED" w:rsidRPr="00B324C0">
        <w:rPr>
          <w:rFonts w:ascii="Times New Roman" w:eastAsia="Times New Roman" w:hAnsi="Times New Roman" w:cs="Times New Roman"/>
          <w:sz w:val="24"/>
          <w:szCs w:val="24"/>
        </w:rPr>
        <w:t>wo Municipalities (</w:t>
      </w:r>
      <w:proofErr w:type="spellStart"/>
      <w:r>
        <w:rPr>
          <w:rFonts w:ascii="Times New Roman" w:eastAsia="Times New Roman" w:hAnsi="Times New Roman" w:cs="Times New Roman"/>
          <w:sz w:val="24"/>
          <w:szCs w:val="24"/>
        </w:rPr>
        <w:t>Villuppuram</w:t>
      </w:r>
      <w:proofErr w:type="spellEnd"/>
      <w:r w:rsidR="00984DED" w:rsidRPr="00B324C0">
        <w:rPr>
          <w:rFonts w:ascii="Times New Roman" w:eastAsia="Times New Roman" w:hAnsi="Times New Roman" w:cs="Times New Roman"/>
          <w:sz w:val="24"/>
          <w:szCs w:val="24"/>
        </w:rPr>
        <w:t xml:space="preserve"> and </w:t>
      </w:r>
      <w:proofErr w:type="spellStart"/>
      <w:r w:rsidR="00984DED" w:rsidRPr="00B324C0">
        <w:rPr>
          <w:rFonts w:ascii="Times New Roman" w:eastAsia="Times New Roman" w:hAnsi="Times New Roman" w:cs="Times New Roman"/>
          <w:sz w:val="24"/>
          <w:szCs w:val="24"/>
        </w:rPr>
        <w:t>Tindivanam</w:t>
      </w:r>
      <w:proofErr w:type="spellEnd"/>
      <w:r w:rsidR="00984DED" w:rsidRPr="00B324C0">
        <w:rPr>
          <w:rFonts w:ascii="Times New Roman" w:eastAsia="Times New Roman" w:hAnsi="Times New Roman" w:cs="Times New Roman"/>
          <w:sz w:val="24"/>
          <w:szCs w:val="24"/>
        </w:rPr>
        <w:t xml:space="preserve">), </w:t>
      </w:r>
      <w:r w:rsidR="007A1172">
        <w:rPr>
          <w:rFonts w:ascii="Times New Roman" w:eastAsia="Times New Roman" w:hAnsi="Times New Roman" w:cs="Times New Roman"/>
          <w:sz w:val="24"/>
          <w:szCs w:val="24"/>
        </w:rPr>
        <w:t>e</w:t>
      </w:r>
      <w:r w:rsidR="00984DED" w:rsidRPr="00B324C0">
        <w:rPr>
          <w:rFonts w:ascii="Times New Roman" w:eastAsia="Times New Roman" w:hAnsi="Times New Roman" w:cs="Times New Roman"/>
          <w:sz w:val="24"/>
          <w:szCs w:val="24"/>
        </w:rPr>
        <w:t>ight Town Panchayats, 13 Panchayat Unions and 688.</w:t>
      </w:r>
    </w:p>
    <w:p w14:paraId="70A1011E" w14:textId="77777777" w:rsidR="00E84E4C" w:rsidRPr="00EB59BA" w:rsidRDefault="00EB59BA" w:rsidP="00B324C0">
      <w:pPr>
        <w:pBdr>
          <w:top w:val="nil"/>
          <w:left w:val="nil"/>
          <w:bottom w:val="nil"/>
          <w:right w:val="nil"/>
          <w:between w:val="nil"/>
        </w:pBdr>
        <w:spacing w:before="280" w:after="280" w:line="360"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rPr>
        <w:t>MAILAM VILLAGE</w:t>
      </w:r>
    </w:p>
    <w:p w14:paraId="6BB4BC8E" w14:textId="422132BD" w:rsidR="00E84E4C" w:rsidRPr="00B324C0" w:rsidRDefault="00984DED" w:rsidP="00B324C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ab/>
        <w:t>Mailam is a village located in the Tindivanam Subdivision of Villupuram district, Tamil Nadu, India. This article provides a comprehensive overview of Mailam, covering its demographics, population statistics, household data, administrative structure, geographical area, connectivity, educational and medical facilities, electricity supply, drinking water sources, and nearby villages.</w:t>
      </w:r>
      <w:r w:rsidRPr="00B324C0">
        <w:rPr>
          <w:rFonts w:ascii="Times New Roman" w:eastAsia="Times New Roman" w:hAnsi="Times New Roman" w:cs="Times New Roman"/>
          <w:sz w:val="24"/>
          <w:szCs w:val="24"/>
          <w:vertAlign w:val="superscript"/>
        </w:rPr>
        <w:footnoteReference w:id="3"/>
      </w:r>
      <w:r w:rsidRPr="00B324C0">
        <w:rPr>
          <w:rFonts w:ascii="Times New Roman" w:eastAsia="Times New Roman" w:hAnsi="Times New Roman" w:cs="Times New Roman"/>
          <w:sz w:val="24"/>
          <w:szCs w:val="24"/>
        </w:rPr>
        <w:t xml:space="preserve"> Mailam has a population of 4632 as recorded in the 2011 Census. It falls under the jurisdiction of Mailam Gram Panchayat and the Mailam Block Panchayat in Tindivanam District. The village has 1078 households and is identified by village code 632714. Mailam is located in the 604304 postal area, contributing significantly to the rural administrative structure of Tindivanam Sub-District. </w:t>
      </w:r>
      <w:r w:rsidR="007A1172">
        <w:rPr>
          <w:rFonts w:ascii="Times New Roman" w:eastAsia="Times New Roman" w:hAnsi="Times New Roman" w:cs="Times New Roman"/>
          <w:sz w:val="24"/>
          <w:szCs w:val="24"/>
        </w:rPr>
        <w:t>The m</w:t>
      </w:r>
      <w:r w:rsidRPr="00B324C0">
        <w:rPr>
          <w:rFonts w:ascii="Times New Roman" w:eastAsia="Times New Roman" w:hAnsi="Times New Roman" w:cs="Times New Roman"/>
          <w:sz w:val="24"/>
          <w:szCs w:val="24"/>
        </w:rPr>
        <w:t xml:space="preserve">ajority of the population engaged in agriculture and allied activities.  </w:t>
      </w:r>
    </w:p>
    <w:p w14:paraId="0FB279B7" w14:textId="68BAA894" w:rsidR="00E84E4C" w:rsidRPr="00B324C0" w:rsidRDefault="00BE406D" w:rsidP="00EB59BA">
      <w:pPr>
        <w:pBdr>
          <w:top w:val="nil"/>
          <w:left w:val="nil"/>
          <w:bottom w:val="nil"/>
          <w:right w:val="nil"/>
          <w:between w:val="nil"/>
        </w:pBdr>
        <w:spacing w:before="280" w:after="28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Result </w:t>
      </w:r>
      <w:r w:rsidR="00984BD9">
        <w:rPr>
          <w:rFonts w:ascii="Times New Roman" w:eastAsia="Times New Roman" w:hAnsi="Times New Roman" w:cs="Times New Roman"/>
          <w:b/>
          <w:bCs/>
          <w:sz w:val="24"/>
          <w:szCs w:val="24"/>
        </w:rPr>
        <w:t>and</w:t>
      </w:r>
      <w:r>
        <w:rPr>
          <w:rFonts w:ascii="Times New Roman" w:eastAsia="Times New Roman" w:hAnsi="Times New Roman" w:cs="Times New Roman"/>
          <w:b/>
          <w:bCs/>
          <w:sz w:val="24"/>
          <w:szCs w:val="24"/>
        </w:rPr>
        <w:t xml:space="preserve"> Discussion</w:t>
      </w:r>
    </w:p>
    <w:p w14:paraId="4CF42B22" w14:textId="77777777" w:rsidR="00E84E4C" w:rsidRPr="00B324C0" w:rsidRDefault="00984DED" w:rsidP="00B324C0">
      <w:pPr>
        <w:pBdr>
          <w:top w:val="nil"/>
          <w:left w:val="nil"/>
          <w:bottom w:val="nil"/>
          <w:right w:val="nil"/>
          <w:between w:val="nil"/>
        </w:pBdr>
        <w:spacing w:before="280" w:after="28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Table No: 1- Age Group Details of the Respondents</w:t>
      </w:r>
    </w:p>
    <w:tbl>
      <w:tblPr>
        <w:tblStyle w:val="a"/>
        <w:tblW w:w="5113" w:type="dxa"/>
        <w:jc w:val="center"/>
        <w:tblInd w:w="0" w:type="dxa"/>
        <w:tblLayout w:type="fixed"/>
        <w:tblLook w:val="0400" w:firstRow="0" w:lastRow="0" w:firstColumn="0" w:lastColumn="0" w:noHBand="0" w:noVBand="1"/>
      </w:tblPr>
      <w:tblGrid>
        <w:gridCol w:w="960"/>
        <w:gridCol w:w="1380"/>
        <w:gridCol w:w="1657"/>
        <w:gridCol w:w="1116"/>
      </w:tblGrid>
      <w:tr w:rsidR="00B324C0" w:rsidRPr="00B324C0" w14:paraId="047AA422" w14:textId="77777777" w:rsidTr="00EB59BA">
        <w:trPr>
          <w:trHeight w:val="300"/>
          <w:jc w:val="center"/>
        </w:trPr>
        <w:tc>
          <w:tcPr>
            <w:tcW w:w="960" w:type="dxa"/>
            <w:tcBorders>
              <w:top w:val="single" w:sz="4" w:space="0" w:color="000000"/>
              <w:left w:val="single" w:sz="4" w:space="0" w:color="000000"/>
              <w:bottom w:val="single" w:sz="4" w:space="0" w:color="000000"/>
              <w:right w:val="single" w:sz="4" w:space="0" w:color="000000"/>
            </w:tcBorders>
            <w:vAlign w:val="bottom"/>
          </w:tcPr>
          <w:p w14:paraId="4E27A665"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1380" w:type="dxa"/>
            <w:tcBorders>
              <w:top w:val="single" w:sz="4" w:space="0" w:color="000000"/>
              <w:left w:val="nil"/>
              <w:bottom w:val="single" w:sz="4" w:space="0" w:color="000000"/>
              <w:right w:val="single" w:sz="4" w:space="0" w:color="000000"/>
            </w:tcBorders>
            <w:vAlign w:val="bottom"/>
          </w:tcPr>
          <w:p w14:paraId="622751DF"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Age Group</w:t>
            </w:r>
          </w:p>
        </w:tc>
        <w:tc>
          <w:tcPr>
            <w:tcW w:w="1657" w:type="dxa"/>
            <w:tcBorders>
              <w:top w:val="single" w:sz="4" w:space="0" w:color="000000"/>
              <w:left w:val="nil"/>
              <w:bottom w:val="single" w:sz="4" w:space="0" w:color="000000"/>
              <w:right w:val="single" w:sz="4" w:space="0" w:color="000000"/>
            </w:tcBorders>
            <w:vAlign w:val="bottom"/>
          </w:tcPr>
          <w:p w14:paraId="197CC868"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Respondents</w:t>
            </w:r>
          </w:p>
        </w:tc>
        <w:tc>
          <w:tcPr>
            <w:tcW w:w="1116" w:type="dxa"/>
            <w:tcBorders>
              <w:top w:val="single" w:sz="4" w:space="0" w:color="000000"/>
              <w:left w:val="nil"/>
              <w:bottom w:val="single" w:sz="4" w:space="0" w:color="000000"/>
              <w:right w:val="single" w:sz="4" w:space="0" w:color="000000"/>
            </w:tcBorders>
            <w:vAlign w:val="bottom"/>
          </w:tcPr>
          <w:p w14:paraId="632102F0"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Percent</w:t>
            </w:r>
          </w:p>
        </w:tc>
      </w:tr>
      <w:tr w:rsidR="00B324C0" w:rsidRPr="00B324C0" w14:paraId="047E3C04" w14:textId="77777777" w:rsidTr="00EB59BA">
        <w:trPr>
          <w:trHeight w:val="300"/>
          <w:jc w:val="center"/>
        </w:trPr>
        <w:tc>
          <w:tcPr>
            <w:tcW w:w="960" w:type="dxa"/>
            <w:tcBorders>
              <w:top w:val="nil"/>
              <w:left w:val="single" w:sz="4" w:space="0" w:color="000000"/>
              <w:bottom w:val="single" w:sz="4" w:space="0" w:color="000000"/>
              <w:right w:val="single" w:sz="4" w:space="0" w:color="000000"/>
            </w:tcBorders>
            <w:vAlign w:val="bottom"/>
          </w:tcPr>
          <w:p w14:paraId="6FF751E3"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1380" w:type="dxa"/>
            <w:tcBorders>
              <w:top w:val="nil"/>
              <w:left w:val="nil"/>
              <w:bottom w:val="single" w:sz="4" w:space="0" w:color="000000"/>
              <w:right w:val="single" w:sz="4" w:space="0" w:color="000000"/>
            </w:tcBorders>
            <w:vAlign w:val="bottom"/>
          </w:tcPr>
          <w:p w14:paraId="7E0D71BD"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25-30</w:t>
            </w:r>
          </w:p>
        </w:tc>
        <w:tc>
          <w:tcPr>
            <w:tcW w:w="1657" w:type="dxa"/>
            <w:tcBorders>
              <w:top w:val="nil"/>
              <w:left w:val="nil"/>
              <w:bottom w:val="single" w:sz="4" w:space="0" w:color="000000"/>
              <w:right w:val="single" w:sz="4" w:space="0" w:color="000000"/>
            </w:tcBorders>
            <w:vAlign w:val="bottom"/>
          </w:tcPr>
          <w:p w14:paraId="64D15EA9"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16</w:t>
            </w:r>
          </w:p>
        </w:tc>
        <w:tc>
          <w:tcPr>
            <w:tcW w:w="1116" w:type="dxa"/>
            <w:tcBorders>
              <w:top w:val="nil"/>
              <w:left w:val="nil"/>
              <w:bottom w:val="single" w:sz="4" w:space="0" w:color="000000"/>
              <w:right w:val="single" w:sz="4" w:space="0" w:color="000000"/>
            </w:tcBorders>
            <w:vAlign w:val="bottom"/>
          </w:tcPr>
          <w:p w14:paraId="4F29751A"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28.57</w:t>
            </w:r>
          </w:p>
        </w:tc>
      </w:tr>
      <w:tr w:rsidR="00B324C0" w:rsidRPr="00B324C0" w14:paraId="594C2EEB" w14:textId="77777777" w:rsidTr="00EB59BA">
        <w:trPr>
          <w:trHeight w:val="300"/>
          <w:jc w:val="center"/>
        </w:trPr>
        <w:tc>
          <w:tcPr>
            <w:tcW w:w="960" w:type="dxa"/>
            <w:tcBorders>
              <w:top w:val="nil"/>
              <w:left w:val="single" w:sz="4" w:space="0" w:color="000000"/>
              <w:bottom w:val="single" w:sz="4" w:space="0" w:color="000000"/>
              <w:right w:val="single" w:sz="4" w:space="0" w:color="000000"/>
            </w:tcBorders>
            <w:vAlign w:val="bottom"/>
          </w:tcPr>
          <w:p w14:paraId="79D1298F"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1380" w:type="dxa"/>
            <w:tcBorders>
              <w:top w:val="nil"/>
              <w:left w:val="nil"/>
              <w:bottom w:val="single" w:sz="4" w:space="0" w:color="000000"/>
              <w:right w:val="single" w:sz="4" w:space="0" w:color="000000"/>
            </w:tcBorders>
            <w:vAlign w:val="bottom"/>
          </w:tcPr>
          <w:p w14:paraId="6834576C"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31-40</w:t>
            </w:r>
          </w:p>
        </w:tc>
        <w:tc>
          <w:tcPr>
            <w:tcW w:w="1657" w:type="dxa"/>
            <w:tcBorders>
              <w:top w:val="nil"/>
              <w:left w:val="nil"/>
              <w:bottom w:val="single" w:sz="4" w:space="0" w:color="000000"/>
              <w:right w:val="single" w:sz="4" w:space="0" w:color="000000"/>
            </w:tcBorders>
            <w:vAlign w:val="bottom"/>
          </w:tcPr>
          <w:p w14:paraId="3B0AA978"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15</w:t>
            </w:r>
          </w:p>
        </w:tc>
        <w:tc>
          <w:tcPr>
            <w:tcW w:w="1116" w:type="dxa"/>
            <w:tcBorders>
              <w:top w:val="nil"/>
              <w:left w:val="nil"/>
              <w:bottom w:val="single" w:sz="4" w:space="0" w:color="000000"/>
              <w:right w:val="single" w:sz="4" w:space="0" w:color="000000"/>
            </w:tcBorders>
            <w:vAlign w:val="bottom"/>
          </w:tcPr>
          <w:p w14:paraId="23143544"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26.78</w:t>
            </w:r>
          </w:p>
        </w:tc>
      </w:tr>
      <w:tr w:rsidR="00B324C0" w:rsidRPr="00B324C0" w14:paraId="2B5A226E" w14:textId="77777777" w:rsidTr="00EB59BA">
        <w:trPr>
          <w:trHeight w:val="300"/>
          <w:jc w:val="center"/>
        </w:trPr>
        <w:tc>
          <w:tcPr>
            <w:tcW w:w="960" w:type="dxa"/>
            <w:tcBorders>
              <w:top w:val="nil"/>
              <w:left w:val="single" w:sz="4" w:space="0" w:color="000000"/>
              <w:bottom w:val="single" w:sz="4" w:space="0" w:color="000000"/>
              <w:right w:val="single" w:sz="4" w:space="0" w:color="000000"/>
            </w:tcBorders>
            <w:vAlign w:val="bottom"/>
          </w:tcPr>
          <w:p w14:paraId="5AB0D692"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w:t>
            </w:r>
          </w:p>
        </w:tc>
        <w:tc>
          <w:tcPr>
            <w:tcW w:w="1380" w:type="dxa"/>
            <w:tcBorders>
              <w:top w:val="nil"/>
              <w:left w:val="nil"/>
              <w:bottom w:val="single" w:sz="4" w:space="0" w:color="000000"/>
              <w:right w:val="single" w:sz="4" w:space="0" w:color="000000"/>
            </w:tcBorders>
            <w:vAlign w:val="bottom"/>
          </w:tcPr>
          <w:p w14:paraId="4D2479C7"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41- 50</w:t>
            </w:r>
          </w:p>
        </w:tc>
        <w:tc>
          <w:tcPr>
            <w:tcW w:w="1657" w:type="dxa"/>
            <w:tcBorders>
              <w:top w:val="nil"/>
              <w:left w:val="nil"/>
              <w:bottom w:val="single" w:sz="4" w:space="0" w:color="000000"/>
              <w:right w:val="single" w:sz="4" w:space="0" w:color="000000"/>
            </w:tcBorders>
            <w:vAlign w:val="bottom"/>
          </w:tcPr>
          <w:p w14:paraId="0B609FDD"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11</w:t>
            </w:r>
          </w:p>
        </w:tc>
        <w:tc>
          <w:tcPr>
            <w:tcW w:w="1116" w:type="dxa"/>
            <w:tcBorders>
              <w:top w:val="nil"/>
              <w:left w:val="nil"/>
              <w:bottom w:val="single" w:sz="4" w:space="0" w:color="000000"/>
              <w:right w:val="single" w:sz="4" w:space="0" w:color="000000"/>
            </w:tcBorders>
            <w:vAlign w:val="bottom"/>
          </w:tcPr>
          <w:p w14:paraId="14E1893A"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19.64</w:t>
            </w:r>
          </w:p>
        </w:tc>
      </w:tr>
      <w:tr w:rsidR="00B324C0" w:rsidRPr="00B324C0" w14:paraId="218C6781" w14:textId="77777777" w:rsidTr="00EB59BA">
        <w:trPr>
          <w:trHeight w:val="300"/>
          <w:jc w:val="center"/>
        </w:trPr>
        <w:tc>
          <w:tcPr>
            <w:tcW w:w="960" w:type="dxa"/>
            <w:tcBorders>
              <w:top w:val="nil"/>
              <w:left w:val="single" w:sz="4" w:space="0" w:color="000000"/>
              <w:bottom w:val="single" w:sz="4" w:space="0" w:color="000000"/>
              <w:right w:val="single" w:sz="4" w:space="0" w:color="000000"/>
            </w:tcBorders>
            <w:vAlign w:val="bottom"/>
          </w:tcPr>
          <w:p w14:paraId="3BE79DD1"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w:t>
            </w:r>
          </w:p>
        </w:tc>
        <w:tc>
          <w:tcPr>
            <w:tcW w:w="1380" w:type="dxa"/>
            <w:tcBorders>
              <w:top w:val="nil"/>
              <w:left w:val="nil"/>
              <w:bottom w:val="single" w:sz="4" w:space="0" w:color="000000"/>
              <w:right w:val="single" w:sz="4" w:space="0" w:color="000000"/>
            </w:tcBorders>
            <w:vAlign w:val="bottom"/>
          </w:tcPr>
          <w:p w14:paraId="3F9E3C2F"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 xml:space="preserve">51- </w:t>
            </w:r>
            <w:proofErr w:type="spellStart"/>
            <w:r w:rsidRPr="00B324C0">
              <w:rPr>
                <w:rFonts w:ascii="Times New Roman" w:eastAsia="Times New Roman" w:hAnsi="Times New Roman" w:cs="Times New Roman"/>
                <w:sz w:val="24"/>
                <w:szCs w:val="24"/>
              </w:rPr>
              <w:t>Abve</w:t>
            </w:r>
            <w:proofErr w:type="spellEnd"/>
          </w:p>
        </w:tc>
        <w:tc>
          <w:tcPr>
            <w:tcW w:w="1657" w:type="dxa"/>
            <w:tcBorders>
              <w:top w:val="nil"/>
              <w:left w:val="nil"/>
              <w:bottom w:val="single" w:sz="4" w:space="0" w:color="000000"/>
              <w:right w:val="single" w:sz="4" w:space="0" w:color="000000"/>
            </w:tcBorders>
            <w:vAlign w:val="bottom"/>
          </w:tcPr>
          <w:p w14:paraId="3477A813"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w:t>
            </w:r>
          </w:p>
        </w:tc>
        <w:tc>
          <w:tcPr>
            <w:tcW w:w="1116" w:type="dxa"/>
            <w:tcBorders>
              <w:top w:val="nil"/>
              <w:left w:val="nil"/>
              <w:bottom w:val="single" w:sz="4" w:space="0" w:color="000000"/>
              <w:right w:val="single" w:sz="4" w:space="0" w:color="000000"/>
            </w:tcBorders>
            <w:vAlign w:val="bottom"/>
          </w:tcPr>
          <w:p w14:paraId="6D77A1F0"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25</w:t>
            </w:r>
          </w:p>
        </w:tc>
      </w:tr>
      <w:tr w:rsidR="00B324C0" w:rsidRPr="00B324C0" w14:paraId="73C1090B" w14:textId="77777777" w:rsidTr="00EB59BA">
        <w:trPr>
          <w:trHeight w:val="300"/>
          <w:jc w:val="center"/>
        </w:trPr>
        <w:tc>
          <w:tcPr>
            <w:tcW w:w="960" w:type="dxa"/>
            <w:tcBorders>
              <w:top w:val="nil"/>
              <w:left w:val="single" w:sz="4" w:space="0" w:color="000000"/>
              <w:bottom w:val="single" w:sz="4" w:space="0" w:color="000000"/>
              <w:right w:val="single" w:sz="4" w:space="0" w:color="000000"/>
            </w:tcBorders>
            <w:vAlign w:val="bottom"/>
          </w:tcPr>
          <w:p w14:paraId="226B8852" w14:textId="77777777" w:rsidR="00E84E4C" w:rsidRPr="00B324C0" w:rsidRDefault="00E84E4C" w:rsidP="00EB59BA">
            <w:pPr>
              <w:spacing w:after="0" w:line="360" w:lineRule="auto"/>
              <w:jc w:val="center"/>
              <w:rPr>
                <w:rFonts w:ascii="Times New Roman" w:eastAsia="Times New Roman" w:hAnsi="Times New Roman" w:cs="Times New Roman"/>
                <w:sz w:val="24"/>
                <w:szCs w:val="24"/>
              </w:rPr>
            </w:pPr>
          </w:p>
        </w:tc>
        <w:tc>
          <w:tcPr>
            <w:tcW w:w="1380" w:type="dxa"/>
            <w:tcBorders>
              <w:top w:val="nil"/>
              <w:left w:val="nil"/>
              <w:bottom w:val="single" w:sz="4" w:space="0" w:color="000000"/>
              <w:right w:val="single" w:sz="4" w:space="0" w:color="000000"/>
            </w:tcBorders>
            <w:vAlign w:val="bottom"/>
          </w:tcPr>
          <w:p w14:paraId="12597E12"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Total</w:t>
            </w:r>
          </w:p>
        </w:tc>
        <w:tc>
          <w:tcPr>
            <w:tcW w:w="1657" w:type="dxa"/>
            <w:tcBorders>
              <w:top w:val="nil"/>
              <w:left w:val="nil"/>
              <w:bottom w:val="single" w:sz="4" w:space="0" w:color="000000"/>
              <w:right w:val="single" w:sz="4" w:space="0" w:color="000000"/>
            </w:tcBorders>
            <w:vAlign w:val="bottom"/>
          </w:tcPr>
          <w:p w14:paraId="0E462892"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1116" w:type="dxa"/>
            <w:tcBorders>
              <w:top w:val="nil"/>
              <w:left w:val="nil"/>
              <w:bottom w:val="single" w:sz="4" w:space="0" w:color="000000"/>
              <w:right w:val="single" w:sz="4" w:space="0" w:color="000000"/>
            </w:tcBorders>
            <w:vAlign w:val="bottom"/>
          </w:tcPr>
          <w:p w14:paraId="348F2D13"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p>
        </w:tc>
      </w:tr>
    </w:tbl>
    <w:p w14:paraId="4F84CE5A" w14:textId="77777777" w:rsidR="00E84E4C" w:rsidRPr="00B324C0" w:rsidRDefault="00B324C0" w:rsidP="00B324C0">
      <w:pPr>
        <w:pBdr>
          <w:top w:val="nil"/>
          <w:left w:val="nil"/>
          <w:bottom w:val="nil"/>
          <w:right w:val="nil"/>
          <w:between w:val="nil"/>
        </w:pBdr>
        <w:spacing w:line="360" w:lineRule="auto"/>
        <w:jc w:val="both"/>
        <w:rPr>
          <w:rFonts w:ascii="Times New Roman" w:eastAsia="Times New Roman" w:hAnsi="Times New Roman" w:cs="Times New Roman"/>
          <w:iCs/>
          <w:sz w:val="24"/>
          <w:szCs w:val="24"/>
        </w:rPr>
      </w:pPr>
      <w:r w:rsidRPr="00B324C0">
        <w:rPr>
          <w:rFonts w:ascii="Times New Roman" w:eastAsia="Times New Roman" w:hAnsi="Times New Roman" w:cs="Times New Roman"/>
          <w:b/>
          <w:i/>
          <w:iCs/>
          <w:sz w:val="24"/>
          <w:szCs w:val="24"/>
        </w:rPr>
        <w:t xml:space="preserve"> Source: Primary Data</w:t>
      </w:r>
    </w:p>
    <w:p w14:paraId="34ED2724" w14:textId="77777777" w:rsidR="00E84E4C" w:rsidRPr="00B324C0" w:rsidRDefault="00984DED" w:rsidP="00B324C0">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b/>
          <w:bCs/>
          <w:sz w:val="24"/>
          <w:szCs w:val="24"/>
        </w:rPr>
      </w:pPr>
      <w:r w:rsidRPr="00B324C0">
        <w:rPr>
          <w:rFonts w:ascii="Times New Roman" w:eastAsia="Times New Roman" w:hAnsi="Times New Roman" w:cs="Times New Roman"/>
          <w:sz w:val="24"/>
          <w:szCs w:val="24"/>
        </w:rPr>
        <w:t>The study found that the majority, that is 28.57 percent of the respondents, were in the 25–30 age group, followed by 26.78 percent in the 31–40 age group, 19.64 percent of the respondents were in the 41–50 age group, and the remaining 25 percent of the respondents were in the 51 and above age group in the study area.</w:t>
      </w:r>
    </w:p>
    <w:p w14:paraId="09035EC2" w14:textId="77777777" w:rsidR="00E84E4C" w:rsidRPr="00B324C0" w:rsidRDefault="00984DED" w:rsidP="00B324C0">
      <w:pPr>
        <w:pBdr>
          <w:top w:val="nil"/>
          <w:left w:val="nil"/>
          <w:bottom w:val="nil"/>
          <w:right w:val="nil"/>
          <w:between w:val="nil"/>
        </w:pBdr>
        <w:spacing w:before="280" w:after="28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Table No: 2- Occupational Details of the Respondents</w:t>
      </w:r>
    </w:p>
    <w:tbl>
      <w:tblPr>
        <w:tblStyle w:val="a0"/>
        <w:tblW w:w="55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777"/>
        <w:gridCol w:w="1657"/>
        <w:gridCol w:w="1116"/>
      </w:tblGrid>
      <w:tr w:rsidR="00B324C0" w:rsidRPr="00B324C0" w14:paraId="3C82A681" w14:textId="77777777" w:rsidTr="00EB59BA">
        <w:trPr>
          <w:trHeight w:val="300"/>
          <w:jc w:val="center"/>
        </w:trPr>
        <w:tc>
          <w:tcPr>
            <w:tcW w:w="960" w:type="dxa"/>
            <w:vAlign w:val="bottom"/>
          </w:tcPr>
          <w:p w14:paraId="6156E150"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1777" w:type="dxa"/>
            <w:vAlign w:val="bottom"/>
          </w:tcPr>
          <w:p w14:paraId="5D0E93AD"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Occupation</w:t>
            </w:r>
          </w:p>
        </w:tc>
        <w:tc>
          <w:tcPr>
            <w:tcW w:w="1657" w:type="dxa"/>
            <w:vAlign w:val="bottom"/>
          </w:tcPr>
          <w:p w14:paraId="134436FB"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Respondents</w:t>
            </w:r>
          </w:p>
        </w:tc>
        <w:tc>
          <w:tcPr>
            <w:tcW w:w="1116" w:type="dxa"/>
            <w:vAlign w:val="bottom"/>
          </w:tcPr>
          <w:p w14:paraId="3AFDFA93"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Percent</w:t>
            </w:r>
          </w:p>
        </w:tc>
      </w:tr>
      <w:tr w:rsidR="00B324C0" w:rsidRPr="00B324C0" w14:paraId="4A7F6933" w14:textId="77777777" w:rsidTr="00EB59BA">
        <w:trPr>
          <w:trHeight w:val="300"/>
          <w:jc w:val="center"/>
        </w:trPr>
        <w:tc>
          <w:tcPr>
            <w:tcW w:w="960" w:type="dxa"/>
            <w:vAlign w:val="bottom"/>
          </w:tcPr>
          <w:p w14:paraId="7B3A792D"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1777" w:type="dxa"/>
            <w:vAlign w:val="bottom"/>
          </w:tcPr>
          <w:p w14:paraId="0D47BD25"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Agriculture</w:t>
            </w:r>
          </w:p>
        </w:tc>
        <w:tc>
          <w:tcPr>
            <w:tcW w:w="1657" w:type="dxa"/>
            <w:vAlign w:val="bottom"/>
          </w:tcPr>
          <w:p w14:paraId="142FE96B"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30</w:t>
            </w:r>
          </w:p>
        </w:tc>
        <w:tc>
          <w:tcPr>
            <w:tcW w:w="1116" w:type="dxa"/>
            <w:vAlign w:val="bottom"/>
          </w:tcPr>
          <w:p w14:paraId="0D1A7176"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53.57</w:t>
            </w:r>
          </w:p>
        </w:tc>
      </w:tr>
      <w:tr w:rsidR="00B324C0" w:rsidRPr="00B324C0" w14:paraId="40293B25" w14:textId="77777777" w:rsidTr="00EB59BA">
        <w:trPr>
          <w:trHeight w:val="300"/>
          <w:jc w:val="center"/>
        </w:trPr>
        <w:tc>
          <w:tcPr>
            <w:tcW w:w="960" w:type="dxa"/>
            <w:vAlign w:val="bottom"/>
          </w:tcPr>
          <w:p w14:paraId="14F39F40"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1777" w:type="dxa"/>
            <w:vAlign w:val="bottom"/>
          </w:tcPr>
          <w:p w14:paraId="613105EE"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Manufacturing</w:t>
            </w:r>
          </w:p>
        </w:tc>
        <w:tc>
          <w:tcPr>
            <w:tcW w:w="1657" w:type="dxa"/>
            <w:vAlign w:val="bottom"/>
          </w:tcPr>
          <w:p w14:paraId="30BD77B1"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15</w:t>
            </w:r>
          </w:p>
        </w:tc>
        <w:tc>
          <w:tcPr>
            <w:tcW w:w="1116" w:type="dxa"/>
            <w:vAlign w:val="bottom"/>
          </w:tcPr>
          <w:p w14:paraId="6FA5A148"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26.78</w:t>
            </w:r>
          </w:p>
        </w:tc>
      </w:tr>
      <w:tr w:rsidR="00B324C0" w:rsidRPr="00B324C0" w14:paraId="5766126E" w14:textId="77777777" w:rsidTr="00EB59BA">
        <w:trPr>
          <w:trHeight w:val="300"/>
          <w:jc w:val="center"/>
        </w:trPr>
        <w:tc>
          <w:tcPr>
            <w:tcW w:w="960" w:type="dxa"/>
            <w:vAlign w:val="bottom"/>
          </w:tcPr>
          <w:p w14:paraId="08CEDB2D"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w:t>
            </w:r>
          </w:p>
        </w:tc>
        <w:tc>
          <w:tcPr>
            <w:tcW w:w="1777" w:type="dxa"/>
            <w:vAlign w:val="bottom"/>
          </w:tcPr>
          <w:p w14:paraId="02BB13EF"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Other</w:t>
            </w:r>
          </w:p>
        </w:tc>
        <w:tc>
          <w:tcPr>
            <w:tcW w:w="1657" w:type="dxa"/>
            <w:vAlign w:val="bottom"/>
          </w:tcPr>
          <w:p w14:paraId="5DF86F58"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11</w:t>
            </w:r>
          </w:p>
        </w:tc>
        <w:tc>
          <w:tcPr>
            <w:tcW w:w="1116" w:type="dxa"/>
            <w:vAlign w:val="bottom"/>
          </w:tcPr>
          <w:p w14:paraId="1ED473AA"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19.64</w:t>
            </w:r>
          </w:p>
        </w:tc>
      </w:tr>
      <w:tr w:rsidR="00B324C0" w:rsidRPr="00B324C0" w14:paraId="5F50EC25" w14:textId="77777777" w:rsidTr="00EB59BA">
        <w:trPr>
          <w:trHeight w:val="300"/>
          <w:jc w:val="center"/>
        </w:trPr>
        <w:tc>
          <w:tcPr>
            <w:tcW w:w="960" w:type="dxa"/>
            <w:vAlign w:val="bottom"/>
          </w:tcPr>
          <w:p w14:paraId="01DDDF5B" w14:textId="77777777" w:rsidR="00E84E4C" w:rsidRPr="00B324C0" w:rsidRDefault="00E84E4C" w:rsidP="00EB59BA">
            <w:pPr>
              <w:spacing w:after="0" w:line="360" w:lineRule="auto"/>
              <w:jc w:val="center"/>
              <w:rPr>
                <w:rFonts w:ascii="Times New Roman" w:eastAsia="Times New Roman" w:hAnsi="Times New Roman" w:cs="Times New Roman"/>
                <w:sz w:val="24"/>
                <w:szCs w:val="24"/>
              </w:rPr>
            </w:pPr>
          </w:p>
        </w:tc>
        <w:tc>
          <w:tcPr>
            <w:tcW w:w="1777" w:type="dxa"/>
            <w:vAlign w:val="bottom"/>
          </w:tcPr>
          <w:p w14:paraId="37CE4DEC" w14:textId="77777777" w:rsidR="00E84E4C" w:rsidRPr="00B324C0" w:rsidRDefault="00E84E4C" w:rsidP="00EB59BA">
            <w:pPr>
              <w:spacing w:after="0" w:line="360" w:lineRule="auto"/>
              <w:jc w:val="center"/>
              <w:rPr>
                <w:rFonts w:ascii="Times New Roman" w:eastAsia="Times New Roman" w:hAnsi="Times New Roman" w:cs="Times New Roman"/>
                <w:sz w:val="24"/>
                <w:szCs w:val="24"/>
              </w:rPr>
            </w:pPr>
          </w:p>
        </w:tc>
        <w:tc>
          <w:tcPr>
            <w:tcW w:w="1657" w:type="dxa"/>
            <w:vAlign w:val="bottom"/>
          </w:tcPr>
          <w:p w14:paraId="0090227E"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1116" w:type="dxa"/>
            <w:vAlign w:val="bottom"/>
          </w:tcPr>
          <w:p w14:paraId="3487F864"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p>
        </w:tc>
      </w:tr>
    </w:tbl>
    <w:p w14:paraId="3E802849" w14:textId="77777777" w:rsidR="00E84E4C" w:rsidRPr="00B324C0" w:rsidRDefault="00B324C0" w:rsidP="00B324C0">
      <w:pPr>
        <w:pBdr>
          <w:top w:val="nil"/>
          <w:left w:val="nil"/>
          <w:bottom w:val="nil"/>
          <w:right w:val="nil"/>
          <w:between w:val="nil"/>
        </w:pBdr>
        <w:spacing w:line="360" w:lineRule="auto"/>
        <w:jc w:val="both"/>
        <w:rPr>
          <w:rFonts w:ascii="Times New Roman" w:eastAsia="Times New Roman" w:hAnsi="Times New Roman" w:cs="Times New Roman"/>
          <w:iCs/>
          <w:sz w:val="24"/>
          <w:szCs w:val="24"/>
        </w:rPr>
      </w:pPr>
      <w:r w:rsidRPr="00B324C0">
        <w:rPr>
          <w:rFonts w:ascii="Times New Roman" w:eastAsia="Times New Roman" w:hAnsi="Times New Roman" w:cs="Times New Roman"/>
          <w:b/>
          <w:i/>
          <w:iCs/>
          <w:sz w:val="24"/>
          <w:szCs w:val="24"/>
        </w:rPr>
        <w:t xml:space="preserve"> Source: Primary Data</w:t>
      </w:r>
    </w:p>
    <w:p w14:paraId="55965CC6" w14:textId="77777777" w:rsidR="00E84E4C" w:rsidRPr="00B324C0" w:rsidRDefault="00E84E4C" w:rsidP="00B324C0">
      <w:pPr>
        <w:pBdr>
          <w:top w:val="nil"/>
          <w:left w:val="nil"/>
          <w:bottom w:val="nil"/>
          <w:right w:val="nil"/>
          <w:between w:val="nil"/>
        </w:pBdr>
        <w:spacing w:line="360" w:lineRule="auto"/>
        <w:jc w:val="both"/>
        <w:rPr>
          <w:rFonts w:ascii="Times New Roman" w:eastAsia="Times New Roman" w:hAnsi="Times New Roman" w:cs="Times New Roman"/>
          <w:iCs/>
          <w:sz w:val="24"/>
          <w:szCs w:val="24"/>
        </w:rPr>
      </w:pPr>
    </w:p>
    <w:p w14:paraId="0471F31F" w14:textId="1EDFA635" w:rsidR="00E84E4C" w:rsidRPr="00B324C0" w:rsidRDefault="00984DED" w:rsidP="00B324C0">
      <w:pPr>
        <w:spacing w:line="360" w:lineRule="auto"/>
        <w:ind w:firstLine="720"/>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53.57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of the respondents were engaged in agriculture and its allied activities, 26.78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of the respondents were engaged in manufacturing, and 19.64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of the respondents were engaged in other activities in the study area.</w:t>
      </w:r>
    </w:p>
    <w:p w14:paraId="2288A1EA" w14:textId="77777777" w:rsidR="00E84E4C" w:rsidRPr="00B324C0" w:rsidRDefault="00E84E4C" w:rsidP="00B324C0">
      <w:pPr>
        <w:spacing w:line="360" w:lineRule="auto"/>
        <w:ind w:firstLine="720"/>
        <w:jc w:val="both"/>
        <w:rPr>
          <w:rFonts w:ascii="Times New Roman" w:eastAsia="Times New Roman" w:hAnsi="Times New Roman" w:cs="Times New Roman"/>
          <w:sz w:val="24"/>
          <w:szCs w:val="24"/>
        </w:rPr>
      </w:pPr>
    </w:p>
    <w:p w14:paraId="6EB84394" w14:textId="77777777" w:rsidR="00E84E4C" w:rsidRPr="00B324C0" w:rsidRDefault="00E84E4C" w:rsidP="00B324C0">
      <w:pPr>
        <w:spacing w:line="360" w:lineRule="auto"/>
        <w:ind w:firstLine="720"/>
        <w:jc w:val="both"/>
        <w:rPr>
          <w:rFonts w:ascii="Times New Roman" w:eastAsia="Times New Roman" w:hAnsi="Times New Roman" w:cs="Times New Roman"/>
          <w:sz w:val="24"/>
          <w:szCs w:val="24"/>
        </w:rPr>
      </w:pPr>
    </w:p>
    <w:p w14:paraId="2E058019" w14:textId="77777777" w:rsidR="00E84E4C" w:rsidRPr="00B324C0" w:rsidRDefault="00E84E4C" w:rsidP="00B324C0">
      <w:pPr>
        <w:spacing w:line="360" w:lineRule="auto"/>
        <w:ind w:firstLine="720"/>
        <w:jc w:val="both"/>
        <w:rPr>
          <w:rFonts w:ascii="Times New Roman" w:eastAsia="Times New Roman" w:hAnsi="Times New Roman" w:cs="Times New Roman"/>
          <w:b/>
          <w:bCs/>
          <w:sz w:val="24"/>
          <w:szCs w:val="24"/>
        </w:rPr>
      </w:pPr>
    </w:p>
    <w:p w14:paraId="24101853"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 xml:space="preserve">Table No: 3- Income Details of the Respondent </w:t>
      </w:r>
    </w:p>
    <w:tbl>
      <w:tblPr>
        <w:tblStyle w:val="a1"/>
        <w:tblW w:w="68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2680"/>
        <w:gridCol w:w="1540"/>
        <w:gridCol w:w="1680"/>
      </w:tblGrid>
      <w:tr w:rsidR="00B324C0" w:rsidRPr="00B324C0" w14:paraId="2BC6403D" w14:textId="77777777">
        <w:trPr>
          <w:trHeight w:val="300"/>
          <w:jc w:val="center"/>
        </w:trPr>
        <w:tc>
          <w:tcPr>
            <w:tcW w:w="960" w:type="dxa"/>
            <w:vAlign w:val="bottom"/>
          </w:tcPr>
          <w:p w14:paraId="1881E872"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2680" w:type="dxa"/>
            <w:vAlign w:val="bottom"/>
          </w:tcPr>
          <w:p w14:paraId="4ABF0B0C"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Monthly Income</w:t>
            </w:r>
          </w:p>
        </w:tc>
        <w:tc>
          <w:tcPr>
            <w:tcW w:w="1540" w:type="dxa"/>
            <w:vAlign w:val="bottom"/>
          </w:tcPr>
          <w:p w14:paraId="1E179697"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Respondents</w:t>
            </w:r>
          </w:p>
        </w:tc>
        <w:tc>
          <w:tcPr>
            <w:tcW w:w="1680" w:type="dxa"/>
            <w:vAlign w:val="bottom"/>
          </w:tcPr>
          <w:p w14:paraId="09F8E06C"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 xml:space="preserve">Percent </w:t>
            </w:r>
          </w:p>
        </w:tc>
      </w:tr>
      <w:tr w:rsidR="00B324C0" w:rsidRPr="00B324C0" w14:paraId="356ABF96" w14:textId="77777777">
        <w:trPr>
          <w:trHeight w:val="300"/>
          <w:jc w:val="center"/>
        </w:trPr>
        <w:tc>
          <w:tcPr>
            <w:tcW w:w="960" w:type="dxa"/>
            <w:vAlign w:val="bottom"/>
          </w:tcPr>
          <w:p w14:paraId="6F9B360E"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2680" w:type="dxa"/>
            <w:vAlign w:val="bottom"/>
          </w:tcPr>
          <w:p w14:paraId="3075A562"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Below 10,000</w:t>
            </w:r>
          </w:p>
        </w:tc>
        <w:tc>
          <w:tcPr>
            <w:tcW w:w="1540" w:type="dxa"/>
            <w:vAlign w:val="bottom"/>
          </w:tcPr>
          <w:p w14:paraId="2C566277"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20</w:t>
            </w:r>
          </w:p>
        </w:tc>
        <w:tc>
          <w:tcPr>
            <w:tcW w:w="1680" w:type="dxa"/>
            <w:vAlign w:val="bottom"/>
          </w:tcPr>
          <w:p w14:paraId="090C3C1C"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35.71</w:t>
            </w:r>
          </w:p>
        </w:tc>
      </w:tr>
      <w:tr w:rsidR="00B324C0" w:rsidRPr="00B324C0" w14:paraId="2ABEB006" w14:textId="77777777">
        <w:trPr>
          <w:trHeight w:val="300"/>
          <w:jc w:val="center"/>
        </w:trPr>
        <w:tc>
          <w:tcPr>
            <w:tcW w:w="960" w:type="dxa"/>
            <w:vAlign w:val="bottom"/>
          </w:tcPr>
          <w:p w14:paraId="5B44A6EC"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2680" w:type="dxa"/>
            <w:vAlign w:val="bottom"/>
          </w:tcPr>
          <w:p w14:paraId="73C485DF"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10,000- 20,000</w:t>
            </w:r>
          </w:p>
        </w:tc>
        <w:tc>
          <w:tcPr>
            <w:tcW w:w="1540" w:type="dxa"/>
            <w:vAlign w:val="bottom"/>
          </w:tcPr>
          <w:p w14:paraId="5550A98E"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21</w:t>
            </w:r>
          </w:p>
        </w:tc>
        <w:tc>
          <w:tcPr>
            <w:tcW w:w="1680" w:type="dxa"/>
            <w:vAlign w:val="bottom"/>
          </w:tcPr>
          <w:p w14:paraId="12859C02"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37.5</w:t>
            </w:r>
          </w:p>
        </w:tc>
      </w:tr>
      <w:tr w:rsidR="00B324C0" w:rsidRPr="00B324C0" w14:paraId="220EE560" w14:textId="77777777">
        <w:trPr>
          <w:trHeight w:val="300"/>
          <w:jc w:val="center"/>
        </w:trPr>
        <w:tc>
          <w:tcPr>
            <w:tcW w:w="960" w:type="dxa"/>
            <w:vAlign w:val="bottom"/>
          </w:tcPr>
          <w:p w14:paraId="7073B1F7"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w:t>
            </w:r>
          </w:p>
        </w:tc>
        <w:tc>
          <w:tcPr>
            <w:tcW w:w="2680" w:type="dxa"/>
            <w:vAlign w:val="bottom"/>
          </w:tcPr>
          <w:p w14:paraId="217F3E21"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20,000- 30,000</w:t>
            </w:r>
          </w:p>
        </w:tc>
        <w:tc>
          <w:tcPr>
            <w:tcW w:w="1540" w:type="dxa"/>
            <w:vAlign w:val="bottom"/>
          </w:tcPr>
          <w:p w14:paraId="297F32F5"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7</w:t>
            </w:r>
          </w:p>
        </w:tc>
        <w:tc>
          <w:tcPr>
            <w:tcW w:w="1680" w:type="dxa"/>
            <w:vAlign w:val="bottom"/>
          </w:tcPr>
          <w:p w14:paraId="0FD2B8F9"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12.5</w:t>
            </w:r>
          </w:p>
        </w:tc>
      </w:tr>
      <w:tr w:rsidR="00B324C0" w:rsidRPr="00B324C0" w14:paraId="1C68037B" w14:textId="77777777">
        <w:trPr>
          <w:trHeight w:val="300"/>
          <w:jc w:val="center"/>
        </w:trPr>
        <w:tc>
          <w:tcPr>
            <w:tcW w:w="960" w:type="dxa"/>
            <w:vAlign w:val="bottom"/>
          </w:tcPr>
          <w:p w14:paraId="30826134"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w:t>
            </w:r>
          </w:p>
        </w:tc>
        <w:tc>
          <w:tcPr>
            <w:tcW w:w="2680" w:type="dxa"/>
            <w:vAlign w:val="bottom"/>
          </w:tcPr>
          <w:p w14:paraId="14D7CCC1"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30,000 - Above</w:t>
            </w:r>
          </w:p>
        </w:tc>
        <w:tc>
          <w:tcPr>
            <w:tcW w:w="1540" w:type="dxa"/>
            <w:vAlign w:val="bottom"/>
          </w:tcPr>
          <w:p w14:paraId="35D6B8D1"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8</w:t>
            </w:r>
          </w:p>
        </w:tc>
        <w:tc>
          <w:tcPr>
            <w:tcW w:w="1680" w:type="dxa"/>
            <w:vAlign w:val="bottom"/>
          </w:tcPr>
          <w:p w14:paraId="097D0651"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14.28</w:t>
            </w:r>
          </w:p>
        </w:tc>
      </w:tr>
      <w:tr w:rsidR="00B324C0" w:rsidRPr="00B324C0" w14:paraId="29B00B83" w14:textId="77777777">
        <w:trPr>
          <w:trHeight w:val="300"/>
          <w:jc w:val="center"/>
        </w:trPr>
        <w:tc>
          <w:tcPr>
            <w:tcW w:w="960" w:type="dxa"/>
            <w:vAlign w:val="bottom"/>
          </w:tcPr>
          <w:p w14:paraId="5D5A460C" w14:textId="77777777" w:rsidR="00E84E4C" w:rsidRPr="00B324C0" w:rsidRDefault="00E84E4C" w:rsidP="00EB59BA">
            <w:pPr>
              <w:spacing w:after="0" w:line="360" w:lineRule="auto"/>
              <w:jc w:val="center"/>
              <w:rPr>
                <w:rFonts w:ascii="Times New Roman" w:eastAsia="Times New Roman" w:hAnsi="Times New Roman" w:cs="Times New Roman"/>
                <w:sz w:val="24"/>
                <w:szCs w:val="24"/>
              </w:rPr>
            </w:pPr>
          </w:p>
        </w:tc>
        <w:tc>
          <w:tcPr>
            <w:tcW w:w="2680" w:type="dxa"/>
            <w:vAlign w:val="bottom"/>
          </w:tcPr>
          <w:p w14:paraId="6B3E1552" w14:textId="77777777" w:rsidR="00E84E4C" w:rsidRPr="00B324C0" w:rsidRDefault="00E84E4C" w:rsidP="00EB59BA">
            <w:pPr>
              <w:spacing w:after="0" w:line="360" w:lineRule="auto"/>
              <w:jc w:val="center"/>
              <w:rPr>
                <w:rFonts w:ascii="Times New Roman" w:eastAsia="Times New Roman" w:hAnsi="Times New Roman" w:cs="Times New Roman"/>
                <w:sz w:val="24"/>
                <w:szCs w:val="24"/>
              </w:rPr>
            </w:pPr>
          </w:p>
        </w:tc>
        <w:tc>
          <w:tcPr>
            <w:tcW w:w="1540" w:type="dxa"/>
            <w:vAlign w:val="bottom"/>
          </w:tcPr>
          <w:p w14:paraId="47C4D842"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1680" w:type="dxa"/>
            <w:vAlign w:val="bottom"/>
          </w:tcPr>
          <w:p w14:paraId="65A9445A"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p>
        </w:tc>
      </w:tr>
    </w:tbl>
    <w:p w14:paraId="61B659C2" w14:textId="77777777" w:rsidR="00E84E4C" w:rsidRPr="00B324C0" w:rsidRDefault="00B324C0" w:rsidP="00B324C0">
      <w:pPr>
        <w:pBdr>
          <w:top w:val="nil"/>
          <w:left w:val="nil"/>
          <w:bottom w:val="nil"/>
          <w:right w:val="nil"/>
          <w:between w:val="nil"/>
        </w:pBdr>
        <w:spacing w:line="360" w:lineRule="auto"/>
        <w:jc w:val="both"/>
        <w:rPr>
          <w:rFonts w:ascii="Times New Roman" w:eastAsia="Times New Roman" w:hAnsi="Times New Roman" w:cs="Times New Roman"/>
          <w:iCs/>
          <w:sz w:val="24"/>
          <w:szCs w:val="24"/>
        </w:rPr>
      </w:pPr>
      <w:r w:rsidRPr="00B324C0">
        <w:rPr>
          <w:rFonts w:ascii="Times New Roman" w:eastAsia="Times New Roman" w:hAnsi="Times New Roman" w:cs="Times New Roman"/>
          <w:b/>
          <w:i/>
          <w:iCs/>
          <w:sz w:val="24"/>
          <w:szCs w:val="24"/>
        </w:rPr>
        <w:t xml:space="preserve"> Source: Primary Data</w:t>
      </w:r>
    </w:p>
    <w:p w14:paraId="2B9E5805" w14:textId="5A790785"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It is noted that 35.71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of the respondents' monthly income is below ₹10,000, followed by 37.5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earning between ₹10,000 and ₹20,000, 12.5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earning between ₹20,000 and ₹30,000, and the remaining 14.28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earning ₹30,000 and above in the study area.</w:t>
      </w:r>
    </w:p>
    <w:p w14:paraId="74A38AE9"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Table No:4- Family Details</w:t>
      </w:r>
    </w:p>
    <w:tbl>
      <w:tblPr>
        <w:tblStyle w:val="a2"/>
        <w:tblW w:w="74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3276"/>
        <w:gridCol w:w="1540"/>
        <w:gridCol w:w="1680"/>
      </w:tblGrid>
      <w:tr w:rsidR="00B324C0" w:rsidRPr="00B324C0" w14:paraId="2BFDA7F5" w14:textId="77777777" w:rsidTr="00EB59BA">
        <w:trPr>
          <w:trHeight w:val="300"/>
          <w:jc w:val="center"/>
        </w:trPr>
        <w:tc>
          <w:tcPr>
            <w:tcW w:w="960" w:type="dxa"/>
            <w:vAlign w:val="bottom"/>
          </w:tcPr>
          <w:p w14:paraId="4114F758"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3276" w:type="dxa"/>
            <w:vAlign w:val="bottom"/>
          </w:tcPr>
          <w:p w14:paraId="5C61B79E"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Number of Family Members</w:t>
            </w:r>
          </w:p>
        </w:tc>
        <w:tc>
          <w:tcPr>
            <w:tcW w:w="1540" w:type="dxa"/>
            <w:vAlign w:val="bottom"/>
          </w:tcPr>
          <w:p w14:paraId="2BCE21A2"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Respondents</w:t>
            </w:r>
          </w:p>
        </w:tc>
        <w:tc>
          <w:tcPr>
            <w:tcW w:w="1680" w:type="dxa"/>
            <w:vAlign w:val="bottom"/>
          </w:tcPr>
          <w:p w14:paraId="1DED19A6" w14:textId="77777777"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Percent</w:t>
            </w:r>
          </w:p>
        </w:tc>
      </w:tr>
      <w:tr w:rsidR="00B324C0" w:rsidRPr="00B324C0" w14:paraId="42AF3631" w14:textId="77777777" w:rsidTr="00EB59BA">
        <w:trPr>
          <w:trHeight w:val="300"/>
          <w:jc w:val="center"/>
        </w:trPr>
        <w:tc>
          <w:tcPr>
            <w:tcW w:w="960" w:type="dxa"/>
            <w:vAlign w:val="bottom"/>
          </w:tcPr>
          <w:p w14:paraId="3D2133C0"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3276" w:type="dxa"/>
            <w:vAlign w:val="bottom"/>
          </w:tcPr>
          <w:p w14:paraId="3DCB2D1C"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w:t>
            </w:r>
          </w:p>
        </w:tc>
        <w:tc>
          <w:tcPr>
            <w:tcW w:w="1540" w:type="dxa"/>
            <w:vAlign w:val="bottom"/>
          </w:tcPr>
          <w:p w14:paraId="368E5547"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w:t>
            </w:r>
          </w:p>
        </w:tc>
        <w:tc>
          <w:tcPr>
            <w:tcW w:w="1680" w:type="dxa"/>
            <w:vAlign w:val="bottom"/>
          </w:tcPr>
          <w:p w14:paraId="0D6A50EC"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17.85714286</w:t>
            </w:r>
          </w:p>
        </w:tc>
      </w:tr>
      <w:tr w:rsidR="00B324C0" w:rsidRPr="00B324C0" w14:paraId="2E6E89E0" w14:textId="77777777" w:rsidTr="00EB59BA">
        <w:trPr>
          <w:trHeight w:val="300"/>
          <w:jc w:val="center"/>
        </w:trPr>
        <w:tc>
          <w:tcPr>
            <w:tcW w:w="960" w:type="dxa"/>
            <w:vAlign w:val="bottom"/>
          </w:tcPr>
          <w:p w14:paraId="56BEC214"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3276" w:type="dxa"/>
            <w:vAlign w:val="bottom"/>
          </w:tcPr>
          <w:p w14:paraId="6F284FA8"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w:t>
            </w:r>
          </w:p>
        </w:tc>
        <w:tc>
          <w:tcPr>
            <w:tcW w:w="1540" w:type="dxa"/>
            <w:vAlign w:val="bottom"/>
          </w:tcPr>
          <w:p w14:paraId="7884CA6D"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20</w:t>
            </w:r>
          </w:p>
        </w:tc>
        <w:tc>
          <w:tcPr>
            <w:tcW w:w="1680" w:type="dxa"/>
            <w:vAlign w:val="bottom"/>
          </w:tcPr>
          <w:p w14:paraId="1956B51B"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35.71428571</w:t>
            </w:r>
          </w:p>
        </w:tc>
      </w:tr>
      <w:tr w:rsidR="00B324C0" w:rsidRPr="00B324C0" w14:paraId="6D9DC89C" w14:textId="77777777" w:rsidTr="00EB59BA">
        <w:trPr>
          <w:trHeight w:val="300"/>
          <w:jc w:val="center"/>
        </w:trPr>
        <w:tc>
          <w:tcPr>
            <w:tcW w:w="960" w:type="dxa"/>
            <w:vAlign w:val="bottom"/>
          </w:tcPr>
          <w:p w14:paraId="61AC31A3"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w:t>
            </w:r>
          </w:p>
        </w:tc>
        <w:tc>
          <w:tcPr>
            <w:tcW w:w="3276" w:type="dxa"/>
            <w:vAlign w:val="bottom"/>
          </w:tcPr>
          <w:p w14:paraId="25F91D32"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w:t>
            </w:r>
          </w:p>
        </w:tc>
        <w:tc>
          <w:tcPr>
            <w:tcW w:w="1540" w:type="dxa"/>
            <w:vAlign w:val="bottom"/>
          </w:tcPr>
          <w:p w14:paraId="60E1DEFA"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16</w:t>
            </w:r>
          </w:p>
        </w:tc>
        <w:tc>
          <w:tcPr>
            <w:tcW w:w="1680" w:type="dxa"/>
            <w:vAlign w:val="bottom"/>
          </w:tcPr>
          <w:p w14:paraId="54341887"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28.57142857</w:t>
            </w:r>
          </w:p>
        </w:tc>
      </w:tr>
      <w:tr w:rsidR="00B324C0" w:rsidRPr="00B324C0" w14:paraId="430C04D8" w14:textId="77777777" w:rsidTr="00EB59BA">
        <w:trPr>
          <w:trHeight w:val="300"/>
          <w:jc w:val="center"/>
        </w:trPr>
        <w:tc>
          <w:tcPr>
            <w:tcW w:w="960" w:type="dxa"/>
            <w:vAlign w:val="bottom"/>
          </w:tcPr>
          <w:p w14:paraId="5925F325"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w:t>
            </w:r>
          </w:p>
        </w:tc>
        <w:tc>
          <w:tcPr>
            <w:tcW w:w="3276" w:type="dxa"/>
            <w:vAlign w:val="bottom"/>
          </w:tcPr>
          <w:p w14:paraId="1FEDB0A1"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6</w:t>
            </w:r>
          </w:p>
        </w:tc>
        <w:tc>
          <w:tcPr>
            <w:tcW w:w="1540" w:type="dxa"/>
            <w:vAlign w:val="bottom"/>
          </w:tcPr>
          <w:p w14:paraId="7C9DD053"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w:t>
            </w:r>
          </w:p>
        </w:tc>
        <w:tc>
          <w:tcPr>
            <w:tcW w:w="1680" w:type="dxa"/>
            <w:vAlign w:val="bottom"/>
          </w:tcPr>
          <w:p w14:paraId="4D4DF710"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17.85714286</w:t>
            </w:r>
          </w:p>
        </w:tc>
      </w:tr>
      <w:tr w:rsidR="00B324C0" w:rsidRPr="00B324C0" w14:paraId="765B30E2" w14:textId="77777777" w:rsidTr="00EB59BA">
        <w:trPr>
          <w:trHeight w:val="300"/>
          <w:jc w:val="center"/>
        </w:trPr>
        <w:tc>
          <w:tcPr>
            <w:tcW w:w="960" w:type="dxa"/>
            <w:vAlign w:val="bottom"/>
          </w:tcPr>
          <w:p w14:paraId="3F2298C0" w14:textId="77777777" w:rsidR="00E84E4C" w:rsidRPr="00B324C0" w:rsidRDefault="00E84E4C" w:rsidP="00EB59BA">
            <w:pPr>
              <w:spacing w:after="0" w:line="360" w:lineRule="auto"/>
              <w:jc w:val="center"/>
              <w:rPr>
                <w:rFonts w:ascii="Times New Roman" w:eastAsia="Times New Roman" w:hAnsi="Times New Roman" w:cs="Times New Roman"/>
                <w:sz w:val="24"/>
                <w:szCs w:val="24"/>
              </w:rPr>
            </w:pPr>
          </w:p>
        </w:tc>
        <w:tc>
          <w:tcPr>
            <w:tcW w:w="3276" w:type="dxa"/>
            <w:vAlign w:val="bottom"/>
          </w:tcPr>
          <w:p w14:paraId="2D4AE620" w14:textId="77777777" w:rsidR="00E84E4C" w:rsidRPr="00B324C0" w:rsidRDefault="00E84E4C" w:rsidP="00EB59BA">
            <w:pPr>
              <w:spacing w:after="0" w:line="360" w:lineRule="auto"/>
              <w:jc w:val="center"/>
              <w:rPr>
                <w:rFonts w:ascii="Times New Roman" w:eastAsia="Times New Roman" w:hAnsi="Times New Roman" w:cs="Times New Roman"/>
                <w:sz w:val="24"/>
                <w:szCs w:val="24"/>
              </w:rPr>
            </w:pPr>
          </w:p>
        </w:tc>
        <w:tc>
          <w:tcPr>
            <w:tcW w:w="1540" w:type="dxa"/>
            <w:vAlign w:val="bottom"/>
          </w:tcPr>
          <w:p w14:paraId="2D6B3471"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1680" w:type="dxa"/>
            <w:vAlign w:val="bottom"/>
          </w:tcPr>
          <w:p w14:paraId="04C78C3A" w14:textId="77777777" w:rsidR="00E84E4C" w:rsidRPr="00B324C0" w:rsidRDefault="00984DED" w:rsidP="00EB59BA">
            <w:pPr>
              <w:spacing w:after="0"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p>
        </w:tc>
      </w:tr>
    </w:tbl>
    <w:p w14:paraId="236F4790" w14:textId="77777777" w:rsidR="00E84E4C" w:rsidRPr="00B324C0" w:rsidRDefault="00B324C0" w:rsidP="00B324C0">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i/>
          <w:iCs/>
          <w:sz w:val="24"/>
          <w:szCs w:val="24"/>
        </w:rPr>
        <w:t xml:space="preserve"> Source: Primary Data</w:t>
      </w:r>
    </w:p>
    <w:p w14:paraId="7F1923B8" w14:textId="03C41F42"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sz w:val="24"/>
          <w:szCs w:val="24"/>
        </w:rPr>
        <w:tab/>
        <w:t>The above table shows that 17.85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of respondents' family members are 3. The remaining 35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of the family members were 4, 28.57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of the respondents had 5 family members, and 17.85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had 6 family members in the study area.</w:t>
      </w:r>
    </w:p>
    <w:p w14:paraId="027C43D5" w14:textId="77777777" w:rsidR="00E84E4C" w:rsidRDefault="00E84E4C" w:rsidP="00B324C0">
      <w:pPr>
        <w:spacing w:after="0" w:line="360" w:lineRule="auto"/>
        <w:jc w:val="both"/>
        <w:rPr>
          <w:rFonts w:ascii="Times New Roman" w:eastAsia="Times New Roman" w:hAnsi="Times New Roman" w:cs="Times New Roman"/>
          <w:b/>
          <w:bCs/>
          <w:sz w:val="24"/>
          <w:szCs w:val="24"/>
        </w:rPr>
      </w:pPr>
    </w:p>
    <w:p w14:paraId="7442EAC3" w14:textId="77777777" w:rsidR="00EB59BA" w:rsidRDefault="00EB59BA" w:rsidP="00B324C0">
      <w:pPr>
        <w:spacing w:after="0" w:line="360" w:lineRule="auto"/>
        <w:jc w:val="both"/>
        <w:rPr>
          <w:rFonts w:ascii="Times New Roman" w:eastAsia="Times New Roman" w:hAnsi="Times New Roman" w:cs="Times New Roman"/>
          <w:b/>
          <w:bCs/>
          <w:sz w:val="24"/>
          <w:szCs w:val="24"/>
        </w:rPr>
      </w:pPr>
    </w:p>
    <w:p w14:paraId="4635375F" w14:textId="77777777" w:rsidR="00EB59BA" w:rsidRPr="00B324C0" w:rsidRDefault="00EB59BA" w:rsidP="00B324C0">
      <w:pPr>
        <w:spacing w:after="0" w:line="360" w:lineRule="auto"/>
        <w:jc w:val="both"/>
        <w:rPr>
          <w:rFonts w:ascii="Times New Roman" w:eastAsia="Times New Roman" w:hAnsi="Times New Roman" w:cs="Times New Roman"/>
          <w:b/>
          <w:bCs/>
          <w:sz w:val="24"/>
          <w:szCs w:val="24"/>
        </w:rPr>
      </w:pPr>
    </w:p>
    <w:p w14:paraId="029A2416" w14:textId="15EFD164" w:rsidR="00E84E4C" w:rsidRPr="00B324C0" w:rsidRDefault="00984DED" w:rsidP="00B324C0">
      <w:pPr>
        <w:spacing w:after="0"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 xml:space="preserve">Table No 5- Gold Purchasing </w:t>
      </w:r>
      <w:proofErr w:type="spellStart"/>
      <w:r w:rsidRPr="00B324C0">
        <w:rPr>
          <w:rFonts w:ascii="Times New Roman" w:eastAsia="Times New Roman" w:hAnsi="Times New Roman" w:cs="Times New Roman"/>
          <w:b/>
          <w:bCs/>
          <w:sz w:val="24"/>
          <w:szCs w:val="24"/>
        </w:rPr>
        <w:t>Behaviour</w:t>
      </w:r>
      <w:proofErr w:type="spellEnd"/>
      <w:r w:rsidRPr="00B324C0">
        <w:rPr>
          <w:rFonts w:ascii="Times New Roman" w:eastAsia="Times New Roman" w:hAnsi="Times New Roman" w:cs="Times New Roman"/>
          <w:b/>
          <w:bCs/>
          <w:sz w:val="24"/>
          <w:szCs w:val="24"/>
        </w:rPr>
        <w:t xml:space="preserve"> of the respondents in the Study Area.</w:t>
      </w:r>
    </w:p>
    <w:tbl>
      <w:tblPr>
        <w:tblStyle w:val="a3"/>
        <w:tblW w:w="95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2469"/>
        <w:gridCol w:w="2232"/>
        <w:gridCol w:w="2198"/>
        <w:gridCol w:w="1882"/>
      </w:tblGrid>
      <w:tr w:rsidR="00B324C0" w:rsidRPr="00B324C0" w14:paraId="7D81AEE6" w14:textId="77777777" w:rsidTr="00EB59BA">
        <w:tc>
          <w:tcPr>
            <w:tcW w:w="805" w:type="dxa"/>
            <w:tcBorders>
              <w:top w:val="single" w:sz="4" w:space="0" w:color="000000"/>
              <w:left w:val="single" w:sz="4" w:space="0" w:color="000000"/>
              <w:bottom w:val="single" w:sz="4" w:space="0" w:color="000000"/>
              <w:right w:val="single" w:sz="4" w:space="0" w:color="000000"/>
            </w:tcBorders>
          </w:tcPr>
          <w:p w14:paraId="6E671B08" w14:textId="77777777" w:rsidR="00E84E4C" w:rsidRPr="00B324C0" w:rsidRDefault="00984DED" w:rsidP="00EB59BA">
            <w:pPr>
              <w:spacing w:line="360" w:lineRule="auto"/>
              <w:jc w:val="center"/>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lastRenderedPageBreak/>
              <w:t>S. No</w:t>
            </w:r>
          </w:p>
        </w:tc>
        <w:tc>
          <w:tcPr>
            <w:tcW w:w="2469" w:type="dxa"/>
            <w:tcBorders>
              <w:top w:val="single" w:sz="4" w:space="0" w:color="000000"/>
              <w:left w:val="single" w:sz="4" w:space="0" w:color="000000"/>
              <w:bottom w:val="single" w:sz="4" w:space="0" w:color="000000"/>
              <w:right w:val="single" w:sz="4" w:space="0" w:color="000000"/>
            </w:tcBorders>
            <w:vAlign w:val="center"/>
          </w:tcPr>
          <w:p w14:paraId="04850736" w14:textId="77777777" w:rsidR="00E84E4C" w:rsidRPr="00B324C0" w:rsidRDefault="00984DED" w:rsidP="00EB59BA">
            <w:pPr>
              <w:spacing w:line="360" w:lineRule="auto"/>
              <w:jc w:val="center"/>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Question</w:t>
            </w:r>
          </w:p>
        </w:tc>
        <w:tc>
          <w:tcPr>
            <w:tcW w:w="2232" w:type="dxa"/>
            <w:tcBorders>
              <w:top w:val="single" w:sz="4" w:space="0" w:color="000000"/>
              <w:left w:val="single" w:sz="4" w:space="0" w:color="000000"/>
              <w:bottom w:val="single" w:sz="4" w:space="0" w:color="000000"/>
              <w:right w:val="single" w:sz="4" w:space="0" w:color="000000"/>
            </w:tcBorders>
            <w:vAlign w:val="center"/>
          </w:tcPr>
          <w:p w14:paraId="7E724C0D" w14:textId="77777777" w:rsidR="00E84E4C" w:rsidRPr="00B324C0" w:rsidRDefault="00984DED" w:rsidP="00EB59BA">
            <w:pPr>
              <w:spacing w:line="360" w:lineRule="auto"/>
              <w:jc w:val="center"/>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Response Options</w:t>
            </w:r>
          </w:p>
        </w:tc>
        <w:tc>
          <w:tcPr>
            <w:tcW w:w="2198" w:type="dxa"/>
            <w:tcBorders>
              <w:top w:val="single" w:sz="4" w:space="0" w:color="000000"/>
              <w:left w:val="single" w:sz="4" w:space="0" w:color="000000"/>
              <w:bottom w:val="single" w:sz="4" w:space="0" w:color="000000"/>
              <w:right w:val="single" w:sz="4" w:space="0" w:color="000000"/>
            </w:tcBorders>
            <w:vAlign w:val="center"/>
          </w:tcPr>
          <w:p w14:paraId="01DC79B9" w14:textId="77777777" w:rsidR="00E84E4C" w:rsidRPr="00B324C0" w:rsidRDefault="00984DED" w:rsidP="00EB59BA">
            <w:pPr>
              <w:spacing w:line="360" w:lineRule="auto"/>
              <w:jc w:val="center"/>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Number of Respondents</w:t>
            </w:r>
          </w:p>
        </w:tc>
        <w:tc>
          <w:tcPr>
            <w:tcW w:w="1882" w:type="dxa"/>
            <w:tcBorders>
              <w:top w:val="single" w:sz="4" w:space="0" w:color="000000"/>
              <w:left w:val="single" w:sz="4" w:space="0" w:color="000000"/>
              <w:bottom w:val="single" w:sz="4" w:space="0" w:color="000000"/>
              <w:right w:val="single" w:sz="4" w:space="0" w:color="000000"/>
            </w:tcBorders>
            <w:vAlign w:val="center"/>
          </w:tcPr>
          <w:p w14:paraId="0236705F" w14:textId="77777777" w:rsidR="00E84E4C" w:rsidRPr="00B324C0" w:rsidRDefault="00EB59BA" w:rsidP="00EB59BA">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B324C0" w:rsidRPr="00B324C0" w14:paraId="2477456C" w14:textId="77777777" w:rsidTr="00EB59BA">
        <w:tc>
          <w:tcPr>
            <w:tcW w:w="805" w:type="dxa"/>
            <w:vMerge w:val="restart"/>
            <w:tcBorders>
              <w:top w:val="single" w:sz="4" w:space="0" w:color="000000"/>
              <w:left w:val="single" w:sz="4" w:space="0" w:color="000000"/>
              <w:right w:val="single" w:sz="4" w:space="0" w:color="000000"/>
            </w:tcBorders>
          </w:tcPr>
          <w:p w14:paraId="731F9BD7"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1</w:t>
            </w:r>
          </w:p>
        </w:tc>
        <w:tc>
          <w:tcPr>
            <w:tcW w:w="2469" w:type="dxa"/>
            <w:tcBorders>
              <w:top w:val="single" w:sz="4" w:space="0" w:color="000000"/>
              <w:left w:val="single" w:sz="4" w:space="0" w:color="000000"/>
              <w:bottom w:val="single" w:sz="4" w:space="0" w:color="000000"/>
              <w:right w:val="single" w:sz="4" w:space="0" w:color="000000"/>
            </w:tcBorders>
            <w:vAlign w:val="center"/>
          </w:tcPr>
          <w:p w14:paraId="1EAA8E34"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Do you currently own any gold?</w:t>
            </w:r>
          </w:p>
        </w:tc>
        <w:tc>
          <w:tcPr>
            <w:tcW w:w="2232" w:type="dxa"/>
            <w:tcBorders>
              <w:top w:val="single" w:sz="4" w:space="0" w:color="000000"/>
              <w:left w:val="single" w:sz="4" w:space="0" w:color="000000"/>
              <w:bottom w:val="single" w:sz="4" w:space="0" w:color="000000"/>
              <w:right w:val="single" w:sz="4" w:space="0" w:color="000000"/>
            </w:tcBorders>
            <w:vAlign w:val="center"/>
          </w:tcPr>
          <w:p w14:paraId="101E278D"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Yes</w:t>
            </w:r>
          </w:p>
        </w:tc>
        <w:tc>
          <w:tcPr>
            <w:tcW w:w="2198" w:type="dxa"/>
            <w:tcBorders>
              <w:top w:val="single" w:sz="4" w:space="0" w:color="000000"/>
              <w:left w:val="single" w:sz="4" w:space="0" w:color="000000"/>
              <w:bottom w:val="single" w:sz="4" w:space="0" w:color="000000"/>
              <w:right w:val="single" w:sz="4" w:space="0" w:color="000000"/>
            </w:tcBorders>
            <w:vAlign w:val="center"/>
          </w:tcPr>
          <w:p w14:paraId="6FE00AB6"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42</w:t>
            </w:r>
          </w:p>
        </w:tc>
        <w:tc>
          <w:tcPr>
            <w:tcW w:w="1882" w:type="dxa"/>
            <w:tcBorders>
              <w:top w:val="single" w:sz="4" w:space="0" w:color="000000"/>
              <w:left w:val="single" w:sz="4" w:space="0" w:color="000000"/>
              <w:bottom w:val="single" w:sz="4" w:space="0" w:color="000000"/>
              <w:right w:val="single" w:sz="4" w:space="0" w:color="000000"/>
            </w:tcBorders>
            <w:vAlign w:val="center"/>
          </w:tcPr>
          <w:p w14:paraId="0107D4B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75</w:t>
            </w:r>
            <w:r w:rsidR="00B324C0" w:rsidRPr="00B324C0">
              <w:rPr>
                <w:rFonts w:ascii="Times New Roman" w:eastAsia="Times New Roman" w:hAnsi="Times New Roman" w:cs="Times New Roman"/>
                <w:sz w:val="24"/>
                <w:szCs w:val="24"/>
              </w:rPr>
              <w:t xml:space="preserve"> </w:t>
            </w:r>
          </w:p>
        </w:tc>
      </w:tr>
      <w:tr w:rsidR="00B324C0" w:rsidRPr="00B324C0" w14:paraId="169F3EA2" w14:textId="77777777" w:rsidTr="00EB59BA">
        <w:tc>
          <w:tcPr>
            <w:tcW w:w="805" w:type="dxa"/>
            <w:vMerge/>
            <w:tcBorders>
              <w:top w:val="single" w:sz="4" w:space="0" w:color="000000"/>
              <w:left w:val="single" w:sz="4" w:space="0" w:color="000000"/>
              <w:right w:val="single" w:sz="4" w:space="0" w:color="000000"/>
            </w:tcBorders>
          </w:tcPr>
          <w:p w14:paraId="0EAEFFC7"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6A973577"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45EB195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No</w:t>
            </w:r>
          </w:p>
        </w:tc>
        <w:tc>
          <w:tcPr>
            <w:tcW w:w="2198" w:type="dxa"/>
            <w:tcBorders>
              <w:top w:val="single" w:sz="4" w:space="0" w:color="000000"/>
              <w:left w:val="single" w:sz="4" w:space="0" w:color="000000"/>
              <w:bottom w:val="single" w:sz="4" w:space="0" w:color="000000"/>
              <w:right w:val="single" w:sz="4" w:space="0" w:color="000000"/>
            </w:tcBorders>
            <w:vAlign w:val="center"/>
          </w:tcPr>
          <w:p w14:paraId="67371CF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w:t>
            </w:r>
          </w:p>
        </w:tc>
        <w:tc>
          <w:tcPr>
            <w:tcW w:w="1882" w:type="dxa"/>
            <w:tcBorders>
              <w:top w:val="single" w:sz="4" w:space="0" w:color="000000"/>
              <w:left w:val="single" w:sz="4" w:space="0" w:color="000000"/>
              <w:bottom w:val="single" w:sz="4" w:space="0" w:color="000000"/>
              <w:right w:val="single" w:sz="4" w:space="0" w:color="000000"/>
            </w:tcBorders>
            <w:vAlign w:val="center"/>
          </w:tcPr>
          <w:p w14:paraId="485F99E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25</w:t>
            </w:r>
            <w:r w:rsidR="00B324C0" w:rsidRPr="00B324C0">
              <w:rPr>
                <w:rFonts w:ascii="Times New Roman" w:eastAsia="Times New Roman" w:hAnsi="Times New Roman" w:cs="Times New Roman"/>
                <w:sz w:val="24"/>
                <w:szCs w:val="24"/>
              </w:rPr>
              <w:t xml:space="preserve"> </w:t>
            </w:r>
          </w:p>
        </w:tc>
      </w:tr>
      <w:tr w:rsidR="00B324C0" w:rsidRPr="00B324C0" w14:paraId="073D5E81" w14:textId="77777777" w:rsidTr="00EB59BA">
        <w:tc>
          <w:tcPr>
            <w:tcW w:w="805" w:type="dxa"/>
            <w:vMerge/>
            <w:tcBorders>
              <w:top w:val="single" w:sz="4" w:space="0" w:color="000000"/>
              <w:left w:val="single" w:sz="4" w:space="0" w:color="000000"/>
              <w:right w:val="single" w:sz="4" w:space="0" w:color="000000"/>
            </w:tcBorders>
          </w:tcPr>
          <w:p w14:paraId="763283EC"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0AFBE1FC" w14:textId="77777777" w:rsidR="00E84E4C" w:rsidRPr="00EB59BA" w:rsidRDefault="00984DED" w:rsidP="00B324C0">
            <w:pPr>
              <w:spacing w:line="360" w:lineRule="auto"/>
              <w:jc w:val="both"/>
              <w:rPr>
                <w:rFonts w:ascii="Times New Roman" w:eastAsia="Times New Roman" w:hAnsi="Times New Roman" w:cs="Times New Roman"/>
                <w:i/>
                <w:sz w:val="24"/>
                <w:szCs w:val="24"/>
              </w:rPr>
            </w:pPr>
            <w:r w:rsidRPr="00EB59BA">
              <w:rPr>
                <w:rFonts w:ascii="Times New Roman" w:eastAsia="Cardo" w:hAnsi="Times New Roman" w:cs="Times New Roman"/>
                <w:i/>
                <w:sz w:val="24"/>
                <w:szCs w:val="24"/>
              </w:rPr>
              <w:t>If yes, how much (in grams)?</w:t>
            </w:r>
          </w:p>
        </w:tc>
        <w:tc>
          <w:tcPr>
            <w:tcW w:w="2232" w:type="dxa"/>
            <w:tcBorders>
              <w:top w:val="single" w:sz="4" w:space="0" w:color="000000"/>
              <w:left w:val="single" w:sz="4" w:space="0" w:color="000000"/>
              <w:bottom w:val="single" w:sz="4" w:space="0" w:color="000000"/>
              <w:right w:val="single" w:sz="4" w:space="0" w:color="000000"/>
            </w:tcBorders>
            <w:vAlign w:val="center"/>
          </w:tcPr>
          <w:p w14:paraId="7C192DB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Average: 35g</w:t>
            </w:r>
            <w:r w:rsidRPr="00B324C0">
              <w:rPr>
                <w:rFonts w:ascii="Times New Roman" w:eastAsia="Times New Roman" w:hAnsi="Times New Roman" w:cs="Times New Roman"/>
                <w:sz w:val="24"/>
                <w:szCs w:val="24"/>
              </w:rPr>
              <w:br/>
              <w:t>Range: 5g–150g</w:t>
            </w:r>
          </w:p>
        </w:tc>
        <w:tc>
          <w:tcPr>
            <w:tcW w:w="2198" w:type="dxa"/>
            <w:tcBorders>
              <w:top w:val="single" w:sz="4" w:space="0" w:color="000000"/>
              <w:left w:val="single" w:sz="4" w:space="0" w:color="000000"/>
              <w:bottom w:val="single" w:sz="4" w:space="0" w:color="000000"/>
              <w:right w:val="single" w:sz="4" w:space="0" w:color="000000"/>
            </w:tcBorders>
            <w:vAlign w:val="center"/>
          </w:tcPr>
          <w:p w14:paraId="6CFC26B6"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1882" w:type="dxa"/>
            <w:tcBorders>
              <w:top w:val="single" w:sz="4" w:space="0" w:color="000000"/>
              <w:left w:val="single" w:sz="4" w:space="0" w:color="000000"/>
              <w:bottom w:val="single" w:sz="4" w:space="0" w:color="000000"/>
              <w:right w:val="single" w:sz="4" w:space="0" w:color="000000"/>
            </w:tcBorders>
            <w:vAlign w:val="center"/>
          </w:tcPr>
          <w:p w14:paraId="206614EC"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r>
      <w:tr w:rsidR="00B324C0" w:rsidRPr="00B324C0" w14:paraId="21274DAD" w14:textId="77777777" w:rsidTr="00EB59BA">
        <w:tc>
          <w:tcPr>
            <w:tcW w:w="805" w:type="dxa"/>
            <w:vMerge w:val="restart"/>
            <w:tcBorders>
              <w:top w:val="single" w:sz="4" w:space="0" w:color="000000"/>
              <w:left w:val="single" w:sz="4" w:space="0" w:color="000000"/>
              <w:right w:val="single" w:sz="4" w:space="0" w:color="000000"/>
            </w:tcBorders>
          </w:tcPr>
          <w:p w14:paraId="585F3A40"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2</w:t>
            </w:r>
          </w:p>
        </w:tc>
        <w:tc>
          <w:tcPr>
            <w:tcW w:w="2469" w:type="dxa"/>
            <w:tcBorders>
              <w:top w:val="single" w:sz="4" w:space="0" w:color="000000"/>
              <w:left w:val="single" w:sz="4" w:space="0" w:color="000000"/>
              <w:bottom w:val="single" w:sz="4" w:space="0" w:color="000000"/>
              <w:right w:val="single" w:sz="4" w:space="0" w:color="000000"/>
            </w:tcBorders>
            <w:vAlign w:val="center"/>
          </w:tcPr>
          <w:p w14:paraId="584A9CB7"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When was the last time you purchased gold?</w:t>
            </w:r>
          </w:p>
        </w:tc>
        <w:tc>
          <w:tcPr>
            <w:tcW w:w="2232" w:type="dxa"/>
            <w:tcBorders>
              <w:top w:val="single" w:sz="4" w:space="0" w:color="000000"/>
              <w:left w:val="single" w:sz="4" w:space="0" w:color="000000"/>
              <w:bottom w:val="single" w:sz="4" w:space="0" w:color="000000"/>
              <w:right w:val="single" w:sz="4" w:space="0" w:color="000000"/>
            </w:tcBorders>
            <w:vAlign w:val="center"/>
          </w:tcPr>
          <w:p w14:paraId="416AEECC"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Within last 6 months</w:t>
            </w:r>
          </w:p>
        </w:tc>
        <w:tc>
          <w:tcPr>
            <w:tcW w:w="2198" w:type="dxa"/>
            <w:tcBorders>
              <w:top w:val="single" w:sz="4" w:space="0" w:color="000000"/>
              <w:left w:val="single" w:sz="4" w:space="0" w:color="000000"/>
              <w:bottom w:val="single" w:sz="4" w:space="0" w:color="000000"/>
              <w:right w:val="single" w:sz="4" w:space="0" w:color="000000"/>
            </w:tcBorders>
            <w:vAlign w:val="center"/>
          </w:tcPr>
          <w:p w14:paraId="3E57EB8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18</w:t>
            </w:r>
          </w:p>
        </w:tc>
        <w:tc>
          <w:tcPr>
            <w:tcW w:w="1882" w:type="dxa"/>
            <w:tcBorders>
              <w:top w:val="single" w:sz="4" w:space="0" w:color="000000"/>
              <w:left w:val="single" w:sz="4" w:space="0" w:color="000000"/>
              <w:bottom w:val="single" w:sz="4" w:space="0" w:color="000000"/>
              <w:right w:val="single" w:sz="4" w:space="0" w:color="000000"/>
            </w:tcBorders>
            <w:vAlign w:val="center"/>
          </w:tcPr>
          <w:p w14:paraId="4DF3E865"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32</w:t>
            </w:r>
            <w:r w:rsidR="00B324C0" w:rsidRPr="00B324C0">
              <w:rPr>
                <w:rFonts w:ascii="Times New Roman" w:eastAsia="Times New Roman" w:hAnsi="Times New Roman" w:cs="Times New Roman"/>
                <w:sz w:val="24"/>
                <w:szCs w:val="24"/>
              </w:rPr>
              <w:t xml:space="preserve"> </w:t>
            </w:r>
          </w:p>
        </w:tc>
      </w:tr>
      <w:tr w:rsidR="00B324C0" w:rsidRPr="00B324C0" w14:paraId="762F1C92" w14:textId="77777777" w:rsidTr="00EB59BA">
        <w:tc>
          <w:tcPr>
            <w:tcW w:w="805" w:type="dxa"/>
            <w:vMerge/>
            <w:tcBorders>
              <w:top w:val="single" w:sz="4" w:space="0" w:color="000000"/>
              <w:left w:val="single" w:sz="4" w:space="0" w:color="000000"/>
              <w:right w:val="single" w:sz="4" w:space="0" w:color="000000"/>
            </w:tcBorders>
          </w:tcPr>
          <w:p w14:paraId="7BDB974C"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32483A51"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17F20B1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6–12 months ago</w:t>
            </w:r>
          </w:p>
        </w:tc>
        <w:tc>
          <w:tcPr>
            <w:tcW w:w="2198" w:type="dxa"/>
            <w:tcBorders>
              <w:top w:val="single" w:sz="4" w:space="0" w:color="000000"/>
              <w:left w:val="single" w:sz="4" w:space="0" w:color="000000"/>
              <w:bottom w:val="single" w:sz="4" w:space="0" w:color="000000"/>
              <w:right w:val="single" w:sz="4" w:space="0" w:color="000000"/>
            </w:tcBorders>
            <w:vAlign w:val="center"/>
          </w:tcPr>
          <w:p w14:paraId="3B9F7C9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15</w:t>
            </w:r>
          </w:p>
        </w:tc>
        <w:tc>
          <w:tcPr>
            <w:tcW w:w="1882" w:type="dxa"/>
            <w:tcBorders>
              <w:top w:val="single" w:sz="4" w:space="0" w:color="000000"/>
              <w:left w:val="single" w:sz="4" w:space="0" w:color="000000"/>
              <w:bottom w:val="single" w:sz="4" w:space="0" w:color="000000"/>
              <w:right w:val="single" w:sz="4" w:space="0" w:color="000000"/>
            </w:tcBorders>
            <w:vAlign w:val="center"/>
          </w:tcPr>
          <w:p w14:paraId="707C936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27</w:t>
            </w:r>
            <w:r w:rsidR="00B324C0" w:rsidRPr="00B324C0">
              <w:rPr>
                <w:rFonts w:ascii="Times New Roman" w:eastAsia="Times New Roman" w:hAnsi="Times New Roman" w:cs="Times New Roman"/>
                <w:sz w:val="24"/>
                <w:szCs w:val="24"/>
              </w:rPr>
              <w:t xml:space="preserve"> </w:t>
            </w:r>
          </w:p>
        </w:tc>
      </w:tr>
      <w:tr w:rsidR="00B324C0" w:rsidRPr="00B324C0" w14:paraId="05D845A1" w14:textId="77777777" w:rsidTr="00EB59BA">
        <w:tc>
          <w:tcPr>
            <w:tcW w:w="805" w:type="dxa"/>
            <w:vMerge/>
            <w:tcBorders>
              <w:top w:val="single" w:sz="4" w:space="0" w:color="000000"/>
              <w:left w:val="single" w:sz="4" w:space="0" w:color="000000"/>
              <w:right w:val="single" w:sz="4" w:space="0" w:color="000000"/>
            </w:tcBorders>
          </w:tcPr>
          <w:p w14:paraId="0868048E"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19836446"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60AA9D1B"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1–2 years ago</w:t>
            </w:r>
          </w:p>
        </w:tc>
        <w:tc>
          <w:tcPr>
            <w:tcW w:w="2198" w:type="dxa"/>
            <w:tcBorders>
              <w:top w:val="single" w:sz="4" w:space="0" w:color="000000"/>
              <w:left w:val="single" w:sz="4" w:space="0" w:color="000000"/>
              <w:bottom w:val="single" w:sz="4" w:space="0" w:color="000000"/>
              <w:right w:val="single" w:sz="4" w:space="0" w:color="000000"/>
            </w:tcBorders>
            <w:vAlign w:val="center"/>
          </w:tcPr>
          <w:p w14:paraId="0C5A002F"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13</w:t>
            </w:r>
          </w:p>
        </w:tc>
        <w:tc>
          <w:tcPr>
            <w:tcW w:w="1882" w:type="dxa"/>
            <w:tcBorders>
              <w:top w:val="single" w:sz="4" w:space="0" w:color="000000"/>
              <w:left w:val="single" w:sz="4" w:space="0" w:color="000000"/>
              <w:bottom w:val="single" w:sz="4" w:space="0" w:color="000000"/>
              <w:right w:val="single" w:sz="4" w:space="0" w:color="000000"/>
            </w:tcBorders>
            <w:vAlign w:val="center"/>
          </w:tcPr>
          <w:p w14:paraId="73C5C9B6"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23</w:t>
            </w:r>
            <w:r w:rsidR="00B324C0" w:rsidRPr="00B324C0">
              <w:rPr>
                <w:rFonts w:ascii="Times New Roman" w:eastAsia="Times New Roman" w:hAnsi="Times New Roman" w:cs="Times New Roman"/>
                <w:sz w:val="24"/>
                <w:szCs w:val="24"/>
              </w:rPr>
              <w:t xml:space="preserve"> </w:t>
            </w:r>
          </w:p>
        </w:tc>
      </w:tr>
      <w:tr w:rsidR="00B324C0" w:rsidRPr="00B324C0" w14:paraId="32FC3A6C" w14:textId="77777777" w:rsidTr="00EB59BA">
        <w:tc>
          <w:tcPr>
            <w:tcW w:w="805" w:type="dxa"/>
            <w:vMerge/>
            <w:tcBorders>
              <w:top w:val="single" w:sz="4" w:space="0" w:color="000000"/>
              <w:left w:val="single" w:sz="4" w:space="0" w:color="000000"/>
              <w:right w:val="single" w:sz="4" w:space="0" w:color="000000"/>
            </w:tcBorders>
          </w:tcPr>
          <w:p w14:paraId="54F3E45D"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2B8CAA70"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4E735EA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Over 2 years ago</w:t>
            </w:r>
          </w:p>
        </w:tc>
        <w:tc>
          <w:tcPr>
            <w:tcW w:w="2198" w:type="dxa"/>
            <w:tcBorders>
              <w:top w:val="single" w:sz="4" w:space="0" w:color="000000"/>
              <w:left w:val="single" w:sz="4" w:space="0" w:color="000000"/>
              <w:bottom w:val="single" w:sz="4" w:space="0" w:color="000000"/>
              <w:right w:val="single" w:sz="4" w:space="0" w:color="000000"/>
            </w:tcBorders>
            <w:vAlign w:val="center"/>
          </w:tcPr>
          <w:p w14:paraId="3B042AC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w:t>
            </w:r>
          </w:p>
        </w:tc>
        <w:tc>
          <w:tcPr>
            <w:tcW w:w="1882" w:type="dxa"/>
            <w:tcBorders>
              <w:top w:val="single" w:sz="4" w:space="0" w:color="000000"/>
              <w:left w:val="single" w:sz="4" w:space="0" w:color="000000"/>
              <w:bottom w:val="single" w:sz="4" w:space="0" w:color="000000"/>
              <w:right w:val="single" w:sz="4" w:space="0" w:color="000000"/>
            </w:tcBorders>
            <w:vAlign w:val="center"/>
          </w:tcPr>
          <w:p w14:paraId="29EAE266"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18</w:t>
            </w:r>
            <w:r w:rsidR="00B324C0" w:rsidRPr="00B324C0">
              <w:rPr>
                <w:rFonts w:ascii="Times New Roman" w:eastAsia="Times New Roman" w:hAnsi="Times New Roman" w:cs="Times New Roman"/>
                <w:sz w:val="24"/>
                <w:szCs w:val="24"/>
              </w:rPr>
              <w:t xml:space="preserve"> </w:t>
            </w:r>
          </w:p>
        </w:tc>
      </w:tr>
      <w:tr w:rsidR="00B324C0" w:rsidRPr="00B324C0" w14:paraId="593B4583" w14:textId="77777777" w:rsidTr="00EB59BA">
        <w:tc>
          <w:tcPr>
            <w:tcW w:w="805" w:type="dxa"/>
            <w:vMerge w:val="restart"/>
            <w:tcBorders>
              <w:top w:val="single" w:sz="4" w:space="0" w:color="000000"/>
              <w:left w:val="single" w:sz="4" w:space="0" w:color="000000"/>
              <w:right w:val="single" w:sz="4" w:space="0" w:color="000000"/>
            </w:tcBorders>
          </w:tcPr>
          <w:p w14:paraId="115A1322"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3</w:t>
            </w:r>
          </w:p>
        </w:tc>
        <w:tc>
          <w:tcPr>
            <w:tcW w:w="2469" w:type="dxa"/>
            <w:tcBorders>
              <w:top w:val="single" w:sz="4" w:space="0" w:color="000000"/>
              <w:left w:val="single" w:sz="4" w:space="0" w:color="000000"/>
              <w:bottom w:val="single" w:sz="4" w:space="0" w:color="000000"/>
              <w:right w:val="single" w:sz="4" w:space="0" w:color="000000"/>
            </w:tcBorders>
            <w:vAlign w:val="center"/>
          </w:tcPr>
          <w:p w14:paraId="479CC748"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What was the purpose of that purchase?</w:t>
            </w:r>
          </w:p>
        </w:tc>
        <w:tc>
          <w:tcPr>
            <w:tcW w:w="2232" w:type="dxa"/>
            <w:tcBorders>
              <w:top w:val="single" w:sz="4" w:space="0" w:color="000000"/>
              <w:left w:val="single" w:sz="4" w:space="0" w:color="000000"/>
              <w:bottom w:val="single" w:sz="4" w:space="0" w:color="000000"/>
              <w:right w:val="single" w:sz="4" w:space="0" w:color="000000"/>
            </w:tcBorders>
            <w:vAlign w:val="center"/>
          </w:tcPr>
          <w:p w14:paraId="6495FD6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Savings/Investment</w:t>
            </w:r>
          </w:p>
        </w:tc>
        <w:tc>
          <w:tcPr>
            <w:tcW w:w="2198" w:type="dxa"/>
            <w:tcBorders>
              <w:top w:val="single" w:sz="4" w:space="0" w:color="000000"/>
              <w:left w:val="single" w:sz="4" w:space="0" w:color="000000"/>
              <w:bottom w:val="single" w:sz="4" w:space="0" w:color="000000"/>
              <w:right w:val="single" w:sz="4" w:space="0" w:color="000000"/>
            </w:tcBorders>
            <w:vAlign w:val="center"/>
          </w:tcPr>
          <w:p w14:paraId="6926657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24</w:t>
            </w:r>
          </w:p>
        </w:tc>
        <w:tc>
          <w:tcPr>
            <w:tcW w:w="1882" w:type="dxa"/>
            <w:tcBorders>
              <w:top w:val="single" w:sz="4" w:space="0" w:color="000000"/>
              <w:left w:val="single" w:sz="4" w:space="0" w:color="000000"/>
              <w:bottom w:val="single" w:sz="4" w:space="0" w:color="000000"/>
              <w:right w:val="single" w:sz="4" w:space="0" w:color="000000"/>
            </w:tcBorders>
            <w:vAlign w:val="center"/>
          </w:tcPr>
          <w:p w14:paraId="010FE11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43</w:t>
            </w:r>
            <w:r w:rsidR="00B324C0" w:rsidRPr="00B324C0">
              <w:rPr>
                <w:rFonts w:ascii="Times New Roman" w:eastAsia="Times New Roman" w:hAnsi="Times New Roman" w:cs="Times New Roman"/>
                <w:sz w:val="24"/>
                <w:szCs w:val="24"/>
              </w:rPr>
              <w:t xml:space="preserve"> </w:t>
            </w:r>
          </w:p>
        </w:tc>
      </w:tr>
      <w:tr w:rsidR="00B324C0" w:rsidRPr="00B324C0" w14:paraId="776A904E" w14:textId="77777777" w:rsidTr="00EB59BA">
        <w:tc>
          <w:tcPr>
            <w:tcW w:w="805" w:type="dxa"/>
            <w:vMerge/>
            <w:tcBorders>
              <w:top w:val="single" w:sz="4" w:space="0" w:color="000000"/>
              <w:left w:val="single" w:sz="4" w:space="0" w:color="000000"/>
              <w:right w:val="single" w:sz="4" w:space="0" w:color="000000"/>
            </w:tcBorders>
          </w:tcPr>
          <w:p w14:paraId="51E68CBB"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14B1B495"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00697905"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Marriage</w:t>
            </w:r>
          </w:p>
        </w:tc>
        <w:tc>
          <w:tcPr>
            <w:tcW w:w="2198" w:type="dxa"/>
            <w:tcBorders>
              <w:top w:val="single" w:sz="4" w:space="0" w:color="000000"/>
              <w:left w:val="single" w:sz="4" w:space="0" w:color="000000"/>
              <w:bottom w:val="single" w:sz="4" w:space="0" w:color="000000"/>
              <w:right w:val="single" w:sz="4" w:space="0" w:color="000000"/>
            </w:tcBorders>
            <w:vAlign w:val="center"/>
          </w:tcPr>
          <w:p w14:paraId="695473D4"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12</w:t>
            </w:r>
          </w:p>
        </w:tc>
        <w:tc>
          <w:tcPr>
            <w:tcW w:w="1882" w:type="dxa"/>
            <w:tcBorders>
              <w:top w:val="single" w:sz="4" w:space="0" w:color="000000"/>
              <w:left w:val="single" w:sz="4" w:space="0" w:color="000000"/>
              <w:bottom w:val="single" w:sz="4" w:space="0" w:color="000000"/>
              <w:right w:val="single" w:sz="4" w:space="0" w:color="000000"/>
            </w:tcBorders>
            <w:vAlign w:val="center"/>
          </w:tcPr>
          <w:p w14:paraId="67EC8300"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21</w:t>
            </w:r>
            <w:r w:rsidR="00B324C0" w:rsidRPr="00B324C0">
              <w:rPr>
                <w:rFonts w:ascii="Times New Roman" w:eastAsia="Times New Roman" w:hAnsi="Times New Roman" w:cs="Times New Roman"/>
                <w:sz w:val="24"/>
                <w:szCs w:val="24"/>
              </w:rPr>
              <w:t xml:space="preserve"> </w:t>
            </w:r>
          </w:p>
        </w:tc>
      </w:tr>
      <w:tr w:rsidR="00B324C0" w:rsidRPr="00B324C0" w14:paraId="1C7380A3" w14:textId="77777777" w:rsidTr="00EB59BA">
        <w:tc>
          <w:tcPr>
            <w:tcW w:w="805" w:type="dxa"/>
            <w:vMerge/>
            <w:tcBorders>
              <w:top w:val="single" w:sz="4" w:space="0" w:color="000000"/>
              <w:left w:val="single" w:sz="4" w:space="0" w:color="000000"/>
              <w:right w:val="single" w:sz="4" w:space="0" w:color="000000"/>
            </w:tcBorders>
          </w:tcPr>
          <w:p w14:paraId="4E2F0376"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7CA49AE8"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51D7BCB4"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Gift</w:t>
            </w:r>
          </w:p>
        </w:tc>
        <w:tc>
          <w:tcPr>
            <w:tcW w:w="2198" w:type="dxa"/>
            <w:tcBorders>
              <w:top w:val="single" w:sz="4" w:space="0" w:color="000000"/>
              <w:left w:val="single" w:sz="4" w:space="0" w:color="000000"/>
              <w:bottom w:val="single" w:sz="4" w:space="0" w:color="000000"/>
              <w:right w:val="single" w:sz="4" w:space="0" w:color="000000"/>
            </w:tcBorders>
            <w:vAlign w:val="center"/>
          </w:tcPr>
          <w:p w14:paraId="5C6F1A2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9</w:t>
            </w:r>
          </w:p>
        </w:tc>
        <w:tc>
          <w:tcPr>
            <w:tcW w:w="1882" w:type="dxa"/>
            <w:tcBorders>
              <w:top w:val="single" w:sz="4" w:space="0" w:color="000000"/>
              <w:left w:val="single" w:sz="4" w:space="0" w:color="000000"/>
              <w:bottom w:val="single" w:sz="4" w:space="0" w:color="000000"/>
              <w:right w:val="single" w:sz="4" w:space="0" w:color="000000"/>
            </w:tcBorders>
            <w:vAlign w:val="center"/>
          </w:tcPr>
          <w:p w14:paraId="2D4A74E7"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16</w:t>
            </w:r>
            <w:r w:rsidR="00B324C0" w:rsidRPr="00B324C0">
              <w:rPr>
                <w:rFonts w:ascii="Times New Roman" w:eastAsia="Times New Roman" w:hAnsi="Times New Roman" w:cs="Times New Roman"/>
                <w:sz w:val="24"/>
                <w:szCs w:val="24"/>
              </w:rPr>
              <w:t xml:space="preserve"> </w:t>
            </w:r>
          </w:p>
        </w:tc>
      </w:tr>
      <w:tr w:rsidR="00B324C0" w:rsidRPr="00B324C0" w14:paraId="5A1D2647" w14:textId="77777777" w:rsidTr="00EB59BA">
        <w:tc>
          <w:tcPr>
            <w:tcW w:w="805" w:type="dxa"/>
            <w:vMerge/>
            <w:tcBorders>
              <w:top w:val="single" w:sz="4" w:space="0" w:color="000000"/>
              <w:left w:val="single" w:sz="4" w:space="0" w:color="000000"/>
              <w:right w:val="single" w:sz="4" w:space="0" w:color="000000"/>
            </w:tcBorders>
          </w:tcPr>
          <w:p w14:paraId="161AA1F8"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16C455C7"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051B6CF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Religious/Cultural Occasion</w:t>
            </w:r>
          </w:p>
        </w:tc>
        <w:tc>
          <w:tcPr>
            <w:tcW w:w="2198" w:type="dxa"/>
            <w:tcBorders>
              <w:top w:val="single" w:sz="4" w:space="0" w:color="000000"/>
              <w:left w:val="single" w:sz="4" w:space="0" w:color="000000"/>
              <w:bottom w:val="single" w:sz="4" w:space="0" w:color="000000"/>
              <w:right w:val="single" w:sz="4" w:space="0" w:color="000000"/>
            </w:tcBorders>
            <w:vAlign w:val="center"/>
          </w:tcPr>
          <w:p w14:paraId="0830FA8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6</w:t>
            </w:r>
          </w:p>
        </w:tc>
        <w:tc>
          <w:tcPr>
            <w:tcW w:w="1882" w:type="dxa"/>
            <w:tcBorders>
              <w:top w:val="single" w:sz="4" w:space="0" w:color="000000"/>
              <w:left w:val="single" w:sz="4" w:space="0" w:color="000000"/>
              <w:bottom w:val="single" w:sz="4" w:space="0" w:color="000000"/>
              <w:right w:val="single" w:sz="4" w:space="0" w:color="000000"/>
            </w:tcBorders>
            <w:vAlign w:val="center"/>
          </w:tcPr>
          <w:p w14:paraId="5A070379"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11</w:t>
            </w:r>
            <w:r w:rsidR="00B324C0" w:rsidRPr="00B324C0">
              <w:rPr>
                <w:rFonts w:ascii="Times New Roman" w:eastAsia="Times New Roman" w:hAnsi="Times New Roman" w:cs="Times New Roman"/>
                <w:sz w:val="24"/>
                <w:szCs w:val="24"/>
              </w:rPr>
              <w:t xml:space="preserve"> </w:t>
            </w:r>
          </w:p>
        </w:tc>
      </w:tr>
      <w:tr w:rsidR="00B324C0" w:rsidRPr="00B324C0" w14:paraId="6CFEC679" w14:textId="77777777" w:rsidTr="00EB59BA">
        <w:tc>
          <w:tcPr>
            <w:tcW w:w="805" w:type="dxa"/>
            <w:vMerge/>
            <w:tcBorders>
              <w:top w:val="single" w:sz="4" w:space="0" w:color="000000"/>
              <w:left w:val="single" w:sz="4" w:space="0" w:color="000000"/>
              <w:right w:val="single" w:sz="4" w:space="0" w:color="000000"/>
            </w:tcBorders>
          </w:tcPr>
          <w:p w14:paraId="2B524C28"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0F40769F"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37136E4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Other</w:t>
            </w:r>
          </w:p>
        </w:tc>
        <w:tc>
          <w:tcPr>
            <w:tcW w:w="2198" w:type="dxa"/>
            <w:tcBorders>
              <w:top w:val="single" w:sz="4" w:space="0" w:color="000000"/>
              <w:left w:val="single" w:sz="4" w:space="0" w:color="000000"/>
              <w:bottom w:val="single" w:sz="4" w:space="0" w:color="000000"/>
              <w:right w:val="single" w:sz="4" w:space="0" w:color="000000"/>
            </w:tcBorders>
            <w:vAlign w:val="center"/>
          </w:tcPr>
          <w:p w14:paraId="7F7B772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w:t>
            </w:r>
          </w:p>
        </w:tc>
        <w:tc>
          <w:tcPr>
            <w:tcW w:w="1882" w:type="dxa"/>
            <w:tcBorders>
              <w:top w:val="single" w:sz="4" w:space="0" w:color="000000"/>
              <w:left w:val="single" w:sz="4" w:space="0" w:color="000000"/>
              <w:bottom w:val="single" w:sz="4" w:space="0" w:color="000000"/>
              <w:right w:val="single" w:sz="4" w:space="0" w:color="000000"/>
            </w:tcBorders>
            <w:vAlign w:val="center"/>
          </w:tcPr>
          <w:p w14:paraId="3E981F8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9</w:t>
            </w:r>
            <w:r w:rsidR="00B324C0" w:rsidRPr="00B324C0">
              <w:rPr>
                <w:rFonts w:ascii="Times New Roman" w:eastAsia="Times New Roman" w:hAnsi="Times New Roman" w:cs="Times New Roman"/>
                <w:sz w:val="24"/>
                <w:szCs w:val="24"/>
              </w:rPr>
              <w:t xml:space="preserve"> </w:t>
            </w:r>
          </w:p>
        </w:tc>
      </w:tr>
      <w:tr w:rsidR="00B324C0" w:rsidRPr="00B324C0" w14:paraId="45EDA3D0" w14:textId="77777777" w:rsidTr="00EB59BA">
        <w:tc>
          <w:tcPr>
            <w:tcW w:w="805" w:type="dxa"/>
            <w:vMerge w:val="restart"/>
            <w:tcBorders>
              <w:top w:val="single" w:sz="4" w:space="0" w:color="000000"/>
              <w:left w:val="single" w:sz="4" w:space="0" w:color="000000"/>
              <w:right w:val="single" w:sz="4" w:space="0" w:color="000000"/>
            </w:tcBorders>
          </w:tcPr>
          <w:p w14:paraId="05110BE4"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4</w:t>
            </w:r>
          </w:p>
        </w:tc>
        <w:tc>
          <w:tcPr>
            <w:tcW w:w="2469" w:type="dxa"/>
            <w:tcBorders>
              <w:top w:val="single" w:sz="4" w:space="0" w:color="000000"/>
              <w:left w:val="single" w:sz="4" w:space="0" w:color="000000"/>
              <w:bottom w:val="single" w:sz="4" w:space="0" w:color="000000"/>
              <w:right w:val="single" w:sz="4" w:space="0" w:color="000000"/>
            </w:tcBorders>
            <w:vAlign w:val="center"/>
          </w:tcPr>
          <w:p w14:paraId="7A01EE16"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Has the rising price of gold affected your ability to purchase it?</w:t>
            </w:r>
          </w:p>
        </w:tc>
        <w:tc>
          <w:tcPr>
            <w:tcW w:w="2232" w:type="dxa"/>
            <w:tcBorders>
              <w:top w:val="single" w:sz="4" w:space="0" w:color="000000"/>
              <w:left w:val="single" w:sz="4" w:space="0" w:color="000000"/>
              <w:bottom w:val="single" w:sz="4" w:space="0" w:color="000000"/>
              <w:right w:val="single" w:sz="4" w:space="0" w:color="000000"/>
            </w:tcBorders>
            <w:vAlign w:val="center"/>
          </w:tcPr>
          <w:p w14:paraId="3717AE0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Yes</w:t>
            </w:r>
          </w:p>
        </w:tc>
        <w:tc>
          <w:tcPr>
            <w:tcW w:w="2198" w:type="dxa"/>
            <w:tcBorders>
              <w:top w:val="single" w:sz="4" w:space="0" w:color="000000"/>
              <w:left w:val="single" w:sz="4" w:space="0" w:color="000000"/>
              <w:bottom w:val="single" w:sz="4" w:space="0" w:color="000000"/>
              <w:right w:val="single" w:sz="4" w:space="0" w:color="000000"/>
            </w:tcBorders>
            <w:vAlign w:val="center"/>
          </w:tcPr>
          <w:p w14:paraId="227C8CC7"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38</w:t>
            </w:r>
          </w:p>
        </w:tc>
        <w:tc>
          <w:tcPr>
            <w:tcW w:w="1882" w:type="dxa"/>
            <w:tcBorders>
              <w:top w:val="single" w:sz="4" w:space="0" w:color="000000"/>
              <w:left w:val="single" w:sz="4" w:space="0" w:color="000000"/>
              <w:bottom w:val="single" w:sz="4" w:space="0" w:color="000000"/>
              <w:right w:val="single" w:sz="4" w:space="0" w:color="000000"/>
            </w:tcBorders>
            <w:vAlign w:val="center"/>
          </w:tcPr>
          <w:p w14:paraId="1F316B49"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68</w:t>
            </w:r>
            <w:r w:rsidR="00B324C0" w:rsidRPr="00B324C0">
              <w:rPr>
                <w:rFonts w:ascii="Times New Roman" w:eastAsia="Times New Roman" w:hAnsi="Times New Roman" w:cs="Times New Roman"/>
                <w:sz w:val="24"/>
                <w:szCs w:val="24"/>
              </w:rPr>
              <w:t xml:space="preserve"> </w:t>
            </w:r>
          </w:p>
        </w:tc>
      </w:tr>
      <w:tr w:rsidR="00B324C0" w:rsidRPr="00B324C0" w14:paraId="2EFC9A95" w14:textId="77777777" w:rsidTr="00EB59BA">
        <w:tc>
          <w:tcPr>
            <w:tcW w:w="805" w:type="dxa"/>
            <w:vMerge/>
            <w:tcBorders>
              <w:top w:val="single" w:sz="4" w:space="0" w:color="000000"/>
              <w:left w:val="single" w:sz="4" w:space="0" w:color="000000"/>
              <w:right w:val="single" w:sz="4" w:space="0" w:color="000000"/>
            </w:tcBorders>
          </w:tcPr>
          <w:p w14:paraId="48B249AA"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7AC0D632"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52E63B64"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No</w:t>
            </w:r>
          </w:p>
        </w:tc>
        <w:tc>
          <w:tcPr>
            <w:tcW w:w="2198" w:type="dxa"/>
            <w:tcBorders>
              <w:top w:val="single" w:sz="4" w:space="0" w:color="000000"/>
              <w:left w:val="single" w:sz="4" w:space="0" w:color="000000"/>
              <w:bottom w:val="single" w:sz="4" w:space="0" w:color="000000"/>
              <w:right w:val="single" w:sz="4" w:space="0" w:color="000000"/>
            </w:tcBorders>
            <w:vAlign w:val="center"/>
          </w:tcPr>
          <w:p w14:paraId="658155A6"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18</w:t>
            </w:r>
          </w:p>
        </w:tc>
        <w:tc>
          <w:tcPr>
            <w:tcW w:w="1882" w:type="dxa"/>
            <w:tcBorders>
              <w:top w:val="single" w:sz="4" w:space="0" w:color="000000"/>
              <w:left w:val="single" w:sz="4" w:space="0" w:color="000000"/>
              <w:bottom w:val="single" w:sz="4" w:space="0" w:color="000000"/>
              <w:right w:val="single" w:sz="4" w:space="0" w:color="000000"/>
            </w:tcBorders>
            <w:vAlign w:val="center"/>
          </w:tcPr>
          <w:p w14:paraId="2DBFB7D8"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32</w:t>
            </w:r>
            <w:r w:rsidR="00B324C0" w:rsidRPr="00B324C0">
              <w:rPr>
                <w:rFonts w:ascii="Times New Roman" w:eastAsia="Times New Roman" w:hAnsi="Times New Roman" w:cs="Times New Roman"/>
                <w:sz w:val="24"/>
                <w:szCs w:val="24"/>
              </w:rPr>
              <w:t xml:space="preserve"> </w:t>
            </w:r>
          </w:p>
        </w:tc>
      </w:tr>
      <w:tr w:rsidR="00B324C0" w:rsidRPr="00B324C0" w14:paraId="640BBBA4" w14:textId="77777777" w:rsidTr="00EB59BA">
        <w:tc>
          <w:tcPr>
            <w:tcW w:w="805" w:type="dxa"/>
            <w:vMerge/>
            <w:tcBorders>
              <w:top w:val="single" w:sz="4" w:space="0" w:color="000000"/>
              <w:left w:val="single" w:sz="4" w:space="0" w:color="000000"/>
              <w:right w:val="single" w:sz="4" w:space="0" w:color="000000"/>
            </w:tcBorders>
          </w:tcPr>
          <w:p w14:paraId="2BC31A0D"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76CB28FB" w14:textId="77777777" w:rsidR="00E84E4C" w:rsidRPr="00EB59BA" w:rsidRDefault="00984DED" w:rsidP="00B324C0">
            <w:pPr>
              <w:spacing w:line="360" w:lineRule="auto"/>
              <w:jc w:val="both"/>
              <w:rPr>
                <w:rFonts w:ascii="Times New Roman" w:eastAsia="Times New Roman" w:hAnsi="Times New Roman" w:cs="Times New Roman"/>
                <w:i/>
                <w:sz w:val="24"/>
                <w:szCs w:val="24"/>
              </w:rPr>
            </w:pPr>
            <w:r w:rsidRPr="00EB59BA">
              <w:rPr>
                <w:rFonts w:ascii="Times New Roman" w:eastAsia="Cardo" w:hAnsi="Times New Roman" w:cs="Times New Roman"/>
                <w:i/>
                <w:sz w:val="24"/>
                <w:szCs w:val="24"/>
              </w:rPr>
              <w:t>If yes, how?</w:t>
            </w:r>
          </w:p>
        </w:tc>
        <w:tc>
          <w:tcPr>
            <w:tcW w:w="2232" w:type="dxa"/>
            <w:tcBorders>
              <w:top w:val="single" w:sz="4" w:space="0" w:color="000000"/>
              <w:left w:val="single" w:sz="4" w:space="0" w:color="000000"/>
              <w:bottom w:val="single" w:sz="4" w:space="0" w:color="000000"/>
              <w:right w:val="single" w:sz="4" w:space="0" w:color="000000"/>
            </w:tcBorders>
            <w:vAlign w:val="center"/>
          </w:tcPr>
          <w:p w14:paraId="6AF0113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Reduced quantity</w:t>
            </w:r>
          </w:p>
        </w:tc>
        <w:tc>
          <w:tcPr>
            <w:tcW w:w="2198" w:type="dxa"/>
            <w:tcBorders>
              <w:top w:val="single" w:sz="4" w:space="0" w:color="000000"/>
              <w:left w:val="single" w:sz="4" w:space="0" w:color="000000"/>
              <w:bottom w:val="single" w:sz="4" w:space="0" w:color="000000"/>
              <w:right w:val="single" w:sz="4" w:space="0" w:color="000000"/>
            </w:tcBorders>
            <w:vAlign w:val="center"/>
          </w:tcPr>
          <w:p w14:paraId="16D1DB94"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21</w:t>
            </w:r>
          </w:p>
        </w:tc>
        <w:tc>
          <w:tcPr>
            <w:tcW w:w="1882" w:type="dxa"/>
            <w:tcBorders>
              <w:top w:val="single" w:sz="4" w:space="0" w:color="000000"/>
              <w:left w:val="single" w:sz="4" w:space="0" w:color="000000"/>
              <w:bottom w:val="single" w:sz="4" w:space="0" w:color="000000"/>
              <w:right w:val="single" w:sz="4" w:space="0" w:color="000000"/>
            </w:tcBorders>
            <w:vAlign w:val="center"/>
          </w:tcPr>
          <w:p w14:paraId="0BE179D6"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55</w:t>
            </w:r>
            <w:r w:rsidR="00B324C0" w:rsidRPr="00B324C0">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 xml:space="preserve"> of “Yes” group</w:t>
            </w:r>
          </w:p>
        </w:tc>
      </w:tr>
      <w:tr w:rsidR="00B324C0" w:rsidRPr="00B324C0" w14:paraId="79E7FAA5" w14:textId="77777777" w:rsidTr="00EB59BA">
        <w:tc>
          <w:tcPr>
            <w:tcW w:w="805" w:type="dxa"/>
            <w:vMerge/>
            <w:tcBorders>
              <w:top w:val="single" w:sz="4" w:space="0" w:color="000000"/>
              <w:left w:val="single" w:sz="4" w:space="0" w:color="000000"/>
              <w:right w:val="single" w:sz="4" w:space="0" w:color="000000"/>
            </w:tcBorders>
          </w:tcPr>
          <w:p w14:paraId="312A658F"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4286F6C4"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4EB5928C"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Delayed purchase</w:t>
            </w:r>
          </w:p>
        </w:tc>
        <w:tc>
          <w:tcPr>
            <w:tcW w:w="2198" w:type="dxa"/>
            <w:tcBorders>
              <w:top w:val="single" w:sz="4" w:space="0" w:color="000000"/>
              <w:left w:val="single" w:sz="4" w:space="0" w:color="000000"/>
              <w:bottom w:val="single" w:sz="4" w:space="0" w:color="000000"/>
              <w:right w:val="single" w:sz="4" w:space="0" w:color="000000"/>
            </w:tcBorders>
            <w:vAlign w:val="center"/>
          </w:tcPr>
          <w:p w14:paraId="26C3DA6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11</w:t>
            </w:r>
          </w:p>
        </w:tc>
        <w:tc>
          <w:tcPr>
            <w:tcW w:w="1882" w:type="dxa"/>
            <w:tcBorders>
              <w:top w:val="single" w:sz="4" w:space="0" w:color="000000"/>
              <w:left w:val="single" w:sz="4" w:space="0" w:color="000000"/>
              <w:bottom w:val="single" w:sz="4" w:space="0" w:color="000000"/>
              <w:right w:val="single" w:sz="4" w:space="0" w:color="000000"/>
            </w:tcBorders>
            <w:vAlign w:val="center"/>
          </w:tcPr>
          <w:p w14:paraId="429F721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29</w:t>
            </w:r>
            <w:r w:rsidR="00B324C0" w:rsidRPr="00B324C0">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 xml:space="preserve"> of “Yes” group</w:t>
            </w:r>
          </w:p>
        </w:tc>
      </w:tr>
      <w:tr w:rsidR="00B324C0" w:rsidRPr="00B324C0" w14:paraId="464D87E4" w14:textId="77777777" w:rsidTr="00EB59BA">
        <w:tc>
          <w:tcPr>
            <w:tcW w:w="805" w:type="dxa"/>
            <w:vMerge/>
            <w:tcBorders>
              <w:top w:val="single" w:sz="4" w:space="0" w:color="000000"/>
              <w:left w:val="single" w:sz="4" w:space="0" w:color="000000"/>
              <w:right w:val="single" w:sz="4" w:space="0" w:color="000000"/>
            </w:tcBorders>
          </w:tcPr>
          <w:p w14:paraId="5387918A"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12E72FE1"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4A248EEC"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Switched to alternatives</w:t>
            </w:r>
          </w:p>
        </w:tc>
        <w:tc>
          <w:tcPr>
            <w:tcW w:w="2198" w:type="dxa"/>
            <w:tcBorders>
              <w:top w:val="single" w:sz="4" w:space="0" w:color="000000"/>
              <w:left w:val="single" w:sz="4" w:space="0" w:color="000000"/>
              <w:bottom w:val="single" w:sz="4" w:space="0" w:color="000000"/>
              <w:right w:val="single" w:sz="4" w:space="0" w:color="000000"/>
            </w:tcBorders>
            <w:vAlign w:val="center"/>
          </w:tcPr>
          <w:p w14:paraId="778BD8CF"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6</w:t>
            </w:r>
          </w:p>
        </w:tc>
        <w:tc>
          <w:tcPr>
            <w:tcW w:w="1882" w:type="dxa"/>
            <w:tcBorders>
              <w:top w:val="single" w:sz="4" w:space="0" w:color="000000"/>
              <w:left w:val="single" w:sz="4" w:space="0" w:color="000000"/>
              <w:bottom w:val="single" w:sz="4" w:space="0" w:color="000000"/>
              <w:right w:val="single" w:sz="4" w:space="0" w:color="000000"/>
            </w:tcBorders>
            <w:vAlign w:val="center"/>
          </w:tcPr>
          <w:p w14:paraId="4B097EAD"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16</w:t>
            </w:r>
            <w:r w:rsidR="00B324C0" w:rsidRPr="00B324C0">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 xml:space="preserve"> of “Yes” group</w:t>
            </w:r>
          </w:p>
        </w:tc>
      </w:tr>
      <w:tr w:rsidR="00B324C0" w:rsidRPr="00B324C0" w14:paraId="1DF4BBB3" w14:textId="77777777" w:rsidTr="00EB59BA">
        <w:tc>
          <w:tcPr>
            <w:tcW w:w="805" w:type="dxa"/>
            <w:vMerge w:val="restart"/>
            <w:tcBorders>
              <w:top w:val="single" w:sz="4" w:space="0" w:color="000000"/>
              <w:left w:val="single" w:sz="4" w:space="0" w:color="000000"/>
              <w:right w:val="single" w:sz="4" w:space="0" w:color="000000"/>
            </w:tcBorders>
          </w:tcPr>
          <w:p w14:paraId="276315E3"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lastRenderedPageBreak/>
              <w:t>5</w:t>
            </w:r>
          </w:p>
        </w:tc>
        <w:tc>
          <w:tcPr>
            <w:tcW w:w="2469" w:type="dxa"/>
            <w:tcBorders>
              <w:top w:val="single" w:sz="4" w:space="0" w:color="000000"/>
              <w:left w:val="single" w:sz="4" w:space="0" w:color="000000"/>
              <w:bottom w:val="single" w:sz="4" w:space="0" w:color="000000"/>
              <w:right w:val="single" w:sz="4" w:space="0" w:color="000000"/>
            </w:tcBorders>
            <w:vAlign w:val="center"/>
          </w:tcPr>
          <w:p w14:paraId="1F4B7A10"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Have you postponed or canceled planned purchases due to price hikes?</w:t>
            </w:r>
          </w:p>
        </w:tc>
        <w:tc>
          <w:tcPr>
            <w:tcW w:w="2232" w:type="dxa"/>
            <w:tcBorders>
              <w:top w:val="single" w:sz="4" w:space="0" w:color="000000"/>
              <w:left w:val="single" w:sz="4" w:space="0" w:color="000000"/>
              <w:bottom w:val="single" w:sz="4" w:space="0" w:color="000000"/>
              <w:right w:val="single" w:sz="4" w:space="0" w:color="000000"/>
            </w:tcBorders>
            <w:vAlign w:val="center"/>
          </w:tcPr>
          <w:p w14:paraId="2D966E10"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Yes</w:t>
            </w:r>
          </w:p>
        </w:tc>
        <w:tc>
          <w:tcPr>
            <w:tcW w:w="2198" w:type="dxa"/>
            <w:tcBorders>
              <w:top w:val="single" w:sz="4" w:space="0" w:color="000000"/>
              <w:left w:val="single" w:sz="4" w:space="0" w:color="000000"/>
              <w:bottom w:val="single" w:sz="4" w:space="0" w:color="000000"/>
              <w:right w:val="single" w:sz="4" w:space="0" w:color="000000"/>
            </w:tcBorders>
            <w:vAlign w:val="center"/>
          </w:tcPr>
          <w:p w14:paraId="7F0922C4"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33</w:t>
            </w:r>
          </w:p>
        </w:tc>
        <w:tc>
          <w:tcPr>
            <w:tcW w:w="1882" w:type="dxa"/>
            <w:tcBorders>
              <w:top w:val="single" w:sz="4" w:space="0" w:color="000000"/>
              <w:left w:val="single" w:sz="4" w:space="0" w:color="000000"/>
              <w:bottom w:val="single" w:sz="4" w:space="0" w:color="000000"/>
              <w:right w:val="single" w:sz="4" w:space="0" w:color="000000"/>
            </w:tcBorders>
            <w:vAlign w:val="center"/>
          </w:tcPr>
          <w:p w14:paraId="1C87B9EF"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59</w:t>
            </w:r>
            <w:r w:rsidR="00B324C0" w:rsidRPr="00B324C0">
              <w:rPr>
                <w:rFonts w:ascii="Times New Roman" w:eastAsia="Times New Roman" w:hAnsi="Times New Roman" w:cs="Times New Roman"/>
                <w:sz w:val="24"/>
                <w:szCs w:val="24"/>
              </w:rPr>
              <w:t xml:space="preserve"> </w:t>
            </w:r>
          </w:p>
        </w:tc>
      </w:tr>
      <w:tr w:rsidR="00B324C0" w:rsidRPr="00B324C0" w14:paraId="72E0B5B4" w14:textId="77777777" w:rsidTr="00EB59BA">
        <w:tc>
          <w:tcPr>
            <w:tcW w:w="805" w:type="dxa"/>
            <w:vMerge/>
            <w:tcBorders>
              <w:top w:val="single" w:sz="4" w:space="0" w:color="000000"/>
              <w:left w:val="single" w:sz="4" w:space="0" w:color="000000"/>
              <w:right w:val="single" w:sz="4" w:space="0" w:color="000000"/>
            </w:tcBorders>
          </w:tcPr>
          <w:p w14:paraId="50D18C81"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12081FD6"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5CBA0897"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No</w:t>
            </w:r>
          </w:p>
        </w:tc>
        <w:tc>
          <w:tcPr>
            <w:tcW w:w="2198" w:type="dxa"/>
            <w:tcBorders>
              <w:top w:val="single" w:sz="4" w:space="0" w:color="000000"/>
              <w:left w:val="single" w:sz="4" w:space="0" w:color="000000"/>
              <w:bottom w:val="single" w:sz="4" w:space="0" w:color="000000"/>
              <w:right w:val="single" w:sz="4" w:space="0" w:color="000000"/>
            </w:tcBorders>
            <w:vAlign w:val="center"/>
          </w:tcPr>
          <w:p w14:paraId="67E87D5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23</w:t>
            </w:r>
          </w:p>
        </w:tc>
        <w:tc>
          <w:tcPr>
            <w:tcW w:w="1882" w:type="dxa"/>
            <w:tcBorders>
              <w:top w:val="single" w:sz="4" w:space="0" w:color="000000"/>
              <w:left w:val="single" w:sz="4" w:space="0" w:color="000000"/>
              <w:bottom w:val="single" w:sz="4" w:space="0" w:color="000000"/>
              <w:right w:val="single" w:sz="4" w:space="0" w:color="000000"/>
            </w:tcBorders>
            <w:vAlign w:val="center"/>
          </w:tcPr>
          <w:p w14:paraId="5D1E6A4B"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41</w:t>
            </w:r>
            <w:r w:rsidR="00B324C0" w:rsidRPr="00B324C0">
              <w:rPr>
                <w:rFonts w:ascii="Times New Roman" w:eastAsia="Times New Roman" w:hAnsi="Times New Roman" w:cs="Times New Roman"/>
                <w:sz w:val="24"/>
                <w:szCs w:val="24"/>
              </w:rPr>
              <w:t xml:space="preserve"> </w:t>
            </w:r>
          </w:p>
        </w:tc>
      </w:tr>
      <w:tr w:rsidR="00B324C0" w:rsidRPr="00B324C0" w14:paraId="19889666" w14:textId="77777777" w:rsidTr="00EB59BA">
        <w:tc>
          <w:tcPr>
            <w:tcW w:w="805" w:type="dxa"/>
            <w:vMerge/>
            <w:tcBorders>
              <w:top w:val="single" w:sz="4" w:space="0" w:color="000000"/>
              <w:left w:val="single" w:sz="4" w:space="0" w:color="000000"/>
              <w:right w:val="single" w:sz="4" w:space="0" w:color="000000"/>
            </w:tcBorders>
          </w:tcPr>
          <w:p w14:paraId="31A7C143"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0BADFF62" w14:textId="77777777" w:rsidR="00E84E4C" w:rsidRPr="00EB59BA" w:rsidRDefault="00984DED" w:rsidP="00B324C0">
            <w:pPr>
              <w:spacing w:line="360" w:lineRule="auto"/>
              <w:jc w:val="both"/>
              <w:rPr>
                <w:rFonts w:ascii="Times New Roman" w:eastAsia="Times New Roman" w:hAnsi="Times New Roman" w:cs="Times New Roman"/>
                <w:i/>
                <w:sz w:val="24"/>
                <w:szCs w:val="24"/>
              </w:rPr>
            </w:pPr>
            <w:r w:rsidRPr="00EB59BA">
              <w:rPr>
                <w:rFonts w:ascii="Times New Roman" w:eastAsia="Cardo" w:hAnsi="Times New Roman" w:cs="Times New Roman"/>
                <w:i/>
                <w:sz w:val="24"/>
                <w:szCs w:val="24"/>
              </w:rPr>
              <w:t xml:space="preserve">If yes, </w:t>
            </w:r>
            <w:r w:rsidR="00EB59BA" w:rsidRPr="00EB59BA">
              <w:rPr>
                <w:rFonts w:ascii="Times New Roman" w:eastAsia="Cardo" w:hAnsi="Times New Roman" w:cs="Times New Roman"/>
                <w:i/>
                <w:sz w:val="24"/>
                <w:szCs w:val="24"/>
              </w:rPr>
              <w:t>describe</w:t>
            </w:r>
          </w:p>
        </w:tc>
        <w:tc>
          <w:tcPr>
            <w:tcW w:w="2232" w:type="dxa"/>
            <w:tcBorders>
              <w:top w:val="single" w:sz="4" w:space="0" w:color="000000"/>
              <w:left w:val="single" w:sz="4" w:space="0" w:color="000000"/>
              <w:bottom w:val="single" w:sz="4" w:space="0" w:color="000000"/>
              <w:right w:val="single" w:sz="4" w:space="0" w:color="000000"/>
            </w:tcBorders>
            <w:vAlign w:val="center"/>
          </w:tcPr>
          <w:p w14:paraId="2D2B167D"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Postponed for 6–12 months</w:t>
            </w:r>
          </w:p>
        </w:tc>
        <w:tc>
          <w:tcPr>
            <w:tcW w:w="2198" w:type="dxa"/>
            <w:tcBorders>
              <w:top w:val="single" w:sz="4" w:space="0" w:color="000000"/>
              <w:left w:val="single" w:sz="4" w:space="0" w:color="000000"/>
              <w:bottom w:val="single" w:sz="4" w:space="0" w:color="000000"/>
              <w:right w:val="single" w:sz="4" w:space="0" w:color="000000"/>
            </w:tcBorders>
            <w:vAlign w:val="center"/>
          </w:tcPr>
          <w:p w14:paraId="690A829D"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19</w:t>
            </w:r>
          </w:p>
        </w:tc>
        <w:tc>
          <w:tcPr>
            <w:tcW w:w="1882" w:type="dxa"/>
            <w:tcBorders>
              <w:top w:val="single" w:sz="4" w:space="0" w:color="000000"/>
              <w:left w:val="single" w:sz="4" w:space="0" w:color="000000"/>
              <w:bottom w:val="single" w:sz="4" w:space="0" w:color="000000"/>
              <w:right w:val="single" w:sz="4" w:space="0" w:color="000000"/>
            </w:tcBorders>
            <w:vAlign w:val="center"/>
          </w:tcPr>
          <w:p w14:paraId="5341ACA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58</w:t>
            </w:r>
            <w:r w:rsidR="00B324C0" w:rsidRPr="00B324C0">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 xml:space="preserve"> of “Yes” group</w:t>
            </w:r>
          </w:p>
        </w:tc>
      </w:tr>
      <w:tr w:rsidR="00B324C0" w:rsidRPr="00B324C0" w14:paraId="3AA2F86D" w14:textId="77777777" w:rsidTr="00EB59BA">
        <w:tc>
          <w:tcPr>
            <w:tcW w:w="805" w:type="dxa"/>
            <w:vMerge/>
            <w:tcBorders>
              <w:top w:val="single" w:sz="4" w:space="0" w:color="000000"/>
              <w:left w:val="single" w:sz="4" w:space="0" w:color="000000"/>
              <w:right w:val="single" w:sz="4" w:space="0" w:color="000000"/>
            </w:tcBorders>
          </w:tcPr>
          <w:p w14:paraId="27FE8ED6"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6BBA8207"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6D1B4206"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Canceled completely</w:t>
            </w:r>
          </w:p>
        </w:tc>
        <w:tc>
          <w:tcPr>
            <w:tcW w:w="2198" w:type="dxa"/>
            <w:tcBorders>
              <w:top w:val="single" w:sz="4" w:space="0" w:color="000000"/>
              <w:left w:val="single" w:sz="4" w:space="0" w:color="000000"/>
              <w:bottom w:val="single" w:sz="4" w:space="0" w:color="000000"/>
              <w:right w:val="single" w:sz="4" w:space="0" w:color="000000"/>
            </w:tcBorders>
            <w:vAlign w:val="center"/>
          </w:tcPr>
          <w:p w14:paraId="49C0C735"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w:t>
            </w:r>
          </w:p>
        </w:tc>
        <w:tc>
          <w:tcPr>
            <w:tcW w:w="1882" w:type="dxa"/>
            <w:tcBorders>
              <w:top w:val="single" w:sz="4" w:space="0" w:color="000000"/>
              <w:left w:val="single" w:sz="4" w:space="0" w:color="000000"/>
              <w:bottom w:val="single" w:sz="4" w:space="0" w:color="000000"/>
              <w:right w:val="single" w:sz="4" w:space="0" w:color="000000"/>
            </w:tcBorders>
            <w:vAlign w:val="center"/>
          </w:tcPr>
          <w:p w14:paraId="03A70CC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42</w:t>
            </w:r>
            <w:r w:rsidR="00B324C0" w:rsidRPr="00B324C0">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 xml:space="preserve"> of “Yes” group</w:t>
            </w:r>
          </w:p>
        </w:tc>
      </w:tr>
      <w:tr w:rsidR="00B324C0" w:rsidRPr="00B324C0" w14:paraId="3EDEA2FC" w14:textId="77777777" w:rsidTr="00EB59BA">
        <w:tc>
          <w:tcPr>
            <w:tcW w:w="805" w:type="dxa"/>
            <w:vMerge w:val="restart"/>
            <w:tcBorders>
              <w:top w:val="single" w:sz="4" w:space="0" w:color="000000"/>
              <w:left w:val="single" w:sz="4" w:space="0" w:color="000000"/>
              <w:right w:val="single" w:sz="4" w:space="0" w:color="000000"/>
            </w:tcBorders>
          </w:tcPr>
          <w:p w14:paraId="19215347"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6</w:t>
            </w:r>
          </w:p>
        </w:tc>
        <w:tc>
          <w:tcPr>
            <w:tcW w:w="2469" w:type="dxa"/>
            <w:tcBorders>
              <w:top w:val="single" w:sz="4" w:space="0" w:color="000000"/>
              <w:left w:val="single" w:sz="4" w:space="0" w:color="000000"/>
              <w:bottom w:val="single" w:sz="4" w:space="0" w:color="000000"/>
              <w:right w:val="single" w:sz="4" w:space="0" w:color="000000"/>
            </w:tcBorders>
            <w:vAlign w:val="center"/>
          </w:tcPr>
          <w:p w14:paraId="2E8490ED"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What alternatives have you considered instead of buying gold?</w:t>
            </w:r>
          </w:p>
        </w:tc>
        <w:tc>
          <w:tcPr>
            <w:tcW w:w="2232" w:type="dxa"/>
            <w:tcBorders>
              <w:top w:val="single" w:sz="4" w:space="0" w:color="000000"/>
              <w:left w:val="single" w:sz="4" w:space="0" w:color="000000"/>
              <w:bottom w:val="single" w:sz="4" w:space="0" w:color="000000"/>
              <w:right w:val="single" w:sz="4" w:space="0" w:color="000000"/>
            </w:tcBorders>
            <w:vAlign w:val="center"/>
          </w:tcPr>
          <w:p w14:paraId="2EB8AE8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Digital Gold</w:t>
            </w:r>
          </w:p>
        </w:tc>
        <w:tc>
          <w:tcPr>
            <w:tcW w:w="2198" w:type="dxa"/>
            <w:tcBorders>
              <w:top w:val="single" w:sz="4" w:space="0" w:color="000000"/>
              <w:left w:val="single" w:sz="4" w:space="0" w:color="000000"/>
              <w:bottom w:val="single" w:sz="4" w:space="0" w:color="000000"/>
              <w:right w:val="single" w:sz="4" w:space="0" w:color="000000"/>
            </w:tcBorders>
            <w:vAlign w:val="center"/>
          </w:tcPr>
          <w:p w14:paraId="7E0CA0D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16</w:t>
            </w:r>
          </w:p>
        </w:tc>
        <w:tc>
          <w:tcPr>
            <w:tcW w:w="1882" w:type="dxa"/>
            <w:tcBorders>
              <w:top w:val="single" w:sz="4" w:space="0" w:color="000000"/>
              <w:left w:val="single" w:sz="4" w:space="0" w:color="000000"/>
              <w:bottom w:val="single" w:sz="4" w:space="0" w:color="000000"/>
              <w:right w:val="single" w:sz="4" w:space="0" w:color="000000"/>
            </w:tcBorders>
            <w:vAlign w:val="center"/>
          </w:tcPr>
          <w:p w14:paraId="45829D70"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29</w:t>
            </w:r>
            <w:r w:rsidR="00B324C0" w:rsidRPr="00B324C0">
              <w:rPr>
                <w:rFonts w:ascii="Times New Roman" w:eastAsia="Times New Roman" w:hAnsi="Times New Roman" w:cs="Times New Roman"/>
                <w:sz w:val="24"/>
                <w:szCs w:val="24"/>
              </w:rPr>
              <w:t xml:space="preserve"> </w:t>
            </w:r>
          </w:p>
        </w:tc>
      </w:tr>
      <w:tr w:rsidR="00B324C0" w:rsidRPr="00B324C0" w14:paraId="2021371A" w14:textId="77777777" w:rsidTr="00EB59BA">
        <w:tc>
          <w:tcPr>
            <w:tcW w:w="805" w:type="dxa"/>
            <w:vMerge/>
            <w:tcBorders>
              <w:top w:val="single" w:sz="4" w:space="0" w:color="000000"/>
              <w:left w:val="single" w:sz="4" w:space="0" w:color="000000"/>
              <w:right w:val="single" w:sz="4" w:space="0" w:color="000000"/>
            </w:tcBorders>
          </w:tcPr>
          <w:p w14:paraId="7E1F7A74"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18A9BD56"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42D1563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Mutual Funds/Stocks</w:t>
            </w:r>
          </w:p>
        </w:tc>
        <w:tc>
          <w:tcPr>
            <w:tcW w:w="2198" w:type="dxa"/>
            <w:tcBorders>
              <w:top w:val="single" w:sz="4" w:space="0" w:color="000000"/>
              <w:left w:val="single" w:sz="4" w:space="0" w:color="000000"/>
              <w:bottom w:val="single" w:sz="4" w:space="0" w:color="000000"/>
              <w:right w:val="single" w:sz="4" w:space="0" w:color="000000"/>
            </w:tcBorders>
            <w:vAlign w:val="center"/>
          </w:tcPr>
          <w:p w14:paraId="73E4A0B7"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w:t>
            </w:r>
          </w:p>
        </w:tc>
        <w:tc>
          <w:tcPr>
            <w:tcW w:w="1882" w:type="dxa"/>
            <w:tcBorders>
              <w:top w:val="single" w:sz="4" w:space="0" w:color="000000"/>
              <w:left w:val="single" w:sz="4" w:space="0" w:color="000000"/>
              <w:bottom w:val="single" w:sz="4" w:space="0" w:color="000000"/>
              <w:right w:val="single" w:sz="4" w:space="0" w:color="000000"/>
            </w:tcBorders>
            <w:vAlign w:val="center"/>
          </w:tcPr>
          <w:p w14:paraId="24F6838B"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25</w:t>
            </w:r>
            <w:r w:rsidR="00B324C0" w:rsidRPr="00B324C0">
              <w:rPr>
                <w:rFonts w:ascii="Times New Roman" w:eastAsia="Times New Roman" w:hAnsi="Times New Roman" w:cs="Times New Roman"/>
                <w:sz w:val="24"/>
                <w:szCs w:val="24"/>
              </w:rPr>
              <w:t xml:space="preserve"> </w:t>
            </w:r>
          </w:p>
        </w:tc>
      </w:tr>
      <w:tr w:rsidR="00B324C0" w:rsidRPr="00B324C0" w14:paraId="0BB0104D" w14:textId="77777777" w:rsidTr="00EB59BA">
        <w:tc>
          <w:tcPr>
            <w:tcW w:w="805" w:type="dxa"/>
            <w:vMerge/>
            <w:tcBorders>
              <w:top w:val="single" w:sz="4" w:space="0" w:color="000000"/>
              <w:left w:val="single" w:sz="4" w:space="0" w:color="000000"/>
              <w:right w:val="single" w:sz="4" w:space="0" w:color="000000"/>
            </w:tcBorders>
          </w:tcPr>
          <w:p w14:paraId="354B9E7D"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310BE42C"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303D3FC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Silver</w:t>
            </w:r>
          </w:p>
        </w:tc>
        <w:tc>
          <w:tcPr>
            <w:tcW w:w="2198" w:type="dxa"/>
            <w:tcBorders>
              <w:top w:val="single" w:sz="4" w:space="0" w:color="000000"/>
              <w:left w:val="single" w:sz="4" w:space="0" w:color="000000"/>
              <w:bottom w:val="single" w:sz="4" w:space="0" w:color="000000"/>
              <w:right w:val="single" w:sz="4" w:space="0" w:color="000000"/>
            </w:tcBorders>
            <w:vAlign w:val="center"/>
          </w:tcPr>
          <w:p w14:paraId="38C3ABCD"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w:t>
            </w:r>
          </w:p>
        </w:tc>
        <w:tc>
          <w:tcPr>
            <w:tcW w:w="1882" w:type="dxa"/>
            <w:tcBorders>
              <w:top w:val="single" w:sz="4" w:space="0" w:color="000000"/>
              <w:left w:val="single" w:sz="4" w:space="0" w:color="000000"/>
              <w:bottom w:val="single" w:sz="4" w:space="0" w:color="000000"/>
              <w:right w:val="single" w:sz="4" w:space="0" w:color="000000"/>
            </w:tcBorders>
            <w:vAlign w:val="center"/>
          </w:tcPr>
          <w:p w14:paraId="45A2A566"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18</w:t>
            </w:r>
            <w:r w:rsidR="00B324C0" w:rsidRPr="00B324C0">
              <w:rPr>
                <w:rFonts w:ascii="Times New Roman" w:eastAsia="Times New Roman" w:hAnsi="Times New Roman" w:cs="Times New Roman"/>
                <w:sz w:val="24"/>
                <w:szCs w:val="24"/>
              </w:rPr>
              <w:t xml:space="preserve"> </w:t>
            </w:r>
          </w:p>
        </w:tc>
      </w:tr>
      <w:tr w:rsidR="00B324C0" w:rsidRPr="00B324C0" w14:paraId="21905266" w14:textId="77777777" w:rsidTr="00EB59BA">
        <w:tc>
          <w:tcPr>
            <w:tcW w:w="805" w:type="dxa"/>
            <w:vMerge/>
            <w:tcBorders>
              <w:top w:val="single" w:sz="4" w:space="0" w:color="000000"/>
              <w:left w:val="single" w:sz="4" w:space="0" w:color="000000"/>
              <w:right w:val="single" w:sz="4" w:space="0" w:color="000000"/>
            </w:tcBorders>
          </w:tcPr>
          <w:p w14:paraId="7C6E1011"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256B61ED"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23987D6B"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Fixed Deposits</w:t>
            </w:r>
          </w:p>
        </w:tc>
        <w:tc>
          <w:tcPr>
            <w:tcW w:w="2198" w:type="dxa"/>
            <w:tcBorders>
              <w:top w:val="single" w:sz="4" w:space="0" w:color="000000"/>
              <w:left w:val="single" w:sz="4" w:space="0" w:color="000000"/>
              <w:bottom w:val="single" w:sz="4" w:space="0" w:color="000000"/>
              <w:right w:val="single" w:sz="4" w:space="0" w:color="000000"/>
            </w:tcBorders>
            <w:vAlign w:val="center"/>
          </w:tcPr>
          <w:p w14:paraId="2C102DD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8</w:t>
            </w:r>
          </w:p>
        </w:tc>
        <w:tc>
          <w:tcPr>
            <w:tcW w:w="1882" w:type="dxa"/>
            <w:tcBorders>
              <w:top w:val="single" w:sz="4" w:space="0" w:color="000000"/>
              <w:left w:val="single" w:sz="4" w:space="0" w:color="000000"/>
              <w:bottom w:val="single" w:sz="4" w:space="0" w:color="000000"/>
              <w:right w:val="single" w:sz="4" w:space="0" w:color="000000"/>
            </w:tcBorders>
            <w:vAlign w:val="center"/>
          </w:tcPr>
          <w:p w14:paraId="03BA6A65"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w:t>
            </w:r>
            <w:r w:rsidR="00B324C0" w:rsidRPr="00B324C0">
              <w:rPr>
                <w:rFonts w:ascii="Times New Roman" w:eastAsia="Times New Roman" w:hAnsi="Times New Roman" w:cs="Times New Roman"/>
                <w:sz w:val="24"/>
                <w:szCs w:val="24"/>
              </w:rPr>
              <w:t xml:space="preserve"> </w:t>
            </w:r>
          </w:p>
        </w:tc>
      </w:tr>
      <w:tr w:rsidR="00B324C0" w:rsidRPr="00B324C0" w14:paraId="47AD884B" w14:textId="77777777" w:rsidTr="00EB59BA">
        <w:tc>
          <w:tcPr>
            <w:tcW w:w="805" w:type="dxa"/>
            <w:vMerge/>
            <w:tcBorders>
              <w:top w:val="single" w:sz="4" w:space="0" w:color="000000"/>
              <w:left w:val="single" w:sz="4" w:space="0" w:color="000000"/>
              <w:right w:val="single" w:sz="4" w:space="0" w:color="000000"/>
            </w:tcBorders>
          </w:tcPr>
          <w:p w14:paraId="38B5E540"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3528AC0E"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745D6CD3"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Real Estate</w:t>
            </w:r>
          </w:p>
        </w:tc>
        <w:tc>
          <w:tcPr>
            <w:tcW w:w="2198" w:type="dxa"/>
            <w:tcBorders>
              <w:top w:val="single" w:sz="4" w:space="0" w:color="000000"/>
              <w:left w:val="single" w:sz="4" w:space="0" w:color="000000"/>
              <w:bottom w:val="single" w:sz="4" w:space="0" w:color="000000"/>
              <w:right w:val="single" w:sz="4" w:space="0" w:color="000000"/>
            </w:tcBorders>
            <w:vAlign w:val="center"/>
          </w:tcPr>
          <w:p w14:paraId="3F24CF64"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w:t>
            </w:r>
          </w:p>
        </w:tc>
        <w:tc>
          <w:tcPr>
            <w:tcW w:w="1882" w:type="dxa"/>
            <w:tcBorders>
              <w:top w:val="single" w:sz="4" w:space="0" w:color="000000"/>
              <w:left w:val="single" w:sz="4" w:space="0" w:color="000000"/>
              <w:bottom w:val="single" w:sz="4" w:space="0" w:color="000000"/>
              <w:right w:val="single" w:sz="4" w:space="0" w:color="000000"/>
            </w:tcBorders>
            <w:vAlign w:val="center"/>
          </w:tcPr>
          <w:p w14:paraId="0235092C"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9</w:t>
            </w:r>
            <w:r w:rsidR="00B324C0" w:rsidRPr="00B324C0">
              <w:rPr>
                <w:rFonts w:ascii="Times New Roman" w:eastAsia="Times New Roman" w:hAnsi="Times New Roman" w:cs="Times New Roman"/>
                <w:sz w:val="24"/>
                <w:szCs w:val="24"/>
              </w:rPr>
              <w:t xml:space="preserve"> </w:t>
            </w:r>
          </w:p>
        </w:tc>
      </w:tr>
      <w:tr w:rsidR="00B324C0" w:rsidRPr="00B324C0" w14:paraId="51807937" w14:textId="77777777" w:rsidTr="00EB59BA">
        <w:tc>
          <w:tcPr>
            <w:tcW w:w="805" w:type="dxa"/>
            <w:vMerge/>
            <w:tcBorders>
              <w:top w:val="single" w:sz="4" w:space="0" w:color="000000"/>
              <w:left w:val="single" w:sz="4" w:space="0" w:color="000000"/>
              <w:right w:val="single" w:sz="4" w:space="0" w:color="000000"/>
            </w:tcBorders>
          </w:tcPr>
          <w:p w14:paraId="67527EA3" w14:textId="77777777" w:rsidR="00E84E4C" w:rsidRPr="00B324C0" w:rsidRDefault="00E84E4C" w:rsidP="00B324C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2469" w:type="dxa"/>
            <w:tcBorders>
              <w:top w:val="single" w:sz="4" w:space="0" w:color="000000"/>
              <w:left w:val="single" w:sz="4" w:space="0" w:color="000000"/>
              <w:bottom w:val="single" w:sz="4" w:space="0" w:color="000000"/>
              <w:right w:val="single" w:sz="4" w:space="0" w:color="000000"/>
            </w:tcBorders>
            <w:vAlign w:val="center"/>
          </w:tcPr>
          <w:p w14:paraId="62D11871"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2232" w:type="dxa"/>
            <w:tcBorders>
              <w:top w:val="single" w:sz="4" w:space="0" w:color="000000"/>
              <w:left w:val="single" w:sz="4" w:space="0" w:color="000000"/>
              <w:bottom w:val="single" w:sz="4" w:space="0" w:color="000000"/>
              <w:right w:val="single" w:sz="4" w:space="0" w:color="000000"/>
            </w:tcBorders>
            <w:vAlign w:val="center"/>
          </w:tcPr>
          <w:p w14:paraId="0AA3901B"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None</w:t>
            </w:r>
          </w:p>
        </w:tc>
        <w:tc>
          <w:tcPr>
            <w:tcW w:w="2198" w:type="dxa"/>
            <w:tcBorders>
              <w:top w:val="single" w:sz="4" w:space="0" w:color="000000"/>
              <w:left w:val="single" w:sz="4" w:space="0" w:color="000000"/>
              <w:bottom w:val="single" w:sz="4" w:space="0" w:color="000000"/>
              <w:right w:val="single" w:sz="4" w:space="0" w:color="000000"/>
            </w:tcBorders>
            <w:vAlign w:val="center"/>
          </w:tcPr>
          <w:p w14:paraId="3FDC023F"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w:t>
            </w:r>
          </w:p>
        </w:tc>
        <w:tc>
          <w:tcPr>
            <w:tcW w:w="1882" w:type="dxa"/>
            <w:tcBorders>
              <w:top w:val="single" w:sz="4" w:space="0" w:color="000000"/>
              <w:left w:val="single" w:sz="4" w:space="0" w:color="000000"/>
              <w:bottom w:val="single" w:sz="4" w:space="0" w:color="000000"/>
              <w:right w:val="single" w:sz="4" w:space="0" w:color="000000"/>
            </w:tcBorders>
            <w:vAlign w:val="center"/>
          </w:tcPr>
          <w:p w14:paraId="764F0BB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w:t>
            </w:r>
            <w:r w:rsidR="00B324C0" w:rsidRPr="00B324C0">
              <w:rPr>
                <w:rFonts w:ascii="Times New Roman" w:eastAsia="Times New Roman" w:hAnsi="Times New Roman" w:cs="Times New Roman"/>
                <w:sz w:val="24"/>
                <w:szCs w:val="24"/>
              </w:rPr>
              <w:t xml:space="preserve"> </w:t>
            </w:r>
          </w:p>
        </w:tc>
      </w:tr>
    </w:tbl>
    <w:p w14:paraId="48B70CD2" w14:textId="77777777" w:rsidR="00E84E4C" w:rsidRDefault="00B324C0" w:rsidP="00B324C0">
      <w:pPr>
        <w:pBdr>
          <w:top w:val="nil"/>
          <w:left w:val="nil"/>
          <w:bottom w:val="nil"/>
          <w:right w:val="nil"/>
          <w:between w:val="nil"/>
        </w:pBdr>
        <w:spacing w:line="360" w:lineRule="auto"/>
        <w:jc w:val="both"/>
        <w:rPr>
          <w:rFonts w:ascii="Times New Roman" w:eastAsia="Times New Roman" w:hAnsi="Times New Roman" w:cs="Times New Roman"/>
          <w:b/>
          <w:i/>
          <w:iCs/>
          <w:sz w:val="24"/>
          <w:szCs w:val="24"/>
        </w:rPr>
      </w:pPr>
      <w:r w:rsidRPr="00B324C0">
        <w:rPr>
          <w:rFonts w:ascii="Times New Roman" w:eastAsia="Times New Roman" w:hAnsi="Times New Roman" w:cs="Times New Roman"/>
          <w:b/>
          <w:i/>
          <w:iCs/>
          <w:sz w:val="24"/>
          <w:szCs w:val="24"/>
        </w:rPr>
        <w:t xml:space="preserve"> Source: Primary Data</w:t>
      </w:r>
    </w:p>
    <w:p w14:paraId="3173A5F6" w14:textId="39C382B1" w:rsidR="00E84E4C" w:rsidRPr="00B324C0" w:rsidRDefault="00EB59BA" w:rsidP="00EB59BA">
      <w:pPr>
        <w:spacing w:line="360" w:lineRule="auto"/>
        <w:ind w:firstLine="720"/>
        <w:jc w:val="both"/>
        <w:rPr>
          <w:rFonts w:ascii="Times New Roman" w:eastAsia="Times New Roman" w:hAnsi="Times New Roman" w:cs="Times New Roman"/>
          <w:b/>
          <w:bCs/>
          <w:i/>
          <w:iCs/>
          <w:sz w:val="24"/>
          <w:szCs w:val="24"/>
        </w:rPr>
      </w:pPr>
      <w:r w:rsidRPr="00EB59BA">
        <w:rPr>
          <w:rFonts w:ascii="Times New Roman" w:eastAsia="Times New Roman" w:hAnsi="Times New Roman" w:cs="Times New Roman"/>
          <w:iCs/>
          <w:sz w:val="24"/>
          <w:szCs w:val="24"/>
        </w:rPr>
        <w:t>The above table shows that 75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of the respondents reported owning gold, while the remaining 25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did not possess any gold in the study area. Among those who owned gold, the average quantity was 35 grams, with the amount ranging from 5 grams to 150 grams, indicating considerable variation in the level of gold ownership among the respondents. The table highlights that 32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of the respondents had purchased gold within the last six months, while 27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 xml:space="preserve">cent reported making their gold purchase between 6 </w:t>
      </w:r>
      <w:r w:rsidR="007A1172">
        <w:rPr>
          <w:rFonts w:ascii="Times New Roman" w:eastAsia="Times New Roman" w:hAnsi="Times New Roman" w:cs="Times New Roman"/>
          <w:iCs/>
          <w:sz w:val="24"/>
          <w:szCs w:val="24"/>
        </w:rPr>
        <w:t>and</w:t>
      </w:r>
      <w:r w:rsidRPr="00EB59BA">
        <w:rPr>
          <w:rFonts w:ascii="Times New Roman" w:eastAsia="Times New Roman" w:hAnsi="Times New Roman" w:cs="Times New Roman"/>
          <w:iCs/>
          <w:sz w:val="24"/>
          <w:szCs w:val="24"/>
        </w:rPr>
        <w:t xml:space="preserve"> 12 months ago in the study area. This shows that a considerable proportion of respondents have made relatively recent gold purchases. The study found that 43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of the respondents purchased gold for savings or investment purposes, making it the most common reason for purchase. This is followed by 21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who bought gold for marriage, 16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for gifting, and 11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 xml:space="preserve">cent for religious or cultural occasions. </w:t>
      </w:r>
      <w:r w:rsidRPr="00EB59BA">
        <w:rPr>
          <w:rFonts w:ascii="Times New Roman" w:eastAsia="Times New Roman" w:hAnsi="Times New Roman" w:cs="Times New Roman"/>
          <w:iCs/>
          <w:sz w:val="24"/>
          <w:szCs w:val="24"/>
        </w:rPr>
        <w:lastRenderedPageBreak/>
        <w:t>The remaining 9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reported other reasons for their gold purchase in the study area. It is evident from the table that 68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of the respondents reported that the rising price of gold had affected their ability to purchase it, while the remaining 32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stated that it had not impacted their purchase decisions. Among those who were affected, 55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indicated that they had reduced the quantity of gold purchased, 29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had delayed their purchase, and 16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 xml:space="preserve">cent had shifted to alternative options. This indicates that the increase in gold prices has led to noticeable changes in purchasing </w:t>
      </w:r>
      <w:proofErr w:type="spellStart"/>
      <w:r w:rsidRPr="00EB59BA">
        <w:rPr>
          <w:rFonts w:ascii="Times New Roman" w:eastAsia="Times New Roman" w:hAnsi="Times New Roman" w:cs="Times New Roman"/>
          <w:iCs/>
          <w:sz w:val="24"/>
          <w:szCs w:val="24"/>
        </w:rPr>
        <w:t>behavio</w:t>
      </w:r>
      <w:r w:rsidR="007A1172">
        <w:rPr>
          <w:rFonts w:ascii="Times New Roman" w:eastAsia="Times New Roman" w:hAnsi="Times New Roman" w:cs="Times New Roman"/>
          <w:iCs/>
          <w:sz w:val="24"/>
          <w:szCs w:val="24"/>
        </w:rPr>
        <w:t>u</w:t>
      </w:r>
      <w:r w:rsidRPr="00EB59BA">
        <w:rPr>
          <w:rFonts w:ascii="Times New Roman" w:eastAsia="Times New Roman" w:hAnsi="Times New Roman" w:cs="Times New Roman"/>
          <w:iCs/>
          <w:sz w:val="24"/>
          <w:szCs w:val="24"/>
        </w:rPr>
        <w:t>r</w:t>
      </w:r>
      <w:proofErr w:type="spellEnd"/>
      <w:r w:rsidRPr="00EB59BA">
        <w:rPr>
          <w:rFonts w:ascii="Times New Roman" w:eastAsia="Times New Roman" w:hAnsi="Times New Roman" w:cs="Times New Roman"/>
          <w:iCs/>
          <w:sz w:val="24"/>
          <w:szCs w:val="24"/>
        </w:rPr>
        <w:t xml:space="preserve"> among a majority of the respondents in the study area. It can be observed from the table that 59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of the respondents had postponed or cance</w:t>
      </w:r>
      <w:r w:rsidR="007A1172">
        <w:rPr>
          <w:rFonts w:ascii="Times New Roman" w:eastAsia="Times New Roman" w:hAnsi="Times New Roman" w:cs="Times New Roman"/>
          <w:iCs/>
          <w:sz w:val="24"/>
          <w:szCs w:val="24"/>
        </w:rPr>
        <w:t>l</w:t>
      </w:r>
      <w:r w:rsidRPr="00EB59BA">
        <w:rPr>
          <w:rFonts w:ascii="Times New Roman" w:eastAsia="Times New Roman" w:hAnsi="Times New Roman" w:cs="Times New Roman"/>
          <w:iCs/>
          <w:sz w:val="24"/>
          <w:szCs w:val="24"/>
        </w:rPr>
        <w:t>led their planned gold purchases due to price hikes, while 41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reported that they had not altered their plans. Among those who were affected, 58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stated that they had postponed their purchase for 6–12 months, and the remaining 42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had cance</w:t>
      </w:r>
      <w:r w:rsidR="007A1172">
        <w:rPr>
          <w:rFonts w:ascii="Times New Roman" w:eastAsia="Times New Roman" w:hAnsi="Times New Roman" w:cs="Times New Roman"/>
          <w:iCs/>
          <w:sz w:val="24"/>
          <w:szCs w:val="24"/>
        </w:rPr>
        <w:t>l</w:t>
      </w:r>
      <w:r w:rsidRPr="00EB59BA">
        <w:rPr>
          <w:rFonts w:ascii="Times New Roman" w:eastAsia="Times New Roman" w:hAnsi="Times New Roman" w:cs="Times New Roman"/>
          <w:iCs/>
          <w:sz w:val="24"/>
          <w:szCs w:val="24"/>
        </w:rPr>
        <w:t>led their purchase completely. This indicates that rising gold prices have significantly influenced the purchasing decisions of a majority of respondents in the study area.</w:t>
      </w:r>
      <w:r w:rsidR="007A1172">
        <w:rPr>
          <w:rFonts w:ascii="Times New Roman" w:eastAsia="Times New Roman" w:hAnsi="Times New Roman" w:cs="Times New Roman"/>
          <w:iCs/>
          <w:sz w:val="24"/>
          <w:szCs w:val="24"/>
        </w:rPr>
        <w:t xml:space="preserve"> </w:t>
      </w:r>
      <w:proofErr w:type="gramStart"/>
      <w:r w:rsidRPr="00EB59BA">
        <w:rPr>
          <w:rFonts w:ascii="Times New Roman" w:eastAsia="Times New Roman" w:hAnsi="Times New Roman" w:cs="Times New Roman"/>
          <w:iCs/>
          <w:sz w:val="24"/>
          <w:szCs w:val="24"/>
        </w:rPr>
        <w:t>The  table</w:t>
      </w:r>
      <w:proofErr w:type="gramEnd"/>
      <w:r w:rsidRPr="00EB59BA">
        <w:rPr>
          <w:rFonts w:ascii="Times New Roman" w:eastAsia="Times New Roman" w:hAnsi="Times New Roman" w:cs="Times New Roman"/>
          <w:iCs/>
          <w:sz w:val="24"/>
          <w:szCs w:val="24"/>
        </w:rPr>
        <w:t xml:space="preserve"> illustrates that 29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of the respondents considered digital gold as an alternative to purchasing physical gold, followed by 25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who opted for mutual funds or stocks. Additionally, 18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chose silver, 14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preferred fixed deposits, and 9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considered real estate as an alternative option. The remaining 5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reported that they had not considered any alternatives in the study area.</w:t>
      </w:r>
      <w:bookmarkStart w:id="0" w:name="_pyf925yll7x" w:colFirst="0" w:colLast="0"/>
      <w:bookmarkEnd w:id="0"/>
    </w:p>
    <w:p w14:paraId="3CB2A7C2" w14:textId="1AA15195" w:rsidR="00E84E4C" w:rsidRPr="00B324C0" w:rsidRDefault="00984DED" w:rsidP="00B324C0">
      <w:pPr>
        <w:pStyle w:val="Heading4"/>
        <w:spacing w:line="360" w:lineRule="auto"/>
        <w:jc w:val="both"/>
        <w:rPr>
          <w:rFonts w:ascii="Times New Roman" w:eastAsia="Times New Roman" w:hAnsi="Times New Roman" w:cs="Times New Roman"/>
          <w:b/>
          <w:bCs/>
          <w:i w:val="0"/>
          <w:iCs w:val="0"/>
          <w:color w:val="auto"/>
          <w:sz w:val="24"/>
          <w:szCs w:val="24"/>
        </w:rPr>
      </w:pPr>
      <w:r w:rsidRPr="00B324C0">
        <w:rPr>
          <w:rFonts w:ascii="Times New Roman" w:eastAsia="Times New Roman" w:hAnsi="Times New Roman" w:cs="Times New Roman"/>
          <w:b/>
          <w:bCs/>
          <w:i w:val="0"/>
          <w:iCs w:val="0"/>
          <w:color w:val="auto"/>
          <w:sz w:val="24"/>
          <w:szCs w:val="24"/>
        </w:rPr>
        <w:t>Table No: 6- Socio-Economic Aspirations and Emotional Impact</w:t>
      </w:r>
      <w:r w:rsidR="007A1172">
        <w:rPr>
          <w:rFonts w:ascii="Times New Roman" w:eastAsia="Times New Roman" w:hAnsi="Times New Roman" w:cs="Times New Roman"/>
          <w:b/>
          <w:bCs/>
          <w:i w:val="0"/>
          <w:iCs w:val="0"/>
          <w:color w:val="auto"/>
          <w:sz w:val="24"/>
          <w:szCs w:val="24"/>
        </w:rPr>
        <w:t>:</w:t>
      </w:r>
      <w:r w:rsidRPr="00B324C0">
        <w:rPr>
          <w:rFonts w:ascii="Times New Roman" w:eastAsia="Times New Roman" w:hAnsi="Times New Roman" w:cs="Times New Roman"/>
          <w:b/>
          <w:bCs/>
          <w:i w:val="0"/>
          <w:iCs w:val="0"/>
          <w:color w:val="auto"/>
          <w:sz w:val="24"/>
          <w:szCs w:val="24"/>
        </w:rPr>
        <w:t xml:space="preserve"> Importance of Gold Ownership in Family’s Social Status or Traditions</w:t>
      </w:r>
    </w:p>
    <w:tbl>
      <w:tblPr>
        <w:tblStyle w:val="a4"/>
        <w:tblW w:w="95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3718"/>
        <w:gridCol w:w="2643"/>
        <w:gridCol w:w="2330"/>
      </w:tblGrid>
      <w:tr w:rsidR="00B324C0" w:rsidRPr="00B324C0" w14:paraId="58E908A2" w14:textId="77777777" w:rsidTr="00EB59BA">
        <w:trPr>
          <w:jc w:val="center"/>
        </w:trPr>
        <w:tc>
          <w:tcPr>
            <w:tcW w:w="895" w:type="dxa"/>
            <w:tcBorders>
              <w:top w:val="single" w:sz="4" w:space="0" w:color="000000"/>
              <w:left w:val="single" w:sz="4" w:space="0" w:color="000000"/>
              <w:bottom w:val="single" w:sz="4" w:space="0" w:color="000000"/>
              <w:right w:val="single" w:sz="4" w:space="0" w:color="000000"/>
            </w:tcBorders>
          </w:tcPr>
          <w:p w14:paraId="2CDA8BB4"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3718" w:type="dxa"/>
            <w:tcBorders>
              <w:top w:val="single" w:sz="4" w:space="0" w:color="000000"/>
              <w:left w:val="single" w:sz="4" w:space="0" w:color="000000"/>
              <w:bottom w:val="single" w:sz="4" w:space="0" w:color="000000"/>
              <w:right w:val="single" w:sz="4" w:space="0" w:color="000000"/>
            </w:tcBorders>
            <w:vAlign w:val="center"/>
          </w:tcPr>
          <w:p w14:paraId="572E4424"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Importance Level</w:t>
            </w:r>
          </w:p>
        </w:tc>
        <w:tc>
          <w:tcPr>
            <w:tcW w:w="2643" w:type="dxa"/>
            <w:tcBorders>
              <w:top w:val="single" w:sz="4" w:space="0" w:color="000000"/>
              <w:left w:val="single" w:sz="4" w:space="0" w:color="000000"/>
              <w:bottom w:val="single" w:sz="4" w:space="0" w:color="000000"/>
              <w:right w:val="single" w:sz="4" w:space="0" w:color="000000"/>
            </w:tcBorders>
            <w:vAlign w:val="center"/>
          </w:tcPr>
          <w:p w14:paraId="24F90B6C"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Number of Respondents</w:t>
            </w:r>
          </w:p>
        </w:tc>
        <w:tc>
          <w:tcPr>
            <w:tcW w:w="2330" w:type="dxa"/>
            <w:tcBorders>
              <w:top w:val="single" w:sz="4" w:space="0" w:color="000000"/>
              <w:left w:val="single" w:sz="4" w:space="0" w:color="000000"/>
              <w:bottom w:val="single" w:sz="4" w:space="0" w:color="000000"/>
              <w:right w:val="single" w:sz="4" w:space="0" w:color="000000"/>
            </w:tcBorders>
            <w:vAlign w:val="center"/>
          </w:tcPr>
          <w:p w14:paraId="0137E8C2" w14:textId="77777777" w:rsidR="00E84E4C" w:rsidRPr="00B324C0" w:rsidRDefault="00EB59BA" w:rsidP="00B324C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B324C0" w:rsidRPr="00B324C0" w14:paraId="15BADA74" w14:textId="77777777" w:rsidTr="00EB59BA">
        <w:trPr>
          <w:jc w:val="center"/>
        </w:trPr>
        <w:tc>
          <w:tcPr>
            <w:tcW w:w="895" w:type="dxa"/>
            <w:tcBorders>
              <w:top w:val="single" w:sz="4" w:space="0" w:color="000000"/>
              <w:left w:val="single" w:sz="4" w:space="0" w:color="000000"/>
              <w:bottom w:val="single" w:sz="4" w:space="0" w:color="000000"/>
              <w:right w:val="single" w:sz="4" w:space="0" w:color="000000"/>
            </w:tcBorders>
          </w:tcPr>
          <w:p w14:paraId="7EFD047E"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3718" w:type="dxa"/>
            <w:tcBorders>
              <w:top w:val="single" w:sz="4" w:space="0" w:color="000000"/>
              <w:left w:val="single" w:sz="4" w:space="0" w:color="000000"/>
              <w:bottom w:val="single" w:sz="4" w:space="0" w:color="000000"/>
              <w:right w:val="single" w:sz="4" w:space="0" w:color="000000"/>
            </w:tcBorders>
            <w:vAlign w:val="center"/>
          </w:tcPr>
          <w:p w14:paraId="4BA252AE"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Extremely Important</w:t>
            </w:r>
          </w:p>
        </w:tc>
        <w:tc>
          <w:tcPr>
            <w:tcW w:w="2643" w:type="dxa"/>
            <w:tcBorders>
              <w:top w:val="single" w:sz="4" w:space="0" w:color="000000"/>
              <w:left w:val="single" w:sz="4" w:space="0" w:color="000000"/>
              <w:bottom w:val="single" w:sz="4" w:space="0" w:color="000000"/>
              <w:right w:val="single" w:sz="4" w:space="0" w:color="000000"/>
            </w:tcBorders>
            <w:vAlign w:val="center"/>
          </w:tcPr>
          <w:p w14:paraId="2D4AAF42"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w:t>
            </w:r>
          </w:p>
        </w:tc>
        <w:tc>
          <w:tcPr>
            <w:tcW w:w="2330" w:type="dxa"/>
            <w:tcBorders>
              <w:top w:val="single" w:sz="4" w:space="0" w:color="000000"/>
              <w:left w:val="single" w:sz="4" w:space="0" w:color="000000"/>
              <w:bottom w:val="single" w:sz="4" w:space="0" w:color="000000"/>
              <w:right w:val="single" w:sz="4" w:space="0" w:color="000000"/>
            </w:tcBorders>
            <w:vAlign w:val="center"/>
          </w:tcPr>
          <w:p w14:paraId="25324CD9"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25.0</w:t>
            </w:r>
          </w:p>
        </w:tc>
      </w:tr>
      <w:tr w:rsidR="00B324C0" w:rsidRPr="00B324C0" w14:paraId="3CAFF48C" w14:textId="77777777" w:rsidTr="00EB59BA">
        <w:trPr>
          <w:jc w:val="center"/>
        </w:trPr>
        <w:tc>
          <w:tcPr>
            <w:tcW w:w="895" w:type="dxa"/>
            <w:tcBorders>
              <w:top w:val="single" w:sz="4" w:space="0" w:color="000000"/>
              <w:left w:val="single" w:sz="4" w:space="0" w:color="000000"/>
              <w:bottom w:val="single" w:sz="4" w:space="0" w:color="000000"/>
              <w:right w:val="single" w:sz="4" w:space="0" w:color="000000"/>
            </w:tcBorders>
          </w:tcPr>
          <w:p w14:paraId="3C5B61C4"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3718" w:type="dxa"/>
            <w:tcBorders>
              <w:top w:val="single" w:sz="4" w:space="0" w:color="000000"/>
              <w:left w:val="single" w:sz="4" w:space="0" w:color="000000"/>
              <w:bottom w:val="single" w:sz="4" w:space="0" w:color="000000"/>
              <w:right w:val="single" w:sz="4" w:space="0" w:color="000000"/>
            </w:tcBorders>
            <w:vAlign w:val="center"/>
          </w:tcPr>
          <w:p w14:paraId="18C27CF0"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Very Important</w:t>
            </w:r>
          </w:p>
        </w:tc>
        <w:tc>
          <w:tcPr>
            <w:tcW w:w="2643" w:type="dxa"/>
            <w:tcBorders>
              <w:top w:val="single" w:sz="4" w:space="0" w:color="000000"/>
              <w:left w:val="single" w:sz="4" w:space="0" w:color="000000"/>
              <w:bottom w:val="single" w:sz="4" w:space="0" w:color="000000"/>
              <w:right w:val="single" w:sz="4" w:space="0" w:color="000000"/>
            </w:tcBorders>
            <w:vAlign w:val="center"/>
          </w:tcPr>
          <w:p w14:paraId="783FC9C4"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18</w:t>
            </w:r>
          </w:p>
        </w:tc>
        <w:tc>
          <w:tcPr>
            <w:tcW w:w="2330" w:type="dxa"/>
            <w:tcBorders>
              <w:top w:val="single" w:sz="4" w:space="0" w:color="000000"/>
              <w:left w:val="single" w:sz="4" w:space="0" w:color="000000"/>
              <w:bottom w:val="single" w:sz="4" w:space="0" w:color="000000"/>
              <w:right w:val="single" w:sz="4" w:space="0" w:color="000000"/>
            </w:tcBorders>
            <w:vAlign w:val="center"/>
          </w:tcPr>
          <w:p w14:paraId="422C6874"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32.1</w:t>
            </w:r>
          </w:p>
        </w:tc>
      </w:tr>
      <w:tr w:rsidR="00B324C0" w:rsidRPr="00B324C0" w14:paraId="7C8C21B8" w14:textId="77777777" w:rsidTr="00EB59BA">
        <w:trPr>
          <w:jc w:val="center"/>
        </w:trPr>
        <w:tc>
          <w:tcPr>
            <w:tcW w:w="895" w:type="dxa"/>
            <w:tcBorders>
              <w:top w:val="single" w:sz="4" w:space="0" w:color="000000"/>
              <w:left w:val="single" w:sz="4" w:space="0" w:color="000000"/>
              <w:bottom w:val="single" w:sz="4" w:space="0" w:color="000000"/>
              <w:right w:val="single" w:sz="4" w:space="0" w:color="000000"/>
            </w:tcBorders>
          </w:tcPr>
          <w:p w14:paraId="4545607F"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w:t>
            </w:r>
          </w:p>
        </w:tc>
        <w:tc>
          <w:tcPr>
            <w:tcW w:w="3718" w:type="dxa"/>
            <w:tcBorders>
              <w:top w:val="single" w:sz="4" w:space="0" w:color="000000"/>
              <w:left w:val="single" w:sz="4" w:space="0" w:color="000000"/>
              <w:bottom w:val="single" w:sz="4" w:space="0" w:color="000000"/>
              <w:right w:val="single" w:sz="4" w:space="0" w:color="000000"/>
            </w:tcBorders>
            <w:vAlign w:val="center"/>
          </w:tcPr>
          <w:p w14:paraId="1193C679"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Moderately Important</w:t>
            </w:r>
          </w:p>
        </w:tc>
        <w:tc>
          <w:tcPr>
            <w:tcW w:w="2643" w:type="dxa"/>
            <w:tcBorders>
              <w:top w:val="single" w:sz="4" w:space="0" w:color="000000"/>
              <w:left w:val="single" w:sz="4" w:space="0" w:color="000000"/>
              <w:bottom w:val="single" w:sz="4" w:space="0" w:color="000000"/>
              <w:right w:val="single" w:sz="4" w:space="0" w:color="000000"/>
            </w:tcBorders>
            <w:vAlign w:val="center"/>
          </w:tcPr>
          <w:p w14:paraId="6D31DDBB"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12</w:t>
            </w:r>
          </w:p>
        </w:tc>
        <w:tc>
          <w:tcPr>
            <w:tcW w:w="2330" w:type="dxa"/>
            <w:tcBorders>
              <w:top w:val="single" w:sz="4" w:space="0" w:color="000000"/>
              <w:left w:val="single" w:sz="4" w:space="0" w:color="000000"/>
              <w:bottom w:val="single" w:sz="4" w:space="0" w:color="000000"/>
              <w:right w:val="single" w:sz="4" w:space="0" w:color="000000"/>
            </w:tcBorders>
            <w:vAlign w:val="center"/>
          </w:tcPr>
          <w:p w14:paraId="2D143D9B"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21.4</w:t>
            </w:r>
          </w:p>
        </w:tc>
      </w:tr>
      <w:tr w:rsidR="00B324C0" w:rsidRPr="00B324C0" w14:paraId="5BB8D16D" w14:textId="77777777" w:rsidTr="00EB59BA">
        <w:trPr>
          <w:jc w:val="center"/>
        </w:trPr>
        <w:tc>
          <w:tcPr>
            <w:tcW w:w="895" w:type="dxa"/>
            <w:tcBorders>
              <w:top w:val="single" w:sz="4" w:space="0" w:color="000000"/>
              <w:left w:val="single" w:sz="4" w:space="0" w:color="000000"/>
              <w:bottom w:val="single" w:sz="4" w:space="0" w:color="000000"/>
              <w:right w:val="single" w:sz="4" w:space="0" w:color="000000"/>
            </w:tcBorders>
          </w:tcPr>
          <w:p w14:paraId="26F69BD0"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w:t>
            </w:r>
          </w:p>
        </w:tc>
        <w:tc>
          <w:tcPr>
            <w:tcW w:w="3718" w:type="dxa"/>
            <w:tcBorders>
              <w:top w:val="single" w:sz="4" w:space="0" w:color="000000"/>
              <w:left w:val="single" w:sz="4" w:space="0" w:color="000000"/>
              <w:bottom w:val="single" w:sz="4" w:space="0" w:color="000000"/>
              <w:right w:val="single" w:sz="4" w:space="0" w:color="000000"/>
            </w:tcBorders>
            <w:vAlign w:val="center"/>
          </w:tcPr>
          <w:p w14:paraId="5DC439BA"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Slightly Important</w:t>
            </w:r>
          </w:p>
        </w:tc>
        <w:tc>
          <w:tcPr>
            <w:tcW w:w="2643" w:type="dxa"/>
            <w:tcBorders>
              <w:top w:val="single" w:sz="4" w:space="0" w:color="000000"/>
              <w:left w:val="single" w:sz="4" w:space="0" w:color="000000"/>
              <w:bottom w:val="single" w:sz="4" w:space="0" w:color="000000"/>
              <w:right w:val="single" w:sz="4" w:space="0" w:color="000000"/>
            </w:tcBorders>
            <w:vAlign w:val="center"/>
          </w:tcPr>
          <w:p w14:paraId="4BE77321"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8</w:t>
            </w:r>
          </w:p>
        </w:tc>
        <w:tc>
          <w:tcPr>
            <w:tcW w:w="2330" w:type="dxa"/>
            <w:tcBorders>
              <w:top w:val="single" w:sz="4" w:space="0" w:color="000000"/>
              <w:left w:val="single" w:sz="4" w:space="0" w:color="000000"/>
              <w:bottom w:val="single" w:sz="4" w:space="0" w:color="000000"/>
              <w:right w:val="single" w:sz="4" w:space="0" w:color="000000"/>
            </w:tcBorders>
            <w:vAlign w:val="center"/>
          </w:tcPr>
          <w:p w14:paraId="09389BAC"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14.3</w:t>
            </w:r>
          </w:p>
        </w:tc>
      </w:tr>
      <w:tr w:rsidR="00B324C0" w:rsidRPr="00B324C0" w14:paraId="7D5A312C" w14:textId="77777777" w:rsidTr="00EB59BA">
        <w:trPr>
          <w:jc w:val="center"/>
        </w:trPr>
        <w:tc>
          <w:tcPr>
            <w:tcW w:w="895" w:type="dxa"/>
            <w:tcBorders>
              <w:top w:val="single" w:sz="4" w:space="0" w:color="000000"/>
              <w:left w:val="single" w:sz="4" w:space="0" w:color="000000"/>
              <w:bottom w:val="single" w:sz="4" w:space="0" w:color="000000"/>
              <w:right w:val="single" w:sz="4" w:space="0" w:color="000000"/>
            </w:tcBorders>
          </w:tcPr>
          <w:p w14:paraId="5C47286C"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w:t>
            </w:r>
          </w:p>
        </w:tc>
        <w:tc>
          <w:tcPr>
            <w:tcW w:w="3718" w:type="dxa"/>
            <w:tcBorders>
              <w:top w:val="single" w:sz="4" w:space="0" w:color="000000"/>
              <w:left w:val="single" w:sz="4" w:space="0" w:color="000000"/>
              <w:bottom w:val="single" w:sz="4" w:space="0" w:color="000000"/>
              <w:right w:val="single" w:sz="4" w:space="0" w:color="000000"/>
            </w:tcBorders>
            <w:vAlign w:val="center"/>
          </w:tcPr>
          <w:p w14:paraId="30E6B1AB"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Not Important</w:t>
            </w:r>
          </w:p>
        </w:tc>
        <w:tc>
          <w:tcPr>
            <w:tcW w:w="2643" w:type="dxa"/>
            <w:tcBorders>
              <w:top w:val="single" w:sz="4" w:space="0" w:color="000000"/>
              <w:left w:val="single" w:sz="4" w:space="0" w:color="000000"/>
              <w:bottom w:val="single" w:sz="4" w:space="0" w:color="000000"/>
              <w:right w:val="single" w:sz="4" w:space="0" w:color="000000"/>
            </w:tcBorders>
            <w:vAlign w:val="center"/>
          </w:tcPr>
          <w:p w14:paraId="1D3ABF52"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w:t>
            </w:r>
          </w:p>
        </w:tc>
        <w:tc>
          <w:tcPr>
            <w:tcW w:w="2330" w:type="dxa"/>
            <w:tcBorders>
              <w:top w:val="single" w:sz="4" w:space="0" w:color="000000"/>
              <w:left w:val="single" w:sz="4" w:space="0" w:color="000000"/>
              <w:bottom w:val="single" w:sz="4" w:space="0" w:color="000000"/>
              <w:right w:val="single" w:sz="4" w:space="0" w:color="000000"/>
            </w:tcBorders>
            <w:vAlign w:val="center"/>
          </w:tcPr>
          <w:p w14:paraId="71CA6A3A"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7.2</w:t>
            </w:r>
          </w:p>
        </w:tc>
      </w:tr>
      <w:tr w:rsidR="00B324C0" w:rsidRPr="00B324C0" w14:paraId="65D6AB00" w14:textId="77777777" w:rsidTr="00EB59BA">
        <w:trPr>
          <w:jc w:val="center"/>
        </w:trPr>
        <w:tc>
          <w:tcPr>
            <w:tcW w:w="895" w:type="dxa"/>
            <w:tcBorders>
              <w:top w:val="single" w:sz="4" w:space="0" w:color="000000"/>
              <w:left w:val="single" w:sz="4" w:space="0" w:color="000000"/>
              <w:bottom w:val="single" w:sz="4" w:space="0" w:color="000000"/>
              <w:right w:val="single" w:sz="4" w:space="0" w:color="000000"/>
            </w:tcBorders>
          </w:tcPr>
          <w:p w14:paraId="081D59CD" w14:textId="77777777" w:rsidR="00E84E4C" w:rsidRPr="00B324C0" w:rsidRDefault="00E84E4C" w:rsidP="00EB59BA">
            <w:pPr>
              <w:spacing w:line="360" w:lineRule="auto"/>
              <w:jc w:val="center"/>
              <w:rPr>
                <w:rFonts w:ascii="Times New Roman" w:eastAsia="Times New Roman" w:hAnsi="Times New Roman" w:cs="Times New Roman"/>
                <w:sz w:val="24"/>
                <w:szCs w:val="24"/>
              </w:rPr>
            </w:pPr>
          </w:p>
        </w:tc>
        <w:tc>
          <w:tcPr>
            <w:tcW w:w="3718" w:type="dxa"/>
            <w:tcBorders>
              <w:top w:val="single" w:sz="4" w:space="0" w:color="000000"/>
              <w:left w:val="single" w:sz="4" w:space="0" w:color="000000"/>
              <w:bottom w:val="single" w:sz="4" w:space="0" w:color="000000"/>
              <w:right w:val="single" w:sz="4" w:space="0" w:color="000000"/>
            </w:tcBorders>
          </w:tcPr>
          <w:p w14:paraId="690AC7D7"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Total</w:t>
            </w:r>
          </w:p>
        </w:tc>
        <w:tc>
          <w:tcPr>
            <w:tcW w:w="2643" w:type="dxa"/>
            <w:tcBorders>
              <w:top w:val="single" w:sz="4" w:space="0" w:color="000000"/>
              <w:left w:val="single" w:sz="4" w:space="0" w:color="000000"/>
              <w:bottom w:val="single" w:sz="4" w:space="0" w:color="000000"/>
              <w:right w:val="single" w:sz="4" w:space="0" w:color="000000"/>
            </w:tcBorders>
          </w:tcPr>
          <w:p w14:paraId="5DA1700D"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2330" w:type="dxa"/>
            <w:tcBorders>
              <w:top w:val="single" w:sz="4" w:space="0" w:color="000000"/>
              <w:left w:val="single" w:sz="4" w:space="0" w:color="000000"/>
              <w:bottom w:val="single" w:sz="4" w:space="0" w:color="000000"/>
              <w:right w:val="single" w:sz="4" w:space="0" w:color="000000"/>
            </w:tcBorders>
          </w:tcPr>
          <w:p w14:paraId="1554809C"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p>
        </w:tc>
      </w:tr>
    </w:tbl>
    <w:p w14:paraId="776B0007" w14:textId="77777777" w:rsidR="00E84E4C" w:rsidRDefault="00B324C0" w:rsidP="00B324C0">
      <w:pPr>
        <w:pBdr>
          <w:top w:val="nil"/>
          <w:left w:val="nil"/>
          <w:bottom w:val="nil"/>
          <w:right w:val="nil"/>
          <w:between w:val="nil"/>
        </w:pBdr>
        <w:spacing w:line="360" w:lineRule="auto"/>
        <w:jc w:val="both"/>
        <w:rPr>
          <w:rFonts w:ascii="Times New Roman" w:eastAsia="Times New Roman" w:hAnsi="Times New Roman" w:cs="Times New Roman"/>
          <w:b/>
          <w:i/>
          <w:iCs/>
          <w:sz w:val="24"/>
          <w:szCs w:val="24"/>
        </w:rPr>
      </w:pPr>
      <w:r w:rsidRPr="00B324C0">
        <w:rPr>
          <w:rFonts w:ascii="Times New Roman" w:eastAsia="Times New Roman" w:hAnsi="Times New Roman" w:cs="Times New Roman"/>
          <w:b/>
          <w:i/>
          <w:iCs/>
          <w:sz w:val="24"/>
          <w:szCs w:val="24"/>
        </w:rPr>
        <w:t xml:space="preserve"> Source: Primary Data</w:t>
      </w:r>
    </w:p>
    <w:p w14:paraId="5EED155C" w14:textId="75E380BF" w:rsidR="00EB59BA" w:rsidRPr="00B324C0" w:rsidRDefault="00EB59BA" w:rsidP="00EB59BA">
      <w:pPr>
        <w:pBdr>
          <w:top w:val="nil"/>
          <w:left w:val="nil"/>
          <w:bottom w:val="nil"/>
          <w:right w:val="nil"/>
          <w:between w:val="nil"/>
        </w:pBdr>
        <w:spacing w:line="360" w:lineRule="auto"/>
        <w:ind w:firstLine="720"/>
        <w:jc w:val="both"/>
        <w:rPr>
          <w:rFonts w:ascii="Times New Roman" w:eastAsia="Times New Roman" w:hAnsi="Times New Roman" w:cs="Times New Roman"/>
          <w:iCs/>
          <w:sz w:val="24"/>
          <w:szCs w:val="24"/>
        </w:rPr>
      </w:pPr>
      <w:r w:rsidRPr="00EB59BA">
        <w:rPr>
          <w:rFonts w:ascii="Times New Roman" w:eastAsia="Times New Roman" w:hAnsi="Times New Roman" w:cs="Times New Roman"/>
          <w:iCs/>
          <w:sz w:val="24"/>
          <w:szCs w:val="24"/>
        </w:rPr>
        <w:t xml:space="preserve">The data presented in table 6 shows that 32.1 percent of the respondents considered gold ownership as very important for their family’s social status or traditions, followed by 25 percent </w:t>
      </w:r>
      <w:r w:rsidRPr="00EB59BA">
        <w:rPr>
          <w:rFonts w:ascii="Times New Roman" w:eastAsia="Times New Roman" w:hAnsi="Times New Roman" w:cs="Times New Roman"/>
          <w:iCs/>
          <w:sz w:val="24"/>
          <w:szCs w:val="24"/>
        </w:rPr>
        <w:lastRenderedPageBreak/>
        <w:t>who viewed it as extremely important. Additionally, 21.4 percent felt it was moderately important, while 14.3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regarded it as slightly important. Only 7.2 per</w:t>
      </w:r>
      <w:r w:rsidR="007A1172">
        <w:rPr>
          <w:rFonts w:ascii="Times New Roman" w:eastAsia="Times New Roman" w:hAnsi="Times New Roman" w:cs="Times New Roman"/>
          <w:iCs/>
          <w:sz w:val="24"/>
          <w:szCs w:val="24"/>
        </w:rPr>
        <w:t xml:space="preserve"> </w:t>
      </w:r>
      <w:r w:rsidRPr="00EB59BA">
        <w:rPr>
          <w:rFonts w:ascii="Times New Roman" w:eastAsia="Times New Roman" w:hAnsi="Times New Roman" w:cs="Times New Roman"/>
          <w:iCs/>
          <w:sz w:val="24"/>
          <w:szCs w:val="24"/>
        </w:rPr>
        <w:t>cent of the respondents stated that gold ownership was not important. This indicates that gold holds significant socio-economic and cultural value for a majority of the respondents in the study area.</w:t>
      </w:r>
    </w:p>
    <w:p w14:paraId="48595E56" w14:textId="77777777" w:rsidR="00E84E4C" w:rsidRPr="00B324C0" w:rsidRDefault="00984DED" w:rsidP="00B324C0">
      <w:pPr>
        <w:pStyle w:val="Heading4"/>
        <w:spacing w:line="360" w:lineRule="auto"/>
        <w:jc w:val="both"/>
        <w:rPr>
          <w:rFonts w:ascii="Times New Roman" w:eastAsia="Times New Roman" w:hAnsi="Times New Roman" w:cs="Times New Roman"/>
          <w:b/>
          <w:bCs/>
          <w:i w:val="0"/>
          <w:color w:val="auto"/>
          <w:sz w:val="24"/>
          <w:szCs w:val="24"/>
        </w:rPr>
      </w:pPr>
      <w:r w:rsidRPr="00B324C0">
        <w:rPr>
          <w:rFonts w:ascii="Times New Roman" w:eastAsia="Times New Roman" w:hAnsi="Times New Roman" w:cs="Times New Roman"/>
          <w:b/>
          <w:bCs/>
          <w:i w:val="0"/>
          <w:iCs w:val="0"/>
          <w:color w:val="auto"/>
          <w:sz w:val="24"/>
          <w:szCs w:val="24"/>
        </w:rPr>
        <w:t>Table No: 7- Details of Pressure to Buy Gold for Daughter’s Marriage</w:t>
      </w:r>
    </w:p>
    <w:tbl>
      <w:tblPr>
        <w:tblStyle w:val="a5"/>
        <w:tblW w:w="68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1310"/>
        <w:gridCol w:w="2881"/>
        <w:gridCol w:w="1534"/>
      </w:tblGrid>
      <w:tr w:rsidR="00B324C0" w:rsidRPr="00B324C0" w14:paraId="39AE4E79" w14:textId="77777777" w:rsidTr="00EB59BA">
        <w:trPr>
          <w:jc w:val="center"/>
        </w:trPr>
        <w:tc>
          <w:tcPr>
            <w:tcW w:w="1110" w:type="dxa"/>
            <w:tcBorders>
              <w:top w:val="single" w:sz="4" w:space="0" w:color="000000"/>
              <w:left w:val="single" w:sz="4" w:space="0" w:color="000000"/>
              <w:bottom w:val="single" w:sz="4" w:space="0" w:color="000000"/>
              <w:right w:val="single" w:sz="4" w:space="0" w:color="000000"/>
            </w:tcBorders>
          </w:tcPr>
          <w:p w14:paraId="2784E302"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1310" w:type="dxa"/>
            <w:tcBorders>
              <w:top w:val="single" w:sz="4" w:space="0" w:color="000000"/>
              <w:left w:val="single" w:sz="4" w:space="0" w:color="000000"/>
              <w:bottom w:val="single" w:sz="4" w:space="0" w:color="000000"/>
              <w:right w:val="single" w:sz="4" w:space="0" w:color="000000"/>
            </w:tcBorders>
            <w:vAlign w:val="center"/>
          </w:tcPr>
          <w:p w14:paraId="30058E6E"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Response</w:t>
            </w:r>
          </w:p>
        </w:tc>
        <w:tc>
          <w:tcPr>
            <w:tcW w:w="2881" w:type="dxa"/>
            <w:tcBorders>
              <w:top w:val="single" w:sz="4" w:space="0" w:color="000000"/>
              <w:left w:val="single" w:sz="4" w:space="0" w:color="000000"/>
              <w:bottom w:val="single" w:sz="4" w:space="0" w:color="000000"/>
              <w:right w:val="single" w:sz="4" w:space="0" w:color="000000"/>
            </w:tcBorders>
            <w:vAlign w:val="center"/>
          </w:tcPr>
          <w:p w14:paraId="6035EF78"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Number of Respondents</w:t>
            </w:r>
          </w:p>
        </w:tc>
        <w:tc>
          <w:tcPr>
            <w:tcW w:w="1534" w:type="dxa"/>
            <w:tcBorders>
              <w:top w:val="single" w:sz="4" w:space="0" w:color="000000"/>
              <w:left w:val="single" w:sz="4" w:space="0" w:color="000000"/>
              <w:bottom w:val="single" w:sz="4" w:space="0" w:color="000000"/>
              <w:right w:val="single" w:sz="4" w:space="0" w:color="000000"/>
            </w:tcBorders>
            <w:vAlign w:val="center"/>
          </w:tcPr>
          <w:p w14:paraId="1030C2D0"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 xml:space="preserve">Percentage </w:t>
            </w:r>
          </w:p>
        </w:tc>
      </w:tr>
      <w:tr w:rsidR="00B324C0" w:rsidRPr="00B324C0" w14:paraId="7BA0E173" w14:textId="77777777" w:rsidTr="00EB59BA">
        <w:trPr>
          <w:jc w:val="center"/>
        </w:trPr>
        <w:tc>
          <w:tcPr>
            <w:tcW w:w="1110" w:type="dxa"/>
            <w:tcBorders>
              <w:top w:val="single" w:sz="4" w:space="0" w:color="000000"/>
              <w:left w:val="single" w:sz="4" w:space="0" w:color="000000"/>
              <w:bottom w:val="single" w:sz="4" w:space="0" w:color="000000"/>
              <w:right w:val="single" w:sz="4" w:space="0" w:color="000000"/>
            </w:tcBorders>
          </w:tcPr>
          <w:p w14:paraId="6F055889"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1310" w:type="dxa"/>
            <w:tcBorders>
              <w:top w:val="single" w:sz="4" w:space="0" w:color="000000"/>
              <w:left w:val="single" w:sz="4" w:space="0" w:color="000000"/>
              <w:bottom w:val="single" w:sz="4" w:space="0" w:color="000000"/>
              <w:right w:val="single" w:sz="4" w:space="0" w:color="000000"/>
            </w:tcBorders>
            <w:vAlign w:val="center"/>
          </w:tcPr>
          <w:p w14:paraId="3B228524"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Yes</w:t>
            </w:r>
          </w:p>
        </w:tc>
        <w:tc>
          <w:tcPr>
            <w:tcW w:w="2881" w:type="dxa"/>
            <w:tcBorders>
              <w:top w:val="single" w:sz="4" w:space="0" w:color="000000"/>
              <w:left w:val="single" w:sz="4" w:space="0" w:color="000000"/>
              <w:bottom w:val="single" w:sz="4" w:space="0" w:color="000000"/>
              <w:right w:val="single" w:sz="4" w:space="0" w:color="000000"/>
            </w:tcBorders>
            <w:vAlign w:val="center"/>
          </w:tcPr>
          <w:p w14:paraId="365A9C35"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38</w:t>
            </w:r>
          </w:p>
        </w:tc>
        <w:tc>
          <w:tcPr>
            <w:tcW w:w="1534" w:type="dxa"/>
            <w:tcBorders>
              <w:top w:val="single" w:sz="4" w:space="0" w:color="000000"/>
              <w:left w:val="single" w:sz="4" w:space="0" w:color="000000"/>
              <w:bottom w:val="single" w:sz="4" w:space="0" w:color="000000"/>
              <w:right w:val="single" w:sz="4" w:space="0" w:color="000000"/>
            </w:tcBorders>
            <w:vAlign w:val="center"/>
          </w:tcPr>
          <w:p w14:paraId="4D2766D5"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67.9</w:t>
            </w:r>
          </w:p>
        </w:tc>
      </w:tr>
      <w:tr w:rsidR="00B324C0" w:rsidRPr="00B324C0" w14:paraId="70524812" w14:textId="77777777" w:rsidTr="00EB59BA">
        <w:trPr>
          <w:jc w:val="center"/>
        </w:trPr>
        <w:tc>
          <w:tcPr>
            <w:tcW w:w="1110" w:type="dxa"/>
            <w:tcBorders>
              <w:top w:val="single" w:sz="4" w:space="0" w:color="000000"/>
              <w:left w:val="single" w:sz="4" w:space="0" w:color="000000"/>
              <w:bottom w:val="single" w:sz="4" w:space="0" w:color="000000"/>
              <w:right w:val="single" w:sz="4" w:space="0" w:color="000000"/>
            </w:tcBorders>
          </w:tcPr>
          <w:p w14:paraId="65F60471"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1310" w:type="dxa"/>
            <w:tcBorders>
              <w:top w:val="single" w:sz="4" w:space="0" w:color="000000"/>
              <w:left w:val="single" w:sz="4" w:space="0" w:color="000000"/>
              <w:bottom w:val="single" w:sz="4" w:space="0" w:color="000000"/>
              <w:right w:val="single" w:sz="4" w:space="0" w:color="000000"/>
            </w:tcBorders>
            <w:vAlign w:val="center"/>
          </w:tcPr>
          <w:p w14:paraId="2A155312"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No</w:t>
            </w:r>
          </w:p>
        </w:tc>
        <w:tc>
          <w:tcPr>
            <w:tcW w:w="2881" w:type="dxa"/>
            <w:tcBorders>
              <w:top w:val="single" w:sz="4" w:space="0" w:color="000000"/>
              <w:left w:val="single" w:sz="4" w:space="0" w:color="000000"/>
              <w:bottom w:val="single" w:sz="4" w:space="0" w:color="000000"/>
              <w:right w:val="single" w:sz="4" w:space="0" w:color="000000"/>
            </w:tcBorders>
            <w:vAlign w:val="center"/>
          </w:tcPr>
          <w:p w14:paraId="0F20A239"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18</w:t>
            </w:r>
          </w:p>
        </w:tc>
        <w:tc>
          <w:tcPr>
            <w:tcW w:w="1534" w:type="dxa"/>
            <w:tcBorders>
              <w:top w:val="single" w:sz="4" w:space="0" w:color="000000"/>
              <w:left w:val="single" w:sz="4" w:space="0" w:color="000000"/>
              <w:bottom w:val="single" w:sz="4" w:space="0" w:color="000000"/>
              <w:right w:val="single" w:sz="4" w:space="0" w:color="000000"/>
            </w:tcBorders>
            <w:vAlign w:val="center"/>
          </w:tcPr>
          <w:p w14:paraId="71FC1F86"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32.1</w:t>
            </w:r>
          </w:p>
        </w:tc>
      </w:tr>
      <w:tr w:rsidR="00B324C0" w:rsidRPr="00B324C0" w14:paraId="46C0742D" w14:textId="77777777" w:rsidTr="00EB59BA">
        <w:trPr>
          <w:jc w:val="center"/>
        </w:trPr>
        <w:tc>
          <w:tcPr>
            <w:tcW w:w="1110" w:type="dxa"/>
            <w:tcBorders>
              <w:top w:val="single" w:sz="4" w:space="0" w:color="000000"/>
              <w:left w:val="single" w:sz="4" w:space="0" w:color="000000"/>
              <w:bottom w:val="single" w:sz="4" w:space="0" w:color="000000"/>
              <w:right w:val="single" w:sz="4" w:space="0" w:color="000000"/>
            </w:tcBorders>
          </w:tcPr>
          <w:p w14:paraId="1FA3C610" w14:textId="77777777" w:rsidR="00E84E4C" w:rsidRPr="00B324C0" w:rsidRDefault="00E84E4C" w:rsidP="00EB59BA">
            <w:pPr>
              <w:spacing w:line="360" w:lineRule="auto"/>
              <w:jc w:val="center"/>
              <w:rPr>
                <w:rFonts w:ascii="Times New Roman" w:eastAsia="Times New Roman" w:hAnsi="Times New Roman" w:cs="Times New Roman"/>
                <w:sz w:val="24"/>
                <w:szCs w:val="24"/>
              </w:rPr>
            </w:pPr>
          </w:p>
        </w:tc>
        <w:tc>
          <w:tcPr>
            <w:tcW w:w="1310" w:type="dxa"/>
            <w:tcBorders>
              <w:top w:val="single" w:sz="4" w:space="0" w:color="000000"/>
              <w:left w:val="single" w:sz="4" w:space="0" w:color="000000"/>
              <w:bottom w:val="single" w:sz="4" w:space="0" w:color="000000"/>
              <w:right w:val="single" w:sz="4" w:space="0" w:color="000000"/>
            </w:tcBorders>
            <w:vAlign w:val="center"/>
          </w:tcPr>
          <w:p w14:paraId="68F22076"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Total</w:t>
            </w:r>
          </w:p>
        </w:tc>
        <w:tc>
          <w:tcPr>
            <w:tcW w:w="2881" w:type="dxa"/>
            <w:tcBorders>
              <w:top w:val="single" w:sz="4" w:space="0" w:color="000000"/>
              <w:left w:val="single" w:sz="4" w:space="0" w:color="000000"/>
              <w:bottom w:val="single" w:sz="4" w:space="0" w:color="000000"/>
              <w:right w:val="single" w:sz="4" w:space="0" w:color="000000"/>
            </w:tcBorders>
            <w:vAlign w:val="center"/>
          </w:tcPr>
          <w:p w14:paraId="2BD4481A"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1534" w:type="dxa"/>
            <w:tcBorders>
              <w:top w:val="single" w:sz="4" w:space="0" w:color="000000"/>
              <w:left w:val="single" w:sz="4" w:space="0" w:color="000000"/>
              <w:bottom w:val="single" w:sz="4" w:space="0" w:color="000000"/>
              <w:right w:val="single" w:sz="4" w:space="0" w:color="000000"/>
            </w:tcBorders>
            <w:vAlign w:val="center"/>
          </w:tcPr>
          <w:p w14:paraId="09DEE33E"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p>
        </w:tc>
      </w:tr>
    </w:tbl>
    <w:p w14:paraId="6035B418" w14:textId="77777777" w:rsidR="00E84E4C" w:rsidRPr="00B324C0" w:rsidRDefault="00B324C0" w:rsidP="00B324C0">
      <w:pPr>
        <w:pBdr>
          <w:top w:val="nil"/>
          <w:left w:val="nil"/>
          <w:bottom w:val="nil"/>
          <w:right w:val="nil"/>
          <w:between w:val="nil"/>
        </w:pBdr>
        <w:spacing w:line="360" w:lineRule="auto"/>
        <w:jc w:val="both"/>
        <w:rPr>
          <w:rFonts w:ascii="Times New Roman" w:eastAsia="Times New Roman" w:hAnsi="Times New Roman" w:cs="Times New Roman"/>
          <w:iCs/>
          <w:sz w:val="24"/>
          <w:szCs w:val="24"/>
        </w:rPr>
      </w:pPr>
      <w:r w:rsidRPr="00B324C0">
        <w:rPr>
          <w:rFonts w:ascii="Times New Roman" w:eastAsia="Times New Roman" w:hAnsi="Times New Roman" w:cs="Times New Roman"/>
          <w:b/>
          <w:i/>
          <w:iCs/>
          <w:sz w:val="24"/>
          <w:szCs w:val="24"/>
        </w:rPr>
        <w:t xml:space="preserve"> Source: Primary Data</w:t>
      </w:r>
    </w:p>
    <w:p w14:paraId="074ADD15" w14:textId="1A6E584B" w:rsidR="00E84E4C" w:rsidRDefault="00984DED" w:rsidP="00B324C0">
      <w:pPr>
        <w:spacing w:line="360" w:lineRule="auto"/>
        <w:ind w:firstLine="720"/>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According to the table</w:t>
      </w:r>
      <w:r w:rsidR="007A1172">
        <w:rPr>
          <w:rFonts w:ascii="Times New Roman" w:eastAsia="Times New Roman" w:hAnsi="Times New Roman" w:cs="Times New Roman"/>
          <w:sz w:val="24"/>
          <w:szCs w:val="24"/>
        </w:rPr>
        <w:t>,</w:t>
      </w:r>
      <w:r w:rsidRPr="00B324C0">
        <w:rPr>
          <w:rFonts w:ascii="Times New Roman" w:eastAsia="Times New Roman" w:hAnsi="Times New Roman" w:cs="Times New Roman"/>
          <w:sz w:val="24"/>
          <w:szCs w:val="24"/>
        </w:rPr>
        <w:t xml:space="preserve"> 67.9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of the respondents reported experiencing pressure to buy gold for their daughter’s marriage, while the remaining 32.1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stated that they did not face such pressure. This indicates that cultural or social expectations related to gold in marriages continue to influence a majority of families in the study area.</w:t>
      </w:r>
    </w:p>
    <w:p w14:paraId="5E10125E" w14:textId="77777777" w:rsidR="00EB59BA" w:rsidRPr="00B324C0" w:rsidRDefault="00EB59BA" w:rsidP="00B324C0">
      <w:pPr>
        <w:spacing w:line="360" w:lineRule="auto"/>
        <w:ind w:firstLine="720"/>
        <w:jc w:val="both"/>
        <w:rPr>
          <w:rFonts w:ascii="Times New Roman" w:eastAsia="Times New Roman" w:hAnsi="Times New Roman" w:cs="Times New Roman"/>
          <w:sz w:val="24"/>
          <w:szCs w:val="24"/>
        </w:rPr>
      </w:pPr>
    </w:p>
    <w:p w14:paraId="299D92A4" w14:textId="77777777" w:rsidR="00E84E4C" w:rsidRPr="00B324C0" w:rsidRDefault="00984DED" w:rsidP="00B324C0">
      <w:pPr>
        <w:pStyle w:val="Heading4"/>
        <w:spacing w:line="360" w:lineRule="auto"/>
        <w:jc w:val="both"/>
        <w:rPr>
          <w:rFonts w:ascii="Times New Roman" w:eastAsia="Times New Roman" w:hAnsi="Times New Roman" w:cs="Times New Roman"/>
          <w:i w:val="0"/>
          <w:color w:val="auto"/>
          <w:sz w:val="24"/>
          <w:szCs w:val="24"/>
        </w:rPr>
      </w:pPr>
      <w:r w:rsidRPr="00B324C0">
        <w:rPr>
          <w:rFonts w:ascii="Times New Roman" w:eastAsia="Times New Roman" w:hAnsi="Times New Roman" w:cs="Times New Roman"/>
          <w:b/>
          <w:bCs/>
          <w:i w:val="0"/>
          <w:iCs w:val="0"/>
          <w:color w:val="auto"/>
          <w:sz w:val="24"/>
          <w:szCs w:val="24"/>
        </w:rPr>
        <w:t xml:space="preserve">Table No: 8- </w:t>
      </w:r>
      <w:r w:rsidRPr="00B324C0">
        <w:rPr>
          <w:rFonts w:ascii="Times New Roman" w:eastAsia="Times New Roman" w:hAnsi="Times New Roman" w:cs="Times New Roman"/>
          <w:i w:val="0"/>
          <w:iCs w:val="0"/>
          <w:color w:val="auto"/>
          <w:sz w:val="24"/>
          <w:szCs w:val="24"/>
        </w:rPr>
        <w:t>Details of Emotional Stress or Social Discomfort Due to Inability to Buy Gold</w:t>
      </w:r>
    </w:p>
    <w:tbl>
      <w:tblPr>
        <w:tblStyle w:val="a6"/>
        <w:tblW w:w="65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
        <w:gridCol w:w="1362"/>
        <w:gridCol w:w="2700"/>
        <w:gridCol w:w="1620"/>
      </w:tblGrid>
      <w:tr w:rsidR="00B324C0" w:rsidRPr="00B324C0" w14:paraId="3C208C51" w14:textId="77777777" w:rsidTr="00EB59BA">
        <w:trPr>
          <w:jc w:val="center"/>
        </w:trPr>
        <w:tc>
          <w:tcPr>
            <w:tcW w:w="883" w:type="dxa"/>
            <w:tcBorders>
              <w:top w:val="single" w:sz="4" w:space="0" w:color="000000"/>
              <w:left w:val="single" w:sz="4" w:space="0" w:color="000000"/>
              <w:bottom w:val="single" w:sz="4" w:space="0" w:color="000000"/>
              <w:right w:val="single" w:sz="4" w:space="0" w:color="000000"/>
            </w:tcBorders>
          </w:tcPr>
          <w:p w14:paraId="1D0F6609"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1362" w:type="dxa"/>
            <w:tcBorders>
              <w:top w:val="single" w:sz="4" w:space="0" w:color="000000"/>
              <w:left w:val="single" w:sz="4" w:space="0" w:color="000000"/>
              <w:bottom w:val="single" w:sz="4" w:space="0" w:color="000000"/>
              <w:right w:val="single" w:sz="4" w:space="0" w:color="000000"/>
            </w:tcBorders>
            <w:vAlign w:val="center"/>
          </w:tcPr>
          <w:p w14:paraId="72CA338B"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Response</w:t>
            </w:r>
          </w:p>
        </w:tc>
        <w:tc>
          <w:tcPr>
            <w:tcW w:w="2700" w:type="dxa"/>
            <w:tcBorders>
              <w:top w:val="single" w:sz="4" w:space="0" w:color="000000"/>
              <w:left w:val="single" w:sz="4" w:space="0" w:color="000000"/>
              <w:bottom w:val="single" w:sz="4" w:space="0" w:color="000000"/>
              <w:right w:val="single" w:sz="4" w:space="0" w:color="000000"/>
            </w:tcBorders>
            <w:vAlign w:val="center"/>
          </w:tcPr>
          <w:p w14:paraId="52285840"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Number of Respondents</w:t>
            </w:r>
          </w:p>
        </w:tc>
        <w:tc>
          <w:tcPr>
            <w:tcW w:w="1620" w:type="dxa"/>
            <w:tcBorders>
              <w:top w:val="single" w:sz="4" w:space="0" w:color="000000"/>
              <w:left w:val="single" w:sz="4" w:space="0" w:color="000000"/>
              <w:bottom w:val="single" w:sz="4" w:space="0" w:color="000000"/>
              <w:right w:val="single" w:sz="4" w:space="0" w:color="000000"/>
            </w:tcBorders>
            <w:vAlign w:val="center"/>
          </w:tcPr>
          <w:p w14:paraId="70CE79B8"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 xml:space="preserve">Percentage </w:t>
            </w:r>
          </w:p>
        </w:tc>
      </w:tr>
      <w:tr w:rsidR="00B324C0" w:rsidRPr="00B324C0" w14:paraId="0E4F9DC9" w14:textId="77777777" w:rsidTr="00EB59BA">
        <w:trPr>
          <w:jc w:val="center"/>
        </w:trPr>
        <w:tc>
          <w:tcPr>
            <w:tcW w:w="883" w:type="dxa"/>
            <w:tcBorders>
              <w:top w:val="single" w:sz="4" w:space="0" w:color="000000"/>
              <w:left w:val="single" w:sz="4" w:space="0" w:color="000000"/>
              <w:bottom w:val="single" w:sz="4" w:space="0" w:color="000000"/>
              <w:right w:val="single" w:sz="4" w:space="0" w:color="000000"/>
            </w:tcBorders>
          </w:tcPr>
          <w:p w14:paraId="47B3DEA9"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1362" w:type="dxa"/>
            <w:tcBorders>
              <w:top w:val="single" w:sz="4" w:space="0" w:color="000000"/>
              <w:left w:val="single" w:sz="4" w:space="0" w:color="000000"/>
              <w:bottom w:val="single" w:sz="4" w:space="0" w:color="000000"/>
              <w:right w:val="single" w:sz="4" w:space="0" w:color="000000"/>
            </w:tcBorders>
            <w:vAlign w:val="center"/>
          </w:tcPr>
          <w:p w14:paraId="5A71CE10"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Yes</w:t>
            </w:r>
          </w:p>
        </w:tc>
        <w:tc>
          <w:tcPr>
            <w:tcW w:w="2700" w:type="dxa"/>
            <w:tcBorders>
              <w:top w:val="single" w:sz="4" w:space="0" w:color="000000"/>
              <w:left w:val="single" w:sz="4" w:space="0" w:color="000000"/>
              <w:bottom w:val="single" w:sz="4" w:space="0" w:color="000000"/>
              <w:right w:val="single" w:sz="4" w:space="0" w:color="000000"/>
            </w:tcBorders>
            <w:vAlign w:val="center"/>
          </w:tcPr>
          <w:p w14:paraId="5AFB1F64"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34</w:t>
            </w:r>
          </w:p>
        </w:tc>
        <w:tc>
          <w:tcPr>
            <w:tcW w:w="1620" w:type="dxa"/>
            <w:tcBorders>
              <w:top w:val="single" w:sz="4" w:space="0" w:color="000000"/>
              <w:left w:val="single" w:sz="4" w:space="0" w:color="000000"/>
              <w:bottom w:val="single" w:sz="4" w:space="0" w:color="000000"/>
              <w:right w:val="single" w:sz="4" w:space="0" w:color="000000"/>
            </w:tcBorders>
            <w:vAlign w:val="center"/>
          </w:tcPr>
          <w:p w14:paraId="6EF02886"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60.7</w:t>
            </w:r>
          </w:p>
        </w:tc>
      </w:tr>
      <w:tr w:rsidR="00B324C0" w:rsidRPr="00B324C0" w14:paraId="0351045A" w14:textId="77777777" w:rsidTr="00EB59BA">
        <w:trPr>
          <w:jc w:val="center"/>
        </w:trPr>
        <w:tc>
          <w:tcPr>
            <w:tcW w:w="883" w:type="dxa"/>
            <w:tcBorders>
              <w:top w:val="single" w:sz="4" w:space="0" w:color="000000"/>
              <w:left w:val="single" w:sz="4" w:space="0" w:color="000000"/>
              <w:bottom w:val="single" w:sz="4" w:space="0" w:color="000000"/>
              <w:right w:val="single" w:sz="4" w:space="0" w:color="000000"/>
            </w:tcBorders>
          </w:tcPr>
          <w:p w14:paraId="1F64DA4C"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1362" w:type="dxa"/>
            <w:tcBorders>
              <w:top w:val="single" w:sz="4" w:space="0" w:color="000000"/>
              <w:left w:val="single" w:sz="4" w:space="0" w:color="000000"/>
              <w:bottom w:val="single" w:sz="4" w:space="0" w:color="000000"/>
              <w:right w:val="single" w:sz="4" w:space="0" w:color="000000"/>
            </w:tcBorders>
            <w:vAlign w:val="center"/>
          </w:tcPr>
          <w:p w14:paraId="7B176AE0"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No</w:t>
            </w:r>
          </w:p>
        </w:tc>
        <w:tc>
          <w:tcPr>
            <w:tcW w:w="2700" w:type="dxa"/>
            <w:tcBorders>
              <w:top w:val="single" w:sz="4" w:space="0" w:color="000000"/>
              <w:left w:val="single" w:sz="4" w:space="0" w:color="000000"/>
              <w:bottom w:val="single" w:sz="4" w:space="0" w:color="000000"/>
              <w:right w:val="single" w:sz="4" w:space="0" w:color="000000"/>
            </w:tcBorders>
            <w:vAlign w:val="center"/>
          </w:tcPr>
          <w:p w14:paraId="4C6C0856"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22</w:t>
            </w:r>
          </w:p>
        </w:tc>
        <w:tc>
          <w:tcPr>
            <w:tcW w:w="1620" w:type="dxa"/>
            <w:tcBorders>
              <w:top w:val="single" w:sz="4" w:space="0" w:color="000000"/>
              <w:left w:val="single" w:sz="4" w:space="0" w:color="000000"/>
              <w:bottom w:val="single" w:sz="4" w:space="0" w:color="000000"/>
              <w:right w:val="single" w:sz="4" w:space="0" w:color="000000"/>
            </w:tcBorders>
            <w:vAlign w:val="center"/>
          </w:tcPr>
          <w:p w14:paraId="6788B9E9"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39.3</w:t>
            </w:r>
          </w:p>
        </w:tc>
      </w:tr>
      <w:tr w:rsidR="00B324C0" w:rsidRPr="00B324C0" w14:paraId="352EDEBF" w14:textId="77777777" w:rsidTr="00EB59BA">
        <w:trPr>
          <w:jc w:val="center"/>
        </w:trPr>
        <w:tc>
          <w:tcPr>
            <w:tcW w:w="883" w:type="dxa"/>
            <w:tcBorders>
              <w:top w:val="single" w:sz="4" w:space="0" w:color="000000"/>
              <w:left w:val="single" w:sz="4" w:space="0" w:color="000000"/>
              <w:bottom w:val="single" w:sz="4" w:space="0" w:color="000000"/>
              <w:right w:val="single" w:sz="4" w:space="0" w:color="000000"/>
            </w:tcBorders>
          </w:tcPr>
          <w:p w14:paraId="5620A8F7" w14:textId="77777777" w:rsidR="00E84E4C" w:rsidRPr="00B324C0" w:rsidRDefault="00E84E4C" w:rsidP="00EB59BA">
            <w:pPr>
              <w:spacing w:line="360" w:lineRule="auto"/>
              <w:jc w:val="center"/>
              <w:rPr>
                <w:rFonts w:ascii="Times New Roman" w:eastAsia="Times New Roman" w:hAnsi="Times New Roman" w:cs="Times New Roman"/>
                <w:sz w:val="24"/>
                <w:szCs w:val="24"/>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3DFEF562"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Total</w:t>
            </w:r>
          </w:p>
        </w:tc>
        <w:tc>
          <w:tcPr>
            <w:tcW w:w="2700" w:type="dxa"/>
            <w:tcBorders>
              <w:top w:val="single" w:sz="4" w:space="0" w:color="000000"/>
              <w:left w:val="single" w:sz="4" w:space="0" w:color="000000"/>
              <w:bottom w:val="single" w:sz="4" w:space="0" w:color="000000"/>
              <w:right w:val="single" w:sz="4" w:space="0" w:color="000000"/>
            </w:tcBorders>
            <w:vAlign w:val="center"/>
          </w:tcPr>
          <w:p w14:paraId="79187F6C"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1620" w:type="dxa"/>
            <w:tcBorders>
              <w:top w:val="single" w:sz="4" w:space="0" w:color="000000"/>
              <w:left w:val="single" w:sz="4" w:space="0" w:color="000000"/>
              <w:bottom w:val="single" w:sz="4" w:space="0" w:color="000000"/>
              <w:right w:val="single" w:sz="4" w:space="0" w:color="000000"/>
            </w:tcBorders>
            <w:vAlign w:val="center"/>
          </w:tcPr>
          <w:p w14:paraId="3BDD55BC" w14:textId="77777777" w:rsidR="00E84E4C" w:rsidRPr="00B324C0" w:rsidRDefault="00984DED" w:rsidP="00EB59BA">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p>
        </w:tc>
      </w:tr>
    </w:tbl>
    <w:p w14:paraId="622409DF" w14:textId="77777777" w:rsidR="00E84E4C" w:rsidRPr="00B324C0" w:rsidRDefault="00B324C0" w:rsidP="00B324C0">
      <w:pPr>
        <w:pBdr>
          <w:top w:val="nil"/>
          <w:left w:val="nil"/>
          <w:bottom w:val="nil"/>
          <w:right w:val="nil"/>
          <w:between w:val="nil"/>
        </w:pBdr>
        <w:spacing w:line="360" w:lineRule="auto"/>
        <w:jc w:val="both"/>
        <w:rPr>
          <w:rFonts w:ascii="Times New Roman" w:eastAsia="Times New Roman" w:hAnsi="Times New Roman" w:cs="Times New Roman"/>
          <w:iCs/>
          <w:sz w:val="24"/>
          <w:szCs w:val="24"/>
        </w:rPr>
      </w:pPr>
      <w:r w:rsidRPr="00B324C0">
        <w:rPr>
          <w:rFonts w:ascii="Times New Roman" w:eastAsia="Times New Roman" w:hAnsi="Times New Roman" w:cs="Times New Roman"/>
          <w:b/>
          <w:i/>
          <w:iCs/>
          <w:sz w:val="24"/>
          <w:szCs w:val="24"/>
        </w:rPr>
        <w:t xml:space="preserve"> Source: Primary Data</w:t>
      </w:r>
    </w:p>
    <w:p w14:paraId="1B9B8A9A" w14:textId="62C1F419" w:rsidR="00E84E4C" w:rsidRPr="00B324C0" w:rsidRDefault="00984DED" w:rsidP="00B324C0">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 xml:space="preserve">Table </w:t>
      </w:r>
      <w:r w:rsidR="00B324C0" w:rsidRPr="00B324C0">
        <w:rPr>
          <w:rFonts w:ascii="Times New Roman" w:eastAsia="Times New Roman" w:hAnsi="Times New Roman" w:cs="Times New Roman"/>
          <w:sz w:val="24"/>
          <w:szCs w:val="24"/>
        </w:rPr>
        <w:t>8 indicates</w:t>
      </w:r>
      <w:r w:rsidRPr="00B324C0">
        <w:rPr>
          <w:rFonts w:ascii="Times New Roman" w:eastAsia="Times New Roman" w:hAnsi="Times New Roman" w:cs="Times New Roman"/>
          <w:sz w:val="24"/>
          <w:szCs w:val="24"/>
        </w:rPr>
        <w:t xml:space="preserve"> </w:t>
      </w:r>
      <w:r w:rsidR="00B324C0" w:rsidRPr="00B324C0">
        <w:rPr>
          <w:rFonts w:ascii="Times New Roman" w:eastAsia="Times New Roman" w:hAnsi="Times New Roman" w:cs="Times New Roman"/>
          <w:sz w:val="24"/>
          <w:szCs w:val="24"/>
        </w:rPr>
        <w:t>that 60.7</w:t>
      </w:r>
      <w:r w:rsidRPr="00B324C0">
        <w:rPr>
          <w:rFonts w:ascii="Times New Roman" w:eastAsia="Times New Roman" w:hAnsi="Times New Roman" w:cs="Times New Roman"/>
          <w:sz w:val="24"/>
          <w:szCs w:val="24"/>
        </w:rPr>
        <w:t xml:space="preserve">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of the respondents reported experiencing emotional stress or social discomfort due to their inability to buy gold, while 39.3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stated that they did not face such issues. This indicates that the inability to afford gold creates noticeable emotional or social challenges for a significant proportion of respondents in the study area.</w:t>
      </w:r>
    </w:p>
    <w:p w14:paraId="39210093" w14:textId="77777777" w:rsidR="00E84E4C" w:rsidRPr="00B324C0" w:rsidRDefault="00E84E4C" w:rsidP="00B324C0">
      <w:pPr>
        <w:pStyle w:val="Heading4"/>
        <w:spacing w:line="360" w:lineRule="auto"/>
        <w:jc w:val="both"/>
        <w:rPr>
          <w:rFonts w:ascii="Times New Roman" w:eastAsia="Times New Roman" w:hAnsi="Times New Roman" w:cs="Times New Roman"/>
          <w:i w:val="0"/>
          <w:iCs w:val="0"/>
          <w:color w:val="auto"/>
          <w:sz w:val="24"/>
          <w:szCs w:val="24"/>
        </w:rPr>
      </w:pPr>
    </w:p>
    <w:p w14:paraId="421FDDF2" w14:textId="77777777" w:rsidR="00E84E4C" w:rsidRPr="00B324C0" w:rsidRDefault="00984DED" w:rsidP="00B324C0">
      <w:pPr>
        <w:pStyle w:val="Heading4"/>
        <w:spacing w:line="360" w:lineRule="auto"/>
        <w:jc w:val="both"/>
        <w:rPr>
          <w:rFonts w:ascii="Times New Roman" w:eastAsia="Times New Roman" w:hAnsi="Times New Roman" w:cs="Times New Roman"/>
          <w:i w:val="0"/>
          <w:color w:val="auto"/>
          <w:sz w:val="24"/>
          <w:szCs w:val="24"/>
        </w:rPr>
      </w:pPr>
      <w:r w:rsidRPr="00B324C0">
        <w:rPr>
          <w:rFonts w:ascii="Times New Roman" w:eastAsia="Times New Roman" w:hAnsi="Times New Roman" w:cs="Times New Roman"/>
          <w:b/>
          <w:bCs/>
          <w:i w:val="0"/>
          <w:iCs w:val="0"/>
          <w:color w:val="auto"/>
          <w:sz w:val="24"/>
          <w:szCs w:val="24"/>
        </w:rPr>
        <w:t xml:space="preserve">Table No: 9- </w:t>
      </w:r>
      <w:r w:rsidRPr="00B324C0">
        <w:rPr>
          <w:rFonts w:ascii="Times New Roman" w:eastAsia="Times New Roman" w:hAnsi="Times New Roman" w:cs="Times New Roman"/>
          <w:i w:val="0"/>
          <w:iCs w:val="0"/>
          <w:color w:val="auto"/>
          <w:sz w:val="24"/>
          <w:szCs w:val="24"/>
        </w:rPr>
        <w:t>Details of Rising Gold Prices Widening Gap Between Aspirations and Reality</w:t>
      </w:r>
    </w:p>
    <w:tbl>
      <w:tblPr>
        <w:tblStyle w:val="a7"/>
        <w:tblW w:w="74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1345"/>
        <w:gridCol w:w="2790"/>
        <w:gridCol w:w="1980"/>
      </w:tblGrid>
      <w:tr w:rsidR="00B324C0" w:rsidRPr="00B324C0" w14:paraId="62D98385" w14:textId="77777777">
        <w:trPr>
          <w:jc w:val="center"/>
        </w:trPr>
        <w:tc>
          <w:tcPr>
            <w:tcW w:w="1345" w:type="dxa"/>
            <w:tcBorders>
              <w:top w:val="single" w:sz="4" w:space="0" w:color="000000"/>
              <w:left w:val="single" w:sz="4" w:space="0" w:color="000000"/>
              <w:bottom w:val="single" w:sz="4" w:space="0" w:color="000000"/>
              <w:right w:val="single" w:sz="4" w:space="0" w:color="000000"/>
            </w:tcBorders>
          </w:tcPr>
          <w:p w14:paraId="5B925EE2"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1345" w:type="dxa"/>
            <w:tcBorders>
              <w:top w:val="single" w:sz="4" w:space="0" w:color="000000"/>
              <w:left w:val="single" w:sz="4" w:space="0" w:color="000000"/>
              <w:bottom w:val="single" w:sz="4" w:space="0" w:color="000000"/>
              <w:right w:val="single" w:sz="4" w:space="0" w:color="000000"/>
            </w:tcBorders>
            <w:vAlign w:val="center"/>
          </w:tcPr>
          <w:p w14:paraId="194EF95E"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Response</w:t>
            </w:r>
          </w:p>
        </w:tc>
        <w:tc>
          <w:tcPr>
            <w:tcW w:w="2790" w:type="dxa"/>
            <w:tcBorders>
              <w:top w:val="single" w:sz="4" w:space="0" w:color="000000"/>
              <w:left w:val="single" w:sz="4" w:space="0" w:color="000000"/>
              <w:bottom w:val="single" w:sz="4" w:space="0" w:color="000000"/>
              <w:right w:val="single" w:sz="4" w:space="0" w:color="000000"/>
            </w:tcBorders>
            <w:vAlign w:val="center"/>
          </w:tcPr>
          <w:p w14:paraId="05C148E5"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Number of Respondents</w:t>
            </w:r>
          </w:p>
        </w:tc>
        <w:tc>
          <w:tcPr>
            <w:tcW w:w="1980" w:type="dxa"/>
            <w:tcBorders>
              <w:top w:val="single" w:sz="4" w:space="0" w:color="000000"/>
              <w:left w:val="single" w:sz="4" w:space="0" w:color="000000"/>
              <w:bottom w:val="single" w:sz="4" w:space="0" w:color="000000"/>
              <w:right w:val="single" w:sz="4" w:space="0" w:color="000000"/>
            </w:tcBorders>
            <w:vAlign w:val="center"/>
          </w:tcPr>
          <w:p w14:paraId="63162014"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 xml:space="preserve">Percentage </w:t>
            </w:r>
          </w:p>
        </w:tc>
      </w:tr>
      <w:tr w:rsidR="00B324C0" w:rsidRPr="00B324C0" w14:paraId="10813B00" w14:textId="77777777">
        <w:trPr>
          <w:jc w:val="center"/>
        </w:trPr>
        <w:tc>
          <w:tcPr>
            <w:tcW w:w="1345" w:type="dxa"/>
            <w:tcBorders>
              <w:top w:val="single" w:sz="4" w:space="0" w:color="000000"/>
              <w:left w:val="single" w:sz="4" w:space="0" w:color="000000"/>
              <w:bottom w:val="single" w:sz="4" w:space="0" w:color="000000"/>
              <w:right w:val="single" w:sz="4" w:space="0" w:color="000000"/>
            </w:tcBorders>
          </w:tcPr>
          <w:p w14:paraId="4D97608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lastRenderedPageBreak/>
              <w:t>1</w:t>
            </w:r>
          </w:p>
        </w:tc>
        <w:tc>
          <w:tcPr>
            <w:tcW w:w="1345" w:type="dxa"/>
            <w:tcBorders>
              <w:top w:val="single" w:sz="4" w:space="0" w:color="000000"/>
              <w:left w:val="single" w:sz="4" w:space="0" w:color="000000"/>
              <w:bottom w:val="single" w:sz="4" w:space="0" w:color="000000"/>
              <w:right w:val="single" w:sz="4" w:space="0" w:color="000000"/>
            </w:tcBorders>
            <w:vAlign w:val="center"/>
          </w:tcPr>
          <w:p w14:paraId="435E10E0"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Yes</w:t>
            </w:r>
          </w:p>
        </w:tc>
        <w:tc>
          <w:tcPr>
            <w:tcW w:w="2790" w:type="dxa"/>
            <w:tcBorders>
              <w:top w:val="single" w:sz="4" w:space="0" w:color="000000"/>
              <w:left w:val="single" w:sz="4" w:space="0" w:color="000000"/>
              <w:bottom w:val="single" w:sz="4" w:space="0" w:color="000000"/>
              <w:right w:val="single" w:sz="4" w:space="0" w:color="000000"/>
            </w:tcBorders>
            <w:vAlign w:val="center"/>
          </w:tcPr>
          <w:p w14:paraId="0ABA3D5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42</w:t>
            </w:r>
          </w:p>
        </w:tc>
        <w:tc>
          <w:tcPr>
            <w:tcW w:w="1980" w:type="dxa"/>
            <w:tcBorders>
              <w:top w:val="single" w:sz="4" w:space="0" w:color="000000"/>
              <w:left w:val="single" w:sz="4" w:space="0" w:color="000000"/>
              <w:bottom w:val="single" w:sz="4" w:space="0" w:color="000000"/>
              <w:right w:val="single" w:sz="4" w:space="0" w:color="000000"/>
            </w:tcBorders>
            <w:vAlign w:val="center"/>
          </w:tcPr>
          <w:p w14:paraId="25CEFB08"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75.0</w:t>
            </w:r>
            <w:r w:rsidR="00B324C0" w:rsidRPr="00B324C0">
              <w:rPr>
                <w:rFonts w:ascii="Times New Roman" w:eastAsia="Times New Roman" w:hAnsi="Times New Roman" w:cs="Times New Roman"/>
                <w:sz w:val="24"/>
                <w:szCs w:val="24"/>
              </w:rPr>
              <w:t xml:space="preserve"> </w:t>
            </w:r>
          </w:p>
        </w:tc>
      </w:tr>
      <w:tr w:rsidR="00B324C0" w:rsidRPr="00B324C0" w14:paraId="53B3EBC3" w14:textId="77777777">
        <w:trPr>
          <w:jc w:val="center"/>
        </w:trPr>
        <w:tc>
          <w:tcPr>
            <w:tcW w:w="1345" w:type="dxa"/>
            <w:tcBorders>
              <w:top w:val="single" w:sz="4" w:space="0" w:color="000000"/>
              <w:left w:val="single" w:sz="4" w:space="0" w:color="000000"/>
              <w:bottom w:val="single" w:sz="4" w:space="0" w:color="000000"/>
              <w:right w:val="single" w:sz="4" w:space="0" w:color="000000"/>
            </w:tcBorders>
          </w:tcPr>
          <w:p w14:paraId="48C1215A"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1345" w:type="dxa"/>
            <w:tcBorders>
              <w:top w:val="single" w:sz="4" w:space="0" w:color="000000"/>
              <w:left w:val="single" w:sz="4" w:space="0" w:color="000000"/>
              <w:bottom w:val="single" w:sz="4" w:space="0" w:color="000000"/>
              <w:right w:val="single" w:sz="4" w:space="0" w:color="000000"/>
            </w:tcBorders>
            <w:vAlign w:val="center"/>
          </w:tcPr>
          <w:p w14:paraId="342955EF"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No</w:t>
            </w:r>
          </w:p>
        </w:tc>
        <w:tc>
          <w:tcPr>
            <w:tcW w:w="2790" w:type="dxa"/>
            <w:tcBorders>
              <w:top w:val="single" w:sz="4" w:space="0" w:color="000000"/>
              <w:left w:val="single" w:sz="4" w:space="0" w:color="000000"/>
              <w:bottom w:val="single" w:sz="4" w:space="0" w:color="000000"/>
              <w:right w:val="single" w:sz="4" w:space="0" w:color="000000"/>
            </w:tcBorders>
            <w:vAlign w:val="center"/>
          </w:tcPr>
          <w:p w14:paraId="30D27C4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14</w:t>
            </w:r>
          </w:p>
        </w:tc>
        <w:tc>
          <w:tcPr>
            <w:tcW w:w="1980" w:type="dxa"/>
            <w:tcBorders>
              <w:top w:val="single" w:sz="4" w:space="0" w:color="000000"/>
              <w:left w:val="single" w:sz="4" w:space="0" w:color="000000"/>
              <w:bottom w:val="single" w:sz="4" w:space="0" w:color="000000"/>
              <w:right w:val="single" w:sz="4" w:space="0" w:color="000000"/>
            </w:tcBorders>
            <w:vAlign w:val="center"/>
          </w:tcPr>
          <w:p w14:paraId="15F784F2"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25.0</w:t>
            </w:r>
            <w:r w:rsidR="00B324C0" w:rsidRPr="00B324C0">
              <w:rPr>
                <w:rFonts w:ascii="Times New Roman" w:eastAsia="Times New Roman" w:hAnsi="Times New Roman" w:cs="Times New Roman"/>
                <w:sz w:val="24"/>
                <w:szCs w:val="24"/>
              </w:rPr>
              <w:t xml:space="preserve"> </w:t>
            </w:r>
          </w:p>
        </w:tc>
      </w:tr>
      <w:tr w:rsidR="00B324C0" w:rsidRPr="00B324C0" w14:paraId="47C19F1D" w14:textId="77777777">
        <w:trPr>
          <w:jc w:val="center"/>
        </w:trPr>
        <w:tc>
          <w:tcPr>
            <w:tcW w:w="1345" w:type="dxa"/>
            <w:tcBorders>
              <w:top w:val="single" w:sz="4" w:space="0" w:color="000000"/>
              <w:left w:val="single" w:sz="4" w:space="0" w:color="000000"/>
              <w:bottom w:val="single" w:sz="4" w:space="0" w:color="000000"/>
              <w:right w:val="single" w:sz="4" w:space="0" w:color="000000"/>
            </w:tcBorders>
          </w:tcPr>
          <w:p w14:paraId="38688C5B" w14:textId="77777777" w:rsidR="00E84E4C" w:rsidRPr="00B324C0" w:rsidRDefault="00E84E4C" w:rsidP="00B324C0">
            <w:pPr>
              <w:spacing w:line="360" w:lineRule="auto"/>
              <w:jc w:val="both"/>
              <w:rPr>
                <w:rFonts w:ascii="Times New Roman" w:eastAsia="Times New Roman" w:hAnsi="Times New Roman" w:cs="Times New Roman"/>
                <w:sz w:val="24"/>
                <w:szCs w:val="24"/>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1DDD43D8"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Total</w:t>
            </w:r>
          </w:p>
        </w:tc>
        <w:tc>
          <w:tcPr>
            <w:tcW w:w="2790" w:type="dxa"/>
            <w:tcBorders>
              <w:top w:val="single" w:sz="4" w:space="0" w:color="000000"/>
              <w:left w:val="single" w:sz="4" w:space="0" w:color="000000"/>
              <w:bottom w:val="single" w:sz="4" w:space="0" w:color="000000"/>
              <w:right w:val="single" w:sz="4" w:space="0" w:color="000000"/>
            </w:tcBorders>
            <w:vAlign w:val="center"/>
          </w:tcPr>
          <w:p w14:paraId="4C808591"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1980" w:type="dxa"/>
            <w:tcBorders>
              <w:top w:val="single" w:sz="4" w:space="0" w:color="000000"/>
              <w:left w:val="single" w:sz="4" w:space="0" w:color="000000"/>
              <w:bottom w:val="single" w:sz="4" w:space="0" w:color="000000"/>
              <w:right w:val="single" w:sz="4" w:space="0" w:color="000000"/>
            </w:tcBorders>
            <w:vAlign w:val="center"/>
          </w:tcPr>
          <w:p w14:paraId="7990EC2E" w14:textId="77777777" w:rsidR="00E84E4C" w:rsidRPr="00B324C0" w:rsidRDefault="00984DED" w:rsidP="00B324C0">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r w:rsidR="00B324C0" w:rsidRPr="00B324C0">
              <w:rPr>
                <w:rFonts w:ascii="Times New Roman" w:eastAsia="Times New Roman" w:hAnsi="Times New Roman" w:cs="Times New Roman"/>
                <w:sz w:val="24"/>
                <w:szCs w:val="24"/>
              </w:rPr>
              <w:t xml:space="preserve"> </w:t>
            </w:r>
          </w:p>
        </w:tc>
      </w:tr>
    </w:tbl>
    <w:p w14:paraId="6A0205DB" w14:textId="77777777" w:rsidR="00E84E4C" w:rsidRPr="00B324C0" w:rsidRDefault="00B324C0" w:rsidP="00B324C0">
      <w:pPr>
        <w:pBdr>
          <w:top w:val="nil"/>
          <w:left w:val="nil"/>
          <w:bottom w:val="nil"/>
          <w:right w:val="nil"/>
          <w:between w:val="nil"/>
        </w:pBdr>
        <w:spacing w:line="360" w:lineRule="auto"/>
        <w:jc w:val="both"/>
        <w:rPr>
          <w:rFonts w:ascii="Times New Roman" w:eastAsia="Times New Roman" w:hAnsi="Times New Roman" w:cs="Times New Roman"/>
          <w:iCs/>
          <w:sz w:val="24"/>
          <w:szCs w:val="24"/>
        </w:rPr>
      </w:pPr>
      <w:r w:rsidRPr="00B324C0">
        <w:rPr>
          <w:rFonts w:ascii="Times New Roman" w:eastAsia="Times New Roman" w:hAnsi="Times New Roman" w:cs="Times New Roman"/>
          <w:b/>
          <w:i/>
          <w:iCs/>
          <w:sz w:val="24"/>
          <w:szCs w:val="24"/>
        </w:rPr>
        <w:t xml:space="preserve"> Source: Primary Data</w:t>
      </w:r>
    </w:p>
    <w:p w14:paraId="6AA79918" w14:textId="30A0DF79" w:rsidR="00E84E4C" w:rsidRPr="00B324C0" w:rsidRDefault="00984DED" w:rsidP="00B324C0">
      <w:pPr>
        <w:spacing w:line="360" w:lineRule="auto"/>
        <w:ind w:firstLine="720"/>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 xml:space="preserve">Table </w:t>
      </w:r>
      <w:r w:rsidR="00B324C0" w:rsidRPr="00B324C0">
        <w:rPr>
          <w:rFonts w:ascii="Times New Roman" w:eastAsia="Times New Roman" w:hAnsi="Times New Roman" w:cs="Times New Roman"/>
          <w:sz w:val="24"/>
          <w:szCs w:val="24"/>
        </w:rPr>
        <w:t>9 reveals</w:t>
      </w:r>
      <w:r w:rsidRPr="00B324C0">
        <w:rPr>
          <w:rFonts w:ascii="Times New Roman" w:eastAsia="Times New Roman" w:hAnsi="Times New Roman" w:cs="Times New Roman"/>
          <w:sz w:val="24"/>
          <w:szCs w:val="24"/>
        </w:rPr>
        <w:t xml:space="preserve"> that 75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of the respondents felt that rising gold prices have widened the gap between their aspirations and reality, while the remaining 25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stated that they did not feel such an impact. This suggests that increasing gold prices have significantly affected the ability of many respondents to meet their cultural or personal expectations related to gold in the study area.</w:t>
      </w:r>
    </w:p>
    <w:p w14:paraId="3AA91532" w14:textId="77777777" w:rsidR="00E84E4C" w:rsidRPr="00B324C0" w:rsidRDefault="00984DED" w:rsidP="00EB59BA">
      <w:pPr>
        <w:spacing w:line="360" w:lineRule="auto"/>
        <w:jc w:val="both"/>
        <w:rPr>
          <w:rFonts w:ascii="Times New Roman" w:eastAsia="Times New Roman" w:hAnsi="Times New Roman" w:cs="Times New Roman"/>
          <w:sz w:val="24"/>
          <w:szCs w:val="24"/>
        </w:rPr>
      </w:pPr>
      <w:r w:rsidRPr="00B324C0">
        <w:rPr>
          <w:rFonts w:ascii="Times New Roman" w:eastAsia="Times New Roman" w:hAnsi="Times New Roman" w:cs="Times New Roman"/>
          <w:b/>
          <w:bCs/>
          <w:sz w:val="24"/>
          <w:szCs w:val="24"/>
        </w:rPr>
        <w:t xml:space="preserve">Table No: 10- </w:t>
      </w:r>
      <w:r w:rsidRPr="00B324C0">
        <w:rPr>
          <w:rFonts w:ascii="Times New Roman" w:eastAsia="Times New Roman" w:hAnsi="Times New Roman" w:cs="Times New Roman"/>
          <w:sz w:val="24"/>
          <w:szCs w:val="24"/>
        </w:rPr>
        <w:t xml:space="preserve"> </w:t>
      </w:r>
      <w:r w:rsidRPr="00B324C0">
        <w:rPr>
          <w:rFonts w:ascii="Times New Roman" w:eastAsia="Times New Roman" w:hAnsi="Times New Roman" w:cs="Times New Roman"/>
          <w:b/>
          <w:bCs/>
          <w:sz w:val="24"/>
          <w:szCs w:val="24"/>
        </w:rPr>
        <w:t>Strategies Adopted to Manage the Impact of Gold Price Inflation</w:t>
      </w:r>
      <w:r w:rsidRPr="00B324C0">
        <w:rPr>
          <w:rFonts w:ascii="Times New Roman" w:eastAsia="Times New Roman" w:hAnsi="Times New Roman" w:cs="Times New Roman"/>
          <w:sz w:val="24"/>
          <w:szCs w:val="24"/>
        </w:rPr>
        <w:t>.</w:t>
      </w:r>
    </w:p>
    <w:tbl>
      <w:tblPr>
        <w:tblStyle w:val="a8"/>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4316"/>
        <w:gridCol w:w="2470"/>
        <w:gridCol w:w="1749"/>
      </w:tblGrid>
      <w:tr w:rsidR="00B324C0" w:rsidRPr="00B324C0" w14:paraId="384A895D" w14:textId="77777777" w:rsidTr="00E229D5">
        <w:tc>
          <w:tcPr>
            <w:tcW w:w="985" w:type="dxa"/>
            <w:tcBorders>
              <w:top w:val="single" w:sz="4" w:space="0" w:color="000000"/>
              <w:left w:val="single" w:sz="4" w:space="0" w:color="000000"/>
              <w:bottom w:val="single" w:sz="4" w:space="0" w:color="000000"/>
              <w:right w:val="single" w:sz="4" w:space="0" w:color="000000"/>
            </w:tcBorders>
          </w:tcPr>
          <w:p w14:paraId="039EF316"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 No</w:t>
            </w:r>
          </w:p>
        </w:tc>
        <w:tc>
          <w:tcPr>
            <w:tcW w:w="4316" w:type="dxa"/>
            <w:tcBorders>
              <w:top w:val="single" w:sz="4" w:space="0" w:color="000000"/>
              <w:left w:val="single" w:sz="4" w:space="0" w:color="000000"/>
              <w:bottom w:val="single" w:sz="4" w:space="0" w:color="000000"/>
              <w:right w:val="single" w:sz="4" w:space="0" w:color="000000"/>
            </w:tcBorders>
            <w:vAlign w:val="center"/>
          </w:tcPr>
          <w:p w14:paraId="03E05741"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Strategy Adopted</w:t>
            </w:r>
          </w:p>
        </w:tc>
        <w:tc>
          <w:tcPr>
            <w:tcW w:w="2470" w:type="dxa"/>
            <w:tcBorders>
              <w:top w:val="single" w:sz="4" w:space="0" w:color="000000"/>
              <w:left w:val="single" w:sz="4" w:space="0" w:color="000000"/>
              <w:bottom w:val="single" w:sz="4" w:space="0" w:color="000000"/>
              <w:right w:val="single" w:sz="4" w:space="0" w:color="000000"/>
            </w:tcBorders>
            <w:vAlign w:val="center"/>
          </w:tcPr>
          <w:p w14:paraId="50801E4C" w14:textId="77777777" w:rsidR="00E84E4C" w:rsidRPr="00B324C0" w:rsidRDefault="00984DED" w:rsidP="00B324C0">
            <w:pPr>
              <w:spacing w:line="360" w:lineRule="auto"/>
              <w:jc w:val="both"/>
              <w:rPr>
                <w:rFonts w:ascii="Times New Roman" w:eastAsia="Times New Roman" w:hAnsi="Times New Roman" w:cs="Times New Roman"/>
                <w:b/>
                <w:bCs/>
                <w:sz w:val="24"/>
                <w:szCs w:val="24"/>
              </w:rPr>
            </w:pPr>
            <w:r w:rsidRPr="00B324C0">
              <w:rPr>
                <w:rFonts w:ascii="Times New Roman" w:eastAsia="Times New Roman" w:hAnsi="Times New Roman" w:cs="Times New Roman"/>
                <w:b/>
                <w:bCs/>
                <w:sz w:val="24"/>
                <w:szCs w:val="24"/>
              </w:rPr>
              <w:t>Number of Mentions</w:t>
            </w:r>
          </w:p>
        </w:tc>
        <w:tc>
          <w:tcPr>
            <w:tcW w:w="1749" w:type="dxa"/>
            <w:tcBorders>
              <w:top w:val="single" w:sz="4" w:space="0" w:color="000000"/>
              <w:left w:val="single" w:sz="4" w:space="0" w:color="000000"/>
              <w:bottom w:val="single" w:sz="4" w:space="0" w:color="000000"/>
              <w:right w:val="single" w:sz="4" w:space="0" w:color="000000"/>
            </w:tcBorders>
            <w:vAlign w:val="center"/>
          </w:tcPr>
          <w:p w14:paraId="5E17209A" w14:textId="77777777" w:rsidR="00E84E4C" w:rsidRPr="00E229D5" w:rsidRDefault="00E229D5" w:rsidP="00B324C0">
            <w:pPr>
              <w:spacing w:line="360"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rPr>
              <w:t xml:space="preserve">Percentage </w:t>
            </w:r>
          </w:p>
        </w:tc>
      </w:tr>
      <w:tr w:rsidR="00B324C0" w:rsidRPr="00B324C0" w14:paraId="728D689B" w14:textId="77777777" w:rsidTr="00E229D5">
        <w:tc>
          <w:tcPr>
            <w:tcW w:w="985" w:type="dxa"/>
            <w:tcBorders>
              <w:top w:val="single" w:sz="4" w:space="0" w:color="000000"/>
              <w:left w:val="single" w:sz="4" w:space="0" w:color="000000"/>
              <w:bottom w:val="single" w:sz="4" w:space="0" w:color="000000"/>
              <w:right w:val="single" w:sz="4" w:space="0" w:color="000000"/>
            </w:tcBorders>
          </w:tcPr>
          <w:p w14:paraId="1E849153"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w:t>
            </w:r>
          </w:p>
        </w:tc>
        <w:tc>
          <w:tcPr>
            <w:tcW w:w="4316" w:type="dxa"/>
            <w:tcBorders>
              <w:top w:val="single" w:sz="4" w:space="0" w:color="000000"/>
              <w:left w:val="single" w:sz="4" w:space="0" w:color="000000"/>
              <w:bottom w:val="single" w:sz="4" w:space="0" w:color="000000"/>
              <w:right w:val="single" w:sz="4" w:space="0" w:color="000000"/>
            </w:tcBorders>
            <w:vAlign w:val="center"/>
          </w:tcPr>
          <w:p w14:paraId="5EC7DD24"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Buying smaller quantities of gold</w:t>
            </w:r>
          </w:p>
        </w:tc>
        <w:tc>
          <w:tcPr>
            <w:tcW w:w="2470" w:type="dxa"/>
            <w:tcBorders>
              <w:top w:val="single" w:sz="4" w:space="0" w:color="000000"/>
              <w:left w:val="single" w:sz="4" w:space="0" w:color="000000"/>
              <w:bottom w:val="single" w:sz="4" w:space="0" w:color="000000"/>
              <w:right w:val="single" w:sz="4" w:space="0" w:color="000000"/>
            </w:tcBorders>
            <w:vAlign w:val="center"/>
          </w:tcPr>
          <w:p w14:paraId="347B8C90"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26</w:t>
            </w:r>
          </w:p>
        </w:tc>
        <w:tc>
          <w:tcPr>
            <w:tcW w:w="1749" w:type="dxa"/>
            <w:tcBorders>
              <w:top w:val="single" w:sz="4" w:space="0" w:color="000000"/>
              <w:left w:val="single" w:sz="4" w:space="0" w:color="000000"/>
              <w:bottom w:val="single" w:sz="4" w:space="0" w:color="000000"/>
              <w:right w:val="single" w:sz="4" w:space="0" w:color="000000"/>
            </w:tcBorders>
            <w:vAlign w:val="center"/>
          </w:tcPr>
          <w:p w14:paraId="02CC4C07"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46.4</w:t>
            </w:r>
          </w:p>
        </w:tc>
      </w:tr>
      <w:tr w:rsidR="00B324C0" w:rsidRPr="00B324C0" w14:paraId="0520385F" w14:textId="77777777" w:rsidTr="00E229D5">
        <w:tc>
          <w:tcPr>
            <w:tcW w:w="985" w:type="dxa"/>
            <w:tcBorders>
              <w:top w:val="single" w:sz="4" w:space="0" w:color="000000"/>
              <w:left w:val="single" w:sz="4" w:space="0" w:color="000000"/>
              <w:bottom w:val="single" w:sz="4" w:space="0" w:color="000000"/>
              <w:right w:val="single" w:sz="4" w:space="0" w:color="000000"/>
            </w:tcBorders>
          </w:tcPr>
          <w:p w14:paraId="35F2E7C4"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w:t>
            </w:r>
          </w:p>
        </w:tc>
        <w:tc>
          <w:tcPr>
            <w:tcW w:w="4316" w:type="dxa"/>
            <w:tcBorders>
              <w:top w:val="single" w:sz="4" w:space="0" w:color="000000"/>
              <w:left w:val="single" w:sz="4" w:space="0" w:color="000000"/>
              <w:bottom w:val="single" w:sz="4" w:space="0" w:color="000000"/>
              <w:right w:val="single" w:sz="4" w:space="0" w:color="000000"/>
            </w:tcBorders>
            <w:vAlign w:val="center"/>
          </w:tcPr>
          <w:p w14:paraId="42B21282"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Switching to silver or other investments</w:t>
            </w:r>
          </w:p>
        </w:tc>
        <w:tc>
          <w:tcPr>
            <w:tcW w:w="2470" w:type="dxa"/>
            <w:tcBorders>
              <w:top w:val="single" w:sz="4" w:space="0" w:color="000000"/>
              <w:left w:val="single" w:sz="4" w:space="0" w:color="000000"/>
              <w:bottom w:val="single" w:sz="4" w:space="0" w:color="000000"/>
              <w:right w:val="single" w:sz="4" w:space="0" w:color="000000"/>
            </w:tcBorders>
            <w:vAlign w:val="center"/>
          </w:tcPr>
          <w:p w14:paraId="447CE9EE"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18</w:t>
            </w:r>
          </w:p>
        </w:tc>
        <w:tc>
          <w:tcPr>
            <w:tcW w:w="1749" w:type="dxa"/>
            <w:tcBorders>
              <w:top w:val="single" w:sz="4" w:space="0" w:color="000000"/>
              <w:left w:val="single" w:sz="4" w:space="0" w:color="000000"/>
              <w:bottom w:val="single" w:sz="4" w:space="0" w:color="000000"/>
              <w:right w:val="single" w:sz="4" w:space="0" w:color="000000"/>
            </w:tcBorders>
            <w:vAlign w:val="center"/>
          </w:tcPr>
          <w:p w14:paraId="07272E19"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32.1</w:t>
            </w:r>
          </w:p>
        </w:tc>
      </w:tr>
      <w:tr w:rsidR="00B324C0" w:rsidRPr="00B324C0" w14:paraId="4665AAA6" w14:textId="77777777" w:rsidTr="00E229D5">
        <w:tc>
          <w:tcPr>
            <w:tcW w:w="985" w:type="dxa"/>
            <w:tcBorders>
              <w:top w:val="single" w:sz="4" w:space="0" w:color="000000"/>
              <w:left w:val="single" w:sz="4" w:space="0" w:color="000000"/>
              <w:bottom w:val="single" w:sz="4" w:space="0" w:color="000000"/>
              <w:right w:val="single" w:sz="4" w:space="0" w:color="000000"/>
            </w:tcBorders>
          </w:tcPr>
          <w:p w14:paraId="401F4C55"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w:t>
            </w:r>
          </w:p>
        </w:tc>
        <w:tc>
          <w:tcPr>
            <w:tcW w:w="4316" w:type="dxa"/>
            <w:tcBorders>
              <w:top w:val="single" w:sz="4" w:space="0" w:color="000000"/>
              <w:left w:val="single" w:sz="4" w:space="0" w:color="000000"/>
              <w:bottom w:val="single" w:sz="4" w:space="0" w:color="000000"/>
              <w:right w:val="single" w:sz="4" w:space="0" w:color="000000"/>
            </w:tcBorders>
            <w:vAlign w:val="center"/>
          </w:tcPr>
          <w:p w14:paraId="0BC03F16"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Participating in gold saving schemes</w:t>
            </w:r>
          </w:p>
        </w:tc>
        <w:tc>
          <w:tcPr>
            <w:tcW w:w="2470" w:type="dxa"/>
            <w:tcBorders>
              <w:top w:val="single" w:sz="4" w:space="0" w:color="000000"/>
              <w:left w:val="single" w:sz="4" w:space="0" w:color="000000"/>
              <w:bottom w:val="single" w:sz="4" w:space="0" w:color="000000"/>
              <w:right w:val="single" w:sz="4" w:space="0" w:color="000000"/>
            </w:tcBorders>
            <w:vAlign w:val="center"/>
          </w:tcPr>
          <w:p w14:paraId="6940D92D"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22</w:t>
            </w:r>
          </w:p>
        </w:tc>
        <w:tc>
          <w:tcPr>
            <w:tcW w:w="1749" w:type="dxa"/>
            <w:tcBorders>
              <w:top w:val="single" w:sz="4" w:space="0" w:color="000000"/>
              <w:left w:val="single" w:sz="4" w:space="0" w:color="000000"/>
              <w:bottom w:val="single" w:sz="4" w:space="0" w:color="000000"/>
              <w:right w:val="single" w:sz="4" w:space="0" w:color="000000"/>
            </w:tcBorders>
            <w:vAlign w:val="center"/>
          </w:tcPr>
          <w:p w14:paraId="77D8774D"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39.3</w:t>
            </w:r>
          </w:p>
        </w:tc>
      </w:tr>
      <w:tr w:rsidR="00B324C0" w:rsidRPr="00B324C0" w14:paraId="212EDE28" w14:textId="77777777" w:rsidTr="00E229D5">
        <w:tc>
          <w:tcPr>
            <w:tcW w:w="985" w:type="dxa"/>
            <w:tcBorders>
              <w:top w:val="single" w:sz="4" w:space="0" w:color="000000"/>
              <w:left w:val="single" w:sz="4" w:space="0" w:color="000000"/>
              <w:bottom w:val="single" w:sz="4" w:space="0" w:color="000000"/>
              <w:right w:val="single" w:sz="4" w:space="0" w:color="000000"/>
            </w:tcBorders>
          </w:tcPr>
          <w:p w14:paraId="45508EE0"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4</w:t>
            </w:r>
          </w:p>
        </w:tc>
        <w:tc>
          <w:tcPr>
            <w:tcW w:w="4316" w:type="dxa"/>
            <w:tcBorders>
              <w:top w:val="single" w:sz="4" w:space="0" w:color="000000"/>
              <w:left w:val="single" w:sz="4" w:space="0" w:color="000000"/>
              <w:bottom w:val="single" w:sz="4" w:space="0" w:color="000000"/>
              <w:right w:val="single" w:sz="4" w:space="0" w:color="000000"/>
            </w:tcBorders>
            <w:vAlign w:val="center"/>
          </w:tcPr>
          <w:p w14:paraId="3E8608C8" w14:textId="61647801"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 xml:space="preserve">Delaying purchases until prices </w:t>
            </w:r>
            <w:proofErr w:type="spellStart"/>
            <w:r w:rsidRPr="00B324C0">
              <w:rPr>
                <w:rFonts w:ascii="Times New Roman" w:eastAsia="Times New Roman" w:hAnsi="Times New Roman" w:cs="Times New Roman"/>
                <w:sz w:val="24"/>
                <w:szCs w:val="24"/>
              </w:rPr>
              <w:t>stabili</w:t>
            </w:r>
            <w:r w:rsidR="007A1172">
              <w:rPr>
                <w:rFonts w:ascii="Times New Roman" w:eastAsia="Times New Roman" w:hAnsi="Times New Roman" w:cs="Times New Roman"/>
                <w:sz w:val="24"/>
                <w:szCs w:val="24"/>
              </w:rPr>
              <w:t>s</w:t>
            </w:r>
            <w:r w:rsidRPr="00B324C0">
              <w:rPr>
                <w:rFonts w:ascii="Times New Roman" w:eastAsia="Times New Roman" w:hAnsi="Times New Roman" w:cs="Times New Roman"/>
                <w:sz w:val="24"/>
                <w:szCs w:val="24"/>
              </w:rPr>
              <w:t>e</w:t>
            </w:r>
            <w:proofErr w:type="spellEnd"/>
          </w:p>
        </w:tc>
        <w:tc>
          <w:tcPr>
            <w:tcW w:w="2470" w:type="dxa"/>
            <w:tcBorders>
              <w:top w:val="single" w:sz="4" w:space="0" w:color="000000"/>
              <w:left w:val="single" w:sz="4" w:space="0" w:color="000000"/>
              <w:bottom w:val="single" w:sz="4" w:space="0" w:color="000000"/>
              <w:right w:val="single" w:sz="4" w:space="0" w:color="000000"/>
            </w:tcBorders>
            <w:vAlign w:val="center"/>
          </w:tcPr>
          <w:p w14:paraId="370BBF97"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30</w:t>
            </w:r>
          </w:p>
        </w:tc>
        <w:tc>
          <w:tcPr>
            <w:tcW w:w="1749" w:type="dxa"/>
            <w:tcBorders>
              <w:top w:val="single" w:sz="4" w:space="0" w:color="000000"/>
              <w:left w:val="single" w:sz="4" w:space="0" w:color="000000"/>
              <w:bottom w:val="single" w:sz="4" w:space="0" w:color="000000"/>
              <w:right w:val="single" w:sz="4" w:space="0" w:color="000000"/>
            </w:tcBorders>
            <w:vAlign w:val="center"/>
          </w:tcPr>
          <w:p w14:paraId="58C1E303"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53.6</w:t>
            </w:r>
          </w:p>
        </w:tc>
      </w:tr>
      <w:tr w:rsidR="00B324C0" w:rsidRPr="00B324C0" w14:paraId="031DB09A" w14:textId="77777777" w:rsidTr="00E229D5">
        <w:tc>
          <w:tcPr>
            <w:tcW w:w="985" w:type="dxa"/>
            <w:tcBorders>
              <w:top w:val="single" w:sz="4" w:space="0" w:color="000000"/>
              <w:left w:val="single" w:sz="4" w:space="0" w:color="000000"/>
              <w:bottom w:val="single" w:sz="4" w:space="0" w:color="000000"/>
              <w:right w:val="single" w:sz="4" w:space="0" w:color="000000"/>
            </w:tcBorders>
          </w:tcPr>
          <w:p w14:paraId="1E0D65DF"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w:t>
            </w:r>
          </w:p>
        </w:tc>
        <w:tc>
          <w:tcPr>
            <w:tcW w:w="4316" w:type="dxa"/>
            <w:tcBorders>
              <w:top w:val="single" w:sz="4" w:space="0" w:color="000000"/>
              <w:left w:val="single" w:sz="4" w:space="0" w:color="000000"/>
              <w:bottom w:val="single" w:sz="4" w:space="0" w:color="000000"/>
              <w:right w:val="single" w:sz="4" w:space="0" w:color="000000"/>
            </w:tcBorders>
            <w:vAlign w:val="center"/>
          </w:tcPr>
          <w:p w14:paraId="0309DE7A"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Avoiding gold purchases altogether</w:t>
            </w:r>
          </w:p>
        </w:tc>
        <w:tc>
          <w:tcPr>
            <w:tcW w:w="2470" w:type="dxa"/>
            <w:tcBorders>
              <w:top w:val="single" w:sz="4" w:space="0" w:color="000000"/>
              <w:left w:val="single" w:sz="4" w:space="0" w:color="000000"/>
              <w:bottom w:val="single" w:sz="4" w:space="0" w:color="000000"/>
              <w:right w:val="single" w:sz="4" w:space="0" w:color="000000"/>
            </w:tcBorders>
            <w:vAlign w:val="center"/>
          </w:tcPr>
          <w:p w14:paraId="2CA8A638"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12</w:t>
            </w:r>
          </w:p>
        </w:tc>
        <w:tc>
          <w:tcPr>
            <w:tcW w:w="1749" w:type="dxa"/>
            <w:tcBorders>
              <w:top w:val="single" w:sz="4" w:space="0" w:color="000000"/>
              <w:left w:val="single" w:sz="4" w:space="0" w:color="000000"/>
              <w:bottom w:val="single" w:sz="4" w:space="0" w:color="000000"/>
              <w:right w:val="single" w:sz="4" w:space="0" w:color="000000"/>
            </w:tcBorders>
            <w:vAlign w:val="center"/>
          </w:tcPr>
          <w:p w14:paraId="5CFD7927"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21.4</w:t>
            </w:r>
          </w:p>
        </w:tc>
      </w:tr>
      <w:tr w:rsidR="00B324C0" w:rsidRPr="00B324C0" w14:paraId="7D665A42" w14:textId="77777777" w:rsidTr="00E229D5">
        <w:tc>
          <w:tcPr>
            <w:tcW w:w="985" w:type="dxa"/>
            <w:tcBorders>
              <w:top w:val="single" w:sz="4" w:space="0" w:color="000000"/>
              <w:left w:val="single" w:sz="4" w:space="0" w:color="000000"/>
              <w:bottom w:val="single" w:sz="4" w:space="0" w:color="000000"/>
              <w:right w:val="single" w:sz="4" w:space="0" w:color="000000"/>
            </w:tcBorders>
          </w:tcPr>
          <w:p w14:paraId="250CB8D9" w14:textId="77777777" w:rsidR="00E84E4C" w:rsidRPr="00B324C0" w:rsidRDefault="00E84E4C" w:rsidP="00E229D5">
            <w:pPr>
              <w:spacing w:line="360" w:lineRule="auto"/>
              <w:jc w:val="center"/>
              <w:rPr>
                <w:rFonts w:ascii="Times New Roman" w:eastAsia="Times New Roman" w:hAnsi="Times New Roman" w:cs="Times New Roman"/>
                <w:sz w:val="24"/>
                <w:szCs w:val="24"/>
              </w:rPr>
            </w:pPr>
          </w:p>
        </w:tc>
        <w:tc>
          <w:tcPr>
            <w:tcW w:w="4316" w:type="dxa"/>
            <w:tcBorders>
              <w:top w:val="single" w:sz="4" w:space="0" w:color="000000"/>
              <w:left w:val="single" w:sz="4" w:space="0" w:color="000000"/>
              <w:bottom w:val="single" w:sz="4" w:space="0" w:color="000000"/>
              <w:right w:val="single" w:sz="4" w:space="0" w:color="000000"/>
            </w:tcBorders>
            <w:vAlign w:val="center"/>
          </w:tcPr>
          <w:p w14:paraId="741C1973"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Total</w:t>
            </w:r>
          </w:p>
        </w:tc>
        <w:tc>
          <w:tcPr>
            <w:tcW w:w="2470" w:type="dxa"/>
            <w:tcBorders>
              <w:top w:val="single" w:sz="4" w:space="0" w:color="000000"/>
              <w:left w:val="single" w:sz="4" w:space="0" w:color="000000"/>
              <w:bottom w:val="single" w:sz="4" w:space="0" w:color="000000"/>
              <w:right w:val="single" w:sz="4" w:space="0" w:color="000000"/>
            </w:tcBorders>
            <w:vAlign w:val="center"/>
          </w:tcPr>
          <w:p w14:paraId="75093F98"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56</w:t>
            </w:r>
          </w:p>
        </w:tc>
        <w:tc>
          <w:tcPr>
            <w:tcW w:w="1749" w:type="dxa"/>
            <w:tcBorders>
              <w:top w:val="single" w:sz="4" w:space="0" w:color="000000"/>
              <w:left w:val="single" w:sz="4" w:space="0" w:color="000000"/>
              <w:bottom w:val="single" w:sz="4" w:space="0" w:color="000000"/>
              <w:right w:val="single" w:sz="4" w:space="0" w:color="000000"/>
            </w:tcBorders>
            <w:vAlign w:val="center"/>
          </w:tcPr>
          <w:p w14:paraId="7ED99CEE" w14:textId="77777777" w:rsidR="00E84E4C" w:rsidRPr="00B324C0" w:rsidRDefault="00984DED" w:rsidP="00E229D5">
            <w:pPr>
              <w:spacing w:line="360" w:lineRule="auto"/>
              <w:jc w:val="center"/>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100</w:t>
            </w:r>
          </w:p>
        </w:tc>
      </w:tr>
    </w:tbl>
    <w:p w14:paraId="5AA1834C" w14:textId="77777777" w:rsidR="00E84E4C" w:rsidRPr="00B324C0" w:rsidRDefault="00B324C0" w:rsidP="00B324C0">
      <w:pPr>
        <w:pBdr>
          <w:top w:val="nil"/>
          <w:left w:val="nil"/>
          <w:bottom w:val="nil"/>
          <w:right w:val="nil"/>
          <w:between w:val="nil"/>
        </w:pBdr>
        <w:spacing w:line="360" w:lineRule="auto"/>
        <w:jc w:val="both"/>
        <w:rPr>
          <w:rFonts w:ascii="Times New Roman" w:eastAsia="Times New Roman" w:hAnsi="Times New Roman" w:cs="Times New Roman"/>
          <w:iCs/>
          <w:sz w:val="24"/>
          <w:szCs w:val="24"/>
        </w:rPr>
      </w:pPr>
      <w:r w:rsidRPr="00B324C0">
        <w:rPr>
          <w:rFonts w:ascii="Times New Roman" w:eastAsia="Times New Roman" w:hAnsi="Times New Roman" w:cs="Times New Roman"/>
          <w:b/>
          <w:i/>
          <w:iCs/>
          <w:sz w:val="24"/>
          <w:szCs w:val="24"/>
        </w:rPr>
        <w:t xml:space="preserve"> Source: Primary Data</w:t>
      </w:r>
    </w:p>
    <w:p w14:paraId="0136D50D" w14:textId="0DBB01FE" w:rsidR="00EB59BA" w:rsidRDefault="00984DED" w:rsidP="00EB59BA">
      <w:pPr>
        <w:spacing w:line="360" w:lineRule="auto"/>
        <w:ind w:firstLine="720"/>
        <w:jc w:val="both"/>
        <w:rPr>
          <w:rFonts w:ascii="Times New Roman" w:eastAsia="Times New Roman" w:hAnsi="Times New Roman" w:cs="Times New Roman"/>
          <w:sz w:val="24"/>
          <w:szCs w:val="24"/>
        </w:rPr>
      </w:pPr>
      <w:r w:rsidRPr="00B324C0">
        <w:rPr>
          <w:rFonts w:ascii="Times New Roman" w:eastAsia="Times New Roman" w:hAnsi="Times New Roman" w:cs="Times New Roman"/>
          <w:sz w:val="24"/>
          <w:szCs w:val="24"/>
        </w:rPr>
        <w:t xml:space="preserve">The findings reveal that </w:t>
      </w:r>
      <w:r w:rsidR="007A1172">
        <w:rPr>
          <w:rFonts w:ascii="Times New Roman" w:eastAsia="Times New Roman" w:hAnsi="Times New Roman" w:cs="Times New Roman"/>
          <w:sz w:val="24"/>
          <w:szCs w:val="24"/>
        </w:rPr>
        <w:t>T</w:t>
      </w:r>
      <w:r w:rsidRPr="00B324C0">
        <w:rPr>
          <w:rFonts w:ascii="Times New Roman" w:eastAsia="Times New Roman" w:hAnsi="Times New Roman" w:cs="Times New Roman"/>
          <w:sz w:val="24"/>
          <w:szCs w:val="24"/>
        </w:rPr>
        <w:t>able 10 respondents adopted various strategies to manage the impact of gold price inflation. Among them, 53.6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 xml:space="preserve">cent reported delaying purchases until prices </w:t>
      </w:r>
      <w:proofErr w:type="spellStart"/>
      <w:r w:rsidRPr="00B324C0">
        <w:rPr>
          <w:rFonts w:ascii="Times New Roman" w:eastAsia="Times New Roman" w:hAnsi="Times New Roman" w:cs="Times New Roman"/>
          <w:sz w:val="24"/>
          <w:szCs w:val="24"/>
        </w:rPr>
        <w:t>stabili</w:t>
      </w:r>
      <w:r w:rsidR="007A1172">
        <w:rPr>
          <w:rFonts w:ascii="Times New Roman" w:eastAsia="Times New Roman" w:hAnsi="Times New Roman" w:cs="Times New Roman"/>
          <w:sz w:val="24"/>
          <w:szCs w:val="24"/>
        </w:rPr>
        <w:t>s</w:t>
      </w:r>
      <w:r w:rsidRPr="00B324C0">
        <w:rPr>
          <w:rFonts w:ascii="Times New Roman" w:eastAsia="Times New Roman" w:hAnsi="Times New Roman" w:cs="Times New Roman"/>
          <w:sz w:val="24"/>
          <w:szCs w:val="24"/>
        </w:rPr>
        <w:t>e</w:t>
      </w:r>
      <w:proofErr w:type="spellEnd"/>
      <w:r w:rsidRPr="00B324C0">
        <w:rPr>
          <w:rFonts w:ascii="Times New Roman" w:eastAsia="Times New Roman" w:hAnsi="Times New Roman" w:cs="Times New Roman"/>
          <w:sz w:val="24"/>
          <w:szCs w:val="24"/>
        </w:rPr>
        <w:t>, while 46.4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opted for buying smaller quantities of gold. Additionally, 39.3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cent participated in gold saving schemes, 32.1 per</w:t>
      </w:r>
      <w:r w:rsidR="007A1172">
        <w:rPr>
          <w:rFonts w:ascii="Times New Roman" w:eastAsia="Times New Roman" w:hAnsi="Times New Roman" w:cs="Times New Roman"/>
          <w:sz w:val="24"/>
          <w:szCs w:val="24"/>
        </w:rPr>
        <w:t xml:space="preserve"> </w:t>
      </w:r>
      <w:r w:rsidRPr="00B324C0">
        <w:rPr>
          <w:rFonts w:ascii="Times New Roman" w:eastAsia="Times New Roman" w:hAnsi="Times New Roman" w:cs="Times New Roman"/>
          <w:sz w:val="24"/>
          <w:szCs w:val="24"/>
        </w:rPr>
        <w:t xml:space="preserve">cent switched to silver or other investments, and 21.4 percent avoided gold purchases altogether. This indicates that respondents employ multiple </w:t>
      </w:r>
      <w:r w:rsidR="00EB59BA" w:rsidRPr="00B324C0">
        <w:rPr>
          <w:rFonts w:ascii="Times New Roman" w:eastAsia="Times New Roman" w:hAnsi="Times New Roman" w:cs="Times New Roman"/>
          <w:sz w:val="24"/>
          <w:szCs w:val="24"/>
        </w:rPr>
        <w:t>approaches to cope with rising gold prices in the study area.</w:t>
      </w:r>
    </w:p>
    <w:p w14:paraId="41DF1D7B" w14:textId="7B293580" w:rsidR="007439C4" w:rsidRPr="007439C4" w:rsidRDefault="000C78EB" w:rsidP="007439C4">
      <w:pPr>
        <w:spacing w:line="360" w:lineRule="auto"/>
        <w:jc w:val="both"/>
        <w:rPr>
          <w:rFonts w:ascii="Times New Roman" w:eastAsia="Times New Roman" w:hAnsi="Times New Roman" w:cs="Times New Roman"/>
          <w:b/>
          <w:bCs/>
          <w:sz w:val="24"/>
          <w:szCs w:val="24"/>
          <w:lang w:val="en-IN"/>
        </w:rPr>
      </w:pPr>
      <w:r w:rsidRPr="007439C4">
        <w:rPr>
          <w:rFonts w:ascii="Times New Roman" w:eastAsia="Times New Roman" w:hAnsi="Times New Roman" w:cs="Times New Roman"/>
          <w:b/>
          <w:bCs/>
          <w:sz w:val="24"/>
          <w:szCs w:val="24"/>
          <w:lang w:val="en-IN"/>
        </w:rPr>
        <w:t>RESULT AND DISCUSSION</w:t>
      </w:r>
    </w:p>
    <w:p w14:paraId="277AC7EF" w14:textId="5E9A52B2" w:rsidR="007439C4" w:rsidRPr="007439C4" w:rsidRDefault="007439C4" w:rsidP="007439C4">
      <w:pPr>
        <w:spacing w:line="360" w:lineRule="auto"/>
        <w:ind w:firstLine="720"/>
        <w:jc w:val="both"/>
        <w:rPr>
          <w:rFonts w:ascii="Times New Roman" w:eastAsia="Times New Roman" w:hAnsi="Times New Roman" w:cs="Times New Roman"/>
          <w:sz w:val="24"/>
          <w:szCs w:val="24"/>
          <w:lang w:val="en-IN"/>
        </w:rPr>
      </w:pPr>
      <w:r w:rsidRPr="007439C4">
        <w:rPr>
          <w:rFonts w:ascii="Times New Roman" w:eastAsia="Times New Roman" w:hAnsi="Times New Roman" w:cs="Times New Roman"/>
          <w:sz w:val="24"/>
          <w:szCs w:val="24"/>
          <w:lang w:val="en-IN"/>
        </w:rPr>
        <w:t xml:space="preserve">The study into the socio-economic implications of gold price inflation in rural Tamil Nadu reveals a significant disparity between the cultural necessity of gold and the economic reality of low-income households. Despite gold prices rising from ₹27,445 to ₹85,300 over the last decade while incomes remained stagnant, the asset remains a central pillar of rural financial and social </w:t>
      </w:r>
      <w:r w:rsidRPr="007439C4">
        <w:rPr>
          <w:rFonts w:ascii="Times New Roman" w:eastAsia="Times New Roman" w:hAnsi="Times New Roman" w:cs="Times New Roman"/>
          <w:sz w:val="24"/>
          <w:szCs w:val="24"/>
          <w:lang w:val="en-IN"/>
        </w:rPr>
        <w:lastRenderedPageBreak/>
        <w:t>life. Purchasing Behaviour and Impact</w:t>
      </w:r>
      <w:r>
        <w:rPr>
          <w:rFonts w:ascii="Times New Roman" w:eastAsia="Times New Roman" w:hAnsi="Times New Roman" w:cs="Times New Roman"/>
          <w:sz w:val="24"/>
          <w:szCs w:val="24"/>
          <w:lang w:val="en-IN"/>
        </w:rPr>
        <w:t xml:space="preserve"> </w:t>
      </w:r>
      <w:r w:rsidR="007A1172">
        <w:rPr>
          <w:rFonts w:ascii="Times New Roman" w:eastAsia="Times New Roman" w:hAnsi="Times New Roman" w:cs="Times New Roman"/>
          <w:sz w:val="24"/>
          <w:szCs w:val="24"/>
          <w:lang w:val="en-IN"/>
        </w:rPr>
        <w:t>is</w:t>
      </w:r>
      <w:r>
        <w:rPr>
          <w:rFonts w:ascii="Times New Roman" w:eastAsia="Times New Roman" w:hAnsi="Times New Roman" w:cs="Times New Roman"/>
          <w:sz w:val="24"/>
          <w:szCs w:val="24"/>
          <w:lang w:val="en-IN"/>
        </w:rPr>
        <w:t xml:space="preserve"> t</w:t>
      </w:r>
      <w:r w:rsidRPr="007439C4">
        <w:rPr>
          <w:rFonts w:ascii="Times New Roman" w:eastAsia="Times New Roman" w:hAnsi="Times New Roman" w:cs="Times New Roman"/>
          <w:sz w:val="24"/>
          <w:szCs w:val="24"/>
          <w:lang w:val="en-IN"/>
        </w:rPr>
        <w:t xml:space="preserve">he study </w:t>
      </w:r>
      <w:r w:rsidR="007A1172">
        <w:rPr>
          <w:rFonts w:ascii="Times New Roman" w:eastAsia="Times New Roman" w:hAnsi="Times New Roman" w:cs="Times New Roman"/>
          <w:sz w:val="24"/>
          <w:szCs w:val="24"/>
          <w:lang w:val="en-IN"/>
        </w:rPr>
        <w:t xml:space="preserve">that </w:t>
      </w:r>
      <w:r w:rsidRPr="007439C4">
        <w:rPr>
          <w:rFonts w:ascii="Times New Roman" w:eastAsia="Times New Roman" w:hAnsi="Times New Roman" w:cs="Times New Roman"/>
          <w:sz w:val="24"/>
          <w:szCs w:val="24"/>
          <w:lang w:val="en-IN"/>
        </w:rPr>
        <w:t>found that 68 per cent of respondents reported that rising prices had directly affected their ability to purchase gold. Consequently, 59 per cent had either postponed or completely cancelled planned purchases. Of those affected, 55 per cent reduced the quantity purchased, while 29 per cent delayed their acquisition. Socio-Economic and Emotional Impact</w:t>
      </w:r>
      <w:r>
        <w:rPr>
          <w:rFonts w:ascii="Times New Roman" w:eastAsia="Times New Roman" w:hAnsi="Times New Roman" w:cs="Times New Roman"/>
          <w:sz w:val="24"/>
          <w:szCs w:val="24"/>
          <w:lang w:val="en-IN"/>
        </w:rPr>
        <w:t xml:space="preserve"> are</w:t>
      </w:r>
      <w:r w:rsidRPr="007439C4">
        <w:rPr>
          <w:rFonts w:ascii="Times New Roman" w:eastAsia="Times New Roman" w:hAnsi="Times New Roman" w:cs="Times New Roman"/>
          <w:sz w:val="24"/>
          <w:szCs w:val="24"/>
          <w:lang w:val="en-IN"/>
        </w:rPr>
        <w:t xml:space="preserve"> gold ownership is deeply tied to social standing, with 57.1 per cent of respondents viewing it as "very" or "extremely" important for family status. This creates significant pressure, as 67.9 per cent of families reported feeling forced to buy gold for their daughters' marriages due to cultural expectations</w:t>
      </w:r>
      <w:r>
        <w:rPr>
          <w:rFonts w:ascii="Times New Roman" w:eastAsia="Times New Roman" w:hAnsi="Times New Roman" w:cs="Times New Roman"/>
          <w:sz w:val="24"/>
          <w:szCs w:val="24"/>
          <w:lang w:val="en-IN"/>
        </w:rPr>
        <w:t xml:space="preserve">. </w:t>
      </w:r>
      <w:r w:rsidRPr="007439C4">
        <w:rPr>
          <w:rFonts w:ascii="Times New Roman" w:eastAsia="Times New Roman" w:hAnsi="Times New Roman" w:cs="Times New Roman"/>
          <w:sz w:val="24"/>
          <w:szCs w:val="24"/>
          <w:lang w:val="en-IN"/>
        </w:rPr>
        <w:t>This financial strain has led 60.7 per cent of respondents to experience emotional stress or social discomfort. The "Aspiration-Reality Gap"</w:t>
      </w:r>
      <w:r>
        <w:rPr>
          <w:rFonts w:ascii="Times New Roman" w:eastAsia="Times New Roman" w:hAnsi="Times New Roman" w:cs="Times New Roman"/>
          <w:sz w:val="24"/>
          <w:szCs w:val="24"/>
          <w:lang w:val="en-IN"/>
        </w:rPr>
        <w:t xml:space="preserve"> are the</w:t>
      </w:r>
      <w:r w:rsidRPr="007439C4">
        <w:rPr>
          <w:rFonts w:ascii="Times New Roman" w:eastAsia="Times New Roman" w:hAnsi="Times New Roman" w:cs="Times New Roman"/>
          <w:sz w:val="24"/>
          <w:szCs w:val="24"/>
          <w:lang w:val="en-IN"/>
        </w:rPr>
        <w:t xml:space="preserve"> substantial 75 per cent of respondents felt that the inflation of gold prices has widened the gap between their aspirations and their actual reality, making traditional milestones harder to achieve.</w:t>
      </w:r>
    </w:p>
    <w:p w14:paraId="2C54E3E8" w14:textId="61634D94" w:rsidR="007439C4" w:rsidRPr="007439C4" w:rsidRDefault="007439C4" w:rsidP="007439C4">
      <w:pPr>
        <w:spacing w:line="360" w:lineRule="auto"/>
        <w:ind w:firstLine="720"/>
        <w:jc w:val="both"/>
        <w:rPr>
          <w:rFonts w:ascii="Times New Roman" w:eastAsia="Times New Roman" w:hAnsi="Times New Roman" w:cs="Times New Roman"/>
          <w:sz w:val="24"/>
          <w:szCs w:val="24"/>
          <w:lang w:val="en-IN"/>
        </w:rPr>
      </w:pPr>
      <w:r w:rsidRPr="007439C4">
        <w:rPr>
          <w:rFonts w:ascii="Times New Roman" w:eastAsia="Times New Roman" w:hAnsi="Times New Roman" w:cs="Times New Roman"/>
          <w:sz w:val="24"/>
          <w:szCs w:val="24"/>
          <w:lang w:val="en-IN"/>
        </w:rPr>
        <w:tab/>
        <w:t xml:space="preserve">Coping Strategies are </w:t>
      </w:r>
      <w:proofErr w:type="gramStart"/>
      <w:r w:rsidRPr="007439C4">
        <w:rPr>
          <w:rFonts w:ascii="Times New Roman" w:eastAsia="Times New Roman" w:hAnsi="Times New Roman" w:cs="Times New Roman"/>
          <w:sz w:val="24"/>
          <w:szCs w:val="24"/>
          <w:lang w:val="en-IN"/>
        </w:rPr>
        <w:t>To</w:t>
      </w:r>
      <w:proofErr w:type="gramEnd"/>
      <w:r w:rsidRPr="007439C4">
        <w:rPr>
          <w:rFonts w:ascii="Times New Roman" w:eastAsia="Times New Roman" w:hAnsi="Times New Roman" w:cs="Times New Roman"/>
          <w:sz w:val="24"/>
          <w:szCs w:val="24"/>
          <w:lang w:val="en-IN"/>
        </w:rPr>
        <w:t xml:space="preserve"> manage these economic pressures, households have adopted several strategies</w:t>
      </w:r>
      <w:r w:rsidR="007A1172">
        <w:rPr>
          <w:rFonts w:ascii="Times New Roman" w:eastAsia="Times New Roman" w:hAnsi="Times New Roman" w:cs="Times New Roman"/>
          <w:sz w:val="24"/>
          <w:szCs w:val="24"/>
          <w:lang w:val="en-IN"/>
        </w:rPr>
        <w:t>,</w:t>
      </w:r>
      <w:r w:rsidRPr="007439C4">
        <w:rPr>
          <w:rFonts w:ascii="Times New Roman" w:eastAsia="Times New Roman" w:hAnsi="Times New Roman" w:cs="Times New Roman"/>
          <w:sz w:val="24"/>
          <w:szCs w:val="24"/>
          <w:lang w:val="en-IN"/>
        </w:rPr>
        <w:t xml:space="preserve"> are Delaying purchases until price stabilisation (53.6 per cent). Buying smaller quantities (46.4 per cent). Participating in gold saving schemes (39.3 per cent). Exploring alternatives such as digital gold (29 per cent) or mutual funds/stocks (25 per cent).</w:t>
      </w:r>
    </w:p>
    <w:p w14:paraId="4FB80B14" w14:textId="77777777" w:rsidR="007439C4" w:rsidRPr="007439C4" w:rsidRDefault="007439C4" w:rsidP="007439C4">
      <w:pPr>
        <w:spacing w:line="360" w:lineRule="auto"/>
        <w:ind w:firstLine="720"/>
        <w:jc w:val="both"/>
        <w:rPr>
          <w:rFonts w:ascii="Times New Roman" w:eastAsia="Times New Roman" w:hAnsi="Times New Roman" w:cs="Times New Roman"/>
          <w:sz w:val="24"/>
          <w:szCs w:val="24"/>
          <w:lang w:val="en-IN"/>
        </w:rPr>
      </w:pPr>
    </w:p>
    <w:p w14:paraId="4B64C6F8" w14:textId="221607C9" w:rsidR="00EB59BA" w:rsidRPr="007439C4" w:rsidRDefault="007A1172" w:rsidP="003B607A">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IN"/>
        </w:rPr>
        <w:t>In r</w:t>
      </w:r>
      <w:r w:rsidR="007439C4" w:rsidRPr="007439C4">
        <w:rPr>
          <w:rFonts w:ascii="Times New Roman" w:eastAsia="Times New Roman" w:hAnsi="Times New Roman" w:cs="Times New Roman"/>
          <w:sz w:val="24"/>
          <w:szCs w:val="24"/>
          <w:lang w:val="en-IN"/>
        </w:rPr>
        <w:t xml:space="preserve">ural areas like </w:t>
      </w:r>
      <w:proofErr w:type="spellStart"/>
      <w:r w:rsidR="007439C4" w:rsidRPr="007439C4">
        <w:rPr>
          <w:rFonts w:ascii="Times New Roman" w:eastAsia="Times New Roman" w:hAnsi="Times New Roman" w:cs="Times New Roman"/>
          <w:sz w:val="24"/>
          <w:szCs w:val="24"/>
          <w:lang w:val="en-IN"/>
        </w:rPr>
        <w:t>Mailam</w:t>
      </w:r>
      <w:proofErr w:type="spellEnd"/>
      <w:r w:rsidR="007439C4" w:rsidRPr="007439C4">
        <w:rPr>
          <w:rFonts w:ascii="Times New Roman" w:eastAsia="Times New Roman" w:hAnsi="Times New Roman" w:cs="Times New Roman"/>
          <w:sz w:val="24"/>
          <w:szCs w:val="24"/>
          <w:lang w:val="en-IN"/>
        </w:rPr>
        <w:t xml:space="preserve"> Village, gold is not merely a luxury but a vital financial tool and cultural requirement. Gold as a Preferred Asset: Unlike land or vehicles, gold is favoured because it requires minimal documentation and offers high liquidity. Even as prices soar, rural households continue to view it as a trusted investment that yields higher returns than bank savings or other traditional assets. </w:t>
      </w:r>
      <w:r>
        <w:rPr>
          <w:rFonts w:ascii="Times New Roman" w:eastAsia="Times New Roman" w:hAnsi="Times New Roman" w:cs="Times New Roman"/>
          <w:sz w:val="24"/>
          <w:szCs w:val="24"/>
          <w:lang w:val="en-IN"/>
        </w:rPr>
        <w:t>D</w:t>
      </w:r>
      <w:r w:rsidR="007439C4" w:rsidRPr="007439C4">
        <w:rPr>
          <w:rFonts w:ascii="Times New Roman" w:eastAsia="Times New Roman" w:hAnsi="Times New Roman" w:cs="Times New Roman"/>
          <w:sz w:val="24"/>
          <w:szCs w:val="24"/>
          <w:lang w:val="en-IN"/>
        </w:rPr>
        <w:t>espite the Dowry Prohibition Act of 1961, gold remains a determinant of social standing in marriage arrangements. The study suggests that for poor households, the stagnant nature of their income—often below ₹20,000 per month for the majority of participants—makes the rising cost of this "marriage essential" a primary driver of rural debt and psychological distress. Persistence of Investment w</w:t>
      </w:r>
      <w:r>
        <w:rPr>
          <w:rFonts w:ascii="Times New Roman" w:eastAsia="Times New Roman" w:hAnsi="Times New Roman" w:cs="Times New Roman"/>
          <w:sz w:val="24"/>
          <w:szCs w:val="24"/>
          <w:lang w:val="en-IN"/>
        </w:rPr>
        <w:t>as</w:t>
      </w:r>
      <w:r w:rsidR="007439C4" w:rsidRPr="007439C4">
        <w:rPr>
          <w:rFonts w:ascii="Times New Roman" w:eastAsia="Times New Roman" w:hAnsi="Times New Roman" w:cs="Times New Roman"/>
          <w:sz w:val="24"/>
          <w:szCs w:val="24"/>
          <w:lang w:val="en-IN"/>
        </w:rPr>
        <w:t xml:space="preserve"> </w:t>
      </w:r>
      <w:bookmarkStart w:id="1" w:name="_GoBack"/>
      <w:bookmarkEnd w:id="1"/>
      <w:r w:rsidR="007439C4" w:rsidRPr="007439C4">
        <w:rPr>
          <w:rFonts w:ascii="Times New Roman" w:eastAsia="Times New Roman" w:hAnsi="Times New Roman" w:cs="Times New Roman"/>
          <w:sz w:val="24"/>
          <w:szCs w:val="24"/>
          <w:lang w:val="en-IN"/>
        </w:rPr>
        <w:t>interesting</w:t>
      </w:r>
      <w:r>
        <w:rPr>
          <w:rFonts w:ascii="Times New Roman" w:eastAsia="Times New Roman" w:hAnsi="Times New Roman" w:cs="Times New Roman"/>
          <w:sz w:val="24"/>
          <w:szCs w:val="24"/>
          <w:lang w:val="en-IN"/>
        </w:rPr>
        <w:t>;</w:t>
      </w:r>
      <w:r w:rsidR="007439C4" w:rsidRPr="007439C4">
        <w:rPr>
          <w:rFonts w:ascii="Times New Roman" w:eastAsia="Times New Roman" w:hAnsi="Times New Roman" w:cs="Times New Roman"/>
          <w:sz w:val="24"/>
          <w:szCs w:val="24"/>
          <w:lang w:val="en-IN"/>
        </w:rPr>
        <w:t xml:space="preserve"> the empirical evidence shows that inflation has not stopped purchases entirely. Instead, it has shifted the scale of investment. Rural households continue to prioritise gold accumulation for future needs, often choosing to buy very small amounts rather than exiting the market altogether.  Methodological Reflections were the researchers noted that during data collection, respondents were often hesitant or "scared" to share details regarding </w:t>
      </w:r>
      <w:r w:rsidR="007439C4" w:rsidRPr="007439C4">
        <w:rPr>
          <w:rFonts w:ascii="Times New Roman" w:eastAsia="Times New Roman" w:hAnsi="Times New Roman" w:cs="Times New Roman"/>
          <w:sz w:val="24"/>
          <w:szCs w:val="24"/>
          <w:lang w:val="en-IN"/>
        </w:rPr>
        <w:lastRenderedPageBreak/>
        <w:t>their actual gold holdings, suggesting that actual ownership levels might be even higher than reported.</w:t>
      </w:r>
    </w:p>
    <w:p w14:paraId="17198A36" w14:textId="77777777" w:rsidR="003B607A" w:rsidRPr="003B607A" w:rsidRDefault="00EB59BA" w:rsidP="003B607A">
      <w:pPr>
        <w:spacing w:line="360" w:lineRule="auto"/>
        <w:jc w:val="both"/>
        <w:rPr>
          <w:rFonts w:ascii="Times New Roman" w:eastAsia="Times New Roman" w:hAnsi="Times New Roman" w:cs="Times New Roman"/>
          <w:b/>
          <w:sz w:val="24"/>
          <w:szCs w:val="24"/>
        </w:rPr>
      </w:pPr>
      <w:r w:rsidRPr="003B607A">
        <w:rPr>
          <w:rFonts w:ascii="Times New Roman" w:eastAsia="Times New Roman" w:hAnsi="Times New Roman" w:cs="Times New Roman"/>
          <w:b/>
          <w:sz w:val="24"/>
          <w:szCs w:val="24"/>
        </w:rPr>
        <w:t>CONCLUSION</w:t>
      </w:r>
    </w:p>
    <w:p w14:paraId="49D7F4BC" w14:textId="77777777" w:rsidR="00E84E4C" w:rsidRDefault="003B607A" w:rsidP="00EB59BA">
      <w:pPr>
        <w:spacing w:line="360" w:lineRule="auto"/>
        <w:ind w:firstLine="720"/>
        <w:jc w:val="both"/>
        <w:rPr>
          <w:rFonts w:ascii="Times New Roman" w:eastAsia="Times New Roman" w:hAnsi="Times New Roman" w:cs="Times New Roman"/>
          <w:sz w:val="24"/>
          <w:szCs w:val="24"/>
        </w:rPr>
      </w:pPr>
      <w:r w:rsidRPr="003B607A">
        <w:rPr>
          <w:rFonts w:ascii="Times New Roman" w:eastAsia="Times New Roman" w:hAnsi="Times New Roman" w:cs="Times New Roman"/>
          <w:sz w:val="24"/>
          <w:szCs w:val="24"/>
        </w:rPr>
        <w:t>The study observed, from empirical evidence, that there is an implication of gold inflation on rural households, especially in Mailam village in the Villupuram district of Tamil Nadu. Most of the respondents’ occupation in the study area was agricultural farming.</w:t>
      </w:r>
      <w:r w:rsidR="00EB59BA">
        <w:rPr>
          <w:rFonts w:ascii="Times New Roman" w:eastAsia="Times New Roman" w:hAnsi="Times New Roman" w:cs="Times New Roman"/>
          <w:sz w:val="24"/>
          <w:szCs w:val="24"/>
        </w:rPr>
        <w:t xml:space="preserve"> </w:t>
      </w:r>
      <w:r w:rsidRPr="003B607A">
        <w:rPr>
          <w:rFonts w:ascii="Times New Roman" w:eastAsia="Times New Roman" w:hAnsi="Times New Roman" w:cs="Times New Roman"/>
          <w:sz w:val="24"/>
          <w:szCs w:val="24"/>
        </w:rPr>
        <w:t>The study highlights that even though the price of gold is increasing, people are not stopping their gold purchases; they continue buying at least small quantities. Rural households usually invest in land, livelihoods, cattle, and agricultural seeds. Apart from these, to save money and earn returns, rural people spend on gold. Gold remains a trusted investment in rural areas, offering maximum returns.</w:t>
      </w:r>
    </w:p>
    <w:p w14:paraId="4A10F23B" w14:textId="77777777" w:rsidR="00870151" w:rsidRDefault="00870151" w:rsidP="00EB59BA">
      <w:pPr>
        <w:spacing w:line="360" w:lineRule="auto"/>
        <w:ind w:firstLine="720"/>
        <w:jc w:val="both"/>
        <w:rPr>
          <w:rFonts w:ascii="Times New Roman" w:eastAsia="Times New Roman" w:hAnsi="Times New Roman" w:cs="Times New Roman"/>
          <w:sz w:val="24"/>
          <w:szCs w:val="24"/>
        </w:rPr>
      </w:pPr>
    </w:p>
    <w:p w14:paraId="037CCD92" w14:textId="77777777" w:rsidR="00870151" w:rsidRPr="003B607A" w:rsidRDefault="00870151" w:rsidP="00870151">
      <w:pPr>
        <w:spacing w:line="360" w:lineRule="auto"/>
        <w:jc w:val="both"/>
        <w:rPr>
          <w:rFonts w:ascii="Times New Roman" w:eastAsia="Times New Roman" w:hAnsi="Times New Roman" w:cs="Times New Roman"/>
          <w:b/>
          <w:sz w:val="24"/>
          <w:szCs w:val="24"/>
        </w:rPr>
      </w:pPr>
      <w:r w:rsidRPr="003B607A">
        <w:rPr>
          <w:rFonts w:ascii="Times New Roman" w:eastAsia="Times New Roman" w:hAnsi="Times New Roman" w:cs="Times New Roman"/>
          <w:b/>
          <w:sz w:val="24"/>
          <w:szCs w:val="24"/>
        </w:rPr>
        <w:t>SUGGESTIONS AND RECOMMENDATIONS</w:t>
      </w:r>
    </w:p>
    <w:p w14:paraId="65E6FE87" w14:textId="77777777" w:rsidR="00870151" w:rsidRPr="003B607A" w:rsidRDefault="00870151" w:rsidP="00870151">
      <w:pPr>
        <w:spacing w:line="360" w:lineRule="auto"/>
        <w:ind w:firstLine="720"/>
        <w:jc w:val="both"/>
        <w:rPr>
          <w:rFonts w:ascii="Times New Roman" w:eastAsia="Times New Roman" w:hAnsi="Times New Roman" w:cs="Times New Roman"/>
          <w:sz w:val="24"/>
          <w:szCs w:val="24"/>
        </w:rPr>
      </w:pPr>
      <w:r w:rsidRPr="003B607A">
        <w:rPr>
          <w:rFonts w:ascii="Times New Roman" w:eastAsia="Times New Roman" w:hAnsi="Times New Roman" w:cs="Times New Roman"/>
          <w:sz w:val="24"/>
          <w:szCs w:val="24"/>
        </w:rPr>
        <w:t xml:space="preserve">The study is focused only on </w:t>
      </w:r>
      <w:proofErr w:type="spellStart"/>
      <w:r w:rsidRPr="003B607A">
        <w:rPr>
          <w:rFonts w:ascii="Times New Roman" w:eastAsia="Times New Roman" w:hAnsi="Times New Roman" w:cs="Times New Roman"/>
          <w:sz w:val="24"/>
          <w:szCs w:val="24"/>
        </w:rPr>
        <w:t>Mailam</w:t>
      </w:r>
      <w:proofErr w:type="spellEnd"/>
      <w:r w:rsidRPr="003B607A">
        <w:rPr>
          <w:rFonts w:ascii="Times New Roman" w:eastAsia="Times New Roman" w:hAnsi="Times New Roman" w:cs="Times New Roman"/>
          <w:sz w:val="24"/>
          <w:szCs w:val="24"/>
        </w:rPr>
        <w:t xml:space="preserve"> village in the Villupuram district of Tamil Nadu. It is a micro-level study aimed at understanding the socio-economic implications of gold inflation on rural households. The study suggests conducting a macro-level study for the entire district, state, or country using sampling methods.</w:t>
      </w:r>
    </w:p>
    <w:p w14:paraId="69BF6C7D" w14:textId="77777777" w:rsidR="00870151" w:rsidRPr="003B607A" w:rsidRDefault="00870151" w:rsidP="00870151">
      <w:pPr>
        <w:spacing w:line="360" w:lineRule="auto"/>
        <w:ind w:firstLine="720"/>
        <w:jc w:val="both"/>
        <w:rPr>
          <w:rFonts w:ascii="Times New Roman" w:eastAsia="Times New Roman" w:hAnsi="Times New Roman" w:cs="Times New Roman"/>
          <w:sz w:val="24"/>
          <w:szCs w:val="24"/>
        </w:rPr>
      </w:pPr>
      <w:r w:rsidRPr="003B607A">
        <w:rPr>
          <w:rFonts w:ascii="Times New Roman" w:eastAsia="Times New Roman" w:hAnsi="Times New Roman" w:cs="Times New Roman"/>
          <w:sz w:val="24"/>
          <w:szCs w:val="24"/>
        </w:rPr>
        <w:t>It was noted that the data was collected through an interview schedule. While enquiring about gold, the respondents were scared to share information regarding their gold holdings. Therefore, researchers can conduct their study with trusted relatives to gather more accurate information.</w:t>
      </w:r>
    </w:p>
    <w:p w14:paraId="3232DD2D" w14:textId="77777777" w:rsidR="00870151" w:rsidRPr="00870151" w:rsidRDefault="00870151" w:rsidP="00870151">
      <w:pPr>
        <w:spacing w:after="200" w:line="276" w:lineRule="auto"/>
        <w:rPr>
          <w:rFonts w:ascii="Arial" w:eastAsia="Times New Roman" w:hAnsi="Arial" w:cs="Arial"/>
          <w:b/>
          <w:bCs/>
          <w:lang w:val="en-GB" w:eastAsia="en-GB"/>
        </w:rPr>
      </w:pPr>
      <w:r w:rsidRPr="00870151">
        <w:rPr>
          <w:rFonts w:ascii="Arial" w:eastAsia="Times New Roman" w:hAnsi="Arial" w:cs="Arial"/>
          <w:b/>
          <w:bCs/>
          <w:lang w:val="en-GB" w:eastAsia="en-GB"/>
        </w:rPr>
        <w:t>COMPETING INTERESTS DISCLAIMER:</w:t>
      </w:r>
    </w:p>
    <w:p w14:paraId="645BE3E2" w14:textId="7ABD8311" w:rsidR="00870151" w:rsidRDefault="00870151" w:rsidP="00870151">
      <w:pPr>
        <w:spacing w:after="200" w:line="276" w:lineRule="auto"/>
        <w:rPr>
          <w:rFonts w:ascii="Arial" w:eastAsia="Times New Roman" w:hAnsi="Arial" w:cs="Arial"/>
          <w:lang w:val="en-GB" w:eastAsia="en-GB"/>
        </w:rPr>
      </w:pPr>
      <w:r w:rsidRPr="00870151">
        <w:rPr>
          <w:rFonts w:ascii="Arial" w:eastAsia="Times New Roman" w:hAnsi="Arial" w:cs="Arial"/>
          <w:lang w:val="en-GB" w:eastAsia="en-GB"/>
        </w:rPr>
        <w:t>Authors have declared that they have no known competing financial interests OR non-financial interests OR personal relationships that could have appeared to influence the work reported in this paper.</w:t>
      </w:r>
    </w:p>
    <w:p w14:paraId="425445D9" w14:textId="77777777" w:rsidR="005E0515" w:rsidRPr="008E7B85" w:rsidRDefault="005E0515" w:rsidP="005E0515">
      <w:pPr>
        <w:rPr>
          <w:rFonts w:eastAsiaTheme="minorHAnsi"/>
          <w:b/>
        </w:rPr>
      </w:pPr>
      <w:r w:rsidRPr="008E7B85">
        <w:rPr>
          <w:rFonts w:eastAsiaTheme="minorHAnsi"/>
          <w:b/>
        </w:rPr>
        <w:t xml:space="preserve">Consent </w:t>
      </w:r>
    </w:p>
    <w:p w14:paraId="36086781" w14:textId="77777777" w:rsidR="005E0515" w:rsidRPr="008E7B85" w:rsidRDefault="005E0515" w:rsidP="005E0515">
      <w:pPr>
        <w:rPr>
          <w:rFonts w:eastAsiaTheme="minorHAnsi"/>
        </w:rPr>
      </w:pPr>
      <w:r w:rsidRPr="008E7B85">
        <w:rPr>
          <w:rFonts w:eastAsiaTheme="minorHAnsi"/>
        </w:rPr>
        <w:t>As per international standard</w:t>
      </w:r>
      <w:r>
        <w:rPr>
          <w:rFonts w:eastAsiaTheme="minorHAnsi"/>
        </w:rPr>
        <w:t>s</w:t>
      </w:r>
      <w:r w:rsidRPr="008E7B85">
        <w:rPr>
          <w:rFonts w:eastAsiaTheme="minorHAnsi"/>
        </w:rPr>
        <w:t xml:space="preserve"> or university standard</w:t>
      </w:r>
      <w:r>
        <w:rPr>
          <w:rFonts w:eastAsiaTheme="minorHAnsi"/>
        </w:rPr>
        <w:t>s</w:t>
      </w:r>
      <w:r w:rsidRPr="008E7B85">
        <w:rPr>
          <w:rFonts w:eastAsiaTheme="minorHAnsi"/>
          <w:highlight w:val="yellow"/>
        </w:rPr>
        <w:t>, respondents’ written</w:t>
      </w:r>
      <w:r w:rsidRPr="008E7B85">
        <w:rPr>
          <w:rFonts w:eastAsiaTheme="minorHAnsi"/>
        </w:rPr>
        <w:t xml:space="preserve"> consent has been collected and preserved by the author(s).</w:t>
      </w:r>
    </w:p>
    <w:p w14:paraId="535A17EA" w14:textId="77777777" w:rsidR="005E0515" w:rsidRDefault="005E0515" w:rsidP="00870151">
      <w:pPr>
        <w:spacing w:after="200" w:line="276" w:lineRule="auto"/>
        <w:rPr>
          <w:rFonts w:ascii="Arial" w:eastAsia="Times New Roman" w:hAnsi="Arial" w:cs="Arial"/>
          <w:lang w:val="en-GB" w:eastAsia="en-GB"/>
        </w:rPr>
      </w:pPr>
    </w:p>
    <w:p w14:paraId="389DF4B3" w14:textId="1EC14F5F" w:rsidR="003D6C02" w:rsidRDefault="003D6C02" w:rsidP="00870151">
      <w:pPr>
        <w:spacing w:after="200" w:line="276" w:lineRule="auto"/>
        <w:rPr>
          <w:rFonts w:eastAsia="Times New Roman" w:cs="Times New Roman"/>
          <w:lang w:val="en-GB" w:eastAsia="en-GB"/>
        </w:rPr>
      </w:pPr>
    </w:p>
    <w:p w14:paraId="4272AB5E" w14:textId="77777777" w:rsidR="003D6C02" w:rsidRPr="00CA3906" w:rsidRDefault="003D6C02" w:rsidP="003D6C02">
      <w:pPr>
        <w:rPr>
          <w:b/>
          <w:highlight w:val="yellow"/>
        </w:rPr>
      </w:pPr>
      <w:r w:rsidRPr="00CA3906">
        <w:rPr>
          <w:b/>
          <w:highlight w:val="yellow"/>
        </w:rPr>
        <w:lastRenderedPageBreak/>
        <w:t>Disclaimer (Artificial intelligence)</w:t>
      </w:r>
    </w:p>
    <w:p w14:paraId="4424FBF5" w14:textId="166053A1" w:rsidR="003D6C02" w:rsidRDefault="003D6C02" w:rsidP="003D6C02">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875181D" w14:textId="77777777" w:rsidR="005E0515" w:rsidRPr="00740879" w:rsidRDefault="005E0515" w:rsidP="003D6C02">
      <w:pPr>
        <w:rPr>
          <w:highlight w:val="yellow"/>
        </w:rPr>
      </w:pPr>
    </w:p>
    <w:p w14:paraId="790EA8E7" w14:textId="77777777" w:rsidR="003D6C02" w:rsidRPr="00870151" w:rsidRDefault="003D6C02" w:rsidP="00870151">
      <w:pPr>
        <w:spacing w:after="200" w:line="276" w:lineRule="auto"/>
        <w:rPr>
          <w:rFonts w:eastAsia="Times New Roman" w:cs="Times New Roman"/>
          <w:lang w:val="en-GB" w:eastAsia="en-GB"/>
        </w:rPr>
      </w:pPr>
    </w:p>
    <w:p w14:paraId="600BD70F" w14:textId="77777777" w:rsidR="00870151" w:rsidRPr="00B324C0" w:rsidRDefault="00870151" w:rsidP="00EB59BA">
      <w:pPr>
        <w:spacing w:line="360" w:lineRule="auto"/>
        <w:ind w:firstLine="720"/>
        <w:jc w:val="both"/>
        <w:rPr>
          <w:rFonts w:ascii="Times New Roman" w:eastAsia="Times New Roman" w:hAnsi="Times New Roman" w:cs="Times New Roman"/>
          <w:sz w:val="24"/>
          <w:szCs w:val="24"/>
        </w:rPr>
      </w:pPr>
    </w:p>
    <w:p w14:paraId="7CD4B632" w14:textId="77777777" w:rsidR="00E84E4C" w:rsidRPr="00B324C0" w:rsidRDefault="00EB59BA" w:rsidP="00B324C0">
      <w:pPr>
        <w:spacing w:line="360"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rPr>
        <w:t>REFERENCES</w:t>
      </w:r>
    </w:p>
    <w:p w14:paraId="075E9D92" w14:textId="1A83A137" w:rsidR="00E84E4C" w:rsidRPr="00381BB2" w:rsidRDefault="00381BB2" w:rsidP="00B324C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spellStart"/>
      <w:r w:rsidRPr="00381BB2">
        <w:rPr>
          <w:rFonts w:ascii="Times New Roman" w:eastAsia="Times New Roman" w:hAnsi="Times New Roman" w:cs="Times New Roman"/>
          <w:sz w:val="24"/>
          <w:szCs w:val="24"/>
        </w:rPr>
        <w:t>Pradap</w:t>
      </w:r>
      <w:proofErr w:type="spellEnd"/>
      <w:r w:rsidRPr="00381BB2">
        <w:rPr>
          <w:rFonts w:ascii="Times New Roman" w:eastAsia="Times New Roman" w:hAnsi="Times New Roman" w:cs="Times New Roman"/>
          <w:sz w:val="24"/>
          <w:szCs w:val="24"/>
        </w:rPr>
        <w:t xml:space="preserve"> </w:t>
      </w:r>
      <w:proofErr w:type="spellStart"/>
      <w:r w:rsidRPr="00381BB2">
        <w:rPr>
          <w:rFonts w:ascii="Times New Roman" w:eastAsia="Times New Roman" w:hAnsi="Times New Roman" w:cs="Times New Roman"/>
          <w:sz w:val="24"/>
          <w:szCs w:val="24"/>
        </w:rPr>
        <w:t>singh</w:t>
      </w:r>
      <w:proofErr w:type="spellEnd"/>
      <w:r w:rsidRPr="00381BB2">
        <w:rPr>
          <w:rFonts w:ascii="Times New Roman" w:eastAsia="Times New Roman" w:hAnsi="Times New Roman" w:cs="Times New Roman"/>
          <w:sz w:val="24"/>
          <w:szCs w:val="24"/>
        </w:rPr>
        <w:t xml:space="preserve"> (2013), ‘gold prices in </w:t>
      </w:r>
      <w:proofErr w:type="spellStart"/>
      <w:r w:rsidRPr="00381BB2">
        <w:rPr>
          <w:rFonts w:ascii="Times New Roman" w:eastAsia="Times New Roman" w:hAnsi="Times New Roman" w:cs="Times New Roman"/>
          <w:sz w:val="24"/>
          <w:szCs w:val="24"/>
        </w:rPr>
        <w:t>idnia</w:t>
      </w:r>
      <w:proofErr w:type="spellEnd"/>
      <w:r w:rsidRPr="00381BB2">
        <w:rPr>
          <w:rFonts w:ascii="Times New Roman" w:eastAsia="Times New Roman" w:hAnsi="Times New Roman" w:cs="Times New Roman"/>
          <w:sz w:val="24"/>
          <w:szCs w:val="24"/>
        </w:rPr>
        <w:t>: study of trends and patterns’, international journal of innovations in engineering and technology, volume no: 2, issue no: 4.</w:t>
      </w:r>
    </w:p>
    <w:p w14:paraId="53CF91D3" w14:textId="2AE487FC" w:rsidR="00E84E4C" w:rsidRPr="00381BB2" w:rsidRDefault="00381BB2" w:rsidP="00B324C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spellStart"/>
      <w:r w:rsidRPr="00381BB2">
        <w:rPr>
          <w:rFonts w:ascii="Times New Roman" w:eastAsia="Times New Roman" w:hAnsi="Times New Roman" w:cs="Times New Roman"/>
          <w:sz w:val="24"/>
          <w:szCs w:val="24"/>
        </w:rPr>
        <w:t>Vibhav</w:t>
      </w:r>
      <w:proofErr w:type="spellEnd"/>
      <w:r w:rsidRPr="00381BB2">
        <w:rPr>
          <w:rFonts w:ascii="Times New Roman" w:eastAsia="Times New Roman" w:hAnsi="Times New Roman" w:cs="Times New Roman"/>
          <w:sz w:val="24"/>
          <w:szCs w:val="24"/>
        </w:rPr>
        <w:t xml:space="preserve"> </w:t>
      </w:r>
      <w:proofErr w:type="spellStart"/>
      <w:r w:rsidRPr="00381BB2">
        <w:rPr>
          <w:rFonts w:ascii="Times New Roman" w:eastAsia="Times New Roman" w:hAnsi="Times New Roman" w:cs="Times New Roman"/>
          <w:sz w:val="24"/>
          <w:szCs w:val="24"/>
        </w:rPr>
        <w:t>daga</w:t>
      </w:r>
      <w:proofErr w:type="spellEnd"/>
      <w:r w:rsidRPr="00381BB2">
        <w:rPr>
          <w:rFonts w:ascii="Times New Roman" w:eastAsia="Times New Roman" w:hAnsi="Times New Roman" w:cs="Times New Roman"/>
          <w:sz w:val="24"/>
          <w:szCs w:val="24"/>
        </w:rPr>
        <w:t xml:space="preserve"> and </w:t>
      </w:r>
      <w:proofErr w:type="spellStart"/>
      <w:r w:rsidRPr="00381BB2">
        <w:rPr>
          <w:rFonts w:ascii="Times New Roman" w:eastAsia="Times New Roman" w:hAnsi="Times New Roman" w:cs="Times New Roman"/>
          <w:sz w:val="24"/>
          <w:szCs w:val="24"/>
        </w:rPr>
        <w:t>leena</w:t>
      </w:r>
      <w:proofErr w:type="spellEnd"/>
      <w:r w:rsidRPr="00381BB2">
        <w:rPr>
          <w:rFonts w:ascii="Times New Roman" w:eastAsia="Times New Roman" w:hAnsi="Times New Roman" w:cs="Times New Roman"/>
          <w:sz w:val="24"/>
          <w:szCs w:val="24"/>
        </w:rPr>
        <w:t xml:space="preserve"> </w:t>
      </w:r>
      <w:proofErr w:type="spellStart"/>
      <w:r w:rsidRPr="00381BB2">
        <w:rPr>
          <w:rFonts w:ascii="Times New Roman" w:eastAsia="Times New Roman" w:hAnsi="Times New Roman" w:cs="Times New Roman"/>
          <w:sz w:val="24"/>
          <w:szCs w:val="24"/>
        </w:rPr>
        <w:t>james</w:t>
      </w:r>
      <w:proofErr w:type="spellEnd"/>
      <w:r w:rsidRPr="00381BB2">
        <w:rPr>
          <w:rFonts w:ascii="Times New Roman" w:eastAsia="Times New Roman" w:hAnsi="Times New Roman" w:cs="Times New Roman"/>
          <w:sz w:val="24"/>
          <w:szCs w:val="24"/>
        </w:rPr>
        <w:t xml:space="preserve">, (2020) ‘effect of macroeconomic factors on the price of gold in </w:t>
      </w:r>
      <w:proofErr w:type="spellStart"/>
      <w:r w:rsidRPr="00381BB2">
        <w:rPr>
          <w:rFonts w:ascii="Times New Roman" w:eastAsia="Times New Roman" w:hAnsi="Times New Roman" w:cs="Times New Roman"/>
          <w:sz w:val="24"/>
          <w:szCs w:val="24"/>
        </w:rPr>
        <w:t>india</w:t>
      </w:r>
      <w:proofErr w:type="spellEnd"/>
      <w:r w:rsidRPr="00381BB2">
        <w:rPr>
          <w:rFonts w:ascii="Times New Roman" w:eastAsia="Times New Roman" w:hAnsi="Times New Roman" w:cs="Times New Roman"/>
          <w:sz w:val="24"/>
          <w:szCs w:val="24"/>
        </w:rPr>
        <w:t>’, international journal of creative research thoughts, volume no: 8, issue no: 3.</w:t>
      </w:r>
    </w:p>
    <w:p w14:paraId="5D1A36CC" w14:textId="1D617597" w:rsidR="00E84E4C" w:rsidRPr="00381BB2" w:rsidRDefault="00381BB2" w:rsidP="00B324C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381BB2">
        <w:rPr>
          <w:rFonts w:ascii="Times New Roman" w:eastAsia="Times New Roman" w:hAnsi="Times New Roman" w:cs="Times New Roman"/>
          <w:sz w:val="24"/>
          <w:szCs w:val="24"/>
        </w:rPr>
        <w:t xml:space="preserve">Singh, </w:t>
      </w:r>
      <w:proofErr w:type="spellStart"/>
      <w:r w:rsidRPr="00381BB2">
        <w:rPr>
          <w:rFonts w:ascii="Times New Roman" w:eastAsia="Times New Roman" w:hAnsi="Times New Roman" w:cs="Times New Roman"/>
          <w:sz w:val="24"/>
          <w:szCs w:val="24"/>
        </w:rPr>
        <w:t>charan</w:t>
      </w:r>
      <w:proofErr w:type="spellEnd"/>
      <w:r w:rsidRPr="00381BB2">
        <w:rPr>
          <w:rFonts w:ascii="Times New Roman" w:eastAsia="Times New Roman" w:hAnsi="Times New Roman" w:cs="Times New Roman"/>
          <w:sz w:val="24"/>
          <w:szCs w:val="24"/>
        </w:rPr>
        <w:t xml:space="preserve"> (2015),’gold and </w:t>
      </w:r>
      <w:proofErr w:type="spellStart"/>
      <w:r w:rsidRPr="00381BB2">
        <w:rPr>
          <w:rFonts w:ascii="Times New Roman" w:eastAsia="Times New Roman" w:hAnsi="Times New Roman" w:cs="Times New Roman"/>
          <w:sz w:val="24"/>
          <w:szCs w:val="24"/>
        </w:rPr>
        <w:t>india</w:t>
      </w:r>
      <w:proofErr w:type="spellEnd"/>
      <w:r w:rsidRPr="00381BB2">
        <w:rPr>
          <w:rFonts w:ascii="Times New Roman" w:eastAsia="Times New Roman" w:hAnsi="Times New Roman" w:cs="Times New Roman"/>
          <w:sz w:val="24"/>
          <w:szCs w:val="24"/>
        </w:rPr>
        <w:t xml:space="preserve">, working paper series, </w:t>
      </w:r>
      <w:proofErr w:type="spellStart"/>
      <w:r w:rsidRPr="00381BB2">
        <w:rPr>
          <w:rFonts w:ascii="Times New Roman" w:eastAsia="Times New Roman" w:hAnsi="Times New Roman" w:cs="Times New Roman"/>
          <w:sz w:val="24"/>
          <w:szCs w:val="24"/>
        </w:rPr>
        <w:t>iim</w:t>
      </w:r>
      <w:proofErr w:type="spellEnd"/>
      <w:r w:rsidRPr="00381BB2">
        <w:rPr>
          <w:rFonts w:ascii="Times New Roman" w:eastAsia="Times New Roman" w:hAnsi="Times New Roman" w:cs="Times New Roman"/>
          <w:sz w:val="24"/>
          <w:szCs w:val="24"/>
        </w:rPr>
        <w:t xml:space="preserve">. </w:t>
      </w:r>
    </w:p>
    <w:p w14:paraId="51B52692" w14:textId="04E57436" w:rsidR="00E84E4C" w:rsidRPr="00381BB2" w:rsidRDefault="00381BB2" w:rsidP="00B324C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roofErr w:type="spellStart"/>
      <w:r w:rsidRPr="00381BB2">
        <w:rPr>
          <w:rFonts w:ascii="Times New Roman" w:eastAsia="Times New Roman" w:hAnsi="Times New Roman" w:cs="Times New Roman"/>
          <w:sz w:val="24"/>
          <w:szCs w:val="24"/>
        </w:rPr>
        <w:t>Banhi</w:t>
      </w:r>
      <w:proofErr w:type="spellEnd"/>
      <w:r w:rsidRPr="00381BB2">
        <w:rPr>
          <w:rFonts w:ascii="Times New Roman" w:eastAsia="Times New Roman" w:hAnsi="Times New Roman" w:cs="Times New Roman"/>
          <w:sz w:val="24"/>
          <w:szCs w:val="24"/>
        </w:rPr>
        <w:t xml:space="preserve"> </w:t>
      </w:r>
      <w:proofErr w:type="spellStart"/>
      <w:r w:rsidRPr="00381BB2">
        <w:rPr>
          <w:rFonts w:ascii="Times New Roman" w:eastAsia="Times New Roman" w:hAnsi="Times New Roman" w:cs="Times New Roman"/>
          <w:sz w:val="24"/>
          <w:szCs w:val="24"/>
        </w:rPr>
        <w:t>guha</w:t>
      </w:r>
      <w:proofErr w:type="spellEnd"/>
      <w:r w:rsidRPr="00381BB2">
        <w:rPr>
          <w:rFonts w:ascii="Times New Roman" w:eastAsia="Times New Roman" w:hAnsi="Times New Roman" w:cs="Times New Roman"/>
          <w:sz w:val="24"/>
          <w:szCs w:val="24"/>
        </w:rPr>
        <w:t xml:space="preserve"> and </w:t>
      </w:r>
      <w:proofErr w:type="spellStart"/>
      <w:r w:rsidRPr="00381BB2">
        <w:rPr>
          <w:rFonts w:ascii="Times New Roman" w:eastAsia="Times New Roman" w:hAnsi="Times New Roman" w:cs="Times New Roman"/>
          <w:sz w:val="24"/>
          <w:szCs w:val="24"/>
        </w:rPr>
        <w:t>gautam</w:t>
      </w:r>
      <w:proofErr w:type="spellEnd"/>
      <w:r w:rsidRPr="00381BB2">
        <w:rPr>
          <w:rFonts w:ascii="Times New Roman" w:eastAsia="Times New Roman" w:hAnsi="Times New Roman" w:cs="Times New Roman"/>
          <w:sz w:val="24"/>
          <w:szCs w:val="24"/>
        </w:rPr>
        <w:t xml:space="preserve"> </w:t>
      </w:r>
      <w:proofErr w:type="spellStart"/>
      <w:r w:rsidRPr="00381BB2">
        <w:rPr>
          <w:rFonts w:ascii="Times New Roman" w:eastAsia="Times New Roman" w:hAnsi="Times New Roman" w:cs="Times New Roman"/>
          <w:sz w:val="24"/>
          <w:szCs w:val="24"/>
        </w:rPr>
        <w:t>bandyopadhyay</w:t>
      </w:r>
      <w:proofErr w:type="spellEnd"/>
      <w:r w:rsidRPr="00381BB2">
        <w:rPr>
          <w:rFonts w:ascii="Times New Roman" w:eastAsia="Times New Roman" w:hAnsi="Times New Roman" w:cs="Times New Roman"/>
          <w:sz w:val="24"/>
          <w:szCs w:val="24"/>
        </w:rPr>
        <w:t xml:space="preserve"> (2016), ' gold price forecasting using </w:t>
      </w:r>
      <w:proofErr w:type="spellStart"/>
      <w:r w:rsidRPr="00381BB2">
        <w:rPr>
          <w:rFonts w:ascii="Times New Roman" w:eastAsia="Times New Roman" w:hAnsi="Times New Roman" w:cs="Times New Roman"/>
          <w:sz w:val="24"/>
          <w:szCs w:val="24"/>
        </w:rPr>
        <w:t>arima</w:t>
      </w:r>
      <w:proofErr w:type="spellEnd"/>
      <w:r w:rsidRPr="00381BB2">
        <w:rPr>
          <w:rFonts w:ascii="Times New Roman" w:eastAsia="Times New Roman" w:hAnsi="Times New Roman" w:cs="Times New Roman"/>
          <w:sz w:val="24"/>
          <w:szCs w:val="24"/>
        </w:rPr>
        <w:t xml:space="preserve"> model' journal of advanced management science, volume no: 4 issue no: 2.</w:t>
      </w:r>
    </w:p>
    <w:p w14:paraId="2D958F8C" w14:textId="51B786F6" w:rsidR="00E84E4C" w:rsidRPr="00381BB2" w:rsidRDefault="00381BB2" w:rsidP="00B324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bookmarkStart w:id="2" w:name="_6y94n7ae5kvy" w:colFirst="0" w:colLast="0"/>
      <w:bookmarkEnd w:id="2"/>
      <w:r w:rsidRPr="00381BB2">
        <w:rPr>
          <w:rFonts w:ascii="Times New Roman" w:eastAsia="Times New Roman" w:hAnsi="Times New Roman" w:cs="Times New Roman"/>
          <w:sz w:val="24"/>
          <w:szCs w:val="24"/>
        </w:rPr>
        <w:t xml:space="preserve">Vanitha s. And </w:t>
      </w:r>
      <w:proofErr w:type="spellStart"/>
      <w:r w:rsidRPr="00381BB2">
        <w:rPr>
          <w:rFonts w:ascii="Times New Roman" w:eastAsia="Times New Roman" w:hAnsi="Times New Roman" w:cs="Times New Roman"/>
          <w:sz w:val="24"/>
          <w:szCs w:val="24"/>
        </w:rPr>
        <w:t>saravanakumar</w:t>
      </w:r>
      <w:proofErr w:type="spellEnd"/>
      <w:r w:rsidRPr="00381BB2">
        <w:rPr>
          <w:rFonts w:ascii="Times New Roman" w:eastAsia="Times New Roman" w:hAnsi="Times New Roman" w:cs="Times New Roman"/>
          <w:sz w:val="24"/>
          <w:szCs w:val="24"/>
        </w:rPr>
        <w:t xml:space="preserve"> k.  (2019</w:t>
      </w:r>
      <w:proofErr w:type="gramStart"/>
      <w:r w:rsidRPr="00381BB2">
        <w:rPr>
          <w:rFonts w:ascii="Times New Roman" w:eastAsia="Times New Roman" w:hAnsi="Times New Roman" w:cs="Times New Roman"/>
          <w:sz w:val="24"/>
          <w:szCs w:val="24"/>
        </w:rPr>
        <w:t>),the</w:t>
      </w:r>
      <w:proofErr w:type="gramEnd"/>
      <w:r w:rsidRPr="00381BB2">
        <w:rPr>
          <w:rFonts w:ascii="Times New Roman" w:eastAsia="Times New Roman" w:hAnsi="Times New Roman" w:cs="Times New Roman"/>
          <w:sz w:val="24"/>
          <w:szCs w:val="24"/>
        </w:rPr>
        <w:t xml:space="preserve"> usage of gold and investment analysis based on gold rate in </w:t>
      </w:r>
      <w:proofErr w:type="spellStart"/>
      <w:r w:rsidRPr="00381BB2">
        <w:rPr>
          <w:rFonts w:ascii="Times New Roman" w:eastAsia="Times New Roman" w:hAnsi="Times New Roman" w:cs="Times New Roman"/>
          <w:sz w:val="24"/>
          <w:szCs w:val="24"/>
        </w:rPr>
        <w:t>inida</w:t>
      </w:r>
      <w:proofErr w:type="spellEnd"/>
      <w:r w:rsidRPr="00381BB2">
        <w:rPr>
          <w:rFonts w:ascii="Times New Roman" w:eastAsia="Times New Roman" w:hAnsi="Times New Roman" w:cs="Times New Roman"/>
          <w:sz w:val="24"/>
          <w:szCs w:val="24"/>
        </w:rPr>
        <w:t xml:space="preserve">, ‘international journal of </w:t>
      </w:r>
      <w:proofErr w:type="spellStart"/>
      <w:r w:rsidRPr="00381BB2">
        <w:rPr>
          <w:rFonts w:ascii="Times New Roman" w:eastAsia="Times New Roman" w:hAnsi="Times New Roman" w:cs="Times New Roman"/>
          <w:sz w:val="24"/>
          <w:szCs w:val="24"/>
        </w:rPr>
        <w:t>electicsl</w:t>
      </w:r>
      <w:proofErr w:type="spellEnd"/>
      <w:r w:rsidRPr="00381BB2">
        <w:rPr>
          <w:rFonts w:ascii="Times New Roman" w:eastAsia="Times New Roman" w:hAnsi="Times New Roman" w:cs="Times New Roman"/>
          <w:sz w:val="24"/>
          <w:szCs w:val="24"/>
        </w:rPr>
        <w:t xml:space="preserve"> and computer engineering, volume no: 9, issue no: 5.</w:t>
      </w:r>
    </w:p>
    <w:p w14:paraId="1E039847" w14:textId="162A9739" w:rsidR="00C21B27" w:rsidRPr="00381BB2" w:rsidRDefault="00381BB2" w:rsidP="00B324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381BB2">
        <w:rPr>
          <w:rFonts w:ascii="Times New Roman" w:eastAsia="Times New Roman" w:hAnsi="Times New Roman" w:cs="Times New Roman"/>
          <w:sz w:val="24"/>
          <w:szCs w:val="24"/>
        </w:rPr>
        <w:t xml:space="preserve">P., p., </w:t>
      </w:r>
      <w:proofErr w:type="spellStart"/>
      <w:r w:rsidRPr="00381BB2">
        <w:rPr>
          <w:rFonts w:ascii="Times New Roman" w:eastAsia="Times New Roman" w:hAnsi="Times New Roman" w:cs="Times New Roman"/>
          <w:sz w:val="24"/>
          <w:szCs w:val="24"/>
        </w:rPr>
        <w:t>nehru</w:t>
      </w:r>
      <w:proofErr w:type="spellEnd"/>
      <w:r w:rsidRPr="00381BB2">
        <w:rPr>
          <w:rFonts w:ascii="Times New Roman" w:eastAsia="Times New Roman" w:hAnsi="Times New Roman" w:cs="Times New Roman"/>
          <w:sz w:val="24"/>
          <w:szCs w:val="24"/>
        </w:rPr>
        <w:t xml:space="preserve">, s., &amp; p., s. (2024). Investigated study on shaping the system of personal loans in </w:t>
      </w:r>
      <w:proofErr w:type="spellStart"/>
      <w:r w:rsidRPr="00381BB2">
        <w:rPr>
          <w:rFonts w:ascii="Times New Roman" w:eastAsia="Times New Roman" w:hAnsi="Times New Roman" w:cs="Times New Roman"/>
          <w:sz w:val="24"/>
          <w:szCs w:val="24"/>
        </w:rPr>
        <w:t>india</w:t>
      </w:r>
      <w:proofErr w:type="spellEnd"/>
      <w:r w:rsidRPr="00381BB2">
        <w:rPr>
          <w:rFonts w:ascii="Times New Roman" w:eastAsia="Times New Roman" w:hAnsi="Times New Roman" w:cs="Times New Roman"/>
          <w:sz w:val="24"/>
          <w:szCs w:val="24"/>
        </w:rPr>
        <w:t xml:space="preserve">: with special reference to informal workers of madras province, </w:t>
      </w:r>
      <w:proofErr w:type="spellStart"/>
      <w:r w:rsidRPr="00381BB2">
        <w:rPr>
          <w:rFonts w:ascii="Times New Roman" w:eastAsia="Times New Roman" w:hAnsi="Times New Roman" w:cs="Times New Roman"/>
          <w:sz w:val="24"/>
          <w:szCs w:val="24"/>
        </w:rPr>
        <w:t>chennai</w:t>
      </w:r>
      <w:proofErr w:type="spellEnd"/>
      <w:r w:rsidRPr="00381BB2">
        <w:rPr>
          <w:rFonts w:ascii="Times New Roman" w:eastAsia="Times New Roman" w:hAnsi="Times New Roman" w:cs="Times New Roman"/>
          <w:sz w:val="24"/>
          <w:szCs w:val="24"/>
        </w:rPr>
        <w:t xml:space="preserve">, </w:t>
      </w:r>
      <w:proofErr w:type="spellStart"/>
      <w:r w:rsidRPr="00381BB2">
        <w:rPr>
          <w:rFonts w:ascii="Times New Roman" w:eastAsia="Times New Roman" w:hAnsi="Times New Roman" w:cs="Times New Roman"/>
          <w:sz w:val="24"/>
          <w:szCs w:val="24"/>
        </w:rPr>
        <w:t>india</w:t>
      </w:r>
      <w:proofErr w:type="spellEnd"/>
      <w:r w:rsidRPr="00381BB2">
        <w:rPr>
          <w:rFonts w:ascii="Times New Roman" w:eastAsia="Times New Roman" w:hAnsi="Times New Roman" w:cs="Times New Roman"/>
          <w:sz w:val="24"/>
          <w:szCs w:val="24"/>
        </w:rPr>
        <w:t xml:space="preserve">. South </w:t>
      </w:r>
      <w:proofErr w:type="spellStart"/>
      <w:r w:rsidRPr="00381BB2">
        <w:rPr>
          <w:rFonts w:ascii="Times New Roman" w:eastAsia="Times New Roman" w:hAnsi="Times New Roman" w:cs="Times New Roman"/>
          <w:sz w:val="24"/>
          <w:szCs w:val="24"/>
        </w:rPr>
        <w:t>asian</w:t>
      </w:r>
      <w:proofErr w:type="spellEnd"/>
      <w:r w:rsidRPr="00381BB2">
        <w:rPr>
          <w:rFonts w:ascii="Times New Roman" w:eastAsia="Times New Roman" w:hAnsi="Times New Roman" w:cs="Times New Roman"/>
          <w:sz w:val="24"/>
          <w:szCs w:val="24"/>
        </w:rPr>
        <w:t xml:space="preserve"> journal of social studies and economics, 21(9), 15–20. </w:t>
      </w:r>
      <w:hyperlink r:id="rId8" w:history="1">
        <w:r w:rsidRPr="00381BB2">
          <w:rPr>
            <w:rStyle w:val="Hyperlink"/>
            <w:rFonts w:ascii="Times New Roman" w:eastAsia="Times New Roman" w:hAnsi="Times New Roman" w:cs="Times New Roman"/>
            <w:sz w:val="24"/>
            <w:szCs w:val="24"/>
          </w:rPr>
          <w:t>Https://doi.org/10.9734/sajsse/2024/v21i9877</w:t>
        </w:r>
      </w:hyperlink>
      <w:r w:rsidRPr="00381BB2">
        <w:rPr>
          <w:rFonts w:ascii="Times New Roman" w:eastAsia="Times New Roman" w:hAnsi="Times New Roman" w:cs="Times New Roman"/>
          <w:sz w:val="24"/>
          <w:szCs w:val="24"/>
        </w:rPr>
        <w:t>.</w:t>
      </w:r>
    </w:p>
    <w:p w14:paraId="59DEB4DD" w14:textId="7C36EF73" w:rsidR="007F1019" w:rsidRPr="00381BB2" w:rsidRDefault="00381BB2" w:rsidP="00B324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381BB2">
        <w:rPr>
          <w:rFonts w:ascii="Times New Roman" w:eastAsia="Times New Roman" w:hAnsi="Times New Roman" w:cs="Times New Roman"/>
          <w:sz w:val="24"/>
          <w:szCs w:val="24"/>
        </w:rPr>
        <w:t xml:space="preserve">Immanuvel, s., &amp; </w:t>
      </w:r>
      <w:proofErr w:type="spellStart"/>
      <w:r w:rsidRPr="00381BB2">
        <w:rPr>
          <w:rFonts w:ascii="Times New Roman" w:eastAsia="Times New Roman" w:hAnsi="Times New Roman" w:cs="Times New Roman"/>
          <w:sz w:val="24"/>
          <w:szCs w:val="24"/>
        </w:rPr>
        <w:t>lazăr</w:t>
      </w:r>
      <w:proofErr w:type="spellEnd"/>
      <w:r w:rsidRPr="00381BB2">
        <w:rPr>
          <w:rFonts w:ascii="Times New Roman" w:eastAsia="Times New Roman" w:hAnsi="Times New Roman" w:cs="Times New Roman"/>
          <w:sz w:val="24"/>
          <w:szCs w:val="24"/>
        </w:rPr>
        <w:t>, d. (2020). Elasticities of gold demand—an empirical analysis using cointegration and error correction model. </w:t>
      </w:r>
      <w:proofErr w:type="spellStart"/>
      <w:r w:rsidRPr="00381BB2">
        <w:rPr>
          <w:rFonts w:ascii="Times New Roman" w:eastAsia="Times New Roman" w:hAnsi="Times New Roman" w:cs="Times New Roman"/>
          <w:sz w:val="24"/>
          <w:szCs w:val="24"/>
        </w:rPr>
        <w:t>Arthaniti</w:t>
      </w:r>
      <w:proofErr w:type="spellEnd"/>
      <w:r w:rsidRPr="00381BB2">
        <w:rPr>
          <w:rFonts w:ascii="Times New Roman" w:eastAsia="Times New Roman" w:hAnsi="Times New Roman" w:cs="Times New Roman"/>
          <w:sz w:val="24"/>
          <w:szCs w:val="24"/>
        </w:rPr>
        <w:t xml:space="preserve">: journal of economic theory and practice, 20, 131 - 142. </w:t>
      </w:r>
      <w:hyperlink r:id="rId9" w:history="1">
        <w:r w:rsidRPr="00381BB2">
          <w:rPr>
            <w:rStyle w:val="Hyperlink"/>
            <w:rFonts w:ascii="Times New Roman" w:eastAsia="Times New Roman" w:hAnsi="Times New Roman" w:cs="Times New Roman"/>
            <w:sz w:val="24"/>
            <w:szCs w:val="24"/>
          </w:rPr>
          <w:t>Https://doi.org/10.1177/0976747920903118</w:t>
        </w:r>
      </w:hyperlink>
      <w:r w:rsidRPr="00381BB2">
        <w:rPr>
          <w:rFonts w:ascii="Times New Roman" w:eastAsia="Times New Roman" w:hAnsi="Times New Roman" w:cs="Times New Roman"/>
          <w:sz w:val="24"/>
          <w:szCs w:val="24"/>
        </w:rPr>
        <w:t>.</w:t>
      </w:r>
    </w:p>
    <w:p w14:paraId="2B9DAE6B" w14:textId="37CF7B74" w:rsidR="007F1019" w:rsidRPr="00381BB2" w:rsidRDefault="00381BB2" w:rsidP="00B324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proofErr w:type="spellStart"/>
      <w:r w:rsidRPr="00381BB2">
        <w:rPr>
          <w:rFonts w:ascii="Times New Roman" w:eastAsia="Times New Roman" w:hAnsi="Times New Roman" w:cs="Times New Roman"/>
          <w:sz w:val="24"/>
          <w:szCs w:val="24"/>
        </w:rPr>
        <w:t>Bhalotra</w:t>
      </w:r>
      <w:proofErr w:type="spellEnd"/>
      <w:r w:rsidRPr="00381BB2">
        <w:rPr>
          <w:rFonts w:ascii="Times New Roman" w:eastAsia="Times New Roman" w:hAnsi="Times New Roman" w:cs="Times New Roman"/>
          <w:sz w:val="24"/>
          <w:szCs w:val="24"/>
        </w:rPr>
        <w:t xml:space="preserve">, s., </w:t>
      </w:r>
      <w:proofErr w:type="spellStart"/>
      <w:r w:rsidRPr="00381BB2">
        <w:rPr>
          <w:rFonts w:ascii="Times New Roman" w:eastAsia="Times New Roman" w:hAnsi="Times New Roman" w:cs="Times New Roman"/>
          <w:sz w:val="24"/>
          <w:szCs w:val="24"/>
        </w:rPr>
        <w:t>chakravarty</w:t>
      </w:r>
      <w:proofErr w:type="spellEnd"/>
      <w:r w:rsidRPr="00381BB2">
        <w:rPr>
          <w:rFonts w:ascii="Times New Roman" w:eastAsia="Times New Roman" w:hAnsi="Times New Roman" w:cs="Times New Roman"/>
          <w:sz w:val="24"/>
          <w:szCs w:val="24"/>
        </w:rPr>
        <w:t xml:space="preserve">, a., &amp; </w:t>
      </w:r>
      <w:proofErr w:type="spellStart"/>
      <w:r w:rsidRPr="00381BB2">
        <w:rPr>
          <w:rFonts w:ascii="Times New Roman" w:eastAsia="Times New Roman" w:hAnsi="Times New Roman" w:cs="Times New Roman"/>
          <w:sz w:val="24"/>
          <w:szCs w:val="24"/>
        </w:rPr>
        <w:t>gulesci</w:t>
      </w:r>
      <w:proofErr w:type="spellEnd"/>
      <w:r w:rsidRPr="00381BB2">
        <w:rPr>
          <w:rFonts w:ascii="Times New Roman" w:eastAsia="Times New Roman" w:hAnsi="Times New Roman" w:cs="Times New Roman"/>
          <w:sz w:val="24"/>
          <w:szCs w:val="24"/>
        </w:rPr>
        <w:t xml:space="preserve">, s. (2018). The price of gold: dowry and death in </w:t>
      </w:r>
      <w:proofErr w:type="spellStart"/>
      <w:r w:rsidRPr="00381BB2">
        <w:rPr>
          <w:rFonts w:ascii="Times New Roman" w:eastAsia="Times New Roman" w:hAnsi="Times New Roman" w:cs="Times New Roman"/>
          <w:sz w:val="24"/>
          <w:szCs w:val="24"/>
        </w:rPr>
        <w:t>india</w:t>
      </w:r>
      <w:proofErr w:type="spellEnd"/>
      <w:r w:rsidRPr="00381BB2">
        <w:rPr>
          <w:rFonts w:ascii="Times New Roman" w:eastAsia="Times New Roman" w:hAnsi="Times New Roman" w:cs="Times New Roman"/>
          <w:sz w:val="24"/>
          <w:szCs w:val="24"/>
        </w:rPr>
        <w:t xml:space="preserve">. Econometric modeling: macroeconomics ejournal. </w:t>
      </w:r>
      <w:hyperlink r:id="rId10" w:history="1">
        <w:r w:rsidRPr="00381BB2">
          <w:rPr>
            <w:rStyle w:val="Hyperlink"/>
            <w:rFonts w:ascii="Times New Roman" w:eastAsia="Times New Roman" w:hAnsi="Times New Roman" w:cs="Times New Roman"/>
            <w:sz w:val="24"/>
            <w:szCs w:val="24"/>
          </w:rPr>
          <w:t>Https://doi.org/10.1016/j.jdeveco.2019.102413</w:t>
        </w:r>
      </w:hyperlink>
      <w:r w:rsidRPr="00381BB2">
        <w:rPr>
          <w:rFonts w:ascii="Times New Roman" w:eastAsia="Times New Roman" w:hAnsi="Times New Roman" w:cs="Times New Roman"/>
          <w:sz w:val="24"/>
          <w:szCs w:val="24"/>
        </w:rPr>
        <w:t>.</w:t>
      </w:r>
    </w:p>
    <w:p w14:paraId="2EC033B4" w14:textId="35C46C20" w:rsidR="00381BB2" w:rsidRPr="00381BB2" w:rsidRDefault="00381BB2" w:rsidP="00B324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proofErr w:type="spellStart"/>
      <w:r w:rsidRPr="00381BB2">
        <w:rPr>
          <w:rFonts w:ascii="Times New Roman" w:eastAsia="Times New Roman" w:hAnsi="Times New Roman" w:cs="Times New Roman"/>
          <w:sz w:val="24"/>
          <w:szCs w:val="24"/>
        </w:rPr>
        <w:lastRenderedPageBreak/>
        <w:t>Ujjma</w:t>
      </w:r>
      <w:proofErr w:type="spellEnd"/>
      <w:r w:rsidRPr="00381BB2">
        <w:rPr>
          <w:rFonts w:ascii="Times New Roman" w:eastAsia="Times New Roman" w:hAnsi="Times New Roman" w:cs="Times New Roman"/>
          <w:sz w:val="24"/>
          <w:szCs w:val="24"/>
        </w:rPr>
        <w:t xml:space="preserve">, h. (2025). "a comparative analysis of gold price trends in </w:t>
      </w:r>
      <w:proofErr w:type="spellStart"/>
      <w:r w:rsidRPr="00381BB2">
        <w:rPr>
          <w:rFonts w:ascii="Times New Roman" w:eastAsia="Times New Roman" w:hAnsi="Times New Roman" w:cs="Times New Roman"/>
          <w:sz w:val="24"/>
          <w:szCs w:val="24"/>
        </w:rPr>
        <w:t>india</w:t>
      </w:r>
      <w:proofErr w:type="spellEnd"/>
      <w:r w:rsidRPr="00381BB2">
        <w:rPr>
          <w:rFonts w:ascii="Times New Roman" w:eastAsia="Times New Roman" w:hAnsi="Times New Roman" w:cs="Times New Roman"/>
          <w:sz w:val="24"/>
          <w:szCs w:val="24"/>
        </w:rPr>
        <w:t xml:space="preserve"> before and after the covid-19 pandemic: economic drivers and investment </w:t>
      </w:r>
      <w:proofErr w:type="spellStart"/>
      <w:r w:rsidRPr="00381BB2">
        <w:rPr>
          <w:rFonts w:ascii="Times New Roman" w:eastAsia="Times New Roman" w:hAnsi="Times New Roman" w:cs="Times New Roman"/>
          <w:sz w:val="24"/>
          <w:szCs w:val="24"/>
        </w:rPr>
        <w:t>behaviour</w:t>
      </w:r>
      <w:proofErr w:type="spellEnd"/>
      <w:r w:rsidRPr="00381BB2">
        <w:rPr>
          <w:rFonts w:ascii="Times New Roman" w:eastAsia="Times New Roman" w:hAnsi="Times New Roman" w:cs="Times New Roman"/>
          <w:sz w:val="24"/>
          <w:szCs w:val="24"/>
        </w:rPr>
        <w:t xml:space="preserve">". International journal of scientific research in engineering and management. </w:t>
      </w:r>
      <w:hyperlink r:id="rId11" w:history="1">
        <w:r w:rsidRPr="00381BB2">
          <w:rPr>
            <w:rStyle w:val="Hyperlink"/>
            <w:rFonts w:ascii="Times New Roman" w:eastAsia="Times New Roman" w:hAnsi="Times New Roman" w:cs="Times New Roman"/>
            <w:sz w:val="24"/>
            <w:szCs w:val="24"/>
          </w:rPr>
          <w:t>Https://doi.org/10.55041/ijsrem47011</w:t>
        </w:r>
      </w:hyperlink>
      <w:r w:rsidRPr="00381BB2">
        <w:rPr>
          <w:rFonts w:ascii="Times New Roman" w:eastAsia="Times New Roman" w:hAnsi="Times New Roman" w:cs="Times New Roman"/>
          <w:sz w:val="24"/>
          <w:szCs w:val="24"/>
        </w:rPr>
        <w:t>.</w:t>
      </w:r>
    </w:p>
    <w:p w14:paraId="47FDB4C3" w14:textId="5D2F5061" w:rsidR="00381BB2" w:rsidRPr="00381BB2" w:rsidRDefault="00381BB2" w:rsidP="00B324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381BB2">
        <w:rPr>
          <w:rFonts w:ascii="Times New Roman" w:eastAsia="Times New Roman" w:hAnsi="Times New Roman" w:cs="Times New Roman"/>
          <w:sz w:val="24"/>
          <w:szCs w:val="24"/>
        </w:rPr>
        <w:t xml:space="preserve">Jain, a., &amp; </w:t>
      </w:r>
      <w:proofErr w:type="spellStart"/>
      <w:r w:rsidRPr="00381BB2">
        <w:rPr>
          <w:rFonts w:ascii="Times New Roman" w:eastAsia="Times New Roman" w:hAnsi="Times New Roman" w:cs="Times New Roman"/>
          <w:sz w:val="24"/>
          <w:szCs w:val="24"/>
        </w:rPr>
        <w:t>biswal</w:t>
      </w:r>
      <w:proofErr w:type="spellEnd"/>
      <w:r w:rsidRPr="00381BB2">
        <w:rPr>
          <w:rFonts w:ascii="Times New Roman" w:eastAsia="Times New Roman" w:hAnsi="Times New Roman" w:cs="Times New Roman"/>
          <w:sz w:val="24"/>
          <w:szCs w:val="24"/>
        </w:rPr>
        <w:t xml:space="preserve">, p. (2016). Dynamic linkages among oil price, gold price, exchange rate, and stock market in </w:t>
      </w:r>
      <w:proofErr w:type="spellStart"/>
      <w:r w:rsidRPr="00381BB2">
        <w:rPr>
          <w:rFonts w:ascii="Times New Roman" w:eastAsia="Times New Roman" w:hAnsi="Times New Roman" w:cs="Times New Roman"/>
          <w:sz w:val="24"/>
          <w:szCs w:val="24"/>
        </w:rPr>
        <w:t>india</w:t>
      </w:r>
      <w:proofErr w:type="spellEnd"/>
      <w:r w:rsidRPr="00381BB2">
        <w:rPr>
          <w:rFonts w:ascii="Times New Roman" w:eastAsia="Times New Roman" w:hAnsi="Times New Roman" w:cs="Times New Roman"/>
          <w:sz w:val="24"/>
          <w:szCs w:val="24"/>
        </w:rPr>
        <w:t xml:space="preserve">. Resources policy, 49, 179-185. </w:t>
      </w:r>
      <w:hyperlink r:id="rId12" w:history="1">
        <w:r w:rsidRPr="00381BB2">
          <w:rPr>
            <w:rStyle w:val="Hyperlink"/>
            <w:rFonts w:ascii="Times New Roman" w:eastAsia="Times New Roman" w:hAnsi="Times New Roman" w:cs="Times New Roman"/>
            <w:sz w:val="24"/>
            <w:szCs w:val="24"/>
          </w:rPr>
          <w:t>Https://doi.org/10.1016/j.resourpol.2016.06.001</w:t>
        </w:r>
      </w:hyperlink>
      <w:r w:rsidRPr="00381BB2">
        <w:rPr>
          <w:rFonts w:ascii="Times New Roman" w:eastAsia="Times New Roman" w:hAnsi="Times New Roman" w:cs="Times New Roman"/>
          <w:sz w:val="24"/>
          <w:szCs w:val="24"/>
        </w:rPr>
        <w:t>.</w:t>
      </w:r>
    </w:p>
    <w:p w14:paraId="1CE41CCB" w14:textId="277104E9" w:rsidR="00381BB2" w:rsidRPr="00381BB2" w:rsidRDefault="00381BB2" w:rsidP="00B324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381BB2">
        <w:rPr>
          <w:rFonts w:ascii="Times New Roman" w:eastAsia="Times New Roman" w:hAnsi="Times New Roman" w:cs="Times New Roman"/>
          <w:sz w:val="24"/>
          <w:szCs w:val="24"/>
        </w:rPr>
        <w:t xml:space="preserve">Shahabad, r., &amp; </w:t>
      </w:r>
      <w:proofErr w:type="spellStart"/>
      <w:r w:rsidRPr="00381BB2">
        <w:rPr>
          <w:rFonts w:ascii="Times New Roman" w:eastAsia="Times New Roman" w:hAnsi="Times New Roman" w:cs="Times New Roman"/>
          <w:sz w:val="24"/>
          <w:szCs w:val="24"/>
        </w:rPr>
        <w:t>balcilar</w:t>
      </w:r>
      <w:proofErr w:type="spellEnd"/>
      <w:r w:rsidRPr="00381BB2">
        <w:rPr>
          <w:rFonts w:ascii="Times New Roman" w:eastAsia="Times New Roman" w:hAnsi="Times New Roman" w:cs="Times New Roman"/>
          <w:sz w:val="24"/>
          <w:szCs w:val="24"/>
        </w:rPr>
        <w:t xml:space="preserve">, m. (2022). Modelling the dynamic interaction between economic policy uncertainty and commodity prices in </w:t>
      </w:r>
      <w:proofErr w:type="spellStart"/>
      <w:r w:rsidRPr="00381BB2">
        <w:rPr>
          <w:rFonts w:ascii="Times New Roman" w:eastAsia="Times New Roman" w:hAnsi="Times New Roman" w:cs="Times New Roman"/>
          <w:sz w:val="24"/>
          <w:szCs w:val="24"/>
        </w:rPr>
        <w:t>india</w:t>
      </w:r>
      <w:proofErr w:type="spellEnd"/>
      <w:r w:rsidRPr="00381BB2">
        <w:rPr>
          <w:rFonts w:ascii="Times New Roman" w:eastAsia="Times New Roman" w:hAnsi="Times New Roman" w:cs="Times New Roman"/>
          <w:sz w:val="24"/>
          <w:szCs w:val="24"/>
        </w:rPr>
        <w:t xml:space="preserve">: the dynamic autoregressive distributed lag approach. Mathematics. </w:t>
      </w:r>
      <w:hyperlink r:id="rId13" w:history="1">
        <w:r w:rsidRPr="00381BB2">
          <w:rPr>
            <w:rStyle w:val="Hyperlink"/>
            <w:rFonts w:ascii="Times New Roman" w:eastAsia="Times New Roman" w:hAnsi="Times New Roman" w:cs="Times New Roman"/>
            <w:sz w:val="24"/>
            <w:szCs w:val="24"/>
          </w:rPr>
          <w:t>Https://doi.org/10.3390/math10101638</w:t>
        </w:r>
      </w:hyperlink>
      <w:r w:rsidRPr="00381BB2">
        <w:rPr>
          <w:rFonts w:ascii="Times New Roman" w:eastAsia="Times New Roman" w:hAnsi="Times New Roman" w:cs="Times New Roman"/>
          <w:sz w:val="24"/>
          <w:szCs w:val="24"/>
        </w:rPr>
        <w:t>.</w:t>
      </w:r>
    </w:p>
    <w:p w14:paraId="737929B9" w14:textId="2F257059" w:rsidR="00381BB2" w:rsidRPr="00381BB2" w:rsidRDefault="00381BB2" w:rsidP="00B324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381BB2">
        <w:rPr>
          <w:rFonts w:ascii="Times New Roman" w:eastAsia="Times New Roman" w:hAnsi="Times New Roman" w:cs="Times New Roman"/>
          <w:sz w:val="24"/>
          <w:szCs w:val="24"/>
        </w:rPr>
        <w:t xml:space="preserve">Anthony, j., </w:t>
      </w:r>
      <w:proofErr w:type="spellStart"/>
      <w:r w:rsidRPr="00381BB2">
        <w:rPr>
          <w:rFonts w:ascii="Times New Roman" w:eastAsia="Times New Roman" w:hAnsi="Times New Roman" w:cs="Times New Roman"/>
          <w:sz w:val="24"/>
          <w:szCs w:val="24"/>
        </w:rPr>
        <w:t>gupta</w:t>
      </w:r>
      <w:proofErr w:type="spellEnd"/>
      <w:r w:rsidRPr="00381BB2">
        <w:rPr>
          <w:rFonts w:ascii="Times New Roman" w:eastAsia="Times New Roman" w:hAnsi="Times New Roman" w:cs="Times New Roman"/>
          <w:sz w:val="24"/>
          <w:szCs w:val="24"/>
        </w:rPr>
        <w:t xml:space="preserve">., s., &amp; </w:t>
      </w:r>
      <w:proofErr w:type="spellStart"/>
      <w:r w:rsidRPr="00381BB2">
        <w:rPr>
          <w:rFonts w:ascii="Times New Roman" w:eastAsia="Times New Roman" w:hAnsi="Times New Roman" w:cs="Times New Roman"/>
          <w:sz w:val="24"/>
          <w:szCs w:val="24"/>
        </w:rPr>
        <w:t>chinngaihlian</w:t>
      </w:r>
      <w:proofErr w:type="spellEnd"/>
      <w:r w:rsidRPr="00381BB2">
        <w:rPr>
          <w:rFonts w:ascii="Times New Roman" w:eastAsia="Times New Roman" w:hAnsi="Times New Roman" w:cs="Times New Roman"/>
          <w:sz w:val="24"/>
          <w:szCs w:val="24"/>
        </w:rPr>
        <w:t xml:space="preserve">, s. (2022). The impact of advanced economy monetary policy on gold price dynamics in </w:t>
      </w:r>
      <w:proofErr w:type="spellStart"/>
      <w:r w:rsidRPr="00381BB2">
        <w:rPr>
          <w:rFonts w:ascii="Times New Roman" w:eastAsia="Times New Roman" w:hAnsi="Times New Roman" w:cs="Times New Roman"/>
          <w:sz w:val="24"/>
          <w:szCs w:val="24"/>
        </w:rPr>
        <w:t>india</w:t>
      </w:r>
      <w:proofErr w:type="spellEnd"/>
      <w:r w:rsidRPr="00381BB2">
        <w:rPr>
          <w:rFonts w:ascii="Times New Roman" w:eastAsia="Times New Roman" w:hAnsi="Times New Roman" w:cs="Times New Roman"/>
          <w:sz w:val="24"/>
          <w:szCs w:val="24"/>
        </w:rPr>
        <w:t xml:space="preserve">. Indian journal of economics and finance. </w:t>
      </w:r>
      <w:hyperlink r:id="rId14" w:history="1">
        <w:r w:rsidRPr="00381BB2">
          <w:rPr>
            <w:rStyle w:val="Hyperlink"/>
            <w:rFonts w:ascii="Times New Roman" w:eastAsia="Times New Roman" w:hAnsi="Times New Roman" w:cs="Times New Roman"/>
            <w:sz w:val="24"/>
            <w:szCs w:val="24"/>
          </w:rPr>
          <w:t>Https://doi.org/10.54105/ijef.b2533.112222</w:t>
        </w:r>
      </w:hyperlink>
      <w:r w:rsidRPr="00381BB2">
        <w:rPr>
          <w:rFonts w:ascii="Times New Roman" w:eastAsia="Times New Roman" w:hAnsi="Times New Roman" w:cs="Times New Roman"/>
          <w:sz w:val="24"/>
          <w:szCs w:val="24"/>
        </w:rPr>
        <w:t>.</w:t>
      </w:r>
    </w:p>
    <w:p w14:paraId="4A4BCD1E" w14:textId="23818D67" w:rsidR="00381BB2" w:rsidRPr="00381BB2" w:rsidRDefault="00381BB2" w:rsidP="00B324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381BB2">
        <w:rPr>
          <w:rFonts w:ascii="Times New Roman" w:eastAsia="Times New Roman" w:hAnsi="Times New Roman" w:cs="Times New Roman"/>
          <w:sz w:val="24"/>
          <w:szCs w:val="24"/>
        </w:rPr>
        <w:t xml:space="preserve">M., n., &amp; </w:t>
      </w:r>
      <w:proofErr w:type="spellStart"/>
      <w:r w:rsidRPr="00381BB2">
        <w:rPr>
          <w:rFonts w:ascii="Times New Roman" w:eastAsia="Times New Roman" w:hAnsi="Times New Roman" w:cs="Times New Roman"/>
          <w:sz w:val="24"/>
          <w:szCs w:val="24"/>
        </w:rPr>
        <w:t>marisetty</w:t>
      </w:r>
      <w:proofErr w:type="spellEnd"/>
      <w:r w:rsidRPr="00381BB2">
        <w:rPr>
          <w:rFonts w:ascii="Times New Roman" w:eastAsia="Times New Roman" w:hAnsi="Times New Roman" w:cs="Times New Roman"/>
          <w:sz w:val="24"/>
          <w:szCs w:val="24"/>
        </w:rPr>
        <w:t xml:space="preserve">, n. (2023). A study on various factors impact on the gold price in </w:t>
      </w:r>
      <w:proofErr w:type="spellStart"/>
      <w:r w:rsidRPr="00381BB2">
        <w:rPr>
          <w:rFonts w:ascii="Times New Roman" w:eastAsia="Times New Roman" w:hAnsi="Times New Roman" w:cs="Times New Roman"/>
          <w:sz w:val="24"/>
          <w:szCs w:val="24"/>
        </w:rPr>
        <w:t>india</w:t>
      </w:r>
      <w:proofErr w:type="spellEnd"/>
      <w:r w:rsidRPr="00381BB2">
        <w:rPr>
          <w:rFonts w:ascii="Times New Roman" w:eastAsia="Times New Roman" w:hAnsi="Times New Roman" w:cs="Times New Roman"/>
          <w:sz w:val="24"/>
          <w:szCs w:val="24"/>
        </w:rPr>
        <w:t xml:space="preserve">. Asian journal of economics, business and accounting. </w:t>
      </w:r>
      <w:hyperlink r:id="rId15" w:history="1">
        <w:r w:rsidRPr="00381BB2">
          <w:rPr>
            <w:rStyle w:val="Hyperlink"/>
            <w:rFonts w:ascii="Times New Roman" w:eastAsia="Times New Roman" w:hAnsi="Times New Roman" w:cs="Times New Roman"/>
            <w:sz w:val="24"/>
            <w:szCs w:val="24"/>
          </w:rPr>
          <w:t>Https://doi.org/10.9734/ajeba/2023/v23i201109</w:t>
        </w:r>
      </w:hyperlink>
      <w:r w:rsidRPr="00381BB2">
        <w:rPr>
          <w:rFonts w:ascii="Times New Roman" w:eastAsia="Times New Roman" w:hAnsi="Times New Roman" w:cs="Times New Roman"/>
          <w:sz w:val="24"/>
          <w:szCs w:val="24"/>
        </w:rPr>
        <w:t>.</w:t>
      </w:r>
    </w:p>
    <w:p w14:paraId="380719DD" w14:textId="46F411EE" w:rsidR="00381BB2" w:rsidRPr="00381BB2" w:rsidRDefault="00381BB2" w:rsidP="00B324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381BB2">
        <w:rPr>
          <w:rFonts w:ascii="Times New Roman" w:eastAsia="Times New Roman" w:hAnsi="Times New Roman" w:cs="Times New Roman"/>
          <w:sz w:val="24"/>
          <w:szCs w:val="24"/>
        </w:rPr>
        <w:t xml:space="preserve">Dasgupta, m., &amp; sunny, m. (2025). How has inflation from 2010 to 2024 differentially impacted the purchasing power of essential goods and services among lower-income rural versus urban households in </w:t>
      </w:r>
      <w:proofErr w:type="spellStart"/>
      <w:proofErr w:type="gramStart"/>
      <w:r w:rsidRPr="00381BB2">
        <w:rPr>
          <w:rFonts w:ascii="Times New Roman" w:eastAsia="Times New Roman" w:hAnsi="Times New Roman" w:cs="Times New Roman"/>
          <w:sz w:val="24"/>
          <w:szCs w:val="24"/>
        </w:rPr>
        <w:t>india</w:t>
      </w:r>
      <w:proofErr w:type="spellEnd"/>
      <w:r w:rsidRPr="00381BB2">
        <w:rPr>
          <w:rFonts w:ascii="Times New Roman" w:eastAsia="Times New Roman" w:hAnsi="Times New Roman" w:cs="Times New Roman"/>
          <w:sz w:val="24"/>
          <w:szCs w:val="24"/>
        </w:rPr>
        <w:t>?.</w:t>
      </w:r>
      <w:proofErr w:type="gramEnd"/>
      <w:r w:rsidRPr="00381BB2">
        <w:rPr>
          <w:rFonts w:ascii="Times New Roman" w:eastAsia="Times New Roman" w:hAnsi="Times New Roman" w:cs="Times New Roman"/>
          <w:sz w:val="24"/>
          <w:szCs w:val="24"/>
        </w:rPr>
        <w:t xml:space="preserve"> International journal for multidisciplinary research. </w:t>
      </w:r>
      <w:hyperlink r:id="rId16" w:history="1">
        <w:r w:rsidRPr="00381BB2">
          <w:rPr>
            <w:rStyle w:val="Hyperlink"/>
            <w:rFonts w:ascii="Times New Roman" w:eastAsia="Times New Roman" w:hAnsi="Times New Roman" w:cs="Times New Roman"/>
            <w:sz w:val="24"/>
            <w:szCs w:val="24"/>
          </w:rPr>
          <w:t>Https://doi.org/10.36948/ijfmr.2025.v07i03.47481</w:t>
        </w:r>
      </w:hyperlink>
      <w:r w:rsidRPr="00381BB2">
        <w:rPr>
          <w:rFonts w:ascii="Times New Roman" w:eastAsia="Times New Roman" w:hAnsi="Times New Roman" w:cs="Times New Roman"/>
          <w:sz w:val="24"/>
          <w:szCs w:val="24"/>
        </w:rPr>
        <w:t>.</w:t>
      </w:r>
    </w:p>
    <w:p w14:paraId="40207996" w14:textId="4EA7340A" w:rsidR="00381BB2" w:rsidRPr="00381BB2" w:rsidRDefault="00381BB2" w:rsidP="00B324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381BB2">
        <w:rPr>
          <w:rFonts w:ascii="Times New Roman" w:eastAsia="Times New Roman" w:hAnsi="Times New Roman" w:cs="Times New Roman"/>
          <w:sz w:val="24"/>
          <w:szCs w:val="24"/>
        </w:rPr>
        <w:t xml:space="preserve">Adranyi, e., stringer, l., &amp; </w:t>
      </w:r>
      <w:proofErr w:type="spellStart"/>
      <w:r w:rsidRPr="00381BB2">
        <w:rPr>
          <w:rFonts w:ascii="Times New Roman" w:eastAsia="Times New Roman" w:hAnsi="Times New Roman" w:cs="Times New Roman"/>
          <w:sz w:val="24"/>
          <w:szCs w:val="24"/>
        </w:rPr>
        <w:t>altink</w:t>
      </w:r>
      <w:proofErr w:type="spellEnd"/>
      <w:r w:rsidRPr="00381BB2">
        <w:rPr>
          <w:rFonts w:ascii="Times New Roman" w:eastAsia="Times New Roman" w:hAnsi="Times New Roman" w:cs="Times New Roman"/>
          <w:sz w:val="24"/>
          <w:szCs w:val="24"/>
        </w:rPr>
        <w:t xml:space="preserve">, h. (2023). The impacts of artisanal and small-scale gold mining on rural livelihood trajectories: insights from </w:t>
      </w:r>
      <w:proofErr w:type="spellStart"/>
      <w:r w:rsidRPr="00381BB2">
        <w:rPr>
          <w:rFonts w:ascii="Times New Roman" w:eastAsia="Times New Roman" w:hAnsi="Times New Roman" w:cs="Times New Roman"/>
          <w:sz w:val="24"/>
          <w:szCs w:val="24"/>
        </w:rPr>
        <w:t>ghana</w:t>
      </w:r>
      <w:proofErr w:type="spellEnd"/>
      <w:r w:rsidRPr="00381BB2">
        <w:rPr>
          <w:rFonts w:ascii="Times New Roman" w:eastAsia="Times New Roman" w:hAnsi="Times New Roman" w:cs="Times New Roman"/>
          <w:sz w:val="24"/>
          <w:szCs w:val="24"/>
        </w:rPr>
        <w:t xml:space="preserve">. The extractive industries and society. </w:t>
      </w:r>
      <w:hyperlink r:id="rId17" w:history="1">
        <w:r w:rsidRPr="00381BB2">
          <w:rPr>
            <w:rStyle w:val="Hyperlink"/>
            <w:rFonts w:ascii="Times New Roman" w:eastAsia="Times New Roman" w:hAnsi="Times New Roman" w:cs="Times New Roman"/>
            <w:sz w:val="24"/>
            <w:szCs w:val="24"/>
          </w:rPr>
          <w:t>Https://doi.org/10.1016/j.exis.2023.101273</w:t>
        </w:r>
      </w:hyperlink>
      <w:r w:rsidRPr="00381BB2">
        <w:rPr>
          <w:rFonts w:ascii="Times New Roman" w:eastAsia="Times New Roman" w:hAnsi="Times New Roman" w:cs="Times New Roman"/>
          <w:sz w:val="24"/>
          <w:szCs w:val="24"/>
        </w:rPr>
        <w:t>.</w:t>
      </w:r>
    </w:p>
    <w:p w14:paraId="732D11A8" w14:textId="5E1874D3" w:rsidR="00381BB2" w:rsidRPr="00381BB2" w:rsidRDefault="00381BB2" w:rsidP="00B324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381BB2">
        <w:rPr>
          <w:rFonts w:ascii="Times New Roman" w:eastAsia="Times New Roman" w:hAnsi="Times New Roman" w:cs="Times New Roman"/>
          <w:sz w:val="24"/>
          <w:szCs w:val="24"/>
        </w:rPr>
        <w:t xml:space="preserve">Shaikh, </w:t>
      </w:r>
      <w:proofErr w:type="spellStart"/>
      <w:r w:rsidRPr="00381BB2">
        <w:rPr>
          <w:rFonts w:ascii="Times New Roman" w:eastAsia="Times New Roman" w:hAnsi="Times New Roman" w:cs="Times New Roman"/>
          <w:sz w:val="24"/>
          <w:szCs w:val="24"/>
        </w:rPr>
        <w:t>i</w:t>
      </w:r>
      <w:proofErr w:type="spellEnd"/>
      <w:r w:rsidRPr="00381BB2">
        <w:rPr>
          <w:rFonts w:ascii="Times New Roman" w:eastAsia="Times New Roman" w:hAnsi="Times New Roman" w:cs="Times New Roman"/>
          <w:sz w:val="24"/>
          <w:szCs w:val="24"/>
        </w:rPr>
        <w:t xml:space="preserve">., &amp; </w:t>
      </w:r>
      <w:proofErr w:type="spellStart"/>
      <w:r w:rsidRPr="00381BB2">
        <w:rPr>
          <w:rFonts w:ascii="Times New Roman" w:eastAsia="Times New Roman" w:hAnsi="Times New Roman" w:cs="Times New Roman"/>
          <w:sz w:val="24"/>
          <w:szCs w:val="24"/>
        </w:rPr>
        <w:t>vallabh</w:t>
      </w:r>
      <w:proofErr w:type="spellEnd"/>
      <w:r w:rsidRPr="00381BB2">
        <w:rPr>
          <w:rFonts w:ascii="Times New Roman" w:eastAsia="Times New Roman" w:hAnsi="Times New Roman" w:cs="Times New Roman"/>
          <w:sz w:val="24"/>
          <w:szCs w:val="24"/>
        </w:rPr>
        <w:t xml:space="preserve">, p. (2022). Monetary policy uncertainty and gold price in </w:t>
      </w:r>
      <w:proofErr w:type="spellStart"/>
      <w:r w:rsidRPr="00381BB2">
        <w:rPr>
          <w:rFonts w:ascii="Times New Roman" w:eastAsia="Times New Roman" w:hAnsi="Times New Roman" w:cs="Times New Roman"/>
          <w:sz w:val="24"/>
          <w:szCs w:val="24"/>
        </w:rPr>
        <w:t>india</w:t>
      </w:r>
      <w:proofErr w:type="spellEnd"/>
      <w:r w:rsidRPr="00381BB2">
        <w:rPr>
          <w:rFonts w:ascii="Times New Roman" w:eastAsia="Times New Roman" w:hAnsi="Times New Roman" w:cs="Times New Roman"/>
          <w:sz w:val="24"/>
          <w:szCs w:val="24"/>
        </w:rPr>
        <w:t xml:space="preserve">: evidence from reserve bank of </w:t>
      </w:r>
      <w:proofErr w:type="spellStart"/>
      <w:r w:rsidRPr="00381BB2">
        <w:rPr>
          <w:rFonts w:ascii="Times New Roman" w:eastAsia="Times New Roman" w:hAnsi="Times New Roman" w:cs="Times New Roman"/>
          <w:sz w:val="24"/>
          <w:szCs w:val="24"/>
        </w:rPr>
        <w:t>india's</w:t>
      </w:r>
      <w:proofErr w:type="spellEnd"/>
      <w:r w:rsidRPr="00381BB2">
        <w:rPr>
          <w:rFonts w:ascii="Times New Roman" w:eastAsia="Times New Roman" w:hAnsi="Times New Roman" w:cs="Times New Roman"/>
          <w:sz w:val="24"/>
          <w:szCs w:val="24"/>
        </w:rPr>
        <w:t xml:space="preserve"> monetary policy committee (</w:t>
      </w:r>
      <w:proofErr w:type="spellStart"/>
      <w:r w:rsidRPr="00381BB2">
        <w:rPr>
          <w:rFonts w:ascii="Times New Roman" w:eastAsia="Times New Roman" w:hAnsi="Times New Roman" w:cs="Times New Roman"/>
          <w:sz w:val="24"/>
          <w:szCs w:val="24"/>
        </w:rPr>
        <w:t>mpc</w:t>
      </w:r>
      <w:proofErr w:type="spellEnd"/>
      <w:r w:rsidRPr="00381BB2">
        <w:rPr>
          <w:rFonts w:ascii="Times New Roman" w:eastAsia="Times New Roman" w:hAnsi="Times New Roman" w:cs="Times New Roman"/>
          <w:sz w:val="24"/>
          <w:szCs w:val="24"/>
        </w:rPr>
        <w:t xml:space="preserve">) review. Resources policy. </w:t>
      </w:r>
      <w:hyperlink r:id="rId18" w:history="1">
        <w:r w:rsidRPr="00381BB2">
          <w:rPr>
            <w:rStyle w:val="Hyperlink"/>
            <w:rFonts w:ascii="Times New Roman" w:eastAsia="Times New Roman" w:hAnsi="Times New Roman" w:cs="Times New Roman"/>
            <w:sz w:val="24"/>
            <w:szCs w:val="24"/>
          </w:rPr>
          <w:t>Https://doi.org/10.1016/j.resourpol.2022.102642</w:t>
        </w:r>
      </w:hyperlink>
      <w:r w:rsidRPr="00381BB2">
        <w:rPr>
          <w:rFonts w:ascii="Times New Roman" w:eastAsia="Times New Roman" w:hAnsi="Times New Roman" w:cs="Times New Roman"/>
          <w:sz w:val="24"/>
          <w:szCs w:val="24"/>
        </w:rPr>
        <w:t>.</w:t>
      </w:r>
    </w:p>
    <w:p w14:paraId="0DBD72A0" w14:textId="3FE16DEF" w:rsidR="00381BB2" w:rsidRPr="00381BB2" w:rsidRDefault="00381BB2" w:rsidP="00B324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381BB2">
        <w:rPr>
          <w:rFonts w:ascii="Times New Roman" w:eastAsia="Times New Roman" w:hAnsi="Times New Roman" w:cs="Times New Roman"/>
          <w:sz w:val="24"/>
          <w:szCs w:val="24"/>
        </w:rPr>
        <w:t xml:space="preserve">Kumaraswamy, s., </w:t>
      </w:r>
      <w:proofErr w:type="spellStart"/>
      <w:r w:rsidRPr="00381BB2">
        <w:rPr>
          <w:rFonts w:ascii="Times New Roman" w:eastAsia="Times New Roman" w:hAnsi="Times New Roman" w:cs="Times New Roman"/>
          <w:sz w:val="24"/>
          <w:szCs w:val="24"/>
        </w:rPr>
        <w:t>abdulla</w:t>
      </w:r>
      <w:proofErr w:type="spellEnd"/>
      <w:r w:rsidRPr="00381BB2">
        <w:rPr>
          <w:rFonts w:ascii="Times New Roman" w:eastAsia="Times New Roman" w:hAnsi="Times New Roman" w:cs="Times New Roman"/>
          <w:sz w:val="24"/>
          <w:szCs w:val="24"/>
        </w:rPr>
        <w:t xml:space="preserve">, y., &amp; </w:t>
      </w:r>
      <w:proofErr w:type="spellStart"/>
      <w:r w:rsidRPr="00381BB2">
        <w:rPr>
          <w:rFonts w:ascii="Times New Roman" w:eastAsia="Times New Roman" w:hAnsi="Times New Roman" w:cs="Times New Roman"/>
          <w:sz w:val="24"/>
          <w:szCs w:val="24"/>
        </w:rPr>
        <w:t>panigrahi</w:t>
      </w:r>
      <w:proofErr w:type="spellEnd"/>
      <w:r w:rsidRPr="00381BB2">
        <w:rPr>
          <w:rFonts w:ascii="Times New Roman" w:eastAsia="Times New Roman" w:hAnsi="Times New Roman" w:cs="Times New Roman"/>
          <w:sz w:val="24"/>
          <w:szCs w:val="24"/>
        </w:rPr>
        <w:t xml:space="preserve">, s. (2022). Will gold prices persist post pandemic period? An econometric evidence. International journal of financial studies. </w:t>
      </w:r>
      <w:hyperlink r:id="rId19" w:history="1">
        <w:r w:rsidRPr="00381BB2">
          <w:rPr>
            <w:rStyle w:val="Hyperlink"/>
            <w:rFonts w:ascii="Times New Roman" w:eastAsia="Times New Roman" w:hAnsi="Times New Roman" w:cs="Times New Roman"/>
            <w:sz w:val="24"/>
            <w:szCs w:val="24"/>
          </w:rPr>
          <w:t>Https://doi.org/10.3390/ijfs11010008</w:t>
        </w:r>
      </w:hyperlink>
      <w:r w:rsidRPr="00381BB2">
        <w:rPr>
          <w:rFonts w:ascii="Times New Roman" w:eastAsia="Times New Roman" w:hAnsi="Times New Roman" w:cs="Times New Roman"/>
          <w:sz w:val="24"/>
          <w:szCs w:val="24"/>
        </w:rPr>
        <w:t>.</w:t>
      </w:r>
    </w:p>
    <w:p w14:paraId="67D30F75" w14:textId="1A061835" w:rsidR="00381BB2" w:rsidRPr="00381BB2" w:rsidRDefault="00381BB2" w:rsidP="00B324C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381BB2">
        <w:rPr>
          <w:rFonts w:ascii="Times New Roman" w:eastAsia="Times New Roman" w:hAnsi="Times New Roman" w:cs="Times New Roman"/>
          <w:sz w:val="24"/>
          <w:szCs w:val="24"/>
        </w:rPr>
        <w:lastRenderedPageBreak/>
        <w:t xml:space="preserve">Babu, k. (2025). Determinants of gold price movements in </w:t>
      </w:r>
      <w:proofErr w:type="spellStart"/>
      <w:r w:rsidRPr="00381BB2">
        <w:rPr>
          <w:rFonts w:ascii="Times New Roman" w:eastAsia="Times New Roman" w:hAnsi="Times New Roman" w:cs="Times New Roman"/>
          <w:sz w:val="24"/>
          <w:szCs w:val="24"/>
        </w:rPr>
        <w:t>india</w:t>
      </w:r>
      <w:proofErr w:type="spellEnd"/>
      <w:r w:rsidRPr="00381BB2">
        <w:rPr>
          <w:rFonts w:ascii="Times New Roman" w:eastAsia="Times New Roman" w:hAnsi="Times New Roman" w:cs="Times New Roman"/>
          <w:sz w:val="24"/>
          <w:szCs w:val="24"/>
        </w:rPr>
        <w:t xml:space="preserve">. Eph-international journal of business &amp; management science. </w:t>
      </w:r>
      <w:hyperlink r:id="rId20" w:history="1">
        <w:r w:rsidRPr="00381BB2">
          <w:rPr>
            <w:rStyle w:val="Hyperlink"/>
            <w:rFonts w:ascii="Times New Roman" w:eastAsia="Times New Roman" w:hAnsi="Times New Roman" w:cs="Times New Roman"/>
            <w:sz w:val="24"/>
            <w:szCs w:val="24"/>
          </w:rPr>
          <w:t>Https://doi.org/10.53555/018pd744</w:t>
        </w:r>
      </w:hyperlink>
      <w:r w:rsidRPr="00381BB2">
        <w:rPr>
          <w:rFonts w:ascii="Times New Roman" w:eastAsia="Times New Roman" w:hAnsi="Times New Roman" w:cs="Times New Roman"/>
          <w:sz w:val="24"/>
          <w:szCs w:val="24"/>
        </w:rPr>
        <w:t xml:space="preserve">. </w:t>
      </w:r>
    </w:p>
    <w:sectPr w:rsidR="00381BB2" w:rsidRPr="00381BB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9A590" w14:textId="77777777" w:rsidR="000574B8" w:rsidRDefault="000574B8">
      <w:pPr>
        <w:spacing w:after="0" w:line="240" w:lineRule="auto"/>
      </w:pPr>
      <w:r>
        <w:separator/>
      </w:r>
    </w:p>
  </w:endnote>
  <w:endnote w:type="continuationSeparator" w:id="0">
    <w:p w14:paraId="10E70A97" w14:textId="77777777" w:rsidR="000574B8" w:rsidRDefault="00057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EE4E35C9-F680-4CFB-95E1-C5ECC1054482}"/>
    <w:embedBold r:id="rId2" w:fontKey="{16237F39-D824-444D-8375-E9C365CD450A}"/>
    <w:embedItalic r:id="rId3" w:fontKey="{30DE62E8-A5D5-438F-8361-8A5A7608FAA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F7E872A-2B90-4635-B15E-330DBDA8D942}"/>
  </w:font>
  <w:font w:name="Cardo">
    <w:charset w:val="00"/>
    <w:family w:val="auto"/>
    <w:pitch w:val="default"/>
    <w:embedItalic r:id="rId5" w:fontKey="{53E28DFD-0CB4-4432-8875-2D346BB0ACE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E3AC2F9-BD61-4CA7-80CC-BE98448BC29F}"/>
    <w:embedBold r:id="rId7" w:fontKey="{847142C5-A798-4C08-9FCA-B8806815E1A5}"/>
  </w:font>
  <w:font w:name="Latha">
    <w:panose1 w:val="02000400000000000000"/>
    <w:charset w:val="00"/>
    <w:family w:val="swiss"/>
    <w:pitch w:val="variable"/>
    <w:sig w:usb0="00100003" w:usb1="00000000" w:usb2="00000000" w:usb3="00000000" w:csb0="00000001" w:csb1="00000000"/>
    <w:embedRegular r:id="rId8" w:fontKey="{B7592148-D506-4BEC-A485-8E3ECAA9AF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BA452" w14:textId="77777777" w:rsidR="00E06C30" w:rsidRDefault="00E06C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8FC38" w14:textId="77777777" w:rsidR="00E06C30" w:rsidRDefault="00E06C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16DCD" w14:textId="77777777" w:rsidR="00E06C30" w:rsidRDefault="00E06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95FD5" w14:textId="77777777" w:rsidR="000574B8" w:rsidRDefault="000574B8">
      <w:pPr>
        <w:spacing w:after="0" w:line="240" w:lineRule="auto"/>
      </w:pPr>
      <w:r>
        <w:separator/>
      </w:r>
    </w:p>
  </w:footnote>
  <w:footnote w:type="continuationSeparator" w:id="0">
    <w:p w14:paraId="492B8115" w14:textId="77777777" w:rsidR="000574B8" w:rsidRDefault="000574B8">
      <w:pPr>
        <w:spacing w:after="0" w:line="240" w:lineRule="auto"/>
      </w:pPr>
      <w:r>
        <w:continuationSeparator/>
      </w:r>
    </w:p>
  </w:footnote>
  <w:footnote w:id="1">
    <w:p w14:paraId="6EA865A6" w14:textId="77777777" w:rsidR="00E84E4C" w:rsidRDefault="00984DE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As of August 2025.</w:t>
      </w:r>
    </w:p>
  </w:footnote>
  <w:footnote w:id="2">
    <w:p w14:paraId="4D507A5B" w14:textId="77777777" w:rsidR="00E84E4C" w:rsidRDefault="00984DE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Viupuram District Profile- 2025.  </w:t>
      </w:r>
    </w:p>
  </w:footnote>
  <w:footnote w:id="3">
    <w:p w14:paraId="2372C203" w14:textId="77777777" w:rsidR="00E84E4C" w:rsidRDefault="00984DE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Villagaeinfo.org,  Mailam Village- 2025.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1CD9B" w14:textId="1847DB32" w:rsidR="00E06C30" w:rsidRDefault="000574B8">
    <w:pPr>
      <w:pStyle w:val="Header"/>
    </w:pPr>
    <w:r>
      <w:rPr>
        <w:noProof/>
      </w:rPr>
      <w:pict w14:anchorId="47BC27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24289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336FA" w14:textId="53973C0E" w:rsidR="00E06C30" w:rsidRDefault="000574B8">
    <w:pPr>
      <w:pStyle w:val="Header"/>
    </w:pPr>
    <w:r>
      <w:rPr>
        <w:noProof/>
      </w:rPr>
      <w:pict w14:anchorId="2F43B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24289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DA44E" w14:textId="632D3080" w:rsidR="00E06C30" w:rsidRDefault="000574B8">
    <w:pPr>
      <w:pStyle w:val="Header"/>
    </w:pPr>
    <w:r>
      <w:rPr>
        <w:noProof/>
      </w:rPr>
      <w:pict w14:anchorId="4AE8E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24289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BF58AF"/>
    <w:multiLevelType w:val="multilevel"/>
    <w:tmpl w:val="05DE60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5CC59A0"/>
    <w:multiLevelType w:val="multilevel"/>
    <w:tmpl w:val="51827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3sTA3NzcxNDA3MTVQ0lEKTi0uzszPAykwrAUAz95ylywAAAA="/>
  </w:docVars>
  <w:rsids>
    <w:rsidRoot w:val="00E84E4C"/>
    <w:rsid w:val="000574B8"/>
    <w:rsid w:val="000C78EB"/>
    <w:rsid w:val="0015485A"/>
    <w:rsid w:val="002B3678"/>
    <w:rsid w:val="0034024E"/>
    <w:rsid w:val="00381BB2"/>
    <w:rsid w:val="003B607A"/>
    <w:rsid w:val="003D000D"/>
    <w:rsid w:val="003D6C02"/>
    <w:rsid w:val="00450C9A"/>
    <w:rsid w:val="00547450"/>
    <w:rsid w:val="005609A0"/>
    <w:rsid w:val="005E0515"/>
    <w:rsid w:val="006A3893"/>
    <w:rsid w:val="007439C4"/>
    <w:rsid w:val="007A1172"/>
    <w:rsid w:val="007F1019"/>
    <w:rsid w:val="00822509"/>
    <w:rsid w:val="008339E7"/>
    <w:rsid w:val="00835C6E"/>
    <w:rsid w:val="00860562"/>
    <w:rsid w:val="00870151"/>
    <w:rsid w:val="008A79E6"/>
    <w:rsid w:val="00984BD9"/>
    <w:rsid w:val="00984DED"/>
    <w:rsid w:val="00B324C0"/>
    <w:rsid w:val="00B92321"/>
    <w:rsid w:val="00BE406D"/>
    <w:rsid w:val="00C21B27"/>
    <w:rsid w:val="00C75C42"/>
    <w:rsid w:val="00CF0030"/>
    <w:rsid w:val="00E06C30"/>
    <w:rsid w:val="00E229D5"/>
    <w:rsid w:val="00E84E4C"/>
    <w:rsid w:val="00EB59BA"/>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5B1337"/>
  <w15:docId w15:val="{0F5030A3-ED20-477D-8D07-3CDEF8B5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40" w:after="0" w:line="256" w:lineRule="auto"/>
      <w:outlineLvl w:val="3"/>
    </w:pPr>
    <w:rPr>
      <w:i/>
      <w:iCs/>
      <w:color w:val="2E75B5"/>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1548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485A"/>
    <w:rPr>
      <w:sz w:val="20"/>
      <w:szCs w:val="20"/>
    </w:rPr>
  </w:style>
  <w:style w:type="character" w:styleId="FootnoteReference">
    <w:name w:val="footnote reference"/>
    <w:basedOn w:val="DefaultParagraphFont"/>
    <w:uiPriority w:val="99"/>
    <w:semiHidden/>
    <w:unhideWhenUsed/>
    <w:rsid w:val="0015485A"/>
    <w:rPr>
      <w:vertAlign w:val="superscript"/>
    </w:rPr>
  </w:style>
  <w:style w:type="character" w:styleId="Hyperlink">
    <w:name w:val="Hyperlink"/>
    <w:basedOn w:val="DefaultParagraphFont"/>
    <w:uiPriority w:val="99"/>
    <w:unhideWhenUsed/>
    <w:rsid w:val="003D000D"/>
    <w:rPr>
      <w:color w:val="0000FF" w:themeColor="hyperlink"/>
      <w:u w:val="single"/>
    </w:rPr>
  </w:style>
  <w:style w:type="character" w:styleId="UnresolvedMention">
    <w:name w:val="Unresolved Mention"/>
    <w:basedOn w:val="DefaultParagraphFont"/>
    <w:uiPriority w:val="99"/>
    <w:semiHidden/>
    <w:unhideWhenUsed/>
    <w:rsid w:val="008339E7"/>
    <w:rPr>
      <w:color w:val="605E5C"/>
      <w:shd w:val="clear" w:color="auto" w:fill="E1DFDD"/>
    </w:rPr>
  </w:style>
  <w:style w:type="paragraph" w:styleId="Header">
    <w:name w:val="header"/>
    <w:basedOn w:val="Normal"/>
    <w:link w:val="HeaderChar"/>
    <w:uiPriority w:val="99"/>
    <w:unhideWhenUsed/>
    <w:rsid w:val="00E06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C30"/>
  </w:style>
  <w:style w:type="paragraph" w:styleId="Footer">
    <w:name w:val="footer"/>
    <w:basedOn w:val="Normal"/>
    <w:link w:val="FooterChar"/>
    <w:uiPriority w:val="99"/>
    <w:unhideWhenUsed/>
    <w:rsid w:val="00E06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9734/sajsse/2024/v21i9877" TargetMode="External"/><Relationship Id="rId13" Type="http://schemas.openxmlformats.org/officeDocument/2006/relationships/hyperlink" Target="https://doi.org/10.3390/math10101638" TargetMode="External"/><Relationship Id="rId18" Type="http://schemas.openxmlformats.org/officeDocument/2006/relationships/hyperlink" Target="https://doi.org/10.1016/j.resourpol.2022.102642"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oi.org/10.1016/j.resourpol.2016.06.001" TargetMode="External"/><Relationship Id="rId17" Type="http://schemas.openxmlformats.org/officeDocument/2006/relationships/hyperlink" Target="https://doi.org/10.1016/j.exis.2023.101273"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36948/ijfmr.2025.v07i03.47481" TargetMode="External"/><Relationship Id="rId20" Type="http://schemas.openxmlformats.org/officeDocument/2006/relationships/hyperlink" Target="https://doi.org/10.53555/018pd7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5041/ijsrem47011"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9734/ajeba/2023/v23i201109"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doi.org/10.1016/j.jdeveco.2019.102413" TargetMode="External"/><Relationship Id="rId19" Type="http://schemas.openxmlformats.org/officeDocument/2006/relationships/hyperlink" Target="https://doi.org/10.3390/ijfs11010008" TargetMode="External"/><Relationship Id="rId4" Type="http://schemas.openxmlformats.org/officeDocument/2006/relationships/settings" Target="settings.xml"/><Relationship Id="rId9" Type="http://schemas.openxmlformats.org/officeDocument/2006/relationships/hyperlink" Target="https://doi.org/10.1177/0976747920903118" TargetMode="External"/><Relationship Id="rId14" Type="http://schemas.openxmlformats.org/officeDocument/2006/relationships/hyperlink" Target="https://doi.org/10.54105/ijef.b2533.112222"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2AF24CE8-FF7E-4AE4-B9DE-5E6CEF1DB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16</Pages>
  <Words>4119</Words>
  <Characters>23481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31</cp:revision>
  <dcterms:created xsi:type="dcterms:W3CDTF">2025-12-08T08:25:00Z</dcterms:created>
  <dcterms:modified xsi:type="dcterms:W3CDTF">2026-02-05T07:10:00Z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48cdfb5a-085c-4c2b-88bc-95da289c3a33</vt:lpwstr>
  </property>
</Properties>
</file>