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7AA" w14:textId="3E8136CE" w:rsidR="00986D44" w:rsidRDefault="00B50E78" w:rsidP="001270CD">
      <w:pPr>
        <w:spacing w:after="0" w:line="240" w:lineRule="auto"/>
        <w:jc w:val="center"/>
        <w:rPr>
          <w:rFonts w:ascii="Times New Roman" w:hAnsi="Times New Roman" w:cs="Times New Roman"/>
          <w:b/>
          <w:bCs/>
          <w:sz w:val="24"/>
          <w:szCs w:val="24"/>
        </w:rPr>
      </w:pPr>
      <w:bookmarkStart w:id="0" w:name="_Hlk219122690"/>
      <w:r w:rsidRPr="007062AE">
        <w:rPr>
          <w:rFonts w:ascii="Times New Roman" w:hAnsi="Times New Roman" w:cs="Times New Roman"/>
          <w:b/>
          <w:bCs/>
          <w:sz w:val="24"/>
          <w:szCs w:val="24"/>
        </w:rPr>
        <w:t xml:space="preserve">Impact of Economics Textbooks on Students' Performance in </w:t>
      </w:r>
      <w:r w:rsidR="006C35D9" w:rsidRPr="007062AE">
        <w:rPr>
          <w:rFonts w:ascii="Times New Roman" w:hAnsi="Times New Roman" w:cs="Times New Roman"/>
          <w:b/>
          <w:bCs/>
          <w:sz w:val="24"/>
          <w:szCs w:val="24"/>
        </w:rPr>
        <w:t>Tanzania</w:t>
      </w:r>
      <w:r w:rsidR="006C35D9">
        <w:rPr>
          <w:rFonts w:ascii="Times New Roman" w:hAnsi="Times New Roman" w:cs="Times New Roman"/>
          <w:b/>
          <w:bCs/>
          <w:sz w:val="24"/>
          <w:szCs w:val="24"/>
        </w:rPr>
        <w:t xml:space="preserve"> </w:t>
      </w:r>
      <w:r w:rsidRPr="007062AE">
        <w:rPr>
          <w:rFonts w:ascii="Times New Roman" w:hAnsi="Times New Roman" w:cs="Times New Roman"/>
          <w:b/>
          <w:bCs/>
          <w:sz w:val="24"/>
          <w:szCs w:val="24"/>
        </w:rPr>
        <w:t>National Examinations</w:t>
      </w:r>
      <w:r w:rsidR="00FE17CB" w:rsidRPr="00BA4117">
        <w:rPr>
          <w:rFonts w:ascii="Times New Roman" w:hAnsi="Times New Roman" w:cs="Times New Roman"/>
          <w:b/>
          <w:bCs/>
          <w:sz w:val="24"/>
          <w:szCs w:val="24"/>
        </w:rPr>
        <w:t>: A Pre- and Post-Introduction Study</w:t>
      </w:r>
    </w:p>
    <w:p w14:paraId="599E2FF4" w14:textId="77777777" w:rsidR="001270CD" w:rsidRDefault="001270CD" w:rsidP="001270CD">
      <w:pPr>
        <w:spacing w:after="0" w:line="240" w:lineRule="auto"/>
        <w:jc w:val="center"/>
        <w:rPr>
          <w:rFonts w:ascii="Times New Roman" w:hAnsi="Times New Roman" w:cs="Times New Roman"/>
          <w:b/>
          <w:bCs/>
          <w:sz w:val="24"/>
          <w:szCs w:val="24"/>
        </w:rPr>
      </w:pPr>
    </w:p>
    <w:p w14:paraId="577278D2" w14:textId="77777777" w:rsidR="00986D44" w:rsidRPr="007062AE" w:rsidRDefault="00986D44" w:rsidP="00C775A7">
      <w:pPr>
        <w:pStyle w:val="NormalWeb"/>
        <w:spacing w:before="0" w:beforeAutospacing="0" w:after="0" w:afterAutospacing="0"/>
        <w:contextualSpacing/>
        <w:jc w:val="both"/>
        <w:rPr>
          <w:rStyle w:val="Strong"/>
          <w:rFonts w:eastAsiaTheme="majorEastAsia"/>
        </w:rPr>
      </w:pPr>
      <w:r w:rsidRPr="007062AE">
        <w:rPr>
          <w:rStyle w:val="Strong"/>
          <w:rFonts w:eastAsiaTheme="majorEastAsia"/>
        </w:rPr>
        <w:t>Abstract</w:t>
      </w:r>
    </w:p>
    <w:p w14:paraId="63D65387" w14:textId="4B261CE1" w:rsidR="004D5372" w:rsidRPr="00BA4117" w:rsidRDefault="004D5372" w:rsidP="00C775A7">
      <w:pPr>
        <w:pStyle w:val="NormalWeb"/>
        <w:spacing w:before="0" w:beforeAutospacing="0" w:after="0" w:afterAutospacing="0"/>
        <w:contextualSpacing/>
        <w:jc w:val="both"/>
        <w:rPr>
          <w:rStyle w:val="Strong"/>
          <w:b w:val="0"/>
          <w:bCs w:val="0"/>
          <w:strike/>
        </w:rPr>
      </w:pPr>
      <w:r>
        <w:t xml:space="preserve">This study assesses the impact of the introduction of officially approved Economics textbooks on students’ performance in Tanzania’s Advanced Certificate of Secondary Education Examination (ACSEE). </w:t>
      </w:r>
      <w:r w:rsidR="00BA4117">
        <w:t>Before</w:t>
      </w:r>
      <w:r>
        <w:t xml:space="preserve"> 2022, students relied on self-authored materials and imported textbooks, leading to inconsistent teaching and varied performance outcomes. The introduction of Tanzania Institute of Education (TIE)-approved Economics textbooks aimed to standardi</w:t>
      </w:r>
      <w:r w:rsidR="00FE17CB">
        <w:t>s</w:t>
      </w:r>
      <w:r>
        <w:t>e resources and improve learning outcomes. By analy</w:t>
      </w:r>
      <w:r w:rsidR="00FE17CB">
        <w:t>s</w:t>
      </w:r>
      <w:r>
        <w:t xml:space="preserve">ing national examination data </w:t>
      </w:r>
      <w:r w:rsidR="00BA4117">
        <w:t>from 2014 to 2024 for 107,772 students</w:t>
      </w:r>
      <w:r>
        <w:t>, the trend in performance was evaluated. Additionally, a purposive sample of 71,542 students who sat for the examination from 2019 to 2024 was selected to compare performance before (2019–2021) and after (2022–2024) the textbooks were introduced. Descriptive statistics revealed overall performance improvements, though some topics, such as Public Finance, showed minimal change or even a decline. A paired t-test indicated no statistically significant difference in overall performance between the two periods. These findings suggest that while the textbooks contributed to more consistent teaching practices, their impact on overall student performance was limited but noticeable in topic-specific results. The study underscores the value of standardi</w:t>
      </w:r>
      <w:r w:rsidR="00FE17CB">
        <w:t>s</w:t>
      </w:r>
      <w:r>
        <w:t>ed educational resources and calls for further research into factors influencing subject-specific performance outcomes.</w:t>
      </w:r>
    </w:p>
    <w:p w14:paraId="7073FDDF" w14:textId="77777777" w:rsidR="00C775A7" w:rsidRDefault="00986D44" w:rsidP="00C775A7">
      <w:pPr>
        <w:pStyle w:val="NormalWeb"/>
        <w:spacing w:after="0" w:afterAutospacing="0"/>
        <w:jc w:val="both"/>
        <w:rPr>
          <w:b/>
          <w:bCs/>
        </w:rPr>
      </w:pPr>
      <w:r w:rsidRPr="007062AE">
        <w:rPr>
          <w:rStyle w:val="Strong"/>
          <w:rFonts w:eastAsiaTheme="majorEastAsia"/>
        </w:rPr>
        <w:t>Keywords</w:t>
      </w:r>
      <w:r w:rsidRPr="007062AE">
        <w:t xml:space="preserve">: Economics textbooks, Student performance, </w:t>
      </w:r>
      <w:r w:rsidR="00D27EBA" w:rsidRPr="007062AE">
        <w:t xml:space="preserve">Educational reform, </w:t>
      </w:r>
      <w:r w:rsidRPr="007062AE">
        <w:t>and National examinations.</w:t>
      </w:r>
      <w:r w:rsidR="00DA3721" w:rsidRPr="007062AE">
        <w:rPr>
          <w:b/>
          <w:bCs/>
        </w:rPr>
        <w:t xml:space="preserve"> </w:t>
      </w:r>
    </w:p>
    <w:p w14:paraId="0FEEC9E4" w14:textId="7905D973" w:rsidR="00B50E78" w:rsidRPr="007062AE" w:rsidRDefault="00DA3721" w:rsidP="00C775A7">
      <w:pPr>
        <w:pStyle w:val="NormalWeb"/>
        <w:spacing w:before="0" w:beforeAutospacing="0" w:after="0" w:afterAutospacing="0"/>
        <w:jc w:val="both"/>
      </w:pPr>
      <w:r w:rsidRPr="007062AE">
        <w:rPr>
          <w:b/>
          <w:bCs/>
        </w:rPr>
        <w:t xml:space="preserve"> </w:t>
      </w:r>
    </w:p>
    <w:p w14:paraId="16F0CC9D" w14:textId="4E3D6FC1" w:rsidR="00B50E78" w:rsidRPr="007062AE" w:rsidRDefault="004D2A89" w:rsidP="00C775A7">
      <w:pPr>
        <w:pStyle w:val="ListParagraph"/>
        <w:numPr>
          <w:ilvl w:val="0"/>
          <w:numId w:val="7"/>
        </w:numPr>
        <w:spacing w:after="0" w:line="240" w:lineRule="auto"/>
        <w:ind w:left="360"/>
        <w:jc w:val="both"/>
        <w:rPr>
          <w:rFonts w:ascii="Times New Roman" w:hAnsi="Times New Roman" w:cs="Times New Roman"/>
          <w:b/>
          <w:bCs/>
          <w:sz w:val="24"/>
          <w:szCs w:val="24"/>
        </w:rPr>
      </w:pPr>
      <w:r w:rsidRPr="007062AE">
        <w:rPr>
          <w:rFonts w:ascii="Times New Roman" w:hAnsi="Times New Roman" w:cs="Times New Roman"/>
          <w:b/>
          <w:bCs/>
          <w:sz w:val="24"/>
          <w:szCs w:val="24"/>
        </w:rPr>
        <w:t>Introduction</w:t>
      </w:r>
    </w:p>
    <w:p w14:paraId="79C84C14" w14:textId="4E2A12CC" w:rsidR="00BF7E6B" w:rsidRDefault="004D2A89" w:rsidP="00BF7E6B">
      <w:pPr>
        <w:spacing w:after="0" w:line="240" w:lineRule="auto"/>
        <w:jc w:val="both"/>
        <w:rPr>
          <w:rFonts w:ascii="Times New Roman" w:hAnsi="Times New Roman" w:cs="Times New Roman"/>
          <w:strike/>
          <w:sz w:val="24"/>
          <w:szCs w:val="24"/>
        </w:rPr>
      </w:pPr>
      <w:r w:rsidRPr="007062AE">
        <w:rPr>
          <w:rFonts w:ascii="Times New Roman" w:hAnsi="Times New Roman" w:cs="Times New Roman"/>
          <w:sz w:val="24"/>
          <w:szCs w:val="24"/>
        </w:rPr>
        <w:t>Textbooks are pivotal in shaping students' educational journeys worldwide, serving as fundamental tools for curriculum implementation and ensuring the consistent delivery of standardised knowledge (UNESCO, 2020;</w:t>
      </w:r>
      <w:r w:rsidR="005A67C6">
        <w:rPr>
          <w:rFonts w:ascii="Times New Roman" w:hAnsi="Times New Roman" w:cs="Times New Roman"/>
          <w:sz w:val="24"/>
          <w:szCs w:val="24"/>
        </w:rPr>
        <w:t xml:space="preserve"> World Bank, 2018;</w:t>
      </w:r>
      <w:r w:rsidRPr="007062AE">
        <w:rPr>
          <w:rFonts w:ascii="Times New Roman" w:hAnsi="Times New Roman" w:cs="Times New Roman"/>
          <w:sz w:val="24"/>
          <w:szCs w:val="24"/>
        </w:rPr>
        <w:t xml:space="preserve"> World Bank, 20</w:t>
      </w:r>
      <w:r w:rsidR="005A67C6">
        <w:rPr>
          <w:rFonts w:ascii="Times New Roman" w:hAnsi="Times New Roman" w:cs="Times New Roman"/>
          <w:sz w:val="24"/>
          <w:szCs w:val="24"/>
        </w:rPr>
        <w:t>19</w:t>
      </w:r>
      <w:r w:rsidRPr="007062AE">
        <w:rPr>
          <w:rFonts w:ascii="Times New Roman" w:hAnsi="Times New Roman" w:cs="Times New Roman"/>
          <w:sz w:val="24"/>
          <w:szCs w:val="24"/>
        </w:rPr>
        <w:t xml:space="preserve">). Across various educational systems, textbooks have consistently been shown to influence student learning outcomes. </w:t>
      </w:r>
      <w:r w:rsidR="005A0A93" w:rsidRPr="007062AE">
        <w:rPr>
          <w:rFonts w:ascii="Times New Roman" w:hAnsi="Times New Roman" w:cs="Times New Roman"/>
          <w:sz w:val="24"/>
          <w:szCs w:val="24"/>
        </w:rPr>
        <w:t xml:space="preserve">Research by </w:t>
      </w:r>
      <w:r w:rsidR="00BF7E6B">
        <w:rPr>
          <w:rFonts w:ascii="Times New Roman" w:hAnsi="Times New Roman" w:cs="Times New Roman"/>
          <w:sz w:val="24"/>
          <w:szCs w:val="24"/>
        </w:rPr>
        <w:t xml:space="preserve">Warsame </w:t>
      </w:r>
      <w:r w:rsidR="005A0A93" w:rsidRPr="007062AE">
        <w:rPr>
          <w:rFonts w:ascii="Times New Roman" w:hAnsi="Times New Roman" w:cs="Times New Roman"/>
          <w:sz w:val="24"/>
          <w:szCs w:val="24"/>
        </w:rPr>
        <w:t xml:space="preserve">(2023) in Puntland, Somalia, emphasised that textbooks </w:t>
      </w:r>
      <w:r w:rsidR="00BF7E6B" w:rsidRPr="00BF7E6B">
        <w:rPr>
          <w:rFonts w:ascii="Times New Roman" w:eastAsia="Times New Roman" w:hAnsi="Times New Roman" w:cs="Times New Roman"/>
          <w:color w:val="000000"/>
          <w:kern w:val="0"/>
          <w:sz w:val="24"/>
          <w:szCs w:val="24"/>
          <w:lang w:eastAsia="en-GB"/>
          <w14:ligatures w14:val="none"/>
        </w:rPr>
        <w:t xml:space="preserve">provided teachers with significant support to </w:t>
      </w:r>
      <w:r w:rsidR="00BF7E6B">
        <w:rPr>
          <w:rFonts w:ascii="Times New Roman" w:eastAsia="Times New Roman" w:hAnsi="Times New Roman" w:cs="Times New Roman"/>
          <w:color w:val="000000"/>
          <w:kern w:val="0"/>
          <w:sz w:val="24"/>
          <w:szCs w:val="24"/>
          <w:lang w:eastAsia="en-GB"/>
          <w14:ligatures w14:val="none"/>
        </w:rPr>
        <w:t>deliver the curriculum to their students efficiently</w:t>
      </w:r>
      <w:r w:rsidR="00BF7E6B" w:rsidRPr="00BF7E6B">
        <w:rPr>
          <w:rFonts w:ascii="Times New Roman" w:eastAsia="Times New Roman" w:hAnsi="Times New Roman" w:cs="Times New Roman"/>
          <w:color w:val="000000"/>
          <w:kern w:val="0"/>
          <w:sz w:val="24"/>
          <w:szCs w:val="24"/>
          <w:lang w:eastAsia="en-GB"/>
          <w14:ligatures w14:val="none"/>
        </w:rPr>
        <w:t xml:space="preserve">. </w:t>
      </w:r>
      <w:r w:rsidR="00BF7E6B">
        <w:rPr>
          <w:rFonts w:ascii="Times New Roman" w:eastAsia="Times New Roman" w:hAnsi="Times New Roman" w:cs="Times New Roman"/>
          <w:color w:val="000000"/>
          <w:kern w:val="0"/>
          <w:sz w:val="24"/>
          <w:szCs w:val="24"/>
          <w:lang w:eastAsia="en-GB"/>
          <w14:ligatures w14:val="none"/>
        </w:rPr>
        <w:t>According to the findings, a</w:t>
      </w:r>
      <w:r w:rsidR="00BF7E6B" w:rsidRPr="00BF7E6B">
        <w:rPr>
          <w:rFonts w:ascii="Times New Roman" w:eastAsia="Times New Roman" w:hAnsi="Times New Roman" w:cs="Times New Roman"/>
          <w:color w:val="000000"/>
          <w:kern w:val="0"/>
          <w:sz w:val="24"/>
          <w:szCs w:val="24"/>
          <w:lang w:eastAsia="en-GB"/>
          <w14:ligatures w14:val="none"/>
        </w:rPr>
        <w:t xml:space="preserve">pproximately 75% of the teachers reported that </w:t>
      </w:r>
      <w:r w:rsidR="00BF7E6B">
        <w:rPr>
          <w:rFonts w:ascii="Times New Roman" w:eastAsia="Times New Roman" w:hAnsi="Times New Roman" w:cs="Times New Roman"/>
          <w:color w:val="000000"/>
          <w:kern w:val="0"/>
          <w:sz w:val="24"/>
          <w:szCs w:val="24"/>
          <w:lang w:eastAsia="en-GB"/>
          <w14:ligatures w14:val="none"/>
        </w:rPr>
        <w:t>using textbooks made it easier for them to teach their classes and increased the extent to which their students were motivated and confident in their academic performance</w:t>
      </w:r>
      <w:r w:rsidR="00BF7E6B" w:rsidRPr="00BF7E6B">
        <w:rPr>
          <w:rFonts w:ascii="Times New Roman" w:eastAsia="Times New Roman" w:hAnsi="Times New Roman" w:cs="Times New Roman"/>
          <w:color w:val="000000"/>
          <w:kern w:val="0"/>
          <w:sz w:val="24"/>
          <w:szCs w:val="24"/>
          <w:lang w:eastAsia="en-GB"/>
          <w14:ligatures w14:val="none"/>
        </w:rPr>
        <w:t xml:space="preserve">. </w:t>
      </w:r>
      <w:r w:rsidR="00BF7E6B">
        <w:rPr>
          <w:rFonts w:ascii="Times New Roman" w:eastAsia="Times New Roman" w:hAnsi="Times New Roman" w:cs="Times New Roman"/>
          <w:color w:val="000000"/>
          <w:kern w:val="0"/>
          <w:sz w:val="24"/>
          <w:szCs w:val="24"/>
          <w:lang w:eastAsia="en-GB"/>
          <w14:ligatures w14:val="none"/>
        </w:rPr>
        <w:t xml:space="preserve">Thus, the availability of quality textbooks </w:t>
      </w:r>
      <w:r w:rsidRPr="007062AE">
        <w:rPr>
          <w:rFonts w:ascii="Times New Roman" w:hAnsi="Times New Roman" w:cs="Times New Roman"/>
          <w:sz w:val="24"/>
          <w:szCs w:val="24"/>
        </w:rPr>
        <w:t>directly impact</w:t>
      </w:r>
      <w:r w:rsidR="00BF7E6B">
        <w:rPr>
          <w:rFonts w:ascii="Times New Roman" w:hAnsi="Times New Roman" w:cs="Times New Roman"/>
          <w:sz w:val="24"/>
          <w:szCs w:val="24"/>
        </w:rPr>
        <w:t>s</w:t>
      </w:r>
      <w:r w:rsidRPr="007062AE">
        <w:rPr>
          <w:rFonts w:ascii="Times New Roman" w:hAnsi="Times New Roman" w:cs="Times New Roman"/>
          <w:sz w:val="24"/>
          <w:szCs w:val="24"/>
        </w:rPr>
        <w:t xml:space="preserve"> </w:t>
      </w:r>
      <w:r w:rsidR="00FC4A61" w:rsidRPr="007062AE">
        <w:rPr>
          <w:rFonts w:ascii="Times New Roman" w:hAnsi="Times New Roman" w:cs="Times New Roman"/>
          <w:sz w:val="24"/>
          <w:szCs w:val="24"/>
        </w:rPr>
        <w:t xml:space="preserve">students' </w:t>
      </w:r>
      <w:r w:rsidRPr="007062AE">
        <w:rPr>
          <w:rFonts w:ascii="Times New Roman" w:hAnsi="Times New Roman" w:cs="Times New Roman"/>
          <w:sz w:val="24"/>
          <w:szCs w:val="24"/>
        </w:rPr>
        <w:t xml:space="preserve">academic achievement. </w:t>
      </w:r>
      <w:r w:rsidR="00BF7E6B" w:rsidRPr="007062AE">
        <w:rPr>
          <w:rFonts w:ascii="Times New Roman" w:hAnsi="Times New Roman" w:cs="Times New Roman"/>
          <w:sz w:val="24"/>
          <w:szCs w:val="24"/>
        </w:rPr>
        <w:t xml:space="preserve">Similarly, </w:t>
      </w:r>
      <w:proofErr w:type="spellStart"/>
      <w:r w:rsidR="00BF7E6B" w:rsidRPr="007062AE">
        <w:rPr>
          <w:rFonts w:ascii="Times New Roman" w:hAnsi="Times New Roman" w:cs="Times New Roman"/>
          <w:sz w:val="24"/>
          <w:szCs w:val="24"/>
        </w:rPr>
        <w:t>Pavešić</w:t>
      </w:r>
      <w:proofErr w:type="spellEnd"/>
      <w:r w:rsidR="00BF7E6B" w:rsidRPr="007062AE">
        <w:rPr>
          <w:rFonts w:ascii="Times New Roman" w:hAnsi="Times New Roman" w:cs="Times New Roman"/>
          <w:sz w:val="24"/>
          <w:szCs w:val="24"/>
        </w:rPr>
        <w:t xml:space="preserve"> </w:t>
      </w:r>
      <w:r w:rsidR="00507955">
        <w:rPr>
          <w:rFonts w:ascii="Times New Roman" w:hAnsi="Times New Roman" w:cs="Times New Roman"/>
          <w:sz w:val="24"/>
          <w:szCs w:val="24"/>
        </w:rPr>
        <w:t>&amp;</w:t>
      </w:r>
      <w:r w:rsidR="00BF7E6B" w:rsidRPr="007062AE">
        <w:rPr>
          <w:rFonts w:ascii="Times New Roman" w:hAnsi="Times New Roman" w:cs="Times New Roman"/>
          <w:sz w:val="24"/>
          <w:szCs w:val="24"/>
        </w:rPr>
        <w:t xml:space="preserve"> </w:t>
      </w:r>
      <w:proofErr w:type="spellStart"/>
      <w:r w:rsidR="00BF7E6B" w:rsidRPr="007062AE">
        <w:rPr>
          <w:rFonts w:ascii="Times New Roman" w:hAnsi="Times New Roman" w:cs="Times New Roman"/>
          <w:sz w:val="24"/>
          <w:szCs w:val="24"/>
        </w:rPr>
        <w:t>Cankar</w:t>
      </w:r>
      <w:proofErr w:type="spellEnd"/>
      <w:r w:rsidR="00BF7E6B" w:rsidRPr="007062AE">
        <w:rPr>
          <w:rFonts w:ascii="Times New Roman" w:hAnsi="Times New Roman" w:cs="Times New Roman"/>
          <w:sz w:val="24"/>
          <w:szCs w:val="24"/>
        </w:rPr>
        <w:t xml:space="preserve"> (2022) demonstrated in Slovenia that textbook choice significantly affected students' learning outcomes, with variations in textbooks leading to disparities in students' knowledge and learning attitudes. </w:t>
      </w:r>
    </w:p>
    <w:p w14:paraId="01F73E9E" w14:textId="77777777" w:rsidR="00BF7E6B" w:rsidRDefault="00BF7E6B" w:rsidP="00BF7E6B">
      <w:pPr>
        <w:spacing w:after="0" w:line="240" w:lineRule="auto"/>
        <w:jc w:val="both"/>
        <w:rPr>
          <w:rFonts w:ascii="Times New Roman" w:hAnsi="Times New Roman" w:cs="Times New Roman"/>
          <w:strike/>
          <w:sz w:val="24"/>
          <w:szCs w:val="24"/>
        </w:rPr>
      </w:pPr>
    </w:p>
    <w:p w14:paraId="5B1EF6F9" w14:textId="66735DC1" w:rsidR="002D146B" w:rsidRDefault="00BF7E6B" w:rsidP="00BF7E6B">
      <w:pPr>
        <w:spacing w:after="0" w:line="240" w:lineRule="auto"/>
        <w:jc w:val="both"/>
        <w:rPr>
          <w:rFonts w:ascii="Times New Roman" w:hAnsi="Times New Roman" w:cs="Times New Roman"/>
          <w:sz w:val="24"/>
          <w:szCs w:val="24"/>
        </w:rPr>
      </w:pPr>
      <w:r w:rsidRPr="002D146B">
        <w:rPr>
          <w:rFonts w:ascii="Times New Roman" w:hAnsi="Times New Roman" w:cs="Times New Roman"/>
          <w:sz w:val="24"/>
          <w:szCs w:val="24"/>
        </w:rPr>
        <w:t>In East Africa, the role of textbooks in enhancing student performance is equally critical. Studies conducted in countries like Kenya and Rwanda have consistently demonstrated the significant impact of textbooks on students' academic outcomes. For instance, research in Makueni County, Kenya, revealed a strong positive correlation (r = 0.664) between textbook utilisation and improved student performance, with textbooks being a key factor in academic success (Mwikali</w:t>
      </w:r>
      <w:r w:rsidR="00507955">
        <w:rPr>
          <w:rFonts w:ascii="Times New Roman" w:hAnsi="Times New Roman" w:cs="Times New Roman"/>
          <w:sz w:val="24"/>
          <w:szCs w:val="24"/>
        </w:rPr>
        <w:t xml:space="preserve"> et al.</w:t>
      </w:r>
      <w:r w:rsidRPr="002D146B">
        <w:rPr>
          <w:rFonts w:ascii="Times New Roman" w:hAnsi="Times New Roman" w:cs="Times New Roman"/>
          <w:sz w:val="24"/>
          <w:szCs w:val="24"/>
        </w:rPr>
        <w:t xml:space="preserve"> 2024). Similarly, in Rwanda, instructional materials, including textbooks, were found to be significantly associated with better academic performance, with textbook availability contributing notably to students' success in national exam</w:t>
      </w:r>
      <w:r w:rsidR="00BA4117">
        <w:rPr>
          <w:rFonts w:ascii="Times New Roman" w:hAnsi="Times New Roman" w:cs="Times New Roman"/>
          <w:sz w:val="24"/>
          <w:szCs w:val="24"/>
        </w:rPr>
        <w:t>ination</w:t>
      </w:r>
      <w:r w:rsidRPr="002D146B">
        <w:rPr>
          <w:rFonts w:ascii="Times New Roman" w:hAnsi="Times New Roman" w:cs="Times New Roman"/>
          <w:sz w:val="24"/>
          <w:szCs w:val="24"/>
        </w:rPr>
        <w:t>s (</w:t>
      </w:r>
      <w:proofErr w:type="spellStart"/>
      <w:r w:rsidRPr="002D146B">
        <w:rPr>
          <w:rFonts w:ascii="Times New Roman" w:hAnsi="Times New Roman" w:cs="Times New Roman"/>
          <w:sz w:val="24"/>
          <w:szCs w:val="24"/>
        </w:rPr>
        <w:t>Kireebwa</w:t>
      </w:r>
      <w:proofErr w:type="spellEnd"/>
      <w:r w:rsidRPr="002D146B">
        <w:rPr>
          <w:rFonts w:ascii="Times New Roman" w:hAnsi="Times New Roman" w:cs="Times New Roman"/>
          <w:sz w:val="24"/>
          <w:szCs w:val="24"/>
        </w:rPr>
        <w:t xml:space="preserve"> &amp; </w:t>
      </w:r>
      <w:proofErr w:type="spellStart"/>
      <w:r w:rsidRPr="002D146B">
        <w:rPr>
          <w:rFonts w:ascii="Times New Roman" w:hAnsi="Times New Roman" w:cs="Times New Roman"/>
          <w:sz w:val="24"/>
          <w:szCs w:val="24"/>
        </w:rPr>
        <w:t>Andala</w:t>
      </w:r>
      <w:proofErr w:type="spellEnd"/>
      <w:r w:rsidRPr="002D146B">
        <w:rPr>
          <w:rFonts w:ascii="Times New Roman" w:hAnsi="Times New Roman" w:cs="Times New Roman"/>
          <w:sz w:val="24"/>
          <w:szCs w:val="24"/>
        </w:rPr>
        <w:t xml:space="preserve">, 2023). This evidence </w:t>
      </w:r>
      <w:r w:rsidRPr="002D146B">
        <w:rPr>
          <w:rFonts w:ascii="Times New Roman" w:hAnsi="Times New Roman" w:cs="Times New Roman"/>
          <w:sz w:val="24"/>
          <w:szCs w:val="24"/>
        </w:rPr>
        <w:lastRenderedPageBreak/>
        <w:t>highlights the critical importance of textbook availability and use in improving educational outcomes in East Africa.</w:t>
      </w:r>
    </w:p>
    <w:p w14:paraId="63B36CA7" w14:textId="77777777" w:rsidR="002D146B" w:rsidRDefault="002D146B" w:rsidP="00BF7E6B">
      <w:pPr>
        <w:spacing w:after="0" w:line="240" w:lineRule="auto"/>
        <w:jc w:val="both"/>
        <w:rPr>
          <w:rFonts w:ascii="Times New Roman" w:hAnsi="Times New Roman" w:cs="Times New Roman"/>
          <w:sz w:val="24"/>
          <w:szCs w:val="24"/>
        </w:rPr>
      </w:pPr>
    </w:p>
    <w:p w14:paraId="112F930C" w14:textId="1CB6A3A7" w:rsidR="00BF7E6B" w:rsidRPr="002D146B" w:rsidRDefault="00BF7E6B" w:rsidP="00BF7E6B">
      <w:pPr>
        <w:spacing w:after="0" w:line="240" w:lineRule="auto"/>
        <w:jc w:val="both"/>
        <w:rPr>
          <w:rFonts w:ascii="Times New Roman" w:hAnsi="Times New Roman" w:cs="Times New Roman"/>
          <w:sz w:val="24"/>
          <w:szCs w:val="24"/>
        </w:rPr>
      </w:pPr>
      <w:r w:rsidRPr="002D146B">
        <w:rPr>
          <w:rFonts w:ascii="Times New Roman" w:hAnsi="Times New Roman" w:cs="Times New Roman"/>
          <w:sz w:val="24"/>
          <w:szCs w:val="24"/>
        </w:rPr>
        <w:t xml:space="preserve">Furthermore, </w:t>
      </w:r>
      <w:proofErr w:type="spellStart"/>
      <w:r w:rsidRPr="002D146B">
        <w:rPr>
          <w:rFonts w:ascii="Times New Roman" w:hAnsi="Times New Roman" w:cs="Times New Roman"/>
          <w:sz w:val="24"/>
          <w:szCs w:val="24"/>
        </w:rPr>
        <w:t>Machuma</w:t>
      </w:r>
      <w:proofErr w:type="spellEnd"/>
      <w:r w:rsidRPr="002D146B">
        <w:rPr>
          <w:rFonts w:ascii="Times New Roman" w:hAnsi="Times New Roman" w:cs="Times New Roman"/>
          <w:sz w:val="24"/>
          <w:szCs w:val="24"/>
        </w:rPr>
        <w:t xml:space="preserve"> &amp; </w:t>
      </w:r>
      <w:proofErr w:type="spellStart"/>
      <w:r w:rsidRPr="002D146B">
        <w:rPr>
          <w:rFonts w:ascii="Times New Roman" w:hAnsi="Times New Roman" w:cs="Times New Roman"/>
          <w:sz w:val="24"/>
          <w:szCs w:val="24"/>
        </w:rPr>
        <w:t>Ogochi</w:t>
      </w:r>
      <w:proofErr w:type="spellEnd"/>
      <w:r w:rsidRPr="002D146B">
        <w:rPr>
          <w:rFonts w:ascii="Times New Roman" w:hAnsi="Times New Roman" w:cs="Times New Roman"/>
          <w:sz w:val="24"/>
          <w:szCs w:val="24"/>
        </w:rPr>
        <w:t xml:space="preserve"> (2024) emphasi</w:t>
      </w:r>
      <w:r w:rsidR="002D146B">
        <w:rPr>
          <w:rFonts w:ascii="Times New Roman" w:hAnsi="Times New Roman" w:cs="Times New Roman"/>
          <w:sz w:val="24"/>
          <w:szCs w:val="24"/>
        </w:rPr>
        <w:t>s</w:t>
      </w:r>
      <w:r w:rsidRPr="002D146B">
        <w:rPr>
          <w:rFonts w:ascii="Times New Roman" w:hAnsi="Times New Roman" w:cs="Times New Roman"/>
          <w:sz w:val="24"/>
          <w:szCs w:val="24"/>
        </w:rPr>
        <w:t xml:space="preserve">ed that instructional resources, such as textbooks, are essential for enhancing students' learning experiences and performance, particularly in secondary schools. Several studies have demonstrated that textbooks and instructional materials significantly impact students' academic performance in Tanzania. For instance, a study conducted in </w:t>
      </w:r>
      <w:proofErr w:type="spellStart"/>
      <w:r w:rsidRPr="002D146B">
        <w:rPr>
          <w:rFonts w:ascii="Times New Roman" w:hAnsi="Times New Roman" w:cs="Times New Roman"/>
          <w:sz w:val="24"/>
          <w:szCs w:val="24"/>
        </w:rPr>
        <w:t>Rombo</w:t>
      </w:r>
      <w:proofErr w:type="spellEnd"/>
      <w:r w:rsidRPr="002D146B">
        <w:rPr>
          <w:rFonts w:ascii="Times New Roman" w:hAnsi="Times New Roman" w:cs="Times New Roman"/>
          <w:sz w:val="24"/>
          <w:szCs w:val="24"/>
        </w:rPr>
        <w:t xml:space="preserve"> District by </w:t>
      </w:r>
      <w:proofErr w:type="spellStart"/>
      <w:r w:rsidRPr="002D146B">
        <w:rPr>
          <w:rFonts w:ascii="Times New Roman" w:hAnsi="Times New Roman" w:cs="Times New Roman"/>
          <w:sz w:val="24"/>
          <w:szCs w:val="24"/>
        </w:rPr>
        <w:t>Tety</w:t>
      </w:r>
      <w:proofErr w:type="spellEnd"/>
      <w:r w:rsidRPr="002D146B">
        <w:rPr>
          <w:rFonts w:ascii="Times New Roman" w:hAnsi="Times New Roman" w:cs="Times New Roman"/>
          <w:sz w:val="24"/>
          <w:szCs w:val="24"/>
        </w:rPr>
        <w:t xml:space="preserve"> (2016) highlighted that </w:t>
      </w:r>
      <w:r w:rsidRPr="002D146B">
        <w:rPr>
          <w:rFonts w:ascii="Times New Roman" w:hAnsi="Times New Roman" w:cs="Times New Roman"/>
          <w:sz w:val="24"/>
          <w:szCs w:val="24"/>
          <w:shd w:val="clear" w:color="auto" w:fill="FFFFFF"/>
        </w:rPr>
        <w:t>instructional materials are the key to teachers’ and students’ performance.</w:t>
      </w:r>
      <w:r w:rsidRPr="002D146B">
        <w:rPr>
          <w:rFonts w:ascii="Times New Roman" w:hAnsi="Times New Roman" w:cs="Times New Roman"/>
          <w:sz w:val="24"/>
          <w:szCs w:val="24"/>
        </w:rPr>
        <w:t xml:space="preserve"> Similarly, a </w:t>
      </w:r>
      <w:r w:rsidR="00BA4117">
        <w:rPr>
          <w:rFonts w:ascii="Times New Roman" w:hAnsi="Times New Roman" w:cs="Times New Roman"/>
          <w:sz w:val="24"/>
          <w:szCs w:val="24"/>
        </w:rPr>
        <w:t>study by Somba &amp; Otieno (2022) in the Arusha District Council found that the availability and proper use of textbooks were significantly associated with</w:t>
      </w:r>
      <w:r w:rsidRPr="002D146B">
        <w:rPr>
          <w:rFonts w:ascii="Times New Roman" w:hAnsi="Times New Roman" w:cs="Times New Roman"/>
          <w:sz w:val="24"/>
          <w:szCs w:val="24"/>
        </w:rPr>
        <w:t xml:space="preserve"> improved student</w:t>
      </w:r>
      <w:r w:rsidR="00BA4117">
        <w:rPr>
          <w:rFonts w:ascii="Times New Roman" w:hAnsi="Times New Roman" w:cs="Times New Roman"/>
          <w:sz w:val="24"/>
          <w:szCs w:val="24"/>
        </w:rPr>
        <w:t>s’</w:t>
      </w:r>
      <w:r w:rsidRPr="002D146B">
        <w:rPr>
          <w:rFonts w:ascii="Times New Roman" w:hAnsi="Times New Roman" w:cs="Times New Roman"/>
          <w:sz w:val="24"/>
          <w:szCs w:val="24"/>
        </w:rPr>
        <w:t xml:space="preserve"> performance in national examinations. The study emphasi</w:t>
      </w:r>
      <w:r w:rsidR="002D146B">
        <w:rPr>
          <w:rFonts w:ascii="Times New Roman" w:hAnsi="Times New Roman" w:cs="Times New Roman"/>
          <w:sz w:val="24"/>
          <w:szCs w:val="24"/>
        </w:rPr>
        <w:t>s</w:t>
      </w:r>
      <w:r w:rsidRPr="002D146B">
        <w:rPr>
          <w:rFonts w:ascii="Times New Roman" w:hAnsi="Times New Roman" w:cs="Times New Roman"/>
          <w:sz w:val="24"/>
          <w:szCs w:val="24"/>
        </w:rPr>
        <w:t xml:space="preserve">ed that schools with better access to instructional materials saw higher academic success. These findings underscore the importance of textbooks in enhancing educational outcomes in Tanzanian secondary schools, highlighting the need for better resource allocation to improve student performance </w:t>
      </w:r>
      <w:r w:rsidR="00BA4117">
        <w:rPr>
          <w:rFonts w:ascii="Times New Roman" w:hAnsi="Times New Roman" w:cs="Times New Roman"/>
          <w:sz w:val="24"/>
          <w:szCs w:val="24"/>
        </w:rPr>
        <w:t>nationwide</w:t>
      </w:r>
      <w:r w:rsidRPr="002D146B">
        <w:rPr>
          <w:rFonts w:ascii="Times New Roman" w:hAnsi="Times New Roman" w:cs="Times New Roman"/>
          <w:sz w:val="24"/>
          <w:szCs w:val="24"/>
        </w:rPr>
        <w:t>.</w:t>
      </w:r>
    </w:p>
    <w:p w14:paraId="28103ED9" w14:textId="77777777" w:rsidR="00C775A7" w:rsidRPr="007062AE" w:rsidRDefault="00C775A7" w:rsidP="00C775A7">
      <w:pPr>
        <w:spacing w:after="0" w:line="240" w:lineRule="auto"/>
        <w:jc w:val="both"/>
        <w:rPr>
          <w:rFonts w:ascii="Times New Roman" w:hAnsi="Times New Roman" w:cs="Times New Roman"/>
          <w:sz w:val="24"/>
          <w:szCs w:val="24"/>
        </w:rPr>
      </w:pPr>
    </w:p>
    <w:p w14:paraId="7E512102" w14:textId="03C49C66" w:rsidR="004D2A89" w:rsidRPr="002D146B" w:rsidRDefault="004D2A89"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In the Middle East, </w:t>
      </w:r>
      <w:proofErr w:type="spellStart"/>
      <w:r w:rsidRPr="007062AE">
        <w:rPr>
          <w:rFonts w:ascii="Times New Roman" w:hAnsi="Times New Roman" w:cs="Times New Roman"/>
          <w:sz w:val="24"/>
          <w:szCs w:val="24"/>
        </w:rPr>
        <w:t>Masa’deh</w:t>
      </w:r>
      <w:proofErr w:type="spellEnd"/>
      <w:r w:rsidRPr="007062AE">
        <w:rPr>
          <w:rFonts w:ascii="Times New Roman" w:hAnsi="Times New Roman" w:cs="Times New Roman"/>
          <w:sz w:val="24"/>
          <w:szCs w:val="24"/>
        </w:rPr>
        <w:t xml:space="preserve"> et al. (2022) explored how e-textbooks impacted students in Jordan’s bilingual academic setting. Their study found that students' intention to use textbooks was positively associated with academic achievement. Factors such as students' attitudes towards textbooks and their perception of control also influenced engagement with learning materials. Th</w:t>
      </w:r>
      <w:r w:rsidR="00BA4117">
        <w:rPr>
          <w:rFonts w:ascii="Times New Roman" w:hAnsi="Times New Roman" w:cs="Times New Roman"/>
          <w:sz w:val="24"/>
          <w:szCs w:val="24"/>
        </w:rPr>
        <w:t>ese findings</w:t>
      </w:r>
      <w:r w:rsidRPr="007062AE">
        <w:rPr>
          <w:rFonts w:ascii="Times New Roman" w:hAnsi="Times New Roman" w:cs="Times New Roman"/>
          <w:sz w:val="24"/>
          <w:szCs w:val="24"/>
        </w:rPr>
        <w:t xml:space="preserve"> align with research conducted in developing countries, which underscores the importance of textbook quality in improving educational outcomes. </w:t>
      </w:r>
      <w:r w:rsidR="00BF7E6B" w:rsidRPr="002D146B">
        <w:rPr>
          <w:rFonts w:ascii="Times New Roman" w:hAnsi="Times New Roman" w:cs="Times New Roman"/>
          <w:sz w:val="24"/>
          <w:szCs w:val="24"/>
        </w:rPr>
        <w:t>In Indonesia, for example, Anwas et al. (2022) found that the quality of textbooks, in terms of content, presentation, language, and graphic design, was significantly and positively associated with early grades students’ basic literacy skills (reading, writing, and arithmetic), indicating that higher</w:t>
      </w:r>
      <w:r w:rsidR="00BF7E6B" w:rsidRPr="002D146B">
        <w:rPr>
          <w:rFonts w:ascii="Times New Roman" w:hAnsi="Times New Roman" w:cs="Times New Roman"/>
          <w:sz w:val="24"/>
          <w:szCs w:val="24"/>
        </w:rPr>
        <w:noBreakHyphen/>
        <w:t xml:space="preserve">quality textbooks contribute to improved literacy outcomes in resource-constrained environments. However, challenges remain in ensuring that textbook quality is consistently high enough to </w:t>
      </w:r>
      <w:r w:rsidR="00BA4117">
        <w:rPr>
          <w:rFonts w:ascii="Times New Roman" w:hAnsi="Times New Roman" w:cs="Times New Roman"/>
          <w:sz w:val="24"/>
          <w:szCs w:val="24"/>
        </w:rPr>
        <w:t>support educational goals across all regions fully</w:t>
      </w:r>
      <w:r w:rsidR="00BF7E6B" w:rsidRPr="002D146B">
        <w:rPr>
          <w:rFonts w:ascii="Times New Roman" w:hAnsi="Times New Roman" w:cs="Times New Roman"/>
          <w:sz w:val="24"/>
          <w:szCs w:val="24"/>
        </w:rPr>
        <w:t xml:space="preserve">. </w:t>
      </w:r>
      <w:r w:rsidR="005A0A93" w:rsidRPr="002D146B">
        <w:rPr>
          <w:rFonts w:ascii="Times New Roman" w:hAnsi="Times New Roman" w:cs="Times New Roman"/>
          <w:sz w:val="24"/>
          <w:szCs w:val="24"/>
        </w:rPr>
        <w:t>Indeed, access to quality textbooks is often limited, particularly in resource-constrained settings (UNESCO, 2020; Mwikali</w:t>
      </w:r>
      <w:r w:rsidR="00507955">
        <w:rPr>
          <w:rFonts w:ascii="Times New Roman" w:hAnsi="Times New Roman" w:cs="Times New Roman"/>
          <w:sz w:val="24"/>
          <w:szCs w:val="24"/>
        </w:rPr>
        <w:t xml:space="preserve"> et al.</w:t>
      </w:r>
      <w:r w:rsidR="00BA4117">
        <w:rPr>
          <w:rFonts w:ascii="Times New Roman" w:hAnsi="Times New Roman" w:cs="Times New Roman"/>
          <w:sz w:val="24"/>
          <w:szCs w:val="24"/>
        </w:rPr>
        <w:t>,</w:t>
      </w:r>
      <w:r w:rsidR="005A0A93" w:rsidRPr="002D146B">
        <w:rPr>
          <w:rFonts w:ascii="Times New Roman" w:hAnsi="Times New Roman" w:cs="Times New Roman"/>
          <w:sz w:val="24"/>
          <w:szCs w:val="24"/>
        </w:rPr>
        <w:t xml:space="preserve"> 2024). The lack of sufficient textbooks not only affects the availability of learning materials but also the quality of those resources. In this context, quality refers to textbooks that are accurate, comprehensive, pedagogically sound, and aligned with the curriculum to facilitate effective teaching and learning (</w:t>
      </w:r>
      <w:r w:rsidR="00BF7E6B" w:rsidRPr="002D146B">
        <w:rPr>
          <w:rFonts w:ascii="Times New Roman" w:hAnsi="Times New Roman" w:cs="Times New Roman"/>
          <w:sz w:val="24"/>
          <w:szCs w:val="24"/>
        </w:rPr>
        <w:t>Warsame</w:t>
      </w:r>
      <w:r w:rsidR="005A0A93" w:rsidRPr="002D146B">
        <w:rPr>
          <w:rFonts w:ascii="Times New Roman" w:hAnsi="Times New Roman" w:cs="Times New Roman"/>
          <w:sz w:val="24"/>
          <w:szCs w:val="24"/>
        </w:rPr>
        <w:t>, 2023</w:t>
      </w:r>
      <w:r w:rsidR="005A0A93" w:rsidRPr="006A4313">
        <w:rPr>
          <w:rFonts w:ascii="Times New Roman" w:hAnsi="Times New Roman" w:cs="Times New Roman"/>
          <w:sz w:val="24"/>
          <w:szCs w:val="24"/>
        </w:rPr>
        <w:t xml:space="preserve">; </w:t>
      </w:r>
      <w:proofErr w:type="spellStart"/>
      <w:r w:rsidR="005A0A93" w:rsidRPr="006A4313">
        <w:rPr>
          <w:rFonts w:ascii="Times New Roman" w:hAnsi="Times New Roman" w:cs="Times New Roman"/>
          <w:sz w:val="24"/>
          <w:szCs w:val="24"/>
        </w:rPr>
        <w:t>Languille</w:t>
      </w:r>
      <w:proofErr w:type="spellEnd"/>
      <w:r w:rsidR="005A0A93" w:rsidRPr="006A4313">
        <w:rPr>
          <w:rFonts w:ascii="Times New Roman" w:hAnsi="Times New Roman" w:cs="Times New Roman"/>
          <w:sz w:val="24"/>
          <w:szCs w:val="24"/>
        </w:rPr>
        <w:t>, 2016</w:t>
      </w:r>
      <w:r w:rsidR="005A0A93" w:rsidRPr="002D146B">
        <w:rPr>
          <w:rFonts w:ascii="Times New Roman" w:hAnsi="Times New Roman" w:cs="Times New Roman"/>
          <w:sz w:val="24"/>
          <w:szCs w:val="24"/>
        </w:rPr>
        <w:t xml:space="preserve">). This highlights the ongoing issue in many African educational systems regarding textbook availability and quality, where disparities in both </w:t>
      </w:r>
      <w:r w:rsidR="00FC4A61" w:rsidRPr="002D146B">
        <w:rPr>
          <w:rFonts w:ascii="Times New Roman" w:hAnsi="Times New Roman" w:cs="Times New Roman"/>
          <w:sz w:val="24"/>
          <w:szCs w:val="24"/>
        </w:rPr>
        <w:t>quantity and quality</w:t>
      </w:r>
      <w:r w:rsidR="005A0A93" w:rsidRPr="002D146B">
        <w:rPr>
          <w:rFonts w:ascii="Times New Roman" w:hAnsi="Times New Roman" w:cs="Times New Roman"/>
          <w:sz w:val="24"/>
          <w:szCs w:val="24"/>
        </w:rPr>
        <w:t xml:space="preserve"> contribute to uneven educational outcomes (Rodriguez-Segura &amp; Mbiti, 2022; </w:t>
      </w:r>
      <w:proofErr w:type="spellStart"/>
      <w:r w:rsidR="005A0A93" w:rsidRPr="002D146B">
        <w:rPr>
          <w:rFonts w:ascii="Times New Roman" w:hAnsi="Times New Roman" w:cs="Times New Roman"/>
          <w:sz w:val="24"/>
          <w:szCs w:val="24"/>
        </w:rPr>
        <w:t>Attakumah</w:t>
      </w:r>
      <w:proofErr w:type="spellEnd"/>
      <w:r w:rsidR="005A0A93" w:rsidRPr="002D146B">
        <w:rPr>
          <w:rFonts w:ascii="Times New Roman" w:hAnsi="Times New Roman" w:cs="Times New Roman"/>
          <w:sz w:val="24"/>
          <w:szCs w:val="24"/>
        </w:rPr>
        <w:t>, 2020)</w:t>
      </w:r>
      <w:r w:rsidR="00FC4A61" w:rsidRPr="002D146B">
        <w:rPr>
          <w:rFonts w:ascii="Times New Roman" w:hAnsi="Times New Roman" w:cs="Times New Roman"/>
          <w:sz w:val="24"/>
          <w:szCs w:val="24"/>
        </w:rPr>
        <w:t>.</w:t>
      </w:r>
    </w:p>
    <w:p w14:paraId="666DCD96" w14:textId="77777777" w:rsidR="00C775A7" w:rsidRPr="002D146B" w:rsidRDefault="00C775A7" w:rsidP="00C775A7">
      <w:pPr>
        <w:spacing w:after="0" w:line="240" w:lineRule="auto"/>
        <w:jc w:val="both"/>
        <w:rPr>
          <w:rFonts w:ascii="Times New Roman" w:hAnsi="Times New Roman" w:cs="Times New Roman"/>
          <w:sz w:val="24"/>
          <w:szCs w:val="24"/>
        </w:rPr>
      </w:pPr>
    </w:p>
    <w:p w14:paraId="036DC146" w14:textId="64A9EAB1" w:rsidR="007405F0" w:rsidRPr="00BF7E6B" w:rsidRDefault="007405F0" w:rsidP="00C775A7">
      <w:pPr>
        <w:spacing w:after="0" w:line="240" w:lineRule="auto"/>
        <w:jc w:val="both"/>
        <w:rPr>
          <w:rFonts w:ascii="Times New Roman" w:hAnsi="Times New Roman" w:cs="Times New Roman"/>
          <w:sz w:val="24"/>
          <w:szCs w:val="24"/>
        </w:rPr>
      </w:pPr>
      <w:r w:rsidRPr="00BF7E6B">
        <w:rPr>
          <w:rFonts w:ascii="Times New Roman" w:hAnsi="Times New Roman" w:cs="Times New Roman"/>
          <w:sz w:val="24"/>
          <w:szCs w:val="24"/>
        </w:rPr>
        <w:t>For example, in the Economics subject (the focus of this study), officially TIE</w:t>
      </w:r>
      <w:r w:rsidR="00246795" w:rsidRPr="00BF7E6B">
        <w:rPr>
          <w:rFonts w:ascii="Times New Roman" w:hAnsi="Times New Roman" w:cs="Times New Roman"/>
          <w:sz w:val="24"/>
          <w:szCs w:val="24"/>
        </w:rPr>
        <w:t>-</w:t>
      </w:r>
      <w:r w:rsidRPr="00BF7E6B">
        <w:rPr>
          <w:rFonts w:ascii="Times New Roman" w:hAnsi="Times New Roman" w:cs="Times New Roman"/>
          <w:sz w:val="24"/>
          <w:szCs w:val="24"/>
        </w:rPr>
        <w:t xml:space="preserve">approved Economics textbooks were first published in 2022, with titles such as </w:t>
      </w:r>
      <w:r w:rsidRPr="00BF7E6B">
        <w:rPr>
          <w:rStyle w:val="Emphasis"/>
          <w:rFonts w:ascii="Times New Roman" w:hAnsi="Times New Roman" w:cs="Times New Roman"/>
          <w:i w:val="0"/>
          <w:iCs w:val="0"/>
          <w:sz w:val="24"/>
          <w:szCs w:val="24"/>
        </w:rPr>
        <w:t>Macroeconomics for Advanced Secondary Schools Student’s Book Form Five and Six</w:t>
      </w:r>
      <w:r w:rsidRPr="00BF7E6B">
        <w:rPr>
          <w:rFonts w:ascii="Times New Roman" w:hAnsi="Times New Roman" w:cs="Times New Roman"/>
          <w:sz w:val="24"/>
          <w:szCs w:val="24"/>
        </w:rPr>
        <w:t xml:space="preserve"> and</w:t>
      </w:r>
      <w:r w:rsidRPr="00BF7E6B">
        <w:rPr>
          <w:rFonts w:ascii="Times New Roman" w:hAnsi="Times New Roman" w:cs="Times New Roman"/>
          <w:i/>
          <w:iCs/>
          <w:sz w:val="24"/>
          <w:szCs w:val="24"/>
        </w:rPr>
        <w:t xml:space="preserve"> </w:t>
      </w:r>
      <w:r w:rsidRPr="00BF7E6B">
        <w:rPr>
          <w:rStyle w:val="Emphasis"/>
          <w:rFonts w:ascii="Times New Roman" w:hAnsi="Times New Roman" w:cs="Times New Roman"/>
          <w:i w:val="0"/>
          <w:iCs w:val="0"/>
          <w:sz w:val="24"/>
          <w:szCs w:val="24"/>
        </w:rPr>
        <w:t>Microeconomics for Advanced Secondary Schools Student’s Book Form Five</w:t>
      </w:r>
      <w:r w:rsidRPr="00BF7E6B">
        <w:rPr>
          <w:rFonts w:ascii="Times New Roman" w:hAnsi="Times New Roman" w:cs="Times New Roman"/>
          <w:sz w:val="24"/>
          <w:szCs w:val="24"/>
        </w:rPr>
        <w:t xml:space="preserve"> align</w:t>
      </w:r>
      <w:r w:rsidR="00246795" w:rsidRPr="00BF7E6B">
        <w:rPr>
          <w:rFonts w:ascii="Times New Roman" w:hAnsi="Times New Roman" w:cs="Times New Roman"/>
          <w:sz w:val="24"/>
          <w:szCs w:val="24"/>
        </w:rPr>
        <w:t>ed</w:t>
      </w:r>
      <w:r w:rsidRPr="00BF7E6B">
        <w:rPr>
          <w:rFonts w:ascii="Times New Roman" w:hAnsi="Times New Roman" w:cs="Times New Roman"/>
          <w:sz w:val="24"/>
          <w:szCs w:val="24"/>
        </w:rPr>
        <w:t xml:space="preserve"> with the </w:t>
      </w:r>
      <w:r w:rsidR="00246795" w:rsidRPr="00BF7E6B">
        <w:rPr>
          <w:rFonts w:ascii="Times New Roman" w:hAnsi="Times New Roman" w:cs="Times New Roman"/>
          <w:sz w:val="24"/>
          <w:szCs w:val="24"/>
        </w:rPr>
        <w:t>syllabus</w:t>
      </w:r>
      <w:r w:rsidRPr="00BF7E6B">
        <w:rPr>
          <w:rFonts w:ascii="Times New Roman" w:hAnsi="Times New Roman" w:cs="Times New Roman"/>
          <w:sz w:val="24"/>
          <w:szCs w:val="24"/>
        </w:rPr>
        <w:t xml:space="preserve"> (TIE, 2022). Before their introduction, teachers and students often relied on self-authored notes, photocopied materials, and imported textbooks that were n</w:t>
      </w:r>
      <w:r w:rsidR="003B08EC" w:rsidRPr="00BF7E6B">
        <w:rPr>
          <w:rFonts w:ascii="Times New Roman" w:hAnsi="Times New Roman" w:cs="Times New Roman"/>
          <w:sz w:val="24"/>
          <w:szCs w:val="24"/>
        </w:rPr>
        <w:t>either officially sanctioned nor systematically aligned with Tanzania’s syllabus, reflecting broader challenges in access to updated textbooks</w:t>
      </w:r>
      <w:r w:rsidRPr="00BF7E6B">
        <w:rPr>
          <w:rFonts w:ascii="Times New Roman" w:hAnsi="Times New Roman" w:cs="Times New Roman"/>
          <w:sz w:val="24"/>
          <w:szCs w:val="24"/>
        </w:rPr>
        <w:t xml:space="preserve"> across the education system. These informal materials frequently lacked coherent structure, relevant local examples, and alignment with curriculum expectations, </w:t>
      </w:r>
      <w:r w:rsidR="003B08EC" w:rsidRPr="00BF7E6B">
        <w:rPr>
          <w:rFonts w:ascii="Times New Roman" w:hAnsi="Times New Roman" w:cs="Times New Roman"/>
          <w:sz w:val="24"/>
          <w:szCs w:val="24"/>
        </w:rPr>
        <w:t>resulting in inconsistent content delivery and reduced learners' capacity</w:t>
      </w:r>
      <w:r w:rsidRPr="00BF7E6B">
        <w:rPr>
          <w:rFonts w:ascii="Times New Roman" w:hAnsi="Times New Roman" w:cs="Times New Roman"/>
          <w:sz w:val="24"/>
          <w:szCs w:val="24"/>
        </w:rPr>
        <w:t xml:space="preserve"> to grasp complex economic concepts. Official curriculum development guidelines now emphasise quality and alignment in textbook production, underscoring the relative inadequacy of many previously used resources </w:t>
      </w:r>
      <w:r w:rsidRPr="00BA4117">
        <w:rPr>
          <w:rFonts w:ascii="Times New Roman" w:hAnsi="Times New Roman" w:cs="Times New Roman"/>
          <w:sz w:val="24"/>
          <w:szCs w:val="24"/>
        </w:rPr>
        <w:t>(</w:t>
      </w:r>
      <w:r w:rsidR="00246795" w:rsidRPr="00BA4117">
        <w:rPr>
          <w:rFonts w:ascii="Times New Roman" w:hAnsi="Times New Roman" w:cs="Times New Roman"/>
          <w:sz w:val="24"/>
          <w:szCs w:val="24"/>
        </w:rPr>
        <w:t>TIE, 20</w:t>
      </w:r>
      <w:r w:rsidR="005A67C6" w:rsidRPr="00BA4117">
        <w:rPr>
          <w:rFonts w:ascii="Times New Roman" w:hAnsi="Times New Roman" w:cs="Times New Roman"/>
          <w:sz w:val="24"/>
          <w:szCs w:val="24"/>
        </w:rPr>
        <w:t>14</w:t>
      </w:r>
      <w:r w:rsidRPr="00BA4117">
        <w:rPr>
          <w:rFonts w:ascii="Times New Roman" w:hAnsi="Times New Roman" w:cs="Times New Roman"/>
          <w:sz w:val="24"/>
          <w:szCs w:val="24"/>
        </w:rPr>
        <w:t>).</w:t>
      </w:r>
    </w:p>
    <w:p w14:paraId="106B7270" w14:textId="2FE76DEE" w:rsidR="00B50E78" w:rsidRDefault="004D2A89" w:rsidP="00492C84">
      <w:pPr>
        <w:spacing w:before="240" w:line="240" w:lineRule="auto"/>
        <w:jc w:val="both"/>
        <w:rPr>
          <w:rFonts w:ascii="Times New Roman" w:hAnsi="Times New Roman" w:cs="Times New Roman"/>
          <w:sz w:val="24"/>
          <w:szCs w:val="24"/>
        </w:rPr>
      </w:pPr>
      <w:r w:rsidRPr="007062AE">
        <w:rPr>
          <w:rFonts w:ascii="Times New Roman" w:hAnsi="Times New Roman" w:cs="Times New Roman"/>
          <w:sz w:val="24"/>
          <w:szCs w:val="24"/>
        </w:rPr>
        <w:lastRenderedPageBreak/>
        <w:t xml:space="preserve">However, in 2022, the Tanzanian government introduced an official Economics textbook </w:t>
      </w:r>
      <w:r w:rsidR="00246795">
        <w:rPr>
          <w:rFonts w:ascii="Times New Roman" w:hAnsi="Times New Roman" w:cs="Times New Roman"/>
          <w:sz w:val="24"/>
          <w:szCs w:val="24"/>
        </w:rPr>
        <w:t>develop</w:t>
      </w:r>
      <w:r w:rsidRPr="007062AE">
        <w:rPr>
          <w:rFonts w:ascii="Times New Roman" w:hAnsi="Times New Roman" w:cs="Times New Roman"/>
          <w:sz w:val="24"/>
          <w:szCs w:val="24"/>
        </w:rPr>
        <w:t>ed by TIE</w:t>
      </w:r>
      <w:r w:rsidR="00246795">
        <w:rPr>
          <w:rFonts w:ascii="Times New Roman" w:hAnsi="Times New Roman" w:cs="Times New Roman"/>
          <w:sz w:val="24"/>
          <w:szCs w:val="24"/>
        </w:rPr>
        <w:t xml:space="preserve"> and approved by the Ministry of Education, Science and Technology (</w:t>
      </w:r>
      <w:proofErr w:type="spellStart"/>
      <w:r w:rsidR="00246795">
        <w:rPr>
          <w:rFonts w:ascii="Times New Roman" w:hAnsi="Times New Roman" w:cs="Times New Roman"/>
          <w:sz w:val="24"/>
          <w:szCs w:val="24"/>
        </w:rPr>
        <w:t>MoEST</w:t>
      </w:r>
      <w:proofErr w:type="spellEnd"/>
      <w:r w:rsidR="00246795">
        <w:rPr>
          <w:rFonts w:ascii="Times New Roman" w:hAnsi="Times New Roman" w:cs="Times New Roman"/>
          <w:sz w:val="24"/>
          <w:szCs w:val="24"/>
        </w:rPr>
        <w:t>) through the Commissioner of Education</w:t>
      </w:r>
      <w:r w:rsidRPr="007062AE">
        <w:rPr>
          <w:rFonts w:ascii="Times New Roman" w:hAnsi="Times New Roman" w:cs="Times New Roman"/>
          <w:sz w:val="24"/>
          <w:szCs w:val="24"/>
        </w:rPr>
        <w:t xml:space="preserve">, marking a significant policy shift to improve social science education. Despite this development, no empirical study has assessed the impact of these new textbooks on student performance in Tanzania’s national examinations. This gap presents a critical opportunity to examine how the introduction of standardised textbooks may influence academic outcomes and contribute to broader educational reform in Tanzania. </w:t>
      </w:r>
      <w:r w:rsidR="00FC4A61" w:rsidRPr="007062AE">
        <w:rPr>
          <w:rFonts w:ascii="Times New Roman" w:hAnsi="Times New Roman" w:cs="Times New Roman"/>
          <w:sz w:val="24"/>
          <w:szCs w:val="24"/>
        </w:rPr>
        <w:t xml:space="preserve">Thus, this study </w:t>
      </w:r>
      <w:r w:rsidR="00D27EBA" w:rsidRPr="007062AE">
        <w:rPr>
          <w:rFonts w:ascii="Times New Roman" w:hAnsi="Times New Roman" w:cs="Times New Roman"/>
          <w:sz w:val="24"/>
          <w:szCs w:val="24"/>
        </w:rPr>
        <w:t>examines the impact of the official Economics textbook</w:t>
      </w:r>
      <w:r w:rsidR="00246795">
        <w:rPr>
          <w:rFonts w:ascii="Times New Roman" w:hAnsi="Times New Roman" w:cs="Times New Roman"/>
          <w:sz w:val="24"/>
          <w:szCs w:val="24"/>
        </w:rPr>
        <w:t>s</w:t>
      </w:r>
      <w:r w:rsidR="00D27EBA" w:rsidRPr="007062AE">
        <w:rPr>
          <w:rFonts w:ascii="Times New Roman" w:hAnsi="Times New Roman" w:cs="Times New Roman"/>
          <w:sz w:val="24"/>
          <w:szCs w:val="24"/>
        </w:rPr>
        <w:t xml:space="preserve"> on student performance in Tanzania by comparing data from two periods: 2019–2021 (before the textbook’s introduction) and 2022–2024 (after the textbook’s introduction).</w:t>
      </w:r>
    </w:p>
    <w:p w14:paraId="49561584" w14:textId="5CE8243A" w:rsidR="00492C84" w:rsidRPr="00492C84" w:rsidRDefault="00492C84" w:rsidP="00492C84">
      <w:pPr>
        <w:pStyle w:val="ListParagraph"/>
        <w:numPr>
          <w:ilvl w:val="1"/>
          <w:numId w:val="7"/>
        </w:numPr>
        <w:spacing w:after="0" w:line="240" w:lineRule="auto"/>
        <w:ind w:left="360"/>
        <w:jc w:val="both"/>
        <w:rPr>
          <w:rFonts w:ascii="Times New Roman" w:hAnsi="Times New Roman" w:cs="Times New Roman"/>
          <w:b/>
          <w:bCs/>
          <w:sz w:val="24"/>
          <w:szCs w:val="24"/>
        </w:rPr>
      </w:pPr>
      <w:r w:rsidRPr="00492C84">
        <w:rPr>
          <w:rFonts w:ascii="Times New Roman" w:hAnsi="Times New Roman" w:cs="Times New Roman"/>
          <w:b/>
          <w:bCs/>
          <w:sz w:val="24"/>
          <w:szCs w:val="24"/>
        </w:rPr>
        <w:t>Significance of the study</w:t>
      </w:r>
    </w:p>
    <w:p w14:paraId="6D07FB45" w14:textId="2B04FF1C" w:rsidR="00F7638F" w:rsidRPr="00BA4117" w:rsidRDefault="00F7638F" w:rsidP="00492C84">
      <w:pPr>
        <w:spacing w:after="0" w:line="240" w:lineRule="auto"/>
        <w:jc w:val="both"/>
        <w:rPr>
          <w:rFonts w:ascii="Times New Roman" w:hAnsi="Times New Roman" w:cs="Times New Roman"/>
          <w:strike/>
          <w:sz w:val="24"/>
          <w:szCs w:val="24"/>
        </w:rPr>
      </w:pPr>
      <w:r w:rsidRPr="00BA4117">
        <w:rPr>
          <w:rFonts w:ascii="Times New Roman" w:hAnsi="Times New Roman" w:cs="Times New Roman"/>
          <w:sz w:val="24"/>
          <w:szCs w:val="24"/>
        </w:rPr>
        <w:t>This study contributes to the scientific community by offering a new perspective on the standardisation of Economics textbooks in Tanzania, highlighting their potential to improve consistency in teaching and learning. It provides valuable insights into how these textbooks can address disparities in educational resources, especially in underserved regions. The study also emphasi</w:t>
      </w:r>
      <w:r w:rsidR="00BA4117" w:rsidRPr="00BA4117">
        <w:rPr>
          <w:rFonts w:ascii="Times New Roman" w:hAnsi="Times New Roman" w:cs="Times New Roman"/>
          <w:sz w:val="24"/>
          <w:szCs w:val="24"/>
        </w:rPr>
        <w:t>s</w:t>
      </w:r>
      <w:r w:rsidRPr="00BA4117">
        <w:rPr>
          <w:rFonts w:ascii="Times New Roman" w:hAnsi="Times New Roman" w:cs="Times New Roman"/>
          <w:sz w:val="24"/>
          <w:szCs w:val="24"/>
        </w:rPr>
        <w:t>es the need for ongoing improvements in textbook design and content to ensure meaningful educational impact. Furthermore, it opens avenues for future research on the pedagogical and curriculum factors that influence the success of textbooks in Economics education.</w:t>
      </w:r>
    </w:p>
    <w:p w14:paraId="150F4474" w14:textId="77777777" w:rsidR="00FE17CB" w:rsidRPr="00492C84" w:rsidRDefault="00FE17CB" w:rsidP="00492C84">
      <w:pPr>
        <w:spacing w:after="0" w:line="240" w:lineRule="auto"/>
        <w:jc w:val="both"/>
        <w:rPr>
          <w:rFonts w:ascii="Times New Roman" w:hAnsi="Times New Roman" w:cs="Times New Roman"/>
          <w:sz w:val="24"/>
          <w:szCs w:val="24"/>
        </w:rPr>
      </w:pPr>
    </w:p>
    <w:p w14:paraId="537A6701" w14:textId="536B7BC4" w:rsidR="00DA3721" w:rsidRPr="007062AE" w:rsidRDefault="00DA3721" w:rsidP="00C775A7">
      <w:pPr>
        <w:pStyle w:val="ListParagraph"/>
        <w:numPr>
          <w:ilvl w:val="0"/>
          <w:numId w:val="7"/>
        </w:numPr>
        <w:spacing w:after="0" w:line="240" w:lineRule="auto"/>
        <w:ind w:left="360"/>
        <w:jc w:val="both"/>
        <w:rPr>
          <w:rFonts w:ascii="Times New Roman" w:hAnsi="Times New Roman" w:cs="Times New Roman"/>
          <w:b/>
          <w:bCs/>
          <w:sz w:val="24"/>
          <w:szCs w:val="24"/>
        </w:rPr>
      </w:pPr>
      <w:r w:rsidRPr="007062AE">
        <w:rPr>
          <w:rFonts w:ascii="Times New Roman" w:hAnsi="Times New Roman" w:cs="Times New Roman"/>
          <w:b/>
          <w:bCs/>
          <w:sz w:val="24"/>
          <w:szCs w:val="24"/>
        </w:rPr>
        <w:t>LITERATURE REVIEW</w:t>
      </w:r>
    </w:p>
    <w:p w14:paraId="18B23D67" w14:textId="667E68A8" w:rsidR="00123F6B" w:rsidRDefault="00123F6B" w:rsidP="00C775A7">
      <w:pPr>
        <w:spacing w:after="0" w:line="240" w:lineRule="auto"/>
        <w:contextualSpacing/>
        <w:jc w:val="both"/>
        <w:rPr>
          <w:rFonts w:ascii="Times New Roman" w:hAnsi="Times New Roman" w:cs="Times New Roman"/>
          <w:sz w:val="24"/>
          <w:szCs w:val="24"/>
        </w:rPr>
      </w:pPr>
      <w:r w:rsidRPr="007062AE">
        <w:rPr>
          <w:rFonts w:ascii="Times New Roman" w:hAnsi="Times New Roman" w:cs="Times New Roman"/>
          <w:sz w:val="24"/>
          <w:szCs w:val="24"/>
        </w:rPr>
        <w:t xml:space="preserve">This literature review examines the impact of textbooks, particularly </w:t>
      </w:r>
      <w:r w:rsidR="00246795">
        <w:rPr>
          <w:rFonts w:ascii="Times New Roman" w:hAnsi="Times New Roman" w:cs="Times New Roman"/>
          <w:sz w:val="24"/>
          <w:szCs w:val="24"/>
        </w:rPr>
        <w:t>E</w:t>
      </w:r>
      <w:r w:rsidRPr="007062AE">
        <w:rPr>
          <w:rFonts w:ascii="Times New Roman" w:hAnsi="Times New Roman" w:cs="Times New Roman"/>
          <w:sz w:val="24"/>
          <w:szCs w:val="24"/>
        </w:rPr>
        <w:t>conomics textbooks, on student</w:t>
      </w:r>
      <w:r w:rsidR="00246795">
        <w:rPr>
          <w:rFonts w:ascii="Times New Roman" w:hAnsi="Times New Roman" w:cs="Times New Roman"/>
          <w:sz w:val="24"/>
          <w:szCs w:val="24"/>
        </w:rPr>
        <w:t xml:space="preserve">s' </w:t>
      </w:r>
      <w:r w:rsidRPr="007062AE">
        <w:rPr>
          <w:rFonts w:ascii="Times New Roman" w:hAnsi="Times New Roman" w:cs="Times New Roman"/>
          <w:sz w:val="24"/>
          <w:szCs w:val="24"/>
        </w:rPr>
        <w:t>academic performance. The review is guided by both a theoretical framework and empirical literature.</w:t>
      </w:r>
    </w:p>
    <w:p w14:paraId="031E780B" w14:textId="77777777" w:rsidR="00C775A7" w:rsidRPr="007062AE" w:rsidRDefault="00C775A7" w:rsidP="00C775A7">
      <w:pPr>
        <w:spacing w:after="0" w:line="240" w:lineRule="auto"/>
        <w:contextualSpacing/>
        <w:jc w:val="both"/>
        <w:rPr>
          <w:rFonts w:ascii="Times New Roman" w:hAnsi="Times New Roman" w:cs="Times New Roman"/>
          <w:sz w:val="24"/>
          <w:szCs w:val="24"/>
        </w:rPr>
      </w:pPr>
    </w:p>
    <w:p w14:paraId="13A8B34F" w14:textId="77777777" w:rsidR="00DA3721" w:rsidRPr="007062AE" w:rsidRDefault="00DA3721" w:rsidP="00C775A7">
      <w:pPr>
        <w:pStyle w:val="ListParagraph"/>
        <w:numPr>
          <w:ilvl w:val="1"/>
          <w:numId w:val="7"/>
        </w:numPr>
        <w:spacing w:after="0" w:line="240" w:lineRule="auto"/>
        <w:ind w:left="360"/>
        <w:jc w:val="both"/>
        <w:rPr>
          <w:rFonts w:ascii="Times New Roman" w:hAnsi="Times New Roman" w:cs="Times New Roman"/>
          <w:b/>
          <w:bCs/>
          <w:sz w:val="24"/>
          <w:szCs w:val="24"/>
        </w:rPr>
      </w:pPr>
      <w:r w:rsidRPr="007062AE">
        <w:rPr>
          <w:rFonts w:ascii="Times New Roman" w:hAnsi="Times New Roman" w:cs="Times New Roman"/>
          <w:b/>
          <w:bCs/>
          <w:sz w:val="24"/>
          <w:szCs w:val="24"/>
        </w:rPr>
        <w:t>Theoretical framework</w:t>
      </w:r>
    </w:p>
    <w:p w14:paraId="1523C3A8" w14:textId="54B03D91" w:rsidR="00123F6B" w:rsidRPr="007062AE" w:rsidRDefault="00123F6B" w:rsidP="00C775A7">
      <w:pPr>
        <w:spacing w:after="0" w:line="240" w:lineRule="auto"/>
        <w:jc w:val="both"/>
        <w:outlineLvl w:val="3"/>
        <w:rPr>
          <w:rFonts w:ascii="Times New Roman" w:eastAsia="Times New Roman" w:hAnsi="Times New Roman" w:cs="Times New Roman"/>
          <w:kern w:val="0"/>
          <w:sz w:val="24"/>
          <w:szCs w:val="24"/>
          <w:lang w:eastAsia="en-GB"/>
          <w14:ligatures w14:val="none"/>
        </w:rPr>
      </w:pPr>
      <w:r w:rsidRPr="007062AE">
        <w:rPr>
          <w:rFonts w:ascii="Times New Roman" w:eastAsia="Times New Roman" w:hAnsi="Times New Roman" w:cs="Times New Roman"/>
          <w:kern w:val="0"/>
          <w:sz w:val="24"/>
          <w:szCs w:val="24"/>
          <w:lang w:eastAsia="en-GB"/>
          <w14:ligatures w14:val="none"/>
        </w:rPr>
        <w:t xml:space="preserve">The introduction of </w:t>
      </w:r>
      <w:r w:rsidR="00246795">
        <w:rPr>
          <w:rFonts w:ascii="Times New Roman" w:eastAsia="Times New Roman" w:hAnsi="Times New Roman" w:cs="Times New Roman"/>
          <w:kern w:val="0"/>
          <w:sz w:val="24"/>
          <w:szCs w:val="24"/>
          <w:lang w:eastAsia="en-GB"/>
          <w14:ligatures w14:val="none"/>
        </w:rPr>
        <w:t>E</w:t>
      </w:r>
      <w:r w:rsidRPr="007062AE">
        <w:rPr>
          <w:rFonts w:ascii="Times New Roman" w:eastAsia="Times New Roman" w:hAnsi="Times New Roman" w:cs="Times New Roman"/>
          <w:kern w:val="0"/>
          <w:sz w:val="24"/>
          <w:szCs w:val="24"/>
          <w:lang w:eastAsia="en-GB"/>
          <w14:ligatures w14:val="none"/>
        </w:rPr>
        <w:t xml:space="preserve">conomics textbooks into the Tanzanian education system can be analysed </w:t>
      </w:r>
      <w:r w:rsidR="003B08EC">
        <w:rPr>
          <w:rFonts w:ascii="Times New Roman" w:eastAsia="Times New Roman" w:hAnsi="Times New Roman" w:cs="Times New Roman"/>
          <w:kern w:val="0"/>
          <w:sz w:val="24"/>
          <w:szCs w:val="24"/>
          <w:lang w:eastAsia="en-GB"/>
          <w14:ligatures w14:val="none"/>
        </w:rPr>
        <w:t>by the</w:t>
      </w:r>
      <w:r w:rsidRPr="007062AE">
        <w:rPr>
          <w:rFonts w:ascii="Times New Roman" w:eastAsia="Times New Roman" w:hAnsi="Times New Roman" w:cs="Times New Roman"/>
          <w:kern w:val="0"/>
          <w:sz w:val="24"/>
          <w:szCs w:val="24"/>
          <w:lang w:eastAsia="en-GB"/>
          <w14:ligatures w14:val="none"/>
        </w:rPr>
        <w:t xml:space="preserve"> Social Cognitive Theory (SCT) and </w:t>
      </w:r>
      <w:r w:rsidR="003B08EC">
        <w:rPr>
          <w:rFonts w:ascii="Times New Roman" w:eastAsia="Times New Roman" w:hAnsi="Times New Roman" w:cs="Times New Roman"/>
          <w:kern w:val="0"/>
          <w:sz w:val="24"/>
          <w:szCs w:val="24"/>
          <w:lang w:eastAsia="en-GB"/>
          <w14:ligatures w14:val="none"/>
        </w:rPr>
        <w:t xml:space="preserve">the </w:t>
      </w:r>
      <w:r w:rsidRPr="007062AE">
        <w:rPr>
          <w:rFonts w:ascii="Times New Roman" w:eastAsia="Times New Roman" w:hAnsi="Times New Roman" w:cs="Times New Roman"/>
          <w:kern w:val="0"/>
          <w:sz w:val="24"/>
          <w:szCs w:val="24"/>
          <w:lang w:eastAsia="en-GB"/>
          <w14:ligatures w14:val="none"/>
        </w:rPr>
        <w:t>Constructivist Learning Theory. These frameworks provide insights into how textbooks influence students’ learning behaviours, attitudes, and academic performance, particularly in national examinations.</w:t>
      </w:r>
    </w:p>
    <w:p w14:paraId="11A49B0A" w14:textId="77777777" w:rsidR="002C29E1" w:rsidRPr="007062AE" w:rsidRDefault="002C29E1" w:rsidP="00C775A7">
      <w:pPr>
        <w:spacing w:after="0" w:line="240" w:lineRule="auto"/>
        <w:jc w:val="both"/>
        <w:outlineLvl w:val="3"/>
        <w:rPr>
          <w:rFonts w:ascii="Times New Roman" w:eastAsia="Times New Roman" w:hAnsi="Times New Roman" w:cs="Times New Roman"/>
          <w:kern w:val="0"/>
          <w:sz w:val="24"/>
          <w:szCs w:val="24"/>
          <w:lang w:eastAsia="en-GB"/>
          <w14:ligatures w14:val="none"/>
        </w:rPr>
      </w:pPr>
    </w:p>
    <w:p w14:paraId="00B443DE" w14:textId="49D635A5" w:rsidR="00DA3721" w:rsidRPr="007062AE" w:rsidRDefault="005730B6" w:rsidP="00C775A7">
      <w:pPr>
        <w:spacing w:after="0" w:line="240" w:lineRule="auto"/>
        <w:jc w:val="both"/>
        <w:outlineLvl w:val="3"/>
        <w:rPr>
          <w:rFonts w:ascii="Times New Roman" w:eastAsia="Times New Roman" w:hAnsi="Times New Roman" w:cs="Times New Roman"/>
          <w:b/>
          <w:bCs/>
          <w:kern w:val="0"/>
          <w:sz w:val="24"/>
          <w:szCs w:val="24"/>
          <w:lang w:eastAsia="en-GB"/>
          <w14:ligatures w14:val="none"/>
        </w:rPr>
      </w:pPr>
      <w:r w:rsidRPr="007062AE">
        <w:rPr>
          <w:rFonts w:ascii="Times New Roman" w:eastAsia="Times New Roman" w:hAnsi="Times New Roman" w:cs="Times New Roman"/>
          <w:b/>
          <w:bCs/>
          <w:kern w:val="0"/>
          <w:sz w:val="24"/>
          <w:szCs w:val="24"/>
          <w:lang w:eastAsia="en-GB"/>
          <w14:ligatures w14:val="none"/>
        </w:rPr>
        <w:t xml:space="preserve">2.1.1 </w:t>
      </w:r>
      <w:r w:rsidR="00DA3721" w:rsidRPr="007062AE">
        <w:rPr>
          <w:rFonts w:ascii="Times New Roman" w:eastAsia="Times New Roman" w:hAnsi="Times New Roman" w:cs="Times New Roman"/>
          <w:b/>
          <w:bCs/>
          <w:kern w:val="0"/>
          <w:sz w:val="24"/>
          <w:szCs w:val="24"/>
          <w:lang w:eastAsia="en-GB"/>
          <w14:ligatures w14:val="none"/>
        </w:rPr>
        <w:t xml:space="preserve">Social </w:t>
      </w:r>
      <w:r w:rsidR="00123F6B" w:rsidRPr="007062AE">
        <w:rPr>
          <w:rFonts w:ascii="Times New Roman" w:eastAsia="Times New Roman" w:hAnsi="Times New Roman" w:cs="Times New Roman"/>
          <w:b/>
          <w:bCs/>
          <w:kern w:val="0"/>
          <w:sz w:val="24"/>
          <w:szCs w:val="24"/>
          <w:lang w:eastAsia="en-GB"/>
          <w14:ligatures w14:val="none"/>
        </w:rPr>
        <w:t xml:space="preserve">Cognitive Theory </w:t>
      </w:r>
      <w:r w:rsidR="00DA3721" w:rsidRPr="007062AE">
        <w:rPr>
          <w:rFonts w:ascii="Times New Roman" w:eastAsia="Times New Roman" w:hAnsi="Times New Roman" w:cs="Times New Roman"/>
          <w:b/>
          <w:bCs/>
          <w:kern w:val="0"/>
          <w:sz w:val="24"/>
          <w:szCs w:val="24"/>
          <w:lang w:eastAsia="en-GB"/>
          <w14:ligatures w14:val="none"/>
        </w:rPr>
        <w:t xml:space="preserve">(SCT) and </w:t>
      </w:r>
      <w:r w:rsidR="00123F6B" w:rsidRPr="007062AE">
        <w:rPr>
          <w:rFonts w:ascii="Times New Roman" w:eastAsia="Times New Roman" w:hAnsi="Times New Roman" w:cs="Times New Roman"/>
          <w:b/>
          <w:bCs/>
          <w:kern w:val="0"/>
          <w:sz w:val="24"/>
          <w:szCs w:val="24"/>
          <w:lang w:eastAsia="en-GB"/>
          <w14:ligatures w14:val="none"/>
        </w:rPr>
        <w:t>the role of textbooks</w:t>
      </w:r>
    </w:p>
    <w:p w14:paraId="0BDFB43B" w14:textId="201C5740" w:rsidR="00123F6B" w:rsidRPr="007062AE" w:rsidRDefault="00123F6B" w:rsidP="00C775A7">
      <w:pPr>
        <w:spacing w:before="100" w:beforeAutospacing="1" w:after="0" w:line="240" w:lineRule="auto"/>
        <w:contextualSpacing/>
        <w:jc w:val="both"/>
        <w:outlineLvl w:val="3"/>
        <w:rPr>
          <w:rFonts w:ascii="Times New Roman" w:eastAsia="Times New Roman" w:hAnsi="Times New Roman" w:cs="Times New Roman"/>
          <w:kern w:val="0"/>
          <w:sz w:val="24"/>
          <w:szCs w:val="24"/>
          <w:lang w:eastAsia="en-GB"/>
          <w14:ligatures w14:val="none"/>
        </w:rPr>
      </w:pPr>
      <w:r w:rsidRPr="007062AE">
        <w:rPr>
          <w:rFonts w:ascii="Times New Roman" w:eastAsia="Times New Roman" w:hAnsi="Times New Roman" w:cs="Times New Roman"/>
          <w:kern w:val="0"/>
          <w:sz w:val="24"/>
          <w:szCs w:val="24"/>
          <w:lang w:eastAsia="en-GB"/>
          <w14:ligatures w14:val="none"/>
        </w:rPr>
        <w:t xml:space="preserve">Social Cognitive Theory, developed by Albert Bandura (1986), emphasises the role of self-regulation, self-efficacy, and observational learning in the learning process. According to SCT, students' academic outcomes are shaped not only by external factors, such as textbooks, but also by internal cognitive processes, including motivation, goal setting, and confidence in their abilities (Bandura, 1986). In the context of this study, </w:t>
      </w:r>
      <w:r w:rsidR="00246795">
        <w:rPr>
          <w:rFonts w:ascii="Times New Roman" w:eastAsia="Times New Roman" w:hAnsi="Times New Roman" w:cs="Times New Roman"/>
          <w:kern w:val="0"/>
          <w:sz w:val="24"/>
          <w:szCs w:val="24"/>
          <w:lang w:eastAsia="en-GB"/>
          <w14:ligatures w14:val="none"/>
        </w:rPr>
        <w:t>E</w:t>
      </w:r>
      <w:r w:rsidRPr="007062AE">
        <w:rPr>
          <w:rFonts w:ascii="Times New Roman" w:eastAsia="Times New Roman" w:hAnsi="Times New Roman" w:cs="Times New Roman"/>
          <w:kern w:val="0"/>
          <w:sz w:val="24"/>
          <w:szCs w:val="24"/>
          <w:lang w:eastAsia="en-GB"/>
          <w14:ligatures w14:val="none"/>
        </w:rPr>
        <w:t xml:space="preserve">conomics textbooks can serve as tools that enhance students' academic performance by providing structured learning materials that support self-regulation. When students have access to clear, organised content, they are more likely to feel empowered to manage their own learning, fostering a sense of self-efficacy. </w:t>
      </w:r>
    </w:p>
    <w:p w14:paraId="2011EA6A" w14:textId="77777777" w:rsidR="00123F6B" w:rsidRPr="007062AE" w:rsidRDefault="00123F6B" w:rsidP="00C775A7">
      <w:pPr>
        <w:spacing w:before="100" w:beforeAutospacing="1" w:after="0" w:line="240" w:lineRule="auto"/>
        <w:contextualSpacing/>
        <w:jc w:val="both"/>
        <w:outlineLvl w:val="3"/>
        <w:rPr>
          <w:rFonts w:ascii="Times New Roman" w:eastAsia="Times New Roman" w:hAnsi="Times New Roman" w:cs="Times New Roman"/>
          <w:kern w:val="0"/>
          <w:sz w:val="24"/>
          <w:szCs w:val="24"/>
          <w:lang w:eastAsia="en-GB"/>
          <w14:ligatures w14:val="none"/>
        </w:rPr>
      </w:pPr>
    </w:p>
    <w:p w14:paraId="095521FD" w14:textId="3C781B4B" w:rsidR="00123F6B" w:rsidRPr="007062AE" w:rsidRDefault="00123F6B" w:rsidP="00C775A7">
      <w:pPr>
        <w:spacing w:before="100" w:beforeAutospacing="1" w:after="0" w:line="240" w:lineRule="auto"/>
        <w:contextualSpacing/>
        <w:jc w:val="both"/>
        <w:outlineLvl w:val="3"/>
        <w:rPr>
          <w:rFonts w:ascii="Times New Roman" w:eastAsia="Times New Roman" w:hAnsi="Times New Roman" w:cs="Times New Roman"/>
          <w:kern w:val="0"/>
          <w:sz w:val="24"/>
          <w:szCs w:val="24"/>
          <w:lang w:eastAsia="en-GB"/>
          <w14:ligatures w14:val="none"/>
        </w:rPr>
      </w:pPr>
      <w:r w:rsidRPr="007062AE">
        <w:rPr>
          <w:rFonts w:ascii="Times New Roman" w:eastAsia="Times New Roman" w:hAnsi="Times New Roman" w:cs="Times New Roman"/>
          <w:kern w:val="0"/>
          <w:sz w:val="24"/>
          <w:szCs w:val="24"/>
          <w:lang w:eastAsia="en-GB"/>
          <w14:ligatures w14:val="none"/>
        </w:rPr>
        <w:t xml:space="preserve">Furthermore, SCT highlights the importance of observational learning, in which students learn not only through direct experience but also by observing others. In this context, textbooks can be seen as a model for learning. They not only provide content but also illustrate effective ways to organise and present knowledge, which helps students understand and retain economic concepts. Through </w:t>
      </w:r>
      <w:r w:rsidRPr="007062AE">
        <w:rPr>
          <w:rFonts w:ascii="Times New Roman" w:eastAsia="Times New Roman" w:hAnsi="Times New Roman" w:cs="Times New Roman"/>
          <w:kern w:val="0"/>
          <w:sz w:val="24"/>
          <w:szCs w:val="24"/>
          <w:lang w:eastAsia="en-GB"/>
          <w14:ligatures w14:val="none"/>
        </w:rPr>
        <w:lastRenderedPageBreak/>
        <w:t>regular interaction with textbooks, students enhance their comprehension, ultimately improving their performance in national exam</w:t>
      </w:r>
      <w:r w:rsidR="00246795">
        <w:rPr>
          <w:rFonts w:ascii="Times New Roman" w:eastAsia="Times New Roman" w:hAnsi="Times New Roman" w:cs="Times New Roman"/>
          <w:kern w:val="0"/>
          <w:sz w:val="24"/>
          <w:szCs w:val="24"/>
          <w:lang w:eastAsia="en-GB"/>
          <w14:ligatures w14:val="none"/>
        </w:rPr>
        <w:t>ination</w:t>
      </w:r>
      <w:r w:rsidRPr="007062AE">
        <w:rPr>
          <w:rFonts w:ascii="Times New Roman" w:eastAsia="Times New Roman" w:hAnsi="Times New Roman" w:cs="Times New Roman"/>
          <w:kern w:val="0"/>
          <w:sz w:val="24"/>
          <w:szCs w:val="24"/>
          <w:lang w:eastAsia="en-GB"/>
          <w14:ligatures w14:val="none"/>
        </w:rPr>
        <w:t>s.</w:t>
      </w:r>
    </w:p>
    <w:p w14:paraId="3F4FBFFE" w14:textId="77777777" w:rsidR="00211096" w:rsidRPr="007062AE" w:rsidRDefault="00211096" w:rsidP="00C775A7">
      <w:pPr>
        <w:spacing w:before="100" w:beforeAutospacing="1" w:after="0" w:line="240" w:lineRule="auto"/>
        <w:contextualSpacing/>
        <w:jc w:val="both"/>
        <w:outlineLvl w:val="3"/>
        <w:rPr>
          <w:rFonts w:ascii="Times New Roman" w:eastAsia="Times New Roman" w:hAnsi="Times New Roman" w:cs="Times New Roman"/>
          <w:kern w:val="0"/>
          <w:sz w:val="24"/>
          <w:szCs w:val="24"/>
          <w:lang w:eastAsia="en-GB"/>
          <w14:ligatures w14:val="none"/>
        </w:rPr>
      </w:pPr>
    </w:p>
    <w:p w14:paraId="05A61C30" w14:textId="7A469FDC" w:rsidR="00DA3721" w:rsidRPr="007062AE" w:rsidRDefault="005730B6" w:rsidP="00C775A7">
      <w:pPr>
        <w:spacing w:before="100" w:beforeAutospacing="1" w:after="0" w:line="240" w:lineRule="auto"/>
        <w:contextualSpacing/>
        <w:jc w:val="both"/>
        <w:outlineLvl w:val="3"/>
        <w:rPr>
          <w:rFonts w:ascii="Times New Roman" w:eastAsia="Times New Roman" w:hAnsi="Times New Roman" w:cs="Times New Roman"/>
          <w:b/>
          <w:bCs/>
          <w:kern w:val="0"/>
          <w:sz w:val="24"/>
          <w:szCs w:val="24"/>
          <w:lang w:eastAsia="en-GB"/>
          <w14:ligatures w14:val="none"/>
        </w:rPr>
      </w:pPr>
      <w:r w:rsidRPr="007062AE">
        <w:rPr>
          <w:rFonts w:ascii="Times New Roman" w:eastAsia="Times New Roman" w:hAnsi="Times New Roman" w:cs="Times New Roman"/>
          <w:b/>
          <w:bCs/>
          <w:kern w:val="0"/>
          <w:sz w:val="24"/>
          <w:szCs w:val="24"/>
          <w:lang w:eastAsia="en-GB"/>
          <w14:ligatures w14:val="none"/>
        </w:rPr>
        <w:t xml:space="preserve">2.1.2 </w:t>
      </w:r>
      <w:r w:rsidR="00DA3721" w:rsidRPr="007062AE">
        <w:rPr>
          <w:rFonts w:ascii="Times New Roman" w:eastAsia="Times New Roman" w:hAnsi="Times New Roman" w:cs="Times New Roman"/>
          <w:b/>
          <w:bCs/>
          <w:kern w:val="0"/>
          <w:sz w:val="24"/>
          <w:szCs w:val="24"/>
          <w:lang w:eastAsia="en-GB"/>
          <w14:ligatures w14:val="none"/>
        </w:rPr>
        <w:t xml:space="preserve">Constructivist </w:t>
      </w:r>
      <w:r w:rsidR="00123F6B" w:rsidRPr="007062AE">
        <w:rPr>
          <w:rFonts w:ascii="Times New Roman" w:eastAsia="Times New Roman" w:hAnsi="Times New Roman" w:cs="Times New Roman"/>
          <w:b/>
          <w:bCs/>
          <w:kern w:val="0"/>
          <w:sz w:val="24"/>
          <w:szCs w:val="24"/>
          <w:lang w:eastAsia="en-GB"/>
          <w14:ligatures w14:val="none"/>
        </w:rPr>
        <w:t>learning theory and the impact of textbooks</w:t>
      </w:r>
    </w:p>
    <w:p w14:paraId="6A3854C1" w14:textId="70F0F18C" w:rsidR="00DA3721" w:rsidRDefault="00123F6B" w:rsidP="00E21FB6">
      <w:pPr>
        <w:spacing w:after="0" w:line="240" w:lineRule="auto"/>
        <w:jc w:val="both"/>
        <w:rPr>
          <w:rFonts w:ascii="Times New Roman" w:eastAsia="Times New Roman" w:hAnsi="Times New Roman" w:cs="Times New Roman"/>
          <w:kern w:val="0"/>
          <w:sz w:val="24"/>
          <w:szCs w:val="24"/>
          <w:lang w:eastAsia="en-GB"/>
          <w14:ligatures w14:val="none"/>
        </w:rPr>
      </w:pPr>
      <w:r w:rsidRPr="007062AE">
        <w:rPr>
          <w:rFonts w:ascii="Times New Roman" w:eastAsia="Times New Roman" w:hAnsi="Times New Roman" w:cs="Times New Roman"/>
          <w:kern w:val="0"/>
          <w:sz w:val="24"/>
          <w:szCs w:val="24"/>
          <w:lang w:eastAsia="en-GB"/>
          <w14:ligatures w14:val="none"/>
        </w:rPr>
        <w:t xml:space="preserve">Constructivist Learning Theory, as articulated by Piaget (1973) and Vygotsky (1978), asserts that students actively construct knowledge through engagement with learning materials and social interactions. In this framework, learning is not seen as a passive absorption of information, but rather as an active process in which students build upon their prior knowledge. Textbooks serve as scaffolding that guides this process, providing students with the structured material needed to refine and deepen their understanding of economic concepts (Piaget, 1973). </w:t>
      </w:r>
      <w:r w:rsidR="00246795">
        <w:rPr>
          <w:rFonts w:ascii="Times New Roman" w:eastAsia="Times New Roman" w:hAnsi="Times New Roman" w:cs="Times New Roman"/>
          <w:kern w:val="0"/>
          <w:sz w:val="24"/>
          <w:szCs w:val="24"/>
          <w:lang w:eastAsia="en-GB"/>
          <w14:ligatures w14:val="none"/>
        </w:rPr>
        <w:t xml:space="preserve">In addition, </w:t>
      </w:r>
      <w:r w:rsidRPr="007062AE">
        <w:rPr>
          <w:rFonts w:ascii="Times New Roman" w:eastAsia="Times New Roman" w:hAnsi="Times New Roman" w:cs="Times New Roman"/>
          <w:kern w:val="0"/>
          <w:sz w:val="24"/>
          <w:szCs w:val="24"/>
          <w:lang w:eastAsia="en-GB"/>
          <w14:ligatures w14:val="none"/>
        </w:rPr>
        <w:t xml:space="preserve">Vygotsky’s (1978) concept of the </w:t>
      </w:r>
      <w:r w:rsidR="00246795">
        <w:rPr>
          <w:rFonts w:ascii="Times New Roman" w:eastAsia="Times New Roman" w:hAnsi="Times New Roman" w:cs="Times New Roman"/>
          <w:kern w:val="0"/>
          <w:sz w:val="24"/>
          <w:szCs w:val="24"/>
          <w:lang w:eastAsia="en-GB"/>
          <w14:ligatures w14:val="none"/>
        </w:rPr>
        <w:t>z</w:t>
      </w:r>
      <w:r w:rsidRPr="007062AE">
        <w:rPr>
          <w:rFonts w:ascii="Times New Roman" w:eastAsia="Times New Roman" w:hAnsi="Times New Roman" w:cs="Times New Roman"/>
          <w:kern w:val="0"/>
          <w:sz w:val="24"/>
          <w:szCs w:val="24"/>
          <w:lang w:eastAsia="en-GB"/>
          <w14:ligatures w14:val="none"/>
        </w:rPr>
        <w:t xml:space="preserve">one of </w:t>
      </w:r>
      <w:r w:rsidR="00246795">
        <w:rPr>
          <w:rFonts w:ascii="Times New Roman" w:eastAsia="Times New Roman" w:hAnsi="Times New Roman" w:cs="Times New Roman"/>
          <w:kern w:val="0"/>
          <w:sz w:val="24"/>
          <w:szCs w:val="24"/>
          <w:lang w:eastAsia="en-GB"/>
          <w14:ligatures w14:val="none"/>
        </w:rPr>
        <w:t>p</w:t>
      </w:r>
      <w:r w:rsidRPr="007062AE">
        <w:rPr>
          <w:rFonts w:ascii="Times New Roman" w:eastAsia="Times New Roman" w:hAnsi="Times New Roman" w:cs="Times New Roman"/>
          <w:kern w:val="0"/>
          <w:sz w:val="24"/>
          <w:szCs w:val="24"/>
          <w:lang w:eastAsia="en-GB"/>
          <w14:ligatures w14:val="none"/>
        </w:rPr>
        <w:t xml:space="preserve">roximal </w:t>
      </w:r>
      <w:r w:rsidR="00246795">
        <w:rPr>
          <w:rFonts w:ascii="Times New Roman" w:eastAsia="Times New Roman" w:hAnsi="Times New Roman" w:cs="Times New Roman"/>
          <w:kern w:val="0"/>
          <w:sz w:val="24"/>
          <w:szCs w:val="24"/>
          <w:lang w:eastAsia="en-GB"/>
          <w14:ligatures w14:val="none"/>
        </w:rPr>
        <w:t>d</w:t>
      </w:r>
      <w:r w:rsidRPr="007062AE">
        <w:rPr>
          <w:rFonts w:ascii="Times New Roman" w:eastAsia="Times New Roman" w:hAnsi="Times New Roman" w:cs="Times New Roman"/>
          <w:kern w:val="0"/>
          <w:sz w:val="24"/>
          <w:szCs w:val="24"/>
          <w:lang w:eastAsia="en-GB"/>
          <w14:ligatures w14:val="none"/>
        </w:rPr>
        <w:t>evelopment supports the role of textbooks in facilitating learning. When students engage with appropriately challenging textbooks, they can extend their current knowledge base, fostering deeper cognitive development.</w:t>
      </w:r>
    </w:p>
    <w:p w14:paraId="690CC500" w14:textId="77777777" w:rsidR="001270CD" w:rsidRDefault="001270CD" w:rsidP="00E21FB6">
      <w:pPr>
        <w:spacing w:after="0" w:line="240" w:lineRule="auto"/>
        <w:jc w:val="both"/>
        <w:rPr>
          <w:rFonts w:ascii="Times New Roman" w:eastAsia="Times New Roman" w:hAnsi="Times New Roman" w:cs="Times New Roman"/>
          <w:kern w:val="0"/>
          <w:sz w:val="24"/>
          <w:szCs w:val="24"/>
          <w:lang w:eastAsia="en-GB"/>
          <w14:ligatures w14:val="none"/>
        </w:rPr>
      </w:pPr>
    </w:p>
    <w:p w14:paraId="63044F9E" w14:textId="08F579F0" w:rsidR="00DA3721" w:rsidRPr="007062AE" w:rsidRDefault="00DA3721" w:rsidP="00C775A7">
      <w:pPr>
        <w:pStyle w:val="ListParagraph"/>
        <w:numPr>
          <w:ilvl w:val="1"/>
          <w:numId w:val="7"/>
        </w:numPr>
        <w:spacing w:after="0" w:line="240" w:lineRule="auto"/>
        <w:ind w:left="360"/>
        <w:contextualSpacing w:val="0"/>
        <w:jc w:val="both"/>
        <w:rPr>
          <w:rFonts w:ascii="Times New Roman" w:hAnsi="Times New Roman" w:cs="Times New Roman"/>
          <w:b/>
          <w:bCs/>
          <w:sz w:val="24"/>
          <w:szCs w:val="24"/>
        </w:rPr>
      </w:pPr>
      <w:r w:rsidRPr="007062AE">
        <w:rPr>
          <w:rFonts w:ascii="Times New Roman" w:hAnsi="Times New Roman" w:cs="Times New Roman"/>
          <w:b/>
          <w:bCs/>
          <w:sz w:val="24"/>
          <w:szCs w:val="24"/>
        </w:rPr>
        <w:t>Empirical literature review</w:t>
      </w:r>
    </w:p>
    <w:p w14:paraId="69DF04A6" w14:textId="37298C4D" w:rsidR="00123F6B" w:rsidRDefault="00123F6B"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A growing body of empirical research underscores the pivotal role that textbooks play in enhancing academic performance across various educational contexts. The following studies illustrate the global and regional impact of textbooks on student learning outcomes.</w:t>
      </w:r>
    </w:p>
    <w:p w14:paraId="04A53D25" w14:textId="77777777" w:rsidR="00C775A7" w:rsidRPr="00E21FB6" w:rsidRDefault="00C775A7" w:rsidP="00C775A7">
      <w:pPr>
        <w:spacing w:after="0" w:line="240" w:lineRule="auto"/>
        <w:jc w:val="both"/>
        <w:rPr>
          <w:rFonts w:ascii="Times New Roman" w:hAnsi="Times New Roman" w:cs="Times New Roman"/>
          <w:sz w:val="16"/>
          <w:szCs w:val="16"/>
        </w:rPr>
      </w:pPr>
    </w:p>
    <w:p w14:paraId="0C42E76E" w14:textId="552EB159" w:rsidR="00123F6B" w:rsidRPr="007062AE" w:rsidRDefault="005730B6" w:rsidP="00C775A7">
      <w:pPr>
        <w:spacing w:after="0" w:line="240" w:lineRule="auto"/>
        <w:contextualSpacing/>
        <w:jc w:val="both"/>
        <w:rPr>
          <w:rFonts w:ascii="Times New Roman" w:hAnsi="Times New Roman" w:cs="Times New Roman"/>
          <w:b/>
          <w:bCs/>
          <w:sz w:val="24"/>
          <w:szCs w:val="24"/>
        </w:rPr>
      </w:pPr>
      <w:r w:rsidRPr="007062AE">
        <w:rPr>
          <w:rFonts w:ascii="Times New Roman" w:hAnsi="Times New Roman" w:cs="Times New Roman"/>
          <w:b/>
          <w:bCs/>
          <w:sz w:val="24"/>
          <w:szCs w:val="24"/>
        </w:rPr>
        <w:t xml:space="preserve">2.2.1 </w:t>
      </w:r>
      <w:r w:rsidR="00123F6B" w:rsidRPr="007062AE">
        <w:rPr>
          <w:rFonts w:ascii="Times New Roman" w:hAnsi="Times New Roman" w:cs="Times New Roman"/>
          <w:b/>
          <w:bCs/>
          <w:sz w:val="24"/>
          <w:szCs w:val="24"/>
        </w:rPr>
        <w:t>Global studies on the role of textbooks</w:t>
      </w:r>
    </w:p>
    <w:p w14:paraId="4AE90A97" w14:textId="5541EDDE" w:rsidR="003417CA" w:rsidRPr="00BA4117" w:rsidRDefault="00123F6B" w:rsidP="003417CA">
      <w:pPr>
        <w:spacing w:after="0" w:line="240" w:lineRule="auto"/>
        <w:contextualSpacing/>
        <w:jc w:val="both"/>
        <w:rPr>
          <w:rFonts w:ascii="Times New Roman" w:hAnsi="Times New Roman" w:cs="Times New Roman"/>
          <w:sz w:val="24"/>
          <w:szCs w:val="24"/>
        </w:rPr>
      </w:pPr>
      <w:r w:rsidRPr="00BA4117">
        <w:rPr>
          <w:rFonts w:ascii="Times New Roman" w:hAnsi="Times New Roman" w:cs="Times New Roman"/>
          <w:sz w:val="24"/>
          <w:szCs w:val="24"/>
        </w:rPr>
        <w:t xml:space="preserve">In China, </w:t>
      </w:r>
      <w:r w:rsidR="003417CA" w:rsidRPr="00BA4117">
        <w:rPr>
          <w:rFonts w:ascii="Times New Roman" w:hAnsi="Times New Roman" w:cs="Times New Roman"/>
          <w:sz w:val="24"/>
          <w:szCs w:val="24"/>
        </w:rPr>
        <w:t xml:space="preserve">Son </w:t>
      </w:r>
      <w:r w:rsidR="002D2FD0">
        <w:rPr>
          <w:rFonts w:ascii="Times New Roman" w:hAnsi="Times New Roman" w:cs="Times New Roman"/>
          <w:sz w:val="24"/>
          <w:szCs w:val="24"/>
        </w:rPr>
        <w:t>&amp;</w:t>
      </w:r>
      <w:r w:rsidR="003417CA" w:rsidRPr="00BA4117">
        <w:rPr>
          <w:rFonts w:ascii="Times New Roman" w:hAnsi="Times New Roman" w:cs="Times New Roman"/>
          <w:sz w:val="24"/>
          <w:szCs w:val="24"/>
        </w:rPr>
        <w:t xml:space="preserve"> </w:t>
      </w:r>
      <w:proofErr w:type="spellStart"/>
      <w:r w:rsidR="003417CA" w:rsidRPr="00BA4117">
        <w:rPr>
          <w:rFonts w:ascii="Times New Roman" w:hAnsi="Times New Roman" w:cs="Times New Roman"/>
          <w:sz w:val="24"/>
          <w:szCs w:val="24"/>
        </w:rPr>
        <w:t>Diletti</w:t>
      </w:r>
      <w:proofErr w:type="spellEnd"/>
      <w:r w:rsidR="003417CA" w:rsidRPr="00BA4117">
        <w:rPr>
          <w:rFonts w:ascii="Times New Roman" w:hAnsi="Times New Roman" w:cs="Times New Roman"/>
          <w:sz w:val="24"/>
          <w:szCs w:val="24"/>
        </w:rPr>
        <w:t xml:space="preserve"> (2017) study revealed that students who regularly engage with textbooks achieve higher academic success than those with limited access to learning materials. The findings demonstrated that students who regularly engage with textbooks achieve higher academic success compared to those with limited access to learning materials. This is contrary to the study </w:t>
      </w:r>
      <w:r w:rsidR="00BA4117" w:rsidRPr="00BA4117">
        <w:rPr>
          <w:rFonts w:ascii="Times New Roman" w:hAnsi="Times New Roman" w:cs="Times New Roman"/>
          <w:sz w:val="24"/>
          <w:szCs w:val="24"/>
        </w:rPr>
        <w:t>by Li &amp; Wang (2024), which found that students’ use of textbooks significantly correlated with interest and attitudes. Still, no direct,</w:t>
      </w:r>
      <w:r w:rsidR="003417CA" w:rsidRPr="00BA4117">
        <w:rPr>
          <w:rStyle w:val="Strong"/>
          <w:rFonts w:ascii="Times New Roman" w:hAnsi="Times New Roman" w:cs="Times New Roman"/>
          <w:sz w:val="24"/>
          <w:szCs w:val="24"/>
        </w:rPr>
        <w:t xml:space="preserve"> </w:t>
      </w:r>
      <w:r w:rsidR="003417CA" w:rsidRPr="00BA4117">
        <w:rPr>
          <w:rStyle w:val="Strong"/>
          <w:rFonts w:ascii="Times New Roman" w:hAnsi="Times New Roman" w:cs="Times New Roman"/>
          <w:b w:val="0"/>
          <w:bCs w:val="0"/>
          <w:sz w:val="24"/>
          <w:szCs w:val="24"/>
        </w:rPr>
        <w:t>statistically significant correlation was found between textbook use and chemistry academic achievement</w:t>
      </w:r>
      <w:r w:rsidR="003417CA" w:rsidRPr="00BA4117">
        <w:rPr>
          <w:rFonts w:ascii="Times New Roman" w:hAnsi="Times New Roman" w:cs="Times New Roman"/>
          <w:b/>
          <w:bCs/>
          <w:sz w:val="24"/>
          <w:szCs w:val="24"/>
        </w:rPr>
        <w:t xml:space="preserve"> </w:t>
      </w:r>
      <w:r w:rsidR="003417CA" w:rsidRPr="00BA4117">
        <w:rPr>
          <w:rFonts w:ascii="Times New Roman" w:hAnsi="Times New Roman" w:cs="Times New Roman"/>
          <w:sz w:val="24"/>
          <w:szCs w:val="24"/>
        </w:rPr>
        <w:t>in that sample.</w:t>
      </w:r>
    </w:p>
    <w:p w14:paraId="7EC2CF02" w14:textId="69482ED3" w:rsidR="003417CA" w:rsidRDefault="003417CA" w:rsidP="00C775A7">
      <w:pPr>
        <w:spacing w:after="0" w:line="240" w:lineRule="auto"/>
        <w:contextualSpacing/>
        <w:jc w:val="both"/>
        <w:rPr>
          <w:rFonts w:ascii="Times New Roman" w:hAnsi="Times New Roman" w:cs="Times New Roman"/>
          <w:sz w:val="24"/>
          <w:szCs w:val="24"/>
          <w:highlight w:val="yellow"/>
        </w:rPr>
      </w:pPr>
    </w:p>
    <w:p w14:paraId="0D0BE371" w14:textId="44C0FE73" w:rsidR="00123F6B" w:rsidRDefault="00123F6B" w:rsidP="00E21FB6">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The increasing prevalence of digital learning has also prompted studies on the efficacy of digital textbooks. Lee</w:t>
      </w:r>
      <w:r w:rsidR="005A178D">
        <w:rPr>
          <w:rFonts w:ascii="Times New Roman" w:hAnsi="Times New Roman" w:cs="Times New Roman"/>
          <w:sz w:val="24"/>
          <w:szCs w:val="24"/>
        </w:rPr>
        <w:t xml:space="preserve"> et al.</w:t>
      </w:r>
      <w:r w:rsidRPr="007062AE">
        <w:rPr>
          <w:rFonts w:ascii="Times New Roman" w:hAnsi="Times New Roman" w:cs="Times New Roman"/>
          <w:sz w:val="24"/>
          <w:szCs w:val="24"/>
        </w:rPr>
        <w:t xml:space="preserve"> (2023) explored the impact of digital textbooks</w:t>
      </w:r>
      <w:r w:rsidR="00BA4117">
        <w:rPr>
          <w:rFonts w:ascii="Times New Roman" w:hAnsi="Times New Roman" w:cs="Times New Roman"/>
          <w:sz w:val="24"/>
          <w:szCs w:val="24"/>
        </w:rPr>
        <w:t>. They</w:t>
      </w:r>
      <w:r w:rsidRPr="007062AE">
        <w:rPr>
          <w:rFonts w:ascii="Times New Roman" w:hAnsi="Times New Roman" w:cs="Times New Roman"/>
          <w:sz w:val="24"/>
          <w:szCs w:val="24"/>
        </w:rPr>
        <w:t xml:space="preserve"> found that t</w:t>
      </w:r>
      <w:r w:rsidR="00BA4117">
        <w:rPr>
          <w:rFonts w:ascii="Times New Roman" w:hAnsi="Times New Roman" w:cs="Times New Roman"/>
          <w:sz w:val="24"/>
          <w:szCs w:val="24"/>
        </w:rPr>
        <w:t>extbooks</w:t>
      </w:r>
      <w:r w:rsidRPr="007062AE">
        <w:rPr>
          <w:rFonts w:ascii="Times New Roman" w:hAnsi="Times New Roman" w:cs="Times New Roman"/>
          <w:sz w:val="24"/>
          <w:szCs w:val="24"/>
        </w:rPr>
        <w:t xml:space="preserve"> not only improved academic performance but also enhanced students’ motivation and learning skills, particularly when integrated with interactive elements. While digital textbooks appear promising, the evidence on their long-term superiority over traditional printed textbooks remains inconclusive (Savage, 2021). This mixed evidence underscores the need for further research into the comparative benefits of digital versus printed textbooks, particularly regarding sustained academic performance.</w:t>
      </w:r>
    </w:p>
    <w:p w14:paraId="60D944C8" w14:textId="77777777" w:rsidR="001270CD" w:rsidRDefault="001270CD" w:rsidP="00E21FB6">
      <w:pPr>
        <w:spacing w:after="0" w:line="240" w:lineRule="auto"/>
        <w:jc w:val="both"/>
        <w:rPr>
          <w:rFonts w:ascii="Times New Roman" w:hAnsi="Times New Roman" w:cs="Times New Roman"/>
          <w:sz w:val="24"/>
          <w:szCs w:val="24"/>
        </w:rPr>
      </w:pPr>
    </w:p>
    <w:p w14:paraId="6B88A88F" w14:textId="0264706C" w:rsidR="006F2FA3" w:rsidRPr="007062AE" w:rsidRDefault="005730B6" w:rsidP="00C775A7">
      <w:pPr>
        <w:spacing w:before="240" w:after="0" w:line="240" w:lineRule="auto"/>
        <w:contextualSpacing/>
        <w:jc w:val="both"/>
        <w:rPr>
          <w:rFonts w:ascii="Times New Roman" w:hAnsi="Times New Roman" w:cs="Times New Roman"/>
          <w:b/>
          <w:bCs/>
          <w:sz w:val="24"/>
          <w:szCs w:val="24"/>
        </w:rPr>
      </w:pPr>
      <w:r w:rsidRPr="007062AE">
        <w:rPr>
          <w:rFonts w:ascii="Times New Roman" w:hAnsi="Times New Roman" w:cs="Times New Roman"/>
          <w:b/>
          <w:bCs/>
          <w:sz w:val="24"/>
          <w:szCs w:val="24"/>
        </w:rPr>
        <w:t xml:space="preserve">2.2.2 </w:t>
      </w:r>
      <w:r w:rsidR="006F2FA3" w:rsidRPr="007062AE">
        <w:rPr>
          <w:rFonts w:ascii="Times New Roman" w:hAnsi="Times New Roman" w:cs="Times New Roman"/>
          <w:b/>
          <w:bCs/>
          <w:sz w:val="24"/>
          <w:szCs w:val="24"/>
        </w:rPr>
        <w:t>R</w:t>
      </w:r>
      <w:r w:rsidR="00123F6B" w:rsidRPr="007062AE">
        <w:rPr>
          <w:rFonts w:ascii="Times New Roman" w:hAnsi="Times New Roman" w:cs="Times New Roman"/>
          <w:b/>
          <w:bCs/>
          <w:sz w:val="24"/>
          <w:szCs w:val="24"/>
        </w:rPr>
        <w:t>e</w:t>
      </w:r>
      <w:r w:rsidR="006F2FA3" w:rsidRPr="007062AE">
        <w:rPr>
          <w:rFonts w:ascii="Times New Roman" w:hAnsi="Times New Roman" w:cs="Times New Roman"/>
          <w:b/>
          <w:bCs/>
          <w:sz w:val="24"/>
          <w:szCs w:val="24"/>
        </w:rPr>
        <w:t>gional studies on</w:t>
      </w:r>
      <w:r w:rsidR="00123F6B" w:rsidRPr="007062AE">
        <w:rPr>
          <w:rFonts w:ascii="Times New Roman" w:hAnsi="Times New Roman" w:cs="Times New Roman"/>
          <w:b/>
          <w:bCs/>
          <w:sz w:val="24"/>
          <w:szCs w:val="24"/>
        </w:rPr>
        <w:t xml:space="preserve"> </w:t>
      </w:r>
      <w:r w:rsidR="00BF7E6B">
        <w:rPr>
          <w:rFonts w:ascii="Times New Roman" w:hAnsi="Times New Roman" w:cs="Times New Roman"/>
          <w:b/>
          <w:bCs/>
          <w:sz w:val="24"/>
          <w:szCs w:val="24"/>
        </w:rPr>
        <w:t xml:space="preserve">the </w:t>
      </w:r>
      <w:r w:rsidR="00123F6B" w:rsidRPr="007062AE">
        <w:rPr>
          <w:rFonts w:ascii="Times New Roman" w:hAnsi="Times New Roman" w:cs="Times New Roman"/>
          <w:b/>
          <w:bCs/>
          <w:sz w:val="24"/>
          <w:szCs w:val="24"/>
        </w:rPr>
        <w:t xml:space="preserve">role of textbooks </w:t>
      </w:r>
    </w:p>
    <w:p w14:paraId="7C0E1135" w14:textId="78F1EB4F" w:rsidR="00123F6B" w:rsidRPr="00BA4117" w:rsidRDefault="00123F6B" w:rsidP="00C775A7">
      <w:pPr>
        <w:spacing w:before="240" w:after="0" w:line="240" w:lineRule="auto"/>
        <w:contextualSpacing/>
        <w:jc w:val="both"/>
        <w:rPr>
          <w:rFonts w:ascii="Times New Roman" w:hAnsi="Times New Roman" w:cs="Times New Roman"/>
          <w:sz w:val="24"/>
          <w:szCs w:val="24"/>
        </w:rPr>
      </w:pPr>
      <w:r w:rsidRPr="00BA4117">
        <w:rPr>
          <w:rFonts w:ascii="Times New Roman" w:hAnsi="Times New Roman" w:cs="Times New Roman"/>
          <w:sz w:val="24"/>
          <w:szCs w:val="24"/>
        </w:rPr>
        <w:t xml:space="preserve">In developing countries, particularly in sub-Saharan Africa, research has often focused on the availability and use of learning materials, including textbooks, and their direct influence on academic outcomes. </w:t>
      </w:r>
      <w:r w:rsidR="00BF7E6B" w:rsidRPr="00BA4117">
        <w:rPr>
          <w:rFonts w:ascii="Times New Roman" w:hAnsi="Times New Roman" w:cs="Times New Roman"/>
          <w:sz w:val="24"/>
          <w:szCs w:val="24"/>
        </w:rPr>
        <w:t xml:space="preserve">In Ghana, </w:t>
      </w:r>
      <w:proofErr w:type="spellStart"/>
      <w:r w:rsidR="00BF7E6B" w:rsidRPr="00BA4117">
        <w:rPr>
          <w:rFonts w:ascii="Times New Roman" w:hAnsi="Times New Roman" w:cs="Times New Roman"/>
          <w:sz w:val="24"/>
          <w:szCs w:val="24"/>
        </w:rPr>
        <w:t>Attakumah</w:t>
      </w:r>
      <w:proofErr w:type="spellEnd"/>
      <w:r w:rsidR="00BF7E6B" w:rsidRPr="00BA4117">
        <w:rPr>
          <w:rFonts w:ascii="Times New Roman" w:hAnsi="Times New Roman" w:cs="Times New Roman"/>
          <w:sz w:val="24"/>
          <w:szCs w:val="24"/>
        </w:rPr>
        <w:t xml:space="preserve"> (2020) found a positive correlation between the use of standardi</w:t>
      </w:r>
      <w:r w:rsidR="00BA4117" w:rsidRPr="00BA4117">
        <w:rPr>
          <w:rFonts w:ascii="Times New Roman" w:hAnsi="Times New Roman" w:cs="Times New Roman"/>
          <w:sz w:val="24"/>
          <w:szCs w:val="24"/>
        </w:rPr>
        <w:t>s</w:t>
      </w:r>
      <w:r w:rsidR="00BF7E6B" w:rsidRPr="00BA4117">
        <w:rPr>
          <w:rFonts w:ascii="Times New Roman" w:hAnsi="Times New Roman" w:cs="Times New Roman"/>
          <w:sz w:val="24"/>
          <w:szCs w:val="24"/>
        </w:rPr>
        <w:t xml:space="preserve">ed textbooks in senior high schools and students’ academic achievement in core subjects, with schools reporting higher textbook use also recording significantly higher examination performance. This evidence underscores the importance of not only the availability but also the actual use of textbooks to enhance learning outcomes in resource-constrained educational environments. </w:t>
      </w:r>
      <w:r w:rsidRPr="00BA4117">
        <w:rPr>
          <w:rFonts w:ascii="Times New Roman" w:hAnsi="Times New Roman" w:cs="Times New Roman"/>
          <w:sz w:val="24"/>
          <w:szCs w:val="24"/>
        </w:rPr>
        <w:t xml:space="preserve">Similarly, UNESCO (2020) emphasised that increased textbook access is </w:t>
      </w:r>
      <w:r w:rsidRPr="00BA4117">
        <w:rPr>
          <w:rFonts w:ascii="Times New Roman" w:hAnsi="Times New Roman" w:cs="Times New Roman"/>
          <w:sz w:val="24"/>
          <w:szCs w:val="24"/>
        </w:rPr>
        <w:lastRenderedPageBreak/>
        <w:t>particularly beneficial in low-resource settings, where textbooks are often scarce, and access to other educational resources is limited.</w:t>
      </w:r>
    </w:p>
    <w:p w14:paraId="03831E00" w14:textId="2C8AB454" w:rsidR="00123F6B" w:rsidRDefault="00123F6B" w:rsidP="00C775A7">
      <w:pPr>
        <w:spacing w:before="240"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The effective use of textbooks is also critical. In Kenya, Mwikali</w:t>
      </w:r>
      <w:r w:rsidR="00507955">
        <w:rPr>
          <w:rFonts w:ascii="Times New Roman" w:hAnsi="Times New Roman" w:cs="Times New Roman"/>
          <w:sz w:val="24"/>
          <w:szCs w:val="24"/>
        </w:rPr>
        <w:t xml:space="preserve"> et al.</w:t>
      </w:r>
      <w:r w:rsidRPr="007062AE">
        <w:rPr>
          <w:rFonts w:ascii="Times New Roman" w:hAnsi="Times New Roman" w:cs="Times New Roman"/>
          <w:sz w:val="24"/>
          <w:szCs w:val="24"/>
        </w:rPr>
        <w:t xml:space="preserve"> (2024) demonstrated that textbooks alone do not guarantee improved academic performance. Instead, it is the regular and strategic use of these resources, alongside teachers' ability to integrate textbooks into their instructional strategies, that leads to better learning outcomes. This finding suggests that both the availability of textbooks and their effective integration into the learning process are key to improving academic achievement, especially in resource-constrained settings.</w:t>
      </w:r>
    </w:p>
    <w:p w14:paraId="7A7D6421" w14:textId="77777777" w:rsidR="00C775A7" w:rsidRPr="007062AE" w:rsidRDefault="00C775A7" w:rsidP="00C775A7">
      <w:pPr>
        <w:spacing w:after="0" w:line="240" w:lineRule="auto"/>
        <w:jc w:val="both"/>
        <w:rPr>
          <w:rFonts w:ascii="Times New Roman" w:hAnsi="Times New Roman" w:cs="Times New Roman"/>
          <w:sz w:val="24"/>
          <w:szCs w:val="24"/>
        </w:rPr>
      </w:pPr>
    </w:p>
    <w:p w14:paraId="41B19724" w14:textId="51C0832A" w:rsidR="00123F6B" w:rsidRPr="007062AE" w:rsidRDefault="005730B6" w:rsidP="00C775A7">
      <w:pPr>
        <w:spacing w:before="240" w:after="0" w:line="240" w:lineRule="auto"/>
        <w:contextualSpacing/>
        <w:jc w:val="both"/>
        <w:rPr>
          <w:rFonts w:ascii="Times New Roman" w:hAnsi="Times New Roman" w:cs="Times New Roman"/>
          <w:b/>
          <w:bCs/>
          <w:sz w:val="24"/>
          <w:szCs w:val="24"/>
        </w:rPr>
      </w:pPr>
      <w:r w:rsidRPr="007062AE">
        <w:rPr>
          <w:rFonts w:ascii="Times New Roman" w:hAnsi="Times New Roman" w:cs="Times New Roman"/>
          <w:b/>
          <w:bCs/>
          <w:sz w:val="24"/>
          <w:szCs w:val="24"/>
        </w:rPr>
        <w:t xml:space="preserve">2.2.3 </w:t>
      </w:r>
      <w:r w:rsidR="00123F6B" w:rsidRPr="007062AE">
        <w:rPr>
          <w:rFonts w:ascii="Times New Roman" w:hAnsi="Times New Roman" w:cs="Times New Roman"/>
          <w:b/>
          <w:bCs/>
          <w:sz w:val="24"/>
          <w:szCs w:val="24"/>
        </w:rPr>
        <w:t>Textbooks and academic performance in Tanzania</w:t>
      </w:r>
    </w:p>
    <w:p w14:paraId="2C643F42" w14:textId="5BA9015B" w:rsidR="005A178D" w:rsidRPr="00BA4117" w:rsidRDefault="005A178D" w:rsidP="00C775A7">
      <w:pPr>
        <w:spacing w:after="0" w:line="240" w:lineRule="auto"/>
        <w:jc w:val="both"/>
        <w:rPr>
          <w:rFonts w:ascii="Times New Roman" w:hAnsi="Times New Roman" w:cs="Times New Roman"/>
          <w:strike/>
          <w:sz w:val="24"/>
          <w:szCs w:val="24"/>
        </w:rPr>
      </w:pPr>
      <w:r w:rsidRPr="00BA4117">
        <w:rPr>
          <w:rFonts w:ascii="Times New Roman" w:hAnsi="Times New Roman" w:cs="Times New Roman"/>
          <w:sz w:val="24"/>
          <w:szCs w:val="24"/>
        </w:rPr>
        <w:t xml:space="preserve">In Tanzania, while </w:t>
      </w:r>
      <w:r w:rsidRPr="00BA4117">
        <w:rPr>
          <w:rStyle w:val="Strong"/>
          <w:rFonts w:ascii="Times New Roman" w:hAnsi="Times New Roman" w:cs="Times New Roman"/>
          <w:b w:val="0"/>
          <w:bCs w:val="0"/>
          <w:sz w:val="24"/>
          <w:szCs w:val="24"/>
        </w:rPr>
        <w:t>direct empirical research linking textbook availability to national examination performance is limited</w:t>
      </w:r>
      <w:r w:rsidRPr="00BA4117">
        <w:rPr>
          <w:rFonts w:ascii="Times New Roman" w:hAnsi="Times New Roman" w:cs="Times New Roman"/>
          <w:sz w:val="24"/>
          <w:szCs w:val="24"/>
        </w:rPr>
        <w:t xml:space="preserve">, existing studies underscore the importance of textbooks and instructional materials in enhancing student outcomes. Baseline research on textbook availability conducted in Dodoma, Morogoro, and Lindi regions found that the </w:t>
      </w:r>
      <w:r w:rsidRPr="00BA4117">
        <w:rPr>
          <w:rStyle w:val="Strong"/>
          <w:rFonts w:ascii="Times New Roman" w:hAnsi="Times New Roman" w:cs="Times New Roman"/>
          <w:b w:val="0"/>
          <w:bCs w:val="0"/>
          <w:sz w:val="24"/>
          <w:szCs w:val="24"/>
        </w:rPr>
        <w:t>majority of secondary schools lacked class sets of textbooks</w:t>
      </w:r>
      <w:r w:rsidRPr="00BA4117">
        <w:rPr>
          <w:rFonts w:ascii="Times New Roman" w:hAnsi="Times New Roman" w:cs="Times New Roman"/>
          <w:sz w:val="24"/>
          <w:szCs w:val="24"/>
        </w:rPr>
        <w:t>, and students often relied on scarce books for learning, suggesting that limited textbook access could constrain academic achievement (</w:t>
      </w:r>
      <w:proofErr w:type="spellStart"/>
      <w:r w:rsidRPr="00BA4117">
        <w:rPr>
          <w:rFonts w:ascii="Times New Roman" w:hAnsi="Times New Roman" w:cs="Times New Roman"/>
          <w:sz w:val="24"/>
          <w:szCs w:val="24"/>
        </w:rPr>
        <w:t>Rubagumya</w:t>
      </w:r>
      <w:proofErr w:type="spellEnd"/>
      <w:r w:rsidRPr="00BA4117">
        <w:rPr>
          <w:rFonts w:ascii="Times New Roman" w:hAnsi="Times New Roman" w:cs="Times New Roman"/>
          <w:sz w:val="24"/>
          <w:szCs w:val="24"/>
        </w:rPr>
        <w:t xml:space="preserve">, Osaki, Barrett, &amp; </w:t>
      </w:r>
      <w:proofErr w:type="spellStart"/>
      <w:r w:rsidRPr="00BA4117">
        <w:rPr>
          <w:rFonts w:ascii="Times New Roman" w:hAnsi="Times New Roman" w:cs="Times New Roman"/>
          <w:sz w:val="24"/>
          <w:szCs w:val="24"/>
        </w:rPr>
        <w:t>Mtana</w:t>
      </w:r>
      <w:proofErr w:type="spellEnd"/>
      <w:r w:rsidRPr="00BA4117">
        <w:rPr>
          <w:rFonts w:ascii="Times New Roman" w:hAnsi="Times New Roman" w:cs="Times New Roman"/>
          <w:sz w:val="24"/>
          <w:szCs w:val="24"/>
        </w:rPr>
        <w:t xml:space="preserve">, 2014). Furthermore, an evaluation of the </w:t>
      </w:r>
      <w:r w:rsidRPr="00BA4117">
        <w:rPr>
          <w:rStyle w:val="Strong"/>
          <w:rFonts w:ascii="Times New Roman" w:hAnsi="Times New Roman" w:cs="Times New Roman"/>
          <w:b w:val="0"/>
          <w:bCs w:val="0"/>
          <w:sz w:val="24"/>
          <w:szCs w:val="24"/>
        </w:rPr>
        <w:t>Language Supportive Teaching and Textbooks</w:t>
      </w:r>
      <w:r w:rsidRPr="00BA4117">
        <w:rPr>
          <w:rStyle w:val="Strong"/>
          <w:rFonts w:ascii="Times New Roman" w:hAnsi="Times New Roman" w:cs="Times New Roman"/>
          <w:sz w:val="24"/>
          <w:szCs w:val="24"/>
        </w:rPr>
        <w:t xml:space="preserve"> (</w:t>
      </w:r>
      <w:r w:rsidRPr="00BA4117">
        <w:rPr>
          <w:rStyle w:val="Strong"/>
          <w:rFonts w:ascii="Times New Roman" w:hAnsi="Times New Roman" w:cs="Times New Roman"/>
          <w:b w:val="0"/>
          <w:bCs w:val="0"/>
          <w:sz w:val="24"/>
          <w:szCs w:val="24"/>
        </w:rPr>
        <w:t>LSTT</w:t>
      </w:r>
      <w:r w:rsidRPr="00BA4117">
        <w:rPr>
          <w:rStyle w:val="Strong"/>
          <w:rFonts w:ascii="Times New Roman" w:hAnsi="Times New Roman" w:cs="Times New Roman"/>
          <w:sz w:val="24"/>
          <w:szCs w:val="24"/>
        </w:rPr>
        <w:t>)</w:t>
      </w:r>
      <w:r w:rsidRPr="00BA4117">
        <w:rPr>
          <w:rFonts w:ascii="Times New Roman" w:hAnsi="Times New Roman" w:cs="Times New Roman"/>
          <w:sz w:val="24"/>
          <w:szCs w:val="24"/>
        </w:rPr>
        <w:t xml:space="preserve"> project reported that the use of language</w:t>
      </w:r>
      <w:r w:rsidRPr="00BA4117">
        <w:rPr>
          <w:rFonts w:ascii="Times New Roman" w:hAnsi="Times New Roman" w:cs="Times New Roman"/>
          <w:sz w:val="24"/>
          <w:szCs w:val="24"/>
        </w:rPr>
        <w:noBreakHyphen/>
        <w:t>supportive mathematics textbook materials improved students’ post</w:t>
      </w:r>
      <w:r w:rsidR="00BA4117" w:rsidRPr="00BA4117">
        <w:rPr>
          <w:rFonts w:ascii="Times New Roman" w:hAnsi="Times New Roman" w:cs="Times New Roman"/>
          <w:sz w:val="24"/>
          <w:szCs w:val="24"/>
        </w:rPr>
        <w:t>-</w:t>
      </w:r>
      <w:r w:rsidRPr="00BA4117">
        <w:rPr>
          <w:rFonts w:ascii="Times New Roman" w:hAnsi="Times New Roman" w:cs="Times New Roman"/>
          <w:sz w:val="24"/>
          <w:szCs w:val="24"/>
        </w:rPr>
        <w:t xml:space="preserve">test performance in rural community secondary schools, demonstrating how structured textbook content can support learning outcomes (William &amp; </w:t>
      </w:r>
      <w:proofErr w:type="spellStart"/>
      <w:r w:rsidRPr="00BA4117">
        <w:rPr>
          <w:rFonts w:ascii="Times New Roman" w:hAnsi="Times New Roman" w:cs="Times New Roman"/>
          <w:sz w:val="24"/>
          <w:szCs w:val="24"/>
        </w:rPr>
        <w:t>Ndabakurane</w:t>
      </w:r>
      <w:proofErr w:type="spellEnd"/>
      <w:r w:rsidRPr="00BA4117">
        <w:rPr>
          <w:rFonts w:ascii="Times New Roman" w:hAnsi="Times New Roman" w:cs="Times New Roman"/>
          <w:sz w:val="24"/>
          <w:szCs w:val="24"/>
        </w:rPr>
        <w:t xml:space="preserve">, 2017). Despite these indications of the positive role of textbooks, </w:t>
      </w:r>
      <w:r w:rsidRPr="00BA4117">
        <w:rPr>
          <w:rStyle w:val="Strong"/>
          <w:rFonts w:ascii="Times New Roman" w:hAnsi="Times New Roman" w:cs="Times New Roman"/>
          <w:b w:val="0"/>
          <w:bCs w:val="0"/>
          <w:sz w:val="24"/>
          <w:szCs w:val="24"/>
        </w:rPr>
        <w:t>textbook distribution in Tanzania remains uneven</w:t>
      </w:r>
      <w:r w:rsidRPr="00BA4117">
        <w:rPr>
          <w:rFonts w:ascii="Times New Roman" w:hAnsi="Times New Roman" w:cs="Times New Roman"/>
          <w:sz w:val="24"/>
          <w:szCs w:val="24"/>
        </w:rPr>
        <w:t xml:space="preserve"> and inadequate, particularly in rural versus urban areas, with many schools lacking sufficient copies to support effective teaching and independent student study (</w:t>
      </w:r>
      <w:proofErr w:type="spellStart"/>
      <w:r w:rsidRPr="00BA4117">
        <w:rPr>
          <w:rFonts w:ascii="Times New Roman" w:hAnsi="Times New Roman" w:cs="Times New Roman"/>
          <w:sz w:val="24"/>
          <w:szCs w:val="24"/>
        </w:rPr>
        <w:t>Rubagumya</w:t>
      </w:r>
      <w:proofErr w:type="spellEnd"/>
      <w:r w:rsidRPr="00BA4117">
        <w:rPr>
          <w:rFonts w:ascii="Times New Roman" w:hAnsi="Times New Roman" w:cs="Times New Roman"/>
          <w:sz w:val="24"/>
          <w:szCs w:val="24"/>
        </w:rPr>
        <w:t xml:space="preserve"> et al., 2014). These findings highlight ongoing challenges in ensuring equitable access to quality textbooks, limiting the potential impact of textbook</w:t>
      </w:r>
      <w:r w:rsidR="00BA4117" w:rsidRPr="00BA4117">
        <w:rPr>
          <w:rFonts w:ascii="Times New Roman" w:hAnsi="Times New Roman" w:cs="Times New Roman"/>
          <w:sz w:val="24"/>
          <w:szCs w:val="24"/>
        </w:rPr>
        <w:t>-</w:t>
      </w:r>
      <w:r w:rsidRPr="00BA4117">
        <w:rPr>
          <w:rFonts w:ascii="Times New Roman" w:hAnsi="Times New Roman" w:cs="Times New Roman"/>
          <w:sz w:val="24"/>
          <w:szCs w:val="24"/>
        </w:rPr>
        <w:t>based interventions on learning and assessment outcomes across the country.</w:t>
      </w:r>
    </w:p>
    <w:p w14:paraId="16B5011F" w14:textId="77777777" w:rsidR="00C775A7" w:rsidRPr="00BA4117" w:rsidRDefault="00C775A7" w:rsidP="00C775A7">
      <w:pPr>
        <w:spacing w:after="0" w:line="240" w:lineRule="auto"/>
        <w:jc w:val="both"/>
        <w:rPr>
          <w:rFonts w:ascii="Times New Roman" w:hAnsi="Times New Roman" w:cs="Times New Roman"/>
          <w:sz w:val="24"/>
          <w:szCs w:val="24"/>
        </w:rPr>
      </w:pPr>
    </w:p>
    <w:p w14:paraId="38FCBD5D" w14:textId="073F7338" w:rsidR="00C775A7" w:rsidRDefault="005A178D" w:rsidP="00C77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However, a</w:t>
      </w:r>
      <w:r w:rsidR="00123F6B" w:rsidRPr="007062AE">
        <w:rPr>
          <w:rFonts w:ascii="Times New Roman" w:hAnsi="Times New Roman" w:cs="Times New Roman"/>
          <w:sz w:val="24"/>
          <w:szCs w:val="24"/>
        </w:rPr>
        <w:t xml:space="preserve"> gap in the literature remains regarding the specific role of subject-specific textbooks, such as </w:t>
      </w:r>
      <w:r w:rsidR="00FA4439">
        <w:rPr>
          <w:rFonts w:ascii="Times New Roman" w:hAnsi="Times New Roman" w:cs="Times New Roman"/>
          <w:sz w:val="24"/>
          <w:szCs w:val="24"/>
        </w:rPr>
        <w:t>E</w:t>
      </w:r>
      <w:r w:rsidR="00123F6B" w:rsidRPr="007062AE">
        <w:rPr>
          <w:rFonts w:ascii="Times New Roman" w:hAnsi="Times New Roman" w:cs="Times New Roman"/>
          <w:sz w:val="24"/>
          <w:szCs w:val="24"/>
        </w:rPr>
        <w:t>conomics textbooks</w:t>
      </w:r>
      <w:r w:rsidR="00246795">
        <w:rPr>
          <w:rFonts w:ascii="Times New Roman" w:hAnsi="Times New Roman" w:cs="Times New Roman"/>
          <w:sz w:val="24"/>
          <w:szCs w:val="24"/>
        </w:rPr>
        <w:t>,</w:t>
      </w:r>
      <w:r w:rsidR="00123F6B" w:rsidRPr="007062AE">
        <w:rPr>
          <w:rFonts w:ascii="Times New Roman" w:hAnsi="Times New Roman" w:cs="Times New Roman"/>
          <w:sz w:val="24"/>
          <w:szCs w:val="24"/>
        </w:rPr>
        <w:t xml:space="preserve"> in Tanzania’s educational system. While research has broadly examined the impact of textbooks on general academic performance, there is limited evidence on how the introduction of </w:t>
      </w:r>
      <w:r w:rsidR="00246795">
        <w:rPr>
          <w:rFonts w:ascii="Times New Roman" w:hAnsi="Times New Roman" w:cs="Times New Roman"/>
          <w:sz w:val="24"/>
          <w:szCs w:val="24"/>
        </w:rPr>
        <w:t>E</w:t>
      </w:r>
      <w:r w:rsidR="00123F6B" w:rsidRPr="007062AE">
        <w:rPr>
          <w:rFonts w:ascii="Times New Roman" w:hAnsi="Times New Roman" w:cs="Times New Roman"/>
          <w:sz w:val="24"/>
          <w:szCs w:val="24"/>
        </w:rPr>
        <w:t>conomics textbooks, in particular, influences student performance on national exam</w:t>
      </w:r>
      <w:r w:rsidR="00246795">
        <w:rPr>
          <w:rFonts w:ascii="Times New Roman" w:hAnsi="Times New Roman" w:cs="Times New Roman"/>
          <w:sz w:val="24"/>
          <w:szCs w:val="24"/>
        </w:rPr>
        <w:t>ination</w:t>
      </w:r>
      <w:r w:rsidR="00123F6B" w:rsidRPr="007062AE">
        <w:rPr>
          <w:rFonts w:ascii="Times New Roman" w:hAnsi="Times New Roman" w:cs="Times New Roman"/>
          <w:sz w:val="24"/>
          <w:szCs w:val="24"/>
        </w:rPr>
        <w:t>s. This gap underscores the need for further studies focused on subject-specific textbooks and their role in enhancing student learning outcomes in Tanzania, especially given the country’s broader economic development goals.</w:t>
      </w:r>
    </w:p>
    <w:p w14:paraId="433F9D5F" w14:textId="77777777" w:rsidR="00C775A7" w:rsidRPr="007062AE" w:rsidRDefault="00C775A7" w:rsidP="00C775A7">
      <w:pPr>
        <w:spacing w:after="0" w:line="240" w:lineRule="auto"/>
        <w:jc w:val="both"/>
        <w:rPr>
          <w:rFonts w:ascii="Times New Roman" w:hAnsi="Times New Roman" w:cs="Times New Roman"/>
          <w:sz w:val="24"/>
          <w:szCs w:val="24"/>
        </w:rPr>
      </w:pPr>
    </w:p>
    <w:p w14:paraId="53C0E55B" w14:textId="0331617A" w:rsidR="00C027C3" w:rsidRDefault="001270CD" w:rsidP="00C775A7">
      <w:pPr>
        <w:pStyle w:val="ListParagraph"/>
        <w:numPr>
          <w:ilvl w:val="0"/>
          <w:numId w:val="7"/>
        </w:numPr>
        <w:spacing w:after="0" w:line="240" w:lineRule="auto"/>
        <w:ind w:left="360"/>
        <w:jc w:val="both"/>
        <w:rPr>
          <w:rFonts w:ascii="Times New Roman" w:hAnsi="Times New Roman" w:cs="Times New Roman"/>
          <w:b/>
          <w:bCs/>
          <w:sz w:val="24"/>
          <w:szCs w:val="24"/>
        </w:rPr>
      </w:pPr>
      <w:r w:rsidRPr="007062AE">
        <w:rPr>
          <w:rFonts w:ascii="Times New Roman" w:hAnsi="Times New Roman" w:cs="Times New Roman"/>
          <w:b/>
          <w:bCs/>
          <w:sz w:val="24"/>
          <w:szCs w:val="24"/>
        </w:rPr>
        <w:t>Research method</w:t>
      </w:r>
    </w:p>
    <w:p w14:paraId="3FBB6AAA" w14:textId="331539E7" w:rsidR="008A5191" w:rsidRPr="008A5191" w:rsidRDefault="008A5191" w:rsidP="008A5191">
      <w:pPr>
        <w:spacing w:after="0" w:line="240" w:lineRule="auto"/>
        <w:jc w:val="both"/>
        <w:rPr>
          <w:rFonts w:ascii="Times New Roman" w:hAnsi="Times New Roman" w:cs="Times New Roman"/>
          <w:b/>
          <w:bCs/>
          <w:sz w:val="24"/>
          <w:szCs w:val="24"/>
        </w:rPr>
      </w:pPr>
      <w:r w:rsidRPr="008A5191">
        <w:rPr>
          <w:rFonts w:ascii="Times New Roman" w:hAnsi="Times New Roman" w:cs="Times New Roman"/>
          <w:sz w:val="24"/>
          <w:szCs w:val="24"/>
        </w:rPr>
        <w:t>This section outlines the methodology used in this study, detailing the population, sampling techniques, research design, data collection methods, analysis procedures, ethical considerations, and the limitations encountered. The aim is to provide a clear understanding of how the research was conducted, the data collected, and how the analysis was performed to address the research objectives.</w:t>
      </w:r>
    </w:p>
    <w:p w14:paraId="3F1DBBA9" w14:textId="77777777" w:rsidR="00C775A7" w:rsidRPr="008A5191" w:rsidRDefault="00C775A7" w:rsidP="00C775A7">
      <w:pPr>
        <w:pStyle w:val="ListParagraph"/>
        <w:spacing w:after="0" w:line="240" w:lineRule="auto"/>
        <w:ind w:left="360"/>
        <w:jc w:val="both"/>
        <w:rPr>
          <w:rFonts w:ascii="Times New Roman" w:hAnsi="Times New Roman" w:cs="Times New Roman"/>
          <w:b/>
          <w:bCs/>
          <w:sz w:val="24"/>
          <w:szCs w:val="24"/>
        </w:rPr>
      </w:pPr>
    </w:p>
    <w:p w14:paraId="25909ACB" w14:textId="716B15AE" w:rsidR="004B25B8" w:rsidRPr="007062AE" w:rsidRDefault="004B25B8" w:rsidP="00C775A7">
      <w:pPr>
        <w:pStyle w:val="Default"/>
        <w:jc w:val="both"/>
        <w:rPr>
          <w:b/>
          <w:bCs/>
        </w:rPr>
      </w:pPr>
      <w:r w:rsidRPr="007062AE">
        <w:rPr>
          <w:b/>
          <w:bCs/>
        </w:rPr>
        <w:t xml:space="preserve">3.1 Population and sample </w:t>
      </w:r>
    </w:p>
    <w:p w14:paraId="047E0978" w14:textId="551A6853" w:rsidR="002C29E1" w:rsidRDefault="004B25B8" w:rsidP="00C775A7">
      <w:pPr>
        <w:pStyle w:val="Default"/>
        <w:jc w:val="both"/>
      </w:pPr>
      <w:r w:rsidRPr="007062AE">
        <w:t xml:space="preserve">The population for this </w:t>
      </w:r>
      <w:r w:rsidR="002C29E1" w:rsidRPr="007062AE">
        <w:t>study</w:t>
      </w:r>
      <w:r w:rsidRPr="007062AE">
        <w:t xml:space="preserve"> includes all candidates who sat for the </w:t>
      </w:r>
      <w:r w:rsidR="002C29E1" w:rsidRPr="007062AE">
        <w:t xml:space="preserve">Economics examination in the </w:t>
      </w:r>
      <w:r w:rsidR="002C29E1" w:rsidRPr="007062AE">
        <w:rPr>
          <w:rStyle w:val="Strong"/>
          <w:b w:val="0"/>
          <w:bCs w:val="0"/>
        </w:rPr>
        <w:t>Advanced Certificate of Secondary Education Examination (ACSEE)</w:t>
      </w:r>
      <w:r w:rsidR="002C29E1" w:rsidRPr="007062AE">
        <w:t xml:space="preserve"> in Tanzania </w:t>
      </w:r>
      <w:r w:rsidRPr="007062AE">
        <w:t xml:space="preserve">from 2014 to 2024. </w:t>
      </w:r>
      <w:r w:rsidR="002C29E1" w:rsidRPr="007062AE">
        <w:t xml:space="preserve">A purposive sampling approach was used to select </w:t>
      </w:r>
      <w:r w:rsidR="002C29E1" w:rsidRPr="007062AE">
        <w:rPr>
          <w:rStyle w:val="Strong"/>
          <w:b w:val="0"/>
          <w:bCs w:val="0"/>
        </w:rPr>
        <w:t>71,542 candidates</w:t>
      </w:r>
      <w:r w:rsidR="002C29E1" w:rsidRPr="00FA4439">
        <w:t>,</w:t>
      </w:r>
      <w:r w:rsidR="002C29E1" w:rsidRPr="007062AE">
        <w:t xml:space="preserve"> comprising 33,205 </w:t>
      </w:r>
      <w:r w:rsidR="002C29E1" w:rsidRPr="007062AE">
        <w:lastRenderedPageBreak/>
        <w:t>students who sat for the Economics examination from 2019 to 2021 (the pre-introduction period) and 38,337 students who sat for the examination from 2022 to</w:t>
      </w:r>
      <w:r w:rsidR="002C29E1" w:rsidRPr="007062AE">
        <w:rPr>
          <w:rStyle w:val="Strong"/>
        </w:rPr>
        <w:t xml:space="preserve"> </w:t>
      </w:r>
      <w:r w:rsidR="002C29E1" w:rsidRPr="007062AE">
        <w:rPr>
          <w:rStyle w:val="Strong"/>
          <w:b w:val="0"/>
          <w:bCs w:val="0"/>
        </w:rPr>
        <w:t>2024</w:t>
      </w:r>
      <w:r w:rsidR="002C29E1" w:rsidRPr="007062AE">
        <w:t xml:space="preserve"> (the post-introduction period). This sample selection was intended to focus specifically on the group of students most directly affected by the introduction of the official Economics textbook.</w:t>
      </w:r>
    </w:p>
    <w:p w14:paraId="2B1423EF" w14:textId="77777777" w:rsidR="00C775A7" w:rsidRPr="007062AE" w:rsidRDefault="00C775A7" w:rsidP="00C775A7">
      <w:pPr>
        <w:pStyle w:val="Default"/>
        <w:jc w:val="both"/>
      </w:pPr>
    </w:p>
    <w:p w14:paraId="41F2989B" w14:textId="69CBAB8C" w:rsidR="00E25F31" w:rsidRPr="007062AE" w:rsidRDefault="00E25F31" w:rsidP="00C775A7">
      <w:pPr>
        <w:spacing w:after="0" w:line="240" w:lineRule="auto"/>
        <w:jc w:val="both"/>
        <w:rPr>
          <w:rFonts w:ascii="Times New Roman" w:hAnsi="Times New Roman" w:cs="Times New Roman"/>
          <w:b/>
          <w:bCs/>
          <w:sz w:val="24"/>
          <w:szCs w:val="24"/>
        </w:rPr>
      </w:pPr>
      <w:r w:rsidRPr="007062AE">
        <w:rPr>
          <w:rFonts w:ascii="Times New Roman" w:hAnsi="Times New Roman" w:cs="Times New Roman"/>
          <w:b/>
          <w:bCs/>
          <w:sz w:val="24"/>
          <w:szCs w:val="24"/>
        </w:rPr>
        <w:t>3.</w:t>
      </w:r>
      <w:r w:rsidR="004B25B8" w:rsidRPr="007062AE">
        <w:rPr>
          <w:rFonts w:ascii="Times New Roman" w:hAnsi="Times New Roman" w:cs="Times New Roman"/>
          <w:b/>
          <w:bCs/>
          <w:sz w:val="24"/>
          <w:szCs w:val="24"/>
        </w:rPr>
        <w:t>2</w:t>
      </w:r>
      <w:r w:rsidRPr="007062AE">
        <w:rPr>
          <w:rFonts w:ascii="Times New Roman" w:hAnsi="Times New Roman" w:cs="Times New Roman"/>
          <w:b/>
          <w:bCs/>
          <w:sz w:val="24"/>
          <w:szCs w:val="24"/>
        </w:rPr>
        <w:t xml:space="preserve"> Research </w:t>
      </w:r>
      <w:r w:rsidR="005A0A93" w:rsidRPr="007062AE">
        <w:rPr>
          <w:rFonts w:ascii="Times New Roman" w:hAnsi="Times New Roman" w:cs="Times New Roman"/>
          <w:b/>
          <w:bCs/>
          <w:sz w:val="24"/>
          <w:szCs w:val="24"/>
        </w:rPr>
        <w:t>d</w:t>
      </w:r>
      <w:r w:rsidRPr="007062AE">
        <w:rPr>
          <w:rFonts w:ascii="Times New Roman" w:hAnsi="Times New Roman" w:cs="Times New Roman"/>
          <w:b/>
          <w:bCs/>
          <w:sz w:val="24"/>
          <w:szCs w:val="24"/>
        </w:rPr>
        <w:t>esign</w:t>
      </w:r>
    </w:p>
    <w:p w14:paraId="0C09F6FE" w14:textId="62282BBE" w:rsidR="002C29E1" w:rsidRPr="007062AE" w:rsidRDefault="002C29E1"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research adopted a </w:t>
      </w:r>
      <w:r w:rsidRPr="007062AE">
        <w:rPr>
          <w:rStyle w:val="Strong"/>
          <w:rFonts w:ascii="Times New Roman" w:hAnsi="Times New Roman" w:cs="Times New Roman"/>
          <w:b w:val="0"/>
          <w:bCs w:val="0"/>
          <w:sz w:val="24"/>
          <w:szCs w:val="24"/>
        </w:rPr>
        <w:t>comparative design</w:t>
      </w:r>
      <w:r w:rsidRPr="00FA4439">
        <w:rPr>
          <w:rFonts w:ascii="Times New Roman" w:hAnsi="Times New Roman" w:cs="Times New Roman"/>
          <w:sz w:val="24"/>
          <w:szCs w:val="24"/>
        </w:rPr>
        <w:t>,</w:t>
      </w:r>
      <w:r w:rsidRPr="007062AE">
        <w:rPr>
          <w:rFonts w:ascii="Times New Roman" w:hAnsi="Times New Roman" w:cs="Times New Roman"/>
          <w:sz w:val="24"/>
          <w:szCs w:val="24"/>
        </w:rPr>
        <w:t xml:space="preserve"> which compares </w:t>
      </w:r>
      <w:r w:rsidRPr="007062AE">
        <w:rPr>
          <w:rStyle w:val="Strong"/>
          <w:rFonts w:ascii="Times New Roman" w:hAnsi="Times New Roman" w:cs="Times New Roman"/>
          <w:b w:val="0"/>
          <w:bCs w:val="0"/>
          <w:sz w:val="24"/>
          <w:szCs w:val="24"/>
        </w:rPr>
        <w:t>student performance in Economics</w:t>
      </w:r>
      <w:r w:rsidRPr="007062AE">
        <w:rPr>
          <w:rFonts w:ascii="Times New Roman" w:hAnsi="Times New Roman" w:cs="Times New Roman"/>
          <w:sz w:val="24"/>
          <w:szCs w:val="24"/>
        </w:rPr>
        <w:t xml:space="preserve"> across two periods: the pre-introduction period (2019-2021) and the post-introduction period (2022-2024). This approach allows for the observation of any significant differences in performance following the introduction of the textbook.</w:t>
      </w:r>
    </w:p>
    <w:p w14:paraId="3EAF445E" w14:textId="0836D486" w:rsidR="002C29E1" w:rsidRDefault="002C29E1" w:rsidP="00C775A7">
      <w:pPr>
        <w:pStyle w:val="NormalWeb"/>
        <w:spacing w:after="0" w:afterAutospacing="0"/>
        <w:jc w:val="both"/>
      </w:pPr>
      <w:r w:rsidRPr="007062AE">
        <w:t xml:space="preserve">The rationale for selecting the </w:t>
      </w:r>
      <w:r w:rsidRPr="007062AE">
        <w:rPr>
          <w:rStyle w:val="Strong"/>
          <w:rFonts w:eastAsiaTheme="majorEastAsia"/>
          <w:b w:val="0"/>
          <w:bCs w:val="0"/>
        </w:rPr>
        <w:t>2019-2021</w:t>
      </w:r>
      <w:r w:rsidRPr="007062AE">
        <w:t xml:space="preserve"> period was that the textbook was not in use during these years, and students relied on a mixture of self-authored materials and imported textbooks, which varied in quality and alignment with the curriculum. The </w:t>
      </w:r>
      <w:r w:rsidRPr="007062AE">
        <w:rPr>
          <w:rStyle w:val="Strong"/>
          <w:rFonts w:eastAsiaTheme="majorEastAsia"/>
          <w:b w:val="0"/>
          <w:bCs w:val="0"/>
        </w:rPr>
        <w:t>2022-2024</w:t>
      </w:r>
      <w:r w:rsidRPr="007062AE">
        <w:t xml:space="preserve"> period marks the first year in which the TIE-approved Economics textbook was widely implemented in schools across Tanzania.</w:t>
      </w:r>
    </w:p>
    <w:p w14:paraId="7F7AADAC" w14:textId="77777777" w:rsidR="00C775A7" w:rsidRPr="007062AE" w:rsidRDefault="00C775A7" w:rsidP="00C775A7">
      <w:pPr>
        <w:pStyle w:val="NormalWeb"/>
        <w:spacing w:before="0" w:beforeAutospacing="0" w:after="0" w:afterAutospacing="0"/>
        <w:jc w:val="both"/>
      </w:pPr>
    </w:p>
    <w:p w14:paraId="51BB0D91" w14:textId="052225DE" w:rsidR="00E25F31" w:rsidRPr="007062AE" w:rsidRDefault="00E25F31" w:rsidP="00C775A7">
      <w:pPr>
        <w:spacing w:after="0" w:line="240" w:lineRule="auto"/>
        <w:jc w:val="both"/>
        <w:rPr>
          <w:rFonts w:ascii="Times New Roman" w:hAnsi="Times New Roman" w:cs="Times New Roman"/>
          <w:b/>
          <w:bCs/>
          <w:sz w:val="24"/>
          <w:szCs w:val="24"/>
        </w:rPr>
      </w:pPr>
      <w:r w:rsidRPr="007062AE">
        <w:rPr>
          <w:rFonts w:ascii="Times New Roman" w:hAnsi="Times New Roman" w:cs="Times New Roman"/>
          <w:b/>
          <w:bCs/>
          <w:sz w:val="24"/>
          <w:szCs w:val="24"/>
        </w:rPr>
        <w:t>3.</w:t>
      </w:r>
      <w:r w:rsidR="004B25B8" w:rsidRPr="007062AE">
        <w:rPr>
          <w:rFonts w:ascii="Times New Roman" w:hAnsi="Times New Roman" w:cs="Times New Roman"/>
          <w:b/>
          <w:bCs/>
          <w:sz w:val="24"/>
          <w:szCs w:val="24"/>
        </w:rPr>
        <w:t>3</w:t>
      </w:r>
      <w:r w:rsidRPr="007062AE">
        <w:rPr>
          <w:rFonts w:ascii="Times New Roman" w:hAnsi="Times New Roman" w:cs="Times New Roman"/>
          <w:b/>
          <w:bCs/>
          <w:sz w:val="24"/>
          <w:szCs w:val="24"/>
        </w:rPr>
        <w:t xml:space="preserve"> Data </w:t>
      </w:r>
      <w:r w:rsidR="005A0A93" w:rsidRPr="007062AE">
        <w:rPr>
          <w:rFonts w:ascii="Times New Roman" w:hAnsi="Times New Roman" w:cs="Times New Roman"/>
          <w:b/>
          <w:bCs/>
          <w:sz w:val="24"/>
          <w:szCs w:val="24"/>
        </w:rPr>
        <w:t>c</w:t>
      </w:r>
      <w:r w:rsidRPr="007062AE">
        <w:rPr>
          <w:rFonts w:ascii="Times New Roman" w:hAnsi="Times New Roman" w:cs="Times New Roman"/>
          <w:b/>
          <w:bCs/>
          <w:sz w:val="24"/>
          <w:szCs w:val="24"/>
        </w:rPr>
        <w:t>ollection</w:t>
      </w:r>
    </w:p>
    <w:p w14:paraId="78A87DD2" w14:textId="5C2F8670" w:rsidR="002C29E1" w:rsidRDefault="002C29E1"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Secondary data for this study were obtained from the </w:t>
      </w:r>
      <w:r w:rsidRPr="007062AE">
        <w:rPr>
          <w:rStyle w:val="Strong"/>
          <w:rFonts w:ascii="Times New Roman" w:hAnsi="Times New Roman" w:cs="Times New Roman"/>
          <w:b w:val="0"/>
          <w:bCs w:val="0"/>
          <w:sz w:val="24"/>
          <w:szCs w:val="24"/>
        </w:rPr>
        <w:t>National Examinations Council of Tanzania (NECTA)</w:t>
      </w:r>
      <w:r w:rsidRPr="007062AE">
        <w:rPr>
          <w:rFonts w:ascii="Times New Roman" w:hAnsi="Times New Roman" w:cs="Times New Roman"/>
          <w:sz w:val="24"/>
          <w:szCs w:val="24"/>
        </w:rPr>
        <w:t xml:space="preserve">, which maintains detailed records of </w:t>
      </w:r>
      <w:r w:rsidRPr="007062AE">
        <w:rPr>
          <w:rStyle w:val="Strong"/>
          <w:rFonts w:ascii="Times New Roman" w:hAnsi="Times New Roman" w:cs="Times New Roman"/>
          <w:b w:val="0"/>
          <w:bCs w:val="0"/>
          <w:sz w:val="24"/>
          <w:szCs w:val="24"/>
        </w:rPr>
        <w:t>students' performance</w:t>
      </w:r>
      <w:r w:rsidRPr="007062AE">
        <w:rPr>
          <w:rFonts w:ascii="Times New Roman" w:hAnsi="Times New Roman" w:cs="Times New Roman"/>
          <w:sz w:val="24"/>
          <w:szCs w:val="24"/>
        </w:rPr>
        <w:t xml:space="preserve"> in national examinations. The data used in this study include the </w:t>
      </w:r>
      <w:r w:rsidRPr="007062AE">
        <w:rPr>
          <w:rStyle w:val="Strong"/>
          <w:rFonts w:ascii="Times New Roman" w:hAnsi="Times New Roman" w:cs="Times New Roman"/>
          <w:b w:val="0"/>
          <w:bCs w:val="0"/>
          <w:sz w:val="24"/>
          <w:szCs w:val="24"/>
        </w:rPr>
        <w:t>pass rates</w:t>
      </w:r>
      <w:r w:rsidRPr="007062AE">
        <w:rPr>
          <w:rFonts w:ascii="Times New Roman" w:hAnsi="Times New Roman" w:cs="Times New Roman"/>
          <w:sz w:val="24"/>
          <w:szCs w:val="24"/>
        </w:rPr>
        <w:t>,</w:t>
      </w:r>
      <w:r w:rsidRPr="007062AE">
        <w:rPr>
          <w:rFonts w:ascii="Times New Roman" w:hAnsi="Times New Roman" w:cs="Times New Roman"/>
          <w:b/>
          <w:bCs/>
          <w:sz w:val="24"/>
          <w:szCs w:val="24"/>
        </w:rPr>
        <w:t xml:space="preserve"> </w:t>
      </w:r>
      <w:r w:rsidRPr="007062AE">
        <w:rPr>
          <w:rStyle w:val="Strong"/>
          <w:rFonts w:ascii="Times New Roman" w:hAnsi="Times New Roman" w:cs="Times New Roman"/>
          <w:b w:val="0"/>
          <w:bCs w:val="0"/>
          <w:sz w:val="24"/>
          <w:szCs w:val="24"/>
        </w:rPr>
        <w:t>fail rates</w:t>
      </w:r>
      <w:r w:rsidRPr="007062AE">
        <w:rPr>
          <w:rFonts w:ascii="Times New Roman" w:hAnsi="Times New Roman" w:cs="Times New Roman"/>
          <w:sz w:val="24"/>
          <w:szCs w:val="24"/>
        </w:rPr>
        <w:t xml:space="preserve">, and </w:t>
      </w:r>
      <w:r w:rsidRPr="007062AE">
        <w:rPr>
          <w:rStyle w:val="Strong"/>
          <w:rFonts w:ascii="Times New Roman" w:hAnsi="Times New Roman" w:cs="Times New Roman"/>
          <w:b w:val="0"/>
          <w:bCs w:val="0"/>
          <w:sz w:val="24"/>
          <w:szCs w:val="24"/>
        </w:rPr>
        <w:t>topic-specific performance</w:t>
      </w:r>
      <w:r w:rsidRPr="007062AE">
        <w:rPr>
          <w:rFonts w:ascii="Times New Roman" w:hAnsi="Times New Roman" w:cs="Times New Roman"/>
          <w:sz w:val="24"/>
          <w:szCs w:val="24"/>
        </w:rPr>
        <w:t xml:space="preserve"> in the Economics examination. Data were aggregated annually, and the dataset covers the </w:t>
      </w:r>
      <w:r w:rsidRPr="007062AE">
        <w:rPr>
          <w:rStyle w:val="Strong"/>
          <w:rFonts w:ascii="Times New Roman" w:hAnsi="Times New Roman" w:cs="Times New Roman"/>
          <w:b w:val="0"/>
          <w:bCs w:val="0"/>
          <w:sz w:val="24"/>
          <w:szCs w:val="24"/>
        </w:rPr>
        <w:t>2014-2024 period</w:t>
      </w:r>
      <w:r w:rsidRPr="007062AE">
        <w:rPr>
          <w:rFonts w:ascii="Times New Roman" w:hAnsi="Times New Roman" w:cs="Times New Roman"/>
          <w:sz w:val="24"/>
          <w:szCs w:val="24"/>
        </w:rPr>
        <w:t>, providing a comprehensive view of the overall performance trends in the Economics subject. This dataset allowed for a comparison of how students performed in Economics before and after the textbook's introduction.</w:t>
      </w:r>
    </w:p>
    <w:p w14:paraId="20B75809" w14:textId="77777777" w:rsidR="00C775A7" w:rsidRPr="007062AE" w:rsidRDefault="00C775A7" w:rsidP="00C775A7">
      <w:pPr>
        <w:spacing w:after="0" w:line="240" w:lineRule="auto"/>
        <w:jc w:val="both"/>
        <w:rPr>
          <w:rFonts w:ascii="Times New Roman" w:hAnsi="Times New Roman" w:cs="Times New Roman"/>
          <w:sz w:val="24"/>
          <w:szCs w:val="24"/>
        </w:rPr>
      </w:pPr>
    </w:p>
    <w:p w14:paraId="189AAC66" w14:textId="25980398" w:rsidR="00E25F31" w:rsidRPr="007062AE" w:rsidRDefault="00E25F31" w:rsidP="00C775A7">
      <w:pPr>
        <w:spacing w:after="0" w:line="240" w:lineRule="auto"/>
        <w:jc w:val="both"/>
        <w:rPr>
          <w:rFonts w:ascii="Times New Roman" w:hAnsi="Times New Roman" w:cs="Times New Roman"/>
          <w:b/>
          <w:bCs/>
          <w:sz w:val="24"/>
          <w:szCs w:val="24"/>
        </w:rPr>
      </w:pPr>
      <w:r w:rsidRPr="007062AE">
        <w:rPr>
          <w:rFonts w:ascii="Times New Roman" w:hAnsi="Times New Roman" w:cs="Times New Roman"/>
          <w:b/>
          <w:bCs/>
          <w:sz w:val="24"/>
          <w:szCs w:val="24"/>
        </w:rPr>
        <w:t>3.</w:t>
      </w:r>
      <w:r w:rsidR="004B25B8" w:rsidRPr="007062AE">
        <w:rPr>
          <w:rFonts w:ascii="Times New Roman" w:hAnsi="Times New Roman" w:cs="Times New Roman"/>
          <w:b/>
          <w:bCs/>
          <w:sz w:val="24"/>
          <w:szCs w:val="24"/>
        </w:rPr>
        <w:t>4</w:t>
      </w:r>
      <w:r w:rsidRPr="007062AE">
        <w:rPr>
          <w:rFonts w:ascii="Times New Roman" w:hAnsi="Times New Roman" w:cs="Times New Roman"/>
          <w:b/>
          <w:bCs/>
          <w:sz w:val="24"/>
          <w:szCs w:val="24"/>
        </w:rPr>
        <w:t xml:space="preserve"> Data </w:t>
      </w:r>
      <w:r w:rsidR="005A0A93" w:rsidRPr="007062AE">
        <w:rPr>
          <w:rFonts w:ascii="Times New Roman" w:hAnsi="Times New Roman" w:cs="Times New Roman"/>
          <w:b/>
          <w:bCs/>
          <w:sz w:val="24"/>
          <w:szCs w:val="24"/>
        </w:rPr>
        <w:t>a</w:t>
      </w:r>
      <w:r w:rsidRPr="007062AE">
        <w:rPr>
          <w:rFonts w:ascii="Times New Roman" w:hAnsi="Times New Roman" w:cs="Times New Roman"/>
          <w:b/>
          <w:bCs/>
          <w:sz w:val="24"/>
          <w:szCs w:val="24"/>
        </w:rPr>
        <w:t>nalysis</w:t>
      </w:r>
    </w:p>
    <w:p w14:paraId="6A652DDA" w14:textId="2A5F32DC" w:rsidR="002C29E1" w:rsidRPr="007062AE" w:rsidRDefault="002C29E1"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data were analysed using both </w:t>
      </w:r>
      <w:r w:rsidRPr="007062AE">
        <w:rPr>
          <w:rStyle w:val="Strong"/>
          <w:rFonts w:ascii="Times New Roman" w:hAnsi="Times New Roman" w:cs="Times New Roman"/>
          <w:b w:val="0"/>
          <w:bCs w:val="0"/>
          <w:sz w:val="24"/>
          <w:szCs w:val="24"/>
        </w:rPr>
        <w:t>descriptive and inferential statistics</w:t>
      </w:r>
      <w:r w:rsidRPr="007062AE">
        <w:rPr>
          <w:rFonts w:ascii="Times New Roman" w:hAnsi="Times New Roman" w:cs="Times New Roman"/>
          <w:b/>
          <w:bCs/>
          <w:sz w:val="24"/>
          <w:szCs w:val="24"/>
        </w:rPr>
        <w:t>.</w:t>
      </w:r>
      <w:r w:rsidRPr="007062AE">
        <w:rPr>
          <w:rFonts w:ascii="Times New Roman" w:hAnsi="Times New Roman" w:cs="Times New Roman"/>
          <w:sz w:val="24"/>
          <w:szCs w:val="24"/>
        </w:rPr>
        <w:t xml:space="preserve"> Descriptive statistics were used to calculate the </w:t>
      </w:r>
      <w:r w:rsidRPr="007062AE">
        <w:rPr>
          <w:rStyle w:val="Strong"/>
          <w:rFonts w:ascii="Times New Roman" w:hAnsi="Times New Roman" w:cs="Times New Roman"/>
          <w:b w:val="0"/>
          <w:bCs w:val="0"/>
          <w:sz w:val="24"/>
          <w:szCs w:val="24"/>
        </w:rPr>
        <w:t>mean pass rates</w:t>
      </w:r>
      <w:r w:rsidRPr="007062AE">
        <w:rPr>
          <w:rFonts w:ascii="Times New Roman" w:hAnsi="Times New Roman" w:cs="Times New Roman"/>
          <w:b/>
          <w:bCs/>
          <w:sz w:val="24"/>
          <w:szCs w:val="24"/>
        </w:rPr>
        <w:t xml:space="preserve">, </w:t>
      </w:r>
      <w:r w:rsidRPr="007062AE">
        <w:rPr>
          <w:rStyle w:val="Strong"/>
          <w:rFonts w:ascii="Times New Roman" w:hAnsi="Times New Roman" w:cs="Times New Roman"/>
          <w:b w:val="0"/>
          <w:bCs w:val="0"/>
          <w:sz w:val="24"/>
          <w:szCs w:val="24"/>
        </w:rPr>
        <w:t>fail rates</w:t>
      </w:r>
      <w:r w:rsidRPr="007062AE">
        <w:rPr>
          <w:rFonts w:ascii="Times New Roman" w:hAnsi="Times New Roman" w:cs="Times New Roman"/>
          <w:sz w:val="24"/>
          <w:szCs w:val="24"/>
        </w:rPr>
        <w:t xml:space="preserve">, and </w:t>
      </w:r>
      <w:r w:rsidRPr="007062AE">
        <w:rPr>
          <w:rStyle w:val="Strong"/>
          <w:rFonts w:ascii="Times New Roman" w:hAnsi="Times New Roman" w:cs="Times New Roman"/>
          <w:b w:val="0"/>
          <w:bCs w:val="0"/>
          <w:sz w:val="24"/>
          <w:szCs w:val="24"/>
        </w:rPr>
        <w:t>overall performance distributions</w:t>
      </w:r>
      <w:r w:rsidRPr="007062AE">
        <w:rPr>
          <w:rFonts w:ascii="Times New Roman" w:hAnsi="Times New Roman" w:cs="Times New Roman"/>
          <w:sz w:val="24"/>
          <w:szCs w:val="24"/>
        </w:rPr>
        <w:t xml:space="preserve"> for the two periods (2019-2021 and 2022-2024). Th</w:t>
      </w:r>
      <w:r w:rsidR="00BA4117">
        <w:rPr>
          <w:rFonts w:ascii="Times New Roman" w:hAnsi="Times New Roman" w:cs="Times New Roman"/>
          <w:sz w:val="24"/>
          <w:szCs w:val="24"/>
        </w:rPr>
        <w:t>e analysis</w:t>
      </w:r>
      <w:r w:rsidRPr="007062AE">
        <w:rPr>
          <w:rFonts w:ascii="Times New Roman" w:hAnsi="Times New Roman" w:cs="Times New Roman"/>
          <w:sz w:val="24"/>
          <w:szCs w:val="24"/>
        </w:rPr>
        <w:t xml:space="preserve"> provided a broad overview of how student performance changed after the introduction of the official textbook.</w:t>
      </w:r>
    </w:p>
    <w:p w14:paraId="469CE8C0" w14:textId="4E4A9D78" w:rsidR="002C29E1" w:rsidRDefault="002C29E1" w:rsidP="00C775A7">
      <w:pPr>
        <w:pStyle w:val="NormalWeb"/>
        <w:spacing w:after="0" w:afterAutospacing="0"/>
        <w:jc w:val="both"/>
      </w:pPr>
      <w:r w:rsidRPr="007062AE">
        <w:t xml:space="preserve">For inferential analysis, a </w:t>
      </w:r>
      <w:r w:rsidRPr="007062AE">
        <w:rPr>
          <w:rStyle w:val="Strong"/>
          <w:rFonts w:eastAsiaTheme="majorEastAsia"/>
          <w:b w:val="0"/>
          <w:bCs w:val="0"/>
        </w:rPr>
        <w:t>paired t-test</w:t>
      </w:r>
      <w:r w:rsidRPr="007062AE">
        <w:t xml:space="preserve"> was conducted to determine whether there was a statistically significant difference in </w:t>
      </w:r>
      <w:r w:rsidRPr="007062AE">
        <w:rPr>
          <w:rStyle w:val="Strong"/>
          <w:rFonts w:eastAsiaTheme="majorEastAsia"/>
          <w:b w:val="0"/>
          <w:bCs w:val="0"/>
        </w:rPr>
        <w:t>mean performance</w:t>
      </w:r>
      <w:r w:rsidRPr="007062AE">
        <w:t xml:space="preserve"> between the two periods. This test was used to compare overall performance in the Economics exam before and after the introduction of the textbook. In addition,</w:t>
      </w:r>
      <w:r w:rsidRPr="007062AE">
        <w:rPr>
          <w:b/>
          <w:bCs/>
        </w:rPr>
        <w:t xml:space="preserve"> </w:t>
      </w:r>
      <w:r w:rsidRPr="007062AE">
        <w:rPr>
          <w:rStyle w:val="Strong"/>
          <w:rFonts w:eastAsiaTheme="majorEastAsia"/>
          <w:b w:val="0"/>
          <w:bCs w:val="0"/>
        </w:rPr>
        <w:t>trend analysis</w:t>
      </w:r>
      <w:r w:rsidRPr="007062AE">
        <w:t xml:space="preserve"> was conducted using performance data from 2014 to 2024 to identify long-term changes and patterns in student achievement.</w:t>
      </w:r>
    </w:p>
    <w:p w14:paraId="3974C93A" w14:textId="77777777" w:rsidR="00E21FB6" w:rsidRDefault="00E21FB6" w:rsidP="00C775A7">
      <w:pPr>
        <w:spacing w:after="0" w:line="240" w:lineRule="auto"/>
        <w:contextualSpacing/>
        <w:jc w:val="both"/>
        <w:rPr>
          <w:rFonts w:ascii="Times New Roman" w:hAnsi="Times New Roman" w:cs="Times New Roman"/>
          <w:b/>
          <w:bCs/>
          <w:sz w:val="24"/>
          <w:szCs w:val="24"/>
        </w:rPr>
      </w:pPr>
    </w:p>
    <w:p w14:paraId="4406B679" w14:textId="73C3CBF7" w:rsidR="00E25F31" w:rsidRPr="007062AE" w:rsidRDefault="00E25F31" w:rsidP="00C775A7">
      <w:pPr>
        <w:spacing w:after="0" w:line="240" w:lineRule="auto"/>
        <w:contextualSpacing/>
        <w:jc w:val="both"/>
        <w:rPr>
          <w:rFonts w:ascii="Times New Roman" w:hAnsi="Times New Roman" w:cs="Times New Roman"/>
          <w:b/>
          <w:bCs/>
          <w:sz w:val="24"/>
          <w:szCs w:val="24"/>
        </w:rPr>
      </w:pPr>
      <w:r w:rsidRPr="007062AE">
        <w:rPr>
          <w:rFonts w:ascii="Times New Roman" w:hAnsi="Times New Roman" w:cs="Times New Roman"/>
          <w:b/>
          <w:bCs/>
          <w:sz w:val="24"/>
          <w:szCs w:val="24"/>
        </w:rPr>
        <w:t>3.</w:t>
      </w:r>
      <w:r w:rsidR="004B25B8" w:rsidRPr="007062AE">
        <w:rPr>
          <w:rFonts w:ascii="Times New Roman" w:hAnsi="Times New Roman" w:cs="Times New Roman"/>
          <w:b/>
          <w:bCs/>
          <w:sz w:val="24"/>
          <w:szCs w:val="24"/>
        </w:rPr>
        <w:t>5</w:t>
      </w:r>
      <w:r w:rsidRPr="007062AE">
        <w:rPr>
          <w:rFonts w:ascii="Times New Roman" w:hAnsi="Times New Roman" w:cs="Times New Roman"/>
          <w:b/>
          <w:bCs/>
          <w:sz w:val="24"/>
          <w:szCs w:val="24"/>
        </w:rPr>
        <w:t xml:space="preserve"> Ethical </w:t>
      </w:r>
      <w:r w:rsidR="0006272B" w:rsidRPr="007062AE">
        <w:rPr>
          <w:rFonts w:ascii="Times New Roman" w:hAnsi="Times New Roman" w:cs="Times New Roman"/>
          <w:b/>
          <w:bCs/>
          <w:sz w:val="24"/>
          <w:szCs w:val="24"/>
        </w:rPr>
        <w:t>c</w:t>
      </w:r>
      <w:r w:rsidRPr="007062AE">
        <w:rPr>
          <w:rFonts w:ascii="Times New Roman" w:hAnsi="Times New Roman" w:cs="Times New Roman"/>
          <w:b/>
          <w:bCs/>
          <w:sz w:val="24"/>
          <w:szCs w:val="24"/>
        </w:rPr>
        <w:t>onsiderations</w:t>
      </w:r>
    </w:p>
    <w:p w14:paraId="1D4B1440" w14:textId="77777777" w:rsidR="002C29E1" w:rsidRDefault="008D29F8" w:rsidP="00C775A7">
      <w:pPr>
        <w:spacing w:before="240" w:after="0" w:line="240" w:lineRule="auto"/>
        <w:contextualSpacing/>
        <w:jc w:val="both"/>
        <w:rPr>
          <w:rFonts w:ascii="Times New Roman" w:hAnsi="Times New Roman" w:cs="Times New Roman"/>
          <w:sz w:val="24"/>
          <w:szCs w:val="24"/>
        </w:rPr>
      </w:pPr>
      <w:r w:rsidRPr="007062AE">
        <w:rPr>
          <w:rFonts w:ascii="Times New Roman" w:hAnsi="Times New Roman" w:cs="Times New Roman"/>
          <w:sz w:val="24"/>
          <w:szCs w:val="24"/>
        </w:rPr>
        <w:t xml:space="preserve">This study uses secondary data from publicly available </w:t>
      </w:r>
      <w:r w:rsidR="002C29E1" w:rsidRPr="007062AE">
        <w:rPr>
          <w:rFonts w:ascii="Times New Roman" w:hAnsi="Times New Roman" w:cs="Times New Roman"/>
          <w:sz w:val="24"/>
          <w:szCs w:val="24"/>
        </w:rPr>
        <w:t xml:space="preserve">NECTA </w:t>
      </w:r>
      <w:r w:rsidRPr="007062AE">
        <w:rPr>
          <w:rFonts w:ascii="Times New Roman" w:hAnsi="Times New Roman" w:cs="Times New Roman"/>
          <w:sz w:val="24"/>
          <w:szCs w:val="24"/>
        </w:rPr>
        <w:t>performance analysis books</w:t>
      </w:r>
      <w:r w:rsidR="002C29E1" w:rsidRPr="007062AE">
        <w:rPr>
          <w:rFonts w:ascii="Times New Roman" w:hAnsi="Times New Roman" w:cs="Times New Roman"/>
          <w:sz w:val="24"/>
          <w:szCs w:val="24"/>
        </w:rPr>
        <w:t>/reports</w:t>
      </w:r>
      <w:r w:rsidRPr="007062AE">
        <w:rPr>
          <w:rFonts w:ascii="Times New Roman" w:hAnsi="Times New Roman" w:cs="Times New Roman"/>
          <w:sz w:val="24"/>
          <w:szCs w:val="24"/>
        </w:rPr>
        <w:t xml:space="preserve">, meaning it does not involve direct interaction with students or educators. The data </w:t>
      </w:r>
      <w:r w:rsidR="002C29E1" w:rsidRPr="007062AE">
        <w:rPr>
          <w:rFonts w:ascii="Times New Roman" w:hAnsi="Times New Roman" w:cs="Times New Roman"/>
          <w:sz w:val="24"/>
          <w:szCs w:val="24"/>
        </w:rPr>
        <w:t>used were</w:t>
      </w:r>
      <w:r w:rsidRPr="007062AE">
        <w:rPr>
          <w:rFonts w:ascii="Times New Roman" w:hAnsi="Times New Roman" w:cs="Times New Roman"/>
          <w:sz w:val="24"/>
          <w:szCs w:val="24"/>
        </w:rPr>
        <w:t xml:space="preserve"> aggregated and anonymi</w:t>
      </w:r>
      <w:r w:rsidR="001D0B94" w:rsidRPr="007062AE">
        <w:rPr>
          <w:rFonts w:ascii="Times New Roman" w:hAnsi="Times New Roman" w:cs="Times New Roman"/>
          <w:sz w:val="24"/>
          <w:szCs w:val="24"/>
        </w:rPr>
        <w:t>s</w:t>
      </w:r>
      <w:r w:rsidRPr="007062AE">
        <w:rPr>
          <w:rFonts w:ascii="Times New Roman" w:hAnsi="Times New Roman" w:cs="Times New Roman"/>
          <w:sz w:val="24"/>
          <w:szCs w:val="24"/>
        </w:rPr>
        <w:t>ed to ensure no individual student information is exposed. To maintain data integrity, the study verified data consistency and accuracy, addressing any discrepancies through appropriate data-cleaning techniques. Additionally,</w:t>
      </w:r>
      <w:r w:rsidR="002C29E1" w:rsidRPr="007062AE">
        <w:rPr>
          <w:rFonts w:ascii="Times New Roman" w:hAnsi="Times New Roman" w:cs="Times New Roman"/>
          <w:sz w:val="24"/>
          <w:szCs w:val="24"/>
        </w:rPr>
        <w:t xml:space="preserve"> the study adhered to ethical standards by ensuring that data were accurately reported. </w:t>
      </w:r>
    </w:p>
    <w:p w14:paraId="21B122B2" w14:textId="77777777" w:rsidR="00BA4117" w:rsidRDefault="00BA4117" w:rsidP="00C775A7">
      <w:pPr>
        <w:spacing w:before="240" w:after="0" w:line="240" w:lineRule="auto"/>
        <w:contextualSpacing/>
        <w:jc w:val="both"/>
        <w:rPr>
          <w:rFonts w:ascii="Times New Roman" w:hAnsi="Times New Roman" w:cs="Times New Roman"/>
          <w:sz w:val="24"/>
          <w:szCs w:val="24"/>
        </w:rPr>
      </w:pPr>
    </w:p>
    <w:p w14:paraId="2048D434" w14:textId="77777777" w:rsidR="00BA4117" w:rsidRDefault="00BA4117" w:rsidP="00C775A7">
      <w:pPr>
        <w:spacing w:after="0" w:line="240" w:lineRule="auto"/>
        <w:jc w:val="both"/>
        <w:rPr>
          <w:rFonts w:ascii="Times New Roman" w:hAnsi="Times New Roman" w:cs="Times New Roman"/>
          <w:b/>
          <w:bCs/>
          <w:sz w:val="24"/>
          <w:szCs w:val="24"/>
        </w:rPr>
      </w:pPr>
    </w:p>
    <w:p w14:paraId="4771709F" w14:textId="77777777" w:rsidR="00BA4117" w:rsidRDefault="00BA4117" w:rsidP="00C775A7">
      <w:pPr>
        <w:spacing w:after="0" w:line="240" w:lineRule="auto"/>
        <w:jc w:val="both"/>
        <w:rPr>
          <w:rFonts w:ascii="Times New Roman" w:hAnsi="Times New Roman" w:cs="Times New Roman"/>
          <w:b/>
          <w:bCs/>
          <w:sz w:val="24"/>
          <w:szCs w:val="24"/>
        </w:rPr>
      </w:pPr>
    </w:p>
    <w:p w14:paraId="37971330" w14:textId="25018C55" w:rsidR="00E25F31" w:rsidRPr="007062AE" w:rsidRDefault="00E25F31" w:rsidP="00C775A7">
      <w:pPr>
        <w:spacing w:after="0" w:line="240" w:lineRule="auto"/>
        <w:jc w:val="both"/>
        <w:rPr>
          <w:rFonts w:ascii="Times New Roman" w:hAnsi="Times New Roman" w:cs="Times New Roman"/>
          <w:b/>
          <w:bCs/>
          <w:sz w:val="24"/>
          <w:szCs w:val="24"/>
        </w:rPr>
      </w:pPr>
      <w:r w:rsidRPr="007062AE">
        <w:rPr>
          <w:rFonts w:ascii="Times New Roman" w:hAnsi="Times New Roman" w:cs="Times New Roman"/>
          <w:b/>
          <w:bCs/>
          <w:sz w:val="24"/>
          <w:szCs w:val="24"/>
        </w:rPr>
        <w:lastRenderedPageBreak/>
        <w:t>3.</w:t>
      </w:r>
      <w:r w:rsidR="004B25B8" w:rsidRPr="007062AE">
        <w:rPr>
          <w:rFonts w:ascii="Times New Roman" w:hAnsi="Times New Roman" w:cs="Times New Roman"/>
          <w:b/>
          <w:bCs/>
          <w:sz w:val="24"/>
          <w:szCs w:val="24"/>
        </w:rPr>
        <w:t>6</w:t>
      </w:r>
      <w:r w:rsidRPr="007062AE">
        <w:rPr>
          <w:rFonts w:ascii="Times New Roman" w:hAnsi="Times New Roman" w:cs="Times New Roman"/>
          <w:b/>
          <w:bCs/>
          <w:sz w:val="24"/>
          <w:szCs w:val="24"/>
        </w:rPr>
        <w:t xml:space="preserve"> Limitations</w:t>
      </w:r>
    </w:p>
    <w:p w14:paraId="204AC97C" w14:textId="64B39AAB" w:rsidR="00E25F31" w:rsidRDefault="00E25F31"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w:t>
      </w:r>
      <w:r w:rsidR="00CB1C09" w:rsidRPr="007062AE">
        <w:rPr>
          <w:rFonts w:ascii="Times New Roman" w:hAnsi="Times New Roman" w:cs="Times New Roman"/>
          <w:sz w:val="24"/>
          <w:szCs w:val="24"/>
        </w:rPr>
        <w:t>e availability and accessibility of secondary data limit this study</w:t>
      </w:r>
      <w:r w:rsidRPr="007062AE">
        <w:rPr>
          <w:rFonts w:ascii="Times New Roman" w:hAnsi="Times New Roman" w:cs="Times New Roman"/>
          <w:sz w:val="24"/>
          <w:szCs w:val="24"/>
        </w:rPr>
        <w:t xml:space="preserve">. While the NECTA performance analysis books provide valuable insights, they </w:t>
      </w:r>
      <w:r w:rsidR="00140129" w:rsidRPr="007062AE">
        <w:rPr>
          <w:rFonts w:ascii="Times New Roman" w:hAnsi="Times New Roman" w:cs="Times New Roman"/>
          <w:sz w:val="24"/>
          <w:szCs w:val="24"/>
        </w:rPr>
        <w:t>do</w:t>
      </w:r>
      <w:r w:rsidR="0006272B" w:rsidRPr="007062AE">
        <w:rPr>
          <w:rFonts w:ascii="Times New Roman" w:hAnsi="Times New Roman" w:cs="Times New Roman"/>
          <w:sz w:val="24"/>
          <w:szCs w:val="24"/>
        </w:rPr>
        <w:t xml:space="preserve"> not</w:t>
      </w:r>
      <w:r w:rsidRPr="007062AE">
        <w:rPr>
          <w:rFonts w:ascii="Times New Roman" w:hAnsi="Times New Roman" w:cs="Times New Roman"/>
          <w:sz w:val="24"/>
          <w:szCs w:val="24"/>
        </w:rPr>
        <w:t xml:space="preserve"> capture all contextual factors </w:t>
      </w:r>
      <w:r w:rsidR="00CB1C09" w:rsidRPr="007062AE">
        <w:rPr>
          <w:rFonts w:ascii="Times New Roman" w:hAnsi="Times New Roman" w:cs="Times New Roman"/>
          <w:sz w:val="24"/>
          <w:szCs w:val="24"/>
        </w:rPr>
        <w:t>that affect student performance, such as teaching methods, teacher qualifications, and</w:t>
      </w:r>
      <w:r w:rsidRPr="007062AE">
        <w:rPr>
          <w:rFonts w:ascii="Times New Roman" w:hAnsi="Times New Roman" w:cs="Times New Roman"/>
          <w:sz w:val="24"/>
          <w:szCs w:val="24"/>
        </w:rPr>
        <w:t xml:space="preserve"> socio-economic conditions. Additionally, since the textbooks were introduced in 2022, only a few years of post-introduction data are available for comparison, limiting the ability to assess long-term impacts.</w:t>
      </w:r>
    </w:p>
    <w:p w14:paraId="36CEE009" w14:textId="77777777" w:rsidR="00C775A7" w:rsidRPr="007062AE" w:rsidRDefault="00C775A7" w:rsidP="00C775A7">
      <w:pPr>
        <w:spacing w:after="0" w:line="240" w:lineRule="auto"/>
        <w:jc w:val="both"/>
        <w:rPr>
          <w:rFonts w:ascii="Times New Roman" w:hAnsi="Times New Roman" w:cs="Times New Roman"/>
          <w:sz w:val="24"/>
          <w:szCs w:val="24"/>
        </w:rPr>
      </w:pPr>
    </w:p>
    <w:p w14:paraId="5C704400" w14:textId="627B6E04" w:rsidR="00123F6B" w:rsidRPr="007062AE" w:rsidRDefault="001270CD" w:rsidP="00C775A7">
      <w:pPr>
        <w:pStyle w:val="ListParagraph"/>
        <w:numPr>
          <w:ilvl w:val="0"/>
          <w:numId w:val="7"/>
        </w:numPr>
        <w:spacing w:after="0" w:line="240" w:lineRule="auto"/>
        <w:ind w:left="360"/>
        <w:jc w:val="both"/>
        <w:rPr>
          <w:rFonts w:ascii="Times New Roman" w:hAnsi="Times New Roman" w:cs="Times New Roman"/>
          <w:b/>
          <w:bCs/>
          <w:sz w:val="24"/>
          <w:szCs w:val="24"/>
        </w:rPr>
      </w:pPr>
      <w:r w:rsidRPr="007062AE">
        <w:rPr>
          <w:rFonts w:ascii="Times New Roman" w:hAnsi="Times New Roman" w:cs="Times New Roman"/>
          <w:b/>
          <w:bCs/>
          <w:sz w:val="24"/>
          <w:szCs w:val="24"/>
        </w:rPr>
        <w:t>Results and discussion</w:t>
      </w:r>
    </w:p>
    <w:p w14:paraId="4876437D" w14:textId="36540C06" w:rsidR="002C29E1" w:rsidRDefault="002C29E1" w:rsidP="00C775A7">
      <w:pPr>
        <w:spacing w:after="0" w:line="240" w:lineRule="auto"/>
        <w:contextualSpacing/>
        <w:jc w:val="both"/>
        <w:rPr>
          <w:rFonts w:ascii="Times New Roman" w:hAnsi="Times New Roman" w:cs="Times New Roman"/>
          <w:sz w:val="24"/>
          <w:szCs w:val="24"/>
        </w:rPr>
      </w:pPr>
      <w:r w:rsidRPr="007062AE">
        <w:rPr>
          <w:rFonts w:ascii="Times New Roman" w:hAnsi="Times New Roman" w:cs="Times New Roman"/>
          <w:sz w:val="24"/>
          <w:szCs w:val="24"/>
        </w:rPr>
        <w:t xml:space="preserve">This section presents the findings from the analysis of the Economics performance data for the years 2014–2024, comparing the pre-textbook (2019–2021) and post-textbook (2022–2024) periods. The results are discussed in relation to the study's research objective, which aimed to examine the impact of the Economics textbook on students’ national examination performance in Tanzania. </w:t>
      </w:r>
    </w:p>
    <w:p w14:paraId="6F4E82B2" w14:textId="77777777" w:rsidR="00C775A7" w:rsidRPr="007062AE" w:rsidRDefault="00C775A7" w:rsidP="00C775A7">
      <w:pPr>
        <w:spacing w:after="0" w:line="240" w:lineRule="auto"/>
        <w:contextualSpacing/>
        <w:jc w:val="both"/>
        <w:rPr>
          <w:rFonts w:ascii="Times New Roman" w:hAnsi="Times New Roman" w:cs="Times New Roman"/>
          <w:sz w:val="24"/>
          <w:szCs w:val="24"/>
        </w:rPr>
      </w:pPr>
    </w:p>
    <w:p w14:paraId="3366DB7D" w14:textId="77777777" w:rsidR="007062AE" w:rsidRPr="007062AE" w:rsidRDefault="007062AE" w:rsidP="00C775A7">
      <w:pPr>
        <w:pStyle w:val="ListParagraph"/>
        <w:numPr>
          <w:ilvl w:val="1"/>
          <w:numId w:val="7"/>
        </w:numPr>
        <w:spacing w:after="0" w:line="240" w:lineRule="auto"/>
        <w:ind w:left="360"/>
        <w:contextualSpacing w:val="0"/>
        <w:jc w:val="both"/>
        <w:rPr>
          <w:rFonts w:ascii="Times New Roman" w:hAnsi="Times New Roman" w:cs="Times New Roman"/>
          <w:b/>
          <w:bCs/>
          <w:sz w:val="24"/>
          <w:szCs w:val="24"/>
        </w:rPr>
      </w:pPr>
      <w:r w:rsidRPr="007405F0">
        <w:rPr>
          <w:rFonts w:ascii="Times New Roman" w:hAnsi="Times New Roman" w:cs="Times New Roman"/>
          <w:b/>
          <w:bCs/>
          <w:sz w:val="24"/>
          <w:szCs w:val="24"/>
        </w:rPr>
        <w:t>Overall</w:t>
      </w:r>
      <w:r w:rsidRPr="007062AE">
        <w:rPr>
          <w:rFonts w:ascii="Times New Roman" w:hAnsi="Times New Roman" w:cs="Times New Roman"/>
          <w:b/>
          <w:bCs/>
          <w:sz w:val="24"/>
          <w:szCs w:val="24"/>
        </w:rPr>
        <w:t xml:space="preserve"> </w:t>
      </w:r>
      <w:r w:rsidR="001904EC" w:rsidRPr="007062AE">
        <w:rPr>
          <w:rFonts w:ascii="Times New Roman" w:hAnsi="Times New Roman" w:cs="Times New Roman"/>
          <w:b/>
          <w:bCs/>
          <w:sz w:val="24"/>
          <w:szCs w:val="24"/>
        </w:rPr>
        <w:t xml:space="preserve">Economics </w:t>
      </w:r>
      <w:r w:rsidR="005B70E4" w:rsidRPr="007062AE">
        <w:rPr>
          <w:rFonts w:ascii="Times New Roman" w:hAnsi="Times New Roman" w:cs="Times New Roman"/>
          <w:b/>
          <w:bCs/>
          <w:sz w:val="24"/>
          <w:szCs w:val="24"/>
        </w:rPr>
        <w:t>performance from 2014 to 202</w:t>
      </w:r>
      <w:r w:rsidR="001904EC" w:rsidRPr="007062AE">
        <w:rPr>
          <w:rFonts w:ascii="Times New Roman" w:hAnsi="Times New Roman" w:cs="Times New Roman"/>
          <w:b/>
          <w:bCs/>
          <w:sz w:val="24"/>
          <w:szCs w:val="24"/>
        </w:rPr>
        <w:t>4</w:t>
      </w:r>
    </w:p>
    <w:p w14:paraId="4502981C" w14:textId="238CD1BF" w:rsidR="007062AE" w:rsidRDefault="007062AE"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data presented in </w:t>
      </w:r>
      <w:r w:rsidRPr="007405F0">
        <w:rPr>
          <w:rStyle w:val="Strong"/>
          <w:rFonts w:ascii="Times New Roman" w:eastAsiaTheme="majorEastAsia" w:hAnsi="Times New Roman" w:cs="Times New Roman"/>
          <w:b w:val="0"/>
          <w:bCs w:val="0"/>
          <w:sz w:val="24"/>
          <w:szCs w:val="24"/>
        </w:rPr>
        <w:t>Table 1</w:t>
      </w:r>
      <w:r w:rsidRPr="007062AE">
        <w:rPr>
          <w:rFonts w:ascii="Times New Roman" w:hAnsi="Times New Roman" w:cs="Times New Roman"/>
          <w:sz w:val="24"/>
          <w:szCs w:val="24"/>
        </w:rPr>
        <w:t xml:space="preserve"> reveal an overall trend of consistently high performance in Economics across the </w:t>
      </w:r>
      <w:r w:rsidRPr="007405F0">
        <w:rPr>
          <w:rStyle w:val="Strong"/>
          <w:rFonts w:ascii="Times New Roman" w:eastAsiaTheme="majorEastAsia" w:hAnsi="Times New Roman" w:cs="Times New Roman"/>
          <w:b w:val="0"/>
          <w:bCs w:val="0"/>
          <w:sz w:val="24"/>
          <w:szCs w:val="24"/>
        </w:rPr>
        <w:t>Advanced Certificate of Secondary Education Examination (ACSEE)</w:t>
      </w:r>
      <w:r w:rsidRPr="007062AE">
        <w:rPr>
          <w:rFonts w:ascii="Times New Roman" w:hAnsi="Times New Roman" w:cs="Times New Roman"/>
          <w:sz w:val="24"/>
          <w:szCs w:val="24"/>
        </w:rPr>
        <w:t xml:space="preserve"> from 2014 to 2024. Between </w:t>
      </w:r>
      <w:r w:rsidRPr="007405F0">
        <w:rPr>
          <w:rStyle w:val="Strong"/>
          <w:rFonts w:ascii="Times New Roman" w:eastAsiaTheme="majorEastAsia" w:hAnsi="Times New Roman" w:cs="Times New Roman"/>
          <w:b w:val="0"/>
          <w:bCs w:val="0"/>
          <w:sz w:val="24"/>
          <w:szCs w:val="24"/>
        </w:rPr>
        <w:t>2014 and 2021</w:t>
      </w:r>
      <w:r w:rsidRPr="007062AE">
        <w:rPr>
          <w:rFonts w:ascii="Times New Roman" w:hAnsi="Times New Roman" w:cs="Times New Roman"/>
          <w:sz w:val="24"/>
          <w:szCs w:val="24"/>
        </w:rPr>
        <w:t xml:space="preserve">, the pass rates consistently hovered above </w:t>
      </w:r>
      <w:r w:rsidRPr="007405F0">
        <w:rPr>
          <w:rStyle w:val="Strong"/>
          <w:rFonts w:ascii="Times New Roman" w:eastAsiaTheme="majorEastAsia" w:hAnsi="Times New Roman" w:cs="Times New Roman"/>
          <w:b w:val="0"/>
          <w:bCs w:val="0"/>
          <w:sz w:val="24"/>
          <w:szCs w:val="24"/>
        </w:rPr>
        <w:t>98%</w:t>
      </w:r>
      <w:r w:rsidRPr="007062AE">
        <w:rPr>
          <w:rFonts w:ascii="Times New Roman" w:hAnsi="Times New Roman" w:cs="Times New Roman"/>
          <w:sz w:val="24"/>
          <w:szCs w:val="24"/>
        </w:rPr>
        <w:t xml:space="preserve">, with only minor fluctuations. The pass rate peaked at </w:t>
      </w:r>
      <w:r w:rsidRPr="007405F0">
        <w:rPr>
          <w:rStyle w:val="Strong"/>
          <w:rFonts w:ascii="Times New Roman" w:eastAsiaTheme="majorEastAsia" w:hAnsi="Times New Roman" w:cs="Times New Roman"/>
          <w:b w:val="0"/>
          <w:bCs w:val="0"/>
          <w:sz w:val="24"/>
          <w:szCs w:val="24"/>
        </w:rPr>
        <w:t>99.7%</w:t>
      </w:r>
      <w:r w:rsidRPr="007062AE">
        <w:rPr>
          <w:rFonts w:ascii="Times New Roman" w:hAnsi="Times New Roman" w:cs="Times New Roman"/>
          <w:sz w:val="24"/>
          <w:szCs w:val="24"/>
        </w:rPr>
        <w:t xml:space="preserve"> in </w:t>
      </w:r>
      <w:r w:rsidRPr="007405F0">
        <w:rPr>
          <w:rStyle w:val="Strong"/>
          <w:rFonts w:ascii="Times New Roman" w:eastAsiaTheme="majorEastAsia" w:hAnsi="Times New Roman" w:cs="Times New Roman"/>
          <w:b w:val="0"/>
          <w:bCs w:val="0"/>
          <w:sz w:val="24"/>
          <w:szCs w:val="24"/>
        </w:rPr>
        <w:t>2015</w:t>
      </w:r>
      <w:r w:rsidRPr="007062AE">
        <w:rPr>
          <w:rFonts w:ascii="Times New Roman" w:hAnsi="Times New Roman" w:cs="Times New Roman"/>
          <w:sz w:val="24"/>
          <w:szCs w:val="24"/>
        </w:rPr>
        <w:t xml:space="preserve">, and the lowest recorded pass rate was </w:t>
      </w:r>
      <w:r w:rsidRPr="007405F0">
        <w:rPr>
          <w:rStyle w:val="Strong"/>
          <w:rFonts w:ascii="Times New Roman" w:eastAsiaTheme="majorEastAsia" w:hAnsi="Times New Roman" w:cs="Times New Roman"/>
          <w:b w:val="0"/>
          <w:bCs w:val="0"/>
          <w:sz w:val="24"/>
          <w:szCs w:val="24"/>
        </w:rPr>
        <w:t>96.62%</w:t>
      </w:r>
      <w:r w:rsidRPr="007062AE">
        <w:rPr>
          <w:rFonts w:ascii="Times New Roman" w:hAnsi="Times New Roman" w:cs="Times New Roman"/>
          <w:sz w:val="24"/>
          <w:szCs w:val="24"/>
        </w:rPr>
        <w:t xml:space="preserve"> in </w:t>
      </w:r>
      <w:r w:rsidRPr="007405F0">
        <w:rPr>
          <w:rStyle w:val="Strong"/>
          <w:rFonts w:ascii="Times New Roman" w:eastAsiaTheme="majorEastAsia" w:hAnsi="Times New Roman" w:cs="Times New Roman"/>
          <w:b w:val="0"/>
          <w:bCs w:val="0"/>
          <w:sz w:val="24"/>
          <w:szCs w:val="24"/>
        </w:rPr>
        <w:t>2018</w:t>
      </w:r>
      <w:r w:rsidRPr="007062AE">
        <w:rPr>
          <w:rFonts w:ascii="Times New Roman" w:hAnsi="Times New Roman" w:cs="Times New Roman"/>
          <w:sz w:val="24"/>
          <w:szCs w:val="24"/>
        </w:rPr>
        <w:t xml:space="preserve">, a year that saw the highest failure rate of </w:t>
      </w:r>
      <w:r w:rsidRPr="007405F0">
        <w:rPr>
          <w:rStyle w:val="Strong"/>
          <w:rFonts w:ascii="Times New Roman" w:eastAsiaTheme="majorEastAsia" w:hAnsi="Times New Roman" w:cs="Times New Roman"/>
          <w:b w:val="0"/>
          <w:bCs w:val="0"/>
          <w:sz w:val="24"/>
          <w:szCs w:val="24"/>
        </w:rPr>
        <w:t>3.38%</w:t>
      </w:r>
      <w:r w:rsidRPr="007062AE">
        <w:rPr>
          <w:rFonts w:ascii="Times New Roman" w:hAnsi="Times New Roman" w:cs="Times New Roman"/>
          <w:sz w:val="24"/>
          <w:szCs w:val="24"/>
        </w:rPr>
        <w:t xml:space="preserve">. This suggests that while most students were successful in the Economics exam, some years exhibited slight variations in performance, particularly in 2018, when the failure rate rose sharply. Despite this dip, the overall trend shows that the performance remained robust, with the pass rates generally ranging between </w:t>
      </w:r>
      <w:r w:rsidRPr="002E26F5">
        <w:rPr>
          <w:rStyle w:val="Strong"/>
          <w:rFonts w:ascii="Times New Roman" w:eastAsiaTheme="majorEastAsia" w:hAnsi="Times New Roman" w:cs="Times New Roman"/>
          <w:b w:val="0"/>
          <w:bCs w:val="0"/>
          <w:sz w:val="24"/>
          <w:szCs w:val="24"/>
        </w:rPr>
        <w:t>98% and 99%</w:t>
      </w:r>
      <w:r w:rsidRPr="007062AE">
        <w:rPr>
          <w:rFonts w:ascii="Times New Roman" w:hAnsi="Times New Roman" w:cs="Times New Roman"/>
          <w:sz w:val="24"/>
          <w:szCs w:val="24"/>
        </w:rPr>
        <w:t xml:space="preserve"> in the years leading up to the introduction of the official textbook in </w:t>
      </w:r>
      <w:r w:rsidRPr="002E26F5">
        <w:rPr>
          <w:rStyle w:val="Strong"/>
          <w:rFonts w:ascii="Times New Roman" w:eastAsiaTheme="majorEastAsia" w:hAnsi="Times New Roman" w:cs="Times New Roman"/>
          <w:b w:val="0"/>
          <w:bCs w:val="0"/>
          <w:sz w:val="24"/>
          <w:szCs w:val="24"/>
        </w:rPr>
        <w:t>2022</w:t>
      </w:r>
      <w:r w:rsidRPr="007062AE">
        <w:rPr>
          <w:rFonts w:ascii="Times New Roman" w:hAnsi="Times New Roman" w:cs="Times New Roman"/>
          <w:sz w:val="24"/>
          <w:szCs w:val="24"/>
        </w:rPr>
        <w:t>.</w:t>
      </w:r>
    </w:p>
    <w:p w14:paraId="1D3C7FDF" w14:textId="3535D5FE" w:rsidR="007062AE" w:rsidRPr="007062AE" w:rsidRDefault="007062AE" w:rsidP="00C775A7">
      <w:pPr>
        <w:pStyle w:val="NormalWeb"/>
        <w:spacing w:after="0" w:afterAutospacing="0"/>
        <w:jc w:val="both"/>
        <w:rPr>
          <w:color w:val="000000"/>
        </w:rPr>
      </w:pPr>
      <w:r w:rsidRPr="002E26F5">
        <w:rPr>
          <w:color w:val="000000"/>
        </w:rPr>
        <w:t>Table 1.</w:t>
      </w:r>
      <w:r w:rsidRPr="007062AE">
        <w:rPr>
          <w:b/>
          <w:bCs/>
          <w:color w:val="000000"/>
        </w:rPr>
        <w:t xml:space="preserve"> </w:t>
      </w:r>
      <w:r w:rsidRPr="007062AE">
        <w:rPr>
          <w:color w:val="000000"/>
        </w:rPr>
        <w:t xml:space="preserve">Overall performance of economics (2014-2024) </w:t>
      </w:r>
    </w:p>
    <w:tbl>
      <w:tblPr>
        <w:tblW w:w="9360" w:type="dxa"/>
        <w:tblBorders>
          <w:top w:val="single" w:sz="4" w:space="0" w:color="auto"/>
        </w:tblBorders>
        <w:tblLook w:val="04A0" w:firstRow="1" w:lastRow="0" w:firstColumn="1" w:lastColumn="0" w:noHBand="0" w:noVBand="1"/>
      </w:tblPr>
      <w:tblGrid>
        <w:gridCol w:w="2250"/>
        <w:gridCol w:w="3060"/>
        <w:gridCol w:w="2070"/>
        <w:gridCol w:w="1980"/>
      </w:tblGrid>
      <w:tr w:rsidR="007062AE" w:rsidRPr="007062AE" w14:paraId="6087890D" w14:textId="77777777" w:rsidTr="00E16EBA">
        <w:trPr>
          <w:trHeight w:val="312"/>
        </w:trPr>
        <w:tc>
          <w:tcPr>
            <w:tcW w:w="2250" w:type="dxa"/>
            <w:vMerge w:val="restart"/>
            <w:noWrap/>
            <w:vAlign w:val="center"/>
            <w:hideMark/>
          </w:tcPr>
          <w:p w14:paraId="35024C94"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Year</w:t>
            </w:r>
          </w:p>
        </w:tc>
        <w:tc>
          <w:tcPr>
            <w:tcW w:w="3060" w:type="dxa"/>
            <w:vMerge w:val="restart"/>
            <w:noWrap/>
            <w:vAlign w:val="center"/>
            <w:hideMark/>
          </w:tcPr>
          <w:p w14:paraId="344096F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Number of candidates</w:t>
            </w:r>
          </w:p>
        </w:tc>
        <w:tc>
          <w:tcPr>
            <w:tcW w:w="4050" w:type="dxa"/>
            <w:gridSpan w:val="2"/>
            <w:noWrap/>
            <w:vAlign w:val="bottom"/>
            <w:hideMark/>
          </w:tcPr>
          <w:p w14:paraId="2CEB78D7"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Performance rate (%)</w:t>
            </w:r>
          </w:p>
        </w:tc>
      </w:tr>
      <w:tr w:rsidR="007062AE" w:rsidRPr="007062AE" w14:paraId="28E1461E" w14:textId="77777777" w:rsidTr="00E16EBA">
        <w:trPr>
          <w:trHeight w:val="312"/>
        </w:trPr>
        <w:tc>
          <w:tcPr>
            <w:tcW w:w="2250" w:type="dxa"/>
            <w:vMerge/>
            <w:tcBorders>
              <w:bottom w:val="single" w:sz="4" w:space="0" w:color="auto"/>
            </w:tcBorders>
            <w:vAlign w:val="center"/>
            <w:hideMark/>
          </w:tcPr>
          <w:p w14:paraId="4AA1935C"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3060" w:type="dxa"/>
            <w:vMerge/>
            <w:tcBorders>
              <w:bottom w:val="single" w:sz="4" w:space="0" w:color="auto"/>
            </w:tcBorders>
            <w:vAlign w:val="center"/>
            <w:hideMark/>
          </w:tcPr>
          <w:p w14:paraId="339F0FE2"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2070" w:type="dxa"/>
            <w:tcBorders>
              <w:bottom w:val="single" w:sz="4" w:space="0" w:color="auto"/>
            </w:tcBorders>
            <w:noWrap/>
            <w:vAlign w:val="bottom"/>
            <w:hideMark/>
          </w:tcPr>
          <w:p w14:paraId="7831144F"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Pass</w:t>
            </w:r>
          </w:p>
        </w:tc>
        <w:tc>
          <w:tcPr>
            <w:tcW w:w="1980" w:type="dxa"/>
            <w:tcBorders>
              <w:bottom w:val="single" w:sz="4" w:space="0" w:color="auto"/>
            </w:tcBorders>
            <w:noWrap/>
            <w:vAlign w:val="bottom"/>
            <w:hideMark/>
          </w:tcPr>
          <w:p w14:paraId="0DE51848"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Fail</w:t>
            </w:r>
          </w:p>
        </w:tc>
      </w:tr>
      <w:tr w:rsidR="007062AE" w:rsidRPr="007062AE" w14:paraId="673B1365" w14:textId="77777777" w:rsidTr="00E16EBA">
        <w:trPr>
          <w:trHeight w:val="312"/>
        </w:trPr>
        <w:tc>
          <w:tcPr>
            <w:tcW w:w="2250" w:type="dxa"/>
            <w:tcBorders>
              <w:top w:val="nil"/>
            </w:tcBorders>
            <w:noWrap/>
            <w:vAlign w:val="bottom"/>
            <w:hideMark/>
          </w:tcPr>
          <w:p w14:paraId="654BBD12"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2014</w:t>
            </w:r>
          </w:p>
        </w:tc>
        <w:tc>
          <w:tcPr>
            <w:tcW w:w="3060" w:type="dxa"/>
            <w:tcBorders>
              <w:top w:val="nil"/>
            </w:tcBorders>
            <w:noWrap/>
            <w:vAlign w:val="bottom"/>
            <w:hideMark/>
          </w:tcPr>
          <w:p w14:paraId="25A14304"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7,622</w:t>
            </w:r>
          </w:p>
        </w:tc>
        <w:tc>
          <w:tcPr>
            <w:tcW w:w="2070" w:type="dxa"/>
            <w:tcBorders>
              <w:top w:val="nil"/>
            </w:tcBorders>
            <w:noWrap/>
            <w:vAlign w:val="bottom"/>
            <w:hideMark/>
          </w:tcPr>
          <w:p w14:paraId="3694C460"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99.57</w:t>
            </w:r>
          </w:p>
        </w:tc>
        <w:tc>
          <w:tcPr>
            <w:tcW w:w="1980" w:type="dxa"/>
            <w:tcBorders>
              <w:top w:val="nil"/>
            </w:tcBorders>
            <w:noWrap/>
            <w:vAlign w:val="bottom"/>
            <w:hideMark/>
          </w:tcPr>
          <w:p w14:paraId="043E5B23"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0.43</w:t>
            </w:r>
          </w:p>
        </w:tc>
      </w:tr>
      <w:tr w:rsidR="007062AE" w:rsidRPr="007062AE" w14:paraId="3D3E6D81" w14:textId="77777777" w:rsidTr="00E16EBA">
        <w:trPr>
          <w:trHeight w:val="312"/>
        </w:trPr>
        <w:tc>
          <w:tcPr>
            <w:tcW w:w="2250" w:type="dxa"/>
            <w:tcBorders>
              <w:top w:val="nil"/>
            </w:tcBorders>
            <w:noWrap/>
            <w:vAlign w:val="bottom"/>
            <w:hideMark/>
          </w:tcPr>
          <w:p w14:paraId="6064070B"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2015</w:t>
            </w:r>
          </w:p>
        </w:tc>
        <w:tc>
          <w:tcPr>
            <w:tcW w:w="3060" w:type="dxa"/>
            <w:tcBorders>
              <w:top w:val="nil"/>
            </w:tcBorders>
            <w:noWrap/>
            <w:vAlign w:val="bottom"/>
            <w:hideMark/>
          </w:tcPr>
          <w:p w14:paraId="786F2CC6"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7,418</w:t>
            </w:r>
          </w:p>
        </w:tc>
        <w:tc>
          <w:tcPr>
            <w:tcW w:w="2070" w:type="dxa"/>
            <w:tcBorders>
              <w:top w:val="nil"/>
            </w:tcBorders>
            <w:noWrap/>
            <w:vAlign w:val="bottom"/>
            <w:hideMark/>
          </w:tcPr>
          <w:p w14:paraId="5C15AAD4"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99.7</w:t>
            </w:r>
          </w:p>
        </w:tc>
        <w:tc>
          <w:tcPr>
            <w:tcW w:w="1980" w:type="dxa"/>
            <w:tcBorders>
              <w:top w:val="nil"/>
            </w:tcBorders>
            <w:noWrap/>
            <w:vAlign w:val="bottom"/>
            <w:hideMark/>
          </w:tcPr>
          <w:p w14:paraId="46476D7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0.3</w:t>
            </w:r>
          </w:p>
        </w:tc>
      </w:tr>
      <w:tr w:rsidR="007062AE" w:rsidRPr="007062AE" w14:paraId="22E28795" w14:textId="77777777" w:rsidTr="00E16EBA">
        <w:trPr>
          <w:trHeight w:val="312"/>
        </w:trPr>
        <w:tc>
          <w:tcPr>
            <w:tcW w:w="2250" w:type="dxa"/>
            <w:tcBorders>
              <w:top w:val="nil"/>
            </w:tcBorders>
            <w:noWrap/>
            <w:vAlign w:val="bottom"/>
            <w:hideMark/>
          </w:tcPr>
          <w:p w14:paraId="1EFBC575"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2016</w:t>
            </w:r>
          </w:p>
        </w:tc>
        <w:tc>
          <w:tcPr>
            <w:tcW w:w="3060" w:type="dxa"/>
            <w:tcBorders>
              <w:top w:val="nil"/>
            </w:tcBorders>
            <w:noWrap/>
            <w:vAlign w:val="bottom"/>
            <w:hideMark/>
          </w:tcPr>
          <w:p w14:paraId="3BD2D9F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11,826</w:t>
            </w:r>
          </w:p>
        </w:tc>
        <w:tc>
          <w:tcPr>
            <w:tcW w:w="2070" w:type="dxa"/>
            <w:tcBorders>
              <w:top w:val="nil"/>
            </w:tcBorders>
            <w:noWrap/>
            <w:vAlign w:val="bottom"/>
            <w:hideMark/>
          </w:tcPr>
          <w:p w14:paraId="22FFD47C"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98</w:t>
            </w:r>
          </w:p>
        </w:tc>
        <w:tc>
          <w:tcPr>
            <w:tcW w:w="1980" w:type="dxa"/>
            <w:tcBorders>
              <w:top w:val="nil"/>
            </w:tcBorders>
            <w:noWrap/>
            <w:vAlign w:val="bottom"/>
            <w:hideMark/>
          </w:tcPr>
          <w:p w14:paraId="4B875C08"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w:t>
            </w:r>
          </w:p>
        </w:tc>
      </w:tr>
      <w:tr w:rsidR="007062AE" w:rsidRPr="007062AE" w14:paraId="099BC162" w14:textId="77777777" w:rsidTr="00E16EBA">
        <w:trPr>
          <w:trHeight w:val="312"/>
        </w:trPr>
        <w:tc>
          <w:tcPr>
            <w:tcW w:w="2250" w:type="dxa"/>
            <w:tcBorders>
              <w:top w:val="nil"/>
            </w:tcBorders>
            <w:noWrap/>
            <w:vAlign w:val="bottom"/>
            <w:hideMark/>
          </w:tcPr>
          <w:p w14:paraId="67782F73"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2017</w:t>
            </w:r>
          </w:p>
        </w:tc>
        <w:tc>
          <w:tcPr>
            <w:tcW w:w="3060" w:type="dxa"/>
            <w:tcBorders>
              <w:top w:val="nil"/>
            </w:tcBorders>
            <w:noWrap/>
            <w:vAlign w:val="bottom"/>
            <w:hideMark/>
          </w:tcPr>
          <w:p w14:paraId="08C14432"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9,364</w:t>
            </w:r>
          </w:p>
        </w:tc>
        <w:tc>
          <w:tcPr>
            <w:tcW w:w="2070" w:type="dxa"/>
            <w:tcBorders>
              <w:top w:val="nil"/>
            </w:tcBorders>
            <w:noWrap/>
            <w:vAlign w:val="bottom"/>
            <w:hideMark/>
          </w:tcPr>
          <w:p w14:paraId="7961D77A"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99.56</w:t>
            </w:r>
          </w:p>
        </w:tc>
        <w:tc>
          <w:tcPr>
            <w:tcW w:w="1980" w:type="dxa"/>
            <w:tcBorders>
              <w:top w:val="nil"/>
            </w:tcBorders>
            <w:noWrap/>
            <w:vAlign w:val="bottom"/>
            <w:hideMark/>
          </w:tcPr>
          <w:p w14:paraId="39944EB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0.44</w:t>
            </w:r>
          </w:p>
        </w:tc>
      </w:tr>
      <w:tr w:rsidR="007062AE" w:rsidRPr="007062AE" w14:paraId="78A9385F" w14:textId="77777777" w:rsidTr="00E16EBA">
        <w:trPr>
          <w:trHeight w:val="312"/>
        </w:trPr>
        <w:tc>
          <w:tcPr>
            <w:tcW w:w="2250" w:type="dxa"/>
            <w:tcBorders>
              <w:top w:val="nil"/>
            </w:tcBorders>
            <w:noWrap/>
            <w:vAlign w:val="bottom"/>
            <w:hideMark/>
          </w:tcPr>
          <w:p w14:paraId="3756815A"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2018</w:t>
            </w:r>
          </w:p>
        </w:tc>
        <w:tc>
          <w:tcPr>
            <w:tcW w:w="3060" w:type="dxa"/>
            <w:tcBorders>
              <w:top w:val="nil"/>
            </w:tcBorders>
            <w:noWrap/>
            <w:vAlign w:val="bottom"/>
            <w:hideMark/>
          </w:tcPr>
          <w:p w14:paraId="0CAD2EBE"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11,126</w:t>
            </w:r>
          </w:p>
        </w:tc>
        <w:tc>
          <w:tcPr>
            <w:tcW w:w="2070" w:type="dxa"/>
            <w:tcBorders>
              <w:top w:val="nil"/>
            </w:tcBorders>
            <w:noWrap/>
            <w:vAlign w:val="bottom"/>
            <w:hideMark/>
          </w:tcPr>
          <w:p w14:paraId="6AE6E8B7"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96.62</w:t>
            </w:r>
          </w:p>
        </w:tc>
        <w:tc>
          <w:tcPr>
            <w:tcW w:w="1980" w:type="dxa"/>
            <w:tcBorders>
              <w:top w:val="nil"/>
            </w:tcBorders>
            <w:noWrap/>
            <w:vAlign w:val="bottom"/>
            <w:hideMark/>
          </w:tcPr>
          <w:p w14:paraId="377AAF70"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3.38</w:t>
            </w:r>
          </w:p>
        </w:tc>
      </w:tr>
      <w:tr w:rsidR="007062AE" w:rsidRPr="007062AE" w14:paraId="3D47552C" w14:textId="77777777" w:rsidTr="00E16EBA">
        <w:trPr>
          <w:trHeight w:val="312"/>
        </w:trPr>
        <w:tc>
          <w:tcPr>
            <w:tcW w:w="2250" w:type="dxa"/>
            <w:tcBorders>
              <w:top w:val="nil"/>
            </w:tcBorders>
            <w:noWrap/>
            <w:vAlign w:val="bottom"/>
            <w:hideMark/>
          </w:tcPr>
          <w:p w14:paraId="0EE488CE"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2019</w:t>
            </w:r>
          </w:p>
        </w:tc>
        <w:tc>
          <w:tcPr>
            <w:tcW w:w="3060" w:type="dxa"/>
            <w:tcBorders>
              <w:top w:val="nil"/>
            </w:tcBorders>
            <w:noWrap/>
            <w:vAlign w:val="bottom"/>
            <w:hideMark/>
          </w:tcPr>
          <w:p w14:paraId="7060F6B6"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11,377</w:t>
            </w:r>
          </w:p>
        </w:tc>
        <w:tc>
          <w:tcPr>
            <w:tcW w:w="2070" w:type="dxa"/>
            <w:tcBorders>
              <w:top w:val="nil"/>
            </w:tcBorders>
            <w:noWrap/>
            <w:vAlign w:val="bottom"/>
            <w:hideMark/>
          </w:tcPr>
          <w:p w14:paraId="52E5A6F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98.25</w:t>
            </w:r>
          </w:p>
        </w:tc>
        <w:tc>
          <w:tcPr>
            <w:tcW w:w="1980" w:type="dxa"/>
            <w:tcBorders>
              <w:top w:val="nil"/>
            </w:tcBorders>
            <w:noWrap/>
            <w:vAlign w:val="bottom"/>
            <w:hideMark/>
          </w:tcPr>
          <w:p w14:paraId="4F424B15"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1.75</w:t>
            </w:r>
          </w:p>
        </w:tc>
      </w:tr>
      <w:tr w:rsidR="007062AE" w:rsidRPr="007062AE" w14:paraId="08CA1AC1" w14:textId="77777777" w:rsidTr="00E16EBA">
        <w:trPr>
          <w:trHeight w:val="312"/>
        </w:trPr>
        <w:tc>
          <w:tcPr>
            <w:tcW w:w="2250" w:type="dxa"/>
            <w:tcBorders>
              <w:top w:val="nil"/>
              <w:bottom w:val="nil"/>
            </w:tcBorders>
            <w:noWrap/>
            <w:vAlign w:val="bottom"/>
            <w:hideMark/>
          </w:tcPr>
          <w:p w14:paraId="749B4C14"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2020</w:t>
            </w:r>
          </w:p>
        </w:tc>
        <w:tc>
          <w:tcPr>
            <w:tcW w:w="3060" w:type="dxa"/>
            <w:tcBorders>
              <w:top w:val="nil"/>
              <w:bottom w:val="nil"/>
            </w:tcBorders>
            <w:noWrap/>
            <w:vAlign w:val="bottom"/>
            <w:hideMark/>
          </w:tcPr>
          <w:p w14:paraId="04C285F8"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11,313</w:t>
            </w:r>
          </w:p>
        </w:tc>
        <w:tc>
          <w:tcPr>
            <w:tcW w:w="2070" w:type="dxa"/>
            <w:tcBorders>
              <w:top w:val="nil"/>
              <w:bottom w:val="nil"/>
            </w:tcBorders>
            <w:noWrap/>
            <w:vAlign w:val="bottom"/>
            <w:hideMark/>
          </w:tcPr>
          <w:p w14:paraId="359A2162"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99.28</w:t>
            </w:r>
          </w:p>
        </w:tc>
        <w:tc>
          <w:tcPr>
            <w:tcW w:w="1980" w:type="dxa"/>
            <w:tcBorders>
              <w:top w:val="nil"/>
              <w:bottom w:val="nil"/>
            </w:tcBorders>
            <w:noWrap/>
            <w:vAlign w:val="bottom"/>
            <w:hideMark/>
          </w:tcPr>
          <w:p w14:paraId="74FF7F78"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0.72</w:t>
            </w:r>
          </w:p>
        </w:tc>
      </w:tr>
      <w:tr w:rsidR="007062AE" w:rsidRPr="007062AE" w14:paraId="6ACF0248" w14:textId="77777777" w:rsidTr="00E16EBA">
        <w:trPr>
          <w:trHeight w:val="312"/>
        </w:trPr>
        <w:tc>
          <w:tcPr>
            <w:tcW w:w="2250" w:type="dxa"/>
            <w:tcBorders>
              <w:top w:val="nil"/>
              <w:bottom w:val="nil"/>
            </w:tcBorders>
            <w:noWrap/>
            <w:vAlign w:val="bottom"/>
            <w:hideMark/>
          </w:tcPr>
          <w:p w14:paraId="4C7110D7"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2022</w:t>
            </w:r>
          </w:p>
        </w:tc>
        <w:tc>
          <w:tcPr>
            <w:tcW w:w="3060" w:type="dxa"/>
            <w:tcBorders>
              <w:top w:val="nil"/>
              <w:bottom w:val="nil"/>
            </w:tcBorders>
            <w:noWrap/>
            <w:vAlign w:val="bottom"/>
            <w:hideMark/>
          </w:tcPr>
          <w:p w14:paraId="289FE0D3"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11,652</w:t>
            </w:r>
          </w:p>
        </w:tc>
        <w:tc>
          <w:tcPr>
            <w:tcW w:w="2070" w:type="dxa"/>
            <w:tcBorders>
              <w:top w:val="nil"/>
              <w:bottom w:val="nil"/>
            </w:tcBorders>
            <w:noWrap/>
            <w:vAlign w:val="bottom"/>
            <w:hideMark/>
          </w:tcPr>
          <w:p w14:paraId="1880B487"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98.73</w:t>
            </w:r>
          </w:p>
        </w:tc>
        <w:tc>
          <w:tcPr>
            <w:tcW w:w="1980" w:type="dxa"/>
            <w:tcBorders>
              <w:top w:val="nil"/>
              <w:bottom w:val="nil"/>
            </w:tcBorders>
            <w:noWrap/>
            <w:vAlign w:val="bottom"/>
            <w:hideMark/>
          </w:tcPr>
          <w:p w14:paraId="1C9A6986"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0.27</w:t>
            </w:r>
          </w:p>
        </w:tc>
      </w:tr>
      <w:tr w:rsidR="007062AE" w:rsidRPr="007062AE" w14:paraId="4EEC96A7" w14:textId="77777777" w:rsidTr="00E16EBA">
        <w:trPr>
          <w:trHeight w:val="312"/>
        </w:trPr>
        <w:tc>
          <w:tcPr>
            <w:tcW w:w="2250" w:type="dxa"/>
            <w:tcBorders>
              <w:top w:val="nil"/>
              <w:bottom w:val="nil"/>
            </w:tcBorders>
            <w:noWrap/>
            <w:vAlign w:val="bottom"/>
          </w:tcPr>
          <w:p w14:paraId="229784BC"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2023</w:t>
            </w:r>
          </w:p>
        </w:tc>
        <w:tc>
          <w:tcPr>
            <w:tcW w:w="3060" w:type="dxa"/>
            <w:tcBorders>
              <w:top w:val="nil"/>
              <w:bottom w:val="nil"/>
            </w:tcBorders>
            <w:noWrap/>
            <w:vAlign w:val="bottom"/>
          </w:tcPr>
          <w:p w14:paraId="29CBEE73"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12,717</w:t>
            </w:r>
          </w:p>
        </w:tc>
        <w:tc>
          <w:tcPr>
            <w:tcW w:w="2070" w:type="dxa"/>
            <w:tcBorders>
              <w:top w:val="nil"/>
              <w:bottom w:val="nil"/>
            </w:tcBorders>
            <w:noWrap/>
            <w:vAlign w:val="bottom"/>
          </w:tcPr>
          <w:p w14:paraId="0F87769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99.97</w:t>
            </w:r>
          </w:p>
        </w:tc>
        <w:tc>
          <w:tcPr>
            <w:tcW w:w="1980" w:type="dxa"/>
            <w:tcBorders>
              <w:top w:val="nil"/>
              <w:bottom w:val="nil"/>
            </w:tcBorders>
            <w:noWrap/>
            <w:vAlign w:val="bottom"/>
          </w:tcPr>
          <w:p w14:paraId="5ADC4269"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0.03</w:t>
            </w:r>
          </w:p>
        </w:tc>
      </w:tr>
      <w:tr w:rsidR="007062AE" w:rsidRPr="007062AE" w14:paraId="2CEF93FA" w14:textId="77777777" w:rsidTr="00E16EBA">
        <w:trPr>
          <w:trHeight w:val="312"/>
        </w:trPr>
        <w:tc>
          <w:tcPr>
            <w:tcW w:w="2250" w:type="dxa"/>
            <w:tcBorders>
              <w:top w:val="nil"/>
              <w:bottom w:val="single" w:sz="4" w:space="0" w:color="auto"/>
            </w:tcBorders>
            <w:noWrap/>
            <w:vAlign w:val="bottom"/>
          </w:tcPr>
          <w:p w14:paraId="655C5CB5"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2024</w:t>
            </w:r>
          </w:p>
        </w:tc>
        <w:tc>
          <w:tcPr>
            <w:tcW w:w="3060" w:type="dxa"/>
            <w:tcBorders>
              <w:top w:val="nil"/>
              <w:bottom w:val="single" w:sz="4" w:space="0" w:color="auto"/>
            </w:tcBorders>
            <w:noWrap/>
            <w:vAlign w:val="bottom"/>
          </w:tcPr>
          <w:p w14:paraId="235D760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13,968</w:t>
            </w:r>
          </w:p>
        </w:tc>
        <w:tc>
          <w:tcPr>
            <w:tcW w:w="2070" w:type="dxa"/>
            <w:tcBorders>
              <w:top w:val="nil"/>
              <w:bottom w:val="single" w:sz="4" w:space="0" w:color="auto"/>
            </w:tcBorders>
            <w:noWrap/>
            <w:vAlign w:val="bottom"/>
          </w:tcPr>
          <w:p w14:paraId="5384CD91"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99.94</w:t>
            </w:r>
          </w:p>
        </w:tc>
        <w:tc>
          <w:tcPr>
            <w:tcW w:w="1980" w:type="dxa"/>
            <w:tcBorders>
              <w:top w:val="nil"/>
              <w:bottom w:val="single" w:sz="4" w:space="0" w:color="auto"/>
            </w:tcBorders>
            <w:noWrap/>
            <w:vAlign w:val="bottom"/>
          </w:tcPr>
          <w:p w14:paraId="28CF1F46" w14:textId="77777777" w:rsidR="007062AE" w:rsidRPr="007062AE" w:rsidRDefault="007062AE" w:rsidP="00C775A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7062AE">
              <w:rPr>
                <w:rFonts w:ascii="Times New Roman" w:eastAsia="Times New Roman" w:hAnsi="Times New Roman" w:cs="Times New Roman"/>
                <w:color w:val="000000"/>
                <w:kern w:val="0"/>
                <w:sz w:val="24"/>
                <w:szCs w:val="24"/>
                <w:lang w:eastAsia="en-GB"/>
                <w14:ligatures w14:val="none"/>
              </w:rPr>
              <w:t>0.06</w:t>
            </w:r>
          </w:p>
        </w:tc>
      </w:tr>
    </w:tbl>
    <w:p w14:paraId="7E0CA599" w14:textId="77777777" w:rsidR="007062AE" w:rsidRPr="007062AE" w:rsidRDefault="007062AE" w:rsidP="00C775A7">
      <w:pPr>
        <w:pStyle w:val="Default"/>
        <w:contextualSpacing/>
        <w:jc w:val="both"/>
      </w:pPr>
      <w:r w:rsidRPr="007062AE">
        <w:rPr>
          <w:b/>
          <w:bCs/>
        </w:rPr>
        <w:t xml:space="preserve"> </w:t>
      </w:r>
      <w:r w:rsidRPr="007062AE">
        <w:t>Source: NECTA (2014-2024)</w:t>
      </w:r>
    </w:p>
    <w:p w14:paraId="0F923CAC" w14:textId="50FF006C" w:rsidR="007062AE" w:rsidRDefault="007062AE" w:rsidP="00C775A7">
      <w:pPr>
        <w:pStyle w:val="NormalWeb"/>
        <w:spacing w:after="0" w:afterAutospacing="0"/>
        <w:jc w:val="both"/>
      </w:pPr>
      <w:r w:rsidRPr="007062AE">
        <w:t xml:space="preserve">The performance from </w:t>
      </w:r>
      <w:r w:rsidRPr="002E26F5">
        <w:rPr>
          <w:rStyle w:val="Strong"/>
          <w:rFonts w:eastAsiaTheme="majorEastAsia"/>
          <w:b w:val="0"/>
          <w:bCs w:val="0"/>
        </w:rPr>
        <w:t>2022 to 2024</w:t>
      </w:r>
      <w:r w:rsidR="002E26F5">
        <w:t xml:space="preserve"> shows a further improvement in pass rates, reaching</w:t>
      </w:r>
      <w:r w:rsidRPr="007062AE">
        <w:t xml:space="preserve"> </w:t>
      </w:r>
      <w:r w:rsidR="002E26F5">
        <w:t xml:space="preserve">a </w:t>
      </w:r>
      <w:r w:rsidRPr="007062AE">
        <w:t xml:space="preserve">near-perfect </w:t>
      </w:r>
      <w:r w:rsidRPr="002E26F5">
        <w:rPr>
          <w:rStyle w:val="Strong"/>
          <w:rFonts w:eastAsiaTheme="majorEastAsia"/>
          <w:b w:val="0"/>
          <w:bCs w:val="0"/>
        </w:rPr>
        <w:t>99.97%</w:t>
      </w:r>
      <w:r w:rsidRPr="007062AE">
        <w:t xml:space="preserve"> in </w:t>
      </w:r>
      <w:r w:rsidRPr="002E26F5">
        <w:rPr>
          <w:rStyle w:val="Strong"/>
          <w:rFonts w:eastAsiaTheme="majorEastAsia"/>
          <w:b w:val="0"/>
          <w:bCs w:val="0"/>
        </w:rPr>
        <w:t>2023</w:t>
      </w:r>
      <w:r w:rsidRPr="007062AE">
        <w:t xml:space="preserve"> and </w:t>
      </w:r>
      <w:r w:rsidRPr="002E26F5">
        <w:rPr>
          <w:rStyle w:val="Strong"/>
          <w:rFonts w:eastAsiaTheme="majorEastAsia"/>
          <w:b w:val="0"/>
          <w:bCs w:val="0"/>
        </w:rPr>
        <w:t>99.94%</w:t>
      </w:r>
      <w:r w:rsidRPr="007062AE">
        <w:t xml:space="preserve"> in </w:t>
      </w:r>
      <w:r w:rsidRPr="002E26F5">
        <w:rPr>
          <w:rStyle w:val="Strong"/>
          <w:rFonts w:eastAsiaTheme="majorEastAsia"/>
          <w:b w:val="0"/>
          <w:bCs w:val="0"/>
        </w:rPr>
        <w:t>2024</w:t>
      </w:r>
      <w:r w:rsidRPr="007062AE">
        <w:t xml:space="preserve">, with the failure rate declining to as low as </w:t>
      </w:r>
      <w:r w:rsidRPr="002E26F5">
        <w:rPr>
          <w:rStyle w:val="Strong"/>
          <w:rFonts w:eastAsiaTheme="majorEastAsia"/>
          <w:b w:val="0"/>
          <w:bCs w:val="0"/>
        </w:rPr>
        <w:t>0.03%</w:t>
      </w:r>
      <w:r w:rsidRPr="007062AE">
        <w:t xml:space="preserve"> in </w:t>
      </w:r>
      <w:r w:rsidRPr="002E26F5">
        <w:rPr>
          <w:rStyle w:val="Strong"/>
          <w:rFonts w:eastAsiaTheme="majorEastAsia"/>
          <w:b w:val="0"/>
          <w:bCs w:val="0"/>
        </w:rPr>
        <w:t>2023</w:t>
      </w:r>
      <w:r w:rsidRPr="007062AE">
        <w:t>. This upward trend in performance could indicate the positive impact of the standardi</w:t>
      </w:r>
      <w:r w:rsidR="00246795">
        <w:t>s</w:t>
      </w:r>
      <w:r w:rsidRPr="007062AE">
        <w:t xml:space="preserve">ed Economics textbook introduced in </w:t>
      </w:r>
      <w:r w:rsidRPr="002E26F5">
        <w:rPr>
          <w:rStyle w:val="Strong"/>
          <w:rFonts w:eastAsiaTheme="majorEastAsia"/>
          <w:b w:val="0"/>
          <w:bCs w:val="0"/>
        </w:rPr>
        <w:t>2022</w:t>
      </w:r>
      <w:r w:rsidRPr="007062AE">
        <w:t xml:space="preserve">, providing more consistent content delivery and better </w:t>
      </w:r>
      <w:r w:rsidRPr="007062AE">
        <w:lastRenderedPageBreak/>
        <w:t>preparation for students. The overall decrease in failure rates during these years suggests that the introduction of the official textbook may have helped standardi</w:t>
      </w:r>
      <w:r w:rsidR="00246795">
        <w:t>s</w:t>
      </w:r>
      <w:r w:rsidRPr="007062AE">
        <w:t xml:space="preserve">e instructional quality across schools, reducing performance disparities. The data points to a positive shift, particularly evident in </w:t>
      </w:r>
      <w:r w:rsidRPr="002E26F5">
        <w:rPr>
          <w:rStyle w:val="Strong"/>
          <w:rFonts w:eastAsiaTheme="majorEastAsia"/>
          <w:b w:val="0"/>
          <w:bCs w:val="0"/>
        </w:rPr>
        <w:t>2023 and 2024</w:t>
      </w:r>
      <w:r w:rsidRPr="007062AE">
        <w:t>, where the failure rate reached historically low levels. These results may reflect the textbook's role in creating a more equitable learning environment, ensuring all students have access to the same high-quality educational resources.</w:t>
      </w:r>
    </w:p>
    <w:p w14:paraId="6979BFE3" w14:textId="77777777" w:rsidR="00C775A7" w:rsidRPr="007062AE" w:rsidRDefault="00C775A7" w:rsidP="00C775A7">
      <w:pPr>
        <w:pStyle w:val="NormalWeb"/>
        <w:spacing w:before="0" w:beforeAutospacing="0" w:after="0" w:afterAutospacing="0"/>
        <w:jc w:val="both"/>
      </w:pPr>
    </w:p>
    <w:p w14:paraId="03249155" w14:textId="6C574003" w:rsidR="001270CD" w:rsidRDefault="007062AE" w:rsidP="00FA4439">
      <w:pPr>
        <w:spacing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summarised data in Table </w:t>
      </w:r>
      <w:r w:rsidR="007405F0">
        <w:rPr>
          <w:rFonts w:ascii="Times New Roman" w:hAnsi="Times New Roman" w:cs="Times New Roman"/>
          <w:sz w:val="24"/>
          <w:szCs w:val="24"/>
        </w:rPr>
        <w:t>1 were</w:t>
      </w:r>
      <w:r w:rsidRPr="007062AE">
        <w:rPr>
          <w:rFonts w:ascii="Times New Roman" w:hAnsi="Times New Roman" w:cs="Times New Roman"/>
          <w:sz w:val="24"/>
          <w:szCs w:val="24"/>
        </w:rPr>
        <w:t xml:space="preserve"> further presented in the line graph as shown in Figure 1.  </w:t>
      </w:r>
      <w:r w:rsidR="007405F0">
        <w:rPr>
          <w:rFonts w:ascii="Times New Roman" w:hAnsi="Times New Roman" w:cs="Times New Roman"/>
          <w:sz w:val="24"/>
          <w:szCs w:val="24"/>
        </w:rPr>
        <w:t>The presented data</w:t>
      </w:r>
      <w:r w:rsidRPr="007062AE">
        <w:rPr>
          <w:rFonts w:ascii="Times New Roman" w:hAnsi="Times New Roman" w:cs="Times New Roman"/>
          <w:sz w:val="24"/>
          <w:szCs w:val="24"/>
        </w:rPr>
        <w:t xml:space="preserve"> show</w:t>
      </w:r>
      <w:r w:rsidR="007405F0">
        <w:rPr>
          <w:rFonts w:ascii="Times New Roman" w:hAnsi="Times New Roman" w:cs="Times New Roman"/>
          <w:sz w:val="24"/>
          <w:szCs w:val="24"/>
        </w:rPr>
        <w:t xml:space="preserve"> the trend in Economics performance from 2014, suggesting that overall performance</w:t>
      </w:r>
      <w:r w:rsidRPr="007062AE">
        <w:rPr>
          <w:rFonts w:ascii="Times New Roman" w:hAnsi="Times New Roman" w:cs="Times New Roman"/>
          <w:sz w:val="24"/>
          <w:szCs w:val="24"/>
        </w:rPr>
        <w:t xml:space="preserve"> from 2014 to 2024 remained strong, with the introduction of the standardised textbook potentially stabilising performance across the country.</w:t>
      </w:r>
    </w:p>
    <w:p w14:paraId="5BEFB1D2" w14:textId="6E422DAE" w:rsidR="007062AE" w:rsidRPr="007062AE" w:rsidRDefault="007062AE" w:rsidP="00C775A7">
      <w:pPr>
        <w:spacing w:after="0" w:line="240" w:lineRule="auto"/>
        <w:jc w:val="both"/>
        <w:rPr>
          <w:rFonts w:ascii="Times New Roman" w:hAnsi="Times New Roman" w:cs="Times New Roman"/>
          <w:sz w:val="24"/>
          <w:szCs w:val="24"/>
        </w:rPr>
      </w:pPr>
      <w:r w:rsidRPr="007062AE">
        <w:rPr>
          <w:rFonts w:ascii="Times New Roman" w:eastAsia="Times New Roman" w:hAnsi="Times New Roman" w:cs="Times New Roman"/>
          <w:kern w:val="0"/>
          <w:sz w:val="24"/>
          <w:szCs w:val="24"/>
          <w:lang w:eastAsia="en-GB"/>
          <w14:ligatures w14:val="none"/>
        </w:rPr>
        <w:t xml:space="preserve">Figure 1. </w:t>
      </w:r>
      <w:r w:rsidRPr="007062AE">
        <w:rPr>
          <w:rFonts w:ascii="Times New Roman" w:hAnsi="Times New Roman" w:cs="Times New Roman"/>
          <w:sz w:val="24"/>
          <w:szCs w:val="24"/>
        </w:rPr>
        <w:t>Trend of Economics Performance (2014-2024</w:t>
      </w:r>
    </w:p>
    <w:p w14:paraId="7916E8A1" w14:textId="4E3FE951" w:rsidR="007062AE" w:rsidRPr="007062AE" w:rsidRDefault="007062AE" w:rsidP="00C775A7">
      <w:pPr>
        <w:spacing w:after="0" w:line="240" w:lineRule="auto"/>
        <w:rPr>
          <w:rFonts w:ascii="Times New Roman" w:hAnsi="Times New Roman" w:cs="Times New Roman"/>
          <w:sz w:val="24"/>
          <w:szCs w:val="24"/>
        </w:rPr>
      </w:pPr>
      <w:r w:rsidRPr="007062AE">
        <w:rPr>
          <w:rFonts w:ascii="Times New Roman" w:hAnsi="Times New Roman" w:cs="Times New Roman"/>
          <w:noProof/>
          <w:sz w:val="24"/>
          <w:szCs w:val="24"/>
        </w:rPr>
        <w:drawing>
          <wp:inline distT="0" distB="0" distL="0" distR="0" wp14:anchorId="04E6A45E" wp14:editId="060B798B">
            <wp:extent cx="5897880" cy="3642065"/>
            <wp:effectExtent l="0" t="0" r="7620" b="0"/>
            <wp:docPr id="565945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3166" cy="3657679"/>
                    </a:xfrm>
                    <a:prstGeom prst="rect">
                      <a:avLst/>
                    </a:prstGeom>
                    <a:noFill/>
                    <a:ln>
                      <a:noFill/>
                    </a:ln>
                  </pic:spPr>
                </pic:pic>
              </a:graphicData>
            </a:graphic>
          </wp:inline>
        </w:drawing>
      </w:r>
    </w:p>
    <w:p w14:paraId="71B8065D" w14:textId="54A6E783" w:rsidR="007062AE" w:rsidRPr="007062AE" w:rsidRDefault="007062AE" w:rsidP="00C775A7">
      <w:pPr>
        <w:pStyle w:val="NormalWeb"/>
        <w:spacing w:after="0" w:afterAutospacing="0"/>
        <w:jc w:val="both"/>
      </w:pPr>
      <w:r w:rsidRPr="007062AE">
        <w:t>The consistently high pass rates observed over the years suggest that, despite the absence of a standardi</w:t>
      </w:r>
      <w:r w:rsidR="00246795">
        <w:t>s</w:t>
      </w:r>
      <w:r w:rsidRPr="007062AE">
        <w:t>ed textbook, students received adequate instruction and were well-prepared for the exam</w:t>
      </w:r>
      <w:r w:rsidR="00BA4117">
        <w:t>ination</w:t>
      </w:r>
      <w:r w:rsidRPr="007062AE">
        <w:t>s. This implies that teachers were resourceful, often relying on self-prepared notes, supplementary materials, and other available resources to deliver content effectively. However, while these high pass rates are encouraging, the lack of a standardi</w:t>
      </w:r>
      <w:r w:rsidR="00246795">
        <w:t>s</w:t>
      </w:r>
      <w:r w:rsidRPr="007062AE">
        <w:t xml:space="preserve">ed textbook could have led to inconsistencies in teaching quality. </w:t>
      </w:r>
      <w:r w:rsidR="007405F0">
        <w:t>For instance, some schools</w:t>
      </w:r>
      <w:r w:rsidRPr="007062AE">
        <w:t xml:space="preserve"> may have had better access to resources than others, which could explain variations in instructional practices. Hattie (2009) emphasi</w:t>
      </w:r>
      <w:r w:rsidR="00246795">
        <w:t>s</w:t>
      </w:r>
      <w:r w:rsidRPr="007062AE">
        <w:t>es that teaching resources play a pivotal role in enhancing student performance, noting that disparities in resource availability can contribute to unequal learning outcomes. Cohen &amp; Ball (1999) further support this by pointing out that inconsistent teaching materials often lead to differences in instructional quality, which could potentially create performance gaps across schools.</w:t>
      </w:r>
    </w:p>
    <w:p w14:paraId="3BD91AFE" w14:textId="3D223ACF" w:rsidR="007062AE" w:rsidRPr="007062AE" w:rsidRDefault="007405F0" w:rsidP="00C775A7">
      <w:pPr>
        <w:pStyle w:val="NormalWeb"/>
        <w:spacing w:after="0" w:afterAutospacing="0"/>
        <w:jc w:val="both"/>
      </w:pPr>
      <w:r>
        <w:lastRenderedPageBreak/>
        <w:t>Moreover, t</w:t>
      </w:r>
      <w:r w:rsidR="007062AE" w:rsidRPr="007062AE">
        <w:t>he introduction of a standardi</w:t>
      </w:r>
      <w:r>
        <w:t>s</w:t>
      </w:r>
      <w:r w:rsidR="007062AE" w:rsidRPr="007062AE">
        <w:t>ed Economics textbook in 2022 appears to have addressed these disparities, ensuring that all students had access to the same high-quality learning resources. This shift likely helped to improve the consistency of instruction across different schools. The data from 2022 to 2024 show</w:t>
      </w:r>
      <w:r>
        <w:t xml:space="preserve"> consistently high pass rates (98.73% in 2022 and 99.97% in 2023), suggesting</w:t>
      </w:r>
      <w:r w:rsidR="007062AE" w:rsidRPr="007062AE">
        <w:t xml:space="preserve"> that the curriculum was both effective and well-received. The availability of a common resource </w:t>
      </w:r>
      <w:r>
        <w:t>enabled teachers to deliver the curriculum more consistently, aligning</w:t>
      </w:r>
      <w:r w:rsidR="007062AE" w:rsidRPr="007062AE">
        <w:t xml:space="preserve"> with Hattie's (2009) argument that high-quality teaching resources significantly enhance instructional effectiveness. The low fail rates, particularly as low as 0.03% in 2023, further support the idea that the textbook played a crucial role in improving student preparedness and confidence. These results indicate that the textbook likely contributed to a more uniform learning experience by addressing previous gaps in resource availability and teaching quality. As Mingus &amp; Buehler (2017) suggest, the use of standardi</w:t>
      </w:r>
      <w:r w:rsidR="00246795">
        <w:t>s</w:t>
      </w:r>
      <w:r w:rsidR="007062AE" w:rsidRPr="007062AE">
        <w:t>ed textbooks can help reduce teaching variability, ensuring all students receive a more equitable education.</w:t>
      </w:r>
    </w:p>
    <w:p w14:paraId="12ED49D5" w14:textId="38A87BE7" w:rsidR="007062AE" w:rsidRDefault="007062AE" w:rsidP="00C775A7">
      <w:pPr>
        <w:pStyle w:val="NormalWeb"/>
        <w:spacing w:after="0" w:afterAutospacing="0"/>
        <w:jc w:val="both"/>
      </w:pPr>
      <w:r w:rsidRPr="007062AE">
        <w:t>The sharp increase in pass rates and drastic decrease in fail rates in 2023 strongly suggest that the standardi</w:t>
      </w:r>
      <w:r w:rsidR="007405F0">
        <w:t>s</w:t>
      </w:r>
      <w:r w:rsidRPr="007062AE">
        <w:t xml:space="preserve">ed Economics textbook had a significant positive impact on student performance. Research has shown that the availability of a well-structured textbook contributes to greater consistency in teaching, </w:t>
      </w:r>
      <w:r w:rsidR="007405F0">
        <w:t>thereby improving</w:t>
      </w:r>
      <w:r w:rsidRPr="007062AE">
        <w:t xml:space="preserve"> student outcomes (Hattie, 2009). The textbook likely enhanced students' understanding of Economics by providing clear, structured content that supported teachers’ instructional practices. This conclusion is further supported by Cohen &amp; Ball (1999), who argue that uniform teaching materials reduce variability in teaching, thereby fostering more consistent learning experiences across schools. The sustained high performance in 2024 reinforces this view, indicating that the textbook has become a valuable educational tool. This continued success highlights the textbook's role in enhancing the quality of Economics education in Tanzania, supporting the argument that well-designed textbooks are essential for improving learning outcomes (Hattie, 2009; Shulman, 1987).</w:t>
      </w:r>
    </w:p>
    <w:p w14:paraId="2468752C" w14:textId="77777777" w:rsidR="00C775A7" w:rsidRPr="007062AE" w:rsidRDefault="00C775A7" w:rsidP="00C775A7">
      <w:pPr>
        <w:pStyle w:val="NormalWeb"/>
        <w:spacing w:before="0" w:beforeAutospacing="0" w:after="0" w:afterAutospacing="0"/>
        <w:jc w:val="both"/>
      </w:pPr>
    </w:p>
    <w:p w14:paraId="44841E1F" w14:textId="4375F98E" w:rsidR="00C45FB2" w:rsidRPr="007062AE" w:rsidRDefault="0048765F" w:rsidP="00C775A7">
      <w:pPr>
        <w:pStyle w:val="ListParagraph"/>
        <w:numPr>
          <w:ilvl w:val="1"/>
          <w:numId w:val="7"/>
        </w:numPr>
        <w:spacing w:after="0" w:line="240" w:lineRule="auto"/>
        <w:ind w:left="360"/>
        <w:jc w:val="both"/>
        <w:rPr>
          <w:rFonts w:ascii="Times New Roman" w:hAnsi="Times New Roman" w:cs="Times New Roman"/>
          <w:b/>
          <w:bCs/>
          <w:sz w:val="24"/>
          <w:szCs w:val="24"/>
        </w:rPr>
      </w:pPr>
      <w:r w:rsidRPr="007405F0">
        <w:rPr>
          <w:rFonts w:ascii="Times New Roman" w:hAnsi="Times New Roman" w:cs="Times New Roman"/>
          <w:b/>
          <w:bCs/>
          <w:sz w:val="24"/>
          <w:szCs w:val="24"/>
        </w:rPr>
        <w:t>Perform</w:t>
      </w:r>
      <w:r w:rsidRPr="007062AE">
        <w:rPr>
          <w:rFonts w:ascii="Times New Roman" w:hAnsi="Times New Roman" w:cs="Times New Roman"/>
          <w:b/>
          <w:bCs/>
          <w:sz w:val="24"/>
          <w:szCs w:val="24"/>
        </w:rPr>
        <w:t>ance of economics per topic</w:t>
      </w:r>
      <w:r w:rsidR="00237BE6" w:rsidRPr="007062AE">
        <w:rPr>
          <w:rFonts w:ascii="Times New Roman" w:hAnsi="Times New Roman" w:cs="Times New Roman"/>
          <w:b/>
          <w:bCs/>
          <w:sz w:val="24"/>
          <w:szCs w:val="24"/>
        </w:rPr>
        <w:t xml:space="preserve"> </w:t>
      </w:r>
    </w:p>
    <w:p w14:paraId="1429DDE1" w14:textId="2BC91D51" w:rsidR="001904EC" w:rsidRDefault="00C45FB2"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analysis of topic performance was conducted over six years, from </w:t>
      </w:r>
      <w:r w:rsidRPr="007062AE">
        <w:rPr>
          <w:rStyle w:val="Strong"/>
          <w:rFonts w:ascii="Times New Roman" w:eastAsiaTheme="majorEastAsia" w:hAnsi="Times New Roman" w:cs="Times New Roman"/>
          <w:b w:val="0"/>
          <w:bCs w:val="0"/>
          <w:sz w:val="24"/>
          <w:szCs w:val="24"/>
        </w:rPr>
        <w:t>2019 to 2024</w:t>
      </w:r>
      <w:r w:rsidRPr="007062AE">
        <w:rPr>
          <w:rFonts w:ascii="Times New Roman" w:hAnsi="Times New Roman" w:cs="Times New Roman"/>
          <w:sz w:val="24"/>
          <w:szCs w:val="24"/>
        </w:rPr>
        <w:t>, using available data to enable meaningful comparisons. The topics selected for this analysis are those that consistently featured in the exam</w:t>
      </w:r>
      <w:r w:rsidR="00BA4117">
        <w:rPr>
          <w:rFonts w:ascii="Times New Roman" w:hAnsi="Times New Roman" w:cs="Times New Roman"/>
          <w:sz w:val="24"/>
          <w:szCs w:val="24"/>
        </w:rPr>
        <w:t>ination</w:t>
      </w:r>
      <w:r w:rsidRPr="007062AE">
        <w:rPr>
          <w:rFonts w:ascii="Times New Roman" w:hAnsi="Times New Roman" w:cs="Times New Roman"/>
          <w:sz w:val="24"/>
          <w:szCs w:val="24"/>
        </w:rPr>
        <w:t xml:space="preserve">s over the six years and are also covered in the </w:t>
      </w:r>
      <w:r w:rsidRPr="007062AE">
        <w:rPr>
          <w:rStyle w:val="Strong"/>
          <w:rFonts w:ascii="Times New Roman" w:eastAsiaTheme="majorEastAsia" w:hAnsi="Times New Roman" w:cs="Times New Roman"/>
          <w:b w:val="0"/>
          <w:bCs w:val="0"/>
          <w:sz w:val="24"/>
          <w:szCs w:val="24"/>
        </w:rPr>
        <w:t>2022 Economics textbook</w:t>
      </w:r>
      <w:r w:rsidR="00140129" w:rsidRPr="007062AE">
        <w:rPr>
          <w:rStyle w:val="Strong"/>
          <w:rFonts w:ascii="Times New Roman" w:eastAsiaTheme="majorEastAsia" w:hAnsi="Times New Roman" w:cs="Times New Roman"/>
          <w:b w:val="0"/>
          <w:bCs w:val="0"/>
          <w:sz w:val="24"/>
          <w:szCs w:val="24"/>
        </w:rPr>
        <w:t>s</w:t>
      </w:r>
      <w:r w:rsidRPr="007062AE">
        <w:rPr>
          <w:rFonts w:ascii="Times New Roman" w:hAnsi="Times New Roman" w:cs="Times New Roman"/>
          <w:sz w:val="24"/>
          <w:szCs w:val="24"/>
        </w:rPr>
        <w:t xml:space="preserve">. Consequently, the findings were categorised into two periods: </w:t>
      </w:r>
      <w:r w:rsidRPr="007062AE">
        <w:rPr>
          <w:rStyle w:val="Strong"/>
          <w:rFonts w:ascii="Times New Roman" w:eastAsiaTheme="majorEastAsia" w:hAnsi="Times New Roman" w:cs="Times New Roman"/>
          <w:b w:val="0"/>
          <w:bCs w:val="0"/>
          <w:sz w:val="24"/>
          <w:szCs w:val="24"/>
        </w:rPr>
        <w:t>2019 to 2021</w:t>
      </w:r>
      <w:r w:rsidRPr="007062AE">
        <w:rPr>
          <w:rFonts w:ascii="Times New Roman" w:hAnsi="Times New Roman" w:cs="Times New Roman"/>
          <w:sz w:val="24"/>
          <w:szCs w:val="24"/>
        </w:rPr>
        <w:t xml:space="preserve"> (before the introduction of the textbook) and </w:t>
      </w:r>
      <w:r w:rsidRPr="007062AE">
        <w:rPr>
          <w:rStyle w:val="Strong"/>
          <w:rFonts w:ascii="Times New Roman" w:eastAsiaTheme="majorEastAsia" w:hAnsi="Times New Roman" w:cs="Times New Roman"/>
          <w:b w:val="0"/>
          <w:bCs w:val="0"/>
          <w:sz w:val="24"/>
          <w:szCs w:val="24"/>
        </w:rPr>
        <w:t>2022 to 2024</w:t>
      </w:r>
      <w:r w:rsidRPr="007062AE">
        <w:rPr>
          <w:rFonts w:ascii="Times New Roman" w:hAnsi="Times New Roman" w:cs="Times New Roman"/>
          <w:sz w:val="24"/>
          <w:szCs w:val="24"/>
        </w:rPr>
        <w:t xml:space="preserve"> (after the textbook</w:t>
      </w:r>
      <w:r w:rsidR="00140129" w:rsidRPr="007062AE">
        <w:rPr>
          <w:rFonts w:ascii="Times New Roman" w:hAnsi="Times New Roman" w:cs="Times New Roman"/>
          <w:sz w:val="24"/>
          <w:szCs w:val="24"/>
        </w:rPr>
        <w:t>'</w:t>
      </w:r>
      <w:r w:rsidRPr="007062AE">
        <w:rPr>
          <w:rFonts w:ascii="Times New Roman" w:hAnsi="Times New Roman" w:cs="Times New Roman"/>
          <w:sz w:val="24"/>
          <w:szCs w:val="24"/>
        </w:rPr>
        <w:t xml:space="preserve">s introduction). </w:t>
      </w:r>
    </w:p>
    <w:p w14:paraId="53D05FF5" w14:textId="77777777" w:rsidR="00C775A7" w:rsidRPr="007062AE" w:rsidRDefault="00C775A7" w:rsidP="00C775A7">
      <w:pPr>
        <w:spacing w:after="0" w:line="240" w:lineRule="auto"/>
        <w:jc w:val="both"/>
        <w:rPr>
          <w:rFonts w:ascii="Times New Roman" w:hAnsi="Times New Roman" w:cs="Times New Roman"/>
          <w:sz w:val="24"/>
          <w:szCs w:val="24"/>
        </w:rPr>
      </w:pPr>
    </w:p>
    <w:p w14:paraId="6764F384" w14:textId="26DEF1C9" w:rsidR="001904EC" w:rsidRPr="007062AE" w:rsidRDefault="001904EC" w:rsidP="00C775A7">
      <w:pPr>
        <w:pStyle w:val="ListParagraph"/>
        <w:numPr>
          <w:ilvl w:val="2"/>
          <w:numId w:val="7"/>
        </w:numPr>
        <w:spacing w:after="0" w:line="240" w:lineRule="auto"/>
        <w:ind w:left="360" w:hanging="360"/>
        <w:jc w:val="both"/>
        <w:rPr>
          <w:rFonts w:ascii="Times New Roman" w:hAnsi="Times New Roman" w:cs="Times New Roman"/>
          <w:b/>
          <w:bCs/>
          <w:sz w:val="24"/>
          <w:szCs w:val="24"/>
        </w:rPr>
      </w:pPr>
      <w:r w:rsidRPr="007062AE">
        <w:rPr>
          <w:rFonts w:ascii="Times New Roman" w:hAnsi="Times New Roman" w:cs="Times New Roman"/>
          <w:b/>
          <w:bCs/>
          <w:sz w:val="24"/>
          <w:szCs w:val="24"/>
        </w:rPr>
        <w:t>Performance per topic from 2019 to 2021</w:t>
      </w:r>
    </w:p>
    <w:p w14:paraId="49E122C0" w14:textId="6838FDD4" w:rsidR="00C45FB2" w:rsidRPr="007062AE" w:rsidRDefault="00C45FB2" w:rsidP="00C775A7">
      <w:pPr>
        <w:spacing w:after="0" w:line="240" w:lineRule="auto"/>
        <w:jc w:val="both"/>
        <w:rPr>
          <w:rFonts w:ascii="Times New Roman" w:hAnsi="Times New Roman" w:cs="Times New Roman"/>
          <w:b/>
          <w:bCs/>
          <w:sz w:val="24"/>
          <w:szCs w:val="24"/>
        </w:rPr>
      </w:pPr>
      <w:r w:rsidRPr="007062AE">
        <w:rPr>
          <w:rFonts w:ascii="Times New Roman" w:hAnsi="Times New Roman" w:cs="Times New Roman"/>
          <w:sz w:val="24"/>
          <w:szCs w:val="24"/>
        </w:rPr>
        <w:t xml:space="preserve">The data from </w:t>
      </w:r>
      <w:r w:rsidRPr="007062AE">
        <w:rPr>
          <w:rStyle w:val="Strong"/>
          <w:rFonts w:ascii="Times New Roman" w:eastAsiaTheme="majorEastAsia" w:hAnsi="Times New Roman" w:cs="Times New Roman"/>
          <w:b w:val="0"/>
          <w:bCs w:val="0"/>
          <w:sz w:val="24"/>
          <w:szCs w:val="24"/>
        </w:rPr>
        <w:t>2019 to 2021</w:t>
      </w:r>
      <w:r w:rsidRPr="007062AE">
        <w:rPr>
          <w:rFonts w:ascii="Times New Roman" w:hAnsi="Times New Roman" w:cs="Times New Roman"/>
          <w:sz w:val="24"/>
          <w:szCs w:val="24"/>
        </w:rPr>
        <w:t xml:space="preserve"> in </w:t>
      </w:r>
      <w:r w:rsidRPr="007062AE">
        <w:rPr>
          <w:rStyle w:val="Strong"/>
          <w:rFonts w:ascii="Times New Roman" w:eastAsiaTheme="majorEastAsia" w:hAnsi="Times New Roman" w:cs="Times New Roman"/>
          <w:b w:val="0"/>
          <w:bCs w:val="0"/>
          <w:sz w:val="24"/>
          <w:szCs w:val="24"/>
        </w:rPr>
        <w:t xml:space="preserve">Table </w:t>
      </w:r>
      <w:r w:rsidR="007405F0">
        <w:rPr>
          <w:rStyle w:val="Strong"/>
          <w:rFonts w:ascii="Times New Roman" w:eastAsiaTheme="majorEastAsia" w:hAnsi="Times New Roman" w:cs="Times New Roman"/>
          <w:b w:val="0"/>
          <w:bCs w:val="0"/>
          <w:sz w:val="24"/>
          <w:szCs w:val="24"/>
        </w:rPr>
        <w:t>2</w:t>
      </w:r>
      <w:r w:rsidRPr="007062AE">
        <w:rPr>
          <w:rFonts w:ascii="Times New Roman" w:hAnsi="Times New Roman" w:cs="Times New Roman"/>
          <w:sz w:val="24"/>
          <w:szCs w:val="24"/>
        </w:rPr>
        <w:t xml:space="preserve"> presents the performance of Economics students in Tanzania, highlighting the rate of performance per topic in the </w:t>
      </w:r>
      <w:r w:rsidRPr="007062AE">
        <w:rPr>
          <w:rStyle w:val="Strong"/>
          <w:rFonts w:ascii="Times New Roman" w:eastAsiaTheme="majorEastAsia" w:hAnsi="Times New Roman" w:cs="Times New Roman"/>
          <w:b w:val="0"/>
          <w:bCs w:val="0"/>
          <w:sz w:val="24"/>
          <w:szCs w:val="24"/>
        </w:rPr>
        <w:t>Advanced Certificate of Secondary Education Examination (ACSEE)</w:t>
      </w:r>
      <w:r w:rsidRPr="007062AE">
        <w:rPr>
          <w:rFonts w:ascii="Times New Roman" w:hAnsi="Times New Roman" w:cs="Times New Roman"/>
          <w:sz w:val="24"/>
          <w:szCs w:val="24"/>
        </w:rPr>
        <w:t>.</w:t>
      </w:r>
      <w:r w:rsidRPr="007062AE">
        <w:rPr>
          <w:rFonts w:ascii="Times New Roman" w:hAnsi="Times New Roman" w:cs="Times New Roman"/>
          <w:b/>
          <w:bCs/>
          <w:sz w:val="24"/>
          <w:szCs w:val="24"/>
        </w:rPr>
        <w:t xml:space="preserve"> </w:t>
      </w:r>
      <w:r w:rsidRPr="007062AE">
        <w:rPr>
          <w:rFonts w:ascii="Times New Roman" w:hAnsi="Times New Roman" w:cs="Times New Roman"/>
          <w:sz w:val="24"/>
          <w:szCs w:val="24"/>
        </w:rPr>
        <w:t xml:space="preserve">A closer look at the data reveals both </w:t>
      </w:r>
      <w:r w:rsidRPr="007062AE">
        <w:rPr>
          <w:rStyle w:val="Strong"/>
          <w:rFonts w:ascii="Times New Roman" w:eastAsiaTheme="majorEastAsia" w:hAnsi="Times New Roman" w:cs="Times New Roman"/>
          <w:b w:val="0"/>
          <w:bCs w:val="0"/>
          <w:sz w:val="24"/>
          <w:szCs w:val="24"/>
        </w:rPr>
        <w:t>strong</w:t>
      </w:r>
      <w:r w:rsidRPr="007062AE">
        <w:rPr>
          <w:rFonts w:ascii="Times New Roman" w:hAnsi="Times New Roman" w:cs="Times New Roman"/>
          <w:b/>
          <w:bCs/>
          <w:sz w:val="24"/>
          <w:szCs w:val="24"/>
        </w:rPr>
        <w:t xml:space="preserve"> </w:t>
      </w:r>
      <w:r w:rsidRPr="007062AE">
        <w:rPr>
          <w:rFonts w:ascii="Times New Roman" w:hAnsi="Times New Roman" w:cs="Times New Roman"/>
          <w:sz w:val="24"/>
          <w:szCs w:val="24"/>
        </w:rPr>
        <w:t>and</w:t>
      </w:r>
      <w:r w:rsidRPr="007062AE">
        <w:rPr>
          <w:rFonts w:ascii="Times New Roman" w:hAnsi="Times New Roman" w:cs="Times New Roman"/>
          <w:b/>
          <w:bCs/>
          <w:sz w:val="24"/>
          <w:szCs w:val="24"/>
        </w:rPr>
        <w:t xml:space="preserve"> </w:t>
      </w:r>
      <w:r w:rsidRPr="007062AE">
        <w:rPr>
          <w:rStyle w:val="Strong"/>
          <w:rFonts w:ascii="Times New Roman" w:eastAsiaTheme="majorEastAsia" w:hAnsi="Times New Roman" w:cs="Times New Roman"/>
          <w:b w:val="0"/>
          <w:bCs w:val="0"/>
          <w:sz w:val="24"/>
          <w:szCs w:val="24"/>
        </w:rPr>
        <w:t>inconsistent performance</w:t>
      </w:r>
      <w:r w:rsidRPr="007062AE">
        <w:rPr>
          <w:rFonts w:ascii="Times New Roman" w:hAnsi="Times New Roman" w:cs="Times New Roman"/>
          <w:sz w:val="24"/>
          <w:szCs w:val="24"/>
        </w:rPr>
        <w:t xml:space="preserve"> across different topics. For instance, the topic of </w:t>
      </w:r>
      <w:r w:rsidRPr="007062AE">
        <w:rPr>
          <w:rStyle w:val="Strong"/>
          <w:rFonts w:ascii="Times New Roman" w:eastAsiaTheme="majorEastAsia" w:hAnsi="Times New Roman" w:cs="Times New Roman"/>
          <w:b w:val="0"/>
          <w:bCs w:val="0"/>
          <w:sz w:val="24"/>
          <w:szCs w:val="24"/>
        </w:rPr>
        <w:t>public finance</w:t>
      </w:r>
      <w:r w:rsidRPr="007062AE">
        <w:rPr>
          <w:rFonts w:ascii="Times New Roman" w:hAnsi="Times New Roman" w:cs="Times New Roman"/>
          <w:sz w:val="24"/>
          <w:szCs w:val="24"/>
        </w:rPr>
        <w:t xml:space="preserve"> showed stable and high performance, with scores of </w:t>
      </w:r>
      <w:r w:rsidRPr="007062AE">
        <w:rPr>
          <w:rStyle w:val="Strong"/>
          <w:rFonts w:ascii="Times New Roman" w:eastAsiaTheme="majorEastAsia" w:hAnsi="Times New Roman" w:cs="Times New Roman"/>
          <w:b w:val="0"/>
          <w:bCs w:val="0"/>
          <w:sz w:val="24"/>
          <w:szCs w:val="24"/>
        </w:rPr>
        <w:t>91.5%</w:t>
      </w:r>
      <w:r w:rsidRPr="007062AE">
        <w:rPr>
          <w:rFonts w:ascii="Times New Roman" w:hAnsi="Times New Roman" w:cs="Times New Roman"/>
          <w:sz w:val="24"/>
          <w:szCs w:val="24"/>
        </w:rPr>
        <w:t xml:space="preserve"> in 2019, </w:t>
      </w:r>
      <w:r w:rsidRPr="007062AE">
        <w:rPr>
          <w:rStyle w:val="Strong"/>
          <w:rFonts w:ascii="Times New Roman" w:eastAsiaTheme="majorEastAsia" w:hAnsi="Times New Roman" w:cs="Times New Roman"/>
          <w:b w:val="0"/>
          <w:bCs w:val="0"/>
          <w:sz w:val="24"/>
          <w:szCs w:val="24"/>
        </w:rPr>
        <w:t>92.5%</w:t>
      </w:r>
      <w:r w:rsidRPr="007062AE">
        <w:rPr>
          <w:rFonts w:ascii="Times New Roman" w:hAnsi="Times New Roman" w:cs="Times New Roman"/>
          <w:sz w:val="24"/>
          <w:szCs w:val="24"/>
        </w:rPr>
        <w:t xml:space="preserve"> in 2020, and </w:t>
      </w:r>
      <w:r w:rsidRPr="007062AE">
        <w:rPr>
          <w:rStyle w:val="Strong"/>
          <w:rFonts w:ascii="Times New Roman" w:eastAsiaTheme="majorEastAsia" w:hAnsi="Times New Roman" w:cs="Times New Roman"/>
          <w:b w:val="0"/>
          <w:bCs w:val="0"/>
          <w:sz w:val="24"/>
          <w:szCs w:val="24"/>
        </w:rPr>
        <w:t>97.8%</w:t>
      </w:r>
      <w:r w:rsidRPr="007062AE">
        <w:rPr>
          <w:rFonts w:ascii="Times New Roman" w:hAnsi="Times New Roman" w:cs="Times New Roman"/>
          <w:sz w:val="24"/>
          <w:szCs w:val="24"/>
        </w:rPr>
        <w:t xml:space="preserve"> in 2021, leading to an average of </w:t>
      </w:r>
      <w:r w:rsidRPr="007062AE">
        <w:rPr>
          <w:rStyle w:val="Strong"/>
          <w:rFonts w:ascii="Times New Roman" w:eastAsiaTheme="majorEastAsia" w:hAnsi="Times New Roman" w:cs="Times New Roman"/>
          <w:b w:val="0"/>
          <w:bCs w:val="0"/>
          <w:sz w:val="24"/>
          <w:szCs w:val="24"/>
        </w:rPr>
        <w:t>93.93%</w:t>
      </w:r>
      <w:r w:rsidRPr="007062AE">
        <w:rPr>
          <w:rFonts w:ascii="Times New Roman" w:hAnsi="Times New Roman" w:cs="Times New Roman"/>
          <w:sz w:val="24"/>
          <w:szCs w:val="24"/>
        </w:rPr>
        <w:t xml:space="preserve">. This indicates a </w:t>
      </w:r>
      <w:r w:rsidRPr="007062AE">
        <w:rPr>
          <w:rStyle w:val="Strong"/>
          <w:rFonts w:ascii="Times New Roman" w:eastAsiaTheme="majorEastAsia" w:hAnsi="Times New Roman" w:cs="Times New Roman"/>
          <w:b w:val="0"/>
          <w:bCs w:val="0"/>
          <w:sz w:val="24"/>
          <w:szCs w:val="24"/>
        </w:rPr>
        <w:t>solid understanding</w:t>
      </w:r>
      <w:r w:rsidRPr="007062AE">
        <w:rPr>
          <w:rFonts w:ascii="Times New Roman" w:hAnsi="Times New Roman" w:cs="Times New Roman"/>
          <w:sz w:val="24"/>
          <w:szCs w:val="24"/>
        </w:rPr>
        <w:t xml:space="preserve"> of the topic over the years, suggesting effective curriculum delivery and teaching. On the other hand, topics such as the </w:t>
      </w:r>
      <w:r w:rsidR="00BA4117">
        <w:rPr>
          <w:rStyle w:val="Strong"/>
          <w:rFonts w:ascii="Times New Roman" w:eastAsiaTheme="majorEastAsia" w:hAnsi="Times New Roman" w:cs="Times New Roman"/>
          <w:b w:val="0"/>
          <w:bCs w:val="0"/>
          <w:sz w:val="24"/>
          <w:szCs w:val="24"/>
        </w:rPr>
        <w:t>T</w:t>
      </w:r>
      <w:r w:rsidRPr="007062AE">
        <w:rPr>
          <w:rStyle w:val="Strong"/>
          <w:rFonts w:ascii="Times New Roman" w:eastAsiaTheme="majorEastAsia" w:hAnsi="Times New Roman" w:cs="Times New Roman"/>
          <w:b w:val="0"/>
          <w:bCs w:val="0"/>
          <w:sz w:val="24"/>
          <w:szCs w:val="24"/>
        </w:rPr>
        <w:t>heory of money</w:t>
      </w:r>
      <w:r w:rsidRPr="007062AE">
        <w:rPr>
          <w:rFonts w:ascii="Times New Roman" w:hAnsi="Times New Roman" w:cs="Times New Roman"/>
          <w:sz w:val="24"/>
          <w:szCs w:val="24"/>
        </w:rPr>
        <w:t xml:space="preserve"> exhibited dramatic fluctuations, starting with a </w:t>
      </w:r>
      <w:proofErr w:type="spellStart"/>
      <w:r w:rsidRPr="007062AE">
        <w:rPr>
          <w:rFonts w:ascii="Times New Roman" w:hAnsi="Times New Roman" w:cs="Times New Roman"/>
          <w:sz w:val="24"/>
          <w:szCs w:val="24"/>
        </w:rPr>
        <w:t>meager</w:t>
      </w:r>
      <w:proofErr w:type="spellEnd"/>
      <w:r w:rsidRPr="007062AE">
        <w:rPr>
          <w:rFonts w:ascii="Times New Roman" w:hAnsi="Times New Roman" w:cs="Times New Roman"/>
          <w:sz w:val="24"/>
          <w:szCs w:val="24"/>
        </w:rPr>
        <w:t xml:space="preserve"> </w:t>
      </w:r>
      <w:r w:rsidRPr="007062AE">
        <w:rPr>
          <w:rStyle w:val="Strong"/>
          <w:rFonts w:ascii="Times New Roman" w:eastAsiaTheme="majorEastAsia" w:hAnsi="Times New Roman" w:cs="Times New Roman"/>
          <w:b w:val="0"/>
          <w:bCs w:val="0"/>
          <w:sz w:val="24"/>
          <w:szCs w:val="24"/>
        </w:rPr>
        <w:t>5%</w:t>
      </w:r>
      <w:r w:rsidRPr="007062AE">
        <w:rPr>
          <w:rFonts w:ascii="Times New Roman" w:hAnsi="Times New Roman" w:cs="Times New Roman"/>
          <w:sz w:val="24"/>
          <w:szCs w:val="24"/>
        </w:rPr>
        <w:t xml:space="preserve"> in 2019, improving to </w:t>
      </w:r>
      <w:r w:rsidRPr="007062AE">
        <w:rPr>
          <w:rStyle w:val="Strong"/>
          <w:rFonts w:ascii="Times New Roman" w:eastAsiaTheme="majorEastAsia" w:hAnsi="Times New Roman" w:cs="Times New Roman"/>
          <w:b w:val="0"/>
          <w:bCs w:val="0"/>
          <w:sz w:val="24"/>
          <w:szCs w:val="24"/>
        </w:rPr>
        <w:t>64%</w:t>
      </w:r>
      <w:r w:rsidRPr="007062AE">
        <w:rPr>
          <w:rFonts w:ascii="Times New Roman" w:hAnsi="Times New Roman" w:cs="Times New Roman"/>
          <w:sz w:val="24"/>
          <w:szCs w:val="24"/>
        </w:rPr>
        <w:t xml:space="preserve"> in 2020, and reaching </w:t>
      </w:r>
      <w:r w:rsidRPr="007062AE">
        <w:rPr>
          <w:rStyle w:val="Strong"/>
          <w:rFonts w:ascii="Times New Roman" w:eastAsiaTheme="majorEastAsia" w:hAnsi="Times New Roman" w:cs="Times New Roman"/>
          <w:b w:val="0"/>
          <w:bCs w:val="0"/>
          <w:sz w:val="24"/>
          <w:szCs w:val="24"/>
        </w:rPr>
        <w:t>87.6%</w:t>
      </w:r>
      <w:r w:rsidRPr="007062AE">
        <w:rPr>
          <w:rFonts w:ascii="Times New Roman" w:hAnsi="Times New Roman" w:cs="Times New Roman"/>
          <w:sz w:val="24"/>
          <w:szCs w:val="24"/>
        </w:rPr>
        <w:t xml:space="preserve"> in 2021, with an average of </w:t>
      </w:r>
      <w:r w:rsidRPr="007062AE">
        <w:rPr>
          <w:rStyle w:val="Strong"/>
          <w:rFonts w:ascii="Times New Roman" w:eastAsiaTheme="majorEastAsia" w:hAnsi="Times New Roman" w:cs="Times New Roman"/>
          <w:b w:val="0"/>
          <w:bCs w:val="0"/>
          <w:sz w:val="24"/>
          <w:szCs w:val="24"/>
        </w:rPr>
        <w:t>52.2%</w:t>
      </w:r>
      <w:r w:rsidRPr="007062AE">
        <w:rPr>
          <w:rFonts w:ascii="Times New Roman" w:hAnsi="Times New Roman" w:cs="Times New Roman"/>
          <w:b/>
          <w:bCs/>
          <w:sz w:val="24"/>
          <w:szCs w:val="24"/>
        </w:rPr>
        <w:t>.</w:t>
      </w:r>
      <w:r w:rsidRPr="007062AE">
        <w:rPr>
          <w:rFonts w:ascii="Times New Roman" w:hAnsi="Times New Roman" w:cs="Times New Roman"/>
          <w:sz w:val="24"/>
          <w:szCs w:val="24"/>
        </w:rPr>
        <w:t xml:space="preserve"> This suggests that while the topic initially posed challenges, performance improved significantly over time, likely due to better teacher preparedness or increased focus on the topic.</w:t>
      </w:r>
    </w:p>
    <w:p w14:paraId="72A895B4" w14:textId="3B7D5776" w:rsidR="00C45FB2" w:rsidRPr="007062AE" w:rsidRDefault="00C45FB2" w:rsidP="00C775A7">
      <w:pPr>
        <w:pStyle w:val="NormalWeb"/>
        <w:spacing w:after="0" w:afterAutospacing="0"/>
        <w:jc w:val="both"/>
      </w:pPr>
      <w:r w:rsidRPr="007062AE">
        <w:lastRenderedPageBreak/>
        <w:t xml:space="preserve">Further analysis reveals that some topics, such as </w:t>
      </w:r>
      <w:r w:rsidRPr="007062AE">
        <w:rPr>
          <w:rStyle w:val="Strong"/>
          <w:rFonts w:eastAsiaTheme="majorEastAsia"/>
          <w:b w:val="0"/>
          <w:bCs w:val="0"/>
        </w:rPr>
        <w:t>national income</w:t>
      </w:r>
      <w:r w:rsidRPr="007062AE">
        <w:t xml:space="preserve">, showed relatively stable performance, with scores of </w:t>
      </w:r>
      <w:r w:rsidRPr="007062AE">
        <w:rPr>
          <w:rStyle w:val="Strong"/>
          <w:rFonts w:eastAsiaTheme="majorEastAsia"/>
          <w:b w:val="0"/>
          <w:bCs w:val="0"/>
        </w:rPr>
        <w:t>80.9%</w:t>
      </w:r>
      <w:r w:rsidRPr="007062AE">
        <w:t xml:space="preserve"> in 2019, </w:t>
      </w:r>
      <w:r w:rsidRPr="007062AE">
        <w:rPr>
          <w:rStyle w:val="Strong"/>
          <w:rFonts w:eastAsiaTheme="majorEastAsia"/>
          <w:b w:val="0"/>
          <w:bCs w:val="0"/>
        </w:rPr>
        <w:t>82.8%</w:t>
      </w:r>
      <w:r w:rsidRPr="007062AE">
        <w:t xml:space="preserve"> in 2020, and </w:t>
      </w:r>
      <w:r w:rsidRPr="007062AE">
        <w:rPr>
          <w:rStyle w:val="Strong"/>
          <w:rFonts w:eastAsiaTheme="majorEastAsia"/>
          <w:b w:val="0"/>
          <w:bCs w:val="0"/>
        </w:rPr>
        <w:t>75%</w:t>
      </w:r>
      <w:r w:rsidRPr="007062AE">
        <w:t xml:space="preserve"> in 2021, yielding an average of </w:t>
      </w:r>
      <w:r w:rsidRPr="007062AE">
        <w:rPr>
          <w:rStyle w:val="Strong"/>
          <w:rFonts w:eastAsiaTheme="majorEastAsia"/>
          <w:b w:val="0"/>
          <w:bCs w:val="0"/>
        </w:rPr>
        <w:t>79.57%</w:t>
      </w:r>
      <w:r w:rsidRPr="007062AE">
        <w:t xml:space="preserve">. This indicates a </w:t>
      </w:r>
      <w:r w:rsidRPr="007062AE">
        <w:rPr>
          <w:rStyle w:val="Strong"/>
          <w:rFonts w:eastAsiaTheme="majorEastAsia"/>
          <w:b w:val="0"/>
          <w:bCs w:val="0"/>
        </w:rPr>
        <w:t>consistent but moderate level of understanding</w:t>
      </w:r>
      <w:r w:rsidRPr="007062AE">
        <w:t xml:space="preserve"> among students, suggesting that while the topic was generally well-understood, it may have been more challenging for some students, particularly in 2021. In contrast, topics such as </w:t>
      </w:r>
      <w:r w:rsidRPr="007062AE">
        <w:rPr>
          <w:rStyle w:val="Strong"/>
          <w:rFonts w:eastAsiaTheme="majorEastAsia"/>
          <w:b w:val="0"/>
          <w:bCs w:val="0"/>
        </w:rPr>
        <w:t>production</w:t>
      </w:r>
      <w:r w:rsidRPr="007062AE">
        <w:t xml:space="preserve"> demonstrated significant volatility, with performance dropping sharply from </w:t>
      </w:r>
      <w:r w:rsidRPr="007062AE">
        <w:rPr>
          <w:rStyle w:val="Strong"/>
          <w:rFonts w:eastAsiaTheme="majorEastAsia"/>
          <w:b w:val="0"/>
          <w:bCs w:val="0"/>
        </w:rPr>
        <w:t>82.2%</w:t>
      </w:r>
      <w:r w:rsidRPr="007062AE">
        <w:t xml:space="preserve"> in 2019 to </w:t>
      </w:r>
      <w:r w:rsidRPr="007062AE">
        <w:rPr>
          <w:rStyle w:val="Strong"/>
          <w:rFonts w:eastAsiaTheme="majorEastAsia"/>
          <w:b w:val="0"/>
          <w:bCs w:val="0"/>
        </w:rPr>
        <w:t>14.5%</w:t>
      </w:r>
      <w:r w:rsidRPr="007062AE">
        <w:t xml:space="preserve"> in 2020, before improving to </w:t>
      </w:r>
      <w:r w:rsidRPr="007062AE">
        <w:rPr>
          <w:rStyle w:val="Strong"/>
          <w:rFonts w:eastAsiaTheme="majorEastAsia"/>
          <w:b w:val="0"/>
          <w:bCs w:val="0"/>
        </w:rPr>
        <w:t>73.5%</w:t>
      </w:r>
      <w:r w:rsidRPr="007062AE">
        <w:t xml:space="preserve"> in 2021, with a mean of </w:t>
      </w:r>
      <w:r w:rsidRPr="007062AE">
        <w:rPr>
          <w:rStyle w:val="Strong"/>
          <w:rFonts w:eastAsiaTheme="majorEastAsia"/>
          <w:b w:val="0"/>
          <w:bCs w:val="0"/>
        </w:rPr>
        <w:t>56.73%</w:t>
      </w:r>
      <w:r w:rsidRPr="007062AE">
        <w:t xml:space="preserve">. This considerable dip in 2020 suggests that the topic might have been difficult for students, possibly due to its complexity or the teaching resources available at the time. Some topics, like </w:t>
      </w:r>
      <w:r w:rsidRPr="007062AE">
        <w:rPr>
          <w:rStyle w:val="Strong"/>
          <w:rFonts w:eastAsiaTheme="majorEastAsia"/>
          <w:b w:val="0"/>
          <w:bCs w:val="0"/>
        </w:rPr>
        <w:t>economic growth and development</w:t>
      </w:r>
      <w:r w:rsidRPr="007062AE">
        <w:t xml:space="preserve">, showed an overall positive trend, with performance increasing from </w:t>
      </w:r>
      <w:r w:rsidRPr="007062AE">
        <w:rPr>
          <w:rStyle w:val="Strong"/>
          <w:rFonts w:eastAsiaTheme="majorEastAsia"/>
          <w:b w:val="0"/>
          <w:bCs w:val="0"/>
        </w:rPr>
        <w:t>85.2%</w:t>
      </w:r>
      <w:r w:rsidRPr="007062AE">
        <w:t xml:space="preserve"> in 2019 to </w:t>
      </w:r>
      <w:r w:rsidRPr="007062AE">
        <w:rPr>
          <w:rStyle w:val="Strong"/>
          <w:rFonts w:eastAsiaTheme="majorEastAsia"/>
          <w:b w:val="0"/>
          <w:bCs w:val="0"/>
        </w:rPr>
        <w:t>90.2%</w:t>
      </w:r>
      <w:r w:rsidRPr="007062AE">
        <w:t xml:space="preserve"> in 2020, before dropping to </w:t>
      </w:r>
      <w:r w:rsidRPr="007062AE">
        <w:rPr>
          <w:rStyle w:val="Strong"/>
          <w:rFonts w:eastAsiaTheme="majorEastAsia"/>
          <w:b w:val="0"/>
          <w:bCs w:val="0"/>
        </w:rPr>
        <w:t>72.1%</w:t>
      </w:r>
      <w:r w:rsidRPr="007062AE">
        <w:t xml:space="preserve"> in 2021, leading to a mean of </w:t>
      </w:r>
      <w:r w:rsidRPr="007062AE">
        <w:rPr>
          <w:rStyle w:val="Strong"/>
          <w:rFonts w:eastAsiaTheme="majorEastAsia"/>
          <w:b w:val="0"/>
          <w:bCs w:val="0"/>
        </w:rPr>
        <w:t>82.5%</w:t>
      </w:r>
      <w:r w:rsidRPr="007062AE">
        <w:t xml:space="preserve">. This decline in 2021 could suggest that certain years presented more challenging exam questions or that the resources available to teach the topic were insufficient. Similarly, the topic of </w:t>
      </w:r>
      <w:r w:rsidRPr="007062AE">
        <w:rPr>
          <w:rStyle w:val="Strong"/>
          <w:rFonts w:eastAsiaTheme="majorEastAsia"/>
          <w:b w:val="0"/>
          <w:bCs w:val="0"/>
        </w:rPr>
        <w:t>the structure of the Tanzanian economy</w:t>
      </w:r>
      <w:r w:rsidRPr="007062AE">
        <w:rPr>
          <w:b/>
          <w:bCs/>
        </w:rPr>
        <w:t xml:space="preserve"> </w:t>
      </w:r>
      <w:r w:rsidRPr="007062AE">
        <w:t xml:space="preserve">had strong performance in </w:t>
      </w:r>
      <w:r w:rsidRPr="007062AE">
        <w:rPr>
          <w:rStyle w:val="Strong"/>
          <w:rFonts w:eastAsiaTheme="majorEastAsia"/>
          <w:b w:val="0"/>
          <w:bCs w:val="0"/>
        </w:rPr>
        <w:t>2019</w:t>
      </w:r>
      <w:r w:rsidRPr="007062AE">
        <w:t xml:space="preserve"> and </w:t>
      </w:r>
      <w:r w:rsidRPr="007062AE">
        <w:rPr>
          <w:rStyle w:val="Strong"/>
          <w:rFonts w:eastAsiaTheme="majorEastAsia"/>
          <w:b w:val="0"/>
          <w:bCs w:val="0"/>
        </w:rPr>
        <w:t>2020</w:t>
      </w:r>
      <w:r w:rsidRPr="007062AE">
        <w:t xml:space="preserve"> (with </w:t>
      </w:r>
      <w:r w:rsidRPr="007062AE">
        <w:rPr>
          <w:rStyle w:val="Strong"/>
          <w:rFonts w:eastAsiaTheme="majorEastAsia"/>
          <w:b w:val="0"/>
          <w:bCs w:val="0"/>
        </w:rPr>
        <w:t>97.7%</w:t>
      </w:r>
      <w:r w:rsidRPr="007062AE">
        <w:t xml:space="preserve"> and </w:t>
      </w:r>
      <w:r w:rsidRPr="007062AE">
        <w:rPr>
          <w:rStyle w:val="Strong"/>
          <w:rFonts w:eastAsiaTheme="majorEastAsia"/>
          <w:b w:val="0"/>
          <w:bCs w:val="0"/>
        </w:rPr>
        <w:t>99.1%</w:t>
      </w:r>
      <w:r w:rsidRPr="007062AE">
        <w:t xml:space="preserve">, respectively), but experienced a sharp drop in </w:t>
      </w:r>
      <w:r w:rsidRPr="007062AE">
        <w:rPr>
          <w:rStyle w:val="Strong"/>
          <w:rFonts w:eastAsiaTheme="majorEastAsia"/>
          <w:b w:val="0"/>
          <w:bCs w:val="0"/>
        </w:rPr>
        <w:t>2021</w:t>
      </w:r>
      <w:r w:rsidRPr="007062AE">
        <w:t xml:space="preserve"> to </w:t>
      </w:r>
      <w:r w:rsidRPr="007062AE">
        <w:rPr>
          <w:rStyle w:val="Strong"/>
          <w:rFonts w:eastAsiaTheme="majorEastAsia"/>
          <w:b w:val="0"/>
          <w:bCs w:val="0"/>
        </w:rPr>
        <w:t>66.7%</w:t>
      </w:r>
      <w:r w:rsidRPr="007062AE">
        <w:t xml:space="preserve">, yielding an average of </w:t>
      </w:r>
      <w:r w:rsidRPr="007062AE">
        <w:rPr>
          <w:rStyle w:val="Strong"/>
          <w:rFonts w:eastAsiaTheme="majorEastAsia"/>
          <w:b w:val="0"/>
          <w:bCs w:val="0"/>
        </w:rPr>
        <w:t>87.83%</w:t>
      </w:r>
      <w:r w:rsidRPr="007062AE">
        <w:t xml:space="preserve">. This significant dip in 2021 may point to issues in either teaching quality or exam difficulty during that year. </w:t>
      </w:r>
    </w:p>
    <w:p w14:paraId="5EDB7E26" w14:textId="25B39A54" w:rsidR="003B08EC" w:rsidRDefault="00C45FB2" w:rsidP="001270CD">
      <w:pPr>
        <w:pStyle w:val="NormalWeb"/>
        <w:spacing w:after="240" w:afterAutospacing="0"/>
        <w:jc w:val="both"/>
      </w:pPr>
      <w:r w:rsidRPr="007062AE">
        <w:t xml:space="preserve">The performance in topics like </w:t>
      </w:r>
      <w:r w:rsidRPr="007062AE">
        <w:rPr>
          <w:rStyle w:val="Strong"/>
          <w:rFonts w:eastAsiaTheme="majorEastAsia"/>
          <w:b w:val="0"/>
          <w:bCs w:val="0"/>
        </w:rPr>
        <w:t>international trade</w:t>
      </w:r>
      <w:r w:rsidRPr="007062AE">
        <w:t xml:space="preserve"> and </w:t>
      </w:r>
      <w:r w:rsidR="00BA4117">
        <w:rPr>
          <w:rStyle w:val="Strong"/>
          <w:rFonts w:eastAsiaTheme="majorEastAsia"/>
          <w:b w:val="0"/>
          <w:bCs w:val="0"/>
        </w:rPr>
        <w:t>T</w:t>
      </w:r>
      <w:r w:rsidRPr="007062AE">
        <w:rPr>
          <w:rStyle w:val="Strong"/>
          <w:rFonts w:eastAsiaTheme="majorEastAsia"/>
          <w:b w:val="0"/>
          <w:bCs w:val="0"/>
        </w:rPr>
        <w:t>heory of demand and supply</w:t>
      </w:r>
      <w:r w:rsidRPr="007062AE">
        <w:t xml:space="preserve"> demonstrated more mixed results. For </w:t>
      </w:r>
      <w:r w:rsidRPr="007062AE">
        <w:rPr>
          <w:rStyle w:val="Strong"/>
          <w:rFonts w:eastAsiaTheme="majorEastAsia"/>
          <w:b w:val="0"/>
          <w:bCs w:val="0"/>
        </w:rPr>
        <w:t>international trade</w:t>
      </w:r>
      <w:r w:rsidRPr="007062AE">
        <w:t xml:space="preserve">, performance varied widely, from </w:t>
      </w:r>
      <w:r w:rsidRPr="007062AE">
        <w:rPr>
          <w:rStyle w:val="Strong"/>
          <w:rFonts w:eastAsiaTheme="majorEastAsia"/>
          <w:b w:val="0"/>
          <w:bCs w:val="0"/>
        </w:rPr>
        <w:t>27.7%</w:t>
      </w:r>
      <w:r w:rsidRPr="007062AE">
        <w:t xml:space="preserve"> in 2019 to </w:t>
      </w:r>
      <w:r w:rsidRPr="007062AE">
        <w:rPr>
          <w:rStyle w:val="Strong"/>
          <w:rFonts w:eastAsiaTheme="majorEastAsia"/>
          <w:b w:val="0"/>
          <w:bCs w:val="0"/>
        </w:rPr>
        <w:t>85.5%</w:t>
      </w:r>
      <w:r w:rsidRPr="007062AE">
        <w:t xml:space="preserve"> in 2020, before declining again to </w:t>
      </w:r>
      <w:r w:rsidRPr="007062AE">
        <w:rPr>
          <w:rStyle w:val="Strong"/>
          <w:rFonts w:eastAsiaTheme="majorEastAsia"/>
          <w:b w:val="0"/>
          <w:bCs w:val="0"/>
        </w:rPr>
        <w:t>53.7%</w:t>
      </w:r>
      <w:r w:rsidRPr="007062AE">
        <w:t xml:space="preserve"> in 2021, with an average of </w:t>
      </w:r>
      <w:r w:rsidRPr="007062AE">
        <w:rPr>
          <w:rStyle w:val="Strong"/>
          <w:rFonts w:eastAsiaTheme="majorEastAsia"/>
          <w:b w:val="0"/>
          <w:bCs w:val="0"/>
        </w:rPr>
        <w:t>55.63%</w:t>
      </w:r>
      <w:r w:rsidRPr="007062AE">
        <w:t xml:space="preserve">. Such fluctuations reflect the potential difficulty of the topic for students, especially in </w:t>
      </w:r>
      <w:r w:rsidRPr="007062AE">
        <w:rPr>
          <w:rStyle w:val="Strong"/>
          <w:rFonts w:eastAsiaTheme="majorEastAsia"/>
          <w:b w:val="0"/>
          <w:bCs w:val="0"/>
        </w:rPr>
        <w:t>2019</w:t>
      </w:r>
      <w:r w:rsidRPr="007062AE">
        <w:t xml:space="preserve"> and </w:t>
      </w:r>
      <w:r w:rsidRPr="007062AE">
        <w:rPr>
          <w:rStyle w:val="Strong"/>
          <w:rFonts w:eastAsiaTheme="majorEastAsia"/>
          <w:b w:val="0"/>
          <w:bCs w:val="0"/>
        </w:rPr>
        <w:t>2021</w:t>
      </w:r>
      <w:r w:rsidRPr="007062AE">
        <w:t xml:space="preserve">. Similarly, the </w:t>
      </w:r>
      <w:r w:rsidR="00BA4117">
        <w:rPr>
          <w:rStyle w:val="Strong"/>
          <w:rFonts w:eastAsiaTheme="majorEastAsia"/>
          <w:b w:val="0"/>
          <w:bCs w:val="0"/>
        </w:rPr>
        <w:t>T</w:t>
      </w:r>
      <w:r w:rsidRPr="007062AE">
        <w:rPr>
          <w:rStyle w:val="Strong"/>
          <w:rFonts w:eastAsiaTheme="majorEastAsia"/>
          <w:b w:val="0"/>
          <w:bCs w:val="0"/>
        </w:rPr>
        <w:t>heory of demand and supply</w:t>
      </w:r>
      <w:r w:rsidRPr="007062AE">
        <w:t xml:space="preserve"> saw a moderate increase from </w:t>
      </w:r>
      <w:r w:rsidRPr="007062AE">
        <w:rPr>
          <w:rStyle w:val="Strong"/>
          <w:rFonts w:eastAsiaTheme="majorEastAsia"/>
          <w:b w:val="0"/>
          <w:bCs w:val="0"/>
        </w:rPr>
        <w:t>65.5%</w:t>
      </w:r>
      <w:r w:rsidRPr="007062AE">
        <w:t xml:space="preserve"> in 2019 to </w:t>
      </w:r>
      <w:r w:rsidRPr="007062AE">
        <w:rPr>
          <w:rStyle w:val="Strong"/>
          <w:rFonts w:eastAsiaTheme="majorEastAsia"/>
          <w:b w:val="0"/>
          <w:bCs w:val="0"/>
        </w:rPr>
        <w:t>72.2%</w:t>
      </w:r>
      <w:r w:rsidRPr="007062AE">
        <w:t xml:space="preserve"> in 2020, followed by a decline to </w:t>
      </w:r>
      <w:r w:rsidRPr="007062AE">
        <w:rPr>
          <w:rStyle w:val="Strong"/>
          <w:rFonts w:eastAsiaTheme="majorEastAsia"/>
          <w:b w:val="0"/>
          <w:bCs w:val="0"/>
        </w:rPr>
        <w:t>51.6%</w:t>
      </w:r>
      <w:r w:rsidRPr="007062AE">
        <w:t xml:space="preserve"> in 2021, with an average of </w:t>
      </w:r>
      <w:r w:rsidRPr="007062AE">
        <w:rPr>
          <w:rStyle w:val="Strong"/>
          <w:rFonts w:eastAsiaTheme="majorEastAsia"/>
          <w:b w:val="0"/>
          <w:bCs w:val="0"/>
        </w:rPr>
        <w:t>63.1%</w:t>
      </w:r>
      <w:r w:rsidRPr="007062AE">
        <w:rPr>
          <w:b/>
          <w:bCs/>
        </w:rPr>
        <w:t>.</w:t>
      </w:r>
      <w:r w:rsidRPr="007062AE">
        <w:t xml:space="preserve"> This suggests that while some students grasped the topic well, others faced difficulties, and the decline in 2021 indicates possible challenges with how the material was taught or tested that year. Finally, the </w:t>
      </w:r>
      <w:r w:rsidRPr="007062AE">
        <w:rPr>
          <w:rStyle w:val="Strong"/>
          <w:rFonts w:eastAsiaTheme="majorEastAsia"/>
          <w:b w:val="0"/>
          <w:bCs w:val="0"/>
        </w:rPr>
        <w:t>financial institutions</w:t>
      </w:r>
      <w:r w:rsidRPr="007062AE">
        <w:t xml:space="preserve"> topic showed a more consistent decline in performance, with </w:t>
      </w:r>
      <w:r w:rsidRPr="007062AE">
        <w:rPr>
          <w:rStyle w:val="Strong"/>
          <w:rFonts w:eastAsiaTheme="majorEastAsia"/>
          <w:b w:val="0"/>
          <w:bCs w:val="0"/>
        </w:rPr>
        <w:t>79.8%</w:t>
      </w:r>
      <w:r w:rsidRPr="007062AE">
        <w:t xml:space="preserve"> in 2019, </w:t>
      </w:r>
      <w:r w:rsidRPr="007062AE">
        <w:rPr>
          <w:rStyle w:val="Strong"/>
          <w:rFonts w:eastAsiaTheme="majorEastAsia"/>
          <w:b w:val="0"/>
          <w:bCs w:val="0"/>
        </w:rPr>
        <w:t>77.6%</w:t>
      </w:r>
      <w:r w:rsidRPr="007062AE">
        <w:t xml:space="preserve"> in 2020, and </w:t>
      </w:r>
      <w:r w:rsidRPr="007062AE">
        <w:rPr>
          <w:rStyle w:val="Strong"/>
          <w:rFonts w:eastAsiaTheme="majorEastAsia"/>
          <w:b w:val="0"/>
          <w:bCs w:val="0"/>
        </w:rPr>
        <w:t>56.4%</w:t>
      </w:r>
      <w:r w:rsidRPr="007062AE">
        <w:t xml:space="preserve"> in 2021, leading to a mean of </w:t>
      </w:r>
      <w:r w:rsidRPr="007062AE">
        <w:rPr>
          <w:rStyle w:val="Strong"/>
          <w:rFonts w:eastAsiaTheme="majorEastAsia"/>
          <w:b w:val="0"/>
          <w:bCs w:val="0"/>
        </w:rPr>
        <w:t>71.27%</w:t>
      </w:r>
      <w:r w:rsidRPr="007062AE">
        <w:rPr>
          <w:b/>
          <w:bCs/>
        </w:rPr>
        <w:t>.</w:t>
      </w:r>
      <w:r w:rsidRPr="007062AE">
        <w:t xml:space="preserve"> This gradual decline could indicate that students were struggling with the concepts introduced in this topic</w:t>
      </w:r>
      <w:r w:rsidR="00140129" w:rsidRPr="007062AE">
        <w:t>,</w:t>
      </w:r>
      <w:r w:rsidRPr="007062AE">
        <w:t xml:space="preserve"> or it may reflect shifts in exam difficulty or teaching methods.</w:t>
      </w:r>
    </w:p>
    <w:p w14:paraId="07E240F3" w14:textId="692E4A16" w:rsidR="00247DB0" w:rsidRPr="003B08EC" w:rsidRDefault="00247DB0" w:rsidP="00C775A7">
      <w:pPr>
        <w:spacing w:after="0" w:line="240" w:lineRule="auto"/>
        <w:jc w:val="both"/>
        <w:rPr>
          <w:rFonts w:ascii="Times New Roman" w:hAnsi="Times New Roman" w:cs="Times New Roman"/>
        </w:rPr>
      </w:pPr>
      <w:r w:rsidRPr="003B08EC">
        <w:rPr>
          <w:rFonts w:ascii="Times New Roman" w:hAnsi="Times New Roman" w:cs="Times New Roman"/>
        </w:rPr>
        <w:t xml:space="preserve">Table </w:t>
      </w:r>
      <w:r w:rsidR="007405F0" w:rsidRPr="003B08EC">
        <w:rPr>
          <w:rFonts w:ascii="Times New Roman" w:hAnsi="Times New Roman" w:cs="Times New Roman"/>
        </w:rPr>
        <w:t>2</w:t>
      </w:r>
      <w:r w:rsidRPr="003B08EC">
        <w:rPr>
          <w:rFonts w:ascii="Times New Roman" w:hAnsi="Times New Roman" w:cs="Times New Roman"/>
        </w:rPr>
        <w:t>. Performance of Economics per topic from 2019 to 2021</w:t>
      </w:r>
    </w:p>
    <w:tbl>
      <w:tblPr>
        <w:tblW w:w="9386" w:type="dxa"/>
        <w:tblBorders>
          <w:top w:val="single" w:sz="4" w:space="0" w:color="auto"/>
        </w:tblBorders>
        <w:tblLook w:val="04A0" w:firstRow="1" w:lastRow="0" w:firstColumn="1" w:lastColumn="0" w:noHBand="0" w:noVBand="1"/>
      </w:tblPr>
      <w:tblGrid>
        <w:gridCol w:w="559"/>
        <w:gridCol w:w="4417"/>
        <w:gridCol w:w="1170"/>
        <w:gridCol w:w="990"/>
        <w:gridCol w:w="1080"/>
        <w:gridCol w:w="1170"/>
      </w:tblGrid>
      <w:tr w:rsidR="00247DB0" w:rsidRPr="003B08EC" w14:paraId="2365F67D" w14:textId="77777777" w:rsidTr="003E6080">
        <w:trPr>
          <w:trHeight w:val="288"/>
        </w:trPr>
        <w:tc>
          <w:tcPr>
            <w:tcW w:w="559" w:type="dxa"/>
            <w:vMerge w:val="restart"/>
            <w:shd w:val="clear" w:color="000000" w:fill="FFFFFF"/>
            <w:noWrap/>
            <w:vAlign w:val="center"/>
            <w:hideMark/>
          </w:tcPr>
          <w:p w14:paraId="071ADB05"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S/N</w:t>
            </w:r>
          </w:p>
        </w:tc>
        <w:tc>
          <w:tcPr>
            <w:tcW w:w="4417" w:type="dxa"/>
            <w:vMerge w:val="restart"/>
            <w:shd w:val="clear" w:color="000000" w:fill="FFFFFF"/>
            <w:noWrap/>
            <w:vAlign w:val="center"/>
            <w:hideMark/>
          </w:tcPr>
          <w:p w14:paraId="2C50F209"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Topic</w:t>
            </w:r>
          </w:p>
        </w:tc>
        <w:tc>
          <w:tcPr>
            <w:tcW w:w="4410" w:type="dxa"/>
            <w:gridSpan w:val="4"/>
            <w:shd w:val="clear" w:color="000000" w:fill="FFFFFF"/>
            <w:vAlign w:val="bottom"/>
            <w:hideMark/>
          </w:tcPr>
          <w:p w14:paraId="386204FC" w14:textId="59CA111F"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Rate </w:t>
            </w:r>
            <w:r w:rsidR="002C29E1" w:rsidRPr="003B08EC">
              <w:rPr>
                <w:rFonts w:ascii="Times New Roman" w:eastAsia="Times New Roman" w:hAnsi="Times New Roman" w:cs="Times New Roman"/>
                <w:color w:val="000000"/>
                <w:kern w:val="0"/>
                <w:lang w:eastAsia="en-GB"/>
                <w14:ligatures w14:val="none"/>
              </w:rPr>
              <w:t>of performance</w:t>
            </w:r>
            <w:r w:rsidRPr="003B08EC">
              <w:rPr>
                <w:rFonts w:ascii="Times New Roman" w:eastAsia="Times New Roman" w:hAnsi="Times New Roman" w:cs="Times New Roman"/>
                <w:color w:val="000000"/>
                <w:kern w:val="0"/>
                <w:lang w:eastAsia="en-GB"/>
                <w14:ligatures w14:val="none"/>
              </w:rPr>
              <w:t xml:space="preserve"> per year (%)</w:t>
            </w:r>
          </w:p>
        </w:tc>
      </w:tr>
      <w:tr w:rsidR="003E6080" w:rsidRPr="003B08EC" w14:paraId="0A348802" w14:textId="77777777" w:rsidTr="003E6080">
        <w:trPr>
          <w:trHeight w:val="288"/>
        </w:trPr>
        <w:tc>
          <w:tcPr>
            <w:tcW w:w="559" w:type="dxa"/>
            <w:vMerge/>
            <w:tcBorders>
              <w:bottom w:val="single" w:sz="4" w:space="0" w:color="auto"/>
            </w:tcBorders>
            <w:vAlign w:val="center"/>
            <w:hideMark/>
          </w:tcPr>
          <w:p w14:paraId="19ADE311"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p>
        </w:tc>
        <w:tc>
          <w:tcPr>
            <w:tcW w:w="4417" w:type="dxa"/>
            <w:vMerge/>
            <w:tcBorders>
              <w:bottom w:val="single" w:sz="4" w:space="0" w:color="auto"/>
            </w:tcBorders>
            <w:vAlign w:val="center"/>
            <w:hideMark/>
          </w:tcPr>
          <w:p w14:paraId="3EECCBDB"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p>
        </w:tc>
        <w:tc>
          <w:tcPr>
            <w:tcW w:w="1170" w:type="dxa"/>
            <w:tcBorders>
              <w:bottom w:val="single" w:sz="4" w:space="0" w:color="auto"/>
            </w:tcBorders>
            <w:shd w:val="clear" w:color="000000" w:fill="FFFFFF"/>
            <w:noWrap/>
            <w:vAlign w:val="bottom"/>
            <w:hideMark/>
          </w:tcPr>
          <w:p w14:paraId="1D5571B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2019</w:t>
            </w:r>
          </w:p>
        </w:tc>
        <w:tc>
          <w:tcPr>
            <w:tcW w:w="990" w:type="dxa"/>
            <w:tcBorders>
              <w:bottom w:val="single" w:sz="4" w:space="0" w:color="auto"/>
            </w:tcBorders>
            <w:shd w:val="clear" w:color="000000" w:fill="FFFFFF"/>
            <w:noWrap/>
            <w:vAlign w:val="bottom"/>
            <w:hideMark/>
          </w:tcPr>
          <w:p w14:paraId="71F9500D"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2020</w:t>
            </w:r>
          </w:p>
        </w:tc>
        <w:tc>
          <w:tcPr>
            <w:tcW w:w="1080" w:type="dxa"/>
            <w:tcBorders>
              <w:bottom w:val="single" w:sz="4" w:space="0" w:color="auto"/>
            </w:tcBorders>
            <w:shd w:val="clear" w:color="000000" w:fill="FFFFFF"/>
            <w:noWrap/>
            <w:vAlign w:val="bottom"/>
            <w:hideMark/>
          </w:tcPr>
          <w:p w14:paraId="0480EE40"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2021</w:t>
            </w:r>
          </w:p>
        </w:tc>
        <w:tc>
          <w:tcPr>
            <w:tcW w:w="1170" w:type="dxa"/>
            <w:tcBorders>
              <w:bottom w:val="single" w:sz="4" w:space="0" w:color="auto"/>
            </w:tcBorders>
            <w:shd w:val="clear" w:color="000000" w:fill="FFFFFF"/>
            <w:noWrap/>
            <w:vAlign w:val="bottom"/>
            <w:hideMark/>
          </w:tcPr>
          <w:p w14:paraId="6140B389" w14:textId="5F690CC9"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Mean</w:t>
            </w:r>
          </w:p>
        </w:tc>
      </w:tr>
      <w:tr w:rsidR="003E6080" w:rsidRPr="003B08EC" w14:paraId="012CECFD" w14:textId="77777777" w:rsidTr="003E6080">
        <w:trPr>
          <w:trHeight w:val="288"/>
        </w:trPr>
        <w:tc>
          <w:tcPr>
            <w:tcW w:w="559" w:type="dxa"/>
            <w:tcBorders>
              <w:top w:val="single" w:sz="4" w:space="0" w:color="auto"/>
            </w:tcBorders>
            <w:shd w:val="clear" w:color="000000" w:fill="FFFFFF"/>
            <w:noWrap/>
            <w:vAlign w:val="bottom"/>
            <w:hideMark/>
          </w:tcPr>
          <w:p w14:paraId="1C526429"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w:t>
            </w:r>
          </w:p>
        </w:tc>
        <w:tc>
          <w:tcPr>
            <w:tcW w:w="4417" w:type="dxa"/>
            <w:tcBorders>
              <w:top w:val="single" w:sz="4" w:space="0" w:color="auto"/>
            </w:tcBorders>
            <w:shd w:val="clear" w:color="000000" w:fill="FFFFFF"/>
            <w:noWrap/>
            <w:vAlign w:val="bottom"/>
            <w:hideMark/>
          </w:tcPr>
          <w:p w14:paraId="1FD92B8C"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Public finance</w:t>
            </w:r>
          </w:p>
        </w:tc>
        <w:tc>
          <w:tcPr>
            <w:tcW w:w="1170" w:type="dxa"/>
            <w:tcBorders>
              <w:top w:val="single" w:sz="4" w:space="0" w:color="auto"/>
            </w:tcBorders>
            <w:shd w:val="clear" w:color="000000" w:fill="FFFFFF"/>
            <w:noWrap/>
            <w:vAlign w:val="bottom"/>
            <w:hideMark/>
          </w:tcPr>
          <w:p w14:paraId="69686B9B"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91.5</w:t>
            </w:r>
          </w:p>
        </w:tc>
        <w:tc>
          <w:tcPr>
            <w:tcW w:w="990" w:type="dxa"/>
            <w:tcBorders>
              <w:top w:val="single" w:sz="4" w:space="0" w:color="auto"/>
            </w:tcBorders>
            <w:shd w:val="clear" w:color="000000" w:fill="FFFFFF"/>
            <w:noWrap/>
            <w:vAlign w:val="bottom"/>
            <w:hideMark/>
          </w:tcPr>
          <w:p w14:paraId="65F4F9AA"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92.5</w:t>
            </w:r>
          </w:p>
        </w:tc>
        <w:tc>
          <w:tcPr>
            <w:tcW w:w="1080" w:type="dxa"/>
            <w:tcBorders>
              <w:top w:val="single" w:sz="4" w:space="0" w:color="auto"/>
            </w:tcBorders>
            <w:shd w:val="clear" w:color="000000" w:fill="FFFFFF"/>
            <w:noWrap/>
            <w:vAlign w:val="bottom"/>
            <w:hideMark/>
          </w:tcPr>
          <w:p w14:paraId="021ADF3B"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97.8</w:t>
            </w:r>
          </w:p>
        </w:tc>
        <w:tc>
          <w:tcPr>
            <w:tcW w:w="1170" w:type="dxa"/>
            <w:tcBorders>
              <w:top w:val="single" w:sz="4" w:space="0" w:color="auto"/>
            </w:tcBorders>
            <w:shd w:val="clear" w:color="000000" w:fill="FFFFFF"/>
            <w:noWrap/>
            <w:vAlign w:val="bottom"/>
            <w:hideMark/>
          </w:tcPr>
          <w:p w14:paraId="5BF28032"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93.93</w:t>
            </w:r>
          </w:p>
        </w:tc>
      </w:tr>
      <w:tr w:rsidR="003E6080" w:rsidRPr="003B08EC" w14:paraId="6821744F" w14:textId="77777777" w:rsidTr="003E6080">
        <w:trPr>
          <w:trHeight w:val="288"/>
        </w:trPr>
        <w:tc>
          <w:tcPr>
            <w:tcW w:w="559" w:type="dxa"/>
            <w:tcBorders>
              <w:top w:val="nil"/>
            </w:tcBorders>
            <w:shd w:val="clear" w:color="000000" w:fill="FFFFFF"/>
            <w:noWrap/>
            <w:vAlign w:val="bottom"/>
            <w:hideMark/>
          </w:tcPr>
          <w:p w14:paraId="338C62D4"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w:t>
            </w:r>
          </w:p>
        </w:tc>
        <w:tc>
          <w:tcPr>
            <w:tcW w:w="4417" w:type="dxa"/>
            <w:tcBorders>
              <w:top w:val="nil"/>
            </w:tcBorders>
            <w:shd w:val="clear" w:color="000000" w:fill="FFFFFF"/>
            <w:noWrap/>
            <w:vAlign w:val="bottom"/>
            <w:hideMark/>
          </w:tcPr>
          <w:p w14:paraId="2BB82C58"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Theory of money</w:t>
            </w:r>
          </w:p>
        </w:tc>
        <w:tc>
          <w:tcPr>
            <w:tcW w:w="1170" w:type="dxa"/>
            <w:tcBorders>
              <w:top w:val="nil"/>
            </w:tcBorders>
            <w:shd w:val="clear" w:color="000000" w:fill="FFFFFF"/>
            <w:noWrap/>
            <w:vAlign w:val="bottom"/>
            <w:hideMark/>
          </w:tcPr>
          <w:p w14:paraId="5389FC54"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w:t>
            </w:r>
          </w:p>
        </w:tc>
        <w:tc>
          <w:tcPr>
            <w:tcW w:w="990" w:type="dxa"/>
            <w:tcBorders>
              <w:top w:val="nil"/>
            </w:tcBorders>
            <w:shd w:val="clear" w:color="000000" w:fill="FFFFFF"/>
            <w:noWrap/>
            <w:vAlign w:val="bottom"/>
            <w:hideMark/>
          </w:tcPr>
          <w:p w14:paraId="6FA2083A"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64</w:t>
            </w:r>
          </w:p>
        </w:tc>
        <w:tc>
          <w:tcPr>
            <w:tcW w:w="1080" w:type="dxa"/>
            <w:tcBorders>
              <w:top w:val="nil"/>
            </w:tcBorders>
            <w:shd w:val="clear" w:color="000000" w:fill="FFFFFF"/>
            <w:noWrap/>
            <w:vAlign w:val="bottom"/>
            <w:hideMark/>
          </w:tcPr>
          <w:p w14:paraId="36229C32"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87.6</w:t>
            </w:r>
          </w:p>
        </w:tc>
        <w:tc>
          <w:tcPr>
            <w:tcW w:w="1170" w:type="dxa"/>
            <w:tcBorders>
              <w:top w:val="nil"/>
            </w:tcBorders>
            <w:shd w:val="clear" w:color="000000" w:fill="FFFFFF"/>
            <w:noWrap/>
            <w:vAlign w:val="bottom"/>
            <w:hideMark/>
          </w:tcPr>
          <w:p w14:paraId="68CEFF35"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52.2</w:t>
            </w:r>
          </w:p>
        </w:tc>
      </w:tr>
      <w:tr w:rsidR="003E6080" w:rsidRPr="003B08EC" w14:paraId="4C4981C6" w14:textId="77777777" w:rsidTr="003E6080">
        <w:trPr>
          <w:trHeight w:val="288"/>
        </w:trPr>
        <w:tc>
          <w:tcPr>
            <w:tcW w:w="559" w:type="dxa"/>
            <w:tcBorders>
              <w:top w:val="nil"/>
            </w:tcBorders>
            <w:shd w:val="clear" w:color="000000" w:fill="FFFFFF"/>
            <w:noWrap/>
            <w:vAlign w:val="bottom"/>
            <w:hideMark/>
          </w:tcPr>
          <w:p w14:paraId="6677F5A8"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w:t>
            </w:r>
          </w:p>
        </w:tc>
        <w:tc>
          <w:tcPr>
            <w:tcW w:w="4417" w:type="dxa"/>
            <w:tcBorders>
              <w:top w:val="nil"/>
            </w:tcBorders>
            <w:shd w:val="clear" w:color="000000" w:fill="FFFFFF"/>
            <w:noWrap/>
            <w:vAlign w:val="bottom"/>
            <w:hideMark/>
          </w:tcPr>
          <w:p w14:paraId="23180AA5"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National income</w:t>
            </w:r>
          </w:p>
        </w:tc>
        <w:tc>
          <w:tcPr>
            <w:tcW w:w="1170" w:type="dxa"/>
            <w:tcBorders>
              <w:top w:val="nil"/>
            </w:tcBorders>
            <w:shd w:val="clear" w:color="000000" w:fill="FFFFFF"/>
            <w:noWrap/>
            <w:vAlign w:val="bottom"/>
            <w:hideMark/>
          </w:tcPr>
          <w:p w14:paraId="6C5D22E5"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80.9</w:t>
            </w:r>
          </w:p>
        </w:tc>
        <w:tc>
          <w:tcPr>
            <w:tcW w:w="990" w:type="dxa"/>
            <w:tcBorders>
              <w:top w:val="nil"/>
            </w:tcBorders>
            <w:shd w:val="clear" w:color="000000" w:fill="FFFFFF"/>
            <w:noWrap/>
            <w:vAlign w:val="bottom"/>
            <w:hideMark/>
          </w:tcPr>
          <w:p w14:paraId="4C10ABEB"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82.8</w:t>
            </w:r>
          </w:p>
        </w:tc>
        <w:tc>
          <w:tcPr>
            <w:tcW w:w="1080" w:type="dxa"/>
            <w:tcBorders>
              <w:top w:val="nil"/>
            </w:tcBorders>
            <w:shd w:val="clear" w:color="000000" w:fill="FFFFFF"/>
            <w:noWrap/>
            <w:vAlign w:val="bottom"/>
            <w:hideMark/>
          </w:tcPr>
          <w:p w14:paraId="36A0329C"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75</w:t>
            </w:r>
          </w:p>
        </w:tc>
        <w:tc>
          <w:tcPr>
            <w:tcW w:w="1170" w:type="dxa"/>
            <w:tcBorders>
              <w:top w:val="nil"/>
            </w:tcBorders>
            <w:shd w:val="clear" w:color="000000" w:fill="FFFFFF"/>
            <w:noWrap/>
            <w:vAlign w:val="bottom"/>
            <w:hideMark/>
          </w:tcPr>
          <w:p w14:paraId="3AC25527"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79.57</w:t>
            </w:r>
          </w:p>
        </w:tc>
      </w:tr>
      <w:tr w:rsidR="003E6080" w:rsidRPr="003B08EC" w14:paraId="33417E42" w14:textId="77777777" w:rsidTr="003E6080">
        <w:trPr>
          <w:trHeight w:val="288"/>
        </w:trPr>
        <w:tc>
          <w:tcPr>
            <w:tcW w:w="559" w:type="dxa"/>
            <w:tcBorders>
              <w:top w:val="nil"/>
            </w:tcBorders>
            <w:shd w:val="clear" w:color="000000" w:fill="FFFFFF"/>
            <w:noWrap/>
            <w:vAlign w:val="bottom"/>
            <w:hideMark/>
          </w:tcPr>
          <w:p w14:paraId="3B046325"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w:t>
            </w:r>
          </w:p>
        </w:tc>
        <w:tc>
          <w:tcPr>
            <w:tcW w:w="4417" w:type="dxa"/>
            <w:tcBorders>
              <w:top w:val="nil"/>
            </w:tcBorders>
            <w:shd w:val="clear" w:color="000000" w:fill="FFFFFF"/>
            <w:noWrap/>
            <w:vAlign w:val="bottom"/>
            <w:hideMark/>
          </w:tcPr>
          <w:p w14:paraId="325C5098"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Production</w:t>
            </w:r>
          </w:p>
        </w:tc>
        <w:tc>
          <w:tcPr>
            <w:tcW w:w="1170" w:type="dxa"/>
            <w:tcBorders>
              <w:top w:val="nil"/>
            </w:tcBorders>
            <w:shd w:val="clear" w:color="000000" w:fill="FFFFFF"/>
            <w:noWrap/>
            <w:vAlign w:val="bottom"/>
            <w:hideMark/>
          </w:tcPr>
          <w:p w14:paraId="1A8C9C01"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82.2</w:t>
            </w:r>
          </w:p>
        </w:tc>
        <w:tc>
          <w:tcPr>
            <w:tcW w:w="990" w:type="dxa"/>
            <w:tcBorders>
              <w:top w:val="nil"/>
            </w:tcBorders>
            <w:shd w:val="clear" w:color="000000" w:fill="FFFFFF"/>
            <w:noWrap/>
            <w:vAlign w:val="bottom"/>
            <w:hideMark/>
          </w:tcPr>
          <w:p w14:paraId="1F49A277"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14.5</w:t>
            </w:r>
          </w:p>
        </w:tc>
        <w:tc>
          <w:tcPr>
            <w:tcW w:w="1080" w:type="dxa"/>
            <w:tcBorders>
              <w:top w:val="nil"/>
            </w:tcBorders>
            <w:shd w:val="clear" w:color="000000" w:fill="FFFFFF"/>
            <w:noWrap/>
            <w:vAlign w:val="bottom"/>
            <w:hideMark/>
          </w:tcPr>
          <w:p w14:paraId="66EA695F"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73.5</w:t>
            </w:r>
          </w:p>
        </w:tc>
        <w:tc>
          <w:tcPr>
            <w:tcW w:w="1170" w:type="dxa"/>
            <w:tcBorders>
              <w:top w:val="nil"/>
            </w:tcBorders>
            <w:shd w:val="clear" w:color="000000" w:fill="FFFFFF"/>
            <w:noWrap/>
            <w:vAlign w:val="bottom"/>
            <w:hideMark/>
          </w:tcPr>
          <w:p w14:paraId="49D95FEA"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56.73</w:t>
            </w:r>
          </w:p>
        </w:tc>
      </w:tr>
      <w:tr w:rsidR="003E6080" w:rsidRPr="003B08EC" w14:paraId="7FACC904" w14:textId="77777777" w:rsidTr="003E6080">
        <w:trPr>
          <w:trHeight w:val="288"/>
        </w:trPr>
        <w:tc>
          <w:tcPr>
            <w:tcW w:w="559" w:type="dxa"/>
            <w:tcBorders>
              <w:top w:val="nil"/>
            </w:tcBorders>
            <w:shd w:val="clear" w:color="000000" w:fill="FFFFFF"/>
            <w:noWrap/>
            <w:vAlign w:val="bottom"/>
            <w:hideMark/>
          </w:tcPr>
          <w:p w14:paraId="7295732E"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w:t>
            </w:r>
          </w:p>
        </w:tc>
        <w:tc>
          <w:tcPr>
            <w:tcW w:w="4417" w:type="dxa"/>
            <w:tcBorders>
              <w:top w:val="nil"/>
            </w:tcBorders>
            <w:shd w:val="clear" w:color="000000" w:fill="FFFFFF"/>
            <w:noWrap/>
            <w:vAlign w:val="bottom"/>
            <w:hideMark/>
          </w:tcPr>
          <w:p w14:paraId="6A70974E"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Subject matter of Economics</w:t>
            </w:r>
          </w:p>
        </w:tc>
        <w:tc>
          <w:tcPr>
            <w:tcW w:w="1170" w:type="dxa"/>
            <w:tcBorders>
              <w:top w:val="nil"/>
            </w:tcBorders>
            <w:shd w:val="clear" w:color="000000" w:fill="FFFFFF"/>
            <w:noWrap/>
            <w:vAlign w:val="bottom"/>
            <w:hideMark/>
          </w:tcPr>
          <w:p w14:paraId="7C69853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74</w:t>
            </w:r>
          </w:p>
        </w:tc>
        <w:tc>
          <w:tcPr>
            <w:tcW w:w="990" w:type="dxa"/>
            <w:tcBorders>
              <w:top w:val="nil"/>
            </w:tcBorders>
            <w:shd w:val="clear" w:color="000000" w:fill="FFFFFF"/>
            <w:noWrap/>
            <w:vAlign w:val="bottom"/>
            <w:hideMark/>
          </w:tcPr>
          <w:p w14:paraId="772989AA"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78.1</w:t>
            </w:r>
          </w:p>
        </w:tc>
        <w:tc>
          <w:tcPr>
            <w:tcW w:w="1080" w:type="dxa"/>
            <w:tcBorders>
              <w:top w:val="nil"/>
            </w:tcBorders>
            <w:shd w:val="clear" w:color="000000" w:fill="FFFFFF"/>
            <w:noWrap/>
            <w:vAlign w:val="bottom"/>
            <w:hideMark/>
          </w:tcPr>
          <w:p w14:paraId="0F933F90"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72.1</w:t>
            </w:r>
          </w:p>
        </w:tc>
        <w:tc>
          <w:tcPr>
            <w:tcW w:w="1170" w:type="dxa"/>
            <w:tcBorders>
              <w:top w:val="nil"/>
            </w:tcBorders>
            <w:shd w:val="clear" w:color="000000" w:fill="FFFFFF"/>
            <w:noWrap/>
            <w:vAlign w:val="bottom"/>
            <w:hideMark/>
          </w:tcPr>
          <w:p w14:paraId="1EFA3415"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74.73</w:t>
            </w:r>
          </w:p>
        </w:tc>
      </w:tr>
      <w:tr w:rsidR="003E6080" w:rsidRPr="003B08EC" w14:paraId="57601931" w14:textId="77777777" w:rsidTr="003E6080">
        <w:trPr>
          <w:trHeight w:val="288"/>
        </w:trPr>
        <w:tc>
          <w:tcPr>
            <w:tcW w:w="559" w:type="dxa"/>
            <w:tcBorders>
              <w:top w:val="nil"/>
            </w:tcBorders>
            <w:shd w:val="clear" w:color="000000" w:fill="FFFFFF"/>
            <w:noWrap/>
            <w:vAlign w:val="bottom"/>
            <w:hideMark/>
          </w:tcPr>
          <w:p w14:paraId="22A891EB"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w:t>
            </w:r>
          </w:p>
        </w:tc>
        <w:tc>
          <w:tcPr>
            <w:tcW w:w="4417" w:type="dxa"/>
            <w:tcBorders>
              <w:top w:val="nil"/>
            </w:tcBorders>
            <w:shd w:val="clear" w:color="000000" w:fill="FFFFFF"/>
            <w:noWrap/>
            <w:vAlign w:val="bottom"/>
            <w:hideMark/>
          </w:tcPr>
          <w:p w14:paraId="37F2BAC4"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Economic growth and development</w:t>
            </w:r>
          </w:p>
        </w:tc>
        <w:tc>
          <w:tcPr>
            <w:tcW w:w="1170" w:type="dxa"/>
            <w:tcBorders>
              <w:top w:val="nil"/>
            </w:tcBorders>
            <w:shd w:val="clear" w:color="000000" w:fill="FFFFFF"/>
            <w:noWrap/>
            <w:vAlign w:val="bottom"/>
            <w:hideMark/>
          </w:tcPr>
          <w:p w14:paraId="75F3B53C"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85.2</w:t>
            </w:r>
          </w:p>
        </w:tc>
        <w:tc>
          <w:tcPr>
            <w:tcW w:w="990" w:type="dxa"/>
            <w:tcBorders>
              <w:top w:val="nil"/>
            </w:tcBorders>
            <w:shd w:val="clear" w:color="000000" w:fill="FFFFFF"/>
            <w:noWrap/>
            <w:vAlign w:val="bottom"/>
            <w:hideMark/>
          </w:tcPr>
          <w:p w14:paraId="217CBC4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90.2</w:t>
            </w:r>
          </w:p>
        </w:tc>
        <w:tc>
          <w:tcPr>
            <w:tcW w:w="1080" w:type="dxa"/>
            <w:tcBorders>
              <w:top w:val="nil"/>
            </w:tcBorders>
            <w:shd w:val="clear" w:color="000000" w:fill="FFFFFF"/>
            <w:noWrap/>
            <w:vAlign w:val="bottom"/>
            <w:hideMark/>
          </w:tcPr>
          <w:p w14:paraId="4950B967"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72.1</w:t>
            </w:r>
          </w:p>
        </w:tc>
        <w:tc>
          <w:tcPr>
            <w:tcW w:w="1170" w:type="dxa"/>
            <w:tcBorders>
              <w:top w:val="nil"/>
            </w:tcBorders>
            <w:shd w:val="clear" w:color="000000" w:fill="FFFFFF"/>
            <w:noWrap/>
            <w:vAlign w:val="bottom"/>
            <w:hideMark/>
          </w:tcPr>
          <w:p w14:paraId="38E57FA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82.5</w:t>
            </w:r>
          </w:p>
        </w:tc>
      </w:tr>
      <w:tr w:rsidR="003E6080" w:rsidRPr="003B08EC" w14:paraId="0C76F840" w14:textId="77777777" w:rsidTr="003E6080">
        <w:trPr>
          <w:trHeight w:val="288"/>
        </w:trPr>
        <w:tc>
          <w:tcPr>
            <w:tcW w:w="559" w:type="dxa"/>
            <w:tcBorders>
              <w:top w:val="nil"/>
            </w:tcBorders>
            <w:shd w:val="clear" w:color="000000" w:fill="FFFFFF"/>
            <w:noWrap/>
            <w:vAlign w:val="bottom"/>
            <w:hideMark/>
          </w:tcPr>
          <w:p w14:paraId="1CB3449F"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w:t>
            </w:r>
          </w:p>
        </w:tc>
        <w:tc>
          <w:tcPr>
            <w:tcW w:w="4417" w:type="dxa"/>
            <w:tcBorders>
              <w:top w:val="nil"/>
            </w:tcBorders>
            <w:shd w:val="clear" w:color="000000" w:fill="FFFFFF"/>
            <w:noWrap/>
            <w:vAlign w:val="bottom"/>
            <w:hideMark/>
          </w:tcPr>
          <w:p w14:paraId="245C36BE"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 structure of Tanzanian economy</w:t>
            </w:r>
          </w:p>
        </w:tc>
        <w:tc>
          <w:tcPr>
            <w:tcW w:w="1170" w:type="dxa"/>
            <w:tcBorders>
              <w:top w:val="nil"/>
            </w:tcBorders>
            <w:shd w:val="clear" w:color="000000" w:fill="FFFFFF"/>
            <w:noWrap/>
            <w:vAlign w:val="bottom"/>
            <w:hideMark/>
          </w:tcPr>
          <w:p w14:paraId="00ACEC99"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97.7</w:t>
            </w:r>
          </w:p>
        </w:tc>
        <w:tc>
          <w:tcPr>
            <w:tcW w:w="990" w:type="dxa"/>
            <w:tcBorders>
              <w:top w:val="nil"/>
            </w:tcBorders>
            <w:shd w:val="clear" w:color="000000" w:fill="FFFFFF"/>
            <w:noWrap/>
            <w:vAlign w:val="bottom"/>
            <w:hideMark/>
          </w:tcPr>
          <w:p w14:paraId="04FD4755"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99.1</w:t>
            </w:r>
          </w:p>
        </w:tc>
        <w:tc>
          <w:tcPr>
            <w:tcW w:w="1080" w:type="dxa"/>
            <w:tcBorders>
              <w:top w:val="nil"/>
            </w:tcBorders>
            <w:shd w:val="clear" w:color="000000" w:fill="FFFFFF"/>
            <w:noWrap/>
            <w:vAlign w:val="bottom"/>
            <w:hideMark/>
          </w:tcPr>
          <w:p w14:paraId="03A63FA1"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66.7</w:t>
            </w:r>
          </w:p>
        </w:tc>
        <w:tc>
          <w:tcPr>
            <w:tcW w:w="1170" w:type="dxa"/>
            <w:tcBorders>
              <w:top w:val="nil"/>
            </w:tcBorders>
            <w:shd w:val="clear" w:color="000000" w:fill="FFFFFF"/>
            <w:noWrap/>
            <w:vAlign w:val="bottom"/>
            <w:hideMark/>
          </w:tcPr>
          <w:p w14:paraId="1BE3C7DC"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87.83</w:t>
            </w:r>
          </w:p>
        </w:tc>
      </w:tr>
      <w:tr w:rsidR="003E6080" w:rsidRPr="003B08EC" w14:paraId="6B8026D2" w14:textId="77777777" w:rsidTr="003E6080">
        <w:trPr>
          <w:trHeight w:val="288"/>
        </w:trPr>
        <w:tc>
          <w:tcPr>
            <w:tcW w:w="559" w:type="dxa"/>
            <w:tcBorders>
              <w:top w:val="nil"/>
            </w:tcBorders>
            <w:shd w:val="clear" w:color="000000" w:fill="FFFFFF"/>
            <w:noWrap/>
            <w:vAlign w:val="bottom"/>
            <w:hideMark/>
          </w:tcPr>
          <w:p w14:paraId="4B1E6F8A"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w:t>
            </w:r>
          </w:p>
        </w:tc>
        <w:tc>
          <w:tcPr>
            <w:tcW w:w="4417" w:type="dxa"/>
            <w:tcBorders>
              <w:top w:val="nil"/>
            </w:tcBorders>
            <w:shd w:val="clear" w:color="000000" w:fill="FFFFFF"/>
            <w:noWrap/>
            <w:vAlign w:val="bottom"/>
            <w:hideMark/>
          </w:tcPr>
          <w:p w14:paraId="69A9D520"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International trade</w:t>
            </w:r>
          </w:p>
        </w:tc>
        <w:tc>
          <w:tcPr>
            <w:tcW w:w="1170" w:type="dxa"/>
            <w:tcBorders>
              <w:top w:val="nil"/>
            </w:tcBorders>
            <w:shd w:val="clear" w:color="000000" w:fill="FFFFFF"/>
            <w:noWrap/>
            <w:vAlign w:val="bottom"/>
            <w:hideMark/>
          </w:tcPr>
          <w:p w14:paraId="33621E38"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27.7</w:t>
            </w:r>
          </w:p>
        </w:tc>
        <w:tc>
          <w:tcPr>
            <w:tcW w:w="990" w:type="dxa"/>
            <w:tcBorders>
              <w:top w:val="nil"/>
            </w:tcBorders>
            <w:shd w:val="clear" w:color="000000" w:fill="FFFFFF"/>
            <w:noWrap/>
            <w:vAlign w:val="bottom"/>
            <w:hideMark/>
          </w:tcPr>
          <w:p w14:paraId="562E0BE8"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85.5</w:t>
            </w:r>
          </w:p>
        </w:tc>
        <w:tc>
          <w:tcPr>
            <w:tcW w:w="1080" w:type="dxa"/>
            <w:tcBorders>
              <w:top w:val="nil"/>
            </w:tcBorders>
            <w:shd w:val="clear" w:color="000000" w:fill="FFFFFF"/>
            <w:noWrap/>
            <w:vAlign w:val="bottom"/>
            <w:hideMark/>
          </w:tcPr>
          <w:p w14:paraId="3F8B9AA6"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53.7</w:t>
            </w:r>
          </w:p>
        </w:tc>
        <w:tc>
          <w:tcPr>
            <w:tcW w:w="1170" w:type="dxa"/>
            <w:tcBorders>
              <w:top w:val="nil"/>
            </w:tcBorders>
            <w:shd w:val="clear" w:color="000000" w:fill="FFFFFF"/>
            <w:noWrap/>
            <w:vAlign w:val="bottom"/>
            <w:hideMark/>
          </w:tcPr>
          <w:p w14:paraId="69B8A433"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55.63</w:t>
            </w:r>
          </w:p>
        </w:tc>
      </w:tr>
      <w:tr w:rsidR="003E6080" w:rsidRPr="003B08EC" w14:paraId="48D2FC70" w14:textId="77777777" w:rsidTr="003E6080">
        <w:trPr>
          <w:trHeight w:val="288"/>
        </w:trPr>
        <w:tc>
          <w:tcPr>
            <w:tcW w:w="559" w:type="dxa"/>
            <w:tcBorders>
              <w:top w:val="nil"/>
            </w:tcBorders>
            <w:shd w:val="clear" w:color="000000" w:fill="FFFFFF"/>
            <w:noWrap/>
            <w:vAlign w:val="bottom"/>
            <w:hideMark/>
          </w:tcPr>
          <w:p w14:paraId="2E5E2E84"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w:t>
            </w:r>
          </w:p>
        </w:tc>
        <w:tc>
          <w:tcPr>
            <w:tcW w:w="4417" w:type="dxa"/>
            <w:tcBorders>
              <w:top w:val="nil"/>
            </w:tcBorders>
            <w:shd w:val="clear" w:color="000000" w:fill="FFFFFF"/>
            <w:noWrap/>
            <w:vAlign w:val="bottom"/>
            <w:hideMark/>
          </w:tcPr>
          <w:p w14:paraId="6E2B4AE7"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Theory of demand and supply </w:t>
            </w:r>
          </w:p>
        </w:tc>
        <w:tc>
          <w:tcPr>
            <w:tcW w:w="1170" w:type="dxa"/>
            <w:tcBorders>
              <w:top w:val="nil"/>
            </w:tcBorders>
            <w:shd w:val="clear" w:color="000000" w:fill="FFFFFF"/>
            <w:noWrap/>
            <w:vAlign w:val="bottom"/>
            <w:hideMark/>
          </w:tcPr>
          <w:p w14:paraId="0DE56EAA"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65.5</w:t>
            </w:r>
          </w:p>
        </w:tc>
        <w:tc>
          <w:tcPr>
            <w:tcW w:w="990" w:type="dxa"/>
            <w:tcBorders>
              <w:top w:val="nil"/>
            </w:tcBorders>
            <w:shd w:val="clear" w:color="000000" w:fill="FFFFFF"/>
            <w:noWrap/>
            <w:vAlign w:val="bottom"/>
            <w:hideMark/>
          </w:tcPr>
          <w:p w14:paraId="35D33538"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72.2</w:t>
            </w:r>
          </w:p>
        </w:tc>
        <w:tc>
          <w:tcPr>
            <w:tcW w:w="1080" w:type="dxa"/>
            <w:tcBorders>
              <w:top w:val="nil"/>
            </w:tcBorders>
            <w:shd w:val="clear" w:color="000000" w:fill="FFFFFF"/>
            <w:noWrap/>
            <w:vAlign w:val="bottom"/>
            <w:hideMark/>
          </w:tcPr>
          <w:p w14:paraId="02AD676F"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51.6</w:t>
            </w:r>
          </w:p>
        </w:tc>
        <w:tc>
          <w:tcPr>
            <w:tcW w:w="1170" w:type="dxa"/>
            <w:tcBorders>
              <w:top w:val="nil"/>
            </w:tcBorders>
            <w:shd w:val="clear" w:color="000000" w:fill="FFFFFF"/>
            <w:noWrap/>
            <w:vAlign w:val="bottom"/>
            <w:hideMark/>
          </w:tcPr>
          <w:p w14:paraId="5165C8B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63.1</w:t>
            </w:r>
          </w:p>
        </w:tc>
      </w:tr>
      <w:tr w:rsidR="003E6080" w:rsidRPr="003B08EC" w14:paraId="045A5315" w14:textId="77777777" w:rsidTr="003E6080">
        <w:trPr>
          <w:trHeight w:val="288"/>
        </w:trPr>
        <w:tc>
          <w:tcPr>
            <w:tcW w:w="559" w:type="dxa"/>
            <w:tcBorders>
              <w:top w:val="nil"/>
              <w:bottom w:val="single" w:sz="4" w:space="0" w:color="auto"/>
            </w:tcBorders>
            <w:shd w:val="clear" w:color="000000" w:fill="FFFFFF"/>
            <w:noWrap/>
            <w:vAlign w:val="bottom"/>
            <w:hideMark/>
          </w:tcPr>
          <w:p w14:paraId="612B363E"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10</w:t>
            </w:r>
          </w:p>
        </w:tc>
        <w:tc>
          <w:tcPr>
            <w:tcW w:w="4417" w:type="dxa"/>
            <w:tcBorders>
              <w:top w:val="nil"/>
              <w:bottom w:val="single" w:sz="4" w:space="0" w:color="auto"/>
            </w:tcBorders>
            <w:shd w:val="clear" w:color="000000" w:fill="FFFFFF"/>
            <w:noWrap/>
            <w:vAlign w:val="bottom"/>
            <w:hideMark/>
          </w:tcPr>
          <w:p w14:paraId="51CCD565" w14:textId="77777777" w:rsidR="00247DB0" w:rsidRPr="003B08EC" w:rsidRDefault="00247DB0"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Financial institutions</w:t>
            </w:r>
          </w:p>
        </w:tc>
        <w:tc>
          <w:tcPr>
            <w:tcW w:w="1170" w:type="dxa"/>
            <w:tcBorders>
              <w:top w:val="nil"/>
              <w:bottom w:val="single" w:sz="4" w:space="0" w:color="auto"/>
            </w:tcBorders>
            <w:shd w:val="clear" w:color="000000" w:fill="FFFFFF"/>
            <w:noWrap/>
            <w:vAlign w:val="bottom"/>
            <w:hideMark/>
          </w:tcPr>
          <w:p w14:paraId="3A235A9C"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79.8</w:t>
            </w:r>
          </w:p>
        </w:tc>
        <w:tc>
          <w:tcPr>
            <w:tcW w:w="990" w:type="dxa"/>
            <w:tcBorders>
              <w:top w:val="nil"/>
              <w:bottom w:val="single" w:sz="4" w:space="0" w:color="auto"/>
            </w:tcBorders>
            <w:shd w:val="clear" w:color="000000" w:fill="FFFFFF"/>
            <w:noWrap/>
            <w:vAlign w:val="bottom"/>
            <w:hideMark/>
          </w:tcPr>
          <w:p w14:paraId="7957E11E"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77.6</w:t>
            </w:r>
          </w:p>
        </w:tc>
        <w:tc>
          <w:tcPr>
            <w:tcW w:w="1080" w:type="dxa"/>
            <w:tcBorders>
              <w:top w:val="nil"/>
              <w:bottom w:val="single" w:sz="4" w:space="0" w:color="auto"/>
            </w:tcBorders>
            <w:shd w:val="clear" w:color="000000" w:fill="FFFFFF"/>
            <w:noWrap/>
            <w:vAlign w:val="bottom"/>
            <w:hideMark/>
          </w:tcPr>
          <w:p w14:paraId="3B6442EB"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56.4</w:t>
            </w:r>
          </w:p>
        </w:tc>
        <w:tc>
          <w:tcPr>
            <w:tcW w:w="1170" w:type="dxa"/>
            <w:tcBorders>
              <w:top w:val="nil"/>
              <w:bottom w:val="single" w:sz="4" w:space="0" w:color="auto"/>
            </w:tcBorders>
            <w:shd w:val="clear" w:color="000000" w:fill="FFFFFF"/>
            <w:noWrap/>
            <w:vAlign w:val="bottom"/>
            <w:hideMark/>
          </w:tcPr>
          <w:p w14:paraId="10681780" w14:textId="77777777" w:rsidR="00247DB0" w:rsidRPr="003B08EC" w:rsidRDefault="00247DB0"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71.27</w:t>
            </w:r>
          </w:p>
        </w:tc>
      </w:tr>
    </w:tbl>
    <w:p w14:paraId="3E845A2F" w14:textId="22E7F0F6" w:rsidR="00247DB0" w:rsidRPr="003B08EC" w:rsidRDefault="00247DB0" w:rsidP="00C775A7">
      <w:pPr>
        <w:spacing w:after="0" w:line="240" w:lineRule="auto"/>
        <w:jc w:val="both"/>
        <w:rPr>
          <w:rFonts w:ascii="Times New Roman" w:hAnsi="Times New Roman" w:cs="Times New Roman"/>
        </w:rPr>
      </w:pPr>
      <w:r w:rsidRPr="003B08EC">
        <w:rPr>
          <w:rFonts w:ascii="Times New Roman" w:hAnsi="Times New Roman" w:cs="Times New Roman"/>
        </w:rPr>
        <w:t>Source: NECTA (2019 – 2021)</w:t>
      </w:r>
    </w:p>
    <w:p w14:paraId="26315330" w14:textId="77777777" w:rsidR="00C775A7" w:rsidRPr="00E21FB6" w:rsidRDefault="00C775A7" w:rsidP="00C775A7">
      <w:pPr>
        <w:spacing w:after="0" w:line="240" w:lineRule="auto"/>
        <w:jc w:val="both"/>
        <w:rPr>
          <w:rFonts w:ascii="Times New Roman" w:hAnsi="Times New Roman" w:cs="Times New Roman"/>
          <w:sz w:val="16"/>
          <w:szCs w:val="16"/>
        </w:rPr>
      </w:pPr>
    </w:p>
    <w:p w14:paraId="64C199B3" w14:textId="30C0D892" w:rsidR="001904EC" w:rsidRDefault="001904EC" w:rsidP="00246795">
      <w:pPr>
        <w:spacing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These performance trends have significant implications for the study on the impact of the Economics textbook introduction in 2022. The fluctuations in topic performance over the years, </w:t>
      </w:r>
      <w:r w:rsidRPr="007062AE">
        <w:rPr>
          <w:rFonts w:ascii="Times New Roman" w:hAnsi="Times New Roman" w:cs="Times New Roman"/>
          <w:sz w:val="24"/>
          <w:szCs w:val="24"/>
        </w:rPr>
        <w:lastRenderedPageBreak/>
        <w:t>especially in 2020 and 2021, highlight potential challenges in the absence of a standardised Economics textbook. In particular, the sharp decline in performance in 2020, especially in topics such as Production and International Trade, suggests that the lack of consistent, structured learning resources may have affected students' understanding of complex topics. As Cohen &amp; Ball (1999) emphasise, teaching variability is often influenced by inconsistent access to resources, which can hinder a unified approach to teaching. Teachers likely faced difficulties in providing a comprehensive and cohesive approach, which could explain the performance variability observed across different topics.</w:t>
      </w:r>
    </w:p>
    <w:p w14:paraId="18FC0750" w14:textId="1A79F98E" w:rsidR="001904EC"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improvements in certain topics (such as Theory of </w:t>
      </w:r>
      <w:r w:rsidR="00531170" w:rsidRPr="007062AE">
        <w:rPr>
          <w:rFonts w:ascii="Times New Roman" w:hAnsi="Times New Roman" w:cs="Times New Roman"/>
          <w:sz w:val="24"/>
          <w:szCs w:val="24"/>
        </w:rPr>
        <w:t>m</w:t>
      </w:r>
      <w:r w:rsidRPr="007062AE">
        <w:rPr>
          <w:rFonts w:ascii="Times New Roman" w:hAnsi="Times New Roman" w:cs="Times New Roman"/>
          <w:sz w:val="24"/>
          <w:szCs w:val="24"/>
        </w:rPr>
        <w:t xml:space="preserve">oney and Public </w:t>
      </w:r>
      <w:r w:rsidR="00531170" w:rsidRPr="007062AE">
        <w:rPr>
          <w:rFonts w:ascii="Times New Roman" w:hAnsi="Times New Roman" w:cs="Times New Roman"/>
          <w:sz w:val="24"/>
          <w:szCs w:val="24"/>
        </w:rPr>
        <w:t>f</w:t>
      </w:r>
      <w:r w:rsidRPr="007062AE">
        <w:rPr>
          <w:rFonts w:ascii="Times New Roman" w:hAnsi="Times New Roman" w:cs="Times New Roman"/>
          <w:sz w:val="24"/>
          <w:szCs w:val="24"/>
        </w:rPr>
        <w:t>inance) between 2019 and 2021 suggest that, despite the lack of a standardised textbook, students were able to improve their understanding through alternative teaching strategies or additional resources. This finding aligns with Shulman’s (1987) work on the importance of teacher expertise and pedagogical flexibility when standardised materials are not available. However, the inconsistencies in performance, especially the drops observed in 2021 for topics such as Economic Growth and Development and The Structure of the Tanzanian Economy, underscore the need for standardised teaching materials. Mingus &amp; Buehler (2017) found that providing uniform instructional resources can significantly enhance learning outcomes, as it ensures that all students have access to the same high-quality content. The introduction of an official Economics textbook in 2022 could address these gaps by ensuring that all students have access to structured, consistent, and high-quality learning materials, which would likely lead to more consistent performance across all topics.</w:t>
      </w:r>
    </w:p>
    <w:p w14:paraId="5E634C26" w14:textId="77777777" w:rsidR="00C775A7" w:rsidRDefault="00C775A7" w:rsidP="00C775A7">
      <w:pPr>
        <w:spacing w:after="0" w:line="240" w:lineRule="auto"/>
        <w:jc w:val="both"/>
        <w:rPr>
          <w:rFonts w:ascii="Times New Roman" w:hAnsi="Times New Roman" w:cs="Times New Roman"/>
          <w:sz w:val="24"/>
          <w:szCs w:val="24"/>
        </w:rPr>
      </w:pPr>
    </w:p>
    <w:p w14:paraId="2C484138" w14:textId="40566713" w:rsidR="001904EC" w:rsidRPr="007062AE" w:rsidRDefault="001904EC" w:rsidP="00C775A7">
      <w:pPr>
        <w:pStyle w:val="ListParagraph"/>
        <w:numPr>
          <w:ilvl w:val="2"/>
          <w:numId w:val="7"/>
        </w:numPr>
        <w:spacing w:after="0" w:line="240" w:lineRule="auto"/>
        <w:ind w:left="360" w:hanging="360"/>
        <w:jc w:val="both"/>
        <w:rPr>
          <w:rFonts w:ascii="Times New Roman" w:hAnsi="Times New Roman" w:cs="Times New Roman"/>
          <w:b/>
          <w:bCs/>
          <w:sz w:val="24"/>
          <w:szCs w:val="24"/>
        </w:rPr>
      </w:pPr>
      <w:r w:rsidRPr="007062AE">
        <w:rPr>
          <w:rFonts w:ascii="Times New Roman" w:hAnsi="Times New Roman" w:cs="Times New Roman"/>
          <w:b/>
          <w:bCs/>
          <w:sz w:val="24"/>
          <w:szCs w:val="24"/>
        </w:rPr>
        <w:t>Performance per topic from 2022 to 2024</w:t>
      </w:r>
    </w:p>
    <w:p w14:paraId="6AFADE1A" w14:textId="0F55A3FB" w:rsidR="001904EC"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 xml:space="preserve">The data from 2022 to 2024 in Table </w:t>
      </w:r>
      <w:r w:rsidR="007405F0">
        <w:rPr>
          <w:rFonts w:ascii="Times New Roman" w:hAnsi="Times New Roman" w:cs="Times New Roman"/>
          <w:sz w:val="24"/>
          <w:szCs w:val="24"/>
        </w:rPr>
        <w:t>3</w:t>
      </w:r>
      <w:r w:rsidRPr="007062AE">
        <w:rPr>
          <w:rFonts w:ascii="Times New Roman" w:hAnsi="Times New Roman" w:cs="Times New Roman"/>
          <w:sz w:val="24"/>
          <w:szCs w:val="24"/>
        </w:rPr>
        <w:t xml:space="preserve"> presents the performance of Economics students in Tanzania, highlighting the performance rates per topic in the Advanced Certificate of Secondary Education Examination (ACSEE). A closer look at the data reveals both strong and inconsistent performance across different topics. For instance, Public finance showed significant volatility, starting at 44.2% in 2022, improving to 81.4% in 2023, and declining again to 38% in 2024, with an average of 54.54%. This inconsistent performance suggests that Public finance may have been particularly challenging for students, with factors such as inconsistent teaching or preparation contributing to these fluctuations. In contrast, the Theory of </w:t>
      </w:r>
      <w:r w:rsidR="00736525" w:rsidRPr="007062AE">
        <w:rPr>
          <w:rFonts w:ascii="Times New Roman" w:hAnsi="Times New Roman" w:cs="Times New Roman"/>
          <w:sz w:val="24"/>
          <w:szCs w:val="24"/>
        </w:rPr>
        <w:t>m</w:t>
      </w:r>
      <w:r w:rsidRPr="007062AE">
        <w:rPr>
          <w:rFonts w:ascii="Times New Roman" w:hAnsi="Times New Roman" w:cs="Times New Roman"/>
          <w:sz w:val="24"/>
          <w:szCs w:val="24"/>
        </w:rPr>
        <w:t>oney demonstrated a steady improvement, with performance increasing from 84.1% in 2022 to 98% in 2023, and maintaining 94.8% in 2024, yielding a mean of 92.29%. This trend suggests that students had a good grasp of the topic, likely aided by focused instruction and the introduction of the standardised Economics textbook, which may have contributed to more consistent teaching and materials.</w:t>
      </w:r>
    </w:p>
    <w:p w14:paraId="501DFC0B" w14:textId="77777777" w:rsidR="00C775A7" w:rsidRPr="007062AE" w:rsidRDefault="00C775A7" w:rsidP="00C775A7">
      <w:pPr>
        <w:spacing w:after="0" w:line="240" w:lineRule="auto"/>
        <w:jc w:val="both"/>
        <w:rPr>
          <w:rFonts w:ascii="Times New Roman" w:hAnsi="Times New Roman" w:cs="Times New Roman"/>
          <w:sz w:val="24"/>
          <w:szCs w:val="24"/>
        </w:rPr>
      </w:pPr>
    </w:p>
    <w:p w14:paraId="352786B4" w14:textId="7B5A6CB1" w:rsidR="001904EC"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Performance in National Income showed positive results, with scores of 88.1% in 2022, 91.8% in 2023, and a decline to 74.9% in 2024, yielding an average of 84.92%. While the topic was generally well understood, the drop in 2024 suggests it may have been more challenging for some students, possibly due to changes in the exam</w:t>
      </w:r>
      <w:r w:rsidR="00BA4117">
        <w:rPr>
          <w:rFonts w:ascii="Times New Roman" w:hAnsi="Times New Roman" w:cs="Times New Roman"/>
          <w:sz w:val="24"/>
          <w:szCs w:val="24"/>
        </w:rPr>
        <w:t>ination</w:t>
      </w:r>
      <w:r w:rsidRPr="007062AE">
        <w:rPr>
          <w:rFonts w:ascii="Times New Roman" w:hAnsi="Times New Roman" w:cs="Times New Roman"/>
          <w:sz w:val="24"/>
          <w:szCs w:val="24"/>
        </w:rPr>
        <w:t xml:space="preserve"> structure or focus. The topic of Production demonstrated high inconsistency, with 54.7% in 2022, rising to 93% in 2023, and then plummeting to 3.4% in 2024, resulting in an average of 50.38%. This sharp drop in 2024 could indicate significant difficulties with the content, likely due to unclear teaching or challenging exam questions. On the other hand, Subject matter of Economics showed relatively stable performance, increasing from 79.4% in 2022 to 91.5% in 2024, with a mean of 84.41%, suggesting that the topic was well-understood by students, likely aided by the standardised textbook and consistent teaching.</w:t>
      </w:r>
    </w:p>
    <w:p w14:paraId="27C1C14F" w14:textId="77777777" w:rsidR="00C775A7" w:rsidRPr="007062AE" w:rsidRDefault="00C775A7" w:rsidP="00C775A7">
      <w:pPr>
        <w:spacing w:after="0" w:line="240" w:lineRule="auto"/>
        <w:jc w:val="both"/>
        <w:rPr>
          <w:rFonts w:ascii="Times New Roman" w:hAnsi="Times New Roman" w:cs="Times New Roman"/>
          <w:sz w:val="24"/>
          <w:szCs w:val="24"/>
        </w:rPr>
      </w:pPr>
    </w:p>
    <w:p w14:paraId="48677996" w14:textId="7AEFBDD1" w:rsidR="001904EC"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The Economic growth and development topic exhibited a consistent upward trend, from 68.8% in 2022 to 95.7% in 2023 and 97.8% in 2024, with a mean of 87.43%. This improvement suggests that students likely found the topic increasingly accessible, with the official textbook and better teaching strategies playing a role in this success. The Structure of the Tanzanian Economy demonstrated exceptional performance, with scores of 99.9% in both 2022 and 2023, and 100% in 2024, yielding a mean of 99.92%. This indicates that students had a strong understanding of this topic, with the textbook providing clear and comprehensive content aligned with exam</w:t>
      </w:r>
      <w:r w:rsidR="00BA4117">
        <w:rPr>
          <w:rFonts w:ascii="Times New Roman" w:hAnsi="Times New Roman" w:cs="Times New Roman"/>
          <w:sz w:val="24"/>
          <w:szCs w:val="24"/>
        </w:rPr>
        <w:t>ination</w:t>
      </w:r>
      <w:r w:rsidRPr="007062AE">
        <w:rPr>
          <w:rFonts w:ascii="Times New Roman" w:hAnsi="Times New Roman" w:cs="Times New Roman"/>
          <w:sz w:val="24"/>
          <w:szCs w:val="24"/>
        </w:rPr>
        <w:t xml:space="preserve"> expectations. International Trade showed some fluctuations, with performance rates of 78.4% in 2022, 82.5% in 2023, and 77.5% in 2024, leading to an average of 79.47%. The variability in performance suggests that the topic posed some challenges, possibly due to its complexity or exam</w:t>
      </w:r>
      <w:r w:rsidR="00BA4117">
        <w:rPr>
          <w:rFonts w:ascii="Times New Roman" w:hAnsi="Times New Roman" w:cs="Times New Roman"/>
          <w:sz w:val="24"/>
          <w:szCs w:val="24"/>
        </w:rPr>
        <w:t>ination</w:t>
      </w:r>
      <w:r w:rsidRPr="007062AE">
        <w:rPr>
          <w:rFonts w:ascii="Times New Roman" w:hAnsi="Times New Roman" w:cs="Times New Roman"/>
          <w:sz w:val="24"/>
          <w:szCs w:val="24"/>
        </w:rPr>
        <w:t xml:space="preserve"> variability, although performance remained relatively stable overall.</w:t>
      </w:r>
    </w:p>
    <w:p w14:paraId="5BE5DAB0" w14:textId="77777777" w:rsidR="00C775A7" w:rsidRPr="007062AE" w:rsidRDefault="00C775A7" w:rsidP="00C775A7">
      <w:pPr>
        <w:spacing w:after="0" w:line="240" w:lineRule="auto"/>
        <w:jc w:val="both"/>
        <w:rPr>
          <w:rFonts w:ascii="Times New Roman" w:hAnsi="Times New Roman" w:cs="Times New Roman"/>
          <w:sz w:val="24"/>
          <w:szCs w:val="24"/>
        </w:rPr>
      </w:pPr>
    </w:p>
    <w:p w14:paraId="2FF76D2C" w14:textId="5AE38323" w:rsidR="00C775A7"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The Theory of demand and supply exhibited moderate improvement, with performance rates of 71.7% in 2022, 88.9% in 2023, and 66.6% in 2024, yielding a mean of 75.75%. This suggests that while some students grasped the basics of the topic, it continued to be challenging for others, as reflected in the decline in 2024. Lastly, the performance in Financial Institutions showed a wide variation, starting at 33.5% in 2022, improving dramatically to 99.3% in 2023, and remaining strong at 96% in 2024, with an average of 76.27%. The significant gap in performance suggests that students initially found the topic difficult in 2022, but their understanding improved significantly in the following years, likely due to better teaching and the availability of improved resources.</w:t>
      </w:r>
    </w:p>
    <w:p w14:paraId="1C430531" w14:textId="77777777" w:rsidR="003B08EC" w:rsidRDefault="003B08EC" w:rsidP="00C775A7">
      <w:pPr>
        <w:spacing w:after="0" w:line="240" w:lineRule="auto"/>
        <w:jc w:val="both"/>
        <w:rPr>
          <w:rFonts w:ascii="Times New Roman" w:hAnsi="Times New Roman" w:cs="Times New Roman"/>
          <w:sz w:val="24"/>
          <w:szCs w:val="24"/>
        </w:rPr>
      </w:pPr>
    </w:p>
    <w:p w14:paraId="509EBDBC" w14:textId="5645A007" w:rsidR="001904EC" w:rsidRPr="003B08EC" w:rsidRDefault="001904EC" w:rsidP="00C775A7">
      <w:pPr>
        <w:spacing w:after="0" w:line="240" w:lineRule="auto"/>
        <w:jc w:val="both"/>
        <w:rPr>
          <w:rFonts w:ascii="Times New Roman" w:hAnsi="Times New Roman" w:cs="Times New Roman"/>
        </w:rPr>
      </w:pPr>
      <w:r w:rsidRPr="003B08EC">
        <w:rPr>
          <w:rFonts w:ascii="Times New Roman" w:hAnsi="Times New Roman" w:cs="Times New Roman"/>
        </w:rPr>
        <w:t xml:space="preserve">Table </w:t>
      </w:r>
      <w:r w:rsidR="007405F0" w:rsidRPr="003B08EC">
        <w:rPr>
          <w:rFonts w:ascii="Times New Roman" w:hAnsi="Times New Roman" w:cs="Times New Roman"/>
        </w:rPr>
        <w:t>3</w:t>
      </w:r>
      <w:r w:rsidRPr="003B08EC">
        <w:rPr>
          <w:rFonts w:ascii="Times New Roman" w:hAnsi="Times New Roman" w:cs="Times New Roman"/>
        </w:rPr>
        <w:t>. Performance of economics per topic from 2022 to 2024</w:t>
      </w:r>
    </w:p>
    <w:tbl>
      <w:tblPr>
        <w:tblW w:w="9386" w:type="dxa"/>
        <w:tblBorders>
          <w:top w:val="single" w:sz="4" w:space="0" w:color="auto"/>
        </w:tblBorders>
        <w:tblLook w:val="04A0" w:firstRow="1" w:lastRow="0" w:firstColumn="1" w:lastColumn="0" w:noHBand="0" w:noVBand="1"/>
      </w:tblPr>
      <w:tblGrid>
        <w:gridCol w:w="559"/>
        <w:gridCol w:w="4597"/>
        <w:gridCol w:w="1080"/>
        <w:gridCol w:w="990"/>
        <w:gridCol w:w="1080"/>
        <w:gridCol w:w="1080"/>
      </w:tblGrid>
      <w:tr w:rsidR="001904EC" w:rsidRPr="003B08EC" w14:paraId="139551E7" w14:textId="77777777" w:rsidTr="00E16EBA">
        <w:trPr>
          <w:trHeight w:val="288"/>
        </w:trPr>
        <w:tc>
          <w:tcPr>
            <w:tcW w:w="559" w:type="dxa"/>
            <w:vMerge w:val="restart"/>
            <w:shd w:val="clear" w:color="000000" w:fill="FFFFFF"/>
            <w:noWrap/>
            <w:vAlign w:val="center"/>
            <w:hideMark/>
          </w:tcPr>
          <w:p w14:paraId="74E1AA30"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S/N</w:t>
            </w:r>
          </w:p>
        </w:tc>
        <w:tc>
          <w:tcPr>
            <w:tcW w:w="4597" w:type="dxa"/>
            <w:vMerge w:val="restart"/>
            <w:shd w:val="clear" w:color="000000" w:fill="FFFFFF"/>
            <w:noWrap/>
            <w:vAlign w:val="center"/>
            <w:hideMark/>
          </w:tcPr>
          <w:p w14:paraId="104AEBED"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Topic</w:t>
            </w:r>
          </w:p>
        </w:tc>
        <w:tc>
          <w:tcPr>
            <w:tcW w:w="4230" w:type="dxa"/>
            <w:gridSpan w:val="4"/>
            <w:shd w:val="clear" w:color="000000" w:fill="FFFFFF"/>
            <w:noWrap/>
            <w:vAlign w:val="bottom"/>
            <w:hideMark/>
          </w:tcPr>
          <w:p w14:paraId="25499993" w14:textId="42EE1C76"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Rate </w:t>
            </w:r>
            <w:r w:rsidR="002C29E1" w:rsidRPr="003B08EC">
              <w:rPr>
                <w:rFonts w:ascii="Times New Roman" w:eastAsia="Times New Roman" w:hAnsi="Times New Roman" w:cs="Times New Roman"/>
                <w:color w:val="000000"/>
                <w:kern w:val="0"/>
                <w:lang w:eastAsia="en-GB"/>
                <w14:ligatures w14:val="none"/>
              </w:rPr>
              <w:t>of performance</w:t>
            </w:r>
            <w:r w:rsidRPr="003B08EC">
              <w:rPr>
                <w:rFonts w:ascii="Times New Roman" w:eastAsia="Times New Roman" w:hAnsi="Times New Roman" w:cs="Times New Roman"/>
                <w:color w:val="000000"/>
                <w:kern w:val="0"/>
                <w:lang w:eastAsia="en-GB"/>
                <w14:ligatures w14:val="none"/>
              </w:rPr>
              <w:t xml:space="preserve"> per year (%)</w:t>
            </w:r>
          </w:p>
        </w:tc>
      </w:tr>
      <w:tr w:rsidR="001904EC" w:rsidRPr="003B08EC" w14:paraId="6CFD66C9" w14:textId="77777777" w:rsidTr="00E16EBA">
        <w:trPr>
          <w:trHeight w:val="288"/>
        </w:trPr>
        <w:tc>
          <w:tcPr>
            <w:tcW w:w="559" w:type="dxa"/>
            <w:vMerge/>
            <w:tcBorders>
              <w:bottom w:val="single" w:sz="4" w:space="0" w:color="auto"/>
            </w:tcBorders>
            <w:vAlign w:val="center"/>
            <w:hideMark/>
          </w:tcPr>
          <w:p w14:paraId="6273D8EB" w14:textId="77777777" w:rsidR="001904EC" w:rsidRPr="003B08EC" w:rsidRDefault="001904EC" w:rsidP="00C775A7">
            <w:pPr>
              <w:spacing w:after="0" w:line="240" w:lineRule="auto"/>
              <w:jc w:val="both"/>
              <w:rPr>
                <w:rFonts w:ascii="Times New Roman" w:eastAsia="Times New Roman" w:hAnsi="Times New Roman" w:cs="Times New Roman"/>
                <w:b/>
                <w:bCs/>
                <w:color w:val="000000"/>
                <w:kern w:val="0"/>
                <w:lang w:eastAsia="en-GB"/>
                <w14:ligatures w14:val="none"/>
              </w:rPr>
            </w:pPr>
          </w:p>
        </w:tc>
        <w:tc>
          <w:tcPr>
            <w:tcW w:w="4597" w:type="dxa"/>
            <w:vMerge/>
            <w:tcBorders>
              <w:bottom w:val="single" w:sz="4" w:space="0" w:color="auto"/>
            </w:tcBorders>
            <w:vAlign w:val="center"/>
            <w:hideMark/>
          </w:tcPr>
          <w:p w14:paraId="11558C96" w14:textId="77777777" w:rsidR="001904EC" w:rsidRPr="003B08EC" w:rsidRDefault="001904EC" w:rsidP="00C775A7">
            <w:pPr>
              <w:spacing w:after="0" w:line="240" w:lineRule="auto"/>
              <w:jc w:val="both"/>
              <w:rPr>
                <w:rFonts w:ascii="Times New Roman" w:eastAsia="Times New Roman" w:hAnsi="Times New Roman" w:cs="Times New Roman"/>
                <w:b/>
                <w:bCs/>
                <w:color w:val="000000"/>
                <w:kern w:val="0"/>
                <w:lang w:eastAsia="en-GB"/>
                <w14:ligatures w14:val="none"/>
              </w:rPr>
            </w:pPr>
          </w:p>
        </w:tc>
        <w:tc>
          <w:tcPr>
            <w:tcW w:w="1080" w:type="dxa"/>
            <w:tcBorders>
              <w:bottom w:val="single" w:sz="4" w:space="0" w:color="auto"/>
            </w:tcBorders>
            <w:shd w:val="clear" w:color="000000" w:fill="FFFFFF"/>
            <w:noWrap/>
            <w:vAlign w:val="bottom"/>
            <w:hideMark/>
          </w:tcPr>
          <w:p w14:paraId="19FF087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2022</w:t>
            </w:r>
          </w:p>
        </w:tc>
        <w:tc>
          <w:tcPr>
            <w:tcW w:w="990" w:type="dxa"/>
            <w:tcBorders>
              <w:bottom w:val="single" w:sz="4" w:space="0" w:color="auto"/>
            </w:tcBorders>
            <w:shd w:val="clear" w:color="000000" w:fill="FFFFFF"/>
            <w:noWrap/>
            <w:vAlign w:val="bottom"/>
            <w:hideMark/>
          </w:tcPr>
          <w:p w14:paraId="67F4C35A"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2023</w:t>
            </w:r>
          </w:p>
        </w:tc>
        <w:tc>
          <w:tcPr>
            <w:tcW w:w="1080" w:type="dxa"/>
            <w:tcBorders>
              <w:bottom w:val="single" w:sz="4" w:space="0" w:color="auto"/>
            </w:tcBorders>
            <w:shd w:val="clear" w:color="000000" w:fill="FFFFFF"/>
            <w:noWrap/>
            <w:vAlign w:val="bottom"/>
            <w:hideMark/>
          </w:tcPr>
          <w:p w14:paraId="33F732C8"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2024</w:t>
            </w:r>
          </w:p>
        </w:tc>
        <w:tc>
          <w:tcPr>
            <w:tcW w:w="1080" w:type="dxa"/>
            <w:tcBorders>
              <w:bottom w:val="single" w:sz="4" w:space="0" w:color="auto"/>
            </w:tcBorders>
            <w:shd w:val="clear" w:color="000000" w:fill="FFFFFF"/>
            <w:noWrap/>
            <w:vAlign w:val="bottom"/>
            <w:hideMark/>
          </w:tcPr>
          <w:p w14:paraId="2D63E964"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Mean</w:t>
            </w:r>
          </w:p>
        </w:tc>
      </w:tr>
      <w:tr w:rsidR="001904EC" w:rsidRPr="003B08EC" w14:paraId="4C6257A9" w14:textId="77777777" w:rsidTr="00E16EBA">
        <w:trPr>
          <w:trHeight w:val="288"/>
        </w:trPr>
        <w:tc>
          <w:tcPr>
            <w:tcW w:w="559" w:type="dxa"/>
            <w:tcBorders>
              <w:top w:val="single" w:sz="4" w:space="0" w:color="auto"/>
            </w:tcBorders>
            <w:shd w:val="clear" w:color="000000" w:fill="FFFFFF"/>
            <w:noWrap/>
            <w:vAlign w:val="bottom"/>
            <w:hideMark/>
          </w:tcPr>
          <w:p w14:paraId="505D1578"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w:t>
            </w:r>
          </w:p>
        </w:tc>
        <w:tc>
          <w:tcPr>
            <w:tcW w:w="4597" w:type="dxa"/>
            <w:tcBorders>
              <w:top w:val="single" w:sz="4" w:space="0" w:color="auto"/>
            </w:tcBorders>
            <w:shd w:val="clear" w:color="000000" w:fill="FFFFFF"/>
            <w:noWrap/>
            <w:vAlign w:val="bottom"/>
            <w:hideMark/>
          </w:tcPr>
          <w:p w14:paraId="1E0D7E87"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Public finance</w:t>
            </w:r>
          </w:p>
        </w:tc>
        <w:tc>
          <w:tcPr>
            <w:tcW w:w="1080" w:type="dxa"/>
            <w:tcBorders>
              <w:top w:val="single" w:sz="4" w:space="0" w:color="auto"/>
            </w:tcBorders>
            <w:shd w:val="clear" w:color="000000" w:fill="FFFFFF"/>
            <w:noWrap/>
            <w:vAlign w:val="bottom"/>
            <w:hideMark/>
          </w:tcPr>
          <w:p w14:paraId="06BBC408"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44.2</w:t>
            </w:r>
          </w:p>
        </w:tc>
        <w:tc>
          <w:tcPr>
            <w:tcW w:w="990" w:type="dxa"/>
            <w:tcBorders>
              <w:top w:val="single" w:sz="4" w:space="0" w:color="auto"/>
            </w:tcBorders>
            <w:shd w:val="clear" w:color="000000" w:fill="FFFFFF"/>
            <w:noWrap/>
            <w:vAlign w:val="bottom"/>
            <w:hideMark/>
          </w:tcPr>
          <w:p w14:paraId="6C5C2937"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81.4</w:t>
            </w:r>
          </w:p>
        </w:tc>
        <w:tc>
          <w:tcPr>
            <w:tcW w:w="1080" w:type="dxa"/>
            <w:tcBorders>
              <w:top w:val="single" w:sz="4" w:space="0" w:color="auto"/>
            </w:tcBorders>
            <w:shd w:val="clear" w:color="000000" w:fill="FFFFFF"/>
            <w:noWrap/>
            <w:vAlign w:val="bottom"/>
            <w:hideMark/>
          </w:tcPr>
          <w:p w14:paraId="26A619AB"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38</w:t>
            </w:r>
          </w:p>
        </w:tc>
        <w:tc>
          <w:tcPr>
            <w:tcW w:w="1080" w:type="dxa"/>
            <w:tcBorders>
              <w:top w:val="single" w:sz="4" w:space="0" w:color="auto"/>
            </w:tcBorders>
            <w:shd w:val="clear" w:color="000000" w:fill="FFFFFF"/>
            <w:noWrap/>
            <w:vAlign w:val="bottom"/>
            <w:hideMark/>
          </w:tcPr>
          <w:p w14:paraId="4D33842C"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54.54</w:t>
            </w:r>
          </w:p>
        </w:tc>
      </w:tr>
      <w:tr w:rsidR="001904EC" w:rsidRPr="003B08EC" w14:paraId="455BFA3F" w14:textId="77777777" w:rsidTr="00E16EBA">
        <w:trPr>
          <w:trHeight w:val="288"/>
        </w:trPr>
        <w:tc>
          <w:tcPr>
            <w:tcW w:w="559" w:type="dxa"/>
            <w:tcBorders>
              <w:top w:val="nil"/>
            </w:tcBorders>
            <w:shd w:val="clear" w:color="000000" w:fill="FFFFFF"/>
            <w:noWrap/>
            <w:vAlign w:val="bottom"/>
            <w:hideMark/>
          </w:tcPr>
          <w:p w14:paraId="73C9D9C4"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w:t>
            </w:r>
          </w:p>
        </w:tc>
        <w:tc>
          <w:tcPr>
            <w:tcW w:w="4597" w:type="dxa"/>
            <w:tcBorders>
              <w:top w:val="nil"/>
            </w:tcBorders>
            <w:shd w:val="clear" w:color="000000" w:fill="FFFFFF"/>
            <w:noWrap/>
            <w:vAlign w:val="bottom"/>
            <w:hideMark/>
          </w:tcPr>
          <w:p w14:paraId="21B41935"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Theory of money</w:t>
            </w:r>
          </w:p>
        </w:tc>
        <w:tc>
          <w:tcPr>
            <w:tcW w:w="1080" w:type="dxa"/>
            <w:tcBorders>
              <w:top w:val="nil"/>
            </w:tcBorders>
            <w:shd w:val="clear" w:color="000000" w:fill="FFFFFF"/>
            <w:noWrap/>
            <w:vAlign w:val="bottom"/>
            <w:hideMark/>
          </w:tcPr>
          <w:p w14:paraId="1537DA67"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84.1</w:t>
            </w:r>
          </w:p>
        </w:tc>
        <w:tc>
          <w:tcPr>
            <w:tcW w:w="990" w:type="dxa"/>
            <w:tcBorders>
              <w:top w:val="nil"/>
            </w:tcBorders>
            <w:shd w:val="clear" w:color="000000" w:fill="FFFFFF"/>
            <w:noWrap/>
            <w:vAlign w:val="bottom"/>
            <w:hideMark/>
          </w:tcPr>
          <w:p w14:paraId="1AC2543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98</w:t>
            </w:r>
          </w:p>
        </w:tc>
        <w:tc>
          <w:tcPr>
            <w:tcW w:w="1080" w:type="dxa"/>
            <w:tcBorders>
              <w:top w:val="nil"/>
            </w:tcBorders>
            <w:shd w:val="clear" w:color="000000" w:fill="FFFFFF"/>
            <w:noWrap/>
            <w:vAlign w:val="bottom"/>
            <w:hideMark/>
          </w:tcPr>
          <w:p w14:paraId="2C25C807"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94.8</w:t>
            </w:r>
          </w:p>
        </w:tc>
        <w:tc>
          <w:tcPr>
            <w:tcW w:w="1080" w:type="dxa"/>
            <w:tcBorders>
              <w:top w:val="nil"/>
            </w:tcBorders>
            <w:shd w:val="clear" w:color="000000" w:fill="FFFFFF"/>
            <w:noWrap/>
            <w:vAlign w:val="bottom"/>
            <w:hideMark/>
          </w:tcPr>
          <w:p w14:paraId="40778CA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92.29</w:t>
            </w:r>
          </w:p>
        </w:tc>
      </w:tr>
      <w:tr w:rsidR="001904EC" w:rsidRPr="003B08EC" w14:paraId="0DB83FBC" w14:textId="77777777" w:rsidTr="00E16EBA">
        <w:trPr>
          <w:trHeight w:val="288"/>
        </w:trPr>
        <w:tc>
          <w:tcPr>
            <w:tcW w:w="559" w:type="dxa"/>
            <w:tcBorders>
              <w:top w:val="nil"/>
            </w:tcBorders>
            <w:shd w:val="clear" w:color="000000" w:fill="FFFFFF"/>
            <w:noWrap/>
            <w:vAlign w:val="bottom"/>
            <w:hideMark/>
          </w:tcPr>
          <w:p w14:paraId="749C2E55"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w:t>
            </w:r>
          </w:p>
        </w:tc>
        <w:tc>
          <w:tcPr>
            <w:tcW w:w="4597" w:type="dxa"/>
            <w:tcBorders>
              <w:top w:val="nil"/>
            </w:tcBorders>
            <w:shd w:val="clear" w:color="000000" w:fill="FFFFFF"/>
            <w:noWrap/>
            <w:vAlign w:val="bottom"/>
            <w:hideMark/>
          </w:tcPr>
          <w:p w14:paraId="26AA5EDA"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National income</w:t>
            </w:r>
          </w:p>
        </w:tc>
        <w:tc>
          <w:tcPr>
            <w:tcW w:w="1080" w:type="dxa"/>
            <w:tcBorders>
              <w:top w:val="nil"/>
            </w:tcBorders>
            <w:shd w:val="clear" w:color="000000" w:fill="FFFFFF"/>
            <w:noWrap/>
            <w:vAlign w:val="bottom"/>
            <w:hideMark/>
          </w:tcPr>
          <w:p w14:paraId="7105A14A"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88.1</w:t>
            </w:r>
          </w:p>
        </w:tc>
        <w:tc>
          <w:tcPr>
            <w:tcW w:w="990" w:type="dxa"/>
            <w:tcBorders>
              <w:top w:val="nil"/>
            </w:tcBorders>
            <w:shd w:val="clear" w:color="000000" w:fill="FFFFFF"/>
            <w:noWrap/>
            <w:vAlign w:val="bottom"/>
            <w:hideMark/>
          </w:tcPr>
          <w:p w14:paraId="00099AC2"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91.8</w:t>
            </w:r>
          </w:p>
        </w:tc>
        <w:tc>
          <w:tcPr>
            <w:tcW w:w="1080" w:type="dxa"/>
            <w:tcBorders>
              <w:top w:val="nil"/>
            </w:tcBorders>
            <w:shd w:val="clear" w:color="000000" w:fill="FFFFFF"/>
            <w:noWrap/>
            <w:vAlign w:val="bottom"/>
            <w:hideMark/>
          </w:tcPr>
          <w:p w14:paraId="0B82B628"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74.9</w:t>
            </w:r>
          </w:p>
        </w:tc>
        <w:tc>
          <w:tcPr>
            <w:tcW w:w="1080" w:type="dxa"/>
            <w:tcBorders>
              <w:top w:val="nil"/>
            </w:tcBorders>
            <w:shd w:val="clear" w:color="000000" w:fill="FFFFFF"/>
            <w:noWrap/>
            <w:vAlign w:val="bottom"/>
            <w:hideMark/>
          </w:tcPr>
          <w:p w14:paraId="3092E06B"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84.92</w:t>
            </w:r>
          </w:p>
        </w:tc>
      </w:tr>
      <w:tr w:rsidR="001904EC" w:rsidRPr="003B08EC" w14:paraId="712F869A" w14:textId="77777777" w:rsidTr="00E16EBA">
        <w:trPr>
          <w:trHeight w:val="288"/>
        </w:trPr>
        <w:tc>
          <w:tcPr>
            <w:tcW w:w="559" w:type="dxa"/>
            <w:tcBorders>
              <w:top w:val="nil"/>
            </w:tcBorders>
            <w:shd w:val="clear" w:color="000000" w:fill="FFFFFF"/>
            <w:noWrap/>
            <w:vAlign w:val="bottom"/>
            <w:hideMark/>
          </w:tcPr>
          <w:p w14:paraId="7071CEE9"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w:t>
            </w:r>
          </w:p>
        </w:tc>
        <w:tc>
          <w:tcPr>
            <w:tcW w:w="4597" w:type="dxa"/>
            <w:tcBorders>
              <w:top w:val="nil"/>
            </w:tcBorders>
            <w:shd w:val="clear" w:color="000000" w:fill="FFFFFF"/>
            <w:noWrap/>
            <w:vAlign w:val="bottom"/>
            <w:hideMark/>
          </w:tcPr>
          <w:p w14:paraId="591BA2A6"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Production</w:t>
            </w:r>
          </w:p>
        </w:tc>
        <w:tc>
          <w:tcPr>
            <w:tcW w:w="1080" w:type="dxa"/>
            <w:tcBorders>
              <w:top w:val="nil"/>
            </w:tcBorders>
            <w:shd w:val="clear" w:color="000000" w:fill="FFFFFF"/>
            <w:noWrap/>
            <w:vAlign w:val="bottom"/>
            <w:hideMark/>
          </w:tcPr>
          <w:p w14:paraId="143BAAA0"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54.7</w:t>
            </w:r>
          </w:p>
        </w:tc>
        <w:tc>
          <w:tcPr>
            <w:tcW w:w="990" w:type="dxa"/>
            <w:tcBorders>
              <w:top w:val="nil"/>
            </w:tcBorders>
            <w:shd w:val="clear" w:color="000000" w:fill="FFFFFF"/>
            <w:noWrap/>
            <w:vAlign w:val="bottom"/>
            <w:hideMark/>
          </w:tcPr>
          <w:p w14:paraId="500D7A51"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93</w:t>
            </w:r>
          </w:p>
        </w:tc>
        <w:tc>
          <w:tcPr>
            <w:tcW w:w="1080" w:type="dxa"/>
            <w:tcBorders>
              <w:top w:val="nil"/>
            </w:tcBorders>
            <w:shd w:val="clear" w:color="000000" w:fill="FFFFFF"/>
            <w:noWrap/>
            <w:vAlign w:val="bottom"/>
            <w:hideMark/>
          </w:tcPr>
          <w:p w14:paraId="301A4620"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3.4</w:t>
            </w:r>
          </w:p>
        </w:tc>
        <w:tc>
          <w:tcPr>
            <w:tcW w:w="1080" w:type="dxa"/>
            <w:tcBorders>
              <w:top w:val="nil"/>
            </w:tcBorders>
            <w:shd w:val="clear" w:color="000000" w:fill="FFFFFF"/>
            <w:noWrap/>
            <w:vAlign w:val="bottom"/>
            <w:hideMark/>
          </w:tcPr>
          <w:p w14:paraId="7B010526"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50.38</w:t>
            </w:r>
          </w:p>
        </w:tc>
      </w:tr>
      <w:tr w:rsidR="001904EC" w:rsidRPr="003B08EC" w14:paraId="75AEF9F0" w14:textId="77777777" w:rsidTr="00E16EBA">
        <w:trPr>
          <w:trHeight w:val="288"/>
        </w:trPr>
        <w:tc>
          <w:tcPr>
            <w:tcW w:w="559" w:type="dxa"/>
            <w:tcBorders>
              <w:top w:val="nil"/>
            </w:tcBorders>
            <w:shd w:val="clear" w:color="000000" w:fill="FFFFFF"/>
            <w:noWrap/>
            <w:vAlign w:val="bottom"/>
            <w:hideMark/>
          </w:tcPr>
          <w:p w14:paraId="474BAF44"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w:t>
            </w:r>
          </w:p>
        </w:tc>
        <w:tc>
          <w:tcPr>
            <w:tcW w:w="4597" w:type="dxa"/>
            <w:tcBorders>
              <w:top w:val="nil"/>
            </w:tcBorders>
            <w:shd w:val="clear" w:color="000000" w:fill="FFFFFF"/>
            <w:noWrap/>
            <w:vAlign w:val="bottom"/>
            <w:hideMark/>
          </w:tcPr>
          <w:p w14:paraId="3D8F9E24"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Subject matter of Economics</w:t>
            </w:r>
          </w:p>
        </w:tc>
        <w:tc>
          <w:tcPr>
            <w:tcW w:w="1080" w:type="dxa"/>
            <w:tcBorders>
              <w:top w:val="nil"/>
            </w:tcBorders>
            <w:shd w:val="clear" w:color="000000" w:fill="FFFFFF"/>
            <w:noWrap/>
            <w:vAlign w:val="bottom"/>
            <w:hideMark/>
          </w:tcPr>
          <w:p w14:paraId="49B2AE22"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79.4</w:t>
            </w:r>
          </w:p>
        </w:tc>
        <w:tc>
          <w:tcPr>
            <w:tcW w:w="990" w:type="dxa"/>
            <w:tcBorders>
              <w:top w:val="nil"/>
            </w:tcBorders>
            <w:shd w:val="clear" w:color="000000" w:fill="FFFFFF"/>
            <w:noWrap/>
            <w:vAlign w:val="bottom"/>
            <w:hideMark/>
          </w:tcPr>
          <w:p w14:paraId="66CF2D22"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82.3</w:t>
            </w:r>
          </w:p>
        </w:tc>
        <w:tc>
          <w:tcPr>
            <w:tcW w:w="1080" w:type="dxa"/>
            <w:tcBorders>
              <w:top w:val="nil"/>
            </w:tcBorders>
            <w:shd w:val="clear" w:color="000000" w:fill="FFFFFF"/>
            <w:noWrap/>
            <w:vAlign w:val="bottom"/>
            <w:hideMark/>
          </w:tcPr>
          <w:p w14:paraId="350368F0"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91.5</w:t>
            </w:r>
          </w:p>
        </w:tc>
        <w:tc>
          <w:tcPr>
            <w:tcW w:w="1080" w:type="dxa"/>
            <w:tcBorders>
              <w:top w:val="nil"/>
            </w:tcBorders>
            <w:shd w:val="clear" w:color="000000" w:fill="FFFFFF"/>
            <w:noWrap/>
            <w:vAlign w:val="bottom"/>
            <w:hideMark/>
          </w:tcPr>
          <w:p w14:paraId="5EDD9521"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84.41</w:t>
            </w:r>
          </w:p>
        </w:tc>
      </w:tr>
      <w:tr w:rsidR="001904EC" w:rsidRPr="003B08EC" w14:paraId="72823EFC" w14:textId="77777777" w:rsidTr="00E16EBA">
        <w:trPr>
          <w:trHeight w:val="288"/>
        </w:trPr>
        <w:tc>
          <w:tcPr>
            <w:tcW w:w="559" w:type="dxa"/>
            <w:tcBorders>
              <w:top w:val="nil"/>
            </w:tcBorders>
            <w:shd w:val="clear" w:color="000000" w:fill="FFFFFF"/>
            <w:noWrap/>
            <w:vAlign w:val="bottom"/>
            <w:hideMark/>
          </w:tcPr>
          <w:p w14:paraId="54B75C0E"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w:t>
            </w:r>
          </w:p>
        </w:tc>
        <w:tc>
          <w:tcPr>
            <w:tcW w:w="4597" w:type="dxa"/>
            <w:tcBorders>
              <w:top w:val="nil"/>
            </w:tcBorders>
            <w:shd w:val="clear" w:color="000000" w:fill="FFFFFF"/>
            <w:noWrap/>
            <w:vAlign w:val="bottom"/>
            <w:hideMark/>
          </w:tcPr>
          <w:p w14:paraId="19536645"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Economic growth and development</w:t>
            </w:r>
          </w:p>
        </w:tc>
        <w:tc>
          <w:tcPr>
            <w:tcW w:w="1080" w:type="dxa"/>
            <w:tcBorders>
              <w:top w:val="nil"/>
            </w:tcBorders>
            <w:shd w:val="clear" w:color="000000" w:fill="FFFFFF"/>
            <w:noWrap/>
            <w:vAlign w:val="bottom"/>
            <w:hideMark/>
          </w:tcPr>
          <w:p w14:paraId="2F872F1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68.8</w:t>
            </w:r>
          </w:p>
        </w:tc>
        <w:tc>
          <w:tcPr>
            <w:tcW w:w="990" w:type="dxa"/>
            <w:tcBorders>
              <w:top w:val="nil"/>
            </w:tcBorders>
            <w:shd w:val="clear" w:color="000000" w:fill="FFFFFF"/>
            <w:noWrap/>
            <w:vAlign w:val="bottom"/>
            <w:hideMark/>
          </w:tcPr>
          <w:p w14:paraId="7026973D"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95.7</w:t>
            </w:r>
          </w:p>
        </w:tc>
        <w:tc>
          <w:tcPr>
            <w:tcW w:w="1080" w:type="dxa"/>
            <w:tcBorders>
              <w:top w:val="nil"/>
            </w:tcBorders>
            <w:shd w:val="clear" w:color="000000" w:fill="FFFFFF"/>
            <w:noWrap/>
            <w:vAlign w:val="bottom"/>
            <w:hideMark/>
          </w:tcPr>
          <w:p w14:paraId="1384F21A"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97.8</w:t>
            </w:r>
          </w:p>
        </w:tc>
        <w:tc>
          <w:tcPr>
            <w:tcW w:w="1080" w:type="dxa"/>
            <w:tcBorders>
              <w:top w:val="nil"/>
            </w:tcBorders>
            <w:shd w:val="clear" w:color="000000" w:fill="FFFFFF"/>
            <w:noWrap/>
            <w:vAlign w:val="bottom"/>
            <w:hideMark/>
          </w:tcPr>
          <w:p w14:paraId="6E489B7F"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87.43</w:t>
            </w:r>
          </w:p>
        </w:tc>
      </w:tr>
      <w:tr w:rsidR="001904EC" w:rsidRPr="003B08EC" w14:paraId="05BE6BC1" w14:textId="77777777" w:rsidTr="00E16EBA">
        <w:trPr>
          <w:trHeight w:val="288"/>
        </w:trPr>
        <w:tc>
          <w:tcPr>
            <w:tcW w:w="559" w:type="dxa"/>
            <w:tcBorders>
              <w:top w:val="nil"/>
            </w:tcBorders>
            <w:shd w:val="clear" w:color="000000" w:fill="FFFFFF"/>
            <w:noWrap/>
            <w:vAlign w:val="bottom"/>
            <w:hideMark/>
          </w:tcPr>
          <w:p w14:paraId="09B74076"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w:t>
            </w:r>
          </w:p>
        </w:tc>
        <w:tc>
          <w:tcPr>
            <w:tcW w:w="4597" w:type="dxa"/>
            <w:tcBorders>
              <w:top w:val="nil"/>
            </w:tcBorders>
            <w:shd w:val="clear" w:color="000000" w:fill="FFFFFF"/>
            <w:noWrap/>
            <w:vAlign w:val="bottom"/>
            <w:hideMark/>
          </w:tcPr>
          <w:p w14:paraId="5630AC88"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 structure of Tanzanian economy</w:t>
            </w:r>
          </w:p>
        </w:tc>
        <w:tc>
          <w:tcPr>
            <w:tcW w:w="1080" w:type="dxa"/>
            <w:tcBorders>
              <w:top w:val="nil"/>
            </w:tcBorders>
            <w:shd w:val="clear" w:color="000000" w:fill="FFFFFF"/>
            <w:noWrap/>
            <w:vAlign w:val="bottom"/>
            <w:hideMark/>
          </w:tcPr>
          <w:p w14:paraId="2457CA0E"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99.9</w:t>
            </w:r>
          </w:p>
        </w:tc>
        <w:tc>
          <w:tcPr>
            <w:tcW w:w="990" w:type="dxa"/>
            <w:tcBorders>
              <w:top w:val="nil"/>
            </w:tcBorders>
            <w:shd w:val="clear" w:color="000000" w:fill="FFFFFF"/>
            <w:noWrap/>
            <w:vAlign w:val="bottom"/>
            <w:hideMark/>
          </w:tcPr>
          <w:p w14:paraId="56EF3D1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99.9</w:t>
            </w:r>
          </w:p>
        </w:tc>
        <w:tc>
          <w:tcPr>
            <w:tcW w:w="1080" w:type="dxa"/>
            <w:tcBorders>
              <w:top w:val="nil"/>
            </w:tcBorders>
            <w:shd w:val="clear" w:color="000000" w:fill="FFFFFF"/>
            <w:noWrap/>
            <w:vAlign w:val="bottom"/>
            <w:hideMark/>
          </w:tcPr>
          <w:p w14:paraId="3307C2E5"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100</w:t>
            </w:r>
          </w:p>
        </w:tc>
        <w:tc>
          <w:tcPr>
            <w:tcW w:w="1080" w:type="dxa"/>
            <w:tcBorders>
              <w:top w:val="nil"/>
            </w:tcBorders>
            <w:shd w:val="clear" w:color="000000" w:fill="FFFFFF"/>
            <w:noWrap/>
            <w:vAlign w:val="bottom"/>
            <w:hideMark/>
          </w:tcPr>
          <w:p w14:paraId="4BCCAAB9"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99.92</w:t>
            </w:r>
          </w:p>
        </w:tc>
      </w:tr>
      <w:tr w:rsidR="001904EC" w:rsidRPr="003B08EC" w14:paraId="58598717" w14:textId="77777777" w:rsidTr="00E16EBA">
        <w:trPr>
          <w:trHeight w:val="288"/>
        </w:trPr>
        <w:tc>
          <w:tcPr>
            <w:tcW w:w="559" w:type="dxa"/>
            <w:tcBorders>
              <w:top w:val="nil"/>
            </w:tcBorders>
            <w:shd w:val="clear" w:color="000000" w:fill="FFFFFF"/>
            <w:noWrap/>
            <w:vAlign w:val="bottom"/>
            <w:hideMark/>
          </w:tcPr>
          <w:p w14:paraId="753877D8"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w:t>
            </w:r>
          </w:p>
        </w:tc>
        <w:tc>
          <w:tcPr>
            <w:tcW w:w="4597" w:type="dxa"/>
            <w:tcBorders>
              <w:top w:val="nil"/>
            </w:tcBorders>
            <w:shd w:val="clear" w:color="000000" w:fill="FFFFFF"/>
            <w:noWrap/>
            <w:vAlign w:val="bottom"/>
            <w:hideMark/>
          </w:tcPr>
          <w:p w14:paraId="125A842B"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International trade</w:t>
            </w:r>
          </w:p>
        </w:tc>
        <w:tc>
          <w:tcPr>
            <w:tcW w:w="1080" w:type="dxa"/>
            <w:tcBorders>
              <w:top w:val="nil"/>
            </w:tcBorders>
            <w:shd w:val="clear" w:color="000000" w:fill="FFFFFF"/>
            <w:noWrap/>
            <w:vAlign w:val="bottom"/>
            <w:hideMark/>
          </w:tcPr>
          <w:p w14:paraId="358D3246"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78.4</w:t>
            </w:r>
          </w:p>
        </w:tc>
        <w:tc>
          <w:tcPr>
            <w:tcW w:w="990" w:type="dxa"/>
            <w:tcBorders>
              <w:top w:val="nil"/>
            </w:tcBorders>
            <w:shd w:val="clear" w:color="000000" w:fill="FFFFFF"/>
            <w:noWrap/>
            <w:vAlign w:val="bottom"/>
            <w:hideMark/>
          </w:tcPr>
          <w:p w14:paraId="04CE7A4E"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82.5</w:t>
            </w:r>
          </w:p>
        </w:tc>
        <w:tc>
          <w:tcPr>
            <w:tcW w:w="1080" w:type="dxa"/>
            <w:tcBorders>
              <w:top w:val="nil"/>
            </w:tcBorders>
            <w:shd w:val="clear" w:color="000000" w:fill="FFFFFF"/>
            <w:noWrap/>
            <w:vAlign w:val="bottom"/>
            <w:hideMark/>
          </w:tcPr>
          <w:p w14:paraId="0036B1C5"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77.5</w:t>
            </w:r>
          </w:p>
        </w:tc>
        <w:tc>
          <w:tcPr>
            <w:tcW w:w="1080" w:type="dxa"/>
            <w:tcBorders>
              <w:top w:val="nil"/>
            </w:tcBorders>
            <w:shd w:val="clear" w:color="000000" w:fill="FFFFFF"/>
            <w:noWrap/>
            <w:vAlign w:val="bottom"/>
            <w:hideMark/>
          </w:tcPr>
          <w:p w14:paraId="4D4E8538"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79.47</w:t>
            </w:r>
          </w:p>
        </w:tc>
      </w:tr>
      <w:tr w:rsidR="001904EC" w:rsidRPr="003B08EC" w14:paraId="068C6E98" w14:textId="77777777" w:rsidTr="00E16EBA">
        <w:trPr>
          <w:trHeight w:val="288"/>
        </w:trPr>
        <w:tc>
          <w:tcPr>
            <w:tcW w:w="559" w:type="dxa"/>
            <w:tcBorders>
              <w:top w:val="nil"/>
            </w:tcBorders>
            <w:shd w:val="clear" w:color="000000" w:fill="FFFFFF"/>
            <w:noWrap/>
            <w:vAlign w:val="bottom"/>
            <w:hideMark/>
          </w:tcPr>
          <w:p w14:paraId="7DA06C19"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w:t>
            </w:r>
          </w:p>
        </w:tc>
        <w:tc>
          <w:tcPr>
            <w:tcW w:w="4597" w:type="dxa"/>
            <w:tcBorders>
              <w:top w:val="nil"/>
            </w:tcBorders>
            <w:shd w:val="clear" w:color="000000" w:fill="FFFFFF"/>
            <w:noWrap/>
            <w:vAlign w:val="bottom"/>
            <w:hideMark/>
          </w:tcPr>
          <w:p w14:paraId="0E5FE6C2"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Theory of demand and supply </w:t>
            </w:r>
          </w:p>
        </w:tc>
        <w:tc>
          <w:tcPr>
            <w:tcW w:w="1080" w:type="dxa"/>
            <w:tcBorders>
              <w:top w:val="nil"/>
            </w:tcBorders>
            <w:shd w:val="clear" w:color="000000" w:fill="FFFFFF"/>
            <w:noWrap/>
            <w:vAlign w:val="bottom"/>
            <w:hideMark/>
          </w:tcPr>
          <w:p w14:paraId="102454B4"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71.7</w:t>
            </w:r>
          </w:p>
        </w:tc>
        <w:tc>
          <w:tcPr>
            <w:tcW w:w="990" w:type="dxa"/>
            <w:tcBorders>
              <w:top w:val="nil"/>
            </w:tcBorders>
            <w:shd w:val="clear" w:color="000000" w:fill="FFFFFF"/>
            <w:noWrap/>
            <w:vAlign w:val="bottom"/>
            <w:hideMark/>
          </w:tcPr>
          <w:p w14:paraId="5CD24805"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88.9</w:t>
            </w:r>
          </w:p>
        </w:tc>
        <w:tc>
          <w:tcPr>
            <w:tcW w:w="1080" w:type="dxa"/>
            <w:tcBorders>
              <w:top w:val="nil"/>
            </w:tcBorders>
            <w:shd w:val="clear" w:color="000000" w:fill="FFFFFF"/>
            <w:noWrap/>
            <w:vAlign w:val="bottom"/>
            <w:hideMark/>
          </w:tcPr>
          <w:p w14:paraId="0A21BE5D"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66.6</w:t>
            </w:r>
          </w:p>
        </w:tc>
        <w:tc>
          <w:tcPr>
            <w:tcW w:w="1080" w:type="dxa"/>
            <w:tcBorders>
              <w:top w:val="nil"/>
            </w:tcBorders>
            <w:shd w:val="clear" w:color="000000" w:fill="FFFFFF"/>
            <w:noWrap/>
            <w:vAlign w:val="bottom"/>
            <w:hideMark/>
          </w:tcPr>
          <w:p w14:paraId="4B90A165"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75.75</w:t>
            </w:r>
          </w:p>
        </w:tc>
      </w:tr>
      <w:tr w:rsidR="001904EC" w:rsidRPr="003B08EC" w14:paraId="7A067EDC" w14:textId="77777777" w:rsidTr="00E16EBA">
        <w:trPr>
          <w:trHeight w:val="288"/>
        </w:trPr>
        <w:tc>
          <w:tcPr>
            <w:tcW w:w="559" w:type="dxa"/>
            <w:tcBorders>
              <w:top w:val="nil"/>
              <w:bottom w:val="single" w:sz="4" w:space="0" w:color="auto"/>
            </w:tcBorders>
            <w:shd w:val="clear" w:color="000000" w:fill="FFFFFF"/>
            <w:noWrap/>
            <w:vAlign w:val="bottom"/>
            <w:hideMark/>
          </w:tcPr>
          <w:p w14:paraId="547B7AF5"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10</w:t>
            </w:r>
          </w:p>
        </w:tc>
        <w:tc>
          <w:tcPr>
            <w:tcW w:w="4597" w:type="dxa"/>
            <w:tcBorders>
              <w:top w:val="nil"/>
              <w:bottom w:val="single" w:sz="4" w:space="0" w:color="auto"/>
            </w:tcBorders>
            <w:shd w:val="clear" w:color="000000" w:fill="FFFFFF"/>
            <w:noWrap/>
            <w:vAlign w:val="bottom"/>
            <w:hideMark/>
          </w:tcPr>
          <w:p w14:paraId="2028FC9F" w14:textId="77777777" w:rsidR="001904EC" w:rsidRPr="003B08EC" w:rsidRDefault="001904EC"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Financial institutions</w:t>
            </w:r>
          </w:p>
        </w:tc>
        <w:tc>
          <w:tcPr>
            <w:tcW w:w="1080" w:type="dxa"/>
            <w:tcBorders>
              <w:top w:val="nil"/>
              <w:bottom w:val="single" w:sz="4" w:space="0" w:color="auto"/>
            </w:tcBorders>
            <w:shd w:val="clear" w:color="000000" w:fill="FFFFFF"/>
            <w:noWrap/>
            <w:vAlign w:val="bottom"/>
            <w:hideMark/>
          </w:tcPr>
          <w:p w14:paraId="5F701DA7"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33.5</w:t>
            </w:r>
          </w:p>
        </w:tc>
        <w:tc>
          <w:tcPr>
            <w:tcW w:w="990" w:type="dxa"/>
            <w:tcBorders>
              <w:top w:val="nil"/>
              <w:bottom w:val="single" w:sz="4" w:space="0" w:color="auto"/>
            </w:tcBorders>
            <w:shd w:val="clear" w:color="000000" w:fill="FFFFFF"/>
            <w:noWrap/>
            <w:vAlign w:val="bottom"/>
            <w:hideMark/>
          </w:tcPr>
          <w:p w14:paraId="6B2E6ADA"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99.3</w:t>
            </w:r>
          </w:p>
        </w:tc>
        <w:tc>
          <w:tcPr>
            <w:tcW w:w="1080" w:type="dxa"/>
            <w:tcBorders>
              <w:top w:val="nil"/>
              <w:bottom w:val="single" w:sz="4" w:space="0" w:color="auto"/>
            </w:tcBorders>
            <w:shd w:val="clear" w:color="000000" w:fill="FFFFFF"/>
            <w:noWrap/>
            <w:vAlign w:val="bottom"/>
            <w:hideMark/>
          </w:tcPr>
          <w:p w14:paraId="6EC62F91"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96</w:t>
            </w:r>
          </w:p>
        </w:tc>
        <w:tc>
          <w:tcPr>
            <w:tcW w:w="1080" w:type="dxa"/>
            <w:tcBorders>
              <w:top w:val="nil"/>
              <w:bottom w:val="single" w:sz="4" w:space="0" w:color="auto"/>
            </w:tcBorders>
            <w:shd w:val="clear" w:color="000000" w:fill="FFFFFF"/>
            <w:noWrap/>
            <w:vAlign w:val="bottom"/>
            <w:hideMark/>
          </w:tcPr>
          <w:p w14:paraId="441BCFFA" w14:textId="77777777" w:rsidR="001904EC" w:rsidRPr="003B08EC" w:rsidRDefault="001904EC"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76.27</w:t>
            </w:r>
          </w:p>
        </w:tc>
      </w:tr>
    </w:tbl>
    <w:p w14:paraId="663DC457" w14:textId="77777777" w:rsidR="001904EC" w:rsidRPr="003B08EC" w:rsidRDefault="001904EC" w:rsidP="00C775A7">
      <w:pPr>
        <w:spacing w:after="0" w:line="240" w:lineRule="auto"/>
        <w:jc w:val="both"/>
        <w:rPr>
          <w:rFonts w:ascii="Times New Roman" w:hAnsi="Times New Roman" w:cs="Times New Roman"/>
        </w:rPr>
      </w:pPr>
      <w:r w:rsidRPr="003B08EC">
        <w:rPr>
          <w:rFonts w:ascii="Times New Roman" w:hAnsi="Times New Roman" w:cs="Times New Roman"/>
        </w:rPr>
        <w:t>Source: NECTA (2022 – 2024)</w:t>
      </w:r>
    </w:p>
    <w:p w14:paraId="4A17C4EE" w14:textId="77777777" w:rsidR="00C775A7" w:rsidRPr="00C775A7" w:rsidRDefault="00C775A7" w:rsidP="00C775A7">
      <w:pPr>
        <w:spacing w:after="0" w:line="240" w:lineRule="auto"/>
        <w:jc w:val="both"/>
        <w:rPr>
          <w:rFonts w:ascii="Times New Roman" w:hAnsi="Times New Roman" w:cs="Times New Roman"/>
          <w:b/>
          <w:bCs/>
        </w:rPr>
      </w:pPr>
    </w:p>
    <w:p w14:paraId="6AA238B6" w14:textId="4C0D5669" w:rsidR="001904EC" w:rsidRDefault="001904EC" w:rsidP="00C775A7">
      <w:pPr>
        <w:spacing w:after="0" w:line="240" w:lineRule="auto"/>
        <w:jc w:val="both"/>
        <w:rPr>
          <w:rFonts w:ascii="Times New Roman" w:hAnsi="Times New Roman" w:cs="Times New Roman"/>
          <w:sz w:val="24"/>
          <w:szCs w:val="24"/>
        </w:rPr>
      </w:pPr>
      <w:r w:rsidRPr="007062AE">
        <w:rPr>
          <w:rFonts w:ascii="Times New Roman" w:hAnsi="Times New Roman" w:cs="Times New Roman"/>
          <w:sz w:val="24"/>
          <w:szCs w:val="24"/>
        </w:rPr>
        <w:t>The data from 2022 to 2024 highlights both strengths and challenges in Economics performance, with certain topics showing significant improvement, while others experienced fluctuations. The introduction of the official Economics textbook likely played a pivotal role in enhancing the consistency and quality of instruction, leading to better overall performance. However, some topics still require further focus to ensure uniform understanding across all areas.</w:t>
      </w:r>
    </w:p>
    <w:p w14:paraId="23C7127C" w14:textId="77777777" w:rsidR="00C775A7" w:rsidRPr="00C775A7" w:rsidRDefault="00C775A7" w:rsidP="00C775A7">
      <w:pPr>
        <w:spacing w:after="0" w:line="240" w:lineRule="auto"/>
        <w:jc w:val="both"/>
        <w:rPr>
          <w:rFonts w:ascii="Times New Roman" w:hAnsi="Times New Roman" w:cs="Times New Roman"/>
        </w:rPr>
      </w:pPr>
    </w:p>
    <w:p w14:paraId="7CD5623A" w14:textId="77777777" w:rsidR="00246795" w:rsidRDefault="00C45FB2" w:rsidP="00246795">
      <w:pPr>
        <w:pStyle w:val="ListParagraph"/>
        <w:numPr>
          <w:ilvl w:val="1"/>
          <w:numId w:val="13"/>
        </w:numPr>
        <w:spacing w:after="0" w:line="240" w:lineRule="auto"/>
        <w:contextualSpacing w:val="0"/>
        <w:jc w:val="both"/>
        <w:rPr>
          <w:rFonts w:ascii="Times New Roman" w:hAnsi="Times New Roman" w:cs="Times New Roman"/>
          <w:b/>
          <w:bCs/>
          <w:sz w:val="24"/>
          <w:szCs w:val="24"/>
        </w:rPr>
      </w:pPr>
      <w:r w:rsidRPr="00246795">
        <w:rPr>
          <w:rFonts w:ascii="Times New Roman" w:hAnsi="Times New Roman" w:cs="Times New Roman"/>
          <w:b/>
          <w:bCs/>
          <w:sz w:val="24"/>
          <w:szCs w:val="24"/>
        </w:rPr>
        <w:t>Comparison of Economics topics</w:t>
      </w:r>
      <w:r w:rsidR="001D0B94" w:rsidRPr="00246795">
        <w:rPr>
          <w:rFonts w:ascii="Times New Roman" w:hAnsi="Times New Roman" w:cs="Times New Roman"/>
          <w:b/>
          <w:bCs/>
          <w:sz w:val="24"/>
          <w:szCs w:val="24"/>
        </w:rPr>
        <w:t>'</w:t>
      </w:r>
      <w:r w:rsidRPr="00246795">
        <w:rPr>
          <w:rFonts w:ascii="Times New Roman" w:hAnsi="Times New Roman" w:cs="Times New Roman"/>
          <w:b/>
          <w:bCs/>
          <w:sz w:val="24"/>
          <w:szCs w:val="24"/>
        </w:rPr>
        <w:t xml:space="preserve"> performance from 2019 to 2024</w:t>
      </w:r>
    </w:p>
    <w:p w14:paraId="262FFAB4" w14:textId="5A51F342" w:rsidR="001270CD" w:rsidRDefault="001D0B94" w:rsidP="00246795">
      <w:pPr>
        <w:spacing w:after="0" w:line="240" w:lineRule="auto"/>
        <w:jc w:val="both"/>
        <w:rPr>
          <w:rFonts w:ascii="Times New Roman" w:hAnsi="Times New Roman" w:cs="Times New Roman"/>
          <w:sz w:val="24"/>
          <w:szCs w:val="24"/>
        </w:rPr>
      </w:pPr>
      <w:r w:rsidRPr="00246795">
        <w:rPr>
          <w:rFonts w:ascii="Times New Roman" w:hAnsi="Times New Roman" w:cs="Times New Roman"/>
          <w:sz w:val="24"/>
          <w:szCs w:val="24"/>
        </w:rPr>
        <w:t xml:space="preserve">Based on the summarised data in Tables </w:t>
      </w:r>
      <w:r w:rsidR="007405F0" w:rsidRPr="00246795">
        <w:rPr>
          <w:rFonts w:ascii="Times New Roman" w:hAnsi="Times New Roman" w:cs="Times New Roman"/>
          <w:sz w:val="24"/>
          <w:szCs w:val="24"/>
        </w:rPr>
        <w:t>2</w:t>
      </w:r>
      <w:r w:rsidRPr="00246795">
        <w:rPr>
          <w:rFonts w:ascii="Times New Roman" w:hAnsi="Times New Roman" w:cs="Times New Roman"/>
          <w:sz w:val="24"/>
          <w:szCs w:val="24"/>
        </w:rPr>
        <w:t xml:space="preserve"> and </w:t>
      </w:r>
      <w:r w:rsidR="007405F0" w:rsidRPr="00246795">
        <w:rPr>
          <w:rFonts w:ascii="Times New Roman" w:hAnsi="Times New Roman" w:cs="Times New Roman"/>
          <w:sz w:val="24"/>
          <w:szCs w:val="24"/>
        </w:rPr>
        <w:t>3</w:t>
      </w:r>
      <w:r w:rsidRPr="00246795">
        <w:rPr>
          <w:rFonts w:ascii="Times New Roman" w:hAnsi="Times New Roman" w:cs="Times New Roman"/>
          <w:sz w:val="24"/>
          <w:szCs w:val="24"/>
        </w:rPr>
        <w:t>, the mean differences between the pre-textbook (2019–2021) and post-textbook (2022–2024) periods for each topic were computed</w:t>
      </w:r>
      <w:r w:rsidR="002E26F5" w:rsidRPr="00246795">
        <w:rPr>
          <w:rFonts w:ascii="Times New Roman" w:hAnsi="Times New Roman" w:cs="Times New Roman"/>
          <w:sz w:val="24"/>
          <w:szCs w:val="24"/>
        </w:rPr>
        <w:t xml:space="preserve"> and presented</w:t>
      </w:r>
      <w:r w:rsidRPr="00246795">
        <w:rPr>
          <w:rFonts w:ascii="Times New Roman" w:hAnsi="Times New Roman" w:cs="Times New Roman"/>
          <w:sz w:val="24"/>
          <w:szCs w:val="24"/>
        </w:rPr>
        <w:t xml:space="preserve"> </w:t>
      </w:r>
      <w:r w:rsidRPr="00246795">
        <w:rPr>
          <w:rFonts w:ascii="Times New Roman" w:hAnsi="Times New Roman" w:cs="Times New Roman"/>
          <w:sz w:val="24"/>
          <w:szCs w:val="24"/>
        </w:rPr>
        <w:lastRenderedPageBreak/>
        <w:t>in Table</w:t>
      </w:r>
      <w:r w:rsidR="004F668B" w:rsidRPr="00246795">
        <w:rPr>
          <w:rFonts w:ascii="Times New Roman" w:hAnsi="Times New Roman" w:cs="Times New Roman"/>
          <w:sz w:val="24"/>
          <w:szCs w:val="24"/>
        </w:rPr>
        <w:t xml:space="preserve"> </w:t>
      </w:r>
      <w:r w:rsidR="007405F0" w:rsidRPr="00246795">
        <w:rPr>
          <w:rFonts w:ascii="Times New Roman" w:hAnsi="Times New Roman" w:cs="Times New Roman"/>
          <w:sz w:val="24"/>
          <w:szCs w:val="24"/>
        </w:rPr>
        <w:t>4</w:t>
      </w:r>
      <w:r w:rsidRPr="00246795">
        <w:rPr>
          <w:rFonts w:ascii="Times New Roman" w:hAnsi="Times New Roman" w:cs="Times New Roman"/>
          <w:sz w:val="24"/>
          <w:szCs w:val="24"/>
        </w:rPr>
        <w:t xml:space="preserve">. Mean differences helped to determine whether the introduction of the </w:t>
      </w:r>
      <w:r w:rsidRPr="00246795">
        <w:rPr>
          <w:rStyle w:val="Strong"/>
          <w:rFonts w:ascii="Times New Roman" w:hAnsi="Times New Roman" w:cs="Times New Roman"/>
          <w:b w:val="0"/>
          <w:bCs w:val="0"/>
          <w:sz w:val="24"/>
          <w:szCs w:val="24"/>
        </w:rPr>
        <w:t>official Economics textbook in 2022</w:t>
      </w:r>
      <w:r w:rsidRPr="00246795">
        <w:rPr>
          <w:rFonts w:ascii="Times New Roman" w:hAnsi="Times New Roman" w:cs="Times New Roman"/>
          <w:sz w:val="24"/>
          <w:szCs w:val="24"/>
        </w:rPr>
        <w:t xml:space="preserve"> had a </w:t>
      </w:r>
      <w:r w:rsidRPr="00246795">
        <w:rPr>
          <w:rStyle w:val="Strong"/>
          <w:rFonts w:ascii="Times New Roman" w:hAnsi="Times New Roman" w:cs="Times New Roman"/>
          <w:b w:val="0"/>
          <w:bCs w:val="0"/>
          <w:sz w:val="24"/>
          <w:szCs w:val="24"/>
        </w:rPr>
        <w:t>statistically significant impact</w:t>
      </w:r>
      <w:r w:rsidRPr="00246795">
        <w:rPr>
          <w:rFonts w:ascii="Times New Roman" w:hAnsi="Times New Roman" w:cs="Times New Roman"/>
          <w:sz w:val="24"/>
          <w:szCs w:val="24"/>
        </w:rPr>
        <w:t xml:space="preserve"> on students' performance.</w:t>
      </w:r>
      <w:r w:rsidR="00246795" w:rsidRPr="00246795">
        <w:rPr>
          <w:rFonts w:ascii="Times New Roman" w:hAnsi="Times New Roman" w:cs="Times New Roman"/>
          <w:sz w:val="24"/>
          <w:szCs w:val="24"/>
        </w:rPr>
        <w:t xml:space="preserve"> Thus, a paired t-test was used to assess the mean differences across various Economics topics</w:t>
      </w:r>
      <w:r w:rsidR="00246795">
        <w:rPr>
          <w:rFonts w:ascii="Times New Roman" w:hAnsi="Times New Roman" w:cs="Times New Roman"/>
          <w:sz w:val="24"/>
          <w:szCs w:val="24"/>
        </w:rPr>
        <w:t>.</w:t>
      </w:r>
    </w:p>
    <w:p w14:paraId="1EC70806" w14:textId="26E6F539" w:rsidR="001D0B94" w:rsidRPr="003B08EC" w:rsidRDefault="001D0B94" w:rsidP="00C775A7">
      <w:pPr>
        <w:spacing w:before="240" w:after="0" w:line="240" w:lineRule="auto"/>
        <w:jc w:val="both"/>
        <w:rPr>
          <w:rFonts w:ascii="Times New Roman" w:hAnsi="Times New Roman" w:cs="Times New Roman"/>
        </w:rPr>
      </w:pPr>
      <w:r w:rsidRPr="003B08EC">
        <w:rPr>
          <w:rFonts w:ascii="Times New Roman" w:hAnsi="Times New Roman" w:cs="Times New Roman"/>
        </w:rPr>
        <w:t xml:space="preserve">Table </w:t>
      </w:r>
      <w:r w:rsidR="007405F0" w:rsidRPr="003B08EC">
        <w:rPr>
          <w:rFonts w:ascii="Times New Roman" w:hAnsi="Times New Roman" w:cs="Times New Roman"/>
        </w:rPr>
        <w:t>4</w:t>
      </w:r>
      <w:r w:rsidRPr="003B08EC">
        <w:rPr>
          <w:rFonts w:ascii="Times New Roman" w:hAnsi="Times New Roman" w:cs="Times New Roman"/>
        </w:rPr>
        <w:t>. Mean performance and mean differences</w:t>
      </w:r>
    </w:p>
    <w:tbl>
      <w:tblPr>
        <w:tblW w:w="8995" w:type="dxa"/>
        <w:tblBorders>
          <w:top w:val="single" w:sz="4" w:space="0" w:color="auto"/>
          <w:bottom w:val="single" w:sz="4" w:space="0" w:color="auto"/>
        </w:tblBorders>
        <w:tblLook w:val="04A0" w:firstRow="1" w:lastRow="0" w:firstColumn="1" w:lastColumn="0" w:noHBand="0" w:noVBand="1"/>
      </w:tblPr>
      <w:tblGrid>
        <w:gridCol w:w="559"/>
        <w:gridCol w:w="3632"/>
        <w:gridCol w:w="1474"/>
        <w:gridCol w:w="1440"/>
        <w:gridCol w:w="1890"/>
      </w:tblGrid>
      <w:tr w:rsidR="001D0B94" w:rsidRPr="003B08EC" w14:paraId="5B8B4C29" w14:textId="77777777" w:rsidTr="001D0B94">
        <w:trPr>
          <w:trHeight w:val="624"/>
        </w:trPr>
        <w:tc>
          <w:tcPr>
            <w:tcW w:w="559" w:type="dxa"/>
            <w:tcBorders>
              <w:bottom w:val="single" w:sz="4" w:space="0" w:color="auto"/>
            </w:tcBorders>
            <w:noWrap/>
            <w:vAlign w:val="center"/>
            <w:hideMark/>
          </w:tcPr>
          <w:p w14:paraId="6596C943" w14:textId="77777777"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S/N</w:t>
            </w:r>
          </w:p>
        </w:tc>
        <w:tc>
          <w:tcPr>
            <w:tcW w:w="3632" w:type="dxa"/>
            <w:tcBorders>
              <w:bottom w:val="single" w:sz="4" w:space="0" w:color="auto"/>
            </w:tcBorders>
            <w:vAlign w:val="center"/>
            <w:hideMark/>
          </w:tcPr>
          <w:p w14:paraId="64B3F218"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Topic</w:t>
            </w:r>
          </w:p>
        </w:tc>
        <w:tc>
          <w:tcPr>
            <w:tcW w:w="1474" w:type="dxa"/>
            <w:tcBorders>
              <w:bottom w:val="single" w:sz="4" w:space="0" w:color="auto"/>
            </w:tcBorders>
            <w:vAlign w:val="center"/>
            <w:hideMark/>
          </w:tcPr>
          <w:p w14:paraId="4966B2BD" w14:textId="23A804CD"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Mean</w:t>
            </w:r>
          </w:p>
          <w:p w14:paraId="665B6BFE" w14:textId="67E14D7D"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(2019-2021)</w:t>
            </w:r>
          </w:p>
        </w:tc>
        <w:tc>
          <w:tcPr>
            <w:tcW w:w="1440" w:type="dxa"/>
            <w:tcBorders>
              <w:bottom w:val="single" w:sz="4" w:space="0" w:color="auto"/>
            </w:tcBorders>
            <w:vAlign w:val="center"/>
            <w:hideMark/>
          </w:tcPr>
          <w:p w14:paraId="43B3E83D"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Mean</w:t>
            </w:r>
          </w:p>
          <w:p w14:paraId="5C4AD0FB" w14:textId="7FCCEDF5"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(2022-2024)</w:t>
            </w:r>
          </w:p>
        </w:tc>
        <w:tc>
          <w:tcPr>
            <w:tcW w:w="1890" w:type="dxa"/>
            <w:tcBorders>
              <w:bottom w:val="single" w:sz="4" w:space="0" w:color="auto"/>
            </w:tcBorders>
            <w:vAlign w:val="center"/>
            <w:hideMark/>
          </w:tcPr>
          <w:p w14:paraId="3D4001A1" w14:textId="55F6BFF3"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Mean </w:t>
            </w:r>
            <w:r w:rsidR="00927A33" w:rsidRPr="003B08EC">
              <w:rPr>
                <w:rFonts w:ascii="Times New Roman" w:eastAsia="Times New Roman" w:hAnsi="Times New Roman" w:cs="Times New Roman"/>
                <w:color w:val="000000"/>
                <w:kern w:val="0"/>
                <w:lang w:eastAsia="en-GB"/>
                <w14:ligatures w14:val="none"/>
              </w:rPr>
              <w:t>d</w:t>
            </w:r>
            <w:r w:rsidRPr="003B08EC">
              <w:rPr>
                <w:rFonts w:ascii="Times New Roman" w:eastAsia="Times New Roman" w:hAnsi="Times New Roman" w:cs="Times New Roman"/>
                <w:color w:val="000000"/>
                <w:kern w:val="0"/>
                <w:lang w:eastAsia="en-GB"/>
                <w14:ligatures w14:val="none"/>
              </w:rPr>
              <w:t>ifference (Post - Pre)</w:t>
            </w:r>
          </w:p>
        </w:tc>
      </w:tr>
      <w:tr w:rsidR="001D0B94" w:rsidRPr="003B08EC" w14:paraId="7EF8B82C" w14:textId="77777777" w:rsidTr="001D0B94">
        <w:trPr>
          <w:trHeight w:val="312"/>
        </w:trPr>
        <w:tc>
          <w:tcPr>
            <w:tcW w:w="559" w:type="dxa"/>
            <w:tcBorders>
              <w:top w:val="single" w:sz="4" w:space="0" w:color="auto"/>
              <w:bottom w:val="nil"/>
            </w:tcBorders>
            <w:noWrap/>
            <w:vAlign w:val="bottom"/>
            <w:hideMark/>
          </w:tcPr>
          <w:p w14:paraId="09F5B676" w14:textId="3E3C9BC3"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w:t>
            </w:r>
          </w:p>
        </w:tc>
        <w:tc>
          <w:tcPr>
            <w:tcW w:w="3632" w:type="dxa"/>
            <w:tcBorders>
              <w:top w:val="single" w:sz="4" w:space="0" w:color="auto"/>
              <w:bottom w:val="nil"/>
            </w:tcBorders>
            <w:vAlign w:val="center"/>
            <w:hideMark/>
          </w:tcPr>
          <w:p w14:paraId="3265801F" w14:textId="4C3726B2"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Public finance</w:t>
            </w:r>
          </w:p>
        </w:tc>
        <w:tc>
          <w:tcPr>
            <w:tcW w:w="1474" w:type="dxa"/>
            <w:tcBorders>
              <w:top w:val="single" w:sz="4" w:space="0" w:color="auto"/>
              <w:bottom w:val="nil"/>
            </w:tcBorders>
            <w:vAlign w:val="center"/>
            <w:hideMark/>
          </w:tcPr>
          <w:p w14:paraId="7AF0E206"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93.93%</w:t>
            </w:r>
          </w:p>
        </w:tc>
        <w:tc>
          <w:tcPr>
            <w:tcW w:w="1440" w:type="dxa"/>
            <w:tcBorders>
              <w:top w:val="single" w:sz="4" w:space="0" w:color="auto"/>
              <w:bottom w:val="nil"/>
            </w:tcBorders>
            <w:vAlign w:val="center"/>
            <w:hideMark/>
          </w:tcPr>
          <w:p w14:paraId="061C0C4D"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54.54%</w:t>
            </w:r>
          </w:p>
        </w:tc>
        <w:tc>
          <w:tcPr>
            <w:tcW w:w="1890" w:type="dxa"/>
            <w:tcBorders>
              <w:top w:val="single" w:sz="4" w:space="0" w:color="auto"/>
              <w:bottom w:val="nil"/>
            </w:tcBorders>
            <w:vAlign w:val="center"/>
            <w:hideMark/>
          </w:tcPr>
          <w:p w14:paraId="7D108CDB"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-39.39%</w:t>
            </w:r>
          </w:p>
        </w:tc>
      </w:tr>
      <w:tr w:rsidR="001D0B94" w:rsidRPr="003B08EC" w14:paraId="11D7F6B9" w14:textId="77777777" w:rsidTr="001D0B94">
        <w:trPr>
          <w:trHeight w:val="312"/>
        </w:trPr>
        <w:tc>
          <w:tcPr>
            <w:tcW w:w="559" w:type="dxa"/>
            <w:tcBorders>
              <w:top w:val="nil"/>
              <w:bottom w:val="nil"/>
            </w:tcBorders>
            <w:noWrap/>
            <w:vAlign w:val="bottom"/>
            <w:hideMark/>
          </w:tcPr>
          <w:p w14:paraId="26BE71B0" w14:textId="7F1F1108"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 xml:space="preserve">2. </w:t>
            </w:r>
          </w:p>
        </w:tc>
        <w:tc>
          <w:tcPr>
            <w:tcW w:w="3632" w:type="dxa"/>
            <w:tcBorders>
              <w:top w:val="nil"/>
              <w:bottom w:val="nil"/>
            </w:tcBorders>
            <w:vAlign w:val="center"/>
            <w:hideMark/>
          </w:tcPr>
          <w:p w14:paraId="731C3098" w14:textId="3CEEBF3A"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Theory of money</w:t>
            </w:r>
          </w:p>
        </w:tc>
        <w:tc>
          <w:tcPr>
            <w:tcW w:w="1474" w:type="dxa"/>
            <w:tcBorders>
              <w:top w:val="nil"/>
              <w:bottom w:val="nil"/>
            </w:tcBorders>
            <w:vAlign w:val="center"/>
            <w:hideMark/>
          </w:tcPr>
          <w:p w14:paraId="1B81383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52.20%</w:t>
            </w:r>
          </w:p>
        </w:tc>
        <w:tc>
          <w:tcPr>
            <w:tcW w:w="1440" w:type="dxa"/>
            <w:tcBorders>
              <w:top w:val="nil"/>
              <w:bottom w:val="nil"/>
            </w:tcBorders>
            <w:vAlign w:val="center"/>
            <w:hideMark/>
          </w:tcPr>
          <w:p w14:paraId="47579AA2"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92.29%</w:t>
            </w:r>
          </w:p>
        </w:tc>
        <w:tc>
          <w:tcPr>
            <w:tcW w:w="1890" w:type="dxa"/>
            <w:tcBorders>
              <w:top w:val="nil"/>
              <w:bottom w:val="nil"/>
            </w:tcBorders>
            <w:vAlign w:val="center"/>
            <w:hideMark/>
          </w:tcPr>
          <w:p w14:paraId="06D41937"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40.09%</w:t>
            </w:r>
          </w:p>
        </w:tc>
      </w:tr>
      <w:tr w:rsidR="001D0B94" w:rsidRPr="003B08EC" w14:paraId="6B7AED04" w14:textId="77777777" w:rsidTr="001D0B94">
        <w:trPr>
          <w:trHeight w:val="312"/>
        </w:trPr>
        <w:tc>
          <w:tcPr>
            <w:tcW w:w="559" w:type="dxa"/>
            <w:tcBorders>
              <w:top w:val="nil"/>
            </w:tcBorders>
            <w:noWrap/>
            <w:vAlign w:val="bottom"/>
            <w:hideMark/>
          </w:tcPr>
          <w:p w14:paraId="2520E356" w14:textId="36304C8D"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3.</w:t>
            </w:r>
          </w:p>
        </w:tc>
        <w:tc>
          <w:tcPr>
            <w:tcW w:w="3632" w:type="dxa"/>
            <w:tcBorders>
              <w:top w:val="nil"/>
            </w:tcBorders>
            <w:vAlign w:val="center"/>
            <w:hideMark/>
          </w:tcPr>
          <w:p w14:paraId="79BE22B2" w14:textId="40FE496B"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National income</w:t>
            </w:r>
          </w:p>
        </w:tc>
        <w:tc>
          <w:tcPr>
            <w:tcW w:w="1474" w:type="dxa"/>
            <w:tcBorders>
              <w:top w:val="nil"/>
            </w:tcBorders>
            <w:vAlign w:val="center"/>
            <w:hideMark/>
          </w:tcPr>
          <w:p w14:paraId="0E45F94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79.57%</w:t>
            </w:r>
          </w:p>
        </w:tc>
        <w:tc>
          <w:tcPr>
            <w:tcW w:w="1440" w:type="dxa"/>
            <w:tcBorders>
              <w:top w:val="nil"/>
            </w:tcBorders>
            <w:vAlign w:val="center"/>
            <w:hideMark/>
          </w:tcPr>
          <w:p w14:paraId="2D79FBE1"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84.92%</w:t>
            </w:r>
          </w:p>
        </w:tc>
        <w:tc>
          <w:tcPr>
            <w:tcW w:w="1890" w:type="dxa"/>
            <w:tcBorders>
              <w:top w:val="nil"/>
            </w:tcBorders>
            <w:vAlign w:val="center"/>
            <w:hideMark/>
          </w:tcPr>
          <w:p w14:paraId="3BC0B8B6"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5.35%</w:t>
            </w:r>
          </w:p>
        </w:tc>
      </w:tr>
      <w:tr w:rsidR="001D0B94" w:rsidRPr="003B08EC" w14:paraId="70C2987E" w14:textId="77777777" w:rsidTr="001D0B94">
        <w:trPr>
          <w:trHeight w:val="312"/>
        </w:trPr>
        <w:tc>
          <w:tcPr>
            <w:tcW w:w="559" w:type="dxa"/>
            <w:noWrap/>
            <w:vAlign w:val="bottom"/>
            <w:hideMark/>
          </w:tcPr>
          <w:p w14:paraId="65E3968E" w14:textId="75F5865A"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w:t>
            </w:r>
          </w:p>
        </w:tc>
        <w:tc>
          <w:tcPr>
            <w:tcW w:w="3632" w:type="dxa"/>
            <w:vAlign w:val="center"/>
            <w:hideMark/>
          </w:tcPr>
          <w:p w14:paraId="6713B933" w14:textId="77777777"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Production</w:t>
            </w:r>
          </w:p>
        </w:tc>
        <w:tc>
          <w:tcPr>
            <w:tcW w:w="1474" w:type="dxa"/>
            <w:vAlign w:val="center"/>
            <w:hideMark/>
          </w:tcPr>
          <w:p w14:paraId="7AB4BDC7"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56.73%</w:t>
            </w:r>
          </w:p>
        </w:tc>
        <w:tc>
          <w:tcPr>
            <w:tcW w:w="1440" w:type="dxa"/>
            <w:vAlign w:val="center"/>
            <w:hideMark/>
          </w:tcPr>
          <w:p w14:paraId="02E17CD9"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50.38%</w:t>
            </w:r>
          </w:p>
        </w:tc>
        <w:tc>
          <w:tcPr>
            <w:tcW w:w="1890" w:type="dxa"/>
            <w:vAlign w:val="center"/>
            <w:hideMark/>
          </w:tcPr>
          <w:p w14:paraId="1F7F468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-6.35%</w:t>
            </w:r>
          </w:p>
        </w:tc>
      </w:tr>
      <w:tr w:rsidR="001D0B94" w:rsidRPr="003B08EC" w14:paraId="32FBA7CC" w14:textId="77777777" w:rsidTr="001D0B94">
        <w:trPr>
          <w:trHeight w:val="312"/>
        </w:trPr>
        <w:tc>
          <w:tcPr>
            <w:tcW w:w="559" w:type="dxa"/>
            <w:noWrap/>
            <w:vAlign w:val="bottom"/>
            <w:hideMark/>
          </w:tcPr>
          <w:p w14:paraId="7461019F" w14:textId="67300F52"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w:t>
            </w:r>
          </w:p>
        </w:tc>
        <w:tc>
          <w:tcPr>
            <w:tcW w:w="3632" w:type="dxa"/>
            <w:vAlign w:val="center"/>
            <w:hideMark/>
          </w:tcPr>
          <w:p w14:paraId="488827AC" w14:textId="03EF5D2F"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Subject matter of economics</w:t>
            </w:r>
          </w:p>
        </w:tc>
        <w:tc>
          <w:tcPr>
            <w:tcW w:w="1474" w:type="dxa"/>
            <w:vAlign w:val="center"/>
            <w:hideMark/>
          </w:tcPr>
          <w:p w14:paraId="2A66D584"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74.73%</w:t>
            </w:r>
          </w:p>
        </w:tc>
        <w:tc>
          <w:tcPr>
            <w:tcW w:w="1440" w:type="dxa"/>
            <w:vAlign w:val="center"/>
            <w:hideMark/>
          </w:tcPr>
          <w:p w14:paraId="4619EF3C"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84.41%</w:t>
            </w:r>
          </w:p>
        </w:tc>
        <w:tc>
          <w:tcPr>
            <w:tcW w:w="1890" w:type="dxa"/>
            <w:vAlign w:val="center"/>
            <w:hideMark/>
          </w:tcPr>
          <w:p w14:paraId="6BFBB92B"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9.68%</w:t>
            </w:r>
          </w:p>
        </w:tc>
      </w:tr>
      <w:tr w:rsidR="001D0B94" w:rsidRPr="003B08EC" w14:paraId="343CE502" w14:textId="77777777" w:rsidTr="001D0B94">
        <w:trPr>
          <w:trHeight w:val="312"/>
        </w:trPr>
        <w:tc>
          <w:tcPr>
            <w:tcW w:w="559" w:type="dxa"/>
            <w:noWrap/>
            <w:vAlign w:val="bottom"/>
            <w:hideMark/>
          </w:tcPr>
          <w:p w14:paraId="7B611CA4" w14:textId="39C8BAE5"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w:t>
            </w:r>
          </w:p>
        </w:tc>
        <w:tc>
          <w:tcPr>
            <w:tcW w:w="3632" w:type="dxa"/>
            <w:vAlign w:val="center"/>
            <w:hideMark/>
          </w:tcPr>
          <w:p w14:paraId="5794B01F" w14:textId="10493E55"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Economic growth and development</w:t>
            </w:r>
          </w:p>
        </w:tc>
        <w:tc>
          <w:tcPr>
            <w:tcW w:w="1474" w:type="dxa"/>
            <w:vAlign w:val="center"/>
            <w:hideMark/>
          </w:tcPr>
          <w:p w14:paraId="7E356881"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82.50%</w:t>
            </w:r>
          </w:p>
        </w:tc>
        <w:tc>
          <w:tcPr>
            <w:tcW w:w="1440" w:type="dxa"/>
            <w:vAlign w:val="center"/>
            <w:hideMark/>
          </w:tcPr>
          <w:p w14:paraId="61F7157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87.43%</w:t>
            </w:r>
          </w:p>
        </w:tc>
        <w:tc>
          <w:tcPr>
            <w:tcW w:w="1890" w:type="dxa"/>
            <w:vAlign w:val="center"/>
            <w:hideMark/>
          </w:tcPr>
          <w:p w14:paraId="5F00940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4.93%</w:t>
            </w:r>
          </w:p>
        </w:tc>
      </w:tr>
      <w:tr w:rsidR="001D0B94" w:rsidRPr="003B08EC" w14:paraId="2E5C1462" w14:textId="77777777" w:rsidTr="001D0B94">
        <w:trPr>
          <w:trHeight w:val="336"/>
        </w:trPr>
        <w:tc>
          <w:tcPr>
            <w:tcW w:w="559" w:type="dxa"/>
            <w:noWrap/>
            <w:vAlign w:val="bottom"/>
            <w:hideMark/>
          </w:tcPr>
          <w:p w14:paraId="1F2A443D" w14:textId="64B6B191"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w:t>
            </w:r>
          </w:p>
        </w:tc>
        <w:tc>
          <w:tcPr>
            <w:tcW w:w="3632" w:type="dxa"/>
            <w:vAlign w:val="center"/>
            <w:hideMark/>
          </w:tcPr>
          <w:p w14:paraId="338888B7" w14:textId="2BA90FB1"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 structure of Tanzanian economy</w:t>
            </w:r>
          </w:p>
        </w:tc>
        <w:tc>
          <w:tcPr>
            <w:tcW w:w="1474" w:type="dxa"/>
            <w:vAlign w:val="center"/>
            <w:hideMark/>
          </w:tcPr>
          <w:p w14:paraId="17F1A2E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87.83%</w:t>
            </w:r>
          </w:p>
        </w:tc>
        <w:tc>
          <w:tcPr>
            <w:tcW w:w="1440" w:type="dxa"/>
            <w:vAlign w:val="center"/>
            <w:hideMark/>
          </w:tcPr>
          <w:p w14:paraId="2C04651F"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99.92%</w:t>
            </w:r>
          </w:p>
        </w:tc>
        <w:tc>
          <w:tcPr>
            <w:tcW w:w="1890" w:type="dxa"/>
            <w:vAlign w:val="center"/>
            <w:hideMark/>
          </w:tcPr>
          <w:p w14:paraId="3FA815E0"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12.09%</w:t>
            </w:r>
          </w:p>
        </w:tc>
      </w:tr>
      <w:tr w:rsidR="001D0B94" w:rsidRPr="003B08EC" w14:paraId="1125BA75" w14:textId="77777777" w:rsidTr="001D0B94">
        <w:trPr>
          <w:trHeight w:val="312"/>
        </w:trPr>
        <w:tc>
          <w:tcPr>
            <w:tcW w:w="559" w:type="dxa"/>
            <w:noWrap/>
            <w:vAlign w:val="bottom"/>
            <w:hideMark/>
          </w:tcPr>
          <w:p w14:paraId="1D86BD8F" w14:textId="4FC6E15D"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8.</w:t>
            </w:r>
          </w:p>
        </w:tc>
        <w:tc>
          <w:tcPr>
            <w:tcW w:w="3632" w:type="dxa"/>
            <w:vAlign w:val="center"/>
            <w:hideMark/>
          </w:tcPr>
          <w:p w14:paraId="5522D524" w14:textId="189B2753"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International trade</w:t>
            </w:r>
          </w:p>
        </w:tc>
        <w:tc>
          <w:tcPr>
            <w:tcW w:w="1474" w:type="dxa"/>
            <w:vAlign w:val="center"/>
            <w:hideMark/>
          </w:tcPr>
          <w:p w14:paraId="345796C7"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55.63%</w:t>
            </w:r>
          </w:p>
        </w:tc>
        <w:tc>
          <w:tcPr>
            <w:tcW w:w="1440" w:type="dxa"/>
            <w:vAlign w:val="center"/>
            <w:hideMark/>
          </w:tcPr>
          <w:p w14:paraId="1F401BD3"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79.47%</w:t>
            </w:r>
          </w:p>
        </w:tc>
        <w:tc>
          <w:tcPr>
            <w:tcW w:w="1890" w:type="dxa"/>
            <w:vAlign w:val="center"/>
            <w:hideMark/>
          </w:tcPr>
          <w:p w14:paraId="797824B9"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23.84%</w:t>
            </w:r>
          </w:p>
        </w:tc>
      </w:tr>
      <w:tr w:rsidR="001D0B94" w:rsidRPr="003B08EC" w14:paraId="66D9A6A3" w14:textId="77777777" w:rsidTr="001D0B94">
        <w:trPr>
          <w:trHeight w:val="312"/>
        </w:trPr>
        <w:tc>
          <w:tcPr>
            <w:tcW w:w="559" w:type="dxa"/>
            <w:noWrap/>
            <w:vAlign w:val="bottom"/>
            <w:hideMark/>
          </w:tcPr>
          <w:p w14:paraId="6F6EC7AF" w14:textId="1BC096E3"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9.</w:t>
            </w:r>
          </w:p>
        </w:tc>
        <w:tc>
          <w:tcPr>
            <w:tcW w:w="3632" w:type="dxa"/>
            <w:vAlign w:val="center"/>
            <w:hideMark/>
          </w:tcPr>
          <w:p w14:paraId="07EF72B9" w14:textId="65058641"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Theory of demand and supply</w:t>
            </w:r>
          </w:p>
        </w:tc>
        <w:tc>
          <w:tcPr>
            <w:tcW w:w="1474" w:type="dxa"/>
            <w:vAlign w:val="center"/>
            <w:hideMark/>
          </w:tcPr>
          <w:p w14:paraId="0810D749"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63.10%</w:t>
            </w:r>
          </w:p>
        </w:tc>
        <w:tc>
          <w:tcPr>
            <w:tcW w:w="1440" w:type="dxa"/>
            <w:vAlign w:val="center"/>
            <w:hideMark/>
          </w:tcPr>
          <w:p w14:paraId="091FC837"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75.75%</w:t>
            </w:r>
          </w:p>
        </w:tc>
        <w:tc>
          <w:tcPr>
            <w:tcW w:w="1890" w:type="dxa"/>
            <w:vAlign w:val="center"/>
            <w:hideMark/>
          </w:tcPr>
          <w:p w14:paraId="23509E67"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12.65%</w:t>
            </w:r>
          </w:p>
        </w:tc>
      </w:tr>
      <w:tr w:rsidR="001D0B94" w:rsidRPr="003B08EC" w14:paraId="70727400" w14:textId="77777777" w:rsidTr="001D0B94">
        <w:trPr>
          <w:trHeight w:val="312"/>
        </w:trPr>
        <w:tc>
          <w:tcPr>
            <w:tcW w:w="559" w:type="dxa"/>
            <w:noWrap/>
            <w:vAlign w:val="bottom"/>
            <w:hideMark/>
          </w:tcPr>
          <w:p w14:paraId="46DAB785" w14:textId="46693DBC"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10.</w:t>
            </w:r>
          </w:p>
        </w:tc>
        <w:tc>
          <w:tcPr>
            <w:tcW w:w="3632" w:type="dxa"/>
            <w:vAlign w:val="center"/>
            <w:hideMark/>
          </w:tcPr>
          <w:p w14:paraId="4FBF5044" w14:textId="2F489F0D" w:rsidR="001D0B94" w:rsidRPr="003B08EC" w:rsidRDefault="001D0B94" w:rsidP="00C775A7">
            <w:pPr>
              <w:spacing w:after="0" w:line="240" w:lineRule="auto"/>
              <w:jc w:val="both"/>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Financial institutions</w:t>
            </w:r>
          </w:p>
        </w:tc>
        <w:tc>
          <w:tcPr>
            <w:tcW w:w="1474" w:type="dxa"/>
            <w:vAlign w:val="center"/>
            <w:hideMark/>
          </w:tcPr>
          <w:p w14:paraId="79773091"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71.27%</w:t>
            </w:r>
          </w:p>
        </w:tc>
        <w:tc>
          <w:tcPr>
            <w:tcW w:w="1440" w:type="dxa"/>
            <w:vAlign w:val="center"/>
            <w:hideMark/>
          </w:tcPr>
          <w:p w14:paraId="6C8F3225"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76.27%</w:t>
            </w:r>
          </w:p>
        </w:tc>
        <w:tc>
          <w:tcPr>
            <w:tcW w:w="1890" w:type="dxa"/>
            <w:vAlign w:val="center"/>
            <w:hideMark/>
          </w:tcPr>
          <w:p w14:paraId="4C839EDD" w14:textId="77777777" w:rsidR="001D0B94" w:rsidRPr="003B08EC" w:rsidRDefault="001D0B94" w:rsidP="00C775A7">
            <w:pPr>
              <w:spacing w:after="0" w:line="240" w:lineRule="auto"/>
              <w:jc w:val="center"/>
              <w:rPr>
                <w:rFonts w:ascii="Times New Roman" w:eastAsia="Times New Roman" w:hAnsi="Times New Roman" w:cs="Times New Roman"/>
                <w:color w:val="000000"/>
                <w:kern w:val="0"/>
                <w:lang w:eastAsia="en-GB"/>
                <w14:ligatures w14:val="none"/>
              </w:rPr>
            </w:pPr>
            <w:r w:rsidRPr="003B08EC">
              <w:rPr>
                <w:rFonts w:ascii="Times New Roman" w:eastAsia="Times New Roman" w:hAnsi="Times New Roman" w:cs="Times New Roman"/>
                <w:color w:val="000000"/>
                <w:kern w:val="0"/>
                <w:lang w:eastAsia="en-GB"/>
                <w14:ligatures w14:val="none"/>
              </w:rPr>
              <w:t>5.00%</w:t>
            </w:r>
          </w:p>
        </w:tc>
      </w:tr>
    </w:tbl>
    <w:p w14:paraId="340B9B25" w14:textId="75C03701" w:rsidR="00A563DF" w:rsidRDefault="00A563DF" w:rsidP="00C775A7">
      <w:pPr>
        <w:pStyle w:val="NormalWeb"/>
        <w:spacing w:before="240" w:beforeAutospacing="0" w:after="0" w:afterAutospacing="0"/>
        <w:jc w:val="both"/>
      </w:pPr>
      <w:r w:rsidRPr="007062AE">
        <w:t xml:space="preserve">An analysis of students’ performance in Economics before and after the introduction of the official textbook revealed a mixed pattern of outcomes across topics, as shown in Table </w:t>
      </w:r>
      <w:r w:rsidR="007405F0">
        <w:t>4</w:t>
      </w:r>
      <w:r w:rsidRPr="007062AE">
        <w:t xml:space="preserve">. Descriptively, several topics demonstrated substantial improvements following the textbook intervention, with </w:t>
      </w:r>
      <w:r w:rsidRPr="007062AE">
        <w:rPr>
          <w:rStyle w:val="Emphasis"/>
          <w:rFonts w:eastAsiaTheme="majorEastAsia"/>
          <w:i w:val="0"/>
          <w:iCs w:val="0"/>
        </w:rPr>
        <w:t>Theory of money</w:t>
      </w:r>
      <w:r w:rsidRPr="007062AE">
        <w:t xml:space="preserve"> showing the largest increase of 40.09%, followed by </w:t>
      </w:r>
      <w:r w:rsidRPr="007062AE">
        <w:rPr>
          <w:rStyle w:val="Emphasis"/>
          <w:rFonts w:eastAsiaTheme="majorEastAsia"/>
          <w:i w:val="0"/>
          <w:iCs w:val="0"/>
        </w:rPr>
        <w:t>International trade</w:t>
      </w:r>
      <w:r w:rsidRPr="007062AE">
        <w:t xml:space="preserve"> (23.84%), and </w:t>
      </w:r>
      <w:proofErr w:type="gramStart"/>
      <w:r w:rsidRPr="007062AE">
        <w:rPr>
          <w:rStyle w:val="Emphasis"/>
          <w:rFonts w:eastAsiaTheme="majorEastAsia"/>
          <w:i w:val="0"/>
          <w:iCs w:val="0"/>
        </w:rPr>
        <w:t>The</w:t>
      </w:r>
      <w:proofErr w:type="gramEnd"/>
      <w:r w:rsidRPr="007062AE">
        <w:rPr>
          <w:rStyle w:val="Emphasis"/>
          <w:rFonts w:eastAsiaTheme="majorEastAsia"/>
          <w:i w:val="0"/>
          <w:iCs w:val="0"/>
        </w:rPr>
        <w:t xml:space="preserve"> structure of the Tanzanian economy</w:t>
      </w:r>
      <w:r w:rsidRPr="007062AE">
        <w:t xml:space="preserve"> (12.09%). Other topics, including </w:t>
      </w:r>
      <w:r w:rsidRPr="00246795">
        <w:rPr>
          <w:rStyle w:val="Emphasis"/>
          <w:rFonts w:eastAsiaTheme="majorEastAsia"/>
          <w:i w:val="0"/>
          <w:iCs w:val="0"/>
        </w:rPr>
        <w:t xml:space="preserve">Subject </w:t>
      </w:r>
      <w:r w:rsidRPr="007062AE">
        <w:rPr>
          <w:rStyle w:val="Emphasis"/>
          <w:rFonts w:eastAsiaTheme="majorEastAsia"/>
          <w:i w:val="0"/>
          <w:iCs w:val="0"/>
        </w:rPr>
        <w:t>matter of economics</w:t>
      </w:r>
      <w:r w:rsidRPr="007062AE">
        <w:t xml:space="preserve"> (9.68%) and </w:t>
      </w:r>
      <w:r w:rsidRPr="007062AE">
        <w:rPr>
          <w:rStyle w:val="Emphasis"/>
          <w:rFonts w:eastAsiaTheme="majorEastAsia"/>
          <w:i w:val="0"/>
          <w:iCs w:val="0"/>
        </w:rPr>
        <w:t>Theory of demand and supply</w:t>
      </w:r>
      <w:r w:rsidRPr="007062AE">
        <w:t xml:space="preserve"> (12.65%), recorded moderate gains, while some topics, notably </w:t>
      </w:r>
      <w:r w:rsidRPr="007062AE">
        <w:rPr>
          <w:rStyle w:val="Emphasis"/>
          <w:rFonts w:eastAsiaTheme="majorEastAsia"/>
          <w:i w:val="0"/>
          <w:iCs w:val="0"/>
        </w:rPr>
        <w:t>Public finance</w:t>
      </w:r>
      <w:r w:rsidRPr="007062AE">
        <w:t xml:space="preserve"> (-39.39%) and </w:t>
      </w:r>
      <w:r w:rsidRPr="00246795">
        <w:rPr>
          <w:rStyle w:val="Emphasis"/>
          <w:rFonts w:eastAsiaTheme="majorEastAsia"/>
          <w:i w:val="0"/>
          <w:iCs w:val="0"/>
        </w:rPr>
        <w:t>Production</w:t>
      </w:r>
      <w:r w:rsidRPr="007062AE">
        <w:t xml:space="preserve"> (-6.35%), experienced declines. To determine whether these observed differences were statistically significant, a paired sample t-test was conducted </w:t>
      </w:r>
      <w:r w:rsidR="004F668B" w:rsidRPr="007062AE">
        <w:t xml:space="preserve">to </w:t>
      </w:r>
      <w:r w:rsidRPr="007062AE">
        <w:t>compar</w:t>
      </w:r>
      <w:r w:rsidR="004F668B" w:rsidRPr="007062AE">
        <w:t>e</w:t>
      </w:r>
      <w:r w:rsidRPr="007062AE">
        <w:t xml:space="preserve"> mean performance across the ten topics before (2019–2021) and after (2022–2024) the textbook introduction. The analysis yielded a t-statistic of -1.05 and a p-value of 0.32</w:t>
      </w:r>
      <w:r w:rsidR="004F668B" w:rsidRPr="007062AE">
        <w:t>. Since the p-value is greater than the typical significance level (usually 0.05), we fail to reject the null hypothesis</w:t>
      </w:r>
      <w:r w:rsidR="002C29E1" w:rsidRPr="007062AE">
        <w:t xml:space="preserve">, hence </w:t>
      </w:r>
      <w:r w:rsidR="004F668B" w:rsidRPr="007062AE">
        <w:t xml:space="preserve">there is no significant difference in mean performance between 2019-2021 and 2022-2024, indicating </w:t>
      </w:r>
      <w:r w:rsidRPr="007062AE">
        <w:t xml:space="preserve">that the introduction of the Economics textbook did not lead to a significant improvement in student performance. </w:t>
      </w:r>
      <w:r w:rsidR="002C29E1" w:rsidRPr="007062AE">
        <w:t>This is consistent with findings in similar contexts where standardised textbooks were introduced, but did not always lead to significant changes in general performance levels (Mingus &amp; Buehler, 2017; Li et al., 2024).</w:t>
      </w:r>
    </w:p>
    <w:p w14:paraId="205C2DB1" w14:textId="77777777" w:rsidR="00E21FB6" w:rsidRPr="00E21FB6" w:rsidRDefault="00E21FB6" w:rsidP="00E21FB6">
      <w:pPr>
        <w:pStyle w:val="NormalWeb"/>
        <w:spacing w:before="0" w:beforeAutospacing="0" w:after="0" w:afterAutospacing="0"/>
        <w:jc w:val="both"/>
        <w:rPr>
          <w:sz w:val="16"/>
          <w:szCs w:val="16"/>
        </w:rPr>
      </w:pPr>
    </w:p>
    <w:p w14:paraId="4147830B" w14:textId="129DFFD8" w:rsidR="00A563DF" w:rsidRPr="007062AE" w:rsidRDefault="00A563DF" w:rsidP="00E21FB6">
      <w:pPr>
        <w:pStyle w:val="NormalWeb"/>
        <w:spacing w:before="0" w:beforeAutospacing="0" w:after="0" w:afterAutospacing="0"/>
        <w:jc w:val="both"/>
        <w:rPr>
          <w:strike/>
        </w:rPr>
      </w:pPr>
      <w:r w:rsidRPr="007062AE">
        <w:t xml:space="preserve">Nonetheless, the observed variability in mean differences highlights notable topic-specific effects, with certain areas benefiting more than others from the textbook. The implications of these findings are twofold: first, targeted instructional support may be required for topics showing negative or minimal improvement, such as </w:t>
      </w:r>
      <w:r w:rsidRPr="007062AE">
        <w:rPr>
          <w:rStyle w:val="Emphasis"/>
          <w:rFonts w:eastAsiaTheme="majorEastAsia"/>
          <w:i w:val="0"/>
          <w:iCs w:val="0"/>
        </w:rPr>
        <w:t>Public finance</w:t>
      </w:r>
      <w:r w:rsidRPr="007062AE">
        <w:t xml:space="preserve"> and </w:t>
      </w:r>
      <w:r w:rsidRPr="007062AE">
        <w:rPr>
          <w:rStyle w:val="Emphasis"/>
          <w:rFonts w:eastAsiaTheme="majorEastAsia"/>
          <w:i w:val="0"/>
          <w:iCs w:val="0"/>
        </w:rPr>
        <w:t>Production</w:t>
      </w:r>
      <w:r w:rsidRPr="007062AE">
        <w:t xml:space="preserve">; second, the effectiveness of educational interventions should be considered alongside other factors, including teaching strategies, curriculum alignment, and examination design, which may also influence student outcomes. Overall, while the textbook contributed </w:t>
      </w:r>
      <w:r w:rsidR="002C29E1" w:rsidRPr="007062AE">
        <w:t>positive gains in some topics, its impact on overall performance appears limit</w:t>
      </w:r>
      <w:r w:rsidRPr="007062AE">
        <w:t xml:space="preserve">ed across the Economics </w:t>
      </w:r>
      <w:r w:rsidR="00BA4117">
        <w:t>syllabus</w:t>
      </w:r>
      <w:r w:rsidRPr="007062AE">
        <w:t xml:space="preserve">. This aligns with Cohen &amp; Ball (1999), who noted that standardised teaching materials can sometimes fail to fully capture the complexity of certain subjects, particularly when the content or teaching strategies are not adequately tailored. Similarly, the sharp decline in Production indicates that student performance </w:t>
      </w:r>
      <w:r w:rsidRPr="007062AE">
        <w:lastRenderedPageBreak/>
        <w:t xml:space="preserve">remained inconsistent, possibly due to the subject's complexity or gaps in the textbook’s coverage. Moreover, </w:t>
      </w:r>
      <w:proofErr w:type="spellStart"/>
      <w:r w:rsidRPr="007062AE">
        <w:t>Guskey</w:t>
      </w:r>
      <w:proofErr w:type="spellEnd"/>
      <w:r w:rsidRPr="007062AE">
        <w:t xml:space="preserve"> (2003) highlights that while textbooks provide a solid foundation, additional instructional support and pedagogical interventions are necessary to address more complex topics effectively.</w:t>
      </w:r>
      <w:r w:rsidRPr="007062AE">
        <w:rPr>
          <w:strike/>
        </w:rPr>
        <w:t xml:space="preserve"> </w:t>
      </w:r>
    </w:p>
    <w:p w14:paraId="69F3EFC0" w14:textId="627E1E9F" w:rsidR="002C29E1" w:rsidRDefault="00246795" w:rsidP="00C775A7">
      <w:pPr>
        <w:pStyle w:val="NormalWeb"/>
        <w:spacing w:after="0" w:afterAutospacing="0"/>
        <w:jc w:val="both"/>
      </w:pPr>
      <w:r>
        <w:t>Generally, t</w:t>
      </w:r>
      <w:r w:rsidR="002C29E1" w:rsidRPr="007062AE">
        <w:t>hese results suggest that while textbooks can ensure consistency in the teaching of Economics, their impact may be limited if other factors, such as teaching quality or curriculum implementation, are not adequately addressed (Hattie, 2009</w:t>
      </w:r>
      <w:r w:rsidR="002C29E1" w:rsidRPr="00BA4117">
        <w:t xml:space="preserve">; </w:t>
      </w:r>
      <w:proofErr w:type="spellStart"/>
      <w:r w:rsidR="002C29E1" w:rsidRPr="00BA4117">
        <w:t>Languille</w:t>
      </w:r>
      <w:proofErr w:type="spellEnd"/>
      <w:r w:rsidR="002C29E1" w:rsidRPr="00BA4117">
        <w:t>, 2016</w:t>
      </w:r>
      <w:r w:rsidR="002C29E1" w:rsidRPr="007062AE">
        <w:t xml:space="preserve">). The high baseline pass rates before the textbook's introduction may also indicate that, while textbooks are important, other educational improvements were already in place. The findings in this study are consistent with other research examining the role of textbooks in education. For instance, </w:t>
      </w:r>
      <w:r w:rsidR="00BF7E6B">
        <w:t>Warsame</w:t>
      </w:r>
      <w:r w:rsidR="002C29E1" w:rsidRPr="007062AE">
        <w:t xml:space="preserve">. (2023) found that textbooks are particularly effective when they are integrated into well-structured teaching practices. Similarly, studies in </w:t>
      </w:r>
      <w:r w:rsidR="002C29E1" w:rsidRPr="007062AE">
        <w:rPr>
          <w:rStyle w:val="Strong"/>
          <w:rFonts w:eastAsiaTheme="majorEastAsia"/>
          <w:b w:val="0"/>
          <w:bCs w:val="0"/>
        </w:rPr>
        <w:t>East Africa</w:t>
      </w:r>
      <w:r w:rsidR="002C29E1" w:rsidRPr="007062AE">
        <w:t xml:space="preserve"> (Rodriguez-Segura &amp; Mbiti, 2022) found that the introduction of standardi</w:t>
      </w:r>
      <w:r>
        <w:t>s</w:t>
      </w:r>
      <w:r w:rsidR="002C29E1" w:rsidRPr="007062AE">
        <w:t xml:space="preserve">ed textbooks had a positive effect on student engagement and achievement, although the impact varied by subject. These studies highlight that textbooks alone may not lead to substantial improvements unless complemented by well-aligned teaching strategies and sufficient teacher training. Furthermore, the results from this study align with </w:t>
      </w:r>
      <w:r w:rsidR="002C29E1" w:rsidRPr="007062AE">
        <w:rPr>
          <w:rStyle w:val="Strong"/>
          <w:rFonts w:eastAsiaTheme="majorEastAsia"/>
          <w:b w:val="0"/>
          <w:bCs w:val="0"/>
        </w:rPr>
        <w:t>Hattie’s (2009)</w:t>
      </w:r>
      <w:r w:rsidR="002C29E1" w:rsidRPr="007062AE">
        <w:t xml:space="preserve"> research, which emphasi</w:t>
      </w:r>
      <w:r>
        <w:t>s</w:t>
      </w:r>
      <w:r w:rsidR="002C29E1" w:rsidRPr="007062AE">
        <w:t>es that while resources like textbooks can enhance student outcomes, the quality of teaching is equally importa</w:t>
      </w:r>
      <w:bookmarkStart w:id="1" w:name="_GoBack"/>
      <w:bookmarkEnd w:id="1"/>
      <w:r w:rsidR="002C29E1" w:rsidRPr="007062AE">
        <w:t>nt. This suggests that, for the Economics textbook to have a more pronounced effect on student performance, additional efforts to improve teaching quality, classroom engagement, and curriculum alignment are needed.</w:t>
      </w:r>
    </w:p>
    <w:p w14:paraId="395EE3A7" w14:textId="77777777" w:rsidR="006D6426" w:rsidRPr="007062AE" w:rsidRDefault="006D6426" w:rsidP="00E21FB6">
      <w:pPr>
        <w:pStyle w:val="NormalWeb"/>
        <w:spacing w:before="0" w:beforeAutospacing="0" w:after="0" w:afterAutospacing="0"/>
        <w:jc w:val="both"/>
      </w:pPr>
    </w:p>
    <w:p w14:paraId="7A2450DE" w14:textId="5D6B8B20" w:rsidR="001D0B94" w:rsidRPr="007062AE" w:rsidRDefault="001270CD" w:rsidP="00C775A7">
      <w:pPr>
        <w:pStyle w:val="NormalWeb"/>
        <w:numPr>
          <w:ilvl w:val="0"/>
          <w:numId w:val="13"/>
        </w:numPr>
        <w:spacing w:after="0" w:afterAutospacing="0"/>
        <w:contextualSpacing/>
        <w:jc w:val="both"/>
        <w:rPr>
          <w:b/>
          <w:bCs/>
        </w:rPr>
      </w:pPr>
      <w:r w:rsidRPr="007062AE">
        <w:rPr>
          <w:b/>
          <w:bCs/>
        </w:rPr>
        <w:t>Conclusion</w:t>
      </w:r>
      <w:r>
        <w:rPr>
          <w:b/>
          <w:bCs/>
        </w:rPr>
        <w:t xml:space="preserve"> and recommendations</w:t>
      </w:r>
    </w:p>
    <w:p w14:paraId="3284D82F" w14:textId="66DE2725" w:rsidR="00492C84" w:rsidRPr="00492C84" w:rsidRDefault="00492C84" w:rsidP="00492C84">
      <w:pPr>
        <w:spacing w:after="0" w:line="240" w:lineRule="auto"/>
        <w:jc w:val="both"/>
        <w:rPr>
          <w:rFonts w:ascii="Times New Roman" w:hAnsi="Times New Roman" w:cs="Times New Roman"/>
          <w:sz w:val="24"/>
          <w:szCs w:val="24"/>
        </w:rPr>
      </w:pPr>
      <w:r w:rsidRPr="00492C84">
        <w:rPr>
          <w:rFonts w:ascii="Times New Roman" w:hAnsi="Times New Roman" w:cs="Times New Roman"/>
          <w:sz w:val="24"/>
          <w:szCs w:val="24"/>
        </w:rPr>
        <w:t>This study highlights that the introduction of the TIE-approved Economics textbook in Tanzania has contributed to more consistent teaching practices across schools. However, its impact on overall student performance has been somewhat limited. While certain topics, such as the Theory of Money, showed improvement, the results suggest that a standardised textbook alone may not fully address the complexities of improving student outcomes. The decline in performance in topics like Public Finance underscores the need for teaching quality and resources to continue evolving, especially in more challenging subjects.</w:t>
      </w:r>
    </w:p>
    <w:p w14:paraId="2D665113" w14:textId="14CD8FED" w:rsidR="00492C84" w:rsidRDefault="00492C84" w:rsidP="00492C84">
      <w:pPr>
        <w:pStyle w:val="NormalWeb"/>
        <w:jc w:val="both"/>
      </w:pPr>
      <w:r w:rsidRPr="00492C84">
        <w:t>To build on these findings, future studies should include qualitative research to deepen understanding of how teachers and students interact with the textbook in real classroom settings. Qualitative research would help shed light on the specific ways in which textbooks influence learning and where they might fall short. Additionally, it is essential to explore the role of other educational reforms, such as teacher training, curriculum alignment, and assessment strategies, which can work in tandem with textbooks to improve learning outcomes. Such a holistic approach could ensure that textbooks, along with other resources, better support both students and teachers in achieving academic success.</w:t>
      </w:r>
    </w:p>
    <w:p w14:paraId="017B5B7E" w14:textId="77777777" w:rsidR="00BA4117" w:rsidRDefault="00BA4117" w:rsidP="00C11038">
      <w:pPr>
        <w:pStyle w:val="NormalWeb"/>
        <w:jc w:val="both"/>
      </w:pPr>
    </w:p>
    <w:p w14:paraId="49380015" w14:textId="77777777" w:rsidR="00BA4117" w:rsidRDefault="00BA4117" w:rsidP="00C11038">
      <w:pPr>
        <w:pStyle w:val="NormalWeb"/>
        <w:jc w:val="both"/>
      </w:pPr>
    </w:p>
    <w:p w14:paraId="26AEDA06" w14:textId="77777777" w:rsidR="00BA4117" w:rsidRDefault="00BA4117" w:rsidP="00C11038">
      <w:pPr>
        <w:pStyle w:val="NormalWeb"/>
        <w:jc w:val="both"/>
      </w:pPr>
    </w:p>
    <w:p w14:paraId="12F8DBD3" w14:textId="77777777" w:rsidR="00BA4117" w:rsidRDefault="00BA4117" w:rsidP="00C11038">
      <w:pPr>
        <w:pStyle w:val="NormalWeb"/>
        <w:jc w:val="both"/>
      </w:pPr>
    </w:p>
    <w:p w14:paraId="724144C9" w14:textId="77777777" w:rsidR="00BA4117" w:rsidRDefault="00BA4117" w:rsidP="009C677B">
      <w:pPr>
        <w:rPr>
          <w:b/>
          <w:highlight w:val="yellow"/>
        </w:rPr>
      </w:pPr>
    </w:p>
    <w:p w14:paraId="5AD8F18B" w14:textId="57EB2041" w:rsidR="009C677B" w:rsidRPr="009A6971" w:rsidRDefault="009C677B" w:rsidP="009C677B">
      <w:pPr>
        <w:rPr>
          <w:b/>
          <w:highlight w:val="yellow"/>
        </w:rPr>
      </w:pPr>
      <w:r w:rsidRPr="009A6971">
        <w:rPr>
          <w:b/>
          <w:highlight w:val="yellow"/>
        </w:rPr>
        <w:t>Disclaimer (Artificial intelligence)</w:t>
      </w:r>
    </w:p>
    <w:p w14:paraId="4FB7417B" w14:textId="77777777" w:rsidR="009C677B" w:rsidRPr="00740879" w:rsidRDefault="009C677B" w:rsidP="009C677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B4B7220" w14:textId="377FA61A" w:rsidR="00EF71C2" w:rsidRDefault="00EF71C2" w:rsidP="00C775A7">
      <w:pPr>
        <w:spacing w:after="0" w:line="240" w:lineRule="auto"/>
      </w:pPr>
      <w:r>
        <w:br w:type="page"/>
      </w:r>
    </w:p>
    <w:p w14:paraId="1E0817A4" w14:textId="77777777" w:rsidR="00492C84" w:rsidRDefault="00492C84" w:rsidP="00C775A7">
      <w:pPr>
        <w:spacing w:after="0" w:line="240" w:lineRule="auto"/>
        <w:rPr>
          <w:rFonts w:ascii="Times New Roman" w:eastAsia="Times New Roman" w:hAnsi="Times New Roman" w:cs="Times New Roman"/>
          <w:kern w:val="0"/>
          <w:sz w:val="24"/>
          <w:szCs w:val="24"/>
          <w:lang w:eastAsia="en-GB"/>
          <w14:ligatures w14:val="none"/>
        </w:rPr>
      </w:pPr>
    </w:p>
    <w:p w14:paraId="7803FED8" w14:textId="77777777" w:rsidR="00163D0D" w:rsidRPr="007062AE" w:rsidRDefault="00B50E78" w:rsidP="00C775A7">
      <w:pPr>
        <w:spacing w:after="0" w:line="240" w:lineRule="auto"/>
        <w:ind w:left="1080" w:hanging="1080"/>
        <w:jc w:val="both"/>
        <w:rPr>
          <w:rFonts w:ascii="Times New Roman" w:hAnsi="Times New Roman" w:cs="Times New Roman"/>
          <w:b/>
          <w:bCs/>
          <w:sz w:val="24"/>
          <w:szCs w:val="24"/>
        </w:rPr>
      </w:pPr>
      <w:r w:rsidRPr="007062AE">
        <w:rPr>
          <w:rFonts w:ascii="Times New Roman" w:hAnsi="Times New Roman" w:cs="Times New Roman"/>
          <w:b/>
          <w:bCs/>
          <w:sz w:val="24"/>
          <w:szCs w:val="24"/>
        </w:rPr>
        <w:t>References</w:t>
      </w:r>
      <w:bookmarkEnd w:id="0"/>
    </w:p>
    <w:p w14:paraId="75CF04E4" w14:textId="77777777" w:rsidR="00BA4117" w:rsidRPr="00BA4117" w:rsidRDefault="00BA4117" w:rsidP="00BF7E6B">
      <w:pPr>
        <w:spacing w:after="0" w:line="240" w:lineRule="auto"/>
        <w:ind w:left="810" w:hanging="810"/>
        <w:contextualSpacing/>
        <w:rPr>
          <w:rFonts w:ascii="Times New Roman" w:hAnsi="Times New Roman" w:cs="Times New Roman"/>
          <w:b/>
          <w:bCs/>
          <w:sz w:val="24"/>
          <w:szCs w:val="24"/>
        </w:rPr>
      </w:pPr>
    </w:p>
    <w:p w14:paraId="21FB8CE6"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Style w:val="Strong"/>
          <w:rFonts w:ascii="Times New Roman" w:hAnsi="Times New Roman" w:cs="Times New Roman"/>
          <w:b w:val="0"/>
          <w:bCs w:val="0"/>
          <w:sz w:val="24"/>
          <w:szCs w:val="24"/>
        </w:rPr>
        <w:t xml:space="preserve">Anwas, E. O. M., </w:t>
      </w:r>
      <w:proofErr w:type="spellStart"/>
      <w:r w:rsidRPr="00F519FA">
        <w:rPr>
          <w:rStyle w:val="Strong"/>
          <w:rFonts w:ascii="Times New Roman" w:hAnsi="Times New Roman" w:cs="Times New Roman"/>
          <w:b w:val="0"/>
          <w:bCs w:val="0"/>
          <w:sz w:val="24"/>
          <w:szCs w:val="24"/>
        </w:rPr>
        <w:t>Afriansyah</w:t>
      </w:r>
      <w:proofErr w:type="spellEnd"/>
      <w:r w:rsidRPr="00F519FA">
        <w:rPr>
          <w:rStyle w:val="Strong"/>
          <w:rFonts w:ascii="Times New Roman" w:hAnsi="Times New Roman" w:cs="Times New Roman"/>
          <w:b w:val="0"/>
          <w:bCs w:val="0"/>
          <w:sz w:val="24"/>
          <w:szCs w:val="24"/>
        </w:rPr>
        <w:t xml:space="preserve">, A., </w:t>
      </w:r>
      <w:proofErr w:type="spellStart"/>
      <w:r w:rsidRPr="00F519FA">
        <w:rPr>
          <w:rStyle w:val="Strong"/>
          <w:rFonts w:ascii="Times New Roman" w:hAnsi="Times New Roman" w:cs="Times New Roman"/>
          <w:b w:val="0"/>
          <w:bCs w:val="0"/>
          <w:sz w:val="24"/>
          <w:szCs w:val="24"/>
        </w:rPr>
        <w:t>Iftitah</w:t>
      </w:r>
      <w:proofErr w:type="spellEnd"/>
      <w:r w:rsidRPr="00F519FA">
        <w:rPr>
          <w:rStyle w:val="Strong"/>
          <w:rFonts w:ascii="Times New Roman" w:hAnsi="Times New Roman" w:cs="Times New Roman"/>
          <w:b w:val="0"/>
          <w:bCs w:val="0"/>
          <w:sz w:val="24"/>
          <w:szCs w:val="24"/>
        </w:rPr>
        <w:t xml:space="preserve">, K. N., Firdaus, W., </w:t>
      </w:r>
      <w:proofErr w:type="spellStart"/>
      <w:r w:rsidRPr="00F519FA">
        <w:rPr>
          <w:rStyle w:val="Strong"/>
          <w:rFonts w:ascii="Times New Roman" w:hAnsi="Times New Roman" w:cs="Times New Roman"/>
          <w:b w:val="0"/>
          <w:bCs w:val="0"/>
          <w:sz w:val="24"/>
          <w:szCs w:val="24"/>
        </w:rPr>
        <w:t>Sugiarti</w:t>
      </w:r>
      <w:proofErr w:type="spellEnd"/>
      <w:r w:rsidRPr="00F519FA">
        <w:rPr>
          <w:rStyle w:val="Strong"/>
          <w:rFonts w:ascii="Times New Roman" w:hAnsi="Times New Roman" w:cs="Times New Roman"/>
          <w:b w:val="0"/>
          <w:bCs w:val="0"/>
          <w:sz w:val="24"/>
          <w:szCs w:val="24"/>
        </w:rPr>
        <w:t xml:space="preserve">, Y., </w:t>
      </w:r>
      <w:proofErr w:type="spellStart"/>
      <w:r w:rsidRPr="00F519FA">
        <w:rPr>
          <w:rStyle w:val="Strong"/>
          <w:rFonts w:ascii="Times New Roman" w:hAnsi="Times New Roman" w:cs="Times New Roman"/>
          <w:b w:val="0"/>
          <w:bCs w:val="0"/>
          <w:sz w:val="24"/>
          <w:szCs w:val="24"/>
        </w:rPr>
        <w:t>Sopandi</w:t>
      </w:r>
      <w:proofErr w:type="spellEnd"/>
      <w:r w:rsidRPr="00F519FA">
        <w:rPr>
          <w:rStyle w:val="Strong"/>
          <w:rFonts w:ascii="Times New Roman" w:hAnsi="Times New Roman" w:cs="Times New Roman"/>
          <w:b w:val="0"/>
          <w:bCs w:val="0"/>
          <w:sz w:val="24"/>
          <w:szCs w:val="24"/>
        </w:rPr>
        <w:t xml:space="preserve">, E., &amp; </w:t>
      </w:r>
      <w:proofErr w:type="spellStart"/>
      <w:r w:rsidRPr="00F519FA">
        <w:rPr>
          <w:rStyle w:val="Strong"/>
          <w:rFonts w:ascii="Times New Roman" w:hAnsi="Times New Roman" w:cs="Times New Roman"/>
          <w:b w:val="0"/>
          <w:bCs w:val="0"/>
          <w:sz w:val="24"/>
          <w:szCs w:val="24"/>
        </w:rPr>
        <w:t>Hediana</w:t>
      </w:r>
      <w:proofErr w:type="spellEnd"/>
      <w:r w:rsidRPr="00F519FA">
        <w:rPr>
          <w:rStyle w:val="Strong"/>
          <w:rFonts w:ascii="Times New Roman" w:hAnsi="Times New Roman" w:cs="Times New Roman"/>
          <w:b w:val="0"/>
          <w:bCs w:val="0"/>
          <w:sz w:val="24"/>
          <w:szCs w:val="24"/>
        </w:rPr>
        <w:t>, D. (2022).</w:t>
      </w:r>
      <w:r w:rsidRPr="00F519FA">
        <w:rPr>
          <w:rFonts w:ascii="Times New Roman" w:hAnsi="Times New Roman" w:cs="Times New Roman"/>
          <w:sz w:val="24"/>
          <w:szCs w:val="24"/>
        </w:rPr>
        <w:t xml:space="preserve"> </w:t>
      </w:r>
      <w:r w:rsidRPr="00F519FA">
        <w:rPr>
          <w:rStyle w:val="Emphasis"/>
          <w:rFonts w:ascii="Times New Roman" w:hAnsi="Times New Roman" w:cs="Times New Roman"/>
          <w:i w:val="0"/>
          <w:iCs w:val="0"/>
          <w:sz w:val="24"/>
          <w:szCs w:val="24"/>
        </w:rPr>
        <w:t>Students’ literacy skills and quality of textbooks in Indonesian elementary schools</w:t>
      </w:r>
      <w:r w:rsidRPr="00F519FA">
        <w:rPr>
          <w:rStyle w:val="Emphasis"/>
          <w:rFonts w:ascii="Times New Roman" w:hAnsi="Times New Roman" w:cs="Times New Roman"/>
          <w:sz w:val="24"/>
          <w:szCs w:val="24"/>
        </w:rPr>
        <w:t>.</w:t>
      </w:r>
      <w:r w:rsidRPr="00F519FA">
        <w:rPr>
          <w:rFonts w:ascii="Times New Roman" w:hAnsi="Times New Roman" w:cs="Times New Roman"/>
          <w:sz w:val="24"/>
          <w:szCs w:val="24"/>
        </w:rPr>
        <w:t xml:space="preserve"> </w:t>
      </w:r>
      <w:r w:rsidRPr="00F519FA">
        <w:rPr>
          <w:rFonts w:ascii="Times New Roman" w:hAnsi="Times New Roman" w:cs="Times New Roman"/>
          <w:i/>
          <w:iCs/>
          <w:sz w:val="24"/>
          <w:szCs w:val="24"/>
        </w:rPr>
        <w:t>International Journal of Language Education, 6(3), 233–244</w:t>
      </w:r>
      <w:r w:rsidRPr="00F519FA">
        <w:rPr>
          <w:rFonts w:ascii="Times New Roman" w:hAnsi="Times New Roman" w:cs="Times New Roman"/>
          <w:sz w:val="24"/>
          <w:szCs w:val="24"/>
        </w:rPr>
        <w:t>. https://doi.org/10.26858/ijole.v6i3.32756</w:t>
      </w:r>
    </w:p>
    <w:p w14:paraId="4A5926F3"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proofErr w:type="spellStart"/>
      <w:r w:rsidRPr="00F519FA">
        <w:rPr>
          <w:rFonts w:ascii="Times New Roman" w:hAnsi="Times New Roman" w:cs="Times New Roman"/>
          <w:sz w:val="24"/>
          <w:szCs w:val="24"/>
        </w:rPr>
        <w:t>Attakumah</w:t>
      </w:r>
      <w:proofErr w:type="spellEnd"/>
      <w:r w:rsidRPr="00F519FA">
        <w:rPr>
          <w:rFonts w:ascii="Times New Roman" w:hAnsi="Times New Roman" w:cs="Times New Roman"/>
          <w:sz w:val="24"/>
          <w:szCs w:val="24"/>
        </w:rPr>
        <w:t xml:space="preserve">, D. (2020). Textbooks use and academic achievement of senior high school students in core subjects. </w:t>
      </w:r>
      <w:r w:rsidRPr="00F519FA">
        <w:rPr>
          <w:rFonts w:ascii="Times New Roman" w:hAnsi="Times New Roman" w:cs="Times New Roman"/>
          <w:i/>
          <w:iCs/>
          <w:sz w:val="24"/>
          <w:szCs w:val="24"/>
        </w:rPr>
        <w:t>European Journal of Educational Studies</w:t>
      </w:r>
    </w:p>
    <w:p w14:paraId="5938187C" w14:textId="6664BD8B"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Bandura, A. (1986). </w:t>
      </w:r>
      <w:r w:rsidRPr="00F519FA">
        <w:rPr>
          <w:rStyle w:val="Emphasis"/>
          <w:rFonts w:ascii="Times New Roman" w:eastAsiaTheme="majorEastAsia" w:hAnsi="Times New Roman" w:cs="Times New Roman"/>
          <w:sz w:val="24"/>
          <w:szCs w:val="24"/>
        </w:rPr>
        <w:t>Social foundations of thought and action: A social cognitive theory</w:t>
      </w:r>
      <w:r w:rsidRPr="00F519FA">
        <w:rPr>
          <w:rFonts w:ascii="Times New Roman" w:hAnsi="Times New Roman" w:cs="Times New Roman"/>
          <w:sz w:val="24"/>
          <w:szCs w:val="24"/>
        </w:rPr>
        <w:t>. Prentice Hall. https://en.wikipedia.org/wiki/Social_Foundations_of_Thought_and_Action?utm_source=chatgpt.com</w:t>
      </w:r>
    </w:p>
    <w:p w14:paraId="58102F94"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Cohen, D. K., &amp; Ball, D. L. (1999). Instruction, capacity, and improvement. </w:t>
      </w:r>
      <w:r w:rsidRPr="00F519FA">
        <w:rPr>
          <w:rStyle w:val="Emphasis"/>
          <w:rFonts w:ascii="Times New Roman" w:eastAsiaTheme="majorEastAsia" w:hAnsi="Times New Roman" w:cs="Times New Roman"/>
          <w:sz w:val="24"/>
          <w:szCs w:val="24"/>
        </w:rPr>
        <w:t>CPRE Research Report Series</w:t>
      </w:r>
      <w:r w:rsidRPr="00F519FA">
        <w:rPr>
          <w:rFonts w:ascii="Times New Roman" w:hAnsi="Times New Roman" w:cs="Times New Roman"/>
          <w:sz w:val="24"/>
          <w:szCs w:val="24"/>
        </w:rPr>
        <w:t xml:space="preserve">. </w:t>
      </w:r>
    </w:p>
    <w:p w14:paraId="7FFE1522"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Guskey, T. R. (2003). How classroom assessments improve learning. </w:t>
      </w:r>
      <w:r w:rsidRPr="00F519FA">
        <w:rPr>
          <w:rStyle w:val="Emphasis"/>
          <w:rFonts w:ascii="Times New Roman" w:eastAsiaTheme="majorEastAsia" w:hAnsi="Times New Roman" w:cs="Times New Roman"/>
          <w:sz w:val="24"/>
          <w:szCs w:val="24"/>
        </w:rPr>
        <w:t>Educational Leadership, 60(5), 6–11</w:t>
      </w:r>
      <w:r w:rsidRPr="00F519FA">
        <w:rPr>
          <w:rFonts w:ascii="Times New Roman" w:hAnsi="Times New Roman" w:cs="Times New Roman"/>
          <w:sz w:val="24"/>
          <w:szCs w:val="24"/>
        </w:rPr>
        <w:t>.</w:t>
      </w:r>
    </w:p>
    <w:p w14:paraId="517DA76C"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Hattie, J. (2009). </w:t>
      </w:r>
      <w:r w:rsidRPr="00F519FA">
        <w:rPr>
          <w:rStyle w:val="Emphasis"/>
          <w:rFonts w:ascii="Times New Roman" w:eastAsiaTheme="majorEastAsia" w:hAnsi="Times New Roman" w:cs="Times New Roman"/>
          <w:sz w:val="24"/>
          <w:szCs w:val="24"/>
        </w:rPr>
        <w:t>Visible Learning: A Synthesis of Over 800 Meta-Analyses Relating to Achievement</w:t>
      </w:r>
      <w:r w:rsidRPr="00F519FA">
        <w:rPr>
          <w:rFonts w:ascii="Times New Roman" w:hAnsi="Times New Roman" w:cs="Times New Roman"/>
          <w:sz w:val="24"/>
          <w:szCs w:val="24"/>
        </w:rPr>
        <w:t xml:space="preserve">. Routledge. </w:t>
      </w:r>
    </w:p>
    <w:p w14:paraId="5C8CADA1" w14:textId="77777777" w:rsidR="00BA4117" w:rsidRPr="00BA4117" w:rsidRDefault="00BA4117" w:rsidP="00F519FA">
      <w:pPr>
        <w:pStyle w:val="NormalWeb"/>
        <w:numPr>
          <w:ilvl w:val="0"/>
          <w:numId w:val="15"/>
        </w:numPr>
        <w:spacing w:before="0" w:beforeAutospacing="0" w:after="0" w:afterAutospacing="0"/>
        <w:contextualSpacing/>
        <w:jc w:val="both"/>
      </w:pPr>
      <w:proofErr w:type="spellStart"/>
      <w:r w:rsidRPr="00BA4117">
        <w:t>Kireebwa</w:t>
      </w:r>
      <w:proofErr w:type="spellEnd"/>
      <w:r w:rsidRPr="00BA4117">
        <w:t xml:space="preserve">, E., &amp; Andala, H. O. (2023). Instructional materials usage and students’ academic performance in selected ordinary level public schools in Gasabo District, Rwanda. </w:t>
      </w:r>
      <w:r w:rsidRPr="00BA4117">
        <w:rPr>
          <w:rStyle w:val="Emphasis"/>
          <w:rFonts w:eastAsiaTheme="majorEastAsia"/>
        </w:rPr>
        <w:t>Journal of Education</w:t>
      </w:r>
      <w:r w:rsidRPr="00BA4117">
        <w:t>. https://doi.org/10.53819/81018102t5212</w:t>
      </w:r>
    </w:p>
    <w:p w14:paraId="1BEDD9B3"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trike/>
          <w:sz w:val="24"/>
          <w:szCs w:val="24"/>
        </w:rPr>
      </w:pPr>
      <w:proofErr w:type="spellStart"/>
      <w:r w:rsidRPr="00F519FA">
        <w:rPr>
          <w:rFonts w:ascii="Times New Roman" w:hAnsi="Times New Roman" w:cs="Times New Roman"/>
          <w:color w:val="222222"/>
          <w:sz w:val="24"/>
          <w:szCs w:val="24"/>
          <w:shd w:val="clear" w:color="auto" w:fill="FFFFFF"/>
        </w:rPr>
        <w:t>Languille</w:t>
      </w:r>
      <w:proofErr w:type="spellEnd"/>
      <w:r w:rsidRPr="00F519FA">
        <w:rPr>
          <w:rFonts w:ascii="Times New Roman" w:hAnsi="Times New Roman" w:cs="Times New Roman"/>
          <w:color w:val="222222"/>
          <w:sz w:val="24"/>
          <w:szCs w:val="24"/>
          <w:shd w:val="clear" w:color="auto" w:fill="FFFFFF"/>
        </w:rPr>
        <w:t>, S. (2016). The scramble for textbooks in Tanzania. </w:t>
      </w:r>
      <w:r w:rsidRPr="00F519FA">
        <w:rPr>
          <w:rFonts w:ascii="Times New Roman" w:hAnsi="Times New Roman" w:cs="Times New Roman"/>
          <w:i/>
          <w:iCs/>
          <w:color w:val="222222"/>
          <w:sz w:val="24"/>
          <w:szCs w:val="24"/>
          <w:shd w:val="clear" w:color="auto" w:fill="FFFFFF"/>
        </w:rPr>
        <w:t>African Affairs</w:t>
      </w:r>
      <w:r w:rsidRPr="00F519FA">
        <w:rPr>
          <w:rFonts w:ascii="Times New Roman" w:hAnsi="Times New Roman" w:cs="Times New Roman"/>
          <w:color w:val="222222"/>
          <w:sz w:val="24"/>
          <w:szCs w:val="24"/>
          <w:shd w:val="clear" w:color="auto" w:fill="FFFFFF"/>
        </w:rPr>
        <w:t>, </w:t>
      </w:r>
      <w:r w:rsidRPr="00F519FA">
        <w:rPr>
          <w:rFonts w:ascii="Times New Roman" w:hAnsi="Times New Roman" w:cs="Times New Roman"/>
          <w:i/>
          <w:iCs/>
          <w:color w:val="222222"/>
          <w:sz w:val="24"/>
          <w:szCs w:val="24"/>
          <w:shd w:val="clear" w:color="auto" w:fill="FFFFFF"/>
        </w:rPr>
        <w:t>115</w:t>
      </w:r>
      <w:r w:rsidRPr="00F519FA">
        <w:rPr>
          <w:rFonts w:ascii="Times New Roman" w:hAnsi="Times New Roman" w:cs="Times New Roman"/>
          <w:color w:val="222222"/>
          <w:sz w:val="24"/>
          <w:szCs w:val="24"/>
          <w:shd w:val="clear" w:color="auto" w:fill="FFFFFF"/>
        </w:rPr>
        <w:t>(458), 73-96.</w:t>
      </w:r>
    </w:p>
    <w:p w14:paraId="0EC56433"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Style w:val="Strong"/>
          <w:rFonts w:ascii="Times New Roman" w:hAnsi="Times New Roman" w:cs="Times New Roman"/>
          <w:b w:val="0"/>
          <w:bCs w:val="0"/>
          <w:sz w:val="24"/>
          <w:szCs w:val="24"/>
        </w:rPr>
        <w:t>Lee, S., Lee, S. S., Lee, J. H., &amp; Jeong, Y. (2023).</w:t>
      </w:r>
      <w:r w:rsidRPr="00F519FA">
        <w:rPr>
          <w:rFonts w:ascii="Times New Roman" w:hAnsi="Times New Roman" w:cs="Times New Roman"/>
          <w:sz w:val="24"/>
          <w:szCs w:val="24"/>
        </w:rPr>
        <w:t xml:space="preserve"> </w:t>
      </w:r>
      <w:r w:rsidRPr="00F519FA">
        <w:rPr>
          <w:rStyle w:val="Emphasis"/>
          <w:rFonts w:ascii="Times New Roman" w:hAnsi="Times New Roman" w:cs="Times New Roman"/>
          <w:i w:val="0"/>
          <w:iCs w:val="0"/>
          <w:sz w:val="24"/>
          <w:szCs w:val="24"/>
        </w:rPr>
        <w:t>The effects of digital textbooks on students’ academic performance, academic interest, and learning skills</w:t>
      </w:r>
      <w:r w:rsidRPr="00F519FA">
        <w:rPr>
          <w:rStyle w:val="Emphasis"/>
          <w:rFonts w:ascii="Times New Roman" w:hAnsi="Times New Roman" w:cs="Times New Roman"/>
          <w:sz w:val="24"/>
          <w:szCs w:val="24"/>
        </w:rPr>
        <w:t>.</w:t>
      </w:r>
      <w:r w:rsidRPr="00F519FA">
        <w:rPr>
          <w:rFonts w:ascii="Times New Roman" w:hAnsi="Times New Roman" w:cs="Times New Roman"/>
          <w:sz w:val="24"/>
          <w:szCs w:val="24"/>
        </w:rPr>
        <w:t xml:space="preserve"> </w:t>
      </w:r>
      <w:r w:rsidRPr="00F519FA">
        <w:rPr>
          <w:rStyle w:val="Emphasis"/>
          <w:rFonts w:ascii="Times New Roman" w:hAnsi="Times New Roman" w:cs="Times New Roman"/>
          <w:sz w:val="24"/>
          <w:szCs w:val="24"/>
        </w:rPr>
        <w:t>Journal of Marketing Research, 60(4)</w:t>
      </w:r>
      <w:r w:rsidRPr="00F519FA">
        <w:rPr>
          <w:rFonts w:ascii="Times New Roman" w:hAnsi="Times New Roman" w:cs="Times New Roman"/>
          <w:sz w:val="24"/>
          <w:szCs w:val="24"/>
        </w:rPr>
        <w:t xml:space="preserve">. </w:t>
      </w:r>
      <w:hyperlink r:id="rId9" w:tgtFrame="_new" w:history="1">
        <w:r w:rsidRPr="00F519FA">
          <w:rPr>
            <w:rStyle w:val="Hyperlink"/>
            <w:rFonts w:ascii="Times New Roman" w:hAnsi="Times New Roman" w:cs="Times New Roman"/>
            <w:sz w:val="24"/>
            <w:szCs w:val="24"/>
          </w:rPr>
          <w:t>https://doi.org/10.1177/00222437221130712</w:t>
        </w:r>
      </w:hyperlink>
    </w:p>
    <w:p w14:paraId="45A1A689"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Style w:val="Strong"/>
          <w:rFonts w:ascii="Times New Roman" w:hAnsi="Times New Roman" w:cs="Times New Roman"/>
          <w:b w:val="0"/>
          <w:bCs w:val="0"/>
          <w:sz w:val="24"/>
          <w:szCs w:val="24"/>
        </w:rPr>
        <w:t>Li, F., &amp; Wang, L. (2024).</w:t>
      </w:r>
      <w:r w:rsidRPr="00F519FA">
        <w:rPr>
          <w:rFonts w:ascii="Times New Roman" w:hAnsi="Times New Roman" w:cs="Times New Roman"/>
          <w:sz w:val="24"/>
          <w:szCs w:val="24"/>
        </w:rPr>
        <w:t xml:space="preserve"> </w:t>
      </w:r>
      <w:r w:rsidRPr="00F519FA">
        <w:rPr>
          <w:rStyle w:val="Emphasis"/>
          <w:rFonts w:ascii="Times New Roman" w:hAnsi="Times New Roman" w:cs="Times New Roman"/>
          <w:i w:val="0"/>
          <w:iCs w:val="0"/>
          <w:sz w:val="24"/>
          <w:szCs w:val="24"/>
        </w:rPr>
        <w:t>A study on textbook use and its effects on students’ academic performance</w:t>
      </w:r>
      <w:r w:rsidRPr="00F519FA">
        <w:rPr>
          <w:rStyle w:val="Emphasis"/>
          <w:rFonts w:ascii="Times New Roman" w:hAnsi="Times New Roman" w:cs="Times New Roman"/>
          <w:sz w:val="24"/>
          <w:szCs w:val="24"/>
        </w:rPr>
        <w:t>.</w:t>
      </w:r>
      <w:r w:rsidRPr="00F519FA">
        <w:rPr>
          <w:rFonts w:ascii="Times New Roman" w:hAnsi="Times New Roman" w:cs="Times New Roman"/>
          <w:sz w:val="24"/>
          <w:szCs w:val="24"/>
        </w:rPr>
        <w:t xml:space="preserve"> </w:t>
      </w:r>
      <w:r w:rsidRPr="00F519FA">
        <w:rPr>
          <w:rStyle w:val="Emphasis"/>
          <w:rFonts w:ascii="Times New Roman" w:hAnsi="Times New Roman" w:cs="Times New Roman"/>
          <w:sz w:val="24"/>
          <w:szCs w:val="24"/>
        </w:rPr>
        <w:t>Disciplinary and Interdisciplinary Science Education Research, 6</w:t>
      </w:r>
      <w:r w:rsidRPr="00F519FA">
        <w:rPr>
          <w:rFonts w:ascii="Times New Roman" w:hAnsi="Times New Roman" w:cs="Times New Roman"/>
          <w:sz w:val="24"/>
          <w:szCs w:val="24"/>
        </w:rPr>
        <w:t>, Article 4. https://doi.org/10.1186/s43031-023-00094-1</w:t>
      </w:r>
    </w:p>
    <w:p w14:paraId="657E9D79" w14:textId="77777777" w:rsidR="00BA4117" w:rsidRPr="00BA4117" w:rsidRDefault="00BA4117" w:rsidP="00F519FA">
      <w:pPr>
        <w:pStyle w:val="Default"/>
        <w:numPr>
          <w:ilvl w:val="0"/>
          <w:numId w:val="15"/>
        </w:numPr>
        <w:jc w:val="both"/>
      </w:pPr>
      <w:proofErr w:type="spellStart"/>
      <w:r w:rsidRPr="00BA4117">
        <w:rPr>
          <w:i/>
          <w:iCs/>
        </w:rPr>
        <w:t>Machuma</w:t>
      </w:r>
      <w:proofErr w:type="spellEnd"/>
      <w:r w:rsidRPr="00BA4117">
        <w:rPr>
          <w:i/>
          <w:iCs/>
        </w:rPr>
        <w:t xml:space="preserve">, O.G.  &amp; </w:t>
      </w:r>
      <w:proofErr w:type="spellStart"/>
      <w:r w:rsidRPr="00BA4117">
        <w:rPr>
          <w:i/>
          <w:iCs/>
        </w:rPr>
        <w:t>Ogochi</w:t>
      </w:r>
      <w:proofErr w:type="spellEnd"/>
      <w:r w:rsidRPr="00BA4117">
        <w:rPr>
          <w:i/>
          <w:iCs/>
        </w:rPr>
        <w:t xml:space="preserve">, G. (2024). </w:t>
      </w:r>
      <w:r w:rsidRPr="00BA4117">
        <w:t xml:space="preserve">Influence of Teaching and Learning Resources Provided by BOM on Students’ Academic Performance in Public Secondary Schools of Kisii Central Sub-County, Kenya. </w:t>
      </w:r>
      <w:r w:rsidRPr="00BA4117">
        <w:rPr>
          <w:rStyle w:val="Emphasis"/>
        </w:rPr>
        <w:t>East African Journal of Education Studies</w:t>
      </w:r>
      <w:r w:rsidRPr="00BA4117">
        <w:t xml:space="preserve">. Retrieved from </w:t>
      </w:r>
      <w:hyperlink r:id="rId10" w:tgtFrame="_new" w:history="1">
        <w:r w:rsidRPr="00BA4117">
          <w:rPr>
            <w:rStyle w:val="Hyperlink"/>
          </w:rPr>
          <w:t>https://journals.eanso.org/index.php/eajes/article/download/2361/3031</w:t>
        </w:r>
      </w:hyperlink>
    </w:p>
    <w:p w14:paraId="7A3699D4" w14:textId="6D8ACD86"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proofErr w:type="spellStart"/>
      <w:r w:rsidRPr="00F519FA">
        <w:rPr>
          <w:rFonts w:ascii="Times New Roman" w:hAnsi="Times New Roman" w:cs="Times New Roman"/>
          <w:sz w:val="24"/>
          <w:szCs w:val="24"/>
        </w:rPr>
        <w:t>Masa’deh</w:t>
      </w:r>
      <w:proofErr w:type="spellEnd"/>
      <w:r w:rsidRPr="00F519FA">
        <w:rPr>
          <w:rFonts w:ascii="Times New Roman" w:hAnsi="Times New Roman" w:cs="Times New Roman"/>
          <w:sz w:val="24"/>
          <w:szCs w:val="24"/>
        </w:rPr>
        <w:t xml:space="preserve">, R., </w:t>
      </w:r>
      <w:proofErr w:type="spellStart"/>
      <w:r w:rsidRPr="00F519FA">
        <w:rPr>
          <w:rFonts w:ascii="Times New Roman" w:hAnsi="Times New Roman" w:cs="Times New Roman"/>
          <w:sz w:val="24"/>
          <w:szCs w:val="24"/>
        </w:rPr>
        <w:t>AlHadid</w:t>
      </w:r>
      <w:proofErr w:type="spellEnd"/>
      <w:r w:rsidRPr="00F519FA">
        <w:rPr>
          <w:rFonts w:ascii="Times New Roman" w:hAnsi="Times New Roman" w:cs="Times New Roman"/>
          <w:sz w:val="24"/>
          <w:szCs w:val="24"/>
        </w:rPr>
        <w:t>, I., Abu</w:t>
      </w:r>
      <w:r w:rsidRPr="00F519FA">
        <w:rPr>
          <w:rFonts w:ascii="Times New Roman" w:hAnsi="Times New Roman" w:cs="Times New Roman"/>
          <w:sz w:val="24"/>
          <w:szCs w:val="24"/>
        </w:rPr>
        <w:noBreakHyphen/>
      </w:r>
      <w:proofErr w:type="spellStart"/>
      <w:r w:rsidRPr="00F519FA">
        <w:rPr>
          <w:rFonts w:ascii="Times New Roman" w:hAnsi="Times New Roman" w:cs="Times New Roman"/>
          <w:sz w:val="24"/>
          <w:szCs w:val="24"/>
        </w:rPr>
        <w:t>Taieh</w:t>
      </w:r>
      <w:proofErr w:type="spellEnd"/>
      <w:r w:rsidRPr="00F519FA">
        <w:rPr>
          <w:rFonts w:ascii="Times New Roman" w:hAnsi="Times New Roman" w:cs="Times New Roman"/>
          <w:sz w:val="24"/>
          <w:szCs w:val="24"/>
        </w:rPr>
        <w:t xml:space="preserve">, E., </w:t>
      </w:r>
      <w:proofErr w:type="spellStart"/>
      <w:r w:rsidRPr="00F519FA">
        <w:rPr>
          <w:rFonts w:ascii="Times New Roman" w:hAnsi="Times New Roman" w:cs="Times New Roman"/>
          <w:sz w:val="24"/>
          <w:szCs w:val="24"/>
        </w:rPr>
        <w:t>Khwaldeh</w:t>
      </w:r>
      <w:proofErr w:type="spellEnd"/>
      <w:r w:rsidRPr="00F519FA">
        <w:rPr>
          <w:rFonts w:ascii="Times New Roman" w:hAnsi="Times New Roman" w:cs="Times New Roman"/>
          <w:sz w:val="24"/>
          <w:szCs w:val="24"/>
        </w:rPr>
        <w:t xml:space="preserve">, S., </w:t>
      </w:r>
      <w:proofErr w:type="spellStart"/>
      <w:r w:rsidRPr="00F519FA">
        <w:rPr>
          <w:rFonts w:ascii="Times New Roman" w:hAnsi="Times New Roman" w:cs="Times New Roman"/>
          <w:sz w:val="24"/>
          <w:szCs w:val="24"/>
        </w:rPr>
        <w:t>Alrowwad</w:t>
      </w:r>
      <w:proofErr w:type="spellEnd"/>
      <w:r w:rsidRPr="00F519FA">
        <w:rPr>
          <w:rFonts w:ascii="Times New Roman" w:hAnsi="Times New Roman" w:cs="Times New Roman"/>
          <w:sz w:val="24"/>
          <w:szCs w:val="24"/>
        </w:rPr>
        <w:t xml:space="preserve">, A., &amp; </w:t>
      </w:r>
      <w:proofErr w:type="spellStart"/>
      <w:r w:rsidRPr="00F519FA">
        <w:rPr>
          <w:rFonts w:ascii="Times New Roman" w:hAnsi="Times New Roman" w:cs="Times New Roman"/>
          <w:sz w:val="24"/>
          <w:szCs w:val="24"/>
        </w:rPr>
        <w:t>Alkhawaldeh</w:t>
      </w:r>
      <w:proofErr w:type="spellEnd"/>
      <w:r w:rsidRPr="00F519FA">
        <w:rPr>
          <w:rFonts w:ascii="Times New Roman" w:hAnsi="Times New Roman" w:cs="Times New Roman"/>
          <w:sz w:val="24"/>
          <w:szCs w:val="24"/>
        </w:rPr>
        <w:t xml:space="preserve">, R. S. (2022). </w:t>
      </w:r>
      <w:r w:rsidRPr="00F519FA">
        <w:rPr>
          <w:rStyle w:val="Emphasis"/>
          <w:rFonts w:ascii="Times New Roman" w:hAnsi="Times New Roman" w:cs="Times New Roman"/>
          <w:i w:val="0"/>
          <w:iCs w:val="0"/>
          <w:sz w:val="24"/>
          <w:szCs w:val="24"/>
        </w:rPr>
        <w:t>Factors influencing students’ intention to use e</w:t>
      </w:r>
      <w:r w:rsidRPr="00F519FA">
        <w:rPr>
          <w:rStyle w:val="Emphasis"/>
          <w:rFonts w:ascii="Times New Roman" w:hAnsi="Times New Roman" w:cs="Times New Roman"/>
          <w:i w:val="0"/>
          <w:iCs w:val="0"/>
          <w:sz w:val="24"/>
          <w:szCs w:val="24"/>
        </w:rPr>
        <w:noBreakHyphen/>
        <w:t>textbooks and their impact on academic achievement in bilingual environment: An empirical study Jordan</w:t>
      </w:r>
      <w:r w:rsidRPr="00F519FA">
        <w:rPr>
          <w:rStyle w:val="Emphasis"/>
          <w:rFonts w:ascii="Times New Roman" w:hAnsi="Times New Roman" w:cs="Times New Roman"/>
          <w:sz w:val="24"/>
          <w:szCs w:val="24"/>
        </w:rPr>
        <w:t>.</w:t>
      </w:r>
      <w:r w:rsidRPr="00F519FA">
        <w:rPr>
          <w:rFonts w:ascii="Times New Roman" w:hAnsi="Times New Roman" w:cs="Times New Roman"/>
          <w:sz w:val="24"/>
          <w:szCs w:val="24"/>
        </w:rPr>
        <w:t xml:space="preserve"> </w:t>
      </w:r>
      <w:r w:rsidRPr="00F519FA">
        <w:rPr>
          <w:rStyle w:val="Emphasis"/>
          <w:rFonts w:ascii="Times New Roman" w:hAnsi="Times New Roman" w:cs="Times New Roman"/>
          <w:sz w:val="24"/>
          <w:szCs w:val="24"/>
        </w:rPr>
        <w:t>Information, 13</w:t>
      </w:r>
      <w:r w:rsidRPr="00F519FA">
        <w:rPr>
          <w:rFonts w:ascii="Times New Roman" w:hAnsi="Times New Roman" w:cs="Times New Roman"/>
          <w:sz w:val="24"/>
          <w:szCs w:val="24"/>
        </w:rPr>
        <w:t xml:space="preserve">(5), Article 233. </w:t>
      </w:r>
      <w:hyperlink r:id="rId11" w:history="1">
        <w:r w:rsidRPr="00F519FA">
          <w:rPr>
            <w:rStyle w:val="Hyperlink"/>
            <w:rFonts w:ascii="Times New Roman" w:hAnsi="Times New Roman" w:cs="Times New Roman"/>
            <w:sz w:val="24"/>
            <w:szCs w:val="24"/>
          </w:rPr>
          <w:t>https://doi.org/10.3390/info13050233</w:t>
        </w:r>
      </w:hyperlink>
    </w:p>
    <w:p w14:paraId="60C680D1" w14:textId="413DC836"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Mwikali, A., </w:t>
      </w:r>
      <w:proofErr w:type="spellStart"/>
      <w:r w:rsidRPr="00F519FA">
        <w:rPr>
          <w:rFonts w:ascii="Times New Roman" w:hAnsi="Times New Roman" w:cs="Times New Roman"/>
          <w:sz w:val="24"/>
          <w:szCs w:val="24"/>
        </w:rPr>
        <w:t>Kiende</w:t>
      </w:r>
      <w:proofErr w:type="spellEnd"/>
      <w:r w:rsidRPr="00F519FA">
        <w:rPr>
          <w:rFonts w:ascii="Times New Roman" w:hAnsi="Times New Roman" w:cs="Times New Roman"/>
          <w:sz w:val="24"/>
          <w:szCs w:val="24"/>
        </w:rPr>
        <w:t xml:space="preserve">, H., &amp; </w:t>
      </w:r>
      <w:proofErr w:type="spellStart"/>
      <w:r w:rsidRPr="00F519FA">
        <w:rPr>
          <w:rFonts w:ascii="Times New Roman" w:hAnsi="Times New Roman" w:cs="Times New Roman"/>
          <w:sz w:val="24"/>
          <w:szCs w:val="24"/>
        </w:rPr>
        <w:t>Ogeta</w:t>
      </w:r>
      <w:proofErr w:type="spellEnd"/>
      <w:r w:rsidRPr="00F519FA">
        <w:rPr>
          <w:rFonts w:ascii="Times New Roman" w:hAnsi="Times New Roman" w:cs="Times New Roman"/>
          <w:sz w:val="24"/>
          <w:szCs w:val="24"/>
        </w:rPr>
        <w:t xml:space="preserve">, N. (2024). Utilisation of textbooks and its’ influence on students’ academic performance in public secondary schools in Makueni County, Kenya. </w:t>
      </w:r>
      <w:r w:rsidRPr="00F519FA">
        <w:rPr>
          <w:rStyle w:val="Emphasis"/>
          <w:rFonts w:ascii="Times New Roman" w:eastAsiaTheme="majorEastAsia" w:hAnsi="Times New Roman" w:cs="Times New Roman"/>
          <w:sz w:val="24"/>
          <w:szCs w:val="24"/>
        </w:rPr>
        <w:t>Journal of Education</w:t>
      </w:r>
      <w:r w:rsidRPr="00F519FA">
        <w:rPr>
          <w:rFonts w:ascii="Times New Roman" w:hAnsi="Times New Roman" w:cs="Times New Roman"/>
          <w:sz w:val="24"/>
          <w:szCs w:val="24"/>
        </w:rPr>
        <w:t>. https://doi.org/10.70619/vol4iss2pp21</w:t>
      </w:r>
      <w:r w:rsidRPr="00F519FA">
        <w:rPr>
          <w:rFonts w:ascii="Times New Roman" w:hAnsi="Times New Roman" w:cs="Times New Roman"/>
          <w:sz w:val="24"/>
          <w:szCs w:val="24"/>
        </w:rPr>
        <w:noBreakHyphen/>
        <w:t>34</w:t>
      </w:r>
    </w:p>
    <w:p w14:paraId="3A48B894"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National Examinations Council of Tanzania. (2014–2024). </w:t>
      </w:r>
      <w:r w:rsidRPr="00F519FA">
        <w:rPr>
          <w:rStyle w:val="Emphasis"/>
          <w:rFonts w:ascii="Times New Roman" w:eastAsiaTheme="majorEastAsia" w:hAnsi="Times New Roman" w:cs="Times New Roman"/>
          <w:sz w:val="24"/>
          <w:szCs w:val="24"/>
        </w:rPr>
        <w:t>ACSEE Examination Reports and Candidate Performance Statistics</w:t>
      </w:r>
      <w:r w:rsidRPr="00F519FA">
        <w:rPr>
          <w:rFonts w:ascii="Times New Roman" w:hAnsi="Times New Roman" w:cs="Times New Roman"/>
          <w:sz w:val="24"/>
          <w:szCs w:val="24"/>
        </w:rPr>
        <w:t xml:space="preserve">. https://www.necta.go.tz/publications/all. </w:t>
      </w:r>
    </w:p>
    <w:p w14:paraId="12DDD9C3"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proofErr w:type="spellStart"/>
      <w:r w:rsidRPr="00F519FA">
        <w:rPr>
          <w:rFonts w:ascii="Times New Roman" w:hAnsi="Times New Roman" w:cs="Times New Roman"/>
          <w:sz w:val="24"/>
          <w:szCs w:val="24"/>
        </w:rPr>
        <w:t>Pavešić</w:t>
      </w:r>
      <w:proofErr w:type="spellEnd"/>
      <w:r w:rsidRPr="00F519FA">
        <w:rPr>
          <w:rFonts w:ascii="Times New Roman" w:hAnsi="Times New Roman" w:cs="Times New Roman"/>
          <w:sz w:val="24"/>
          <w:szCs w:val="24"/>
        </w:rPr>
        <w:t xml:space="preserve">, B. J., &amp; Cankar, G. (2022). </w:t>
      </w:r>
      <w:r w:rsidRPr="00F519FA">
        <w:rPr>
          <w:rStyle w:val="Emphasis"/>
          <w:rFonts w:ascii="Times New Roman" w:hAnsi="Times New Roman" w:cs="Times New Roman"/>
          <w:i w:val="0"/>
          <w:iCs w:val="0"/>
          <w:sz w:val="24"/>
          <w:szCs w:val="24"/>
        </w:rPr>
        <w:t>Textbooks and students’ knowledge</w:t>
      </w:r>
      <w:r w:rsidRPr="00F519FA">
        <w:rPr>
          <w:rStyle w:val="Emphasis"/>
          <w:rFonts w:ascii="Times New Roman" w:hAnsi="Times New Roman" w:cs="Times New Roman"/>
          <w:sz w:val="24"/>
          <w:szCs w:val="24"/>
        </w:rPr>
        <w:t>.</w:t>
      </w:r>
      <w:r w:rsidRPr="00F519FA">
        <w:rPr>
          <w:rFonts w:ascii="Times New Roman" w:hAnsi="Times New Roman" w:cs="Times New Roman"/>
          <w:sz w:val="24"/>
          <w:szCs w:val="24"/>
        </w:rPr>
        <w:t xml:space="preserve"> </w:t>
      </w:r>
      <w:proofErr w:type="spellStart"/>
      <w:r w:rsidRPr="00F519FA">
        <w:rPr>
          <w:rStyle w:val="Emphasis"/>
          <w:rFonts w:ascii="Times New Roman" w:hAnsi="Times New Roman" w:cs="Times New Roman"/>
          <w:sz w:val="24"/>
          <w:szCs w:val="24"/>
        </w:rPr>
        <w:t>Center</w:t>
      </w:r>
      <w:proofErr w:type="spellEnd"/>
      <w:r w:rsidRPr="00F519FA">
        <w:rPr>
          <w:rStyle w:val="Emphasis"/>
          <w:rFonts w:ascii="Times New Roman" w:hAnsi="Times New Roman" w:cs="Times New Roman"/>
          <w:sz w:val="24"/>
          <w:szCs w:val="24"/>
        </w:rPr>
        <w:t xml:space="preserve"> for Educational Policy Studies Journal, 12</w:t>
      </w:r>
      <w:r w:rsidRPr="00F519FA">
        <w:rPr>
          <w:rFonts w:ascii="Times New Roman" w:hAnsi="Times New Roman" w:cs="Times New Roman"/>
          <w:sz w:val="24"/>
          <w:szCs w:val="24"/>
        </w:rPr>
        <w:t>(2), 29–65. https://doi.org/10.26529/cepsj.1283</w:t>
      </w:r>
    </w:p>
    <w:p w14:paraId="63F7D911"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Piaget, J. (1973). </w:t>
      </w:r>
      <w:r w:rsidRPr="00F519FA">
        <w:rPr>
          <w:rStyle w:val="Emphasis"/>
          <w:rFonts w:ascii="Times New Roman" w:hAnsi="Times New Roman" w:cs="Times New Roman"/>
          <w:sz w:val="24"/>
          <w:szCs w:val="24"/>
        </w:rPr>
        <w:t>To understand is to invent: The future of education</w:t>
      </w:r>
      <w:r w:rsidRPr="00F519FA">
        <w:rPr>
          <w:rFonts w:ascii="Times New Roman" w:hAnsi="Times New Roman" w:cs="Times New Roman"/>
          <w:sz w:val="24"/>
          <w:szCs w:val="24"/>
        </w:rPr>
        <w:t xml:space="preserve"> (G. A. Roberts, Trans.). Grossman Publishers.</w:t>
      </w:r>
    </w:p>
    <w:p w14:paraId="364F491A"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lastRenderedPageBreak/>
        <w:t>Rodriguez</w:t>
      </w:r>
      <w:r w:rsidRPr="00F519FA">
        <w:rPr>
          <w:rFonts w:ascii="Times New Roman" w:hAnsi="Times New Roman" w:cs="Times New Roman"/>
          <w:sz w:val="24"/>
          <w:szCs w:val="24"/>
        </w:rPr>
        <w:noBreakHyphen/>
        <w:t xml:space="preserve">Segura, D., &amp; Mbiti, I. (2022). </w:t>
      </w:r>
      <w:r w:rsidRPr="00F519FA">
        <w:rPr>
          <w:rStyle w:val="Emphasis"/>
          <w:rFonts w:ascii="Times New Roman" w:hAnsi="Times New Roman" w:cs="Times New Roman"/>
          <w:sz w:val="24"/>
          <w:szCs w:val="24"/>
        </w:rPr>
        <w:t>Back to the basics: Curriculum reform and student learning in Tanzania</w:t>
      </w:r>
      <w:r w:rsidRPr="00F519FA">
        <w:rPr>
          <w:rFonts w:ascii="Times New Roman" w:hAnsi="Times New Roman" w:cs="Times New Roman"/>
          <w:sz w:val="24"/>
          <w:szCs w:val="24"/>
        </w:rPr>
        <w:t xml:space="preserve"> (RISE Working Paper 22/099). Research on Improving Systems of Education (RISE). https://doi.org/10.35489/BSG</w:t>
      </w:r>
      <w:r w:rsidRPr="00F519FA">
        <w:rPr>
          <w:rFonts w:ascii="Times New Roman" w:hAnsi="Times New Roman" w:cs="Times New Roman"/>
          <w:sz w:val="24"/>
          <w:szCs w:val="24"/>
        </w:rPr>
        <w:noBreakHyphen/>
        <w:t>RISE</w:t>
      </w:r>
      <w:r w:rsidRPr="00F519FA">
        <w:rPr>
          <w:rFonts w:ascii="Times New Roman" w:hAnsi="Times New Roman" w:cs="Times New Roman"/>
          <w:sz w:val="24"/>
          <w:szCs w:val="24"/>
        </w:rPr>
        <w:noBreakHyphen/>
        <w:t>WP_2022/099</w:t>
      </w:r>
    </w:p>
    <w:p w14:paraId="1AB441D0"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Savage, C. (2021). Social studies textbook effects: Evidence from Texas. </w:t>
      </w:r>
      <w:r w:rsidRPr="00F519FA">
        <w:rPr>
          <w:rStyle w:val="Emphasis"/>
          <w:rFonts w:ascii="Times New Roman" w:eastAsiaTheme="majorEastAsia" w:hAnsi="Times New Roman" w:cs="Times New Roman"/>
          <w:sz w:val="24"/>
          <w:szCs w:val="24"/>
        </w:rPr>
        <w:t>ERIC Digest</w:t>
      </w:r>
      <w:r w:rsidRPr="00F519FA">
        <w:rPr>
          <w:rFonts w:ascii="Times New Roman" w:hAnsi="Times New Roman" w:cs="Times New Roman"/>
          <w:sz w:val="24"/>
          <w:szCs w:val="24"/>
        </w:rPr>
        <w:t xml:space="preserve">. </w:t>
      </w:r>
    </w:p>
    <w:p w14:paraId="104D9A76"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Shulman, L. S. (1987). Knowledge and teaching: Foundations of the new reform. </w:t>
      </w:r>
      <w:r w:rsidRPr="00F519FA">
        <w:rPr>
          <w:rStyle w:val="Emphasis"/>
          <w:rFonts w:ascii="Times New Roman" w:eastAsiaTheme="majorEastAsia" w:hAnsi="Times New Roman" w:cs="Times New Roman"/>
          <w:sz w:val="24"/>
          <w:szCs w:val="24"/>
        </w:rPr>
        <w:t>Harvard Educational Review, 57(1), 1–22</w:t>
      </w:r>
      <w:r w:rsidRPr="00F519FA">
        <w:rPr>
          <w:rFonts w:ascii="Times New Roman" w:hAnsi="Times New Roman" w:cs="Times New Roman"/>
          <w:sz w:val="24"/>
          <w:szCs w:val="24"/>
        </w:rPr>
        <w:t>. Link</w:t>
      </w:r>
    </w:p>
    <w:p w14:paraId="7E91F022" w14:textId="77777777" w:rsidR="00BA4117" w:rsidRDefault="00BA4117" w:rsidP="00F519FA">
      <w:pPr>
        <w:pStyle w:val="Default"/>
        <w:numPr>
          <w:ilvl w:val="0"/>
          <w:numId w:val="15"/>
        </w:numPr>
        <w:jc w:val="both"/>
      </w:pPr>
      <w:r w:rsidRPr="00BA4117">
        <w:t xml:space="preserve">Somba, D. W. &amp; Otieno, K. O. (2022). Influence of teaching and learning resources on students’ academic performance in secondary schools in Arusha District Council, Tanzania. </w:t>
      </w:r>
      <w:r w:rsidRPr="00BA4117">
        <w:rPr>
          <w:i/>
          <w:iCs/>
        </w:rPr>
        <w:t>Journal of Research Innovations and Implications in Education, 6(1), 178 – 189</w:t>
      </w:r>
      <w:r w:rsidRPr="00BA4117">
        <w:t xml:space="preserve">. </w:t>
      </w:r>
    </w:p>
    <w:p w14:paraId="78604255" w14:textId="755FC80D" w:rsidR="00BA4117" w:rsidRPr="00BA4117" w:rsidRDefault="00BA4117" w:rsidP="00F519FA">
      <w:pPr>
        <w:pStyle w:val="Default"/>
        <w:numPr>
          <w:ilvl w:val="0"/>
          <w:numId w:val="15"/>
        </w:numPr>
        <w:jc w:val="both"/>
        <w:rPr>
          <w:color w:val="auto"/>
        </w:rPr>
      </w:pPr>
      <w:proofErr w:type="spellStart"/>
      <w:r w:rsidRPr="00BA4117">
        <w:rPr>
          <w:rStyle w:val="personname"/>
          <w:rFonts w:eastAsiaTheme="majorEastAsia"/>
          <w:color w:val="auto"/>
          <w:shd w:val="clear" w:color="auto" w:fill="FFFFFF"/>
        </w:rPr>
        <w:t>Tety</w:t>
      </w:r>
      <w:proofErr w:type="spellEnd"/>
      <w:r w:rsidRPr="00BA4117">
        <w:rPr>
          <w:rStyle w:val="personname"/>
          <w:rFonts w:eastAsiaTheme="majorEastAsia"/>
          <w:color w:val="auto"/>
          <w:shd w:val="clear" w:color="auto" w:fill="FFFFFF"/>
        </w:rPr>
        <w:t>, J. L. </w:t>
      </w:r>
      <w:r w:rsidRPr="00BA4117">
        <w:rPr>
          <w:color w:val="auto"/>
          <w:shd w:val="clear" w:color="auto" w:fill="FFFFFF"/>
        </w:rPr>
        <w:t>(2016). </w:t>
      </w:r>
      <w:r w:rsidRPr="00BA4117">
        <w:rPr>
          <w:rStyle w:val="Emphasis"/>
          <w:rFonts w:eastAsiaTheme="majorEastAsia"/>
          <w:color w:val="auto"/>
          <w:shd w:val="clear" w:color="auto" w:fill="FFFFFF"/>
        </w:rPr>
        <w:t>Role of Instructional Materials in Academic Performance in Community Secondary Schools in Rombo District.</w:t>
      </w:r>
      <w:r w:rsidRPr="00BA4117">
        <w:rPr>
          <w:color w:val="auto"/>
          <w:shd w:val="clear" w:color="auto" w:fill="FFFFFF"/>
        </w:rPr>
        <w:t> </w:t>
      </w:r>
      <w:proofErr w:type="spellStart"/>
      <w:r w:rsidRPr="00BA4117">
        <w:rPr>
          <w:color w:val="auto"/>
          <w:shd w:val="clear" w:color="auto" w:fill="FFFFFF"/>
        </w:rPr>
        <w:t>Masters</w:t>
      </w:r>
      <w:proofErr w:type="spellEnd"/>
      <w:r w:rsidRPr="00BA4117">
        <w:rPr>
          <w:color w:val="auto"/>
          <w:shd w:val="clear" w:color="auto" w:fill="FFFFFF"/>
        </w:rPr>
        <w:t xml:space="preserve"> thesis, The Open University of Tanzania. https://repository.out.ac.tz/1829/?utm_source=chatgpt.com</w:t>
      </w:r>
    </w:p>
    <w:p w14:paraId="1FDDAA1F"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TIE (Tanzania Institute of Education). (2014). </w:t>
      </w:r>
      <w:r w:rsidRPr="00F519FA">
        <w:rPr>
          <w:rFonts w:ascii="Times New Roman" w:hAnsi="Times New Roman" w:cs="Times New Roman"/>
          <w:i/>
          <w:iCs/>
          <w:sz w:val="24"/>
          <w:szCs w:val="24"/>
        </w:rPr>
        <w:t>Guidelines for writing and evaluating textbooks</w:t>
      </w:r>
      <w:r w:rsidRPr="00F519FA">
        <w:rPr>
          <w:rFonts w:ascii="Times New Roman" w:hAnsi="Times New Roman" w:cs="Times New Roman"/>
          <w:sz w:val="24"/>
          <w:szCs w:val="24"/>
        </w:rPr>
        <w:t xml:space="preserve">. TIE (unpublished) </w:t>
      </w:r>
    </w:p>
    <w:p w14:paraId="15D428D4"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TIE. (2022). </w:t>
      </w:r>
      <w:r w:rsidRPr="00F519FA">
        <w:rPr>
          <w:rStyle w:val="Emphasis"/>
          <w:rFonts w:ascii="Times New Roman" w:hAnsi="Times New Roman" w:cs="Times New Roman"/>
          <w:sz w:val="24"/>
          <w:szCs w:val="24"/>
        </w:rPr>
        <w:t>Macroeconomics for Advanced Secondary Schools Student’s Book Form Five and Six</w:t>
      </w:r>
      <w:r w:rsidRPr="00F519FA">
        <w:rPr>
          <w:rFonts w:ascii="Times New Roman" w:hAnsi="Times New Roman" w:cs="Times New Roman"/>
          <w:sz w:val="24"/>
          <w:szCs w:val="24"/>
        </w:rPr>
        <w:t>. TIE: unpublished</w:t>
      </w:r>
    </w:p>
    <w:p w14:paraId="072EFE06"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TIE. (2022). </w:t>
      </w:r>
      <w:r w:rsidRPr="00F519FA">
        <w:rPr>
          <w:rStyle w:val="Emphasis"/>
          <w:rFonts w:ascii="Times New Roman" w:hAnsi="Times New Roman" w:cs="Times New Roman"/>
          <w:sz w:val="24"/>
          <w:szCs w:val="24"/>
        </w:rPr>
        <w:t>Microeconomics for Advanced Secondary Schools Student’s Book Form Five</w:t>
      </w:r>
      <w:r w:rsidRPr="00F519FA">
        <w:rPr>
          <w:rFonts w:ascii="Times New Roman" w:hAnsi="Times New Roman" w:cs="Times New Roman"/>
          <w:sz w:val="24"/>
          <w:szCs w:val="24"/>
        </w:rPr>
        <w:t>. TIE: unpublished</w:t>
      </w:r>
    </w:p>
    <w:p w14:paraId="30D3D7B7"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UNESCO. (2016). </w:t>
      </w:r>
      <w:r w:rsidRPr="00F519FA">
        <w:rPr>
          <w:rStyle w:val="Emphasis"/>
          <w:rFonts w:ascii="Times New Roman" w:eastAsiaTheme="majorEastAsia" w:hAnsi="Times New Roman" w:cs="Times New Roman"/>
          <w:sz w:val="24"/>
          <w:szCs w:val="24"/>
        </w:rPr>
        <w:t>Every Child Should Have a Textbook</w:t>
      </w:r>
      <w:r w:rsidRPr="00F519FA">
        <w:rPr>
          <w:rFonts w:ascii="Times New Roman" w:hAnsi="Times New Roman" w:cs="Times New Roman"/>
          <w:sz w:val="24"/>
          <w:szCs w:val="24"/>
        </w:rPr>
        <w:t>. Paris: UNESCO Publishing.</w:t>
      </w:r>
    </w:p>
    <w:p w14:paraId="4A074F69"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UNESCO. (2020). Global education monitoring report 2020: Inclusion and education: All means all. </w:t>
      </w:r>
      <w:r w:rsidRPr="00F519FA">
        <w:rPr>
          <w:rStyle w:val="Emphasis"/>
          <w:rFonts w:ascii="Times New Roman" w:eastAsiaTheme="majorEastAsia" w:hAnsi="Times New Roman" w:cs="Times New Roman"/>
          <w:sz w:val="24"/>
          <w:szCs w:val="24"/>
        </w:rPr>
        <w:t>UNESCO Publishing</w:t>
      </w:r>
      <w:r w:rsidRPr="00F519FA">
        <w:rPr>
          <w:rFonts w:ascii="Times New Roman" w:hAnsi="Times New Roman" w:cs="Times New Roman"/>
          <w:sz w:val="24"/>
          <w:szCs w:val="24"/>
        </w:rPr>
        <w:t xml:space="preserve">. </w:t>
      </w:r>
    </w:p>
    <w:p w14:paraId="157E575F"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UNESCO. (2020). </w:t>
      </w:r>
      <w:r w:rsidRPr="00F519FA">
        <w:rPr>
          <w:rStyle w:val="Emphasis"/>
          <w:rFonts w:ascii="Times New Roman" w:hAnsi="Times New Roman" w:cs="Times New Roman"/>
          <w:sz w:val="24"/>
          <w:szCs w:val="24"/>
        </w:rPr>
        <w:t xml:space="preserve">Inclusion and education: All </w:t>
      </w:r>
      <w:proofErr w:type="gramStart"/>
      <w:r w:rsidRPr="00F519FA">
        <w:rPr>
          <w:rStyle w:val="Emphasis"/>
          <w:rFonts w:ascii="Times New Roman" w:hAnsi="Times New Roman" w:cs="Times New Roman"/>
          <w:sz w:val="24"/>
          <w:szCs w:val="24"/>
        </w:rPr>
        <w:t>means</w:t>
      </w:r>
      <w:proofErr w:type="gramEnd"/>
      <w:r w:rsidRPr="00F519FA">
        <w:rPr>
          <w:rStyle w:val="Emphasis"/>
          <w:rFonts w:ascii="Times New Roman" w:hAnsi="Times New Roman" w:cs="Times New Roman"/>
          <w:sz w:val="24"/>
          <w:szCs w:val="24"/>
        </w:rPr>
        <w:t xml:space="preserve"> all</w:t>
      </w:r>
      <w:r w:rsidRPr="00F519FA">
        <w:rPr>
          <w:rFonts w:ascii="Times New Roman" w:hAnsi="Times New Roman" w:cs="Times New Roman"/>
          <w:sz w:val="24"/>
          <w:szCs w:val="24"/>
        </w:rPr>
        <w:t xml:space="preserve"> (Global Education Monitoring Report 2020). </w:t>
      </w:r>
      <w:hyperlink r:id="rId12" w:tgtFrame="_new" w:history="1">
        <w:r w:rsidRPr="00F519FA">
          <w:rPr>
            <w:rStyle w:val="Hyperlink"/>
            <w:rFonts w:ascii="Times New Roman" w:hAnsi="Times New Roman" w:cs="Times New Roman"/>
            <w:color w:val="auto"/>
            <w:sz w:val="24"/>
            <w:szCs w:val="24"/>
            <w:u w:val="none"/>
          </w:rPr>
          <w:t>https://gem-report-2020.unesco.org</w:t>
        </w:r>
      </w:hyperlink>
    </w:p>
    <w:p w14:paraId="2AEAA464"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Vygotsky, L. S. (1978). </w:t>
      </w:r>
      <w:r w:rsidRPr="00F519FA">
        <w:rPr>
          <w:rStyle w:val="Emphasis"/>
          <w:rFonts w:ascii="Times New Roman" w:eastAsiaTheme="majorEastAsia" w:hAnsi="Times New Roman" w:cs="Times New Roman"/>
          <w:sz w:val="24"/>
          <w:szCs w:val="24"/>
        </w:rPr>
        <w:t>Mind in society: The development of higher psychological processes</w:t>
      </w:r>
      <w:r w:rsidRPr="00F519FA">
        <w:rPr>
          <w:rFonts w:ascii="Times New Roman" w:hAnsi="Times New Roman" w:cs="Times New Roman"/>
          <w:sz w:val="24"/>
          <w:szCs w:val="24"/>
        </w:rPr>
        <w:t>. Harvard University Press.</w:t>
      </w:r>
    </w:p>
    <w:p w14:paraId="06B151BF" w14:textId="77777777" w:rsidR="00BA4117" w:rsidRPr="00F519FA" w:rsidRDefault="00BA4117" w:rsidP="00F519FA">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kern w:val="0"/>
          <w:sz w:val="24"/>
          <w:szCs w:val="24"/>
          <w:lang w:eastAsia="en-GB"/>
          <w14:ligatures w14:val="none"/>
        </w:rPr>
      </w:pPr>
      <w:r w:rsidRPr="00F519FA">
        <w:rPr>
          <w:rFonts w:ascii="Times New Roman" w:eastAsia="Times New Roman" w:hAnsi="Times New Roman" w:cs="Times New Roman"/>
          <w:color w:val="000000"/>
          <w:kern w:val="0"/>
          <w:sz w:val="24"/>
          <w:szCs w:val="24"/>
          <w:lang w:eastAsia="en-GB"/>
          <w14:ligatures w14:val="none"/>
        </w:rPr>
        <w:t>Warsame</w:t>
      </w:r>
      <w:r w:rsidRPr="00F519FA">
        <w:rPr>
          <w:rFonts w:ascii="Times New Roman" w:eastAsia="Times New Roman" w:hAnsi="Times New Roman" w:cs="Times New Roman"/>
          <w:color w:val="000000"/>
          <w:spacing w:val="2"/>
          <w:kern w:val="0"/>
          <w:sz w:val="24"/>
          <w:szCs w:val="24"/>
          <w:lang w:eastAsia="en-GB"/>
          <w14:ligatures w14:val="none"/>
        </w:rPr>
        <w:t xml:space="preserve">, </w:t>
      </w:r>
      <w:r w:rsidRPr="00F519FA">
        <w:rPr>
          <w:rFonts w:ascii="Times New Roman" w:eastAsia="Times New Roman" w:hAnsi="Times New Roman" w:cs="Times New Roman"/>
          <w:color w:val="000000"/>
          <w:kern w:val="0"/>
          <w:sz w:val="24"/>
          <w:szCs w:val="24"/>
          <w:lang w:eastAsia="en-GB"/>
          <w14:ligatures w14:val="none"/>
        </w:rPr>
        <w:t>A.  M. (2023). Teachers</w:t>
      </w:r>
      <w:proofErr w:type="gramStart"/>
      <w:r w:rsidRPr="00F519FA">
        <w:rPr>
          <w:rFonts w:ascii="Times New Roman" w:eastAsia="Times New Roman" w:hAnsi="Times New Roman" w:cs="Times New Roman"/>
          <w:color w:val="000000"/>
          <w:kern w:val="0"/>
          <w:sz w:val="24"/>
          <w:szCs w:val="24"/>
          <w:lang w:eastAsia="en-GB"/>
          <w14:ligatures w14:val="none"/>
        </w:rPr>
        <w:t>’  Perceptions</w:t>
      </w:r>
      <w:proofErr w:type="gramEnd"/>
      <w:r w:rsidRPr="00F519FA">
        <w:rPr>
          <w:rFonts w:ascii="Times New Roman" w:eastAsia="Times New Roman" w:hAnsi="Times New Roman" w:cs="Times New Roman"/>
          <w:color w:val="000000"/>
          <w:kern w:val="0"/>
          <w:sz w:val="24"/>
          <w:szCs w:val="24"/>
          <w:lang w:eastAsia="en-GB"/>
          <w14:ligatures w14:val="none"/>
        </w:rPr>
        <w:t xml:space="preserve"> of the Impact of  Textbooks on their Teaching Efficacy and Students’ Motivation, Involvement, and Self-Esteem: A Case Study in Puntland State, Somalia. </w:t>
      </w:r>
      <w:r w:rsidRPr="00F519FA">
        <w:rPr>
          <w:rFonts w:ascii="Times New Roman" w:eastAsia="Times New Roman" w:hAnsi="Times New Roman" w:cs="Times New Roman"/>
          <w:i/>
          <w:iCs/>
          <w:color w:val="000000"/>
          <w:kern w:val="0"/>
          <w:sz w:val="24"/>
          <w:szCs w:val="24"/>
          <w:lang w:eastAsia="en-GB"/>
          <w14:ligatures w14:val="none"/>
        </w:rPr>
        <w:t>East African Journal of Education Studies</w:t>
      </w:r>
      <w:r w:rsidRPr="00F519FA">
        <w:rPr>
          <w:rFonts w:ascii="Times New Roman" w:eastAsia="Times New Roman" w:hAnsi="Times New Roman" w:cs="Times New Roman"/>
          <w:i/>
          <w:iCs/>
          <w:color w:val="000000"/>
          <w:spacing w:val="2"/>
          <w:kern w:val="0"/>
          <w:sz w:val="24"/>
          <w:szCs w:val="24"/>
          <w:lang w:eastAsia="en-GB"/>
          <w14:ligatures w14:val="none"/>
        </w:rPr>
        <w:t xml:space="preserve">, </w:t>
      </w:r>
      <w:r w:rsidRPr="00F519FA">
        <w:rPr>
          <w:rFonts w:ascii="Times New Roman" w:eastAsia="Times New Roman" w:hAnsi="Times New Roman" w:cs="Times New Roman"/>
          <w:i/>
          <w:iCs/>
          <w:color w:val="000000"/>
          <w:spacing w:val="4"/>
          <w:kern w:val="0"/>
          <w:sz w:val="24"/>
          <w:szCs w:val="24"/>
          <w:lang w:eastAsia="en-GB"/>
          <w14:ligatures w14:val="none"/>
        </w:rPr>
        <w:t>6</w:t>
      </w:r>
      <w:r w:rsidRPr="00F519FA">
        <w:rPr>
          <w:rFonts w:ascii="Times New Roman" w:eastAsia="Times New Roman" w:hAnsi="Times New Roman" w:cs="Times New Roman"/>
          <w:i/>
          <w:iCs/>
          <w:color w:val="000000"/>
          <w:kern w:val="0"/>
          <w:sz w:val="24"/>
          <w:szCs w:val="24"/>
          <w:lang w:eastAsia="en-GB"/>
          <w14:ligatures w14:val="none"/>
        </w:rPr>
        <w:t>(2), 3</w:t>
      </w:r>
      <w:r w:rsidRPr="00F519FA">
        <w:rPr>
          <w:rFonts w:ascii="Times New Roman" w:eastAsia="Times New Roman" w:hAnsi="Times New Roman" w:cs="Times New Roman"/>
          <w:i/>
          <w:iCs/>
          <w:color w:val="000000"/>
          <w:spacing w:val="-4"/>
          <w:kern w:val="0"/>
          <w:sz w:val="24"/>
          <w:szCs w:val="24"/>
          <w:lang w:eastAsia="en-GB"/>
          <w14:ligatures w14:val="none"/>
        </w:rPr>
        <w:t>67</w:t>
      </w:r>
      <w:r w:rsidRPr="00F519FA">
        <w:rPr>
          <w:rFonts w:ascii="Times New Roman" w:eastAsia="Times New Roman" w:hAnsi="Times New Roman" w:cs="Times New Roman"/>
          <w:i/>
          <w:iCs/>
          <w:color w:val="000000"/>
          <w:kern w:val="0"/>
          <w:sz w:val="24"/>
          <w:szCs w:val="24"/>
          <w:lang w:eastAsia="en-GB"/>
          <w14:ligatures w14:val="none"/>
        </w:rPr>
        <w:t>-3</w:t>
      </w:r>
      <w:r w:rsidRPr="00F519FA">
        <w:rPr>
          <w:rFonts w:ascii="Times New Roman" w:eastAsia="Times New Roman" w:hAnsi="Times New Roman" w:cs="Times New Roman"/>
          <w:i/>
          <w:iCs/>
          <w:color w:val="000000"/>
          <w:spacing w:val="4"/>
          <w:kern w:val="0"/>
          <w:sz w:val="24"/>
          <w:szCs w:val="24"/>
          <w:lang w:eastAsia="en-GB"/>
          <w14:ligatures w14:val="none"/>
        </w:rPr>
        <w:t>77</w:t>
      </w:r>
      <w:r w:rsidRPr="00F519FA">
        <w:rPr>
          <w:rFonts w:ascii="Times New Roman" w:eastAsia="Times New Roman" w:hAnsi="Times New Roman" w:cs="Times New Roman"/>
          <w:color w:val="000000"/>
          <w:spacing w:val="2"/>
          <w:kern w:val="0"/>
          <w:sz w:val="24"/>
          <w:szCs w:val="24"/>
          <w:lang w:eastAsia="en-GB"/>
          <w14:ligatures w14:val="none"/>
        </w:rPr>
        <w:t xml:space="preserve">. </w:t>
      </w:r>
      <w:r w:rsidRPr="00F519FA">
        <w:rPr>
          <w:rFonts w:ascii="Times New Roman" w:eastAsia="Times New Roman" w:hAnsi="Times New Roman" w:cs="Times New Roman"/>
          <w:color w:val="000000"/>
          <w:kern w:val="0"/>
          <w:sz w:val="24"/>
          <w:szCs w:val="24"/>
          <w:lang w:eastAsia="en-GB"/>
          <w14:ligatures w14:val="none"/>
        </w:rPr>
        <w:t>https://doi.org/10.37284/eajes.6.2.13</w:t>
      </w:r>
      <w:r w:rsidRPr="00F519FA">
        <w:rPr>
          <w:rFonts w:ascii="Times New Roman" w:eastAsia="Times New Roman" w:hAnsi="Times New Roman" w:cs="Times New Roman"/>
          <w:color w:val="000000"/>
          <w:spacing w:val="4"/>
          <w:kern w:val="0"/>
          <w:sz w:val="24"/>
          <w:szCs w:val="24"/>
          <w:lang w:eastAsia="en-GB"/>
          <w14:ligatures w14:val="none"/>
        </w:rPr>
        <w:t>52</w:t>
      </w:r>
      <w:r w:rsidRPr="00F519FA">
        <w:rPr>
          <w:rFonts w:ascii="Times New Roman" w:eastAsia="Times New Roman" w:hAnsi="Times New Roman" w:cs="Times New Roman"/>
          <w:color w:val="000000"/>
          <w:kern w:val="0"/>
          <w:sz w:val="24"/>
          <w:szCs w:val="24"/>
          <w:lang w:eastAsia="en-GB"/>
          <w14:ligatures w14:val="none"/>
        </w:rPr>
        <w:t>.</w:t>
      </w:r>
    </w:p>
    <w:p w14:paraId="5B99AF74"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World Bank. (2018). </w:t>
      </w:r>
      <w:r w:rsidRPr="00F519FA">
        <w:rPr>
          <w:rStyle w:val="Emphasis"/>
          <w:rFonts w:ascii="Times New Roman" w:hAnsi="Times New Roman" w:cs="Times New Roman"/>
          <w:sz w:val="24"/>
          <w:szCs w:val="24"/>
        </w:rPr>
        <w:t>World Development Report 2018: Learning to realise education’s promise</w:t>
      </w:r>
      <w:r w:rsidRPr="00F519FA">
        <w:rPr>
          <w:rFonts w:ascii="Times New Roman" w:hAnsi="Times New Roman" w:cs="Times New Roman"/>
          <w:sz w:val="24"/>
          <w:szCs w:val="24"/>
        </w:rPr>
        <w:t>. World Bank. https://openknowledge.worldbank.org/handle/10986/28340</w:t>
      </w:r>
    </w:p>
    <w:p w14:paraId="31ECCF48" w14:textId="77777777" w:rsidR="00BA4117" w:rsidRPr="00F519FA" w:rsidRDefault="00BA4117" w:rsidP="00F519FA">
      <w:pPr>
        <w:pStyle w:val="ListParagraph"/>
        <w:numPr>
          <w:ilvl w:val="0"/>
          <w:numId w:val="15"/>
        </w:numPr>
        <w:spacing w:after="0" w:line="240" w:lineRule="auto"/>
        <w:jc w:val="both"/>
        <w:rPr>
          <w:rFonts w:ascii="Times New Roman" w:hAnsi="Times New Roman" w:cs="Times New Roman"/>
          <w:sz w:val="24"/>
          <w:szCs w:val="24"/>
        </w:rPr>
      </w:pPr>
      <w:r w:rsidRPr="00F519FA">
        <w:rPr>
          <w:rFonts w:ascii="Times New Roman" w:hAnsi="Times New Roman" w:cs="Times New Roman"/>
          <w:sz w:val="24"/>
          <w:szCs w:val="24"/>
        </w:rPr>
        <w:t xml:space="preserve">World Bank. (2019). </w:t>
      </w:r>
      <w:r w:rsidRPr="00F519FA">
        <w:rPr>
          <w:rStyle w:val="Emphasis"/>
          <w:rFonts w:ascii="Times New Roman" w:hAnsi="Times New Roman" w:cs="Times New Roman"/>
          <w:sz w:val="24"/>
          <w:szCs w:val="24"/>
        </w:rPr>
        <w:t>Ending learning poverty: What will it take?</w:t>
      </w:r>
      <w:r w:rsidRPr="00F519FA">
        <w:rPr>
          <w:rFonts w:ascii="Times New Roman" w:hAnsi="Times New Roman" w:cs="Times New Roman"/>
          <w:sz w:val="24"/>
          <w:szCs w:val="24"/>
        </w:rPr>
        <w:t xml:space="preserve"> World Bank Group. https://hdl.handle.net/10986/32553</w:t>
      </w:r>
    </w:p>
    <w:sectPr w:rsidR="00BA4117" w:rsidRPr="00F519FA" w:rsidSect="007A3A7E">
      <w:headerReference w:type="even" r:id="rId13"/>
      <w:headerReference w:type="default" r:id="rId14"/>
      <w:footerReference w:type="even" r:id="rId15"/>
      <w:footerReference w:type="default" r:id="rId16"/>
      <w:headerReference w:type="first" r:id="rId17"/>
      <w:footerReference w:type="first" r:id="rId18"/>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25DB" w14:textId="77777777" w:rsidR="00D86779" w:rsidRDefault="00D86779" w:rsidP="007062AE">
      <w:pPr>
        <w:spacing w:after="0" w:line="240" w:lineRule="auto"/>
      </w:pPr>
      <w:r>
        <w:separator/>
      </w:r>
    </w:p>
  </w:endnote>
  <w:endnote w:type="continuationSeparator" w:id="0">
    <w:p w14:paraId="4933B1B9" w14:textId="77777777" w:rsidR="00D86779" w:rsidRDefault="00D86779" w:rsidP="0070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8C4F" w14:textId="77777777" w:rsidR="007405F0" w:rsidRDefault="00740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487631"/>
      <w:docPartObj>
        <w:docPartGallery w:val="Page Numbers (Bottom of Page)"/>
        <w:docPartUnique/>
      </w:docPartObj>
    </w:sdtPr>
    <w:sdtEndPr>
      <w:rPr>
        <w:noProof/>
      </w:rPr>
    </w:sdtEndPr>
    <w:sdtContent>
      <w:p w14:paraId="0E0820C3" w14:textId="42BCE8ED" w:rsidR="007062AE" w:rsidRDefault="00706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6754D" w14:textId="77777777" w:rsidR="007062AE" w:rsidRDefault="0070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1CFD" w14:textId="77777777" w:rsidR="007405F0" w:rsidRDefault="0074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28076" w14:textId="77777777" w:rsidR="00D86779" w:rsidRDefault="00D86779" w:rsidP="007062AE">
      <w:pPr>
        <w:spacing w:after="0" w:line="240" w:lineRule="auto"/>
      </w:pPr>
      <w:r>
        <w:separator/>
      </w:r>
    </w:p>
  </w:footnote>
  <w:footnote w:type="continuationSeparator" w:id="0">
    <w:p w14:paraId="7E8A942E" w14:textId="77777777" w:rsidR="00D86779" w:rsidRDefault="00D86779" w:rsidP="00706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5D6A" w14:textId="355303F8" w:rsidR="007405F0" w:rsidRDefault="00D86779">
    <w:pPr>
      <w:pStyle w:val="Header"/>
    </w:pPr>
    <w:r>
      <w:rPr>
        <w:noProof/>
      </w:rPr>
      <w:pict w14:anchorId="14C71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23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DB84" w14:textId="084EB851" w:rsidR="007405F0" w:rsidRDefault="00D86779">
    <w:pPr>
      <w:pStyle w:val="Header"/>
    </w:pPr>
    <w:r>
      <w:rPr>
        <w:noProof/>
      </w:rPr>
      <w:pict w14:anchorId="46AD7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23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FB79" w14:textId="1E72441A" w:rsidR="007405F0" w:rsidRDefault="00D86779">
    <w:pPr>
      <w:pStyle w:val="Header"/>
    </w:pPr>
    <w:r>
      <w:rPr>
        <w:noProof/>
      </w:rPr>
      <w:pict w14:anchorId="542B5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23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C37D6"/>
    <w:multiLevelType w:val="multilevel"/>
    <w:tmpl w:val="88B64CD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FA484F"/>
    <w:multiLevelType w:val="multilevel"/>
    <w:tmpl w:val="78026D1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B04B3A"/>
    <w:multiLevelType w:val="hybridMultilevel"/>
    <w:tmpl w:val="7D583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27A82"/>
    <w:multiLevelType w:val="multilevel"/>
    <w:tmpl w:val="58529B4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542F71"/>
    <w:multiLevelType w:val="multilevel"/>
    <w:tmpl w:val="9F2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7681E"/>
    <w:multiLevelType w:val="multilevel"/>
    <w:tmpl w:val="BF1C2F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7214B4"/>
    <w:multiLevelType w:val="multilevel"/>
    <w:tmpl w:val="CD8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3617C"/>
    <w:multiLevelType w:val="hybridMultilevel"/>
    <w:tmpl w:val="8E865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880695"/>
    <w:multiLevelType w:val="multilevel"/>
    <w:tmpl w:val="7450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7091E"/>
    <w:multiLevelType w:val="multilevel"/>
    <w:tmpl w:val="E1DC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049ED"/>
    <w:multiLevelType w:val="multilevel"/>
    <w:tmpl w:val="AB16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2D86"/>
    <w:multiLevelType w:val="multilevel"/>
    <w:tmpl w:val="402E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D0FB5"/>
    <w:multiLevelType w:val="multilevel"/>
    <w:tmpl w:val="913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222F7"/>
    <w:multiLevelType w:val="multilevel"/>
    <w:tmpl w:val="489C1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7"/>
  </w:num>
  <w:num w:numId="4">
    <w:abstractNumId w:val="9"/>
  </w:num>
  <w:num w:numId="5">
    <w:abstractNumId w:val="14"/>
  </w:num>
  <w:num w:numId="6">
    <w:abstractNumId w:val="5"/>
  </w:num>
  <w:num w:numId="7">
    <w:abstractNumId w:val="6"/>
  </w:num>
  <w:num w:numId="8">
    <w:abstractNumId w:val="0"/>
  </w:num>
  <w:num w:numId="9">
    <w:abstractNumId w:val="12"/>
  </w:num>
  <w:num w:numId="10">
    <w:abstractNumId w:val="4"/>
  </w:num>
  <w:num w:numId="11">
    <w:abstractNumId w:val="2"/>
  </w:num>
  <w:num w:numId="12">
    <w:abstractNumId w:val="11"/>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1MDA2MjIzsbQ0szRX0lEKTi0uzszPAykwNK8FAF83h1EtAAAA"/>
  </w:docVars>
  <w:rsids>
    <w:rsidRoot w:val="004032E8"/>
    <w:rsid w:val="0006272B"/>
    <w:rsid w:val="00070390"/>
    <w:rsid w:val="000806B2"/>
    <w:rsid w:val="0008788D"/>
    <w:rsid w:val="0009575E"/>
    <w:rsid w:val="000C7505"/>
    <w:rsid w:val="00106C95"/>
    <w:rsid w:val="00106CC4"/>
    <w:rsid w:val="00107E3F"/>
    <w:rsid w:val="00115992"/>
    <w:rsid w:val="00123F6B"/>
    <w:rsid w:val="001240D7"/>
    <w:rsid w:val="00124109"/>
    <w:rsid w:val="001270CD"/>
    <w:rsid w:val="00133174"/>
    <w:rsid w:val="00140129"/>
    <w:rsid w:val="00163D0D"/>
    <w:rsid w:val="001666F1"/>
    <w:rsid w:val="001904EC"/>
    <w:rsid w:val="001A632F"/>
    <w:rsid w:val="001C2F8F"/>
    <w:rsid w:val="001D0B94"/>
    <w:rsid w:val="001F2272"/>
    <w:rsid w:val="00211096"/>
    <w:rsid w:val="00212B8D"/>
    <w:rsid w:val="00226DE0"/>
    <w:rsid w:val="00226EE7"/>
    <w:rsid w:val="00237BE6"/>
    <w:rsid w:val="00246795"/>
    <w:rsid w:val="00247DB0"/>
    <w:rsid w:val="00280930"/>
    <w:rsid w:val="002B46E5"/>
    <w:rsid w:val="002B4982"/>
    <w:rsid w:val="002C29E1"/>
    <w:rsid w:val="002D146B"/>
    <w:rsid w:val="002D2FD0"/>
    <w:rsid w:val="002E26F5"/>
    <w:rsid w:val="00315032"/>
    <w:rsid w:val="0033544E"/>
    <w:rsid w:val="003417CA"/>
    <w:rsid w:val="00364E0D"/>
    <w:rsid w:val="003741B3"/>
    <w:rsid w:val="00390966"/>
    <w:rsid w:val="003B08EC"/>
    <w:rsid w:val="003C3FE2"/>
    <w:rsid w:val="003D34FC"/>
    <w:rsid w:val="003E5FEF"/>
    <w:rsid w:val="003E6080"/>
    <w:rsid w:val="003F1DEB"/>
    <w:rsid w:val="004032E8"/>
    <w:rsid w:val="00405720"/>
    <w:rsid w:val="00425381"/>
    <w:rsid w:val="00452DE1"/>
    <w:rsid w:val="00484F96"/>
    <w:rsid w:val="0048765F"/>
    <w:rsid w:val="00492C84"/>
    <w:rsid w:val="00495C38"/>
    <w:rsid w:val="004B25B8"/>
    <w:rsid w:val="004C454C"/>
    <w:rsid w:val="004D1CA7"/>
    <w:rsid w:val="004D2A89"/>
    <w:rsid w:val="004D5372"/>
    <w:rsid w:val="004F668B"/>
    <w:rsid w:val="00507955"/>
    <w:rsid w:val="00525CB1"/>
    <w:rsid w:val="00531170"/>
    <w:rsid w:val="00551C59"/>
    <w:rsid w:val="005547C0"/>
    <w:rsid w:val="00570E4A"/>
    <w:rsid w:val="005730B6"/>
    <w:rsid w:val="005A0A93"/>
    <w:rsid w:val="005A178D"/>
    <w:rsid w:val="005A37D1"/>
    <w:rsid w:val="005A67C6"/>
    <w:rsid w:val="005B70E4"/>
    <w:rsid w:val="00603BC3"/>
    <w:rsid w:val="00607C14"/>
    <w:rsid w:val="00614ECF"/>
    <w:rsid w:val="00634E73"/>
    <w:rsid w:val="00652CD3"/>
    <w:rsid w:val="006A0687"/>
    <w:rsid w:val="006A4313"/>
    <w:rsid w:val="006C038E"/>
    <w:rsid w:val="006C35D9"/>
    <w:rsid w:val="006D42E0"/>
    <w:rsid w:val="006D6426"/>
    <w:rsid w:val="006D6F9E"/>
    <w:rsid w:val="006F22C6"/>
    <w:rsid w:val="006F2FA3"/>
    <w:rsid w:val="00702943"/>
    <w:rsid w:val="007062AE"/>
    <w:rsid w:val="00736525"/>
    <w:rsid w:val="007405F0"/>
    <w:rsid w:val="0074663F"/>
    <w:rsid w:val="0079522B"/>
    <w:rsid w:val="007A3A7E"/>
    <w:rsid w:val="007D15C6"/>
    <w:rsid w:val="007E1C84"/>
    <w:rsid w:val="00801296"/>
    <w:rsid w:val="008062B9"/>
    <w:rsid w:val="0084248A"/>
    <w:rsid w:val="00851C38"/>
    <w:rsid w:val="00860AC8"/>
    <w:rsid w:val="00873F9A"/>
    <w:rsid w:val="0089133A"/>
    <w:rsid w:val="008A5191"/>
    <w:rsid w:val="008B5252"/>
    <w:rsid w:val="008B6549"/>
    <w:rsid w:val="008D29F8"/>
    <w:rsid w:val="008E554F"/>
    <w:rsid w:val="00914EED"/>
    <w:rsid w:val="00927A33"/>
    <w:rsid w:val="00946A2D"/>
    <w:rsid w:val="009655F0"/>
    <w:rsid w:val="00986D44"/>
    <w:rsid w:val="00994EB0"/>
    <w:rsid w:val="009A6971"/>
    <w:rsid w:val="009A7E31"/>
    <w:rsid w:val="009C677B"/>
    <w:rsid w:val="009F7B2C"/>
    <w:rsid w:val="00A1282D"/>
    <w:rsid w:val="00A563DF"/>
    <w:rsid w:val="00A83653"/>
    <w:rsid w:val="00AB3820"/>
    <w:rsid w:val="00AD5242"/>
    <w:rsid w:val="00AD53D2"/>
    <w:rsid w:val="00AD7E7B"/>
    <w:rsid w:val="00AE1A77"/>
    <w:rsid w:val="00AE5A3E"/>
    <w:rsid w:val="00AF1F8D"/>
    <w:rsid w:val="00B009A7"/>
    <w:rsid w:val="00B0654B"/>
    <w:rsid w:val="00B22B6A"/>
    <w:rsid w:val="00B429C7"/>
    <w:rsid w:val="00B50E78"/>
    <w:rsid w:val="00B57736"/>
    <w:rsid w:val="00BA4117"/>
    <w:rsid w:val="00BA5746"/>
    <w:rsid w:val="00BB2114"/>
    <w:rsid w:val="00BF3CD9"/>
    <w:rsid w:val="00BF7E6B"/>
    <w:rsid w:val="00C027C3"/>
    <w:rsid w:val="00C11038"/>
    <w:rsid w:val="00C16ED7"/>
    <w:rsid w:val="00C45FB2"/>
    <w:rsid w:val="00C775A7"/>
    <w:rsid w:val="00CA6911"/>
    <w:rsid w:val="00CB1C09"/>
    <w:rsid w:val="00CC3C5B"/>
    <w:rsid w:val="00CC79CD"/>
    <w:rsid w:val="00CD66C2"/>
    <w:rsid w:val="00CE6D90"/>
    <w:rsid w:val="00CF6683"/>
    <w:rsid w:val="00D24DF7"/>
    <w:rsid w:val="00D27EBA"/>
    <w:rsid w:val="00D31DEA"/>
    <w:rsid w:val="00D66D58"/>
    <w:rsid w:val="00D808A5"/>
    <w:rsid w:val="00D86779"/>
    <w:rsid w:val="00DA2768"/>
    <w:rsid w:val="00DA3721"/>
    <w:rsid w:val="00DD7E30"/>
    <w:rsid w:val="00DF028F"/>
    <w:rsid w:val="00DF3B59"/>
    <w:rsid w:val="00E12A82"/>
    <w:rsid w:val="00E21FB6"/>
    <w:rsid w:val="00E25F31"/>
    <w:rsid w:val="00E704D8"/>
    <w:rsid w:val="00E85C38"/>
    <w:rsid w:val="00E91759"/>
    <w:rsid w:val="00E922FB"/>
    <w:rsid w:val="00EB221D"/>
    <w:rsid w:val="00EB2D06"/>
    <w:rsid w:val="00EB6137"/>
    <w:rsid w:val="00EE3A4D"/>
    <w:rsid w:val="00EF3F2C"/>
    <w:rsid w:val="00EF461F"/>
    <w:rsid w:val="00EF71C2"/>
    <w:rsid w:val="00F45AB5"/>
    <w:rsid w:val="00F509B1"/>
    <w:rsid w:val="00F519FA"/>
    <w:rsid w:val="00F57E71"/>
    <w:rsid w:val="00F71F22"/>
    <w:rsid w:val="00F7638F"/>
    <w:rsid w:val="00F9225D"/>
    <w:rsid w:val="00F97E34"/>
    <w:rsid w:val="00FA4439"/>
    <w:rsid w:val="00FA61EF"/>
    <w:rsid w:val="00FC4A61"/>
    <w:rsid w:val="00FD1AC6"/>
    <w:rsid w:val="00FE17CB"/>
    <w:rsid w:val="00FE3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BC0950"/>
  <w15:chartTrackingRefBased/>
  <w15:docId w15:val="{3DB5D671-6E04-4C67-921B-10B1668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4EC"/>
  </w:style>
  <w:style w:type="paragraph" w:styleId="Heading1">
    <w:name w:val="heading 1"/>
    <w:basedOn w:val="Normal"/>
    <w:next w:val="Normal"/>
    <w:link w:val="Heading1Char"/>
    <w:uiPriority w:val="9"/>
    <w:qFormat/>
    <w:rsid w:val="00403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3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32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032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2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2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32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32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032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2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2E8"/>
    <w:rPr>
      <w:rFonts w:eastAsiaTheme="majorEastAsia" w:cstheme="majorBidi"/>
      <w:color w:val="272727" w:themeColor="text1" w:themeTint="D8"/>
    </w:rPr>
  </w:style>
  <w:style w:type="paragraph" w:styleId="Title">
    <w:name w:val="Title"/>
    <w:basedOn w:val="Normal"/>
    <w:next w:val="Normal"/>
    <w:link w:val="TitleChar"/>
    <w:uiPriority w:val="10"/>
    <w:qFormat/>
    <w:rsid w:val="00403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2E8"/>
    <w:pPr>
      <w:spacing w:before="160"/>
      <w:jc w:val="center"/>
    </w:pPr>
    <w:rPr>
      <w:i/>
      <w:iCs/>
      <w:color w:val="404040" w:themeColor="text1" w:themeTint="BF"/>
    </w:rPr>
  </w:style>
  <w:style w:type="character" w:customStyle="1" w:styleId="QuoteChar">
    <w:name w:val="Quote Char"/>
    <w:basedOn w:val="DefaultParagraphFont"/>
    <w:link w:val="Quote"/>
    <w:uiPriority w:val="29"/>
    <w:rsid w:val="004032E8"/>
    <w:rPr>
      <w:i/>
      <w:iCs/>
      <w:color w:val="404040" w:themeColor="text1" w:themeTint="BF"/>
    </w:rPr>
  </w:style>
  <w:style w:type="paragraph" w:styleId="ListParagraph">
    <w:name w:val="List Paragraph"/>
    <w:basedOn w:val="Normal"/>
    <w:uiPriority w:val="34"/>
    <w:qFormat/>
    <w:rsid w:val="004032E8"/>
    <w:pPr>
      <w:ind w:left="720"/>
      <w:contextualSpacing/>
    </w:pPr>
  </w:style>
  <w:style w:type="character" w:styleId="IntenseEmphasis">
    <w:name w:val="Intense Emphasis"/>
    <w:basedOn w:val="DefaultParagraphFont"/>
    <w:uiPriority w:val="21"/>
    <w:qFormat/>
    <w:rsid w:val="004032E8"/>
    <w:rPr>
      <w:i/>
      <w:iCs/>
      <w:color w:val="2F5496" w:themeColor="accent1" w:themeShade="BF"/>
    </w:rPr>
  </w:style>
  <w:style w:type="paragraph" w:styleId="IntenseQuote">
    <w:name w:val="Intense Quote"/>
    <w:basedOn w:val="Normal"/>
    <w:next w:val="Normal"/>
    <w:link w:val="IntenseQuoteChar"/>
    <w:uiPriority w:val="30"/>
    <w:qFormat/>
    <w:rsid w:val="00403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2E8"/>
    <w:rPr>
      <w:i/>
      <w:iCs/>
      <w:color w:val="2F5496" w:themeColor="accent1" w:themeShade="BF"/>
    </w:rPr>
  </w:style>
  <w:style w:type="character" w:styleId="IntenseReference">
    <w:name w:val="Intense Reference"/>
    <w:basedOn w:val="DefaultParagraphFont"/>
    <w:uiPriority w:val="32"/>
    <w:qFormat/>
    <w:rsid w:val="004032E8"/>
    <w:rPr>
      <w:b/>
      <w:bCs/>
      <w:smallCaps/>
      <w:color w:val="2F5496" w:themeColor="accent1" w:themeShade="BF"/>
      <w:spacing w:val="5"/>
    </w:rPr>
  </w:style>
  <w:style w:type="character" w:styleId="Hyperlink">
    <w:name w:val="Hyperlink"/>
    <w:basedOn w:val="DefaultParagraphFont"/>
    <w:uiPriority w:val="99"/>
    <w:unhideWhenUsed/>
    <w:rsid w:val="009655F0"/>
    <w:rPr>
      <w:color w:val="0563C1" w:themeColor="hyperlink"/>
      <w:u w:val="single"/>
    </w:rPr>
  </w:style>
  <w:style w:type="character" w:styleId="UnresolvedMention">
    <w:name w:val="Unresolved Mention"/>
    <w:basedOn w:val="DefaultParagraphFont"/>
    <w:uiPriority w:val="99"/>
    <w:semiHidden/>
    <w:unhideWhenUsed/>
    <w:rsid w:val="009655F0"/>
    <w:rPr>
      <w:color w:val="605E5C"/>
      <w:shd w:val="clear" w:color="auto" w:fill="E1DFDD"/>
    </w:rPr>
  </w:style>
  <w:style w:type="paragraph" w:customStyle="1" w:styleId="mb-2">
    <w:name w:val="mb-2"/>
    <w:basedOn w:val="Normal"/>
    <w:rsid w:val="00B50E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0E78"/>
    <w:rPr>
      <w:b/>
      <w:bCs/>
    </w:rPr>
  </w:style>
  <w:style w:type="character" w:styleId="Emphasis">
    <w:name w:val="Emphasis"/>
    <w:basedOn w:val="DefaultParagraphFont"/>
    <w:uiPriority w:val="20"/>
    <w:qFormat/>
    <w:rsid w:val="00B50E78"/>
    <w:rPr>
      <w:i/>
      <w:iCs/>
    </w:rPr>
  </w:style>
  <w:style w:type="paragraph" w:styleId="NormalWeb">
    <w:name w:val="Normal (Web)"/>
    <w:basedOn w:val="Normal"/>
    <w:uiPriority w:val="99"/>
    <w:unhideWhenUsed/>
    <w:rsid w:val="003E5F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5A0A93"/>
    <w:pPr>
      <w:spacing w:after="0" w:line="240" w:lineRule="auto"/>
    </w:pPr>
  </w:style>
  <w:style w:type="character" w:styleId="CommentReference">
    <w:name w:val="annotation reference"/>
    <w:basedOn w:val="DefaultParagraphFont"/>
    <w:uiPriority w:val="99"/>
    <w:semiHidden/>
    <w:unhideWhenUsed/>
    <w:rsid w:val="005A0A93"/>
    <w:rPr>
      <w:sz w:val="16"/>
      <w:szCs w:val="16"/>
    </w:rPr>
  </w:style>
  <w:style w:type="paragraph" w:styleId="CommentText">
    <w:name w:val="annotation text"/>
    <w:basedOn w:val="Normal"/>
    <w:link w:val="CommentTextChar"/>
    <w:uiPriority w:val="99"/>
    <w:semiHidden/>
    <w:unhideWhenUsed/>
    <w:rsid w:val="005A0A93"/>
    <w:pPr>
      <w:spacing w:line="240" w:lineRule="auto"/>
    </w:pPr>
    <w:rPr>
      <w:sz w:val="20"/>
      <w:szCs w:val="20"/>
    </w:rPr>
  </w:style>
  <w:style w:type="character" w:customStyle="1" w:styleId="CommentTextChar">
    <w:name w:val="Comment Text Char"/>
    <w:basedOn w:val="DefaultParagraphFont"/>
    <w:link w:val="CommentText"/>
    <w:uiPriority w:val="99"/>
    <w:semiHidden/>
    <w:rsid w:val="005A0A93"/>
    <w:rPr>
      <w:sz w:val="20"/>
      <w:szCs w:val="20"/>
    </w:rPr>
  </w:style>
  <w:style w:type="paragraph" w:styleId="CommentSubject">
    <w:name w:val="annotation subject"/>
    <w:basedOn w:val="CommentText"/>
    <w:next w:val="CommentText"/>
    <w:link w:val="CommentSubjectChar"/>
    <w:uiPriority w:val="99"/>
    <w:semiHidden/>
    <w:unhideWhenUsed/>
    <w:rsid w:val="005A0A93"/>
    <w:rPr>
      <w:b/>
      <w:bCs/>
    </w:rPr>
  </w:style>
  <w:style w:type="character" w:customStyle="1" w:styleId="CommentSubjectChar">
    <w:name w:val="Comment Subject Char"/>
    <w:basedOn w:val="CommentTextChar"/>
    <w:link w:val="CommentSubject"/>
    <w:uiPriority w:val="99"/>
    <w:semiHidden/>
    <w:rsid w:val="005A0A93"/>
    <w:rPr>
      <w:b/>
      <w:bCs/>
      <w:sz w:val="20"/>
      <w:szCs w:val="20"/>
    </w:rPr>
  </w:style>
  <w:style w:type="paragraph" w:customStyle="1" w:styleId="Default">
    <w:name w:val="Default"/>
    <w:rsid w:val="004B25B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706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2AE"/>
  </w:style>
  <w:style w:type="paragraph" w:styleId="Footer">
    <w:name w:val="footer"/>
    <w:basedOn w:val="Normal"/>
    <w:link w:val="FooterChar"/>
    <w:uiPriority w:val="99"/>
    <w:unhideWhenUsed/>
    <w:rsid w:val="00706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2AE"/>
  </w:style>
  <w:style w:type="character" w:customStyle="1" w:styleId="ls2">
    <w:name w:val="ls2"/>
    <w:basedOn w:val="DefaultParagraphFont"/>
    <w:rsid w:val="00BF7E6B"/>
  </w:style>
  <w:style w:type="character" w:customStyle="1" w:styleId="a">
    <w:name w:val="_"/>
    <w:basedOn w:val="DefaultParagraphFont"/>
    <w:rsid w:val="00BF7E6B"/>
  </w:style>
  <w:style w:type="character" w:customStyle="1" w:styleId="ls3">
    <w:name w:val="ls3"/>
    <w:basedOn w:val="DefaultParagraphFont"/>
    <w:rsid w:val="00BF7E6B"/>
  </w:style>
  <w:style w:type="character" w:customStyle="1" w:styleId="ff8">
    <w:name w:val="ff8"/>
    <w:basedOn w:val="DefaultParagraphFont"/>
    <w:rsid w:val="00BF7E6B"/>
  </w:style>
  <w:style w:type="character" w:customStyle="1" w:styleId="ff4">
    <w:name w:val="ff4"/>
    <w:basedOn w:val="DefaultParagraphFont"/>
    <w:rsid w:val="00BF7E6B"/>
  </w:style>
  <w:style w:type="character" w:customStyle="1" w:styleId="ff1">
    <w:name w:val="ff1"/>
    <w:basedOn w:val="DefaultParagraphFont"/>
    <w:rsid w:val="00BF7E6B"/>
  </w:style>
  <w:style w:type="character" w:customStyle="1" w:styleId="ls1">
    <w:name w:val="ls1"/>
    <w:basedOn w:val="DefaultParagraphFont"/>
    <w:rsid w:val="00BF7E6B"/>
  </w:style>
  <w:style w:type="character" w:customStyle="1" w:styleId="ls9">
    <w:name w:val="ls9"/>
    <w:basedOn w:val="DefaultParagraphFont"/>
    <w:rsid w:val="00BF7E6B"/>
  </w:style>
  <w:style w:type="character" w:customStyle="1" w:styleId="ws3">
    <w:name w:val="ws3"/>
    <w:basedOn w:val="DefaultParagraphFont"/>
    <w:rsid w:val="00BF7E6B"/>
  </w:style>
  <w:style w:type="character" w:customStyle="1" w:styleId="personname">
    <w:name w:val="person_name"/>
    <w:basedOn w:val="DefaultParagraphFont"/>
    <w:rsid w:val="00BF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m-report-2020.unesc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nfo130502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eanso.org/index.php/eajes/article/download/2361/3031?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002224372211307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796C-0ED7-4B0F-B5CB-9D9644F8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17</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Elineema Moshi</dc:creator>
  <cp:keywords/>
  <dc:description/>
  <cp:lastModifiedBy>Editor-1183</cp:lastModifiedBy>
  <cp:revision>23</cp:revision>
  <cp:lastPrinted>2026-01-16T06:04:00Z</cp:lastPrinted>
  <dcterms:created xsi:type="dcterms:W3CDTF">2026-01-26T10:40:00Z</dcterms:created>
  <dcterms:modified xsi:type="dcterms:W3CDTF">2026-01-31T11:27:00Z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7866eb6a-61f0-4a88-8d6b-43e497c0d505</vt:lpwstr>
  </property>
</Properties>
</file>