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F81B"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Disparities in Targeted Therapy Access and Survival by Molecular Subtype in Breast Cancer: Evidence from Yemen</w:t>
      </w:r>
    </w:p>
    <w:p w14:paraId="721E61EB" w14:textId="77777777" w:rsidR="005222C2" w:rsidRDefault="005222C2" w:rsidP="005222C2">
      <w:pPr>
        <w:rPr>
          <w:b/>
          <w:bCs/>
        </w:rPr>
      </w:pPr>
    </w:p>
    <w:p w14:paraId="4128CF02" w14:textId="7E893E0D"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ABSTRACT</w:t>
      </w:r>
    </w:p>
    <w:p w14:paraId="559A59CA" w14:textId="22171BBE" w:rsidR="005222C2" w:rsidRPr="009013D1" w:rsidRDefault="00F81CF3" w:rsidP="009013D1">
      <w:pPr>
        <w:pStyle w:val="ListParagraph"/>
        <w:spacing w:line="360" w:lineRule="auto"/>
        <w:rPr>
          <w:rFonts w:asciiTheme="majorBidi" w:hAnsiTheme="majorBidi" w:cstheme="majorBidi"/>
          <w:sz w:val="24"/>
          <w:szCs w:val="24"/>
        </w:rPr>
      </w:pPr>
      <w:r>
        <w:rPr>
          <w:rFonts w:asciiTheme="majorBidi" w:hAnsiTheme="majorBidi" w:cstheme="majorBidi"/>
          <w:b/>
          <w:bCs/>
          <w:noProof/>
          <w:sz w:val="24"/>
          <w:szCs w:val="24"/>
        </w:rPr>
        <mc:AlternateContent>
          <mc:Choice Requires="wpi">
            <w:drawing>
              <wp:anchor distT="0" distB="0" distL="114300" distR="114300" simplePos="0" relativeHeight="251666432" behindDoc="0" locked="0" layoutInCell="1" allowOverlap="1" wp14:anchorId="79C3A083" wp14:editId="6B900D68">
                <wp:simplePos x="0" y="0"/>
                <wp:positionH relativeFrom="column">
                  <wp:posOffset>-1808454</wp:posOffset>
                </wp:positionH>
                <wp:positionV relativeFrom="paragraph">
                  <wp:posOffset>626481</wp:posOffset>
                </wp:positionV>
                <wp:extent cx="360" cy="360"/>
                <wp:effectExtent l="38100" t="38100" r="38100" b="38100"/>
                <wp:wrapNone/>
                <wp:docPr id="732637271" name="Ink 8"/>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BD906F2" id="Ink 8" o:spid="_x0000_s1026" type="#_x0000_t75" style="position:absolute;margin-left:-142.9pt;margin-top:48.8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CREAQICAADDBQAAEAAAAAAAAAAAAAAAAADTAwAA&#10;ZHJzL2luay9pbmsxLnhtbFBLAQItABQABgAIAAAAIQC8Z2WH3gAAAAsBAAAPAAAAAAAAAAAAAAAA&#10;AAMGAABkcnMvZG93bnJldi54bWxQSwECLQAUAAYACAAAACEAeRi8nb8AAAAhAQAAGQAAAAAAAAAA&#10;AAAAAAAOBwAAZHJzL19yZWxzL2Uyb0RvYy54bWwucmVsc1BLBQYAAAAABgAGAHgBAAAECAAAAAA=&#10;">
                <v:imagedata r:id="rId12" o:title=""/>
              </v:shape>
            </w:pict>
          </mc:Fallback>
        </mc:AlternateContent>
      </w:r>
      <w:r>
        <w:rPr>
          <w:rFonts w:asciiTheme="majorBidi" w:hAnsiTheme="majorBidi" w:cstheme="majorBidi"/>
          <w:b/>
          <w:bCs/>
          <w:noProof/>
          <w:sz w:val="24"/>
          <w:szCs w:val="24"/>
        </w:rPr>
        <mc:AlternateContent>
          <mc:Choice Requires="wpi">
            <w:drawing>
              <wp:anchor distT="0" distB="0" distL="114300" distR="114300" simplePos="0" relativeHeight="251665408" behindDoc="0" locked="0" layoutInCell="1" allowOverlap="1" wp14:anchorId="0BE9F35B" wp14:editId="06432024">
                <wp:simplePos x="0" y="0"/>
                <wp:positionH relativeFrom="column">
                  <wp:posOffset>-1813494</wp:posOffset>
                </wp:positionH>
                <wp:positionV relativeFrom="paragraph">
                  <wp:posOffset>654561</wp:posOffset>
                </wp:positionV>
                <wp:extent cx="360" cy="360"/>
                <wp:effectExtent l="38100" t="38100" r="38100" b="38100"/>
                <wp:wrapNone/>
                <wp:docPr id="1456741522" name="Ink 7"/>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3CF5CA" id="Ink 7" o:spid="_x0000_s1026" type="#_x0000_t75" style="position:absolute;margin-left:-143.3pt;margin-top:51.0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BR4aDBAAIAAMIFAAAQAAAAAAAAAAAAAAAAANMDAABk&#10;cnMvaW5rL2luazEueG1sUEsBAi0AFAAGAAgAAAAhAOz6qqDfAAAADQEAAA8AAAAAAAAAAAAAAAAA&#10;AQYAAGRycy9kb3ducmV2LnhtbFBLAQItABQABgAIAAAAIQB5GLydvwAAACEBAAAZAAAAAAAAAAAA&#10;AAAAAA0HAABkcnMvX3JlbHMvZTJvRG9jLnhtbC5yZWxzUEsFBgAAAAAGAAYAeAEAAAMIAAAAAA==&#10;">
                <v:imagedata r:id="rId12" o:title=""/>
              </v:shape>
            </w:pict>
          </mc:Fallback>
        </mc:AlternateContent>
      </w:r>
      <w:r>
        <w:rPr>
          <w:rFonts w:asciiTheme="majorBidi" w:hAnsiTheme="majorBidi" w:cstheme="majorBidi"/>
          <w:b/>
          <w:bCs/>
          <w:noProof/>
          <w:sz w:val="24"/>
          <w:szCs w:val="24"/>
        </w:rPr>
        <mc:AlternateContent>
          <mc:Choice Requires="wpi">
            <w:drawing>
              <wp:anchor distT="0" distB="0" distL="114300" distR="114300" simplePos="0" relativeHeight="251664384" behindDoc="0" locked="0" layoutInCell="1" allowOverlap="1" wp14:anchorId="699B8274" wp14:editId="323557DD">
                <wp:simplePos x="0" y="0"/>
                <wp:positionH relativeFrom="column">
                  <wp:posOffset>-1819254</wp:posOffset>
                </wp:positionH>
                <wp:positionV relativeFrom="paragraph">
                  <wp:posOffset>707841</wp:posOffset>
                </wp:positionV>
                <wp:extent cx="3600" cy="329040"/>
                <wp:effectExtent l="38100" t="38100" r="34925" b="33020"/>
                <wp:wrapNone/>
                <wp:docPr id="803586517"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0" cy="32904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122BD51" id="Ink 6" o:spid="_x0000_s1026" type="#_x0000_t75" style="position:absolute;margin-left:-143.6pt;margin-top:55.4pt;width:1pt;height:26.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">
                <v:imagedata r:id="rId15" o:title=""/>
              </v:shape>
            </w:pict>
          </mc:Fallback>
        </mc:AlternateContent>
      </w:r>
      <w:r>
        <w:rPr>
          <w:rFonts w:asciiTheme="majorBidi" w:hAnsiTheme="majorBidi" w:cstheme="majorBidi"/>
          <w:b/>
          <w:bCs/>
          <w:noProof/>
          <w:sz w:val="24"/>
          <w:szCs w:val="24"/>
        </w:rPr>
        <mc:AlternateContent>
          <mc:Choice Requires="wpi">
            <w:drawing>
              <wp:anchor distT="0" distB="0" distL="114300" distR="114300" simplePos="0" relativeHeight="251659264" behindDoc="0" locked="0" layoutInCell="1" allowOverlap="1" wp14:anchorId="270C95F5" wp14:editId="57D0D93E">
                <wp:simplePos x="0" y="0"/>
                <wp:positionH relativeFrom="column">
                  <wp:posOffset>-2019414</wp:posOffset>
                </wp:positionH>
                <wp:positionV relativeFrom="paragraph">
                  <wp:posOffset>-619479</wp:posOffset>
                </wp:positionV>
                <wp:extent cx="360" cy="1860840"/>
                <wp:effectExtent l="38100" t="38100" r="38100" b="44450"/>
                <wp:wrapNone/>
                <wp:docPr id="1368801639"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186084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83614B" id="Ink 1" o:spid="_x0000_s1026" type="#_x0000_t75" style="position:absolute;margin-left:-159.35pt;margin-top:-49.15pt;width:.75pt;height:147.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&#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">
                <v:imagedata r:id="rId17" o:title=""/>
              </v:shape>
            </w:pict>
          </mc:Fallback>
        </mc:AlternateContent>
      </w:r>
      <w:r w:rsidR="005222C2" w:rsidRPr="009013D1">
        <w:rPr>
          <w:rFonts w:asciiTheme="majorBidi" w:hAnsiTheme="majorBidi" w:cstheme="majorBidi"/>
          <w:b/>
          <w:bCs/>
          <w:sz w:val="24"/>
          <w:szCs w:val="24"/>
        </w:rPr>
        <w:t>Background:</w:t>
      </w:r>
      <w:r w:rsidR="005222C2" w:rsidRPr="009013D1">
        <w:rPr>
          <w:rFonts w:asciiTheme="majorBidi" w:hAnsiTheme="majorBidi" w:cstheme="majorBidi"/>
          <w:sz w:val="24"/>
          <w:szCs w:val="24"/>
        </w:rPr>
        <w:t> Breast cancer management has evolved toward precision medicine based on molecular subtypes. In low-resource settings like Yemen, access to targeted therapies is limited, potentially exacerbating survival disparities. This study examines treatment patterns and survival outcomes across molecular subtypes in a large Yemeni cohort from a conflict-affected setting.</w:t>
      </w:r>
    </w:p>
    <w:p w14:paraId="1D7380F6" w14:textId="30D7187A" w:rsidR="005222C2" w:rsidRPr="009013D1" w:rsidRDefault="00F81CF3" w:rsidP="009013D1">
      <w:pPr>
        <w:pStyle w:val="ListParagraph"/>
        <w:spacing w:line="360" w:lineRule="auto"/>
        <w:rPr>
          <w:rFonts w:asciiTheme="majorBidi" w:hAnsiTheme="majorBidi" w:cstheme="majorBidi"/>
          <w:sz w:val="24"/>
          <w:szCs w:val="24"/>
        </w:rPr>
      </w:pPr>
      <w:r>
        <w:rPr>
          <w:rFonts w:asciiTheme="majorBidi" w:hAnsiTheme="majorBidi" w:cstheme="majorBidi"/>
          <w:b/>
          <w:bCs/>
          <w:noProof/>
          <w:sz w:val="24"/>
          <w:szCs w:val="24"/>
        </w:rPr>
        <mc:AlternateContent>
          <mc:Choice Requires="wpi">
            <w:drawing>
              <wp:anchor distT="0" distB="0" distL="114300" distR="114300" simplePos="0" relativeHeight="251663360" behindDoc="0" locked="0" layoutInCell="1" allowOverlap="1" wp14:anchorId="46D2CFD2" wp14:editId="672AD03F">
                <wp:simplePos x="0" y="0"/>
                <wp:positionH relativeFrom="column">
                  <wp:posOffset>-1866414</wp:posOffset>
                </wp:positionH>
                <wp:positionV relativeFrom="paragraph">
                  <wp:posOffset>-155169</wp:posOffset>
                </wp:positionV>
                <wp:extent cx="46440" cy="447840"/>
                <wp:effectExtent l="38100" t="38100" r="48895" b="47625"/>
                <wp:wrapNone/>
                <wp:docPr id="1653028729"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46440" cy="44784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353DACA" id="Ink 5" o:spid="_x0000_s1026" type="#_x0000_t75" style="position:absolute;margin-left:-147.3pt;margin-top:-12.55pt;width:4.35pt;height:35.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">
                <v:imagedata r:id="rId19" o:title=""/>
              </v:shape>
            </w:pict>
          </mc:Fallback>
        </mc:AlternateContent>
      </w:r>
      <w:r w:rsidR="005222C2" w:rsidRPr="009013D1">
        <w:rPr>
          <w:rFonts w:asciiTheme="majorBidi" w:hAnsiTheme="majorBidi" w:cstheme="majorBidi"/>
          <w:b/>
          <w:bCs/>
          <w:sz w:val="24"/>
          <w:szCs w:val="24"/>
        </w:rPr>
        <w:t>Methods:</w:t>
      </w:r>
      <w:r w:rsidR="005222C2" w:rsidRPr="009013D1">
        <w:rPr>
          <w:rFonts w:asciiTheme="majorBidi" w:hAnsiTheme="majorBidi" w:cstheme="majorBidi"/>
          <w:sz w:val="24"/>
          <w:szCs w:val="24"/>
        </w:rPr>
        <w:t> A retrospective analysis of 1,167 breast cancer patients at the National Oncology Center in Aden, Yemen (2017-2024) was conducted. Patients were classified into four molecular subtypes: Luminal A-like (HR+/HER2-), Luminal B-like (HR+/HER2+), HER2-enriched (HR-/HER2+), and Triple-Negative (TNBC). Treatment patterns (surgery, chemotherapy, endocrine therapy, anti-HER2 therapy) and mortality at last follow-up were compared across subtypes using chi-square tests and multivariate logistic regression. Due to 41.9% loss to follow-up, survival analysis was restricted to 678 patients with documented outcomes.</w:t>
      </w:r>
    </w:p>
    <w:p w14:paraId="73272A64" w14:textId="23A9580E" w:rsidR="005222C2" w:rsidRPr="009013D1" w:rsidRDefault="005222C2" w:rsidP="009013D1">
      <w:pPr>
        <w:pStyle w:val="ListParagraph"/>
        <w:spacing w:line="360" w:lineRule="auto"/>
        <w:rPr>
          <w:rFonts w:asciiTheme="majorBidi" w:hAnsiTheme="majorBidi" w:cstheme="majorBidi"/>
          <w:sz w:val="24"/>
          <w:szCs w:val="24"/>
        </w:rPr>
      </w:pPr>
      <w:r w:rsidRPr="009013D1">
        <w:rPr>
          <w:rFonts w:asciiTheme="majorBidi" w:hAnsiTheme="majorBidi" w:cstheme="majorBidi"/>
          <w:b/>
          <w:bCs/>
          <w:sz w:val="24"/>
          <w:szCs w:val="24"/>
        </w:rPr>
        <w:t>Results:</w:t>
      </w:r>
      <w:r w:rsidRPr="009013D1">
        <w:rPr>
          <w:rFonts w:asciiTheme="majorBidi" w:hAnsiTheme="majorBidi" w:cstheme="majorBidi"/>
          <w:sz w:val="24"/>
          <w:szCs w:val="24"/>
        </w:rPr>
        <w:t xml:space="preserve"> The cohort comprised 611 (52.4%) Luminal A-like, 168 (14.4%) Luminal B-like, 139 (11.9%) HER2-enriched, and 284 (24.3%) TNBC cases. Significant disparities in treatment access were observed: only </w:t>
      </w:r>
      <w:r w:rsidR="00E5451B" w:rsidRPr="009013D1">
        <w:rPr>
          <w:rFonts w:asciiTheme="majorBidi" w:hAnsiTheme="majorBidi" w:cstheme="majorBidi"/>
          <w:sz w:val="24"/>
          <w:szCs w:val="24"/>
        </w:rPr>
        <w:t>(</w:t>
      </w:r>
      <w:r w:rsidR="00E5451B">
        <w:rPr>
          <w:rFonts w:asciiTheme="majorBidi" w:hAnsiTheme="majorBidi" w:cstheme="majorBidi"/>
          <w:sz w:val="24"/>
          <w:szCs w:val="24"/>
        </w:rPr>
        <w:t>66</w:t>
      </w:r>
      <w:r w:rsidR="00E5451B" w:rsidRPr="009013D1">
        <w:rPr>
          <w:rFonts w:asciiTheme="majorBidi" w:hAnsiTheme="majorBidi" w:cstheme="majorBidi"/>
          <w:sz w:val="24"/>
          <w:szCs w:val="24"/>
        </w:rPr>
        <w:t>.</w:t>
      </w:r>
      <w:r w:rsidR="00E5451B">
        <w:rPr>
          <w:rFonts w:asciiTheme="majorBidi" w:hAnsiTheme="majorBidi" w:cstheme="majorBidi"/>
          <w:sz w:val="24"/>
          <w:szCs w:val="24"/>
        </w:rPr>
        <w:t>2</w:t>
      </w:r>
      <w:r w:rsidR="00E5451B" w:rsidRPr="009013D1">
        <w:rPr>
          <w:rFonts w:asciiTheme="majorBidi" w:hAnsiTheme="majorBidi" w:cstheme="majorBidi"/>
          <w:sz w:val="24"/>
          <w:szCs w:val="24"/>
        </w:rPr>
        <w:t xml:space="preserve">%) </w:t>
      </w:r>
      <w:r w:rsidRPr="009013D1">
        <w:rPr>
          <w:rFonts w:asciiTheme="majorBidi" w:hAnsiTheme="majorBidi" w:cstheme="majorBidi"/>
          <w:sz w:val="24"/>
          <w:szCs w:val="24"/>
        </w:rPr>
        <w:t xml:space="preserve">of eligible HR+ patients received endocrine therapy; only </w:t>
      </w:r>
      <w:r w:rsidR="00E5451B" w:rsidRPr="009013D1">
        <w:rPr>
          <w:rFonts w:asciiTheme="majorBidi" w:hAnsiTheme="majorBidi" w:cstheme="majorBidi"/>
          <w:sz w:val="24"/>
          <w:szCs w:val="24"/>
        </w:rPr>
        <w:t>(</w:t>
      </w:r>
      <w:r w:rsidR="00E5451B">
        <w:rPr>
          <w:rFonts w:asciiTheme="majorBidi" w:hAnsiTheme="majorBidi" w:cstheme="majorBidi"/>
          <w:sz w:val="24"/>
          <w:szCs w:val="24"/>
        </w:rPr>
        <w:t>61</w:t>
      </w:r>
      <w:r w:rsidR="00E5451B" w:rsidRPr="009013D1">
        <w:rPr>
          <w:rFonts w:asciiTheme="majorBidi" w:hAnsiTheme="majorBidi" w:cstheme="majorBidi"/>
          <w:sz w:val="24"/>
          <w:szCs w:val="24"/>
        </w:rPr>
        <w:t>.</w:t>
      </w:r>
      <w:r w:rsidR="00E5451B">
        <w:rPr>
          <w:rFonts w:asciiTheme="majorBidi" w:hAnsiTheme="majorBidi" w:cstheme="majorBidi"/>
          <w:sz w:val="24"/>
          <w:szCs w:val="24"/>
        </w:rPr>
        <w:t>2</w:t>
      </w:r>
      <w:r w:rsidR="00E5451B" w:rsidRPr="009013D1">
        <w:rPr>
          <w:rFonts w:asciiTheme="majorBidi" w:hAnsiTheme="majorBidi" w:cstheme="majorBidi"/>
          <w:sz w:val="24"/>
          <w:szCs w:val="24"/>
        </w:rPr>
        <w:t xml:space="preserve">%) </w:t>
      </w:r>
      <w:r w:rsidRPr="009013D1">
        <w:rPr>
          <w:rFonts w:asciiTheme="majorBidi" w:hAnsiTheme="majorBidi" w:cstheme="majorBidi"/>
          <w:sz w:val="24"/>
          <w:szCs w:val="24"/>
        </w:rPr>
        <w:t>of HER2+ patients received anti-HER2 therapy. TNBC patients had the highest rate of mastectomy (78.2%) and chemotherapy (98.2%). Mortality at last follow-up varied significantly by subtype: Luminal A-like (61.7% alive), Luminal B-like (54.8% alive), HER2-enriched (48.9% alive), and TNBC (42.6% alive; p&lt;0.001). On multivariate analysis, TNBC subtype (OR 2.8, 95% CI 1.6-4.9) and lack of minimum subtype-specific systemic therapy (OR 3.1, 95% CI 1.8-5.4) were independent predictors of mortality. Median follow-up duration was 24 months (range 1-84 months).</w:t>
      </w:r>
    </w:p>
    <w:p w14:paraId="4092340A" w14:textId="77777777" w:rsidR="005222C2" w:rsidRPr="009013D1" w:rsidRDefault="005222C2" w:rsidP="009013D1">
      <w:pPr>
        <w:pStyle w:val="ListParagraph"/>
        <w:spacing w:line="360" w:lineRule="auto"/>
        <w:rPr>
          <w:rFonts w:asciiTheme="majorBidi" w:hAnsiTheme="majorBidi" w:cstheme="majorBidi"/>
          <w:sz w:val="24"/>
          <w:szCs w:val="24"/>
        </w:rPr>
      </w:pPr>
      <w:r w:rsidRPr="009013D1">
        <w:rPr>
          <w:rFonts w:asciiTheme="majorBidi" w:hAnsiTheme="majorBidi" w:cstheme="majorBidi"/>
          <w:b/>
          <w:bCs/>
          <w:sz w:val="24"/>
          <w:szCs w:val="24"/>
        </w:rPr>
        <w:t>Conclusion:</w:t>
      </w:r>
      <w:r w:rsidRPr="009013D1">
        <w:rPr>
          <w:rFonts w:asciiTheme="majorBidi" w:hAnsiTheme="majorBidi" w:cstheme="majorBidi"/>
          <w:sz w:val="24"/>
          <w:szCs w:val="24"/>
        </w:rPr>
        <w:t xml:space="preserve"> Profound disparities exist in access to precision therapy for breast cancer in Yemen, particularly affecting HER2+ and TNBC patients. The survival disadvantage of TNBC patients persists even in this late-presenting cohort, highlighting the urgent need for equitable access to essential cancer medicines and clinical trial inclusion for </w:t>
      </w:r>
      <w:r w:rsidRPr="009013D1">
        <w:rPr>
          <w:rFonts w:asciiTheme="majorBidi" w:hAnsiTheme="majorBidi" w:cstheme="majorBidi"/>
          <w:sz w:val="24"/>
          <w:szCs w:val="24"/>
        </w:rPr>
        <w:lastRenderedPageBreak/>
        <w:t>aggressive subtypes in conflict settings. These findings provide actionable evidence for global oncology policy and humanitarian cancer care strategies.</w:t>
      </w:r>
    </w:p>
    <w:p w14:paraId="43E34B42" w14:textId="77777777" w:rsidR="005222C2" w:rsidRPr="009013D1" w:rsidRDefault="005222C2" w:rsidP="009013D1">
      <w:pPr>
        <w:pStyle w:val="ListParagraph"/>
        <w:spacing w:line="360" w:lineRule="auto"/>
        <w:rPr>
          <w:rFonts w:asciiTheme="majorBidi" w:hAnsiTheme="majorBidi" w:cstheme="majorBidi"/>
          <w:sz w:val="24"/>
          <w:szCs w:val="24"/>
        </w:rPr>
      </w:pPr>
      <w:r w:rsidRPr="009013D1">
        <w:rPr>
          <w:rFonts w:asciiTheme="majorBidi" w:hAnsiTheme="majorBidi" w:cstheme="majorBidi"/>
          <w:b/>
          <w:bCs/>
          <w:sz w:val="24"/>
          <w:szCs w:val="24"/>
        </w:rPr>
        <w:t>Keywords:</w:t>
      </w:r>
      <w:r w:rsidRPr="009013D1">
        <w:rPr>
          <w:rFonts w:asciiTheme="majorBidi" w:hAnsiTheme="majorBidi" w:cstheme="majorBidi"/>
          <w:sz w:val="24"/>
          <w:szCs w:val="24"/>
        </w:rPr>
        <w:t> Breast Cancer, Molecular Subtypes, Targeted Therapy, Disparities, Survival, Yemen, Conflict Setting, Precision Medicine</w:t>
      </w:r>
    </w:p>
    <w:p w14:paraId="16C88C3E" w14:textId="77777777" w:rsidR="0004467D" w:rsidRDefault="0004467D" w:rsidP="009013D1">
      <w:pPr>
        <w:spacing w:line="360" w:lineRule="auto"/>
        <w:rPr>
          <w:rFonts w:asciiTheme="majorBidi" w:hAnsiTheme="majorBidi" w:cstheme="majorBidi"/>
          <w:b/>
          <w:bCs/>
          <w:sz w:val="24"/>
          <w:szCs w:val="24"/>
        </w:rPr>
      </w:pPr>
    </w:p>
    <w:p w14:paraId="648541C2" w14:textId="3ED89B3F"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1. INTRODUCTION</w:t>
      </w:r>
    </w:p>
    <w:p w14:paraId="67389C46"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The paradigm of breast cancer management has undergone a transformative shift from a one-size-fits-all approach to precision medicine guided by molecular subtyping. The classification based on estrogen receptor (ER), progesterone receptor (PR), and human epidermal growth factor receptor 2 (HER2) status delineates distinct biological entities with specific therapeutic implications: endocrine therapy for hormone receptor-positive (HR+) disease, anti-HER2 targeted agents for HER2-positive disease, and chemotherapy backbone for triple-negative breast cancer (TNBC) (Perou et al., 2000; Goldhirsch et al., 2013). This stratification has dramatically improved survival outcomes in high-income countries, where access to the full spectrum of targeted therapies is standard (Howlader et al., 2020).</w:t>
      </w:r>
    </w:p>
    <w:p w14:paraId="01D01063"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However, this advancement has simultaneously widened the global cancer care divide. In low- and middle-income countries (LMICs), and particularly in nations experiencing conflict or humanitarian crises, access to essential diagnostics for accurate subtyping and to life-prolonging targeted therapies is severely constrained (Vanderpuye et al., 2017; Rubinstein et al., 2020). This creates a paradoxical situation where patients are biologically characterized but cannot access the corresponding targeted treatment, potentially turning molecular subtyping into a mere prognostic label rather than a guide to therapy. The resultant survival disparities across subtypes in such settings are poorly quantified but are hypothesized to be extreme.</w:t>
      </w:r>
    </w:p>
    <w:p w14:paraId="2611491C"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Yemen, enduring a decade of catastrophic conflict, represents a critical case study of this crisis. The healthcare infrastructure has collapsed, with chronic shortages of essential medicines, diagnostics, and specialized personnel (Qirbi &amp; Ismail, 2017). While immunohistochemistry (IHC) for hormone receptors and HER2 is sporadically available at the National Oncology Center (NOC) in Aden, the consistent supply of targeted agents—especially trastuzumab for HER2+ disease and newer agents for TNBC—is virtually non-existent outside of sporadic humanitarian donations. Previous studies from Yemen have documented the overwhelming burden of late-stage disease but have not analyzed how treatment delivery and survival differ by the intrinsic biology of the tumor (</w:t>
      </w:r>
      <w:proofErr w:type="spellStart"/>
      <w:r w:rsidRPr="0004467D">
        <w:rPr>
          <w:rFonts w:asciiTheme="majorBidi" w:hAnsiTheme="majorBidi" w:cstheme="majorBidi"/>
          <w:sz w:val="24"/>
          <w:szCs w:val="24"/>
        </w:rPr>
        <w:t>Bamashmos</w:t>
      </w:r>
      <w:proofErr w:type="spellEnd"/>
      <w:r w:rsidRPr="0004467D">
        <w:rPr>
          <w:rFonts w:asciiTheme="majorBidi" w:hAnsiTheme="majorBidi" w:cstheme="majorBidi"/>
          <w:sz w:val="24"/>
          <w:szCs w:val="24"/>
        </w:rPr>
        <w:t xml:space="preserve"> et al., 2020; </w:t>
      </w:r>
      <w:proofErr w:type="spellStart"/>
      <w:r w:rsidRPr="0004467D">
        <w:rPr>
          <w:rFonts w:asciiTheme="majorBidi" w:hAnsiTheme="majorBidi" w:cstheme="majorBidi"/>
          <w:sz w:val="24"/>
          <w:szCs w:val="24"/>
        </w:rPr>
        <w:t>Bawazir</w:t>
      </w:r>
      <w:proofErr w:type="spellEnd"/>
      <w:r w:rsidRPr="0004467D">
        <w:rPr>
          <w:rFonts w:asciiTheme="majorBidi" w:hAnsiTheme="majorBidi" w:cstheme="majorBidi"/>
          <w:sz w:val="24"/>
          <w:szCs w:val="24"/>
        </w:rPr>
        <w:t xml:space="preserve"> et al., 2022; Hamid, 2022; Al-</w:t>
      </w:r>
      <w:proofErr w:type="spellStart"/>
      <w:r w:rsidRPr="0004467D">
        <w:rPr>
          <w:rFonts w:asciiTheme="majorBidi" w:hAnsiTheme="majorBidi" w:cstheme="majorBidi"/>
          <w:sz w:val="24"/>
          <w:szCs w:val="24"/>
        </w:rPr>
        <w:t>Kahiry</w:t>
      </w:r>
      <w:proofErr w:type="spellEnd"/>
      <w:r w:rsidRPr="0004467D">
        <w:rPr>
          <w:rFonts w:asciiTheme="majorBidi" w:hAnsiTheme="majorBidi" w:cstheme="majorBidi"/>
          <w:sz w:val="24"/>
          <w:szCs w:val="24"/>
        </w:rPr>
        <w:t xml:space="preserve"> et al., 2011).</w:t>
      </w:r>
    </w:p>
    <w:p w14:paraId="002E71EC"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 xml:space="preserve">This study aims to fill this critical gap. We hypothesize that in Yemen's resource-constrained environment, mortality outcomes will correlate not only with stage at presentation but also sharply with molecular subtype, reflecting disparities in access to subtype-specific therapies. By characterizing treatment patterns and survival status at last follow-up across molecular subtypes in a large Yemeni cohort, this study seeks to: 1) quantify the gap between biological indication </w:t>
      </w:r>
      <w:r w:rsidRPr="0004467D">
        <w:rPr>
          <w:rFonts w:asciiTheme="majorBidi" w:hAnsiTheme="majorBidi" w:cstheme="majorBidi"/>
          <w:sz w:val="24"/>
          <w:szCs w:val="24"/>
        </w:rPr>
        <w:lastRenderedPageBreak/>
        <w:t>and therapeutic receipt, 2) compare mortality outcomes across subtypes, and 3) identify which patients are most disadvantaged by the current system. The findings will provide crucial evidence to advocate for targeted drug access policies and inform the design of equitable cancer care strategies in humanitarian settings.</w:t>
      </w:r>
    </w:p>
    <w:p w14:paraId="7DE76FCE" w14:textId="77777777" w:rsidR="0004467D" w:rsidRDefault="0004467D" w:rsidP="005222C2">
      <w:pPr>
        <w:rPr>
          <w:rFonts w:asciiTheme="majorBidi" w:hAnsiTheme="majorBidi" w:cstheme="majorBidi"/>
          <w:b/>
          <w:bCs/>
          <w:sz w:val="24"/>
          <w:szCs w:val="24"/>
        </w:rPr>
      </w:pPr>
    </w:p>
    <w:p w14:paraId="5AFD6EE7" w14:textId="1AB070E3"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2. MATERIALS AND METHODS</w:t>
      </w:r>
    </w:p>
    <w:p w14:paraId="47946F50"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2.1. Study Design and Setting</w:t>
      </w:r>
    </w:p>
    <w:p w14:paraId="247F227C"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A hospital-based retrospective cohort study was conducted at the National Oncology Center (NOC) in Aden, Yemen. The NOC is the principal public cancer treatment facility for southern Yemen, serving a catchment population of approximately 15 million people across multiple governorates.</w:t>
      </w:r>
    </w:p>
    <w:p w14:paraId="3C5AC165"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2.2. Study Population</w:t>
      </w:r>
    </w:p>
    <w:p w14:paraId="00BA0B13"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The study included 1,167 consecutive patients with histologically confirmed invasive breast cancer registered at the NOC between January 2017 and December 2024. Patients with missing data on all three receptors (ER, PR, HER2) necessary for subtype classification were excluded. For survival analysis, 489 patients (41.9%) who were followed up at other centers with incomplete outcome documentation were excluded, yielding an analytic cohort of 678 patients with documented vital status at last follow-up.</w:t>
      </w:r>
    </w:p>
    <w:p w14:paraId="7C478109"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2.3. Variables and Definitions</w:t>
      </w:r>
    </w:p>
    <w:p w14:paraId="5E2E2BC2"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Molecular Subtype Classification:</w:t>
      </w:r>
      <w:r w:rsidRPr="0004467D">
        <w:rPr>
          <w:rFonts w:asciiTheme="majorBidi" w:hAnsiTheme="majorBidi" w:cstheme="majorBidi"/>
          <w:sz w:val="24"/>
          <w:szCs w:val="24"/>
        </w:rPr>
        <w:t> Based on IHC results from pathology reports. Subtypes were defined as:</w:t>
      </w:r>
    </w:p>
    <w:p w14:paraId="2C518FAA" w14:textId="77777777" w:rsidR="005222C2" w:rsidRPr="0004467D" w:rsidRDefault="005222C2" w:rsidP="005222C2">
      <w:pPr>
        <w:numPr>
          <w:ilvl w:val="0"/>
          <w:numId w:val="1"/>
        </w:numPr>
        <w:rPr>
          <w:rFonts w:asciiTheme="majorBidi" w:hAnsiTheme="majorBidi" w:cstheme="majorBidi"/>
          <w:sz w:val="24"/>
          <w:szCs w:val="24"/>
        </w:rPr>
      </w:pPr>
      <w:r w:rsidRPr="0004467D">
        <w:rPr>
          <w:rFonts w:asciiTheme="majorBidi" w:hAnsiTheme="majorBidi" w:cstheme="majorBidi"/>
          <w:b/>
          <w:bCs/>
          <w:sz w:val="24"/>
          <w:szCs w:val="24"/>
        </w:rPr>
        <w:t>Luminal A-like:</w:t>
      </w:r>
      <w:r w:rsidRPr="0004467D">
        <w:rPr>
          <w:rFonts w:asciiTheme="majorBidi" w:hAnsiTheme="majorBidi" w:cstheme="majorBidi"/>
          <w:sz w:val="24"/>
          <w:szCs w:val="24"/>
        </w:rPr>
        <w:t> ER+ and/or PR+, HER2-, any grade.</w:t>
      </w:r>
    </w:p>
    <w:p w14:paraId="50012C99" w14:textId="77777777" w:rsidR="005222C2" w:rsidRPr="0004467D" w:rsidRDefault="005222C2" w:rsidP="005222C2">
      <w:pPr>
        <w:numPr>
          <w:ilvl w:val="0"/>
          <w:numId w:val="1"/>
        </w:numPr>
        <w:rPr>
          <w:rFonts w:asciiTheme="majorBidi" w:hAnsiTheme="majorBidi" w:cstheme="majorBidi"/>
          <w:sz w:val="24"/>
          <w:szCs w:val="24"/>
        </w:rPr>
      </w:pPr>
      <w:r w:rsidRPr="0004467D">
        <w:rPr>
          <w:rFonts w:asciiTheme="majorBidi" w:hAnsiTheme="majorBidi" w:cstheme="majorBidi"/>
          <w:b/>
          <w:bCs/>
          <w:sz w:val="24"/>
          <w:szCs w:val="24"/>
        </w:rPr>
        <w:t>Luminal B-like:</w:t>
      </w:r>
      <w:r w:rsidRPr="0004467D">
        <w:rPr>
          <w:rFonts w:asciiTheme="majorBidi" w:hAnsiTheme="majorBidi" w:cstheme="majorBidi"/>
          <w:sz w:val="24"/>
          <w:szCs w:val="24"/>
        </w:rPr>
        <w:t> ER+ and/or PR+, HER2+.</w:t>
      </w:r>
    </w:p>
    <w:p w14:paraId="5818BA21" w14:textId="77777777" w:rsidR="005222C2" w:rsidRPr="0004467D" w:rsidRDefault="005222C2" w:rsidP="005222C2">
      <w:pPr>
        <w:numPr>
          <w:ilvl w:val="0"/>
          <w:numId w:val="1"/>
        </w:numPr>
        <w:rPr>
          <w:rFonts w:asciiTheme="majorBidi" w:hAnsiTheme="majorBidi" w:cstheme="majorBidi"/>
          <w:sz w:val="24"/>
          <w:szCs w:val="24"/>
        </w:rPr>
      </w:pPr>
      <w:r w:rsidRPr="0004467D">
        <w:rPr>
          <w:rFonts w:asciiTheme="majorBidi" w:hAnsiTheme="majorBidi" w:cstheme="majorBidi"/>
          <w:b/>
          <w:bCs/>
          <w:sz w:val="24"/>
          <w:szCs w:val="24"/>
        </w:rPr>
        <w:t>HER2-enriched (non-luminal):</w:t>
      </w:r>
      <w:r w:rsidRPr="0004467D">
        <w:rPr>
          <w:rFonts w:asciiTheme="majorBidi" w:hAnsiTheme="majorBidi" w:cstheme="majorBidi"/>
          <w:sz w:val="24"/>
          <w:szCs w:val="24"/>
        </w:rPr>
        <w:t> ER-, PR-, HER2+.</w:t>
      </w:r>
    </w:p>
    <w:p w14:paraId="47A967F1" w14:textId="77777777" w:rsidR="005222C2" w:rsidRPr="0004467D" w:rsidRDefault="005222C2" w:rsidP="005222C2">
      <w:pPr>
        <w:numPr>
          <w:ilvl w:val="0"/>
          <w:numId w:val="1"/>
        </w:numPr>
        <w:rPr>
          <w:rFonts w:asciiTheme="majorBidi" w:hAnsiTheme="majorBidi" w:cstheme="majorBidi"/>
          <w:sz w:val="24"/>
          <w:szCs w:val="24"/>
        </w:rPr>
      </w:pPr>
      <w:r w:rsidRPr="0004467D">
        <w:rPr>
          <w:rFonts w:asciiTheme="majorBidi" w:hAnsiTheme="majorBidi" w:cstheme="majorBidi"/>
          <w:b/>
          <w:bCs/>
          <w:sz w:val="24"/>
          <w:szCs w:val="24"/>
        </w:rPr>
        <w:t>Triple-Negative Breast Cancer (TNBC):</w:t>
      </w:r>
      <w:r w:rsidRPr="0004467D">
        <w:rPr>
          <w:rFonts w:asciiTheme="majorBidi" w:hAnsiTheme="majorBidi" w:cstheme="majorBidi"/>
          <w:sz w:val="24"/>
          <w:szCs w:val="24"/>
        </w:rPr>
        <w:t> ER-, PR-, HER2-.</w:t>
      </w:r>
    </w:p>
    <w:p w14:paraId="49056E3A"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Treatment Variables:</w:t>
      </w:r>
    </w:p>
    <w:p w14:paraId="70629390" w14:textId="77777777" w:rsidR="005222C2" w:rsidRPr="0004467D" w:rsidRDefault="005222C2" w:rsidP="005222C2">
      <w:pPr>
        <w:numPr>
          <w:ilvl w:val="0"/>
          <w:numId w:val="2"/>
        </w:numPr>
        <w:rPr>
          <w:rFonts w:asciiTheme="majorBidi" w:hAnsiTheme="majorBidi" w:cstheme="majorBidi"/>
          <w:sz w:val="24"/>
          <w:szCs w:val="24"/>
        </w:rPr>
      </w:pPr>
      <w:r w:rsidRPr="0004467D">
        <w:rPr>
          <w:rFonts w:asciiTheme="majorBidi" w:hAnsiTheme="majorBidi" w:cstheme="majorBidi"/>
          <w:b/>
          <w:bCs/>
          <w:sz w:val="24"/>
          <w:szCs w:val="24"/>
        </w:rPr>
        <w:t>Surgery:</w:t>
      </w:r>
      <w:r w:rsidRPr="0004467D">
        <w:rPr>
          <w:rFonts w:asciiTheme="majorBidi" w:hAnsiTheme="majorBidi" w:cstheme="majorBidi"/>
          <w:sz w:val="24"/>
          <w:szCs w:val="24"/>
        </w:rPr>
        <w:t> Modified Radical Mastectomy (MRM), Breast-Conserving Surgery (BCS), or biopsy only.</w:t>
      </w:r>
    </w:p>
    <w:p w14:paraId="10C3FC1E" w14:textId="77777777" w:rsidR="005222C2" w:rsidRPr="0004467D" w:rsidRDefault="005222C2" w:rsidP="005222C2">
      <w:pPr>
        <w:numPr>
          <w:ilvl w:val="0"/>
          <w:numId w:val="2"/>
        </w:numPr>
        <w:rPr>
          <w:rFonts w:asciiTheme="majorBidi" w:hAnsiTheme="majorBidi" w:cstheme="majorBidi"/>
          <w:sz w:val="24"/>
          <w:szCs w:val="24"/>
        </w:rPr>
      </w:pPr>
      <w:r w:rsidRPr="0004467D">
        <w:rPr>
          <w:rFonts w:asciiTheme="majorBidi" w:hAnsiTheme="majorBidi" w:cstheme="majorBidi"/>
          <w:b/>
          <w:bCs/>
          <w:sz w:val="24"/>
          <w:szCs w:val="24"/>
        </w:rPr>
        <w:t>Systemic Therapy:</w:t>
      </w:r>
      <w:r w:rsidRPr="0004467D">
        <w:rPr>
          <w:rFonts w:asciiTheme="majorBidi" w:hAnsiTheme="majorBidi" w:cstheme="majorBidi"/>
          <w:sz w:val="24"/>
          <w:szCs w:val="24"/>
        </w:rPr>
        <w:t> Receipt of chemotherapy, endocrine therapy (for HR+ patients), and anti-HER2 therapy (trastuzumab; for HER2+ patients). Receipt was coded as "Yes" if documented in the treatment plan or pharmacy records.</w:t>
      </w:r>
    </w:p>
    <w:p w14:paraId="49ABC7AA" w14:textId="77777777" w:rsidR="005222C2" w:rsidRPr="0004467D" w:rsidRDefault="005222C2" w:rsidP="005222C2">
      <w:pPr>
        <w:numPr>
          <w:ilvl w:val="0"/>
          <w:numId w:val="2"/>
        </w:numPr>
        <w:rPr>
          <w:rFonts w:asciiTheme="majorBidi" w:hAnsiTheme="majorBidi" w:cstheme="majorBidi"/>
          <w:sz w:val="24"/>
          <w:szCs w:val="24"/>
        </w:rPr>
      </w:pPr>
      <w:r w:rsidRPr="0004467D">
        <w:rPr>
          <w:rFonts w:asciiTheme="majorBidi" w:hAnsiTheme="majorBidi" w:cstheme="majorBidi"/>
          <w:b/>
          <w:bCs/>
          <w:sz w:val="24"/>
          <w:szCs w:val="24"/>
        </w:rPr>
        <w:t>Minimum Subtype-Specific Systemic Therapy:</w:t>
      </w:r>
      <w:r w:rsidRPr="0004467D">
        <w:rPr>
          <w:rFonts w:asciiTheme="majorBidi" w:hAnsiTheme="majorBidi" w:cstheme="majorBidi"/>
          <w:sz w:val="24"/>
          <w:szCs w:val="24"/>
        </w:rPr>
        <w:t xml:space="preserve"> A composite variable defined as receiving the minimum indicated systemic therapy available in this resource-limited setting (endocrine therapy for Luminal subtypes, anti-HER2 therapy for HER2+ </w:t>
      </w:r>
      <w:r w:rsidRPr="0004467D">
        <w:rPr>
          <w:rFonts w:asciiTheme="majorBidi" w:hAnsiTheme="majorBidi" w:cstheme="majorBidi"/>
          <w:sz w:val="24"/>
          <w:szCs w:val="24"/>
        </w:rPr>
        <w:lastRenderedPageBreak/>
        <w:t>subtypes, and any standard chemotherapy for TNBC). This represents the essential standard of care rather than optimal guideline-adherent therapy in high-resource settings.</w:t>
      </w:r>
    </w:p>
    <w:p w14:paraId="5E17AA82"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Outcome Variable:</w:t>
      </w:r>
      <w:r w:rsidRPr="0004467D">
        <w:rPr>
          <w:rFonts w:asciiTheme="majorBidi" w:hAnsiTheme="majorBidi" w:cstheme="majorBidi"/>
          <w:sz w:val="24"/>
          <w:szCs w:val="24"/>
        </w:rPr>
        <w:t> Documented vital status (alive vs. deceased) at last follow-up. Patients lost to follow-up were excluded from survival analyses. Median follow-up duration was 24 months (range 1-84 months).</w:t>
      </w:r>
    </w:p>
    <w:p w14:paraId="4CF530B1"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2.4. Statistical Analysis</w:t>
      </w:r>
    </w:p>
    <w:p w14:paraId="7559CC9E"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Data were analyzed using IBM SPSS Statistics v25.0. Descriptive statistics summarized patient characteristics and treatment patterns by subtype. Categorical variables were compared using the Chi-square test. Univariate and multivariate binary logistic regression analyses were performed to identify factors associated with mortality at last follow-up. Logistic regression was chosen as the appropriate method given the binary outcome of vital status at a single timepoint, rather than time-to-event survival analysis. Results are expressed as odds ratios (OR) and 95% confidence intervals (CI). A p-value &lt; 0.05 was considered statistically significant.</w:t>
      </w:r>
    </w:p>
    <w:p w14:paraId="110BACD5"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2.5. Ethical Considerations</w:t>
      </w:r>
    </w:p>
    <w:p w14:paraId="07F21C5B"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Ethical approval was granted by the Faculty of Medicine and Health Sciences, University of Aden (IRB 203-2024). A waiver of informed consent was obtained for this retrospective review of anonymized patient data. All patient data were de-identified prior to analysis.</w:t>
      </w:r>
    </w:p>
    <w:p w14:paraId="1BBD0E41" w14:textId="77777777" w:rsidR="0004467D" w:rsidRDefault="0004467D" w:rsidP="005222C2">
      <w:pPr>
        <w:rPr>
          <w:rFonts w:asciiTheme="majorBidi" w:hAnsiTheme="majorBidi" w:cstheme="majorBidi"/>
          <w:b/>
          <w:bCs/>
          <w:sz w:val="24"/>
          <w:szCs w:val="24"/>
        </w:rPr>
      </w:pPr>
    </w:p>
    <w:p w14:paraId="3EA497A3" w14:textId="4D178E5B"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3. RESULTS</w:t>
      </w:r>
    </w:p>
    <w:p w14:paraId="4B5A1E02"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3.1. Distribution of Molecular Subtypes and Baseline Characteristics</w:t>
      </w:r>
    </w:p>
    <w:p w14:paraId="5B3E0BBD"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Among 1,167 patients, molecular subtypes were distributed as follows: Luminal A-like, 611 (52.4%); Luminal B-like, 168 (14.4%); HER2-enriched, 139 (11.9%); and TNBC, 284 (24.3%). Baseline characteristics varied significantly by subtype (Table 1). TNBC patients presented with the most advanced disease: 58.1% had Stage III/IV disease versus 46.5% in Luminal A-like (p&lt;0.001). TNBC tumors were also larger (&gt;5 cm in 32.4% vs. 19.8% in Luminal A-like; p&lt;0.001) and of higher grade (Grade 3 in 45.1% vs. 24.4%; p&lt;0.001). Mean age at diagnosis was 50.3 years (SD 11.5), with no significant difference across subtypes.</w:t>
      </w:r>
    </w:p>
    <w:p w14:paraId="765549C4" w14:textId="77777777" w:rsidR="005222C2" w:rsidRPr="005222C2" w:rsidRDefault="005222C2" w:rsidP="005222C2">
      <w:r w:rsidRPr="005222C2">
        <w:rPr>
          <w:b/>
          <w:bCs/>
        </w:rPr>
        <w:t>Table 1: Baseline Clinical and Pathological Characteristics by Molecular Subtype</w:t>
      </w:r>
    </w:p>
    <w:tbl>
      <w:tblPr>
        <w:tblW w:w="0" w:type="auto"/>
        <w:tblCellMar>
          <w:top w:w="15" w:type="dxa"/>
          <w:left w:w="15" w:type="dxa"/>
          <w:bottom w:w="15" w:type="dxa"/>
          <w:right w:w="15" w:type="dxa"/>
        </w:tblCellMar>
        <w:tblLook w:val="04A0" w:firstRow="1" w:lastRow="0" w:firstColumn="1" w:lastColumn="0" w:noHBand="0" w:noVBand="1"/>
      </w:tblPr>
      <w:tblGrid>
        <w:gridCol w:w="1694"/>
        <w:gridCol w:w="1721"/>
        <w:gridCol w:w="1719"/>
        <w:gridCol w:w="1800"/>
        <w:gridCol w:w="1397"/>
        <w:gridCol w:w="1029"/>
      </w:tblGrid>
      <w:tr w:rsidR="005222C2" w:rsidRPr="005222C2" w14:paraId="1CE2C0A8" w14:textId="77777777" w:rsidTr="0042253E">
        <w:trPr>
          <w:tblHeader/>
        </w:trPr>
        <w:tc>
          <w:tcPr>
            <w:tcW w:w="0" w:type="auto"/>
            <w:tcMar>
              <w:top w:w="150" w:type="dxa"/>
              <w:left w:w="0" w:type="dxa"/>
              <w:bottom w:w="150" w:type="dxa"/>
              <w:right w:w="240" w:type="dxa"/>
            </w:tcMar>
            <w:vAlign w:val="center"/>
            <w:hideMark/>
          </w:tcPr>
          <w:p w14:paraId="40FBEAED" w14:textId="77777777" w:rsidR="005222C2" w:rsidRPr="005222C2" w:rsidRDefault="005222C2" w:rsidP="005222C2">
            <w:r w:rsidRPr="005222C2">
              <w:t>Characteristic</w:t>
            </w:r>
          </w:p>
        </w:tc>
        <w:tc>
          <w:tcPr>
            <w:tcW w:w="0" w:type="auto"/>
            <w:tcMar>
              <w:top w:w="150" w:type="dxa"/>
              <w:left w:w="240" w:type="dxa"/>
              <w:bottom w:w="150" w:type="dxa"/>
              <w:right w:w="240" w:type="dxa"/>
            </w:tcMar>
            <w:vAlign w:val="center"/>
            <w:hideMark/>
          </w:tcPr>
          <w:p w14:paraId="1B70505B" w14:textId="77777777" w:rsidR="005222C2" w:rsidRPr="005222C2" w:rsidRDefault="005222C2" w:rsidP="005222C2">
            <w:r w:rsidRPr="005222C2">
              <w:t>Luminal A-like (n=611)</w:t>
            </w:r>
          </w:p>
        </w:tc>
        <w:tc>
          <w:tcPr>
            <w:tcW w:w="0" w:type="auto"/>
            <w:tcMar>
              <w:top w:w="150" w:type="dxa"/>
              <w:left w:w="240" w:type="dxa"/>
              <w:bottom w:w="150" w:type="dxa"/>
              <w:right w:w="240" w:type="dxa"/>
            </w:tcMar>
            <w:vAlign w:val="center"/>
            <w:hideMark/>
          </w:tcPr>
          <w:p w14:paraId="3EC766C2" w14:textId="77777777" w:rsidR="005222C2" w:rsidRPr="005222C2" w:rsidRDefault="005222C2" w:rsidP="005222C2">
            <w:r w:rsidRPr="005222C2">
              <w:t>Luminal B-like (n=168)</w:t>
            </w:r>
          </w:p>
        </w:tc>
        <w:tc>
          <w:tcPr>
            <w:tcW w:w="0" w:type="auto"/>
            <w:tcMar>
              <w:top w:w="150" w:type="dxa"/>
              <w:left w:w="240" w:type="dxa"/>
              <w:bottom w:w="150" w:type="dxa"/>
              <w:right w:w="240" w:type="dxa"/>
            </w:tcMar>
            <w:vAlign w:val="center"/>
            <w:hideMark/>
          </w:tcPr>
          <w:p w14:paraId="02BE070F" w14:textId="77777777" w:rsidR="005222C2" w:rsidRPr="005222C2" w:rsidRDefault="005222C2" w:rsidP="005222C2">
            <w:r w:rsidRPr="005222C2">
              <w:t>HER2-enriched (n=139)</w:t>
            </w:r>
          </w:p>
        </w:tc>
        <w:tc>
          <w:tcPr>
            <w:tcW w:w="0" w:type="auto"/>
            <w:tcMar>
              <w:top w:w="150" w:type="dxa"/>
              <w:left w:w="240" w:type="dxa"/>
              <w:bottom w:w="150" w:type="dxa"/>
              <w:right w:w="240" w:type="dxa"/>
            </w:tcMar>
            <w:vAlign w:val="center"/>
            <w:hideMark/>
          </w:tcPr>
          <w:p w14:paraId="4F21711D" w14:textId="77777777" w:rsidR="005222C2" w:rsidRPr="005222C2" w:rsidRDefault="005222C2" w:rsidP="005222C2">
            <w:r w:rsidRPr="005222C2">
              <w:t>TNBC (n=284)</w:t>
            </w:r>
          </w:p>
        </w:tc>
        <w:tc>
          <w:tcPr>
            <w:tcW w:w="0" w:type="auto"/>
            <w:tcMar>
              <w:top w:w="150" w:type="dxa"/>
              <w:left w:w="240" w:type="dxa"/>
              <w:bottom w:w="150" w:type="dxa"/>
              <w:right w:w="240" w:type="dxa"/>
            </w:tcMar>
            <w:vAlign w:val="center"/>
            <w:hideMark/>
          </w:tcPr>
          <w:p w14:paraId="50FD34E3" w14:textId="77777777" w:rsidR="005222C2" w:rsidRPr="005222C2" w:rsidRDefault="005222C2" w:rsidP="005222C2">
            <w:r w:rsidRPr="005222C2">
              <w:t>P-value</w:t>
            </w:r>
          </w:p>
        </w:tc>
      </w:tr>
      <w:tr w:rsidR="005222C2" w:rsidRPr="005222C2" w14:paraId="6ABFF3E6" w14:textId="77777777" w:rsidTr="0042253E">
        <w:tc>
          <w:tcPr>
            <w:tcW w:w="0" w:type="auto"/>
            <w:tcMar>
              <w:top w:w="150" w:type="dxa"/>
              <w:left w:w="0" w:type="dxa"/>
              <w:bottom w:w="150" w:type="dxa"/>
              <w:right w:w="240" w:type="dxa"/>
            </w:tcMar>
            <w:vAlign w:val="center"/>
            <w:hideMark/>
          </w:tcPr>
          <w:p w14:paraId="4205BEDA" w14:textId="77777777" w:rsidR="005222C2" w:rsidRPr="005222C2" w:rsidRDefault="005222C2" w:rsidP="005222C2">
            <w:r w:rsidRPr="005222C2">
              <w:t>Age, mean (SD)</w:t>
            </w:r>
          </w:p>
        </w:tc>
        <w:tc>
          <w:tcPr>
            <w:tcW w:w="0" w:type="auto"/>
            <w:tcMar>
              <w:top w:w="150" w:type="dxa"/>
              <w:left w:w="240" w:type="dxa"/>
              <w:bottom w:w="150" w:type="dxa"/>
              <w:right w:w="240" w:type="dxa"/>
            </w:tcMar>
            <w:vAlign w:val="center"/>
            <w:hideMark/>
          </w:tcPr>
          <w:p w14:paraId="71779885" w14:textId="77777777" w:rsidR="005222C2" w:rsidRPr="005222C2" w:rsidRDefault="005222C2" w:rsidP="005222C2">
            <w:r w:rsidRPr="005222C2">
              <w:t>51.2 (11.8)</w:t>
            </w:r>
          </w:p>
        </w:tc>
        <w:tc>
          <w:tcPr>
            <w:tcW w:w="0" w:type="auto"/>
            <w:tcMar>
              <w:top w:w="150" w:type="dxa"/>
              <w:left w:w="240" w:type="dxa"/>
              <w:bottom w:w="150" w:type="dxa"/>
              <w:right w:w="240" w:type="dxa"/>
            </w:tcMar>
            <w:vAlign w:val="center"/>
            <w:hideMark/>
          </w:tcPr>
          <w:p w14:paraId="142312AA" w14:textId="77777777" w:rsidR="005222C2" w:rsidRPr="005222C2" w:rsidRDefault="005222C2" w:rsidP="005222C2">
            <w:r w:rsidRPr="005222C2">
              <w:t>49.8 (10.9)</w:t>
            </w:r>
          </w:p>
        </w:tc>
        <w:tc>
          <w:tcPr>
            <w:tcW w:w="0" w:type="auto"/>
            <w:tcMar>
              <w:top w:w="150" w:type="dxa"/>
              <w:left w:w="240" w:type="dxa"/>
              <w:bottom w:w="150" w:type="dxa"/>
              <w:right w:w="240" w:type="dxa"/>
            </w:tcMar>
            <w:vAlign w:val="center"/>
            <w:hideMark/>
          </w:tcPr>
          <w:p w14:paraId="208FD069" w14:textId="77777777" w:rsidR="005222C2" w:rsidRPr="005222C2" w:rsidRDefault="005222C2" w:rsidP="005222C2">
            <w:r w:rsidRPr="005222C2">
              <w:t>48.5 (11.2)</w:t>
            </w:r>
          </w:p>
        </w:tc>
        <w:tc>
          <w:tcPr>
            <w:tcW w:w="0" w:type="auto"/>
            <w:tcMar>
              <w:top w:w="150" w:type="dxa"/>
              <w:left w:w="240" w:type="dxa"/>
              <w:bottom w:w="150" w:type="dxa"/>
              <w:right w:w="240" w:type="dxa"/>
            </w:tcMar>
            <w:vAlign w:val="center"/>
            <w:hideMark/>
          </w:tcPr>
          <w:p w14:paraId="483B1F04" w14:textId="77777777" w:rsidR="005222C2" w:rsidRPr="005222C2" w:rsidRDefault="005222C2" w:rsidP="005222C2">
            <w:r w:rsidRPr="005222C2">
              <w:t>50.1 (11.5)</w:t>
            </w:r>
          </w:p>
        </w:tc>
        <w:tc>
          <w:tcPr>
            <w:tcW w:w="0" w:type="auto"/>
            <w:tcMar>
              <w:top w:w="150" w:type="dxa"/>
              <w:left w:w="240" w:type="dxa"/>
              <w:bottom w:w="150" w:type="dxa"/>
              <w:right w:w="0" w:type="dxa"/>
            </w:tcMar>
            <w:vAlign w:val="center"/>
            <w:hideMark/>
          </w:tcPr>
          <w:p w14:paraId="1F21B240" w14:textId="77777777" w:rsidR="005222C2" w:rsidRPr="005222C2" w:rsidRDefault="005222C2" w:rsidP="005222C2">
            <w:r w:rsidRPr="005222C2">
              <w:t>0.089</w:t>
            </w:r>
          </w:p>
        </w:tc>
      </w:tr>
      <w:tr w:rsidR="005222C2" w:rsidRPr="005222C2" w14:paraId="45883882" w14:textId="77777777" w:rsidTr="0042253E">
        <w:tc>
          <w:tcPr>
            <w:tcW w:w="0" w:type="auto"/>
            <w:tcMar>
              <w:top w:w="150" w:type="dxa"/>
              <w:left w:w="0" w:type="dxa"/>
              <w:bottom w:w="150" w:type="dxa"/>
              <w:right w:w="240" w:type="dxa"/>
            </w:tcMar>
            <w:vAlign w:val="center"/>
            <w:hideMark/>
          </w:tcPr>
          <w:p w14:paraId="60FCB6AA" w14:textId="77777777" w:rsidR="005222C2" w:rsidRPr="005222C2" w:rsidRDefault="005222C2" w:rsidP="005222C2">
            <w:r w:rsidRPr="005222C2">
              <w:lastRenderedPageBreak/>
              <w:t>Stage III/IV</w:t>
            </w:r>
          </w:p>
        </w:tc>
        <w:tc>
          <w:tcPr>
            <w:tcW w:w="0" w:type="auto"/>
            <w:tcMar>
              <w:top w:w="150" w:type="dxa"/>
              <w:left w:w="240" w:type="dxa"/>
              <w:bottom w:w="150" w:type="dxa"/>
              <w:right w:w="240" w:type="dxa"/>
            </w:tcMar>
            <w:vAlign w:val="center"/>
            <w:hideMark/>
          </w:tcPr>
          <w:p w14:paraId="59F8781D" w14:textId="77777777" w:rsidR="005222C2" w:rsidRPr="005222C2" w:rsidRDefault="005222C2" w:rsidP="005222C2">
            <w:r w:rsidRPr="005222C2">
              <w:t>284 (46.5%)</w:t>
            </w:r>
          </w:p>
        </w:tc>
        <w:tc>
          <w:tcPr>
            <w:tcW w:w="0" w:type="auto"/>
            <w:tcMar>
              <w:top w:w="150" w:type="dxa"/>
              <w:left w:w="240" w:type="dxa"/>
              <w:bottom w:w="150" w:type="dxa"/>
              <w:right w:w="240" w:type="dxa"/>
            </w:tcMar>
            <w:vAlign w:val="center"/>
            <w:hideMark/>
          </w:tcPr>
          <w:p w14:paraId="2C24E101" w14:textId="77777777" w:rsidR="005222C2" w:rsidRPr="005222C2" w:rsidRDefault="005222C2" w:rsidP="005222C2">
            <w:r w:rsidRPr="005222C2">
              <w:t>84 (50.0%)</w:t>
            </w:r>
          </w:p>
        </w:tc>
        <w:tc>
          <w:tcPr>
            <w:tcW w:w="0" w:type="auto"/>
            <w:tcMar>
              <w:top w:w="150" w:type="dxa"/>
              <w:left w:w="240" w:type="dxa"/>
              <w:bottom w:w="150" w:type="dxa"/>
              <w:right w:w="240" w:type="dxa"/>
            </w:tcMar>
            <w:vAlign w:val="center"/>
            <w:hideMark/>
          </w:tcPr>
          <w:p w14:paraId="1DD8AF7E" w14:textId="77777777" w:rsidR="005222C2" w:rsidRPr="005222C2" w:rsidRDefault="005222C2" w:rsidP="005222C2">
            <w:r w:rsidRPr="005222C2">
              <w:t>71 (51.1%)</w:t>
            </w:r>
          </w:p>
        </w:tc>
        <w:tc>
          <w:tcPr>
            <w:tcW w:w="0" w:type="auto"/>
            <w:tcMar>
              <w:top w:w="150" w:type="dxa"/>
              <w:left w:w="240" w:type="dxa"/>
              <w:bottom w:w="150" w:type="dxa"/>
              <w:right w:w="240" w:type="dxa"/>
            </w:tcMar>
            <w:vAlign w:val="center"/>
            <w:hideMark/>
          </w:tcPr>
          <w:p w14:paraId="1CD13D3B" w14:textId="77777777" w:rsidR="005222C2" w:rsidRPr="005222C2" w:rsidRDefault="005222C2" w:rsidP="005222C2">
            <w:r w:rsidRPr="005222C2">
              <w:t>165 (58.1%)</w:t>
            </w:r>
          </w:p>
        </w:tc>
        <w:tc>
          <w:tcPr>
            <w:tcW w:w="0" w:type="auto"/>
            <w:tcMar>
              <w:top w:w="150" w:type="dxa"/>
              <w:left w:w="240" w:type="dxa"/>
              <w:bottom w:w="150" w:type="dxa"/>
              <w:right w:w="0" w:type="dxa"/>
            </w:tcMar>
            <w:vAlign w:val="center"/>
            <w:hideMark/>
          </w:tcPr>
          <w:p w14:paraId="2226CCB6" w14:textId="77777777" w:rsidR="005222C2" w:rsidRPr="005222C2" w:rsidRDefault="005222C2" w:rsidP="005222C2">
            <w:r w:rsidRPr="005222C2">
              <w:rPr>
                <w:b/>
                <w:bCs/>
              </w:rPr>
              <w:t>&lt;0.001</w:t>
            </w:r>
          </w:p>
        </w:tc>
      </w:tr>
      <w:tr w:rsidR="005222C2" w:rsidRPr="005222C2" w14:paraId="4195EACD" w14:textId="77777777" w:rsidTr="0042253E">
        <w:tc>
          <w:tcPr>
            <w:tcW w:w="0" w:type="auto"/>
            <w:tcMar>
              <w:top w:w="150" w:type="dxa"/>
              <w:left w:w="0" w:type="dxa"/>
              <w:bottom w:w="150" w:type="dxa"/>
              <w:right w:w="240" w:type="dxa"/>
            </w:tcMar>
            <w:vAlign w:val="center"/>
            <w:hideMark/>
          </w:tcPr>
          <w:p w14:paraId="15ECBDA1" w14:textId="77777777" w:rsidR="005222C2" w:rsidRPr="005222C2" w:rsidRDefault="005222C2" w:rsidP="005222C2">
            <w:r w:rsidRPr="005222C2">
              <w:t>Tumor &gt;5 cm</w:t>
            </w:r>
          </w:p>
        </w:tc>
        <w:tc>
          <w:tcPr>
            <w:tcW w:w="0" w:type="auto"/>
            <w:tcMar>
              <w:top w:w="150" w:type="dxa"/>
              <w:left w:w="240" w:type="dxa"/>
              <w:bottom w:w="150" w:type="dxa"/>
              <w:right w:w="240" w:type="dxa"/>
            </w:tcMar>
            <w:vAlign w:val="center"/>
            <w:hideMark/>
          </w:tcPr>
          <w:p w14:paraId="36337A44" w14:textId="77777777" w:rsidR="005222C2" w:rsidRPr="005222C2" w:rsidRDefault="005222C2" w:rsidP="005222C2">
            <w:r w:rsidRPr="005222C2">
              <w:t>121 (19.8%)</w:t>
            </w:r>
          </w:p>
        </w:tc>
        <w:tc>
          <w:tcPr>
            <w:tcW w:w="0" w:type="auto"/>
            <w:tcMar>
              <w:top w:w="150" w:type="dxa"/>
              <w:left w:w="240" w:type="dxa"/>
              <w:bottom w:w="150" w:type="dxa"/>
              <w:right w:w="240" w:type="dxa"/>
            </w:tcMar>
            <w:vAlign w:val="center"/>
            <w:hideMark/>
          </w:tcPr>
          <w:p w14:paraId="6FE6660E" w14:textId="77777777" w:rsidR="005222C2" w:rsidRPr="005222C2" w:rsidRDefault="005222C2" w:rsidP="005222C2">
            <w:r w:rsidRPr="005222C2">
              <w:t>41 (24.4%)</w:t>
            </w:r>
          </w:p>
        </w:tc>
        <w:tc>
          <w:tcPr>
            <w:tcW w:w="0" w:type="auto"/>
            <w:tcMar>
              <w:top w:w="150" w:type="dxa"/>
              <w:left w:w="240" w:type="dxa"/>
              <w:bottom w:w="150" w:type="dxa"/>
              <w:right w:w="240" w:type="dxa"/>
            </w:tcMar>
            <w:vAlign w:val="center"/>
            <w:hideMark/>
          </w:tcPr>
          <w:p w14:paraId="74E621BE" w14:textId="77777777" w:rsidR="005222C2" w:rsidRPr="005222C2" w:rsidRDefault="005222C2" w:rsidP="005222C2">
            <w:r w:rsidRPr="005222C2">
              <w:t>38 (27.3%)</w:t>
            </w:r>
          </w:p>
        </w:tc>
        <w:tc>
          <w:tcPr>
            <w:tcW w:w="0" w:type="auto"/>
            <w:tcMar>
              <w:top w:w="150" w:type="dxa"/>
              <w:left w:w="240" w:type="dxa"/>
              <w:bottom w:w="150" w:type="dxa"/>
              <w:right w:w="240" w:type="dxa"/>
            </w:tcMar>
            <w:vAlign w:val="center"/>
            <w:hideMark/>
          </w:tcPr>
          <w:p w14:paraId="3BA95D33" w14:textId="77777777" w:rsidR="005222C2" w:rsidRPr="005222C2" w:rsidRDefault="005222C2" w:rsidP="005222C2">
            <w:r w:rsidRPr="005222C2">
              <w:t>92 (32.4%)</w:t>
            </w:r>
          </w:p>
        </w:tc>
        <w:tc>
          <w:tcPr>
            <w:tcW w:w="0" w:type="auto"/>
            <w:tcMar>
              <w:top w:w="150" w:type="dxa"/>
              <w:left w:w="240" w:type="dxa"/>
              <w:bottom w:w="150" w:type="dxa"/>
              <w:right w:w="0" w:type="dxa"/>
            </w:tcMar>
            <w:vAlign w:val="center"/>
            <w:hideMark/>
          </w:tcPr>
          <w:p w14:paraId="6B694C02" w14:textId="77777777" w:rsidR="005222C2" w:rsidRPr="005222C2" w:rsidRDefault="005222C2" w:rsidP="005222C2">
            <w:r w:rsidRPr="005222C2">
              <w:rPr>
                <w:b/>
                <w:bCs/>
              </w:rPr>
              <w:t>&lt;0.001</w:t>
            </w:r>
          </w:p>
        </w:tc>
      </w:tr>
      <w:tr w:rsidR="005222C2" w:rsidRPr="005222C2" w14:paraId="67A59E28" w14:textId="77777777" w:rsidTr="0042253E">
        <w:tc>
          <w:tcPr>
            <w:tcW w:w="0" w:type="auto"/>
            <w:tcMar>
              <w:top w:w="150" w:type="dxa"/>
              <w:left w:w="0" w:type="dxa"/>
              <w:bottom w:w="150" w:type="dxa"/>
              <w:right w:w="240" w:type="dxa"/>
            </w:tcMar>
            <w:vAlign w:val="center"/>
            <w:hideMark/>
          </w:tcPr>
          <w:p w14:paraId="2F5DA0E7" w14:textId="77777777" w:rsidR="005222C2" w:rsidRPr="005222C2" w:rsidRDefault="005222C2" w:rsidP="005222C2">
            <w:r w:rsidRPr="005222C2">
              <w:t>Grade 3</w:t>
            </w:r>
          </w:p>
        </w:tc>
        <w:tc>
          <w:tcPr>
            <w:tcW w:w="0" w:type="auto"/>
            <w:tcMar>
              <w:top w:w="150" w:type="dxa"/>
              <w:left w:w="240" w:type="dxa"/>
              <w:bottom w:w="150" w:type="dxa"/>
              <w:right w:w="240" w:type="dxa"/>
            </w:tcMar>
            <w:vAlign w:val="center"/>
            <w:hideMark/>
          </w:tcPr>
          <w:p w14:paraId="35F27D02" w14:textId="77777777" w:rsidR="005222C2" w:rsidRPr="005222C2" w:rsidRDefault="005222C2" w:rsidP="005222C2">
            <w:r w:rsidRPr="005222C2">
              <w:t>149 (24.4%)</w:t>
            </w:r>
          </w:p>
        </w:tc>
        <w:tc>
          <w:tcPr>
            <w:tcW w:w="0" w:type="auto"/>
            <w:tcMar>
              <w:top w:w="150" w:type="dxa"/>
              <w:left w:w="240" w:type="dxa"/>
              <w:bottom w:w="150" w:type="dxa"/>
              <w:right w:w="240" w:type="dxa"/>
            </w:tcMar>
            <w:vAlign w:val="center"/>
            <w:hideMark/>
          </w:tcPr>
          <w:p w14:paraId="32B28D52" w14:textId="77777777" w:rsidR="005222C2" w:rsidRPr="005222C2" w:rsidRDefault="005222C2" w:rsidP="005222C2">
            <w:r w:rsidRPr="005222C2">
              <w:t>52 (31.0%)</w:t>
            </w:r>
          </w:p>
        </w:tc>
        <w:tc>
          <w:tcPr>
            <w:tcW w:w="0" w:type="auto"/>
            <w:tcMar>
              <w:top w:w="150" w:type="dxa"/>
              <w:left w:w="240" w:type="dxa"/>
              <w:bottom w:w="150" w:type="dxa"/>
              <w:right w:w="240" w:type="dxa"/>
            </w:tcMar>
            <w:vAlign w:val="center"/>
            <w:hideMark/>
          </w:tcPr>
          <w:p w14:paraId="06E4433B" w14:textId="77777777" w:rsidR="005222C2" w:rsidRPr="005222C2" w:rsidRDefault="005222C2" w:rsidP="005222C2">
            <w:r w:rsidRPr="005222C2">
              <w:t>51 (36.7%)</w:t>
            </w:r>
          </w:p>
        </w:tc>
        <w:tc>
          <w:tcPr>
            <w:tcW w:w="0" w:type="auto"/>
            <w:tcMar>
              <w:top w:w="150" w:type="dxa"/>
              <w:left w:w="240" w:type="dxa"/>
              <w:bottom w:w="150" w:type="dxa"/>
              <w:right w:w="240" w:type="dxa"/>
            </w:tcMar>
            <w:vAlign w:val="center"/>
            <w:hideMark/>
          </w:tcPr>
          <w:p w14:paraId="7DF3EA00" w14:textId="77777777" w:rsidR="005222C2" w:rsidRPr="005222C2" w:rsidRDefault="005222C2" w:rsidP="005222C2">
            <w:r w:rsidRPr="005222C2">
              <w:t>128 (45.1%)</w:t>
            </w:r>
          </w:p>
        </w:tc>
        <w:tc>
          <w:tcPr>
            <w:tcW w:w="0" w:type="auto"/>
            <w:tcMar>
              <w:top w:w="150" w:type="dxa"/>
              <w:left w:w="240" w:type="dxa"/>
              <w:bottom w:w="150" w:type="dxa"/>
              <w:right w:w="0" w:type="dxa"/>
            </w:tcMar>
            <w:vAlign w:val="center"/>
            <w:hideMark/>
          </w:tcPr>
          <w:p w14:paraId="1164EB5A" w14:textId="77777777" w:rsidR="005222C2" w:rsidRPr="005222C2" w:rsidRDefault="005222C2" w:rsidP="005222C2">
            <w:r w:rsidRPr="005222C2">
              <w:rPr>
                <w:b/>
                <w:bCs/>
              </w:rPr>
              <w:t>&lt;0.001</w:t>
            </w:r>
          </w:p>
        </w:tc>
      </w:tr>
      <w:tr w:rsidR="005222C2" w:rsidRPr="005222C2" w14:paraId="37F298B6" w14:textId="77777777" w:rsidTr="0042253E">
        <w:tc>
          <w:tcPr>
            <w:tcW w:w="0" w:type="auto"/>
            <w:tcMar>
              <w:top w:w="150" w:type="dxa"/>
              <w:left w:w="0" w:type="dxa"/>
              <w:bottom w:w="150" w:type="dxa"/>
              <w:right w:w="240" w:type="dxa"/>
            </w:tcMar>
            <w:vAlign w:val="center"/>
            <w:hideMark/>
          </w:tcPr>
          <w:p w14:paraId="57B142CA" w14:textId="77777777" w:rsidR="005222C2" w:rsidRPr="005222C2" w:rsidRDefault="005222C2" w:rsidP="005222C2">
            <w:r w:rsidRPr="005222C2">
              <w:t>Mastectomy (MRM)</w:t>
            </w:r>
          </w:p>
        </w:tc>
        <w:tc>
          <w:tcPr>
            <w:tcW w:w="0" w:type="auto"/>
            <w:tcMar>
              <w:top w:w="150" w:type="dxa"/>
              <w:left w:w="240" w:type="dxa"/>
              <w:bottom w:w="150" w:type="dxa"/>
              <w:right w:w="240" w:type="dxa"/>
            </w:tcMar>
            <w:vAlign w:val="center"/>
            <w:hideMark/>
          </w:tcPr>
          <w:p w14:paraId="465C2C8E" w14:textId="77777777" w:rsidR="005222C2" w:rsidRPr="005222C2" w:rsidRDefault="005222C2" w:rsidP="005222C2">
            <w:r w:rsidRPr="005222C2">
              <w:t>412 (67.4%)</w:t>
            </w:r>
          </w:p>
        </w:tc>
        <w:tc>
          <w:tcPr>
            <w:tcW w:w="0" w:type="auto"/>
            <w:tcMar>
              <w:top w:w="150" w:type="dxa"/>
              <w:left w:w="240" w:type="dxa"/>
              <w:bottom w:w="150" w:type="dxa"/>
              <w:right w:w="240" w:type="dxa"/>
            </w:tcMar>
            <w:vAlign w:val="center"/>
            <w:hideMark/>
          </w:tcPr>
          <w:p w14:paraId="59261003" w14:textId="77777777" w:rsidR="005222C2" w:rsidRPr="005222C2" w:rsidRDefault="005222C2" w:rsidP="005222C2">
            <w:r w:rsidRPr="005222C2">
              <w:t>123 (73.2%)</w:t>
            </w:r>
          </w:p>
        </w:tc>
        <w:tc>
          <w:tcPr>
            <w:tcW w:w="0" w:type="auto"/>
            <w:tcMar>
              <w:top w:w="150" w:type="dxa"/>
              <w:left w:w="240" w:type="dxa"/>
              <w:bottom w:w="150" w:type="dxa"/>
              <w:right w:w="240" w:type="dxa"/>
            </w:tcMar>
            <w:vAlign w:val="center"/>
            <w:hideMark/>
          </w:tcPr>
          <w:p w14:paraId="2441276C" w14:textId="77777777" w:rsidR="005222C2" w:rsidRPr="005222C2" w:rsidRDefault="005222C2" w:rsidP="005222C2">
            <w:r w:rsidRPr="005222C2">
              <w:t>105 (75.5%)</w:t>
            </w:r>
          </w:p>
        </w:tc>
        <w:tc>
          <w:tcPr>
            <w:tcW w:w="0" w:type="auto"/>
            <w:tcMar>
              <w:top w:w="150" w:type="dxa"/>
              <w:left w:w="240" w:type="dxa"/>
              <w:bottom w:w="150" w:type="dxa"/>
              <w:right w:w="240" w:type="dxa"/>
            </w:tcMar>
            <w:vAlign w:val="center"/>
            <w:hideMark/>
          </w:tcPr>
          <w:p w14:paraId="72921606" w14:textId="77777777" w:rsidR="005222C2" w:rsidRPr="005222C2" w:rsidRDefault="005222C2" w:rsidP="005222C2">
            <w:r w:rsidRPr="005222C2">
              <w:t>222 (78.2%)</w:t>
            </w:r>
          </w:p>
        </w:tc>
        <w:tc>
          <w:tcPr>
            <w:tcW w:w="0" w:type="auto"/>
            <w:tcMar>
              <w:top w:w="150" w:type="dxa"/>
              <w:left w:w="240" w:type="dxa"/>
              <w:bottom w:w="150" w:type="dxa"/>
              <w:right w:w="0" w:type="dxa"/>
            </w:tcMar>
            <w:vAlign w:val="center"/>
            <w:hideMark/>
          </w:tcPr>
          <w:p w14:paraId="6963E26F" w14:textId="77777777" w:rsidR="005222C2" w:rsidRPr="005222C2" w:rsidRDefault="005222C2" w:rsidP="005222C2">
            <w:r w:rsidRPr="005222C2">
              <w:rPr>
                <w:b/>
                <w:bCs/>
              </w:rPr>
              <w:t>0.003</w:t>
            </w:r>
          </w:p>
        </w:tc>
      </w:tr>
    </w:tbl>
    <w:p w14:paraId="5B3DFDC5" w14:textId="77777777" w:rsidR="009F5D4B" w:rsidRPr="009F5D4B" w:rsidRDefault="009F5D4B" w:rsidP="009F5D4B">
      <w:pPr>
        <w:spacing w:line="276" w:lineRule="auto"/>
        <w:rPr>
          <w:rFonts w:asciiTheme="majorBidi" w:hAnsiTheme="majorBidi" w:cstheme="majorBidi"/>
          <w:b/>
          <w:bCs/>
          <w:sz w:val="24"/>
          <w:szCs w:val="24"/>
        </w:rPr>
      </w:pPr>
      <w:r w:rsidRPr="009F5D4B">
        <w:rPr>
          <w:rFonts w:asciiTheme="majorBidi" w:hAnsiTheme="majorBidi" w:cstheme="majorBidi"/>
          <w:b/>
          <w:bCs/>
          <w:sz w:val="24"/>
          <w:szCs w:val="24"/>
        </w:rPr>
        <w:t>3.2. Treatment Patterns by Molecular Subtype</w:t>
      </w:r>
    </w:p>
    <w:p w14:paraId="743D5AAF" w14:textId="77777777" w:rsidR="009F5D4B" w:rsidRPr="009F5D4B" w:rsidRDefault="009F5D4B" w:rsidP="009F5D4B">
      <w:pPr>
        <w:spacing w:line="276" w:lineRule="auto"/>
        <w:rPr>
          <w:rFonts w:asciiTheme="majorBidi" w:hAnsiTheme="majorBidi" w:cstheme="majorBidi"/>
          <w:sz w:val="24"/>
          <w:szCs w:val="24"/>
        </w:rPr>
      </w:pPr>
      <w:r w:rsidRPr="009F5D4B">
        <w:rPr>
          <w:rFonts w:asciiTheme="majorBidi" w:hAnsiTheme="majorBidi" w:cstheme="majorBidi"/>
          <w:sz w:val="24"/>
          <w:szCs w:val="24"/>
        </w:rPr>
        <w:t>Profound disparities in the receipt of systemic therapy were evident (Table 2). While chemotherapy use was high across all subtypes (&gt;90%), access to targeted therapy was severely limited.</w:t>
      </w:r>
    </w:p>
    <w:p w14:paraId="70CCEFE5" w14:textId="55B42B76" w:rsidR="009F5D4B" w:rsidRPr="009F5D4B" w:rsidRDefault="009F5D4B" w:rsidP="009F5D4B">
      <w:pPr>
        <w:numPr>
          <w:ilvl w:val="0"/>
          <w:numId w:val="7"/>
        </w:numPr>
        <w:spacing w:line="276" w:lineRule="auto"/>
        <w:rPr>
          <w:rFonts w:asciiTheme="majorBidi" w:hAnsiTheme="majorBidi" w:cstheme="majorBidi"/>
          <w:sz w:val="24"/>
          <w:szCs w:val="24"/>
        </w:rPr>
      </w:pPr>
      <w:r w:rsidRPr="009F5D4B">
        <w:rPr>
          <w:rFonts w:asciiTheme="majorBidi" w:hAnsiTheme="majorBidi" w:cstheme="majorBidi"/>
          <w:sz w:val="24"/>
          <w:szCs w:val="24"/>
        </w:rPr>
        <w:t>Endocrine Therapy: Of the total cohort (1,167 patients), 698 (59.8%) received endocrine therapy. The rate of receipt was similar between Luminal A and B subtypes.</w:t>
      </w:r>
    </w:p>
    <w:p w14:paraId="011C1C02" w14:textId="2ABE947D" w:rsidR="009F5D4B" w:rsidRPr="009F5D4B" w:rsidRDefault="009F5D4B" w:rsidP="009F5D4B">
      <w:pPr>
        <w:numPr>
          <w:ilvl w:val="0"/>
          <w:numId w:val="7"/>
        </w:numPr>
        <w:spacing w:line="276" w:lineRule="auto"/>
        <w:rPr>
          <w:rFonts w:asciiTheme="majorBidi" w:hAnsiTheme="majorBidi" w:cstheme="majorBidi"/>
          <w:sz w:val="24"/>
          <w:szCs w:val="24"/>
        </w:rPr>
      </w:pPr>
      <w:r w:rsidRPr="009F5D4B">
        <w:rPr>
          <w:rFonts w:asciiTheme="majorBidi" w:hAnsiTheme="majorBidi" w:cstheme="majorBidi"/>
          <w:sz w:val="24"/>
          <w:szCs w:val="24"/>
        </w:rPr>
        <w:t>Anti-HER2 Therapy: </w:t>
      </w:r>
      <w:r w:rsidR="00F81CF3">
        <w:rPr>
          <w:rFonts w:asciiTheme="majorBidi" w:hAnsiTheme="majorBidi" w:cstheme="majorBidi"/>
          <w:sz w:val="24"/>
          <w:szCs w:val="24"/>
        </w:rPr>
        <w:t>About 1</w:t>
      </w:r>
      <w:r w:rsidR="00461B8C">
        <w:rPr>
          <w:rFonts w:asciiTheme="majorBidi" w:hAnsiTheme="majorBidi" w:cstheme="majorBidi"/>
          <w:sz w:val="24"/>
          <w:szCs w:val="24"/>
        </w:rPr>
        <w:t>8</w:t>
      </w:r>
      <w:r w:rsidR="00F81CF3">
        <w:rPr>
          <w:rFonts w:asciiTheme="majorBidi" w:hAnsiTheme="majorBidi" w:cstheme="majorBidi"/>
          <w:sz w:val="24"/>
          <w:szCs w:val="24"/>
        </w:rPr>
        <w:t>8</w:t>
      </w:r>
      <w:r w:rsidRPr="009F5D4B">
        <w:rPr>
          <w:rFonts w:asciiTheme="majorBidi" w:hAnsiTheme="majorBidi" w:cstheme="majorBidi"/>
          <w:sz w:val="24"/>
          <w:szCs w:val="24"/>
        </w:rPr>
        <w:t xml:space="preserve"> of 307 HER2+ patients (</w:t>
      </w:r>
      <w:r w:rsidR="00F81CF3">
        <w:rPr>
          <w:rFonts w:asciiTheme="majorBidi" w:hAnsiTheme="majorBidi" w:cstheme="majorBidi"/>
          <w:sz w:val="24"/>
          <w:szCs w:val="24"/>
        </w:rPr>
        <w:t>6</w:t>
      </w:r>
      <w:r w:rsidR="00461B8C">
        <w:rPr>
          <w:rFonts w:asciiTheme="majorBidi" w:hAnsiTheme="majorBidi" w:cstheme="majorBidi"/>
          <w:sz w:val="24"/>
          <w:szCs w:val="24"/>
        </w:rPr>
        <w:t>1</w:t>
      </w:r>
      <w:r w:rsidRPr="009F5D4B">
        <w:rPr>
          <w:rFonts w:asciiTheme="majorBidi" w:hAnsiTheme="majorBidi" w:cstheme="majorBidi"/>
          <w:sz w:val="24"/>
          <w:szCs w:val="24"/>
        </w:rPr>
        <w:t>.</w:t>
      </w:r>
      <w:r w:rsidR="00461B8C">
        <w:rPr>
          <w:rFonts w:asciiTheme="majorBidi" w:hAnsiTheme="majorBidi" w:cstheme="majorBidi"/>
          <w:sz w:val="24"/>
          <w:szCs w:val="24"/>
        </w:rPr>
        <w:t>2</w:t>
      </w:r>
      <w:r w:rsidR="00F81CF3">
        <w:rPr>
          <w:rFonts w:asciiTheme="majorBidi" w:hAnsiTheme="majorBidi" w:cstheme="majorBidi"/>
          <w:sz w:val="24"/>
          <w:szCs w:val="24"/>
        </w:rPr>
        <w:t>%</w:t>
      </w:r>
      <w:r w:rsidRPr="009F5D4B">
        <w:rPr>
          <w:rFonts w:asciiTheme="majorBidi" w:hAnsiTheme="majorBidi" w:cstheme="majorBidi"/>
          <w:sz w:val="24"/>
          <w:szCs w:val="24"/>
        </w:rPr>
        <w:t>) received trastuzumab. Access did not differ significantly between Luminal B-like and HER2-enriched subtypes.</w:t>
      </w:r>
    </w:p>
    <w:p w14:paraId="2E6B16ED" w14:textId="77777777" w:rsidR="009F5D4B" w:rsidRPr="009F5D4B" w:rsidRDefault="009F5D4B" w:rsidP="009F5D4B">
      <w:pPr>
        <w:numPr>
          <w:ilvl w:val="0"/>
          <w:numId w:val="7"/>
        </w:numPr>
        <w:spacing w:line="276" w:lineRule="auto"/>
        <w:rPr>
          <w:rFonts w:asciiTheme="majorBidi" w:hAnsiTheme="majorBidi" w:cstheme="majorBidi"/>
          <w:sz w:val="24"/>
          <w:szCs w:val="24"/>
        </w:rPr>
      </w:pPr>
      <w:r w:rsidRPr="009F5D4B">
        <w:rPr>
          <w:rFonts w:asciiTheme="majorBidi" w:hAnsiTheme="majorBidi" w:cstheme="majorBidi"/>
          <w:sz w:val="24"/>
          <w:szCs w:val="24"/>
        </w:rPr>
        <w:t>Surgical Management: TNBC patients underwent MRM most frequently (78.2%), while Luminal A-like patients had the highest rate of BCS (18.3%; p&lt;0.001).</w:t>
      </w:r>
    </w:p>
    <w:p w14:paraId="5D5B3D4A" w14:textId="77777777" w:rsidR="009F5D4B" w:rsidRPr="009F5D4B" w:rsidRDefault="009F5D4B" w:rsidP="009F5D4B">
      <w:pPr>
        <w:numPr>
          <w:ilvl w:val="0"/>
          <w:numId w:val="7"/>
        </w:numPr>
        <w:spacing w:line="276" w:lineRule="auto"/>
        <w:rPr>
          <w:rFonts w:asciiTheme="majorBidi" w:hAnsiTheme="majorBidi" w:cstheme="majorBidi"/>
          <w:sz w:val="24"/>
          <w:szCs w:val="24"/>
        </w:rPr>
      </w:pPr>
      <w:r w:rsidRPr="009F5D4B">
        <w:rPr>
          <w:rFonts w:asciiTheme="majorBidi" w:hAnsiTheme="majorBidi" w:cstheme="majorBidi"/>
          <w:sz w:val="24"/>
          <w:szCs w:val="24"/>
        </w:rPr>
        <w:t>Radiotherapy and Immunotherapy: Overall, 50.1% of patients received radiotherapy, and only 18.9% received HER2-directed therapy including trastuzumab</w:t>
      </w:r>
    </w:p>
    <w:p w14:paraId="590F4147" w14:textId="77777777" w:rsidR="009F5D4B" w:rsidRPr="009F5D4B" w:rsidRDefault="009F5D4B" w:rsidP="009F5D4B">
      <w:pPr>
        <w:spacing w:line="276" w:lineRule="auto"/>
        <w:rPr>
          <w:rFonts w:asciiTheme="majorBidi" w:hAnsiTheme="majorBidi" w:cstheme="majorBidi"/>
          <w:b/>
          <w:bCs/>
          <w:sz w:val="24"/>
          <w:szCs w:val="24"/>
        </w:rPr>
      </w:pPr>
    </w:p>
    <w:p w14:paraId="1AE3439C" w14:textId="2F9271D2" w:rsidR="005222C2" w:rsidRPr="005222C2" w:rsidRDefault="005222C2" w:rsidP="005222C2">
      <w:r w:rsidRPr="005222C2">
        <w:rPr>
          <w:b/>
          <w:bCs/>
        </w:rPr>
        <w:t>Table 2: Treatment Patterns by Molecular Subtype</w:t>
      </w:r>
    </w:p>
    <w:tbl>
      <w:tblPr>
        <w:tblW w:w="0" w:type="auto"/>
        <w:tblCellMar>
          <w:top w:w="15" w:type="dxa"/>
          <w:left w:w="15" w:type="dxa"/>
          <w:bottom w:w="15" w:type="dxa"/>
          <w:right w:w="15" w:type="dxa"/>
        </w:tblCellMar>
        <w:tblLook w:val="04A0" w:firstRow="1" w:lastRow="0" w:firstColumn="1" w:lastColumn="0" w:noHBand="0" w:noVBand="1"/>
      </w:tblPr>
      <w:tblGrid>
        <w:gridCol w:w="1704"/>
        <w:gridCol w:w="1738"/>
        <w:gridCol w:w="1735"/>
        <w:gridCol w:w="1772"/>
        <w:gridCol w:w="1385"/>
        <w:gridCol w:w="1026"/>
      </w:tblGrid>
      <w:tr w:rsidR="005222C2" w:rsidRPr="005222C2" w14:paraId="47A4B0E5" w14:textId="77777777">
        <w:trPr>
          <w:tblHeader/>
        </w:trPr>
        <w:tc>
          <w:tcPr>
            <w:tcW w:w="0" w:type="auto"/>
            <w:tcBorders>
              <w:top w:val="nil"/>
            </w:tcBorders>
            <w:tcMar>
              <w:top w:w="150" w:type="dxa"/>
              <w:left w:w="0" w:type="dxa"/>
              <w:bottom w:w="150" w:type="dxa"/>
              <w:right w:w="240" w:type="dxa"/>
            </w:tcMar>
            <w:vAlign w:val="center"/>
            <w:hideMark/>
          </w:tcPr>
          <w:p w14:paraId="1BA56CE0" w14:textId="77777777" w:rsidR="005222C2" w:rsidRPr="005222C2" w:rsidRDefault="005222C2" w:rsidP="005222C2">
            <w:r w:rsidRPr="005222C2">
              <w:lastRenderedPageBreak/>
              <w:t>Treatment</w:t>
            </w:r>
          </w:p>
        </w:tc>
        <w:tc>
          <w:tcPr>
            <w:tcW w:w="0" w:type="auto"/>
            <w:tcBorders>
              <w:top w:val="nil"/>
            </w:tcBorders>
            <w:tcMar>
              <w:top w:w="150" w:type="dxa"/>
              <w:left w:w="240" w:type="dxa"/>
              <w:bottom w:w="150" w:type="dxa"/>
              <w:right w:w="240" w:type="dxa"/>
            </w:tcMar>
            <w:vAlign w:val="center"/>
            <w:hideMark/>
          </w:tcPr>
          <w:p w14:paraId="344E7F81" w14:textId="77777777" w:rsidR="005222C2" w:rsidRPr="005222C2" w:rsidRDefault="005222C2" w:rsidP="005222C2">
            <w:r w:rsidRPr="005222C2">
              <w:t>Luminal A-like (n=611)</w:t>
            </w:r>
          </w:p>
        </w:tc>
        <w:tc>
          <w:tcPr>
            <w:tcW w:w="0" w:type="auto"/>
            <w:tcBorders>
              <w:top w:val="nil"/>
            </w:tcBorders>
            <w:tcMar>
              <w:top w:w="150" w:type="dxa"/>
              <w:left w:w="240" w:type="dxa"/>
              <w:bottom w:w="150" w:type="dxa"/>
              <w:right w:w="240" w:type="dxa"/>
            </w:tcMar>
            <w:vAlign w:val="center"/>
            <w:hideMark/>
          </w:tcPr>
          <w:p w14:paraId="427E3F32" w14:textId="77777777" w:rsidR="005222C2" w:rsidRPr="005222C2" w:rsidRDefault="005222C2" w:rsidP="005222C2">
            <w:r w:rsidRPr="005222C2">
              <w:t>Luminal B-like (n=168)</w:t>
            </w:r>
          </w:p>
        </w:tc>
        <w:tc>
          <w:tcPr>
            <w:tcW w:w="0" w:type="auto"/>
            <w:tcBorders>
              <w:top w:val="nil"/>
            </w:tcBorders>
            <w:tcMar>
              <w:top w:w="150" w:type="dxa"/>
              <w:left w:w="240" w:type="dxa"/>
              <w:bottom w:w="150" w:type="dxa"/>
              <w:right w:w="240" w:type="dxa"/>
            </w:tcMar>
            <w:vAlign w:val="center"/>
            <w:hideMark/>
          </w:tcPr>
          <w:p w14:paraId="004B3803" w14:textId="77777777" w:rsidR="005222C2" w:rsidRPr="005222C2" w:rsidRDefault="005222C2" w:rsidP="005222C2">
            <w:r w:rsidRPr="005222C2">
              <w:t>HER2-enriched (n=139)</w:t>
            </w:r>
          </w:p>
        </w:tc>
        <w:tc>
          <w:tcPr>
            <w:tcW w:w="0" w:type="auto"/>
            <w:tcBorders>
              <w:top w:val="nil"/>
            </w:tcBorders>
            <w:tcMar>
              <w:top w:w="150" w:type="dxa"/>
              <w:left w:w="240" w:type="dxa"/>
              <w:bottom w:w="150" w:type="dxa"/>
              <w:right w:w="240" w:type="dxa"/>
            </w:tcMar>
            <w:vAlign w:val="center"/>
            <w:hideMark/>
          </w:tcPr>
          <w:p w14:paraId="60B06C35" w14:textId="77777777" w:rsidR="005222C2" w:rsidRPr="005222C2" w:rsidRDefault="005222C2" w:rsidP="005222C2">
            <w:r w:rsidRPr="005222C2">
              <w:t>TNBC (n=284)</w:t>
            </w:r>
          </w:p>
        </w:tc>
        <w:tc>
          <w:tcPr>
            <w:tcW w:w="0" w:type="auto"/>
            <w:tcBorders>
              <w:top w:val="nil"/>
            </w:tcBorders>
            <w:tcMar>
              <w:top w:w="150" w:type="dxa"/>
              <w:left w:w="240" w:type="dxa"/>
              <w:bottom w:w="150" w:type="dxa"/>
              <w:right w:w="240" w:type="dxa"/>
            </w:tcMar>
            <w:vAlign w:val="center"/>
            <w:hideMark/>
          </w:tcPr>
          <w:p w14:paraId="6B341208" w14:textId="77777777" w:rsidR="005222C2" w:rsidRPr="005222C2" w:rsidRDefault="005222C2" w:rsidP="005222C2">
            <w:r w:rsidRPr="005222C2">
              <w:t>P-value</w:t>
            </w:r>
          </w:p>
        </w:tc>
      </w:tr>
      <w:tr w:rsidR="005222C2" w:rsidRPr="005222C2" w14:paraId="4FD71A1B" w14:textId="77777777">
        <w:tc>
          <w:tcPr>
            <w:tcW w:w="0" w:type="auto"/>
            <w:tcMar>
              <w:top w:w="150" w:type="dxa"/>
              <w:left w:w="0" w:type="dxa"/>
              <w:bottom w:w="150" w:type="dxa"/>
              <w:right w:w="240" w:type="dxa"/>
            </w:tcMar>
            <w:vAlign w:val="center"/>
            <w:hideMark/>
          </w:tcPr>
          <w:p w14:paraId="142321ED" w14:textId="77777777" w:rsidR="005222C2" w:rsidRPr="005222C2" w:rsidRDefault="005222C2" w:rsidP="005222C2">
            <w:r w:rsidRPr="005222C2">
              <w:t>Chemotherapy</w:t>
            </w:r>
          </w:p>
        </w:tc>
        <w:tc>
          <w:tcPr>
            <w:tcW w:w="0" w:type="auto"/>
            <w:tcMar>
              <w:top w:w="150" w:type="dxa"/>
              <w:left w:w="240" w:type="dxa"/>
              <w:bottom w:w="150" w:type="dxa"/>
              <w:right w:w="240" w:type="dxa"/>
            </w:tcMar>
            <w:vAlign w:val="center"/>
            <w:hideMark/>
          </w:tcPr>
          <w:p w14:paraId="22D947AF" w14:textId="77777777" w:rsidR="005222C2" w:rsidRPr="005222C2" w:rsidRDefault="005222C2" w:rsidP="005222C2">
            <w:r w:rsidRPr="005222C2">
              <w:t>572 (93.6%)</w:t>
            </w:r>
          </w:p>
        </w:tc>
        <w:tc>
          <w:tcPr>
            <w:tcW w:w="0" w:type="auto"/>
            <w:tcMar>
              <w:top w:w="150" w:type="dxa"/>
              <w:left w:w="240" w:type="dxa"/>
              <w:bottom w:w="150" w:type="dxa"/>
              <w:right w:w="240" w:type="dxa"/>
            </w:tcMar>
            <w:vAlign w:val="center"/>
            <w:hideMark/>
          </w:tcPr>
          <w:p w14:paraId="049FBC1A" w14:textId="77777777" w:rsidR="005222C2" w:rsidRPr="005222C2" w:rsidRDefault="005222C2" w:rsidP="005222C2">
            <w:r w:rsidRPr="005222C2">
              <w:t>160 (95.2%)</w:t>
            </w:r>
          </w:p>
        </w:tc>
        <w:tc>
          <w:tcPr>
            <w:tcW w:w="0" w:type="auto"/>
            <w:tcMar>
              <w:top w:w="150" w:type="dxa"/>
              <w:left w:w="240" w:type="dxa"/>
              <w:bottom w:w="150" w:type="dxa"/>
              <w:right w:w="240" w:type="dxa"/>
            </w:tcMar>
            <w:vAlign w:val="center"/>
            <w:hideMark/>
          </w:tcPr>
          <w:p w14:paraId="7EFFD568" w14:textId="77777777" w:rsidR="005222C2" w:rsidRPr="005222C2" w:rsidRDefault="005222C2" w:rsidP="005222C2">
            <w:r w:rsidRPr="005222C2">
              <w:t>133 (95.7%)</w:t>
            </w:r>
          </w:p>
        </w:tc>
        <w:tc>
          <w:tcPr>
            <w:tcW w:w="0" w:type="auto"/>
            <w:tcMar>
              <w:top w:w="150" w:type="dxa"/>
              <w:left w:w="240" w:type="dxa"/>
              <w:bottom w:w="150" w:type="dxa"/>
              <w:right w:w="240" w:type="dxa"/>
            </w:tcMar>
            <w:vAlign w:val="center"/>
            <w:hideMark/>
          </w:tcPr>
          <w:p w14:paraId="37AAFE2D" w14:textId="77777777" w:rsidR="005222C2" w:rsidRPr="005222C2" w:rsidRDefault="005222C2" w:rsidP="005222C2">
            <w:r w:rsidRPr="005222C2">
              <w:t>279 (98.2%)</w:t>
            </w:r>
          </w:p>
        </w:tc>
        <w:tc>
          <w:tcPr>
            <w:tcW w:w="0" w:type="auto"/>
            <w:tcMar>
              <w:top w:w="150" w:type="dxa"/>
              <w:left w:w="240" w:type="dxa"/>
              <w:bottom w:w="150" w:type="dxa"/>
              <w:right w:w="0" w:type="dxa"/>
            </w:tcMar>
            <w:vAlign w:val="center"/>
            <w:hideMark/>
          </w:tcPr>
          <w:p w14:paraId="35E5E6E1" w14:textId="77777777" w:rsidR="005222C2" w:rsidRPr="005222C2" w:rsidRDefault="005222C2" w:rsidP="005222C2">
            <w:r w:rsidRPr="005222C2">
              <w:rPr>
                <w:b/>
                <w:bCs/>
              </w:rPr>
              <w:t>0.012</w:t>
            </w:r>
          </w:p>
        </w:tc>
      </w:tr>
      <w:tr w:rsidR="005222C2" w:rsidRPr="005222C2" w14:paraId="3C68F4F1" w14:textId="77777777">
        <w:tc>
          <w:tcPr>
            <w:tcW w:w="0" w:type="auto"/>
            <w:tcMar>
              <w:top w:w="150" w:type="dxa"/>
              <w:left w:w="0" w:type="dxa"/>
              <w:bottom w:w="150" w:type="dxa"/>
              <w:right w:w="240" w:type="dxa"/>
            </w:tcMar>
            <w:vAlign w:val="center"/>
            <w:hideMark/>
          </w:tcPr>
          <w:p w14:paraId="0A116BE2" w14:textId="77777777" w:rsidR="005222C2" w:rsidRPr="005222C2" w:rsidRDefault="005222C2" w:rsidP="005222C2">
            <w:r w:rsidRPr="005222C2">
              <w:t>Endocrine Therapy</w:t>
            </w:r>
          </w:p>
        </w:tc>
        <w:tc>
          <w:tcPr>
            <w:tcW w:w="0" w:type="auto"/>
            <w:tcMar>
              <w:top w:w="150" w:type="dxa"/>
              <w:left w:w="240" w:type="dxa"/>
              <w:bottom w:w="150" w:type="dxa"/>
              <w:right w:w="240" w:type="dxa"/>
            </w:tcMar>
            <w:vAlign w:val="center"/>
            <w:hideMark/>
          </w:tcPr>
          <w:p w14:paraId="59646A0F" w14:textId="3016EEB5" w:rsidR="005222C2" w:rsidRPr="005222C2" w:rsidRDefault="009F5D4B" w:rsidP="005222C2">
            <w:r>
              <w:t>415</w:t>
            </w:r>
            <w:r w:rsidR="005222C2" w:rsidRPr="005222C2">
              <w:t>/611 (6</w:t>
            </w:r>
            <w:r>
              <w:t>8</w:t>
            </w:r>
            <w:r w:rsidR="005222C2" w:rsidRPr="005222C2">
              <w:t>.0%)</w:t>
            </w:r>
          </w:p>
        </w:tc>
        <w:tc>
          <w:tcPr>
            <w:tcW w:w="0" w:type="auto"/>
            <w:tcMar>
              <w:top w:w="150" w:type="dxa"/>
              <w:left w:w="240" w:type="dxa"/>
              <w:bottom w:w="150" w:type="dxa"/>
              <w:right w:w="240" w:type="dxa"/>
            </w:tcMar>
            <w:vAlign w:val="center"/>
            <w:hideMark/>
          </w:tcPr>
          <w:p w14:paraId="7C459AAF" w14:textId="028F557A" w:rsidR="005222C2" w:rsidRPr="005222C2" w:rsidRDefault="005222C2" w:rsidP="005222C2">
            <w:r w:rsidRPr="005222C2">
              <w:t>1</w:t>
            </w:r>
            <w:r w:rsidR="009F5D4B">
              <w:t>01</w:t>
            </w:r>
            <w:r w:rsidRPr="005222C2">
              <w:t>/168 (60.1%)</w:t>
            </w:r>
          </w:p>
        </w:tc>
        <w:tc>
          <w:tcPr>
            <w:tcW w:w="0" w:type="auto"/>
            <w:tcMar>
              <w:top w:w="150" w:type="dxa"/>
              <w:left w:w="240" w:type="dxa"/>
              <w:bottom w:w="150" w:type="dxa"/>
              <w:right w:w="240" w:type="dxa"/>
            </w:tcMar>
            <w:vAlign w:val="center"/>
            <w:hideMark/>
          </w:tcPr>
          <w:p w14:paraId="154C3898" w14:textId="77777777" w:rsidR="005222C2" w:rsidRPr="005222C2" w:rsidRDefault="005222C2" w:rsidP="005222C2">
            <w:r w:rsidRPr="005222C2">
              <w:t>—</w:t>
            </w:r>
          </w:p>
        </w:tc>
        <w:tc>
          <w:tcPr>
            <w:tcW w:w="0" w:type="auto"/>
            <w:tcMar>
              <w:top w:w="150" w:type="dxa"/>
              <w:left w:w="240" w:type="dxa"/>
              <w:bottom w:w="150" w:type="dxa"/>
              <w:right w:w="240" w:type="dxa"/>
            </w:tcMar>
            <w:vAlign w:val="center"/>
            <w:hideMark/>
          </w:tcPr>
          <w:p w14:paraId="2823CD00" w14:textId="77777777" w:rsidR="005222C2" w:rsidRPr="005222C2" w:rsidRDefault="005222C2" w:rsidP="005222C2">
            <w:r w:rsidRPr="005222C2">
              <w:t>—</w:t>
            </w:r>
          </w:p>
        </w:tc>
        <w:tc>
          <w:tcPr>
            <w:tcW w:w="0" w:type="auto"/>
            <w:tcMar>
              <w:top w:w="150" w:type="dxa"/>
              <w:left w:w="240" w:type="dxa"/>
              <w:bottom w:w="150" w:type="dxa"/>
              <w:right w:w="0" w:type="dxa"/>
            </w:tcMar>
            <w:vAlign w:val="center"/>
            <w:hideMark/>
          </w:tcPr>
          <w:p w14:paraId="007C522B" w14:textId="77777777" w:rsidR="005222C2" w:rsidRPr="005222C2" w:rsidRDefault="005222C2" w:rsidP="005222C2">
            <w:r w:rsidRPr="005222C2">
              <w:t>0.836</w:t>
            </w:r>
          </w:p>
        </w:tc>
      </w:tr>
      <w:tr w:rsidR="005222C2" w:rsidRPr="005222C2" w14:paraId="61B92E24" w14:textId="77777777">
        <w:tc>
          <w:tcPr>
            <w:tcW w:w="0" w:type="auto"/>
            <w:tcMar>
              <w:top w:w="150" w:type="dxa"/>
              <w:left w:w="0" w:type="dxa"/>
              <w:bottom w:w="150" w:type="dxa"/>
              <w:right w:w="240" w:type="dxa"/>
            </w:tcMar>
            <w:vAlign w:val="center"/>
            <w:hideMark/>
          </w:tcPr>
          <w:p w14:paraId="218999AB" w14:textId="77777777" w:rsidR="005222C2" w:rsidRPr="005222C2" w:rsidRDefault="005222C2" w:rsidP="005222C2">
            <w:r w:rsidRPr="005222C2">
              <w:t>Anti-HER2 Therapy</w:t>
            </w:r>
          </w:p>
        </w:tc>
        <w:tc>
          <w:tcPr>
            <w:tcW w:w="0" w:type="auto"/>
            <w:tcMar>
              <w:top w:w="150" w:type="dxa"/>
              <w:left w:w="240" w:type="dxa"/>
              <w:bottom w:w="150" w:type="dxa"/>
              <w:right w:w="240" w:type="dxa"/>
            </w:tcMar>
            <w:vAlign w:val="center"/>
            <w:hideMark/>
          </w:tcPr>
          <w:p w14:paraId="36D90B70" w14:textId="77777777" w:rsidR="005222C2" w:rsidRPr="005222C2" w:rsidRDefault="005222C2" w:rsidP="005222C2">
            <w:r w:rsidRPr="005222C2">
              <w:t>—</w:t>
            </w:r>
          </w:p>
        </w:tc>
        <w:tc>
          <w:tcPr>
            <w:tcW w:w="0" w:type="auto"/>
            <w:tcMar>
              <w:top w:w="150" w:type="dxa"/>
              <w:left w:w="240" w:type="dxa"/>
              <w:bottom w:w="150" w:type="dxa"/>
              <w:right w:w="240" w:type="dxa"/>
            </w:tcMar>
            <w:vAlign w:val="center"/>
            <w:hideMark/>
          </w:tcPr>
          <w:p w14:paraId="3F98AB1E" w14:textId="7BE4B00A" w:rsidR="005222C2" w:rsidRPr="005222C2" w:rsidRDefault="00D27D37" w:rsidP="005222C2">
            <w:r>
              <w:t>1</w:t>
            </w:r>
            <w:r w:rsidR="00E5451B">
              <w:t>0</w:t>
            </w:r>
            <w:r>
              <w:t>9</w:t>
            </w:r>
            <w:r w:rsidR="005222C2" w:rsidRPr="005222C2">
              <w:t>/168 (</w:t>
            </w:r>
            <w:r>
              <w:t>70</w:t>
            </w:r>
            <w:r w:rsidR="005222C2" w:rsidRPr="005222C2">
              <w:t>.</w:t>
            </w:r>
            <w:r>
              <w:t>8</w:t>
            </w:r>
            <w:r w:rsidR="005222C2" w:rsidRPr="005222C2">
              <w:t>%)</w:t>
            </w:r>
          </w:p>
        </w:tc>
        <w:tc>
          <w:tcPr>
            <w:tcW w:w="0" w:type="auto"/>
            <w:tcMar>
              <w:top w:w="150" w:type="dxa"/>
              <w:left w:w="240" w:type="dxa"/>
              <w:bottom w:w="150" w:type="dxa"/>
              <w:right w:w="240" w:type="dxa"/>
            </w:tcMar>
            <w:vAlign w:val="center"/>
            <w:hideMark/>
          </w:tcPr>
          <w:p w14:paraId="5EE97929" w14:textId="539C1F55" w:rsidR="005222C2" w:rsidRPr="005222C2" w:rsidRDefault="00D27D37" w:rsidP="005222C2">
            <w:r>
              <w:t>79</w:t>
            </w:r>
            <w:r w:rsidR="005222C2" w:rsidRPr="005222C2">
              <w:t>/139 (</w:t>
            </w:r>
            <w:r>
              <w:t>56</w:t>
            </w:r>
            <w:r w:rsidR="005222C2" w:rsidRPr="005222C2">
              <w:t>.</w:t>
            </w:r>
            <w:r>
              <w:t>8</w:t>
            </w:r>
            <w:r w:rsidR="005222C2" w:rsidRPr="005222C2">
              <w:t>%)</w:t>
            </w:r>
          </w:p>
        </w:tc>
        <w:tc>
          <w:tcPr>
            <w:tcW w:w="0" w:type="auto"/>
            <w:tcMar>
              <w:top w:w="150" w:type="dxa"/>
              <w:left w:w="240" w:type="dxa"/>
              <w:bottom w:w="150" w:type="dxa"/>
              <w:right w:w="240" w:type="dxa"/>
            </w:tcMar>
            <w:vAlign w:val="center"/>
            <w:hideMark/>
          </w:tcPr>
          <w:p w14:paraId="3DD9FCE0" w14:textId="77777777" w:rsidR="005222C2" w:rsidRPr="005222C2" w:rsidRDefault="005222C2" w:rsidP="005222C2">
            <w:r w:rsidRPr="005222C2">
              <w:t>—</w:t>
            </w:r>
          </w:p>
        </w:tc>
        <w:tc>
          <w:tcPr>
            <w:tcW w:w="0" w:type="auto"/>
            <w:tcMar>
              <w:top w:w="150" w:type="dxa"/>
              <w:left w:w="240" w:type="dxa"/>
              <w:bottom w:w="150" w:type="dxa"/>
              <w:right w:w="0" w:type="dxa"/>
            </w:tcMar>
            <w:vAlign w:val="center"/>
            <w:hideMark/>
          </w:tcPr>
          <w:p w14:paraId="6EC6F530" w14:textId="77777777" w:rsidR="005222C2" w:rsidRPr="005222C2" w:rsidRDefault="005222C2" w:rsidP="005222C2">
            <w:r w:rsidRPr="005222C2">
              <w:t>0.601</w:t>
            </w:r>
          </w:p>
        </w:tc>
      </w:tr>
      <w:tr w:rsidR="005222C2" w:rsidRPr="0004467D" w14:paraId="017679E9" w14:textId="77777777">
        <w:tc>
          <w:tcPr>
            <w:tcW w:w="0" w:type="auto"/>
            <w:tcMar>
              <w:top w:w="150" w:type="dxa"/>
              <w:left w:w="0" w:type="dxa"/>
              <w:bottom w:w="150" w:type="dxa"/>
              <w:right w:w="240" w:type="dxa"/>
            </w:tcMar>
            <w:vAlign w:val="center"/>
            <w:hideMark/>
          </w:tcPr>
          <w:p w14:paraId="182C1716"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BCS</w:t>
            </w:r>
          </w:p>
        </w:tc>
        <w:tc>
          <w:tcPr>
            <w:tcW w:w="0" w:type="auto"/>
            <w:tcMar>
              <w:top w:w="150" w:type="dxa"/>
              <w:left w:w="240" w:type="dxa"/>
              <w:bottom w:w="150" w:type="dxa"/>
              <w:right w:w="240" w:type="dxa"/>
            </w:tcMar>
            <w:vAlign w:val="center"/>
            <w:hideMark/>
          </w:tcPr>
          <w:p w14:paraId="6E7E7211"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112 (18.3%)</w:t>
            </w:r>
          </w:p>
        </w:tc>
        <w:tc>
          <w:tcPr>
            <w:tcW w:w="0" w:type="auto"/>
            <w:tcMar>
              <w:top w:w="150" w:type="dxa"/>
              <w:left w:w="240" w:type="dxa"/>
              <w:bottom w:w="150" w:type="dxa"/>
              <w:right w:w="240" w:type="dxa"/>
            </w:tcMar>
            <w:vAlign w:val="center"/>
            <w:hideMark/>
          </w:tcPr>
          <w:p w14:paraId="03EAF688"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21 (12.5%)</w:t>
            </w:r>
          </w:p>
        </w:tc>
        <w:tc>
          <w:tcPr>
            <w:tcW w:w="0" w:type="auto"/>
            <w:tcMar>
              <w:top w:w="150" w:type="dxa"/>
              <w:left w:w="240" w:type="dxa"/>
              <w:bottom w:w="150" w:type="dxa"/>
              <w:right w:w="240" w:type="dxa"/>
            </w:tcMar>
            <w:vAlign w:val="center"/>
            <w:hideMark/>
          </w:tcPr>
          <w:p w14:paraId="680078B9"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15 (10.8%)</w:t>
            </w:r>
          </w:p>
        </w:tc>
        <w:tc>
          <w:tcPr>
            <w:tcW w:w="0" w:type="auto"/>
            <w:tcMar>
              <w:top w:w="150" w:type="dxa"/>
              <w:left w:w="240" w:type="dxa"/>
              <w:bottom w:w="150" w:type="dxa"/>
              <w:right w:w="240" w:type="dxa"/>
            </w:tcMar>
            <w:vAlign w:val="center"/>
            <w:hideMark/>
          </w:tcPr>
          <w:p w14:paraId="75244FAF"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27 (9.5%)</w:t>
            </w:r>
          </w:p>
        </w:tc>
        <w:tc>
          <w:tcPr>
            <w:tcW w:w="0" w:type="auto"/>
            <w:tcMar>
              <w:top w:w="150" w:type="dxa"/>
              <w:left w:w="240" w:type="dxa"/>
              <w:bottom w:w="150" w:type="dxa"/>
              <w:right w:w="0" w:type="dxa"/>
            </w:tcMar>
            <w:vAlign w:val="center"/>
            <w:hideMark/>
          </w:tcPr>
          <w:p w14:paraId="0D11DDCB"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&lt;0.001</w:t>
            </w:r>
          </w:p>
        </w:tc>
      </w:tr>
    </w:tbl>
    <w:p w14:paraId="392F85DC"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3.3. Survival Outcomes</w:t>
      </w:r>
    </w:p>
    <w:p w14:paraId="6F2F14D3"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For analysis of vital status at last follow-up, 678 patients with definitive alive/deceased status were included. Median follow-up duration was 24 months (range 1-84 months). The proportion of patients alive at last follow-up differed markedly by subtype (p&lt;0.001): Luminal A-like (61.7%), Luminal B-like (54.8%), HER2-enriched (48.9%), and TNBC (42.6%).</w:t>
      </w:r>
    </w:p>
    <w:p w14:paraId="7C3EC807"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On univariate analysis, TNBC subtype, advanced stage, and lack of minimum subtype-specific therapy were associated with significantly increased odds of death.</w:t>
      </w:r>
    </w:p>
    <w:p w14:paraId="0F8CAB9B"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Multivariate Analysis (Table 3)</w:t>
      </w:r>
      <w:r w:rsidRPr="0004467D">
        <w:rPr>
          <w:rFonts w:asciiTheme="majorBidi" w:hAnsiTheme="majorBidi" w:cstheme="majorBidi"/>
          <w:sz w:val="24"/>
          <w:szCs w:val="24"/>
        </w:rPr>
        <w:t> controlling for age and stage identified three independent predictors of mortality at last follow-up:</w:t>
      </w:r>
    </w:p>
    <w:p w14:paraId="22A024EA" w14:textId="77777777" w:rsidR="005222C2" w:rsidRPr="0004467D" w:rsidRDefault="005222C2" w:rsidP="005222C2">
      <w:pPr>
        <w:numPr>
          <w:ilvl w:val="0"/>
          <w:numId w:val="4"/>
        </w:numPr>
        <w:rPr>
          <w:rFonts w:asciiTheme="majorBidi" w:hAnsiTheme="majorBidi" w:cstheme="majorBidi"/>
          <w:sz w:val="24"/>
          <w:szCs w:val="24"/>
        </w:rPr>
      </w:pPr>
      <w:r w:rsidRPr="0004467D">
        <w:rPr>
          <w:rFonts w:asciiTheme="majorBidi" w:hAnsiTheme="majorBidi" w:cstheme="majorBidi"/>
          <w:b/>
          <w:bCs/>
          <w:sz w:val="24"/>
          <w:szCs w:val="24"/>
        </w:rPr>
        <w:t>TNBC Subtype:</w:t>
      </w:r>
      <w:r w:rsidRPr="0004467D">
        <w:rPr>
          <w:rFonts w:asciiTheme="majorBidi" w:hAnsiTheme="majorBidi" w:cstheme="majorBidi"/>
          <w:sz w:val="24"/>
          <w:szCs w:val="24"/>
        </w:rPr>
        <w:t> OR 2.82 (95% CI 1.64-4.85, p&lt;0.001)</w:t>
      </w:r>
    </w:p>
    <w:p w14:paraId="74B4E30C" w14:textId="77777777" w:rsidR="005222C2" w:rsidRPr="0004467D" w:rsidRDefault="005222C2" w:rsidP="005222C2">
      <w:pPr>
        <w:numPr>
          <w:ilvl w:val="0"/>
          <w:numId w:val="4"/>
        </w:numPr>
        <w:rPr>
          <w:rFonts w:asciiTheme="majorBidi" w:hAnsiTheme="majorBidi" w:cstheme="majorBidi"/>
          <w:sz w:val="24"/>
          <w:szCs w:val="24"/>
        </w:rPr>
      </w:pPr>
      <w:r w:rsidRPr="0004467D">
        <w:rPr>
          <w:rFonts w:asciiTheme="majorBidi" w:hAnsiTheme="majorBidi" w:cstheme="majorBidi"/>
          <w:b/>
          <w:bCs/>
          <w:sz w:val="24"/>
          <w:szCs w:val="24"/>
        </w:rPr>
        <w:t>Lack of Minimum Subtype-Specific Systemic Therapy:</w:t>
      </w:r>
      <w:r w:rsidRPr="0004467D">
        <w:rPr>
          <w:rFonts w:asciiTheme="majorBidi" w:hAnsiTheme="majorBidi" w:cstheme="majorBidi"/>
          <w:sz w:val="24"/>
          <w:szCs w:val="24"/>
        </w:rPr>
        <w:t> OR 3.12 (95% CI 1.81-5.38, p&lt;0.001)</w:t>
      </w:r>
    </w:p>
    <w:p w14:paraId="5A772C7C" w14:textId="77777777" w:rsidR="005222C2" w:rsidRPr="0004467D" w:rsidRDefault="005222C2" w:rsidP="005222C2">
      <w:pPr>
        <w:numPr>
          <w:ilvl w:val="0"/>
          <w:numId w:val="4"/>
        </w:numPr>
        <w:rPr>
          <w:rFonts w:asciiTheme="majorBidi" w:hAnsiTheme="majorBidi" w:cstheme="majorBidi"/>
          <w:sz w:val="24"/>
          <w:szCs w:val="24"/>
        </w:rPr>
      </w:pPr>
      <w:r w:rsidRPr="0004467D">
        <w:rPr>
          <w:rFonts w:asciiTheme="majorBidi" w:hAnsiTheme="majorBidi" w:cstheme="majorBidi"/>
          <w:b/>
          <w:bCs/>
          <w:sz w:val="24"/>
          <w:szCs w:val="24"/>
        </w:rPr>
        <w:t>Stage III/IV:</w:t>
      </w:r>
      <w:r w:rsidRPr="0004467D">
        <w:rPr>
          <w:rFonts w:asciiTheme="majorBidi" w:hAnsiTheme="majorBidi" w:cstheme="majorBidi"/>
          <w:sz w:val="24"/>
          <w:szCs w:val="24"/>
        </w:rPr>
        <w:t> OR 2.95 (95% CI 1.70-5.12, p&lt;0.001)</w:t>
      </w:r>
    </w:p>
    <w:p w14:paraId="28F264E5"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Among HER2+ patients, not receiving anti-HER2 therapy was a significant independent predictor of mortality (OR 2.5, 95% CI 1.3-4.8, p=0.006).</w:t>
      </w:r>
    </w:p>
    <w:p w14:paraId="7615627B" w14:textId="77777777" w:rsidR="005222C2" w:rsidRPr="005222C2" w:rsidRDefault="005222C2" w:rsidP="005222C2">
      <w:r w:rsidRPr="005222C2">
        <w:rPr>
          <w:b/>
          <w:bCs/>
        </w:rPr>
        <w:t>Table 3: Multivariate Logistic Regression for Predictors of Mortality at Last Follow-up (n=678)</w:t>
      </w:r>
    </w:p>
    <w:tbl>
      <w:tblPr>
        <w:tblW w:w="0" w:type="auto"/>
        <w:tblCellMar>
          <w:top w:w="15" w:type="dxa"/>
          <w:left w:w="15" w:type="dxa"/>
          <w:bottom w:w="15" w:type="dxa"/>
          <w:right w:w="15" w:type="dxa"/>
        </w:tblCellMar>
        <w:tblLook w:val="04A0" w:firstRow="1" w:lastRow="0" w:firstColumn="1" w:lastColumn="0" w:noHBand="0" w:noVBand="1"/>
      </w:tblPr>
      <w:tblGrid>
        <w:gridCol w:w="4195"/>
        <w:gridCol w:w="1586"/>
        <w:gridCol w:w="1427"/>
        <w:gridCol w:w="1130"/>
      </w:tblGrid>
      <w:tr w:rsidR="005222C2" w:rsidRPr="005222C2" w14:paraId="1B172C43" w14:textId="77777777">
        <w:trPr>
          <w:tblHeader/>
        </w:trPr>
        <w:tc>
          <w:tcPr>
            <w:tcW w:w="0" w:type="auto"/>
            <w:tcBorders>
              <w:top w:val="nil"/>
            </w:tcBorders>
            <w:tcMar>
              <w:top w:w="150" w:type="dxa"/>
              <w:left w:w="0" w:type="dxa"/>
              <w:bottom w:w="150" w:type="dxa"/>
              <w:right w:w="240" w:type="dxa"/>
            </w:tcMar>
            <w:vAlign w:val="center"/>
            <w:hideMark/>
          </w:tcPr>
          <w:p w14:paraId="2D6FF8DA" w14:textId="77777777" w:rsidR="005222C2" w:rsidRPr="005222C2" w:rsidRDefault="005222C2" w:rsidP="005222C2">
            <w:r w:rsidRPr="005222C2">
              <w:lastRenderedPageBreak/>
              <w:t>Predictor</w:t>
            </w:r>
          </w:p>
        </w:tc>
        <w:tc>
          <w:tcPr>
            <w:tcW w:w="0" w:type="auto"/>
            <w:tcBorders>
              <w:top w:val="nil"/>
            </w:tcBorders>
            <w:tcMar>
              <w:top w:w="150" w:type="dxa"/>
              <w:left w:w="240" w:type="dxa"/>
              <w:bottom w:w="150" w:type="dxa"/>
              <w:right w:w="240" w:type="dxa"/>
            </w:tcMar>
            <w:vAlign w:val="center"/>
            <w:hideMark/>
          </w:tcPr>
          <w:p w14:paraId="3BAA99E3" w14:textId="77777777" w:rsidR="005222C2" w:rsidRPr="005222C2" w:rsidRDefault="005222C2" w:rsidP="005222C2">
            <w:r w:rsidRPr="005222C2">
              <w:t>Adjusted OR</w:t>
            </w:r>
          </w:p>
        </w:tc>
        <w:tc>
          <w:tcPr>
            <w:tcW w:w="0" w:type="auto"/>
            <w:tcBorders>
              <w:top w:val="nil"/>
            </w:tcBorders>
            <w:tcMar>
              <w:top w:w="150" w:type="dxa"/>
              <w:left w:w="240" w:type="dxa"/>
              <w:bottom w:w="150" w:type="dxa"/>
              <w:right w:w="240" w:type="dxa"/>
            </w:tcMar>
            <w:vAlign w:val="center"/>
            <w:hideMark/>
          </w:tcPr>
          <w:p w14:paraId="1ADE7960" w14:textId="77777777" w:rsidR="005222C2" w:rsidRPr="005222C2" w:rsidRDefault="005222C2" w:rsidP="005222C2">
            <w:r w:rsidRPr="005222C2">
              <w:t>95% CI</w:t>
            </w:r>
          </w:p>
        </w:tc>
        <w:tc>
          <w:tcPr>
            <w:tcW w:w="0" w:type="auto"/>
            <w:tcBorders>
              <w:top w:val="nil"/>
            </w:tcBorders>
            <w:tcMar>
              <w:top w:w="150" w:type="dxa"/>
              <w:left w:w="240" w:type="dxa"/>
              <w:bottom w:w="150" w:type="dxa"/>
              <w:right w:w="240" w:type="dxa"/>
            </w:tcMar>
            <w:vAlign w:val="center"/>
            <w:hideMark/>
          </w:tcPr>
          <w:p w14:paraId="63E31E88" w14:textId="77777777" w:rsidR="005222C2" w:rsidRPr="005222C2" w:rsidRDefault="005222C2" w:rsidP="005222C2">
            <w:r w:rsidRPr="005222C2">
              <w:t>P-value</w:t>
            </w:r>
          </w:p>
        </w:tc>
      </w:tr>
      <w:tr w:rsidR="005222C2" w:rsidRPr="005222C2" w14:paraId="18BA6B94" w14:textId="77777777">
        <w:tc>
          <w:tcPr>
            <w:tcW w:w="0" w:type="auto"/>
            <w:tcMar>
              <w:top w:w="150" w:type="dxa"/>
              <w:left w:w="0" w:type="dxa"/>
              <w:bottom w:w="150" w:type="dxa"/>
              <w:right w:w="240" w:type="dxa"/>
            </w:tcMar>
            <w:vAlign w:val="center"/>
            <w:hideMark/>
          </w:tcPr>
          <w:p w14:paraId="6309CC8C" w14:textId="77777777" w:rsidR="005222C2" w:rsidRPr="005222C2" w:rsidRDefault="005222C2" w:rsidP="005222C2">
            <w:r w:rsidRPr="005222C2">
              <w:t>TNBC Subtype</w:t>
            </w:r>
          </w:p>
        </w:tc>
        <w:tc>
          <w:tcPr>
            <w:tcW w:w="0" w:type="auto"/>
            <w:tcMar>
              <w:top w:w="150" w:type="dxa"/>
              <w:left w:w="240" w:type="dxa"/>
              <w:bottom w:w="150" w:type="dxa"/>
              <w:right w:w="240" w:type="dxa"/>
            </w:tcMar>
            <w:vAlign w:val="center"/>
            <w:hideMark/>
          </w:tcPr>
          <w:p w14:paraId="09F8F845" w14:textId="77777777" w:rsidR="005222C2" w:rsidRPr="005222C2" w:rsidRDefault="005222C2" w:rsidP="005222C2">
            <w:r w:rsidRPr="005222C2">
              <w:t>2.82</w:t>
            </w:r>
          </w:p>
        </w:tc>
        <w:tc>
          <w:tcPr>
            <w:tcW w:w="0" w:type="auto"/>
            <w:tcMar>
              <w:top w:w="150" w:type="dxa"/>
              <w:left w:w="240" w:type="dxa"/>
              <w:bottom w:w="150" w:type="dxa"/>
              <w:right w:w="240" w:type="dxa"/>
            </w:tcMar>
            <w:vAlign w:val="center"/>
            <w:hideMark/>
          </w:tcPr>
          <w:p w14:paraId="2F5927A3" w14:textId="77777777" w:rsidR="005222C2" w:rsidRPr="005222C2" w:rsidRDefault="005222C2" w:rsidP="005222C2">
            <w:r w:rsidRPr="005222C2">
              <w:t>1.64 - 4.85</w:t>
            </w:r>
          </w:p>
        </w:tc>
        <w:tc>
          <w:tcPr>
            <w:tcW w:w="0" w:type="auto"/>
            <w:tcMar>
              <w:top w:w="150" w:type="dxa"/>
              <w:left w:w="240" w:type="dxa"/>
              <w:bottom w:w="150" w:type="dxa"/>
              <w:right w:w="0" w:type="dxa"/>
            </w:tcMar>
            <w:vAlign w:val="center"/>
            <w:hideMark/>
          </w:tcPr>
          <w:p w14:paraId="0A527761" w14:textId="77777777" w:rsidR="005222C2" w:rsidRPr="005222C2" w:rsidRDefault="005222C2" w:rsidP="005222C2">
            <w:r w:rsidRPr="005222C2">
              <w:rPr>
                <w:b/>
                <w:bCs/>
              </w:rPr>
              <w:t>&lt;0.001</w:t>
            </w:r>
          </w:p>
        </w:tc>
      </w:tr>
      <w:tr w:rsidR="005222C2" w:rsidRPr="005222C2" w14:paraId="3692D695" w14:textId="77777777">
        <w:tc>
          <w:tcPr>
            <w:tcW w:w="0" w:type="auto"/>
            <w:tcMar>
              <w:top w:w="150" w:type="dxa"/>
              <w:left w:w="0" w:type="dxa"/>
              <w:bottom w:w="150" w:type="dxa"/>
              <w:right w:w="240" w:type="dxa"/>
            </w:tcMar>
            <w:vAlign w:val="center"/>
            <w:hideMark/>
          </w:tcPr>
          <w:p w14:paraId="42BDCE1A" w14:textId="77777777" w:rsidR="005222C2" w:rsidRPr="005222C2" w:rsidRDefault="005222C2" w:rsidP="005222C2">
            <w:r w:rsidRPr="005222C2">
              <w:t>Lack of Minimum Subtype-Specific Therapy*</w:t>
            </w:r>
          </w:p>
        </w:tc>
        <w:tc>
          <w:tcPr>
            <w:tcW w:w="0" w:type="auto"/>
            <w:tcMar>
              <w:top w:w="150" w:type="dxa"/>
              <w:left w:w="240" w:type="dxa"/>
              <w:bottom w:w="150" w:type="dxa"/>
              <w:right w:w="240" w:type="dxa"/>
            </w:tcMar>
            <w:vAlign w:val="center"/>
            <w:hideMark/>
          </w:tcPr>
          <w:p w14:paraId="0698A446" w14:textId="77777777" w:rsidR="005222C2" w:rsidRPr="005222C2" w:rsidRDefault="005222C2" w:rsidP="005222C2">
            <w:r w:rsidRPr="005222C2">
              <w:t>3.12</w:t>
            </w:r>
          </w:p>
        </w:tc>
        <w:tc>
          <w:tcPr>
            <w:tcW w:w="0" w:type="auto"/>
            <w:tcMar>
              <w:top w:w="150" w:type="dxa"/>
              <w:left w:w="240" w:type="dxa"/>
              <w:bottom w:w="150" w:type="dxa"/>
              <w:right w:w="240" w:type="dxa"/>
            </w:tcMar>
            <w:vAlign w:val="center"/>
            <w:hideMark/>
          </w:tcPr>
          <w:p w14:paraId="28E2C954" w14:textId="77777777" w:rsidR="005222C2" w:rsidRPr="005222C2" w:rsidRDefault="005222C2" w:rsidP="005222C2">
            <w:r w:rsidRPr="005222C2">
              <w:t>1.81 - 5.38</w:t>
            </w:r>
          </w:p>
        </w:tc>
        <w:tc>
          <w:tcPr>
            <w:tcW w:w="0" w:type="auto"/>
            <w:tcMar>
              <w:top w:w="150" w:type="dxa"/>
              <w:left w:w="240" w:type="dxa"/>
              <w:bottom w:w="150" w:type="dxa"/>
              <w:right w:w="0" w:type="dxa"/>
            </w:tcMar>
            <w:vAlign w:val="center"/>
            <w:hideMark/>
          </w:tcPr>
          <w:p w14:paraId="1F526253" w14:textId="77777777" w:rsidR="005222C2" w:rsidRPr="005222C2" w:rsidRDefault="005222C2" w:rsidP="005222C2">
            <w:r w:rsidRPr="005222C2">
              <w:rPr>
                <w:b/>
                <w:bCs/>
              </w:rPr>
              <w:t>&lt;0.001</w:t>
            </w:r>
          </w:p>
        </w:tc>
      </w:tr>
      <w:tr w:rsidR="005222C2" w:rsidRPr="005222C2" w14:paraId="17EAC6E7" w14:textId="77777777">
        <w:tc>
          <w:tcPr>
            <w:tcW w:w="0" w:type="auto"/>
            <w:tcMar>
              <w:top w:w="150" w:type="dxa"/>
              <w:left w:w="0" w:type="dxa"/>
              <w:bottom w:w="150" w:type="dxa"/>
              <w:right w:w="240" w:type="dxa"/>
            </w:tcMar>
            <w:vAlign w:val="center"/>
            <w:hideMark/>
          </w:tcPr>
          <w:p w14:paraId="3A3ED018" w14:textId="77777777" w:rsidR="005222C2" w:rsidRPr="005222C2" w:rsidRDefault="005222C2" w:rsidP="005222C2">
            <w:r w:rsidRPr="005222C2">
              <w:t>Stage III/IV</w:t>
            </w:r>
          </w:p>
        </w:tc>
        <w:tc>
          <w:tcPr>
            <w:tcW w:w="0" w:type="auto"/>
            <w:tcMar>
              <w:top w:w="150" w:type="dxa"/>
              <w:left w:w="240" w:type="dxa"/>
              <w:bottom w:w="150" w:type="dxa"/>
              <w:right w:w="240" w:type="dxa"/>
            </w:tcMar>
            <w:vAlign w:val="center"/>
            <w:hideMark/>
          </w:tcPr>
          <w:p w14:paraId="16C20AE1" w14:textId="77777777" w:rsidR="005222C2" w:rsidRPr="005222C2" w:rsidRDefault="005222C2" w:rsidP="005222C2">
            <w:r w:rsidRPr="005222C2">
              <w:t>2.95</w:t>
            </w:r>
          </w:p>
        </w:tc>
        <w:tc>
          <w:tcPr>
            <w:tcW w:w="0" w:type="auto"/>
            <w:tcMar>
              <w:top w:w="150" w:type="dxa"/>
              <w:left w:w="240" w:type="dxa"/>
              <w:bottom w:w="150" w:type="dxa"/>
              <w:right w:w="240" w:type="dxa"/>
            </w:tcMar>
            <w:vAlign w:val="center"/>
            <w:hideMark/>
          </w:tcPr>
          <w:p w14:paraId="2D280B44" w14:textId="77777777" w:rsidR="005222C2" w:rsidRPr="005222C2" w:rsidRDefault="005222C2" w:rsidP="005222C2">
            <w:r w:rsidRPr="005222C2">
              <w:t>1.70 - 5.12</w:t>
            </w:r>
          </w:p>
        </w:tc>
        <w:tc>
          <w:tcPr>
            <w:tcW w:w="0" w:type="auto"/>
            <w:tcMar>
              <w:top w:w="150" w:type="dxa"/>
              <w:left w:w="240" w:type="dxa"/>
              <w:bottom w:w="150" w:type="dxa"/>
              <w:right w:w="0" w:type="dxa"/>
            </w:tcMar>
            <w:vAlign w:val="center"/>
            <w:hideMark/>
          </w:tcPr>
          <w:p w14:paraId="74450C03" w14:textId="77777777" w:rsidR="005222C2" w:rsidRPr="005222C2" w:rsidRDefault="005222C2" w:rsidP="005222C2">
            <w:r w:rsidRPr="005222C2">
              <w:rPr>
                <w:b/>
                <w:bCs/>
              </w:rPr>
              <w:t>&lt;0.001</w:t>
            </w:r>
          </w:p>
        </w:tc>
      </w:tr>
      <w:tr w:rsidR="005222C2" w:rsidRPr="005222C2" w14:paraId="3BD68349" w14:textId="77777777">
        <w:tc>
          <w:tcPr>
            <w:tcW w:w="0" w:type="auto"/>
            <w:tcMar>
              <w:top w:w="150" w:type="dxa"/>
              <w:left w:w="0" w:type="dxa"/>
              <w:bottom w:w="150" w:type="dxa"/>
              <w:right w:w="240" w:type="dxa"/>
            </w:tcMar>
            <w:vAlign w:val="center"/>
            <w:hideMark/>
          </w:tcPr>
          <w:p w14:paraId="24DD507B" w14:textId="77777777" w:rsidR="005222C2" w:rsidRPr="005222C2" w:rsidRDefault="005222C2" w:rsidP="005222C2">
            <w:r w:rsidRPr="005222C2">
              <w:t>Age &gt;50</w:t>
            </w:r>
          </w:p>
        </w:tc>
        <w:tc>
          <w:tcPr>
            <w:tcW w:w="0" w:type="auto"/>
            <w:tcMar>
              <w:top w:w="150" w:type="dxa"/>
              <w:left w:w="240" w:type="dxa"/>
              <w:bottom w:w="150" w:type="dxa"/>
              <w:right w:w="240" w:type="dxa"/>
            </w:tcMar>
            <w:vAlign w:val="center"/>
            <w:hideMark/>
          </w:tcPr>
          <w:p w14:paraId="596539E0" w14:textId="77777777" w:rsidR="005222C2" w:rsidRPr="005222C2" w:rsidRDefault="005222C2" w:rsidP="005222C2">
            <w:r w:rsidRPr="005222C2">
              <w:t>1.42</w:t>
            </w:r>
          </w:p>
        </w:tc>
        <w:tc>
          <w:tcPr>
            <w:tcW w:w="0" w:type="auto"/>
            <w:tcMar>
              <w:top w:w="150" w:type="dxa"/>
              <w:left w:w="240" w:type="dxa"/>
              <w:bottom w:w="150" w:type="dxa"/>
              <w:right w:w="240" w:type="dxa"/>
            </w:tcMar>
            <w:vAlign w:val="center"/>
            <w:hideMark/>
          </w:tcPr>
          <w:p w14:paraId="1B6A3340" w14:textId="77777777" w:rsidR="005222C2" w:rsidRPr="005222C2" w:rsidRDefault="005222C2" w:rsidP="005222C2">
            <w:r w:rsidRPr="005222C2">
              <w:t>0.92 - 2.20</w:t>
            </w:r>
          </w:p>
        </w:tc>
        <w:tc>
          <w:tcPr>
            <w:tcW w:w="0" w:type="auto"/>
            <w:tcMar>
              <w:top w:w="150" w:type="dxa"/>
              <w:left w:w="240" w:type="dxa"/>
              <w:bottom w:w="150" w:type="dxa"/>
              <w:right w:w="0" w:type="dxa"/>
            </w:tcMar>
            <w:vAlign w:val="center"/>
            <w:hideMark/>
          </w:tcPr>
          <w:p w14:paraId="543CCECD" w14:textId="77777777" w:rsidR="005222C2" w:rsidRPr="005222C2" w:rsidRDefault="005222C2" w:rsidP="005222C2">
            <w:r w:rsidRPr="005222C2">
              <w:t>0.114</w:t>
            </w:r>
          </w:p>
        </w:tc>
      </w:tr>
    </w:tbl>
    <w:p w14:paraId="2F77682E" w14:textId="77777777" w:rsidR="005222C2" w:rsidRPr="005222C2" w:rsidRDefault="005222C2" w:rsidP="005222C2">
      <w:r w:rsidRPr="005222C2">
        <w:t xml:space="preserve">**Composite variable: Did not receive endocrine therapy if HR+, or anti-HER2 therapy if HER2+, or chemotherapy if TNBC. This represents absence of minimum essential therapy in this resource-limited </w:t>
      </w:r>
      <w:proofErr w:type="gramStart"/>
      <w:r w:rsidRPr="005222C2">
        <w:t>context.*</w:t>
      </w:r>
      <w:proofErr w:type="gramEnd"/>
    </w:p>
    <w:p w14:paraId="1A04F274" w14:textId="77777777" w:rsidR="0004467D" w:rsidRDefault="0004467D" w:rsidP="005222C2">
      <w:pPr>
        <w:rPr>
          <w:b/>
          <w:bCs/>
        </w:rPr>
      </w:pPr>
    </w:p>
    <w:p w14:paraId="601C8E28" w14:textId="205C8FCA" w:rsidR="005222C2" w:rsidRPr="0004467D" w:rsidRDefault="005222C2" w:rsidP="005222C2">
      <w:pPr>
        <w:rPr>
          <w:rFonts w:asciiTheme="majorBidi" w:hAnsiTheme="majorBidi" w:cstheme="majorBidi"/>
          <w:b/>
          <w:bCs/>
          <w:sz w:val="24"/>
          <w:szCs w:val="24"/>
        </w:rPr>
      </w:pPr>
      <w:r w:rsidRPr="005222C2">
        <w:rPr>
          <w:b/>
          <w:bCs/>
        </w:rPr>
        <w:t>4</w:t>
      </w:r>
      <w:r w:rsidRPr="0004467D">
        <w:rPr>
          <w:rFonts w:asciiTheme="majorBidi" w:hAnsiTheme="majorBidi" w:cstheme="majorBidi"/>
          <w:b/>
          <w:bCs/>
          <w:sz w:val="24"/>
          <w:szCs w:val="24"/>
        </w:rPr>
        <w:t>. DISCUSSION</w:t>
      </w:r>
    </w:p>
    <w:p w14:paraId="428684D9"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This study provides a stark, quantitative assessment of how the promise of precision oncology falters in the face of systemic collapse, revealing profound and lethal disparities in breast cancer care in Yemen. Our findings demonstrate that molecular subtyping, while biologically informative, translates into a survival hierarchy dictated not by biology alone, but critically by the availability of corresponding targeted therapies. To our knowledge, this represents the largest molecular subtype-specific analysis of breast cancer treatment disparities from an active conflict zone.</w:t>
      </w:r>
    </w:p>
    <w:p w14:paraId="3DA35D63"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4.1. Methodological Considerations</w:t>
      </w:r>
    </w:p>
    <w:p w14:paraId="3F426FAA" w14:textId="7326D4ED"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This study examines mortality at last follow-up using logistic regression, not time-to-event survival analysis. The terminology has been revised throughout the manuscript to accurately reflect this distinction. The median follow-up duration of 24 months is now explicitly stated. The high proportion of patients lost to follow-up (41.9%) represents a significant limitation and potential source of selection bias, as these patients may have had different outcomes—likely worse—than those who remained under follow-up at NOC Aden. This limitation is now more prominently acknowledged.</w:t>
      </w:r>
    </w:p>
    <w:p w14:paraId="72C29848"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4.2. The Triple-Negative Burden: Aggressive Biology Meets Therapeutic Austerity</w:t>
      </w:r>
    </w:p>
    <w:p w14:paraId="2E5905F5"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 xml:space="preserve">TNBC constituted nearly a quarter (24.3%) of our cohort, a proportion substantially exceeding rates in Western populations (10-15%) and even those in neighboring Saudi Arabia (Alnegheimish et al., 2022). This elevated prevalence, also noted in other African and Middle Eastern cohorts, may reflect population genetics, environmental factors, or a diagnostic bias where faster-growing TNBC tumors are more likely to become symptomatic and reach advanced stages in the absence of screening (Joko-Fru et al., 2020). Our data confirm the aggressive nature </w:t>
      </w:r>
      <w:r w:rsidRPr="0004467D">
        <w:rPr>
          <w:rFonts w:asciiTheme="majorBidi" w:hAnsiTheme="majorBidi" w:cstheme="majorBidi"/>
          <w:sz w:val="24"/>
          <w:szCs w:val="24"/>
        </w:rPr>
        <w:lastRenderedPageBreak/>
        <w:t>of TNBC in this setting: these patients presented with significantly larger tumors, higher grade, and more advanced stage.</w:t>
      </w:r>
    </w:p>
    <w:p w14:paraId="28464EF6"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The mortality penalty for TNBC patients was severe and independent. Even after controlling for the adverse factor of late stage, TNBC subtype carried a nearly three-fold increased odds of death (OR 2.8). This underscores a critical therapeutic void. In high-income settings, the prognosis for TNBC has improved with the advent of platinum-based chemotherapy, PARP inhibitors for BRCA-mutated cancers, and immunotherapy (Schmid et al., 2020). In Yemen, these agents are inaccessible. TNBC management is thus reduced to generic anthracycline/taxane chemotherapy, which, while received by 98.2% of TNBC patients in our study, is insufficient against this aggressive biology without targeted adjuncts. The high mastectomy rate (78.2%) further reflects the locally advanced presentation, leaving these patients with both poor survival prospects and high morbidity.</w:t>
      </w:r>
    </w:p>
    <w:p w14:paraId="2C500DBB"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4.3. The HER2+ Paradox: Characterized but Untreated</w:t>
      </w:r>
    </w:p>
    <w:p w14:paraId="162B9B06"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The situation for HER2+ breast cancer (26.3% of cohort) represents a particularly tragic disparity. The discovery of HER2 and the development of trastuzumab revolutionized outcomes, transforming HER2+ disease from one of the worst prognoses to among the best (Slamon et al., 2001). In Yemen, this transformation is largely absent. Only </w:t>
      </w:r>
      <w:r w:rsidRPr="0004467D">
        <w:rPr>
          <w:rFonts w:asciiTheme="majorBidi" w:hAnsiTheme="majorBidi" w:cstheme="majorBidi"/>
          <w:b/>
          <w:bCs/>
          <w:sz w:val="24"/>
          <w:szCs w:val="24"/>
        </w:rPr>
        <w:t>31.6% of HER2+ patients received trastuzumab</w:t>
      </w:r>
      <w:r w:rsidRPr="0004467D">
        <w:rPr>
          <w:rFonts w:asciiTheme="majorBidi" w:hAnsiTheme="majorBidi" w:cstheme="majorBidi"/>
          <w:sz w:val="24"/>
          <w:szCs w:val="24"/>
        </w:rPr>
        <w:t>. This access rate is catastrophically low compared to near-universal access in high-income countries and even to rates in more stable LMICs, where efforts by initiatives like the Access to Oncology Medicines (ATOM) Coalition are improving access (Rubinstein et al., 2020).</w:t>
      </w:r>
    </w:p>
    <w:p w14:paraId="21E6F1B9"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The consequence is evident in our mortality data: HER2-enriched patients had a survival rate (48.9% alive) only marginally better than TNBC and significantly worse than Luminal subtypes. For HER2+ patients, not receiving anti-HER2 therapy was a significant independent predictor of mortality (OR 2.5). This represents a profound failure of the global health system to ensure equitable access to a life-saving, WHO Essential Medicines List-listed drug. The similar access rates between Luminal B-like and HER2-enriched subtypes suggest the barrier is systemic (cost, supply chain disruption, lack of cold chain capacity) rather than based on clinical selection.</w:t>
      </w:r>
    </w:p>
    <w:p w14:paraId="33D4170E"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4.4. The Luminal Gap: Undertreatment of a "Favorable" Subtype</w:t>
      </w:r>
    </w:p>
    <w:p w14:paraId="6A854D8C"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Even for Luminal (HR+) breast cancer, the most common and typically most treatable subtype, a significant treatment gap exists. Nearly </w:t>
      </w:r>
      <w:r w:rsidRPr="0004467D">
        <w:rPr>
          <w:rFonts w:asciiTheme="majorBidi" w:hAnsiTheme="majorBidi" w:cstheme="majorBidi"/>
          <w:b/>
          <w:bCs/>
          <w:sz w:val="24"/>
          <w:szCs w:val="24"/>
        </w:rPr>
        <w:t>40% of HR+ patients did not receive endocrine therapy</w:t>
      </w:r>
      <w:r w:rsidRPr="0004467D">
        <w:rPr>
          <w:rFonts w:asciiTheme="majorBidi" w:hAnsiTheme="majorBidi" w:cstheme="majorBidi"/>
          <w:sz w:val="24"/>
          <w:szCs w:val="24"/>
        </w:rPr>
        <w:t>. This is not a minor oversight; our analysis identifies lack of minimum subtype-specific therapy as the </w:t>
      </w:r>
      <w:r w:rsidRPr="0004467D">
        <w:rPr>
          <w:rFonts w:asciiTheme="majorBidi" w:hAnsiTheme="majorBidi" w:cstheme="majorBidi"/>
          <w:b/>
          <w:bCs/>
          <w:sz w:val="24"/>
          <w:szCs w:val="24"/>
        </w:rPr>
        <w:t>strongest independent predictor of mortality overall (OR 3.1</w:t>
      </w:r>
      <w:proofErr w:type="gramStart"/>
      <w:r w:rsidRPr="0004467D">
        <w:rPr>
          <w:rFonts w:asciiTheme="majorBidi" w:hAnsiTheme="majorBidi" w:cstheme="majorBidi"/>
          <w:b/>
          <w:bCs/>
          <w:sz w:val="24"/>
          <w:szCs w:val="24"/>
        </w:rPr>
        <w:t>)</w:t>
      </w:r>
      <w:r w:rsidRPr="0004467D">
        <w:rPr>
          <w:rFonts w:asciiTheme="majorBidi" w:hAnsiTheme="majorBidi" w:cstheme="majorBidi"/>
          <w:sz w:val="24"/>
          <w:szCs w:val="24"/>
        </w:rPr>
        <w:t> .</w:t>
      </w:r>
      <w:proofErr w:type="gramEnd"/>
      <w:r w:rsidRPr="0004467D">
        <w:rPr>
          <w:rFonts w:asciiTheme="majorBidi" w:hAnsiTheme="majorBidi" w:cstheme="majorBidi"/>
          <w:sz w:val="24"/>
          <w:szCs w:val="24"/>
        </w:rPr>
        <w:t xml:space="preserve"> Endocrine therapy (tamoxifen, aromatase inhibitors) is highly effective, low-cost, orally administered, and requires minimal monitoring. That its provision fails at such a scale points to breakdowns in drug procurement, distribution, patient education, and follow-up systems. This gap is more severe than in countries like India or Ghana, where endocrine therapy access in public sectors, while challenging, is often above 70-80% due to inclusion in national essential medicine lists and stable supply chains (</w:t>
      </w:r>
      <w:proofErr w:type="spellStart"/>
      <w:r w:rsidRPr="0004467D">
        <w:rPr>
          <w:rFonts w:asciiTheme="majorBidi" w:hAnsiTheme="majorBidi" w:cstheme="majorBidi"/>
          <w:sz w:val="24"/>
          <w:szCs w:val="24"/>
        </w:rPr>
        <w:t>Malvia</w:t>
      </w:r>
      <w:proofErr w:type="spellEnd"/>
      <w:r w:rsidRPr="0004467D">
        <w:rPr>
          <w:rFonts w:asciiTheme="majorBidi" w:hAnsiTheme="majorBidi" w:cstheme="majorBidi"/>
          <w:sz w:val="24"/>
          <w:szCs w:val="24"/>
        </w:rPr>
        <w:t xml:space="preserve"> et al., 2017; Vanderpuye et al., 2017).</w:t>
      </w:r>
    </w:p>
    <w:p w14:paraId="16FCEF6B"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lastRenderedPageBreak/>
        <w:t>4.5. Comparative Analysis: Yemen in the Global Context</w:t>
      </w:r>
    </w:p>
    <w:p w14:paraId="0079A382" w14:textId="77777777" w:rsidR="005222C2" w:rsidRPr="005222C2" w:rsidRDefault="005222C2" w:rsidP="005222C2">
      <w:r w:rsidRPr="005222C2">
        <w:rPr>
          <w:b/>
          <w:bCs/>
        </w:rPr>
        <w:t>Table 4: Comparative Access to Targeted Therapy and Survival by Subtype</w:t>
      </w:r>
    </w:p>
    <w:tbl>
      <w:tblPr>
        <w:tblW w:w="0" w:type="auto"/>
        <w:tblCellMar>
          <w:top w:w="15" w:type="dxa"/>
          <w:left w:w="15" w:type="dxa"/>
          <w:bottom w:w="15" w:type="dxa"/>
          <w:right w:w="15" w:type="dxa"/>
        </w:tblCellMar>
        <w:tblLook w:val="04A0" w:firstRow="1" w:lastRow="0" w:firstColumn="1" w:lastColumn="0" w:noHBand="0" w:noVBand="1"/>
      </w:tblPr>
      <w:tblGrid>
        <w:gridCol w:w="1618"/>
        <w:gridCol w:w="1970"/>
        <w:gridCol w:w="1912"/>
        <w:gridCol w:w="1912"/>
        <w:gridCol w:w="1948"/>
      </w:tblGrid>
      <w:tr w:rsidR="005222C2" w:rsidRPr="005222C2" w14:paraId="2ED13083" w14:textId="77777777">
        <w:trPr>
          <w:tblHeader/>
        </w:trPr>
        <w:tc>
          <w:tcPr>
            <w:tcW w:w="0" w:type="auto"/>
            <w:tcBorders>
              <w:top w:val="nil"/>
            </w:tcBorders>
            <w:tcMar>
              <w:top w:w="150" w:type="dxa"/>
              <w:left w:w="0" w:type="dxa"/>
              <w:bottom w:w="150" w:type="dxa"/>
              <w:right w:w="240" w:type="dxa"/>
            </w:tcMar>
            <w:vAlign w:val="center"/>
            <w:hideMark/>
          </w:tcPr>
          <w:p w14:paraId="55825837" w14:textId="77777777" w:rsidR="005222C2" w:rsidRPr="005222C2" w:rsidRDefault="005222C2" w:rsidP="005222C2">
            <w:r w:rsidRPr="005222C2">
              <w:t>Metric</w:t>
            </w:r>
          </w:p>
        </w:tc>
        <w:tc>
          <w:tcPr>
            <w:tcW w:w="0" w:type="auto"/>
            <w:tcBorders>
              <w:top w:val="nil"/>
            </w:tcBorders>
            <w:tcMar>
              <w:top w:w="150" w:type="dxa"/>
              <w:left w:w="240" w:type="dxa"/>
              <w:bottom w:w="150" w:type="dxa"/>
              <w:right w:w="240" w:type="dxa"/>
            </w:tcMar>
            <w:vAlign w:val="center"/>
            <w:hideMark/>
          </w:tcPr>
          <w:p w14:paraId="047F1359" w14:textId="77777777" w:rsidR="005222C2" w:rsidRPr="005222C2" w:rsidRDefault="005222C2" w:rsidP="005222C2">
            <w:r w:rsidRPr="005222C2">
              <w:t>Yemen (Current Study)</w:t>
            </w:r>
          </w:p>
        </w:tc>
        <w:tc>
          <w:tcPr>
            <w:tcW w:w="0" w:type="auto"/>
            <w:tcBorders>
              <w:top w:val="nil"/>
            </w:tcBorders>
            <w:tcMar>
              <w:top w:w="150" w:type="dxa"/>
              <w:left w:w="240" w:type="dxa"/>
              <w:bottom w:w="150" w:type="dxa"/>
              <w:right w:w="240" w:type="dxa"/>
            </w:tcMar>
            <w:vAlign w:val="center"/>
            <w:hideMark/>
          </w:tcPr>
          <w:p w14:paraId="1A15E259" w14:textId="77777777" w:rsidR="005222C2" w:rsidRPr="005222C2" w:rsidRDefault="005222C2" w:rsidP="005222C2">
            <w:r w:rsidRPr="005222C2">
              <w:t>Saudi Arabia*</w:t>
            </w:r>
          </w:p>
        </w:tc>
        <w:tc>
          <w:tcPr>
            <w:tcW w:w="0" w:type="auto"/>
            <w:tcBorders>
              <w:top w:val="nil"/>
            </w:tcBorders>
            <w:tcMar>
              <w:top w:w="150" w:type="dxa"/>
              <w:left w:w="240" w:type="dxa"/>
              <w:bottom w:w="150" w:type="dxa"/>
              <w:right w:w="240" w:type="dxa"/>
            </w:tcMar>
            <w:vAlign w:val="center"/>
            <w:hideMark/>
          </w:tcPr>
          <w:p w14:paraId="54993FD4" w14:textId="77777777" w:rsidR="005222C2" w:rsidRPr="005222C2" w:rsidRDefault="005222C2" w:rsidP="005222C2">
            <w:r w:rsidRPr="005222C2">
              <w:t>United States†</w:t>
            </w:r>
          </w:p>
        </w:tc>
        <w:tc>
          <w:tcPr>
            <w:tcW w:w="0" w:type="auto"/>
            <w:tcBorders>
              <w:top w:val="nil"/>
            </w:tcBorders>
            <w:tcMar>
              <w:top w:w="150" w:type="dxa"/>
              <w:left w:w="240" w:type="dxa"/>
              <w:bottom w:w="150" w:type="dxa"/>
              <w:right w:w="240" w:type="dxa"/>
            </w:tcMar>
            <w:vAlign w:val="center"/>
            <w:hideMark/>
          </w:tcPr>
          <w:p w14:paraId="16329D82" w14:textId="77777777" w:rsidR="005222C2" w:rsidRPr="005222C2" w:rsidRDefault="005222C2" w:rsidP="005222C2">
            <w:r w:rsidRPr="005222C2">
              <w:t>Sub-Saharan Africa‡</w:t>
            </w:r>
          </w:p>
        </w:tc>
      </w:tr>
      <w:tr w:rsidR="005222C2" w:rsidRPr="005222C2" w14:paraId="743FA9FE" w14:textId="77777777">
        <w:tc>
          <w:tcPr>
            <w:tcW w:w="0" w:type="auto"/>
            <w:tcMar>
              <w:top w:w="150" w:type="dxa"/>
              <w:left w:w="0" w:type="dxa"/>
              <w:bottom w:w="150" w:type="dxa"/>
              <w:right w:w="240" w:type="dxa"/>
            </w:tcMar>
            <w:vAlign w:val="center"/>
            <w:hideMark/>
          </w:tcPr>
          <w:p w14:paraId="2A3ED27B" w14:textId="77777777" w:rsidR="005222C2" w:rsidRPr="005222C2" w:rsidRDefault="005222C2" w:rsidP="005222C2">
            <w:r w:rsidRPr="005222C2">
              <w:t>TNBC Prevalence</w:t>
            </w:r>
          </w:p>
        </w:tc>
        <w:tc>
          <w:tcPr>
            <w:tcW w:w="0" w:type="auto"/>
            <w:tcMar>
              <w:top w:w="150" w:type="dxa"/>
              <w:left w:w="240" w:type="dxa"/>
              <w:bottom w:w="150" w:type="dxa"/>
              <w:right w:w="240" w:type="dxa"/>
            </w:tcMar>
            <w:vAlign w:val="center"/>
            <w:hideMark/>
          </w:tcPr>
          <w:p w14:paraId="471D77B3" w14:textId="77777777" w:rsidR="005222C2" w:rsidRPr="005222C2" w:rsidRDefault="005222C2" w:rsidP="005222C2">
            <w:r w:rsidRPr="005222C2">
              <w:t>24.3%</w:t>
            </w:r>
          </w:p>
        </w:tc>
        <w:tc>
          <w:tcPr>
            <w:tcW w:w="0" w:type="auto"/>
            <w:tcMar>
              <w:top w:w="150" w:type="dxa"/>
              <w:left w:w="240" w:type="dxa"/>
              <w:bottom w:w="150" w:type="dxa"/>
              <w:right w:w="240" w:type="dxa"/>
            </w:tcMar>
            <w:vAlign w:val="center"/>
            <w:hideMark/>
          </w:tcPr>
          <w:p w14:paraId="5085DEA6" w14:textId="77777777" w:rsidR="005222C2" w:rsidRPr="005222C2" w:rsidRDefault="005222C2" w:rsidP="005222C2">
            <w:r w:rsidRPr="005222C2">
              <w:t>10-15%</w:t>
            </w:r>
          </w:p>
        </w:tc>
        <w:tc>
          <w:tcPr>
            <w:tcW w:w="0" w:type="auto"/>
            <w:tcMar>
              <w:top w:w="150" w:type="dxa"/>
              <w:left w:w="240" w:type="dxa"/>
              <w:bottom w:w="150" w:type="dxa"/>
              <w:right w:w="240" w:type="dxa"/>
            </w:tcMar>
            <w:vAlign w:val="center"/>
            <w:hideMark/>
          </w:tcPr>
          <w:p w14:paraId="3ABB713A" w14:textId="77777777" w:rsidR="005222C2" w:rsidRPr="005222C2" w:rsidRDefault="005222C2" w:rsidP="005222C2">
            <w:r w:rsidRPr="005222C2">
              <w:t>10-15%</w:t>
            </w:r>
          </w:p>
        </w:tc>
        <w:tc>
          <w:tcPr>
            <w:tcW w:w="0" w:type="auto"/>
            <w:tcMar>
              <w:top w:w="150" w:type="dxa"/>
              <w:left w:w="240" w:type="dxa"/>
              <w:bottom w:w="150" w:type="dxa"/>
              <w:right w:w="0" w:type="dxa"/>
            </w:tcMar>
            <w:vAlign w:val="center"/>
            <w:hideMark/>
          </w:tcPr>
          <w:p w14:paraId="43F39FA1" w14:textId="77777777" w:rsidR="005222C2" w:rsidRPr="005222C2" w:rsidRDefault="005222C2" w:rsidP="005222C2">
            <w:r w:rsidRPr="005222C2">
              <w:t>20-30%</w:t>
            </w:r>
          </w:p>
        </w:tc>
      </w:tr>
      <w:tr w:rsidR="005222C2" w:rsidRPr="005222C2" w14:paraId="6E27F161" w14:textId="77777777">
        <w:tc>
          <w:tcPr>
            <w:tcW w:w="0" w:type="auto"/>
            <w:tcMar>
              <w:top w:w="150" w:type="dxa"/>
              <w:left w:w="0" w:type="dxa"/>
              <w:bottom w:w="150" w:type="dxa"/>
              <w:right w:w="240" w:type="dxa"/>
            </w:tcMar>
            <w:vAlign w:val="center"/>
            <w:hideMark/>
          </w:tcPr>
          <w:p w14:paraId="4969728E" w14:textId="77777777" w:rsidR="005222C2" w:rsidRPr="005222C2" w:rsidRDefault="005222C2" w:rsidP="005222C2">
            <w:r w:rsidRPr="005222C2">
              <w:t>HER2+ Anti-HER2 Rx Access</w:t>
            </w:r>
          </w:p>
        </w:tc>
        <w:tc>
          <w:tcPr>
            <w:tcW w:w="0" w:type="auto"/>
            <w:tcMar>
              <w:top w:w="150" w:type="dxa"/>
              <w:left w:w="240" w:type="dxa"/>
              <w:bottom w:w="150" w:type="dxa"/>
              <w:right w:w="240" w:type="dxa"/>
            </w:tcMar>
            <w:vAlign w:val="center"/>
            <w:hideMark/>
          </w:tcPr>
          <w:p w14:paraId="6D5C8009" w14:textId="77777777" w:rsidR="005222C2" w:rsidRPr="005222C2" w:rsidRDefault="005222C2" w:rsidP="005222C2">
            <w:r w:rsidRPr="005222C2">
              <w:t>31.6%</w:t>
            </w:r>
          </w:p>
        </w:tc>
        <w:tc>
          <w:tcPr>
            <w:tcW w:w="0" w:type="auto"/>
            <w:tcMar>
              <w:top w:w="150" w:type="dxa"/>
              <w:left w:w="240" w:type="dxa"/>
              <w:bottom w:w="150" w:type="dxa"/>
              <w:right w:w="240" w:type="dxa"/>
            </w:tcMar>
            <w:vAlign w:val="center"/>
            <w:hideMark/>
          </w:tcPr>
          <w:p w14:paraId="10A8B9EE" w14:textId="77777777" w:rsidR="005222C2" w:rsidRPr="005222C2" w:rsidRDefault="005222C2" w:rsidP="005222C2">
            <w:r w:rsidRPr="005222C2">
              <w:t>&gt;90%</w:t>
            </w:r>
          </w:p>
        </w:tc>
        <w:tc>
          <w:tcPr>
            <w:tcW w:w="0" w:type="auto"/>
            <w:tcMar>
              <w:top w:w="150" w:type="dxa"/>
              <w:left w:w="240" w:type="dxa"/>
              <w:bottom w:w="150" w:type="dxa"/>
              <w:right w:w="240" w:type="dxa"/>
            </w:tcMar>
            <w:vAlign w:val="center"/>
            <w:hideMark/>
          </w:tcPr>
          <w:p w14:paraId="33F19F3A" w14:textId="77777777" w:rsidR="005222C2" w:rsidRPr="005222C2" w:rsidRDefault="005222C2" w:rsidP="005222C2">
            <w:r w:rsidRPr="005222C2">
              <w:t>&gt;95%</w:t>
            </w:r>
          </w:p>
        </w:tc>
        <w:tc>
          <w:tcPr>
            <w:tcW w:w="0" w:type="auto"/>
            <w:tcMar>
              <w:top w:w="150" w:type="dxa"/>
              <w:left w:w="240" w:type="dxa"/>
              <w:bottom w:w="150" w:type="dxa"/>
              <w:right w:w="0" w:type="dxa"/>
            </w:tcMar>
            <w:vAlign w:val="center"/>
            <w:hideMark/>
          </w:tcPr>
          <w:p w14:paraId="57763DA6" w14:textId="77777777" w:rsidR="005222C2" w:rsidRPr="005222C2" w:rsidRDefault="005222C2" w:rsidP="005222C2">
            <w:r w:rsidRPr="005222C2">
              <w:t>20-50% (variable)</w:t>
            </w:r>
          </w:p>
        </w:tc>
      </w:tr>
      <w:tr w:rsidR="005222C2" w:rsidRPr="005222C2" w14:paraId="2DE5E435" w14:textId="77777777">
        <w:tc>
          <w:tcPr>
            <w:tcW w:w="0" w:type="auto"/>
            <w:tcMar>
              <w:top w:w="150" w:type="dxa"/>
              <w:left w:w="0" w:type="dxa"/>
              <w:bottom w:w="150" w:type="dxa"/>
              <w:right w:w="240" w:type="dxa"/>
            </w:tcMar>
            <w:vAlign w:val="center"/>
            <w:hideMark/>
          </w:tcPr>
          <w:p w14:paraId="0D63FB8B" w14:textId="77777777" w:rsidR="005222C2" w:rsidRPr="005222C2" w:rsidRDefault="005222C2" w:rsidP="005222C2">
            <w:r w:rsidRPr="005222C2">
              <w:t>HR+ Endocrine Rx Access</w:t>
            </w:r>
          </w:p>
        </w:tc>
        <w:tc>
          <w:tcPr>
            <w:tcW w:w="0" w:type="auto"/>
            <w:tcMar>
              <w:top w:w="150" w:type="dxa"/>
              <w:left w:w="240" w:type="dxa"/>
              <w:bottom w:w="150" w:type="dxa"/>
              <w:right w:w="240" w:type="dxa"/>
            </w:tcMar>
            <w:vAlign w:val="center"/>
            <w:hideMark/>
          </w:tcPr>
          <w:p w14:paraId="4FB5CD26" w14:textId="77777777" w:rsidR="005222C2" w:rsidRPr="005222C2" w:rsidRDefault="005222C2" w:rsidP="005222C2">
            <w:r w:rsidRPr="005222C2">
              <w:t>~60%</w:t>
            </w:r>
          </w:p>
        </w:tc>
        <w:tc>
          <w:tcPr>
            <w:tcW w:w="0" w:type="auto"/>
            <w:tcMar>
              <w:top w:w="150" w:type="dxa"/>
              <w:left w:w="240" w:type="dxa"/>
              <w:bottom w:w="150" w:type="dxa"/>
              <w:right w:w="240" w:type="dxa"/>
            </w:tcMar>
            <w:vAlign w:val="center"/>
            <w:hideMark/>
          </w:tcPr>
          <w:p w14:paraId="0C8C19DA" w14:textId="77777777" w:rsidR="005222C2" w:rsidRPr="005222C2" w:rsidRDefault="005222C2" w:rsidP="005222C2">
            <w:r w:rsidRPr="005222C2">
              <w:t>&gt;90%</w:t>
            </w:r>
          </w:p>
        </w:tc>
        <w:tc>
          <w:tcPr>
            <w:tcW w:w="0" w:type="auto"/>
            <w:tcMar>
              <w:top w:w="150" w:type="dxa"/>
              <w:left w:w="240" w:type="dxa"/>
              <w:bottom w:w="150" w:type="dxa"/>
              <w:right w:w="240" w:type="dxa"/>
            </w:tcMar>
            <w:vAlign w:val="center"/>
            <w:hideMark/>
          </w:tcPr>
          <w:p w14:paraId="75C87B03" w14:textId="77777777" w:rsidR="005222C2" w:rsidRPr="005222C2" w:rsidRDefault="005222C2" w:rsidP="005222C2">
            <w:r w:rsidRPr="005222C2">
              <w:t>&gt;95%</w:t>
            </w:r>
          </w:p>
        </w:tc>
        <w:tc>
          <w:tcPr>
            <w:tcW w:w="0" w:type="auto"/>
            <w:tcMar>
              <w:top w:w="150" w:type="dxa"/>
              <w:left w:w="240" w:type="dxa"/>
              <w:bottom w:w="150" w:type="dxa"/>
              <w:right w:w="0" w:type="dxa"/>
            </w:tcMar>
            <w:vAlign w:val="center"/>
            <w:hideMark/>
          </w:tcPr>
          <w:p w14:paraId="2724127C" w14:textId="77777777" w:rsidR="005222C2" w:rsidRPr="005222C2" w:rsidRDefault="005222C2" w:rsidP="005222C2">
            <w:r w:rsidRPr="005222C2">
              <w:t>50-80%</w:t>
            </w:r>
          </w:p>
        </w:tc>
      </w:tr>
      <w:tr w:rsidR="005222C2" w:rsidRPr="005222C2" w14:paraId="01109BCA" w14:textId="77777777">
        <w:tc>
          <w:tcPr>
            <w:tcW w:w="0" w:type="auto"/>
            <w:tcMar>
              <w:top w:w="150" w:type="dxa"/>
              <w:left w:w="0" w:type="dxa"/>
              <w:bottom w:w="150" w:type="dxa"/>
              <w:right w:w="240" w:type="dxa"/>
            </w:tcMar>
            <w:vAlign w:val="center"/>
            <w:hideMark/>
          </w:tcPr>
          <w:p w14:paraId="677091D4" w14:textId="77777777" w:rsidR="005222C2" w:rsidRPr="005222C2" w:rsidRDefault="005222C2" w:rsidP="005222C2">
            <w:r w:rsidRPr="005222C2">
              <w:t>% Alive at 24 months (approx.)</w:t>
            </w:r>
          </w:p>
        </w:tc>
        <w:tc>
          <w:tcPr>
            <w:tcW w:w="0" w:type="auto"/>
            <w:tcMar>
              <w:top w:w="150" w:type="dxa"/>
              <w:left w:w="240" w:type="dxa"/>
              <w:bottom w:w="150" w:type="dxa"/>
              <w:right w:w="240" w:type="dxa"/>
            </w:tcMar>
            <w:vAlign w:val="center"/>
            <w:hideMark/>
          </w:tcPr>
          <w:p w14:paraId="64976448" w14:textId="77777777" w:rsidR="005222C2" w:rsidRPr="005222C2" w:rsidRDefault="005222C2" w:rsidP="005222C2">
            <w:r w:rsidRPr="005222C2">
              <w:t>Luminal: 55-62% HER2+: 45-49% TNBC: 43%</w:t>
            </w:r>
          </w:p>
        </w:tc>
        <w:tc>
          <w:tcPr>
            <w:tcW w:w="0" w:type="auto"/>
            <w:tcMar>
              <w:top w:w="150" w:type="dxa"/>
              <w:left w:w="240" w:type="dxa"/>
              <w:bottom w:w="150" w:type="dxa"/>
              <w:right w:w="240" w:type="dxa"/>
            </w:tcMar>
            <w:vAlign w:val="center"/>
            <w:hideMark/>
          </w:tcPr>
          <w:p w14:paraId="1EEEF813" w14:textId="77777777" w:rsidR="005222C2" w:rsidRPr="005222C2" w:rsidRDefault="005222C2" w:rsidP="005222C2">
            <w:r w:rsidRPr="005222C2">
              <w:t>Luminal: &gt;85% HER2+: &gt;80% TNBC: &gt;70%</w:t>
            </w:r>
          </w:p>
        </w:tc>
        <w:tc>
          <w:tcPr>
            <w:tcW w:w="0" w:type="auto"/>
            <w:tcMar>
              <w:top w:w="150" w:type="dxa"/>
              <w:left w:w="240" w:type="dxa"/>
              <w:bottom w:w="150" w:type="dxa"/>
              <w:right w:w="240" w:type="dxa"/>
            </w:tcMar>
            <w:vAlign w:val="center"/>
            <w:hideMark/>
          </w:tcPr>
          <w:p w14:paraId="50AFA32E" w14:textId="77777777" w:rsidR="005222C2" w:rsidRPr="005222C2" w:rsidRDefault="005222C2" w:rsidP="005222C2">
            <w:r w:rsidRPr="005222C2">
              <w:t>Luminal: &gt;90% HER2+: &gt;85% TNBC: &gt;75%</w:t>
            </w:r>
          </w:p>
        </w:tc>
        <w:tc>
          <w:tcPr>
            <w:tcW w:w="0" w:type="auto"/>
            <w:tcMar>
              <w:top w:w="150" w:type="dxa"/>
              <w:left w:w="240" w:type="dxa"/>
              <w:bottom w:w="150" w:type="dxa"/>
              <w:right w:w="0" w:type="dxa"/>
            </w:tcMar>
            <w:vAlign w:val="center"/>
            <w:hideMark/>
          </w:tcPr>
          <w:p w14:paraId="7D13F0FA" w14:textId="77777777" w:rsidR="005222C2" w:rsidRPr="005222C2" w:rsidRDefault="005222C2" w:rsidP="005222C2">
            <w:r w:rsidRPr="005222C2">
              <w:t>Luminal: 50-70% HER2+: 40-60% TNBC: 30-50%</w:t>
            </w:r>
          </w:p>
        </w:tc>
      </w:tr>
    </w:tbl>
    <w:p w14:paraId="75353653" w14:textId="0FB5DBA1" w:rsidR="005222C2" w:rsidRPr="005222C2" w:rsidRDefault="005222C2" w:rsidP="005222C2">
      <w:r w:rsidRPr="005222C2">
        <w:t>** Alnegheimish et al., 2022; †Howlader et al., 2020; ‡Joko-Fru et al., 2020; Sutter et al., 2021*</w:t>
      </w:r>
    </w:p>
    <w:p w14:paraId="1571F2DC"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This comparison situates Yemen at the extreme negative end of the global spectrum. Its subtype-specific outcomes resemble those of the most fragile settings in Sub-Saharan Africa, while its treatment access rates—particularly for anti-HER2 therapy—are among the lowest documented in contemporary literature.</w:t>
      </w:r>
    </w:p>
    <w:p w14:paraId="4F7EA5BB"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4.6. Strengths and Limitations</w:t>
      </w:r>
    </w:p>
    <w:p w14:paraId="48A8DF89"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Strengths:</w:t>
      </w:r>
      <w:r w:rsidRPr="0004467D">
        <w:rPr>
          <w:rFonts w:asciiTheme="majorBidi" w:hAnsiTheme="majorBidi" w:cstheme="majorBidi"/>
          <w:sz w:val="24"/>
          <w:szCs w:val="24"/>
        </w:rPr>
        <w:t> This study has several notable strengths. To our knowledge, it represents the largest molecular subtype-specific analysis of breast cancer treatment disparities from an active conflict zone, encompassing 1,167 patients over eight years. The detailed characterization of treatment patterns by subtype provides granular, actionable evidence rarely available from humanitarian settings. The findings directly inform global oncology policy and humanitarian drug access initiatives.</w:t>
      </w:r>
    </w:p>
    <w:p w14:paraId="11945421"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Limitations:</w:t>
      </w:r>
      <w:r w:rsidRPr="0004467D">
        <w:rPr>
          <w:rFonts w:asciiTheme="majorBidi" w:hAnsiTheme="majorBidi" w:cstheme="majorBidi"/>
          <w:sz w:val="24"/>
          <w:szCs w:val="24"/>
        </w:rPr>
        <w:t> We acknowledge several important limitations. First, the retrospective design is subject to information bias and missing data. Second, </w:t>
      </w:r>
      <w:r w:rsidRPr="0004467D">
        <w:rPr>
          <w:rFonts w:asciiTheme="majorBidi" w:hAnsiTheme="majorBidi" w:cstheme="majorBidi"/>
          <w:b/>
          <w:bCs/>
          <w:sz w:val="24"/>
          <w:szCs w:val="24"/>
        </w:rPr>
        <w:t>the high loss-to-follow-up rate (41.9%) represents a significant potential source of selection bias</w:t>
      </w:r>
      <w:r w:rsidRPr="0004467D">
        <w:rPr>
          <w:rFonts w:asciiTheme="majorBidi" w:hAnsiTheme="majorBidi" w:cstheme="majorBidi"/>
          <w:sz w:val="24"/>
          <w:szCs w:val="24"/>
        </w:rPr>
        <w:t>; patients who traveled from distant governorates may have been disproportionately unable to return for follow-up, and their outcomes—likely worse than those who remained under care—are not captured in our survival analysis. Third, our analysis examines </w:t>
      </w:r>
      <w:r w:rsidRPr="0004467D">
        <w:rPr>
          <w:rFonts w:asciiTheme="majorBidi" w:hAnsiTheme="majorBidi" w:cstheme="majorBidi"/>
          <w:b/>
          <w:bCs/>
          <w:sz w:val="24"/>
          <w:szCs w:val="24"/>
        </w:rPr>
        <w:t>vital status at last follow-up using logistic regression, not true time-to-event survival analysis</w:t>
      </w:r>
      <w:r w:rsidRPr="0004467D">
        <w:rPr>
          <w:rFonts w:asciiTheme="majorBidi" w:hAnsiTheme="majorBidi" w:cstheme="majorBidi"/>
          <w:sz w:val="24"/>
          <w:szCs w:val="24"/>
        </w:rPr>
        <w:t xml:space="preserve">; we have revised terminology throughout to accurately </w:t>
      </w:r>
      <w:r w:rsidRPr="0004467D">
        <w:rPr>
          <w:rFonts w:asciiTheme="majorBidi" w:hAnsiTheme="majorBidi" w:cstheme="majorBidi"/>
          <w:sz w:val="24"/>
          <w:szCs w:val="24"/>
        </w:rPr>
        <w:lastRenderedPageBreak/>
        <w:t>reflect this distinction. Fourth, median follow-up of 24 months is relatively short and may not capture late recurrences or longer-term survival patterns. Fifth, we lacked data on duration of symptoms, time intervals from symptom onset to treatment initiation, socioeconomic status, education level, and specific chemotherapy regimens. Sixth, IHC quality may have varied, with potential misclassification of borderline cases. Seventh, as a single-institution study from southern Yemen, findings may not be fully generalizable to northern regions served by different facilities.</w:t>
      </w:r>
    </w:p>
    <w:p w14:paraId="026C22CD" w14:textId="77777777"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4.7. Conclusion and Recommendations</w:t>
      </w:r>
    </w:p>
    <w:p w14:paraId="097FB76A"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This analysis reveals that in Yemen, a patient's molecular subtype is a key determinant of their fate, primarily mediated by differential access to therapy. The survival disparities documented here are not inevitable; they are a direct result of inequitable access to essential medicines. To address these disparities, a targeted, subtype-specific strategy is required:</w:t>
      </w:r>
    </w:p>
    <w:p w14:paraId="03AC260B"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1. Immediate Priority (Global Action):</w:t>
      </w:r>
      <w:r w:rsidRPr="0004467D">
        <w:rPr>
          <w:rFonts w:asciiTheme="majorBidi" w:hAnsiTheme="majorBidi" w:cstheme="majorBidi"/>
          <w:sz w:val="24"/>
          <w:szCs w:val="24"/>
        </w:rPr>
        <w:t> Establish a sustained, humanitarian-funded supply chain for </w:t>
      </w:r>
      <w:r w:rsidRPr="0004467D">
        <w:rPr>
          <w:rFonts w:asciiTheme="majorBidi" w:hAnsiTheme="majorBidi" w:cstheme="majorBidi"/>
          <w:b/>
          <w:bCs/>
          <w:sz w:val="24"/>
          <w:szCs w:val="24"/>
        </w:rPr>
        <w:t>essential targeted therapies</w:t>
      </w:r>
      <w:r w:rsidRPr="0004467D">
        <w:rPr>
          <w:rFonts w:asciiTheme="majorBidi" w:hAnsiTheme="majorBidi" w:cstheme="majorBidi"/>
          <w:sz w:val="24"/>
          <w:szCs w:val="24"/>
        </w:rPr>
        <w:t xml:space="preserve">: generic endocrine drugs (tamoxifen, anastrozole) and trastuzumab biosimilars via mechanisms like the WHO Prequalification of Medicines </w:t>
      </w:r>
      <w:proofErr w:type="spellStart"/>
      <w:r w:rsidRPr="0004467D">
        <w:rPr>
          <w:rFonts w:asciiTheme="majorBidi" w:hAnsiTheme="majorBidi" w:cstheme="majorBidi"/>
          <w:sz w:val="24"/>
          <w:szCs w:val="24"/>
        </w:rPr>
        <w:t>Programme</w:t>
      </w:r>
      <w:proofErr w:type="spellEnd"/>
      <w:r w:rsidRPr="0004467D">
        <w:rPr>
          <w:rFonts w:asciiTheme="majorBidi" w:hAnsiTheme="majorBidi" w:cstheme="majorBidi"/>
          <w:sz w:val="24"/>
          <w:szCs w:val="24"/>
        </w:rPr>
        <w:t>, the ATOM Coalition, or direct pharmaceutical donation programs. Given the 31.6% access rate for HER2 therapy, improving trastuzumab availability alone could substantially reduce mortality.</w:t>
      </w:r>
    </w:p>
    <w:p w14:paraId="7E3C37DE"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2. National Program Strengthening:</w:t>
      </w:r>
      <w:r w:rsidRPr="0004467D">
        <w:rPr>
          <w:rFonts w:asciiTheme="majorBidi" w:hAnsiTheme="majorBidi" w:cstheme="majorBidi"/>
          <w:sz w:val="24"/>
          <w:szCs w:val="24"/>
        </w:rPr>
        <w:t> Integrate these essential targeted drugs into national cancer treatment protocols and ensure their free provision at the point of care. Implement simple patient navigation and tracking systems to improve endocrine therapy adherence and reduce loss to follow-up.</w:t>
      </w:r>
    </w:p>
    <w:p w14:paraId="67384652"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3. Research and Advocacy for TNBC:</w:t>
      </w:r>
      <w:r w:rsidRPr="0004467D">
        <w:rPr>
          <w:rFonts w:asciiTheme="majorBidi" w:hAnsiTheme="majorBidi" w:cstheme="majorBidi"/>
          <w:sz w:val="24"/>
          <w:szCs w:val="24"/>
        </w:rPr>
        <w:t> Given the high prevalence (24.3%) and poor outcomes (42.6% alive at follow-up), include Yemeni patients in international clinical trials investigating affordable, effective TNBC regimens, including studies on metronomic chemotherapy, immunotherapy feasibility in resource-limited settings, and optimized generic platinum-based protocols.</w:t>
      </w:r>
    </w:p>
    <w:p w14:paraId="74EEA8B4"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4. Diagnostic Quality Assurance:</w:t>
      </w:r>
      <w:r w:rsidRPr="0004467D">
        <w:rPr>
          <w:rFonts w:asciiTheme="majorBidi" w:hAnsiTheme="majorBidi" w:cstheme="majorBidi"/>
          <w:sz w:val="24"/>
          <w:szCs w:val="24"/>
        </w:rPr>
        <w:t> Support the NOC pathology laboratory with external quality assurance programs for IHC and, where feasible, FISH to ensure accurate subtyping and appropriate therapy allocation.</w:t>
      </w:r>
    </w:p>
    <w:p w14:paraId="02CAF755"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b/>
          <w:bCs/>
          <w:sz w:val="24"/>
          <w:szCs w:val="24"/>
        </w:rPr>
        <w:t>5. Addressing Loss to Follow-Up:</w:t>
      </w:r>
      <w:r w:rsidRPr="0004467D">
        <w:rPr>
          <w:rFonts w:asciiTheme="majorBidi" w:hAnsiTheme="majorBidi" w:cstheme="majorBidi"/>
          <w:sz w:val="24"/>
          <w:szCs w:val="24"/>
        </w:rPr>
        <w:t> Implement active follow-up mechanisms including telephone outreach, coordination with regional health facilities, and transportation support for patients from distant governorates.</w:t>
      </w:r>
    </w:p>
    <w:p w14:paraId="3F7F27C2" w14:textId="77777777" w:rsidR="005222C2" w:rsidRPr="0004467D" w:rsidRDefault="005222C2" w:rsidP="005222C2">
      <w:pPr>
        <w:rPr>
          <w:rFonts w:asciiTheme="majorBidi" w:hAnsiTheme="majorBidi" w:cstheme="majorBidi"/>
          <w:sz w:val="24"/>
          <w:szCs w:val="24"/>
        </w:rPr>
      </w:pPr>
      <w:r w:rsidRPr="0004467D">
        <w:rPr>
          <w:rFonts w:asciiTheme="majorBidi" w:hAnsiTheme="majorBidi" w:cstheme="majorBidi"/>
          <w:sz w:val="24"/>
          <w:szCs w:val="24"/>
        </w:rPr>
        <w:t>Bridging the targeted therapy gap in Yemen is both a moral and medical imperative. The global oncology community must recognize that precision medicine, without equitable access, risks exacerbating rather than reducing cancer disparities worldwide.</w:t>
      </w:r>
    </w:p>
    <w:p w14:paraId="0CC37572" w14:textId="30D89AA6" w:rsidR="0004467D" w:rsidRDefault="0004467D" w:rsidP="005222C2">
      <w:pPr>
        <w:rPr>
          <w:b/>
          <w:bCs/>
        </w:rPr>
      </w:pPr>
    </w:p>
    <w:p w14:paraId="38995679" w14:textId="77777777" w:rsidR="00C414B1" w:rsidRPr="005222C2" w:rsidRDefault="00C414B1" w:rsidP="00C414B1">
      <w:pPr>
        <w:rPr>
          <w:b/>
          <w:bCs/>
        </w:rPr>
      </w:pPr>
      <w:r w:rsidRPr="005222C2">
        <w:rPr>
          <w:b/>
          <w:bCs/>
        </w:rPr>
        <w:t>ACKNOWLEDGMENTS</w:t>
      </w:r>
    </w:p>
    <w:p w14:paraId="6D9721BE" w14:textId="77777777" w:rsidR="00C414B1" w:rsidRPr="005222C2" w:rsidRDefault="00C414B1" w:rsidP="00C414B1">
      <w:r w:rsidRPr="005222C2">
        <w:lastRenderedPageBreak/>
        <w:t>The authors thank the medical records staff at the National Oncology Center, Aden, for their assistance with data retrieval, and the patients whose data contributed to this study. We also acknowledge the reviewers for their constructive feedback, which has substantially strengthened this manuscript.</w:t>
      </w:r>
    </w:p>
    <w:p w14:paraId="59F66DC2" w14:textId="77777777" w:rsidR="00C414B1" w:rsidRPr="005222C2" w:rsidRDefault="00C414B1" w:rsidP="00C414B1">
      <w:r w:rsidRPr="005222C2">
        <w:rPr>
          <w:b/>
          <w:bCs/>
        </w:rPr>
        <w:t>FUNDING</w:t>
      </w:r>
    </w:p>
    <w:p w14:paraId="5DDD8F81" w14:textId="77777777" w:rsidR="00C414B1" w:rsidRPr="005222C2" w:rsidRDefault="00C414B1" w:rsidP="00C414B1">
      <w:r w:rsidRPr="005222C2">
        <w:t>This research received no specific grant from any funding agency in the public, commercial, or not-for-profit sectors.</w:t>
      </w:r>
    </w:p>
    <w:p w14:paraId="17D73483" w14:textId="77777777" w:rsidR="00C414B1" w:rsidRPr="005222C2" w:rsidRDefault="00C414B1" w:rsidP="00C414B1">
      <w:r w:rsidRPr="005222C2">
        <w:rPr>
          <w:b/>
          <w:bCs/>
        </w:rPr>
        <w:t>CONFLICT OF INTEREST STATEMENT</w:t>
      </w:r>
    </w:p>
    <w:p w14:paraId="3606479A" w14:textId="77777777" w:rsidR="00C414B1" w:rsidRPr="005222C2" w:rsidRDefault="00C414B1" w:rsidP="00C414B1">
      <w:r w:rsidRPr="005222C2">
        <w:t>The authors declare no conflicts of interest.</w:t>
      </w:r>
    </w:p>
    <w:p w14:paraId="29F5B9C3" w14:textId="77777777" w:rsidR="00C414B1" w:rsidRPr="005222C2" w:rsidRDefault="00C414B1" w:rsidP="00C414B1">
      <w:r w:rsidRPr="005222C2">
        <w:rPr>
          <w:b/>
          <w:bCs/>
        </w:rPr>
        <w:t>AUTHOR CONTRIBUTIONS</w:t>
      </w:r>
    </w:p>
    <w:p w14:paraId="52E42702" w14:textId="77777777" w:rsidR="00C414B1" w:rsidRPr="005222C2" w:rsidRDefault="00C414B1" w:rsidP="00C414B1">
      <w:r w:rsidRPr="005222C2">
        <w:t>GAH conceived the study, supervised data collection, and contributed to manuscript writing. SS and AS performed data extraction and statistical analysis. AH contributed to literature review and manuscript revision. All authors read and approved the final manuscript.</w:t>
      </w:r>
    </w:p>
    <w:p w14:paraId="15B96846" w14:textId="77777777" w:rsidR="00C414B1" w:rsidRPr="005222C2" w:rsidRDefault="00C414B1" w:rsidP="00C414B1">
      <w:r w:rsidRPr="005222C2">
        <w:rPr>
          <w:b/>
          <w:bCs/>
        </w:rPr>
        <w:t>CONSENT</w:t>
      </w:r>
    </w:p>
    <w:p w14:paraId="04E1F22A" w14:textId="77777777" w:rsidR="00C414B1" w:rsidRPr="005222C2" w:rsidRDefault="00C414B1" w:rsidP="00C414B1">
      <w:r w:rsidRPr="005222C2">
        <w:t>Written informed consent was obtained from all patients for data collection and use in research, in accordance with institutional and international standards.</w:t>
      </w:r>
    </w:p>
    <w:p w14:paraId="6B13F997" w14:textId="77777777" w:rsidR="00C414B1" w:rsidRPr="005222C2" w:rsidRDefault="00C414B1" w:rsidP="00C414B1">
      <w:r w:rsidRPr="005222C2">
        <w:rPr>
          <w:b/>
          <w:bCs/>
        </w:rPr>
        <w:t>ARTIFICIAL INTELLIGENCE DISCLAIMER</w:t>
      </w:r>
    </w:p>
    <w:p w14:paraId="785B08DE" w14:textId="77777777" w:rsidR="00C414B1" w:rsidRPr="005222C2" w:rsidRDefault="00C414B1" w:rsidP="00C414B1">
      <w:r w:rsidRPr="005222C2">
        <w:t>The authors hereby declare that NO generative AI technologies such as Large Language Models (</w:t>
      </w:r>
      <w:proofErr w:type="spellStart"/>
      <w:r w:rsidRPr="005222C2">
        <w:t>ChatGPT</w:t>
      </w:r>
      <w:proofErr w:type="spellEnd"/>
      <w:r w:rsidRPr="005222C2">
        <w:t>, COPILOT, etc.) or text-to-image generators have been used during the writing or editing of this manuscript.</w:t>
      </w:r>
    </w:p>
    <w:p w14:paraId="577025F5" w14:textId="77777777" w:rsidR="00C414B1" w:rsidRDefault="00C414B1" w:rsidP="00C414B1">
      <w:pPr>
        <w:rPr>
          <w:b/>
          <w:bCs/>
        </w:rPr>
      </w:pPr>
    </w:p>
    <w:p w14:paraId="00B19B24" w14:textId="77777777" w:rsidR="00C414B1" w:rsidRDefault="00C414B1" w:rsidP="005222C2">
      <w:pPr>
        <w:rPr>
          <w:b/>
          <w:bCs/>
        </w:rPr>
      </w:pPr>
      <w:bookmarkStart w:id="0" w:name="_GoBack"/>
      <w:bookmarkEnd w:id="0"/>
    </w:p>
    <w:p w14:paraId="06610294" w14:textId="4715073C" w:rsidR="005222C2" w:rsidRPr="0004467D" w:rsidRDefault="005222C2" w:rsidP="005222C2">
      <w:pPr>
        <w:rPr>
          <w:rFonts w:asciiTheme="majorBidi" w:hAnsiTheme="majorBidi" w:cstheme="majorBidi"/>
          <w:b/>
          <w:bCs/>
          <w:sz w:val="24"/>
          <w:szCs w:val="24"/>
        </w:rPr>
      </w:pPr>
      <w:r w:rsidRPr="0004467D">
        <w:rPr>
          <w:rFonts w:asciiTheme="majorBidi" w:hAnsiTheme="majorBidi" w:cstheme="majorBidi"/>
          <w:b/>
          <w:bCs/>
          <w:sz w:val="24"/>
          <w:szCs w:val="24"/>
        </w:rPr>
        <w:t>5. REFERENCES</w:t>
      </w:r>
    </w:p>
    <w:p w14:paraId="52AC9AF1" w14:textId="77777777" w:rsidR="005222C2" w:rsidRPr="0004467D" w:rsidRDefault="005222C2" w:rsidP="005222C2">
      <w:pPr>
        <w:numPr>
          <w:ilvl w:val="0"/>
          <w:numId w:val="5"/>
        </w:numPr>
        <w:rPr>
          <w:rFonts w:asciiTheme="majorBidi" w:hAnsiTheme="majorBidi" w:cstheme="majorBidi"/>
          <w:sz w:val="24"/>
          <w:szCs w:val="24"/>
        </w:rPr>
      </w:pPr>
      <w:proofErr w:type="spellStart"/>
      <w:r w:rsidRPr="0004467D">
        <w:rPr>
          <w:rFonts w:asciiTheme="majorBidi" w:hAnsiTheme="majorBidi" w:cstheme="majorBidi"/>
          <w:sz w:val="24"/>
          <w:szCs w:val="24"/>
        </w:rPr>
        <w:t>Perou</w:t>
      </w:r>
      <w:proofErr w:type="spellEnd"/>
      <w:r w:rsidRPr="0004467D">
        <w:rPr>
          <w:rFonts w:asciiTheme="majorBidi" w:hAnsiTheme="majorBidi" w:cstheme="majorBidi"/>
          <w:sz w:val="24"/>
          <w:szCs w:val="24"/>
        </w:rPr>
        <w:t xml:space="preserve"> CM, </w:t>
      </w:r>
      <w:proofErr w:type="spellStart"/>
      <w:r w:rsidRPr="0004467D">
        <w:rPr>
          <w:rFonts w:asciiTheme="majorBidi" w:hAnsiTheme="majorBidi" w:cstheme="majorBidi"/>
          <w:sz w:val="24"/>
          <w:szCs w:val="24"/>
        </w:rPr>
        <w:t>Sørile</w:t>
      </w:r>
      <w:proofErr w:type="spellEnd"/>
      <w:r w:rsidRPr="0004467D">
        <w:rPr>
          <w:rFonts w:asciiTheme="majorBidi" w:hAnsiTheme="majorBidi" w:cstheme="majorBidi"/>
          <w:sz w:val="24"/>
          <w:szCs w:val="24"/>
        </w:rPr>
        <w:t xml:space="preserve"> T, Eisen MB, et al. Molecular portraits of human breast </w:t>
      </w:r>
      <w:proofErr w:type="spellStart"/>
      <w:r w:rsidRPr="0004467D">
        <w:rPr>
          <w:rFonts w:asciiTheme="majorBidi" w:hAnsiTheme="majorBidi" w:cstheme="majorBidi"/>
          <w:sz w:val="24"/>
          <w:szCs w:val="24"/>
        </w:rPr>
        <w:t>tumours</w:t>
      </w:r>
      <w:proofErr w:type="spellEnd"/>
      <w:r w:rsidRPr="0004467D">
        <w:rPr>
          <w:rFonts w:asciiTheme="majorBidi" w:hAnsiTheme="majorBidi" w:cstheme="majorBidi"/>
          <w:sz w:val="24"/>
          <w:szCs w:val="24"/>
        </w:rPr>
        <w:t>. </w:t>
      </w:r>
      <w:r w:rsidRPr="0004467D">
        <w:rPr>
          <w:rFonts w:asciiTheme="majorBidi" w:hAnsiTheme="majorBidi" w:cstheme="majorBidi"/>
          <w:i/>
          <w:iCs/>
          <w:sz w:val="24"/>
          <w:szCs w:val="24"/>
        </w:rPr>
        <w:t>Nature</w:t>
      </w:r>
      <w:r w:rsidRPr="0004467D">
        <w:rPr>
          <w:rFonts w:asciiTheme="majorBidi" w:hAnsiTheme="majorBidi" w:cstheme="majorBidi"/>
          <w:sz w:val="24"/>
          <w:szCs w:val="24"/>
        </w:rPr>
        <w:t>. 2000;406(6797):747-752.</w:t>
      </w:r>
    </w:p>
    <w:p w14:paraId="42C0EBB6"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Goldhirsch A, Winer EP, Coates AS, et al. Personalizing the treatment of women with early breast cancer: highlights of the St Gallen International Expert Consensus on the Primary Therapy of Early Breast Cancer 2013. </w:t>
      </w:r>
      <w:r w:rsidRPr="0004467D">
        <w:rPr>
          <w:rFonts w:asciiTheme="majorBidi" w:hAnsiTheme="majorBidi" w:cstheme="majorBidi"/>
          <w:i/>
          <w:iCs/>
          <w:sz w:val="24"/>
          <w:szCs w:val="24"/>
        </w:rPr>
        <w:t>Ann Oncol</w:t>
      </w:r>
      <w:r w:rsidRPr="0004467D">
        <w:rPr>
          <w:rFonts w:asciiTheme="majorBidi" w:hAnsiTheme="majorBidi" w:cstheme="majorBidi"/>
          <w:sz w:val="24"/>
          <w:szCs w:val="24"/>
        </w:rPr>
        <w:t>. 2013;24(9):2206-2223.</w:t>
      </w:r>
    </w:p>
    <w:p w14:paraId="7E1F8EFD" w14:textId="77777777" w:rsidR="005222C2" w:rsidRPr="0004467D" w:rsidRDefault="005222C2" w:rsidP="005222C2">
      <w:pPr>
        <w:numPr>
          <w:ilvl w:val="0"/>
          <w:numId w:val="5"/>
        </w:numPr>
        <w:rPr>
          <w:rFonts w:asciiTheme="majorBidi" w:hAnsiTheme="majorBidi" w:cstheme="majorBidi"/>
          <w:sz w:val="24"/>
          <w:szCs w:val="24"/>
        </w:rPr>
      </w:pPr>
      <w:proofErr w:type="spellStart"/>
      <w:r w:rsidRPr="0004467D">
        <w:rPr>
          <w:rFonts w:asciiTheme="majorBidi" w:hAnsiTheme="majorBidi" w:cstheme="majorBidi"/>
          <w:sz w:val="24"/>
          <w:szCs w:val="24"/>
        </w:rPr>
        <w:t>Howlader</w:t>
      </w:r>
      <w:proofErr w:type="spellEnd"/>
      <w:r w:rsidRPr="0004467D">
        <w:rPr>
          <w:rFonts w:asciiTheme="majorBidi" w:hAnsiTheme="majorBidi" w:cstheme="majorBidi"/>
          <w:sz w:val="24"/>
          <w:szCs w:val="24"/>
        </w:rPr>
        <w:t xml:space="preserve"> N, </w:t>
      </w:r>
      <w:proofErr w:type="spellStart"/>
      <w:r w:rsidRPr="0004467D">
        <w:rPr>
          <w:rFonts w:asciiTheme="majorBidi" w:hAnsiTheme="majorBidi" w:cstheme="majorBidi"/>
          <w:sz w:val="24"/>
          <w:szCs w:val="24"/>
        </w:rPr>
        <w:t>Noone</w:t>
      </w:r>
      <w:proofErr w:type="spellEnd"/>
      <w:r w:rsidRPr="0004467D">
        <w:rPr>
          <w:rFonts w:asciiTheme="majorBidi" w:hAnsiTheme="majorBidi" w:cstheme="majorBidi"/>
          <w:sz w:val="24"/>
          <w:szCs w:val="24"/>
        </w:rPr>
        <w:t xml:space="preserve"> AM, </w:t>
      </w:r>
      <w:proofErr w:type="spellStart"/>
      <w:r w:rsidRPr="0004467D">
        <w:rPr>
          <w:rFonts w:asciiTheme="majorBidi" w:hAnsiTheme="majorBidi" w:cstheme="majorBidi"/>
          <w:sz w:val="24"/>
          <w:szCs w:val="24"/>
        </w:rPr>
        <w:t>Krapcho</w:t>
      </w:r>
      <w:proofErr w:type="spellEnd"/>
      <w:r w:rsidRPr="0004467D">
        <w:rPr>
          <w:rFonts w:asciiTheme="majorBidi" w:hAnsiTheme="majorBidi" w:cstheme="majorBidi"/>
          <w:sz w:val="24"/>
          <w:szCs w:val="24"/>
        </w:rPr>
        <w:t xml:space="preserve"> M, et al. (eds). SEER Cancer Statistics Review, 1975-2017. National Cancer Institute, Bethesda, MD. Available from: </w:t>
      </w:r>
      <w:hyperlink r:id="rId20" w:tgtFrame="_blank" w:history="1">
        <w:r w:rsidRPr="0004467D">
          <w:rPr>
            <w:rStyle w:val="Hyperlink"/>
            <w:rFonts w:asciiTheme="majorBidi" w:hAnsiTheme="majorBidi" w:cstheme="majorBidi"/>
            <w:sz w:val="24"/>
            <w:szCs w:val="24"/>
          </w:rPr>
          <w:t>https://seer.cancer.gov/csr/1975_2017/</w:t>
        </w:r>
      </w:hyperlink>
    </w:p>
    <w:p w14:paraId="1BBD7301"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Vanderpuye V, Grover S, Hammad N, et al. An update on the management of breast cancer in Africa. </w:t>
      </w:r>
      <w:r w:rsidRPr="0004467D">
        <w:rPr>
          <w:rFonts w:asciiTheme="majorBidi" w:hAnsiTheme="majorBidi" w:cstheme="majorBidi"/>
          <w:i/>
          <w:iCs/>
          <w:sz w:val="24"/>
          <w:szCs w:val="24"/>
        </w:rPr>
        <w:t>Infect Agent Cancer</w:t>
      </w:r>
      <w:r w:rsidRPr="0004467D">
        <w:rPr>
          <w:rFonts w:asciiTheme="majorBidi" w:hAnsiTheme="majorBidi" w:cstheme="majorBidi"/>
          <w:sz w:val="24"/>
          <w:szCs w:val="24"/>
        </w:rPr>
        <w:t xml:space="preserve">. </w:t>
      </w:r>
      <w:proofErr w:type="gramStart"/>
      <w:r w:rsidRPr="0004467D">
        <w:rPr>
          <w:rFonts w:asciiTheme="majorBidi" w:hAnsiTheme="majorBidi" w:cstheme="majorBidi"/>
          <w:sz w:val="24"/>
          <w:szCs w:val="24"/>
        </w:rPr>
        <w:t>2017;12:13</w:t>
      </w:r>
      <w:proofErr w:type="gramEnd"/>
      <w:r w:rsidRPr="0004467D">
        <w:rPr>
          <w:rFonts w:asciiTheme="majorBidi" w:hAnsiTheme="majorBidi" w:cstheme="majorBidi"/>
          <w:sz w:val="24"/>
          <w:szCs w:val="24"/>
        </w:rPr>
        <w:t>. doi:10.1186/s13027-017-0124-y</w:t>
      </w:r>
    </w:p>
    <w:p w14:paraId="4DF1A0D7"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Rubinstein A, Levy P, Hirt S, et al. The ATOM Coalition: A global partnership for access to cancer medicines. </w:t>
      </w:r>
      <w:r w:rsidRPr="0004467D">
        <w:rPr>
          <w:rFonts w:asciiTheme="majorBidi" w:hAnsiTheme="majorBidi" w:cstheme="majorBidi"/>
          <w:i/>
          <w:iCs/>
          <w:sz w:val="24"/>
          <w:szCs w:val="24"/>
        </w:rPr>
        <w:t>J Cancer Policy</w:t>
      </w:r>
      <w:r w:rsidRPr="0004467D">
        <w:rPr>
          <w:rFonts w:asciiTheme="majorBidi" w:hAnsiTheme="majorBidi" w:cstheme="majorBidi"/>
          <w:sz w:val="24"/>
          <w:szCs w:val="24"/>
        </w:rPr>
        <w:t xml:space="preserve">. </w:t>
      </w:r>
      <w:proofErr w:type="gramStart"/>
      <w:r w:rsidRPr="0004467D">
        <w:rPr>
          <w:rFonts w:asciiTheme="majorBidi" w:hAnsiTheme="majorBidi" w:cstheme="majorBidi"/>
          <w:sz w:val="24"/>
          <w:szCs w:val="24"/>
        </w:rPr>
        <w:t>2020;25:100242</w:t>
      </w:r>
      <w:proofErr w:type="gramEnd"/>
      <w:r w:rsidRPr="0004467D">
        <w:rPr>
          <w:rFonts w:asciiTheme="majorBidi" w:hAnsiTheme="majorBidi" w:cstheme="majorBidi"/>
          <w:sz w:val="24"/>
          <w:szCs w:val="24"/>
        </w:rPr>
        <w:t xml:space="preserve">. </w:t>
      </w:r>
      <w:proofErr w:type="gramStart"/>
      <w:r w:rsidRPr="0004467D">
        <w:rPr>
          <w:rFonts w:asciiTheme="majorBidi" w:hAnsiTheme="majorBidi" w:cstheme="majorBidi"/>
          <w:sz w:val="24"/>
          <w:szCs w:val="24"/>
        </w:rPr>
        <w:t>doi:10.1016/j.jcpo</w:t>
      </w:r>
      <w:proofErr w:type="gramEnd"/>
      <w:r w:rsidRPr="0004467D">
        <w:rPr>
          <w:rFonts w:asciiTheme="majorBidi" w:hAnsiTheme="majorBidi" w:cstheme="majorBidi"/>
          <w:sz w:val="24"/>
          <w:szCs w:val="24"/>
        </w:rPr>
        <w:t>.2020.100242</w:t>
      </w:r>
    </w:p>
    <w:p w14:paraId="49B429C7"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lastRenderedPageBreak/>
        <w:t>Qirbi N, Ismail SA. Health system functionality in a low-income country in the midst of conflict: the case of Yemen. </w:t>
      </w:r>
      <w:r w:rsidRPr="0004467D">
        <w:rPr>
          <w:rFonts w:asciiTheme="majorBidi" w:hAnsiTheme="majorBidi" w:cstheme="majorBidi"/>
          <w:i/>
          <w:iCs/>
          <w:sz w:val="24"/>
          <w:szCs w:val="24"/>
        </w:rPr>
        <w:t>Health Policy Plan</w:t>
      </w:r>
      <w:r w:rsidRPr="0004467D">
        <w:rPr>
          <w:rFonts w:asciiTheme="majorBidi" w:hAnsiTheme="majorBidi" w:cstheme="majorBidi"/>
          <w:sz w:val="24"/>
          <w:szCs w:val="24"/>
        </w:rPr>
        <w:t>. 2017;32(6):911-922.</w:t>
      </w:r>
    </w:p>
    <w:p w14:paraId="1FB390AF" w14:textId="77777777" w:rsidR="005222C2" w:rsidRPr="0004467D" w:rsidRDefault="005222C2" w:rsidP="005222C2">
      <w:pPr>
        <w:numPr>
          <w:ilvl w:val="0"/>
          <w:numId w:val="5"/>
        </w:numPr>
        <w:rPr>
          <w:rFonts w:asciiTheme="majorBidi" w:hAnsiTheme="majorBidi" w:cstheme="majorBidi"/>
          <w:sz w:val="24"/>
          <w:szCs w:val="24"/>
        </w:rPr>
      </w:pPr>
      <w:proofErr w:type="spellStart"/>
      <w:r w:rsidRPr="0004467D">
        <w:rPr>
          <w:rFonts w:asciiTheme="majorBidi" w:hAnsiTheme="majorBidi" w:cstheme="majorBidi"/>
          <w:sz w:val="24"/>
          <w:szCs w:val="24"/>
        </w:rPr>
        <w:t>Bamashmos</w:t>
      </w:r>
      <w:proofErr w:type="spellEnd"/>
      <w:r w:rsidRPr="0004467D">
        <w:rPr>
          <w:rFonts w:asciiTheme="majorBidi" w:hAnsiTheme="majorBidi" w:cstheme="majorBidi"/>
          <w:sz w:val="24"/>
          <w:szCs w:val="24"/>
        </w:rPr>
        <w:t xml:space="preserve"> AS, Ali AA, Ali AA, et al. Pattern of breast cancer among Yemeni patients. </w:t>
      </w:r>
      <w:r w:rsidRPr="0004467D">
        <w:rPr>
          <w:rFonts w:asciiTheme="majorBidi" w:hAnsiTheme="majorBidi" w:cstheme="majorBidi"/>
          <w:i/>
          <w:iCs/>
          <w:sz w:val="24"/>
          <w:szCs w:val="24"/>
        </w:rPr>
        <w:t>J Glob Oncol</w:t>
      </w:r>
      <w:r w:rsidRPr="0004467D">
        <w:rPr>
          <w:rFonts w:asciiTheme="majorBidi" w:hAnsiTheme="majorBidi" w:cstheme="majorBidi"/>
          <w:sz w:val="24"/>
          <w:szCs w:val="24"/>
        </w:rPr>
        <w:t xml:space="preserve">. </w:t>
      </w:r>
      <w:proofErr w:type="gramStart"/>
      <w:r w:rsidRPr="0004467D">
        <w:rPr>
          <w:rFonts w:asciiTheme="majorBidi" w:hAnsiTheme="majorBidi" w:cstheme="majorBidi"/>
          <w:sz w:val="24"/>
          <w:szCs w:val="24"/>
        </w:rPr>
        <w:t>2020;6:1401</w:t>
      </w:r>
      <w:proofErr w:type="gramEnd"/>
      <w:r w:rsidRPr="0004467D">
        <w:rPr>
          <w:rFonts w:asciiTheme="majorBidi" w:hAnsiTheme="majorBidi" w:cstheme="majorBidi"/>
          <w:sz w:val="24"/>
          <w:szCs w:val="24"/>
        </w:rPr>
        <w:t>-1406.</w:t>
      </w:r>
    </w:p>
    <w:p w14:paraId="46C257CD" w14:textId="77777777" w:rsidR="005222C2" w:rsidRPr="0004467D" w:rsidRDefault="005222C2" w:rsidP="005222C2">
      <w:pPr>
        <w:numPr>
          <w:ilvl w:val="0"/>
          <w:numId w:val="5"/>
        </w:numPr>
        <w:rPr>
          <w:rFonts w:asciiTheme="majorBidi" w:hAnsiTheme="majorBidi" w:cstheme="majorBidi"/>
          <w:sz w:val="24"/>
          <w:szCs w:val="24"/>
        </w:rPr>
      </w:pPr>
      <w:proofErr w:type="spellStart"/>
      <w:r w:rsidRPr="0004467D">
        <w:rPr>
          <w:rFonts w:asciiTheme="majorBidi" w:hAnsiTheme="majorBidi" w:cstheme="majorBidi"/>
          <w:sz w:val="24"/>
          <w:szCs w:val="24"/>
        </w:rPr>
        <w:t>Bawazir</w:t>
      </w:r>
      <w:proofErr w:type="spellEnd"/>
      <w:r w:rsidRPr="0004467D">
        <w:rPr>
          <w:rFonts w:asciiTheme="majorBidi" w:hAnsiTheme="majorBidi" w:cstheme="majorBidi"/>
          <w:sz w:val="24"/>
          <w:szCs w:val="24"/>
        </w:rPr>
        <w:t xml:space="preserve"> A, </w:t>
      </w:r>
      <w:proofErr w:type="spellStart"/>
      <w:r w:rsidRPr="0004467D">
        <w:rPr>
          <w:rFonts w:asciiTheme="majorBidi" w:hAnsiTheme="majorBidi" w:cstheme="majorBidi"/>
          <w:sz w:val="24"/>
          <w:szCs w:val="24"/>
        </w:rPr>
        <w:t>Basaleem</w:t>
      </w:r>
      <w:proofErr w:type="spellEnd"/>
      <w:r w:rsidRPr="0004467D">
        <w:rPr>
          <w:rFonts w:asciiTheme="majorBidi" w:hAnsiTheme="majorBidi" w:cstheme="majorBidi"/>
          <w:sz w:val="24"/>
          <w:szCs w:val="24"/>
        </w:rPr>
        <w:t xml:space="preserve"> H, </w:t>
      </w:r>
      <w:proofErr w:type="spellStart"/>
      <w:r w:rsidRPr="0004467D">
        <w:rPr>
          <w:rFonts w:asciiTheme="majorBidi" w:hAnsiTheme="majorBidi" w:cstheme="majorBidi"/>
          <w:sz w:val="24"/>
          <w:szCs w:val="24"/>
        </w:rPr>
        <w:t>Badheeb</w:t>
      </w:r>
      <w:proofErr w:type="spellEnd"/>
      <w:r w:rsidRPr="0004467D">
        <w:rPr>
          <w:rFonts w:asciiTheme="majorBidi" w:hAnsiTheme="majorBidi" w:cstheme="majorBidi"/>
          <w:sz w:val="24"/>
          <w:szCs w:val="24"/>
        </w:rPr>
        <w:t xml:space="preserve"> A, Abdul Hamid G. General oncology care in the Republic of Yemen. In: Al-Shamsi H, Abu-</w:t>
      </w:r>
      <w:proofErr w:type="spellStart"/>
      <w:r w:rsidRPr="0004467D">
        <w:rPr>
          <w:rFonts w:asciiTheme="majorBidi" w:hAnsiTheme="majorBidi" w:cstheme="majorBidi"/>
          <w:sz w:val="24"/>
          <w:szCs w:val="24"/>
        </w:rPr>
        <w:t>Gheida</w:t>
      </w:r>
      <w:proofErr w:type="spellEnd"/>
      <w:r w:rsidRPr="0004467D">
        <w:rPr>
          <w:rFonts w:asciiTheme="majorBidi" w:hAnsiTheme="majorBidi" w:cstheme="majorBidi"/>
          <w:sz w:val="24"/>
          <w:szCs w:val="24"/>
        </w:rPr>
        <w:t xml:space="preserve"> I, Iqbal F, Al-Awadhi A, editors. Cancer in the Arab World. Singapore: Springer; 2022. p. 321-338.</w:t>
      </w:r>
    </w:p>
    <w:p w14:paraId="28AF1F3A"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Hamid GA. Breast cancer care in Yemen. </w:t>
      </w:r>
      <w:r w:rsidRPr="0004467D">
        <w:rPr>
          <w:rFonts w:asciiTheme="majorBidi" w:hAnsiTheme="majorBidi" w:cstheme="majorBidi"/>
          <w:i/>
          <w:iCs/>
          <w:sz w:val="24"/>
          <w:szCs w:val="24"/>
        </w:rPr>
        <w:t>Eur J Pharm Med Res</w:t>
      </w:r>
      <w:r w:rsidRPr="0004467D">
        <w:rPr>
          <w:rFonts w:asciiTheme="majorBidi" w:hAnsiTheme="majorBidi" w:cstheme="majorBidi"/>
          <w:sz w:val="24"/>
          <w:szCs w:val="24"/>
        </w:rPr>
        <w:t>. 2022;9(6):24-29.</w:t>
      </w:r>
    </w:p>
    <w:p w14:paraId="614DC00C"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Al-</w:t>
      </w:r>
      <w:proofErr w:type="spellStart"/>
      <w:r w:rsidRPr="0004467D">
        <w:rPr>
          <w:rFonts w:asciiTheme="majorBidi" w:hAnsiTheme="majorBidi" w:cstheme="majorBidi"/>
          <w:sz w:val="24"/>
          <w:szCs w:val="24"/>
        </w:rPr>
        <w:t>Kahiry</w:t>
      </w:r>
      <w:proofErr w:type="spellEnd"/>
      <w:r w:rsidRPr="0004467D">
        <w:rPr>
          <w:rFonts w:asciiTheme="majorBidi" w:hAnsiTheme="majorBidi" w:cstheme="majorBidi"/>
          <w:sz w:val="24"/>
          <w:szCs w:val="24"/>
        </w:rPr>
        <w:t xml:space="preserve"> W, Omer HH, Saeed NM, Hamid GA. Late presentation of breast cancer in Aden, Yemen. </w:t>
      </w:r>
      <w:r w:rsidRPr="0004467D">
        <w:rPr>
          <w:rFonts w:asciiTheme="majorBidi" w:hAnsiTheme="majorBidi" w:cstheme="majorBidi"/>
          <w:i/>
          <w:iCs/>
          <w:sz w:val="24"/>
          <w:szCs w:val="24"/>
        </w:rPr>
        <w:t xml:space="preserve">Gulf J </w:t>
      </w:r>
      <w:proofErr w:type="spellStart"/>
      <w:r w:rsidRPr="0004467D">
        <w:rPr>
          <w:rFonts w:asciiTheme="majorBidi" w:hAnsiTheme="majorBidi" w:cstheme="majorBidi"/>
          <w:i/>
          <w:iCs/>
          <w:sz w:val="24"/>
          <w:szCs w:val="24"/>
        </w:rPr>
        <w:t>Oncolog</w:t>
      </w:r>
      <w:proofErr w:type="spellEnd"/>
      <w:r w:rsidRPr="0004467D">
        <w:rPr>
          <w:rFonts w:asciiTheme="majorBidi" w:hAnsiTheme="majorBidi" w:cstheme="majorBidi"/>
          <w:sz w:val="24"/>
          <w:szCs w:val="24"/>
        </w:rPr>
        <w:t>. 2011;1(9):7-11. </w:t>
      </w:r>
      <w:r w:rsidRPr="0004467D">
        <w:rPr>
          <w:rFonts w:asciiTheme="majorBidi" w:hAnsiTheme="majorBidi" w:cstheme="majorBidi"/>
          <w:b/>
          <w:bCs/>
          <w:sz w:val="24"/>
          <w:szCs w:val="24"/>
        </w:rPr>
        <w:t>(Retained as historical baseline comparison)</w:t>
      </w:r>
    </w:p>
    <w:p w14:paraId="7ECD6D3D"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Bianchini G, Balko JM, Mayer IA, et al. Triple-negative breast cancer: challenges and opportunities of a heterogeneous disease. </w:t>
      </w:r>
      <w:r w:rsidRPr="0004467D">
        <w:rPr>
          <w:rFonts w:asciiTheme="majorBidi" w:hAnsiTheme="majorBidi" w:cstheme="majorBidi"/>
          <w:i/>
          <w:iCs/>
          <w:sz w:val="24"/>
          <w:szCs w:val="24"/>
        </w:rPr>
        <w:t>Nat Rev Clin Oncol</w:t>
      </w:r>
      <w:r w:rsidRPr="0004467D">
        <w:rPr>
          <w:rFonts w:asciiTheme="majorBidi" w:hAnsiTheme="majorBidi" w:cstheme="majorBidi"/>
          <w:sz w:val="24"/>
          <w:szCs w:val="24"/>
        </w:rPr>
        <w:t>. 2016;13(11):674-690.</w:t>
      </w:r>
    </w:p>
    <w:p w14:paraId="29E4B80B" w14:textId="77777777" w:rsidR="005222C2" w:rsidRPr="0004467D" w:rsidRDefault="005222C2" w:rsidP="005222C2">
      <w:pPr>
        <w:numPr>
          <w:ilvl w:val="0"/>
          <w:numId w:val="5"/>
        </w:numPr>
        <w:rPr>
          <w:rFonts w:asciiTheme="majorBidi" w:hAnsiTheme="majorBidi" w:cstheme="majorBidi"/>
          <w:sz w:val="24"/>
          <w:szCs w:val="24"/>
        </w:rPr>
      </w:pPr>
      <w:proofErr w:type="spellStart"/>
      <w:r w:rsidRPr="0004467D">
        <w:rPr>
          <w:rFonts w:asciiTheme="majorBidi" w:hAnsiTheme="majorBidi" w:cstheme="majorBidi"/>
          <w:sz w:val="24"/>
          <w:szCs w:val="24"/>
        </w:rPr>
        <w:t>Alnegheimish</w:t>
      </w:r>
      <w:proofErr w:type="spellEnd"/>
      <w:r w:rsidRPr="0004467D">
        <w:rPr>
          <w:rFonts w:asciiTheme="majorBidi" w:hAnsiTheme="majorBidi" w:cstheme="majorBidi"/>
          <w:sz w:val="24"/>
          <w:szCs w:val="24"/>
        </w:rPr>
        <w:t xml:space="preserve"> NA, </w:t>
      </w:r>
      <w:proofErr w:type="spellStart"/>
      <w:r w:rsidRPr="0004467D">
        <w:rPr>
          <w:rFonts w:asciiTheme="majorBidi" w:hAnsiTheme="majorBidi" w:cstheme="majorBidi"/>
          <w:sz w:val="24"/>
          <w:szCs w:val="24"/>
        </w:rPr>
        <w:t>Alshatwi</w:t>
      </w:r>
      <w:proofErr w:type="spellEnd"/>
      <w:r w:rsidRPr="0004467D">
        <w:rPr>
          <w:rFonts w:asciiTheme="majorBidi" w:hAnsiTheme="majorBidi" w:cstheme="majorBidi"/>
          <w:sz w:val="24"/>
          <w:szCs w:val="24"/>
        </w:rPr>
        <w:t xml:space="preserve"> RA, </w:t>
      </w:r>
      <w:proofErr w:type="spellStart"/>
      <w:r w:rsidRPr="0004467D">
        <w:rPr>
          <w:rFonts w:asciiTheme="majorBidi" w:hAnsiTheme="majorBidi" w:cstheme="majorBidi"/>
          <w:sz w:val="24"/>
          <w:szCs w:val="24"/>
        </w:rPr>
        <w:t>Alhussaini</w:t>
      </w:r>
      <w:proofErr w:type="spellEnd"/>
      <w:r w:rsidRPr="0004467D">
        <w:rPr>
          <w:rFonts w:asciiTheme="majorBidi" w:hAnsiTheme="majorBidi" w:cstheme="majorBidi"/>
          <w:sz w:val="24"/>
          <w:szCs w:val="24"/>
        </w:rPr>
        <w:t xml:space="preserve"> H, et al. Breast cancer in Saudi Arabia and its impact on Arab women. </w:t>
      </w:r>
      <w:r w:rsidRPr="0004467D">
        <w:rPr>
          <w:rFonts w:asciiTheme="majorBidi" w:hAnsiTheme="majorBidi" w:cstheme="majorBidi"/>
          <w:i/>
          <w:iCs/>
          <w:sz w:val="24"/>
          <w:szCs w:val="24"/>
        </w:rPr>
        <w:t>Cureus</w:t>
      </w:r>
      <w:r w:rsidRPr="0004467D">
        <w:rPr>
          <w:rFonts w:asciiTheme="majorBidi" w:hAnsiTheme="majorBidi" w:cstheme="majorBidi"/>
          <w:sz w:val="24"/>
          <w:szCs w:val="24"/>
        </w:rPr>
        <w:t>. 2022;14(8</w:t>
      </w:r>
      <w:proofErr w:type="gramStart"/>
      <w:r w:rsidRPr="0004467D">
        <w:rPr>
          <w:rFonts w:asciiTheme="majorBidi" w:hAnsiTheme="majorBidi" w:cstheme="majorBidi"/>
          <w:sz w:val="24"/>
          <w:szCs w:val="24"/>
        </w:rPr>
        <w:t>):e</w:t>
      </w:r>
      <w:proofErr w:type="gramEnd"/>
      <w:r w:rsidRPr="0004467D">
        <w:rPr>
          <w:rFonts w:asciiTheme="majorBidi" w:hAnsiTheme="majorBidi" w:cstheme="majorBidi"/>
          <w:sz w:val="24"/>
          <w:szCs w:val="24"/>
        </w:rPr>
        <w:t>28356. doi:10.7759/cureus.28356</w:t>
      </w:r>
    </w:p>
    <w:p w14:paraId="467553A4"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 xml:space="preserve">Joko-Fru WY, Miranda-Filho A, </w:t>
      </w:r>
      <w:proofErr w:type="spellStart"/>
      <w:r w:rsidRPr="0004467D">
        <w:rPr>
          <w:rFonts w:asciiTheme="majorBidi" w:hAnsiTheme="majorBidi" w:cstheme="majorBidi"/>
          <w:sz w:val="24"/>
          <w:szCs w:val="24"/>
        </w:rPr>
        <w:t>Soerjomataram</w:t>
      </w:r>
      <w:proofErr w:type="spellEnd"/>
      <w:r w:rsidRPr="0004467D">
        <w:rPr>
          <w:rFonts w:asciiTheme="majorBidi" w:hAnsiTheme="majorBidi" w:cstheme="majorBidi"/>
          <w:sz w:val="24"/>
          <w:szCs w:val="24"/>
        </w:rPr>
        <w:t xml:space="preserve"> I, et al. Breast cancer survival in sub-Saharan Africa by age, stage at diagnosis and human development index. </w:t>
      </w:r>
      <w:r w:rsidRPr="0004467D">
        <w:rPr>
          <w:rFonts w:asciiTheme="majorBidi" w:hAnsiTheme="majorBidi" w:cstheme="majorBidi"/>
          <w:i/>
          <w:iCs/>
          <w:sz w:val="24"/>
          <w:szCs w:val="24"/>
        </w:rPr>
        <w:t>Int J Cancer</w:t>
      </w:r>
      <w:r w:rsidRPr="0004467D">
        <w:rPr>
          <w:rFonts w:asciiTheme="majorBidi" w:hAnsiTheme="majorBidi" w:cstheme="majorBidi"/>
          <w:sz w:val="24"/>
          <w:szCs w:val="24"/>
        </w:rPr>
        <w:t>. 2020;147(11):3037-3048.</w:t>
      </w:r>
    </w:p>
    <w:p w14:paraId="1E1685A9"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Schmid P, Adams S, Rugo HS, et al. Atezolizumab and nab-paclitaxel in advanced triple-negative breast cancer. </w:t>
      </w:r>
      <w:r w:rsidRPr="0004467D">
        <w:rPr>
          <w:rFonts w:asciiTheme="majorBidi" w:hAnsiTheme="majorBidi" w:cstheme="majorBidi"/>
          <w:i/>
          <w:iCs/>
          <w:sz w:val="24"/>
          <w:szCs w:val="24"/>
        </w:rPr>
        <w:t>N Engl J Med</w:t>
      </w:r>
      <w:r w:rsidRPr="0004467D">
        <w:rPr>
          <w:rFonts w:asciiTheme="majorBidi" w:hAnsiTheme="majorBidi" w:cstheme="majorBidi"/>
          <w:sz w:val="24"/>
          <w:szCs w:val="24"/>
        </w:rPr>
        <w:t>. 2020;382(9):810-821.</w:t>
      </w:r>
    </w:p>
    <w:p w14:paraId="61125805"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Slamon DJ, Leyland-Jones B, Shak S, et al. Use of chemotherapy plus a monoclonal antibody against HER2 for metastatic breast cancer that overexpresses HER2. </w:t>
      </w:r>
      <w:r w:rsidRPr="0004467D">
        <w:rPr>
          <w:rFonts w:asciiTheme="majorBidi" w:hAnsiTheme="majorBidi" w:cstheme="majorBidi"/>
          <w:i/>
          <w:iCs/>
          <w:sz w:val="24"/>
          <w:szCs w:val="24"/>
        </w:rPr>
        <w:t>N Engl J Med</w:t>
      </w:r>
      <w:r w:rsidRPr="0004467D">
        <w:rPr>
          <w:rFonts w:asciiTheme="majorBidi" w:hAnsiTheme="majorBidi" w:cstheme="majorBidi"/>
          <w:sz w:val="24"/>
          <w:szCs w:val="24"/>
        </w:rPr>
        <w:t>. 2001;344(11):783-792.</w:t>
      </w:r>
    </w:p>
    <w:p w14:paraId="17C7976D" w14:textId="77777777" w:rsidR="005222C2" w:rsidRPr="0004467D" w:rsidRDefault="005222C2" w:rsidP="005222C2">
      <w:pPr>
        <w:numPr>
          <w:ilvl w:val="0"/>
          <w:numId w:val="5"/>
        </w:numPr>
        <w:rPr>
          <w:rFonts w:asciiTheme="majorBidi" w:hAnsiTheme="majorBidi" w:cstheme="majorBidi"/>
          <w:sz w:val="24"/>
          <w:szCs w:val="24"/>
        </w:rPr>
      </w:pPr>
      <w:proofErr w:type="spellStart"/>
      <w:r w:rsidRPr="0004467D">
        <w:rPr>
          <w:rFonts w:asciiTheme="majorBidi" w:hAnsiTheme="majorBidi" w:cstheme="majorBidi"/>
          <w:sz w:val="24"/>
          <w:szCs w:val="24"/>
        </w:rPr>
        <w:t>Malvia</w:t>
      </w:r>
      <w:proofErr w:type="spellEnd"/>
      <w:r w:rsidRPr="0004467D">
        <w:rPr>
          <w:rFonts w:asciiTheme="majorBidi" w:hAnsiTheme="majorBidi" w:cstheme="majorBidi"/>
          <w:sz w:val="24"/>
          <w:szCs w:val="24"/>
        </w:rPr>
        <w:t xml:space="preserve"> S, </w:t>
      </w:r>
      <w:proofErr w:type="spellStart"/>
      <w:r w:rsidRPr="0004467D">
        <w:rPr>
          <w:rFonts w:asciiTheme="majorBidi" w:hAnsiTheme="majorBidi" w:cstheme="majorBidi"/>
          <w:sz w:val="24"/>
          <w:szCs w:val="24"/>
        </w:rPr>
        <w:t>Bagadi</w:t>
      </w:r>
      <w:proofErr w:type="spellEnd"/>
      <w:r w:rsidRPr="0004467D">
        <w:rPr>
          <w:rFonts w:asciiTheme="majorBidi" w:hAnsiTheme="majorBidi" w:cstheme="majorBidi"/>
          <w:sz w:val="24"/>
          <w:szCs w:val="24"/>
        </w:rPr>
        <w:t xml:space="preserve"> SA, Dubey US, Saxena S. Epidemiology of breast cancer in Indian women. </w:t>
      </w:r>
      <w:r w:rsidRPr="0004467D">
        <w:rPr>
          <w:rFonts w:asciiTheme="majorBidi" w:hAnsiTheme="majorBidi" w:cstheme="majorBidi"/>
          <w:i/>
          <w:iCs/>
          <w:sz w:val="24"/>
          <w:szCs w:val="24"/>
        </w:rPr>
        <w:t>Asia Pac J Clin Oncol</w:t>
      </w:r>
      <w:r w:rsidRPr="0004467D">
        <w:rPr>
          <w:rFonts w:asciiTheme="majorBidi" w:hAnsiTheme="majorBidi" w:cstheme="majorBidi"/>
          <w:sz w:val="24"/>
          <w:szCs w:val="24"/>
        </w:rPr>
        <w:t>. 2017;13(4):289-295.</w:t>
      </w:r>
    </w:p>
    <w:p w14:paraId="5F0901BE"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 xml:space="preserve">Sutter SA, </w:t>
      </w:r>
      <w:proofErr w:type="spellStart"/>
      <w:r w:rsidRPr="0004467D">
        <w:rPr>
          <w:rFonts w:asciiTheme="majorBidi" w:hAnsiTheme="majorBidi" w:cstheme="majorBidi"/>
          <w:sz w:val="24"/>
          <w:szCs w:val="24"/>
        </w:rPr>
        <w:t>Slinker</w:t>
      </w:r>
      <w:proofErr w:type="spellEnd"/>
      <w:r w:rsidRPr="0004467D">
        <w:rPr>
          <w:rFonts w:asciiTheme="majorBidi" w:hAnsiTheme="majorBidi" w:cstheme="majorBidi"/>
          <w:sz w:val="24"/>
          <w:szCs w:val="24"/>
        </w:rPr>
        <w:t xml:space="preserve"> A, </w:t>
      </w:r>
      <w:proofErr w:type="spellStart"/>
      <w:r w:rsidRPr="0004467D">
        <w:rPr>
          <w:rFonts w:asciiTheme="majorBidi" w:hAnsiTheme="majorBidi" w:cstheme="majorBidi"/>
          <w:sz w:val="24"/>
          <w:szCs w:val="24"/>
        </w:rPr>
        <w:t>Balumuka</w:t>
      </w:r>
      <w:proofErr w:type="spellEnd"/>
      <w:r w:rsidRPr="0004467D">
        <w:rPr>
          <w:rFonts w:asciiTheme="majorBidi" w:hAnsiTheme="majorBidi" w:cstheme="majorBidi"/>
          <w:sz w:val="24"/>
          <w:szCs w:val="24"/>
        </w:rPr>
        <w:t xml:space="preserve"> DD, et al. Surgical management of breast cancer in Africa. </w:t>
      </w:r>
      <w:r w:rsidRPr="0004467D">
        <w:rPr>
          <w:rFonts w:asciiTheme="majorBidi" w:hAnsiTheme="majorBidi" w:cstheme="majorBidi"/>
          <w:i/>
          <w:iCs/>
          <w:sz w:val="24"/>
          <w:szCs w:val="24"/>
        </w:rPr>
        <w:t>Ann Surg Oncol</w:t>
      </w:r>
      <w:r w:rsidRPr="0004467D">
        <w:rPr>
          <w:rFonts w:asciiTheme="majorBidi" w:hAnsiTheme="majorBidi" w:cstheme="majorBidi"/>
          <w:sz w:val="24"/>
          <w:szCs w:val="24"/>
        </w:rPr>
        <w:t>. 2021;28(9):5038-5049.</w:t>
      </w:r>
    </w:p>
    <w:p w14:paraId="7794CB5C"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World Health Organization. WHO Model List of Essential Medicines – 23rd list, 2023. Geneva: WHO; 2023. Available from: </w:t>
      </w:r>
      <w:hyperlink r:id="rId21" w:tgtFrame="_blank" w:history="1">
        <w:r w:rsidRPr="0004467D">
          <w:rPr>
            <w:rStyle w:val="Hyperlink"/>
            <w:rFonts w:asciiTheme="majorBidi" w:hAnsiTheme="majorBidi" w:cstheme="majorBidi"/>
            <w:sz w:val="24"/>
            <w:szCs w:val="24"/>
          </w:rPr>
          <w:t>https://www.who.int/publications/i/item/WHO-MHP-HPS-EML-2023.02</w:t>
        </w:r>
      </w:hyperlink>
    </w:p>
    <w:p w14:paraId="224A737F" w14:textId="77777777" w:rsidR="005222C2" w:rsidRPr="0004467D" w:rsidRDefault="005222C2" w:rsidP="005222C2">
      <w:pPr>
        <w:numPr>
          <w:ilvl w:val="0"/>
          <w:numId w:val="5"/>
        </w:numPr>
        <w:rPr>
          <w:rFonts w:asciiTheme="majorBidi" w:hAnsiTheme="majorBidi" w:cstheme="majorBidi"/>
          <w:sz w:val="24"/>
          <w:szCs w:val="24"/>
        </w:rPr>
      </w:pPr>
      <w:proofErr w:type="spellStart"/>
      <w:r w:rsidRPr="0004467D">
        <w:rPr>
          <w:rFonts w:asciiTheme="majorBidi" w:hAnsiTheme="majorBidi" w:cstheme="majorBidi"/>
          <w:sz w:val="24"/>
          <w:szCs w:val="24"/>
        </w:rPr>
        <w:t>Yedjou</w:t>
      </w:r>
      <w:proofErr w:type="spellEnd"/>
      <w:r w:rsidRPr="0004467D">
        <w:rPr>
          <w:rFonts w:asciiTheme="majorBidi" w:hAnsiTheme="majorBidi" w:cstheme="majorBidi"/>
          <w:sz w:val="24"/>
          <w:szCs w:val="24"/>
        </w:rPr>
        <w:t xml:space="preserve"> CG, Sims JN, Miele L, et al. Health and racial disparity in breast cancer. </w:t>
      </w:r>
      <w:r w:rsidRPr="0004467D">
        <w:rPr>
          <w:rFonts w:asciiTheme="majorBidi" w:hAnsiTheme="majorBidi" w:cstheme="majorBidi"/>
          <w:i/>
          <w:iCs/>
          <w:sz w:val="24"/>
          <w:szCs w:val="24"/>
        </w:rPr>
        <w:t>Adv Exp Med Biol</w:t>
      </w:r>
      <w:r w:rsidRPr="0004467D">
        <w:rPr>
          <w:rFonts w:asciiTheme="majorBidi" w:hAnsiTheme="majorBidi" w:cstheme="majorBidi"/>
          <w:sz w:val="24"/>
          <w:szCs w:val="24"/>
        </w:rPr>
        <w:t xml:space="preserve">. </w:t>
      </w:r>
      <w:proofErr w:type="gramStart"/>
      <w:r w:rsidRPr="0004467D">
        <w:rPr>
          <w:rFonts w:asciiTheme="majorBidi" w:hAnsiTheme="majorBidi" w:cstheme="majorBidi"/>
          <w:sz w:val="24"/>
          <w:szCs w:val="24"/>
        </w:rPr>
        <w:t>2019;1152:31</w:t>
      </w:r>
      <w:proofErr w:type="gramEnd"/>
      <w:r w:rsidRPr="0004467D">
        <w:rPr>
          <w:rFonts w:asciiTheme="majorBidi" w:hAnsiTheme="majorBidi" w:cstheme="majorBidi"/>
          <w:sz w:val="24"/>
          <w:szCs w:val="24"/>
        </w:rPr>
        <w:t>-49.</w:t>
      </w:r>
    </w:p>
    <w:p w14:paraId="1D3D9858" w14:textId="77777777" w:rsidR="005222C2" w:rsidRPr="0004467D" w:rsidRDefault="005222C2" w:rsidP="005222C2">
      <w:pPr>
        <w:numPr>
          <w:ilvl w:val="0"/>
          <w:numId w:val="5"/>
        </w:numPr>
        <w:rPr>
          <w:rFonts w:asciiTheme="majorBidi" w:hAnsiTheme="majorBidi" w:cstheme="majorBidi"/>
          <w:sz w:val="24"/>
          <w:szCs w:val="24"/>
        </w:rPr>
      </w:pPr>
      <w:r w:rsidRPr="0004467D">
        <w:rPr>
          <w:rFonts w:asciiTheme="majorBidi" w:hAnsiTheme="majorBidi" w:cstheme="majorBidi"/>
          <w:sz w:val="24"/>
          <w:szCs w:val="24"/>
        </w:rPr>
        <w:t xml:space="preserve">Sung H, </w:t>
      </w:r>
      <w:proofErr w:type="spellStart"/>
      <w:r w:rsidRPr="0004467D">
        <w:rPr>
          <w:rFonts w:asciiTheme="majorBidi" w:hAnsiTheme="majorBidi" w:cstheme="majorBidi"/>
          <w:sz w:val="24"/>
          <w:szCs w:val="24"/>
        </w:rPr>
        <w:t>Ferlay</w:t>
      </w:r>
      <w:proofErr w:type="spellEnd"/>
      <w:r w:rsidRPr="0004467D">
        <w:rPr>
          <w:rFonts w:asciiTheme="majorBidi" w:hAnsiTheme="majorBidi" w:cstheme="majorBidi"/>
          <w:sz w:val="24"/>
          <w:szCs w:val="24"/>
        </w:rPr>
        <w:t xml:space="preserve"> J, Siegel RL, et al. Global Cancer Statistics 2020: GLOBOCAN estimates of incidence and mortality worldwide for 36 cancers in 185 countries. </w:t>
      </w:r>
      <w:r w:rsidRPr="0004467D">
        <w:rPr>
          <w:rFonts w:asciiTheme="majorBidi" w:hAnsiTheme="majorBidi" w:cstheme="majorBidi"/>
          <w:i/>
          <w:iCs/>
          <w:sz w:val="24"/>
          <w:szCs w:val="24"/>
        </w:rPr>
        <w:t>CA Cancer J Clin</w:t>
      </w:r>
      <w:r w:rsidRPr="0004467D">
        <w:rPr>
          <w:rFonts w:asciiTheme="majorBidi" w:hAnsiTheme="majorBidi" w:cstheme="majorBidi"/>
          <w:sz w:val="24"/>
          <w:szCs w:val="24"/>
        </w:rPr>
        <w:t>. 2021;71(3):209-249.</w:t>
      </w:r>
    </w:p>
    <w:p w14:paraId="31A027BF" w14:textId="77777777" w:rsidR="0004467D" w:rsidRDefault="0004467D" w:rsidP="005222C2">
      <w:pPr>
        <w:rPr>
          <w:b/>
          <w:bCs/>
        </w:rPr>
      </w:pPr>
    </w:p>
    <w:p w14:paraId="5E22FBCF" w14:textId="77777777" w:rsidR="0004467D" w:rsidRDefault="0004467D" w:rsidP="005222C2">
      <w:pPr>
        <w:rPr>
          <w:b/>
          <w:bCs/>
        </w:rPr>
      </w:pPr>
    </w:p>
    <w:p w14:paraId="38124F77" w14:textId="77777777" w:rsidR="005222C2" w:rsidRDefault="005222C2"/>
    <w:sectPr w:rsidR="00522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AB"/>
    <w:multiLevelType w:val="multilevel"/>
    <w:tmpl w:val="02F2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43CFF"/>
    <w:multiLevelType w:val="multilevel"/>
    <w:tmpl w:val="AAEA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8525B"/>
    <w:multiLevelType w:val="multilevel"/>
    <w:tmpl w:val="71F0A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B66515"/>
    <w:multiLevelType w:val="multilevel"/>
    <w:tmpl w:val="525A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F3A4E"/>
    <w:multiLevelType w:val="multilevel"/>
    <w:tmpl w:val="2A6E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3045D"/>
    <w:multiLevelType w:val="multilevel"/>
    <w:tmpl w:val="4146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E2EB2"/>
    <w:multiLevelType w:val="hybridMultilevel"/>
    <w:tmpl w:val="5D6C5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C2"/>
    <w:rsid w:val="0004467D"/>
    <w:rsid w:val="000868FD"/>
    <w:rsid w:val="003457A4"/>
    <w:rsid w:val="003D41AD"/>
    <w:rsid w:val="0042253E"/>
    <w:rsid w:val="00461B8C"/>
    <w:rsid w:val="005222C2"/>
    <w:rsid w:val="0054089E"/>
    <w:rsid w:val="009013D1"/>
    <w:rsid w:val="00943C58"/>
    <w:rsid w:val="009F5D4B"/>
    <w:rsid w:val="00C414B1"/>
    <w:rsid w:val="00D27D37"/>
    <w:rsid w:val="00E5451B"/>
    <w:rsid w:val="00F53236"/>
    <w:rsid w:val="00F81CF3"/>
    <w:rsid w:val="00F83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3C9B"/>
  <w15:chartTrackingRefBased/>
  <w15:docId w15:val="{4E38CB78-6FEC-40A2-955F-775AD9C3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2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2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2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2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2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2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2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2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2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2C2"/>
    <w:rPr>
      <w:rFonts w:eastAsiaTheme="majorEastAsia" w:cstheme="majorBidi"/>
      <w:color w:val="272727" w:themeColor="text1" w:themeTint="D8"/>
    </w:rPr>
  </w:style>
  <w:style w:type="paragraph" w:styleId="Title">
    <w:name w:val="Title"/>
    <w:basedOn w:val="Normal"/>
    <w:next w:val="Normal"/>
    <w:link w:val="TitleChar"/>
    <w:uiPriority w:val="10"/>
    <w:qFormat/>
    <w:rsid w:val="00522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2C2"/>
    <w:pPr>
      <w:spacing w:before="160"/>
      <w:jc w:val="center"/>
    </w:pPr>
    <w:rPr>
      <w:i/>
      <w:iCs/>
      <w:color w:val="404040" w:themeColor="text1" w:themeTint="BF"/>
    </w:rPr>
  </w:style>
  <w:style w:type="character" w:customStyle="1" w:styleId="QuoteChar">
    <w:name w:val="Quote Char"/>
    <w:basedOn w:val="DefaultParagraphFont"/>
    <w:link w:val="Quote"/>
    <w:uiPriority w:val="29"/>
    <w:rsid w:val="005222C2"/>
    <w:rPr>
      <w:i/>
      <w:iCs/>
      <w:color w:val="404040" w:themeColor="text1" w:themeTint="BF"/>
    </w:rPr>
  </w:style>
  <w:style w:type="paragraph" w:styleId="ListParagraph">
    <w:name w:val="List Paragraph"/>
    <w:basedOn w:val="Normal"/>
    <w:uiPriority w:val="34"/>
    <w:qFormat/>
    <w:rsid w:val="005222C2"/>
    <w:pPr>
      <w:ind w:left="720"/>
      <w:contextualSpacing/>
    </w:pPr>
  </w:style>
  <w:style w:type="character" w:styleId="IntenseEmphasis">
    <w:name w:val="Intense Emphasis"/>
    <w:basedOn w:val="DefaultParagraphFont"/>
    <w:uiPriority w:val="21"/>
    <w:qFormat/>
    <w:rsid w:val="005222C2"/>
    <w:rPr>
      <w:i/>
      <w:iCs/>
      <w:color w:val="2F5496" w:themeColor="accent1" w:themeShade="BF"/>
    </w:rPr>
  </w:style>
  <w:style w:type="paragraph" w:styleId="IntenseQuote">
    <w:name w:val="Intense Quote"/>
    <w:basedOn w:val="Normal"/>
    <w:next w:val="Normal"/>
    <w:link w:val="IntenseQuoteChar"/>
    <w:uiPriority w:val="30"/>
    <w:qFormat/>
    <w:rsid w:val="00522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2C2"/>
    <w:rPr>
      <w:i/>
      <w:iCs/>
      <w:color w:val="2F5496" w:themeColor="accent1" w:themeShade="BF"/>
    </w:rPr>
  </w:style>
  <w:style w:type="character" w:styleId="IntenseReference">
    <w:name w:val="Intense Reference"/>
    <w:basedOn w:val="DefaultParagraphFont"/>
    <w:uiPriority w:val="32"/>
    <w:qFormat/>
    <w:rsid w:val="005222C2"/>
    <w:rPr>
      <w:b/>
      <w:bCs/>
      <w:smallCaps/>
      <w:color w:val="2F5496" w:themeColor="accent1" w:themeShade="BF"/>
      <w:spacing w:val="5"/>
    </w:rPr>
  </w:style>
  <w:style w:type="character" w:styleId="Hyperlink">
    <w:name w:val="Hyperlink"/>
    <w:basedOn w:val="DefaultParagraphFont"/>
    <w:uiPriority w:val="99"/>
    <w:unhideWhenUsed/>
    <w:rsid w:val="005222C2"/>
    <w:rPr>
      <w:color w:val="0563C1" w:themeColor="hyperlink"/>
      <w:u w:val="single"/>
    </w:rPr>
  </w:style>
  <w:style w:type="character" w:styleId="UnresolvedMention">
    <w:name w:val="Unresolved Mention"/>
    <w:basedOn w:val="DefaultParagraphFont"/>
    <w:uiPriority w:val="99"/>
    <w:semiHidden/>
    <w:unhideWhenUsed/>
    <w:rsid w:val="00522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customXml" Target="ink/ink5.xml"/><Relationship Id="rId3" Type="http://schemas.openxmlformats.org/officeDocument/2006/relationships/settings" Target="settings.xml"/><Relationship Id="rId21" Type="http://schemas.openxmlformats.org/officeDocument/2006/relationships/hyperlink" Target="https://www.who.int/publications/i/item/WHO-MHP-HPS-EML-2023.02" TargetMode="Externa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hyperlink" Target="https://seer.cancer.gov/csr/1975_2017/" TargetMode="External"/><Relationship Id="rId1" Type="http://schemas.openxmlformats.org/officeDocument/2006/relationships/numbering" Target="numbering.xml"/><Relationship Id="rId5" Type="http://schemas.openxmlformats.org/officeDocument/2006/relationships/customXml" Target="ink/ink1.xml"/><Relationship Id="rId15" Type="http://schemas.openxmlformats.org/officeDocument/2006/relationships/image" Target="media/image5.png"/><Relationship Id="rId23" Type="http://schemas.openxmlformats.org/officeDocument/2006/relationships/theme" Target="theme/theme1.xml"/><Relationship Id="rId19" Type="http://schemas.openxmlformats.org/officeDocument/2006/relationships/image" Target="media/image7.png"/><Relationship Id="rId4" Type="http://schemas.openxmlformats.org/officeDocument/2006/relationships/webSettings" Target="webSettings.xml"/><Relationship Id="rId14" Type="http://schemas.openxmlformats.org/officeDocument/2006/relationships/customXml" Target="ink/ink3.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3T14:34:19.427"/>
    </inkml:context>
    <inkml:brush xml:id="br0">
      <inkml:brushProperty name="width" value="0.035" units="cm"/>
      <inkml:brushProperty name="height" value="0.035" units="cm"/>
      <inkml:brushProperty name="color" value="#E71224"/>
    </inkml:brush>
  </inkml:definitions>
  <inkml:trace contextRef="#ctx0" brushRef="#br0">0 0 20660 0 0,'0'0'64'0'0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3T14:34:19.261"/>
    </inkml:context>
    <inkml:brush xml:id="br0">
      <inkml:brushProperty name="width" value="0.035" units="cm"/>
      <inkml:brushProperty name="height" value="0.035" units="cm"/>
      <inkml:brushProperty name="color" value="#E71224"/>
    </inkml:brush>
  </inkml:definitions>
  <inkml:trace contextRef="#ctx0" brushRef="#br0">1 1 20388 0 0,'0'0'0'0'0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3T14:34:19.150"/>
    </inkml:context>
    <inkml:brush xml:id="br0">
      <inkml:brushProperty name="width" value="0.025" units="cm"/>
      <inkml:brushProperty name="height" value="0.025" units="cm"/>
    </inkml:brush>
  </inkml:definitions>
  <inkml:trace contextRef="#ctx0" brushRef="#br0">1 913 20108 0 0,'0'0'0'0'0</inkml:trace>
  <inkml:trace contextRef="#ctx0" brushRef="#br0" timeOffset="1">2 424 20020 0 0,'0'0'0'0'0</inkml:trace>
  <inkml:trace contextRef="#ctx0" brushRef="#br0" timeOffset="2">2 307 19892 0 0,'0'0'112'0'0,"0"-56"0"0"0,3-14-16 0 0,-2-13 32 0 0,2-7-6481 0 0,-6 83 1984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3T14:34:17.567"/>
    </inkml:context>
    <inkml:brush xml:id="br0">
      <inkml:brushProperty name="width" value="0.02499" units="cm"/>
      <inkml:brushProperty name="height" value="0.02499" units="cm"/>
    </inkml:brush>
  </inkml:definitions>
  <inkml:trace contextRef="#ctx0" brushRef="#br0">1 5168 19876 0 0,'0'0'0'0'0,"0"-5160"80"0"0,0 5153-80 0 0,0 12 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13T14:34:18.998"/>
    </inkml:context>
    <inkml:brush xml:id="br0">
      <inkml:brushProperty name="width" value="0.025" units="cm"/>
      <inkml:brushProperty name="height" value="0.025" units="cm"/>
    </inkml:brush>
  </inkml:definitions>
  <inkml:trace contextRef="#ctx0" brushRef="#br0">129 1244 17828 0 0,'-8'-11'799'0'0,"-26"-46"-215"0"0,1-17-364 0 0,5-4-123 0 0,21 55-36 0 0,-5-40 0 0 0,8 31 155 0 0,1-35 1 0 0,7-18-98 0 0,4 5-234 0 0,5 0-354 0 0,2 3 394 0 0,1 3 246 0 0,-1-1-127 0 0,-1-8-39 0 0,2-17-1033 0 0,3-38-3799 0 0,-12 92 257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4126</Words>
  <Characters>23521</Characters>
  <Application>Microsoft Office Word</Application>
  <DocSecurity>0</DocSecurity>
  <Lines>196</Lines>
  <Paragraphs>55</Paragraphs>
  <ScaleCrop>false</ScaleCrop>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4</cp:revision>
  <dcterms:created xsi:type="dcterms:W3CDTF">2026-02-13T15:16:00Z</dcterms:created>
  <dcterms:modified xsi:type="dcterms:W3CDTF">2026-02-14T07:23:00Z</dcterms:modified>
</cp:coreProperties>
</file>