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F4195" w14:textId="60374852" w:rsidR="00794333" w:rsidRDefault="00794333" w:rsidP="00D34A76">
      <w:pPr>
        <w:jc w:val="both"/>
        <w:rPr>
          <w:rFonts w:ascii="Times New Roman" w:hAnsi="Times New Roman" w:cs="Times New Roman"/>
          <w:b/>
          <w:bCs/>
        </w:rPr>
      </w:pPr>
      <w:r w:rsidRPr="00794333">
        <w:rPr>
          <w:rFonts w:ascii="Times New Roman" w:hAnsi="Times New Roman" w:cs="Times New Roman"/>
          <w:b/>
          <w:bCs/>
          <w:highlight w:val="yellow"/>
        </w:rPr>
        <w:t xml:space="preserve">Impact of tree species, distances and soil depth on </w:t>
      </w:r>
      <w:r w:rsidR="003D0A19" w:rsidRPr="00794333">
        <w:rPr>
          <w:rFonts w:ascii="Times New Roman" w:hAnsi="Times New Roman" w:cs="Times New Roman"/>
          <w:b/>
          <w:bCs/>
          <w:highlight w:val="yellow"/>
        </w:rPr>
        <w:t>nitrogen</w:t>
      </w:r>
      <w:r w:rsidRPr="00794333">
        <w:rPr>
          <w:rFonts w:ascii="Times New Roman" w:hAnsi="Times New Roman" w:cs="Times New Roman"/>
          <w:b/>
          <w:bCs/>
          <w:highlight w:val="yellow"/>
        </w:rPr>
        <w:t>, phosphorus, and potassium concentration in different locations</w:t>
      </w:r>
    </w:p>
    <w:p w14:paraId="1558DCA8" w14:textId="77777777" w:rsidR="000635CE" w:rsidRDefault="000635CE" w:rsidP="00D34A76">
      <w:pPr>
        <w:jc w:val="both"/>
        <w:rPr>
          <w:rFonts w:ascii="Times New Roman" w:hAnsi="Times New Roman" w:cs="Times New Roman"/>
          <w:b/>
          <w:bCs/>
        </w:rPr>
      </w:pPr>
    </w:p>
    <w:p w14:paraId="183E084E" w14:textId="64F7E6A9" w:rsidR="00F06160" w:rsidRDefault="00516C55" w:rsidP="00D34A76">
      <w:pPr>
        <w:jc w:val="both"/>
        <w:rPr>
          <w:rFonts w:ascii="Times New Roman" w:hAnsi="Times New Roman" w:cs="Times New Roman"/>
          <w:b/>
          <w:bCs/>
        </w:rPr>
      </w:pPr>
      <w:r>
        <w:rPr>
          <w:rFonts w:ascii="Times New Roman" w:hAnsi="Times New Roman" w:cs="Times New Roman"/>
          <w:b/>
          <w:bCs/>
        </w:rPr>
        <w:t xml:space="preserve">ABSTRACT </w:t>
      </w:r>
    </w:p>
    <w:p w14:paraId="267E399A" w14:textId="12F888CA" w:rsidR="0068250A" w:rsidRDefault="00516C55" w:rsidP="00516C55">
      <w:pPr>
        <w:jc w:val="both"/>
        <w:rPr>
          <w:rFonts w:ascii="Times New Roman" w:hAnsi="Times New Roman" w:cs="Times New Roman"/>
        </w:rPr>
      </w:pPr>
      <w:r w:rsidRPr="0023608D">
        <w:rPr>
          <w:rFonts w:ascii="Times New Roman" w:hAnsi="Times New Roman" w:cs="Times New Roman"/>
        </w:rPr>
        <w:t>Soil nutrient status</w:t>
      </w:r>
      <w:r>
        <w:rPr>
          <w:rFonts w:ascii="Times New Roman" w:hAnsi="Times New Roman" w:cs="Times New Roman"/>
        </w:rPr>
        <w:t xml:space="preserve"> basically the</w:t>
      </w:r>
      <w:r w:rsidRPr="0023608D">
        <w:rPr>
          <w:rFonts w:ascii="Times New Roman" w:hAnsi="Times New Roman" w:cs="Times New Roman"/>
        </w:rPr>
        <w:t xml:space="preserve"> availability of nitrogen (N), phosphorus (P), and potassium (K), is a key determinant of soil fertility and </w:t>
      </w:r>
      <w:r>
        <w:rPr>
          <w:rFonts w:ascii="Times New Roman" w:hAnsi="Times New Roman" w:cs="Times New Roman"/>
        </w:rPr>
        <w:t xml:space="preserve">growth of the </w:t>
      </w:r>
      <w:proofErr w:type="gramStart"/>
      <w:r w:rsidRPr="0023608D">
        <w:rPr>
          <w:rFonts w:ascii="Times New Roman" w:hAnsi="Times New Roman" w:cs="Times New Roman"/>
        </w:rPr>
        <w:t>tree</w:t>
      </w:r>
      <w:r>
        <w:rPr>
          <w:rFonts w:ascii="Times New Roman" w:hAnsi="Times New Roman" w:cs="Times New Roman"/>
        </w:rPr>
        <w:t xml:space="preserve"> based</w:t>
      </w:r>
      <w:proofErr w:type="gramEnd"/>
      <w:r w:rsidRPr="0023608D">
        <w:rPr>
          <w:rFonts w:ascii="Times New Roman" w:hAnsi="Times New Roman" w:cs="Times New Roman"/>
        </w:rPr>
        <w:t xml:space="preserve"> agroecosystems. Field research was </w:t>
      </w:r>
      <w:r>
        <w:rPr>
          <w:rFonts w:ascii="Times New Roman" w:hAnsi="Times New Roman" w:cs="Times New Roman"/>
        </w:rPr>
        <w:t>conducted</w:t>
      </w:r>
      <w:r w:rsidRPr="0023608D">
        <w:rPr>
          <w:rFonts w:ascii="Times New Roman" w:hAnsi="Times New Roman" w:cs="Times New Roman"/>
        </w:rPr>
        <w:t xml:space="preserve"> to quantify the influence of tree species, soil depth, and distance from the tree trunk on soil available nitrogen, phosphorus, and potassium across three agroclimatic zones of Haryana (Jind, Rohtak, and Jhajjar). Soil samples were collected beneath the canopy of ten tree species at four horizontal distances (0, 2, 4, and 6m) and four vertical depths (0</w:t>
      </w:r>
      <w:r>
        <w:rPr>
          <w:rFonts w:ascii="Times New Roman" w:hAnsi="Times New Roman" w:cs="Times New Roman"/>
        </w:rPr>
        <w:t>-</w:t>
      </w:r>
      <w:r w:rsidRPr="0023608D">
        <w:rPr>
          <w:rFonts w:ascii="Times New Roman" w:hAnsi="Times New Roman" w:cs="Times New Roman"/>
        </w:rPr>
        <w:t>50, 51</w:t>
      </w:r>
      <w:r>
        <w:rPr>
          <w:rFonts w:ascii="Times New Roman" w:hAnsi="Times New Roman" w:cs="Times New Roman"/>
        </w:rPr>
        <w:t>-</w:t>
      </w:r>
      <w:r w:rsidRPr="0023608D">
        <w:rPr>
          <w:rFonts w:ascii="Times New Roman" w:hAnsi="Times New Roman" w:cs="Times New Roman"/>
        </w:rPr>
        <w:t>80, 81</w:t>
      </w:r>
      <w:r>
        <w:rPr>
          <w:rFonts w:ascii="Times New Roman" w:hAnsi="Times New Roman" w:cs="Times New Roman"/>
        </w:rPr>
        <w:t>-</w:t>
      </w:r>
      <w:r w:rsidRPr="0023608D">
        <w:rPr>
          <w:rFonts w:ascii="Times New Roman" w:hAnsi="Times New Roman" w:cs="Times New Roman"/>
        </w:rPr>
        <w:t>110, and 111</w:t>
      </w:r>
      <w:r>
        <w:rPr>
          <w:rFonts w:ascii="Times New Roman" w:hAnsi="Times New Roman" w:cs="Times New Roman"/>
        </w:rPr>
        <w:t>-</w:t>
      </w:r>
      <w:r w:rsidRPr="0023608D">
        <w:rPr>
          <w:rFonts w:ascii="Times New Roman" w:hAnsi="Times New Roman" w:cs="Times New Roman"/>
        </w:rPr>
        <w:t>140cm) during sowing and harvest stages</w:t>
      </w:r>
      <w:r>
        <w:rPr>
          <w:rFonts w:ascii="Times New Roman" w:hAnsi="Times New Roman" w:cs="Times New Roman"/>
        </w:rPr>
        <w:t xml:space="preserve"> of crops using manual auger machine</w:t>
      </w:r>
      <w:r w:rsidRPr="0023608D">
        <w:rPr>
          <w:rFonts w:ascii="Times New Roman" w:hAnsi="Times New Roman" w:cs="Times New Roman"/>
        </w:rPr>
        <w:t>. Nutrient estimation was carried out using the micro</w:t>
      </w:r>
      <w:r w:rsidR="00CC5029">
        <w:rPr>
          <w:rFonts w:ascii="Times New Roman" w:hAnsi="Times New Roman" w:cs="Times New Roman"/>
        </w:rPr>
        <w:t>-</w:t>
      </w:r>
      <w:r w:rsidRPr="0023608D">
        <w:rPr>
          <w:rFonts w:ascii="Times New Roman" w:hAnsi="Times New Roman" w:cs="Times New Roman"/>
        </w:rPr>
        <w:t>Kjeldahl method for nitrogen</w:t>
      </w:r>
      <w:r>
        <w:rPr>
          <w:rFonts w:ascii="Times New Roman" w:hAnsi="Times New Roman" w:cs="Times New Roman"/>
        </w:rPr>
        <w:t xml:space="preserve"> content</w:t>
      </w:r>
      <w:r w:rsidRPr="0023608D">
        <w:rPr>
          <w:rFonts w:ascii="Times New Roman" w:hAnsi="Times New Roman" w:cs="Times New Roman"/>
        </w:rPr>
        <w:t>, spectrophotometric determination for phosphorus</w:t>
      </w:r>
      <w:r>
        <w:rPr>
          <w:rFonts w:ascii="Times New Roman" w:hAnsi="Times New Roman" w:cs="Times New Roman"/>
        </w:rPr>
        <w:t xml:space="preserve"> content</w:t>
      </w:r>
      <w:r w:rsidRPr="0023608D">
        <w:rPr>
          <w:rFonts w:ascii="Times New Roman" w:hAnsi="Times New Roman" w:cs="Times New Roman"/>
        </w:rPr>
        <w:t>, and the chloroplatinic acid gravimetric method for potassium</w:t>
      </w:r>
      <w:r>
        <w:rPr>
          <w:rFonts w:ascii="Times New Roman" w:hAnsi="Times New Roman" w:cs="Times New Roman"/>
        </w:rPr>
        <w:t xml:space="preserve"> content</w:t>
      </w:r>
      <w:r w:rsidRPr="0023608D">
        <w:rPr>
          <w:rFonts w:ascii="Times New Roman" w:hAnsi="Times New Roman" w:cs="Times New Roman"/>
        </w:rPr>
        <w:t xml:space="preserve">. Analysis of variance </w:t>
      </w:r>
      <w:r>
        <w:rPr>
          <w:rFonts w:ascii="Times New Roman" w:hAnsi="Times New Roman" w:cs="Times New Roman"/>
        </w:rPr>
        <w:t>showed</w:t>
      </w:r>
      <w:r w:rsidRPr="0023608D">
        <w:rPr>
          <w:rFonts w:ascii="Times New Roman" w:hAnsi="Times New Roman" w:cs="Times New Roman"/>
        </w:rPr>
        <w:t xml:space="preserve"> that </w:t>
      </w:r>
      <w:r>
        <w:rPr>
          <w:rFonts w:ascii="Times New Roman" w:hAnsi="Times New Roman" w:cs="Times New Roman"/>
        </w:rPr>
        <w:t>before and after harvesting</w:t>
      </w:r>
      <w:r w:rsidRPr="0023608D">
        <w:rPr>
          <w:rFonts w:ascii="Times New Roman" w:hAnsi="Times New Roman" w:cs="Times New Roman"/>
        </w:rPr>
        <w:t xml:space="preserve"> conditions were the dominant source of variation for all nutrients, recording the highest mean square (MS) values for nitrogen (23,137.95 in Jind, 19,519.97 in Rohtak, and 20,645.39 in Jhajjar), phosphorus (56,100.22 in Jind, 219,314.67 in Rohtak, and 90,766.14 in Jhajjar), and potassium (1,449,969.30 in Jind, 2,461,823.66 in Rohtak, and 527,936.67 in Jhajjar). Soil depth and distance from the tree trunk also significantly influenced nutrient distribution, with nitrogen </w:t>
      </w:r>
      <w:r>
        <w:rPr>
          <w:rFonts w:ascii="Times New Roman" w:hAnsi="Times New Roman" w:cs="Times New Roman"/>
        </w:rPr>
        <w:t>highest mean square value</w:t>
      </w:r>
      <w:r w:rsidRPr="0023608D">
        <w:rPr>
          <w:rFonts w:ascii="Times New Roman" w:hAnsi="Times New Roman" w:cs="Times New Roman"/>
        </w:rPr>
        <w:t xml:space="preserve"> across districts, phosphorus </w:t>
      </w:r>
      <w:r>
        <w:rPr>
          <w:rFonts w:ascii="Times New Roman" w:hAnsi="Times New Roman" w:cs="Times New Roman"/>
        </w:rPr>
        <w:t>(</w:t>
      </w:r>
      <w:r w:rsidRPr="0023608D">
        <w:rPr>
          <w:rFonts w:ascii="Times New Roman" w:hAnsi="Times New Roman" w:cs="Times New Roman"/>
        </w:rPr>
        <w:t>12,657.89</w:t>
      </w:r>
      <w:r>
        <w:rPr>
          <w:rFonts w:ascii="Times New Roman" w:hAnsi="Times New Roman" w:cs="Times New Roman"/>
        </w:rPr>
        <w:t xml:space="preserve">) </w:t>
      </w:r>
      <w:r w:rsidRPr="0023608D">
        <w:rPr>
          <w:rFonts w:ascii="Times New Roman" w:hAnsi="Times New Roman" w:cs="Times New Roman"/>
        </w:rPr>
        <w:t xml:space="preserve">in Rohtak, and potassium </w:t>
      </w:r>
      <w:r>
        <w:rPr>
          <w:rFonts w:ascii="Times New Roman" w:hAnsi="Times New Roman" w:cs="Times New Roman"/>
        </w:rPr>
        <w:t>(</w:t>
      </w:r>
      <w:r w:rsidRPr="0023608D">
        <w:rPr>
          <w:rFonts w:ascii="Times New Roman" w:hAnsi="Times New Roman" w:cs="Times New Roman"/>
        </w:rPr>
        <w:t>37,087.25</w:t>
      </w:r>
      <w:r>
        <w:rPr>
          <w:rFonts w:ascii="Times New Roman" w:hAnsi="Times New Roman" w:cs="Times New Roman"/>
        </w:rPr>
        <w:t>)</w:t>
      </w:r>
      <w:r w:rsidRPr="0023608D">
        <w:rPr>
          <w:rFonts w:ascii="Times New Roman" w:hAnsi="Times New Roman" w:cs="Times New Roman"/>
        </w:rPr>
        <w:t xml:space="preserve"> in Jhajjar. Tree species </w:t>
      </w:r>
      <w:r>
        <w:rPr>
          <w:rFonts w:ascii="Times New Roman" w:hAnsi="Times New Roman" w:cs="Times New Roman"/>
        </w:rPr>
        <w:t>showed</w:t>
      </w:r>
      <w:r w:rsidRPr="0023608D">
        <w:rPr>
          <w:rFonts w:ascii="Times New Roman" w:hAnsi="Times New Roman" w:cs="Times New Roman"/>
        </w:rPr>
        <w:t xml:space="preserve"> a moderate but significant influence, particularly for potassium, where the highest species</w:t>
      </w:r>
      <w:r>
        <w:rPr>
          <w:rFonts w:ascii="Times New Roman" w:hAnsi="Times New Roman" w:cs="Times New Roman"/>
        </w:rPr>
        <w:t xml:space="preserve"> </w:t>
      </w:r>
      <w:r w:rsidRPr="0023608D">
        <w:rPr>
          <w:rFonts w:ascii="Times New Roman" w:hAnsi="Times New Roman" w:cs="Times New Roman"/>
        </w:rPr>
        <w:t>related MS value was observed in Jhajjar (267,833.72). Significant interactions</w:t>
      </w:r>
      <w:r>
        <w:rPr>
          <w:rFonts w:ascii="Times New Roman" w:hAnsi="Times New Roman" w:cs="Times New Roman"/>
        </w:rPr>
        <w:t xml:space="preserve"> </w:t>
      </w:r>
      <w:r w:rsidRPr="0023608D">
        <w:rPr>
          <w:rFonts w:ascii="Times New Roman" w:hAnsi="Times New Roman" w:cs="Times New Roman"/>
        </w:rPr>
        <w:t xml:space="preserve">(T×D, E×D, and T×E×D) highlighted the </w:t>
      </w:r>
      <w:r w:rsidR="00CC5029" w:rsidRPr="0023608D">
        <w:rPr>
          <w:rFonts w:ascii="Times New Roman" w:hAnsi="Times New Roman" w:cs="Times New Roman"/>
        </w:rPr>
        <w:t>multifaceted</w:t>
      </w:r>
      <w:r w:rsidRPr="0023608D">
        <w:rPr>
          <w:rFonts w:ascii="Times New Roman" w:hAnsi="Times New Roman" w:cs="Times New Roman"/>
        </w:rPr>
        <w:t xml:space="preserve"> inter</w:t>
      </w:r>
      <w:r w:rsidR="00CC5029">
        <w:rPr>
          <w:rFonts w:ascii="Times New Roman" w:hAnsi="Times New Roman" w:cs="Times New Roman"/>
        </w:rPr>
        <w:t>connection</w:t>
      </w:r>
      <w:r w:rsidRPr="0023608D">
        <w:rPr>
          <w:rFonts w:ascii="Times New Roman" w:hAnsi="Times New Roman" w:cs="Times New Roman"/>
        </w:rPr>
        <w:t xml:space="preserve"> between tree species</w:t>
      </w:r>
      <w:r>
        <w:rPr>
          <w:rFonts w:ascii="Times New Roman" w:hAnsi="Times New Roman" w:cs="Times New Roman"/>
        </w:rPr>
        <w:t xml:space="preserve"> (T)</w:t>
      </w:r>
      <w:r w:rsidRPr="0023608D">
        <w:rPr>
          <w:rFonts w:ascii="Times New Roman" w:hAnsi="Times New Roman" w:cs="Times New Roman"/>
        </w:rPr>
        <w:t>, environment</w:t>
      </w:r>
      <w:r>
        <w:rPr>
          <w:rFonts w:ascii="Times New Roman" w:hAnsi="Times New Roman" w:cs="Times New Roman"/>
        </w:rPr>
        <w:t xml:space="preserve"> (E)</w:t>
      </w:r>
      <w:r w:rsidRPr="0023608D">
        <w:rPr>
          <w:rFonts w:ascii="Times New Roman" w:hAnsi="Times New Roman" w:cs="Times New Roman"/>
        </w:rPr>
        <w:t xml:space="preserve">, and soil </w:t>
      </w:r>
      <w:r w:rsidR="00494C6E">
        <w:rPr>
          <w:rFonts w:ascii="Times New Roman" w:hAnsi="Times New Roman" w:cs="Times New Roman"/>
        </w:rPr>
        <w:t>distance/depth</w:t>
      </w:r>
      <w:r>
        <w:rPr>
          <w:rFonts w:ascii="Times New Roman" w:hAnsi="Times New Roman" w:cs="Times New Roman"/>
        </w:rPr>
        <w:t xml:space="preserve"> (D)</w:t>
      </w:r>
      <w:r w:rsidRPr="0023608D">
        <w:rPr>
          <w:rFonts w:ascii="Times New Roman" w:hAnsi="Times New Roman" w:cs="Times New Roman"/>
        </w:rPr>
        <w:t xml:space="preserve">. </w:t>
      </w:r>
      <w:r w:rsidR="0068250A" w:rsidRPr="0068250A">
        <w:rPr>
          <w:rFonts w:ascii="Times New Roman" w:hAnsi="Times New Roman" w:cs="Times New Roman"/>
        </w:rPr>
        <w:t xml:space="preserve">The results of the present investigation </w:t>
      </w:r>
      <w:r w:rsidR="0068250A">
        <w:rPr>
          <w:rFonts w:ascii="Times New Roman" w:hAnsi="Times New Roman" w:cs="Times New Roman"/>
        </w:rPr>
        <w:t>showed</w:t>
      </w:r>
      <w:r w:rsidR="0068250A" w:rsidRPr="0068250A">
        <w:rPr>
          <w:rFonts w:ascii="Times New Roman" w:hAnsi="Times New Roman" w:cs="Times New Roman"/>
        </w:rPr>
        <w:t xml:space="preserve"> that variations in soil N, P, and K availability are </w:t>
      </w:r>
      <w:r w:rsidR="0068250A">
        <w:rPr>
          <w:rFonts w:ascii="Times New Roman" w:hAnsi="Times New Roman" w:cs="Times New Roman"/>
        </w:rPr>
        <w:t>directly</w:t>
      </w:r>
      <w:r w:rsidR="0068250A" w:rsidRPr="0068250A">
        <w:rPr>
          <w:rFonts w:ascii="Times New Roman" w:hAnsi="Times New Roman" w:cs="Times New Roman"/>
        </w:rPr>
        <w:t xml:space="preserve"> controlled by environmental conditions and soil depth, whereas tree species and proximity to the tree trunk regulating nutrient dynamics within agroforestry systems of Haryana.</w:t>
      </w:r>
    </w:p>
    <w:p w14:paraId="2F173135" w14:textId="58817758" w:rsidR="00516C55" w:rsidRPr="00260521" w:rsidRDefault="00516C55" w:rsidP="00516C55">
      <w:pPr>
        <w:jc w:val="both"/>
        <w:rPr>
          <w:rFonts w:ascii="Times New Roman" w:hAnsi="Times New Roman" w:cs="Times New Roman"/>
          <w:i/>
          <w:iCs/>
        </w:rPr>
      </w:pPr>
      <w:r w:rsidRPr="00260521">
        <w:rPr>
          <w:rFonts w:ascii="Times New Roman" w:hAnsi="Times New Roman" w:cs="Times New Roman"/>
          <w:b/>
          <w:bCs/>
          <w:i/>
          <w:iCs/>
        </w:rPr>
        <w:t>Keywords:</w:t>
      </w:r>
      <w:r w:rsidRPr="00260521">
        <w:rPr>
          <w:rFonts w:ascii="Times New Roman" w:hAnsi="Times New Roman" w:cs="Times New Roman"/>
          <w:i/>
          <w:iCs/>
        </w:rPr>
        <w:t xml:space="preserve"> Agroforestry, </w:t>
      </w:r>
      <w:r w:rsidR="00C269DC" w:rsidRPr="004254F1">
        <w:rPr>
          <w:rFonts w:ascii="Times New Roman" w:hAnsi="Times New Roman" w:cs="Times New Roman"/>
          <w:i/>
          <w:iCs/>
          <w:highlight w:val="yellow"/>
        </w:rPr>
        <w:t>Nitrogen, Phosphorus, Potassium</w:t>
      </w:r>
      <w:r w:rsidRPr="00260521">
        <w:rPr>
          <w:rFonts w:ascii="Times New Roman" w:hAnsi="Times New Roman" w:cs="Times New Roman"/>
          <w:i/>
          <w:iCs/>
        </w:rPr>
        <w:t>, tree species, soil depth, distance</w:t>
      </w:r>
    </w:p>
    <w:p w14:paraId="52964441" w14:textId="3313C374" w:rsidR="00D34A76" w:rsidRPr="007F0B37" w:rsidRDefault="00D34A76" w:rsidP="00D34A76">
      <w:pPr>
        <w:jc w:val="both"/>
        <w:rPr>
          <w:rFonts w:ascii="Times New Roman" w:hAnsi="Times New Roman" w:cs="Times New Roman"/>
          <w:b/>
          <w:bCs/>
        </w:rPr>
      </w:pPr>
      <w:r w:rsidRPr="007F0B37">
        <w:rPr>
          <w:rFonts w:ascii="Times New Roman" w:hAnsi="Times New Roman" w:cs="Times New Roman"/>
          <w:b/>
          <w:bCs/>
        </w:rPr>
        <w:t>Introduction</w:t>
      </w:r>
    </w:p>
    <w:p w14:paraId="4F4E856F" w14:textId="242722E9" w:rsidR="00D34A76" w:rsidRPr="007F0B37" w:rsidRDefault="00D34A76" w:rsidP="00D34A76">
      <w:pPr>
        <w:jc w:val="both"/>
        <w:rPr>
          <w:rFonts w:ascii="Times New Roman" w:hAnsi="Times New Roman" w:cs="Times New Roman"/>
        </w:rPr>
      </w:pPr>
      <w:r w:rsidRPr="007F0B37">
        <w:rPr>
          <w:rFonts w:ascii="Times New Roman" w:hAnsi="Times New Roman" w:cs="Times New Roman"/>
        </w:rPr>
        <w:t>Soil is a fundamental natural resource that emphasizes the survival and functioning of terrestrial ecosystems by supporting plants, animals, and microorganisms</w:t>
      </w:r>
      <w:r>
        <w:rPr>
          <w:rFonts w:ascii="Times New Roman" w:hAnsi="Times New Roman" w:cs="Times New Roman"/>
        </w:rPr>
        <w:t>.</w:t>
      </w:r>
      <w:r w:rsidRPr="007F0B37">
        <w:rPr>
          <w:rFonts w:ascii="Times New Roman" w:hAnsi="Times New Roman" w:cs="Times New Roman"/>
        </w:rPr>
        <w:t xml:space="preserve"> It provides the physical medium for root anchorage, water storage, and nutrient supply, while also serving as a dynamic habitat for diverse soil biota</w:t>
      </w:r>
      <w:r>
        <w:rPr>
          <w:rFonts w:ascii="Times New Roman" w:hAnsi="Times New Roman" w:cs="Times New Roman"/>
        </w:rPr>
        <w:t xml:space="preserve"> (</w:t>
      </w:r>
      <w:r w:rsidR="00EE0FFC" w:rsidRPr="00EE0FFC">
        <w:rPr>
          <w:rFonts w:ascii="Times New Roman" w:hAnsi="Times New Roman" w:cs="Times New Roman"/>
        </w:rPr>
        <w:t>Thies</w:t>
      </w:r>
      <w:r w:rsidR="00EE0FFC">
        <w:rPr>
          <w:rFonts w:ascii="Times New Roman" w:hAnsi="Times New Roman" w:cs="Times New Roman"/>
        </w:rPr>
        <w:t xml:space="preserve"> &amp; Grossman, 2023</w:t>
      </w:r>
      <w:r>
        <w:rPr>
          <w:rFonts w:ascii="Times New Roman" w:hAnsi="Times New Roman" w:cs="Times New Roman"/>
        </w:rPr>
        <w:t>)</w:t>
      </w:r>
      <w:r w:rsidRPr="007F0B37">
        <w:rPr>
          <w:rFonts w:ascii="Times New Roman" w:hAnsi="Times New Roman" w:cs="Times New Roman"/>
        </w:rPr>
        <w:t>. Soil quality is commonly defined by its capacity for water retention, carbon sequestration, nutrient cycling, plant productivity, waste remediation, and the maintenance of essential ecosystem functions</w:t>
      </w:r>
      <w:r>
        <w:rPr>
          <w:rFonts w:ascii="Times New Roman" w:hAnsi="Times New Roman" w:cs="Times New Roman"/>
        </w:rPr>
        <w:t xml:space="preserve"> (</w:t>
      </w:r>
      <w:r w:rsidRPr="00174428">
        <w:rPr>
          <w:rFonts w:ascii="Times New Roman" w:hAnsi="Times New Roman" w:cs="Times New Roman"/>
        </w:rPr>
        <w:t>Sharma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 </w:t>
      </w:r>
      <w:r w:rsidRPr="007F0B37">
        <w:rPr>
          <w:rFonts w:ascii="Times New Roman" w:hAnsi="Times New Roman" w:cs="Times New Roman"/>
        </w:rPr>
        <w:t xml:space="preserve">Trees play a crucial role in regulating soil properties and nutrient dynamics. Through litter deposition, root turnover, and rhizodeposition, tree species modify soil organic matter content, structure, pH, and microbial </w:t>
      </w:r>
      <w:r w:rsidRPr="007F0B37">
        <w:rPr>
          <w:rFonts w:ascii="Times New Roman" w:hAnsi="Times New Roman" w:cs="Times New Roman"/>
        </w:rPr>
        <w:lastRenderedPageBreak/>
        <w:t>processes</w:t>
      </w:r>
      <w:r>
        <w:rPr>
          <w:rFonts w:ascii="Times New Roman" w:hAnsi="Times New Roman" w:cs="Times New Roman"/>
        </w:rPr>
        <w:t xml:space="preserve"> (</w:t>
      </w:r>
      <w:r w:rsidRPr="00EC6D56">
        <w:rPr>
          <w:rFonts w:ascii="Times New Roman" w:hAnsi="Times New Roman" w:cs="Times New Roman"/>
        </w:rPr>
        <w:t>Negi</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Tree canopies influence microclimatic conditions by regulating temperature, light interception, and soil moisture, while differences in rooting depth and architecture affect nutrient uptake and redistribution within the soil profile</w:t>
      </w:r>
      <w:r>
        <w:rPr>
          <w:rFonts w:ascii="Times New Roman" w:hAnsi="Times New Roman" w:cs="Times New Roman"/>
        </w:rPr>
        <w:t xml:space="preserve"> (</w:t>
      </w:r>
      <w:r w:rsidRPr="008366F2">
        <w:rPr>
          <w:rFonts w:ascii="Times New Roman" w:hAnsi="Times New Roman" w:cs="Times New Roman"/>
        </w:rPr>
        <w:t>Huang</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 T</w:t>
      </w:r>
      <w:r w:rsidRPr="007F0B37">
        <w:rPr>
          <w:rFonts w:ascii="Times New Roman" w:hAnsi="Times New Roman" w:cs="Times New Roman"/>
        </w:rPr>
        <w:t>ree</w:t>
      </w:r>
      <w:r>
        <w:rPr>
          <w:rFonts w:ascii="Times New Roman" w:hAnsi="Times New Roman" w:cs="Times New Roman"/>
        </w:rPr>
        <w:t xml:space="preserve"> </w:t>
      </w:r>
      <w:r w:rsidRPr="007F0B37">
        <w:rPr>
          <w:rFonts w:ascii="Times New Roman" w:hAnsi="Times New Roman" w:cs="Times New Roman"/>
        </w:rPr>
        <w:t>soil interactions generate pronounced spatial variability in soil properties, both vertically with depth and horizontally with distance from the tree trunk, leading to heterogeneous nutrient distributions within forested and agroforestry systems</w:t>
      </w:r>
      <w:r>
        <w:rPr>
          <w:rFonts w:ascii="Times New Roman" w:hAnsi="Times New Roman" w:cs="Times New Roman"/>
        </w:rPr>
        <w:t xml:space="preserve"> (</w:t>
      </w:r>
      <w:r w:rsidRPr="00F85B0A">
        <w:rPr>
          <w:rFonts w:ascii="Times New Roman" w:hAnsi="Times New Roman" w:cs="Times New Roman"/>
        </w:rPr>
        <w:t>Fahad</w:t>
      </w:r>
      <w:r>
        <w:rPr>
          <w:rFonts w:ascii="Times New Roman" w:hAnsi="Times New Roman" w:cs="Times New Roman"/>
        </w:rPr>
        <w:t xml:space="preserve"> </w:t>
      </w:r>
      <w:r w:rsidR="000C3BDC" w:rsidRPr="000C3BDC">
        <w:rPr>
          <w:rFonts w:ascii="Times New Roman" w:hAnsi="Times New Roman" w:cs="Times New Roman"/>
          <w:i/>
          <w:iCs/>
        </w:rPr>
        <w:t>et al.,</w:t>
      </w:r>
      <w:r w:rsidRPr="008F11F0">
        <w:rPr>
          <w:rFonts w:ascii="Times New Roman" w:hAnsi="Times New Roman" w:cs="Times New Roman"/>
        </w:rPr>
        <w:t xml:space="preserve"> </w:t>
      </w:r>
      <w:r>
        <w:rPr>
          <w:rFonts w:ascii="Times New Roman" w:hAnsi="Times New Roman" w:cs="Times New Roman"/>
        </w:rPr>
        <w:t>2022</w:t>
      </w:r>
      <w:r w:rsidRPr="008F11F0">
        <w:rPr>
          <w:rFonts w:ascii="Times New Roman" w:hAnsi="Times New Roman" w:cs="Times New Roman"/>
        </w:rPr>
        <w:t>)</w:t>
      </w:r>
      <w:r>
        <w:rPr>
          <w:rFonts w:ascii="Times New Roman" w:hAnsi="Times New Roman" w:cs="Times New Roman"/>
        </w:rPr>
        <w:t>.</w:t>
      </w:r>
      <w:r w:rsidRPr="007F0B37">
        <w:rPr>
          <w:rFonts w:ascii="Times New Roman" w:hAnsi="Times New Roman" w:cs="Times New Roman"/>
        </w:rPr>
        <w:t>Among the various determinants of soil fertility, macronutrients</w:t>
      </w:r>
      <w:r>
        <w:rPr>
          <w:rFonts w:ascii="Times New Roman" w:hAnsi="Times New Roman" w:cs="Times New Roman"/>
        </w:rPr>
        <w:t xml:space="preserve"> </w:t>
      </w:r>
      <w:r w:rsidRPr="007F0B37">
        <w:rPr>
          <w:rFonts w:ascii="Times New Roman" w:hAnsi="Times New Roman" w:cs="Times New Roman"/>
        </w:rPr>
        <w:t>particularly nitrogen (N), phosphorus (P), and potassium (K)</w:t>
      </w:r>
      <w:r>
        <w:rPr>
          <w:rFonts w:ascii="Times New Roman" w:hAnsi="Times New Roman" w:cs="Times New Roman"/>
        </w:rPr>
        <w:t xml:space="preserve"> </w:t>
      </w:r>
      <w:r w:rsidRPr="007F0B37">
        <w:rPr>
          <w:rFonts w:ascii="Times New Roman" w:hAnsi="Times New Roman" w:cs="Times New Roman"/>
        </w:rPr>
        <w:t>are critical for plant growth and productivity</w:t>
      </w:r>
      <w:r>
        <w:rPr>
          <w:rFonts w:ascii="Times New Roman" w:hAnsi="Times New Roman" w:cs="Times New Roman"/>
        </w:rPr>
        <w:t xml:space="preserve"> (</w:t>
      </w:r>
      <w:r w:rsidRPr="00F85B0A">
        <w:rPr>
          <w:rFonts w:ascii="Times New Roman" w:hAnsi="Times New Roman" w:cs="Times New Roman"/>
        </w:rPr>
        <w:t>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These elements are integral components of proteins, enzymes, nucleic acids, and cellular structures that regulate essential physiological and biochemical processes</w:t>
      </w:r>
      <w:r>
        <w:rPr>
          <w:rFonts w:ascii="Times New Roman" w:hAnsi="Times New Roman" w:cs="Times New Roman"/>
        </w:rPr>
        <w:t xml:space="preserve"> (</w:t>
      </w:r>
      <w:r w:rsidRPr="008F11F0">
        <w:rPr>
          <w:rFonts w:ascii="Times New Roman" w:hAnsi="Times New Roman" w:cs="Times New Roman"/>
        </w:rPr>
        <w:t>Khare</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Adequate availability of N, P, and K promotes root development, leaf area expansion, biomass accumulation, reproductive growth, and yield formation</w:t>
      </w:r>
      <w:r>
        <w:rPr>
          <w:rFonts w:ascii="Times New Roman" w:hAnsi="Times New Roman" w:cs="Times New Roman"/>
        </w:rPr>
        <w:t xml:space="preserve"> and acting as a synergetic relationship for the </w:t>
      </w:r>
      <w:r w:rsidRPr="007F0B37">
        <w:rPr>
          <w:rFonts w:ascii="Times New Roman" w:hAnsi="Times New Roman" w:cs="Times New Roman"/>
        </w:rPr>
        <w:t>other essential nutrients</w:t>
      </w:r>
      <w:r>
        <w:rPr>
          <w:rFonts w:ascii="Times New Roman" w:hAnsi="Times New Roman" w:cs="Times New Roman"/>
        </w:rPr>
        <w:t xml:space="preserve"> (</w:t>
      </w:r>
      <w:r w:rsidRPr="00D962F0">
        <w:rPr>
          <w:rFonts w:ascii="Times New Roman" w:hAnsi="Times New Roman" w:cs="Times New Roman"/>
        </w:rPr>
        <w:t>Du</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2021). </w:t>
      </w:r>
      <w:r w:rsidRPr="007F0B37">
        <w:rPr>
          <w:rFonts w:ascii="Times New Roman" w:hAnsi="Times New Roman" w:cs="Times New Roman"/>
        </w:rPr>
        <w:t>Nitrogen plays a central role in chlorophyll synthesis, amino acid formation, and protein metabolism, directly influencing plant growth, photosynthetic capacity, and biomass production</w:t>
      </w:r>
      <w:r>
        <w:rPr>
          <w:rFonts w:ascii="Times New Roman" w:hAnsi="Times New Roman" w:cs="Times New Roman"/>
        </w:rPr>
        <w:t xml:space="preserve"> (</w:t>
      </w:r>
      <w:r w:rsidRPr="00F85B0A">
        <w:rPr>
          <w:rFonts w:ascii="Times New Roman" w:hAnsi="Times New Roman" w:cs="Times New Roman"/>
        </w:rPr>
        <w:t>Sun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7F0B37">
        <w:rPr>
          <w:rFonts w:ascii="Times New Roman" w:hAnsi="Times New Roman" w:cs="Times New Roman"/>
        </w:rPr>
        <w:t>. Phosphorus</w:t>
      </w:r>
      <w:r>
        <w:rPr>
          <w:rFonts w:ascii="Times New Roman" w:hAnsi="Times New Roman" w:cs="Times New Roman"/>
        </w:rPr>
        <w:t xml:space="preserve"> </w:t>
      </w:r>
      <w:r w:rsidRPr="007F0B37">
        <w:rPr>
          <w:rFonts w:ascii="Times New Roman" w:hAnsi="Times New Roman" w:cs="Times New Roman"/>
        </w:rPr>
        <w:t>required in smaller quantities than nitrogen, is often one of the most limiting nutrients, particularly in tropical and highly weathered soils</w:t>
      </w:r>
      <w:r>
        <w:rPr>
          <w:rFonts w:ascii="Times New Roman" w:hAnsi="Times New Roman" w:cs="Times New Roman"/>
        </w:rPr>
        <w:t xml:space="preserve"> (</w:t>
      </w:r>
      <w:proofErr w:type="spellStart"/>
      <w:r w:rsidRPr="00F85B0A">
        <w:rPr>
          <w:rFonts w:ascii="Times New Roman" w:hAnsi="Times New Roman" w:cs="Times New Roman"/>
        </w:rPr>
        <w:t>Mabagala</w:t>
      </w:r>
      <w:proofErr w:type="spellEnd"/>
      <w:r>
        <w:rPr>
          <w:rFonts w:ascii="Times New Roman" w:hAnsi="Times New Roman" w:cs="Times New Roman"/>
        </w:rPr>
        <w:t>, 2022)</w:t>
      </w:r>
      <w:r w:rsidRPr="007F0B37">
        <w:rPr>
          <w:rFonts w:ascii="Times New Roman" w:hAnsi="Times New Roman" w:cs="Times New Roman"/>
        </w:rPr>
        <w:t>. Potassium, the second most important nutrient after nitrogen in many production systems, is essential for enzyme activation, osmoregulation, stomatal functioning, stress tolerance, and disease resistance</w:t>
      </w:r>
      <w:r>
        <w:rPr>
          <w:rFonts w:ascii="Times New Roman" w:hAnsi="Times New Roman" w:cs="Times New Roman"/>
        </w:rPr>
        <w:t xml:space="preserve"> (</w:t>
      </w:r>
      <w:r w:rsidRPr="00F85B0A">
        <w:rPr>
          <w:rFonts w:ascii="Times New Roman" w:hAnsi="Times New Roman" w:cs="Times New Roman"/>
        </w:rPr>
        <w:t>Kumar</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xml:space="preserve">. </w:t>
      </w:r>
    </w:p>
    <w:p w14:paraId="29819AA9" w14:textId="1AAA697A" w:rsidR="004254F1" w:rsidRDefault="00D34A76" w:rsidP="00D34A76">
      <w:pPr>
        <w:jc w:val="both"/>
        <w:rPr>
          <w:rFonts w:ascii="Times New Roman" w:hAnsi="Times New Roman" w:cs="Times New Roman"/>
        </w:rPr>
      </w:pPr>
      <w:r w:rsidRPr="007F0B37">
        <w:rPr>
          <w:rFonts w:ascii="Times New Roman" w:hAnsi="Times New Roman" w:cs="Times New Roman"/>
        </w:rPr>
        <w:t>The distribution and availability of N, P, and K are strongly governed by intrinsic soil properties such as texture, organic matter, pH, moisture status, aeration, and temperature</w:t>
      </w:r>
      <w:r>
        <w:rPr>
          <w:rFonts w:ascii="Times New Roman" w:hAnsi="Times New Roman" w:cs="Times New Roman"/>
        </w:rPr>
        <w:t xml:space="preserve"> (</w:t>
      </w:r>
      <w:r w:rsidR="00200AAC">
        <w:rPr>
          <w:rFonts w:ascii="Times New Roman" w:hAnsi="Times New Roman" w:cs="Times New Roman"/>
        </w:rPr>
        <w:t xml:space="preserve">Bashir et al., </w:t>
      </w:r>
      <w:r>
        <w:rPr>
          <w:rFonts w:ascii="Times New Roman" w:hAnsi="Times New Roman" w:cs="Times New Roman"/>
        </w:rPr>
        <w:t>20</w:t>
      </w:r>
      <w:r w:rsidR="00200AAC">
        <w:rPr>
          <w:rFonts w:ascii="Times New Roman" w:hAnsi="Times New Roman" w:cs="Times New Roman"/>
        </w:rPr>
        <w:t>21</w:t>
      </w:r>
      <w:r>
        <w:rPr>
          <w:rFonts w:ascii="Times New Roman" w:hAnsi="Times New Roman" w:cs="Times New Roman"/>
        </w:rPr>
        <w:t>)</w:t>
      </w:r>
      <w:r w:rsidRPr="007F0B37">
        <w:rPr>
          <w:rFonts w:ascii="Times New Roman" w:hAnsi="Times New Roman" w:cs="Times New Roman"/>
        </w:rPr>
        <w:t xml:space="preserve">. </w:t>
      </w:r>
      <w:r w:rsidRPr="00F80069">
        <w:rPr>
          <w:rFonts w:ascii="Times New Roman" w:hAnsi="Times New Roman" w:cs="Times New Roman"/>
        </w:rPr>
        <w:t>Condron</w:t>
      </w:r>
      <w:r w:rsidRPr="007F0B37">
        <w:rPr>
          <w:rFonts w:ascii="Times New Roman" w:hAnsi="Times New Roman" w:cs="Times New Roman"/>
        </w:rPr>
        <w:t xml:space="preserve"> </w:t>
      </w:r>
      <w:r>
        <w:rPr>
          <w:rFonts w:ascii="Times New Roman" w:hAnsi="Times New Roman" w:cs="Times New Roman"/>
        </w:rPr>
        <w:t xml:space="preserve">and coworkers in 2010 found the </w:t>
      </w:r>
      <w:r w:rsidRPr="007F0B37">
        <w:rPr>
          <w:rFonts w:ascii="Times New Roman" w:hAnsi="Times New Roman" w:cs="Times New Roman"/>
        </w:rPr>
        <w:t xml:space="preserve">increasing </w:t>
      </w:r>
      <w:r>
        <w:rPr>
          <w:rFonts w:ascii="Times New Roman" w:hAnsi="Times New Roman" w:cs="Times New Roman"/>
        </w:rPr>
        <w:t xml:space="preserve">in </w:t>
      </w:r>
      <w:r w:rsidRPr="007F0B37">
        <w:rPr>
          <w:rFonts w:ascii="Times New Roman" w:hAnsi="Times New Roman" w:cs="Times New Roman"/>
        </w:rPr>
        <w:t>soil depth</w:t>
      </w:r>
      <w:r>
        <w:rPr>
          <w:rFonts w:ascii="Times New Roman" w:hAnsi="Times New Roman" w:cs="Times New Roman"/>
        </w:rPr>
        <w:t xml:space="preserve"> leads to </w:t>
      </w:r>
      <w:r w:rsidRPr="007F0B37">
        <w:rPr>
          <w:rFonts w:ascii="Times New Roman" w:hAnsi="Times New Roman" w:cs="Times New Roman"/>
        </w:rPr>
        <w:t>general declines</w:t>
      </w:r>
      <w:r>
        <w:rPr>
          <w:rFonts w:ascii="Times New Roman" w:hAnsi="Times New Roman" w:cs="Times New Roman"/>
        </w:rPr>
        <w:t xml:space="preserve"> in </w:t>
      </w:r>
      <w:r w:rsidRPr="007F0B37">
        <w:rPr>
          <w:rFonts w:ascii="Times New Roman" w:hAnsi="Times New Roman" w:cs="Times New Roman"/>
        </w:rPr>
        <w:t>organic matter content</w:t>
      </w:r>
      <w:r>
        <w:rPr>
          <w:rFonts w:ascii="Times New Roman" w:hAnsi="Times New Roman" w:cs="Times New Roman"/>
        </w:rPr>
        <w:t xml:space="preserve"> and </w:t>
      </w:r>
      <w:r w:rsidRPr="007F0B37">
        <w:rPr>
          <w:rFonts w:ascii="Times New Roman" w:hAnsi="Times New Roman" w:cs="Times New Roman"/>
        </w:rPr>
        <w:t>leading to reduced microbial activity and altered nutrient transformations.</w:t>
      </w:r>
      <w:r>
        <w:rPr>
          <w:rFonts w:ascii="Times New Roman" w:hAnsi="Times New Roman" w:cs="Times New Roman"/>
        </w:rPr>
        <w:t xml:space="preserve"> </w:t>
      </w:r>
      <w:r w:rsidRPr="00F80069">
        <w:rPr>
          <w:rFonts w:ascii="Times New Roman" w:hAnsi="Times New Roman" w:cs="Times New Roman"/>
        </w:rPr>
        <w:t>Nutrient patterns showed marked variability across different tree species, reflecting species-specific influences on soil quality, nutrient uptake efficiency, and rooting architecture</w:t>
      </w:r>
      <w:r>
        <w:rPr>
          <w:rFonts w:ascii="Times New Roman" w:hAnsi="Times New Roman" w:cs="Times New Roman"/>
        </w:rPr>
        <w:t xml:space="preserve"> (</w:t>
      </w:r>
      <w:proofErr w:type="spellStart"/>
      <w:r w:rsidRPr="00F80069">
        <w:rPr>
          <w:rFonts w:ascii="Times New Roman" w:hAnsi="Times New Roman" w:cs="Times New Roman"/>
        </w:rPr>
        <w:t>Muzzo</w:t>
      </w:r>
      <w:proofErr w:type="spellEnd"/>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L</w:t>
      </w:r>
      <w:r w:rsidRPr="00F80069">
        <w:rPr>
          <w:rFonts w:ascii="Times New Roman" w:hAnsi="Times New Roman" w:cs="Times New Roman"/>
        </w:rPr>
        <w:t xml:space="preserve">eguminous trees such as </w:t>
      </w:r>
      <w:r w:rsidRPr="00F80069">
        <w:rPr>
          <w:rFonts w:ascii="Times New Roman" w:hAnsi="Times New Roman" w:cs="Times New Roman"/>
          <w:i/>
          <w:iCs/>
        </w:rPr>
        <w:t>Dalbergia sissoo</w:t>
      </w:r>
      <w:r w:rsidRPr="00F80069">
        <w:rPr>
          <w:rFonts w:ascii="Times New Roman" w:hAnsi="Times New Roman" w:cs="Times New Roman"/>
        </w:rPr>
        <w:t xml:space="preserve"> and </w:t>
      </w:r>
      <w:r w:rsidRPr="00F80069">
        <w:rPr>
          <w:rFonts w:ascii="Times New Roman" w:hAnsi="Times New Roman" w:cs="Times New Roman"/>
          <w:i/>
          <w:iCs/>
        </w:rPr>
        <w:t>Acacia nilotica</w:t>
      </w:r>
      <w:r w:rsidRPr="00F80069">
        <w:rPr>
          <w:rFonts w:ascii="Times New Roman" w:hAnsi="Times New Roman" w:cs="Times New Roman"/>
        </w:rPr>
        <w:t xml:space="preserve"> tend to enrich soil nitrogen through biological fixation, whereas deep-rooted species like </w:t>
      </w:r>
      <w:proofErr w:type="spellStart"/>
      <w:r w:rsidRPr="00F80069">
        <w:rPr>
          <w:rFonts w:ascii="Times New Roman" w:hAnsi="Times New Roman" w:cs="Times New Roman"/>
          <w:i/>
          <w:iCs/>
        </w:rPr>
        <w:t>Azadirachta</w:t>
      </w:r>
      <w:proofErr w:type="spellEnd"/>
      <w:r w:rsidRPr="00F80069">
        <w:rPr>
          <w:rFonts w:ascii="Times New Roman" w:hAnsi="Times New Roman" w:cs="Times New Roman"/>
          <w:i/>
          <w:iCs/>
        </w:rPr>
        <w:t xml:space="preserve"> </w:t>
      </w:r>
      <w:proofErr w:type="spellStart"/>
      <w:r w:rsidRPr="00F80069">
        <w:rPr>
          <w:rFonts w:ascii="Times New Roman" w:hAnsi="Times New Roman" w:cs="Times New Roman"/>
          <w:i/>
          <w:iCs/>
        </w:rPr>
        <w:t>indica</w:t>
      </w:r>
      <w:proofErr w:type="spellEnd"/>
      <w:r w:rsidRPr="00F80069">
        <w:rPr>
          <w:rFonts w:ascii="Times New Roman" w:hAnsi="Times New Roman" w:cs="Times New Roman"/>
        </w:rPr>
        <w:t xml:space="preserve"> and </w:t>
      </w:r>
      <w:r w:rsidRPr="00F80069">
        <w:rPr>
          <w:rFonts w:ascii="Times New Roman" w:hAnsi="Times New Roman" w:cs="Times New Roman"/>
          <w:i/>
          <w:iCs/>
        </w:rPr>
        <w:t xml:space="preserve">Prosopis </w:t>
      </w:r>
      <w:proofErr w:type="spellStart"/>
      <w:r w:rsidRPr="00F80069">
        <w:rPr>
          <w:rFonts w:ascii="Times New Roman" w:hAnsi="Times New Roman" w:cs="Times New Roman"/>
          <w:i/>
          <w:iCs/>
        </w:rPr>
        <w:t>juliflora</w:t>
      </w:r>
      <w:proofErr w:type="spellEnd"/>
      <w:r w:rsidRPr="00F80069">
        <w:rPr>
          <w:rFonts w:ascii="Times New Roman" w:hAnsi="Times New Roman" w:cs="Times New Roman"/>
        </w:rPr>
        <w:t xml:space="preserve"> access nutrients from deeper soil layers and redistribute them to the surface through </w:t>
      </w:r>
      <w:r>
        <w:rPr>
          <w:rFonts w:ascii="Times New Roman" w:hAnsi="Times New Roman" w:cs="Times New Roman"/>
        </w:rPr>
        <w:t xml:space="preserve">falling of </w:t>
      </w:r>
      <w:r w:rsidRPr="00F80069">
        <w:rPr>
          <w:rFonts w:ascii="Times New Roman" w:hAnsi="Times New Roman" w:cs="Times New Roman"/>
        </w:rPr>
        <w:t xml:space="preserve">litter </w:t>
      </w:r>
      <w:r>
        <w:rPr>
          <w:rFonts w:ascii="Times New Roman" w:hAnsi="Times New Roman" w:cs="Times New Roman"/>
        </w:rPr>
        <w:t xml:space="preserve">(Singh &amp; </w:t>
      </w:r>
      <w:r w:rsidRPr="003C5204">
        <w:rPr>
          <w:rFonts w:ascii="Times New Roman" w:hAnsi="Times New Roman" w:cs="Times New Roman"/>
        </w:rPr>
        <w:t>Prajjwal</w:t>
      </w:r>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 xml:space="preserve">Whereas </w:t>
      </w:r>
      <w:r w:rsidRPr="00F80069">
        <w:rPr>
          <w:rFonts w:ascii="Times New Roman" w:hAnsi="Times New Roman" w:cs="Times New Roman"/>
        </w:rPr>
        <w:t>fast</w:t>
      </w:r>
      <w:r>
        <w:rPr>
          <w:rFonts w:ascii="Times New Roman" w:hAnsi="Times New Roman" w:cs="Times New Roman"/>
        </w:rPr>
        <w:t xml:space="preserve"> </w:t>
      </w:r>
      <w:r w:rsidRPr="00F80069">
        <w:rPr>
          <w:rFonts w:ascii="Times New Roman" w:hAnsi="Times New Roman" w:cs="Times New Roman"/>
        </w:rPr>
        <w:t xml:space="preserve">growing species such as </w:t>
      </w:r>
      <w:r w:rsidRPr="00F80069">
        <w:rPr>
          <w:rFonts w:ascii="Times New Roman" w:hAnsi="Times New Roman" w:cs="Times New Roman"/>
          <w:i/>
          <w:iCs/>
        </w:rPr>
        <w:t>Eucalyptus tereticornis</w:t>
      </w:r>
      <w:r w:rsidRPr="00F80069">
        <w:rPr>
          <w:rFonts w:ascii="Times New Roman" w:hAnsi="Times New Roman" w:cs="Times New Roman"/>
        </w:rPr>
        <w:t xml:space="preserve"> often exhibit high nutrient demand and efficient uptake, which can lead to localized nutrient depletion in the rhizosphere</w:t>
      </w:r>
      <w:r>
        <w:rPr>
          <w:rFonts w:ascii="Times New Roman" w:hAnsi="Times New Roman" w:cs="Times New Roman"/>
        </w:rPr>
        <w:t xml:space="preserve"> (</w:t>
      </w:r>
      <w:r w:rsidRPr="003C5204">
        <w:rPr>
          <w:rFonts w:ascii="Times New Roman" w:hAnsi="Times New Roman" w:cs="Times New Roman"/>
        </w:rPr>
        <w:t>Lan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F80069">
        <w:rPr>
          <w:rFonts w:ascii="Times New Roman" w:hAnsi="Times New Roman" w:cs="Times New Roman"/>
        </w:rPr>
        <w:t>. These interspecific differences in litter quality, root depth, and nutrient cycling collectively shape heterogeneous soil nutrient patterns under different tree canopies, contributing to spatial variability in soil fertility within agroforestry and natural ecosystems</w:t>
      </w:r>
      <w:r>
        <w:rPr>
          <w:rFonts w:ascii="Times New Roman" w:hAnsi="Times New Roman" w:cs="Times New Roman"/>
        </w:rPr>
        <w:t xml:space="preserve"> (</w:t>
      </w:r>
      <w:r w:rsidRPr="003C5204">
        <w:rPr>
          <w:rFonts w:ascii="Times New Roman" w:hAnsi="Times New Roman" w:cs="Times New Roman"/>
        </w:rPr>
        <w:t>Dissanayaka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F80069">
        <w:rPr>
          <w:rFonts w:ascii="Times New Roman" w:hAnsi="Times New Roman" w:cs="Times New Roman"/>
        </w:rPr>
        <w:t>.</w:t>
      </w:r>
      <w:r>
        <w:rPr>
          <w:rFonts w:ascii="Times New Roman" w:hAnsi="Times New Roman" w:cs="Times New Roman"/>
        </w:rPr>
        <w:t xml:space="preserve"> </w:t>
      </w:r>
      <w:r w:rsidR="004254F1" w:rsidRPr="004254F1">
        <w:rPr>
          <w:rFonts w:ascii="Times New Roman" w:hAnsi="Times New Roman" w:cs="Times New Roman"/>
          <w:highlight w:val="yellow"/>
        </w:rPr>
        <w:t>The present investigation was planned to analyze the soil NPK status under different tree species across selected districts, assessing species and location-specific variations in soil nutrient availability and fertility patterns.</w:t>
      </w:r>
    </w:p>
    <w:p w14:paraId="4A2C4BED" w14:textId="77777777" w:rsidR="00437B46" w:rsidRPr="00FD4BF4" w:rsidRDefault="00437B46" w:rsidP="00437B46">
      <w:pPr>
        <w:jc w:val="both"/>
        <w:rPr>
          <w:rFonts w:ascii="Times New Roman" w:hAnsi="Times New Roman" w:cs="Times New Roman"/>
          <w:b/>
          <w:bCs/>
        </w:rPr>
      </w:pPr>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p>
    <w:p w14:paraId="69144873" w14:textId="19EA5A45" w:rsidR="00437B46" w:rsidRPr="007F0B37" w:rsidRDefault="00437B46" w:rsidP="007F0B37">
      <w:pPr>
        <w:jc w:val="both"/>
        <w:rPr>
          <w:rFonts w:ascii="Times New Roman" w:hAnsi="Times New Roman" w:cs="Times New Roman"/>
        </w:rPr>
      </w:pPr>
      <w:r w:rsidRPr="00437B46">
        <w:rPr>
          <w:rFonts w:ascii="Times New Roman" w:hAnsi="Times New Roman" w:cs="Times New Roman"/>
        </w:rPr>
        <w:t xml:space="preserve">Soil samples were collected from three agroclimatic zones of Haryana viz., </w:t>
      </w:r>
      <w:r w:rsidR="00004EB4" w:rsidRPr="00004EB4">
        <w:rPr>
          <w:rFonts w:ascii="Times New Roman" w:hAnsi="Times New Roman" w:cs="Times New Roman"/>
          <w:highlight w:val="yellow"/>
        </w:rPr>
        <w:t xml:space="preserve">Jind (29.3167° N, 76.3167° E; 227m above mean sea level </w:t>
      </w:r>
      <w:r w:rsidR="00004EB4">
        <w:rPr>
          <w:rFonts w:ascii="Times New Roman" w:hAnsi="Times New Roman" w:cs="Times New Roman"/>
          <w:highlight w:val="yellow"/>
        </w:rPr>
        <w:t>(</w:t>
      </w:r>
      <w:proofErr w:type="spellStart"/>
      <w:r w:rsidR="00004EB4" w:rsidRPr="00004EB4">
        <w:rPr>
          <w:rFonts w:ascii="Times New Roman" w:hAnsi="Times New Roman" w:cs="Times New Roman"/>
          <w:highlight w:val="yellow"/>
        </w:rPr>
        <w:t>amsl</w:t>
      </w:r>
      <w:proofErr w:type="spellEnd"/>
      <w:r w:rsidR="00004EB4">
        <w:rPr>
          <w:rFonts w:ascii="Times New Roman" w:hAnsi="Times New Roman" w:cs="Times New Roman"/>
          <w:highlight w:val="yellow"/>
        </w:rPr>
        <w:t>)</w:t>
      </w:r>
      <w:r w:rsidR="00004EB4" w:rsidRPr="00004EB4">
        <w:rPr>
          <w:rFonts w:ascii="Times New Roman" w:hAnsi="Times New Roman" w:cs="Times New Roman"/>
          <w:highlight w:val="yellow"/>
        </w:rPr>
        <w:t xml:space="preserve">), Rohtak (28.9000° N, 76.6167° E; ≈220m </w:t>
      </w:r>
      <w:proofErr w:type="spellStart"/>
      <w:r w:rsidR="00004EB4" w:rsidRPr="00004EB4">
        <w:rPr>
          <w:rFonts w:ascii="Times New Roman" w:hAnsi="Times New Roman" w:cs="Times New Roman"/>
          <w:highlight w:val="yellow"/>
        </w:rPr>
        <w:t>amsl</w:t>
      </w:r>
      <w:proofErr w:type="spellEnd"/>
      <w:r w:rsidR="00004EB4" w:rsidRPr="00004EB4">
        <w:rPr>
          <w:rFonts w:ascii="Times New Roman" w:hAnsi="Times New Roman" w:cs="Times New Roman"/>
          <w:highlight w:val="yellow"/>
        </w:rPr>
        <w:t xml:space="preserve">), </w:t>
      </w:r>
      <w:r w:rsidR="00004EB4" w:rsidRPr="00004EB4">
        <w:rPr>
          <w:rFonts w:ascii="Times New Roman" w:hAnsi="Times New Roman" w:cs="Times New Roman"/>
          <w:highlight w:val="yellow"/>
        </w:rPr>
        <w:lastRenderedPageBreak/>
        <w:t xml:space="preserve">and </w:t>
      </w:r>
      <w:proofErr w:type="spellStart"/>
      <w:r w:rsidR="00004EB4" w:rsidRPr="00004EB4">
        <w:rPr>
          <w:rFonts w:ascii="Times New Roman" w:hAnsi="Times New Roman" w:cs="Times New Roman"/>
          <w:highlight w:val="yellow"/>
        </w:rPr>
        <w:t>Jhajjar</w:t>
      </w:r>
      <w:proofErr w:type="spellEnd"/>
      <w:r w:rsidR="00004EB4" w:rsidRPr="00004EB4">
        <w:rPr>
          <w:rFonts w:ascii="Times New Roman" w:hAnsi="Times New Roman" w:cs="Times New Roman"/>
          <w:highlight w:val="yellow"/>
        </w:rPr>
        <w:t xml:space="preserve"> (28.6063° N, 76.6565° E; ≈220m </w:t>
      </w:r>
      <w:proofErr w:type="spellStart"/>
      <w:r w:rsidR="00004EB4" w:rsidRPr="00004EB4">
        <w:rPr>
          <w:rFonts w:ascii="Times New Roman" w:hAnsi="Times New Roman" w:cs="Times New Roman"/>
          <w:highlight w:val="yellow"/>
        </w:rPr>
        <w:t>amsl</w:t>
      </w:r>
      <w:proofErr w:type="spellEnd"/>
      <w:r w:rsidR="00004EB4" w:rsidRPr="00004EB4">
        <w:rPr>
          <w:rFonts w:ascii="Times New Roman" w:hAnsi="Times New Roman" w:cs="Times New Roman"/>
          <w:highlight w:val="yellow"/>
        </w:rPr>
        <w:t>)</w:t>
      </w:r>
      <w:r w:rsidRPr="00004EB4">
        <w:rPr>
          <w:rFonts w:ascii="Times New Roman" w:hAnsi="Times New Roman" w:cs="Times New Roman"/>
          <w:highlight w:val="yellow"/>
        </w:rPr>
        <w:t>,</w:t>
      </w:r>
      <w:r w:rsidRPr="00437B46">
        <w:rPr>
          <w:rFonts w:ascii="Times New Roman" w:hAnsi="Times New Roman" w:cs="Times New Roman"/>
        </w:rPr>
        <w:t xml:space="preserve"> using a manual soil auger. Sampling was done at four horizontal distances from the tree trunk (0, 2, 4, and 6m) and at four vertical soil layers comprising 0</w:t>
      </w:r>
      <w:r w:rsidR="00114F13">
        <w:rPr>
          <w:rFonts w:ascii="Times New Roman" w:hAnsi="Times New Roman" w:cs="Times New Roman"/>
        </w:rPr>
        <w:t>-</w:t>
      </w:r>
      <w:r w:rsidRPr="00437B46">
        <w:rPr>
          <w:rFonts w:ascii="Times New Roman" w:hAnsi="Times New Roman" w:cs="Times New Roman"/>
        </w:rPr>
        <w:t>50cm, 51</w:t>
      </w:r>
      <w:r w:rsidR="00114F13">
        <w:rPr>
          <w:rFonts w:ascii="Times New Roman" w:hAnsi="Times New Roman" w:cs="Times New Roman"/>
        </w:rPr>
        <w:t>-</w:t>
      </w:r>
      <w:r w:rsidRPr="00437B46">
        <w:rPr>
          <w:rFonts w:ascii="Times New Roman" w:hAnsi="Times New Roman" w:cs="Times New Roman"/>
        </w:rPr>
        <w:t>80cm, 81</w:t>
      </w:r>
      <w:r w:rsidR="00114F13">
        <w:rPr>
          <w:rFonts w:ascii="Times New Roman" w:hAnsi="Times New Roman" w:cs="Times New Roman"/>
        </w:rPr>
        <w:t>-</w:t>
      </w:r>
      <w:r w:rsidRPr="00437B46">
        <w:rPr>
          <w:rFonts w:ascii="Times New Roman" w:hAnsi="Times New Roman" w:cs="Times New Roman"/>
        </w:rPr>
        <w:t>110cm, and 111</w:t>
      </w:r>
      <w:r w:rsidR="00114F13">
        <w:rPr>
          <w:rFonts w:ascii="Times New Roman" w:hAnsi="Times New Roman" w:cs="Times New Roman"/>
        </w:rPr>
        <w:t>-</w:t>
      </w:r>
      <w:r w:rsidRPr="00437B46">
        <w:rPr>
          <w:rFonts w:ascii="Times New Roman" w:hAnsi="Times New Roman" w:cs="Times New Roman"/>
        </w:rPr>
        <w:t xml:space="preserve">140cm depths. The collections were made at two stages of the cropping cycle, i.e., during sowing and at harvest. All samples were taken from the shaded region beneath the canopy of different tree species, including </w:t>
      </w:r>
      <w:r w:rsidRPr="00437B46">
        <w:rPr>
          <w:rFonts w:ascii="Times New Roman" w:hAnsi="Times New Roman" w:cs="Times New Roman"/>
          <w:i/>
          <w:iCs/>
        </w:rPr>
        <w:t>Syzygium cumini</w:t>
      </w:r>
      <w:r w:rsidRPr="00437B46">
        <w:rPr>
          <w:rFonts w:ascii="Times New Roman" w:hAnsi="Times New Roman" w:cs="Times New Roman"/>
        </w:rPr>
        <w:t xml:space="preserve">, </w:t>
      </w:r>
      <w:r w:rsidRPr="00437B46">
        <w:rPr>
          <w:rFonts w:ascii="Times New Roman" w:hAnsi="Times New Roman" w:cs="Times New Roman"/>
          <w:i/>
          <w:iCs/>
        </w:rPr>
        <w:t>Psidium guajava</w:t>
      </w:r>
      <w:r w:rsidRPr="00437B46">
        <w:rPr>
          <w:rFonts w:ascii="Times New Roman" w:hAnsi="Times New Roman" w:cs="Times New Roman"/>
        </w:rPr>
        <w:t xml:space="preserve">, </w:t>
      </w:r>
      <w:r w:rsidRPr="00437B46">
        <w:rPr>
          <w:rFonts w:ascii="Times New Roman" w:hAnsi="Times New Roman" w:cs="Times New Roman"/>
          <w:i/>
          <w:iCs/>
        </w:rPr>
        <w:t>Phyllanthus emblica</w:t>
      </w:r>
      <w:r w:rsidRPr="00437B46">
        <w:rPr>
          <w:rFonts w:ascii="Times New Roman" w:hAnsi="Times New Roman" w:cs="Times New Roman"/>
        </w:rPr>
        <w:t xml:space="preserve">, </w:t>
      </w:r>
      <w:r w:rsidRPr="00437B46">
        <w:rPr>
          <w:rFonts w:ascii="Times New Roman" w:hAnsi="Times New Roman" w:cs="Times New Roman"/>
          <w:i/>
          <w:iCs/>
        </w:rPr>
        <w:t>Terminalia arjuna</w:t>
      </w:r>
      <w:r w:rsidRPr="00437B46">
        <w:rPr>
          <w:rFonts w:ascii="Times New Roman" w:hAnsi="Times New Roman" w:cs="Times New Roman"/>
        </w:rPr>
        <w:t xml:space="preserve">, </w:t>
      </w:r>
      <w:r w:rsidRPr="00437B46">
        <w:rPr>
          <w:rFonts w:ascii="Times New Roman" w:hAnsi="Times New Roman" w:cs="Times New Roman"/>
          <w:i/>
          <w:iCs/>
        </w:rPr>
        <w:t>Eucalyptus tereticornis</w:t>
      </w:r>
      <w:r w:rsidRPr="00437B46">
        <w:rPr>
          <w:rFonts w:ascii="Times New Roman" w:hAnsi="Times New Roman" w:cs="Times New Roman"/>
        </w:rPr>
        <w:t xml:space="preserve">, </w:t>
      </w:r>
      <w:r w:rsidRPr="00437B46">
        <w:rPr>
          <w:rFonts w:ascii="Times New Roman" w:hAnsi="Times New Roman" w:cs="Times New Roman"/>
          <w:i/>
          <w:iCs/>
        </w:rPr>
        <w:t>Vachellia nilotica</w:t>
      </w:r>
      <w:r w:rsidRPr="00437B46">
        <w:rPr>
          <w:rFonts w:ascii="Times New Roman" w:hAnsi="Times New Roman" w:cs="Times New Roman"/>
        </w:rPr>
        <w:t xml:space="preserve">, </w:t>
      </w:r>
      <w:r w:rsidRPr="00437B46">
        <w:rPr>
          <w:rFonts w:ascii="Times New Roman" w:hAnsi="Times New Roman" w:cs="Times New Roman"/>
          <w:i/>
          <w:iCs/>
        </w:rPr>
        <w:t>Melia azedarach</w:t>
      </w:r>
      <w:r w:rsidRPr="00437B46">
        <w:rPr>
          <w:rFonts w:ascii="Times New Roman" w:hAnsi="Times New Roman" w:cs="Times New Roman"/>
        </w:rPr>
        <w:t xml:space="preserve">, </w:t>
      </w:r>
      <w:r w:rsidRPr="00437B46">
        <w:rPr>
          <w:rFonts w:ascii="Times New Roman" w:hAnsi="Times New Roman" w:cs="Times New Roman"/>
          <w:i/>
          <w:iCs/>
        </w:rPr>
        <w:t>Tamarindus indica</w:t>
      </w:r>
      <w:r w:rsidRPr="00437B46">
        <w:rPr>
          <w:rFonts w:ascii="Times New Roman" w:hAnsi="Times New Roman" w:cs="Times New Roman"/>
        </w:rPr>
        <w:t xml:space="preserve">, </w:t>
      </w:r>
      <w:r w:rsidRPr="00437B46">
        <w:rPr>
          <w:rFonts w:ascii="Times New Roman" w:hAnsi="Times New Roman" w:cs="Times New Roman"/>
          <w:i/>
          <w:iCs/>
        </w:rPr>
        <w:t>Cycas revoluta</w:t>
      </w:r>
      <w:r w:rsidRPr="00437B46">
        <w:rPr>
          <w:rFonts w:ascii="Times New Roman" w:hAnsi="Times New Roman" w:cs="Times New Roman"/>
        </w:rPr>
        <w:t xml:space="preserve">, and </w:t>
      </w:r>
      <w:r w:rsidRPr="00437B46">
        <w:rPr>
          <w:rFonts w:ascii="Times New Roman" w:hAnsi="Times New Roman" w:cs="Times New Roman"/>
          <w:i/>
          <w:iCs/>
        </w:rPr>
        <w:t>Pinus roxburghii</w:t>
      </w:r>
      <w:r w:rsidRPr="00437B46">
        <w:rPr>
          <w:rFonts w:ascii="Times New Roman" w:hAnsi="Times New Roman" w:cs="Times New Roman"/>
        </w:rPr>
        <w:t>.</w:t>
      </w:r>
    </w:p>
    <w:p w14:paraId="13087BB0" w14:textId="28E4A1BB" w:rsidR="00D80F01" w:rsidRDefault="00B2196A" w:rsidP="00180ED5">
      <w:pPr>
        <w:jc w:val="both"/>
        <w:rPr>
          <w:rFonts w:ascii="Times New Roman" w:hAnsi="Times New Roman" w:cs="Times New Roman"/>
        </w:rPr>
      </w:pPr>
      <w:r>
        <w:rPr>
          <w:rFonts w:ascii="Times New Roman" w:hAnsi="Times New Roman" w:cs="Times New Roman"/>
          <w:b/>
          <w:bCs/>
        </w:rPr>
        <w:t>N</w:t>
      </w:r>
      <w:r w:rsidR="00D80F01">
        <w:rPr>
          <w:rFonts w:ascii="Times New Roman" w:hAnsi="Times New Roman" w:cs="Times New Roman"/>
          <w:b/>
          <w:bCs/>
        </w:rPr>
        <w:t xml:space="preserve">itrogen content: </w:t>
      </w:r>
      <w:r w:rsidR="00D80F01" w:rsidRPr="00D80F01">
        <w:rPr>
          <w:rFonts w:ascii="Times New Roman" w:hAnsi="Times New Roman" w:cs="Times New Roman"/>
        </w:rPr>
        <w:t xml:space="preserve">Soil available nitrogen was estimated </w:t>
      </w:r>
      <w:r w:rsidR="00D80F01">
        <w:rPr>
          <w:rFonts w:ascii="Times New Roman" w:hAnsi="Times New Roman" w:cs="Times New Roman"/>
        </w:rPr>
        <w:t>by</w:t>
      </w:r>
      <w:r w:rsidR="00D80F01" w:rsidRPr="00D80F01">
        <w:rPr>
          <w:rFonts w:ascii="Times New Roman" w:hAnsi="Times New Roman" w:cs="Times New Roman"/>
        </w:rPr>
        <w:t xml:space="preserve"> the micro</w:t>
      </w:r>
      <w:r w:rsidR="00D80F01">
        <w:rPr>
          <w:rFonts w:ascii="Times New Roman" w:hAnsi="Times New Roman" w:cs="Times New Roman"/>
        </w:rPr>
        <w:t xml:space="preserve"> </w:t>
      </w:r>
      <w:r w:rsidR="00D80F01" w:rsidRPr="00D80F01">
        <w:rPr>
          <w:rFonts w:ascii="Times New Roman" w:hAnsi="Times New Roman" w:cs="Times New Roman"/>
        </w:rPr>
        <w:t>Kjeldahl digestion method as described by Bremner and Mulvaney (1982). Air</w:t>
      </w:r>
      <w:r w:rsidR="00D80F01">
        <w:rPr>
          <w:rFonts w:ascii="Times New Roman" w:hAnsi="Times New Roman" w:cs="Times New Roman"/>
        </w:rPr>
        <w:t xml:space="preserve"> </w:t>
      </w:r>
      <w:r w:rsidR="00D80F01" w:rsidRPr="00D80F01">
        <w:rPr>
          <w:rFonts w:ascii="Times New Roman" w:hAnsi="Times New Roman" w:cs="Times New Roman"/>
        </w:rPr>
        <w:t>dried soil samples were finely ground, passed through a 2mm sieve, and a known weight (1.0g) was transferred into a Kjeldahl digestion flask. To this, 10mL of concentrated sulfuric acid (H₂SO₄) was added along with 1.0g of catalyst mixture consisting of potassium sulfate (K₂SO₄) and copper sulfate (</w:t>
      </w:r>
      <w:proofErr w:type="spellStart"/>
      <w:r w:rsidR="00D80F01" w:rsidRPr="00D80F01">
        <w:rPr>
          <w:rFonts w:ascii="Times New Roman" w:hAnsi="Times New Roman" w:cs="Times New Roman"/>
        </w:rPr>
        <w:t>CuSO</w:t>
      </w:r>
      <w:proofErr w:type="spellEnd"/>
      <w:r w:rsidR="00D80F01" w:rsidRPr="00D80F01">
        <w:rPr>
          <w:rFonts w:ascii="Times New Roman" w:hAnsi="Times New Roman" w:cs="Times New Roman"/>
        </w:rPr>
        <w:t>₄) in an approximate ratio of 10:1. The mixture was digested on a digestion unit until a clear and colorless digest was obtained. After cooling, the digest was diluted with 50mL of distilled water and transferred to a distillation unit. Subsequently, 40mL of 40% sodium hydroxide (NaOH) was added to make the solution alkaline. The liberated ammonia was distilled and absorbed in 25mL of 2% boric acid solution containing a mixed indicator and titrated against 0.01N standard sulfuric acid. The available nitrogen content was calculated from titration values and expressed on a soil basis.</w:t>
      </w:r>
    </w:p>
    <w:p w14:paraId="4DC4B308" w14:textId="4D47D652" w:rsidR="00D303E2" w:rsidRDefault="00B2196A" w:rsidP="00180ED5">
      <w:pPr>
        <w:jc w:val="both"/>
        <w:rPr>
          <w:rFonts w:ascii="Times New Roman" w:hAnsi="Times New Roman" w:cs="Times New Roman"/>
        </w:rPr>
      </w:pPr>
      <w:r w:rsidRPr="00B2196A">
        <w:rPr>
          <w:rFonts w:ascii="Times New Roman" w:hAnsi="Times New Roman" w:cs="Times New Roman"/>
          <w:b/>
          <w:bCs/>
        </w:rPr>
        <w:t>Potassium Content:</w:t>
      </w:r>
      <w:r>
        <w:rPr>
          <w:rFonts w:ascii="Times New Roman" w:hAnsi="Times New Roman" w:cs="Times New Roman"/>
        </w:rPr>
        <w:t xml:space="preserve"> </w:t>
      </w:r>
      <w:r w:rsidR="00D303E2" w:rsidRPr="00D303E2">
        <w:rPr>
          <w:rFonts w:ascii="Times New Roman" w:hAnsi="Times New Roman" w:cs="Times New Roman"/>
        </w:rPr>
        <w:t xml:space="preserve">Available potassium in soil was determined by the chloroplatinic acid (platinic chloride) gravimetric method, a classical procedure based on the selective precipitation of potassium as potassium </w:t>
      </w:r>
      <w:proofErr w:type="spellStart"/>
      <w:r w:rsidR="00D303E2" w:rsidRPr="00D303E2">
        <w:rPr>
          <w:rFonts w:ascii="Times New Roman" w:hAnsi="Times New Roman" w:cs="Times New Roman"/>
        </w:rPr>
        <w:t>hexachloroplatinate</w:t>
      </w:r>
      <w:proofErr w:type="spellEnd"/>
      <w:r w:rsidR="00D303E2" w:rsidRPr="00D303E2">
        <w:rPr>
          <w:rFonts w:ascii="Times New Roman" w:hAnsi="Times New Roman" w:cs="Times New Roman"/>
        </w:rPr>
        <w:t xml:space="preserv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Air</w:t>
      </w:r>
      <w:r w:rsidR="00D303E2">
        <w:rPr>
          <w:rFonts w:ascii="Times New Roman" w:hAnsi="Times New Roman" w:cs="Times New Roman"/>
        </w:rPr>
        <w:t xml:space="preserve"> </w:t>
      </w:r>
      <w:r w:rsidR="00D303E2" w:rsidRPr="00D303E2">
        <w:rPr>
          <w:rFonts w:ascii="Times New Roman" w:hAnsi="Times New Roman" w:cs="Times New Roman"/>
        </w:rPr>
        <w:t>dried soil samples were ground, passed through a 2mm sieve, and a known weight (5.0g) was extracted with 50mL of 1N ammonium acetate (pH 7.0) by shaking for 30 minutes. The extract was filtered, and an appropriate aliquot was taken in a porcelain dish. Ammonium ions were removed by evaporation, after which an excess of chloroplatinic acid (</w:t>
      </w:r>
      <w:proofErr w:type="spellStart"/>
      <w:r w:rsidR="00D303E2" w:rsidRPr="00D303E2">
        <w:rPr>
          <w:rFonts w:ascii="Times New Roman" w:hAnsi="Times New Roman" w:cs="Times New Roman"/>
        </w:rPr>
        <w:t>H₂PtCl</w:t>
      </w:r>
      <w:proofErr w:type="spellEnd"/>
      <w:r w:rsidR="00D303E2" w:rsidRPr="00D303E2">
        <w:rPr>
          <w:rFonts w:ascii="Times New Roman" w:hAnsi="Times New Roman" w:cs="Times New Roman"/>
        </w:rPr>
        <w:t xml:space="preserve">₆) was added. The solution was evaporated on a water bath to a syrupy consistency and treated with 80% ethyl alcohol, dissolving soluble salts while precipitating potassium as yellow crystalline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The precipitate was filtered through a pre</w:t>
      </w:r>
      <w:r w:rsidR="00D303E2">
        <w:rPr>
          <w:rFonts w:ascii="Times New Roman" w:hAnsi="Times New Roman" w:cs="Times New Roman"/>
        </w:rPr>
        <w:t xml:space="preserve"> </w:t>
      </w:r>
      <w:r w:rsidR="00D303E2" w:rsidRPr="00D303E2">
        <w:rPr>
          <w:rFonts w:ascii="Times New Roman" w:hAnsi="Times New Roman" w:cs="Times New Roman"/>
        </w:rPr>
        <w:t xml:space="preserve">weighed </w:t>
      </w:r>
      <w:r w:rsidR="009B42D8">
        <w:rPr>
          <w:rFonts w:ascii="Times New Roman" w:hAnsi="Times New Roman" w:cs="Times New Roman"/>
        </w:rPr>
        <w:t>filtrate</w:t>
      </w:r>
      <w:r w:rsidR="00D303E2" w:rsidRPr="00D303E2">
        <w:rPr>
          <w:rFonts w:ascii="Times New Roman" w:hAnsi="Times New Roman" w:cs="Times New Roman"/>
        </w:rPr>
        <w:t>, washed with alcohol, dried at 100°C, and weighed. Available potassium was calculated using the gravimetric factor and expressed on a soil basis.</w:t>
      </w:r>
    </w:p>
    <w:p w14:paraId="784A46D6" w14:textId="2FE808C9" w:rsidR="0066710D" w:rsidRDefault="0066710D" w:rsidP="00180ED5">
      <w:pPr>
        <w:jc w:val="both"/>
        <w:rPr>
          <w:rFonts w:ascii="Times New Roman" w:hAnsi="Times New Roman" w:cs="Times New Roman"/>
        </w:rPr>
      </w:pPr>
      <w:r w:rsidRPr="0066710D">
        <w:rPr>
          <w:rFonts w:ascii="Times New Roman" w:hAnsi="Times New Roman" w:cs="Times New Roman"/>
          <w:b/>
          <w:bCs/>
        </w:rPr>
        <w:t>P</w:t>
      </w:r>
      <w:r w:rsidR="00B2196A" w:rsidRPr="0066710D">
        <w:rPr>
          <w:rFonts w:ascii="Times New Roman" w:hAnsi="Times New Roman" w:cs="Times New Roman"/>
          <w:b/>
          <w:bCs/>
        </w:rPr>
        <w:t xml:space="preserve">hosphorus </w:t>
      </w:r>
      <w:r w:rsidRPr="0066710D">
        <w:rPr>
          <w:rFonts w:ascii="Times New Roman" w:hAnsi="Times New Roman" w:cs="Times New Roman"/>
          <w:b/>
          <w:bCs/>
        </w:rPr>
        <w:t>Content:</w:t>
      </w:r>
      <w:r>
        <w:rPr>
          <w:rFonts w:ascii="Times New Roman" w:hAnsi="Times New Roman" w:cs="Times New Roman"/>
        </w:rPr>
        <w:t xml:space="preserve"> </w:t>
      </w:r>
      <w:r w:rsidRPr="0066710D">
        <w:rPr>
          <w:rFonts w:ascii="Times New Roman" w:hAnsi="Times New Roman" w:cs="Times New Roman"/>
        </w:rPr>
        <w:t>Total phosphorus in soil extracts was determined using a digestion procedure modified from Brookes et al. (1982). An aliquot of 15mL extract was transferred into a 75mL digestion tube. Sodium bicarbonate extracts were first neutralized by the slow addition of 0.25mL concentrated H₂SO₄ and allowed to stand for 4h with intermittent shaking to remove CO₂, while NH₄F</w:t>
      </w:r>
      <w:r>
        <w:rPr>
          <w:rFonts w:ascii="Times New Roman" w:hAnsi="Times New Roman" w:cs="Times New Roman"/>
        </w:rPr>
        <w:t>-</w:t>
      </w:r>
      <w:r w:rsidRPr="0066710D">
        <w:rPr>
          <w:rFonts w:ascii="Times New Roman" w:hAnsi="Times New Roman" w:cs="Times New Roman"/>
        </w:rPr>
        <w:t xml:space="preserve">HCl extracts were treated with two drops of concentrated H₂SO₄. To minimize frothing and prevent phosphorus loss during digestion, 1.0g K₂SO₄ and 0.5mL saturated </w:t>
      </w:r>
      <w:proofErr w:type="spellStart"/>
      <w:r w:rsidRPr="0066710D">
        <w:rPr>
          <w:rFonts w:ascii="Times New Roman" w:hAnsi="Times New Roman" w:cs="Times New Roman"/>
        </w:rPr>
        <w:t>MgCl</w:t>
      </w:r>
      <w:proofErr w:type="spellEnd"/>
      <w:r w:rsidRPr="0066710D">
        <w:rPr>
          <w:rFonts w:ascii="Times New Roman" w:hAnsi="Times New Roman" w:cs="Times New Roman"/>
        </w:rPr>
        <w:t>₂ were added. Samples were digested at 102</w:t>
      </w:r>
      <w:r>
        <w:rPr>
          <w:rFonts w:ascii="Times New Roman" w:hAnsi="Times New Roman" w:cs="Times New Roman"/>
        </w:rPr>
        <w:t>-</w:t>
      </w:r>
      <w:r w:rsidRPr="0066710D">
        <w:rPr>
          <w:rFonts w:ascii="Times New Roman" w:hAnsi="Times New Roman" w:cs="Times New Roman"/>
        </w:rPr>
        <w:t>105 °C for 30min with 0.2mL of 30% H₂O₂; where color persisted, additional H₂O₂ (0.1</w:t>
      </w:r>
      <w:r w:rsidR="00D303E2">
        <w:rPr>
          <w:rFonts w:ascii="Times New Roman" w:hAnsi="Times New Roman" w:cs="Times New Roman"/>
        </w:rPr>
        <w:t>-</w:t>
      </w:r>
      <w:r w:rsidRPr="0066710D">
        <w:rPr>
          <w:rFonts w:ascii="Times New Roman" w:hAnsi="Times New Roman" w:cs="Times New Roman"/>
        </w:rPr>
        <w:t xml:space="preserve">0.5mL) was added and digestion continued for a further 30 min. Subsequently, 0.5mL of 70% </w:t>
      </w:r>
      <w:proofErr w:type="spellStart"/>
      <w:r w:rsidRPr="0066710D">
        <w:rPr>
          <w:rFonts w:ascii="Times New Roman" w:hAnsi="Times New Roman" w:cs="Times New Roman"/>
        </w:rPr>
        <w:t>HClO</w:t>
      </w:r>
      <w:proofErr w:type="spellEnd"/>
      <w:r w:rsidRPr="0066710D">
        <w:rPr>
          <w:rFonts w:ascii="Times New Roman" w:hAnsi="Times New Roman" w:cs="Times New Roman"/>
        </w:rPr>
        <w:t xml:space="preserve">₄ was added and digestion continued for 1h. After cooling, </w:t>
      </w:r>
      <w:r w:rsidRPr="0066710D">
        <w:rPr>
          <w:rFonts w:ascii="Times New Roman" w:hAnsi="Times New Roman" w:cs="Times New Roman"/>
        </w:rPr>
        <w:lastRenderedPageBreak/>
        <w:t>the volume was made up to 75mL with distilled water, and total phosphorus was determined spectrophotometrically following Olsen and Sommers (1982).</w:t>
      </w:r>
    </w:p>
    <w:p w14:paraId="40AEFC3A" w14:textId="6901A33D" w:rsidR="00F33E82" w:rsidRPr="00226FC8" w:rsidRDefault="007F5A07" w:rsidP="007F0B37">
      <w:pPr>
        <w:jc w:val="both"/>
        <w:rPr>
          <w:rFonts w:ascii="Times New Roman" w:hAnsi="Times New Roman" w:cs="Times New Roman"/>
          <w:b/>
          <w:bCs/>
        </w:rPr>
      </w:pPr>
      <w:r w:rsidRPr="00226FC8">
        <w:rPr>
          <w:rFonts w:ascii="Times New Roman" w:hAnsi="Times New Roman" w:cs="Times New Roman"/>
          <w:b/>
          <w:bCs/>
        </w:rPr>
        <w:t xml:space="preserve">RESULTS </w:t>
      </w:r>
    </w:p>
    <w:p w14:paraId="5AB99954" w14:textId="5620E5B3" w:rsidR="00226FC8" w:rsidRDefault="00D80F01" w:rsidP="00226FC8">
      <w:pPr>
        <w:jc w:val="both"/>
        <w:rPr>
          <w:rFonts w:ascii="Times New Roman" w:hAnsi="Times New Roman" w:cs="Times New Roman"/>
        </w:rPr>
      </w:pPr>
      <w:r>
        <w:rPr>
          <w:rFonts w:ascii="Times New Roman" w:hAnsi="Times New Roman" w:cs="Times New Roman"/>
          <w:b/>
          <w:bCs/>
        </w:rPr>
        <w:t>Available</w:t>
      </w:r>
      <w:r w:rsidR="00C47595" w:rsidRPr="00D65A64">
        <w:rPr>
          <w:rFonts w:ascii="Times New Roman" w:hAnsi="Times New Roman" w:cs="Times New Roman"/>
          <w:b/>
          <w:bCs/>
        </w:rPr>
        <w:t xml:space="preserve"> </w:t>
      </w:r>
      <w:r w:rsidR="00C47595">
        <w:rPr>
          <w:rFonts w:ascii="Times New Roman" w:hAnsi="Times New Roman" w:cs="Times New Roman"/>
          <w:b/>
          <w:bCs/>
        </w:rPr>
        <w:t>Nitrogen</w:t>
      </w:r>
      <w:r w:rsidR="00C47595" w:rsidRPr="00D65A64">
        <w:rPr>
          <w:rFonts w:ascii="Times New Roman" w:hAnsi="Times New Roman" w:cs="Times New Roman"/>
          <w:b/>
          <w:bCs/>
        </w:rPr>
        <w:t xml:space="preserve"> Content </w:t>
      </w:r>
      <w:r w:rsidR="00C47595">
        <w:rPr>
          <w:rFonts w:ascii="Times New Roman" w:hAnsi="Times New Roman" w:cs="Times New Roman"/>
          <w:b/>
          <w:bCs/>
        </w:rPr>
        <w:t xml:space="preserve">(ppm): </w:t>
      </w:r>
      <w:r w:rsidR="00226FC8" w:rsidRPr="00226FC8">
        <w:rPr>
          <w:rFonts w:ascii="Times New Roman" w:hAnsi="Times New Roman" w:cs="Times New Roman"/>
        </w:rPr>
        <w:t>The analysis of variance</w:t>
      </w:r>
      <w:r w:rsidR="00226FC8">
        <w:rPr>
          <w:rFonts w:ascii="Times New Roman" w:hAnsi="Times New Roman" w:cs="Times New Roman"/>
        </w:rPr>
        <w:t xml:space="preserve"> </w:t>
      </w:r>
      <w:r w:rsidR="00226FC8" w:rsidRPr="00226FC8">
        <w:rPr>
          <w:rFonts w:ascii="Times New Roman" w:hAnsi="Times New Roman" w:cs="Times New Roman"/>
        </w:rPr>
        <w:t xml:space="preserve">revealed significant variations </w:t>
      </w:r>
      <w:r w:rsidR="00226FC8">
        <w:rPr>
          <w:rFonts w:ascii="Times New Roman" w:hAnsi="Times New Roman" w:cs="Times New Roman"/>
        </w:rPr>
        <w:t>in</w:t>
      </w:r>
      <w:r w:rsidR="00226FC8" w:rsidRPr="00226FC8">
        <w:rPr>
          <w:rFonts w:ascii="Times New Roman" w:hAnsi="Times New Roman" w:cs="Times New Roman"/>
        </w:rPr>
        <w:t xml:space="preserve"> tree species, environmental conditions, soil depth, and distance for the districts of Jind, Rohtak, and Jhajjar</w:t>
      </w:r>
      <w:r w:rsidR="00C61549">
        <w:rPr>
          <w:rFonts w:ascii="Times New Roman" w:hAnsi="Times New Roman" w:cs="Times New Roman"/>
        </w:rPr>
        <w:t xml:space="preserve"> (Table-1)</w:t>
      </w:r>
      <w:r w:rsidR="00226FC8" w:rsidRPr="00226FC8">
        <w:rPr>
          <w:rFonts w:ascii="Times New Roman" w:hAnsi="Times New Roman" w:cs="Times New Roman"/>
        </w:rPr>
        <w:t xml:space="preserve">. Among all sources of variation, the </w:t>
      </w:r>
      <w:r w:rsidR="00226FC8">
        <w:rPr>
          <w:rFonts w:ascii="Times New Roman" w:hAnsi="Times New Roman" w:cs="Times New Roman"/>
        </w:rPr>
        <w:t>before and after sowing showed</w:t>
      </w:r>
      <w:r w:rsidR="00226FC8" w:rsidRPr="00226FC8">
        <w:rPr>
          <w:rFonts w:ascii="Times New Roman" w:hAnsi="Times New Roman" w:cs="Times New Roman"/>
        </w:rPr>
        <w:t xml:space="preserve"> most pronounced influence, as reflected by the highest mean square values of 23,137.946 in Jind, 19,519.967 in Rohtak, and 20,645.388 in Jhajjar. Soil depth and distance from the tree trunk also accounted for significant variability, with mean square values of 1,378.861 (Jind), 1,449.731 (Rohtak), and 1,032.107 (Jhajjar). In all </w:t>
      </w:r>
      <w:r w:rsidR="00226FC8">
        <w:rPr>
          <w:rFonts w:ascii="Times New Roman" w:hAnsi="Times New Roman" w:cs="Times New Roman"/>
        </w:rPr>
        <w:t>tested parameters</w:t>
      </w:r>
      <w:r w:rsidR="00226FC8" w:rsidRPr="00226FC8">
        <w:rPr>
          <w:rFonts w:ascii="Times New Roman" w:hAnsi="Times New Roman" w:cs="Times New Roman"/>
        </w:rPr>
        <w:t xml:space="preserve"> the depth</w:t>
      </w:r>
      <w:r w:rsidR="00226FC8">
        <w:rPr>
          <w:rFonts w:ascii="Times New Roman" w:hAnsi="Times New Roman" w:cs="Times New Roman"/>
        </w:rPr>
        <w:t xml:space="preserve"> </w:t>
      </w:r>
      <w:r w:rsidR="00226FC8" w:rsidRPr="00226FC8">
        <w:rPr>
          <w:rFonts w:ascii="Times New Roman" w:hAnsi="Times New Roman" w:cs="Times New Roman"/>
        </w:rPr>
        <w:t xml:space="preserve">considerably higher </w:t>
      </w:r>
      <w:r w:rsidR="00226FC8">
        <w:rPr>
          <w:rFonts w:ascii="Times New Roman" w:hAnsi="Times New Roman" w:cs="Times New Roman"/>
        </w:rPr>
        <w:t xml:space="preserve">value </w:t>
      </w:r>
      <w:r w:rsidR="00226FC8" w:rsidRPr="00226FC8">
        <w:rPr>
          <w:rFonts w:ascii="Times New Roman" w:hAnsi="Times New Roman" w:cs="Times New Roman"/>
        </w:rPr>
        <w:t xml:space="preserve">than the T×D intraction, emphasizing the statistical </w:t>
      </w:r>
      <w:r w:rsidR="00936269">
        <w:rPr>
          <w:rFonts w:ascii="Times New Roman" w:hAnsi="Times New Roman" w:cs="Times New Roman"/>
        </w:rPr>
        <w:t>significance</w:t>
      </w:r>
      <w:r w:rsidR="00226FC8" w:rsidRPr="00226FC8">
        <w:rPr>
          <w:rFonts w:ascii="Times New Roman" w:hAnsi="Times New Roman" w:cs="Times New Roman"/>
        </w:rPr>
        <w:t xml:space="preserve"> of depth. Tree species </w:t>
      </w:r>
      <w:r w:rsidR="00936269">
        <w:rPr>
          <w:rFonts w:ascii="Times New Roman" w:hAnsi="Times New Roman" w:cs="Times New Roman"/>
        </w:rPr>
        <w:t>showed</w:t>
      </w:r>
      <w:r w:rsidR="00226FC8" w:rsidRPr="00226FC8">
        <w:rPr>
          <w:rFonts w:ascii="Times New Roman" w:hAnsi="Times New Roman" w:cs="Times New Roman"/>
        </w:rPr>
        <w:t xml:space="preserve"> a comparatively moderate influence, with mean square values of 69.109 in Jind, 77.286 in Rohtak, and 11.878 in Jhajjar. </w:t>
      </w:r>
      <w:r w:rsidR="00427FA2" w:rsidRPr="00427FA2">
        <w:rPr>
          <w:rFonts w:ascii="Times New Roman" w:hAnsi="Times New Roman" w:cs="Times New Roman"/>
          <w:highlight w:val="yellow"/>
        </w:rPr>
        <w:t>Significant interactions (P &lt; 0.001) among tree species, soil depth, and distance were observed in Jind and Rohtak, whereas in Jhajjar the effect of tree species was weaker and statistically non-significant.</w:t>
      </w:r>
      <w:r w:rsidR="00C61549">
        <w:rPr>
          <w:rFonts w:ascii="Times New Roman" w:hAnsi="Times New Roman" w:cs="Times New Roman"/>
        </w:rPr>
        <w:t xml:space="preserve"> Intraction</w:t>
      </w:r>
      <w:r w:rsidR="00226FC8" w:rsidRPr="00226FC8">
        <w:rPr>
          <w:rFonts w:ascii="Times New Roman" w:hAnsi="Times New Roman" w:cs="Times New Roman"/>
        </w:rPr>
        <w:t xml:space="preserve"> effects involving depth, </w:t>
      </w:r>
      <w:r w:rsidR="00C86A16" w:rsidRPr="00226FC8">
        <w:rPr>
          <w:rFonts w:ascii="Times New Roman" w:hAnsi="Times New Roman" w:cs="Times New Roman"/>
        </w:rPr>
        <w:t>especially</w:t>
      </w:r>
      <w:r w:rsidR="00226FC8" w:rsidRPr="00226FC8">
        <w:rPr>
          <w:rFonts w:ascii="Times New Roman" w:hAnsi="Times New Roman" w:cs="Times New Roman"/>
        </w:rPr>
        <w:t xml:space="preserve"> T×D and E×D, indicated </w:t>
      </w:r>
      <w:r w:rsidR="00C86A16" w:rsidRPr="00226FC8">
        <w:rPr>
          <w:rFonts w:ascii="Times New Roman" w:hAnsi="Times New Roman" w:cs="Times New Roman"/>
        </w:rPr>
        <w:t>remarkable</w:t>
      </w:r>
      <w:r w:rsidR="00226FC8" w:rsidRPr="00226FC8">
        <w:rPr>
          <w:rFonts w:ascii="Times New Roman" w:hAnsi="Times New Roman" w:cs="Times New Roman"/>
        </w:rPr>
        <w:t xml:space="preserve"> varia</w:t>
      </w:r>
      <w:r w:rsidR="00C86A16">
        <w:rPr>
          <w:rFonts w:ascii="Times New Roman" w:hAnsi="Times New Roman" w:cs="Times New Roman"/>
        </w:rPr>
        <w:t>tion</w:t>
      </w:r>
      <w:r w:rsidR="00226FC8" w:rsidRPr="00226FC8">
        <w:rPr>
          <w:rFonts w:ascii="Times New Roman" w:hAnsi="Times New Roman" w:cs="Times New Roman"/>
        </w:rPr>
        <w:t xml:space="preserve"> in Jind, where the E×D </w:t>
      </w:r>
      <w:r w:rsidR="00C61549">
        <w:rPr>
          <w:rFonts w:ascii="Times New Roman" w:hAnsi="Times New Roman" w:cs="Times New Roman"/>
        </w:rPr>
        <w:t>intraction</w:t>
      </w:r>
      <w:r w:rsidR="00226FC8" w:rsidRPr="00226FC8">
        <w:rPr>
          <w:rFonts w:ascii="Times New Roman" w:hAnsi="Times New Roman" w:cs="Times New Roman"/>
        </w:rPr>
        <w:t xml:space="preserve"> recorded a mean square value of 47.616</w:t>
      </w:r>
      <w:r w:rsidR="00C61549">
        <w:rPr>
          <w:rFonts w:ascii="Times New Roman" w:hAnsi="Times New Roman" w:cs="Times New Roman"/>
        </w:rPr>
        <w:t xml:space="preserve"> whereas </w:t>
      </w:r>
      <w:r w:rsidR="00226FC8" w:rsidRPr="00226FC8">
        <w:rPr>
          <w:rFonts w:ascii="Times New Roman" w:hAnsi="Times New Roman" w:cs="Times New Roman"/>
        </w:rPr>
        <w:t xml:space="preserve">the </w:t>
      </w:r>
      <w:r w:rsidR="00C61549">
        <w:rPr>
          <w:rFonts w:ascii="Times New Roman" w:hAnsi="Times New Roman" w:cs="Times New Roman"/>
        </w:rPr>
        <w:t>intraction</w:t>
      </w:r>
      <w:r w:rsidR="00226FC8" w:rsidRPr="00226FC8">
        <w:rPr>
          <w:rFonts w:ascii="Times New Roman" w:hAnsi="Times New Roman" w:cs="Times New Roman"/>
        </w:rPr>
        <w:t xml:space="preserve"> (T×E×D) consistently produced the lowest mean square values and exhibited significant </w:t>
      </w:r>
      <w:r w:rsidR="00C61549">
        <w:rPr>
          <w:rFonts w:ascii="Times New Roman" w:hAnsi="Times New Roman" w:cs="Times New Roman"/>
        </w:rPr>
        <w:t xml:space="preserve">at </w:t>
      </w:r>
      <w:r w:rsidR="00C61549" w:rsidRPr="009C01A0">
        <w:rPr>
          <w:rFonts w:ascii="Times New Roman" w:hAnsi="Times New Roman"/>
        </w:rPr>
        <w:t>P&lt;0.001</w:t>
      </w:r>
      <w:r w:rsidR="00C61549">
        <w:rPr>
          <w:rFonts w:ascii="Times New Roman" w:hAnsi="Times New Roman"/>
        </w:rPr>
        <w:t xml:space="preserve"> </w:t>
      </w:r>
      <w:r w:rsidR="00C61549">
        <w:rPr>
          <w:rFonts w:ascii="Times New Roman" w:hAnsi="Times New Roman" w:cs="Times New Roman"/>
        </w:rPr>
        <w:t>of significance level</w:t>
      </w:r>
      <w:r w:rsidR="00226FC8" w:rsidRPr="00226FC8">
        <w:rPr>
          <w:rFonts w:ascii="Times New Roman" w:hAnsi="Times New Roman" w:cs="Times New Roman"/>
        </w:rPr>
        <w:t>. Overall, environmental conditions and soil depth emerged as the dominant factors governing soil variability</w:t>
      </w:r>
      <w:r w:rsidR="00C61549">
        <w:rPr>
          <w:rFonts w:ascii="Times New Roman" w:hAnsi="Times New Roman" w:cs="Times New Roman"/>
        </w:rPr>
        <w:t xml:space="preserve"> for the nitrogen content</w:t>
      </w:r>
      <w:r w:rsidR="00226FC8" w:rsidRPr="00226FC8">
        <w:rPr>
          <w:rFonts w:ascii="Times New Roman" w:hAnsi="Times New Roman" w:cs="Times New Roman"/>
        </w:rPr>
        <w:t>.</w:t>
      </w:r>
    </w:p>
    <w:p w14:paraId="6DF46207" w14:textId="18079303" w:rsidR="00DB3A33" w:rsidRPr="0088784B" w:rsidRDefault="00DB3A33" w:rsidP="00DB3A33">
      <w:pPr>
        <w:jc w:val="both"/>
        <w:rPr>
          <w:rFonts w:ascii="Times New Roman" w:hAnsi="Times New Roman" w:cs="Times New Roman"/>
          <w:b/>
          <w:bCs/>
        </w:rPr>
      </w:pPr>
      <w:r>
        <w:rPr>
          <w:rFonts w:ascii="Times New Roman" w:hAnsi="Times New Roman" w:cs="Times New Roman"/>
          <w:b/>
          <w:bCs/>
        </w:rPr>
        <w:t>Table- 1. A</w:t>
      </w:r>
      <w:r w:rsidRPr="00D65A64">
        <w:rPr>
          <w:rFonts w:ascii="Times New Roman" w:hAnsi="Times New Roman" w:cs="Times New Roman"/>
          <w:b/>
          <w:bCs/>
        </w:rPr>
        <w:t xml:space="preserve">nalysis of variance for soil </w:t>
      </w:r>
      <w:r>
        <w:rPr>
          <w:rFonts w:ascii="Times New Roman" w:hAnsi="Times New Roman" w:cs="Times New Roman"/>
          <w:b/>
          <w:bCs/>
        </w:rPr>
        <w:t>nitrogen</w:t>
      </w:r>
      <w:r w:rsidRPr="00D65A64">
        <w:rPr>
          <w:rFonts w:ascii="Times New Roman" w:hAnsi="Times New Roman" w:cs="Times New Roman"/>
          <w:b/>
          <w:bCs/>
        </w:rPr>
        <w:t xml:space="preserve"> content </w:t>
      </w:r>
      <w:r w:rsidR="001F7431">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951"/>
        <w:gridCol w:w="516"/>
        <w:gridCol w:w="1236"/>
        <w:gridCol w:w="1133"/>
        <w:gridCol w:w="1133"/>
        <w:gridCol w:w="1133"/>
        <w:gridCol w:w="1133"/>
        <w:gridCol w:w="1115"/>
      </w:tblGrid>
      <w:tr w:rsidR="00F33E82" w:rsidRPr="00DB3A33" w14:paraId="1395F030" w14:textId="77777777" w:rsidTr="00C47595">
        <w:trPr>
          <w:trHeight w:val="144"/>
        </w:trPr>
        <w:tc>
          <w:tcPr>
            <w:tcW w:w="1043" w:type="pct"/>
            <w:vMerge w:val="restart"/>
            <w:tcBorders>
              <w:top w:val="single" w:sz="4" w:space="0" w:color="auto"/>
              <w:left w:val="single" w:sz="4" w:space="0" w:color="auto"/>
              <w:bottom w:val="single" w:sz="4" w:space="0" w:color="auto"/>
              <w:right w:val="single" w:sz="4" w:space="0" w:color="auto"/>
            </w:tcBorders>
            <w:hideMark/>
          </w:tcPr>
          <w:p w14:paraId="645C7D9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76" w:type="pct"/>
            <w:vMerge w:val="restart"/>
            <w:tcBorders>
              <w:top w:val="single" w:sz="4" w:space="0" w:color="auto"/>
              <w:left w:val="single" w:sz="4" w:space="0" w:color="auto"/>
              <w:bottom w:val="single" w:sz="4" w:space="0" w:color="auto"/>
              <w:right w:val="single" w:sz="4" w:space="0" w:color="auto"/>
            </w:tcBorders>
            <w:hideMark/>
          </w:tcPr>
          <w:p w14:paraId="4B4B640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67" w:type="pct"/>
            <w:gridSpan w:val="2"/>
            <w:tcBorders>
              <w:top w:val="single" w:sz="4" w:space="0" w:color="auto"/>
              <w:left w:val="nil"/>
              <w:bottom w:val="single" w:sz="4" w:space="0" w:color="auto"/>
              <w:right w:val="single" w:sz="4" w:space="0" w:color="auto"/>
            </w:tcBorders>
            <w:hideMark/>
          </w:tcPr>
          <w:p w14:paraId="2649F7C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12" w:type="pct"/>
            <w:gridSpan w:val="2"/>
            <w:tcBorders>
              <w:top w:val="single" w:sz="4" w:space="0" w:color="auto"/>
              <w:left w:val="nil"/>
              <w:bottom w:val="single" w:sz="4" w:space="0" w:color="auto"/>
              <w:right w:val="single" w:sz="4" w:space="0" w:color="auto"/>
            </w:tcBorders>
            <w:noWrap/>
            <w:hideMark/>
          </w:tcPr>
          <w:p w14:paraId="7EB44C5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202" w:type="pct"/>
            <w:gridSpan w:val="2"/>
            <w:tcBorders>
              <w:top w:val="single" w:sz="4" w:space="0" w:color="auto"/>
              <w:left w:val="nil"/>
              <w:bottom w:val="single" w:sz="4" w:space="0" w:color="auto"/>
              <w:right w:val="single" w:sz="4" w:space="0" w:color="auto"/>
            </w:tcBorders>
            <w:noWrap/>
            <w:hideMark/>
          </w:tcPr>
          <w:p w14:paraId="65E1696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75C21B6A" w14:textId="77777777" w:rsidTr="00C47595">
        <w:trPr>
          <w:trHeight w:val="144"/>
        </w:trPr>
        <w:tc>
          <w:tcPr>
            <w:tcW w:w="1043" w:type="pct"/>
            <w:vMerge/>
            <w:tcBorders>
              <w:top w:val="single" w:sz="4" w:space="0" w:color="auto"/>
              <w:left w:val="single" w:sz="4" w:space="0" w:color="auto"/>
              <w:bottom w:val="single" w:sz="4" w:space="0" w:color="auto"/>
              <w:right w:val="single" w:sz="4" w:space="0" w:color="auto"/>
            </w:tcBorders>
            <w:hideMark/>
          </w:tcPr>
          <w:p w14:paraId="7A2C0B6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76" w:type="pct"/>
            <w:vMerge/>
            <w:tcBorders>
              <w:top w:val="single" w:sz="4" w:space="0" w:color="auto"/>
              <w:left w:val="single" w:sz="4" w:space="0" w:color="auto"/>
              <w:bottom w:val="single" w:sz="4" w:space="0" w:color="auto"/>
              <w:right w:val="single" w:sz="4" w:space="0" w:color="auto"/>
            </w:tcBorders>
            <w:hideMark/>
          </w:tcPr>
          <w:p w14:paraId="06BE171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61" w:type="pct"/>
            <w:tcBorders>
              <w:top w:val="nil"/>
              <w:left w:val="nil"/>
              <w:bottom w:val="single" w:sz="4" w:space="0" w:color="auto"/>
              <w:right w:val="single" w:sz="4" w:space="0" w:color="auto"/>
            </w:tcBorders>
            <w:noWrap/>
            <w:hideMark/>
          </w:tcPr>
          <w:p w14:paraId="4589329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3B658A4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417719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112448B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3806B6D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96" w:type="pct"/>
            <w:tcBorders>
              <w:top w:val="nil"/>
              <w:left w:val="nil"/>
              <w:bottom w:val="single" w:sz="4" w:space="0" w:color="auto"/>
              <w:right w:val="single" w:sz="4" w:space="0" w:color="auto"/>
            </w:tcBorders>
            <w:noWrap/>
            <w:hideMark/>
          </w:tcPr>
          <w:p w14:paraId="74A1944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1C92A06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2A2B78E" w14:textId="340F2B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76" w:type="pct"/>
            <w:tcBorders>
              <w:top w:val="nil"/>
              <w:left w:val="nil"/>
              <w:bottom w:val="single" w:sz="4" w:space="0" w:color="auto"/>
              <w:right w:val="single" w:sz="4" w:space="0" w:color="auto"/>
            </w:tcBorders>
            <w:hideMark/>
          </w:tcPr>
          <w:p w14:paraId="27689AC7"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730696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6,334.21</w:t>
            </w:r>
          </w:p>
        </w:tc>
        <w:tc>
          <w:tcPr>
            <w:tcW w:w="606" w:type="pct"/>
            <w:tcBorders>
              <w:top w:val="nil"/>
              <w:left w:val="nil"/>
              <w:bottom w:val="single" w:sz="4" w:space="0" w:color="auto"/>
              <w:right w:val="single" w:sz="4" w:space="0" w:color="auto"/>
            </w:tcBorders>
            <w:hideMark/>
          </w:tcPr>
          <w:p w14:paraId="5EB9BDD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703.801</w:t>
            </w:r>
          </w:p>
        </w:tc>
        <w:tc>
          <w:tcPr>
            <w:tcW w:w="606" w:type="pct"/>
            <w:tcBorders>
              <w:top w:val="nil"/>
              <w:left w:val="nil"/>
              <w:bottom w:val="single" w:sz="4" w:space="0" w:color="auto"/>
              <w:right w:val="single" w:sz="4" w:space="0" w:color="auto"/>
            </w:tcBorders>
            <w:hideMark/>
          </w:tcPr>
          <w:p w14:paraId="16B58D5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7,830.15</w:t>
            </w:r>
          </w:p>
        </w:tc>
        <w:tc>
          <w:tcPr>
            <w:tcW w:w="606" w:type="pct"/>
            <w:tcBorders>
              <w:top w:val="nil"/>
              <w:left w:val="nil"/>
              <w:bottom w:val="single" w:sz="4" w:space="0" w:color="auto"/>
              <w:right w:val="single" w:sz="4" w:space="0" w:color="auto"/>
            </w:tcBorders>
            <w:hideMark/>
          </w:tcPr>
          <w:p w14:paraId="4DFC3C7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870.017</w:t>
            </w:r>
          </w:p>
        </w:tc>
        <w:tc>
          <w:tcPr>
            <w:tcW w:w="606" w:type="pct"/>
            <w:tcBorders>
              <w:top w:val="nil"/>
              <w:left w:val="nil"/>
              <w:bottom w:val="single" w:sz="4" w:space="0" w:color="000000"/>
              <w:right w:val="single" w:sz="4" w:space="0" w:color="000000"/>
            </w:tcBorders>
            <w:hideMark/>
          </w:tcPr>
          <w:p w14:paraId="60A77BD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1,454.80</w:t>
            </w:r>
          </w:p>
        </w:tc>
        <w:tc>
          <w:tcPr>
            <w:tcW w:w="596" w:type="pct"/>
            <w:tcBorders>
              <w:top w:val="nil"/>
              <w:left w:val="nil"/>
              <w:bottom w:val="single" w:sz="4" w:space="0" w:color="000000"/>
              <w:right w:val="single" w:sz="4" w:space="0" w:color="000000"/>
            </w:tcBorders>
            <w:hideMark/>
          </w:tcPr>
          <w:p w14:paraId="1447ABB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161.645</w:t>
            </w:r>
          </w:p>
        </w:tc>
      </w:tr>
      <w:tr w:rsidR="00F33E82" w:rsidRPr="00DB3A33" w14:paraId="23E66C6A"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4020A054" w14:textId="266A4D2B"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76" w:type="pct"/>
            <w:tcBorders>
              <w:top w:val="nil"/>
              <w:left w:val="nil"/>
              <w:bottom w:val="single" w:sz="4" w:space="0" w:color="auto"/>
              <w:right w:val="single" w:sz="4" w:space="0" w:color="auto"/>
            </w:tcBorders>
            <w:hideMark/>
          </w:tcPr>
          <w:p w14:paraId="3EB39B9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61" w:type="pct"/>
            <w:tcBorders>
              <w:top w:val="nil"/>
              <w:left w:val="nil"/>
              <w:bottom w:val="single" w:sz="4" w:space="0" w:color="auto"/>
              <w:right w:val="single" w:sz="4" w:space="0" w:color="auto"/>
            </w:tcBorders>
            <w:hideMark/>
          </w:tcPr>
          <w:p w14:paraId="0B64F15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3A8B1EE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062E23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auto"/>
              <w:right w:val="single" w:sz="4" w:space="0" w:color="auto"/>
            </w:tcBorders>
            <w:hideMark/>
          </w:tcPr>
          <w:p w14:paraId="331FF75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000000"/>
              <w:right w:val="single" w:sz="4" w:space="0" w:color="000000"/>
            </w:tcBorders>
            <w:hideMark/>
          </w:tcPr>
          <w:p w14:paraId="6C60A1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c>
          <w:tcPr>
            <w:tcW w:w="596" w:type="pct"/>
            <w:tcBorders>
              <w:top w:val="nil"/>
              <w:left w:val="nil"/>
              <w:bottom w:val="single" w:sz="4" w:space="0" w:color="000000"/>
              <w:right w:val="single" w:sz="4" w:space="0" w:color="000000"/>
            </w:tcBorders>
            <w:hideMark/>
          </w:tcPr>
          <w:p w14:paraId="5215A84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r>
      <w:tr w:rsidR="00F33E82" w:rsidRPr="00DB3A33" w14:paraId="7272E8A7"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59D9DB33" w14:textId="13C7243D"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(T×E)</w:t>
            </w:r>
          </w:p>
        </w:tc>
        <w:tc>
          <w:tcPr>
            <w:tcW w:w="276" w:type="pct"/>
            <w:tcBorders>
              <w:top w:val="nil"/>
              <w:left w:val="nil"/>
              <w:bottom w:val="single" w:sz="4" w:space="0" w:color="auto"/>
              <w:right w:val="single" w:sz="4" w:space="0" w:color="auto"/>
            </w:tcBorders>
            <w:hideMark/>
          </w:tcPr>
          <w:p w14:paraId="15BB12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44BA584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690.01</w:t>
            </w:r>
          </w:p>
        </w:tc>
        <w:tc>
          <w:tcPr>
            <w:tcW w:w="606" w:type="pct"/>
            <w:tcBorders>
              <w:top w:val="nil"/>
              <w:left w:val="nil"/>
              <w:bottom w:val="single" w:sz="4" w:space="0" w:color="auto"/>
              <w:right w:val="single" w:sz="4" w:space="0" w:color="auto"/>
            </w:tcBorders>
            <w:hideMark/>
          </w:tcPr>
          <w:p w14:paraId="3BD9BE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76.668</w:t>
            </w:r>
          </w:p>
        </w:tc>
        <w:tc>
          <w:tcPr>
            <w:tcW w:w="606" w:type="pct"/>
            <w:tcBorders>
              <w:top w:val="nil"/>
              <w:left w:val="nil"/>
              <w:bottom w:val="single" w:sz="4" w:space="0" w:color="auto"/>
              <w:right w:val="single" w:sz="4" w:space="0" w:color="auto"/>
            </w:tcBorders>
            <w:hideMark/>
          </w:tcPr>
          <w:p w14:paraId="2B6C9BD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1,271.30</w:t>
            </w:r>
          </w:p>
        </w:tc>
        <w:tc>
          <w:tcPr>
            <w:tcW w:w="606" w:type="pct"/>
            <w:tcBorders>
              <w:top w:val="nil"/>
              <w:left w:val="nil"/>
              <w:bottom w:val="single" w:sz="4" w:space="0" w:color="auto"/>
              <w:right w:val="single" w:sz="4" w:space="0" w:color="auto"/>
            </w:tcBorders>
            <w:hideMark/>
          </w:tcPr>
          <w:p w14:paraId="00A290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141.256</w:t>
            </w:r>
          </w:p>
        </w:tc>
        <w:tc>
          <w:tcPr>
            <w:tcW w:w="606" w:type="pct"/>
            <w:tcBorders>
              <w:top w:val="nil"/>
              <w:left w:val="nil"/>
              <w:bottom w:val="single" w:sz="4" w:space="0" w:color="000000"/>
              <w:right w:val="single" w:sz="4" w:space="0" w:color="000000"/>
            </w:tcBorders>
            <w:hideMark/>
          </w:tcPr>
          <w:p w14:paraId="77999CD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201.679</w:t>
            </w:r>
          </w:p>
        </w:tc>
        <w:tc>
          <w:tcPr>
            <w:tcW w:w="596" w:type="pct"/>
            <w:tcBorders>
              <w:top w:val="nil"/>
              <w:left w:val="nil"/>
              <w:bottom w:val="single" w:sz="4" w:space="0" w:color="000000"/>
              <w:right w:val="single" w:sz="4" w:space="0" w:color="000000"/>
            </w:tcBorders>
            <w:hideMark/>
          </w:tcPr>
          <w:p w14:paraId="5B23409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22.409</w:t>
            </w:r>
          </w:p>
        </w:tc>
      </w:tr>
      <w:tr w:rsidR="00F33E82" w:rsidRPr="00DB3A33" w14:paraId="41C3117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D544727" w14:textId="63997A8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76" w:type="pct"/>
            <w:tcBorders>
              <w:top w:val="nil"/>
              <w:left w:val="nil"/>
              <w:bottom w:val="single" w:sz="4" w:space="0" w:color="auto"/>
              <w:right w:val="single" w:sz="4" w:space="0" w:color="auto"/>
            </w:tcBorders>
            <w:hideMark/>
          </w:tcPr>
          <w:p w14:paraId="653A800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104D82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98,589.81</w:t>
            </w:r>
          </w:p>
        </w:tc>
        <w:tc>
          <w:tcPr>
            <w:tcW w:w="606" w:type="pct"/>
            <w:tcBorders>
              <w:top w:val="nil"/>
              <w:left w:val="nil"/>
              <w:bottom w:val="single" w:sz="4" w:space="0" w:color="auto"/>
              <w:right w:val="single" w:sz="4" w:space="0" w:color="auto"/>
            </w:tcBorders>
            <w:hideMark/>
          </w:tcPr>
          <w:p w14:paraId="0889B91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6,572.65</w:t>
            </w:r>
          </w:p>
        </w:tc>
        <w:tc>
          <w:tcPr>
            <w:tcW w:w="606" w:type="pct"/>
            <w:tcBorders>
              <w:top w:val="nil"/>
              <w:left w:val="nil"/>
              <w:bottom w:val="single" w:sz="4" w:space="0" w:color="auto"/>
              <w:right w:val="single" w:sz="4" w:space="0" w:color="auto"/>
            </w:tcBorders>
            <w:hideMark/>
          </w:tcPr>
          <w:p w14:paraId="268DC4C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181,531.17</w:t>
            </w:r>
          </w:p>
        </w:tc>
        <w:tc>
          <w:tcPr>
            <w:tcW w:w="606" w:type="pct"/>
            <w:tcBorders>
              <w:top w:val="nil"/>
              <w:left w:val="nil"/>
              <w:bottom w:val="single" w:sz="4" w:space="0" w:color="auto"/>
              <w:right w:val="single" w:sz="4" w:space="0" w:color="auto"/>
            </w:tcBorders>
            <w:hideMark/>
          </w:tcPr>
          <w:p w14:paraId="27C1D21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12,102.08</w:t>
            </w:r>
          </w:p>
        </w:tc>
        <w:tc>
          <w:tcPr>
            <w:tcW w:w="606" w:type="pct"/>
            <w:tcBorders>
              <w:top w:val="nil"/>
              <w:left w:val="nil"/>
              <w:bottom w:val="single" w:sz="4" w:space="0" w:color="000000"/>
              <w:right w:val="single" w:sz="4" w:space="0" w:color="000000"/>
            </w:tcBorders>
            <w:hideMark/>
          </w:tcPr>
          <w:p w14:paraId="51A59C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75,718.60</w:t>
            </w:r>
          </w:p>
        </w:tc>
        <w:tc>
          <w:tcPr>
            <w:tcW w:w="596" w:type="pct"/>
            <w:tcBorders>
              <w:top w:val="nil"/>
              <w:left w:val="nil"/>
              <w:bottom w:val="single" w:sz="4" w:space="0" w:color="000000"/>
              <w:right w:val="single" w:sz="4" w:space="0" w:color="000000"/>
            </w:tcBorders>
            <w:hideMark/>
          </w:tcPr>
          <w:p w14:paraId="5962E39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5,047.91</w:t>
            </w:r>
          </w:p>
        </w:tc>
      </w:tr>
      <w:tr w:rsidR="00F33E82" w:rsidRPr="00DB3A33" w14:paraId="295BBD4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7382FA98" w14:textId="179A6D26"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T×D</w:t>
            </w:r>
          </w:p>
        </w:tc>
        <w:tc>
          <w:tcPr>
            <w:tcW w:w="276" w:type="pct"/>
            <w:tcBorders>
              <w:top w:val="nil"/>
              <w:left w:val="nil"/>
              <w:bottom w:val="single" w:sz="4" w:space="0" w:color="auto"/>
              <w:right w:val="single" w:sz="4" w:space="0" w:color="auto"/>
            </w:tcBorders>
            <w:hideMark/>
          </w:tcPr>
          <w:p w14:paraId="02D481A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2D7F5F0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7,566.98</w:t>
            </w:r>
          </w:p>
        </w:tc>
        <w:tc>
          <w:tcPr>
            <w:tcW w:w="606" w:type="pct"/>
            <w:tcBorders>
              <w:top w:val="nil"/>
              <w:left w:val="nil"/>
              <w:bottom w:val="single" w:sz="4" w:space="0" w:color="auto"/>
              <w:right w:val="single" w:sz="4" w:space="0" w:color="auto"/>
            </w:tcBorders>
            <w:hideMark/>
          </w:tcPr>
          <w:p w14:paraId="0A6E5F1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56.052</w:t>
            </w:r>
          </w:p>
        </w:tc>
        <w:tc>
          <w:tcPr>
            <w:tcW w:w="606" w:type="pct"/>
            <w:tcBorders>
              <w:top w:val="nil"/>
              <w:left w:val="nil"/>
              <w:bottom w:val="single" w:sz="4" w:space="0" w:color="auto"/>
              <w:right w:val="single" w:sz="4" w:space="0" w:color="auto"/>
            </w:tcBorders>
            <w:hideMark/>
          </w:tcPr>
          <w:p w14:paraId="474235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22,480.05</w:t>
            </w:r>
          </w:p>
        </w:tc>
        <w:tc>
          <w:tcPr>
            <w:tcW w:w="606" w:type="pct"/>
            <w:tcBorders>
              <w:top w:val="nil"/>
              <w:left w:val="nil"/>
              <w:bottom w:val="single" w:sz="4" w:space="0" w:color="auto"/>
              <w:right w:val="single" w:sz="4" w:space="0" w:color="auto"/>
            </w:tcBorders>
            <w:hideMark/>
          </w:tcPr>
          <w:p w14:paraId="52006C9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166.519</w:t>
            </w:r>
          </w:p>
        </w:tc>
        <w:tc>
          <w:tcPr>
            <w:tcW w:w="606" w:type="pct"/>
            <w:tcBorders>
              <w:top w:val="nil"/>
              <w:left w:val="nil"/>
              <w:bottom w:val="single" w:sz="4" w:space="0" w:color="000000"/>
              <w:right w:val="single" w:sz="4" w:space="0" w:color="000000"/>
            </w:tcBorders>
            <w:hideMark/>
          </w:tcPr>
          <w:p w14:paraId="75531FD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3,534.49</w:t>
            </w:r>
          </w:p>
        </w:tc>
        <w:tc>
          <w:tcPr>
            <w:tcW w:w="596" w:type="pct"/>
            <w:tcBorders>
              <w:top w:val="nil"/>
              <w:left w:val="nil"/>
              <w:bottom w:val="single" w:sz="4" w:space="0" w:color="000000"/>
              <w:right w:val="single" w:sz="4" w:space="0" w:color="000000"/>
            </w:tcBorders>
            <w:hideMark/>
          </w:tcPr>
          <w:p w14:paraId="10F88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26.181</w:t>
            </w:r>
          </w:p>
        </w:tc>
      </w:tr>
      <w:tr w:rsidR="00F33E82" w:rsidRPr="00DB3A33" w14:paraId="79F0FDF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F7A496E" w14:textId="0D4E35DC"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(E×D)</w:t>
            </w:r>
          </w:p>
        </w:tc>
        <w:tc>
          <w:tcPr>
            <w:tcW w:w="276" w:type="pct"/>
            <w:tcBorders>
              <w:top w:val="nil"/>
              <w:left w:val="nil"/>
              <w:bottom w:val="single" w:sz="4" w:space="0" w:color="auto"/>
              <w:right w:val="single" w:sz="4" w:space="0" w:color="auto"/>
            </w:tcBorders>
            <w:hideMark/>
          </w:tcPr>
          <w:p w14:paraId="515FD09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63D2CDB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16,286.44</w:t>
            </w:r>
          </w:p>
        </w:tc>
        <w:tc>
          <w:tcPr>
            <w:tcW w:w="606" w:type="pct"/>
            <w:tcBorders>
              <w:top w:val="nil"/>
              <w:left w:val="nil"/>
              <w:bottom w:val="single" w:sz="4" w:space="0" w:color="auto"/>
              <w:right w:val="single" w:sz="4" w:space="0" w:color="auto"/>
            </w:tcBorders>
            <w:hideMark/>
          </w:tcPr>
          <w:p w14:paraId="292B6FB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1,085.76</w:t>
            </w:r>
          </w:p>
        </w:tc>
        <w:tc>
          <w:tcPr>
            <w:tcW w:w="606" w:type="pct"/>
            <w:tcBorders>
              <w:top w:val="nil"/>
              <w:left w:val="nil"/>
              <w:bottom w:val="single" w:sz="4" w:space="0" w:color="auto"/>
              <w:right w:val="single" w:sz="4" w:space="0" w:color="auto"/>
            </w:tcBorders>
            <w:hideMark/>
          </w:tcPr>
          <w:p w14:paraId="02690E0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32,373.76</w:t>
            </w:r>
          </w:p>
        </w:tc>
        <w:tc>
          <w:tcPr>
            <w:tcW w:w="606" w:type="pct"/>
            <w:tcBorders>
              <w:top w:val="nil"/>
              <w:left w:val="nil"/>
              <w:bottom w:val="single" w:sz="4" w:space="0" w:color="auto"/>
              <w:right w:val="single" w:sz="4" w:space="0" w:color="auto"/>
            </w:tcBorders>
            <w:hideMark/>
          </w:tcPr>
          <w:p w14:paraId="134C00E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2,158.25</w:t>
            </w:r>
          </w:p>
        </w:tc>
        <w:tc>
          <w:tcPr>
            <w:tcW w:w="606" w:type="pct"/>
            <w:tcBorders>
              <w:top w:val="nil"/>
              <w:left w:val="nil"/>
              <w:bottom w:val="single" w:sz="4" w:space="0" w:color="000000"/>
              <w:right w:val="single" w:sz="4" w:space="0" w:color="000000"/>
            </w:tcBorders>
            <w:hideMark/>
          </w:tcPr>
          <w:p w14:paraId="65CA858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12,732.62</w:t>
            </w:r>
          </w:p>
        </w:tc>
        <w:tc>
          <w:tcPr>
            <w:tcW w:w="596" w:type="pct"/>
            <w:tcBorders>
              <w:top w:val="nil"/>
              <w:left w:val="nil"/>
              <w:bottom w:val="single" w:sz="4" w:space="0" w:color="000000"/>
              <w:right w:val="single" w:sz="4" w:space="0" w:color="000000"/>
            </w:tcBorders>
            <w:hideMark/>
          </w:tcPr>
          <w:p w14:paraId="2570F84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848.842</w:t>
            </w:r>
          </w:p>
        </w:tc>
      </w:tr>
      <w:tr w:rsidR="00F33E82" w:rsidRPr="00DB3A33" w14:paraId="77B94C64"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2D4C3F48" w14:textId="7F49F7F2"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(T×E×D)</w:t>
            </w:r>
          </w:p>
        </w:tc>
        <w:tc>
          <w:tcPr>
            <w:tcW w:w="276" w:type="pct"/>
            <w:tcBorders>
              <w:top w:val="nil"/>
              <w:left w:val="nil"/>
              <w:bottom w:val="single" w:sz="4" w:space="0" w:color="auto"/>
              <w:right w:val="single" w:sz="4" w:space="0" w:color="auto"/>
            </w:tcBorders>
            <w:hideMark/>
          </w:tcPr>
          <w:p w14:paraId="6124708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4DFD5D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1,090.54</w:t>
            </w:r>
          </w:p>
        </w:tc>
        <w:tc>
          <w:tcPr>
            <w:tcW w:w="606" w:type="pct"/>
            <w:tcBorders>
              <w:top w:val="nil"/>
              <w:left w:val="nil"/>
              <w:bottom w:val="single" w:sz="4" w:space="0" w:color="auto"/>
              <w:right w:val="single" w:sz="4" w:space="0" w:color="auto"/>
            </w:tcBorders>
            <w:hideMark/>
          </w:tcPr>
          <w:p w14:paraId="0BE9B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8.078</w:t>
            </w:r>
          </w:p>
        </w:tc>
        <w:tc>
          <w:tcPr>
            <w:tcW w:w="606" w:type="pct"/>
            <w:tcBorders>
              <w:top w:val="nil"/>
              <w:left w:val="nil"/>
              <w:bottom w:val="single" w:sz="4" w:space="0" w:color="auto"/>
              <w:right w:val="single" w:sz="4" w:space="0" w:color="auto"/>
            </w:tcBorders>
            <w:hideMark/>
          </w:tcPr>
          <w:p w14:paraId="201A19C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3,962.18</w:t>
            </w:r>
          </w:p>
        </w:tc>
        <w:tc>
          <w:tcPr>
            <w:tcW w:w="606" w:type="pct"/>
            <w:tcBorders>
              <w:top w:val="nil"/>
              <w:left w:val="nil"/>
              <w:bottom w:val="single" w:sz="4" w:space="0" w:color="auto"/>
              <w:right w:val="single" w:sz="4" w:space="0" w:color="auto"/>
            </w:tcBorders>
            <w:hideMark/>
          </w:tcPr>
          <w:p w14:paraId="245ABB2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29.349</w:t>
            </w:r>
          </w:p>
        </w:tc>
        <w:tc>
          <w:tcPr>
            <w:tcW w:w="606" w:type="pct"/>
            <w:tcBorders>
              <w:top w:val="nil"/>
              <w:left w:val="nil"/>
              <w:bottom w:val="single" w:sz="4" w:space="0" w:color="000000"/>
              <w:right w:val="single" w:sz="4" w:space="0" w:color="000000"/>
            </w:tcBorders>
            <w:hideMark/>
          </w:tcPr>
          <w:p w14:paraId="47CBCB2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538.984</w:t>
            </w:r>
          </w:p>
        </w:tc>
        <w:tc>
          <w:tcPr>
            <w:tcW w:w="596" w:type="pct"/>
            <w:tcBorders>
              <w:top w:val="nil"/>
              <w:left w:val="nil"/>
              <w:bottom w:val="single" w:sz="4" w:space="0" w:color="000000"/>
              <w:right w:val="single" w:sz="4" w:space="0" w:color="000000"/>
            </w:tcBorders>
            <w:hideMark/>
          </w:tcPr>
          <w:p w14:paraId="703D38C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3.992</w:t>
            </w:r>
          </w:p>
        </w:tc>
      </w:tr>
    </w:tbl>
    <w:p w14:paraId="6823B5C8"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792DC433" w14:textId="13964F25" w:rsidR="00C47595" w:rsidRDefault="00D80F01" w:rsidP="00C47595">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08014A">
        <w:rPr>
          <w:rFonts w:ascii="Times New Roman" w:hAnsi="Times New Roman" w:cs="Times New Roman"/>
          <w:b/>
          <w:bCs/>
        </w:rPr>
        <w:t>P</w:t>
      </w:r>
      <w:r w:rsidR="0008014A" w:rsidRPr="0008014A">
        <w:rPr>
          <w:rFonts w:ascii="Times New Roman" w:hAnsi="Times New Roman" w:cs="Times New Roman"/>
          <w:b/>
          <w:bCs/>
        </w:rPr>
        <w:t>hosphorus</w:t>
      </w:r>
      <w:r w:rsidR="0008014A" w:rsidRPr="00D65A64">
        <w:rPr>
          <w:rFonts w:ascii="Times New Roman" w:hAnsi="Times New Roman" w:cs="Times New Roman"/>
          <w:b/>
          <w:bCs/>
        </w:rPr>
        <w:t xml:space="preserve"> Content </w:t>
      </w:r>
      <w:r w:rsidR="0008014A">
        <w:rPr>
          <w:rFonts w:ascii="Times New Roman" w:hAnsi="Times New Roman" w:cs="Times New Roman"/>
          <w:b/>
          <w:bCs/>
        </w:rPr>
        <w:t xml:space="preserve">(ppm): </w:t>
      </w:r>
      <w:r w:rsidR="00C47595" w:rsidRPr="00C47595">
        <w:rPr>
          <w:rFonts w:ascii="Times New Roman" w:hAnsi="Times New Roman" w:cs="Times New Roman"/>
        </w:rPr>
        <w:t xml:space="preserve">The analysis of variance revealed that soil phosphorus content varied significantly with tree species, environmental conditions, soil depth, and their </w:t>
      </w:r>
      <w:r w:rsidR="0008014A">
        <w:rPr>
          <w:rFonts w:ascii="Times New Roman" w:hAnsi="Times New Roman" w:cs="Times New Roman"/>
        </w:rPr>
        <w:t>interaction</w:t>
      </w:r>
      <w:r w:rsidR="00C47595" w:rsidRPr="00C47595">
        <w:rPr>
          <w:rFonts w:ascii="Times New Roman" w:hAnsi="Times New Roman" w:cs="Times New Roman"/>
        </w:rPr>
        <w:t xml:space="preserve"> across the districts of Jind, Rohtak, and Jhajjar</w:t>
      </w:r>
      <w:r w:rsidR="00660827">
        <w:rPr>
          <w:rFonts w:ascii="Times New Roman" w:hAnsi="Times New Roman" w:cs="Times New Roman"/>
        </w:rPr>
        <w:t xml:space="preserve"> (Table-2)</w:t>
      </w:r>
      <w:r w:rsidR="00C47595" w:rsidRPr="00C47595">
        <w:rPr>
          <w:rFonts w:ascii="Times New Roman" w:hAnsi="Times New Roman" w:cs="Times New Roman"/>
        </w:rPr>
        <w:t xml:space="preserve">. </w:t>
      </w:r>
      <w:r w:rsidR="0008014A">
        <w:rPr>
          <w:rFonts w:ascii="Times New Roman" w:hAnsi="Times New Roman" w:cs="Times New Roman"/>
        </w:rPr>
        <w:t>T</w:t>
      </w:r>
      <w:r w:rsidR="00C47595" w:rsidRPr="00C47595">
        <w:rPr>
          <w:rFonts w:ascii="Times New Roman" w:hAnsi="Times New Roman" w:cs="Times New Roman"/>
        </w:rPr>
        <w:t xml:space="preserve">he environment </w:t>
      </w:r>
      <w:r w:rsidR="0008014A">
        <w:rPr>
          <w:rFonts w:ascii="Times New Roman" w:hAnsi="Times New Roman" w:cs="Times New Roman"/>
        </w:rPr>
        <w:t xml:space="preserve">found significant </w:t>
      </w:r>
      <w:r w:rsidR="00C47595" w:rsidRPr="00C47595">
        <w:rPr>
          <w:rFonts w:ascii="Times New Roman" w:hAnsi="Times New Roman" w:cs="Times New Roman"/>
        </w:rPr>
        <w:t xml:space="preserve">variation in all </w:t>
      </w:r>
      <w:r w:rsidR="0008014A">
        <w:rPr>
          <w:rFonts w:ascii="Times New Roman" w:hAnsi="Times New Roman" w:cs="Times New Roman"/>
        </w:rPr>
        <w:t xml:space="preserve">sampling sites and </w:t>
      </w:r>
      <w:r w:rsidR="00C47595" w:rsidRPr="00C47595">
        <w:rPr>
          <w:rFonts w:ascii="Times New Roman" w:hAnsi="Times New Roman" w:cs="Times New Roman"/>
        </w:rPr>
        <w:t xml:space="preserve">reflected </w:t>
      </w:r>
      <w:r w:rsidR="0008014A">
        <w:rPr>
          <w:rFonts w:ascii="Times New Roman" w:hAnsi="Times New Roman" w:cs="Times New Roman"/>
        </w:rPr>
        <w:t>the</w:t>
      </w:r>
      <w:r w:rsidR="00C47595" w:rsidRPr="00C47595">
        <w:rPr>
          <w:rFonts w:ascii="Times New Roman" w:hAnsi="Times New Roman" w:cs="Times New Roman"/>
        </w:rPr>
        <w:t xml:space="preserve"> high mean square values, in Rohtak (219,314.67), followed by Jhajjar (90,766.14) and Jind (56,100.22), indicating a strong and consistent environmental control on phosphorus availability.</w:t>
      </w:r>
      <w:r w:rsidR="0008014A">
        <w:rPr>
          <w:rFonts w:ascii="Times New Roman" w:hAnsi="Times New Roman" w:cs="Times New Roman"/>
        </w:rPr>
        <w:t xml:space="preserve"> </w:t>
      </w:r>
      <w:r w:rsidR="00C47595" w:rsidRPr="00C47595">
        <w:rPr>
          <w:rFonts w:ascii="Times New Roman" w:hAnsi="Times New Roman" w:cs="Times New Roman"/>
        </w:rPr>
        <w:t xml:space="preserve">Soil depth and distance from the tree trunk significantly influenced phosphorus distribution, especially in Rohtak, where the depth-related mean square (12,657.89) was markedly higher than in Jind and Jhajjar. </w:t>
      </w:r>
      <w:r w:rsidR="00566EF1" w:rsidRPr="00566EF1">
        <w:rPr>
          <w:rFonts w:ascii="Times New Roman" w:hAnsi="Times New Roman" w:cs="Times New Roman"/>
          <w:highlight w:val="yellow"/>
        </w:rPr>
        <w:t xml:space="preserve">These results highlight the importance of vertical and horizontal soil gradients in governing phosphorus availability, with a significant interaction between tree species and soil depth (T×D). The </w:t>
      </w:r>
      <w:r w:rsidR="00566EF1" w:rsidRPr="00566EF1">
        <w:rPr>
          <w:rFonts w:ascii="Times New Roman" w:hAnsi="Times New Roman" w:cs="Times New Roman"/>
          <w:highlight w:val="yellow"/>
        </w:rPr>
        <w:lastRenderedPageBreak/>
        <w:t>environment × depth interaction (E×D) showed the highest mean square value in Jhajjar, indicating a strong influence of environmental conditions on depth-wise phosphorus distribution</w:t>
      </w:r>
      <w:r w:rsidR="00566EF1" w:rsidRPr="00566EF1">
        <w:rPr>
          <w:rFonts w:ascii="Times New Roman" w:hAnsi="Times New Roman" w:cs="Times New Roman"/>
        </w:rPr>
        <w:t>.</w:t>
      </w:r>
      <w:r w:rsidR="00566EF1">
        <w:rPr>
          <w:rFonts w:ascii="Times New Roman" w:hAnsi="Times New Roman" w:cs="Times New Roman"/>
        </w:rPr>
        <w:t xml:space="preserve"> </w:t>
      </w:r>
      <w:r w:rsidR="00C47595" w:rsidRPr="00C47595">
        <w:rPr>
          <w:rFonts w:ascii="Times New Roman" w:hAnsi="Times New Roman" w:cs="Times New Roman"/>
        </w:rPr>
        <w:t xml:space="preserve">In contrast, the three-way </w:t>
      </w:r>
      <w:r w:rsidR="0008014A">
        <w:rPr>
          <w:rFonts w:ascii="Times New Roman" w:hAnsi="Times New Roman" w:cs="Times New Roman"/>
        </w:rPr>
        <w:t xml:space="preserve">intraction </w:t>
      </w:r>
      <w:r w:rsidR="0008014A" w:rsidRPr="00C47595">
        <w:rPr>
          <w:rFonts w:ascii="Times New Roman" w:hAnsi="Times New Roman" w:cs="Times New Roman"/>
        </w:rPr>
        <w:t>(</w:t>
      </w:r>
      <w:r w:rsidR="00C47595" w:rsidRPr="00C47595">
        <w:rPr>
          <w:rFonts w:ascii="Times New Roman" w:hAnsi="Times New Roman" w:cs="Times New Roman"/>
        </w:rPr>
        <w:t>T×E×D) showed relatively lower and comparable mean square values across districts, suggesting a limited combined influence of tree species, environment, and depth on soil phosphorus content.</w:t>
      </w:r>
    </w:p>
    <w:p w14:paraId="05D89BE9" w14:textId="458E39C1"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Table- 2.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phosphorus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006"/>
        <w:gridCol w:w="486"/>
        <w:gridCol w:w="1255"/>
        <w:gridCol w:w="1152"/>
        <w:gridCol w:w="1152"/>
        <w:gridCol w:w="1152"/>
        <w:gridCol w:w="1152"/>
        <w:gridCol w:w="995"/>
      </w:tblGrid>
      <w:tr w:rsidR="00F33E82" w:rsidRPr="00DB3A33" w14:paraId="0E24F043" w14:textId="77777777" w:rsidTr="00C47595">
        <w:trPr>
          <w:trHeight w:val="144"/>
        </w:trPr>
        <w:tc>
          <w:tcPr>
            <w:tcW w:w="1073" w:type="pct"/>
            <w:vMerge w:val="restart"/>
            <w:tcBorders>
              <w:top w:val="single" w:sz="4" w:space="0" w:color="auto"/>
              <w:left w:val="single" w:sz="4" w:space="0" w:color="auto"/>
              <w:bottom w:val="single" w:sz="4" w:space="0" w:color="auto"/>
              <w:right w:val="single" w:sz="4" w:space="0" w:color="auto"/>
            </w:tcBorders>
            <w:vAlign w:val="center"/>
            <w:hideMark/>
          </w:tcPr>
          <w:p w14:paraId="21324F7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221E9764"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87" w:type="pct"/>
            <w:gridSpan w:val="2"/>
            <w:tcBorders>
              <w:top w:val="single" w:sz="4" w:space="0" w:color="auto"/>
              <w:left w:val="nil"/>
              <w:bottom w:val="single" w:sz="4" w:space="0" w:color="auto"/>
              <w:right w:val="single" w:sz="4" w:space="0" w:color="auto"/>
            </w:tcBorders>
            <w:vAlign w:val="center"/>
            <w:hideMark/>
          </w:tcPr>
          <w:p w14:paraId="0AA29C0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32" w:type="pct"/>
            <w:gridSpan w:val="2"/>
            <w:tcBorders>
              <w:top w:val="single" w:sz="4" w:space="0" w:color="auto"/>
              <w:left w:val="nil"/>
              <w:bottom w:val="single" w:sz="4" w:space="0" w:color="auto"/>
              <w:right w:val="single" w:sz="4" w:space="0" w:color="auto"/>
            </w:tcBorders>
            <w:noWrap/>
            <w:vAlign w:val="center"/>
            <w:hideMark/>
          </w:tcPr>
          <w:p w14:paraId="1B48F4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48" w:type="pct"/>
            <w:gridSpan w:val="2"/>
            <w:tcBorders>
              <w:top w:val="single" w:sz="4" w:space="0" w:color="auto"/>
              <w:left w:val="nil"/>
              <w:bottom w:val="single" w:sz="4" w:space="0" w:color="auto"/>
              <w:right w:val="single" w:sz="4" w:space="0" w:color="auto"/>
            </w:tcBorders>
            <w:noWrap/>
            <w:vAlign w:val="center"/>
            <w:hideMark/>
          </w:tcPr>
          <w:p w14:paraId="58E2C17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6B397316" w14:textId="77777777" w:rsidTr="00C47595">
        <w:trPr>
          <w:trHeight w:val="144"/>
        </w:trPr>
        <w:tc>
          <w:tcPr>
            <w:tcW w:w="1073" w:type="pct"/>
            <w:vMerge/>
            <w:tcBorders>
              <w:top w:val="single" w:sz="4" w:space="0" w:color="auto"/>
              <w:left w:val="single" w:sz="4" w:space="0" w:color="auto"/>
              <w:bottom w:val="single" w:sz="4" w:space="0" w:color="auto"/>
              <w:right w:val="single" w:sz="4" w:space="0" w:color="auto"/>
            </w:tcBorders>
            <w:vAlign w:val="center"/>
            <w:hideMark/>
          </w:tcPr>
          <w:p w14:paraId="3A2201B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A9DA32"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202499E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37307E9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5A76557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08BA209C"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6781BAB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32" w:type="pct"/>
            <w:tcBorders>
              <w:top w:val="nil"/>
              <w:left w:val="nil"/>
              <w:bottom w:val="single" w:sz="4" w:space="0" w:color="auto"/>
              <w:right w:val="single" w:sz="4" w:space="0" w:color="auto"/>
            </w:tcBorders>
            <w:noWrap/>
            <w:vAlign w:val="center"/>
            <w:hideMark/>
          </w:tcPr>
          <w:p w14:paraId="76E5DC1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3058D57C"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16010243" w14:textId="32065553"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FC0942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9FFEDB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29,415.94</w:t>
            </w:r>
          </w:p>
        </w:tc>
        <w:tc>
          <w:tcPr>
            <w:tcW w:w="616" w:type="pct"/>
            <w:tcBorders>
              <w:top w:val="nil"/>
              <w:left w:val="nil"/>
              <w:bottom w:val="single" w:sz="4" w:space="0" w:color="000000"/>
              <w:right w:val="single" w:sz="4" w:space="0" w:color="000000"/>
            </w:tcBorders>
            <w:vAlign w:val="center"/>
            <w:hideMark/>
          </w:tcPr>
          <w:p w14:paraId="4A4F47A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3,268.44</w:t>
            </w:r>
          </w:p>
        </w:tc>
        <w:tc>
          <w:tcPr>
            <w:tcW w:w="616" w:type="pct"/>
            <w:tcBorders>
              <w:top w:val="nil"/>
              <w:left w:val="nil"/>
              <w:bottom w:val="single" w:sz="4" w:space="0" w:color="000000"/>
              <w:right w:val="single" w:sz="4" w:space="0" w:color="000000"/>
            </w:tcBorders>
            <w:vAlign w:val="center"/>
            <w:hideMark/>
          </w:tcPr>
          <w:p w14:paraId="5E7C475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57,616.58</w:t>
            </w:r>
          </w:p>
        </w:tc>
        <w:tc>
          <w:tcPr>
            <w:tcW w:w="616" w:type="pct"/>
            <w:tcBorders>
              <w:top w:val="nil"/>
              <w:left w:val="nil"/>
              <w:bottom w:val="single" w:sz="4" w:space="0" w:color="000000"/>
              <w:right w:val="single" w:sz="4" w:space="0" w:color="000000"/>
            </w:tcBorders>
            <w:vAlign w:val="center"/>
            <w:hideMark/>
          </w:tcPr>
          <w:p w14:paraId="60C938C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6,401.84</w:t>
            </w:r>
          </w:p>
        </w:tc>
        <w:tc>
          <w:tcPr>
            <w:tcW w:w="616" w:type="pct"/>
            <w:tcBorders>
              <w:top w:val="nil"/>
              <w:left w:val="nil"/>
              <w:bottom w:val="single" w:sz="4" w:space="0" w:color="000000"/>
              <w:right w:val="single" w:sz="4" w:space="0" w:color="000000"/>
            </w:tcBorders>
            <w:vAlign w:val="center"/>
            <w:hideMark/>
          </w:tcPr>
          <w:p w14:paraId="2295282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34,988.07</w:t>
            </w:r>
          </w:p>
        </w:tc>
        <w:tc>
          <w:tcPr>
            <w:tcW w:w="532" w:type="pct"/>
            <w:tcBorders>
              <w:top w:val="nil"/>
              <w:left w:val="nil"/>
              <w:bottom w:val="single" w:sz="4" w:space="0" w:color="000000"/>
              <w:right w:val="single" w:sz="4" w:space="0" w:color="000000"/>
            </w:tcBorders>
            <w:vAlign w:val="center"/>
            <w:hideMark/>
          </w:tcPr>
          <w:p w14:paraId="4F31460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3,887.56</w:t>
            </w:r>
          </w:p>
        </w:tc>
      </w:tr>
      <w:tr w:rsidR="00F33E82" w:rsidRPr="00DB3A33" w14:paraId="52DB67F5"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5B02C672" w14:textId="12F503D2"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1483D96F"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21393EE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2C2E297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01FA5B8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7C962FF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28BA3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c>
          <w:tcPr>
            <w:tcW w:w="532" w:type="pct"/>
            <w:tcBorders>
              <w:top w:val="nil"/>
              <w:left w:val="nil"/>
              <w:bottom w:val="single" w:sz="4" w:space="0" w:color="000000"/>
              <w:right w:val="single" w:sz="4" w:space="0" w:color="000000"/>
            </w:tcBorders>
            <w:vAlign w:val="center"/>
            <w:hideMark/>
          </w:tcPr>
          <w:p w14:paraId="0A1B42B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r>
      <w:tr w:rsidR="00F33E82" w:rsidRPr="00DB3A33" w14:paraId="2D97D414"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462FF70C" w14:textId="1E2A19EE"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3925676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6AFD48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20,021.87</w:t>
            </w:r>
          </w:p>
        </w:tc>
        <w:tc>
          <w:tcPr>
            <w:tcW w:w="616" w:type="pct"/>
            <w:tcBorders>
              <w:top w:val="nil"/>
              <w:left w:val="nil"/>
              <w:bottom w:val="single" w:sz="4" w:space="0" w:color="000000"/>
              <w:right w:val="single" w:sz="4" w:space="0" w:color="000000"/>
            </w:tcBorders>
            <w:vAlign w:val="center"/>
            <w:hideMark/>
          </w:tcPr>
          <w:p w14:paraId="11D1D9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2,224.65</w:t>
            </w:r>
          </w:p>
        </w:tc>
        <w:tc>
          <w:tcPr>
            <w:tcW w:w="616" w:type="pct"/>
            <w:tcBorders>
              <w:top w:val="nil"/>
              <w:left w:val="nil"/>
              <w:bottom w:val="single" w:sz="4" w:space="0" w:color="000000"/>
              <w:right w:val="single" w:sz="4" w:space="0" w:color="000000"/>
            </w:tcBorders>
            <w:vAlign w:val="center"/>
            <w:hideMark/>
          </w:tcPr>
          <w:p w14:paraId="3A9EFA6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42,060.86</w:t>
            </w:r>
          </w:p>
        </w:tc>
        <w:tc>
          <w:tcPr>
            <w:tcW w:w="616" w:type="pct"/>
            <w:tcBorders>
              <w:top w:val="nil"/>
              <w:left w:val="nil"/>
              <w:bottom w:val="single" w:sz="4" w:space="0" w:color="000000"/>
              <w:right w:val="single" w:sz="4" w:space="0" w:color="000000"/>
            </w:tcBorders>
            <w:vAlign w:val="center"/>
            <w:hideMark/>
          </w:tcPr>
          <w:p w14:paraId="7FFA0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4,673.43</w:t>
            </w:r>
          </w:p>
        </w:tc>
        <w:tc>
          <w:tcPr>
            <w:tcW w:w="616" w:type="pct"/>
            <w:tcBorders>
              <w:top w:val="nil"/>
              <w:left w:val="nil"/>
              <w:bottom w:val="single" w:sz="4" w:space="0" w:color="000000"/>
              <w:right w:val="single" w:sz="4" w:space="0" w:color="000000"/>
            </w:tcBorders>
            <w:vAlign w:val="center"/>
            <w:hideMark/>
          </w:tcPr>
          <w:p w14:paraId="352A16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99,539.29</w:t>
            </w:r>
          </w:p>
        </w:tc>
        <w:tc>
          <w:tcPr>
            <w:tcW w:w="532" w:type="pct"/>
            <w:tcBorders>
              <w:top w:val="nil"/>
              <w:left w:val="nil"/>
              <w:bottom w:val="single" w:sz="4" w:space="0" w:color="000000"/>
              <w:right w:val="single" w:sz="4" w:space="0" w:color="000000"/>
            </w:tcBorders>
            <w:vAlign w:val="center"/>
            <w:hideMark/>
          </w:tcPr>
          <w:p w14:paraId="2AAC431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11,059.92</w:t>
            </w:r>
          </w:p>
        </w:tc>
      </w:tr>
      <w:tr w:rsidR="00F33E82" w:rsidRPr="00DB3A33" w14:paraId="6422CE7A"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34AFD89C" w14:textId="47D48D0F"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915AE3D"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2FCA44A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36,848.82</w:t>
            </w:r>
          </w:p>
        </w:tc>
        <w:tc>
          <w:tcPr>
            <w:tcW w:w="616" w:type="pct"/>
            <w:tcBorders>
              <w:top w:val="nil"/>
              <w:left w:val="nil"/>
              <w:bottom w:val="single" w:sz="4" w:space="0" w:color="000000"/>
              <w:right w:val="single" w:sz="4" w:space="0" w:color="000000"/>
            </w:tcBorders>
            <w:vAlign w:val="center"/>
            <w:hideMark/>
          </w:tcPr>
          <w:p w14:paraId="7DB7D8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2,456.59</w:t>
            </w:r>
          </w:p>
        </w:tc>
        <w:tc>
          <w:tcPr>
            <w:tcW w:w="616" w:type="pct"/>
            <w:tcBorders>
              <w:top w:val="nil"/>
              <w:left w:val="nil"/>
              <w:bottom w:val="single" w:sz="4" w:space="0" w:color="000000"/>
              <w:right w:val="single" w:sz="4" w:space="0" w:color="000000"/>
            </w:tcBorders>
            <w:vAlign w:val="center"/>
            <w:hideMark/>
          </w:tcPr>
          <w:p w14:paraId="110B349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189,868.37</w:t>
            </w:r>
          </w:p>
        </w:tc>
        <w:tc>
          <w:tcPr>
            <w:tcW w:w="616" w:type="pct"/>
            <w:tcBorders>
              <w:top w:val="nil"/>
              <w:left w:val="nil"/>
              <w:bottom w:val="single" w:sz="4" w:space="0" w:color="000000"/>
              <w:right w:val="single" w:sz="4" w:space="0" w:color="000000"/>
            </w:tcBorders>
            <w:vAlign w:val="center"/>
            <w:hideMark/>
          </w:tcPr>
          <w:p w14:paraId="75EDCCB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12,657.89</w:t>
            </w:r>
          </w:p>
        </w:tc>
        <w:tc>
          <w:tcPr>
            <w:tcW w:w="616" w:type="pct"/>
            <w:tcBorders>
              <w:top w:val="nil"/>
              <w:left w:val="nil"/>
              <w:bottom w:val="single" w:sz="4" w:space="0" w:color="000000"/>
              <w:right w:val="single" w:sz="4" w:space="0" w:color="000000"/>
            </w:tcBorders>
            <w:vAlign w:val="center"/>
            <w:hideMark/>
          </w:tcPr>
          <w:p w14:paraId="3ED2667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34,882.61</w:t>
            </w:r>
          </w:p>
        </w:tc>
        <w:tc>
          <w:tcPr>
            <w:tcW w:w="532" w:type="pct"/>
            <w:tcBorders>
              <w:top w:val="nil"/>
              <w:left w:val="nil"/>
              <w:bottom w:val="single" w:sz="4" w:space="0" w:color="000000"/>
              <w:right w:val="single" w:sz="4" w:space="0" w:color="000000"/>
            </w:tcBorders>
            <w:vAlign w:val="center"/>
            <w:hideMark/>
          </w:tcPr>
          <w:p w14:paraId="28B2884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2,325.51</w:t>
            </w:r>
          </w:p>
        </w:tc>
      </w:tr>
      <w:tr w:rsidR="00F33E82" w:rsidRPr="00DB3A33" w14:paraId="39EA849D"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2658117D" w14:textId="13E2551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1BA3A2D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6FAB79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58,635.99</w:t>
            </w:r>
          </w:p>
        </w:tc>
        <w:tc>
          <w:tcPr>
            <w:tcW w:w="616" w:type="pct"/>
            <w:tcBorders>
              <w:top w:val="nil"/>
              <w:left w:val="nil"/>
              <w:bottom w:val="single" w:sz="4" w:space="0" w:color="000000"/>
              <w:right w:val="single" w:sz="4" w:space="0" w:color="000000"/>
            </w:tcBorders>
            <w:vAlign w:val="center"/>
            <w:hideMark/>
          </w:tcPr>
          <w:p w14:paraId="205200F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434.341</w:t>
            </w:r>
          </w:p>
        </w:tc>
        <w:tc>
          <w:tcPr>
            <w:tcW w:w="616" w:type="pct"/>
            <w:tcBorders>
              <w:top w:val="nil"/>
              <w:left w:val="nil"/>
              <w:bottom w:val="single" w:sz="4" w:space="0" w:color="000000"/>
              <w:right w:val="single" w:sz="4" w:space="0" w:color="000000"/>
            </w:tcBorders>
            <w:vAlign w:val="center"/>
            <w:hideMark/>
          </w:tcPr>
          <w:p w14:paraId="04FAC20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134,665.14</w:t>
            </w:r>
          </w:p>
        </w:tc>
        <w:tc>
          <w:tcPr>
            <w:tcW w:w="616" w:type="pct"/>
            <w:tcBorders>
              <w:top w:val="nil"/>
              <w:left w:val="nil"/>
              <w:bottom w:val="single" w:sz="4" w:space="0" w:color="000000"/>
              <w:right w:val="single" w:sz="4" w:space="0" w:color="000000"/>
            </w:tcBorders>
            <w:vAlign w:val="center"/>
            <w:hideMark/>
          </w:tcPr>
          <w:p w14:paraId="22F2E5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997.52</w:t>
            </w:r>
          </w:p>
        </w:tc>
        <w:tc>
          <w:tcPr>
            <w:tcW w:w="616" w:type="pct"/>
            <w:tcBorders>
              <w:top w:val="nil"/>
              <w:left w:val="nil"/>
              <w:bottom w:val="single" w:sz="4" w:space="0" w:color="000000"/>
              <w:right w:val="single" w:sz="4" w:space="0" w:color="000000"/>
            </w:tcBorders>
            <w:vAlign w:val="center"/>
            <w:hideMark/>
          </w:tcPr>
          <w:p w14:paraId="5B4B1C3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101,277.16</w:t>
            </w:r>
          </w:p>
        </w:tc>
        <w:tc>
          <w:tcPr>
            <w:tcW w:w="532" w:type="pct"/>
            <w:tcBorders>
              <w:top w:val="nil"/>
              <w:left w:val="nil"/>
              <w:bottom w:val="single" w:sz="4" w:space="0" w:color="000000"/>
              <w:right w:val="single" w:sz="4" w:space="0" w:color="000000"/>
            </w:tcBorders>
            <w:vAlign w:val="center"/>
            <w:hideMark/>
          </w:tcPr>
          <w:p w14:paraId="6B87202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750.201</w:t>
            </w:r>
          </w:p>
        </w:tc>
      </w:tr>
      <w:tr w:rsidR="00F33E82" w:rsidRPr="00DB3A33" w14:paraId="7B97A20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74EE5745" w14:textId="4CAEA6D7"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7696E2E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158BCD6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8,061.30</w:t>
            </w:r>
          </w:p>
        </w:tc>
        <w:tc>
          <w:tcPr>
            <w:tcW w:w="616" w:type="pct"/>
            <w:tcBorders>
              <w:top w:val="nil"/>
              <w:left w:val="nil"/>
              <w:bottom w:val="single" w:sz="4" w:space="0" w:color="000000"/>
              <w:right w:val="single" w:sz="4" w:space="0" w:color="000000"/>
            </w:tcBorders>
            <w:vAlign w:val="center"/>
            <w:hideMark/>
          </w:tcPr>
          <w:p w14:paraId="2F53AA4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537.42</w:t>
            </w:r>
          </w:p>
        </w:tc>
        <w:tc>
          <w:tcPr>
            <w:tcW w:w="616" w:type="pct"/>
            <w:tcBorders>
              <w:top w:val="nil"/>
              <w:left w:val="nil"/>
              <w:bottom w:val="single" w:sz="4" w:space="0" w:color="000000"/>
              <w:right w:val="single" w:sz="4" w:space="0" w:color="000000"/>
            </w:tcBorders>
            <w:vAlign w:val="center"/>
            <w:hideMark/>
          </w:tcPr>
          <w:p w14:paraId="37B8590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17,541.81</w:t>
            </w:r>
          </w:p>
        </w:tc>
        <w:tc>
          <w:tcPr>
            <w:tcW w:w="616" w:type="pct"/>
            <w:tcBorders>
              <w:top w:val="nil"/>
              <w:left w:val="nil"/>
              <w:bottom w:val="single" w:sz="4" w:space="0" w:color="000000"/>
              <w:right w:val="single" w:sz="4" w:space="0" w:color="000000"/>
            </w:tcBorders>
            <w:vAlign w:val="center"/>
            <w:hideMark/>
          </w:tcPr>
          <w:p w14:paraId="363C6FA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1,169.45</w:t>
            </w:r>
          </w:p>
        </w:tc>
        <w:tc>
          <w:tcPr>
            <w:tcW w:w="616" w:type="pct"/>
            <w:tcBorders>
              <w:top w:val="nil"/>
              <w:left w:val="nil"/>
              <w:bottom w:val="single" w:sz="4" w:space="0" w:color="000000"/>
              <w:right w:val="single" w:sz="4" w:space="0" w:color="000000"/>
            </w:tcBorders>
            <w:vAlign w:val="center"/>
            <w:hideMark/>
          </w:tcPr>
          <w:p w14:paraId="479556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43,058.85</w:t>
            </w:r>
          </w:p>
        </w:tc>
        <w:tc>
          <w:tcPr>
            <w:tcW w:w="532" w:type="pct"/>
            <w:tcBorders>
              <w:top w:val="nil"/>
              <w:left w:val="nil"/>
              <w:bottom w:val="single" w:sz="4" w:space="0" w:color="000000"/>
              <w:right w:val="single" w:sz="4" w:space="0" w:color="000000"/>
            </w:tcBorders>
            <w:vAlign w:val="center"/>
            <w:hideMark/>
          </w:tcPr>
          <w:p w14:paraId="47113E8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2,870.59</w:t>
            </w:r>
          </w:p>
        </w:tc>
      </w:tr>
      <w:tr w:rsidR="00F33E82" w:rsidRPr="00DB3A33" w14:paraId="052791A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03306F45" w14:textId="2BE40BA8"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(T×E×D)</w:t>
            </w:r>
          </w:p>
        </w:tc>
        <w:tc>
          <w:tcPr>
            <w:tcW w:w="260" w:type="pct"/>
            <w:tcBorders>
              <w:top w:val="nil"/>
              <w:left w:val="nil"/>
              <w:bottom w:val="single" w:sz="4" w:space="0" w:color="auto"/>
              <w:right w:val="single" w:sz="4" w:space="0" w:color="auto"/>
            </w:tcBorders>
            <w:vAlign w:val="center"/>
            <w:hideMark/>
          </w:tcPr>
          <w:p w14:paraId="7429538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7075407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56,250.81</w:t>
            </w:r>
          </w:p>
        </w:tc>
        <w:tc>
          <w:tcPr>
            <w:tcW w:w="616" w:type="pct"/>
            <w:tcBorders>
              <w:top w:val="nil"/>
              <w:left w:val="nil"/>
              <w:bottom w:val="single" w:sz="4" w:space="0" w:color="000000"/>
              <w:right w:val="single" w:sz="4" w:space="0" w:color="000000"/>
            </w:tcBorders>
            <w:vAlign w:val="center"/>
            <w:hideMark/>
          </w:tcPr>
          <w:p w14:paraId="5D3847B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416.673</w:t>
            </w:r>
          </w:p>
        </w:tc>
        <w:tc>
          <w:tcPr>
            <w:tcW w:w="616" w:type="pct"/>
            <w:tcBorders>
              <w:top w:val="nil"/>
              <w:left w:val="nil"/>
              <w:bottom w:val="single" w:sz="4" w:space="0" w:color="000000"/>
              <w:right w:val="single" w:sz="4" w:space="0" w:color="000000"/>
            </w:tcBorders>
            <w:vAlign w:val="center"/>
            <w:hideMark/>
          </w:tcPr>
          <w:p w14:paraId="5325046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125,741.76</w:t>
            </w:r>
          </w:p>
        </w:tc>
        <w:tc>
          <w:tcPr>
            <w:tcW w:w="616" w:type="pct"/>
            <w:tcBorders>
              <w:top w:val="nil"/>
              <w:left w:val="nil"/>
              <w:bottom w:val="single" w:sz="4" w:space="0" w:color="000000"/>
              <w:right w:val="single" w:sz="4" w:space="0" w:color="000000"/>
            </w:tcBorders>
            <w:vAlign w:val="center"/>
            <w:hideMark/>
          </w:tcPr>
          <w:p w14:paraId="4E2624E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931.42</w:t>
            </w:r>
          </w:p>
        </w:tc>
        <w:tc>
          <w:tcPr>
            <w:tcW w:w="616" w:type="pct"/>
            <w:tcBorders>
              <w:top w:val="nil"/>
              <w:left w:val="nil"/>
              <w:bottom w:val="single" w:sz="4" w:space="0" w:color="000000"/>
              <w:right w:val="single" w:sz="4" w:space="0" w:color="000000"/>
            </w:tcBorders>
            <w:vAlign w:val="center"/>
            <w:hideMark/>
          </w:tcPr>
          <w:p w14:paraId="2863859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98,466.71</w:t>
            </w:r>
          </w:p>
        </w:tc>
        <w:tc>
          <w:tcPr>
            <w:tcW w:w="532" w:type="pct"/>
            <w:tcBorders>
              <w:top w:val="nil"/>
              <w:left w:val="nil"/>
              <w:bottom w:val="single" w:sz="4" w:space="0" w:color="000000"/>
              <w:right w:val="single" w:sz="4" w:space="0" w:color="000000"/>
            </w:tcBorders>
            <w:vAlign w:val="center"/>
            <w:hideMark/>
          </w:tcPr>
          <w:p w14:paraId="0D07F3F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729.383</w:t>
            </w:r>
          </w:p>
        </w:tc>
      </w:tr>
    </w:tbl>
    <w:p w14:paraId="12112EE0"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727BA6D4" w14:textId="77777777" w:rsidR="00B33BC0" w:rsidRDefault="00D80F01" w:rsidP="001F7431">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7B2268">
        <w:rPr>
          <w:rFonts w:ascii="Times New Roman" w:hAnsi="Times New Roman" w:cs="Times New Roman"/>
          <w:b/>
          <w:bCs/>
        </w:rPr>
        <w:t xml:space="preserve">Potassium </w:t>
      </w:r>
      <w:r w:rsidR="007B2268" w:rsidRPr="00D65A64">
        <w:rPr>
          <w:rFonts w:ascii="Times New Roman" w:hAnsi="Times New Roman" w:cs="Times New Roman"/>
          <w:b/>
          <w:bCs/>
        </w:rPr>
        <w:t xml:space="preserve">Content </w:t>
      </w:r>
      <w:r w:rsidR="007B2268">
        <w:rPr>
          <w:rFonts w:ascii="Times New Roman" w:hAnsi="Times New Roman" w:cs="Times New Roman"/>
          <w:b/>
          <w:bCs/>
        </w:rPr>
        <w:t>(ppm</w:t>
      </w:r>
      <w:r w:rsidR="007B2268" w:rsidRPr="00D65A64">
        <w:rPr>
          <w:rFonts w:ascii="Times New Roman" w:hAnsi="Times New Roman" w:cs="Times New Roman"/>
          <w:b/>
          <w:bCs/>
        </w:rPr>
        <w:t>)</w:t>
      </w:r>
      <w:r w:rsidR="007B2268">
        <w:rPr>
          <w:rFonts w:ascii="Times New Roman" w:hAnsi="Times New Roman" w:cs="Times New Roman"/>
          <w:b/>
          <w:bCs/>
        </w:rPr>
        <w:t xml:space="preserve">: </w:t>
      </w:r>
      <w:r w:rsidR="007B2268" w:rsidRPr="007B2268">
        <w:rPr>
          <w:rFonts w:ascii="Times New Roman" w:hAnsi="Times New Roman" w:cs="Times New Roman"/>
        </w:rPr>
        <w:t xml:space="preserve">The analysis of variance </w:t>
      </w:r>
      <w:r w:rsidR="007B2268">
        <w:rPr>
          <w:rFonts w:ascii="Times New Roman" w:hAnsi="Times New Roman" w:cs="Times New Roman"/>
        </w:rPr>
        <w:t>showed</w:t>
      </w:r>
      <w:r w:rsidR="007B2268" w:rsidRPr="007B2268">
        <w:rPr>
          <w:rFonts w:ascii="Times New Roman" w:hAnsi="Times New Roman" w:cs="Times New Roman"/>
        </w:rPr>
        <w:t xml:space="preserve"> significant variation in soil potassium content (ppm) as influenced by tree species, environment, and spatial distribution across the three districts</w:t>
      </w:r>
      <w:r w:rsidR="003A4FE8">
        <w:rPr>
          <w:rFonts w:ascii="Times New Roman" w:hAnsi="Times New Roman" w:cs="Times New Roman"/>
        </w:rPr>
        <w:t xml:space="preserve"> (Table-3)</w:t>
      </w:r>
      <w:r w:rsidR="007B2268" w:rsidRPr="007B2268">
        <w:rPr>
          <w:rFonts w:ascii="Times New Roman" w:hAnsi="Times New Roman" w:cs="Times New Roman"/>
        </w:rPr>
        <w:t>. Tree species had a clear effect on potassium levels, with higher mean square values recorded in Jhajjar (267,833.72) compared to Jind (26,832.33) and Rohtak (25,996.97), indicating strong species</w:t>
      </w:r>
      <w:r w:rsidR="007B2268">
        <w:rPr>
          <w:rFonts w:ascii="Times New Roman" w:hAnsi="Times New Roman" w:cs="Times New Roman"/>
        </w:rPr>
        <w:t xml:space="preserve"> </w:t>
      </w:r>
      <w:r w:rsidR="007B2268" w:rsidRPr="007B2268">
        <w:rPr>
          <w:rFonts w:ascii="Times New Roman" w:hAnsi="Times New Roman" w:cs="Times New Roman"/>
        </w:rPr>
        <w:t xml:space="preserve">driven differences under local conditions. The environment emerged as the most influential factor, particularly in Rohtak (2,461,823.66) and Jind (1,449,969.30), reflecting the overriding role of agroclimatic and edaphic variability. </w:t>
      </w:r>
      <w:r w:rsidR="007B2268" w:rsidRPr="0027576B">
        <w:rPr>
          <w:rFonts w:ascii="Times New Roman" w:hAnsi="Times New Roman" w:cs="Times New Roman"/>
          <w:highlight w:val="yellow"/>
        </w:rPr>
        <w:t>Significant T × E interactions across all districts further suggest that tree</w:t>
      </w:r>
      <w:r w:rsidR="00B46B78" w:rsidRPr="0027576B">
        <w:rPr>
          <w:rFonts w:ascii="Times New Roman" w:hAnsi="Times New Roman" w:cs="Times New Roman"/>
          <w:highlight w:val="yellow"/>
        </w:rPr>
        <w:t xml:space="preserve"> </w:t>
      </w:r>
      <w:r w:rsidR="007B2268" w:rsidRPr="0027576B">
        <w:rPr>
          <w:rFonts w:ascii="Times New Roman" w:hAnsi="Times New Roman" w:cs="Times New Roman"/>
          <w:highlight w:val="yellow"/>
        </w:rPr>
        <w:t>mediated potassium availability was strongly environment</w:t>
      </w:r>
      <w:r w:rsidR="00B46B78" w:rsidRPr="0027576B">
        <w:rPr>
          <w:rFonts w:ascii="Times New Roman" w:hAnsi="Times New Roman" w:cs="Times New Roman"/>
          <w:highlight w:val="yellow"/>
        </w:rPr>
        <w:t xml:space="preserve"> </w:t>
      </w:r>
      <w:r w:rsidR="007B2268" w:rsidRPr="0027576B">
        <w:rPr>
          <w:rFonts w:ascii="Times New Roman" w:hAnsi="Times New Roman" w:cs="Times New Roman"/>
          <w:highlight w:val="yellow"/>
        </w:rPr>
        <w:t xml:space="preserve">dependent. </w:t>
      </w:r>
      <w:r w:rsidR="00B33BC0" w:rsidRPr="0027576B">
        <w:rPr>
          <w:rFonts w:ascii="Times New Roman" w:hAnsi="Times New Roman" w:cs="Times New Roman"/>
          <w:highlight w:val="yellow"/>
        </w:rPr>
        <w:t>Distance and soil depth significantly influenced potassium distribution, with greater variability observed in deeper and more distant soil layers, particularly in Jhajjar. The significant interactions (T×D, E×D, and T×E×D) highlight the complex interplay between tree species, environmental conditions, and soil spatial gradients in regulating potassium dynamics within these systems.</w:t>
      </w:r>
    </w:p>
    <w:p w14:paraId="7C4A7362" w14:textId="101E38F4"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potassium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861"/>
        <w:gridCol w:w="486"/>
        <w:gridCol w:w="1255"/>
        <w:gridCol w:w="1178"/>
        <w:gridCol w:w="1178"/>
        <w:gridCol w:w="1178"/>
        <w:gridCol w:w="1178"/>
        <w:gridCol w:w="1036"/>
      </w:tblGrid>
      <w:tr w:rsidR="00F33E82" w:rsidRPr="00DB3A33" w14:paraId="0A9B59A0" w14:textId="77777777" w:rsidTr="001F7431">
        <w:trPr>
          <w:trHeight w:val="144"/>
        </w:trPr>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1E4B5A4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4BD3ED6D"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301" w:type="pct"/>
            <w:gridSpan w:val="2"/>
            <w:tcBorders>
              <w:top w:val="single" w:sz="4" w:space="0" w:color="auto"/>
              <w:left w:val="nil"/>
              <w:bottom w:val="single" w:sz="4" w:space="0" w:color="auto"/>
              <w:right w:val="single" w:sz="4" w:space="0" w:color="auto"/>
            </w:tcBorders>
            <w:vAlign w:val="center"/>
            <w:hideMark/>
          </w:tcPr>
          <w:p w14:paraId="1C4843F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60" w:type="pct"/>
            <w:gridSpan w:val="2"/>
            <w:tcBorders>
              <w:top w:val="single" w:sz="4" w:space="0" w:color="auto"/>
              <w:left w:val="nil"/>
              <w:bottom w:val="single" w:sz="4" w:space="0" w:color="auto"/>
              <w:right w:val="single" w:sz="4" w:space="0" w:color="auto"/>
            </w:tcBorders>
            <w:noWrap/>
            <w:vAlign w:val="center"/>
            <w:hideMark/>
          </w:tcPr>
          <w:p w14:paraId="1B634A1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84" w:type="pct"/>
            <w:gridSpan w:val="2"/>
            <w:tcBorders>
              <w:top w:val="single" w:sz="4" w:space="0" w:color="auto"/>
              <w:left w:val="nil"/>
              <w:bottom w:val="single" w:sz="4" w:space="0" w:color="auto"/>
              <w:right w:val="single" w:sz="4" w:space="0" w:color="auto"/>
            </w:tcBorders>
            <w:noWrap/>
            <w:vAlign w:val="center"/>
            <w:hideMark/>
          </w:tcPr>
          <w:p w14:paraId="4B1F4B5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4AF2F8B8" w14:textId="77777777" w:rsidTr="001F7431">
        <w:trPr>
          <w:trHeight w:val="144"/>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04CA080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5A1964E"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331011EB"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0A8C273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3DC8F6F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61B846D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75827467"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54" w:type="pct"/>
            <w:tcBorders>
              <w:top w:val="nil"/>
              <w:left w:val="nil"/>
              <w:bottom w:val="single" w:sz="4" w:space="0" w:color="auto"/>
              <w:right w:val="single" w:sz="4" w:space="0" w:color="auto"/>
            </w:tcBorders>
            <w:noWrap/>
            <w:vAlign w:val="center"/>
            <w:hideMark/>
          </w:tcPr>
          <w:p w14:paraId="28B88C81"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0E6A5CE0"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663C8C19" w14:textId="164ADE5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BD79272"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819E07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241,490.98</w:t>
            </w:r>
          </w:p>
        </w:tc>
        <w:tc>
          <w:tcPr>
            <w:tcW w:w="630" w:type="pct"/>
            <w:tcBorders>
              <w:top w:val="nil"/>
              <w:left w:val="nil"/>
              <w:bottom w:val="single" w:sz="4" w:space="0" w:color="000000"/>
              <w:right w:val="single" w:sz="4" w:space="0" w:color="000000"/>
            </w:tcBorders>
            <w:vAlign w:val="center"/>
            <w:hideMark/>
          </w:tcPr>
          <w:p w14:paraId="73C48F1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26,832.33</w:t>
            </w:r>
          </w:p>
        </w:tc>
        <w:tc>
          <w:tcPr>
            <w:tcW w:w="630" w:type="pct"/>
            <w:tcBorders>
              <w:top w:val="nil"/>
              <w:left w:val="nil"/>
              <w:bottom w:val="single" w:sz="4" w:space="0" w:color="000000"/>
              <w:right w:val="single" w:sz="4" w:space="0" w:color="000000"/>
            </w:tcBorders>
            <w:vAlign w:val="center"/>
            <w:hideMark/>
          </w:tcPr>
          <w:p w14:paraId="56B2541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233,972.69</w:t>
            </w:r>
          </w:p>
        </w:tc>
        <w:tc>
          <w:tcPr>
            <w:tcW w:w="630" w:type="pct"/>
            <w:tcBorders>
              <w:top w:val="nil"/>
              <w:left w:val="nil"/>
              <w:bottom w:val="single" w:sz="4" w:space="0" w:color="000000"/>
              <w:right w:val="single" w:sz="4" w:space="0" w:color="000000"/>
            </w:tcBorders>
            <w:vAlign w:val="center"/>
            <w:hideMark/>
          </w:tcPr>
          <w:p w14:paraId="12512E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25,996.97</w:t>
            </w:r>
          </w:p>
        </w:tc>
        <w:tc>
          <w:tcPr>
            <w:tcW w:w="630" w:type="pct"/>
            <w:tcBorders>
              <w:top w:val="nil"/>
              <w:left w:val="nil"/>
              <w:bottom w:val="single" w:sz="4" w:space="0" w:color="000000"/>
              <w:right w:val="single" w:sz="4" w:space="0" w:color="000000"/>
            </w:tcBorders>
            <w:vAlign w:val="center"/>
            <w:hideMark/>
          </w:tcPr>
          <w:p w14:paraId="4F813C5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2,410,503.47</w:t>
            </w:r>
          </w:p>
        </w:tc>
        <w:tc>
          <w:tcPr>
            <w:tcW w:w="554" w:type="pct"/>
            <w:tcBorders>
              <w:top w:val="nil"/>
              <w:left w:val="nil"/>
              <w:bottom w:val="single" w:sz="4" w:space="0" w:color="000000"/>
              <w:right w:val="single" w:sz="4" w:space="0" w:color="000000"/>
            </w:tcBorders>
            <w:vAlign w:val="center"/>
            <w:hideMark/>
          </w:tcPr>
          <w:p w14:paraId="2BF5C3E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267,833.72</w:t>
            </w:r>
          </w:p>
        </w:tc>
      </w:tr>
      <w:tr w:rsidR="00F33E82" w:rsidRPr="00DB3A33" w14:paraId="18CA63C5"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179C7EE" w14:textId="2907294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57F7C509"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574EC0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03367E5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5C98845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621946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7E9FB4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c>
          <w:tcPr>
            <w:tcW w:w="554" w:type="pct"/>
            <w:tcBorders>
              <w:top w:val="nil"/>
              <w:left w:val="nil"/>
              <w:bottom w:val="single" w:sz="4" w:space="0" w:color="000000"/>
              <w:right w:val="single" w:sz="4" w:space="0" w:color="000000"/>
            </w:tcBorders>
            <w:vAlign w:val="center"/>
            <w:hideMark/>
          </w:tcPr>
          <w:p w14:paraId="4FCD79E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r>
      <w:tr w:rsidR="00F33E82" w:rsidRPr="00DB3A33" w14:paraId="1A56C65B"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7622FAB" w14:textId="1FB87F9B"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7CCB885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2739530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268,558.75</w:t>
            </w:r>
          </w:p>
        </w:tc>
        <w:tc>
          <w:tcPr>
            <w:tcW w:w="630" w:type="pct"/>
            <w:tcBorders>
              <w:top w:val="nil"/>
              <w:left w:val="nil"/>
              <w:bottom w:val="single" w:sz="4" w:space="0" w:color="000000"/>
              <w:right w:val="single" w:sz="4" w:space="0" w:color="000000"/>
            </w:tcBorders>
            <w:vAlign w:val="center"/>
            <w:hideMark/>
          </w:tcPr>
          <w:p w14:paraId="5D3432C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29,839.86</w:t>
            </w:r>
          </w:p>
        </w:tc>
        <w:tc>
          <w:tcPr>
            <w:tcW w:w="630" w:type="pct"/>
            <w:tcBorders>
              <w:top w:val="nil"/>
              <w:left w:val="nil"/>
              <w:bottom w:val="single" w:sz="4" w:space="0" w:color="000000"/>
              <w:right w:val="single" w:sz="4" w:space="0" w:color="000000"/>
            </w:tcBorders>
            <w:vAlign w:val="center"/>
            <w:hideMark/>
          </w:tcPr>
          <w:p w14:paraId="368DBFD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236,634.05</w:t>
            </w:r>
          </w:p>
        </w:tc>
        <w:tc>
          <w:tcPr>
            <w:tcW w:w="630" w:type="pct"/>
            <w:tcBorders>
              <w:top w:val="nil"/>
              <w:left w:val="nil"/>
              <w:bottom w:val="single" w:sz="4" w:space="0" w:color="000000"/>
              <w:right w:val="single" w:sz="4" w:space="0" w:color="000000"/>
            </w:tcBorders>
            <w:vAlign w:val="center"/>
            <w:hideMark/>
          </w:tcPr>
          <w:p w14:paraId="770534A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26,292.67</w:t>
            </w:r>
          </w:p>
        </w:tc>
        <w:tc>
          <w:tcPr>
            <w:tcW w:w="630" w:type="pct"/>
            <w:tcBorders>
              <w:top w:val="nil"/>
              <w:left w:val="nil"/>
              <w:bottom w:val="single" w:sz="4" w:space="0" w:color="000000"/>
              <w:right w:val="single" w:sz="4" w:space="0" w:color="000000"/>
            </w:tcBorders>
            <w:vAlign w:val="center"/>
            <w:hideMark/>
          </w:tcPr>
          <w:p w14:paraId="1DC1E88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1,930,421.68</w:t>
            </w:r>
          </w:p>
        </w:tc>
        <w:tc>
          <w:tcPr>
            <w:tcW w:w="554" w:type="pct"/>
            <w:tcBorders>
              <w:top w:val="nil"/>
              <w:left w:val="nil"/>
              <w:bottom w:val="single" w:sz="4" w:space="0" w:color="000000"/>
              <w:right w:val="single" w:sz="4" w:space="0" w:color="000000"/>
            </w:tcBorders>
            <w:vAlign w:val="center"/>
            <w:hideMark/>
          </w:tcPr>
          <w:p w14:paraId="330322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214,491.30</w:t>
            </w:r>
          </w:p>
        </w:tc>
      </w:tr>
      <w:tr w:rsidR="00F33E82" w:rsidRPr="00DB3A33" w14:paraId="7FC819F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0E0453AC" w14:textId="15D9EE1D"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70AB3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508E0F5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144,717.37</w:t>
            </w:r>
          </w:p>
        </w:tc>
        <w:tc>
          <w:tcPr>
            <w:tcW w:w="630" w:type="pct"/>
            <w:tcBorders>
              <w:top w:val="nil"/>
              <w:left w:val="nil"/>
              <w:bottom w:val="single" w:sz="4" w:space="0" w:color="000000"/>
              <w:right w:val="single" w:sz="4" w:space="0" w:color="000000"/>
            </w:tcBorders>
            <w:vAlign w:val="center"/>
            <w:hideMark/>
          </w:tcPr>
          <w:p w14:paraId="74EFE3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9,647.83</w:t>
            </w:r>
          </w:p>
        </w:tc>
        <w:tc>
          <w:tcPr>
            <w:tcW w:w="630" w:type="pct"/>
            <w:tcBorders>
              <w:top w:val="nil"/>
              <w:left w:val="nil"/>
              <w:bottom w:val="single" w:sz="4" w:space="0" w:color="000000"/>
              <w:right w:val="single" w:sz="4" w:space="0" w:color="000000"/>
            </w:tcBorders>
            <w:vAlign w:val="center"/>
            <w:hideMark/>
          </w:tcPr>
          <w:p w14:paraId="31ED52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216,076.79</w:t>
            </w:r>
          </w:p>
        </w:tc>
        <w:tc>
          <w:tcPr>
            <w:tcW w:w="630" w:type="pct"/>
            <w:tcBorders>
              <w:top w:val="nil"/>
              <w:left w:val="nil"/>
              <w:bottom w:val="single" w:sz="4" w:space="0" w:color="000000"/>
              <w:right w:val="single" w:sz="4" w:space="0" w:color="000000"/>
            </w:tcBorders>
            <w:vAlign w:val="center"/>
            <w:hideMark/>
          </w:tcPr>
          <w:p w14:paraId="7872CF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14,405.12</w:t>
            </w:r>
          </w:p>
        </w:tc>
        <w:tc>
          <w:tcPr>
            <w:tcW w:w="630" w:type="pct"/>
            <w:tcBorders>
              <w:top w:val="nil"/>
              <w:left w:val="nil"/>
              <w:bottom w:val="single" w:sz="4" w:space="0" w:color="000000"/>
              <w:right w:val="single" w:sz="4" w:space="0" w:color="000000"/>
            </w:tcBorders>
            <w:vAlign w:val="center"/>
            <w:hideMark/>
          </w:tcPr>
          <w:p w14:paraId="677C88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556,308.68</w:t>
            </w:r>
          </w:p>
        </w:tc>
        <w:tc>
          <w:tcPr>
            <w:tcW w:w="554" w:type="pct"/>
            <w:tcBorders>
              <w:top w:val="nil"/>
              <w:left w:val="nil"/>
              <w:bottom w:val="single" w:sz="4" w:space="0" w:color="000000"/>
              <w:right w:val="single" w:sz="4" w:space="0" w:color="000000"/>
            </w:tcBorders>
            <w:vAlign w:val="center"/>
            <w:hideMark/>
          </w:tcPr>
          <w:p w14:paraId="2F94F0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37,087.25</w:t>
            </w:r>
          </w:p>
        </w:tc>
      </w:tr>
      <w:tr w:rsidR="00F33E82" w:rsidRPr="00DB3A33" w14:paraId="25932CD6"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3A9852F9" w14:textId="2D9FA2B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00B3F04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214A04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244,912.45</w:t>
            </w:r>
          </w:p>
        </w:tc>
        <w:tc>
          <w:tcPr>
            <w:tcW w:w="630" w:type="pct"/>
            <w:tcBorders>
              <w:top w:val="nil"/>
              <w:left w:val="nil"/>
              <w:bottom w:val="single" w:sz="4" w:space="0" w:color="000000"/>
              <w:right w:val="single" w:sz="4" w:space="0" w:color="000000"/>
            </w:tcBorders>
            <w:vAlign w:val="center"/>
            <w:hideMark/>
          </w:tcPr>
          <w:p w14:paraId="3C5522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1,814.17</w:t>
            </w:r>
          </w:p>
        </w:tc>
        <w:tc>
          <w:tcPr>
            <w:tcW w:w="630" w:type="pct"/>
            <w:tcBorders>
              <w:top w:val="nil"/>
              <w:left w:val="nil"/>
              <w:bottom w:val="single" w:sz="4" w:space="0" w:color="000000"/>
              <w:right w:val="single" w:sz="4" w:space="0" w:color="000000"/>
            </w:tcBorders>
            <w:vAlign w:val="center"/>
            <w:hideMark/>
          </w:tcPr>
          <w:p w14:paraId="291781A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450,729.70</w:t>
            </w:r>
          </w:p>
        </w:tc>
        <w:tc>
          <w:tcPr>
            <w:tcW w:w="630" w:type="pct"/>
            <w:tcBorders>
              <w:top w:val="nil"/>
              <w:left w:val="nil"/>
              <w:bottom w:val="single" w:sz="4" w:space="0" w:color="000000"/>
              <w:right w:val="single" w:sz="4" w:space="0" w:color="000000"/>
            </w:tcBorders>
            <w:vAlign w:val="center"/>
            <w:hideMark/>
          </w:tcPr>
          <w:p w14:paraId="05D522E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3,338.74</w:t>
            </w:r>
          </w:p>
        </w:tc>
        <w:tc>
          <w:tcPr>
            <w:tcW w:w="630" w:type="pct"/>
            <w:tcBorders>
              <w:top w:val="nil"/>
              <w:left w:val="nil"/>
              <w:bottom w:val="single" w:sz="4" w:space="0" w:color="000000"/>
              <w:right w:val="single" w:sz="4" w:space="0" w:color="000000"/>
            </w:tcBorders>
            <w:vAlign w:val="center"/>
            <w:hideMark/>
          </w:tcPr>
          <w:p w14:paraId="5CA9E0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468,068.73</w:t>
            </w:r>
          </w:p>
        </w:tc>
        <w:tc>
          <w:tcPr>
            <w:tcW w:w="554" w:type="pct"/>
            <w:tcBorders>
              <w:top w:val="nil"/>
              <w:left w:val="nil"/>
              <w:bottom w:val="single" w:sz="4" w:space="0" w:color="000000"/>
              <w:right w:val="single" w:sz="4" w:space="0" w:color="000000"/>
            </w:tcBorders>
            <w:vAlign w:val="center"/>
            <w:hideMark/>
          </w:tcPr>
          <w:p w14:paraId="7C1DFD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3,467.18</w:t>
            </w:r>
          </w:p>
        </w:tc>
      </w:tr>
      <w:tr w:rsidR="00F33E82" w:rsidRPr="00DB3A33" w14:paraId="58883BA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1A2BC1AC" w14:textId="56324691"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color w:val="000000"/>
                <w:kern w:val="0"/>
                <w:sz w:val="18"/>
                <w:szCs w:val="18"/>
                <w14:ligatures w14:val="none"/>
              </w:rPr>
              <w:t>Intraction</w:t>
            </w:r>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1BB1923E"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0644153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82,667.39</w:t>
            </w:r>
          </w:p>
        </w:tc>
        <w:tc>
          <w:tcPr>
            <w:tcW w:w="630" w:type="pct"/>
            <w:tcBorders>
              <w:top w:val="nil"/>
              <w:left w:val="nil"/>
              <w:bottom w:val="single" w:sz="4" w:space="0" w:color="000000"/>
              <w:right w:val="single" w:sz="4" w:space="0" w:color="000000"/>
            </w:tcBorders>
            <w:vAlign w:val="center"/>
            <w:hideMark/>
          </w:tcPr>
          <w:p w14:paraId="7CEDA2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5,511.16</w:t>
            </w:r>
          </w:p>
        </w:tc>
        <w:tc>
          <w:tcPr>
            <w:tcW w:w="630" w:type="pct"/>
            <w:tcBorders>
              <w:top w:val="nil"/>
              <w:left w:val="nil"/>
              <w:bottom w:val="single" w:sz="4" w:space="0" w:color="000000"/>
              <w:right w:val="single" w:sz="4" w:space="0" w:color="000000"/>
            </w:tcBorders>
            <w:vAlign w:val="center"/>
            <w:hideMark/>
          </w:tcPr>
          <w:p w14:paraId="438FA1A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130,243.52</w:t>
            </w:r>
          </w:p>
        </w:tc>
        <w:tc>
          <w:tcPr>
            <w:tcW w:w="630" w:type="pct"/>
            <w:tcBorders>
              <w:top w:val="nil"/>
              <w:left w:val="nil"/>
              <w:bottom w:val="single" w:sz="4" w:space="0" w:color="000000"/>
              <w:right w:val="single" w:sz="4" w:space="0" w:color="000000"/>
            </w:tcBorders>
            <w:vAlign w:val="center"/>
            <w:hideMark/>
          </w:tcPr>
          <w:p w14:paraId="783887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8,682.90</w:t>
            </w:r>
          </w:p>
        </w:tc>
        <w:tc>
          <w:tcPr>
            <w:tcW w:w="630" w:type="pct"/>
            <w:tcBorders>
              <w:top w:val="nil"/>
              <w:left w:val="nil"/>
              <w:bottom w:val="single" w:sz="4" w:space="0" w:color="000000"/>
              <w:right w:val="single" w:sz="4" w:space="0" w:color="000000"/>
            </w:tcBorders>
            <w:vAlign w:val="center"/>
            <w:hideMark/>
          </w:tcPr>
          <w:p w14:paraId="2BADC78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322,485.82</w:t>
            </w:r>
          </w:p>
        </w:tc>
        <w:tc>
          <w:tcPr>
            <w:tcW w:w="554" w:type="pct"/>
            <w:tcBorders>
              <w:top w:val="nil"/>
              <w:left w:val="nil"/>
              <w:bottom w:val="single" w:sz="4" w:space="0" w:color="000000"/>
              <w:right w:val="single" w:sz="4" w:space="0" w:color="000000"/>
            </w:tcBorders>
            <w:vAlign w:val="center"/>
            <w:hideMark/>
          </w:tcPr>
          <w:p w14:paraId="44CBC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21,499.06</w:t>
            </w:r>
          </w:p>
        </w:tc>
      </w:tr>
      <w:tr w:rsidR="00F33E82" w:rsidRPr="00DB3A33" w14:paraId="141C064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7D648F3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Intraction T X E X D</w:t>
            </w:r>
          </w:p>
        </w:tc>
        <w:tc>
          <w:tcPr>
            <w:tcW w:w="260" w:type="pct"/>
            <w:tcBorders>
              <w:top w:val="nil"/>
              <w:left w:val="nil"/>
              <w:bottom w:val="single" w:sz="4" w:space="0" w:color="auto"/>
              <w:right w:val="single" w:sz="4" w:space="0" w:color="auto"/>
            </w:tcBorders>
            <w:vAlign w:val="center"/>
            <w:hideMark/>
          </w:tcPr>
          <w:p w14:paraId="15D80BC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C4790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240,523.90</w:t>
            </w:r>
          </w:p>
        </w:tc>
        <w:tc>
          <w:tcPr>
            <w:tcW w:w="630" w:type="pct"/>
            <w:tcBorders>
              <w:top w:val="nil"/>
              <w:left w:val="nil"/>
              <w:bottom w:val="single" w:sz="4" w:space="0" w:color="000000"/>
              <w:right w:val="single" w:sz="4" w:space="0" w:color="000000"/>
            </w:tcBorders>
            <w:vAlign w:val="center"/>
            <w:hideMark/>
          </w:tcPr>
          <w:p w14:paraId="007F70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1,781.66</w:t>
            </w:r>
          </w:p>
        </w:tc>
        <w:tc>
          <w:tcPr>
            <w:tcW w:w="630" w:type="pct"/>
            <w:tcBorders>
              <w:top w:val="nil"/>
              <w:left w:val="nil"/>
              <w:bottom w:val="single" w:sz="4" w:space="0" w:color="000000"/>
              <w:right w:val="single" w:sz="4" w:space="0" w:color="000000"/>
            </w:tcBorders>
            <w:vAlign w:val="center"/>
            <w:hideMark/>
          </w:tcPr>
          <w:p w14:paraId="3418C8F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407,081.45</w:t>
            </w:r>
          </w:p>
        </w:tc>
        <w:tc>
          <w:tcPr>
            <w:tcW w:w="630" w:type="pct"/>
            <w:tcBorders>
              <w:top w:val="nil"/>
              <w:left w:val="nil"/>
              <w:bottom w:val="single" w:sz="4" w:space="0" w:color="000000"/>
              <w:right w:val="single" w:sz="4" w:space="0" w:color="000000"/>
            </w:tcBorders>
            <w:vAlign w:val="center"/>
            <w:hideMark/>
          </w:tcPr>
          <w:p w14:paraId="35E36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3,015.42</w:t>
            </w:r>
          </w:p>
        </w:tc>
        <w:tc>
          <w:tcPr>
            <w:tcW w:w="630" w:type="pct"/>
            <w:tcBorders>
              <w:top w:val="nil"/>
              <w:left w:val="nil"/>
              <w:bottom w:val="single" w:sz="4" w:space="0" w:color="000000"/>
              <w:right w:val="single" w:sz="4" w:space="0" w:color="000000"/>
            </w:tcBorders>
            <w:vAlign w:val="center"/>
            <w:hideMark/>
          </w:tcPr>
          <w:p w14:paraId="6FDD6B1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428,507.35</w:t>
            </w:r>
          </w:p>
        </w:tc>
        <w:tc>
          <w:tcPr>
            <w:tcW w:w="554" w:type="pct"/>
            <w:tcBorders>
              <w:top w:val="nil"/>
              <w:left w:val="nil"/>
              <w:bottom w:val="single" w:sz="4" w:space="0" w:color="000000"/>
              <w:right w:val="single" w:sz="4" w:space="0" w:color="000000"/>
            </w:tcBorders>
            <w:vAlign w:val="center"/>
            <w:hideMark/>
          </w:tcPr>
          <w:p w14:paraId="1C62C49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3,174.13</w:t>
            </w:r>
          </w:p>
        </w:tc>
      </w:tr>
    </w:tbl>
    <w:p w14:paraId="1EC2E496"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24083BB" w14:textId="60D4185D" w:rsidR="00DB38CA" w:rsidRPr="00D20DE0" w:rsidRDefault="00F06160" w:rsidP="007F0B37">
      <w:pPr>
        <w:jc w:val="both"/>
        <w:rPr>
          <w:rFonts w:ascii="Times New Roman" w:hAnsi="Times New Roman" w:cs="Times New Roman"/>
          <w:b/>
          <w:bCs/>
        </w:rPr>
      </w:pPr>
      <w:r w:rsidRPr="00D20DE0">
        <w:rPr>
          <w:rFonts w:ascii="Times New Roman" w:hAnsi="Times New Roman" w:cs="Times New Roman"/>
          <w:b/>
          <w:bCs/>
        </w:rPr>
        <w:t xml:space="preserve">Discussion </w:t>
      </w:r>
    </w:p>
    <w:p w14:paraId="0329C0AC" w14:textId="0AB49972" w:rsidR="00F07246" w:rsidRDefault="009A3ECD" w:rsidP="009A3ECD">
      <w:pPr>
        <w:jc w:val="both"/>
        <w:rPr>
          <w:rFonts w:ascii="Times New Roman" w:hAnsi="Times New Roman" w:cs="Times New Roman"/>
        </w:rPr>
      </w:pPr>
      <w:r w:rsidRPr="0094620D">
        <w:rPr>
          <w:rFonts w:ascii="Times New Roman" w:hAnsi="Times New Roman" w:cs="Times New Roman"/>
        </w:rPr>
        <w:lastRenderedPageBreak/>
        <w:t xml:space="preserve">Soil nutrients </w:t>
      </w:r>
      <w:r w:rsidR="00D20DE0" w:rsidRPr="0094620D">
        <w:rPr>
          <w:rFonts w:ascii="Times New Roman" w:hAnsi="Times New Roman" w:cs="Times New Roman"/>
        </w:rPr>
        <w:t>are primary</w:t>
      </w:r>
      <w:r w:rsidRPr="0094620D">
        <w:rPr>
          <w:rFonts w:ascii="Times New Roman" w:hAnsi="Times New Roman" w:cs="Times New Roman"/>
        </w:rPr>
        <w:t xml:space="preserve"> regulating soil fertility and crop productivity, and their availability </w:t>
      </w:r>
      <w:r>
        <w:rPr>
          <w:rFonts w:ascii="Times New Roman" w:hAnsi="Times New Roman" w:cs="Times New Roman"/>
        </w:rPr>
        <w:t>to</w:t>
      </w:r>
      <w:r w:rsidRPr="0094620D">
        <w:rPr>
          <w:rFonts w:ascii="Times New Roman" w:hAnsi="Times New Roman" w:cs="Times New Roman"/>
        </w:rPr>
        <w:t xml:space="preserve"> governed by biological transformations, chemical reactions, and physical redistribution within the soil profile under different </w:t>
      </w:r>
      <w:r w:rsidR="00F807F9">
        <w:rPr>
          <w:rFonts w:ascii="Times New Roman" w:hAnsi="Times New Roman" w:cs="Times New Roman"/>
        </w:rPr>
        <w:t>agroclimatic regions.</w:t>
      </w:r>
      <w:r w:rsidR="00E55F3C">
        <w:rPr>
          <w:rFonts w:ascii="Times New Roman" w:hAnsi="Times New Roman" w:cs="Times New Roman"/>
        </w:rPr>
        <w:t xml:space="preserve"> </w:t>
      </w:r>
      <w:r w:rsidR="00F807F9" w:rsidRPr="00F807F9">
        <w:rPr>
          <w:rFonts w:ascii="Times New Roman" w:hAnsi="Times New Roman" w:cs="Times New Roman"/>
        </w:rPr>
        <w:t>Soil nitrogen content is highly dynamic, influenced by plant biomass and environmental conditions that regulate nutrient availability, uptake efficiency, microbial activity, and nitrogen transformations within the soil</w:t>
      </w:r>
      <w:r w:rsidR="00F807F9">
        <w:rPr>
          <w:rFonts w:ascii="Times New Roman" w:hAnsi="Times New Roman" w:cs="Times New Roman"/>
        </w:rPr>
        <w:t xml:space="preserve"> </w:t>
      </w:r>
      <w:r w:rsidR="00F807F9" w:rsidRPr="00F807F9">
        <w:rPr>
          <w:rFonts w:ascii="Times New Roman" w:hAnsi="Times New Roman" w:cs="Times New Roman"/>
        </w:rPr>
        <w:t>plant system</w:t>
      </w:r>
      <w:r w:rsidR="00F807F9">
        <w:rPr>
          <w:rFonts w:ascii="Times New Roman" w:hAnsi="Times New Roman" w:cs="Times New Roman"/>
        </w:rPr>
        <w:t xml:space="preserve"> (Li et al., 2019)</w:t>
      </w:r>
      <w:r w:rsidR="00F807F9" w:rsidRPr="00F807F9">
        <w:rPr>
          <w:rFonts w:ascii="Times New Roman" w:hAnsi="Times New Roman" w:cs="Times New Roman"/>
        </w:rPr>
        <w:t xml:space="preserve">. </w:t>
      </w:r>
      <w:r w:rsidR="00F807F9">
        <w:rPr>
          <w:rFonts w:ascii="Times New Roman" w:hAnsi="Times New Roman" w:cs="Times New Roman"/>
        </w:rPr>
        <w:t>Under the different sowing condition soil</w:t>
      </w:r>
      <w:r w:rsidR="00F807F9" w:rsidRPr="0094620D">
        <w:rPr>
          <w:rFonts w:ascii="Times New Roman" w:hAnsi="Times New Roman" w:cs="Times New Roman"/>
        </w:rPr>
        <w:t xml:space="preserve"> reflect </w:t>
      </w:r>
      <w:r w:rsidR="00F807F9">
        <w:rPr>
          <w:rFonts w:ascii="Times New Roman" w:hAnsi="Times New Roman" w:cs="Times New Roman"/>
        </w:rPr>
        <w:t>variability in the NPK condition due to the leaching and chelation (</w:t>
      </w:r>
      <w:r w:rsidR="00F807F9" w:rsidRPr="00F807F9">
        <w:rPr>
          <w:rFonts w:ascii="Times New Roman" w:hAnsi="Times New Roman" w:cs="Times New Roman"/>
        </w:rPr>
        <w:t>Roebuck</w:t>
      </w:r>
      <w:r w:rsidR="00F807F9">
        <w:rPr>
          <w:rFonts w:ascii="Times New Roman" w:hAnsi="Times New Roman" w:cs="Times New Roman"/>
        </w:rPr>
        <w:t xml:space="preserve"> &amp; </w:t>
      </w:r>
      <w:r w:rsidR="00F807F9" w:rsidRPr="00F807F9">
        <w:rPr>
          <w:rFonts w:ascii="Times New Roman" w:hAnsi="Times New Roman" w:cs="Times New Roman"/>
        </w:rPr>
        <w:t>Klink</w:t>
      </w:r>
      <w:r w:rsidR="00F807F9">
        <w:rPr>
          <w:rFonts w:ascii="Times New Roman" w:hAnsi="Times New Roman" w:cs="Times New Roman"/>
        </w:rPr>
        <w:t xml:space="preserve">, 2025). </w:t>
      </w:r>
      <w:r w:rsidR="00E55F3C" w:rsidRPr="00E55F3C">
        <w:rPr>
          <w:rFonts w:ascii="Times New Roman" w:hAnsi="Times New Roman" w:cs="Times New Roman"/>
        </w:rPr>
        <w:t>The present investigation was critically compared with earlier reported studies focusing on harvesting stages (Swieter et al., 2022), the influence of different tree species (Liu et al., 2022), and variations in soil conditions and their effects on nutrient dynamics (Garba et al., 2022).</w:t>
      </w:r>
      <w:r w:rsidR="00E55F3C">
        <w:rPr>
          <w:rFonts w:ascii="Times New Roman" w:hAnsi="Times New Roman" w:cs="Times New Roman"/>
        </w:rPr>
        <w:t xml:space="preserve"> </w:t>
      </w:r>
      <w:r w:rsidR="00E55F3C" w:rsidRPr="0094620D">
        <w:rPr>
          <w:rFonts w:ascii="Times New Roman" w:hAnsi="Times New Roman" w:cs="Times New Roman"/>
        </w:rPr>
        <w:t>Studies in agroforestry systems demonstrate that soil depth often explains a larger proportion of nitrogen variability than tree species, as organic carbon content, microbial biomass, and fine-root density decline sharply with depth (</w:t>
      </w:r>
      <w:proofErr w:type="spellStart"/>
      <w:r w:rsidR="00E55F3C" w:rsidRPr="00E55F3C">
        <w:rPr>
          <w:rFonts w:ascii="Times New Roman" w:hAnsi="Times New Roman" w:cs="Times New Roman"/>
        </w:rPr>
        <w:t>Masebo</w:t>
      </w:r>
      <w:proofErr w:type="spellEnd"/>
      <w:r w:rsidR="00E55F3C">
        <w:rPr>
          <w:rFonts w:ascii="Times New Roman" w:hAnsi="Times New Roman" w:cs="Times New Roman"/>
        </w:rPr>
        <w:t xml:space="preserve"> et al., 2025</w:t>
      </w:r>
      <w:r w:rsidR="00E55F3C" w:rsidRPr="0094620D">
        <w:rPr>
          <w:rFonts w:ascii="Times New Roman" w:hAnsi="Times New Roman" w:cs="Times New Roman"/>
        </w:rPr>
        <w:t>).</w:t>
      </w:r>
      <w:r w:rsidR="00D22AA6">
        <w:rPr>
          <w:rFonts w:ascii="Times New Roman" w:hAnsi="Times New Roman" w:cs="Times New Roman"/>
        </w:rPr>
        <w:t xml:space="preserve"> </w:t>
      </w:r>
      <w:r w:rsidR="00031818" w:rsidRPr="00031818">
        <w:rPr>
          <w:rFonts w:ascii="Times New Roman" w:hAnsi="Times New Roman" w:cs="Times New Roman"/>
        </w:rPr>
        <w:t>The higher soil pH and SOC observed under restorative silviculture systems likely reduced phosphorus fixation by Fe and Al oxides, thereby enhancing P availability across soil depths</w:t>
      </w:r>
      <w:r w:rsidR="00031818">
        <w:rPr>
          <w:rFonts w:ascii="Times New Roman" w:hAnsi="Times New Roman" w:cs="Times New Roman"/>
        </w:rPr>
        <w:t xml:space="preserve"> (</w:t>
      </w:r>
      <w:r w:rsidR="00031818" w:rsidRPr="00031818">
        <w:rPr>
          <w:rFonts w:ascii="Times New Roman" w:hAnsi="Times New Roman" w:cs="Times New Roman"/>
        </w:rPr>
        <w:t>Roy</w:t>
      </w:r>
      <w:r w:rsidR="00031818">
        <w:rPr>
          <w:rFonts w:ascii="Times New Roman" w:hAnsi="Times New Roman" w:cs="Times New Roman"/>
        </w:rPr>
        <w:t xml:space="preserve"> et al., 2025)</w:t>
      </w:r>
      <w:r w:rsidR="00031818" w:rsidRPr="00031818">
        <w:rPr>
          <w:rFonts w:ascii="Times New Roman" w:hAnsi="Times New Roman" w:cs="Times New Roman"/>
        </w:rPr>
        <w:t xml:space="preserve">. </w:t>
      </w:r>
      <w:r w:rsidR="00031818">
        <w:rPr>
          <w:rFonts w:ascii="Times New Roman" w:hAnsi="Times New Roman" w:cs="Times New Roman"/>
        </w:rPr>
        <w:t>Present study also compares the s</w:t>
      </w:r>
      <w:r w:rsidR="00031818" w:rsidRPr="00031818">
        <w:rPr>
          <w:rFonts w:ascii="Times New Roman" w:hAnsi="Times New Roman" w:cs="Times New Roman"/>
        </w:rPr>
        <w:t xml:space="preserve">oil P dynamics under </w:t>
      </w:r>
      <w:proofErr w:type="gramStart"/>
      <w:r w:rsidR="00031818" w:rsidRPr="00031818">
        <w:rPr>
          <w:rFonts w:ascii="Times New Roman" w:hAnsi="Times New Roman" w:cs="Times New Roman"/>
        </w:rPr>
        <w:t>tree</w:t>
      </w:r>
      <w:r w:rsidR="00031818">
        <w:rPr>
          <w:rFonts w:ascii="Times New Roman" w:hAnsi="Times New Roman" w:cs="Times New Roman"/>
        </w:rPr>
        <w:t xml:space="preserve"> </w:t>
      </w:r>
      <w:r w:rsidR="00031818" w:rsidRPr="00031818">
        <w:rPr>
          <w:rFonts w:ascii="Times New Roman" w:hAnsi="Times New Roman" w:cs="Times New Roman"/>
        </w:rPr>
        <w:t>based</w:t>
      </w:r>
      <w:proofErr w:type="gramEnd"/>
      <w:r w:rsidR="00031818" w:rsidRPr="00031818">
        <w:rPr>
          <w:rFonts w:ascii="Times New Roman" w:hAnsi="Times New Roman" w:cs="Times New Roman"/>
        </w:rPr>
        <w:t xml:space="preserve"> systems reported </w:t>
      </w:r>
      <w:r w:rsidR="00031818">
        <w:rPr>
          <w:rFonts w:ascii="Times New Roman" w:hAnsi="Times New Roman" w:cs="Times New Roman"/>
        </w:rPr>
        <w:t xml:space="preserve">by the </w:t>
      </w:r>
      <w:proofErr w:type="spellStart"/>
      <w:r w:rsidR="00031818" w:rsidRPr="00031818">
        <w:rPr>
          <w:rFonts w:ascii="Times New Roman" w:hAnsi="Times New Roman" w:cs="Times New Roman"/>
        </w:rPr>
        <w:t>Baradwal</w:t>
      </w:r>
      <w:proofErr w:type="spellEnd"/>
      <w:r w:rsidR="00031818" w:rsidRPr="00031818">
        <w:rPr>
          <w:rFonts w:ascii="Times New Roman" w:hAnsi="Times New Roman" w:cs="Times New Roman"/>
        </w:rPr>
        <w:t xml:space="preserve"> et al., 2023; </w:t>
      </w:r>
      <w:r w:rsidR="00031818">
        <w:rPr>
          <w:rFonts w:ascii="Times New Roman" w:hAnsi="Times New Roman" w:cs="Times New Roman"/>
        </w:rPr>
        <w:t>Fu</w:t>
      </w:r>
      <w:r w:rsidR="00031818" w:rsidRPr="00031818">
        <w:rPr>
          <w:rFonts w:ascii="Times New Roman" w:hAnsi="Times New Roman" w:cs="Times New Roman"/>
        </w:rPr>
        <w:t xml:space="preserve"> et al., 202</w:t>
      </w:r>
      <w:r w:rsidR="00031818">
        <w:rPr>
          <w:rFonts w:ascii="Times New Roman" w:hAnsi="Times New Roman" w:cs="Times New Roman"/>
        </w:rPr>
        <w:t>0</w:t>
      </w:r>
      <w:r w:rsidR="00031818" w:rsidRPr="00031818">
        <w:rPr>
          <w:rFonts w:ascii="Times New Roman" w:hAnsi="Times New Roman" w:cs="Times New Roman"/>
        </w:rPr>
        <w:t>.</w:t>
      </w:r>
      <w:r w:rsidR="00031818">
        <w:rPr>
          <w:rFonts w:ascii="Times New Roman" w:hAnsi="Times New Roman" w:cs="Times New Roman"/>
        </w:rPr>
        <w:t xml:space="preserve"> P</w:t>
      </w:r>
      <w:r w:rsidR="00031818" w:rsidRPr="0094620D">
        <w:rPr>
          <w:rFonts w:ascii="Times New Roman" w:hAnsi="Times New Roman" w:cs="Times New Roman"/>
        </w:rPr>
        <w:t>hosphorus accumulation is typically confined to surface soil layers under tree canopies because of litter deposition, root turnover, and rhizosphere-mediated solubilization processes (</w:t>
      </w:r>
      <w:r w:rsidR="00031818" w:rsidRPr="00031818">
        <w:rPr>
          <w:rFonts w:ascii="Times New Roman" w:hAnsi="Times New Roman" w:cs="Times New Roman"/>
        </w:rPr>
        <w:t>Nair</w:t>
      </w:r>
      <w:r w:rsidR="00031818">
        <w:rPr>
          <w:rFonts w:ascii="Times New Roman" w:hAnsi="Times New Roman" w:cs="Times New Roman"/>
        </w:rPr>
        <w:t xml:space="preserve"> et al., 2020</w:t>
      </w:r>
      <w:r w:rsidR="00031818" w:rsidRPr="0094620D">
        <w:rPr>
          <w:rFonts w:ascii="Times New Roman" w:hAnsi="Times New Roman" w:cs="Times New Roman"/>
        </w:rPr>
        <w:t>).</w:t>
      </w:r>
      <w:r w:rsidR="00F07246">
        <w:rPr>
          <w:rFonts w:ascii="Times New Roman" w:hAnsi="Times New Roman" w:cs="Times New Roman"/>
        </w:rPr>
        <w:t xml:space="preserve"> </w:t>
      </w:r>
      <w:r w:rsidR="00F65899">
        <w:rPr>
          <w:rFonts w:ascii="Times New Roman" w:hAnsi="Times New Roman" w:cs="Times New Roman"/>
        </w:rPr>
        <w:t>L</w:t>
      </w:r>
      <w:r w:rsidRPr="0094620D">
        <w:rPr>
          <w:rFonts w:ascii="Times New Roman" w:hAnsi="Times New Roman" w:cs="Times New Roman"/>
        </w:rPr>
        <w:t xml:space="preserve">ike nitrogen and phosphorus, potassium is </w:t>
      </w:r>
      <w:r w:rsidR="00F65899">
        <w:rPr>
          <w:rFonts w:ascii="Times New Roman" w:hAnsi="Times New Roman" w:cs="Times New Roman"/>
        </w:rPr>
        <w:t>also</w:t>
      </w:r>
      <w:r w:rsidRPr="0094620D">
        <w:rPr>
          <w:rFonts w:ascii="Times New Roman" w:hAnsi="Times New Roman" w:cs="Times New Roman"/>
        </w:rPr>
        <w:t xml:space="preserve"> regulated by mineral weathering, cation exchange processes, and plant</w:t>
      </w:r>
      <w:r w:rsidR="00F65899">
        <w:rPr>
          <w:rFonts w:ascii="Times New Roman" w:hAnsi="Times New Roman" w:cs="Times New Roman"/>
        </w:rPr>
        <w:t xml:space="preserve"> </w:t>
      </w:r>
      <w:r w:rsidR="00F65899" w:rsidRPr="0094620D">
        <w:rPr>
          <w:rFonts w:ascii="Times New Roman" w:hAnsi="Times New Roman" w:cs="Times New Roman"/>
        </w:rPr>
        <w:t>facilitated</w:t>
      </w:r>
      <w:r w:rsidRPr="0094620D">
        <w:rPr>
          <w:rFonts w:ascii="Times New Roman" w:hAnsi="Times New Roman" w:cs="Times New Roman"/>
        </w:rPr>
        <w:t xml:space="preserve"> redistribution</w:t>
      </w:r>
      <w:r w:rsidR="00F65899">
        <w:rPr>
          <w:rFonts w:ascii="Times New Roman" w:hAnsi="Times New Roman" w:cs="Times New Roman"/>
        </w:rPr>
        <w:t xml:space="preserve"> (</w:t>
      </w:r>
      <w:proofErr w:type="spellStart"/>
      <w:r w:rsidR="00F65899" w:rsidRPr="00F65899">
        <w:rPr>
          <w:rFonts w:ascii="Times New Roman" w:hAnsi="Times New Roman" w:cs="Times New Roman"/>
        </w:rPr>
        <w:t>Bhatla</w:t>
      </w:r>
      <w:proofErr w:type="spellEnd"/>
      <w:r w:rsidR="00F65899">
        <w:rPr>
          <w:rFonts w:ascii="Times New Roman" w:hAnsi="Times New Roman" w:cs="Times New Roman"/>
        </w:rPr>
        <w:t xml:space="preserve"> &amp; </w:t>
      </w:r>
      <w:proofErr w:type="spellStart"/>
      <w:r w:rsidR="00F65899" w:rsidRPr="00F65899">
        <w:rPr>
          <w:rFonts w:ascii="Times New Roman" w:hAnsi="Times New Roman" w:cs="Times New Roman"/>
        </w:rPr>
        <w:t>Kathpalia</w:t>
      </w:r>
      <w:proofErr w:type="spellEnd"/>
      <w:r w:rsidR="00F65899">
        <w:rPr>
          <w:rFonts w:ascii="Times New Roman" w:hAnsi="Times New Roman" w:cs="Times New Roman"/>
        </w:rPr>
        <w:t>, 2023)</w:t>
      </w:r>
      <w:r w:rsidRPr="0094620D">
        <w:rPr>
          <w:rFonts w:ascii="Times New Roman" w:hAnsi="Times New Roman" w:cs="Times New Roman"/>
        </w:rPr>
        <w:t xml:space="preserve">. </w:t>
      </w:r>
      <w:r w:rsidR="00F07246" w:rsidRPr="00F07246">
        <w:rPr>
          <w:rFonts w:ascii="Times New Roman" w:hAnsi="Times New Roman" w:cs="Times New Roman"/>
        </w:rPr>
        <w:t xml:space="preserve">Our study across different agroforestry climatic zones demonstrated significantly higher potassium accumulation in surface soils, largely due to continuous litterfall and enhanced nutrient recycling processes, and these findings are in strong agreement with earlier reports by </w:t>
      </w:r>
      <w:proofErr w:type="spellStart"/>
      <w:r w:rsidR="00F07246" w:rsidRPr="00F07246">
        <w:rPr>
          <w:rFonts w:ascii="Times New Roman" w:hAnsi="Times New Roman" w:cs="Times New Roman"/>
        </w:rPr>
        <w:t>Sardans</w:t>
      </w:r>
      <w:proofErr w:type="spellEnd"/>
      <w:r w:rsidR="00F07246" w:rsidRPr="00F07246">
        <w:rPr>
          <w:rFonts w:ascii="Times New Roman" w:hAnsi="Times New Roman" w:cs="Times New Roman"/>
        </w:rPr>
        <w:t xml:space="preserve"> and </w:t>
      </w:r>
      <w:proofErr w:type="spellStart"/>
      <w:r w:rsidR="00F07246" w:rsidRPr="00F07246">
        <w:rPr>
          <w:rFonts w:ascii="Times New Roman" w:hAnsi="Times New Roman" w:cs="Times New Roman"/>
        </w:rPr>
        <w:t>Peñuelas</w:t>
      </w:r>
      <w:proofErr w:type="spellEnd"/>
      <w:r w:rsidR="00F07246" w:rsidRPr="00F07246">
        <w:rPr>
          <w:rFonts w:ascii="Times New Roman" w:hAnsi="Times New Roman" w:cs="Times New Roman"/>
        </w:rPr>
        <w:t xml:space="preserve"> (2021), Rawat et al. (2022), and Nascimento et al. (2024).</w:t>
      </w:r>
      <w:r w:rsidR="00F07246">
        <w:rPr>
          <w:rFonts w:ascii="Times New Roman" w:hAnsi="Times New Roman" w:cs="Times New Roman"/>
        </w:rPr>
        <w:t xml:space="preserve"> </w:t>
      </w:r>
      <w:proofErr w:type="spellStart"/>
      <w:r w:rsidR="00F07246" w:rsidRPr="00F07246">
        <w:rPr>
          <w:rFonts w:ascii="Times New Roman" w:hAnsi="Times New Roman" w:cs="Times New Roman"/>
        </w:rPr>
        <w:t>Roeva</w:t>
      </w:r>
      <w:proofErr w:type="spellEnd"/>
      <w:r w:rsidR="00F07246" w:rsidRPr="00F07246">
        <w:rPr>
          <w:rFonts w:ascii="Times New Roman" w:hAnsi="Times New Roman" w:cs="Times New Roman"/>
        </w:rPr>
        <w:t xml:space="preserve"> </w:t>
      </w:r>
      <w:r w:rsidR="00F07246">
        <w:rPr>
          <w:rFonts w:ascii="Times New Roman" w:hAnsi="Times New Roman" w:cs="Times New Roman"/>
        </w:rPr>
        <w:t>and coworkers in 2022 found that the e</w:t>
      </w:r>
      <w:r w:rsidR="00F07246" w:rsidRPr="00F07246">
        <w:rPr>
          <w:rFonts w:ascii="Times New Roman" w:hAnsi="Times New Roman" w:cs="Times New Roman"/>
        </w:rPr>
        <w:t>xchangeable potassium stabilizes during plant uptake, with control plots showing 118.6</w:t>
      </w:r>
      <w:r w:rsidR="00F07246">
        <w:rPr>
          <w:rFonts w:ascii="Times New Roman" w:hAnsi="Times New Roman" w:cs="Times New Roman"/>
        </w:rPr>
        <w:t>-</w:t>
      </w:r>
      <w:r w:rsidR="00F07246" w:rsidRPr="00F07246">
        <w:rPr>
          <w:rFonts w:ascii="Times New Roman" w:hAnsi="Times New Roman" w:cs="Times New Roman"/>
        </w:rPr>
        <w:t>183.6, 81.1</w:t>
      </w:r>
      <w:r w:rsidR="00F07246">
        <w:rPr>
          <w:rFonts w:ascii="Times New Roman" w:hAnsi="Times New Roman" w:cs="Times New Roman"/>
        </w:rPr>
        <w:t>-</w:t>
      </w:r>
      <w:r w:rsidR="00F07246" w:rsidRPr="00F07246">
        <w:rPr>
          <w:rFonts w:ascii="Times New Roman" w:hAnsi="Times New Roman" w:cs="Times New Roman"/>
        </w:rPr>
        <w:t>113.9, and 46.0</w:t>
      </w:r>
      <w:r w:rsidR="00F07246">
        <w:rPr>
          <w:rFonts w:ascii="Times New Roman" w:hAnsi="Times New Roman" w:cs="Times New Roman"/>
        </w:rPr>
        <w:t>-</w:t>
      </w:r>
      <w:r w:rsidR="00F07246" w:rsidRPr="00F07246">
        <w:rPr>
          <w:rFonts w:ascii="Times New Roman" w:hAnsi="Times New Roman" w:cs="Times New Roman"/>
        </w:rPr>
        <w:t>87.1 mg kg⁻¹ in 0</w:t>
      </w:r>
      <w:r w:rsidR="00F07246">
        <w:rPr>
          <w:rFonts w:ascii="Times New Roman" w:hAnsi="Times New Roman" w:cs="Times New Roman"/>
        </w:rPr>
        <w:t>-</w:t>
      </w:r>
      <w:r w:rsidR="00F07246" w:rsidRPr="00F07246">
        <w:rPr>
          <w:rFonts w:ascii="Times New Roman" w:hAnsi="Times New Roman" w:cs="Times New Roman"/>
        </w:rPr>
        <w:t>20, 20</w:t>
      </w:r>
      <w:r w:rsidR="00F07246">
        <w:rPr>
          <w:rFonts w:ascii="Times New Roman" w:hAnsi="Times New Roman" w:cs="Times New Roman"/>
        </w:rPr>
        <w:t>-</w:t>
      </w:r>
      <w:r w:rsidR="00F07246" w:rsidRPr="00F07246">
        <w:rPr>
          <w:rFonts w:ascii="Times New Roman" w:hAnsi="Times New Roman" w:cs="Times New Roman"/>
        </w:rPr>
        <w:t>40, and 40</w:t>
      </w:r>
      <w:r w:rsidR="00F07246">
        <w:rPr>
          <w:rFonts w:ascii="Times New Roman" w:hAnsi="Times New Roman" w:cs="Times New Roman"/>
        </w:rPr>
        <w:t>-</w:t>
      </w:r>
      <w:r w:rsidR="00F07246" w:rsidRPr="00F07246">
        <w:rPr>
          <w:rFonts w:ascii="Times New Roman" w:hAnsi="Times New Roman" w:cs="Times New Roman"/>
        </w:rPr>
        <w:t>60cm layers, respectively.</w:t>
      </w:r>
    </w:p>
    <w:p w14:paraId="51B276E2" w14:textId="51B8DA6D" w:rsidR="00F57AD4" w:rsidRPr="00F57AD4" w:rsidRDefault="006B3EB4" w:rsidP="007F0B37">
      <w:pPr>
        <w:jc w:val="both"/>
        <w:rPr>
          <w:rFonts w:ascii="Times New Roman" w:hAnsi="Times New Roman" w:cs="Times New Roman"/>
          <w:b/>
          <w:bCs/>
        </w:rPr>
      </w:pPr>
      <w:r>
        <w:rPr>
          <w:rFonts w:ascii="Times New Roman" w:hAnsi="Times New Roman" w:cs="Times New Roman"/>
          <w:b/>
          <w:bCs/>
        </w:rPr>
        <w:t xml:space="preserve">Conclusion </w:t>
      </w:r>
    </w:p>
    <w:p w14:paraId="7F88BE91" w14:textId="77777777" w:rsidR="009F0C67" w:rsidRDefault="00BC66E4" w:rsidP="007F0B37">
      <w:pPr>
        <w:jc w:val="both"/>
        <w:rPr>
          <w:rFonts w:ascii="Times New Roman" w:hAnsi="Times New Roman" w:cs="Times New Roman"/>
        </w:rPr>
      </w:pPr>
      <w:r w:rsidRPr="00BC66E4">
        <w:rPr>
          <w:rFonts w:ascii="Times New Roman" w:hAnsi="Times New Roman" w:cs="Times New Roman"/>
        </w:rPr>
        <w:t xml:space="preserve">The soil nutrient profile under agroecosystems of Haryana </w:t>
      </w:r>
      <w:r w:rsidR="003B08E3">
        <w:rPr>
          <w:rFonts w:ascii="Times New Roman" w:hAnsi="Times New Roman" w:cs="Times New Roman"/>
        </w:rPr>
        <w:t>had</w:t>
      </w:r>
      <w:r w:rsidRPr="00BC66E4">
        <w:rPr>
          <w:rFonts w:ascii="Times New Roman" w:hAnsi="Times New Roman" w:cs="Times New Roman"/>
        </w:rPr>
        <w:t xml:space="preserve"> variability in the availability of nitrogen, phosphorus, and potassium</w:t>
      </w:r>
      <w:r w:rsidR="003B08E3">
        <w:rPr>
          <w:rFonts w:ascii="Times New Roman" w:hAnsi="Times New Roman" w:cs="Times New Roman"/>
        </w:rPr>
        <w:t xml:space="preserve"> content in </w:t>
      </w:r>
      <w:r w:rsidR="003B08E3" w:rsidRPr="00BC66E4">
        <w:rPr>
          <w:rFonts w:ascii="Times New Roman" w:hAnsi="Times New Roman" w:cs="Times New Roman"/>
        </w:rPr>
        <w:t>Jind, Rohtak, and Jhajjar</w:t>
      </w:r>
      <w:r w:rsidR="003B08E3">
        <w:rPr>
          <w:rFonts w:ascii="Times New Roman" w:hAnsi="Times New Roman" w:cs="Times New Roman"/>
        </w:rPr>
        <w:t xml:space="preserve"> district and </w:t>
      </w:r>
      <w:r w:rsidRPr="00BC66E4">
        <w:rPr>
          <w:rFonts w:ascii="Times New Roman" w:hAnsi="Times New Roman" w:cs="Times New Roman"/>
        </w:rPr>
        <w:t xml:space="preserve">reflecting the combined influence of environmental conditions, soil depth, </w:t>
      </w:r>
      <w:r w:rsidR="003B08E3">
        <w:rPr>
          <w:rFonts w:ascii="Times New Roman" w:hAnsi="Times New Roman" w:cs="Times New Roman"/>
        </w:rPr>
        <w:t xml:space="preserve">soil </w:t>
      </w:r>
      <w:r w:rsidRPr="00BC66E4">
        <w:rPr>
          <w:rFonts w:ascii="Times New Roman" w:hAnsi="Times New Roman" w:cs="Times New Roman"/>
        </w:rPr>
        <w:t xml:space="preserve">distance and </w:t>
      </w:r>
      <w:r w:rsidR="003B08E3">
        <w:rPr>
          <w:rFonts w:ascii="Times New Roman" w:hAnsi="Times New Roman" w:cs="Times New Roman"/>
        </w:rPr>
        <w:t xml:space="preserve">different </w:t>
      </w:r>
      <w:r w:rsidRPr="00BC66E4">
        <w:rPr>
          <w:rFonts w:ascii="Times New Roman" w:hAnsi="Times New Roman" w:cs="Times New Roman"/>
        </w:rPr>
        <w:t xml:space="preserve">tree species. </w:t>
      </w:r>
      <w:r w:rsidR="009A49AD" w:rsidRPr="009A49AD">
        <w:rPr>
          <w:rFonts w:ascii="Times New Roman" w:hAnsi="Times New Roman" w:cs="Times New Roman"/>
        </w:rPr>
        <w:t xml:space="preserve">NPK content in Jind, Rohtak, and Jhajjar </w:t>
      </w:r>
      <w:r w:rsidR="00EB16DF" w:rsidRPr="009A49AD">
        <w:rPr>
          <w:rFonts w:ascii="Times New Roman" w:hAnsi="Times New Roman" w:cs="Times New Roman"/>
        </w:rPr>
        <w:t>were</w:t>
      </w:r>
      <w:r w:rsidR="009A49AD" w:rsidRPr="009A49AD">
        <w:rPr>
          <w:rFonts w:ascii="Times New Roman" w:hAnsi="Times New Roman" w:cs="Times New Roman"/>
        </w:rPr>
        <w:t xml:space="preserve"> </w:t>
      </w:r>
      <w:r w:rsidR="00EB16DF">
        <w:rPr>
          <w:rFonts w:ascii="Times New Roman" w:hAnsi="Times New Roman" w:cs="Times New Roman"/>
        </w:rPr>
        <w:t xml:space="preserve">directly associated </w:t>
      </w:r>
      <w:r w:rsidR="00EB16DF" w:rsidRPr="009A49AD">
        <w:rPr>
          <w:rFonts w:ascii="Times New Roman" w:hAnsi="Times New Roman" w:cs="Times New Roman"/>
        </w:rPr>
        <w:t>with</w:t>
      </w:r>
      <w:r w:rsidR="009A49AD" w:rsidRPr="009A49AD">
        <w:rPr>
          <w:rFonts w:ascii="Times New Roman" w:hAnsi="Times New Roman" w:cs="Times New Roman"/>
        </w:rPr>
        <w:t xml:space="preserve"> </w:t>
      </w:r>
      <w:r w:rsidR="00EB16DF">
        <w:rPr>
          <w:rFonts w:ascii="Times New Roman" w:hAnsi="Times New Roman" w:cs="Times New Roman"/>
        </w:rPr>
        <w:t xml:space="preserve">time of </w:t>
      </w:r>
      <w:r w:rsidR="009A49AD" w:rsidRPr="009A49AD">
        <w:rPr>
          <w:rFonts w:ascii="Times New Roman" w:hAnsi="Times New Roman" w:cs="Times New Roman"/>
        </w:rPr>
        <w:t>sowing and har</w:t>
      </w:r>
      <w:r w:rsidR="00EB16DF">
        <w:rPr>
          <w:rFonts w:ascii="Times New Roman" w:hAnsi="Times New Roman" w:cs="Times New Roman"/>
        </w:rPr>
        <w:t>vesting</w:t>
      </w:r>
      <w:r w:rsidR="009A49AD" w:rsidRPr="009A49AD">
        <w:rPr>
          <w:rFonts w:ascii="Times New Roman" w:hAnsi="Times New Roman" w:cs="Times New Roman"/>
        </w:rPr>
        <w:t xml:space="preserve">, with soil depth and distance </w:t>
      </w:r>
      <w:r w:rsidR="00EB16DF">
        <w:rPr>
          <w:rFonts w:ascii="Times New Roman" w:hAnsi="Times New Roman" w:cs="Times New Roman"/>
        </w:rPr>
        <w:t>had</w:t>
      </w:r>
      <w:r w:rsidR="009A49AD" w:rsidRPr="009A49AD">
        <w:rPr>
          <w:rFonts w:ascii="Times New Roman" w:hAnsi="Times New Roman" w:cs="Times New Roman"/>
        </w:rPr>
        <w:t xml:space="preserve"> a significant influence on </w:t>
      </w:r>
      <w:r w:rsidR="00EB16DF" w:rsidRPr="009A49AD">
        <w:rPr>
          <w:rFonts w:ascii="Times New Roman" w:hAnsi="Times New Roman" w:cs="Times New Roman"/>
        </w:rPr>
        <w:t>soil</w:t>
      </w:r>
      <w:r w:rsidR="00EB16DF">
        <w:rPr>
          <w:rFonts w:ascii="Times New Roman" w:hAnsi="Times New Roman" w:cs="Times New Roman"/>
        </w:rPr>
        <w:t xml:space="preserve"> </w:t>
      </w:r>
      <w:r w:rsidR="009A49AD" w:rsidRPr="009A49AD">
        <w:rPr>
          <w:rFonts w:ascii="Times New Roman" w:hAnsi="Times New Roman" w:cs="Times New Roman"/>
        </w:rPr>
        <w:t xml:space="preserve">nutrients </w:t>
      </w:r>
      <w:r w:rsidR="00EB16DF" w:rsidRPr="00BC66E4">
        <w:rPr>
          <w:rFonts w:ascii="Times New Roman" w:hAnsi="Times New Roman" w:cs="Times New Roman"/>
        </w:rPr>
        <w:t>distribution</w:t>
      </w:r>
      <w:r w:rsidR="009A49AD" w:rsidRPr="009A49AD">
        <w:rPr>
          <w:rFonts w:ascii="Times New Roman" w:hAnsi="Times New Roman" w:cs="Times New Roman"/>
        </w:rPr>
        <w:t>.</w:t>
      </w:r>
      <w:r w:rsidRPr="00BC66E4">
        <w:rPr>
          <w:rFonts w:ascii="Times New Roman" w:hAnsi="Times New Roman" w:cs="Times New Roman"/>
        </w:rPr>
        <w:t xml:space="preserve"> Tree species </w:t>
      </w:r>
      <w:r w:rsidR="00BE19FC">
        <w:rPr>
          <w:rFonts w:ascii="Times New Roman" w:hAnsi="Times New Roman" w:cs="Times New Roman"/>
        </w:rPr>
        <w:t xml:space="preserve">also </w:t>
      </w:r>
      <w:r w:rsidRPr="00BC66E4">
        <w:rPr>
          <w:rFonts w:ascii="Times New Roman" w:hAnsi="Times New Roman" w:cs="Times New Roman"/>
        </w:rPr>
        <w:t xml:space="preserve">contributed </w:t>
      </w:r>
      <w:r w:rsidR="00BE19FC">
        <w:rPr>
          <w:rFonts w:ascii="Times New Roman" w:hAnsi="Times New Roman" w:cs="Times New Roman"/>
        </w:rPr>
        <w:t xml:space="preserve">significant </w:t>
      </w:r>
      <w:r w:rsidRPr="00BC66E4">
        <w:rPr>
          <w:rFonts w:ascii="Times New Roman" w:hAnsi="Times New Roman" w:cs="Times New Roman"/>
        </w:rPr>
        <w:t xml:space="preserve">influence on </w:t>
      </w:r>
      <w:r w:rsidR="00BE19FC">
        <w:rPr>
          <w:rFonts w:ascii="Times New Roman" w:hAnsi="Times New Roman" w:cs="Times New Roman"/>
        </w:rPr>
        <w:t>NPK</w:t>
      </w:r>
      <w:r w:rsidRPr="00BC66E4">
        <w:rPr>
          <w:rFonts w:ascii="Times New Roman" w:hAnsi="Times New Roman" w:cs="Times New Roman"/>
        </w:rPr>
        <w:t xml:space="preserve"> availability, indicating species</w:t>
      </w:r>
      <w:r w:rsidR="00BE19FC">
        <w:rPr>
          <w:rFonts w:ascii="Times New Roman" w:hAnsi="Times New Roman" w:cs="Times New Roman"/>
        </w:rPr>
        <w:t xml:space="preserve"> </w:t>
      </w:r>
      <w:r w:rsidRPr="00BC66E4">
        <w:rPr>
          <w:rFonts w:ascii="Times New Roman" w:hAnsi="Times New Roman" w:cs="Times New Roman"/>
        </w:rPr>
        <w:t xml:space="preserve">specific nutrient cycling patterns. Significant interaction effects </w:t>
      </w:r>
      <w:r w:rsidR="00BE19FC">
        <w:rPr>
          <w:rFonts w:ascii="Times New Roman" w:hAnsi="Times New Roman" w:cs="Times New Roman"/>
        </w:rPr>
        <w:t>within</w:t>
      </w:r>
      <w:r w:rsidRPr="00BC66E4">
        <w:rPr>
          <w:rFonts w:ascii="Times New Roman" w:hAnsi="Times New Roman" w:cs="Times New Roman"/>
        </w:rPr>
        <w:t xml:space="preserve"> tree species, environment, and soil distance</w:t>
      </w:r>
      <w:r w:rsidR="00BE19FC">
        <w:rPr>
          <w:rFonts w:ascii="Times New Roman" w:hAnsi="Times New Roman" w:cs="Times New Roman"/>
        </w:rPr>
        <w:t xml:space="preserve"> and </w:t>
      </w:r>
      <w:r w:rsidRPr="00BC66E4">
        <w:rPr>
          <w:rFonts w:ascii="Times New Roman" w:hAnsi="Times New Roman" w:cs="Times New Roman"/>
        </w:rPr>
        <w:t xml:space="preserve">depth </w:t>
      </w:r>
      <w:r w:rsidR="00BE19FC">
        <w:rPr>
          <w:rFonts w:ascii="Times New Roman" w:hAnsi="Times New Roman" w:cs="Times New Roman"/>
        </w:rPr>
        <w:t>showed</w:t>
      </w:r>
      <w:r w:rsidRPr="00BC66E4">
        <w:rPr>
          <w:rFonts w:ascii="Times New Roman" w:hAnsi="Times New Roman" w:cs="Times New Roman"/>
        </w:rPr>
        <w:t xml:space="preserve"> the complex regulation of nutrient </w:t>
      </w:r>
      <w:r w:rsidR="00BE19FC" w:rsidRPr="00BC66E4">
        <w:rPr>
          <w:rFonts w:ascii="Times New Roman" w:hAnsi="Times New Roman" w:cs="Times New Roman"/>
        </w:rPr>
        <w:t xml:space="preserve">changing </w:t>
      </w:r>
      <w:r w:rsidR="00BE19FC">
        <w:rPr>
          <w:rFonts w:ascii="Times New Roman" w:hAnsi="Times New Roman" w:cs="Times New Roman"/>
        </w:rPr>
        <w:t>patterns</w:t>
      </w:r>
      <w:r w:rsidRPr="00BC66E4">
        <w:rPr>
          <w:rFonts w:ascii="Times New Roman" w:hAnsi="Times New Roman" w:cs="Times New Roman"/>
        </w:rPr>
        <w:t xml:space="preserve">. </w:t>
      </w:r>
      <w:r w:rsidR="00BE19FC" w:rsidRPr="00BE19FC">
        <w:rPr>
          <w:rFonts w:ascii="Times New Roman" w:hAnsi="Times New Roman" w:cs="Times New Roman"/>
        </w:rPr>
        <w:t xml:space="preserve">Overall, the soil nutrient profile in the studied agroforestry </w:t>
      </w:r>
      <w:r w:rsidR="00BE19FC">
        <w:rPr>
          <w:rFonts w:ascii="Times New Roman" w:hAnsi="Times New Roman" w:cs="Times New Roman"/>
        </w:rPr>
        <w:t>regions</w:t>
      </w:r>
      <w:r w:rsidR="00BE19FC" w:rsidRPr="00BE19FC">
        <w:rPr>
          <w:rFonts w:ascii="Times New Roman" w:hAnsi="Times New Roman" w:cs="Times New Roman"/>
        </w:rPr>
        <w:t xml:space="preserve"> is </w:t>
      </w:r>
      <w:r w:rsidR="009F0C67" w:rsidRPr="00BC66E4">
        <w:rPr>
          <w:rFonts w:ascii="Times New Roman" w:hAnsi="Times New Roman" w:cs="Times New Roman"/>
        </w:rPr>
        <w:t xml:space="preserve">primarily controlled </w:t>
      </w:r>
      <w:r w:rsidR="00BE19FC" w:rsidRPr="00BE19FC">
        <w:rPr>
          <w:rFonts w:ascii="Times New Roman" w:hAnsi="Times New Roman" w:cs="Times New Roman"/>
        </w:rPr>
        <w:t>by environmental conditions and soil depth, with tree species playing a significant modifying role in regulating soil fertility.</w:t>
      </w:r>
    </w:p>
    <w:p w14:paraId="76F9B3E5"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t>Disclaimer (Artificial Intelligence)</w:t>
      </w:r>
    </w:p>
    <w:p w14:paraId="5078B898" w14:textId="77777777" w:rsidR="00F06160" w:rsidRPr="00F06160" w:rsidRDefault="00F06160" w:rsidP="00F06160">
      <w:pPr>
        <w:jc w:val="both"/>
        <w:rPr>
          <w:rFonts w:ascii="Times New Roman" w:hAnsi="Times New Roman" w:cs="Times New Roman"/>
        </w:rPr>
      </w:pPr>
      <w:r w:rsidRPr="0033244D">
        <w:rPr>
          <w:rFonts w:ascii="Times New Roman" w:hAnsi="Times New Roman" w:cs="Times New Roman"/>
          <w:highlight w:val="yellow"/>
        </w:rPr>
        <w:lastRenderedPageBreak/>
        <w:t>Authors hereby declare that NO generative AI technologies such as Large Language Models (ChatGPT, COPILOT, and Gemini, etc.) and text-to-image generators not used during the writing or editing of this manuscript.</w:t>
      </w:r>
      <w:r w:rsidRPr="00F06160">
        <w:rPr>
          <w:rFonts w:ascii="Times New Roman" w:hAnsi="Times New Roman" w:cs="Times New Roman"/>
        </w:rPr>
        <w:t xml:space="preserve"> </w:t>
      </w:r>
    </w:p>
    <w:p w14:paraId="5910D467"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t>Competing Interests</w:t>
      </w:r>
    </w:p>
    <w:p w14:paraId="2420BBD3" w14:textId="2F7D3CAC" w:rsidR="00DB38CA" w:rsidRDefault="00F06160" w:rsidP="00F06160">
      <w:pPr>
        <w:jc w:val="both"/>
        <w:rPr>
          <w:rFonts w:ascii="Times New Roman" w:hAnsi="Times New Roman" w:cs="Times New Roman"/>
        </w:rPr>
      </w:pPr>
      <w:r w:rsidRPr="0033244D">
        <w:rPr>
          <w:rFonts w:ascii="Times New Roman" w:hAnsi="Times New Roman" w:cs="Times New Roman"/>
          <w:highlight w:val="yellow"/>
        </w:rPr>
        <w:t>Authors have declared that no competing interests exist.</w:t>
      </w:r>
    </w:p>
    <w:p w14:paraId="583B1B64" w14:textId="000A3F08" w:rsidR="00F33E82" w:rsidRPr="00DB38CA" w:rsidRDefault="002F59F3" w:rsidP="007F0B37">
      <w:pPr>
        <w:jc w:val="both"/>
        <w:rPr>
          <w:rFonts w:ascii="Times New Roman" w:hAnsi="Times New Roman" w:cs="Times New Roman"/>
          <w:b/>
          <w:bCs/>
        </w:rPr>
      </w:pPr>
      <w:r w:rsidRPr="00DB38CA">
        <w:rPr>
          <w:rFonts w:ascii="Times New Roman" w:hAnsi="Times New Roman" w:cs="Times New Roman"/>
          <w:b/>
          <w:bCs/>
        </w:rPr>
        <w:t>Reference</w:t>
      </w:r>
    </w:p>
    <w:p w14:paraId="30FC2B90"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Baradwal</w:t>
      </w:r>
      <w:proofErr w:type="spellEnd"/>
      <w:r w:rsidRPr="00222015">
        <w:rPr>
          <w:rFonts w:ascii="Times New Roman" w:hAnsi="Times New Roman" w:cs="Times New Roman"/>
        </w:rPr>
        <w:t xml:space="preserve">, H., Ghosh, A., Singh, A. K., Jiménez-Ballesta, R., Yadav, R. K., Misra, S., ... &amp; Mahala, D. M. (2023). Soil nutrient dynamics under silviculture, </w:t>
      </w:r>
      <w:proofErr w:type="spellStart"/>
      <w:r w:rsidRPr="00222015">
        <w:rPr>
          <w:rFonts w:ascii="Times New Roman" w:hAnsi="Times New Roman" w:cs="Times New Roman"/>
        </w:rPr>
        <w:t>silvipasture</w:t>
      </w:r>
      <w:proofErr w:type="spellEnd"/>
      <w:r w:rsidRPr="00222015">
        <w:rPr>
          <w:rFonts w:ascii="Times New Roman" w:hAnsi="Times New Roman" w:cs="Times New Roman"/>
        </w:rPr>
        <w:t xml:space="preserve"> and </w:t>
      </w:r>
      <w:proofErr w:type="spellStart"/>
      <w:r w:rsidRPr="00222015">
        <w:rPr>
          <w:rFonts w:ascii="Times New Roman" w:hAnsi="Times New Roman" w:cs="Times New Roman"/>
        </w:rPr>
        <w:t>hortipasture</w:t>
      </w:r>
      <w:proofErr w:type="spellEnd"/>
      <w:r w:rsidRPr="00222015">
        <w:rPr>
          <w:rFonts w:ascii="Times New Roman" w:hAnsi="Times New Roman" w:cs="Times New Roman"/>
        </w:rPr>
        <w:t xml:space="preserve"> as alternate land-use systems in semi-arid environment. </w:t>
      </w:r>
      <w:r w:rsidRPr="00222015">
        <w:rPr>
          <w:rFonts w:ascii="Times New Roman" w:hAnsi="Times New Roman" w:cs="Times New Roman"/>
          <w:i/>
          <w:iCs/>
        </w:rPr>
        <w:t>Forests</w:t>
      </w:r>
      <w:r w:rsidRPr="00222015">
        <w:rPr>
          <w:rFonts w:ascii="Times New Roman" w:hAnsi="Times New Roman" w:cs="Times New Roman"/>
        </w:rPr>
        <w:t>, </w:t>
      </w:r>
      <w:r w:rsidRPr="00222015">
        <w:rPr>
          <w:rFonts w:ascii="Times New Roman" w:hAnsi="Times New Roman" w:cs="Times New Roman"/>
          <w:i/>
          <w:iCs/>
        </w:rPr>
        <w:t>14</w:t>
      </w:r>
      <w:r w:rsidRPr="00222015">
        <w:rPr>
          <w:rFonts w:ascii="Times New Roman" w:hAnsi="Times New Roman" w:cs="Times New Roman"/>
        </w:rPr>
        <w:t>(1), 125. https://doi.org/10.3390/f14010125</w:t>
      </w:r>
    </w:p>
    <w:p w14:paraId="551FF33A"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Bashir, O., Ali, T., Baba, Z. A., Rather, G. H., </w:t>
      </w:r>
      <w:proofErr w:type="spellStart"/>
      <w:r w:rsidRPr="00222015">
        <w:rPr>
          <w:rFonts w:ascii="Times New Roman" w:hAnsi="Times New Roman" w:cs="Times New Roman"/>
        </w:rPr>
        <w:t>Bangroo</w:t>
      </w:r>
      <w:proofErr w:type="spellEnd"/>
      <w:r w:rsidRPr="00222015">
        <w:rPr>
          <w:rFonts w:ascii="Times New Roman" w:hAnsi="Times New Roman" w:cs="Times New Roman"/>
        </w:rPr>
        <w:t>, S. A., Mukhtar, S. D., ... &amp; Bhat, R. A. (2021). Soil organic matter and its impact on soil properties and nutrient status. In </w:t>
      </w:r>
      <w:r w:rsidRPr="00222015">
        <w:rPr>
          <w:rFonts w:ascii="Times New Roman" w:hAnsi="Times New Roman" w:cs="Times New Roman"/>
          <w:i/>
          <w:iCs/>
        </w:rPr>
        <w:t>Microbiota and biofertilizers, Vol 2: Ecofriendly tools for reclamation of degraded soil environs</w:t>
      </w:r>
      <w:r w:rsidRPr="00222015">
        <w:rPr>
          <w:rFonts w:ascii="Times New Roman" w:hAnsi="Times New Roman" w:cs="Times New Roman"/>
        </w:rPr>
        <w:t> (pp. 129-159). Cham: Springer International Publishing. https://doi.org/10.1007/978-3-030-61010-4_7</w:t>
      </w:r>
    </w:p>
    <w:p w14:paraId="45C2CF96"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Bhatla</w:t>
      </w:r>
      <w:proofErr w:type="spellEnd"/>
      <w:r w:rsidRPr="00222015">
        <w:rPr>
          <w:rFonts w:ascii="Times New Roman" w:hAnsi="Times New Roman" w:cs="Times New Roman"/>
        </w:rPr>
        <w:t>, S. C., &amp; Kathpalia, R. (2023). Essential and functional mineral elements. In </w:t>
      </w:r>
      <w:r w:rsidRPr="00222015">
        <w:rPr>
          <w:rFonts w:ascii="Times New Roman" w:hAnsi="Times New Roman" w:cs="Times New Roman"/>
          <w:i/>
          <w:iCs/>
        </w:rPr>
        <w:t>Plant physiology, development and metabolism</w:t>
      </w:r>
      <w:r w:rsidRPr="00222015">
        <w:rPr>
          <w:rFonts w:ascii="Times New Roman" w:hAnsi="Times New Roman" w:cs="Times New Roman"/>
        </w:rPr>
        <w:t> (pp. 25-49). Singapore: Springer Nature Singapore. ISBN: 978-981-99-5738-5.</w:t>
      </w:r>
    </w:p>
    <w:p w14:paraId="5DA28D53"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Condron, L., Stark, C., O’Callaghan, M., Clinton, P., &amp; Huang, Z. (2010). The role of microbial communities in the formation and decomposition of soil organic matter. In </w:t>
      </w:r>
      <w:r w:rsidRPr="00222015">
        <w:rPr>
          <w:rFonts w:ascii="Times New Roman" w:hAnsi="Times New Roman" w:cs="Times New Roman"/>
          <w:i/>
          <w:iCs/>
        </w:rPr>
        <w:t>Soil microbiology and sustainable crop production</w:t>
      </w:r>
      <w:r w:rsidRPr="00222015">
        <w:rPr>
          <w:rFonts w:ascii="Times New Roman" w:hAnsi="Times New Roman" w:cs="Times New Roman"/>
        </w:rPr>
        <w:t> (pp. 81-118). Dordrecht: Springer Netherlands.</w:t>
      </w:r>
    </w:p>
    <w:p w14:paraId="40148F34"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Dissanayaka, D. M. N. S., </w:t>
      </w:r>
      <w:proofErr w:type="spellStart"/>
      <w:r w:rsidRPr="00222015">
        <w:rPr>
          <w:rFonts w:ascii="Times New Roman" w:hAnsi="Times New Roman" w:cs="Times New Roman"/>
        </w:rPr>
        <w:t>Udumann</w:t>
      </w:r>
      <w:proofErr w:type="spellEnd"/>
      <w:r w:rsidRPr="00222015">
        <w:rPr>
          <w:rFonts w:ascii="Times New Roman" w:hAnsi="Times New Roman" w:cs="Times New Roman"/>
        </w:rPr>
        <w:t>, S. S., &amp; Atapattu, A. J. (2024). Synergies between tree crops and ecosystems in tropical agroforestry. </w:t>
      </w:r>
      <w:r w:rsidRPr="00222015">
        <w:rPr>
          <w:rFonts w:ascii="Times New Roman" w:hAnsi="Times New Roman" w:cs="Times New Roman"/>
          <w:i/>
          <w:iCs/>
        </w:rPr>
        <w:t>Agroforestry</w:t>
      </w:r>
      <w:r w:rsidRPr="00222015">
        <w:rPr>
          <w:rFonts w:ascii="Times New Roman" w:hAnsi="Times New Roman" w:cs="Times New Roman"/>
        </w:rPr>
        <w:t>, 49-87. https://doi.org/10.1002/9781394231164.ch3</w:t>
      </w:r>
    </w:p>
    <w:p w14:paraId="6FC6A6DD"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Du, M., Zhang, W., Gao, J., Liu, M., Zhou, Y., He, D., ... &amp; Liu, S. (2021). Improvement of root characteristics due to nitrogen, phosphorus, and potassium interactions increases rice (Oryza sativa L.) yield and nitrogen use efficiency. </w:t>
      </w:r>
      <w:r w:rsidRPr="00222015">
        <w:rPr>
          <w:rFonts w:ascii="Times New Roman" w:hAnsi="Times New Roman" w:cs="Times New Roman"/>
          <w:i/>
          <w:iCs/>
        </w:rPr>
        <w:t>Agronomy</w:t>
      </w:r>
      <w:r w:rsidRPr="00222015">
        <w:rPr>
          <w:rFonts w:ascii="Times New Roman" w:hAnsi="Times New Roman" w:cs="Times New Roman"/>
        </w:rPr>
        <w:t xml:space="preserve">, </w:t>
      </w:r>
      <w:r w:rsidRPr="00222015">
        <w:rPr>
          <w:rFonts w:ascii="Times New Roman" w:hAnsi="Times New Roman" w:cs="Times New Roman"/>
          <w:i/>
          <w:iCs/>
        </w:rPr>
        <w:t>12</w:t>
      </w:r>
      <w:r w:rsidRPr="00222015">
        <w:rPr>
          <w:rFonts w:ascii="Times New Roman" w:hAnsi="Times New Roman" w:cs="Times New Roman"/>
        </w:rPr>
        <w:t>(1), 23. https://doi.org/10.3390/agronomy12010023</w:t>
      </w:r>
    </w:p>
    <w:p w14:paraId="32FC587C"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Fahad, S., Chavan, S. B., </w:t>
      </w:r>
      <w:proofErr w:type="spellStart"/>
      <w:r w:rsidRPr="00222015">
        <w:rPr>
          <w:rFonts w:ascii="Times New Roman" w:hAnsi="Times New Roman" w:cs="Times New Roman"/>
        </w:rPr>
        <w:t>Chichaghare</w:t>
      </w:r>
      <w:proofErr w:type="spellEnd"/>
      <w:r w:rsidRPr="00222015">
        <w:rPr>
          <w:rFonts w:ascii="Times New Roman" w:hAnsi="Times New Roman" w:cs="Times New Roman"/>
        </w:rPr>
        <w:t xml:space="preserve">, A. R., Uthappa, A. R., Kumar, M., Kakade, V., ... &amp; </w:t>
      </w:r>
      <w:proofErr w:type="spellStart"/>
      <w:r w:rsidRPr="00222015">
        <w:rPr>
          <w:rFonts w:ascii="Times New Roman" w:hAnsi="Times New Roman" w:cs="Times New Roman"/>
        </w:rPr>
        <w:t>Poczai</w:t>
      </w:r>
      <w:proofErr w:type="spellEnd"/>
      <w:r w:rsidRPr="00222015">
        <w:rPr>
          <w:rFonts w:ascii="Times New Roman" w:hAnsi="Times New Roman" w:cs="Times New Roman"/>
        </w:rPr>
        <w:t>, P. (2022). Agroforestry systems for soil health improvement and maintenance. </w:t>
      </w:r>
      <w:r w:rsidRPr="00222015">
        <w:rPr>
          <w:rFonts w:ascii="Times New Roman" w:hAnsi="Times New Roman" w:cs="Times New Roman"/>
          <w:i/>
          <w:iCs/>
        </w:rPr>
        <w:t>Sustainability</w:t>
      </w:r>
      <w:r w:rsidRPr="00222015">
        <w:rPr>
          <w:rFonts w:ascii="Times New Roman" w:hAnsi="Times New Roman" w:cs="Times New Roman"/>
        </w:rPr>
        <w:t>, </w:t>
      </w:r>
      <w:r w:rsidRPr="00222015">
        <w:rPr>
          <w:rFonts w:ascii="Times New Roman" w:hAnsi="Times New Roman" w:cs="Times New Roman"/>
          <w:i/>
          <w:iCs/>
        </w:rPr>
        <w:t>14</w:t>
      </w:r>
      <w:r w:rsidRPr="00222015">
        <w:rPr>
          <w:rFonts w:ascii="Times New Roman" w:hAnsi="Times New Roman" w:cs="Times New Roman"/>
        </w:rPr>
        <w:t>(22), 14877. https://doi.org/10.3390/su142214877</w:t>
      </w:r>
    </w:p>
    <w:p w14:paraId="15DB4B9D"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Fu, D., Wu, X., Duan, C., Chadwick, D. R., &amp; Jones, D. L. (2020). Response of soil phosphorus fractions and fluxes to different vegetation restoration types in a subtropical mountain ecosystem. </w:t>
      </w:r>
      <w:r w:rsidRPr="00222015">
        <w:rPr>
          <w:rFonts w:ascii="Times New Roman" w:hAnsi="Times New Roman" w:cs="Times New Roman"/>
          <w:i/>
          <w:iCs/>
        </w:rPr>
        <w:t>Catena</w:t>
      </w:r>
      <w:r w:rsidRPr="00222015">
        <w:rPr>
          <w:rFonts w:ascii="Times New Roman" w:hAnsi="Times New Roman" w:cs="Times New Roman"/>
        </w:rPr>
        <w:t>, </w:t>
      </w:r>
      <w:r w:rsidRPr="00222015">
        <w:rPr>
          <w:rFonts w:ascii="Times New Roman" w:hAnsi="Times New Roman" w:cs="Times New Roman"/>
          <w:i/>
          <w:iCs/>
        </w:rPr>
        <w:t>193</w:t>
      </w:r>
      <w:r w:rsidRPr="00222015">
        <w:rPr>
          <w:rFonts w:ascii="Times New Roman" w:hAnsi="Times New Roman" w:cs="Times New Roman"/>
        </w:rPr>
        <w:t>, 104663. https://doi.org/10.1016/j.catena.2020.104663</w:t>
      </w:r>
    </w:p>
    <w:p w14:paraId="18F09337"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Garba, I. I., Bell, L. W., &amp; Williams, A. (2022). Cover crop legacy impacts on soil water and nitrogen dynamics, and on subsequent crop yields in drylands: a meta-</w:t>
      </w:r>
      <w:r w:rsidRPr="00222015">
        <w:rPr>
          <w:rFonts w:ascii="Times New Roman" w:hAnsi="Times New Roman" w:cs="Times New Roman"/>
        </w:rPr>
        <w:lastRenderedPageBreak/>
        <w:t>analysis. </w:t>
      </w:r>
      <w:r w:rsidRPr="00222015">
        <w:rPr>
          <w:rFonts w:ascii="Times New Roman" w:hAnsi="Times New Roman" w:cs="Times New Roman"/>
          <w:i/>
          <w:iCs/>
        </w:rPr>
        <w:t>Agronomy for Sustainable Development</w:t>
      </w:r>
      <w:r w:rsidRPr="00222015">
        <w:rPr>
          <w:rFonts w:ascii="Times New Roman" w:hAnsi="Times New Roman" w:cs="Times New Roman"/>
        </w:rPr>
        <w:t>, </w:t>
      </w:r>
      <w:r w:rsidRPr="00222015">
        <w:rPr>
          <w:rFonts w:ascii="Times New Roman" w:hAnsi="Times New Roman" w:cs="Times New Roman"/>
          <w:i/>
          <w:iCs/>
        </w:rPr>
        <w:t>42</w:t>
      </w:r>
      <w:r w:rsidRPr="00222015">
        <w:rPr>
          <w:rFonts w:ascii="Times New Roman" w:hAnsi="Times New Roman" w:cs="Times New Roman"/>
        </w:rPr>
        <w:t>(3), 34. https://doi.org/10.1007/s13593-022-00760-0</w:t>
      </w:r>
    </w:p>
    <w:p w14:paraId="604C5BE7"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Huang, Y., Hong, Y., &amp; Liang, K. (2024). Impact of Tree Root Structure on Soil Water Dynamics: Drought Adaptation Mechanisms and Ecological Significance. </w:t>
      </w:r>
      <w:r w:rsidRPr="00222015">
        <w:rPr>
          <w:rFonts w:ascii="Times New Roman" w:hAnsi="Times New Roman" w:cs="Times New Roman"/>
          <w:i/>
          <w:iCs/>
        </w:rPr>
        <w:t>Molecular Soil Biology</w:t>
      </w:r>
      <w:r w:rsidRPr="00222015">
        <w:rPr>
          <w:rFonts w:ascii="Times New Roman" w:hAnsi="Times New Roman" w:cs="Times New Roman"/>
        </w:rPr>
        <w:t xml:space="preserve">, </w:t>
      </w:r>
      <w:r w:rsidRPr="00222015">
        <w:rPr>
          <w:rFonts w:ascii="Times New Roman" w:hAnsi="Times New Roman" w:cs="Times New Roman"/>
          <w:i/>
          <w:iCs/>
        </w:rPr>
        <w:t>15</w:t>
      </w:r>
      <w:r w:rsidRPr="00222015">
        <w:rPr>
          <w:rFonts w:ascii="Times New Roman" w:hAnsi="Times New Roman" w:cs="Times New Roman"/>
        </w:rPr>
        <w:t>. https://doi.org/10.5376/msb.2024.15.0018</w:t>
      </w:r>
    </w:p>
    <w:p w14:paraId="6C6E8C39" w14:textId="43E22468"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Khare, N., Khare, P., &amp; Singh, S. (2025). Molecular and physiological concepts: Macronutrients in crop plant growth and development. In </w:t>
      </w:r>
      <w:r w:rsidRPr="00222015">
        <w:rPr>
          <w:rFonts w:ascii="Times New Roman" w:hAnsi="Times New Roman" w:cs="Times New Roman"/>
          <w:i/>
          <w:iCs/>
        </w:rPr>
        <w:t>Agricultural Crop Improvement</w:t>
      </w:r>
      <w:r w:rsidRPr="00222015">
        <w:rPr>
          <w:rFonts w:ascii="Times New Roman" w:hAnsi="Times New Roman" w:cs="Times New Roman"/>
        </w:rPr>
        <w:t xml:space="preserve"> (pp. 148-164). CRC Press.</w:t>
      </w:r>
      <w:r w:rsidR="00533DCC" w:rsidRPr="00222015">
        <w:rPr>
          <w:rFonts w:ascii="Times New Roman" w:hAnsi="Times New Roman" w:cs="Times New Roman"/>
        </w:rPr>
        <w:t xml:space="preserve"> https://doi.org/10.1201/9781032630366</w:t>
      </w:r>
    </w:p>
    <w:p w14:paraId="680668B5"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Kumar, A. S., </w:t>
      </w:r>
      <w:proofErr w:type="spellStart"/>
      <w:r w:rsidRPr="00222015">
        <w:rPr>
          <w:rFonts w:ascii="Times New Roman" w:hAnsi="Times New Roman" w:cs="Times New Roman"/>
        </w:rPr>
        <w:t>Kaniganti</w:t>
      </w:r>
      <w:proofErr w:type="spellEnd"/>
      <w:r w:rsidRPr="00222015">
        <w:rPr>
          <w:rFonts w:ascii="Times New Roman" w:hAnsi="Times New Roman" w:cs="Times New Roman"/>
        </w:rPr>
        <w:t xml:space="preserve">, S., Hima Kumari, P., Sudhakar Reddy, P., </w:t>
      </w:r>
      <w:proofErr w:type="spellStart"/>
      <w:r w:rsidRPr="00222015">
        <w:rPr>
          <w:rFonts w:ascii="Times New Roman" w:hAnsi="Times New Roman" w:cs="Times New Roman"/>
        </w:rPr>
        <w:t>Suravajhala</w:t>
      </w:r>
      <w:proofErr w:type="spellEnd"/>
      <w:r w:rsidRPr="00222015">
        <w:rPr>
          <w:rFonts w:ascii="Times New Roman" w:hAnsi="Times New Roman" w:cs="Times New Roman"/>
        </w:rPr>
        <w:t>, P., P, S., &amp; Kishor, P. K. (2024). Functional and biotechnological cues of potassium homeostasis for stress tolerance and plant development. </w:t>
      </w:r>
      <w:r w:rsidRPr="00222015">
        <w:rPr>
          <w:rFonts w:ascii="Times New Roman" w:hAnsi="Times New Roman" w:cs="Times New Roman"/>
          <w:i/>
          <w:iCs/>
        </w:rPr>
        <w:t>Biotechnology and Genetic Engineering Reviews</w:t>
      </w:r>
      <w:r w:rsidRPr="00222015">
        <w:rPr>
          <w:rFonts w:ascii="Times New Roman" w:hAnsi="Times New Roman" w:cs="Times New Roman"/>
        </w:rPr>
        <w:t>, </w:t>
      </w:r>
      <w:r w:rsidRPr="00222015">
        <w:rPr>
          <w:rFonts w:ascii="Times New Roman" w:hAnsi="Times New Roman" w:cs="Times New Roman"/>
          <w:i/>
          <w:iCs/>
        </w:rPr>
        <w:t>40</w:t>
      </w:r>
      <w:r w:rsidRPr="00222015">
        <w:rPr>
          <w:rFonts w:ascii="Times New Roman" w:hAnsi="Times New Roman" w:cs="Times New Roman"/>
        </w:rPr>
        <w:t>(4), 3527-3570. https://doi.org/10.1080/02648725.2022.2143317</w:t>
      </w:r>
    </w:p>
    <w:p w14:paraId="58EBC749"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Lan, Y., Liao, L., Yao, X., &amp; Ye, S. (2023). Synergistic effects of nitrogen and plant growth-promoting rhizobacteria inoculation on the growth, physiological traits and nutrient absorption of intercropped </w:t>
      </w:r>
      <w:r w:rsidRPr="00222015">
        <w:rPr>
          <w:rFonts w:ascii="Times New Roman" w:hAnsi="Times New Roman" w:cs="Times New Roman"/>
          <w:i/>
          <w:iCs/>
        </w:rPr>
        <w:t xml:space="preserve">Eucalyptus </w:t>
      </w:r>
      <w:proofErr w:type="spellStart"/>
      <w:r w:rsidRPr="00222015">
        <w:rPr>
          <w:rFonts w:ascii="Times New Roman" w:hAnsi="Times New Roman" w:cs="Times New Roman"/>
          <w:i/>
          <w:iCs/>
        </w:rPr>
        <w:t>urophylla</w:t>
      </w:r>
      <w:proofErr w:type="spellEnd"/>
      <w:r w:rsidRPr="00222015">
        <w:rPr>
          <w:rFonts w:ascii="Times New Roman" w:hAnsi="Times New Roman" w:cs="Times New Roman"/>
          <w:i/>
          <w:iCs/>
        </w:rPr>
        <w:t xml:space="preserve">× Eucalyptus </w:t>
      </w:r>
      <w:proofErr w:type="spellStart"/>
      <w:r w:rsidRPr="00222015">
        <w:rPr>
          <w:rFonts w:ascii="Times New Roman" w:hAnsi="Times New Roman" w:cs="Times New Roman"/>
          <w:i/>
          <w:iCs/>
        </w:rPr>
        <w:t>grandis</w:t>
      </w:r>
      <w:proofErr w:type="spellEnd"/>
      <w:r w:rsidRPr="00222015">
        <w:rPr>
          <w:rFonts w:ascii="Times New Roman" w:hAnsi="Times New Roman" w:cs="Times New Roman"/>
        </w:rPr>
        <w:t xml:space="preserve"> and </w:t>
      </w:r>
      <w:proofErr w:type="spellStart"/>
      <w:r w:rsidRPr="00222015">
        <w:rPr>
          <w:rFonts w:ascii="Times New Roman" w:hAnsi="Times New Roman" w:cs="Times New Roman"/>
          <w:i/>
          <w:iCs/>
        </w:rPr>
        <w:t>Dalbergia</w:t>
      </w:r>
      <w:proofErr w:type="spellEnd"/>
      <w:r w:rsidRPr="00222015">
        <w:rPr>
          <w:rFonts w:ascii="Times New Roman" w:hAnsi="Times New Roman" w:cs="Times New Roman"/>
          <w:i/>
          <w:iCs/>
        </w:rPr>
        <w:t xml:space="preserve"> </w:t>
      </w:r>
      <w:proofErr w:type="spellStart"/>
      <w:r w:rsidRPr="00222015">
        <w:rPr>
          <w:rFonts w:ascii="Times New Roman" w:hAnsi="Times New Roman" w:cs="Times New Roman"/>
          <w:i/>
          <w:iCs/>
        </w:rPr>
        <w:t>odorifera</w:t>
      </w:r>
      <w:proofErr w:type="spellEnd"/>
      <w:r w:rsidRPr="00222015">
        <w:rPr>
          <w:rFonts w:ascii="Times New Roman" w:hAnsi="Times New Roman" w:cs="Times New Roman"/>
        </w:rPr>
        <w:t>. </w:t>
      </w:r>
      <w:r w:rsidRPr="00222015">
        <w:rPr>
          <w:rFonts w:ascii="Times New Roman" w:hAnsi="Times New Roman" w:cs="Times New Roman"/>
          <w:i/>
          <w:iCs/>
        </w:rPr>
        <w:t>Trees</w:t>
      </w:r>
      <w:r w:rsidRPr="00222015">
        <w:rPr>
          <w:rFonts w:ascii="Times New Roman" w:hAnsi="Times New Roman" w:cs="Times New Roman"/>
        </w:rPr>
        <w:t>, </w:t>
      </w:r>
      <w:r w:rsidRPr="00222015">
        <w:rPr>
          <w:rFonts w:ascii="Times New Roman" w:hAnsi="Times New Roman" w:cs="Times New Roman"/>
          <w:i/>
          <w:iCs/>
        </w:rPr>
        <w:t>37</w:t>
      </w:r>
      <w:r w:rsidRPr="00222015">
        <w:rPr>
          <w:rFonts w:ascii="Times New Roman" w:hAnsi="Times New Roman" w:cs="Times New Roman"/>
        </w:rPr>
        <w:t>(2), 319-330. https://doi.org/10.1007/s00468-022-02350-9</w:t>
      </w:r>
    </w:p>
    <w:p w14:paraId="68492C0F"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Li, Z., Tian, D., Wang, B., Wang, J., Wang, S., Chen, H. Y., ... &amp; Niu, S. (2019). Microbes drive global soil nitrogen mineralization and availability. </w:t>
      </w:r>
      <w:r w:rsidRPr="00222015">
        <w:rPr>
          <w:rFonts w:ascii="Times New Roman" w:hAnsi="Times New Roman" w:cs="Times New Roman"/>
          <w:i/>
          <w:iCs/>
        </w:rPr>
        <w:t>Global change biology</w:t>
      </w:r>
      <w:r w:rsidRPr="00222015">
        <w:rPr>
          <w:rFonts w:ascii="Times New Roman" w:hAnsi="Times New Roman" w:cs="Times New Roman"/>
        </w:rPr>
        <w:t>, </w:t>
      </w:r>
      <w:r w:rsidRPr="00222015">
        <w:rPr>
          <w:rFonts w:ascii="Times New Roman" w:hAnsi="Times New Roman" w:cs="Times New Roman"/>
          <w:i/>
          <w:iCs/>
        </w:rPr>
        <w:t>25</w:t>
      </w:r>
      <w:r w:rsidRPr="00222015">
        <w:rPr>
          <w:rFonts w:ascii="Times New Roman" w:hAnsi="Times New Roman" w:cs="Times New Roman"/>
        </w:rPr>
        <w:t>(3), 1078-1088. https://doi.org/10.1111/gcb.14557</w:t>
      </w:r>
    </w:p>
    <w:p w14:paraId="5A2C34E8"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Liu, M., Xu, X., Yang, B., Zhang, N., Ma, Z., van Dam, N. M., &amp; </w:t>
      </w:r>
      <w:proofErr w:type="spellStart"/>
      <w:r w:rsidRPr="00222015">
        <w:rPr>
          <w:rFonts w:ascii="Times New Roman" w:hAnsi="Times New Roman" w:cs="Times New Roman"/>
        </w:rPr>
        <w:t>Bruelheide</w:t>
      </w:r>
      <w:proofErr w:type="spellEnd"/>
      <w:r w:rsidRPr="00222015">
        <w:rPr>
          <w:rFonts w:ascii="Times New Roman" w:hAnsi="Times New Roman" w:cs="Times New Roman"/>
        </w:rPr>
        <w:t>, H. (2022). Niche partitioning in nitrogen uptake among subtropical tree species enhances biomass production. </w:t>
      </w:r>
      <w:r w:rsidRPr="00222015">
        <w:rPr>
          <w:rFonts w:ascii="Times New Roman" w:hAnsi="Times New Roman" w:cs="Times New Roman"/>
          <w:i/>
          <w:iCs/>
        </w:rPr>
        <w:t>Science of the Total Environment</w:t>
      </w:r>
      <w:r w:rsidRPr="00222015">
        <w:rPr>
          <w:rFonts w:ascii="Times New Roman" w:hAnsi="Times New Roman" w:cs="Times New Roman"/>
        </w:rPr>
        <w:t>, </w:t>
      </w:r>
      <w:r w:rsidRPr="00222015">
        <w:rPr>
          <w:rFonts w:ascii="Times New Roman" w:hAnsi="Times New Roman" w:cs="Times New Roman"/>
          <w:i/>
          <w:iCs/>
        </w:rPr>
        <w:t>823</w:t>
      </w:r>
      <w:r w:rsidRPr="00222015">
        <w:rPr>
          <w:rFonts w:ascii="Times New Roman" w:hAnsi="Times New Roman" w:cs="Times New Roman"/>
        </w:rPr>
        <w:t>, 153716. https://doi.org/10.1016/j.scitotenv.2022.153716</w:t>
      </w:r>
    </w:p>
    <w:p w14:paraId="6CF692FA"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Ma, D., Teng, W., Mo, Y. T., Yi, B., Chen, W. L., Pang, Y. P., &amp; Wang, L. (2024). Effects of nitrogen, phosphorus, and potassium fertilization on plant growth, element levels in plants and soil, and the relationships among nutrient concentrations, plant yield, and nutrient status in </w:t>
      </w:r>
      <w:proofErr w:type="spellStart"/>
      <w:r w:rsidRPr="00222015">
        <w:rPr>
          <w:rFonts w:ascii="Times New Roman" w:hAnsi="Times New Roman" w:cs="Times New Roman"/>
        </w:rPr>
        <w:t>Erythropalum</w:t>
      </w:r>
      <w:proofErr w:type="spellEnd"/>
      <w:r w:rsidRPr="00222015">
        <w:rPr>
          <w:rFonts w:ascii="Times New Roman" w:hAnsi="Times New Roman" w:cs="Times New Roman"/>
        </w:rPr>
        <w:t xml:space="preserve"> scandens (Blume). </w:t>
      </w:r>
      <w:r w:rsidRPr="00222015">
        <w:rPr>
          <w:rFonts w:ascii="Times New Roman" w:hAnsi="Times New Roman" w:cs="Times New Roman"/>
          <w:i/>
          <w:iCs/>
        </w:rPr>
        <w:t>Journal of Plant Nutrition</w:t>
      </w:r>
      <w:r w:rsidRPr="00222015">
        <w:rPr>
          <w:rFonts w:ascii="Times New Roman" w:hAnsi="Times New Roman" w:cs="Times New Roman"/>
        </w:rPr>
        <w:t>, </w:t>
      </w:r>
      <w:r w:rsidRPr="00222015">
        <w:rPr>
          <w:rFonts w:ascii="Times New Roman" w:hAnsi="Times New Roman" w:cs="Times New Roman"/>
          <w:i/>
          <w:iCs/>
        </w:rPr>
        <w:t>47</w:t>
      </w:r>
      <w:r w:rsidRPr="00222015">
        <w:rPr>
          <w:rFonts w:ascii="Times New Roman" w:hAnsi="Times New Roman" w:cs="Times New Roman"/>
        </w:rPr>
        <w:t>(1), 82-96. https://doi.org/10.1080/01904167.2023.2262504</w:t>
      </w:r>
    </w:p>
    <w:p w14:paraId="4A7173D6"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Mabagala</w:t>
      </w:r>
      <w:proofErr w:type="spellEnd"/>
      <w:r w:rsidRPr="00222015">
        <w:rPr>
          <w:rFonts w:ascii="Times New Roman" w:hAnsi="Times New Roman" w:cs="Times New Roman"/>
        </w:rPr>
        <w:t>, F. S. (2022). On the tropical soils; The influence of organic matter (OM) on phosphate bioavailability. </w:t>
      </w:r>
      <w:r w:rsidRPr="00222015">
        <w:rPr>
          <w:rFonts w:ascii="Times New Roman" w:hAnsi="Times New Roman" w:cs="Times New Roman"/>
          <w:i/>
          <w:iCs/>
        </w:rPr>
        <w:t>Saudi Journal of Biological Sciences</w:t>
      </w:r>
      <w:r w:rsidRPr="00222015">
        <w:rPr>
          <w:rFonts w:ascii="Times New Roman" w:hAnsi="Times New Roman" w:cs="Times New Roman"/>
        </w:rPr>
        <w:t>, </w:t>
      </w:r>
      <w:r w:rsidRPr="00222015">
        <w:rPr>
          <w:rFonts w:ascii="Times New Roman" w:hAnsi="Times New Roman" w:cs="Times New Roman"/>
          <w:i/>
          <w:iCs/>
        </w:rPr>
        <w:t>29</w:t>
      </w:r>
      <w:r w:rsidRPr="00222015">
        <w:rPr>
          <w:rFonts w:ascii="Times New Roman" w:hAnsi="Times New Roman" w:cs="Times New Roman"/>
        </w:rPr>
        <w:t>(5), 3635-3641. https://doi.org/10.1016/j.sjbs.2022.02.056</w:t>
      </w:r>
    </w:p>
    <w:p w14:paraId="7D75ABAF"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Masebo</w:t>
      </w:r>
      <w:proofErr w:type="spellEnd"/>
      <w:r w:rsidRPr="00222015">
        <w:rPr>
          <w:rFonts w:ascii="Times New Roman" w:hAnsi="Times New Roman" w:cs="Times New Roman"/>
        </w:rPr>
        <w:t xml:space="preserve">, N., Birhane, E., Takele, S., Lucena, J. J., Araceli, P. S., </w:t>
      </w:r>
      <w:proofErr w:type="spellStart"/>
      <w:r w:rsidRPr="00222015">
        <w:rPr>
          <w:rFonts w:ascii="Times New Roman" w:hAnsi="Times New Roman" w:cs="Times New Roman"/>
        </w:rPr>
        <w:t>Yunta</w:t>
      </w:r>
      <w:proofErr w:type="spellEnd"/>
      <w:r w:rsidRPr="00222015">
        <w:rPr>
          <w:rFonts w:ascii="Times New Roman" w:hAnsi="Times New Roman" w:cs="Times New Roman"/>
        </w:rPr>
        <w:t xml:space="preserve">, F., ... &amp; </w:t>
      </w:r>
      <w:proofErr w:type="spellStart"/>
      <w:r w:rsidRPr="00222015">
        <w:rPr>
          <w:rFonts w:ascii="Times New Roman" w:hAnsi="Times New Roman" w:cs="Times New Roman"/>
        </w:rPr>
        <w:t>Anjulo</w:t>
      </w:r>
      <w:proofErr w:type="spellEnd"/>
      <w:r w:rsidRPr="00222015">
        <w:rPr>
          <w:rFonts w:ascii="Times New Roman" w:hAnsi="Times New Roman" w:cs="Times New Roman"/>
        </w:rPr>
        <w:t>, A. (2025). Microbial biomass carbon distribution under agroforestry practices and soil depth variations in Southern Ethiopia. </w:t>
      </w:r>
      <w:r w:rsidRPr="00222015">
        <w:rPr>
          <w:rFonts w:ascii="Times New Roman" w:hAnsi="Times New Roman" w:cs="Times New Roman"/>
          <w:i/>
          <w:iCs/>
        </w:rPr>
        <w:t>Agroforestry Systems</w:t>
      </w:r>
      <w:r w:rsidRPr="00222015">
        <w:rPr>
          <w:rFonts w:ascii="Times New Roman" w:hAnsi="Times New Roman" w:cs="Times New Roman"/>
        </w:rPr>
        <w:t>, </w:t>
      </w:r>
      <w:r w:rsidRPr="00222015">
        <w:rPr>
          <w:rFonts w:ascii="Times New Roman" w:hAnsi="Times New Roman" w:cs="Times New Roman"/>
          <w:i/>
          <w:iCs/>
        </w:rPr>
        <w:t>99</w:t>
      </w:r>
      <w:r w:rsidRPr="00222015">
        <w:rPr>
          <w:rFonts w:ascii="Times New Roman" w:hAnsi="Times New Roman" w:cs="Times New Roman"/>
        </w:rPr>
        <w:t>(3), 1-15. https://doi.org/10.1007/s10457-025-01133-8</w:t>
      </w:r>
    </w:p>
    <w:p w14:paraId="26485BB3"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Muzzo</w:t>
      </w:r>
      <w:proofErr w:type="spellEnd"/>
      <w:r w:rsidRPr="00222015">
        <w:rPr>
          <w:rFonts w:ascii="Times New Roman" w:hAnsi="Times New Roman" w:cs="Times New Roman"/>
        </w:rPr>
        <w:t>, B. I. (2026). Nitrogen Dynamics and Use Efficiency in Pasture-Based Grazing Systems: A Synthesis of Ecological and Ruminant Nutrition Perspectives. </w:t>
      </w:r>
      <w:r w:rsidRPr="00222015">
        <w:rPr>
          <w:rFonts w:ascii="Times New Roman" w:hAnsi="Times New Roman" w:cs="Times New Roman"/>
          <w:i/>
          <w:iCs/>
        </w:rPr>
        <w:t>Nitrogen</w:t>
      </w:r>
      <w:r w:rsidRPr="00222015">
        <w:rPr>
          <w:rFonts w:ascii="Times New Roman" w:hAnsi="Times New Roman" w:cs="Times New Roman"/>
        </w:rPr>
        <w:t>, </w:t>
      </w:r>
      <w:r w:rsidRPr="00222015">
        <w:rPr>
          <w:rFonts w:ascii="Times New Roman" w:hAnsi="Times New Roman" w:cs="Times New Roman"/>
          <w:i/>
          <w:iCs/>
        </w:rPr>
        <w:t>7</w:t>
      </w:r>
      <w:r w:rsidRPr="00222015">
        <w:rPr>
          <w:rFonts w:ascii="Times New Roman" w:hAnsi="Times New Roman" w:cs="Times New Roman"/>
        </w:rPr>
        <w:t>(1), 13. https://doi.org/10.3390/nitrogen7010013</w:t>
      </w:r>
    </w:p>
    <w:p w14:paraId="40F2B712"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Nair, R. K., Morris, K. A., </w:t>
      </w:r>
      <w:proofErr w:type="spellStart"/>
      <w:r w:rsidRPr="00222015">
        <w:rPr>
          <w:rFonts w:ascii="Times New Roman" w:hAnsi="Times New Roman" w:cs="Times New Roman"/>
        </w:rPr>
        <w:t>Migliavacca</w:t>
      </w:r>
      <w:proofErr w:type="spellEnd"/>
      <w:r w:rsidRPr="00222015">
        <w:rPr>
          <w:rFonts w:ascii="Times New Roman" w:hAnsi="Times New Roman" w:cs="Times New Roman"/>
        </w:rPr>
        <w:t xml:space="preserve">, M., Moreno, G., &amp; Schrumpf, M. (2020). Plant‐available N: P alters root litter N recycling in a Mediterranean tree–grass </w:t>
      </w:r>
      <w:r w:rsidRPr="00222015">
        <w:rPr>
          <w:rFonts w:ascii="Times New Roman" w:hAnsi="Times New Roman" w:cs="Times New Roman"/>
        </w:rPr>
        <w:lastRenderedPageBreak/>
        <w:t>ecosystem. </w:t>
      </w:r>
      <w:r w:rsidRPr="00222015">
        <w:rPr>
          <w:rFonts w:ascii="Times New Roman" w:hAnsi="Times New Roman" w:cs="Times New Roman"/>
          <w:i/>
          <w:iCs/>
        </w:rPr>
        <w:t>Journal of Plant Nutrition and Soil Science</w:t>
      </w:r>
      <w:r w:rsidRPr="00222015">
        <w:rPr>
          <w:rFonts w:ascii="Times New Roman" w:hAnsi="Times New Roman" w:cs="Times New Roman"/>
        </w:rPr>
        <w:t>, </w:t>
      </w:r>
      <w:r w:rsidRPr="00222015">
        <w:rPr>
          <w:rFonts w:ascii="Times New Roman" w:hAnsi="Times New Roman" w:cs="Times New Roman"/>
          <w:i/>
          <w:iCs/>
        </w:rPr>
        <w:t>183</w:t>
      </w:r>
      <w:r w:rsidRPr="00222015">
        <w:rPr>
          <w:rFonts w:ascii="Times New Roman" w:hAnsi="Times New Roman" w:cs="Times New Roman"/>
        </w:rPr>
        <w:t>(4), 517-529. https://doi.org/10.1002/jpln.202000097</w:t>
      </w:r>
    </w:p>
    <w:p w14:paraId="3A660D99"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Nascimento, D. B. D., Lopes, M. L. S., </w:t>
      </w:r>
      <w:proofErr w:type="spellStart"/>
      <w:r w:rsidRPr="00222015">
        <w:rPr>
          <w:rFonts w:ascii="Times New Roman" w:hAnsi="Times New Roman" w:cs="Times New Roman"/>
        </w:rPr>
        <w:t>Izidro</w:t>
      </w:r>
      <w:proofErr w:type="spellEnd"/>
      <w:r w:rsidRPr="00222015">
        <w:rPr>
          <w:rFonts w:ascii="Times New Roman" w:hAnsi="Times New Roman" w:cs="Times New Roman"/>
        </w:rPr>
        <w:t xml:space="preserve">, J. L. P. S., Bezerra, R. C. A., Gois, G. C., Amaral, T. N. E. D., ... &amp; </w:t>
      </w:r>
      <w:proofErr w:type="spellStart"/>
      <w:r w:rsidRPr="00222015">
        <w:rPr>
          <w:rFonts w:ascii="Times New Roman" w:hAnsi="Times New Roman" w:cs="Times New Roman"/>
        </w:rPr>
        <w:t>Coêlho</w:t>
      </w:r>
      <w:proofErr w:type="spellEnd"/>
      <w:r w:rsidRPr="00222015">
        <w:rPr>
          <w:rFonts w:ascii="Times New Roman" w:hAnsi="Times New Roman" w:cs="Times New Roman"/>
        </w:rPr>
        <w:t>, J. J. (2024). Nitrogen, phosphorus, and potassium cycling in pasture ecosystems. </w:t>
      </w:r>
      <w:proofErr w:type="spellStart"/>
      <w:r w:rsidRPr="00222015">
        <w:rPr>
          <w:rFonts w:ascii="Times New Roman" w:hAnsi="Times New Roman" w:cs="Times New Roman"/>
          <w:i/>
          <w:iCs/>
        </w:rPr>
        <w:t>Ciência</w:t>
      </w:r>
      <w:proofErr w:type="spellEnd"/>
      <w:r w:rsidRPr="00222015">
        <w:rPr>
          <w:rFonts w:ascii="Times New Roman" w:hAnsi="Times New Roman" w:cs="Times New Roman"/>
          <w:i/>
          <w:iCs/>
        </w:rPr>
        <w:t xml:space="preserve"> Animal </w:t>
      </w:r>
      <w:proofErr w:type="spellStart"/>
      <w:r w:rsidRPr="00222015">
        <w:rPr>
          <w:rFonts w:ascii="Times New Roman" w:hAnsi="Times New Roman" w:cs="Times New Roman"/>
          <w:i/>
          <w:iCs/>
        </w:rPr>
        <w:t>Brasileira</w:t>
      </w:r>
      <w:proofErr w:type="spellEnd"/>
      <w:r w:rsidRPr="00222015">
        <w:rPr>
          <w:rFonts w:ascii="Times New Roman" w:hAnsi="Times New Roman" w:cs="Times New Roman"/>
        </w:rPr>
        <w:t>, </w:t>
      </w:r>
      <w:r w:rsidRPr="00222015">
        <w:rPr>
          <w:rFonts w:ascii="Times New Roman" w:hAnsi="Times New Roman" w:cs="Times New Roman"/>
          <w:i/>
          <w:iCs/>
        </w:rPr>
        <w:t>25</w:t>
      </w:r>
      <w:r w:rsidRPr="00222015">
        <w:rPr>
          <w:rFonts w:ascii="Times New Roman" w:hAnsi="Times New Roman" w:cs="Times New Roman"/>
        </w:rPr>
        <w:t>, e-76743. https://doi.org/10.1590/1809-6891v25e-76743E</w:t>
      </w:r>
    </w:p>
    <w:p w14:paraId="78247B2C"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Negi, M., Sharma, S., &amp; Singh, M. (2025). Plant-Driven Soil Dynamics: Exploring the Role of Roots, Fungi and Soil Traffic in Shaping the Soil Structure. </w:t>
      </w:r>
      <w:r w:rsidRPr="00222015">
        <w:rPr>
          <w:rFonts w:ascii="Times New Roman" w:hAnsi="Times New Roman" w:cs="Times New Roman"/>
          <w:i/>
          <w:iCs/>
        </w:rPr>
        <w:t>Communications in Soil Science and Plant Analysis</w:t>
      </w:r>
      <w:r w:rsidRPr="00222015">
        <w:rPr>
          <w:rFonts w:ascii="Times New Roman" w:hAnsi="Times New Roman" w:cs="Times New Roman"/>
        </w:rPr>
        <w:t>, 1-20. https://doi.org/10.1080/00103624.2025.2524075</w:t>
      </w:r>
    </w:p>
    <w:p w14:paraId="2A9649F6"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Rawat, J., Pandey, N., &amp; Saxena, J. (2022). Role of potassium in plant photosynthesis, transport, growth and yield. </w:t>
      </w:r>
      <w:r w:rsidRPr="00222015">
        <w:rPr>
          <w:rFonts w:ascii="Times New Roman" w:hAnsi="Times New Roman" w:cs="Times New Roman"/>
          <w:i/>
          <w:iCs/>
        </w:rPr>
        <w:t>Role of potassium in abiotic stress</w:t>
      </w:r>
      <w:r w:rsidRPr="00222015">
        <w:rPr>
          <w:rFonts w:ascii="Times New Roman" w:hAnsi="Times New Roman" w:cs="Times New Roman"/>
        </w:rPr>
        <w:t>, 1-14. https://doi.org/10.1007/978-981-16-4461-0_1</w:t>
      </w:r>
    </w:p>
    <w:p w14:paraId="62A02953"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Roebuck, C. J., &amp; Klink, M. J. (2025). Phytoremediation Potential of Hemp in Metal-Contaminated Soils: Soil Analysis, Metal Uptake, and Growth Dynamics. </w:t>
      </w:r>
      <w:r w:rsidRPr="00222015">
        <w:rPr>
          <w:rFonts w:ascii="Times New Roman" w:hAnsi="Times New Roman" w:cs="Times New Roman"/>
          <w:i/>
          <w:iCs/>
        </w:rPr>
        <w:t>Processes</w:t>
      </w:r>
      <w:r w:rsidRPr="00222015">
        <w:rPr>
          <w:rFonts w:ascii="Times New Roman" w:hAnsi="Times New Roman" w:cs="Times New Roman"/>
        </w:rPr>
        <w:t>, </w:t>
      </w:r>
      <w:r w:rsidRPr="00222015">
        <w:rPr>
          <w:rFonts w:ascii="Times New Roman" w:hAnsi="Times New Roman" w:cs="Times New Roman"/>
          <w:i/>
          <w:iCs/>
        </w:rPr>
        <w:t>13</w:t>
      </w:r>
      <w:r w:rsidRPr="00222015">
        <w:rPr>
          <w:rFonts w:ascii="Times New Roman" w:hAnsi="Times New Roman" w:cs="Times New Roman"/>
        </w:rPr>
        <w:t>(11), 3384. https://doi.org/10.3390/pr13113384</w:t>
      </w:r>
    </w:p>
    <w:p w14:paraId="355E2F84"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Roeva, T., Leonicheva, E., Leonteva, L., &amp; Stolyarov, M. (2022). Potassium dynamics in orchard soil and potassium status of sour cherry trees affected by soil nutritional conditions. </w:t>
      </w:r>
      <w:r w:rsidRPr="00222015">
        <w:rPr>
          <w:rFonts w:ascii="Times New Roman" w:hAnsi="Times New Roman" w:cs="Times New Roman"/>
          <w:i/>
          <w:iCs/>
        </w:rPr>
        <w:t>Journal of Central European Agriculture</w:t>
      </w:r>
      <w:r w:rsidRPr="00222015">
        <w:rPr>
          <w:rFonts w:ascii="Times New Roman" w:hAnsi="Times New Roman" w:cs="Times New Roman"/>
        </w:rPr>
        <w:t>, </w:t>
      </w:r>
      <w:r w:rsidRPr="00222015">
        <w:rPr>
          <w:rFonts w:ascii="Times New Roman" w:hAnsi="Times New Roman" w:cs="Times New Roman"/>
          <w:i/>
          <w:iCs/>
        </w:rPr>
        <w:t>23</w:t>
      </w:r>
      <w:r w:rsidRPr="00222015">
        <w:rPr>
          <w:rFonts w:ascii="Times New Roman" w:hAnsi="Times New Roman" w:cs="Times New Roman"/>
        </w:rPr>
        <w:t>(1), 103-113. https://doi.org/10.5513/JCEA01/23.1.3313</w:t>
      </w:r>
    </w:p>
    <w:p w14:paraId="7951B709"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Roy, J., Biswas, D. R., Basak, B. B., Bhattacharyya, R., Das, S., Biswas, S., &amp; Ghosh, A. (2025). Long-term impact of silviculture systems on phosphorus transformation and adsorption </w:t>
      </w:r>
      <w:proofErr w:type="spellStart"/>
      <w:r w:rsidRPr="00222015">
        <w:rPr>
          <w:rFonts w:ascii="Times New Roman" w:hAnsi="Times New Roman" w:cs="Times New Roman"/>
        </w:rPr>
        <w:t>behaviour</w:t>
      </w:r>
      <w:proofErr w:type="spellEnd"/>
      <w:r w:rsidRPr="00222015">
        <w:rPr>
          <w:rFonts w:ascii="Times New Roman" w:hAnsi="Times New Roman" w:cs="Times New Roman"/>
        </w:rPr>
        <w:t xml:space="preserve"> in semi-arid restored lands. </w:t>
      </w:r>
      <w:r w:rsidRPr="00222015">
        <w:rPr>
          <w:rFonts w:ascii="Times New Roman" w:hAnsi="Times New Roman" w:cs="Times New Roman"/>
          <w:i/>
          <w:iCs/>
        </w:rPr>
        <w:t>Agriculture, Ecosystems &amp; Environment</w:t>
      </w:r>
      <w:r w:rsidRPr="00222015">
        <w:rPr>
          <w:rFonts w:ascii="Times New Roman" w:hAnsi="Times New Roman" w:cs="Times New Roman"/>
        </w:rPr>
        <w:t>, </w:t>
      </w:r>
      <w:r w:rsidRPr="00222015">
        <w:rPr>
          <w:rFonts w:ascii="Times New Roman" w:hAnsi="Times New Roman" w:cs="Times New Roman"/>
          <w:i/>
          <w:iCs/>
        </w:rPr>
        <w:t>381</w:t>
      </w:r>
      <w:r w:rsidRPr="00222015">
        <w:rPr>
          <w:rFonts w:ascii="Times New Roman" w:hAnsi="Times New Roman" w:cs="Times New Roman"/>
        </w:rPr>
        <w:t>, 109449. https://doi.org/10.1</w:t>
      </w:r>
      <w:bookmarkStart w:id="0" w:name="_GoBack"/>
      <w:bookmarkEnd w:id="0"/>
      <w:r w:rsidRPr="00222015">
        <w:rPr>
          <w:rFonts w:ascii="Times New Roman" w:hAnsi="Times New Roman" w:cs="Times New Roman"/>
        </w:rPr>
        <w:t>016/j.agee.2024.109449</w:t>
      </w:r>
    </w:p>
    <w:p w14:paraId="4EE7DD8A" w14:textId="77777777" w:rsidR="00FB18DF" w:rsidRPr="00222015" w:rsidRDefault="00FB18DF" w:rsidP="00222015">
      <w:pPr>
        <w:pStyle w:val="ListParagraph"/>
        <w:numPr>
          <w:ilvl w:val="0"/>
          <w:numId w:val="1"/>
        </w:numPr>
        <w:jc w:val="both"/>
        <w:rPr>
          <w:rFonts w:ascii="Times New Roman" w:hAnsi="Times New Roman" w:cs="Times New Roman"/>
        </w:rPr>
      </w:pPr>
      <w:proofErr w:type="spellStart"/>
      <w:r w:rsidRPr="00222015">
        <w:rPr>
          <w:rFonts w:ascii="Times New Roman" w:hAnsi="Times New Roman" w:cs="Times New Roman"/>
        </w:rPr>
        <w:t>Sardans</w:t>
      </w:r>
      <w:proofErr w:type="spellEnd"/>
      <w:r w:rsidRPr="00222015">
        <w:rPr>
          <w:rFonts w:ascii="Times New Roman" w:hAnsi="Times New Roman" w:cs="Times New Roman"/>
        </w:rPr>
        <w:t xml:space="preserve">, J., &amp; </w:t>
      </w:r>
      <w:proofErr w:type="spellStart"/>
      <w:r w:rsidRPr="00222015">
        <w:rPr>
          <w:rFonts w:ascii="Times New Roman" w:hAnsi="Times New Roman" w:cs="Times New Roman"/>
        </w:rPr>
        <w:t>Peñuelas</w:t>
      </w:r>
      <w:proofErr w:type="spellEnd"/>
      <w:r w:rsidRPr="00222015">
        <w:rPr>
          <w:rFonts w:ascii="Times New Roman" w:hAnsi="Times New Roman" w:cs="Times New Roman"/>
        </w:rPr>
        <w:t>, J. (2021). Potassium control of plant functions: Ecological and agricultural implications. </w:t>
      </w:r>
      <w:r w:rsidRPr="00222015">
        <w:rPr>
          <w:rFonts w:ascii="Times New Roman" w:hAnsi="Times New Roman" w:cs="Times New Roman"/>
          <w:i/>
          <w:iCs/>
        </w:rPr>
        <w:t>Plants</w:t>
      </w:r>
      <w:r w:rsidRPr="00222015">
        <w:rPr>
          <w:rFonts w:ascii="Times New Roman" w:hAnsi="Times New Roman" w:cs="Times New Roman"/>
        </w:rPr>
        <w:t>, </w:t>
      </w:r>
      <w:r w:rsidRPr="00222015">
        <w:rPr>
          <w:rFonts w:ascii="Times New Roman" w:hAnsi="Times New Roman" w:cs="Times New Roman"/>
          <w:i/>
          <w:iCs/>
        </w:rPr>
        <w:t>10</w:t>
      </w:r>
      <w:r w:rsidRPr="00222015">
        <w:rPr>
          <w:rFonts w:ascii="Times New Roman" w:hAnsi="Times New Roman" w:cs="Times New Roman"/>
        </w:rPr>
        <w:t>(2), 419. https://doi.org/10.3390/plants10020419</w:t>
      </w:r>
    </w:p>
    <w:p w14:paraId="302AC7FB"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Sharma, S., Lishika, B., &amp; Kaushal, S. (2023). Soil quality indicators: A comprehensive review. </w:t>
      </w:r>
      <w:r w:rsidRPr="00222015">
        <w:rPr>
          <w:rFonts w:ascii="Times New Roman" w:hAnsi="Times New Roman" w:cs="Times New Roman"/>
          <w:i/>
          <w:iCs/>
        </w:rPr>
        <w:t>International Journal of Plant &amp; Soil Science</w:t>
      </w:r>
      <w:r w:rsidRPr="00222015">
        <w:rPr>
          <w:rFonts w:ascii="Times New Roman" w:hAnsi="Times New Roman" w:cs="Times New Roman"/>
        </w:rPr>
        <w:t xml:space="preserve">, </w:t>
      </w:r>
      <w:r w:rsidRPr="00222015">
        <w:rPr>
          <w:rFonts w:ascii="Times New Roman" w:hAnsi="Times New Roman" w:cs="Times New Roman"/>
          <w:i/>
          <w:iCs/>
        </w:rPr>
        <w:t>35</w:t>
      </w:r>
      <w:r w:rsidRPr="00222015">
        <w:rPr>
          <w:rFonts w:ascii="Times New Roman" w:hAnsi="Times New Roman" w:cs="Times New Roman"/>
        </w:rPr>
        <w:t>(22), 315-325. https://doi.org/10.9734/ijpss/2023/v35i224139</w:t>
      </w:r>
    </w:p>
    <w:p w14:paraId="7446C1A5"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Singh, A., &amp; Prajjwal, P. P. A. (2025). Agroforestry for soil management. </w:t>
      </w:r>
      <w:r w:rsidRPr="00222015">
        <w:rPr>
          <w:rFonts w:ascii="Times New Roman" w:hAnsi="Times New Roman" w:cs="Times New Roman"/>
          <w:i/>
          <w:iCs/>
        </w:rPr>
        <w:t>The Living Soil: Foundations of Agriculture</w:t>
      </w:r>
      <w:r w:rsidRPr="00222015">
        <w:rPr>
          <w:rFonts w:ascii="Times New Roman" w:hAnsi="Times New Roman" w:cs="Times New Roman"/>
        </w:rPr>
        <w:t>, 205. ISBN: 978-93-49472-22-8</w:t>
      </w:r>
    </w:p>
    <w:p w14:paraId="597FD27F" w14:textId="39107D7A"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Sun, J., Jin, L., Li, R., Meng, X., Jin, N., Wang, S., &amp; Yu, J. (2023). Effects of different forms and proportions of nitrogen on the growth, photosynthetic characteristics, and carbon and nitrogen metabolism in tomato. </w:t>
      </w:r>
      <w:r w:rsidRPr="00222015">
        <w:rPr>
          <w:rFonts w:ascii="Times New Roman" w:hAnsi="Times New Roman" w:cs="Times New Roman"/>
          <w:i/>
          <w:iCs/>
        </w:rPr>
        <w:t>Plants</w:t>
      </w:r>
      <w:r w:rsidRPr="00222015">
        <w:rPr>
          <w:rFonts w:ascii="Times New Roman" w:hAnsi="Times New Roman" w:cs="Times New Roman"/>
        </w:rPr>
        <w:t>, </w:t>
      </w:r>
      <w:r w:rsidRPr="00222015">
        <w:rPr>
          <w:rFonts w:ascii="Times New Roman" w:hAnsi="Times New Roman" w:cs="Times New Roman"/>
          <w:i/>
          <w:iCs/>
        </w:rPr>
        <w:t>12</w:t>
      </w:r>
      <w:r w:rsidRPr="00222015">
        <w:rPr>
          <w:rFonts w:ascii="Times New Roman" w:hAnsi="Times New Roman" w:cs="Times New Roman"/>
        </w:rPr>
        <w:t>(24), 4175. https://doi.org/10.3390/plants12244175</w:t>
      </w:r>
    </w:p>
    <w:p w14:paraId="17BB4036" w14:textId="7777777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 xml:space="preserve">Swieter, A., </w:t>
      </w:r>
      <w:proofErr w:type="spellStart"/>
      <w:r w:rsidRPr="00222015">
        <w:rPr>
          <w:rFonts w:ascii="Times New Roman" w:hAnsi="Times New Roman" w:cs="Times New Roman"/>
        </w:rPr>
        <w:t>Langhof</w:t>
      </w:r>
      <w:proofErr w:type="spellEnd"/>
      <w:r w:rsidRPr="00222015">
        <w:rPr>
          <w:rFonts w:ascii="Times New Roman" w:hAnsi="Times New Roman" w:cs="Times New Roman"/>
        </w:rPr>
        <w:t xml:space="preserve">, M., &amp; </w:t>
      </w:r>
      <w:proofErr w:type="spellStart"/>
      <w:r w:rsidRPr="00222015">
        <w:rPr>
          <w:rFonts w:ascii="Times New Roman" w:hAnsi="Times New Roman" w:cs="Times New Roman"/>
        </w:rPr>
        <w:t>Lamerre</w:t>
      </w:r>
      <w:proofErr w:type="spellEnd"/>
      <w:r w:rsidRPr="00222015">
        <w:rPr>
          <w:rFonts w:ascii="Times New Roman" w:hAnsi="Times New Roman" w:cs="Times New Roman"/>
        </w:rPr>
        <w:t>, J. (2022). Competition, stress and benefits: Trees and crops in the transition zone of a temperate short rotation alley cropping agroforestry system. </w:t>
      </w:r>
      <w:r w:rsidRPr="00222015">
        <w:rPr>
          <w:rFonts w:ascii="Times New Roman" w:hAnsi="Times New Roman" w:cs="Times New Roman"/>
          <w:i/>
          <w:iCs/>
        </w:rPr>
        <w:t>Journal of Agronomy and Crop Science</w:t>
      </w:r>
      <w:r w:rsidRPr="00222015">
        <w:rPr>
          <w:rFonts w:ascii="Times New Roman" w:hAnsi="Times New Roman" w:cs="Times New Roman"/>
        </w:rPr>
        <w:t>, </w:t>
      </w:r>
      <w:r w:rsidRPr="00222015">
        <w:rPr>
          <w:rFonts w:ascii="Times New Roman" w:hAnsi="Times New Roman" w:cs="Times New Roman"/>
          <w:i/>
          <w:iCs/>
        </w:rPr>
        <w:t>208</w:t>
      </w:r>
      <w:r w:rsidRPr="00222015">
        <w:rPr>
          <w:rFonts w:ascii="Times New Roman" w:hAnsi="Times New Roman" w:cs="Times New Roman"/>
        </w:rPr>
        <w:t>(2), 209-224. https://doi.org/10.1111/jac.12553</w:t>
      </w:r>
    </w:p>
    <w:p w14:paraId="059B0494" w14:textId="4748FD67" w:rsidR="00FB18DF" w:rsidRPr="00222015" w:rsidRDefault="00FB18DF" w:rsidP="00222015">
      <w:pPr>
        <w:pStyle w:val="ListParagraph"/>
        <w:numPr>
          <w:ilvl w:val="0"/>
          <w:numId w:val="1"/>
        </w:numPr>
        <w:jc w:val="both"/>
        <w:rPr>
          <w:rFonts w:ascii="Times New Roman" w:hAnsi="Times New Roman" w:cs="Times New Roman"/>
        </w:rPr>
      </w:pPr>
      <w:r w:rsidRPr="00222015">
        <w:rPr>
          <w:rFonts w:ascii="Times New Roman" w:hAnsi="Times New Roman" w:cs="Times New Roman"/>
        </w:rPr>
        <w:t>Thies, J. E., &amp; Grossman, J. M. (2023). The soil habitat and soil ecology. </w:t>
      </w:r>
      <w:r w:rsidRPr="00222015">
        <w:rPr>
          <w:rFonts w:ascii="Times New Roman" w:hAnsi="Times New Roman" w:cs="Times New Roman"/>
          <w:i/>
          <w:iCs/>
        </w:rPr>
        <w:t>Biological approaches to regenerative soil systems</w:t>
      </w:r>
      <w:r w:rsidRPr="00222015">
        <w:rPr>
          <w:rFonts w:ascii="Times New Roman" w:hAnsi="Times New Roman" w:cs="Times New Roman"/>
        </w:rPr>
        <w:t>, 69-84.</w:t>
      </w:r>
      <w:r w:rsidR="0060184A" w:rsidRPr="00222015">
        <w:rPr>
          <w:rFonts w:ascii="Times New Roman" w:hAnsi="Times New Roman" w:cs="Times New Roman"/>
        </w:rPr>
        <w:t xml:space="preserve"> </w:t>
      </w:r>
      <w:r w:rsidR="00421F8E" w:rsidRPr="00222015">
        <w:rPr>
          <w:rFonts w:ascii="Times New Roman" w:hAnsi="Times New Roman" w:cs="Times New Roman"/>
        </w:rPr>
        <w:t>https://doi.org/10.1201/9781003093718</w:t>
      </w:r>
    </w:p>
    <w:sectPr w:rsidR="00FB18DF" w:rsidRPr="002220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5CA7" w14:textId="77777777" w:rsidR="00F355E8" w:rsidRDefault="00F355E8" w:rsidP="000635CE">
      <w:pPr>
        <w:spacing w:after="0" w:line="240" w:lineRule="auto"/>
      </w:pPr>
      <w:r>
        <w:separator/>
      </w:r>
    </w:p>
  </w:endnote>
  <w:endnote w:type="continuationSeparator" w:id="0">
    <w:p w14:paraId="668CADDE" w14:textId="77777777" w:rsidR="00F355E8" w:rsidRDefault="00F355E8" w:rsidP="0006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BA50" w14:textId="77777777" w:rsidR="000635CE" w:rsidRDefault="0006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FA52" w14:textId="77777777" w:rsidR="000635CE" w:rsidRDefault="0006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4507" w14:textId="77777777" w:rsidR="000635CE" w:rsidRDefault="0006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16D2E" w14:textId="77777777" w:rsidR="00F355E8" w:rsidRDefault="00F355E8" w:rsidP="000635CE">
      <w:pPr>
        <w:spacing w:after="0" w:line="240" w:lineRule="auto"/>
      </w:pPr>
      <w:r>
        <w:separator/>
      </w:r>
    </w:p>
  </w:footnote>
  <w:footnote w:type="continuationSeparator" w:id="0">
    <w:p w14:paraId="0650CD2E" w14:textId="77777777" w:rsidR="00F355E8" w:rsidRDefault="00F355E8" w:rsidP="0006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9DBF" w14:textId="6BCA64E1" w:rsidR="000635CE" w:rsidRDefault="00F355E8">
    <w:pPr>
      <w:pStyle w:val="Header"/>
    </w:pPr>
    <w:r>
      <w:rPr>
        <w:noProof/>
      </w:rPr>
      <w:pict w14:anchorId="3FB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2348" w14:textId="001CFA13" w:rsidR="000635CE" w:rsidRDefault="00F355E8">
    <w:pPr>
      <w:pStyle w:val="Header"/>
    </w:pPr>
    <w:r>
      <w:rPr>
        <w:noProof/>
      </w:rPr>
      <w:pict w14:anchorId="0596A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178F" w14:textId="1F03DD75" w:rsidR="000635CE" w:rsidRDefault="00F355E8">
    <w:pPr>
      <w:pStyle w:val="Header"/>
    </w:pPr>
    <w:r>
      <w:rPr>
        <w:noProof/>
      </w:rPr>
      <w:pict w14:anchorId="33EC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A0521"/>
    <w:multiLevelType w:val="hybridMultilevel"/>
    <w:tmpl w:val="03728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45"/>
    <w:rsid w:val="00004EB4"/>
    <w:rsid w:val="00013515"/>
    <w:rsid w:val="00031818"/>
    <w:rsid w:val="000570C9"/>
    <w:rsid w:val="000635CE"/>
    <w:rsid w:val="00076EBE"/>
    <w:rsid w:val="0008014A"/>
    <w:rsid w:val="00082E5B"/>
    <w:rsid w:val="00096945"/>
    <w:rsid w:val="000C1355"/>
    <w:rsid w:val="000C3BDC"/>
    <w:rsid w:val="000C4852"/>
    <w:rsid w:val="000D2B23"/>
    <w:rsid w:val="000F5BE7"/>
    <w:rsid w:val="00112441"/>
    <w:rsid w:val="00114F13"/>
    <w:rsid w:val="00130F09"/>
    <w:rsid w:val="001375E0"/>
    <w:rsid w:val="00180ED5"/>
    <w:rsid w:val="0019545E"/>
    <w:rsid w:val="001A5015"/>
    <w:rsid w:val="001C3FBE"/>
    <w:rsid w:val="001E4279"/>
    <w:rsid w:val="001F7431"/>
    <w:rsid w:val="00200AAC"/>
    <w:rsid w:val="0020685E"/>
    <w:rsid w:val="00222015"/>
    <w:rsid w:val="00226FC8"/>
    <w:rsid w:val="0027576B"/>
    <w:rsid w:val="002758D5"/>
    <w:rsid w:val="002F0585"/>
    <w:rsid w:val="002F59F3"/>
    <w:rsid w:val="0033244D"/>
    <w:rsid w:val="003776D9"/>
    <w:rsid w:val="003A4FE8"/>
    <w:rsid w:val="003B08E3"/>
    <w:rsid w:val="003C6BA2"/>
    <w:rsid w:val="003D0A19"/>
    <w:rsid w:val="003E1F27"/>
    <w:rsid w:val="003E23EE"/>
    <w:rsid w:val="003E66A8"/>
    <w:rsid w:val="003F6CE9"/>
    <w:rsid w:val="00421F8E"/>
    <w:rsid w:val="004254F1"/>
    <w:rsid w:val="00427FA2"/>
    <w:rsid w:val="00437B46"/>
    <w:rsid w:val="00494C6E"/>
    <w:rsid w:val="004B563F"/>
    <w:rsid w:val="004D6CA2"/>
    <w:rsid w:val="00516C55"/>
    <w:rsid w:val="00525B69"/>
    <w:rsid w:val="00527B4B"/>
    <w:rsid w:val="0053200B"/>
    <w:rsid w:val="00533DCC"/>
    <w:rsid w:val="00566EF1"/>
    <w:rsid w:val="005E2A6F"/>
    <w:rsid w:val="0060184A"/>
    <w:rsid w:val="006033C6"/>
    <w:rsid w:val="00613D75"/>
    <w:rsid w:val="00660827"/>
    <w:rsid w:val="0066710D"/>
    <w:rsid w:val="0068250A"/>
    <w:rsid w:val="006B3EB4"/>
    <w:rsid w:val="006B6962"/>
    <w:rsid w:val="006C77F2"/>
    <w:rsid w:val="00717DF7"/>
    <w:rsid w:val="00725513"/>
    <w:rsid w:val="00791504"/>
    <w:rsid w:val="00794333"/>
    <w:rsid w:val="007B2268"/>
    <w:rsid w:val="007C40D2"/>
    <w:rsid w:val="007F0B37"/>
    <w:rsid w:val="007F5A07"/>
    <w:rsid w:val="008D335E"/>
    <w:rsid w:val="008F164E"/>
    <w:rsid w:val="00901654"/>
    <w:rsid w:val="00926C66"/>
    <w:rsid w:val="00936269"/>
    <w:rsid w:val="00962D02"/>
    <w:rsid w:val="0099769B"/>
    <w:rsid w:val="009A3ECD"/>
    <w:rsid w:val="009A49AD"/>
    <w:rsid w:val="009B42D8"/>
    <w:rsid w:val="009C6381"/>
    <w:rsid w:val="009F0C67"/>
    <w:rsid w:val="009F5DFC"/>
    <w:rsid w:val="009F6D46"/>
    <w:rsid w:val="00A03C0C"/>
    <w:rsid w:val="00A45203"/>
    <w:rsid w:val="00A61B9C"/>
    <w:rsid w:val="00AB0E3C"/>
    <w:rsid w:val="00AC2767"/>
    <w:rsid w:val="00AC6932"/>
    <w:rsid w:val="00AE3A6F"/>
    <w:rsid w:val="00B2196A"/>
    <w:rsid w:val="00B33BC0"/>
    <w:rsid w:val="00B42CFE"/>
    <w:rsid w:val="00B46B78"/>
    <w:rsid w:val="00B610F6"/>
    <w:rsid w:val="00B72C67"/>
    <w:rsid w:val="00B824B2"/>
    <w:rsid w:val="00BA303D"/>
    <w:rsid w:val="00BC234F"/>
    <w:rsid w:val="00BC66E4"/>
    <w:rsid w:val="00BE19FC"/>
    <w:rsid w:val="00C269DC"/>
    <w:rsid w:val="00C40BED"/>
    <w:rsid w:val="00C43F38"/>
    <w:rsid w:val="00C47595"/>
    <w:rsid w:val="00C5547E"/>
    <w:rsid w:val="00C61365"/>
    <w:rsid w:val="00C61549"/>
    <w:rsid w:val="00C8307E"/>
    <w:rsid w:val="00C86A16"/>
    <w:rsid w:val="00CA0BA7"/>
    <w:rsid w:val="00CA7195"/>
    <w:rsid w:val="00CB16C9"/>
    <w:rsid w:val="00CC5029"/>
    <w:rsid w:val="00D03513"/>
    <w:rsid w:val="00D12901"/>
    <w:rsid w:val="00D20DE0"/>
    <w:rsid w:val="00D22AA6"/>
    <w:rsid w:val="00D303E2"/>
    <w:rsid w:val="00D31134"/>
    <w:rsid w:val="00D34A76"/>
    <w:rsid w:val="00D36DA3"/>
    <w:rsid w:val="00D463B2"/>
    <w:rsid w:val="00D73B2A"/>
    <w:rsid w:val="00D80F01"/>
    <w:rsid w:val="00D80FD5"/>
    <w:rsid w:val="00DB38CA"/>
    <w:rsid w:val="00DB3A33"/>
    <w:rsid w:val="00E03EDC"/>
    <w:rsid w:val="00E10A8C"/>
    <w:rsid w:val="00E55F3C"/>
    <w:rsid w:val="00EB16DF"/>
    <w:rsid w:val="00EB20EF"/>
    <w:rsid w:val="00EC05C4"/>
    <w:rsid w:val="00EE0FFC"/>
    <w:rsid w:val="00F06160"/>
    <w:rsid w:val="00F07246"/>
    <w:rsid w:val="00F33E82"/>
    <w:rsid w:val="00F355E8"/>
    <w:rsid w:val="00F437D9"/>
    <w:rsid w:val="00F57AD4"/>
    <w:rsid w:val="00F6090E"/>
    <w:rsid w:val="00F65899"/>
    <w:rsid w:val="00F71AD1"/>
    <w:rsid w:val="00F807F9"/>
    <w:rsid w:val="00FA095C"/>
    <w:rsid w:val="00FA78F7"/>
    <w:rsid w:val="00FB0F43"/>
    <w:rsid w:val="00FB18DF"/>
    <w:rsid w:val="00FE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B1CE"/>
  <w15:chartTrackingRefBased/>
  <w15:docId w15:val="{01FCC61E-9116-46B9-A638-6FFAF91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45"/>
    <w:rPr>
      <w:rFonts w:eastAsiaTheme="majorEastAsia" w:cstheme="majorBidi"/>
      <w:color w:val="272727" w:themeColor="text1" w:themeTint="D8"/>
    </w:rPr>
  </w:style>
  <w:style w:type="paragraph" w:styleId="Title">
    <w:name w:val="Title"/>
    <w:basedOn w:val="Normal"/>
    <w:next w:val="Normal"/>
    <w:link w:val="TitleChar"/>
    <w:uiPriority w:val="10"/>
    <w:qFormat/>
    <w:rsid w:val="000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45"/>
    <w:pPr>
      <w:spacing w:before="160"/>
      <w:jc w:val="center"/>
    </w:pPr>
    <w:rPr>
      <w:i/>
      <w:iCs/>
      <w:color w:val="404040" w:themeColor="text1" w:themeTint="BF"/>
    </w:rPr>
  </w:style>
  <w:style w:type="character" w:customStyle="1" w:styleId="QuoteChar">
    <w:name w:val="Quote Char"/>
    <w:basedOn w:val="DefaultParagraphFont"/>
    <w:link w:val="Quote"/>
    <w:uiPriority w:val="29"/>
    <w:rsid w:val="00096945"/>
    <w:rPr>
      <w:i/>
      <w:iCs/>
      <w:color w:val="404040" w:themeColor="text1" w:themeTint="BF"/>
    </w:rPr>
  </w:style>
  <w:style w:type="paragraph" w:styleId="ListParagraph">
    <w:name w:val="List Paragraph"/>
    <w:basedOn w:val="Normal"/>
    <w:uiPriority w:val="34"/>
    <w:qFormat/>
    <w:rsid w:val="00096945"/>
    <w:pPr>
      <w:ind w:left="720"/>
      <w:contextualSpacing/>
    </w:pPr>
  </w:style>
  <w:style w:type="character" w:styleId="IntenseEmphasis">
    <w:name w:val="Intense Emphasis"/>
    <w:basedOn w:val="DefaultParagraphFont"/>
    <w:uiPriority w:val="21"/>
    <w:qFormat/>
    <w:rsid w:val="00096945"/>
    <w:rPr>
      <w:i/>
      <w:iCs/>
      <w:color w:val="2F5496" w:themeColor="accent1" w:themeShade="BF"/>
    </w:rPr>
  </w:style>
  <w:style w:type="paragraph" w:styleId="IntenseQuote">
    <w:name w:val="Intense Quote"/>
    <w:basedOn w:val="Normal"/>
    <w:next w:val="Normal"/>
    <w:link w:val="IntenseQuoteChar"/>
    <w:uiPriority w:val="30"/>
    <w:qFormat/>
    <w:rsid w:val="0009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45"/>
    <w:rPr>
      <w:i/>
      <w:iCs/>
      <w:color w:val="2F5496" w:themeColor="accent1" w:themeShade="BF"/>
    </w:rPr>
  </w:style>
  <w:style w:type="character" w:styleId="IntenseReference">
    <w:name w:val="Intense Reference"/>
    <w:basedOn w:val="DefaultParagraphFont"/>
    <w:uiPriority w:val="32"/>
    <w:qFormat/>
    <w:rsid w:val="00096945"/>
    <w:rPr>
      <w:b/>
      <w:bCs/>
      <w:smallCaps/>
      <w:color w:val="2F5496" w:themeColor="accent1" w:themeShade="BF"/>
      <w:spacing w:val="5"/>
    </w:rPr>
  </w:style>
  <w:style w:type="paragraph" w:styleId="Header">
    <w:name w:val="header"/>
    <w:basedOn w:val="Normal"/>
    <w:link w:val="HeaderChar"/>
    <w:uiPriority w:val="99"/>
    <w:unhideWhenUsed/>
    <w:rsid w:val="0006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CE"/>
  </w:style>
  <w:style w:type="paragraph" w:styleId="Footer">
    <w:name w:val="footer"/>
    <w:basedOn w:val="Normal"/>
    <w:link w:val="FooterChar"/>
    <w:uiPriority w:val="99"/>
    <w:unhideWhenUsed/>
    <w:rsid w:val="0006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9</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63</cp:revision>
  <dcterms:created xsi:type="dcterms:W3CDTF">2026-01-20T08:21:00Z</dcterms:created>
  <dcterms:modified xsi:type="dcterms:W3CDTF">2026-02-03T07:57:00Z</dcterms:modified>
</cp:coreProperties>
</file>