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43FDF" w14:textId="77777777" w:rsidR="00DA33E2" w:rsidRPr="00F15B51" w:rsidRDefault="00DA33E2" w:rsidP="00A57C95">
      <w:pPr>
        <w:pStyle w:val="Author"/>
        <w:rPr>
          <w:rFonts w:ascii="Arial" w:hAnsi="Arial" w:cs="Arial"/>
          <w:bCs/>
          <w:iCs/>
          <w:kern w:val="28"/>
          <w:sz w:val="36"/>
        </w:rPr>
      </w:pPr>
    </w:p>
    <w:p w14:paraId="2646E068" w14:textId="77777777" w:rsidR="007244AF" w:rsidRDefault="00B50547" w:rsidP="00A57C95">
      <w:pPr>
        <w:pStyle w:val="Author"/>
        <w:rPr>
          <w:rFonts w:ascii="Arial" w:hAnsi="Arial" w:cs="Arial"/>
          <w:bCs/>
          <w:iCs/>
          <w:kern w:val="28"/>
          <w:sz w:val="32"/>
          <w:szCs w:val="18"/>
        </w:rPr>
      </w:pPr>
      <w:r w:rsidRPr="00EE469A">
        <w:rPr>
          <w:rFonts w:ascii="Arial" w:hAnsi="Arial" w:cs="Arial"/>
          <w:bCs/>
          <w:iCs/>
          <w:kern w:val="28"/>
          <w:sz w:val="32"/>
          <w:szCs w:val="18"/>
        </w:rPr>
        <w:t xml:space="preserve">Clinical-Surgical Profile of Patients Undergoing Laparoscopic Cholecystectomy in the Northern </w:t>
      </w:r>
    </w:p>
    <w:p w14:paraId="60233F74" w14:textId="081BCFEC" w:rsidR="00163BC4" w:rsidRPr="00EE469A" w:rsidRDefault="00B50547" w:rsidP="00A57C95">
      <w:pPr>
        <w:pStyle w:val="Author"/>
        <w:rPr>
          <w:rFonts w:ascii="Arial" w:hAnsi="Arial" w:cs="Arial"/>
          <w:bCs/>
          <w:iCs/>
          <w:kern w:val="28"/>
          <w:sz w:val="32"/>
          <w:szCs w:val="18"/>
        </w:rPr>
      </w:pPr>
      <w:r w:rsidRPr="00EE469A">
        <w:rPr>
          <w:rFonts w:ascii="Arial" w:hAnsi="Arial" w:cs="Arial"/>
          <w:bCs/>
          <w:iCs/>
          <w:kern w:val="28"/>
          <w:sz w:val="32"/>
          <w:szCs w:val="18"/>
        </w:rPr>
        <w:t>Region of Mexico</w:t>
      </w:r>
    </w:p>
    <w:p w14:paraId="43461F21" w14:textId="77777777" w:rsidR="00A258C3" w:rsidRPr="00F15B51" w:rsidRDefault="00A258C3" w:rsidP="00441B6F">
      <w:pPr>
        <w:pStyle w:val="Author"/>
        <w:spacing w:line="240" w:lineRule="auto"/>
        <w:jc w:val="both"/>
        <w:rPr>
          <w:rFonts w:ascii="Arial" w:hAnsi="Arial" w:cs="Arial"/>
          <w:sz w:val="36"/>
        </w:rPr>
      </w:pPr>
    </w:p>
    <w:p w14:paraId="6F4C9FB8" w14:textId="77777777" w:rsidR="00DF09C1" w:rsidRPr="00F15B51" w:rsidRDefault="00DF09C1" w:rsidP="006B7453">
      <w:pPr>
        <w:pStyle w:val="Affiliation"/>
        <w:spacing w:after="0"/>
        <w:rPr>
          <w:rFonts w:ascii="Arial" w:hAnsi="Arial" w:cs="Arial"/>
          <w:i/>
        </w:rPr>
      </w:pPr>
    </w:p>
    <w:p w14:paraId="6998470F" w14:textId="77777777" w:rsidR="00C93F25" w:rsidRPr="00F15B51" w:rsidRDefault="00C93F25" w:rsidP="001E0FDD">
      <w:pPr>
        <w:pStyle w:val="Affiliation"/>
        <w:rPr>
          <w:rFonts w:ascii="Arial" w:hAnsi="Arial" w:cs="Arial"/>
          <w:i/>
        </w:rPr>
      </w:pPr>
    </w:p>
    <w:p w14:paraId="11EAF5F9" w14:textId="77777777" w:rsidR="00B01FCD" w:rsidRPr="00F15B51" w:rsidRDefault="00717FAC" w:rsidP="00441B6F">
      <w:pPr>
        <w:pStyle w:val="Copyright"/>
        <w:spacing w:after="0" w:line="240" w:lineRule="auto"/>
        <w:jc w:val="both"/>
        <w:rPr>
          <w:rFonts w:ascii="Arial" w:hAnsi="Arial" w:cs="Arial"/>
        </w:rPr>
        <w:sectPr w:rsidR="00B01FCD" w:rsidRPr="00F15B51" w:rsidSect="00DF290F">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sidRPr="00F15B51">
        <w:rPr>
          <w:rFonts w:ascii="Arial" w:hAnsi="Arial" w:cs="Arial"/>
          <w:noProof/>
          <w:lang w:val="es-MX" w:eastAsia="es-MX"/>
        </w:rPr>
        <mc:AlternateContent>
          <mc:Choice Requires="wps">
            <w:drawing>
              <wp:inline distT="0" distB="0" distL="0" distR="0" wp14:anchorId="6BD379EE" wp14:editId="2AF98BCF">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68ED5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F15B51">
        <w:rPr>
          <w:rFonts w:ascii="Arial" w:hAnsi="Arial" w:cs="Arial"/>
        </w:rPr>
        <w:t>.</w:t>
      </w:r>
    </w:p>
    <w:p w14:paraId="7DEB1E08" w14:textId="77777777" w:rsidR="00B01FCD" w:rsidRPr="00F15B51" w:rsidRDefault="00B01FCD" w:rsidP="00441B6F">
      <w:pPr>
        <w:pStyle w:val="AbstHead"/>
        <w:spacing w:after="0"/>
        <w:jc w:val="both"/>
        <w:rPr>
          <w:rFonts w:ascii="Arial" w:hAnsi="Arial" w:cs="Arial"/>
        </w:rPr>
      </w:pPr>
      <w:r w:rsidRPr="00F15B51">
        <w:rPr>
          <w:rFonts w:ascii="Arial" w:hAnsi="Arial" w:cs="Arial"/>
        </w:rPr>
        <w:lastRenderedPageBreak/>
        <w:t>ABSTRACT</w:t>
      </w:r>
    </w:p>
    <w:p w14:paraId="3FEC0B2C" w14:textId="77777777" w:rsidR="00790ADA" w:rsidRPr="00F15B5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15B51" w14:paraId="13A3BCEF" w14:textId="77777777" w:rsidTr="001E44FE">
        <w:tc>
          <w:tcPr>
            <w:tcW w:w="9576" w:type="dxa"/>
            <w:shd w:val="clear" w:color="auto" w:fill="F2F2F2"/>
          </w:tcPr>
          <w:p w14:paraId="5D7570F9" w14:textId="77777777" w:rsidR="00EE7CC2" w:rsidRPr="00F15B51" w:rsidRDefault="00EE7CC2" w:rsidP="00B10F31">
            <w:pPr>
              <w:pBdr>
                <w:top w:val="nil"/>
                <w:left w:val="nil"/>
                <w:bottom w:val="nil"/>
                <w:right w:val="nil"/>
                <w:between w:val="nil"/>
              </w:pBdr>
              <w:jc w:val="both"/>
              <w:rPr>
                <w:rFonts w:ascii="Arial" w:eastAsia="Arial" w:hAnsi="Arial" w:cs="Arial"/>
                <w:b/>
                <w:color w:val="000000"/>
              </w:rPr>
            </w:pPr>
          </w:p>
          <w:p w14:paraId="7D7BE010" w14:textId="77777777" w:rsidR="009A37EA" w:rsidRPr="00F15B51" w:rsidRDefault="009A37EA" w:rsidP="00B10F31">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Background:</w:t>
            </w:r>
            <w:r w:rsidR="00D97C9E" w:rsidRPr="00F15B51">
              <w:t xml:space="preserve"> </w:t>
            </w:r>
            <w:r w:rsidR="0011456A" w:rsidRPr="00F15B51">
              <w:rPr>
                <w:rFonts w:ascii="Arial" w:eastAsia="Arial" w:hAnsi="Arial" w:cs="Arial"/>
                <w:color w:val="000000"/>
              </w:rPr>
              <w:t>Laparoscopic cholecystectomy is one of the most frequently performed surgical procedures worldwide. However, clinical and surgical factors can create technically challenging conditions for its execution, resulting in morbidity, mortality, and excessive use of resources.</w:t>
            </w:r>
          </w:p>
          <w:p w14:paraId="144FBD53" w14:textId="78B82747" w:rsidR="0011456A" w:rsidRPr="00F15B51" w:rsidRDefault="009A37EA" w:rsidP="00B10F31">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Aim</w:t>
            </w:r>
            <w:r w:rsidR="00B10F31" w:rsidRPr="00F15B51">
              <w:rPr>
                <w:rFonts w:ascii="Arial" w:eastAsia="Arial" w:hAnsi="Arial" w:cs="Arial"/>
                <w:b/>
                <w:color w:val="000000"/>
              </w:rPr>
              <w:t xml:space="preserve">: </w:t>
            </w:r>
            <w:r w:rsidR="00D97C9E" w:rsidRPr="00F15B51">
              <w:rPr>
                <w:rFonts w:ascii="Arial" w:eastAsia="Arial" w:hAnsi="Arial" w:cs="Arial"/>
                <w:color w:val="000000"/>
              </w:rPr>
              <w:t xml:space="preserve">To </w:t>
            </w:r>
            <w:r w:rsidR="00220DDC" w:rsidRPr="00F15B51">
              <w:rPr>
                <w:rFonts w:ascii="Arial" w:eastAsia="Arial" w:hAnsi="Arial" w:cs="Arial"/>
                <w:color w:val="000000"/>
              </w:rPr>
              <w:t xml:space="preserve">know </w:t>
            </w:r>
            <w:r w:rsidR="00D97C9E" w:rsidRPr="00CE429D">
              <w:rPr>
                <w:rFonts w:ascii="Arial" w:eastAsia="Arial" w:hAnsi="Arial" w:cs="Arial"/>
                <w:color w:val="000000"/>
                <w:highlight w:val="cyan"/>
              </w:rPr>
              <w:t>the</w:t>
            </w:r>
            <w:r w:rsidR="0043383F" w:rsidRPr="00CE429D">
              <w:rPr>
                <w:rFonts w:ascii="Arial" w:eastAsia="Arial" w:hAnsi="Arial" w:cs="Arial"/>
                <w:color w:val="000000"/>
                <w:highlight w:val="cyan"/>
              </w:rPr>
              <w:t xml:space="preserve"> implications of</w:t>
            </w:r>
            <w:r w:rsidR="0011456A" w:rsidRPr="00F15B51">
              <w:rPr>
                <w:rFonts w:ascii="Arial" w:eastAsia="Arial" w:hAnsi="Arial" w:cs="Arial"/>
                <w:color w:val="000000"/>
              </w:rPr>
              <w:t xml:space="preserve"> clinical and surgical profile of patients undergoing laparoscopic cholecystectomy in the Northern Region of Mexico. </w:t>
            </w:r>
          </w:p>
          <w:p w14:paraId="68E8AED2" w14:textId="0086B86B" w:rsidR="007401EA" w:rsidRPr="000B50C9" w:rsidRDefault="009A37EA" w:rsidP="0011456A">
            <w:pPr>
              <w:pBdr>
                <w:top w:val="nil"/>
                <w:left w:val="nil"/>
                <w:bottom w:val="nil"/>
                <w:right w:val="nil"/>
                <w:between w:val="nil"/>
              </w:pBdr>
              <w:jc w:val="both"/>
              <w:rPr>
                <w:rFonts w:ascii="Arial" w:eastAsia="Arial" w:hAnsi="Arial" w:cs="Arial"/>
                <w:color w:val="000000"/>
                <w:highlight w:val="yellow"/>
              </w:rPr>
            </w:pPr>
            <w:r w:rsidRPr="00F15B51">
              <w:rPr>
                <w:rFonts w:ascii="Arial" w:eastAsia="Arial" w:hAnsi="Arial" w:cs="Arial"/>
                <w:b/>
                <w:color w:val="000000"/>
              </w:rPr>
              <w:t>Methods</w:t>
            </w:r>
            <w:r w:rsidR="00B10F31" w:rsidRPr="00F15B51">
              <w:rPr>
                <w:rFonts w:ascii="Arial" w:eastAsia="Arial" w:hAnsi="Arial" w:cs="Arial"/>
                <w:b/>
                <w:color w:val="000000"/>
              </w:rPr>
              <w:t>:</w:t>
            </w:r>
            <w:r w:rsidR="00B10F31" w:rsidRPr="00F15B51">
              <w:rPr>
                <w:rFonts w:ascii="Arial" w:eastAsia="Arial" w:hAnsi="Arial" w:cs="Arial"/>
                <w:color w:val="000000"/>
              </w:rPr>
              <w:t xml:space="preserve"> </w:t>
            </w:r>
            <w:r w:rsidR="007401EA" w:rsidRPr="001736A9">
              <w:rPr>
                <w:rFonts w:ascii="Arial" w:eastAsia="Arial" w:hAnsi="Arial" w:cs="Arial"/>
                <w:color w:val="000000"/>
                <w:highlight w:val="yellow"/>
              </w:rPr>
              <w:t xml:space="preserve">This retrospective and descriptive study included patients enrolled in the general surgery service who underwent laparoscopic cholecystectomy between January and April 2022 at a secondary-level public hospital in the Northern Region of Mexico. All medical records of patients of both sexes and over 18 years of age were included. Those in which serious complications were recorded during the procedure were excluded. </w:t>
            </w:r>
            <w:r w:rsidR="008570BF" w:rsidRPr="00CE429D">
              <w:rPr>
                <w:rFonts w:ascii="Arial" w:eastAsia="Arial" w:hAnsi="Arial" w:cs="Arial"/>
                <w:color w:val="000000"/>
                <w:highlight w:val="cyan"/>
              </w:rPr>
              <w:t>Those in whom serious complications were recorded during the procedure were excluded, mainly because they were referred to tertiary medical units.</w:t>
            </w:r>
            <w:r w:rsidR="000B50C9" w:rsidRPr="00CE429D">
              <w:rPr>
                <w:rFonts w:ascii="Arial" w:eastAsia="Arial" w:hAnsi="Arial" w:cs="Arial"/>
                <w:color w:val="000000"/>
                <w:highlight w:val="cyan"/>
              </w:rPr>
              <w:t xml:space="preserve"> </w:t>
            </w:r>
            <w:r w:rsidR="007401EA" w:rsidRPr="001736A9">
              <w:rPr>
                <w:rFonts w:ascii="Arial" w:eastAsia="Arial" w:hAnsi="Arial" w:cs="Arial"/>
                <w:color w:val="000000"/>
                <w:highlight w:val="yellow"/>
              </w:rPr>
              <w:t>To collect demographic, clinical, hematological, biochemical, surgical and radiological data. Descriptive statistics were applied using the Statistical Package for the Social Sciences (SPSS) version 25.</w:t>
            </w:r>
          </w:p>
          <w:p w14:paraId="0FB92FA3" w14:textId="02D0C555" w:rsidR="00C71111" w:rsidRDefault="00B10F31" w:rsidP="00C71111">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Results:</w:t>
            </w:r>
            <w:r w:rsidRPr="00F15B51">
              <w:rPr>
                <w:rFonts w:ascii="Arial" w:eastAsia="Arial" w:hAnsi="Arial" w:cs="Arial"/>
                <w:color w:val="000000"/>
              </w:rPr>
              <w:t xml:space="preserve"> </w:t>
            </w:r>
            <w:r w:rsidR="00C71111" w:rsidRPr="004422D5">
              <w:rPr>
                <w:rFonts w:ascii="Arial" w:eastAsia="Arial" w:hAnsi="Arial" w:cs="Arial"/>
                <w:color w:val="000000"/>
                <w:highlight w:val="yellow"/>
              </w:rPr>
              <w:t xml:space="preserve">We reviewed 313 medical records. 75.4 % were women. The mean age was 53.7 ± 15.2 years. 56.5 % were overweight. 41.9 % underwent emergency surgery. </w:t>
            </w:r>
            <w:r w:rsidR="004422D5" w:rsidRPr="004422D5">
              <w:rPr>
                <w:rFonts w:ascii="Arial" w:eastAsia="Arial" w:hAnsi="Arial" w:cs="Arial"/>
                <w:color w:val="000000"/>
                <w:highlight w:val="yellow"/>
              </w:rPr>
              <w:t>26.2</w:t>
            </w:r>
            <w:r w:rsidR="004422D5">
              <w:rPr>
                <w:rFonts w:ascii="Arial" w:eastAsia="Arial" w:hAnsi="Arial" w:cs="Arial"/>
                <w:color w:val="000000"/>
                <w:highlight w:val="yellow"/>
              </w:rPr>
              <w:t xml:space="preserve"> </w:t>
            </w:r>
            <w:r w:rsidR="004422D5" w:rsidRPr="004422D5">
              <w:rPr>
                <w:rFonts w:ascii="Arial" w:eastAsia="Arial" w:hAnsi="Arial" w:cs="Arial"/>
                <w:color w:val="000000"/>
                <w:highlight w:val="yellow"/>
              </w:rPr>
              <w:t>% recorded technically difficult laparoscopic cholecystectomy</w:t>
            </w:r>
            <w:r w:rsidR="00C71111" w:rsidRPr="004422D5">
              <w:rPr>
                <w:rFonts w:ascii="Arial" w:eastAsia="Arial" w:hAnsi="Arial" w:cs="Arial"/>
                <w:color w:val="000000"/>
                <w:highlight w:val="yellow"/>
              </w:rPr>
              <w:t>. The most frequent findings among patients were: jaundice (42.2</w:t>
            </w:r>
            <w:r w:rsidR="004422D5" w:rsidRPr="004422D5">
              <w:rPr>
                <w:rFonts w:ascii="Arial" w:eastAsia="Arial" w:hAnsi="Arial" w:cs="Arial"/>
                <w:color w:val="000000"/>
                <w:highlight w:val="yellow"/>
              </w:rPr>
              <w:t xml:space="preserve"> </w:t>
            </w:r>
            <w:r w:rsidR="00C71111" w:rsidRPr="004422D5">
              <w:rPr>
                <w:rFonts w:ascii="Arial" w:eastAsia="Arial" w:hAnsi="Arial" w:cs="Arial"/>
                <w:color w:val="000000"/>
                <w:highlight w:val="yellow"/>
              </w:rPr>
              <w:t>%); leukocytosis (55.3</w:t>
            </w:r>
            <w:r w:rsidR="004422D5" w:rsidRPr="004422D5">
              <w:rPr>
                <w:rFonts w:ascii="Arial" w:eastAsia="Arial" w:hAnsi="Arial" w:cs="Arial"/>
                <w:color w:val="000000"/>
                <w:highlight w:val="yellow"/>
              </w:rPr>
              <w:t xml:space="preserve"> </w:t>
            </w:r>
            <w:r w:rsidR="00C71111" w:rsidRPr="004422D5">
              <w:rPr>
                <w:rFonts w:ascii="Arial" w:eastAsia="Arial" w:hAnsi="Arial" w:cs="Arial"/>
                <w:color w:val="000000"/>
                <w:highlight w:val="yellow"/>
              </w:rPr>
              <w:t>%); hyperbilirubinemia (49.5</w:t>
            </w:r>
            <w:r w:rsidR="004422D5" w:rsidRPr="004422D5">
              <w:rPr>
                <w:rFonts w:ascii="Arial" w:eastAsia="Arial" w:hAnsi="Arial" w:cs="Arial"/>
                <w:color w:val="000000"/>
                <w:highlight w:val="yellow"/>
              </w:rPr>
              <w:t xml:space="preserve"> </w:t>
            </w:r>
            <w:r w:rsidR="00C71111" w:rsidRPr="004422D5">
              <w:rPr>
                <w:rFonts w:ascii="Arial" w:eastAsia="Arial" w:hAnsi="Arial" w:cs="Arial"/>
                <w:color w:val="000000"/>
                <w:highlight w:val="yellow"/>
              </w:rPr>
              <w:t>%); gallstones larger than 10 mm (48.6</w:t>
            </w:r>
            <w:r w:rsidR="004422D5" w:rsidRPr="004422D5">
              <w:rPr>
                <w:rFonts w:ascii="Arial" w:eastAsia="Arial" w:hAnsi="Arial" w:cs="Arial"/>
                <w:color w:val="000000"/>
                <w:highlight w:val="yellow"/>
              </w:rPr>
              <w:t xml:space="preserve"> </w:t>
            </w:r>
            <w:r w:rsidR="00C71111" w:rsidRPr="004422D5">
              <w:rPr>
                <w:rFonts w:ascii="Arial" w:eastAsia="Arial" w:hAnsi="Arial" w:cs="Arial"/>
                <w:color w:val="000000"/>
                <w:highlight w:val="yellow"/>
              </w:rPr>
              <w:t>%); gallbladder wall thickness ≥ 4 mm (58.1</w:t>
            </w:r>
            <w:r w:rsidR="004422D5" w:rsidRPr="004422D5">
              <w:rPr>
                <w:rFonts w:ascii="Arial" w:eastAsia="Arial" w:hAnsi="Arial" w:cs="Arial"/>
                <w:color w:val="000000"/>
                <w:highlight w:val="yellow"/>
              </w:rPr>
              <w:t xml:space="preserve"> </w:t>
            </w:r>
            <w:r w:rsidR="00C71111" w:rsidRPr="004422D5">
              <w:rPr>
                <w:rFonts w:ascii="Arial" w:eastAsia="Arial" w:hAnsi="Arial" w:cs="Arial"/>
                <w:color w:val="000000"/>
                <w:highlight w:val="yellow"/>
              </w:rPr>
              <w:t>%); and hypervascularity on Doppler ultrasound (58.8</w:t>
            </w:r>
            <w:r w:rsidR="004422D5" w:rsidRPr="004422D5">
              <w:rPr>
                <w:rFonts w:ascii="Arial" w:eastAsia="Arial" w:hAnsi="Arial" w:cs="Arial"/>
                <w:color w:val="000000"/>
                <w:highlight w:val="yellow"/>
              </w:rPr>
              <w:t xml:space="preserve"> </w:t>
            </w:r>
            <w:r w:rsidR="00C71111" w:rsidRPr="004422D5">
              <w:rPr>
                <w:rFonts w:ascii="Arial" w:eastAsia="Arial" w:hAnsi="Arial" w:cs="Arial"/>
                <w:color w:val="000000"/>
                <w:highlight w:val="yellow"/>
              </w:rPr>
              <w:t>%).</w:t>
            </w:r>
          </w:p>
          <w:p w14:paraId="730B4D5C" w14:textId="566FE533" w:rsidR="00DE3C22" w:rsidRPr="00F15B51" w:rsidRDefault="00B10F31" w:rsidP="00C71111">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Conclusion:</w:t>
            </w:r>
            <w:r w:rsidRPr="00F15B51">
              <w:rPr>
                <w:rFonts w:ascii="Arial" w:eastAsia="Arial" w:hAnsi="Arial" w:cs="Arial"/>
                <w:color w:val="000000"/>
              </w:rPr>
              <w:t xml:space="preserve"> </w:t>
            </w:r>
            <w:r w:rsidR="0049576E" w:rsidRPr="0049576E">
              <w:rPr>
                <w:rFonts w:ascii="Arial" w:eastAsia="Arial" w:hAnsi="Arial" w:cs="Arial"/>
                <w:color w:val="000000"/>
                <w:highlight w:val="yellow"/>
              </w:rPr>
              <w:t>The results show that demographic and epidemiological conditions in</w:t>
            </w:r>
            <w:r w:rsidR="00A605F5">
              <w:rPr>
                <w:rFonts w:ascii="Arial" w:eastAsia="Arial" w:hAnsi="Arial" w:cs="Arial"/>
                <w:color w:val="000000"/>
                <w:highlight w:val="yellow"/>
              </w:rPr>
              <w:t xml:space="preserve"> the Region N</w:t>
            </w:r>
            <w:r w:rsidR="0049576E" w:rsidRPr="0049576E">
              <w:rPr>
                <w:rFonts w:ascii="Arial" w:eastAsia="Arial" w:hAnsi="Arial" w:cs="Arial"/>
                <w:color w:val="000000"/>
                <w:highlight w:val="yellow"/>
              </w:rPr>
              <w:t xml:space="preserve">orthern Mexico increase the risk of acute cholelithiasis. Therefore, it is important to understand the clinical and surgical </w:t>
            </w:r>
            <w:r w:rsidR="00544261" w:rsidRPr="00CE429D">
              <w:rPr>
                <w:rFonts w:ascii="Arial" w:eastAsia="Arial" w:hAnsi="Arial" w:cs="Arial"/>
                <w:color w:val="000000"/>
                <w:highlight w:val="cyan"/>
              </w:rPr>
              <w:t>risk</w:t>
            </w:r>
            <w:r w:rsidR="00544261">
              <w:rPr>
                <w:rFonts w:ascii="Arial" w:eastAsia="Arial" w:hAnsi="Arial" w:cs="Arial"/>
                <w:color w:val="000000"/>
                <w:highlight w:val="yellow"/>
              </w:rPr>
              <w:t xml:space="preserve"> </w:t>
            </w:r>
            <w:r w:rsidR="0049576E" w:rsidRPr="0049576E">
              <w:rPr>
                <w:rFonts w:ascii="Arial" w:eastAsia="Arial" w:hAnsi="Arial" w:cs="Arial"/>
                <w:color w:val="000000"/>
                <w:highlight w:val="yellow"/>
              </w:rPr>
              <w:t>factors in patients undergoing laparoscopic cholecystectomy to identify conditions that may complicate the procedure, resulting in morbidity and higher hospital costs.</w:t>
            </w:r>
          </w:p>
        </w:tc>
      </w:tr>
    </w:tbl>
    <w:p w14:paraId="0B93CFB4" w14:textId="77777777" w:rsidR="00121BBC" w:rsidRPr="00F15B51" w:rsidRDefault="00121BBC" w:rsidP="00900EE4">
      <w:pPr>
        <w:pStyle w:val="Body"/>
        <w:spacing w:after="0"/>
        <w:rPr>
          <w:rFonts w:ascii="Arial" w:hAnsi="Arial" w:cs="Arial"/>
          <w:i/>
        </w:rPr>
      </w:pPr>
    </w:p>
    <w:p w14:paraId="4093ECAE" w14:textId="02425445" w:rsidR="0001735C" w:rsidRPr="00F15B51" w:rsidRDefault="00A24E7E" w:rsidP="00900EE4">
      <w:pPr>
        <w:pStyle w:val="Body"/>
        <w:spacing w:after="0"/>
        <w:rPr>
          <w:rFonts w:ascii="Arial" w:hAnsi="Arial" w:cs="Arial"/>
          <w:i/>
        </w:rPr>
      </w:pPr>
      <w:r w:rsidRPr="00F15B51">
        <w:rPr>
          <w:rFonts w:ascii="Arial" w:hAnsi="Arial" w:cs="Arial"/>
          <w:i/>
        </w:rPr>
        <w:t>Keywords</w:t>
      </w:r>
      <w:r w:rsidR="00DE3C22" w:rsidRPr="00F15B51">
        <w:rPr>
          <w:rFonts w:ascii="Arial" w:hAnsi="Arial" w:cs="Arial"/>
          <w:i/>
        </w:rPr>
        <w:t xml:space="preserve">: biochemical markers, </w:t>
      </w:r>
      <w:proofErr w:type="spellStart"/>
      <w:r w:rsidR="00DE3C22" w:rsidRPr="00F15B51">
        <w:rPr>
          <w:rFonts w:ascii="Arial" w:hAnsi="Arial" w:cs="Arial"/>
          <w:i/>
        </w:rPr>
        <w:t>cholelithiasis</w:t>
      </w:r>
      <w:proofErr w:type="spellEnd"/>
      <w:r w:rsidR="00DE3C22" w:rsidRPr="00F15B51">
        <w:rPr>
          <w:rFonts w:ascii="Arial" w:hAnsi="Arial" w:cs="Arial"/>
          <w:i/>
        </w:rPr>
        <w:t xml:space="preserve">, </w:t>
      </w:r>
      <w:r w:rsidR="001433B5" w:rsidRPr="005D6834">
        <w:rPr>
          <w:rFonts w:ascii="Arial" w:hAnsi="Arial" w:cs="Arial"/>
          <w:i/>
          <w:highlight w:val="cyan"/>
        </w:rPr>
        <w:t>clinical picture or findings</w:t>
      </w:r>
      <w:r w:rsidR="0011456A" w:rsidRPr="00F15B51">
        <w:rPr>
          <w:rFonts w:ascii="Arial" w:hAnsi="Arial" w:cs="Arial"/>
          <w:i/>
        </w:rPr>
        <w:t>, radiological markers.</w:t>
      </w:r>
    </w:p>
    <w:p w14:paraId="05EBA336" w14:textId="77777777" w:rsidR="00DE3C22" w:rsidRPr="00F15B51" w:rsidRDefault="00DE3C22" w:rsidP="00900EE4">
      <w:pPr>
        <w:pStyle w:val="Body"/>
        <w:spacing w:after="0"/>
        <w:rPr>
          <w:rFonts w:ascii="Arial" w:hAnsi="Arial" w:cs="Arial"/>
          <w:i/>
        </w:rPr>
      </w:pPr>
    </w:p>
    <w:p w14:paraId="3BE0F37C" w14:textId="77777777" w:rsidR="00977EED" w:rsidRPr="00F15B51" w:rsidRDefault="00B87E92" w:rsidP="00977EED">
      <w:pPr>
        <w:pStyle w:val="Body"/>
        <w:spacing w:after="0"/>
        <w:rPr>
          <w:rFonts w:ascii="Arial" w:hAnsi="Arial" w:cs="Arial"/>
          <w:b/>
          <w:sz w:val="22"/>
          <w:szCs w:val="22"/>
        </w:rPr>
      </w:pPr>
      <w:r w:rsidRPr="00F15B51">
        <w:rPr>
          <w:rFonts w:ascii="Arial" w:hAnsi="Arial" w:cs="Arial"/>
          <w:b/>
          <w:sz w:val="22"/>
          <w:szCs w:val="22"/>
        </w:rPr>
        <w:t>1. INTRODUCTION</w:t>
      </w:r>
    </w:p>
    <w:p w14:paraId="3FE99D9C" w14:textId="77777777" w:rsidR="00977EED" w:rsidRPr="00F15B51" w:rsidRDefault="00977EED" w:rsidP="00977EED">
      <w:pPr>
        <w:pStyle w:val="Body"/>
        <w:spacing w:after="0"/>
        <w:rPr>
          <w:rFonts w:ascii="Arial" w:eastAsia="Arial" w:hAnsi="Arial" w:cs="Arial"/>
          <w:color w:val="000000"/>
        </w:rPr>
      </w:pPr>
    </w:p>
    <w:p w14:paraId="3F881BA7" w14:textId="12F7E9DD" w:rsidR="00DB1BF2" w:rsidRPr="005D6834" w:rsidRDefault="00D748CF" w:rsidP="00DE3C22">
      <w:pPr>
        <w:pStyle w:val="Body"/>
        <w:rPr>
          <w:rFonts w:ascii="Arial" w:eastAsia="Arial" w:hAnsi="Arial" w:cs="Arial"/>
          <w:color w:val="000000"/>
          <w:highlight w:val="cyan"/>
        </w:rPr>
      </w:pPr>
      <w:r w:rsidRPr="005D6834">
        <w:rPr>
          <w:rFonts w:ascii="Arial" w:eastAsia="Arial" w:hAnsi="Arial" w:cs="Arial"/>
          <w:color w:val="000000"/>
          <w:highlight w:val="cyan"/>
        </w:rPr>
        <w:t xml:space="preserve">Bile helps digest fats by emulsifying them into smaller droplets, making them accessible for enzymes, and aids in absorbing fat-soluble vitamins (A, D, E, </w:t>
      </w:r>
      <w:proofErr w:type="gramStart"/>
      <w:r w:rsidRPr="005D6834">
        <w:rPr>
          <w:rFonts w:ascii="Arial" w:eastAsia="Arial" w:hAnsi="Arial" w:cs="Arial"/>
          <w:color w:val="000000"/>
          <w:highlight w:val="cyan"/>
        </w:rPr>
        <w:t>K</w:t>
      </w:r>
      <w:proofErr w:type="gramEnd"/>
      <w:r w:rsidRPr="005D6834">
        <w:rPr>
          <w:rFonts w:ascii="Arial" w:eastAsia="Arial" w:hAnsi="Arial" w:cs="Arial"/>
          <w:color w:val="000000"/>
          <w:highlight w:val="cyan"/>
        </w:rPr>
        <w:t>) while eliminating waste like bilirubin and cholesterol. It neutralizes stomach acid, creating an alkaline environment for intestinal enzymes to work and killing some microbes, optimizing overall nutrient absorption</w:t>
      </w:r>
      <w:r w:rsidR="00D1377B" w:rsidRPr="005D6834">
        <w:rPr>
          <w:rFonts w:ascii="Arial" w:eastAsia="Arial" w:hAnsi="Arial" w:cs="Arial"/>
          <w:color w:val="000000"/>
          <w:highlight w:val="cyan"/>
        </w:rPr>
        <w:t xml:space="preserve"> (</w:t>
      </w:r>
      <w:proofErr w:type="spellStart"/>
      <w:r w:rsidR="00CE429D" w:rsidRPr="005D6834">
        <w:rPr>
          <w:rFonts w:ascii="Arial" w:eastAsia="Arial" w:hAnsi="Arial" w:cs="Arial"/>
          <w:color w:val="000000"/>
          <w:highlight w:val="cyan"/>
        </w:rPr>
        <w:t>Cai</w:t>
      </w:r>
      <w:proofErr w:type="spellEnd"/>
      <w:r w:rsidR="00CE429D" w:rsidRPr="005D6834">
        <w:rPr>
          <w:rFonts w:ascii="Arial" w:eastAsia="Arial" w:hAnsi="Arial" w:cs="Arial"/>
          <w:color w:val="000000"/>
          <w:highlight w:val="cyan"/>
        </w:rPr>
        <w:t xml:space="preserve"> et al., 2022</w:t>
      </w:r>
      <w:r w:rsidR="00D1377B" w:rsidRPr="005D6834">
        <w:rPr>
          <w:rFonts w:ascii="Arial" w:eastAsia="Arial" w:hAnsi="Arial" w:cs="Arial"/>
          <w:color w:val="000000"/>
          <w:highlight w:val="cyan"/>
        </w:rPr>
        <w:t>)</w:t>
      </w:r>
      <w:r w:rsidRPr="005D6834">
        <w:rPr>
          <w:rFonts w:ascii="Arial" w:eastAsia="Arial" w:hAnsi="Arial" w:cs="Arial"/>
          <w:color w:val="000000"/>
          <w:highlight w:val="cyan"/>
        </w:rPr>
        <w:t>.</w:t>
      </w:r>
      <w:r w:rsidR="00DE3C22" w:rsidRPr="005D6834">
        <w:rPr>
          <w:rFonts w:ascii="Arial" w:eastAsia="Arial" w:hAnsi="Arial" w:cs="Arial"/>
          <w:color w:val="000000"/>
          <w:highlight w:val="cyan"/>
        </w:rPr>
        <w:t xml:space="preserve"> </w:t>
      </w:r>
    </w:p>
    <w:p w14:paraId="0050410B" w14:textId="77A7E8B2" w:rsidR="00DE3C22" w:rsidRDefault="00DE3C22" w:rsidP="00DE3C22">
      <w:pPr>
        <w:pStyle w:val="Body"/>
        <w:rPr>
          <w:rFonts w:ascii="Arial" w:eastAsia="Arial" w:hAnsi="Arial" w:cs="Arial"/>
          <w:color w:val="000000"/>
        </w:rPr>
      </w:pPr>
      <w:r w:rsidRPr="005D6834">
        <w:rPr>
          <w:rFonts w:ascii="Arial" w:eastAsia="Arial" w:hAnsi="Arial" w:cs="Arial"/>
          <w:color w:val="000000"/>
          <w:highlight w:val="cyan"/>
        </w:rPr>
        <w:lastRenderedPageBreak/>
        <w:t xml:space="preserve">The gallbladder has the function of </w:t>
      </w:r>
      <w:r w:rsidR="00D748CF" w:rsidRPr="005D6834">
        <w:rPr>
          <w:rFonts w:ascii="Arial" w:eastAsia="Arial" w:hAnsi="Arial" w:cs="Arial"/>
          <w:color w:val="000000"/>
          <w:highlight w:val="cyan"/>
        </w:rPr>
        <w:t>stored and concentrated</w:t>
      </w:r>
      <w:r w:rsidR="00D1377B" w:rsidRPr="005D6834">
        <w:rPr>
          <w:rFonts w:ascii="Arial" w:eastAsia="Arial" w:hAnsi="Arial" w:cs="Arial"/>
          <w:color w:val="000000"/>
          <w:highlight w:val="cyan"/>
        </w:rPr>
        <w:t xml:space="preserve"> bile</w:t>
      </w:r>
      <w:r w:rsidRPr="005D6834">
        <w:rPr>
          <w:rFonts w:ascii="Arial" w:eastAsia="Arial" w:hAnsi="Arial" w:cs="Arial"/>
          <w:color w:val="000000"/>
          <w:highlight w:val="cyan"/>
        </w:rPr>
        <w:t>. However, due to its composition</w:t>
      </w:r>
      <w:r w:rsidR="00DB1BF2" w:rsidRPr="005D6834">
        <w:rPr>
          <w:rFonts w:ascii="Arial" w:eastAsia="Arial" w:hAnsi="Arial" w:cs="Arial"/>
          <w:color w:val="000000"/>
          <w:highlight w:val="cyan"/>
        </w:rPr>
        <w:t xml:space="preserve"> [cholesterol, bile salts, bilirubin, and other substances]</w:t>
      </w:r>
      <w:r w:rsidRPr="005D6834">
        <w:rPr>
          <w:rFonts w:ascii="Arial" w:eastAsia="Arial" w:hAnsi="Arial" w:cs="Arial"/>
          <w:color w:val="000000"/>
          <w:highlight w:val="cyan"/>
        </w:rPr>
        <w:t xml:space="preserve"> and factors such as insufficient gallbladder emptying, inadequate dietary habits, and obesity, the risk of gallstone formation increases. The most frequent are those with a cholesterol structure, which partially or completely obstruct the flow of bile (Adachi et al., 2022). Acute cholelithiasis is a common cause of right upper quadrant pain, which is generally diagnosed appropriately and treated promptly. However, the risk of complications associated with surgical intervention is constant (</w:t>
      </w:r>
      <w:proofErr w:type="spellStart"/>
      <w:r w:rsidRPr="005D6834">
        <w:rPr>
          <w:rFonts w:ascii="Arial" w:eastAsia="Arial" w:hAnsi="Arial" w:cs="Arial"/>
          <w:color w:val="000000"/>
          <w:highlight w:val="cyan"/>
        </w:rPr>
        <w:t>Maddu</w:t>
      </w:r>
      <w:proofErr w:type="spellEnd"/>
      <w:r w:rsidRPr="005D6834">
        <w:rPr>
          <w:rFonts w:ascii="Arial" w:eastAsia="Arial" w:hAnsi="Arial" w:cs="Arial"/>
          <w:color w:val="000000"/>
          <w:highlight w:val="cyan"/>
        </w:rPr>
        <w:t xml:space="preserve"> et al., 2021).</w:t>
      </w:r>
    </w:p>
    <w:p w14:paraId="21DBEE88" w14:textId="77777777" w:rsidR="00DE3C22" w:rsidRPr="00F15B51" w:rsidRDefault="00DE3C22" w:rsidP="00DE3C22">
      <w:pPr>
        <w:pStyle w:val="Body"/>
        <w:rPr>
          <w:rFonts w:ascii="Arial" w:eastAsia="Arial" w:hAnsi="Arial" w:cs="Arial"/>
          <w:color w:val="000000"/>
        </w:rPr>
      </w:pPr>
      <w:r w:rsidRPr="00F15B51">
        <w:rPr>
          <w:rFonts w:ascii="Arial" w:eastAsia="Arial" w:hAnsi="Arial" w:cs="Arial"/>
          <w:color w:val="000000"/>
        </w:rPr>
        <w:t xml:space="preserve">It is estimated that the risk of cholelithiasis in the general population is 10-15%, with a mortality rate of 1 %. Associated risk factors include Black race, female sex, age ≥ 40 years, obesity, and comorbidities related to metabolic syndrome. In this regard, individuals with a high </w:t>
      </w:r>
      <w:r w:rsidR="00DA26FC" w:rsidRPr="00F15B51">
        <w:rPr>
          <w:rFonts w:ascii="Arial" w:eastAsia="Arial" w:hAnsi="Arial" w:cs="Arial"/>
          <w:color w:val="000000"/>
        </w:rPr>
        <w:t>Body Mass Index (</w:t>
      </w:r>
      <w:r w:rsidRPr="00F15B51">
        <w:rPr>
          <w:rFonts w:ascii="Arial" w:eastAsia="Arial" w:hAnsi="Arial" w:cs="Arial"/>
          <w:color w:val="000000"/>
        </w:rPr>
        <w:t>BMI</w:t>
      </w:r>
      <w:r w:rsidR="00DA26FC" w:rsidRPr="00F15B51">
        <w:rPr>
          <w:rFonts w:ascii="Arial" w:eastAsia="Arial" w:hAnsi="Arial" w:cs="Arial"/>
          <w:color w:val="000000"/>
        </w:rPr>
        <w:t>)</w:t>
      </w:r>
      <w:r w:rsidR="00AE0CAE" w:rsidRPr="00F15B51">
        <w:rPr>
          <w:rFonts w:ascii="Arial" w:eastAsia="Arial" w:hAnsi="Arial" w:cs="Arial"/>
          <w:color w:val="000000"/>
        </w:rPr>
        <w:t xml:space="preserve"> </w:t>
      </w:r>
      <w:r w:rsidRPr="00F15B51">
        <w:rPr>
          <w:rFonts w:ascii="Arial" w:eastAsia="Arial" w:hAnsi="Arial" w:cs="Arial"/>
          <w:color w:val="000000"/>
        </w:rPr>
        <w:t>exhibit greater cholesterol production, which is more pronounced in women, who have a three times greater, risk (Ahmed et al., 2022).</w:t>
      </w:r>
    </w:p>
    <w:p w14:paraId="0D5A9F58" w14:textId="77777777" w:rsidR="00DE3C22" w:rsidRDefault="00DE3C22" w:rsidP="00DE3C22">
      <w:pPr>
        <w:pStyle w:val="Body"/>
        <w:rPr>
          <w:rFonts w:ascii="Arial" w:eastAsia="Arial" w:hAnsi="Arial" w:cs="Arial"/>
          <w:color w:val="000000"/>
        </w:rPr>
      </w:pPr>
      <w:r w:rsidRPr="00F15B51">
        <w:rPr>
          <w:rFonts w:ascii="Arial" w:eastAsia="Arial" w:hAnsi="Arial" w:cs="Arial"/>
          <w:color w:val="000000"/>
        </w:rPr>
        <w:t>In Mexico, three out of four people ≥ 20 years of age are overweight or obese (SS-INSP, 2020). Similarly, a higher frequency of laparoscopic cholecystectomy has been reported in women (79 %) and in individuals with a mean age of 44.1 ± 13.2 years (Rangel et al., 2022; Díaz et al., 2020). Cholecystectomy is the surgical treatment for gallstones. It can be performed via an open or laparoscopic approach, with the latter being the most common worldwide. The conversion rate from laparoscopic cholecystectomy to an open procedure is 2-15 %; associated factors include age, emergency surgery, acute cholecystitis, peritoneal adhesions, chronic cholecystitis, and infiltration. The application of predictive tools is useful for risk stratification (</w:t>
      </w:r>
      <w:proofErr w:type="spellStart"/>
      <w:r w:rsidRPr="00F15B51">
        <w:rPr>
          <w:rFonts w:ascii="Arial" w:eastAsia="Arial" w:hAnsi="Arial" w:cs="Arial"/>
          <w:color w:val="000000"/>
        </w:rPr>
        <w:t>Warchałowski</w:t>
      </w:r>
      <w:proofErr w:type="spellEnd"/>
      <w:r w:rsidRPr="00F15B51">
        <w:rPr>
          <w:rFonts w:ascii="Arial" w:eastAsia="Arial" w:hAnsi="Arial" w:cs="Arial"/>
          <w:color w:val="000000"/>
        </w:rPr>
        <w:t xml:space="preserve"> et al., 2020).</w:t>
      </w:r>
    </w:p>
    <w:p w14:paraId="5435BCC2" w14:textId="77777777" w:rsidR="005D6834" w:rsidRPr="005D6834" w:rsidRDefault="005D6834" w:rsidP="005D6834">
      <w:pPr>
        <w:pStyle w:val="Body"/>
        <w:rPr>
          <w:rFonts w:ascii="Arial" w:eastAsia="Arial" w:hAnsi="Arial" w:cs="Arial"/>
          <w:color w:val="000000"/>
        </w:rPr>
      </w:pPr>
      <w:r w:rsidRPr="005D6834">
        <w:rPr>
          <w:rFonts w:ascii="Arial" w:eastAsia="Arial" w:hAnsi="Arial" w:cs="Arial"/>
          <w:color w:val="000000"/>
        </w:rPr>
        <w:t>Gallstone formation (</w:t>
      </w:r>
      <w:proofErr w:type="spellStart"/>
      <w:r w:rsidRPr="005D6834">
        <w:rPr>
          <w:rFonts w:ascii="Arial" w:eastAsia="Arial" w:hAnsi="Arial" w:cs="Arial"/>
          <w:color w:val="000000"/>
        </w:rPr>
        <w:t>cholelithiasis</w:t>
      </w:r>
      <w:proofErr w:type="spellEnd"/>
      <w:r w:rsidRPr="005D6834">
        <w:rPr>
          <w:rFonts w:ascii="Arial" w:eastAsia="Arial" w:hAnsi="Arial" w:cs="Arial"/>
          <w:color w:val="000000"/>
        </w:rPr>
        <w:t xml:space="preserve">) is a major public health issue in Mexico, with a notably high prevalence that has been rising for several decades. The causes are multifactorial, involving a strong genetic predisposition combined with environmental factors such as diet and lifestyle, with obesity identified as the primary driver in the Mexican population. </w:t>
      </w:r>
    </w:p>
    <w:p w14:paraId="2C97352C" w14:textId="77777777" w:rsidR="005D6834" w:rsidRPr="005A3BFD" w:rsidRDefault="005D6834" w:rsidP="005D6834">
      <w:pPr>
        <w:pStyle w:val="Body"/>
        <w:rPr>
          <w:rFonts w:ascii="Arial" w:eastAsia="Arial" w:hAnsi="Arial" w:cs="Arial"/>
          <w:color w:val="000000"/>
          <w:highlight w:val="cyan"/>
        </w:rPr>
      </w:pPr>
      <w:r w:rsidRPr="005A3BFD">
        <w:rPr>
          <w:rFonts w:ascii="Arial" w:eastAsia="Arial" w:hAnsi="Arial" w:cs="Arial"/>
          <w:color w:val="000000"/>
          <w:highlight w:val="cyan"/>
        </w:rPr>
        <w:t>Key causes and risk factors for gallstone formation in Mexico include:</w:t>
      </w:r>
    </w:p>
    <w:p w14:paraId="3FDF9288" w14:textId="4576A4B7" w:rsidR="005D6834" w:rsidRPr="005A3BFD" w:rsidRDefault="005D6834" w:rsidP="00B07237">
      <w:pPr>
        <w:pStyle w:val="Body"/>
        <w:rPr>
          <w:rFonts w:ascii="Arial" w:eastAsia="Arial" w:hAnsi="Arial" w:cs="Arial"/>
          <w:color w:val="000000"/>
          <w:highlight w:val="cyan"/>
        </w:rPr>
      </w:pPr>
      <w:r w:rsidRPr="005A3BFD">
        <w:rPr>
          <w:rFonts w:ascii="Arial" w:eastAsia="Arial" w:hAnsi="Arial" w:cs="Arial"/>
          <w:color w:val="000000"/>
          <w:highlight w:val="cyan"/>
        </w:rPr>
        <w:t>1. Genetic and Ethnic Factors</w:t>
      </w:r>
    </w:p>
    <w:p w14:paraId="7F05320F" w14:textId="6BC3B072" w:rsidR="005D6834" w:rsidRPr="005A3BFD" w:rsidRDefault="005D6834" w:rsidP="005D6834">
      <w:pPr>
        <w:pStyle w:val="Body"/>
        <w:ind w:left="720"/>
        <w:rPr>
          <w:rFonts w:ascii="Arial" w:eastAsia="Arial" w:hAnsi="Arial" w:cs="Arial"/>
          <w:color w:val="000000"/>
          <w:highlight w:val="cyan"/>
        </w:rPr>
      </w:pPr>
      <w:r w:rsidRPr="005A3BFD">
        <w:rPr>
          <w:rFonts w:ascii="Arial" w:eastAsia="Arial" w:hAnsi="Arial" w:cs="Arial"/>
          <w:color w:val="000000"/>
          <w:highlight w:val="cyan"/>
        </w:rPr>
        <w:t xml:space="preserve">• </w:t>
      </w:r>
      <w:r w:rsidRPr="005A3BFD">
        <w:rPr>
          <w:rFonts w:ascii="Arial" w:eastAsia="Arial" w:hAnsi="Arial" w:cs="Arial"/>
          <w:color w:val="000000"/>
          <w:highlight w:val="cyan"/>
        </w:rPr>
        <w:t>Admixture with Native American Ancestry: A primary factor is genetic, specifically high Amerindian admixture, as Native American populations have the highest prevalence of gallstones in the world</w:t>
      </w:r>
      <w:r w:rsidR="004F0E60">
        <w:rPr>
          <w:rFonts w:ascii="Arial" w:eastAsia="Arial" w:hAnsi="Arial" w:cs="Arial"/>
          <w:color w:val="000000"/>
          <w:highlight w:val="cyan"/>
        </w:rPr>
        <w:t xml:space="preserve"> (Méndez et al., 2004)</w:t>
      </w:r>
      <w:r w:rsidRPr="005A3BFD">
        <w:rPr>
          <w:rFonts w:ascii="Arial" w:eastAsia="Arial" w:hAnsi="Arial" w:cs="Arial"/>
          <w:color w:val="000000"/>
          <w:highlight w:val="cyan"/>
        </w:rPr>
        <w:t>.</w:t>
      </w:r>
    </w:p>
    <w:p w14:paraId="055E74AB" w14:textId="77F055BB" w:rsidR="005D6834" w:rsidRPr="005A3BFD" w:rsidRDefault="00B07237" w:rsidP="00B07237">
      <w:pPr>
        <w:pStyle w:val="Body"/>
        <w:ind w:left="720"/>
        <w:rPr>
          <w:rFonts w:ascii="Arial" w:eastAsia="Arial" w:hAnsi="Arial" w:cs="Arial"/>
          <w:color w:val="000000"/>
          <w:highlight w:val="cyan"/>
        </w:rPr>
      </w:pPr>
      <w:r w:rsidRPr="005A3BFD">
        <w:rPr>
          <w:rFonts w:ascii="Arial" w:eastAsia="Arial" w:hAnsi="Arial" w:cs="Arial"/>
          <w:color w:val="000000"/>
          <w:highlight w:val="cyan"/>
        </w:rPr>
        <w:t xml:space="preserve">• </w:t>
      </w:r>
      <w:r w:rsidR="005D6834" w:rsidRPr="005A3BFD">
        <w:rPr>
          <w:rFonts w:ascii="Arial" w:eastAsia="Arial" w:hAnsi="Arial" w:cs="Arial"/>
          <w:color w:val="000000"/>
          <w:highlight w:val="cyan"/>
        </w:rPr>
        <w:t xml:space="preserve">Genetic Polymorphisms: Studies have identified specific genetic markers in the Mexican population, such as the </w:t>
      </w:r>
      <w:proofErr w:type="spellStart"/>
      <w:r w:rsidR="005D6834" w:rsidRPr="005A3BFD">
        <w:rPr>
          <w:rFonts w:ascii="Arial" w:eastAsia="Arial" w:hAnsi="Arial" w:cs="Arial"/>
          <w:color w:val="000000"/>
          <w:highlight w:val="cyan"/>
        </w:rPr>
        <w:t>ABCG8</w:t>
      </w:r>
      <w:proofErr w:type="spellEnd"/>
      <w:r w:rsidR="005D6834" w:rsidRPr="005A3BFD">
        <w:rPr>
          <w:rFonts w:ascii="Arial" w:eastAsia="Arial" w:hAnsi="Arial" w:cs="Arial"/>
          <w:color w:val="000000"/>
          <w:highlight w:val="cyan"/>
        </w:rPr>
        <w:t xml:space="preserve"> transporter variant, which increases the secretion of cholesterol into bile, and variants of the </w:t>
      </w:r>
      <w:proofErr w:type="spellStart"/>
      <w:r w:rsidR="005D6834" w:rsidRPr="005A3BFD">
        <w:rPr>
          <w:rFonts w:ascii="Arial" w:eastAsia="Arial" w:hAnsi="Arial" w:cs="Arial"/>
          <w:color w:val="000000"/>
          <w:highlight w:val="cyan"/>
        </w:rPr>
        <w:t>NR1H4</w:t>
      </w:r>
      <w:proofErr w:type="spellEnd"/>
      <w:r w:rsidR="005D6834" w:rsidRPr="005A3BFD">
        <w:rPr>
          <w:rFonts w:ascii="Arial" w:eastAsia="Arial" w:hAnsi="Arial" w:cs="Arial"/>
          <w:color w:val="000000"/>
          <w:highlight w:val="cyan"/>
        </w:rPr>
        <w:t xml:space="preserve"> (</w:t>
      </w:r>
      <w:proofErr w:type="spellStart"/>
      <w:r w:rsidR="005D6834" w:rsidRPr="005A3BFD">
        <w:rPr>
          <w:rFonts w:ascii="Arial" w:eastAsia="Arial" w:hAnsi="Arial" w:cs="Arial"/>
          <w:color w:val="000000"/>
          <w:highlight w:val="cyan"/>
        </w:rPr>
        <w:t>FXR</w:t>
      </w:r>
      <w:proofErr w:type="spellEnd"/>
      <w:r w:rsidR="005D6834" w:rsidRPr="005A3BFD">
        <w:rPr>
          <w:rFonts w:ascii="Arial" w:eastAsia="Arial" w:hAnsi="Arial" w:cs="Arial"/>
          <w:color w:val="000000"/>
          <w:highlight w:val="cyan"/>
        </w:rPr>
        <w:t>) gene, which affects bile salt synthesis</w:t>
      </w:r>
      <w:r w:rsidR="004F0E60">
        <w:rPr>
          <w:rFonts w:ascii="Arial" w:eastAsia="Arial" w:hAnsi="Arial" w:cs="Arial"/>
          <w:color w:val="000000"/>
          <w:highlight w:val="cyan"/>
        </w:rPr>
        <w:t xml:space="preserve"> (</w:t>
      </w:r>
      <w:proofErr w:type="spellStart"/>
      <w:r w:rsidR="004F0E60">
        <w:rPr>
          <w:rFonts w:ascii="Arial" w:eastAsia="Arial" w:hAnsi="Arial" w:cs="Arial"/>
          <w:color w:val="000000"/>
          <w:highlight w:val="cyan"/>
        </w:rPr>
        <w:t>Handelman</w:t>
      </w:r>
      <w:proofErr w:type="spellEnd"/>
      <w:r w:rsidR="004F0E60">
        <w:rPr>
          <w:rFonts w:ascii="Arial" w:eastAsia="Arial" w:hAnsi="Arial" w:cs="Arial"/>
          <w:color w:val="000000"/>
          <w:highlight w:val="cyan"/>
        </w:rPr>
        <w:t xml:space="preserve"> et</w:t>
      </w:r>
      <w:r w:rsidR="00401325">
        <w:rPr>
          <w:rFonts w:ascii="Arial" w:eastAsia="Arial" w:hAnsi="Arial" w:cs="Arial"/>
          <w:color w:val="000000"/>
          <w:highlight w:val="cyan"/>
        </w:rPr>
        <w:t xml:space="preserve"> al., 2022</w:t>
      </w:r>
      <w:r w:rsidR="004F0E60">
        <w:rPr>
          <w:rFonts w:ascii="Arial" w:eastAsia="Arial" w:hAnsi="Arial" w:cs="Arial"/>
          <w:color w:val="000000"/>
          <w:highlight w:val="cyan"/>
        </w:rPr>
        <w:t>)</w:t>
      </w:r>
      <w:r w:rsidR="005D6834" w:rsidRPr="005A3BFD">
        <w:rPr>
          <w:rFonts w:ascii="Arial" w:eastAsia="Arial" w:hAnsi="Arial" w:cs="Arial"/>
          <w:color w:val="000000"/>
          <w:highlight w:val="cyan"/>
        </w:rPr>
        <w:t xml:space="preserve">. </w:t>
      </w:r>
    </w:p>
    <w:p w14:paraId="13AE8A7B" w14:textId="77777777" w:rsidR="005D6834" w:rsidRPr="005A3BFD" w:rsidRDefault="005D6834" w:rsidP="00B07237">
      <w:pPr>
        <w:pStyle w:val="Body"/>
        <w:rPr>
          <w:rFonts w:ascii="Arial" w:eastAsia="Arial" w:hAnsi="Arial" w:cs="Arial"/>
          <w:color w:val="000000"/>
          <w:highlight w:val="cyan"/>
        </w:rPr>
      </w:pPr>
      <w:r w:rsidRPr="005A3BFD">
        <w:rPr>
          <w:rFonts w:ascii="Arial" w:eastAsia="Arial" w:hAnsi="Arial" w:cs="Arial"/>
          <w:color w:val="000000"/>
          <w:highlight w:val="cyan"/>
        </w:rPr>
        <w:t>2. Obesity and Metabolic Syndrome</w:t>
      </w:r>
    </w:p>
    <w:p w14:paraId="2A0359AA" w14:textId="10B53A7C" w:rsidR="005D6834" w:rsidRPr="005A3BFD" w:rsidRDefault="00B07237" w:rsidP="00B07237">
      <w:pPr>
        <w:pStyle w:val="Body"/>
        <w:ind w:left="720"/>
        <w:rPr>
          <w:rFonts w:ascii="Arial" w:eastAsia="Arial" w:hAnsi="Arial" w:cs="Arial"/>
          <w:color w:val="000000"/>
          <w:highlight w:val="cyan"/>
        </w:rPr>
      </w:pPr>
      <w:r w:rsidRPr="005A3BFD">
        <w:rPr>
          <w:rFonts w:ascii="Arial" w:eastAsia="Arial" w:hAnsi="Arial" w:cs="Arial"/>
          <w:color w:val="000000"/>
          <w:highlight w:val="cyan"/>
        </w:rPr>
        <w:t xml:space="preserve">• </w:t>
      </w:r>
      <w:r w:rsidR="005D6834" w:rsidRPr="005A3BFD">
        <w:rPr>
          <w:rFonts w:ascii="Arial" w:eastAsia="Arial" w:hAnsi="Arial" w:cs="Arial"/>
          <w:color w:val="000000"/>
          <w:highlight w:val="cyan"/>
        </w:rPr>
        <w:t>High BMI and Obesity: Obesity is the most significant modifiable risk factor, particularly among women, where a Body Mass Index (BMI) higher than 30 significantly increases risk.</w:t>
      </w:r>
    </w:p>
    <w:p w14:paraId="5D93A573" w14:textId="4A2AB7F6" w:rsidR="005D6834" w:rsidRPr="005A3BFD" w:rsidRDefault="00B07237" w:rsidP="00B07237">
      <w:pPr>
        <w:pStyle w:val="Body"/>
        <w:ind w:left="720"/>
        <w:rPr>
          <w:rFonts w:ascii="Arial" w:eastAsia="Arial" w:hAnsi="Arial" w:cs="Arial"/>
          <w:color w:val="000000"/>
          <w:highlight w:val="cyan"/>
        </w:rPr>
      </w:pPr>
      <w:r w:rsidRPr="005A3BFD">
        <w:rPr>
          <w:rFonts w:ascii="Arial" w:eastAsia="Arial" w:hAnsi="Arial" w:cs="Arial"/>
          <w:color w:val="000000"/>
          <w:highlight w:val="cyan"/>
        </w:rPr>
        <w:t xml:space="preserve">• </w:t>
      </w:r>
      <w:r w:rsidR="005D6834" w:rsidRPr="005A3BFD">
        <w:rPr>
          <w:rFonts w:ascii="Arial" w:eastAsia="Arial" w:hAnsi="Arial" w:cs="Arial"/>
          <w:color w:val="000000"/>
          <w:highlight w:val="cyan"/>
        </w:rPr>
        <w:t xml:space="preserve">Abdominal Fat: Central or visceral obesity is strongly associated with increased hepatic cholesterol secretion, contributing to cholesterol </w:t>
      </w:r>
      <w:proofErr w:type="spellStart"/>
      <w:r w:rsidR="005D6834" w:rsidRPr="005A3BFD">
        <w:rPr>
          <w:rFonts w:ascii="Arial" w:eastAsia="Arial" w:hAnsi="Arial" w:cs="Arial"/>
          <w:color w:val="000000"/>
          <w:highlight w:val="cyan"/>
        </w:rPr>
        <w:t>supersaturation</w:t>
      </w:r>
      <w:proofErr w:type="spellEnd"/>
      <w:r w:rsidR="005D6834" w:rsidRPr="005A3BFD">
        <w:rPr>
          <w:rFonts w:ascii="Arial" w:eastAsia="Arial" w:hAnsi="Arial" w:cs="Arial"/>
          <w:color w:val="000000"/>
          <w:highlight w:val="cyan"/>
        </w:rPr>
        <w:t xml:space="preserve"> in the bile.</w:t>
      </w:r>
    </w:p>
    <w:p w14:paraId="043F0CB1" w14:textId="7439C817" w:rsidR="005D6834" w:rsidRPr="005A3BFD" w:rsidRDefault="00B07237" w:rsidP="00B07237">
      <w:pPr>
        <w:pStyle w:val="Body"/>
        <w:ind w:left="720"/>
        <w:rPr>
          <w:rFonts w:ascii="Arial" w:eastAsia="Arial" w:hAnsi="Arial" w:cs="Arial"/>
          <w:color w:val="000000"/>
          <w:highlight w:val="cyan"/>
        </w:rPr>
      </w:pPr>
      <w:r w:rsidRPr="005A3BFD">
        <w:rPr>
          <w:rFonts w:ascii="Arial" w:eastAsia="Arial" w:hAnsi="Arial" w:cs="Arial"/>
          <w:color w:val="000000"/>
          <w:highlight w:val="cyan"/>
        </w:rPr>
        <w:lastRenderedPageBreak/>
        <w:t xml:space="preserve">• </w:t>
      </w:r>
      <w:r w:rsidR="005D6834" w:rsidRPr="005A3BFD">
        <w:rPr>
          <w:rFonts w:ascii="Arial" w:eastAsia="Arial" w:hAnsi="Arial" w:cs="Arial"/>
          <w:color w:val="000000"/>
          <w:highlight w:val="cyan"/>
        </w:rPr>
        <w:t xml:space="preserve">Insulin Resistance: Type 2 diabetes and metabolic syndrome are highly prevalent in Mexico, and insulin resistance promotes the formation of cholesterol gallstones. </w:t>
      </w:r>
    </w:p>
    <w:p w14:paraId="01D68299" w14:textId="77777777" w:rsidR="005D6834" w:rsidRPr="005A3BFD" w:rsidRDefault="005D6834" w:rsidP="00B07237">
      <w:pPr>
        <w:pStyle w:val="Body"/>
        <w:rPr>
          <w:rFonts w:ascii="Arial" w:eastAsia="Arial" w:hAnsi="Arial" w:cs="Arial"/>
          <w:color w:val="000000"/>
          <w:highlight w:val="cyan"/>
        </w:rPr>
      </w:pPr>
      <w:r w:rsidRPr="005A3BFD">
        <w:rPr>
          <w:rFonts w:ascii="Arial" w:eastAsia="Arial" w:hAnsi="Arial" w:cs="Arial"/>
          <w:color w:val="000000"/>
          <w:highlight w:val="cyan"/>
        </w:rPr>
        <w:t>3. Dietary Habits ("Westernized" Diet)</w:t>
      </w:r>
    </w:p>
    <w:p w14:paraId="1D5CE613" w14:textId="78FCF602" w:rsidR="005D6834" w:rsidRPr="005A3BFD" w:rsidRDefault="00B07237" w:rsidP="00B07237">
      <w:pPr>
        <w:pStyle w:val="Body"/>
        <w:ind w:left="720"/>
        <w:rPr>
          <w:rFonts w:ascii="Arial" w:eastAsia="Arial" w:hAnsi="Arial" w:cs="Arial"/>
          <w:color w:val="000000"/>
          <w:highlight w:val="cyan"/>
        </w:rPr>
      </w:pPr>
      <w:r w:rsidRPr="005A3BFD">
        <w:rPr>
          <w:rFonts w:ascii="Arial" w:eastAsia="Arial" w:hAnsi="Arial" w:cs="Arial"/>
          <w:color w:val="000000"/>
          <w:highlight w:val="cyan"/>
        </w:rPr>
        <w:t xml:space="preserve">• </w:t>
      </w:r>
      <w:r w:rsidR="005D6834" w:rsidRPr="005A3BFD">
        <w:rPr>
          <w:rFonts w:ascii="Arial" w:eastAsia="Arial" w:hAnsi="Arial" w:cs="Arial"/>
          <w:color w:val="000000"/>
          <w:highlight w:val="cyan"/>
        </w:rPr>
        <w:t>High-Caloric and High-Fat Diets: The adoption of a "Westernized" diet, high in refined carbohydrates, saturated fats, and low in fiber, is a major contributor to cholesterol stone formation.</w:t>
      </w:r>
    </w:p>
    <w:p w14:paraId="0FF32D1E" w14:textId="029645C1" w:rsidR="005D6834" w:rsidRPr="005A3BFD" w:rsidRDefault="00B07237" w:rsidP="00B07237">
      <w:pPr>
        <w:pStyle w:val="Body"/>
        <w:ind w:left="720"/>
        <w:rPr>
          <w:rFonts w:ascii="Arial" w:eastAsia="Arial" w:hAnsi="Arial" w:cs="Arial"/>
          <w:color w:val="000000"/>
          <w:highlight w:val="cyan"/>
        </w:rPr>
      </w:pPr>
      <w:r w:rsidRPr="005A3BFD">
        <w:rPr>
          <w:rFonts w:ascii="Arial" w:eastAsia="Arial" w:hAnsi="Arial" w:cs="Arial"/>
          <w:color w:val="000000"/>
          <w:highlight w:val="cyan"/>
        </w:rPr>
        <w:t xml:space="preserve">• </w:t>
      </w:r>
      <w:r w:rsidR="005D6834" w:rsidRPr="005A3BFD">
        <w:rPr>
          <w:rFonts w:ascii="Arial" w:eastAsia="Arial" w:hAnsi="Arial" w:cs="Arial"/>
          <w:color w:val="000000"/>
          <w:highlight w:val="cyan"/>
        </w:rPr>
        <w:t xml:space="preserve">Low Fiber Intake: A diet low in fiber reduces intestinal transit time, promoting the generation of secondary bile acids that make bile more saturated with cholesterol. </w:t>
      </w:r>
    </w:p>
    <w:p w14:paraId="7F168394" w14:textId="77777777" w:rsidR="005D6834" w:rsidRPr="005A3BFD" w:rsidRDefault="005D6834" w:rsidP="00B07237">
      <w:pPr>
        <w:pStyle w:val="Body"/>
        <w:rPr>
          <w:rFonts w:ascii="Arial" w:eastAsia="Arial" w:hAnsi="Arial" w:cs="Arial"/>
          <w:color w:val="000000"/>
          <w:highlight w:val="cyan"/>
        </w:rPr>
      </w:pPr>
      <w:r w:rsidRPr="005A3BFD">
        <w:rPr>
          <w:rFonts w:ascii="Arial" w:eastAsia="Arial" w:hAnsi="Arial" w:cs="Arial"/>
          <w:color w:val="000000"/>
          <w:highlight w:val="cyan"/>
        </w:rPr>
        <w:t>4. Gender and Hormonal Factors</w:t>
      </w:r>
    </w:p>
    <w:p w14:paraId="1DC2C100" w14:textId="0D257642" w:rsidR="005D6834" w:rsidRPr="005A3BFD" w:rsidRDefault="00B07237" w:rsidP="00B07237">
      <w:pPr>
        <w:pStyle w:val="Body"/>
        <w:ind w:left="720"/>
        <w:rPr>
          <w:rFonts w:ascii="Arial" w:eastAsia="Arial" w:hAnsi="Arial" w:cs="Arial"/>
          <w:color w:val="000000"/>
          <w:highlight w:val="cyan"/>
        </w:rPr>
      </w:pPr>
      <w:r w:rsidRPr="005A3BFD">
        <w:rPr>
          <w:rFonts w:ascii="Arial" w:eastAsia="Arial" w:hAnsi="Arial" w:cs="Arial"/>
          <w:color w:val="000000"/>
          <w:highlight w:val="cyan"/>
        </w:rPr>
        <w:t xml:space="preserve">• </w:t>
      </w:r>
      <w:r w:rsidR="005D6834" w:rsidRPr="005A3BFD">
        <w:rPr>
          <w:rFonts w:ascii="Arial" w:eastAsia="Arial" w:hAnsi="Arial" w:cs="Arial"/>
          <w:color w:val="000000"/>
          <w:highlight w:val="cyan"/>
        </w:rPr>
        <w:t>Female Gender: Women are significantly more affected than men in Mexico, with prevalence in some studies reaching 20.4% in women compared to 8.4% in men.</w:t>
      </w:r>
    </w:p>
    <w:p w14:paraId="5372D6C5" w14:textId="7EA9EB5C" w:rsidR="005D6834" w:rsidRPr="005A3BFD" w:rsidRDefault="00B07237" w:rsidP="00B07237">
      <w:pPr>
        <w:pStyle w:val="Body"/>
        <w:ind w:left="720"/>
        <w:rPr>
          <w:rFonts w:ascii="Arial" w:eastAsia="Arial" w:hAnsi="Arial" w:cs="Arial"/>
          <w:color w:val="000000"/>
          <w:highlight w:val="cyan"/>
        </w:rPr>
      </w:pPr>
      <w:r w:rsidRPr="005A3BFD">
        <w:rPr>
          <w:rFonts w:ascii="Arial" w:eastAsia="Arial" w:hAnsi="Arial" w:cs="Arial"/>
          <w:color w:val="000000"/>
          <w:highlight w:val="cyan"/>
        </w:rPr>
        <w:t xml:space="preserve">• </w:t>
      </w:r>
      <w:r w:rsidR="005D6834" w:rsidRPr="005A3BFD">
        <w:rPr>
          <w:rFonts w:ascii="Arial" w:eastAsia="Arial" w:hAnsi="Arial" w:cs="Arial"/>
          <w:color w:val="000000"/>
          <w:highlight w:val="cyan"/>
        </w:rPr>
        <w:t xml:space="preserve">Parity and Pregnancy: Multiple pregnancies (high parity) are a key risk factor, as hormonal changes (increased estrogen and progesterone) during pregnancy increase cholesterol levels in bile and reduce gallbladder motility, leading to "stasis" (sedimentation). </w:t>
      </w:r>
    </w:p>
    <w:p w14:paraId="77A61F20" w14:textId="77777777" w:rsidR="005D6834" w:rsidRPr="005A3BFD" w:rsidRDefault="005D6834" w:rsidP="00B07237">
      <w:pPr>
        <w:pStyle w:val="Body"/>
        <w:rPr>
          <w:rFonts w:ascii="Arial" w:eastAsia="Arial" w:hAnsi="Arial" w:cs="Arial"/>
          <w:color w:val="000000"/>
          <w:highlight w:val="cyan"/>
        </w:rPr>
      </w:pPr>
      <w:r w:rsidRPr="005A3BFD">
        <w:rPr>
          <w:rFonts w:ascii="Arial" w:eastAsia="Arial" w:hAnsi="Arial" w:cs="Arial"/>
          <w:color w:val="000000"/>
          <w:highlight w:val="cyan"/>
        </w:rPr>
        <w:t>5. Other Factors</w:t>
      </w:r>
    </w:p>
    <w:p w14:paraId="3B050D7B" w14:textId="67255818" w:rsidR="005D6834" w:rsidRPr="005A3BFD" w:rsidRDefault="00B07237" w:rsidP="00B07237">
      <w:pPr>
        <w:pStyle w:val="Body"/>
        <w:ind w:left="720"/>
        <w:rPr>
          <w:rFonts w:ascii="Arial" w:eastAsia="Arial" w:hAnsi="Arial" w:cs="Arial"/>
          <w:color w:val="000000"/>
          <w:highlight w:val="cyan"/>
        </w:rPr>
      </w:pPr>
      <w:r w:rsidRPr="005A3BFD">
        <w:rPr>
          <w:rFonts w:ascii="Arial" w:eastAsia="Arial" w:hAnsi="Arial" w:cs="Arial"/>
          <w:color w:val="000000"/>
          <w:highlight w:val="cyan"/>
        </w:rPr>
        <w:t xml:space="preserve">• </w:t>
      </w:r>
      <w:r w:rsidR="005D6834" w:rsidRPr="005A3BFD">
        <w:rPr>
          <w:rFonts w:ascii="Arial" w:eastAsia="Arial" w:hAnsi="Arial" w:cs="Arial"/>
          <w:color w:val="000000"/>
          <w:highlight w:val="cyan"/>
        </w:rPr>
        <w:t>Rapid Weight Loss: Losing weight too quickly, such as through crash diets or bariatric surgery, is a strong, rapid initiator of gallstone formation.</w:t>
      </w:r>
    </w:p>
    <w:p w14:paraId="4BE2EF17" w14:textId="5BD7DA6F" w:rsidR="005D6834" w:rsidRPr="005A3BFD" w:rsidRDefault="00B07237" w:rsidP="00B07237">
      <w:pPr>
        <w:pStyle w:val="Body"/>
        <w:ind w:left="720"/>
        <w:rPr>
          <w:rFonts w:ascii="Arial" w:eastAsia="Arial" w:hAnsi="Arial" w:cs="Arial"/>
          <w:color w:val="000000"/>
          <w:highlight w:val="cyan"/>
        </w:rPr>
      </w:pPr>
      <w:r w:rsidRPr="005A3BFD">
        <w:rPr>
          <w:rFonts w:ascii="Arial" w:eastAsia="Arial" w:hAnsi="Arial" w:cs="Arial"/>
          <w:color w:val="000000"/>
          <w:highlight w:val="cyan"/>
        </w:rPr>
        <w:t xml:space="preserve">• </w:t>
      </w:r>
      <w:r w:rsidR="005D6834" w:rsidRPr="005A3BFD">
        <w:rPr>
          <w:rFonts w:ascii="Arial" w:eastAsia="Arial" w:hAnsi="Arial" w:cs="Arial"/>
          <w:color w:val="000000"/>
          <w:highlight w:val="cyan"/>
        </w:rPr>
        <w:t xml:space="preserve">Gallbladder </w:t>
      </w:r>
      <w:proofErr w:type="spellStart"/>
      <w:r w:rsidR="005D6834" w:rsidRPr="005A3BFD">
        <w:rPr>
          <w:rFonts w:ascii="Arial" w:eastAsia="Arial" w:hAnsi="Arial" w:cs="Arial"/>
          <w:color w:val="000000"/>
          <w:highlight w:val="cyan"/>
        </w:rPr>
        <w:t>Hypomotility</w:t>
      </w:r>
      <w:proofErr w:type="spellEnd"/>
      <w:r w:rsidR="005D6834" w:rsidRPr="005A3BFD">
        <w:rPr>
          <w:rFonts w:ascii="Arial" w:eastAsia="Arial" w:hAnsi="Arial" w:cs="Arial"/>
          <w:color w:val="000000"/>
          <w:highlight w:val="cyan"/>
        </w:rPr>
        <w:t>: Inactivity of the gallbladder, where it does not empty effectively, leads to bile concentration and crystallization.</w:t>
      </w:r>
    </w:p>
    <w:p w14:paraId="5BFB232A" w14:textId="6BA38236" w:rsidR="005D6834" w:rsidRPr="005A3BFD" w:rsidRDefault="00B07237" w:rsidP="00B07237">
      <w:pPr>
        <w:pStyle w:val="Body"/>
        <w:ind w:firstLine="720"/>
        <w:rPr>
          <w:rFonts w:ascii="Arial" w:eastAsia="Arial" w:hAnsi="Arial" w:cs="Arial"/>
          <w:color w:val="000000"/>
          <w:highlight w:val="cyan"/>
        </w:rPr>
      </w:pPr>
      <w:r w:rsidRPr="005A3BFD">
        <w:rPr>
          <w:rFonts w:ascii="Arial" w:eastAsia="Arial" w:hAnsi="Arial" w:cs="Arial"/>
          <w:color w:val="000000"/>
          <w:highlight w:val="cyan"/>
        </w:rPr>
        <w:t xml:space="preserve">• </w:t>
      </w:r>
      <w:r w:rsidR="005D6834" w:rsidRPr="005A3BFD">
        <w:rPr>
          <w:rFonts w:ascii="Arial" w:eastAsia="Arial" w:hAnsi="Arial" w:cs="Arial"/>
          <w:color w:val="000000"/>
          <w:highlight w:val="cyan"/>
        </w:rPr>
        <w:t xml:space="preserve">Age: The risk increases with age, particularly after 40. </w:t>
      </w:r>
    </w:p>
    <w:p w14:paraId="56862205" w14:textId="77777777" w:rsidR="00B07237" w:rsidRPr="005A3BFD" w:rsidRDefault="00B07237" w:rsidP="00B07237">
      <w:pPr>
        <w:pStyle w:val="Body"/>
        <w:rPr>
          <w:rFonts w:ascii="Arial" w:eastAsia="Arial" w:hAnsi="Arial" w:cs="Arial"/>
          <w:color w:val="000000"/>
          <w:highlight w:val="cyan"/>
        </w:rPr>
      </w:pPr>
      <w:r w:rsidRPr="005A3BFD">
        <w:rPr>
          <w:rFonts w:ascii="Arial" w:eastAsia="Arial" w:hAnsi="Arial" w:cs="Arial"/>
          <w:color w:val="000000"/>
          <w:highlight w:val="cyan"/>
        </w:rPr>
        <w:t xml:space="preserve">6. </w:t>
      </w:r>
      <w:r w:rsidR="005D6834" w:rsidRPr="005A3BFD">
        <w:rPr>
          <w:rFonts w:ascii="Arial" w:eastAsia="Arial" w:hAnsi="Arial" w:cs="Arial"/>
          <w:color w:val="000000"/>
          <w:highlight w:val="cyan"/>
        </w:rPr>
        <w:t>Stone Composition in Mexico</w:t>
      </w:r>
    </w:p>
    <w:p w14:paraId="7795B041" w14:textId="4AA474C2" w:rsidR="005D6834" w:rsidRDefault="00B07237" w:rsidP="00B07237">
      <w:pPr>
        <w:pStyle w:val="Body"/>
        <w:ind w:left="720"/>
        <w:rPr>
          <w:rFonts w:ascii="Arial" w:eastAsia="Arial" w:hAnsi="Arial" w:cs="Arial"/>
          <w:color w:val="000000"/>
        </w:rPr>
      </w:pPr>
      <w:r w:rsidRPr="005A3BFD">
        <w:rPr>
          <w:rFonts w:ascii="Arial" w:eastAsia="Arial" w:hAnsi="Arial" w:cs="Arial"/>
          <w:color w:val="000000"/>
          <w:highlight w:val="cyan"/>
        </w:rPr>
        <w:t xml:space="preserve">• </w:t>
      </w:r>
      <w:r w:rsidR="005D6834" w:rsidRPr="005A3BFD">
        <w:rPr>
          <w:rFonts w:ascii="Arial" w:eastAsia="Arial" w:hAnsi="Arial" w:cs="Arial"/>
          <w:color w:val="000000"/>
          <w:highlight w:val="cyan"/>
        </w:rPr>
        <w:t>Cholesterol gallstones show the highest frequency in Mexico, reflecting the metabolic and diet-related nature of the disease.</w:t>
      </w:r>
    </w:p>
    <w:p w14:paraId="689F9CDA" w14:textId="5C364076" w:rsidR="00DE3C22" w:rsidRPr="00F15B51" w:rsidRDefault="00DE3C22" w:rsidP="00DE3C22">
      <w:pPr>
        <w:pStyle w:val="Body"/>
        <w:rPr>
          <w:rFonts w:ascii="Arial" w:eastAsia="Arial" w:hAnsi="Arial" w:cs="Arial"/>
          <w:color w:val="000000"/>
        </w:rPr>
      </w:pPr>
      <w:r w:rsidRPr="00F15B51">
        <w:rPr>
          <w:rFonts w:ascii="Arial" w:eastAsia="Arial" w:hAnsi="Arial" w:cs="Arial"/>
          <w:color w:val="000000"/>
        </w:rPr>
        <w:t>The laparoscopic approach is common in outpatient settings. It is performed with CO</w:t>
      </w:r>
      <w:r w:rsidRPr="00F15B51">
        <w:rPr>
          <w:rFonts w:ascii="Arial" w:eastAsia="Arial" w:hAnsi="Arial" w:cs="Arial"/>
          <w:color w:val="000000"/>
          <w:vertAlign w:val="subscript"/>
        </w:rPr>
        <w:t>2</w:t>
      </w:r>
      <w:r w:rsidRPr="00F15B51">
        <w:rPr>
          <w:rFonts w:ascii="Arial" w:eastAsia="Arial" w:hAnsi="Arial" w:cs="Arial"/>
          <w:color w:val="000000"/>
        </w:rPr>
        <w:t xml:space="preserve"> insufflation into the abdominal cavity and abdominal incisions, registering a lower risk of infection (&lt;5 %) and postoperative pain (VAS &lt; 3) (Zhao et al., 2021). However, the presence of preoperative risk factors is associated with a higher conversion rate and intraoperative complications (Di et al., 2021). Difficult laparoscopic cholecystectomy is defined as a surgical intervention with an operative time &gt; 2 hours, the need for conversion to open surgery, significant bleeding and/or use of synthetic </w:t>
      </w:r>
      <w:proofErr w:type="spellStart"/>
      <w:r w:rsidRPr="00F15B51">
        <w:rPr>
          <w:rFonts w:ascii="Arial" w:eastAsia="Arial" w:hAnsi="Arial" w:cs="Arial"/>
          <w:color w:val="000000"/>
        </w:rPr>
        <w:t>hemostatics</w:t>
      </w:r>
      <w:proofErr w:type="spellEnd"/>
      <w:r w:rsidRPr="00F15B51">
        <w:rPr>
          <w:rFonts w:ascii="Arial" w:eastAsia="Arial" w:hAnsi="Arial" w:cs="Arial"/>
          <w:color w:val="000000"/>
        </w:rPr>
        <w:t>, vascular and/or biliary injuries, and additional operative procedures (Nassar et al., 2021). A significant association has been found between difficult laparoscopic cholecy</w:t>
      </w:r>
      <w:r w:rsidR="00DA0E26">
        <w:rPr>
          <w:rFonts w:ascii="Arial" w:eastAsia="Arial" w:hAnsi="Arial" w:cs="Arial"/>
          <w:color w:val="000000"/>
        </w:rPr>
        <w:t>stectomy and leukocyte count,</w:t>
      </w:r>
      <w:r w:rsidRPr="00F15B51">
        <w:rPr>
          <w:rFonts w:ascii="Arial" w:eastAsia="Arial" w:hAnsi="Arial" w:cs="Arial"/>
          <w:color w:val="000000"/>
        </w:rPr>
        <w:t xml:space="preserve"> fibrinogen level; irregular or absent wall, </w:t>
      </w:r>
      <w:proofErr w:type="spellStart"/>
      <w:r w:rsidRPr="00F15B51">
        <w:rPr>
          <w:rFonts w:ascii="Arial" w:eastAsia="Arial" w:hAnsi="Arial" w:cs="Arial"/>
          <w:color w:val="000000"/>
        </w:rPr>
        <w:t>pericholecystic</w:t>
      </w:r>
      <w:proofErr w:type="spellEnd"/>
      <w:r w:rsidRPr="00F15B51">
        <w:rPr>
          <w:rFonts w:ascii="Arial" w:eastAsia="Arial" w:hAnsi="Arial" w:cs="Arial"/>
          <w:color w:val="000000"/>
        </w:rPr>
        <w:t xml:space="preserve"> fluid, fat </w:t>
      </w:r>
      <w:proofErr w:type="spellStart"/>
      <w:r w:rsidRPr="00F15B51">
        <w:rPr>
          <w:rFonts w:ascii="Arial" w:eastAsia="Arial" w:hAnsi="Arial" w:cs="Arial"/>
          <w:color w:val="000000"/>
        </w:rPr>
        <w:t>hyperdensity</w:t>
      </w:r>
      <w:proofErr w:type="spellEnd"/>
      <w:r w:rsidRPr="00F15B51">
        <w:rPr>
          <w:rFonts w:ascii="Arial" w:eastAsia="Arial" w:hAnsi="Arial" w:cs="Arial"/>
          <w:color w:val="000000"/>
        </w:rPr>
        <w:t>, wall thickening &gt; 4 mm, and hydrops. Preoperative identification of a difficult laparoscopic cholecystectomy provides information for efficient surgical planning and use of technical resources (</w:t>
      </w:r>
      <w:proofErr w:type="spellStart"/>
      <w:r w:rsidRPr="00F15B51">
        <w:rPr>
          <w:rFonts w:ascii="Arial" w:eastAsia="Arial" w:hAnsi="Arial" w:cs="Arial"/>
          <w:color w:val="000000"/>
        </w:rPr>
        <w:t>Ohya</w:t>
      </w:r>
      <w:proofErr w:type="spellEnd"/>
      <w:r w:rsidRPr="00F15B51">
        <w:rPr>
          <w:rFonts w:ascii="Arial" w:eastAsia="Arial" w:hAnsi="Arial" w:cs="Arial"/>
          <w:color w:val="000000"/>
        </w:rPr>
        <w:t xml:space="preserve"> et al., 2022).</w:t>
      </w:r>
    </w:p>
    <w:p w14:paraId="648FA1CC" w14:textId="77777777" w:rsidR="00C434C9" w:rsidRDefault="00C434C9" w:rsidP="00DE3C22">
      <w:pPr>
        <w:pStyle w:val="Body"/>
        <w:rPr>
          <w:rFonts w:ascii="Arial" w:eastAsia="Arial" w:hAnsi="Arial" w:cs="Arial"/>
          <w:color w:val="000000"/>
        </w:rPr>
      </w:pPr>
    </w:p>
    <w:p w14:paraId="4E5145A4" w14:textId="77777777" w:rsidR="00DE3C22" w:rsidRPr="00F15B51" w:rsidRDefault="00DE3C22" w:rsidP="00DE3C22">
      <w:pPr>
        <w:pStyle w:val="Body"/>
        <w:rPr>
          <w:rFonts w:ascii="Arial" w:eastAsia="Arial" w:hAnsi="Arial" w:cs="Arial"/>
          <w:color w:val="000000"/>
        </w:rPr>
      </w:pPr>
      <w:r w:rsidRPr="00F15B51">
        <w:rPr>
          <w:rFonts w:ascii="Arial" w:eastAsia="Arial" w:hAnsi="Arial" w:cs="Arial"/>
          <w:color w:val="000000"/>
        </w:rPr>
        <w:lastRenderedPageBreak/>
        <w:t xml:space="preserve">It is estimated that 17% of laparoscopic cholecystectomies will be technically difficult due to severe inflammation and suspected adhesions and involvement of important adjacent structures, predisposing to a higher risk of vascular and biliary injuries (Stoica et al., 2024; </w:t>
      </w:r>
      <w:proofErr w:type="spellStart"/>
      <w:r w:rsidRPr="00F15B51">
        <w:rPr>
          <w:rFonts w:ascii="Arial" w:eastAsia="Arial" w:hAnsi="Arial" w:cs="Arial"/>
          <w:color w:val="000000"/>
        </w:rPr>
        <w:t>Osailan</w:t>
      </w:r>
      <w:proofErr w:type="spellEnd"/>
      <w:r w:rsidRPr="00F15B51">
        <w:rPr>
          <w:rFonts w:ascii="Arial" w:eastAsia="Arial" w:hAnsi="Arial" w:cs="Arial"/>
          <w:color w:val="000000"/>
        </w:rPr>
        <w:t xml:space="preserve"> et al., 2023; </w:t>
      </w:r>
      <w:proofErr w:type="spellStart"/>
      <w:r w:rsidRPr="00F15B51">
        <w:rPr>
          <w:rFonts w:ascii="Arial" w:eastAsia="Arial" w:hAnsi="Arial" w:cs="Arial"/>
          <w:color w:val="000000"/>
        </w:rPr>
        <w:t>Bouassida</w:t>
      </w:r>
      <w:proofErr w:type="spellEnd"/>
      <w:r w:rsidRPr="00F15B51">
        <w:rPr>
          <w:rFonts w:ascii="Arial" w:eastAsia="Arial" w:hAnsi="Arial" w:cs="Arial"/>
          <w:color w:val="000000"/>
        </w:rPr>
        <w:t xml:space="preserve"> et al., 2020). Imaging studies (ultrasound and CT scan) and blood tests have been considered first-line predictors of complications (</w:t>
      </w:r>
      <w:proofErr w:type="spellStart"/>
      <w:r w:rsidRPr="00F15B51">
        <w:rPr>
          <w:rFonts w:ascii="Arial" w:eastAsia="Arial" w:hAnsi="Arial" w:cs="Arial"/>
          <w:color w:val="000000"/>
        </w:rPr>
        <w:t>Strohäker</w:t>
      </w:r>
      <w:proofErr w:type="spellEnd"/>
      <w:r w:rsidRPr="00F15B51">
        <w:rPr>
          <w:rFonts w:ascii="Arial" w:eastAsia="Arial" w:hAnsi="Arial" w:cs="Arial"/>
          <w:color w:val="000000"/>
        </w:rPr>
        <w:t xml:space="preserve"> et al., 2021). The Parkland scale estimates severity based on intraoperative findings (Romano et al., 2023). It comprises five grades, based on the severity of inflammation, adhesions, and fibrosis of the gallbladder, as found in the initial evaluation:</w:t>
      </w:r>
    </w:p>
    <w:p w14:paraId="1EE97461" w14:textId="77777777" w:rsidR="00DE3C22" w:rsidRPr="00F15B51" w:rsidRDefault="00DE3C22" w:rsidP="00DE3C22">
      <w:pPr>
        <w:pStyle w:val="Body"/>
        <w:ind w:firstLine="720"/>
        <w:rPr>
          <w:rFonts w:ascii="Arial" w:eastAsia="Arial" w:hAnsi="Arial" w:cs="Arial"/>
          <w:color w:val="000000"/>
        </w:rPr>
      </w:pPr>
      <w:r w:rsidRPr="00F15B51">
        <w:rPr>
          <w:rFonts w:ascii="Arial" w:eastAsia="Arial" w:hAnsi="Arial" w:cs="Arial"/>
          <w:color w:val="000000"/>
        </w:rPr>
        <w:t>Grade 1. Gallbladder of normal appearance, without adhesions</w:t>
      </w:r>
    </w:p>
    <w:p w14:paraId="7D2271DF" w14:textId="77777777" w:rsidR="00DE3C22" w:rsidRPr="00F15B51" w:rsidRDefault="00DE3C22" w:rsidP="00DE3C22">
      <w:pPr>
        <w:pStyle w:val="Body"/>
        <w:ind w:left="720"/>
        <w:rPr>
          <w:rFonts w:ascii="Arial" w:eastAsia="Arial" w:hAnsi="Arial" w:cs="Arial"/>
          <w:color w:val="000000"/>
        </w:rPr>
      </w:pPr>
      <w:r w:rsidRPr="00F15B51">
        <w:rPr>
          <w:rFonts w:ascii="Arial" w:eastAsia="Arial" w:hAnsi="Arial" w:cs="Arial"/>
          <w:color w:val="000000"/>
        </w:rPr>
        <w:t>Grade 2. Gallbladder with minimal adhesions in the neck or lower third, but without evident inflammation in the wall.</w:t>
      </w:r>
    </w:p>
    <w:p w14:paraId="2D77608A" w14:textId="77777777" w:rsidR="00DE3C22" w:rsidRPr="00F15B51" w:rsidRDefault="00DE3C22" w:rsidP="00DE3C22">
      <w:pPr>
        <w:pStyle w:val="Body"/>
        <w:ind w:left="720"/>
        <w:rPr>
          <w:rFonts w:ascii="Arial" w:eastAsia="Arial" w:hAnsi="Arial" w:cs="Arial"/>
          <w:color w:val="000000"/>
        </w:rPr>
      </w:pPr>
      <w:r w:rsidRPr="00F15B51">
        <w:rPr>
          <w:rFonts w:ascii="Arial" w:eastAsia="Arial" w:hAnsi="Arial" w:cs="Arial"/>
          <w:color w:val="000000"/>
        </w:rPr>
        <w:t xml:space="preserve">Grade 3. Distended gallbladder, or with wall edema, hyperemia, </w:t>
      </w:r>
      <w:proofErr w:type="spellStart"/>
      <w:r w:rsidRPr="00F15B51">
        <w:rPr>
          <w:rFonts w:ascii="Arial" w:eastAsia="Arial" w:hAnsi="Arial" w:cs="Arial"/>
          <w:color w:val="000000"/>
        </w:rPr>
        <w:t>perivesicular</w:t>
      </w:r>
      <w:proofErr w:type="spellEnd"/>
      <w:r w:rsidRPr="00F15B51">
        <w:rPr>
          <w:rFonts w:ascii="Arial" w:eastAsia="Arial" w:hAnsi="Arial" w:cs="Arial"/>
          <w:color w:val="000000"/>
        </w:rPr>
        <w:t xml:space="preserve"> inflammatory fluid, or adhesions in the body.</w:t>
      </w:r>
    </w:p>
    <w:p w14:paraId="57BF5098" w14:textId="77777777" w:rsidR="00DE3C22" w:rsidRPr="00F15B51" w:rsidRDefault="00DE3C22" w:rsidP="00DE3C22">
      <w:pPr>
        <w:pStyle w:val="Body"/>
        <w:ind w:left="720"/>
        <w:rPr>
          <w:rFonts w:ascii="Arial" w:eastAsia="Arial" w:hAnsi="Arial" w:cs="Arial"/>
          <w:color w:val="000000"/>
        </w:rPr>
      </w:pPr>
      <w:r w:rsidRPr="00F15B51">
        <w:rPr>
          <w:rFonts w:ascii="Arial" w:eastAsia="Arial" w:hAnsi="Arial" w:cs="Arial"/>
          <w:color w:val="000000"/>
        </w:rPr>
        <w:t>Grade 4. Gallbladder with adhesions over most of the gallbladder surface, or any grade 1</w:t>
      </w:r>
      <w:r w:rsidR="00207AD5" w:rsidRPr="00F15B51">
        <w:rPr>
          <w:rFonts w:ascii="Arial" w:eastAsia="Arial" w:hAnsi="Arial" w:cs="Arial"/>
          <w:color w:val="000000"/>
        </w:rPr>
        <w:t xml:space="preserve"> </w:t>
      </w:r>
      <w:r w:rsidRPr="00F15B51">
        <w:rPr>
          <w:rFonts w:ascii="Arial" w:eastAsia="Arial" w:hAnsi="Arial" w:cs="Arial"/>
          <w:color w:val="000000"/>
        </w:rPr>
        <w:t>-</w:t>
      </w:r>
      <w:r w:rsidR="00207AD5" w:rsidRPr="00F15B51">
        <w:rPr>
          <w:rFonts w:ascii="Arial" w:eastAsia="Arial" w:hAnsi="Arial" w:cs="Arial"/>
          <w:color w:val="000000"/>
        </w:rPr>
        <w:t xml:space="preserve"> </w:t>
      </w:r>
      <w:r w:rsidRPr="00F15B51">
        <w:rPr>
          <w:rFonts w:ascii="Arial" w:eastAsia="Arial" w:hAnsi="Arial" w:cs="Arial"/>
          <w:color w:val="000000"/>
        </w:rPr>
        <w:t>3 with abnormal liver anatomy, intrahepatic gallbladder, or Mirizzi syndrome.</w:t>
      </w:r>
    </w:p>
    <w:p w14:paraId="6183B57A" w14:textId="77777777" w:rsidR="00DE3C22" w:rsidRPr="00F15B51" w:rsidRDefault="00DE3C22" w:rsidP="00DE3C22">
      <w:pPr>
        <w:pStyle w:val="Body"/>
        <w:ind w:firstLine="720"/>
        <w:rPr>
          <w:rFonts w:ascii="Arial" w:eastAsia="Arial" w:hAnsi="Arial" w:cs="Arial"/>
          <w:color w:val="000000"/>
        </w:rPr>
      </w:pPr>
      <w:r w:rsidRPr="00F15B51">
        <w:rPr>
          <w:rFonts w:ascii="Arial" w:eastAsia="Arial" w:hAnsi="Arial" w:cs="Arial"/>
          <w:color w:val="000000"/>
        </w:rPr>
        <w:t>Grade 5. Perforate</w:t>
      </w:r>
      <w:r w:rsidR="00F15B51">
        <w:rPr>
          <w:rFonts w:ascii="Arial" w:eastAsia="Arial" w:hAnsi="Arial" w:cs="Arial"/>
          <w:color w:val="000000"/>
        </w:rPr>
        <w:t xml:space="preserve">d gallbladder </w:t>
      </w:r>
      <w:r w:rsidRPr="00F15B51">
        <w:rPr>
          <w:rFonts w:ascii="Arial" w:eastAsia="Arial" w:hAnsi="Arial" w:cs="Arial"/>
          <w:color w:val="000000"/>
        </w:rPr>
        <w:t>or with necrosis.</w:t>
      </w:r>
    </w:p>
    <w:p w14:paraId="14D5F67E" w14:textId="77777777" w:rsidR="00852FAC" w:rsidRPr="00F15B51" w:rsidRDefault="00DE3C22" w:rsidP="00207AD5">
      <w:pPr>
        <w:pStyle w:val="Body"/>
        <w:rPr>
          <w:rFonts w:ascii="Arial" w:eastAsia="Arial" w:hAnsi="Arial" w:cs="Arial"/>
          <w:color w:val="000000"/>
        </w:rPr>
      </w:pPr>
      <w:r w:rsidRPr="00F15B51">
        <w:rPr>
          <w:rFonts w:ascii="Arial" w:eastAsia="Arial" w:hAnsi="Arial" w:cs="Arial"/>
          <w:color w:val="000000"/>
        </w:rPr>
        <w:t>The Parkland scale allows for the determination of the initial surgical strategy intraoperatively. In addition to conducting comparisons of outcomes and reporting more reliable complication rates (Sisa et al., 2022).</w:t>
      </w:r>
      <w:r w:rsidR="00207AD5" w:rsidRPr="00F15B51">
        <w:rPr>
          <w:rFonts w:ascii="Arial" w:eastAsia="Arial" w:hAnsi="Arial" w:cs="Arial"/>
          <w:color w:val="000000"/>
        </w:rPr>
        <w:t xml:space="preserve"> </w:t>
      </w:r>
      <w:r w:rsidRPr="00F15B51">
        <w:rPr>
          <w:rFonts w:ascii="Arial" w:eastAsia="Arial" w:hAnsi="Arial" w:cs="Arial"/>
          <w:color w:val="000000"/>
        </w:rPr>
        <w:t>The epidemiological and demographic conditions in Mexico increase the risk of developing cholecystitis and, consequently, of complications in its surgical treatment. The efficient use of clinical, biochemical, and radiological resources plays an essential role in recognizing potential adverse events (Stoica et al., 2024).</w:t>
      </w:r>
    </w:p>
    <w:p w14:paraId="6F5E0C33" w14:textId="77777777" w:rsidR="007F7B32" w:rsidRPr="00F15B51" w:rsidRDefault="00902823" w:rsidP="00F37922">
      <w:pPr>
        <w:pStyle w:val="AbstHead"/>
        <w:spacing w:after="0"/>
        <w:jc w:val="both"/>
        <w:rPr>
          <w:rFonts w:ascii="Arial" w:hAnsi="Arial" w:cs="Arial"/>
        </w:rPr>
      </w:pPr>
      <w:r w:rsidRPr="00F15B51">
        <w:rPr>
          <w:rFonts w:ascii="Arial" w:hAnsi="Arial" w:cs="Arial"/>
        </w:rPr>
        <w:t xml:space="preserve">2. </w:t>
      </w:r>
      <w:r w:rsidR="00B83B36" w:rsidRPr="00F15B51">
        <w:rPr>
          <w:rFonts w:ascii="Arial" w:hAnsi="Arial" w:cs="Arial"/>
        </w:rPr>
        <w:t>METHODOLOGY</w:t>
      </w:r>
    </w:p>
    <w:p w14:paraId="0606E4DC" w14:textId="77777777" w:rsidR="00F37922" w:rsidRPr="00F15B51" w:rsidRDefault="00F37922" w:rsidP="00F37922">
      <w:pPr>
        <w:pStyle w:val="AbstHead"/>
        <w:spacing w:after="0"/>
        <w:jc w:val="both"/>
        <w:rPr>
          <w:rFonts w:ascii="Arial" w:hAnsi="Arial" w:cs="Arial"/>
          <w:sz w:val="20"/>
        </w:rPr>
      </w:pPr>
    </w:p>
    <w:p w14:paraId="1A7F8E9D" w14:textId="163512E6" w:rsidR="00771EE2" w:rsidRDefault="00D30229" w:rsidP="005407A9">
      <w:pPr>
        <w:autoSpaceDE w:val="0"/>
        <w:autoSpaceDN w:val="0"/>
        <w:adjustRightInd w:val="0"/>
        <w:jc w:val="both"/>
        <w:rPr>
          <w:rFonts w:ascii="Arial" w:eastAsia="Arial" w:hAnsi="Arial" w:cs="Arial"/>
        </w:rPr>
      </w:pPr>
      <w:r w:rsidRPr="004B3D54">
        <w:rPr>
          <w:rFonts w:ascii="Arial" w:eastAsia="Arial" w:hAnsi="Arial" w:cs="Arial"/>
          <w:highlight w:val="green"/>
        </w:rPr>
        <w:t>This retrospective and descriptive study in patients admitted to the general surgery service that underwent laparoscopic cholecystectomy between January and April 2022 at a secondary-level public hospital in Northern Mexico. All patients of both sexes over 18 years were included. Those in which serious complications were recorded during the procedure were excluded. D</w:t>
      </w:r>
      <w:r w:rsidR="00F174BF" w:rsidRPr="004B3D54">
        <w:rPr>
          <w:rFonts w:ascii="Arial" w:eastAsia="Arial" w:hAnsi="Arial" w:cs="Arial"/>
          <w:highlight w:val="green"/>
        </w:rPr>
        <w:t>emographic data [</w:t>
      </w:r>
      <w:r w:rsidR="005A4A72" w:rsidRPr="004B3D54">
        <w:rPr>
          <w:rFonts w:ascii="Arial" w:eastAsia="Arial" w:hAnsi="Arial" w:cs="Arial"/>
          <w:highlight w:val="green"/>
        </w:rPr>
        <w:t xml:space="preserve">age ≥ 18 years </w:t>
      </w:r>
      <w:r w:rsidR="00F174BF" w:rsidRPr="004B3D54">
        <w:rPr>
          <w:rFonts w:ascii="Arial" w:eastAsia="Arial" w:hAnsi="Arial" w:cs="Arial"/>
          <w:highlight w:val="green"/>
        </w:rPr>
        <w:t>(</w:t>
      </w:r>
      <w:r w:rsidR="005A4A72" w:rsidRPr="004B3D54">
        <w:rPr>
          <w:rFonts w:ascii="Arial" w:eastAsia="Arial" w:hAnsi="Arial" w:cs="Arial"/>
          <w:highlight w:val="green"/>
        </w:rPr>
        <w:t>classification</w:t>
      </w:r>
      <w:r w:rsidR="008F3AF9" w:rsidRPr="004B3D54">
        <w:rPr>
          <w:rFonts w:ascii="Arial" w:eastAsia="Arial" w:hAnsi="Arial" w:cs="Arial"/>
          <w:highlight w:val="green"/>
        </w:rPr>
        <w:t>:</w:t>
      </w:r>
      <w:r w:rsidR="005A4A72" w:rsidRPr="004B3D54">
        <w:rPr>
          <w:rFonts w:ascii="Arial" w:eastAsia="Arial" w:hAnsi="Arial" w:cs="Arial"/>
          <w:highlight w:val="green"/>
        </w:rPr>
        <w:t xml:space="preserve"> 18 - 59; 60 - 74; 75 - 84; and ≥ 85</w:t>
      </w:r>
      <w:r w:rsidR="00F174BF" w:rsidRPr="004B3D54">
        <w:rPr>
          <w:rFonts w:ascii="Arial" w:eastAsia="Arial" w:hAnsi="Arial" w:cs="Arial"/>
          <w:highlight w:val="green"/>
        </w:rPr>
        <w:t xml:space="preserve">); </w:t>
      </w:r>
      <w:r w:rsidRPr="004B3D54">
        <w:rPr>
          <w:rFonts w:ascii="Arial" w:eastAsia="Arial" w:hAnsi="Arial" w:cs="Arial"/>
          <w:highlight w:val="green"/>
        </w:rPr>
        <w:t>sex; BMI</w:t>
      </w:r>
      <w:r w:rsidR="00F174BF" w:rsidRPr="004B3D54">
        <w:rPr>
          <w:highlight w:val="green"/>
        </w:rPr>
        <w:t xml:space="preserve"> </w:t>
      </w:r>
      <w:r w:rsidR="008F3AF9" w:rsidRPr="004B3D54">
        <w:rPr>
          <w:highlight w:val="green"/>
        </w:rPr>
        <w:t xml:space="preserve">(classification: </w:t>
      </w:r>
      <w:r w:rsidR="00F174BF" w:rsidRPr="004B3D54">
        <w:rPr>
          <w:rFonts w:ascii="Arial" w:eastAsia="Arial" w:hAnsi="Arial" w:cs="Arial"/>
          <w:highlight w:val="green"/>
        </w:rPr>
        <w:t>normal weight; overweight; grade I obesity; grade II obesity; grade III obesity</w:t>
      </w:r>
      <w:r w:rsidR="008F3AF9" w:rsidRPr="004B3D54">
        <w:rPr>
          <w:rFonts w:ascii="Arial" w:eastAsia="Arial" w:hAnsi="Arial" w:cs="Arial"/>
          <w:highlight w:val="green"/>
        </w:rPr>
        <w:t>)</w:t>
      </w:r>
      <w:r w:rsidR="00F174BF" w:rsidRPr="004B3D54">
        <w:rPr>
          <w:rFonts w:ascii="Arial" w:eastAsia="Arial" w:hAnsi="Arial" w:cs="Arial"/>
          <w:highlight w:val="green"/>
        </w:rPr>
        <w:t>]</w:t>
      </w:r>
      <w:r w:rsidR="008F3AF9" w:rsidRPr="004B3D54">
        <w:rPr>
          <w:rFonts w:ascii="Arial" w:eastAsia="Arial" w:hAnsi="Arial" w:cs="Arial"/>
          <w:highlight w:val="green"/>
        </w:rPr>
        <w:t xml:space="preserve">; </w:t>
      </w:r>
      <w:r w:rsidRPr="004B3D54">
        <w:rPr>
          <w:rFonts w:ascii="Arial" w:eastAsia="Arial" w:hAnsi="Arial" w:cs="Arial"/>
          <w:highlight w:val="green"/>
        </w:rPr>
        <w:t xml:space="preserve">clinical </w:t>
      </w:r>
      <w:r w:rsidR="002F24AE" w:rsidRPr="004B3D54">
        <w:rPr>
          <w:rFonts w:ascii="Arial" w:eastAsia="Arial" w:hAnsi="Arial" w:cs="Arial"/>
          <w:highlight w:val="green"/>
        </w:rPr>
        <w:t>[</w:t>
      </w:r>
      <w:r w:rsidRPr="004B3D54">
        <w:rPr>
          <w:rFonts w:ascii="Arial" w:eastAsia="Arial" w:hAnsi="Arial" w:cs="Arial"/>
          <w:highlight w:val="green"/>
        </w:rPr>
        <w:t xml:space="preserve">body </w:t>
      </w:r>
      <w:r w:rsidR="002F24AE" w:rsidRPr="004B3D54">
        <w:rPr>
          <w:rFonts w:ascii="Arial" w:eastAsia="Arial" w:hAnsi="Arial" w:cs="Arial"/>
          <w:highlight w:val="green"/>
        </w:rPr>
        <w:t>temperature &gt; 37 °C; jaundice]</w:t>
      </w:r>
      <w:r w:rsidR="008F3AF9" w:rsidRPr="004B3D54">
        <w:rPr>
          <w:rFonts w:ascii="Arial" w:eastAsia="Arial" w:hAnsi="Arial" w:cs="Arial"/>
          <w:highlight w:val="green"/>
        </w:rPr>
        <w:t xml:space="preserve">; </w:t>
      </w:r>
      <w:r w:rsidRPr="004B3D54">
        <w:rPr>
          <w:rFonts w:ascii="Arial" w:eastAsia="Arial" w:hAnsi="Arial" w:cs="Arial"/>
          <w:highlight w:val="green"/>
        </w:rPr>
        <w:t xml:space="preserve">hematological </w:t>
      </w:r>
      <w:r w:rsidR="002F24AE" w:rsidRPr="004B3D54">
        <w:rPr>
          <w:rFonts w:ascii="Arial" w:eastAsia="Arial" w:hAnsi="Arial" w:cs="Arial"/>
          <w:highlight w:val="green"/>
        </w:rPr>
        <w:t>[</w:t>
      </w:r>
      <w:r w:rsidRPr="004B3D54">
        <w:rPr>
          <w:rFonts w:ascii="Arial" w:eastAsia="Arial" w:hAnsi="Arial" w:cs="Arial"/>
          <w:highlight w:val="green"/>
        </w:rPr>
        <w:t>leukocytosis</w:t>
      </w:r>
      <w:r w:rsidR="00EE18D4" w:rsidRPr="004B3D54">
        <w:rPr>
          <w:rFonts w:ascii="Arial" w:eastAsia="Arial" w:hAnsi="Arial" w:cs="Arial"/>
          <w:highlight w:val="green"/>
        </w:rPr>
        <w:t xml:space="preserve"> (</w:t>
      </w:r>
      <w:r w:rsidR="001A349D" w:rsidRPr="004B3D54">
        <w:rPr>
          <w:rFonts w:ascii="Arial" w:eastAsia="Arial" w:hAnsi="Arial" w:cs="Arial"/>
          <w:highlight w:val="green"/>
        </w:rPr>
        <w:t xml:space="preserve">&gt; 10 </w:t>
      </w:r>
      <w:r w:rsidR="00EE18D4" w:rsidRPr="004B3D54">
        <w:rPr>
          <w:rFonts w:ascii="Arial" w:eastAsia="Arial" w:hAnsi="Arial" w:cs="Arial"/>
          <w:highlight w:val="green"/>
        </w:rPr>
        <w:t>x 10</w:t>
      </w:r>
      <w:r w:rsidR="00EE18D4" w:rsidRPr="004B3D54">
        <w:rPr>
          <w:rFonts w:ascii="Arial" w:eastAsia="Arial" w:hAnsi="Arial" w:cs="Arial"/>
          <w:highlight w:val="green"/>
          <w:vertAlign w:val="superscript"/>
        </w:rPr>
        <w:t>3</w:t>
      </w:r>
      <w:r w:rsidR="00EE18D4" w:rsidRPr="004B3D54">
        <w:rPr>
          <w:rFonts w:ascii="Arial" w:eastAsia="Arial" w:hAnsi="Arial" w:cs="Arial"/>
          <w:highlight w:val="green"/>
        </w:rPr>
        <w:t xml:space="preserve"> mm</w:t>
      </w:r>
      <w:r w:rsidR="00EE18D4" w:rsidRPr="004B3D54">
        <w:rPr>
          <w:rFonts w:ascii="Arial" w:eastAsia="Arial" w:hAnsi="Arial" w:cs="Arial"/>
          <w:highlight w:val="green"/>
          <w:vertAlign w:val="superscript"/>
        </w:rPr>
        <w:t>3</w:t>
      </w:r>
      <w:r w:rsidR="00EE18D4" w:rsidRPr="004B3D54">
        <w:rPr>
          <w:rFonts w:ascii="Arial" w:eastAsia="Arial" w:hAnsi="Arial" w:cs="Arial"/>
          <w:highlight w:val="green"/>
        </w:rPr>
        <w:t>)</w:t>
      </w:r>
      <w:r w:rsidRPr="004B3D54">
        <w:rPr>
          <w:rFonts w:ascii="Arial" w:eastAsia="Arial" w:hAnsi="Arial" w:cs="Arial"/>
          <w:highlight w:val="green"/>
        </w:rPr>
        <w:t>; thrombocytopenia</w:t>
      </w:r>
      <w:r w:rsidR="00037EF3" w:rsidRPr="004B3D54">
        <w:rPr>
          <w:rFonts w:ascii="Arial" w:eastAsia="Arial" w:hAnsi="Arial" w:cs="Arial"/>
          <w:highlight w:val="green"/>
        </w:rPr>
        <w:t xml:space="preserve"> (platelets &lt; 150000 µL)</w:t>
      </w:r>
      <w:r w:rsidRPr="004B3D54">
        <w:rPr>
          <w:rFonts w:ascii="Arial" w:eastAsia="Arial" w:hAnsi="Arial" w:cs="Arial"/>
          <w:highlight w:val="green"/>
        </w:rPr>
        <w:t>; NLR ≥</w:t>
      </w:r>
      <w:r w:rsidR="002F24AE" w:rsidRPr="004B3D54">
        <w:rPr>
          <w:rFonts w:ascii="Arial" w:eastAsia="Arial" w:hAnsi="Arial" w:cs="Arial"/>
          <w:highlight w:val="green"/>
        </w:rPr>
        <w:t xml:space="preserve"> 6]</w:t>
      </w:r>
      <w:r w:rsidRPr="004B3D54">
        <w:rPr>
          <w:rFonts w:ascii="Arial" w:eastAsia="Arial" w:hAnsi="Arial" w:cs="Arial"/>
          <w:highlight w:val="green"/>
        </w:rPr>
        <w:t xml:space="preserve">; biochemical </w:t>
      </w:r>
      <w:r w:rsidR="002F24AE" w:rsidRPr="004B3D54">
        <w:rPr>
          <w:rFonts w:ascii="Arial" w:eastAsia="Arial" w:hAnsi="Arial" w:cs="Arial"/>
          <w:highlight w:val="green"/>
        </w:rPr>
        <w:t>[</w:t>
      </w:r>
      <w:r w:rsidRPr="004B3D54">
        <w:rPr>
          <w:rFonts w:ascii="Arial" w:eastAsia="Arial" w:hAnsi="Arial" w:cs="Arial"/>
          <w:highlight w:val="green"/>
        </w:rPr>
        <w:t>hyperbilirubinemia</w:t>
      </w:r>
      <w:r w:rsidR="001C7CA3" w:rsidRPr="004B3D54">
        <w:rPr>
          <w:rFonts w:ascii="Arial" w:eastAsia="Arial" w:hAnsi="Arial" w:cs="Arial"/>
          <w:highlight w:val="green"/>
        </w:rPr>
        <w:t xml:space="preserve"> (bilirubin in blood (total &gt; 1.2 mg/dL)</w:t>
      </w:r>
      <w:r w:rsidR="002F24AE" w:rsidRPr="004B3D54">
        <w:rPr>
          <w:rFonts w:ascii="Arial" w:eastAsia="Arial" w:hAnsi="Arial" w:cs="Arial"/>
          <w:highlight w:val="green"/>
        </w:rPr>
        <w:t>; positive C-reactive protein</w:t>
      </w:r>
      <w:r w:rsidR="00934EEF" w:rsidRPr="004B3D54">
        <w:rPr>
          <w:rFonts w:ascii="Arial" w:eastAsia="Arial" w:hAnsi="Arial" w:cs="Arial"/>
          <w:highlight w:val="green"/>
        </w:rPr>
        <w:t xml:space="preserve"> (&gt; 10 mg/dL)</w:t>
      </w:r>
      <w:r w:rsidR="002F24AE" w:rsidRPr="004B3D54">
        <w:rPr>
          <w:rFonts w:ascii="Arial" w:eastAsia="Arial" w:hAnsi="Arial" w:cs="Arial"/>
          <w:highlight w:val="green"/>
        </w:rPr>
        <w:t>]</w:t>
      </w:r>
      <w:r w:rsidR="008F3AF9" w:rsidRPr="004B3D54">
        <w:rPr>
          <w:rFonts w:ascii="Arial" w:eastAsia="Arial" w:hAnsi="Arial" w:cs="Arial"/>
          <w:highlight w:val="green"/>
        </w:rPr>
        <w:t xml:space="preserve">; </w:t>
      </w:r>
      <w:r w:rsidRPr="004B3D54">
        <w:rPr>
          <w:rFonts w:ascii="Arial" w:eastAsia="Arial" w:hAnsi="Arial" w:cs="Arial"/>
          <w:highlight w:val="green"/>
        </w:rPr>
        <w:t>surgical (type of s</w:t>
      </w:r>
      <w:r w:rsidR="002F24AE" w:rsidRPr="004B3D54">
        <w:rPr>
          <w:rFonts w:ascii="Arial" w:eastAsia="Arial" w:hAnsi="Arial" w:cs="Arial"/>
          <w:highlight w:val="green"/>
        </w:rPr>
        <w:t>urgery [urgent; elective]</w:t>
      </w:r>
      <w:r w:rsidRPr="004B3D54">
        <w:rPr>
          <w:rFonts w:ascii="Arial" w:eastAsia="Arial" w:hAnsi="Arial" w:cs="Arial"/>
          <w:highlight w:val="green"/>
        </w:rPr>
        <w:t>;</w:t>
      </w:r>
      <w:r w:rsidR="002F24AE" w:rsidRPr="004B3D54">
        <w:rPr>
          <w:rFonts w:ascii="Arial" w:eastAsia="Arial" w:hAnsi="Arial" w:cs="Arial"/>
          <w:highlight w:val="green"/>
        </w:rPr>
        <w:t xml:space="preserve"> </w:t>
      </w:r>
      <w:r w:rsidRPr="004B3D54">
        <w:rPr>
          <w:rFonts w:ascii="Arial" w:eastAsia="Arial" w:hAnsi="Arial" w:cs="Arial"/>
          <w:highlight w:val="green"/>
        </w:rPr>
        <w:t>and radiological</w:t>
      </w:r>
      <w:r w:rsidR="00246156" w:rsidRPr="004B3D54">
        <w:rPr>
          <w:rFonts w:ascii="Arial" w:eastAsia="Arial" w:hAnsi="Arial" w:cs="Arial"/>
          <w:highlight w:val="green"/>
        </w:rPr>
        <w:t xml:space="preserve"> (ultrasound) </w:t>
      </w:r>
      <w:r w:rsidR="002F24AE" w:rsidRPr="004B3D54">
        <w:rPr>
          <w:rFonts w:ascii="Arial" w:eastAsia="Arial" w:hAnsi="Arial" w:cs="Arial"/>
          <w:highlight w:val="green"/>
        </w:rPr>
        <w:t>[</w:t>
      </w:r>
      <w:r w:rsidRPr="004B3D54">
        <w:rPr>
          <w:rFonts w:ascii="Arial" w:eastAsia="Arial" w:hAnsi="Arial" w:cs="Arial"/>
          <w:highlight w:val="green"/>
        </w:rPr>
        <w:t>increased length of the major axis of the gallbladder</w:t>
      </w:r>
      <w:r w:rsidR="00246156" w:rsidRPr="004B3D54">
        <w:rPr>
          <w:rFonts w:ascii="Arial" w:eastAsia="Arial" w:hAnsi="Arial" w:cs="Arial"/>
          <w:highlight w:val="green"/>
        </w:rPr>
        <w:t xml:space="preserve"> (&gt; 10 cm)</w:t>
      </w:r>
      <w:r w:rsidRPr="004B3D54">
        <w:rPr>
          <w:rFonts w:ascii="Arial" w:eastAsia="Arial" w:hAnsi="Arial" w:cs="Arial"/>
          <w:highlight w:val="green"/>
        </w:rPr>
        <w:t>; maximum stone size ≥ 10 mm; gallbladder wall thickness ≥ 4 mm; hyperva</w:t>
      </w:r>
      <w:r w:rsidR="002F24AE" w:rsidRPr="004B3D54">
        <w:rPr>
          <w:rFonts w:ascii="Arial" w:eastAsia="Arial" w:hAnsi="Arial" w:cs="Arial"/>
          <w:highlight w:val="green"/>
        </w:rPr>
        <w:t>scularity on Doppler ultrasound]</w:t>
      </w:r>
      <w:r w:rsidR="004B3D54" w:rsidRPr="004B3D54">
        <w:rPr>
          <w:rFonts w:ascii="Arial" w:eastAsia="Arial" w:hAnsi="Arial" w:cs="Arial"/>
          <w:highlight w:val="green"/>
        </w:rPr>
        <w:t xml:space="preserve"> were collected. </w:t>
      </w:r>
      <w:r w:rsidRPr="004B3D54">
        <w:rPr>
          <w:rFonts w:ascii="Arial" w:eastAsia="Arial" w:hAnsi="Arial" w:cs="Arial"/>
          <w:highlight w:val="green"/>
        </w:rPr>
        <w:t xml:space="preserve">In addition, data related to the technical difficulty of laparoscopic cholecystectomy </w:t>
      </w:r>
      <w:r w:rsidR="002F24AE" w:rsidRPr="004B3D54">
        <w:rPr>
          <w:rFonts w:ascii="Arial" w:eastAsia="Arial" w:hAnsi="Arial" w:cs="Arial"/>
          <w:highlight w:val="green"/>
        </w:rPr>
        <w:t>[difficult; not difficult]</w:t>
      </w:r>
      <w:r w:rsidRPr="004B3D54">
        <w:rPr>
          <w:rFonts w:ascii="Arial" w:eastAsia="Arial" w:hAnsi="Arial" w:cs="Arial"/>
          <w:highlight w:val="green"/>
        </w:rPr>
        <w:t xml:space="preserve"> and the Parkland Scale </w:t>
      </w:r>
      <w:r w:rsidR="002F24AE" w:rsidRPr="004B3D54">
        <w:rPr>
          <w:rFonts w:ascii="Arial" w:eastAsia="Arial" w:hAnsi="Arial" w:cs="Arial"/>
          <w:highlight w:val="green"/>
        </w:rPr>
        <w:t>[</w:t>
      </w:r>
      <w:r w:rsidR="00246156" w:rsidRPr="004B3D54">
        <w:rPr>
          <w:rFonts w:ascii="Arial" w:eastAsia="Arial" w:hAnsi="Arial" w:cs="Arial"/>
          <w:highlight w:val="green"/>
        </w:rPr>
        <w:t xml:space="preserve">Grade </w:t>
      </w:r>
      <w:r w:rsidR="002F24AE" w:rsidRPr="004B3D54">
        <w:rPr>
          <w:rFonts w:ascii="Arial" w:eastAsia="Arial" w:hAnsi="Arial" w:cs="Arial"/>
          <w:highlight w:val="green"/>
        </w:rPr>
        <w:t xml:space="preserve">I, </w:t>
      </w:r>
      <w:r w:rsidR="00246156" w:rsidRPr="004B3D54">
        <w:rPr>
          <w:rFonts w:ascii="Arial" w:eastAsia="Arial" w:hAnsi="Arial" w:cs="Arial"/>
          <w:highlight w:val="green"/>
        </w:rPr>
        <w:t xml:space="preserve">Grade </w:t>
      </w:r>
      <w:r w:rsidR="002F24AE" w:rsidRPr="004B3D54">
        <w:rPr>
          <w:rFonts w:ascii="Arial" w:eastAsia="Arial" w:hAnsi="Arial" w:cs="Arial"/>
          <w:highlight w:val="green"/>
        </w:rPr>
        <w:t xml:space="preserve">II, </w:t>
      </w:r>
      <w:r w:rsidR="00246156" w:rsidRPr="004B3D54">
        <w:rPr>
          <w:rFonts w:ascii="Arial" w:eastAsia="Arial" w:hAnsi="Arial" w:cs="Arial"/>
          <w:highlight w:val="green"/>
        </w:rPr>
        <w:t xml:space="preserve">Grade </w:t>
      </w:r>
      <w:r w:rsidR="002F24AE" w:rsidRPr="004B3D54">
        <w:rPr>
          <w:rFonts w:ascii="Arial" w:eastAsia="Arial" w:hAnsi="Arial" w:cs="Arial"/>
          <w:highlight w:val="green"/>
        </w:rPr>
        <w:t xml:space="preserve">III, </w:t>
      </w:r>
      <w:r w:rsidR="00246156" w:rsidRPr="004B3D54">
        <w:rPr>
          <w:rFonts w:ascii="Arial" w:eastAsia="Arial" w:hAnsi="Arial" w:cs="Arial"/>
          <w:highlight w:val="green"/>
        </w:rPr>
        <w:t xml:space="preserve">Grade </w:t>
      </w:r>
      <w:r w:rsidR="002F24AE" w:rsidRPr="004B3D54">
        <w:rPr>
          <w:rFonts w:ascii="Arial" w:eastAsia="Arial" w:hAnsi="Arial" w:cs="Arial"/>
          <w:highlight w:val="green"/>
        </w:rPr>
        <w:t>IV]</w:t>
      </w:r>
      <w:r w:rsidRPr="004B3D54">
        <w:rPr>
          <w:rFonts w:ascii="Arial" w:eastAsia="Arial" w:hAnsi="Arial" w:cs="Arial"/>
          <w:highlight w:val="green"/>
        </w:rPr>
        <w:t xml:space="preserve"> were collected. Descriptive statistics</w:t>
      </w:r>
      <w:r w:rsidR="00B62432" w:rsidRPr="004B3D54">
        <w:rPr>
          <w:rFonts w:ascii="Arial" w:eastAsia="Arial" w:hAnsi="Arial" w:cs="Arial"/>
          <w:highlight w:val="green"/>
        </w:rPr>
        <w:t xml:space="preserve"> [mean, standard deviation, frequencies and percentages]</w:t>
      </w:r>
      <w:r w:rsidRPr="004B3D54">
        <w:rPr>
          <w:rFonts w:ascii="Arial" w:eastAsia="Arial" w:hAnsi="Arial" w:cs="Arial"/>
          <w:highlight w:val="green"/>
        </w:rPr>
        <w:t xml:space="preserve"> were applied using SPSS, version 25.</w:t>
      </w:r>
    </w:p>
    <w:p w14:paraId="5176500B" w14:textId="77777777" w:rsidR="009A54BF" w:rsidRDefault="009A54BF" w:rsidP="005407A9">
      <w:pPr>
        <w:autoSpaceDE w:val="0"/>
        <w:autoSpaceDN w:val="0"/>
        <w:adjustRightInd w:val="0"/>
        <w:jc w:val="both"/>
        <w:rPr>
          <w:rFonts w:ascii="Arial" w:eastAsia="Arial" w:hAnsi="Arial" w:cs="Arial"/>
        </w:rPr>
      </w:pPr>
    </w:p>
    <w:p w14:paraId="42E997ED" w14:textId="77777777" w:rsidR="009A54BF" w:rsidRDefault="009A54BF" w:rsidP="005407A9">
      <w:pPr>
        <w:autoSpaceDE w:val="0"/>
        <w:autoSpaceDN w:val="0"/>
        <w:adjustRightInd w:val="0"/>
        <w:jc w:val="both"/>
        <w:rPr>
          <w:rFonts w:ascii="Arial" w:eastAsia="Arial" w:hAnsi="Arial" w:cs="Arial"/>
        </w:rPr>
      </w:pPr>
      <w:bookmarkStart w:id="0" w:name="_GoBack"/>
      <w:bookmarkEnd w:id="0"/>
    </w:p>
    <w:p w14:paraId="636D665C" w14:textId="77777777" w:rsidR="00D30229" w:rsidRPr="00F15B51" w:rsidRDefault="00D30229" w:rsidP="005407A9">
      <w:pPr>
        <w:autoSpaceDE w:val="0"/>
        <w:autoSpaceDN w:val="0"/>
        <w:adjustRightInd w:val="0"/>
        <w:jc w:val="both"/>
        <w:rPr>
          <w:rFonts w:ascii="Arial" w:eastAsia="Arial" w:hAnsi="Arial" w:cs="Arial"/>
        </w:rPr>
      </w:pPr>
    </w:p>
    <w:p w14:paraId="2F62011D" w14:textId="134C16B5" w:rsidR="004475A0" w:rsidRPr="00F15B51" w:rsidRDefault="00F36734" w:rsidP="004475A0">
      <w:pPr>
        <w:pStyle w:val="ConcHead"/>
        <w:spacing w:after="0"/>
        <w:jc w:val="both"/>
        <w:rPr>
          <w:rFonts w:ascii="Arial" w:hAnsi="Arial" w:cs="Arial"/>
        </w:rPr>
      </w:pPr>
      <w:r w:rsidRPr="00F15B51">
        <w:rPr>
          <w:rFonts w:ascii="Arial" w:hAnsi="Arial" w:cs="Arial"/>
        </w:rPr>
        <w:lastRenderedPageBreak/>
        <w:t xml:space="preserve">3. </w:t>
      </w:r>
      <w:proofErr w:type="gramStart"/>
      <w:r w:rsidR="00B83B36" w:rsidRPr="00F15B51">
        <w:rPr>
          <w:rFonts w:ascii="Arial" w:hAnsi="Arial" w:cs="Arial"/>
        </w:rPr>
        <w:t xml:space="preserve">RESULTS </w:t>
      </w:r>
      <w:r w:rsidR="004475A0">
        <w:rPr>
          <w:rFonts w:ascii="Arial" w:hAnsi="Arial" w:cs="Arial"/>
        </w:rPr>
        <w:t xml:space="preserve"> AND</w:t>
      </w:r>
      <w:proofErr w:type="gramEnd"/>
      <w:r w:rsidR="004475A0">
        <w:rPr>
          <w:rFonts w:ascii="Arial" w:hAnsi="Arial" w:cs="Arial"/>
        </w:rPr>
        <w:t xml:space="preserve"> </w:t>
      </w:r>
      <w:r w:rsidR="004475A0" w:rsidRPr="00F15B51">
        <w:rPr>
          <w:rFonts w:ascii="Arial" w:hAnsi="Arial" w:cs="Arial"/>
        </w:rPr>
        <w:t>DISCUSSION</w:t>
      </w:r>
    </w:p>
    <w:p w14:paraId="3BCA7F4E" w14:textId="77777777" w:rsidR="00F36734" w:rsidRPr="00F15B51" w:rsidRDefault="00F36734" w:rsidP="00441B6F">
      <w:pPr>
        <w:pStyle w:val="Body"/>
        <w:spacing w:after="0"/>
        <w:rPr>
          <w:rFonts w:ascii="Arial" w:hAnsi="Arial" w:cs="Arial"/>
        </w:rPr>
      </w:pPr>
    </w:p>
    <w:p w14:paraId="40C8360F" w14:textId="149FCD26" w:rsidR="00064E98" w:rsidRPr="00031D99" w:rsidRDefault="00207AD5" w:rsidP="008C450A">
      <w:pPr>
        <w:jc w:val="both"/>
        <w:rPr>
          <w:rFonts w:ascii="Arial" w:eastAsia="Arial" w:hAnsi="Arial" w:cs="Arial"/>
          <w:color w:val="000000"/>
        </w:rPr>
      </w:pPr>
      <w:r w:rsidRPr="004B3D54">
        <w:rPr>
          <w:rFonts w:ascii="Arial" w:eastAsia="Arial" w:hAnsi="Arial" w:cs="Arial"/>
          <w:color w:val="000000"/>
          <w:highlight w:val="green"/>
        </w:rPr>
        <w:t>The clinical records evaluated were 313. Women represented 75.4</w:t>
      </w:r>
      <w:r w:rsidR="00D0596D" w:rsidRPr="004B3D54">
        <w:rPr>
          <w:rFonts w:ascii="Arial" w:eastAsia="Arial" w:hAnsi="Arial" w:cs="Arial"/>
          <w:color w:val="000000"/>
          <w:highlight w:val="green"/>
        </w:rPr>
        <w:t xml:space="preserve"> </w:t>
      </w:r>
      <w:r w:rsidRPr="004B3D54">
        <w:rPr>
          <w:rFonts w:ascii="Arial" w:eastAsia="Arial" w:hAnsi="Arial" w:cs="Arial"/>
          <w:color w:val="000000"/>
          <w:highlight w:val="green"/>
        </w:rPr>
        <w:t>% (n=236). The age was 53.7 ± 15.2 years</w:t>
      </w:r>
      <w:r w:rsidR="00B62432" w:rsidRPr="004B3D54">
        <w:rPr>
          <w:rFonts w:ascii="Arial" w:eastAsia="Arial" w:hAnsi="Arial" w:cs="Arial"/>
          <w:color w:val="000000"/>
          <w:highlight w:val="green"/>
        </w:rPr>
        <w:t xml:space="preserve"> [minimum: 29</w:t>
      </w:r>
      <w:r w:rsidR="004B3D54" w:rsidRPr="004B3D54">
        <w:rPr>
          <w:rFonts w:ascii="Arial" w:eastAsia="Arial" w:hAnsi="Arial" w:cs="Arial"/>
          <w:color w:val="000000"/>
          <w:highlight w:val="green"/>
        </w:rPr>
        <w:t>;</w:t>
      </w:r>
      <w:r w:rsidR="00B62432" w:rsidRPr="004B3D54">
        <w:rPr>
          <w:rFonts w:ascii="Arial" w:eastAsia="Arial" w:hAnsi="Arial" w:cs="Arial"/>
          <w:color w:val="000000"/>
          <w:highlight w:val="green"/>
        </w:rPr>
        <w:t xml:space="preserve"> maximum:</w:t>
      </w:r>
      <w:r w:rsidR="004B3D54" w:rsidRPr="004B3D54">
        <w:rPr>
          <w:rFonts w:ascii="Arial" w:eastAsia="Arial" w:hAnsi="Arial" w:cs="Arial"/>
          <w:color w:val="000000"/>
          <w:highlight w:val="green"/>
        </w:rPr>
        <w:t xml:space="preserve"> 92</w:t>
      </w:r>
      <w:r w:rsidR="00B62432" w:rsidRPr="004B3D54">
        <w:rPr>
          <w:rFonts w:ascii="Arial" w:eastAsia="Arial" w:hAnsi="Arial" w:cs="Arial"/>
          <w:color w:val="000000"/>
          <w:highlight w:val="green"/>
        </w:rPr>
        <w:t>]</w:t>
      </w:r>
      <w:r w:rsidRPr="004B3D54">
        <w:rPr>
          <w:rFonts w:ascii="Arial" w:eastAsia="Arial" w:hAnsi="Arial" w:cs="Arial"/>
          <w:color w:val="000000"/>
          <w:highlight w:val="green"/>
        </w:rPr>
        <w:t xml:space="preserve">. </w:t>
      </w:r>
      <w:r w:rsidR="00D0596D" w:rsidRPr="004B3D54">
        <w:rPr>
          <w:rFonts w:ascii="Arial" w:eastAsia="Arial" w:hAnsi="Arial" w:cs="Arial"/>
          <w:color w:val="000000"/>
          <w:highlight w:val="green"/>
        </w:rPr>
        <w:t xml:space="preserve">The 29 - 59 age group represented 58.1 % (n=182); 60 - 74, 31.3 % (n=98); 75 - 84, 10.2 % (n=32); and ≥ 85, 0.3 % (n=1). </w:t>
      </w:r>
      <w:r w:rsidRPr="004B3D54">
        <w:rPr>
          <w:rFonts w:ascii="Arial" w:eastAsia="Arial" w:hAnsi="Arial" w:cs="Arial"/>
          <w:color w:val="000000"/>
          <w:highlight w:val="green"/>
        </w:rPr>
        <w:t xml:space="preserve">The </w:t>
      </w:r>
      <w:r w:rsidR="00B62432" w:rsidRPr="004B3D54">
        <w:rPr>
          <w:rFonts w:ascii="Arial" w:eastAsia="Arial" w:hAnsi="Arial" w:cs="Arial"/>
          <w:color w:val="000000"/>
          <w:highlight w:val="green"/>
        </w:rPr>
        <w:t>mean</w:t>
      </w:r>
      <w:r w:rsidRPr="004B3D54">
        <w:rPr>
          <w:rFonts w:ascii="Arial" w:eastAsia="Arial" w:hAnsi="Arial" w:cs="Arial"/>
          <w:color w:val="000000"/>
          <w:highlight w:val="green"/>
        </w:rPr>
        <w:t xml:space="preserve"> BMI was 29.9 ± 4.6 kg/m</w:t>
      </w:r>
      <w:r w:rsidRPr="004B3D54">
        <w:rPr>
          <w:rFonts w:ascii="Arial" w:eastAsia="Arial" w:hAnsi="Arial" w:cs="Arial"/>
          <w:color w:val="000000"/>
          <w:highlight w:val="green"/>
          <w:vertAlign w:val="superscript"/>
        </w:rPr>
        <w:t>2</w:t>
      </w:r>
      <w:r w:rsidR="00B62432" w:rsidRPr="004B3D54">
        <w:rPr>
          <w:rFonts w:ascii="Arial" w:eastAsia="Arial" w:hAnsi="Arial" w:cs="Arial"/>
          <w:color w:val="000000"/>
          <w:highlight w:val="green"/>
        </w:rPr>
        <w:t xml:space="preserve"> [minimum:</w:t>
      </w:r>
      <w:r w:rsidR="004B3D54" w:rsidRPr="004B3D54">
        <w:rPr>
          <w:rFonts w:ascii="Arial" w:eastAsia="Arial" w:hAnsi="Arial" w:cs="Arial"/>
          <w:color w:val="000000"/>
          <w:highlight w:val="green"/>
        </w:rPr>
        <w:t xml:space="preserve"> 22.0;</w:t>
      </w:r>
      <w:r w:rsidR="00B62432" w:rsidRPr="004B3D54">
        <w:rPr>
          <w:rFonts w:ascii="Arial" w:eastAsia="Arial" w:hAnsi="Arial" w:cs="Arial"/>
          <w:color w:val="000000"/>
          <w:highlight w:val="green"/>
        </w:rPr>
        <w:t xml:space="preserve"> maximum:</w:t>
      </w:r>
      <w:r w:rsidR="004B3D54" w:rsidRPr="004B3D54">
        <w:rPr>
          <w:rFonts w:ascii="Arial" w:eastAsia="Arial" w:hAnsi="Arial" w:cs="Arial"/>
          <w:color w:val="000000"/>
          <w:highlight w:val="green"/>
        </w:rPr>
        <w:t xml:space="preserve"> 42.1</w:t>
      </w:r>
      <w:r w:rsidR="00B62432" w:rsidRPr="004B3D54">
        <w:rPr>
          <w:rFonts w:ascii="Arial" w:eastAsia="Arial" w:hAnsi="Arial" w:cs="Arial"/>
          <w:color w:val="000000"/>
          <w:highlight w:val="green"/>
        </w:rPr>
        <w:t xml:space="preserve">] </w:t>
      </w:r>
      <w:r w:rsidRPr="004B3D54">
        <w:rPr>
          <w:rFonts w:ascii="Arial" w:eastAsia="Arial" w:hAnsi="Arial" w:cs="Arial"/>
          <w:color w:val="000000"/>
          <w:highlight w:val="green"/>
        </w:rPr>
        <w:t>(Fig</w:t>
      </w:r>
      <w:r w:rsidR="00436893" w:rsidRPr="004B3D54">
        <w:rPr>
          <w:rFonts w:ascii="Arial" w:eastAsia="Arial" w:hAnsi="Arial" w:cs="Arial"/>
          <w:color w:val="000000"/>
          <w:highlight w:val="green"/>
        </w:rPr>
        <w:t>.</w:t>
      </w:r>
      <w:r w:rsidR="00031D99" w:rsidRPr="004B3D54">
        <w:rPr>
          <w:rFonts w:ascii="Arial" w:eastAsia="Arial" w:hAnsi="Arial" w:cs="Arial"/>
          <w:color w:val="000000"/>
          <w:highlight w:val="green"/>
        </w:rPr>
        <w:t xml:space="preserve"> 1). The number of patients </w:t>
      </w:r>
      <w:r w:rsidR="002937B6" w:rsidRPr="004B3D54">
        <w:rPr>
          <w:rFonts w:ascii="Arial" w:eastAsia="Arial" w:hAnsi="Arial" w:cs="Arial"/>
          <w:color w:val="000000"/>
          <w:highlight w:val="green"/>
        </w:rPr>
        <w:t>who registered normal weight were</w:t>
      </w:r>
      <w:r w:rsidR="00031D99" w:rsidRPr="004B3D54">
        <w:rPr>
          <w:rFonts w:ascii="Arial" w:eastAsia="Arial" w:hAnsi="Arial" w:cs="Arial"/>
          <w:color w:val="000000"/>
          <w:highlight w:val="green"/>
        </w:rPr>
        <w:t xml:space="preserve"> 20 (6.4 %); 177 (56.5 %) overweight; 60 (19.2 %) grade I obesity; 35 (11.2 %) grade II obesity; and 21 (6.7 %) grade III obesity (Fig. 2). The patients with some degree of obesity represented 37.1% (n=116).</w:t>
      </w:r>
    </w:p>
    <w:p w14:paraId="5BCEC779" w14:textId="77777777" w:rsidR="00064E98" w:rsidRPr="00031D99" w:rsidRDefault="00064E98" w:rsidP="008C450A">
      <w:pPr>
        <w:jc w:val="both"/>
        <w:rPr>
          <w:rFonts w:ascii="Arial" w:eastAsia="Arial" w:hAnsi="Arial" w:cs="Arial"/>
          <w:color w:val="000000"/>
        </w:rPr>
      </w:pPr>
    </w:p>
    <w:p w14:paraId="3A8A6A82" w14:textId="4472D23E" w:rsidR="00BF2088" w:rsidRPr="00F15B51" w:rsidRDefault="005F4D9D" w:rsidP="008C450A">
      <w:pPr>
        <w:jc w:val="both"/>
        <w:rPr>
          <w:rFonts w:ascii="Arial" w:eastAsia="Arial" w:hAnsi="Arial" w:cs="Arial"/>
          <w:color w:val="000000"/>
        </w:rPr>
      </w:pPr>
      <w:r w:rsidRPr="00083414">
        <w:rPr>
          <w:rFonts w:ascii="Arial" w:eastAsia="Arial" w:hAnsi="Arial" w:cs="Arial"/>
          <w:color w:val="000000"/>
          <w:highlight w:val="green"/>
        </w:rPr>
        <w:t>The e</w:t>
      </w:r>
      <w:r w:rsidR="00BF2088" w:rsidRPr="00083414">
        <w:rPr>
          <w:rFonts w:ascii="Arial" w:eastAsia="Arial" w:hAnsi="Arial" w:cs="Arial"/>
          <w:color w:val="000000"/>
          <w:highlight w:val="green"/>
        </w:rPr>
        <w:t xml:space="preserve">mergency surgeries </w:t>
      </w:r>
      <w:r w:rsidR="00083414" w:rsidRPr="00083414">
        <w:rPr>
          <w:rFonts w:ascii="Arial" w:eastAsia="Arial" w:hAnsi="Arial" w:cs="Arial"/>
          <w:color w:val="000000"/>
          <w:highlight w:val="green"/>
        </w:rPr>
        <w:t>were</w:t>
      </w:r>
      <w:r w:rsidR="00BF2088" w:rsidRPr="00083414">
        <w:rPr>
          <w:rFonts w:ascii="Arial" w:eastAsia="Arial" w:hAnsi="Arial" w:cs="Arial"/>
          <w:color w:val="000000"/>
          <w:highlight w:val="green"/>
        </w:rPr>
        <w:t xml:space="preserve"> 131 (41.9</w:t>
      </w:r>
      <w:r w:rsidR="00D07E02" w:rsidRPr="00083414">
        <w:rPr>
          <w:rFonts w:ascii="Arial" w:eastAsia="Arial" w:hAnsi="Arial" w:cs="Arial"/>
          <w:color w:val="000000"/>
          <w:highlight w:val="green"/>
        </w:rPr>
        <w:t xml:space="preserve"> </w:t>
      </w:r>
      <w:r w:rsidR="00BF2088" w:rsidRPr="00083414">
        <w:rPr>
          <w:rFonts w:ascii="Arial" w:eastAsia="Arial" w:hAnsi="Arial" w:cs="Arial"/>
          <w:color w:val="000000"/>
          <w:highlight w:val="green"/>
        </w:rPr>
        <w:t>%); and scheduled surgeries 182 (58.1</w:t>
      </w:r>
      <w:r w:rsidR="00D07E02" w:rsidRPr="00083414">
        <w:rPr>
          <w:rFonts w:ascii="Arial" w:eastAsia="Arial" w:hAnsi="Arial" w:cs="Arial"/>
          <w:color w:val="000000"/>
          <w:highlight w:val="green"/>
        </w:rPr>
        <w:t xml:space="preserve"> </w:t>
      </w:r>
      <w:r w:rsidR="00BF2088" w:rsidRPr="00083414">
        <w:rPr>
          <w:rFonts w:ascii="Arial" w:eastAsia="Arial" w:hAnsi="Arial" w:cs="Arial"/>
          <w:color w:val="000000"/>
          <w:highlight w:val="green"/>
        </w:rPr>
        <w:t xml:space="preserve">%). </w:t>
      </w:r>
      <w:r w:rsidR="00F24557" w:rsidRPr="00083414">
        <w:rPr>
          <w:rFonts w:ascii="Arial" w:eastAsia="Arial" w:hAnsi="Arial" w:cs="Arial"/>
          <w:color w:val="000000"/>
          <w:highlight w:val="green"/>
        </w:rPr>
        <w:t>The t</w:t>
      </w:r>
      <w:r w:rsidR="00BF2088" w:rsidRPr="00083414">
        <w:rPr>
          <w:rFonts w:ascii="Arial" w:eastAsia="Arial" w:hAnsi="Arial" w:cs="Arial"/>
          <w:color w:val="000000"/>
          <w:highlight w:val="green"/>
        </w:rPr>
        <w:t>echnically difficult laparoscopic cholecystectomy was recorded in 82 (26.2</w:t>
      </w:r>
      <w:r w:rsidR="00D07E02" w:rsidRPr="00083414">
        <w:rPr>
          <w:rFonts w:ascii="Arial" w:eastAsia="Arial" w:hAnsi="Arial" w:cs="Arial"/>
          <w:color w:val="000000"/>
          <w:highlight w:val="green"/>
        </w:rPr>
        <w:t xml:space="preserve"> </w:t>
      </w:r>
      <w:r w:rsidR="00BF2088" w:rsidRPr="00083414">
        <w:rPr>
          <w:rFonts w:ascii="Arial" w:eastAsia="Arial" w:hAnsi="Arial" w:cs="Arial"/>
          <w:color w:val="000000"/>
          <w:highlight w:val="green"/>
        </w:rPr>
        <w:t>%) patients; and without difficulty in 231 (73.8</w:t>
      </w:r>
      <w:r w:rsidR="00D07E02" w:rsidRPr="00083414">
        <w:rPr>
          <w:rFonts w:ascii="Arial" w:eastAsia="Arial" w:hAnsi="Arial" w:cs="Arial"/>
          <w:color w:val="000000"/>
          <w:highlight w:val="green"/>
        </w:rPr>
        <w:t xml:space="preserve"> </w:t>
      </w:r>
      <w:r w:rsidR="00CB31DB" w:rsidRPr="00083414">
        <w:rPr>
          <w:rFonts w:ascii="Arial" w:eastAsia="Arial" w:hAnsi="Arial" w:cs="Arial"/>
          <w:color w:val="000000"/>
          <w:highlight w:val="green"/>
        </w:rPr>
        <w:t>%).</w:t>
      </w:r>
      <w:r w:rsidR="00CB31DB">
        <w:rPr>
          <w:rFonts w:ascii="Arial" w:eastAsia="Arial" w:hAnsi="Arial" w:cs="Arial"/>
          <w:color w:val="000000"/>
        </w:rPr>
        <w:t xml:space="preserve"> </w:t>
      </w:r>
      <w:r w:rsidR="00917B3B" w:rsidRPr="00CB31DB">
        <w:rPr>
          <w:rFonts w:ascii="Arial" w:eastAsia="Arial" w:hAnsi="Arial" w:cs="Arial"/>
          <w:color w:val="000000"/>
          <w:highlight w:val="green"/>
        </w:rPr>
        <w:t>On the Parkland Scale, Grade I represented 23.0</w:t>
      </w:r>
      <w:r w:rsidR="00CB31DB" w:rsidRPr="00CB31DB">
        <w:rPr>
          <w:rFonts w:ascii="Arial" w:eastAsia="Arial" w:hAnsi="Arial" w:cs="Arial"/>
          <w:color w:val="000000"/>
          <w:highlight w:val="green"/>
        </w:rPr>
        <w:t xml:space="preserve"> </w:t>
      </w:r>
      <w:r w:rsidR="00917B3B" w:rsidRPr="00CB31DB">
        <w:rPr>
          <w:rFonts w:ascii="Arial" w:eastAsia="Arial" w:hAnsi="Arial" w:cs="Arial"/>
          <w:color w:val="000000"/>
          <w:highlight w:val="green"/>
        </w:rPr>
        <w:t>% (n=72); Grade II, 36.4</w:t>
      </w:r>
      <w:r w:rsidR="00CB31DB" w:rsidRPr="00CB31DB">
        <w:rPr>
          <w:rFonts w:ascii="Arial" w:eastAsia="Arial" w:hAnsi="Arial" w:cs="Arial"/>
          <w:color w:val="000000"/>
          <w:highlight w:val="green"/>
        </w:rPr>
        <w:t xml:space="preserve"> </w:t>
      </w:r>
      <w:r w:rsidR="00917B3B" w:rsidRPr="00CB31DB">
        <w:rPr>
          <w:rFonts w:ascii="Arial" w:eastAsia="Arial" w:hAnsi="Arial" w:cs="Arial"/>
          <w:color w:val="000000"/>
          <w:highlight w:val="green"/>
        </w:rPr>
        <w:t>% (n=114); Grade III, 14.4</w:t>
      </w:r>
      <w:r w:rsidR="00CB31DB" w:rsidRPr="00CB31DB">
        <w:rPr>
          <w:rFonts w:ascii="Arial" w:eastAsia="Arial" w:hAnsi="Arial" w:cs="Arial"/>
          <w:color w:val="000000"/>
          <w:highlight w:val="green"/>
        </w:rPr>
        <w:t xml:space="preserve"> </w:t>
      </w:r>
      <w:r w:rsidR="00917B3B" w:rsidRPr="00CB31DB">
        <w:rPr>
          <w:rFonts w:ascii="Arial" w:eastAsia="Arial" w:hAnsi="Arial" w:cs="Arial"/>
          <w:color w:val="000000"/>
          <w:highlight w:val="green"/>
        </w:rPr>
        <w:t>% (n=45); Grade IV, 15.0</w:t>
      </w:r>
      <w:r w:rsidR="00CB31DB" w:rsidRPr="00CB31DB">
        <w:rPr>
          <w:rFonts w:ascii="Arial" w:eastAsia="Arial" w:hAnsi="Arial" w:cs="Arial"/>
          <w:color w:val="000000"/>
          <w:highlight w:val="green"/>
        </w:rPr>
        <w:t xml:space="preserve"> </w:t>
      </w:r>
      <w:r w:rsidR="00917B3B" w:rsidRPr="00CB31DB">
        <w:rPr>
          <w:rFonts w:ascii="Arial" w:eastAsia="Arial" w:hAnsi="Arial" w:cs="Arial"/>
          <w:color w:val="000000"/>
          <w:highlight w:val="green"/>
        </w:rPr>
        <w:t>% (n=47); and Grade V, 11.2</w:t>
      </w:r>
      <w:r w:rsidR="00CB31DB" w:rsidRPr="00CB31DB">
        <w:rPr>
          <w:rFonts w:ascii="Arial" w:eastAsia="Arial" w:hAnsi="Arial" w:cs="Arial"/>
          <w:color w:val="000000"/>
          <w:highlight w:val="green"/>
        </w:rPr>
        <w:t xml:space="preserve"> </w:t>
      </w:r>
      <w:r w:rsidR="00917B3B" w:rsidRPr="00CB31DB">
        <w:rPr>
          <w:rFonts w:ascii="Arial" w:eastAsia="Arial" w:hAnsi="Arial" w:cs="Arial"/>
          <w:color w:val="000000"/>
          <w:highlight w:val="green"/>
        </w:rPr>
        <w:t>% (n=35)</w:t>
      </w:r>
      <w:r w:rsidR="00CB31DB" w:rsidRPr="00CB31DB">
        <w:rPr>
          <w:rFonts w:ascii="Arial" w:eastAsia="Arial" w:hAnsi="Arial" w:cs="Arial"/>
          <w:color w:val="000000"/>
          <w:highlight w:val="green"/>
        </w:rPr>
        <w:t xml:space="preserve"> </w:t>
      </w:r>
      <w:r w:rsidR="00BF2088" w:rsidRPr="00CB31DB">
        <w:rPr>
          <w:rFonts w:ascii="Arial" w:eastAsia="Arial" w:hAnsi="Arial" w:cs="Arial"/>
          <w:color w:val="000000"/>
          <w:highlight w:val="green"/>
        </w:rPr>
        <w:t>(Fig</w:t>
      </w:r>
      <w:r w:rsidR="00436893" w:rsidRPr="00CB31DB">
        <w:rPr>
          <w:rFonts w:ascii="Arial" w:eastAsia="Arial" w:hAnsi="Arial" w:cs="Arial"/>
          <w:color w:val="000000"/>
          <w:highlight w:val="green"/>
        </w:rPr>
        <w:t>.</w:t>
      </w:r>
      <w:r w:rsidR="00BF2088" w:rsidRPr="00CB31DB">
        <w:rPr>
          <w:rFonts w:ascii="Arial" w:eastAsia="Arial" w:hAnsi="Arial" w:cs="Arial"/>
          <w:color w:val="000000"/>
          <w:highlight w:val="green"/>
        </w:rPr>
        <w:t xml:space="preserve"> 3).</w:t>
      </w:r>
    </w:p>
    <w:p w14:paraId="6B24C229" w14:textId="77777777" w:rsidR="009235F4" w:rsidRPr="00F15B51" w:rsidRDefault="009235F4" w:rsidP="008C450A">
      <w:pPr>
        <w:jc w:val="both"/>
        <w:rPr>
          <w:rFonts w:ascii="Arial" w:eastAsia="Arial" w:hAnsi="Arial" w:cs="Arial"/>
          <w:color w:val="000000"/>
        </w:rPr>
      </w:pPr>
    </w:p>
    <w:p w14:paraId="7C397CED" w14:textId="77777777" w:rsidR="00347A90" w:rsidRPr="00F15B51" w:rsidRDefault="00207AD5" w:rsidP="00996E01">
      <w:pPr>
        <w:jc w:val="center"/>
        <w:rPr>
          <w:rFonts w:ascii="Arial" w:eastAsia="Arial" w:hAnsi="Arial" w:cs="Arial"/>
          <w:color w:val="000000"/>
        </w:rPr>
      </w:pPr>
      <w:r w:rsidRPr="00F15B51">
        <w:rPr>
          <w:noProof/>
          <w:lang w:val="es-MX" w:eastAsia="es-MX"/>
        </w:rPr>
        <w:drawing>
          <wp:inline distT="0" distB="0" distL="0" distR="0" wp14:anchorId="427550DA" wp14:editId="29AB8E11">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7A8ECD" w14:textId="77777777" w:rsidR="00347A90" w:rsidRPr="00F15B51" w:rsidRDefault="00436893" w:rsidP="00347A90">
      <w:pPr>
        <w:jc w:val="center"/>
        <w:rPr>
          <w:rFonts w:ascii="Arial" w:eastAsia="Arial" w:hAnsi="Arial" w:cs="Arial"/>
          <w:b/>
        </w:rPr>
      </w:pPr>
      <w:r>
        <w:rPr>
          <w:rFonts w:ascii="Arial" w:eastAsia="Arial" w:hAnsi="Arial" w:cs="Arial"/>
          <w:b/>
        </w:rPr>
        <w:t xml:space="preserve">Fig. </w:t>
      </w:r>
      <w:r w:rsidR="00347A90" w:rsidRPr="00F15B51">
        <w:rPr>
          <w:rFonts w:ascii="Arial" w:eastAsia="Arial" w:hAnsi="Arial" w:cs="Arial"/>
          <w:b/>
        </w:rPr>
        <w:t xml:space="preserve">1. </w:t>
      </w:r>
      <w:r w:rsidR="00207AD5" w:rsidRPr="00F15B51">
        <w:rPr>
          <w:rFonts w:ascii="Arial" w:eastAsia="Arial" w:hAnsi="Arial" w:cs="Arial"/>
          <w:b/>
        </w:rPr>
        <w:t>Age and BMI recorded.</w:t>
      </w:r>
    </w:p>
    <w:p w14:paraId="2CC52E4F" w14:textId="77777777" w:rsidR="00347A90" w:rsidRPr="00F15B51" w:rsidRDefault="00347A90" w:rsidP="00347A90"/>
    <w:p w14:paraId="238E4C64" w14:textId="77777777" w:rsidR="00207AD5" w:rsidRPr="00F15B51" w:rsidRDefault="00207AD5" w:rsidP="00207AD5">
      <w:pPr>
        <w:suppressAutoHyphens/>
        <w:spacing w:line="360" w:lineRule="auto"/>
        <w:jc w:val="center"/>
        <w:rPr>
          <w:rFonts w:ascii="Arial" w:hAnsi="Arial" w:cs="Arial"/>
          <w:sz w:val="24"/>
          <w:szCs w:val="24"/>
        </w:rPr>
      </w:pPr>
      <w:r w:rsidRPr="00F15B51">
        <w:rPr>
          <w:noProof/>
          <w:lang w:val="es-MX" w:eastAsia="es-MX"/>
        </w:rPr>
        <w:lastRenderedPageBreak/>
        <w:drawing>
          <wp:inline distT="0" distB="0" distL="0" distR="0" wp14:anchorId="3575F7F8" wp14:editId="09B6BE1D">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155AF1" w14:textId="77777777" w:rsidR="00207AD5" w:rsidRPr="00F15B51" w:rsidRDefault="00436893" w:rsidP="00207AD5">
      <w:pPr>
        <w:suppressAutoHyphens/>
        <w:spacing w:line="360" w:lineRule="auto"/>
        <w:jc w:val="center"/>
        <w:rPr>
          <w:rFonts w:ascii="Arial" w:hAnsi="Arial" w:cs="Arial"/>
          <w:b/>
        </w:rPr>
      </w:pPr>
      <w:r>
        <w:rPr>
          <w:rFonts w:ascii="Arial" w:hAnsi="Arial" w:cs="Arial"/>
          <w:b/>
        </w:rPr>
        <w:t xml:space="preserve">Fig. </w:t>
      </w:r>
      <w:r w:rsidR="00207AD5" w:rsidRPr="00F15B51">
        <w:rPr>
          <w:rFonts w:ascii="Arial" w:hAnsi="Arial" w:cs="Arial"/>
          <w:b/>
        </w:rPr>
        <w:t>2. Number of patients respect to BMI.</w:t>
      </w:r>
    </w:p>
    <w:p w14:paraId="3F4E9562" w14:textId="77777777" w:rsidR="00207AD5" w:rsidRPr="00F15B51" w:rsidRDefault="00207AD5" w:rsidP="008C450A">
      <w:pPr>
        <w:jc w:val="both"/>
        <w:rPr>
          <w:rFonts w:ascii="Arial" w:eastAsia="Arial" w:hAnsi="Arial" w:cs="Arial"/>
          <w:color w:val="000000"/>
        </w:rPr>
      </w:pPr>
    </w:p>
    <w:p w14:paraId="44C5B588" w14:textId="77777777" w:rsidR="00207AD5" w:rsidRPr="00F15B51" w:rsidRDefault="00207AD5" w:rsidP="008C450A">
      <w:pPr>
        <w:jc w:val="both"/>
        <w:rPr>
          <w:rFonts w:ascii="Arial" w:eastAsia="Arial" w:hAnsi="Arial" w:cs="Arial"/>
          <w:color w:val="000000"/>
        </w:rPr>
      </w:pPr>
    </w:p>
    <w:p w14:paraId="21569805" w14:textId="77777777" w:rsidR="00BF2088" w:rsidRPr="00F15B51" w:rsidRDefault="00BF2088" w:rsidP="00BF2088">
      <w:pPr>
        <w:suppressAutoHyphens/>
        <w:spacing w:line="360" w:lineRule="auto"/>
        <w:jc w:val="center"/>
        <w:rPr>
          <w:rFonts w:ascii="Arial" w:hAnsi="Arial" w:cs="Arial"/>
          <w:sz w:val="24"/>
          <w:szCs w:val="24"/>
        </w:rPr>
      </w:pPr>
      <w:r w:rsidRPr="00F15B51">
        <w:rPr>
          <w:rFonts w:ascii="Arial" w:hAnsi="Arial" w:cs="Arial"/>
          <w:noProof/>
          <w:sz w:val="24"/>
          <w:szCs w:val="24"/>
          <w:lang w:val="es-MX" w:eastAsia="es-MX"/>
        </w:rPr>
        <w:drawing>
          <wp:inline distT="0" distB="0" distL="0" distR="0" wp14:anchorId="42A809EB" wp14:editId="43915CBB">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12B170" w14:textId="77777777" w:rsidR="00BF2088" w:rsidRPr="00F15B51" w:rsidRDefault="00436893" w:rsidP="00BF2088">
      <w:pPr>
        <w:suppressAutoHyphens/>
        <w:jc w:val="center"/>
        <w:rPr>
          <w:rFonts w:ascii="Arial" w:hAnsi="Arial" w:cs="Arial"/>
          <w:b/>
        </w:rPr>
      </w:pPr>
      <w:r>
        <w:rPr>
          <w:rFonts w:ascii="Arial" w:hAnsi="Arial" w:cs="Arial"/>
          <w:b/>
        </w:rPr>
        <w:t>Fig. 3.</w:t>
      </w:r>
      <w:r w:rsidR="007B0A8E" w:rsidRPr="00F15B51">
        <w:rPr>
          <w:rFonts w:ascii="Arial" w:hAnsi="Arial" w:cs="Arial"/>
          <w:b/>
        </w:rPr>
        <w:t xml:space="preserve"> Number of patients respect to the Parkland Scale.</w:t>
      </w:r>
    </w:p>
    <w:p w14:paraId="722DE34F" w14:textId="77777777" w:rsidR="00817F4A" w:rsidRPr="00F15B51" w:rsidRDefault="00817F4A" w:rsidP="008C450A">
      <w:pPr>
        <w:jc w:val="both"/>
        <w:rPr>
          <w:rFonts w:ascii="Arial" w:eastAsia="Arial" w:hAnsi="Arial" w:cs="Arial"/>
          <w:color w:val="000000"/>
        </w:rPr>
      </w:pPr>
    </w:p>
    <w:p w14:paraId="657654CB" w14:textId="51945F87" w:rsidR="00BF2088" w:rsidRDefault="00CB31DB" w:rsidP="007B0A8E">
      <w:pPr>
        <w:tabs>
          <w:tab w:val="left" w:pos="1080"/>
        </w:tabs>
        <w:jc w:val="both"/>
        <w:rPr>
          <w:rFonts w:ascii="Arial" w:hAnsi="Arial"/>
        </w:rPr>
      </w:pPr>
      <w:r w:rsidRPr="00616DF4">
        <w:rPr>
          <w:rFonts w:ascii="Arial" w:hAnsi="Arial"/>
          <w:highlight w:val="green"/>
        </w:rPr>
        <w:t>The</w:t>
      </w:r>
      <w:r w:rsidR="005A6C1B">
        <w:rPr>
          <w:rFonts w:ascii="Arial" w:hAnsi="Arial"/>
          <w:highlight w:val="green"/>
        </w:rPr>
        <w:t xml:space="preserve"> clinical data were</w:t>
      </w:r>
      <w:r w:rsidR="00201A24">
        <w:rPr>
          <w:rFonts w:ascii="Arial" w:hAnsi="Arial"/>
          <w:highlight w:val="green"/>
        </w:rPr>
        <w:t xml:space="preserve"> </w:t>
      </w:r>
      <w:r w:rsidR="004B3D54" w:rsidRPr="00616DF4">
        <w:rPr>
          <w:rFonts w:ascii="Arial" w:hAnsi="Arial"/>
          <w:highlight w:val="green"/>
        </w:rPr>
        <w:t xml:space="preserve">body temperature &gt; 37 °C </w:t>
      </w:r>
      <w:r w:rsidRPr="00616DF4">
        <w:rPr>
          <w:rFonts w:ascii="Arial" w:hAnsi="Arial"/>
          <w:highlight w:val="green"/>
        </w:rPr>
        <w:t>were present in 106 (33.9</w:t>
      </w:r>
      <w:r w:rsidR="007C1D08" w:rsidRPr="00616DF4">
        <w:rPr>
          <w:rFonts w:ascii="Arial" w:hAnsi="Arial"/>
          <w:highlight w:val="green"/>
        </w:rPr>
        <w:t xml:space="preserve"> </w:t>
      </w:r>
      <w:r w:rsidRPr="00616DF4">
        <w:rPr>
          <w:rFonts w:ascii="Arial" w:hAnsi="Arial"/>
          <w:highlight w:val="green"/>
        </w:rPr>
        <w:t>%) patients;</w:t>
      </w:r>
      <w:r w:rsidR="00201A24">
        <w:rPr>
          <w:rFonts w:ascii="Arial" w:hAnsi="Arial"/>
          <w:highlight w:val="green"/>
        </w:rPr>
        <w:t xml:space="preserve"> and</w:t>
      </w:r>
      <w:r w:rsidRPr="00616DF4">
        <w:rPr>
          <w:rFonts w:ascii="Arial" w:hAnsi="Arial"/>
          <w:highlight w:val="green"/>
        </w:rPr>
        <w:t xml:space="preserve"> jaundice in 132 (42.2</w:t>
      </w:r>
      <w:r w:rsidR="007C1D08" w:rsidRPr="00616DF4">
        <w:rPr>
          <w:rFonts w:ascii="Arial" w:hAnsi="Arial"/>
          <w:highlight w:val="green"/>
        </w:rPr>
        <w:t xml:space="preserve"> </w:t>
      </w:r>
      <w:r w:rsidR="00201A24">
        <w:rPr>
          <w:rFonts w:ascii="Arial" w:hAnsi="Arial"/>
          <w:highlight w:val="green"/>
        </w:rPr>
        <w:t>%)</w:t>
      </w:r>
      <w:r w:rsidR="005A6C1B">
        <w:rPr>
          <w:rFonts w:ascii="Arial" w:hAnsi="Arial"/>
          <w:highlight w:val="green"/>
        </w:rPr>
        <w:t xml:space="preserve">. </w:t>
      </w:r>
      <w:r w:rsidR="00201A24">
        <w:rPr>
          <w:rFonts w:ascii="Arial" w:hAnsi="Arial"/>
          <w:highlight w:val="green"/>
        </w:rPr>
        <w:t xml:space="preserve">The hematological </w:t>
      </w:r>
      <w:r w:rsidR="005A6C1B">
        <w:rPr>
          <w:rFonts w:ascii="Arial" w:hAnsi="Arial"/>
          <w:highlight w:val="green"/>
        </w:rPr>
        <w:t>data indicated</w:t>
      </w:r>
      <w:r w:rsidR="00201A24">
        <w:rPr>
          <w:rFonts w:ascii="Arial" w:hAnsi="Arial"/>
          <w:highlight w:val="green"/>
        </w:rPr>
        <w:t xml:space="preserve"> </w:t>
      </w:r>
      <w:r w:rsidRPr="00616DF4">
        <w:rPr>
          <w:rFonts w:ascii="Arial" w:hAnsi="Arial"/>
          <w:highlight w:val="green"/>
        </w:rPr>
        <w:t>leukocytosis</w:t>
      </w:r>
      <w:r w:rsidR="00616DF4" w:rsidRPr="00616DF4">
        <w:rPr>
          <w:rFonts w:ascii="Arial" w:hAnsi="Arial"/>
          <w:highlight w:val="green"/>
        </w:rPr>
        <w:t xml:space="preserve"> </w:t>
      </w:r>
      <w:r w:rsidRPr="00616DF4">
        <w:rPr>
          <w:rFonts w:ascii="Arial" w:hAnsi="Arial"/>
          <w:highlight w:val="green"/>
        </w:rPr>
        <w:t>in 173 (55.3</w:t>
      </w:r>
      <w:r w:rsidR="007C1D08" w:rsidRPr="00616DF4">
        <w:rPr>
          <w:rFonts w:ascii="Arial" w:hAnsi="Arial"/>
          <w:highlight w:val="green"/>
        </w:rPr>
        <w:t xml:space="preserve"> </w:t>
      </w:r>
      <w:r w:rsidRPr="00616DF4">
        <w:rPr>
          <w:rFonts w:ascii="Arial" w:hAnsi="Arial"/>
          <w:highlight w:val="green"/>
        </w:rPr>
        <w:t>%); thrombocytopenia in 60 (19.2</w:t>
      </w:r>
      <w:r w:rsidR="007C1D08" w:rsidRPr="00616DF4">
        <w:rPr>
          <w:rFonts w:ascii="Arial" w:hAnsi="Arial"/>
          <w:highlight w:val="green"/>
        </w:rPr>
        <w:t xml:space="preserve"> </w:t>
      </w:r>
      <w:r w:rsidRPr="00616DF4">
        <w:rPr>
          <w:rFonts w:ascii="Arial" w:hAnsi="Arial"/>
          <w:highlight w:val="green"/>
        </w:rPr>
        <w:t>%); NLR ≥ 6 in 49 (15.7</w:t>
      </w:r>
      <w:r w:rsidR="007C1D08" w:rsidRPr="00616DF4">
        <w:rPr>
          <w:rFonts w:ascii="Arial" w:hAnsi="Arial"/>
          <w:highlight w:val="green"/>
        </w:rPr>
        <w:t xml:space="preserve"> </w:t>
      </w:r>
      <w:r w:rsidRPr="00616DF4">
        <w:rPr>
          <w:rFonts w:ascii="Arial" w:hAnsi="Arial"/>
          <w:highlight w:val="green"/>
        </w:rPr>
        <w:t>%); hyperbilirubinemia in 155 (49.5</w:t>
      </w:r>
      <w:r w:rsidR="007C1D08" w:rsidRPr="00616DF4">
        <w:rPr>
          <w:rFonts w:ascii="Arial" w:hAnsi="Arial"/>
          <w:highlight w:val="green"/>
        </w:rPr>
        <w:t xml:space="preserve"> </w:t>
      </w:r>
      <w:r w:rsidRPr="00616DF4">
        <w:rPr>
          <w:rFonts w:ascii="Arial" w:hAnsi="Arial"/>
          <w:highlight w:val="green"/>
        </w:rPr>
        <w:t>%);</w:t>
      </w:r>
      <w:r w:rsidR="005A6C1B">
        <w:rPr>
          <w:rFonts w:ascii="Arial" w:hAnsi="Arial"/>
          <w:highlight w:val="green"/>
        </w:rPr>
        <w:t xml:space="preserve"> and</w:t>
      </w:r>
      <w:r w:rsidRPr="00616DF4">
        <w:rPr>
          <w:rFonts w:ascii="Arial" w:hAnsi="Arial"/>
          <w:highlight w:val="green"/>
        </w:rPr>
        <w:t xml:space="preserve"> positive C-reactive protein in 39 (12.5</w:t>
      </w:r>
      <w:r w:rsidR="007C1D08" w:rsidRPr="00616DF4">
        <w:rPr>
          <w:rFonts w:ascii="Arial" w:hAnsi="Arial"/>
          <w:highlight w:val="green"/>
        </w:rPr>
        <w:t xml:space="preserve"> </w:t>
      </w:r>
      <w:r w:rsidR="005A6C1B">
        <w:rPr>
          <w:rFonts w:ascii="Arial" w:hAnsi="Arial"/>
          <w:highlight w:val="green"/>
        </w:rPr>
        <w:t xml:space="preserve">%). The radiological dated showed </w:t>
      </w:r>
      <w:r w:rsidRPr="00616DF4">
        <w:rPr>
          <w:rFonts w:ascii="Arial" w:hAnsi="Arial"/>
          <w:highlight w:val="green"/>
        </w:rPr>
        <w:t>increased length of the major axis of the gallbladder</w:t>
      </w:r>
      <w:r w:rsidR="007E31FF">
        <w:rPr>
          <w:rFonts w:ascii="Arial" w:hAnsi="Arial"/>
          <w:highlight w:val="green"/>
        </w:rPr>
        <w:t xml:space="preserve"> </w:t>
      </w:r>
      <w:r w:rsidR="007E31FF" w:rsidRPr="004B3D54">
        <w:rPr>
          <w:rFonts w:ascii="Arial" w:eastAsia="Arial" w:hAnsi="Arial" w:cs="Arial"/>
          <w:highlight w:val="green"/>
        </w:rPr>
        <w:t>&gt; 10 cm</w:t>
      </w:r>
      <w:r w:rsidRPr="00616DF4">
        <w:rPr>
          <w:rFonts w:ascii="Arial" w:hAnsi="Arial"/>
          <w:highlight w:val="green"/>
        </w:rPr>
        <w:t xml:space="preserve"> in 72 (23.0</w:t>
      </w:r>
      <w:r w:rsidR="007C1D08" w:rsidRPr="00616DF4">
        <w:rPr>
          <w:rFonts w:ascii="Arial" w:hAnsi="Arial"/>
          <w:highlight w:val="green"/>
        </w:rPr>
        <w:t xml:space="preserve"> </w:t>
      </w:r>
      <w:r w:rsidRPr="00616DF4">
        <w:rPr>
          <w:rFonts w:ascii="Arial" w:hAnsi="Arial"/>
          <w:highlight w:val="green"/>
        </w:rPr>
        <w:t>%); maximum stone size ≥ 10 mm in 152 (48.6</w:t>
      </w:r>
      <w:r w:rsidR="007C1D08" w:rsidRPr="00616DF4">
        <w:rPr>
          <w:rFonts w:ascii="Arial" w:hAnsi="Arial"/>
          <w:highlight w:val="green"/>
        </w:rPr>
        <w:t xml:space="preserve"> </w:t>
      </w:r>
      <w:r w:rsidRPr="00616DF4">
        <w:rPr>
          <w:rFonts w:ascii="Arial" w:hAnsi="Arial"/>
          <w:highlight w:val="green"/>
        </w:rPr>
        <w:t>%); gallbladder wall thickness ≥ 4</w:t>
      </w:r>
      <w:r w:rsidR="00616DF4">
        <w:rPr>
          <w:rFonts w:ascii="Arial" w:hAnsi="Arial"/>
          <w:highlight w:val="green"/>
        </w:rPr>
        <w:t xml:space="preserve"> mm</w:t>
      </w:r>
      <w:r w:rsidRPr="00616DF4">
        <w:rPr>
          <w:rFonts w:ascii="Arial" w:hAnsi="Arial"/>
          <w:highlight w:val="green"/>
        </w:rPr>
        <w:t xml:space="preserve"> in 182 (58.1</w:t>
      </w:r>
      <w:r w:rsidR="007C1D08" w:rsidRPr="00616DF4">
        <w:rPr>
          <w:rFonts w:ascii="Arial" w:hAnsi="Arial"/>
          <w:highlight w:val="green"/>
        </w:rPr>
        <w:t xml:space="preserve"> </w:t>
      </w:r>
      <w:r w:rsidRPr="00616DF4">
        <w:rPr>
          <w:rFonts w:ascii="Arial" w:hAnsi="Arial"/>
          <w:highlight w:val="green"/>
        </w:rPr>
        <w:t>%); and hypervascularity on Doppler function in 184 (58.8</w:t>
      </w:r>
      <w:r w:rsidR="007C1D08" w:rsidRPr="00616DF4">
        <w:rPr>
          <w:rFonts w:ascii="Arial" w:hAnsi="Arial"/>
          <w:highlight w:val="green"/>
        </w:rPr>
        <w:t xml:space="preserve"> </w:t>
      </w:r>
      <w:r w:rsidRPr="00616DF4">
        <w:rPr>
          <w:rFonts w:ascii="Arial" w:hAnsi="Arial"/>
          <w:highlight w:val="green"/>
        </w:rPr>
        <w:t xml:space="preserve">%) </w:t>
      </w:r>
      <w:r w:rsidR="007B0A8E" w:rsidRPr="00616DF4">
        <w:rPr>
          <w:rFonts w:ascii="Arial" w:hAnsi="Arial"/>
          <w:highlight w:val="green"/>
        </w:rPr>
        <w:t>(Table 1).</w:t>
      </w:r>
    </w:p>
    <w:p w14:paraId="77C33095" w14:textId="77777777" w:rsidR="00660EE4" w:rsidRPr="00F15B51" w:rsidRDefault="00660EE4" w:rsidP="007B0A8E">
      <w:pPr>
        <w:tabs>
          <w:tab w:val="left" w:pos="1080"/>
        </w:tabs>
        <w:jc w:val="both"/>
        <w:rPr>
          <w:rFonts w:ascii="Arial" w:hAnsi="Arial"/>
        </w:rPr>
      </w:pPr>
    </w:p>
    <w:p w14:paraId="079FDCC5" w14:textId="77777777" w:rsidR="007B0A8E" w:rsidRPr="00F15B51" w:rsidRDefault="007B0A8E" w:rsidP="007B0A8E">
      <w:pPr>
        <w:tabs>
          <w:tab w:val="left" w:pos="1080"/>
        </w:tabs>
        <w:jc w:val="both"/>
        <w:rPr>
          <w:rFonts w:ascii="Arial" w:hAnsi="Arial"/>
        </w:rPr>
      </w:pPr>
    </w:p>
    <w:p w14:paraId="1AE5300F" w14:textId="77777777" w:rsidR="002850C3" w:rsidRPr="00F15B51" w:rsidRDefault="002850C3" w:rsidP="002850C3">
      <w:pPr>
        <w:tabs>
          <w:tab w:val="left" w:pos="1080"/>
        </w:tabs>
        <w:jc w:val="center"/>
        <w:rPr>
          <w:rFonts w:ascii="Arial" w:hAnsi="Arial"/>
          <w:b/>
        </w:rPr>
      </w:pPr>
      <w:r w:rsidRPr="00F15B51">
        <w:rPr>
          <w:rFonts w:ascii="Arial" w:hAnsi="Arial"/>
          <w:b/>
        </w:rPr>
        <w:lastRenderedPageBreak/>
        <w:t xml:space="preserve">Table 1. </w:t>
      </w:r>
      <w:r w:rsidR="007B0A8E" w:rsidRPr="00F15B51">
        <w:rPr>
          <w:rFonts w:ascii="Arial" w:hAnsi="Arial"/>
          <w:b/>
        </w:rPr>
        <w:t>Frequency of abnormalities in clinical data.</w:t>
      </w:r>
    </w:p>
    <w:p w14:paraId="657175A8" w14:textId="77777777" w:rsidR="00191785" w:rsidRPr="00F15B51" w:rsidRDefault="00191785" w:rsidP="002850C3">
      <w:pPr>
        <w:tabs>
          <w:tab w:val="left" w:pos="1080"/>
        </w:tabs>
        <w:jc w:val="center"/>
        <w:rPr>
          <w:rFonts w:ascii="Arial" w:hAnsi="Arial"/>
          <w:b/>
        </w:rPr>
      </w:pPr>
    </w:p>
    <w:tbl>
      <w:tblPr>
        <w:tblW w:w="6082" w:type="dxa"/>
        <w:jc w:val="center"/>
        <w:tblCellMar>
          <w:left w:w="70" w:type="dxa"/>
          <w:right w:w="70" w:type="dxa"/>
        </w:tblCellMar>
        <w:tblLook w:val="04A0" w:firstRow="1" w:lastRow="0" w:firstColumn="1" w:lastColumn="0" w:noHBand="0" w:noVBand="1"/>
      </w:tblPr>
      <w:tblGrid>
        <w:gridCol w:w="4151"/>
        <w:gridCol w:w="971"/>
        <w:gridCol w:w="960"/>
      </w:tblGrid>
      <w:tr w:rsidR="007B0A8E" w:rsidRPr="00F15B51" w14:paraId="15E5BF70" w14:textId="77777777" w:rsidTr="007B0A8E">
        <w:trPr>
          <w:trHeight w:val="300"/>
          <w:jc w:val="center"/>
        </w:trPr>
        <w:tc>
          <w:tcPr>
            <w:tcW w:w="4151" w:type="dxa"/>
            <w:tcBorders>
              <w:top w:val="single" w:sz="4" w:space="0" w:color="auto"/>
              <w:left w:val="nil"/>
              <w:bottom w:val="single" w:sz="4" w:space="0" w:color="auto"/>
              <w:right w:val="single" w:sz="4" w:space="0" w:color="auto"/>
            </w:tcBorders>
            <w:noWrap/>
            <w:vAlign w:val="bottom"/>
            <w:hideMark/>
          </w:tcPr>
          <w:p w14:paraId="4CBB8F70"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Clinical data</w:t>
            </w:r>
          </w:p>
        </w:tc>
        <w:tc>
          <w:tcPr>
            <w:tcW w:w="971" w:type="dxa"/>
            <w:tcBorders>
              <w:top w:val="single" w:sz="4" w:space="0" w:color="auto"/>
              <w:left w:val="single" w:sz="4" w:space="0" w:color="auto"/>
              <w:bottom w:val="single" w:sz="4" w:space="0" w:color="auto"/>
              <w:right w:val="nil"/>
            </w:tcBorders>
            <w:vAlign w:val="bottom"/>
            <w:hideMark/>
          </w:tcPr>
          <w:p w14:paraId="527A9A9F"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n</w:t>
            </w:r>
          </w:p>
        </w:tc>
        <w:tc>
          <w:tcPr>
            <w:tcW w:w="960" w:type="dxa"/>
            <w:tcBorders>
              <w:top w:val="single" w:sz="4" w:space="0" w:color="auto"/>
              <w:left w:val="nil"/>
              <w:bottom w:val="single" w:sz="4" w:space="0" w:color="auto"/>
              <w:right w:val="nil"/>
            </w:tcBorders>
            <w:noWrap/>
            <w:vAlign w:val="bottom"/>
            <w:hideMark/>
          </w:tcPr>
          <w:p w14:paraId="448AA4EC"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w:t>
            </w:r>
          </w:p>
        </w:tc>
      </w:tr>
      <w:tr w:rsidR="007B0A8E" w:rsidRPr="00F15B51" w14:paraId="47EF5CEF" w14:textId="77777777" w:rsidTr="007B0A8E">
        <w:trPr>
          <w:trHeight w:val="300"/>
          <w:jc w:val="center"/>
        </w:trPr>
        <w:tc>
          <w:tcPr>
            <w:tcW w:w="4151" w:type="dxa"/>
            <w:tcBorders>
              <w:top w:val="single" w:sz="4" w:space="0" w:color="auto"/>
              <w:left w:val="nil"/>
              <w:bottom w:val="nil"/>
              <w:right w:val="single" w:sz="4" w:space="0" w:color="auto"/>
            </w:tcBorders>
            <w:noWrap/>
            <w:vAlign w:val="bottom"/>
            <w:hideMark/>
          </w:tcPr>
          <w:p w14:paraId="29EDED07" w14:textId="260EA288" w:rsidR="007B0A8E" w:rsidRPr="00F15B51" w:rsidRDefault="00201A24">
            <w:pPr>
              <w:rPr>
                <w:rFonts w:ascii="Arial" w:hAnsi="Arial" w:cs="Arial"/>
                <w:color w:val="000000"/>
                <w:lang w:eastAsia="es-MX"/>
              </w:rPr>
            </w:pPr>
            <w:r w:rsidRPr="00201A24">
              <w:rPr>
                <w:rFonts w:ascii="Arial" w:hAnsi="Arial" w:cs="Arial"/>
                <w:color w:val="000000"/>
                <w:highlight w:val="green"/>
                <w:lang w:eastAsia="es-MX"/>
              </w:rPr>
              <w:t>Body temperature &gt; 37 °C</w:t>
            </w:r>
          </w:p>
        </w:tc>
        <w:tc>
          <w:tcPr>
            <w:tcW w:w="971" w:type="dxa"/>
            <w:tcBorders>
              <w:top w:val="single" w:sz="4" w:space="0" w:color="auto"/>
              <w:left w:val="single" w:sz="4" w:space="0" w:color="auto"/>
              <w:bottom w:val="nil"/>
              <w:right w:val="nil"/>
            </w:tcBorders>
            <w:noWrap/>
            <w:vAlign w:val="bottom"/>
            <w:hideMark/>
          </w:tcPr>
          <w:p w14:paraId="27AAE802"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106</w:t>
            </w:r>
          </w:p>
        </w:tc>
        <w:tc>
          <w:tcPr>
            <w:tcW w:w="960" w:type="dxa"/>
            <w:tcBorders>
              <w:top w:val="single" w:sz="4" w:space="0" w:color="auto"/>
              <w:left w:val="nil"/>
              <w:bottom w:val="nil"/>
              <w:right w:val="nil"/>
            </w:tcBorders>
            <w:noWrap/>
            <w:vAlign w:val="bottom"/>
            <w:hideMark/>
          </w:tcPr>
          <w:p w14:paraId="62934C9F"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33.9</w:t>
            </w:r>
          </w:p>
        </w:tc>
      </w:tr>
      <w:tr w:rsidR="007B0A8E" w:rsidRPr="00F15B51" w14:paraId="3FA568A0" w14:textId="77777777" w:rsidTr="007B0A8E">
        <w:trPr>
          <w:trHeight w:val="300"/>
          <w:jc w:val="center"/>
        </w:trPr>
        <w:tc>
          <w:tcPr>
            <w:tcW w:w="4151" w:type="dxa"/>
            <w:tcBorders>
              <w:top w:val="nil"/>
              <w:left w:val="nil"/>
              <w:bottom w:val="nil"/>
              <w:right w:val="single" w:sz="4" w:space="0" w:color="auto"/>
            </w:tcBorders>
            <w:noWrap/>
            <w:vAlign w:val="bottom"/>
            <w:hideMark/>
          </w:tcPr>
          <w:p w14:paraId="44CD0940"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Jaundice</w:t>
            </w:r>
          </w:p>
        </w:tc>
        <w:tc>
          <w:tcPr>
            <w:tcW w:w="971" w:type="dxa"/>
            <w:tcBorders>
              <w:top w:val="nil"/>
              <w:left w:val="single" w:sz="4" w:space="0" w:color="auto"/>
              <w:bottom w:val="nil"/>
              <w:right w:val="nil"/>
            </w:tcBorders>
            <w:noWrap/>
            <w:vAlign w:val="bottom"/>
            <w:hideMark/>
          </w:tcPr>
          <w:p w14:paraId="08E8C095"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132</w:t>
            </w:r>
          </w:p>
        </w:tc>
        <w:tc>
          <w:tcPr>
            <w:tcW w:w="960" w:type="dxa"/>
            <w:noWrap/>
            <w:vAlign w:val="bottom"/>
            <w:hideMark/>
          </w:tcPr>
          <w:p w14:paraId="6430CFEB"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42.2</w:t>
            </w:r>
          </w:p>
        </w:tc>
      </w:tr>
      <w:tr w:rsidR="007B0A8E" w:rsidRPr="00F15B51" w14:paraId="5BCB961D" w14:textId="77777777" w:rsidTr="007B0A8E">
        <w:trPr>
          <w:trHeight w:val="300"/>
          <w:jc w:val="center"/>
        </w:trPr>
        <w:tc>
          <w:tcPr>
            <w:tcW w:w="4151" w:type="dxa"/>
            <w:tcBorders>
              <w:top w:val="nil"/>
              <w:left w:val="nil"/>
              <w:bottom w:val="nil"/>
              <w:right w:val="single" w:sz="4" w:space="0" w:color="auto"/>
            </w:tcBorders>
            <w:noWrap/>
            <w:vAlign w:val="bottom"/>
            <w:hideMark/>
          </w:tcPr>
          <w:p w14:paraId="47AB9E70"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Leukocytosis</w:t>
            </w:r>
          </w:p>
        </w:tc>
        <w:tc>
          <w:tcPr>
            <w:tcW w:w="971" w:type="dxa"/>
            <w:tcBorders>
              <w:top w:val="nil"/>
              <w:left w:val="single" w:sz="4" w:space="0" w:color="auto"/>
              <w:bottom w:val="nil"/>
              <w:right w:val="nil"/>
            </w:tcBorders>
            <w:noWrap/>
            <w:vAlign w:val="bottom"/>
            <w:hideMark/>
          </w:tcPr>
          <w:p w14:paraId="1DEA0023"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173</w:t>
            </w:r>
          </w:p>
        </w:tc>
        <w:tc>
          <w:tcPr>
            <w:tcW w:w="960" w:type="dxa"/>
            <w:noWrap/>
            <w:vAlign w:val="bottom"/>
            <w:hideMark/>
          </w:tcPr>
          <w:p w14:paraId="35140333"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55.3</w:t>
            </w:r>
          </w:p>
        </w:tc>
      </w:tr>
      <w:tr w:rsidR="007B0A8E" w:rsidRPr="00F15B51" w14:paraId="67AA7C21" w14:textId="77777777" w:rsidTr="007B0A8E">
        <w:trPr>
          <w:trHeight w:val="300"/>
          <w:jc w:val="center"/>
        </w:trPr>
        <w:tc>
          <w:tcPr>
            <w:tcW w:w="4151" w:type="dxa"/>
            <w:tcBorders>
              <w:top w:val="nil"/>
              <w:left w:val="nil"/>
              <w:bottom w:val="nil"/>
              <w:right w:val="single" w:sz="4" w:space="0" w:color="auto"/>
            </w:tcBorders>
            <w:noWrap/>
            <w:vAlign w:val="bottom"/>
            <w:hideMark/>
          </w:tcPr>
          <w:p w14:paraId="2C4AC787"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Thrombocytopenia</w:t>
            </w:r>
          </w:p>
        </w:tc>
        <w:tc>
          <w:tcPr>
            <w:tcW w:w="971" w:type="dxa"/>
            <w:tcBorders>
              <w:top w:val="nil"/>
              <w:left w:val="single" w:sz="4" w:space="0" w:color="auto"/>
              <w:bottom w:val="nil"/>
              <w:right w:val="nil"/>
            </w:tcBorders>
            <w:noWrap/>
            <w:vAlign w:val="bottom"/>
            <w:hideMark/>
          </w:tcPr>
          <w:p w14:paraId="4BD55C96"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60</w:t>
            </w:r>
          </w:p>
        </w:tc>
        <w:tc>
          <w:tcPr>
            <w:tcW w:w="960" w:type="dxa"/>
            <w:noWrap/>
            <w:vAlign w:val="bottom"/>
            <w:hideMark/>
          </w:tcPr>
          <w:p w14:paraId="534DB876"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19.2</w:t>
            </w:r>
          </w:p>
        </w:tc>
      </w:tr>
      <w:tr w:rsidR="007B0A8E" w:rsidRPr="00F15B51" w14:paraId="3269FE85" w14:textId="77777777" w:rsidTr="007B0A8E">
        <w:trPr>
          <w:trHeight w:val="300"/>
          <w:jc w:val="center"/>
        </w:trPr>
        <w:tc>
          <w:tcPr>
            <w:tcW w:w="4151" w:type="dxa"/>
            <w:tcBorders>
              <w:top w:val="nil"/>
              <w:left w:val="nil"/>
              <w:bottom w:val="nil"/>
              <w:right w:val="single" w:sz="4" w:space="0" w:color="auto"/>
            </w:tcBorders>
            <w:noWrap/>
            <w:vAlign w:val="bottom"/>
            <w:hideMark/>
          </w:tcPr>
          <w:p w14:paraId="1268E218" w14:textId="392E90DC" w:rsidR="007B0A8E" w:rsidRPr="00F15B51" w:rsidRDefault="00AE0CAE">
            <w:pPr>
              <w:rPr>
                <w:rFonts w:ascii="Arial" w:hAnsi="Arial" w:cs="Arial"/>
                <w:color w:val="000000"/>
                <w:lang w:eastAsia="es-MX"/>
              </w:rPr>
            </w:pPr>
            <w:r w:rsidRPr="00F15B51">
              <w:rPr>
                <w:rFonts w:ascii="Arial" w:hAnsi="Arial" w:cs="Arial"/>
                <w:color w:val="000000"/>
                <w:lang w:eastAsia="es-MX"/>
              </w:rPr>
              <w:t>NLR</w:t>
            </w:r>
            <w:r w:rsidR="007B0A8E" w:rsidRPr="00F15B51">
              <w:rPr>
                <w:rFonts w:ascii="Arial" w:hAnsi="Arial" w:cs="Arial"/>
                <w:color w:val="000000"/>
                <w:lang w:eastAsia="es-MX"/>
              </w:rPr>
              <w:t xml:space="preserve"> ≥</w:t>
            </w:r>
            <w:r w:rsidR="007E31FF">
              <w:rPr>
                <w:rFonts w:ascii="Arial" w:hAnsi="Arial" w:cs="Arial"/>
                <w:color w:val="000000"/>
                <w:lang w:eastAsia="es-MX"/>
              </w:rPr>
              <w:t xml:space="preserve"> </w:t>
            </w:r>
            <w:r w:rsidR="007B0A8E" w:rsidRPr="00F15B51">
              <w:rPr>
                <w:rFonts w:ascii="Arial" w:hAnsi="Arial" w:cs="Arial"/>
                <w:color w:val="000000"/>
                <w:lang w:eastAsia="es-MX"/>
              </w:rPr>
              <w:t>6</w:t>
            </w:r>
          </w:p>
        </w:tc>
        <w:tc>
          <w:tcPr>
            <w:tcW w:w="971" w:type="dxa"/>
            <w:tcBorders>
              <w:top w:val="nil"/>
              <w:left w:val="single" w:sz="4" w:space="0" w:color="auto"/>
              <w:bottom w:val="nil"/>
              <w:right w:val="nil"/>
            </w:tcBorders>
            <w:noWrap/>
            <w:vAlign w:val="bottom"/>
            <w:hideMark/>
          </w:tcPr>
          <w:p w14:paraId="5CB67FF8"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49</w:t>
            </w:r>
          </w:p>
        </w:tc>
        <w:tc>
          <w:tcPr>
            <w:tcW w:w="960" w:type="dxa"/>
            <w:noWrap/>
            <w:vAlign w:val="bottom"/>
            <w:hideMark/>
          </w:tcPr>
          <w:p w14:paraId="60583159"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15.7</w:t>
            </w:r>
          </w:p>
        </w:tc>
      </w:tr>
      <w:tr w:rsidR="007B0A8E" w:rsidRPr="00F15B51" w14:paraId="4087D843" w14:textId="77777777" w:rsidTr="007B0A8E">
        <w:trPr>
          <w:trHeight w:val="300"/>
          <w:jc w:val="center"/>
        </w:trPr>
        <w:tc>
          <w:tcPr>
            <w:tcW w:w="4151" w:type="dxa"/>
            <w:tcBorders>
              <w:top w:val="nil"/>
              <w:left w:val="nil"/>
              <w:bottom w:val="nil"/>
              <w:right w:val="single" w:sz="4" w:space="0" w:color="auto"/>
            </w:tcBorders>
            <w:noWrap/>
            <w:vAlign w:val="bottom"/>
            <w:hideMark/>
          </w:tcPr>
          <w:p w14:paraId="27561055"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Hyperbilirubinemia</w:t>
            </w:r>
          </w:p>
        </w:tc>
        <w:tc>
          <w:tcPr>
            <w:tcW w:w="971" w:type="dxa"/>
            <w:tcBorders>
              <w:top w:val="nil"/>
              <w:left w:val="single" w:sz="4" w:space="0" w:color="auto"/>
              <w:bottom w:val="nil"/>
              <w:right w:val="nil"/>
            </w:tcBorders>
            <w:noWrap/>
            <w:vAlign w:val="bottom"/>
            <w:hideMark/>
          </w:tcPr>
          <w:p w14:paraId="2BBD4274"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155</w:t>
            </w:r>
          </w:p>
        </w:tc>
        <w:tc>
          <w:tcPr>
            <w:tcW w:w="960" w:type="dxa"/>
            <w:noWrap/>
            <w:vAlign w:val="bottom"/>
            <w:hideMark/>
          </w:tcPr>
          <w:p w14:paraId="16AB311D"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49.5</w:t>
            </w:r>
          </w:p>
        </w:tc>
      </w:tr>
      <w:tr w:rsidR="007B0A8E" w:rsidRPr="00F15B51" w14:paraId="1F24459C" w14:textId="77777777" w:rsidTr="007B0A8E">
        <w:trPr>
          <w:trHeight w:val="300"/>
          <w:jc w:val="center"/>
        </w:trPr>
        <w:tc>
          <w:tcPr>
            <w:tcW w:w="4151" w:type="dxa"/>
            <w:tcBorders>
              <w:top w:val="nil"/>
              <w:left w:val="nil"/>
              <w:bottom w:val="nil"/>
              <w:right w:val="single" w:sz="4" w:space="0" w:color="auto"/>
            </w:tcBorders>
            <w:noWrap/>
            <w:vAlign w:val="bottom"/>
            <w:hideMark/>
          </w:tcPr>
          <w:p w14:paraId="36805B0E" w14:textId="37970F31" w:rsidR="007B0A8E" w:rsidRPr="00F15B51" w:rsidRDefault="007E31FF">
            <w:pPr>
              <w:rPr>
                <w:rFonts w:ascii="Arial" w:hAnsi="Arial" w:cs="Arial"/>
                <w:color w:val="000000"/>
                <w:lang w:eastAsia="es-MX"/>
              </w:rPr>
            </w:pPr>
            <w:r w:rsidRPr="007E31FF">
              <w:rPr>
                <w:rFonts w:ascii="Arial" w:hAnsi="Arial" w:cs="Arial"/>
                <w:color w:val="000000"/>
                <w:highlight w:val="green"/>
                <w:lang w:eastAsia="es-MX"/>
              </w:rPr>
              <w:t xml:space="preserve">Positive </w:t>
            </w:r>
            <w:r w:rsidR="007B0A8E" w:rsidRPr="007E31FF">
              <w:rPr>
                <w:rFonts w:ascii="Arial" w:hAnsi="Arial" w:cs="Arial"/>
                <w:color w:val="000000"/>
                <w:highlight w:val="green"/>
                <w:lang w:eastAsia="es-MX"/>
              </w:rPr>
              <w:t>C-reactive protein</w:t>
            </w:r>
          </w:p>
        </w:tc>
        <w:tc>
          <w:tcPr>
            <w:tcW w:w="971" w:type="dxa"/>
            <w:tcBorders>
              <w:top w:val="nil"/>
              <w:left w:val="single" w:sz="4" w:space="0" w:color="auto"/>
              <w:bottom w:val="nil"/>
              <w:right w:val="nil"/>
            </w:tcBorders>
            <w:noWrap/>
            <w:vAlign w:val="bottom"/>
            <w:hideMark/>
          </w:tcPr>
          <w:p w14:paraId="75320452"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39</w:t>
            </w:r>
          </w:p>
        </w:tc>
        <w:tc>
          <w:tcPr>
            <w:tcW w:w="960" w:type="dxa"/>
            <w:noWrap/>
            <w:vAlign w:val="bottom"/>
            <w:hideMark/>
          </w:tcPr>
          <w:p w14:paraId="1ADCAEA2"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12.5</w:t>
            </w:r>
          </w:p>
        </w:tc>
      </w:tr>
      <w:tr w:rsidR="007B0A8E" w:rsidRPr="00F15B51" w14:paraId="0B407C13" w14:textId="77777777" w:rsidTr="007B0A8E">
        <w:trPr>
          <w:trHeight w:val="300"/>
          <w:jc w:val="center"/>
        </w:trPr>
        <w:tc>
          <w:tcPr>
            <w:tcW w:w="4151" w:type="dxa"/>
            <w:tcBorders>
              <w:top w:val="nil"/>
              <w:left w:val="nil"/>
              <w:bottom w:val="nil"/>
              <w:right w:val="single" w:sz="4" w:space="0" w:color="auto"/>
            </w:tcBorders>
            <w:noWrap/>
            <w:vAlign w:val="bottom"/>
            <w:hideMark/>
          </w:tcPr>
          <w:p w14:paraId="4D8F3375" w14:textId="6808E070" w:rsidR="007B0A8E" w:rsidRPr="00F15B51" w:rsidRDefault="007B0A8E">
            <w:pPr>
              <w:rPr>
                <w:rFonts w:ascii="Arial" w:hAnsi="Arial" w:cs="Arial"/>
                <w:color w:val="000000"/>
                <w:lang w:eastAsia="es-MX"/>
              </w:rPr>
            </w:pPr>
            <w:r w:rsidRPr="00F15B51">
              <w:rPr>
                <w:rFonts w:ascii="Arial" w:hAnsi="Arial" w:cs="Arial"/>
                <w:color w:val="000000"/>
                <w:lang w:eastAsia="es-MX"/>
              </w:rPr>
              <w:t>Increased gallbladder length</w:t>
            </w:r>
            <w:r w:rsidR="007E31FF">
              <w:rPr>
                <w:rFonts w:ascii="Arial" w:hAnsi="Arial" w:cs="Arial"/>
                <w:color w:val="000000"/>
                <w:lang w:eastAsia="es-MX"/>
              </w:rPr>
              <w:t xml:space="preserve"> </w:t>
            </w:r>
            <w:r w:rsidR="007E31FF" w:rsidRPr="007E31FF">
              <w:rPr>
                <w:rFonts w:ascii="Arial" w:hAnsi="Arial" w:cs="Arial"/>
                <w:color w:val="000000"/>
                <w:lang w:eastAsia="es-MX"/>
              </w:rPr>
              <w:t>&gt; 10 cm</w:t>
            </w:r>
          </w:p>
        </w:tc>
        <w:tc>
          <w:tcPr>
            <w:tcW w:w="971" w:type="dxa"/>
            <w:tcBorders>
              <w:top w:val="nil"/>
              <w:left w:val="single" w:sz="4" w:space="0" w:color="auto"/>
              <w:bottom w:val="nil"/>
              <w:right w:val="nil"/>
            </w:tcBorders>
            <w:noWrap/>
            <w:vAlign w:val="bottom"/>
            <w:hideMark/>
          </w:tcPr>
          <w:p w14:paraId="09B5FBC7"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72</w:t>
            </w:r>
          </w:p>
        </w:tc>
        <w:tc>
          <w:tcPr>
            <w:tcW w:w="960" w:type="dxa"/>
            <w:noWrap/>
            <w:vAlign w:val="bottom"/>
            <w:hideMark/>
          </w:tcPr>
          <w:p w14:paraId="2588C6D4"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23.0</w:t>
            </w:r>
          </w:p>
        </w:tc>
      </w:tr>
      <w:tr w:rsidR="007B0A8E" w:rsidRPr="00F15B51" w14:paraId="0CD6F7D7" w14:textId="77777777" w:rsidTr="007B0A8E">
        <w:trPr>
          <w:trHeight w:val="300"/>
          <w:jc w:val="center"/>
        </w:trPr>
        <w:tc>
          <w:tcPr>
            <w:tcW w:w="4151" w:type="dxa"/>
            <w:tcBorders>
              <w:top w:val="nil"/>
              <w:left w:val="nil"/>
              <w:bottom w:val="nil"/>
              <w:right w:val="single" w:sz="4" w:space="0" w:color="auto"/>
            </w:tcBorders>
            <w:noWrap/>
            <w:vAlign w:val="bottom"/>
            <w:hideMark/>
          </w:tcPr>
          <w:p w14:paraId="43E49C33"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Largest stone size ≥10 mm</w:t>
            </w:r>
          </w:p>
        </w:tc>
        <w:tc>
          <w:tcPr>
            <w:tcW w:w="971" w:type="dxa"/>
            <w:tcBorders>
              <w:top w:val="nil"/>
              <w:left w:val="single" w:sz="4" w:space="0" w:color="auto"/>
              <w:bottom w:val="nil"/>
              <w:right w:val="nil"/>
            </w:tcBorders>
            <w:noWrap/>
            <w:vAlign w:val="bottom"/>
            <w:hideMark/>
          </w:tcPr>
          <w:p w14:paraId="34492C51"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152</w:t>
            </w:r>
          </w:p>
        </w:tc>
        <w:tc>
          <w:tcPr>
            <w:tcW w:w="960" w:type="dxa"/>
            <w:noWrap/>
            <w:vAlign w:val="bottom"/>
            <w:hideMark/>
          </w:tcPr>
          <w:p w14:paraId="7635E674"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48.6</w:t>
            </w:r>
          </w:p>
        </w:tc>
      </w:tr>
      <w:tr w:rsidR="007B0A8E" w:rsidRPr="00F15B51" w14:paraId="27A25FA5" w14:textId="77777777" w:rsidTr="007B0A8E">
        <w:trPr>
          <w:trHeight w:val="300"/>
          <w:jc w:val="center"/>
        </w:trPr>
        <w:tc>
          <w:tcPr>
            <w:tcW w:w="4151" w:type="dxa"/>
            <w:tcBorders>
              <w:top w:val="nil"/>
              <w:left w:val="nil"/>
              <w:bottom w:val="nil"/>
              <w:right w:val="single" w:sz="4" w:space="0" w:color="auto"/>
            </w:tcBorders>
            <w:noWrap/>
            <w:vAlign w:val="bottom"/>
            <w:hideMark/>
          </w:tcPr>
          <w:p w14:paraId="2DEEA4C9"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Gallbladder wall thickness ≥4 mm</w:t>
            </w:r>
          </w:p>
        </w:tc>
        <w:tc>
          <w:tcPr>
            <w:tcW w:w="971" w:type="dxa"/>
            <w:tcBorders>
              <w:top w:val="nil"/>
              <w:left w:val="single" w:sz="4" w:space="0" w:color="auto"/>
              <w:bottom w:val="nil"/>
              <w:right w:val="nil"/>
            </w:tcBorders>
            <w:noWrap/>
            <w:vAlign w:val="bottom"/>
            <w:hideMark/>
          </w:tcPr>
          <w:p w14:paraId="373476E8"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182</w:t>
            </w:r>
          </w:p>
        </w:tc>
        <w:tc>
          <w:tcPr>
            <w:tcW w:w="960" w:type="dxa"/>
            <w:noWrap/>
            <w:vAlign w:val="bottom"/>
            <w:hideMark/>
          </w:tcPr>
          <w:p w14:paraId="72C26B7C"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58.1</w:t>
            </w:r>
          </w:p>
        </w:tc>
      </w:tr>
      <w:tr w:rsidR="007B0A8E" w:rsidRPr="00F15B51" w14:paraId="61F39C79" w14:textId="77777777" w:rsidTr="007B0A8E">
        <w:trPr>
          <w:trHeight w:val="300"/>
          <w:jc w:val="center"/>
        </w:trPr>
        <w:tc>
          <w:tcPr>
            <w:tcW w:w="4151" w:type="dxa"/>
            <w:tcBorders>
              <w:top w:val="nil"/>
              <w:left w:val="nil"/>
              <w:bottom w:val="single" w:sz="4" w:space="0" w:color="auto"/>
              <w:right w:val="single" w:sz="4" w:space="0" w:color="auto"/>
            </w:tcBorders>
            <w:noWrap/>
            <w:vAlign w:val="bottom"/>
            <w:hideMark/>
          </w:tcPr>
          <w:p w14:paraId="1B3C107D"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Hypervascularity on Doppler ultrasound</w:t>
            </w:r>
          </w:p>
        </w:tc>
        <w:tc>
          <w:tcPr>
            <w:tcW w:w="971" w:type="dxa"/>
            <w:tcBorders>
              <w:top w:val="nil"/>
              <w:left w:val="single" w:sz="4" w:space="0" w:color="auto"/>
              <w:bottom w:val="single" w:sz="4" w:space="0" w:color="auto"/>
              <w:right w:val="nil"/>
            </w:tcBorders>
            <w:noWrap/>
            <w:vAlign w:val="bottom"/>
            <w:hideMark/>
          </w:tcPr>
          <w:p w14:paraId="6A515330"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184</w:t>
            </w:r>
          </w:p>
        </w:tc>
        <w:tc>
          <w:tcPr>
            <w:tcW w:w="960" w:type="dxa"/>
            <w:tcBorders>
              <w:top w:val="nil"/>
              <w:left w:val="nil"/>
              <w:bottom w:val="single" w:sz="4" w:space="0" w:color="auto"/>
              <w:right w:val="nil"/>
            </w:tcBorders>
            <w:noWrap/>
            <w:vAlign w:val="bottom"/>
            <w:hideMark/>
          </w:tcPr>
          <w:p w14:paraId="4CF15917"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58.8</w:t>
            </w:r>
          </w:p>
        </w:tc>
      </w:tr>
    </w:tbl>
    <w:p w14:paraId="7A4CB4CD" w14:textId="77777777" w:rsidR="005F4D9D" w:rsidRPr="00F15B51" w:rsidRDefault="005F4D9D" w:rsidP="002E4D8D">
      <w:pPr>
        <w:jc w:val="both"/>
        <w:rPr>
          <w:rFonts w:ascii="Arial" w:eastAsia="Arial" w:hAnsi="Arial" w:cs="Arial"/>
          <w:color w:val="000000"/>
        </w:rPr>
      </w:pPr>
    </w:p>
    <w:p w14:paraId="6BC10645" w14:textId="77777777" w:rsidR="002E4D8D" w:rsidRPr="00F15B51" w:rsidRDefault="002E4D8D" w:rsidP="002E4D8D">
      <w:pPr>
        <w:jc w:val="both"/>
        <w:rPr>
          <w:rFonts w:ascii="Arial" w:hAnsi="Arial" w:cs="Arial"/>
        </w:rPr>
      </w:pPr>
    </w:p>
    <w:p w14:paraId="671A7130" w14:textId="77777777" w:rsidR="00176E31" w:rsidRPr="00F15B51" w:rsidRDefault="00176E31" w:rsidP="002E4D8D">
      <w:pPr>
        <w:tabs>
          <w:tab w:val="left" w:pos="1080"/>
        </w:tabs>
        <w:jc w:val="center"/>
        <w:rPr>
          <w:rFonts w:ascii="Arial" w:hAnsi="Arial"/>
          <w:b/>
        </w:rPr>
      </w:pPr>
    </w:p>
    <w:p w14:paraId="33D22639" w14:textId="77777777" w:rsidR="009F109E" w:rsidRPr="00F15B51" w:rsidRDefault="009F109E" w:rsidP="002E4D8D">
      <w:pPr>
        <w:jc w:val="both"/>
        <w:rPr>
          <w:rFonts w:ascii="Arial" w:eastAsia="Arial" w:hAnsi="Arial" w:cs="Arial"/>
        </w:rPr>
      </w:pPr>
    </w:p>
    <w:p w14:paraId="7684D44D" w14:textId="52AFDDD4" w:rsidR="00DB68FC" w:rsidRDefault="00E63A34" w:rsidP="002E4D8D">
      <w:pPr>
        <w:jc w:val="both"/>
        <w:rPr>
          <w:rFonts w:ascii="Arial" w:eastAsia="Arial" w:hAnsi="Arial" w:cs="Arial"/>
        </w:rPr>
      </w:pPr>
      <w:r w:rsidRPr="00F15B51">
        <w:rPr>
          <w:rFonts w:ascii="Arial" w:eastAsia="Arial" w:hAnsi="Arial" w:cs="Arial"/>
        </w:rPr>
        <w:t xml:space="preserve">The results show that patients undergoing laparoscopic cholecystectomy in the Northern Region of Mexico were primarily women. Overweight and age &gt; 53 years were common. Laparoscopic cholecystectomy without technical difficulty predominated. Patients were mostly classified as Grade I and Grade II on the Parkland Cholecystectomy Scale. At least 30 % of patients presented with fever, jaundice, leukocytosis, hyperbilirubinemia, largest stone size ≥ 10 mm, gallbladder wall thickness ≥ 4 mm, and hypervascularity on Doppler ultrasound. Patients who underwent technically difficult laparoscopic cholecystectomy were older and had a higher BMI. </w:t>
      </w:r>
      <w:r w:rsidR="00BB17C7" w:rsidRPr="009D66F9">
        <w:rPr>
          <w:rFonts w:ascii="Arial" w:eastAsia="Arial" w:hAnsi="Arial" w:cs="Arial"/>
          <w:highlight w:val="yellow"/>
        </w:rPr>
        <w:t>This research achieved all of its proposed objectives. However, as it was a single-center study, the results are limited in relation to the demographic and epidemiological conditions of the Northern Region of Mexico.</w:t>
      </w:r>
      <w:r w:rsidR="00A64D1A" w:rsidRPr="009D66F9">
        <w:rPr>
          <w:rFonts w:ascii="Arial" w:eastAsia="Arial" w:hAnsi="Arial" w:cs="Arial"/>
          <w:highlight w:val="yellow"/>
        </w:rPr>
        <w:t xml:space="preserve"> It is estimated that the population aged 40-60 years represents 22.1 % of the national total [10 % men; 12.1 % women] (INEGI, 2020). 75.2 % of the population aged 20 years or older are overweight or obese (SS-INSP, 2020); and 8.5 million suffer from diabetes (INEGI, 2021). The aging of the population and the high prevalence of obesity, overweight, and diabetes significantly increase the risk of developing gallstones.</w:t>
      </w:r>
    </w:p>
    <w:p w14:paraId="60D1979D" w14:textId="77777777" w:rsidR="00DB68FC" w:rsidRPr="00A64D1A" w:rsidRDefault="00DB68FC" w:rsidP="002E4D8D">
      <w:pPr>
        <w:jc w:val="both"/>
        <w:rPr>
          <w:rFonts w:ascii="Arial" w:eastAsia="Arial" w:hAnsi="Arial" w:cs="Arial"/>
        </w:rPr>
      </w:pPr>
    </w:p>
    <w:p w14:paraId="2B2E3540" w14:textId="77E0E705" w:rsidR="002E48D5" w:rsidRPr="00E94CBC" w:rsidRDefault="00A15919" w:rsidP="002E4D8D">
      <w:pPr>
        <w:jc w:val="both"/>
        <w:rPr>
          <w:rFonts w:ascii="Arial" w:eastAsia="Arial" w:hAnsi="Arial" w:cs="Arial"/>
        </w:rPr>
      </w:pPr>
      <w:r w:rsidRPr="00A15919">
        <w:rPr>
          <w:rFonts w:ascii="Arial" w:eastAsia="Arial" w:hAnsi="Arial" w:cs="Arial"/>
          <w:highlight w:val="yellow"/>
        </w:rPr>
        <w:t>The demographic characteristics of the study region coincide with Pérez et al. (2022), who mention that in the regions of North America, the prevalence of cholelithiasis has been estimated between 11 - 36%; of which 7 % will require cholecystectomy; and 1 – 4 % will present complications. In this sense, Fujita et al. (2023), mentions that the cholelithiasis affects women more than men, with a ratio of 3:1. Risk factors include female sex, age &gt; 40 years, poor diet, obesity, family history, and metabolic diseases (diabetes).</w:t>
      </w:r>
    </w:p>
    <w:p w14:paraId="26BDAABF" w14:textId="77777777" w:rsidR="002E48D5" w:rsidRPr="00E94CBC" w:rsidRDefault="002E48D5" w:rsidP="002E4D8D">
      <w:pPr>
        <w:jc w:val="both"/>
        <w:rPr>
          <w:rFonts w:ascii="Arial" w:eastAsia="Arial" w:hAnsi="Arial" w:cs="Arial"/>
        </w:rPr>
      </w:pPr>
    </w:p>
    <w:p w14:paraId="7CCDA21B" w14:textId="77777777" w:rsidR="00E63A34" w:rsidRDefault="00E63A34" w:rsidP="002E4D8D">
      <w:pPr>
        <w:jc w:val="both"/>
        <w:rPr>
          <w:rFonts w:ascii="Arial" w:eastAsia="Arial" w:hAnsi="Arial" w:cs="Arial"/>
        </w:rPr>
      </w:pPr>
      <w:r w:rsidRPr="00F15B51">
        <w:rPr>
          <w:rFonts w:ascii="Arial" w:eastAsia="Arial" w:hAnsi="Arial" w:cs="Arial"/>
        </w:rPr>
        <w:t>The values ​​found for age [53.7 ± 15.2 years] and BMI [29.9 ± 4.6 kg/m</w:t>
      </w:r>
      <w:r w:rsidRPr="00F15B51">
        <w:rPr>
          <w:rFonts w:ascii="Arial" w:eastAsia="Arial" w:hAnsi="Arial" w:cs="Arial"/>
          <w:vertAlign w:val="superscript"/>
        </w:rPr>
        <w:t>2</w:t>
      </w:r>
      <w:r w:rsidRPr="00F15B51">
        <w:rPr>
          <w:rFonts w:ascii="Arial" w:eastAsia="Arial" w:hAnsi="Arial" w:cs="Arial"/>
        </w:rPr>
        <w:t>; overweight 56.5 %], as well as the frequency of sex [women 75.4 %], were similar to those reported by Shrestha et al. (2023) and Lee et al. (2020), who conducted studies to validate the Parkland scale in correlation with the severity of acute cholecystitis. However, they point out that these factors are influenced by the sociocultural and epidemiological conditions of each country.</w:t>
      </w:r>
    </w:p>
    <w:p w14:paraId="0B0D6B86" w14:textId="77777777" w:rsidR="00D07E02" w:rsidRDefault="00D07E02" w:rsidP="002E4D8D">
      <w:pPr>
        <w:jc w:val="both"/>
        <w:rPr>
          <w:rFonts w:ascii="Arial" w:eastAsia="Arial" w:hAnsi="Arial" w:cs="Arial"/>
        </w:rPr>
      </w:pPr>
    </w:p>
    <w:p w14:paraId="6C0CA308" w14:textId="3196A11F" w:rsidR="003E35C1" w:rsidRPr="003E35C1" w:rsidRDefault="003E35C1" w:rsidP="002E4D8D">
      <w:pPr>
        <w:jc w:val="both"/>
        <w:rPr>
          <w:rFonts w:ascii="Arial" w:eastAsia="Arial" w:hAnsi="Arial" w:cs="Arial"/>
        </w:rPr>
      </w:pPr>
      <w:proofErr w:type="spellStart"/>
      <w:r w:rsidRPr="003E6F74">
        <w:rPr>
          <w:rFonts w:ascii="Arial" w:eastAsia="Arial" w:hAnsi="Arial" w:cs="Arial"/>
          <w:highlight w:val="yellow"/>
        </w:rPr>
        <w:t>Roesch</w:t>
      </w:r>
      <w:proofErr w:type="spellEnd"/>
      <w:r w:rsidRPr="003E6F74">
        <w:rPr>
          <w:rFonts w:ascii="Arial" w:eastAsia="Arial" w:hAnsi="Arial" w:cs="Arial"/>
          <w:highlight w:val="yellow"/>
        </w:rPr>
        <w:t xml:space="preserve"> et al. (2023) emphasize that demographic and epidemiological conditions in various regions of Mexico increase the risk of cholelithiasis. In their study related to laparoscopic cholecystectomy, they found that patients with normal weight (42.3</w:t>
      </w:r>
      <w:r w:rsidR="000256D8" w:rsidRPr="003E6F74">
        <w:rPr>
          <w:rFonts w:ascii="Arial" w:eastAsia="Arial" w:hAnsi="Arial" w:cs="Arial"/>
          <w:highlight w:val="yellow"/>
        </w:rPr>
        <w:t xml:space="preserve"> </w:t>
      </w:r>
      <w:r w:rsidRPr="003E6F74">
        <w:rPr>
          <w:rFonts w:ascii="Arial" w:eastAsia="Arial" w:hAnsi="Arial" w:cs="Arial"/>
          <w:highlight w:val="yellow"/>
        </w:rPr>
        <w:t xml:space="preserve">%) had a mean age of </w:t>
      </w:r>
      <w:r w:rsidRPr="003E6F74">
        <w:rPr>
          <w:rFonts w:ascii="Arial" w:eastAsia="Arial" w:hAnsi="Arial" w:cs="Arial"/>
          <w:highlight w:val="yellow"/>
        </w:rPr>
        <w:lastRenderedPageBreak/>
        <w:t>45.8 ± 14.6 years, predominantly female (83.6</w:t>
      </w:r>
      <w:r w:rsidR="000256D8" w:rsidRPr="003E6F74">
        <w:rPr>
          <w:rFonts w:ascii="Arial" w:eastAsia="Arial" w:hAnsi="Arial" w:cs="Arial"/>
          <w:highlight w:val="yellow"/>
        </w:rPr>
        <w:t xml:space="preserve"> </w:t>
      </w:r>
      <w:r w:rsidRPr="003E6F74">
        <w:rPr>
          <w:rFonts w:ascii="Arial" w:eastAsia="Arial" w:hAnsi="Arial" w:cs="Arial"/>
          <w:highlight w:val="yellow"/>
        </w:rPr>
        <w:t>%), BMI of 22.6 ± 4.6 kg/m², 17.2</w:t>
      </w:r>
      <w:r w:rsidR="000256D8" w:rsidRPr="003E6F74">
        <w:rPr>
          <w:rFonts w:ascii="Arial" w:eastAsia="Arial" w:hAnsi="Arial" w:cs="Arial"/>
          <w:highlight w:val="yellow"/>
        </w:rPr>
        <w:t xml:space="preserve"> </w:t>
      </w:r>
      <w:r w:rsidRPr="003E6F74">
        <w:rPr>
          <w:rFonts w:ascii="Arial" w:eastAsia="Arial" w:hAnsi="Arial" w:cs="Arial"/>
          <w:highlight w:val="yellow"/>
        </w:rPr>
        <w:t>% presented comorbidities,</w:t>
      </w:r>
      <w:r w:rsidR="000256D8" w:rsidRPr="003E6F74">
        <w:rPr>
          <w:rFonts w:ascii="Arial" w:eastAsia="Arial" w:hAnsi="Arial" w:cs="Arial"/>
          <w:highlight w:val="yellow"/>
        </w:rPr>
        <w:t xml:space="preserve"> and </w:t>
      </w:r>
      <w:r w:rsidRPr="003E6F74">
        <w:rPr>
          <w:rFonts w:ascii="Arial" w:eastAsia="Arial" w:hAnsi="Arial" w:cs="Arial"/>
          <w:highlight w:val="yellow"/>
        </w:rPr>
        <w:t xml:space="preserve">no complications recorded. Patients with </w:t>
      </w:r>
      <w:r w:rsidR="003E6F74" w:rsidRPr="003E6F74">
        <w:rPr>
          <w:rFonts w:ascii="Arial" w:eastAsia="Arial" w:hAnsi="Arial" w:cs="Arial"/>
          <w:highlight w:val="yellow"/>
        </w:rPr>
        <w:t>overweight</w:t>
      </w:r>
      <w:r w:rsidRPr="003E6F74">
        <w:rPr>
          <w:rFonts w:ascii="Arial" w:eastAsia="Arial" w:hAnsi="Arial" w:cs="Arial"/>
          <w:highlight w:val="yellow"/>
        </w:rPr>
        <w:t xml:space="preserve"> (28.1%) were older (51.26 ± 13.23 years), had a high proportio</w:t>
      </w:r>
      <w:r w:rsidR="000256D8" w:rsidRPr="003E6F74">
        <w:rPr>
          <w:rFonts w:ascii="Arial" w:eastAsia="Arial" w:hAnsi="Arial" w:cs="Arial"/>
          <w:highlight w:val="yellow"/>
        </w:rPr>
        <w:t>n of females (85.4</w:t>
      </w:r>
      <w:r w:rsidR="00CB4111" w:rsidRPr="003E6F74">
        <w:rPr>
          <w:rFonts w:ascii="Arial" w:eastAsia="Arial" w:hAnsi="Arial" w:cs="Arial"/>
          <w:highlight w:val="yellow"/>
        </w:rPr>
        <w:t xml:space="preserve"> </w:t>
      </w:r>
      <w:r w:rsidR="000256D8" w:rsidRPr="003E6F74">
        <w:rPr>
          <w:rFonts w:ascii="Arial" w:eastAsia="Arial" w:hAnsi="Arial" w:cs="Arial"/>
          <w:highlight w:val="yellow"/>
        </w:rPr>
        <w:t xml:space="preserve">%), </w:t>
      </w:r>
      <w:r w:rsidRPr="003E6F74">
        <w:rPr>
          <w:rFonts w:ascii="Arial" w:eastAsia="Arial" w:hAnsi="Arial" w:cs="Arial"/>
          <w:highlight w:val="yellow"/>
        </w:rPr>
        <w:t xml:space="preserve">BMI of 28.6 ± 4.50 kg/m², </w:t>
      </w:r>
      <w:r w:rsidR="00CB4111" w:rsidRPr="003E6F74">
        <w:rPr>
          <w:rFonts w:ascii="Arial" w:eastAsia="Arial" w:hAnsi="Arial" w:cs="Arial"/>
          <w:highlight w:val="yellow"/>
        </w:rPr>
        <w:t xml:space="preserve">23.59 % had comorbidities, and </w:t>
      </w:r>
      <w:r w:rsidRPr="003E6F74">
        <w:rPr>
          <w:rFonts w:ascii="Arial" w:eastAsia="Arial" w:hAnsi="Arial" w:cs="Arial"/>
          <w:highlight w:val="yellow"/>
        </w:rPr>
        <w:t>complication rate of 3.7</w:t>
      </w:r>
      <w:r w:rsidR="00CB4111" w:rsidRPr="003E6F74">
        <w:rPr>
          <w:rFonts w:ascii="Arial" w:eastAsia="Arial" w:hAnsi="Arial" w:cs="Arial"/>
          <w:highlight w:val="yellow"/>
        </w:rPr>
        <w:t xml:space="preserve"> </w:t>
      </w:r>
      <w:r w:rsidRPr="003E6F74">
        <w:rPr>
          <w:rFonts w:ascii="Arial" w:eastAsia="Arial" w:hAnsi="Arial" w:cs="Arial"/>
          <w:highlight w:val="yellow"/>
        </w:rPr>
        <w:t>%. Patients with obesity (29.6</w:t>
      </w:r>
      <w:r w:rsidR="00CB4111" w:rsidRPr="003E6F74">
        <w:rPr>
          <w:rFonts w:ascii="Arial" w:eastAsia="Arial" w:hAnsi="Arial" w:cs="Arial"/>
          <w:highlight w:val="yellow"/>
        </w:rPr>
        <w:t xml:space="preserve"> </w:t>
      </w:r>
      <w:r w:rsidRPr="003E6F74">
        <w:rPr>
          <w:rFonts w:ascii="Arial" w:eastAsia="Arial" w:hAnsi="Arial" w:cs="Arial"/>
          <w:highlight w:val="yellow"/>
        </w:rPr>
        <w:t>%) were older (58.5 ± 9.8 years), predominantly female (77.8</w:t>
      </w:r>
      <w:r w:rsidR="00CB4111" w:rsidRPr="003E6F74">
        <w:rPr>
          <w:rFonts w:ascii="Arial" w:eastAsia="Arial" w:hAnsi="Arial" w:cs="Arial"/>
          <w:highlight w:val="yellow"/>
        </w:rPr>
        <w:t xml:space="preserve"> </w:t>
      </w:r>
      <w:r w:rsidRPr="003E6F74">
        <w:rPr>
          <w:rFonts w:ascii="Arial" w:eastAsia="Arial" w:hAnsi="Arial" w:cs="Arial"/>
          <w:highlight w:val="yellow"/>
        </w:rPr>
        <w:t xml:space="preserve">%), </w:t>
      </w:r>
      <w:r w:rsidR="00CB4111" w:rsidRPr="003E6F74">
        <w:rPr>
          <w:rFonts w:ascii="Arial" w:eastAsia="Arial" w:hAnsi="Arial" w:cs="Arial"/>
          <w:highlight w:val="yellow"/>
        </w:rPr>
        <w:t>BMI of 32.5 ± 6.9 kg/m², and</w:t>
      </w:r>
      <w:r w:rsidRPr="003E6F74">
        <w:rPr>
          <w:rFonts w:ascii="Arial" w:eastAsia="Arial" w:hAnsi="Arial" w:cs="Arial"/>
          <w:highlight w:val="yellow"/>
        </w:rPr>
        <w:t xml:space="preserve"> complication rate of 10.63</w:t>
      </w:r>
      <w:r w:rsidR="00CB4111" w:rsidRPr="003E6F74">
        <w:rPr>
          <w:rFonts w:ascii="Arial" w:eastAsia="Arial" w:hAnsi="Arial" w:cs="Arial"/>
          <w:highlight w:val="yellow"/>
        </w:rPr>
        <w:t xml:space="preserve"> </w:t>
      </w:r>
      <w:r w:rsidRPr="003E6F74">
        <w:rPr>
          <w:rFonts w:ascii="Arial" w:eastAsia="Arial" w:hAnsi="Arial" w:cs="Arial"/>
          <w:highlight w:val="yellow"/>
        </w:rPr>
        <w:t>%. No mortality was recorded in any group. The sociodemographic and epidemiological conditions are similar to those in our study, highlighting the importance of generating clinical information that allows for preventive measures against cholecystitis or surgical treatment.</w:t>
      </w:r>
    </w:p>
    <w:p w14:paraId="3BD7574D" w14:textId="77777777" w:rsidR="003E35C1" w:rsidRPr="003E35C1" w:rsidRDefault="003E35C1" w:rsidP="002E4D8D">
      <w:pPr>
        <w:jc w:val="both"/>
        <w:rPr>
          <w:rFonts w:ascii="Arial" w:eastAsia="Arial" w:hAnsi="Arial" w:cs="Arial"/>
        </w:rPr>
      </w:pPr>
    </w:p>
    <w:p w14:paraId="21AACE92" w14:textId="77777777" w:rsidR="00E63A34" w:rsidRPr="00F15B51" w:rsidRDefault="00E63A34" w:rsidP="002E4D8D">
      <w:pPr>
        <w:jc w:val="both"/>
        <w:rPr>
          <w:rFonts w:ascii="Arial" w:eastAsia="Arial" w:hAnsi="Arial" w:cs="Arial"/>
        </w:rPr>
      </w:pPr>
      <w:r w:rsidRPr="00F15B51">
        <w:rPr>
          <w:rFonts w:ascii="Arial" w:eastAsia="Arial" w:hAnsi="Arial" w:cs="Arial"/>
        </w:rPr>
        <w:t>The frequency of emergency (41.9 %) and technically difficult (26.2 %) surgeries did not coincide with that reported by Serrano et al. (2024), who reported values ​​of 27.5 % for emergency surgeries and 62.5 % for technically difficult surgeries. This is likely due to local epidemiological conditions and the level of hospital care.</w:t>
      </w:r>
    </w:p>
    <w:p w14:paraId="30C36DD0" w14:textId="77777777" w:rsidR="00E63A34" w:rsidRPr="00F15B51" w:rsidRDefault="00E63A34" w:rsidP="002E4D8D">
      <w:pPr>
        <w:jc w:val="both"/>
        <w:rPr>
          <w:rFonts w:ascii="Arial" w:eastAsia="Arial" w:hAnsi="Arial" w:cs="Arial"/>
        </w:rPr>
      </w:pPr>
    </w:p>
    <w:p w14:paraId="545895EF" w14:textId="57A237D7" w:rsidR="00E63A34" w:rsidRPr="00F15B51" w:rsidRDefault="00E63A34" w:rsidP="002E4D8D">
      <w:pPr>
        <w:jc w:val="both"/>
        <w:rPr>
          <w:rFonts w:ascii="Arial" w:eastAsia="Arial" w:hAnsi="Arial" w:cs="Arial"/>
        </w:rPr>
      </w:pPr>
      <w:r w:rsidRPr="00F15B51">
        <w:rPr>
          <w:rFonts w:ascii="Arial" w:eastAsia="Arial" w:hAnsi="Arial" w:cs="Arial"/>
        </w:rPr>
        <w:t xml:space="preserve">The percentage of patients found with respect to the evaluated indicators was fever (33.9 </w:t>
      </w:r>
      <w:r w:rsidR="00C11395" w:rsidRPr="00F15B51">
        <w:rPr>
          <w:rFonts w:ascii="Arial" w:eastAsia="Arial" w:hAnsi="Arial" w:cs="Arial"/>
        </w:rPr>
        <w:t>%); jaundice (</w:t>
      </w:r>
      <w:r w:rsidRPr="00F15B51">
        <w:rPr>
          <w:rFonts w:ascii="Arial" w:eastAsia="Arial" w:hAnsi="Arial" w:cs="Arial"/>
        </w:rPr>
        <w:t xml:space="preserve">42.2 </w:t>
      </w:r>
      <w:r w:rsidR="00C11395" w:rsidRPr="00F15B51">
        <w:rPr>
          <w:rFonts w:ascii="Arial" w:eastAsia="Arial" w:hAnsi="Arial" w:cs="Arial"/>
        </w:rPr>
        <w:t>%); leukocytosis (</w:t>
      </w:r>
      <w:r w:rsidRPr="00F15B51">
        <w:rPr>
          <w:rFonts w:ascii="Arial" w:eastAsia="Arial" w:hAnsi="Arial" w:cs="Arial"/>
        </w:rPr>
        <w:t>55.3</w:t>
      </w:r>
      <w:r w:rsidR="00C11395" w:rsidRPr="00F15B51">
        <w:rPr>
          <w:rFonts w:ascii="Arial" w:eastAsia="Arial" w:hAnsi="Arial" w:cs="Arial"/>
        </w:rPr>
        <w:t xml:space="preserve"> </w:t>
      </w:r>
      <w:r w:rsidRPr="00F15B51">
        <w:rPr>
          <w:rFonts w:ascii="Arial" w:eastAsia="Arial" w:hAnsi="Arial" w:cs="Arial"/>
        </w:rPr>
        <w:t>%); thrombocytopenia (19.2</w:t>
      </w:r>
      <w:r w:rsidR="00C11395" w:rsidRPr="00F15B51">
        <w:rPr>
          <w:rFonts w:ascii="Arial" w:eastAsia="Arial" w:hAnsi="Arial" w:cs="Arial"/>
        </w:rPr>
        <w:t xml:space="preserve"> </w:t>
      </w:r>
      <w:r w:rsidRPr="00F15B51">
        <w:rPr>
          <w:rFonts w:ascii="Arial" w:eastAsia="Arial" w:hAnsi="Arial" w:cs="Arial"/>
        </w:rPr>
        <w:t>%); N</w:t>
      </w:r>
      <w:r w:rsidR="00AE0CAE" w:rsidRPr="00F15B51">
        <w:rPr>
          <w:rFonts w:ascii="Arial" w:eastAsia="Arial" w:hAnsi="Arial" w:cs="Arial"/>
        </w:rPr>
        <w:t>LR</w:t>
      </w:r>
      <w:r w:rsidRPr="00F15B51">
        <w:rPr>
          <w:rFonts w:ascii="Arial" w:eastAsia="Arial" w:hAnsi="Arial" w:cs="Arial"/>
        </w:rPr>
        <w:t xml:space="preserve"> ≥</w:t>
      </w:r>
      <w:r w:rsidR="00AE0CAE" w:rsidRPr="00F15B51">
        <w:rPr>
          <w:rFonts w:ascii="Arial" w:eastAsia="Arial" w:hAnsi="Arial" w:cs="Arial"/>
        </w:rPr>
        <w:t xml:space="preserve"> </w:t>
      </w:r>
      <w:r w:rsidRPr="00F15B51">
        <w:rPr>
          <w:rFonts w:ascii="Arial" w:eastAsia="Arial" w:hAnsi="Arial" w:cs="Arial"/>
        </w:rPr>
        <w:t>6 (15.7</w:t>
      </w:r>
      <w:r w:rsidR="00C11395" w:rsidRPr="00F15B51">
        <w:rPr>
          <w:rFonts w:ascii="Arial" w:eastAsia="Arial" w:hAnsi="Arial" w:cs="Arial"/>
        </w:rPr>
        <w:t xml:space="preserve"> %); hyperbilirubinemia (</w:t>
      </w:r>
      <w:r w:rsidRPr="00F15B51">
        <w:rPr>
          <w:rFonts w:ascii="Arial" w:eastAsia="Arial" w:hAnsi="Arial" w:cs="Arial"/>
        </w:rPr>
        <w:t>49.5</w:t>
      </w:r>
      <w:r w:rsidR="00C11395" w:rsidRPr="00F15B51">
        <w:rPr>
          <w:rFonts w:ascii="Arial" w:eastAsia="Arial" w:hAnsi="Arial" w:cs="Arial"/>
        </w:rPr>
        <w:t xml:space="preserve"> </w:t>
      </w:r>
      <w:r w:rsidRPr="00F15B51">
        <w:rPr>
          <w:rFonts w:ascii="Arial" w:eastAsia="Arial" w:hAnsi="Arial" w:cs="Arial"/>
        </w:rPr>
        <w:t>%); positive C-reactive protein (12.5</w:t>
      </w:r>
      <w:r w:rsidR="00C11395" w:rsidRPr="00F15B51">
        <w:rPr>
          <w:rFonts w:ascii="Arial" w:eastAsia="Arial" w:hAnsi="Arial" w:cs="Arial"/>
        </w:rPr>
        <w:t xml:space="preserve"> </w:t>
      </w:r>
      <w:r w:rsidRPr="00F15B51">
        <w:rPr>
          <w:rFonts w:ascii="Arial" w:eastAsia="Arial" w:hAnsi="Arial" w:cs="Arial"/>
        </w:rPr>
        <w:t>%); increased gallb</w:t>
      </w:r>
      <w:r w:rsidR="00C11395" w:rsidRPr="00F15B51">
        <w:rPr>
          <w:rFonts w:ascii="Arial" w:eastAsia="Arial" w:hAnsi="Arial" w:cs="Arial"/>
        </w:rPr>
        <w:t>ladder major axis length (</w:t>
      </w:r>
      <w:r w:rsidRPr="00F15B51">
        <w:rPr>
          <w:rFonts w:ascii="Arial" w:eastAsia="Arial" w:hAnsi="Arial" w:cs="Arial"/>
        </w:rPr>
        <w:t>23</w:t>
      </w:r>
      <w:r w:rsidR="00C11395" w:rsidRPr="00F15B51">
        <w:rPr>
          <w:rFonts w:ascii="Arial" w:eastAsia="Arial" w:hAnsi="Arial" w:cs="Arial"/>
        </w:rPr>
        <w:t xml:space="preserve"> </w:t>
      </w:r>
      <w:r w:rsidRPr="00F15B51">
        <w:rPr>
          <w:rFonts w:ascii="Arial" w:eastAsia="Arial" w:hAnsi="Arial" w:cs="Arial"/>
        </w:rPr>
        <w:t>%); la</w:t>
      </w:r>
      <w:r w:rsidR="00C11395" w:rsidRPr="00F15B51">
        <w:rPr>
          <w:rFonts w:ascii="Arial" w:eastAsia="Arial" w:hAnsi="Arial" w:cs="Arial"/>
        </w:rPr>
        <w:t>rgest stone size ≥10 mm (</w:t>
      </w:r>
      <w:r w:rsidRPr="00F15B51">
        <w:rPr>
          <w:rFonts w:ascii="Arial" w:eastAsia="Arial" w:hAnsi="Arial" w:cs="Arial"/>
        </w:rPr>
        <w:t>48.6</w:t>
      </w:r>
      <w:r w:rsidR="00C11395" w:rsidRPr="00F15B51">
        <w:rPr>
          <w:rFonts w:ascii="Arial" w:eastAsia="Arial" w:hAnsi="Arial" w:cs="Arial"/>
        </w:rPr>
        <w:t xml:space="preserve"> </w:t>
      </w:r>
      <w:r w:rsidRPr="00F15B51">
        <w:rPr>
          <w:rFonts w:ascii="Arial" w:eastAsia="Arial" w:hAnsi="Arial" w:cs="Arial"/>
        </w:rPr>
        <w:t>%); gallbladder wall thickness ≥</w:t>
      </w:r>
      <w:r w:rsidR="00C11395" w:rsidRPr="00F15B51">
        <w:rPr>
          <w:rFonts w:ascii="Arial" w:eastAsia="Arial" w:hAnsi="Arial" w:cs="Arial"/>
        </w:rPr>
        <w:t xml:space="preserve"> 4 (</w:t>
      </w:r>
      <w:r w:rsidRPr="00F15B51">
        <w:rPr>
          <w:rFonts w:ascii="Arial" w:eastAsia="Arial" w:hAnsi="Arial" w:cs="Arial"/>
        </w:rPr>
        <w:t>58.1</w:t>
      </w:r>
      <w:r w:rsidR="00C11395" w:rsidRPr="00F15B51">
        <w:rPr>
          <w:rFonts w:ascii="Arial" w:eastAsia="Arial" w:hAnsi="Arial" w:cs="Arial"/>
        </w:rPr>
        <w:t xml:space="preserve"> </w:t>
      </w:r>
      <w:r w:rsidRPr="00F15B51">
        <w:rPr>
          <w:rFonts w:ascii="Arial" w:eastAsia="Arial" w:hAnsi="Arial" w:cs="Arial"/>
        </w:rPr>
        <w:t>%); and hypervascularity on Doppler function (58.8</w:t>
      </w:r>
      <w:r w:rsidR="00BB17C7">
        <w:rPr>
          <w:rFonts w:ascii="Arial" w:eastAsia="Arial" w:hAnsi="Arial" w:cs="Arial"/>
        </w:rPr>
        <w:t xml:space="preserve"> </w:t>
      </w:r>
      <w:r w:rsidRPr="00F15B51">
        <w:rPr>
          <w:rFonts w:ascii="Arial" w:eastAsia="Arial" w:hAnsi="Arial" w:cs="Arial"/>
        </w:rPr>
        <w:t xml:space="preserve">%) were similar to those reported by </w:t>
      </w:r>
      <w:r w:rsidR="00C11395" w:rsidRPr="00F15B51">
        <w:rPr>
          <w:rFonts w:ascii="Arial" w:eastAsia="Arial" w:hAnsi="Arial" w:cs="Arial"/>
        </w:rPr>
        <w:t xml:space="preserve">Stoica et al. (2024) and </w:t>
      </w:r>
      <w:r w:rsidRPr="00F15B51">
        <w:rPr>
          <w:rFonts w:ascii="Arial" w:eastAsia="Arial" w:hAnsi="Arial" w:cs="Arial"/>
        </w:rPr>
        <w:t>Di et al. (2021) who highlight that abnormal clinical, biochemical, and radiological factors are frequent in patients undergoing laparoscopic cholecystectomy, and even more so in those with complications.</w:t>
      </w:r>
    </w:p>
    <w:p w14:paraId="657CD5B4" w14:textId="77777777" w:rsidR="00C11395" w:rsidRPr="00F15B51" w:rsidRDefault="00C11395" w:rsidP="002E4D8D">
      <w:pPr>
        <w:jc w:val="both"/>
        <w:rPr>
          <w:rFonts w:ascii="Arial" w:eastAsia="Arial" w:hAnsi="Arial" w:cs="Arial"/>
        </w:rPr>
      </w:pPr>
    </w:p>
    <w:p w14:paraId="5FCA0117" w14:textId="77777777" w:rsidR="000305FF" w:rsidRPr="00F15B51" w:rsidRDefault="000305FF" w:rsidP="002E4D8D">
      <w:pPr>
        <w:pStyle w:val="ConcHead"/>
        <w:spacing w:after="0"/>
        <w:jc w:val="both"/>
        <w:rPr>
          <w:rFonts w:ascii="Arial" w:hAnsi="Arial" w:cs="Arial"/>
        </w:rPr>
      </w:pPr>
      <w:r w:rsidRPr="00F15B51">
        <w:rPr>
          <w:rFonts w:ascii="Arial" w:hAnsi="Arial" w:cs="Arial"/>
        </w:rPr>
        <w:t>5. Conclusion</w:t>
      </w:r>
    </w:p>
    <w:p w14:paraId="6398C16F" w14:textId="77777777" w:rsidR="002E4D8D" w:rsidRPr="00F15B51" w:rsidRDefault="002E4D8D" w:rsidP="002E4D8D">
      <w:pPr>
        <w:pStyle w:val="AcknHead"/>
        <w:spacing w:after="0"/>
        <w:jc w:val="both"/>
        <w:rPr>
          <w:rFonts w:ascii="Arial" w:eastAsia="Arial" w:hAnsi="Arial" w:cs="Arial"/>
          <w:b w:val="0"/>
          <w:caps w:val="0"/>
          <w:color w:val="000000"/>
          <w:sz w:val="20"/>
        </w:rPr>
      </w:pPr>
    </w:p>
    <w:p w14:paraId="4DE58EB2" w14:textId="74731D3D" w:rsidR="00C11395" w:rsidRPr="00A37E25" w:rsidRDefault="00C11395" w:rsidP="002E4D8D">
      <w:pPr>
        <w:pStyle w:val="AcknHead"/>
        <w:spacing w:after="0"/>
        <w:jc w:val="both"/>
        <w:rPr>
          <w:rFonts w:ascii="Arial" w:eastAsia="Arial" w:hAnsi="Arial" w:cs="Arial"/>
          <w:b w:val="0"/>
          <w:caps w:val="0"/>
          <w:color w:val="000000"/>
          <w:sz w:val="20"/>
        </w:rPr>
      </w:pPr>
      <w:r w:rsidRPr="00F15B51">
        <w:rPr>
          <w:rFonts w:ascii="Arial" w:eastAsia="Arial" w:hAnsi="Arial" w:cs="Arial"/>
          <w:b w:val="0"/>
          <w:caps w:val="0"/>
          <w:color w:val="000000"/>
          <w:sz w:val="20"/>
        </w:rPr>
        <w:t>The results show that patients undergoing laparoscopic cholecystectomy in the Northern Region of Mexico were primarily women. Overweight and age &gt; 53 years were common. Laparoscopic cholecystectomy without technical difficulty predominated. At least 30 % of patients presented with fever, jaundice, leukocytosis, hyperbilirubinemia, largest stone size ≥ 10 mm, gallbladder wall thickness ≥ 4 mm, and hypervascularity on Doppler ultrasound. Patients who underwent technically difficult laparoscopic cholecystectomy were older and had a higher BMI. The demographic and epidemiological landscape in Mexico increases the risk of acute cholelithiasis.</w:t>
      </w:r>
      <w:r w:rsidR="00A37E25">
        <w:rPr>
          <w:rFonts w:ascii="Arial" w:eastAsia="Arial" w:hAnsi="Arial" w:cs="Arial"/>
          <w:b w:val="0"/>
          <w:caps w:val="0"/>
          <w:color w:val="000000"/>
          <w:sz w:val="20"/>
        </w:rPr>
        <w:t xml:space="preserve"> </w:t>
      </w:r>
      <w:r w:rsidR="00A37E25" w:rsidRPr="00A37E25">
        <w:rPr>
          <w:rFonts w:ascii="Arial" w:eastAsia="Arial" w:hAnsi="Arial" w:cs="Arial"/>
          <w:b w:val="0"/>
          <w:caps w:val="0"/>
          <w:color w:val="000000"/>
          <w:sz w:val="20"/>
          <w:highlight w:val="yellow"/>
        </w:rPr>
        <w:t>The descriptive nature and geographical limitations of our research require continuous epidemiological surveillance, in addition to continuing the study of biomarkers related to cholelithiasis in order to provide greater surgical safety in this type of patient.</w:t>
      </w:r>
    </w:p>
    <w:p w14:paraId="3966939B" w14:textId="6E84CCE8" w:rsidR="00F00A36" w:rsidRDefault="00F00A36" w:rsidP="002E4D8D">
      <w:pPr>
        <w:pStyle w:val="NoSpacing"/>
        <w:jc w:val="both"/>
        <w:rPr>
          <w:rFonts w:ascii="Arial" w:eastAsia="Times New Roman" w:hAnsi="Arial" w:cs="Arial"/>
          <w:sz w:val="20"/>
          <w:szCs w:val="20"/>
          <w:lang w:val="en-US"/>
        </w:rPr>
      </w:pPr>
    </w:p>
    <w:p w14:paraId="287C84AD" w14:textId="77777777" w:rsidR="00313095" w:rsidRPr="00F15B51" w:rsidRDefault="00313095" w:rsidP="002E4D8D">
      <w:pPr>
        <w:pStyle w:val="NoSpacing"/>
        <w:jc w:val="both"/>
        <w:rPr>
          <w:rFonts w:ascii="Arial" w:hAnsi="Arial" w:cs="Arial"/>
          <w:sz w:val="20"/>
          <w:szCs w:val="20"/>
          <w:lang w:val="en-US"/>
        </w:rPr>
      </w:pPr>
    </w:p>
    <w:p w14:paraId="3B5D8915" w14:textId="77777777" w:rsidR="00F7169A" w:rsidRPr="00D52D42" w:rsidRDefault="00F7169A" w:rsidP="00D52D42">
      <w:pPr>
        <w:keepNext/>
        <w:keepLines/>
        <w:jc w:val="both"/>
        <w:outlineLvl w:val="1"/>
        <w:rPr>
          <w:rFonts w:ascii="Arial" w:hAnsi="Arial" w:cs="Arial"/>
          <w:b/>
          <w:bCs/>
          <w:sz w:val="22"/>
          <w:szCs w:val="22"/>
          <w:highlight w:val="yellow"/>
          <w:lang w:val="en-GB" w:eastAsia="en-IN"/>
        </w:rPr>
      </w:pPr>
      <w:bookmarkStart w:id="1" w:name="_Hlk218867759"/>
      <w:r w:rsidRPr="00D52D42">
        <w:rPr>
          <w:rFonts w:ascii="Arial" w:hAnsi="Arial" w:cs="Arial"/>
          <w:b/>
          <w:bCs/>
          <w:sz w:val="22"/>
          <w:szCs w:val="22"/>
          <w:highlight w:val="yellow"/>
          <w:lang w:val="en-GB" w:eastAsia="en-IN"/>
        </w:rPr>
        <w:t>Disclaimer (Artificial intelligence)</w:t>
      </w:r>
    </w:p>
    <w:p w14:paraId="0E312F5E" w14:textId="77777777" w:rsidR="00D52D42" w:rsidRDefault="00D52D42" w:rsidP="00D52D42">
      <w:pPr>
        <w:keepNext/>
        <w:keepLines/>
        <w:jc w:val="both"/>
        <w:outlineLvl w:val="1"/>
        <w:rPr>
          <w:rFonts w:ascii="Arial" w:hAnsi="Arial" w:cs="Arial"/>
          <w:bCs/>
          <w:highlight w:val="yellow"/>
          <w:lang w:val="en-GB" w:eastAsia="en-IN"/>
        </w:rPr>
      </w:pPr>
    </w:p>
    <w:p w14:paraId="0E60C06D" w14:textId="7D331DDB" w:rsidR="00F7169A" w:rsidRPr="00D52D42" w:rsidRDefault="00F7169A" w:rsidP="00D52D42">
      <w:pPr>
        <w:keepNext/>
        <w:keepLines/>
        <w:jc w:val="both"/>
        <w:outlineLvl w:val="1"/>
        <w:rPr>
          <w:rFonts w:ascii="Arial" w:hAnsi="Arial" w:cs="Arial"/>
          <w:bCs/>
          <w:lang w:val="en-GB" w:eastAsia="en-IN"/>
        </w:rPr>
      </w:pPr>
      <w:r w:rsidRPr="00D52D42">
        <w:rPr>
          <w:rFonts w:ascii="Arial" w:hAnsi="Arial" w:cs="Arial"/>
          <w:bCs/>
          <w:highlight w:val="yellow"/>
          <w:lang w:val="en-GB" w:eastAsia="en-IN"/>
        </w:rPr>
        <w:t>Authors hereby declare that NO generative AI technologies such as Large Language Models (</w:t>
      </w:r>
      <w:proofErr w:type="spellStart"/>
      <w:r w:rsidRPr="00D52D42">
        <w:rPr>
          <w:rFonts w:ascii="Arial" w:hAnsi="Arial" w:cs="Arial"/>
          <w:bCs/>
          <w:highlight w:val="yellow"/>
          <w:lang w:val="en-GB" w:eastAsia="en-IN"/>
        </w:rPr>
        <w:t>ChatGPT</w:t>
      </w:r>
      <w:proofErr w:type="spellEnd"/>
      <w:r w:rsidRPr="00D52D42">
        <w:rPr>
          <w:rFonts w:ascii="Arial" w:hAnsi="Arial" w:cs="Arial"/>
          <w:bCs/>
          <w:highlight w:val="yellow"/>
          <w:lang w:val="en-GB" w:eastAsia="en-IN"/>
        </w:rPr>
        <w:t xml:space="preserve">, </w:t>
      </w:r>
      <w:proofErr w:type="spellStart"/>
      <w:r w:rsidRPr="00D52D42">
        <w:rPr>
          <w:rFonts w:ascii="Arial" w:hAnsi="Arial" w:cs="Arial"/>
          <w:bCs/>
          <w:highlight w:val="yellow"/>
          <w:lang w:val="en-GB" w:eastAsia="en-IN"/>
        </w:rPr>
        <w:t>COPILOT</w:t>
      </w:r>
      <w:proofErr w:type="spellEnd"/>
      <w:r w:rsidRPr="00D52D42">
        <w:rPr>
          <w:rFonts w:ascii="Arial" w:hAnsi="Arial" w:cs="Arial"/>
          <w:bCs/>
          <w:highlight w:val="yellow"/>
          <w:lang w:val="en-GB" w:eastAsia="en-IN"/>
        </w:rPr>
        <w:t>, etc.) and text-to-image generators have been used during the writing or editing of this manuscript.</w:t>
      </w:r>
      <w:r w:rsidRPr="00D52D42">
        <w:rPr>
          <w:rFonts w:ascii="Arial" w:hAnsi="Arial" w:cs="Arial"/>
          <w:bCs/>
          <w:lang w:val="en-GB" w:eastAsia="en-IN"/>
        </w:rPr>
        <w:t xml:space="preserve"> </w:t>
      </w:r>
    </w:p>
    <w:bookmarkEnd w:id="1"/>
    <w:p w14:paraId="1E83BFA4" w14:textId="77777777" w:rsidR="00F7169A" w:rsidRDefault="00F7169A" w:rsidP="002E4D8D">
      <w:pPr>
        <w:pStyle w:val="ReferHead"/>
        <w:spacing w:after="0"/>
        <w:jc w:val="both"/>
        <w:rPr>
          <w:rFonts w:ascii="Arial" w:hAnsi="Arial" w:cs="Arial"/>
        </w:rPr>
      </w:pPr>
    </w:p>
    <w:p w14:paraId="1717A757" w14:textId="579C3400" w:rsidR="00BD7246" w:rsidRPr="00F15B51" w:rsidRDefault="00BD7246" w:rsidP="002E4D8D">
      <w:pPr>
        <w:pStyle w:val="ReferHead"/>
        <w:spacing w:after="0"/>
        <w:jc w:val="both"/>
        <w:rPr>
          <w:rFonts w:ascii="Arial" w:hAnsi="Arial" w:cs="Arial"/>
        </w:rPr>
      </w:pPr>
      <w:r w:rsidRPr="00F15B51">
        <w:rPr>
          <w:rFonts w:ascii="Arial" w:hAnsi="Arial" w:cs="Arial"/>
        </w:rPr>
        <w:t>References</w:t>
      </w:r>
    </w:p>
    <w:p w14:paraId="017B7220" w14:textId="77777777" w:rsidR="00BD7246" w:rsidRPr="00F15B51" w:rsidRDefault="00BD7246" w:rsidP="002E4D8D">
      <w:pPr>
        <w:pStyle w:val="Body"/>
        <w:spacing w:after="0"/>
        <w:rPr>
          <w:rFonts w:ascii="Arial" w:hAnsi="Arial" w:cs="Arial"/>
        </w:rPr>
      </w:pPr>
    </w:p>
    <w:p w14:paraId="77D5EDF8" w14:textId="77777777" w:rsidR="00C11395" w:rsidRPr="00F15B51" w:rsidRDefault="00C11395" w:rsidP="00D839B9">
      <w:pPr>
        <w:pStyle w:val="Body"/>
        <w:numPr>
          <w:ilvl w:val="0"/>
          <w:numId w:val="32"/>
        </w:numPr>
        <w:spacing w:after="0"/>
        <w:rPr>
          <w:rFonts w:ascii="Arial" w:hAnsi="Arial" w:cs="Arial"/>
        </w:rPr>
      </w:pPr>
      <w:r w:rsidRPr="00F15B51">
        <w:rPr>
          <w:rFonts w:ascii="Arial" w:hAnsi="Arial" w:cs="Arial"/>
        </w:rPr>
        <w:t>Adachi, T., Eguchi, S., Muto, Y. (2022). Pathophysiology and pathology of acute cholecystitis: A secondary publication of the Japanese version from 1992. Journal of Hepato</w:t>
      </w:r>
      <w:r w:rsidRPr="00F15B51">
        <w:rPr>
          <w:rFonts w:ascii="Cambria Math" w:hAnsi="Cambria Math" w:cs="Cambria Math"/>
        </w:rPr>
        <w:t>‐</w:t>
      </w:r>
      <w:r w:rsidRPr="00F15B51">
        <w:rPr>
          <w:rFonts w:ascii="Arial" w:hAnsi="Arial" w:cs="Arial"/>
        </w:rPr>
        <w:t>Biliary</w:t>
      </w:r>
      <w:r w:rsidRPr="00F15B51">
        <w:rPr>
          <w:rFonts w:ascii="Cambria Math" w:hAnsi="Cambria Math" w:cs="Cambria Math"/>
        </w:rPr>
        <w:t>‐</w:t>
      </w:r>
      <w:r w:rsidRPr="00F15B51">
        <w:rPr>
          <w:rFonts w:ascii="Arial" w:hAnsi="Arial" w:cs="Arial"/>
        </w:rPr>
        <w:t>Pancreatic Sciences. 29(2):212-216. DOI: 10.1002/jhbp.912</w:t>
      </w:r>
    </w:p>
    <w:p w14:paraId="651733B6" w14:textId="77777777" w:rsidR="002E4D8D" w:rsidRPr="00F15B51" w:rsidRDefault="002E4D8D" w:rsidP="002E4D8D">
      <w:pPr>
        <w:pStyle w:val="Body"/>
        <w:spacing w:after="0"/>
        <w:rPr>
          <w:rFonts w:ascii="Arial" w:hAnsi="Arial" w:cs="Arial"/>
        </w:rPr>
      </w:pPr>
    </w:p>
    <w:p w14:paraId="4627B2CB" w14:textId="77777777" w:rsidR="00C11395" w:rsidRPr="00F15B51" w:rsidRDefault="00C11395" w:rsidP="00D839B9">
      <w:pPr>
        <w:pStyle w:val="Body"/>
        <w:numPr>
          <w:ilvl w:val="0"/>
          <w:numId w:val="32"/>
        </w:numPr>
        <w:spacing w:after="0"/>
        <w:rPr>
          <w:rFonts w:ascii="Arial" w:hAnsi="Arial" w:cs="Arial"/>
        </w:rPr>
      </w:pPr>
      <w:r w:rsidRPr="00F15B51">
        <w:rPr>
          <w:rFonts w:ascii="Arial" w:hAnsi="Arial" w:cs="Arial"/>
        </w:rPr>
        <w:lastRenderedPageBreak/>
        <w:t xml:space="preserve">Ahmed, N., Misbah, S., Baig, M. A., et al. (2022). Patho-epidemiology of gallbladder lesions; a 5-year study at </w:t>
      </w:r>
      <w:proofErr w:type="spellStart"/>
      <w:r w:rsidRPr="00F15B51">
        <w:rPr>
          <w:rFonts w:ascii="Arial" w:hAnsi="Arial" w:cs="Arial"/>
        </w:rPr>
        <w:t>dow</w:t>
      </w:r>
      <w:proofErr w:type="spellEnd"/>
      <w:r w:rsidRPr="00F15B51">
        <w:rPr>
          <w:rFonts w:ascii="Arial" w:hAnsi="Arial" w:cs="Arial"/>
        </w:rPr>
        <w:t xml:space="preserve"> medical college, </w:t>
      </w:r>
      <w:proofErr w:type="spellStart"/>
      <w:r w:rsidRPr="00F15B51">
        <w:rPr>
          <w:rFonts w:ascii="Arial" w:hAnsi="Arial" w:cs="Arial"/>
        </w:rPr>
        <w:t>karachi</w:t>
      </w:r>
      <w:proofErr w:type="spellEnd"/>
      <w:r w:rsidRPr="00F15B51">
        <w:rPr>
          <w:rFonts w:ascii="Arial" w:hAnsi="Arial" w:cs="Arial"/>
        </w:rPr>
        <w:t>. DOI: 10.24327/23956429.ijcmpr20220018</w:t>
      </w:r>
    </w:p>
    <w:p w14:paraId="7C03023D" w14:textId="77777777" w:rsidR="002E4D8D" w:rsidRPr="00F15B51" w:rsidRDefault="002E4D8D" w:rsidP="002E4D8D">
      <w:pPr>
        <w:pStyle w:val="Body"/>
        <w:spacing w:after="0"/>
        <w:rPr>
          <w:rFonts w:ascii="Arial" w:hAnsi="Arial" w:cs="Arial"/>
        </w:rPr>
      </w:pPr>
    </w:p>
    <w:p w14:paraId="1A79DEF7" w14:textId="77777777" w:rsidR="00C11395" w:rsidRDefault="00C11395" w:rsidP="00D839B9">
      <w:pPr>
        <w:pStyle w:val="Body"/>
        <w:numPr>
          <w:ilvl w:val="0"/>
          <w:numId w:val="32"/>
        </w:numPr>
        <w:spacing w:after="0"/>
        <w:rPr>
          <w:rFonts w:ascii="Arial" w:hAnsi="Arial" w:cs="Arial"/>
          <w:lang w:val="pt-BR"/>
        </w:rPr>
      </w:pPr>
      <w:proofErr w:type="spellStart"/>
      <w:r w:rsidRPr="0043383F">
        <w:rPr>
          <w:rFonts w:ascii="Arial" w:hAnsi="Arial" w:cs="Arial"/>
          <w:lang w:val="es-MX"/>
        </w:rPr>
        <w:t>Bouassida</w:t>
      </w:r>
      <w:proofErr w:type="spellEnd"/>
      <w:r w:rsidRPr="0043383F">
        <w:rPr>
          <w:rFonts w:ascii="Arial" w:hAnsi="Arial" w:cs="Arial"/>
          <w:lang w:val="es-MX"/>
        </w:rPr>
        <w:t xml:space="preserve">, M., </w:t>
      </w:r>
      <w:proofErr w:type="spellStart"/>
      <w:r w:rsidRPr="0043383F">
        <w:rPr>
          <w:rFonts w:ascii="Arial" w:hAnsi="Arial" w:cs="Arial"/>
          <w:lang w:val="es-MX"/>
        </w:rPr>
        <w:t>Zribi</w:t>
      </w:r>
      <w:proofErr w:type="spellEnd"/>
      <w:r w:rsidRPr="0043383F">
        <w:rPr>
          <w:rFonts w:ascii="Arial" w:hAnsi="Arial" w:cs="Arial"/>
          <w:lang w:val="es-MX"/>
        </w:rPr>
        <w:t xml:space="preserve">, S., </w:t>
      </w:r>
      <w:proofErr w:type="spellStart"/>
      <w:r w:rsidRPr="0043383F">
        <w:rPr>
          <w:rFonts w:ascii="Arial" w:hAnsi="Arial" w:cs="Arial"/>
          <w:lang w:val="es-MX"/>
        </w:rPr>
        <w:t>Krimi</w:t>
      </w:r>
      <w:proofErr w:type="spellEnd"/>
      <w:r w:rsidRPr="0043383F">
        <w:rPr>
          <w:rFonts w:ascii="Arial" w:hAnsi="Arial" w:cs="Arial"/>
          <w:lang w:val="es-MX"/>
        </w:rPr>
        <w:t xml:space="preserve">, B. et al. </w:t>
      </w:r>
      <w:r w:rsidRPr="00F15B51">
        <w:rPr>
          <w:rFonts w:ascii="Arial" w:hAnsi="Arial" w:cs="Arial"/>
        </w:rPr>
        <w:t xml:space="preserve">(2020). C-reactive protein is the best biomarker to predict advanced acute cholecystitis and conversion to open surgery. A prospective cohort study of 556 cases. Journal of Gastrointestinal Surgery. </w:t>
      </w:r>
      <w:r w:rsidRPr="00AB0198">
        <w:rPr>
          <w:rFonts w:ascii="Arial" w:hAnsi="Arial" w:cs="Arial"/>
          <w:lang w:val="pt-BR"/>
        </w:rPr>
        <w:t>24(12):2766-2772. DOI: 10.1007/s11605-019-04459-8</w:t>
      </w:r>
    </w:p>
    <w:p w14:paraId="5BE441E9" w14:textId="77777777" w:rsidR="00CE429D" w:rsidRDefault="00CE429D" w:rsidP="00CE429D">
      <w:pPr>
        <w:pStyle w:val="ListParagraph"/>
        <w:rPr>
          <w:rFonts w:ascii="Arial" w:hAnsi="Arial" w:cs="Arial"/>
          <w:lang w:val="pt-BR"/>
        </w:rPr>
      </w:pPr>
    </w:p>
    <w:p w14:paraId="319FD612" w14:textId="17036571" w:rsidR="00CE429D" w:rsidRPr="004F0E60" w:rsidRDefault="00CE429D" w:rsidP="00CE429D">
      <w:pPr>
        <w:pStyle w:val="Body"/>
        <w:numPr>
          <w:ilvl w:val="0"/>
          <w:numId w:val="32"/>
        </w:numPr>
        <w:spacing w:after="0"/>
        <w:rPr>
          <w:rFonts w:ascii="Arial" w:hAnsi="Arial" w:cs="Arial"/>
          <w:highlight w:val="cyan"/>
        </w:rPr>
      </w:pPr>
      <w:proofErr w:type="spellStart"/>
      <w:r w:rsidRPr="004F0E60">
        <w:rPr>
          <w:rFonts w:ascii="Arial" w:hAnsi="Arial" w:cs="Arial"/>
          <w:highlight w:val="cyan"/>
          <w:lang w:val="es-MX"/>
        </w:rPr>
        <w:t>Cai</w:t>
      </w:r>
      <w:proofErr w:type="spellEnd"/>
      <w:r w:rsidRPr="004F0E60">
        <w:rPr>
          <w:rFonts w:ascii="Arial" w:hAnsi="Arial" w:cs="Arial"/>
          <w:highlight w:val="cyan"/>
          <w:lang w:val="es-MX"/>
        </w:rPr>
        <w:t xml:space="preserve">, J., </w:t>
      </w:r>
      <w:proofErr w:type="spellStart"/>
      <w:r w:rsidRPr="004F0E60">
        <w:rPr>
          <w:rFonts w:ascii="Arial" w:hAnsi="Arial" w:cs="Arial"/>
          <w:highlight w:val="cyan"/>
          <w:lang w:val="es-MX"/>
        </w:rPr>
        <w:t>Rimal</w:t>
      </w:r>
      <w:proofErr w:type="spellEnd"/>
      <w:r w:rsidRPr="004F0E60">
        <w:rPr>
          <w:rFonts w:ascii="Arial" w:hAnsi="Arial" w:cs="Arial"/>
          <w:highlight w:val="cyan"/>
          <w:lang w:val="es-MX"/>
        </w:rPr>
        <w:t xml:space="preserve">, B., </w:t>
      </w:r>
      <w:proofErr w:type="spellStart"/>
      <w:r w:rsidRPr="004F0E60">
        <w:rPr>
          <w:rFonts w:ascii="Arial" w:hAnsi="Arial" w:cs="Arial"/>
          <w:highlight w:val="cyan"/>
          <w:lang w:val="es-MX"/>
        </w:rPr>
        <w:t>Jiang</w:t>
      </w:r>
      <w:proofErr w:type="spellEnd"/>
      <w:r w:rsidRPr="004F0E60">
        <w:rPr>
          <w:rFonts w:ascii="Arial" w:hAnsi="Arial" w:cs="Arial"/>
          <w:highlight w:val="cyan"/>
          <w:lang w:val="es-MX"/>
        </w:rPr>
        <w:t xml:space="preserve">, C., et al. </w:t>
      </w:r>
      <w:r w:rsidRPr="004F0E60">
        <w:rPr>
          <w:rFonts w:ascii="Arial" w:hAnsi="Arial" w:cs="Arial"/>
          <w:highlight w:val="cyan"/>
        </w:rPr>
        <w:t xml:space="preserve">(2022). Bile acid metabolism and signaling, the </w:t>
      </w:r>
      <w:proofErr w:type="spellStart"/>
      <w:r w:rsidRPr="004F0E60">
        <w:rPr>
          <w:rFonts w:ascii="Arial" w:hAnsi="Arial" w:cs="Arial"/>
          <w:highlight w:val="cyan"/>
        </w:rPr>
        <w:t>microbiota</w:t>
      </w:r>
      <w:proofErr w:type="spellEnd"/>
      <w:r w:rsidRPr="004F0E60">
        <w:rPr>
          <w:rFonts w:ascii="Arial" w:hAnsi="Arial" w:cs="Arial"/>
          <w:highlight w:val="cyan"/>
        </w:rPr>
        <w:t xml:space="preserve">, and metabolic disease. Pharmacology &amp; Therapeutics. 237:108238. </w:t>
      </w:r>
      <w:proofErr w:type="spellStart"/>
      <w:r w:rsidRPr="004F0E60">
        <w:rPr>
          <w:rFonts w:ascii="Arial" w:hAnsi="Arial" w:cs="Arial"/>
          <w:highlight w:val="cyan"/>
        </w:rPr>
        <w:t>DOI</w:t>
      </w:r>
      <w:proofErr w:type="spellEnd"/>
      <w:r w:rsidRPr="004F0E60">
        <w:rPr>
          <w:rFonts w:ascii="Arial" w:hAnsi="Arial" w:cs="Arial"/>
          <w:highlight w:val="cyan"/>
        </w:rPr>
        <w:t>: 10.1016/</w:t>
      </w:r>
      <w:proofErr w:type="spellStart"/>
      <w:r w:rsidRPr="004F0E60">
        <w:rPr>
          <w:rFonts w:ascii="Arial" w:hAnsi="Arial" w:cs="Arial"/>
          <w:highlight w:val="cyan"/>
        </w:rPr>
        <w:t>j.pharmthera.2022.108238</w:t>
      </w:r>
      <w:proofErr w:type="spellEnd"/>
    </w:p>
    <w:p w14:paraId="506B667F" w14:textId="77777777" w:rsidR="002E4D8D" w:rsidRPr="00CE429D" w:rsidRDefault="002E4D8D" w:rsidP="002E4D8D">
      <w:pPr>
        <w:pStyle w:val="Body"/>
        <w:spacing w:after="0"/>
        <w:rPr>
          <w:rFonts w:ascii="Arial" w:hAnsi="Arial" w:cs="Arial"/>
        </w:rPr>
      </w:pPr>
    </w:p>
    <w:p w14:paraId="4347FBE4" w14:textId="77777777" w:rsidR="00C11395" w:rsidRPr="00F15B51" w:rsidRDefault="00C11395" w:rsidP="00D839B9">
      <w:pPr>
        <w:pStyle w:val="Body"/>
        <w:numPr>
          <w:ilvl w:val="0"/>
          <w:numId w:val="32"/>
        </w:numPr>
        <w:spacing w:after="0"/>
        <w:rPr>
          <w:rFonts w:ascii="Arial" w:hAnsi="Arial" w:cs="Arial"/>
        </w:rPr>
      </w:pPr>
      <w:r w:rsidRPr="00CE429D">
        <w:rPr>
          <w:rFonts w:ascii="Arial" w:hAnsi="Arial" w:cs="Arial"/>
        </w:rPr>
        <w:t xml:space="preserve">Di, B. G., Romano, G., </w:t>
      </w:r>
      <w:proofErr w:type="spellStart"/>
      <w:r w:rsidRPr="00CE429D">
        <w:rPr>
          <w:rFonts w:ascii="Arial" w:hAnsi="Arial" w:cs="Arial"/>
        </w:rPr>
        <w:t>Galia</w:t>
      </w:r>
      <w:proofErr w:type="spellEnd"/>
      <w:r w:rsidRPr="00CE429D">
        <w:rPr>
          <w:rFonts w:ascii="Arial" w:hAnsi="Arial" w:cs="Arial"/>
        </w:rPr>
        <w:t xml:space="preserve">, M., et al. </w:t>
      </w:r>
      <w:r w:rsidRPr="00F15B51">
        <w:rPr>
          <w:rFonts w:ascii="Arial" w:hAnsi="Arial" w:cs="Arial"/>
        </w:rPr>
        <w:t>(2021).  Difficult laparoscopic cholecystectomy and preoperative predictive factors. Scientific reports. 11(1): 2559. DOI: 10.1038/s41598-021-81938-6</w:t>
      </w:r>
    </w:p>
    <w:p w14:paraId="3B9726EE" w14:textId="77777777" w:rsidR="002E4D8D" w:rsidRPr="00F15B51" w:rsidRDefault="002E4D8D" w:rsidP="005D2A0A">
      <w:pPr>
        <w:pStyle w:val="Body"/>
        <w:spacing w:after="0"/>
        <w:rPr>
          <w:rFonts w:ascii="Arial" w:hAnsi="Arial" w:cs="Arial"/>
        </w:rPr>
      </w:pPr>
    </w:p>
    <w:p w14:paraId="30BD4EC8" w14:textId="77777777" w:rsidR="00C11395" w:rsidRPr="00F15B51" w:rsidRDefault="00C11395" w:rsidP="00D839B9">
      <w:pPr>
        <w:pStyle w:val="Body"/>
        <w:numPr>
          <w:ilvl w:val="0"/>
          <w:numId w:val="32"/>
        </w:numPr>
        <w:spacing w:after="0"/>
        <w:rPr>
          <w:rFonts w:ascii="Arial" w:hAnsi="Arial" w:cs="Arial"/>
        </w:rPr>
      </w:pPr>
      <w:r w:rsidRPr="0043383F">
        <w:rPr>
          <w:rFonts w:ascii="Arial" w:hAnsi="Arial" w:cs="Arial"/>
          <w:lang w:val="es-MX"/>
        </w:rPr>
        <w:t xml:space="preserve">Díaz, R. J. D. D., Ortiz, R. O. I., Mena, A. G., et al. 2020. </w:t>
      </w:r>
      <w:r w:rsidRPr="00F15B51">
        <w:rPr>
          <w:rFonts w:ascii="Arial" w:hAnsi="Arial" w:cs="Arial"/>
        </w:rPr>
        <w:t xml:space="preserve">Factors associated with severity of grade I cholecystitis vs grade II in adult female patients. </w:t>
      </w:r>
      <w:proofErr w:type="spellStart"/>
      <w:r w:rsidRPr="00F15B51">
        <w:rPr>
          <w:rFonts w:ascii="Arial" w:hAnsi="Arial" w:cs="Arial"/>
        </w:rPr>
        <w:t>Cirujano</w:t>
      </w:r>
      <w:proofErr w:type="spellEnd"/>
      <w:r w:rsidRPr="00F15B51">
        <w:rPr>
          <w:rFonts w:ascii="Arial" w:hAnsi="Arial" w:cs="Arial"/>
        </w:rPr>
        <w:t xml:space="preserve"> general. 42(1):6-12. DOI: 10.35366/92705</w:t>
      </w:r>
    </w:p>
    <w:p w14:paraId="69840BB8" w14:textId="77777777" w:rsidR="002E4D8D" w:rsidRDefault="002E4D8D" w:rsidP="005D2A0A">
      <w:pPr>
        <w:pStyle w:val="Body"/>
        <w:spacing w:after="0"/>
        <w:rPr>
          <w:rFonts w:ascii="Arial" w:hAnsi="Arial" w:cs="Arial"/>
        </w:rPr>
      </w:pPr>
    </w:p>
    <w:p w14:paraId="5A15D00F" w14:textId="6965F70A" w:rsidR="00401325" w:rsidRDefault="005D2A0A" w:rsidP="00401325">
      <w:pPr>
        <w:pStyle w:val="ListParagraph"/>
        <w:numPr>
          <w:ilvl w:val="0"/>
          <w:numId w:val="32"/>
        </w:numPr>
        <w:jc w:val="both"/>
        <w:rPr>
          <w:rFonts w:ascii="Arial" w:hAnsi="Arial" w:cs="Arial"/>
          <w:lang w:val="es-MX"/>
        </w:rPr>
      </w:pPr>
      <w:proofErr w:type="spellStart"/>
      <w:r w:rsidRPr="00D839B9">
        <w:rPr>
          <w:rFonts w:ascii="Arial" w:hAnsi="Arial" w:cs="Arial"/>
          <w:highlight w:val="yellow"/>
          <w:lang w:val="es-MX"/>
        </w:rPr>
        <w:t>Fujita</w:t>
      </w:r>
      <w:proofErr w:type="spellEnd"/>
      <w:r w:rsidRPr="00D839B9">
        <w:rPr>
          <w:rFonts w:ascii="Arial" w:hAnsi="Arial" w:cs="Arial"/>
          <w:highlight w:val="yellow"/>
          <w:lang w:val="es-MX"/>
        </w:rPr>
        <w:t xml:space="preserve">, N., </w:t>
      </w:r>
      <w:proofErr w:type="spellStart"/>
      <w:r w:rsidRPr="00D839B9">
        <w:rPr>
          <w:rFonts w:ascii="Arial" w:hAnsi="Arial" w:cs="Arial"/>
          <w:highlight w:val="yellow"/>
          <w:lang w:val="es-MX"/>
        </w:rPr>
        <w:t>Yasuda</w:t>
      </w:r>
      <w:proofErr w:type="spellEnd"/>
      <w:r w:rsidRPr="00D839B9">
        <w:rPr>
          <w:rFonts w:ascii="Arial" w:hAnsi="Arial" w:cs="Arial"/>
          <w:highlight w:val="yellow"/>
          <w:lang w:val="es-MX"/>
        </w:rPr>
        <w:t xml:space="preserve">, I., Endo, I., et al. </w:t>
      </w:r>
      <w:r w:rsidRPr="00D839B9">
        <w:rPr>
          <w:rFonts w:ascii="Arial" w:hAnsi="Arial" w:cs="Arial"/>
          <w:highlight w:val="yellow"/>
        </w:rPr>
        <w:t xml:space="preserve">(2023). Evidence-based clinical practice guidelines for cholelithiasis 2021. Journal of Gastroenterology. </w:t>
      </w:r>
      <w:r w:rsidRPr="00D839B9">
        <w:rPr>
          <w:rFonts w:ascii="Arial" w:hAnsi="Arial" w:cs="Arial"/>
          <w:highlight w:val="yellow"/>
          <w:lang w:val="es-MX"/>
        </w:rPr>
        <w:t>58(9): 801-833.  [https://link.springer.com/article/10.1007/s00535-023-02014-6]</w:t>
      </w:r>
    </w:p>
    <w:p w14:paraId="6273B1F0" w14:textId="77777777" w:rsidR="00401325" w:rsidRPr="00401325" w:rsidRDefault="00401325" w:rsidP="00401325">
      <w:pPr>
        <w:pStyle w:val="ListParagraph"/>
        <w:rPr>
          <w:rFonts w:ascii="Arial" w:hAnsi="Arial" w:cs="Arial"/>
          <w:lang w:val="es-MX"/>
        </w:rPr>
      </w:pPr>
    </w:p>
    <w:p w14:paraId="065160CB" w14:textId="6B9BDEC4" w:rsidR="00401325" w:rsidRPr="00401325" w:rsidRDefault="00401325" w:rsidP="00401325">
      <w:pPr>
        <w:pStyle w:val="ListParagraph"/>
        <w:numPr>
          <w:ilvl w:val="0"/>
          <w:numId w:val="32"/>
        </w:numPr>
        <w:jc w:val="both"/>
        <w:rPr>
          <w:rFonts w:ascii="Arial" w:hAnsi="Arial" w:cs="Arial"/>
          <w:highlight w:val="cyan"/>
        </w:rPr>
      </w:pPr>
      <w:proofErr w:type="spellStart"/>
      <w:r w:rsidRPr="00401325">
        <w:rPr>
          <w:rFonts w:ascii="Arial" w:hAnsi="Arial" w:cs="Arial"/>
          <w:highlight w:val="cyan"/>
          <w:lang w:val="es-MX"/>
        </w:rPr>
        <w:t>Handelman</w:t>
      </w:r>
      <w:proofErr w:type="spellEnd"/>
      <w:r w:rsidRPr="00401325">
        <w:rPr>
          <w:rFonts w:ascii="Arial" w:hAnsi="Arial" w:cs="Arial"/>
          <w:highlight w:val="cyan"/>
          <w:lang w:val="es-MX"/>
        </w:rPr>
        <w:t xml:space="preserve">, S. K., Puentes, Y. M., </w:t>
      </w:r>
      <w:proofErr w:type="spellStart"/>
      <w:r w:rsidRPr="00401325">
        <w:rPr>
          <w:rFonts w:ascii="Arial" w:hAnsi="Arial" w:cs="Arial"/>
          <w:highlight w:val="cyan"/>
          <w:lang w:val="es-MX"/>
        </w:rPr>
        <w:t>Kuppa</w:t>
      </w:r>
      <w:proofErr w:type="spellEnd"/>
      <w:r w:rsidRPr="00401325">
        <w:rPr>
          <w:rFonts w:ascii="Arial" w:hAnsi="Arial" w:cs="Arial"/>
          <w:highlight w:val="cyan"/>
          <w:lang w:val="es-MX"/>
        </w:rPr>
        <w:t xml:space="preserve">, A., et al. </w:t>
      </w:r>
      <w:r w:rsidRPr="00401325">
        <w:rPr>
          <w:rFonts w:ascii="Arial" w:hAnsi="Arial" w:cs="Arial"/>
          <w:highlight w:val="cyan"/>
        </w:rPr>
        <w:t>(2022). Population</w:t>
      </w:r>
      <w:r w:rsidRPr="00401325">
        <w:rPr>
          <w:rFonts w:ascii="Cambria Math" w:hAnsi="Cambria Math" w:cs="Cambria Math"/>
          <w:highlight w:val="cyan"/>
        </w:rPr>
        <w:t>‐</w:t>
      </w:r>
      <w:r w:rsidRPr="00401325">
        <w:rPr>
          <w:rFonts w:ascii="Arial" w:hAnsi="Arial" w:cs="Arial"/>
          <w:highlight w:val="cyan"/>
        </w:rPr>
        <w:t>based meta</w:t>
      </w:r>
      <w:r w:rsidRPr="00401325">
        <w:rPr>
          <w:rFonts w:ascii="Cambria Math" w:hAnsi="Cambria Math" w:cs="Cambria Math"/>
          <w:highlight w:val="cyan"/>
        </w:rPr>
        <w:t>‐</w:t>
      </w:r>
      <w:r w:rsidRPr="00401325">
        <w:rPr>
          <w:rFonts w:ascii="Arial" w:hAnsi="Arial" w:cs="Arial"/>
          <w:highlight w:val="cyan"/>
        </w:rPr>
        <w:t>analysis and gene</w:t>
      </w:r>
      <w:r w:rsidRPr="00401325">
        <w:rPr>
          <w:rFonts w:ascii="Cambria Math" w:hAnsi="Cambria Math" w:cs="Cambria Math"/>
          <w:highlight w:val="cyan"/>
        </w:rPr>
        <w:t>‐</w:t>
      </w:r>
      <w:r w:rsidRPr="00401325">
        <w:rPr>
          <w:rFonts w:ascii="Arial" w:hAnsi="Arial" w:cs="Arial"/>
          <w:highlight w:val="cyan"/>
        </w:rPr>
        <w:t xml:space="preserve">set enrichment identifies </w:t>
      </w:r>
      <w:proofErr w:type="spellStart"/>
      <w:r w:rsidRPr="00401325">
        <w:rPr>
          <w:rFonts w:ascii="Arial" w:hAnsi="Arial" w:cs="Arial"/>
          <w:highlight w:val="cyan"/>
        </w:rPr>
        <w:t>FXR</w:t>
      </w:r>
      <w:proofErr w:type="spellEnd"/>
      <w:r w:rsidRPr="00401325">
        <w:rPr>
          <w:rFonts w:ascii="Arial" w:hAnsi="Arial" w:cs="Arial"/>
          <w:highlight w:val="cyan"/>
        </w:rPr>
        <w:t>/</w:t>
      </w:r>
      <w:proofErr w:type="spellStart"/>
      <w:r w:rsidRPr="00401325">
        <w:rPr>
          <w:rFonts w:ascii="Arial" w:hAnsi="Arial" w:cs="Arial"/>
          <w:highlight w:val="cyan"/>
        </w:rPr>
        <w:t>RXR</w:t>
      </w:r>
      <w:proofErr w:type="spellEnd"/>
      <w:r w:rsidRPr="00401325">
        <w:rPr>
          <w:rFonts w:ascii="Arial" w:hAnsi="Arial" w:cs="Arial"/>
          <w:highlight w:val="cyan"/>
        </w:rPr>
        <w:t xml:space="preserve"> pathway as common to fatty liver disease and serum lipids. </w:t>
      </w:r>
      <w:proofErr w:type="spellStart"/>
      <w:r w:rsidRPr="00401325">
        <w:rPr>
          <w:rFonts w:ascii="Arial" w:hAnsi="Arial" w:cs="Arial"/>
          <w:highlight w:val="cyan"/>
        </w:rPr>
        <w:t>Hepatology</w:t>
      </w:r>
      <w:proofErr w:type="spellEnd"/>
      <w:r w:rsidRPr="00401325">
        <w:rPr>
          <w:rFonts w:ascii="Arial" w:hAnsi="Arial" w:cs="Arial"/>
          <w:highlight w:val="cyan"/>
        </w:rPr>
        <w:t xml:space="preserve"> Communications, 6(11):3120-3131. </w:t>
      </w:r>
      <w:proofErr w:type="spellStart"/>
      <w:r w:rsidRPr="00401325">
        <w:rPr>
          <w:rFonts w:ascii="Arial" w:hAnsi="Arial" w:cs="Arial"/>
          <w:highlight w:val="cyan"/>
        </w:rPr>
        <w:t>DOI</w:t>
      </w:r>
      <w:proofErr w:type="spellEnd"/>
      <w:r w:rsidRPr="00401325">
        <w:rPr>
          <w:rFonts w:ascii="Arial" w:hAnsi="Arial" w:cs="Arial"/>
          <w:highlight w:val="cyan"/>
        </w:rPr>
        <w:t>:</w:t>
      </w:r>
      <w:r w:rsidRPr="00401325">
        <w:rPr>
          <w:highlight w:val="cyan"/>
        </w:rPr>
        <w:t xml:space="preserve"> </w:t>
      </w:r>
      <w:r w:rsidRPr="00401325">
        <w:rPr>
          <w:rFonts w:ascii="Arial" w:hAnsi="Arial" w:cs="Arial"/>
          <w:highlight w:val="cyan"/>
        </w:rPr>
        <w:t>10.1002/</w:t>
      </w:r>
      <w:proofErr w:type="spellStart"/>
      <w:r w:rsidRPr="00401325">
        <w:rPr>
          <w:rFonts w:ascii="Arial" w:hAnsi="Arial" w:cs="Arial"/>
          <w:highlight w:val="cyan"/>
        </w:rPr>
        <w:t>hep4.2066</w:t>
      </w:r>
      <w:proofErr w:type="spellEnd"/>
      <w:r w:rsidRPr="00401325">
        <w:rPr>
          <w:rFonts w:ascii="Arial" w:hAnsi="Arial" w:cs="Arial"/>
          <w:highlight w:val="cyan"/>
        </w:rPr>
        <w:t xml:space="preserve"> </w:t>
      </w:r>
    </w:p>
    <w:p w14:paraId="03F8D21B" w14:textId="77777777" w:rsidR="005D2A0A" w:rsidRPr="00401325" w:rsidRDefault="005D2A0A" w:rsidP="005D2A0A">
      <w:pPr>
        <w:pStyle w:val="Body"/>
        <w:spacing w:after="0"/>
        <w:rPr>
          <w:rFonts w:ascii="Arial" w:hAnsi="Arial" w:cs="Arial"/>
          <w:highlight w:val="yellow"/>
        </w:rPr>
      </w:pPr>
    </w:p>
    <w:p w14:paraId="06EB6689" w14:textId="39FCDAA9" w:rsidR="00FE44E8" w:rsidRDefault="00FE44E8" w:rsidP="00D839B9">
      <w:pPr>
        <w:pStyle w:val="Body"/>
        <w:numPr>
          <w:ilvl w:val="0"/>
          <w:numId w:val="32"/>
        </w:numPr>
        <w:spacing w:after="0"/>
        <w:rPr>
          <w:rFonts w:ascii="Arial" w:hAnsi="Arial" w:cs="Arial"/>
          <w:highlight w:val="yellow"/>
        </w:rPr>
      </w:pPr>
      <w:proofErr w:type="spellStart"/>
      <w:r w:rsidRPr="00401325">
        <w:rPr>
          <w:rFonts w:ascii="Arial" w:hAnsi="Arial" w:cs="Arial"/>
          <w:highlight w:val="yellow"/>
        </w:rPr>
        <w:t>Instituto</w:t>
      </w:r>
      <w:proofErr w:type="spellEnd"/>
      <w:r w:rsidRPr="00401325">
        <w:rPr>
          <w:rFonts w:ascii="Arial" w:hAnsi="Arial" w:cs="Arial"/>
          <w:highlight w:val="yellow"/>
        </w:rPr>
        <w:t xml:space="preserve"> </w:t>
      </w:r>
      <w:proofErr w:type="spellStart"/>
      <w:r w:rsidRPr="00401325">
        <w:rPr>
          <w:rFonts w:ascii="Arial" w:hAnsi="Arial" w:cs="Arial"/>
          <w:highlight w:val="yellow"/>
        </w:rPr>
        <w:t>Nacional</w:t>
      </w:r>
      <w:proofErr w:type="spellEnd"/>
      <w:r w:rsidRPr="00401325">
        <w:rPr>
          <w:rFonts w:ascii="Arial" w:hAnsi="Arial" w:cs="Arial"/>
          <w:highlight w:val="yellow"/>
        </w:rPr>
        <w:t xml:space="preserve"> de </w:t>
      </w:r>
      <w:proofErr w:type="spellStart"/>
      <w:r w:rsidRPr="00401325">
        <w:rPr>
          <w:rFonts w:ascii="Arial" w:hAnsi="Arial" w:cs="Arial"/>
          <w:highlight w:val="yellow"/>
        </w:rPr>
        <w:t>Estadística</w:t>
      </w:r>
      <w:proofErr w:type="spellEnd"/>
      <w:r w:rsidRPr="00401325">
        <w:rPr>
          <w:rFonts w:ascii="Arial" w:hAnsi="Arial" w:cs="Arial"/>
          <w:highlight w:val="yellow"/>
        </w:rPr>
        <w:t xml:space="preserve"> y </w:t>
      </w:r>
      <w:proofErr w:type="spellStart"/>
      <w:r w:rsidRPr="00401325">
        <w:rPr>
          <w:rFonts w:ascii="Arial" w:hAnsi="Arial" w:cs="Arial"/>
          <w:highlight w:val="yellow"/>
        </w:rPr>
        <w:t>Geografía</w:t>
      </w:r>
      <w:proofErr w:type="spellEnd"/>
      <w:r w:rsidRPr="00401325">
        <w:rPr>
          <w:rFonts w:ascii="Arial" w:hAnsi="Arial" w:cs="Arial"/>
          <w:highlight w:val="yellow"/>
        </w:rPr>
        <w:t xml:space="preserve"> (</w:t>
      </w:r>
      <w:r>
        <w:rPr>
          <w:rFonts w:ascii="Arial" w:hAnsi="Arial" w:cs="Arial"/>
          <w:highlight w:val="yellow"/>
          <w:lang w:val="es-MX"/>
        </w:rPr>
        <w:t xml:space="preserve">INEGI). (2020). Población total (Número de habitantes) 2020. </w:t>
      </w:r>
      <w:r>
        <w:rPr>
          <w:rFonts w:ascii="Arial" w:hAnsi="Arial" w:cs="Arial"/>
          <w:highlight w:val="yellow"/>
        </w:rPr>
        <w:t>[</w:t>
      </w:r>
      <w:proofErr w:type="spellStart"/>
      <w:r>
        <w:rPr>
          <w:rFonts w:ascii="Arial" w:hAnsi="Arial" w:cs="Arial"/>
          <w:highlight w:val="yellow"/>
        </w:rPr>
        <w:t>Accesed</w:t>
      </w:r>
      <w:proofErr w:type="spellEnd"/>
      <w:r>
        <w:rPr>
          <w:rFonts w:ascii="Arial" w:hAnsi="Arial" w:cs="Arial"/>
          <w:highlight w:val="yellow"/>
        </w:rPr>
        <w:t xml:space="preserve"> December 2025]. [https://cuentame.inegi.org.mx/poblacion/habitantes.aspx?tema=P]</w:t>
      </w:r>
    </w:p>
    <w:p w14:paraId="096137C0" w14:textId="77777777" w:rsidR="005D2A0A" w:rsidRPr="00B05F9D" w:rsidRDefault="005D2A0A" w:rsidP="00FE44E8">
      <w:pPr>
        <w:pStyle w:val="Body"/>
        <w:spacing w:after="0"/>
        <w:rPr>
          <w:rFonts w:ascii="Arial" w:hAnsi="Arial" w:cs="Arial"/>
          <w:highlight w:val="yellow"/>
        </w:rPr>
      </w:pPr>
    </w:p>
    <w:p w14:paraId="440C07DC" w14:textId="77777777" w:rsidR="00B43D20" w:rsidRDefault="00FE44E8" w:rsidP="00B43D20">
      <w:pPr>
        <w:pStyle w:val="Body"/>
        <w:numPr>
          <w:ilvl w:val="0"/>
          <w:numId w:val="32"/>
        </w:numPr>
        <w:spacing w:after="0"/>
        <w:rPr>
          <w:rFonts w:ascii="Arial" w:hAnsi="Arial" w:cs="Arial"/>
        </w:rPr>
      </w:pPr>
      <w:r>
        <w:rPr>
          <w:rFonts w:ascii="Arial" w:hAnsi="Arial" w:cs="Arial"/>
          <w:highlight w:val="yellow"/>
          <w:lang w:val="es-MX"/>
        </w:rPr>
        <w:t xml:space="preserve">Instituto Nacional de Estadística y Geografía (INEGI). (2021). Estadísticas a propósito del Día Mundial de la Diabetes.  </w:t>
      </w:r>
      <w:r>
        <w:rPr>
          <w:rFonts w:ascii="Arial" w:hAnsi="Arial" w:cs="Arial"/>
          <w:highlight w:val="yellow"/>
        </w:rPr>
        <w:t>[</w:t>
      </w:r>
      <w:proofErr w:type="spellStart"/>
      <w:r>
        <w:rPr>
          <w:rFonts w:ascii="Arial" w:hAnsi="Arial" w:cs="Arial"/>
          <w:highlight w:val="yellow"/>
        </w:rPr>
        <w:t>Accesed</w:t>
      </w:r>
      <w:proofErr w:type="spellEnd"/>
      <w:r>
        <w:rPr>
          <w:rFonts w:ascii="Arial" w:hAnsi="Arial" w:cs="Arial"/>
          <w:highlight w:val="yellow"/>
        </w:rPr>
        <w:t xml:space="preserve"> December 2025]. [https://www.inegi.org.mx/contenidos/saladeprensa/aproposito/2021/EAP_Diabetes2021.pdf]</w:t>
      </w:r>
    </w:p>
    <w:p w14:paraId="09D5CB76" w14:textId="77777777" w:rsidR="00FE44E8" w:rsidRPr="00F15B51" w:rsidRDefault="00FE44E8" w:rsidP="002E4D8D">
      <w:pPr>
        <w:pStyle w:val="Body"/>
        <w:spacing w:after="0"/>
        <w:rPr>
          <w:rFonts w:ascii="Arial" w:hAnsi="Arial" w:cs="Arial"/>
        </w:rPr>
      </w:pPr>
    </w:p>
    <w:p w14:paraId="4E57654B" w14:textId="77777777" w:rsidR="00FE44E8" w:rsidRPr="00FE44E8" w:rsidRDefault="00FE44E8" w:rsidP="002E4D8D">
      <w:pPr>
        <w:pStyle w:val="Body"/>
        <w:spacing w:after="0"/>
        <w:rPr>
          <w:rFonts w:ascii="Arial" w:hAnsi="Arial" w:cs="Arial"/>
        </w:rPr>
      </w:pPr>
    </w:p>
    <w:p w14:paraId="09C29379" w14:textId="77777777" w:rsidR="00C11395" w:rsidRDefault="00C11395" w:rsidP="00D839B9">
      <w:pPr>
        <w:pStyle w:val="Body"/>
        <w:numPr>
          <w:ilvl w:val="0"/>
          <w:numId w:val="32"/>
        </w:numPr>
        <w:spacing w:after="0"/>
        <w:rPr>
          <w:rFonts w:ascii="Arial" w:hAnsi="Arial" w:cs="Arial"/>
        </w:rPr>
      </w:pPr>
      <w:r w:rsidRPr="00B43D20">
        <w:rPr>
          <w:rFonts w:ascii="Arial" w:hAnsi="Arial" w:cs="Arial"/>
        </w:rPr>
        <w:t>Lee, W., Jang, J. Y., Cho</w:t>
      </w:r>
      <w:proofErr w:type="gramStart"/>
      <w:r w:rsidRPr="00B43D20">
        <w:rPr>
          <w:rFonts w:ascii="Arial" w:hAnsi="Arial" w:cs="Arial"/>
        </w:rPr>
        <w:t>,  J</w:t>
      </w:r>
      <w:proofErr w:type="gramEnd"/>
      <w:r w:rsidRPr="00B43D20">
        <w:rPr>
          <w:rFonts w:ascii="Arial" w:hAnsi="Arial" w:cs="Arial"/>
        </w:rPr>
        <w:t xml:space="preserve">. K., et al. </w:t>
      </w:r>
      <w:r w:rsidRPr="00F15B51">
        <w:rPr>
          <w:rFonts w:ascii="Arial" w:hAnsi="Arial" w:cs="Arial"/>
        </w:rPr>
        <w:t xml:space="preserve">(2020). Does surgical difficulty relate to severity of acute cholecystitis? Validation of the parkland grading scale based on intraoperative findings. The American Journal of Surgery. 219(4):637-641. </w:t>
      </w:r>
      <w:proofErr w:type="spellStart"/>
      <w:r w:rsidRPr="00F15B51">
        <w:rPr>
          <w:rFonts w:ascii="Arial" w:hAnsi="Arial" w:cs="Arial"/>
        </w:rPr>
        <w:t>DOI</w:t>
      </w:r>
      <w:proofErr w:type="spellEnd"/>
      <w:r w:rsidRPr="00F15B51">
        <w:rPr>
          <w:rFonts w:ascii="Arial" w:hAnsi="Arial" w:cs="Arial"/>
        </w:rPr>
        <w:t>: 10.1016/</w:t>
      </w:r>
      <w:proofErr w:type="spellStart"/>
      <w:r w:rsidRPr="00F15B51">
        <w:rPr>
          <w:rFonts w:ascii="Arial" w:hAnsi="Arial" w:cs="Arial"/>
        </w:rPr>
        <w:t>j.amjsurg.2018.12.005</w:t>
      </w:r>
      <w:proofErr w:type="spellEnd"/>
    </w:p>
    <w:p w14:paraId="38747192" w14:textId="77777777" w:rsidR="00B43D20" w:rsidRPr="00F15B51" w:rsidRDefault="00B43D20" w:rsidP="00B43D20">
      <w:pPr>
        <w:pStyle w:val="Body"/>
        <w:spacing w:after="0"/>
        <w:rPr>
          <w:rFonts w:ascii="Arial" w:hAnsi="Arial" w:cs="Arial"/>
        </w:rPr>
      </w:pPr>
    </w:p>
    <w:p w14:paraId="08A04594" w14:textId="77777777" w:rsidR="002E4D8D" w:rsidRPr="00F15B51" w:rsidRDefault="002E4D8D" w:rsidP="002E4D8D">
      <w:pPr>
        <w:pStyle w:val="Body"/>
        <w:spacing w:after="0"/>
        <w:rPr>
          <w:rFonts w:ascii="Arial" w:hAnsi="Arial" w:cs="Arial"/>
        </w:rPr>
      </w:pPr>
    </w:p>
    <w:p w14:paraId="0799F039" w14:textId="77777777" w:rsidR="00C11395" w:rsidRDefault="00C11395" w:rsidP="00D839B9">
      <w:pPr>
        <w:pStyle w:val="Body"/>
        <w:numPr>
          <w:ilvl w:val="0"/>
          <w:numId w:val="32"/>
        </w:numPr>
        <w:spacing w:after="0"/>
        <w:rPr>
          <w:rFonts w:ascii="Arial" w:hAnsi="Arial" w:cs="Arial"/>
        </w:rPr>
      </w:pPr>
      <w:proofErr w:type="spellStart"/>
      <w:r w:rsidRPr="00F15B51">
        <w:rPr>
          <w:rFonts w:ascii="Arial" w:hAnsi="Arial" w:cs="Arial"/>
        </w:rPr>
        <w:t>Maddu</w:t>
      </w:r>
      <w:proofErr w:type="spellEnd"/>
      <w:r w:rsidRPr="00F15B51">
        <w:rPr>
          <w:rFonts w:ascii="Arial" w:hAnsi="Arial" w:cs="Arial"/>
        </w:rPr>
        <w:t xml:space="preserve">, K., Phadke, S., Hoff, C. (2021). Complications of cholecystitis: a comprehensive contemporary imaging review. Emergency Radiology. 28(5):1011-1027. </w:t>
      </w:r>
      <w:proofErr w:type="spellStart"/>
      <w:r w:rsidRPr="00F15B51">
        <w:rPr>
          <w:rFonts w:ascii="Arial" w:hAnsi="Arial" w:cs="Arial"/>
        </w:rPr>
        <w:t>DOI</w:t>
      </w:r>
      <w:proofErr w:type="spellEnd"/>
      <w:r w:rsidRPr="00F15B51">
        <w:rPr>
          <w:rFonts w:ascii="Arial" w:hAnsi="Arial" w:cs="Arial"/>
        </w:rPr>
        <w:t>: 10.1007/</w:t>
      </w:r>
      <w:proofErr w:type="spellStart"/>
      <w:r w:rsidRPr="00F15B51">
        <w:rPr>
          <w:rFonts w:ascii="Arial" w:hAnsi="Arial" w:cs="Arial"/>
        </w:rPr>
        <w:t>s10140</w:t>
      </w:r>
      <w:proofErr w:type="spellEnd"/>
      <w:r w:rsidRPr="00F15B51">
        <w:rPr>
          <w:rFonts w:ascii="Arial" w:hAnsi="Arial" w:cs="Arial"/>
        </w:rPr>
        <w:t>-021-01944-z</w:t>
      </w:r>
    </w:p>
    <w:p w14:paraId="58D5349E" w14:textId="77777777" w:rsidR="00A9415C" w:rsidRDefault="00A9415C" w:rsidP="00A9415C">
      <w:pPr>
        <w:pStyle w:val="Body"/>
        <w:spacing w:after="0"/>
        <w:ind w:left="720"/>
        <w:rPr>
          <w:rFonts w:ascii="Arial" w:hAnsi="Arial" w:cs="Arial"/>
        </w:rPr>
      </w:pPr>
    </w:p>
    <w:p w14:paraId="5645B0D7" w14:textId="56C29B3A" w:rsidR="00A9415C" w:rsidRPr="004F0E60" w:rsidRDefault="00A9415C" w:rsidP="00A9415C">
      <w:pPr>
        <w:pStyle w:val="Body"/>
        <w:numPr>
          <w:ilvl w:val="0"/>
          <w:numId w:val="32"/>
        </w:numPr>
        <w:spacing w:after="0"/>
        <w:rPr>
          <w:rFonts w:ascii="Arial" w:hAnsi="Arial" w:cs="Arial"/>
          <w:highlight w:val="cyan"/>
        </w:rPr>
      </w:pPr>
      <w:r w:rsidRPr="004F0E60">
        <w:rPr>
          <w:rFonts w:ascii="Arial" w:hAnsi="Arial" w:cs="Arial"/>
          <w:highlight w:val="cyan"/>
          <w:lang w:val="es-MX"/>
        </w:rPr>
        <w:t xml:space="preserve">Méndez S. N., King M. A. C., Ramos, M. H., et al. (2004). </w:t>
      </w:r>
      <w:r w:rsidRPr="004F0E60">
        <w:rPr>
          <w:rFonts w:ascii="Arial" w:hAnsi="Arial" w:cs="Arial"/>
          <w:highlight w:val="cyan"/>
        </w:rPr>
        <w:t xml:space="preserve">The Amerindian's genes in the Mexican population are associated with development of gallstone disease. </w:t>
      </w:r>
      <w:r w:rsidRPr="004F0E60">
        <w:rPr>
          <w:rFonts w:ascii="Arial" w:hAnsi="Arial" w:cs="Arial"/>
          <w:highlight w:val="cyan"/>
        </w:rPr>
        <w:lastRenderedPageBreak/>
        <w:t>Official journal of the American C</w:t>
      </w:r>
      <w:r w:rsidR="004F0E60" w:rsidRPr="004F0E60">
        <w:rPr>
          <w:rFonts w:ascii="Arial" w:hAnsi="Arial" w:cs="Arial"/>
          <w:highlight w:val="cyan"/>
        </w:rPr>
        <w:t xml:space="preserve">ollege of Gastroenterology </w:t>
      </w:r>
      <w:proofErr w:type="spellStart"/>
      <w:r w:rsidR="004F0E60" w:rsidRPr="004F0E60">
        <w:rPr>
          <w:rFonts w:ascii="Arial" w:hAnsi="Arial" w:cs="Arial"/>
          <w:highlight w:val="cyan"/>
        </w:rPr>
        <w:t>ACG</w:t>
      </w:r>
      <w:proofErr w:type="spellEnd"/>
      <w:r w:rsidR="004F0E60" w:rsidRPr="004F0E60">
        <w:rPr>
          <w:rFonts w:ascii="Arial" w:hAnsi="Arial" w:cs="Arial"/>
          <w:highlight w:val="cyan"/>
        </w:rPr>
        <w:t>.</w:t>
      </w:r>
      <w:r w:rsidRPr="004F0E60">
        <w:rPr>
          <w:rFonts w:ascii="Arial" w:hAnsi="Arial" w:cs="Arial"/>
          <w:highlight w:val="cyan"/>
        </w:rPr>
        <w:t xml:space="preserve"> 99(11)</w:t>
      </w:r>
      <w:r w:rsidR="004F0E60" w:rsidRPr="004F0E60">
        <w:rPr>
          <w:rFonts w:ascii="Arial" w:hAnsi="Arial" w:cs="Arial"/>
          <w:highlight w:val="cyan"/>
        </w:rPr>
        <w:t>:</w:t>
      </w:r>
      <w:r w:rsidRPr="004F0E60">
        <w:rPr>
          <w:rFonts w:ascii="Arial" w:hAnsi="Arial" w:cs="Arial"/>
          <w:highlight w:val="cyan"/>
        </w:rPr>
        <w:t>2166-2170.</w:t>
      </w:r>
      <w:r w:rsidR="004F0E60" w:rsidRPr="004F0E60">
        <w:rPr>
          <w:rFonts w:ascii="Arial" w:hAnsi="Arial" w:cs="Arial"/>
          <w:highlight w:val="cyan"/>
        </w:rPr>
        <w:t xml:space="preserve"> </w:t>
      </w:r>
    </w:p>
    <w:p w14:paraId="37A169B0" w14:textId="77777777" w:rsidR="002E4D8D" w:rsidRPr="00F15B51" w:rsidRDefault="002E4D8D" w:rsidP="002E4D8D">
      <w:pPr>
        <w:pStyle w:val="Body"/>
        <w:spacing w:after="0"/>
        <w:rPr>
          <w:rFonts w:ascii="Arial" w:hAnsi="Arial" w:cs="Arial"/>
        </w:rPr>
      </w:pPr>
    </w:p>
    <w:p w14:paraId="46605A81" w14:textId="77777777" w:rsidR="00C11395" w:rsidRPr="00F15B51" w:rsidRDefault="00C11395" w:rsidP="00D839B9">
      <w:pPr>
        <w:pStyle w:val="Body"/>
        <w:numPr>
          <w:ilvl w:val="0"/>
          <w:numId w:val="32"/>
        </w:numPr>
        <w:spacing w:after="0"/>
        <w:rPr>
          <w:rFonts w:ascii="Arial" w:hAnsi="Arial" w:cs="Arial"/>
        </w:rPr>
      </w:pPr>
      <w:r w:rsidRPr="00F15B51">
        <w:rPr>
          <w:rFonts w:ascii="Arial" w:hAnsi="Arial" w:cs="Arial"/>
        </w:rPr>
        <w:t>Nassar, A. H., Ng, H. J., Wysocki, A. P., et al. (2021). Achieving the critical view of safety in the difficult laparoscopic cholecystectomy: a prospective study of predictors of failure. Surgical endoscopy. 35:6039-6047. DOI: 10.1007/s00464-020-08093-3</w:t>
      </w:r>
    </w:p>
    <w:p w14:paraId="797CF155" w14:textId="77777777" w:rsidR="002E4D8D" w:rsidRPr="00F15B51" w:rsidRDefault="002E4D8D" w:rsidP="002E4D8D">
      <w:pPr>
        <w:pStyle w:val="Body"/>
        <w:spacing w:after="0"/>
        <w:rPr>
          <w:rFonts w:ascii="Arial" w:hAnsi="Arial" w:cs="Arial"/>
        </w:rPr>
      </w:pPr>
    </w:p>
    <w:p w14:paraId="49434E5A" w14:textId="77777777" w:rsidR="00C11395" w:rsidRPr="00F15B51" w:rsidRDefault="00C11395" w:rsidP="00D839B9">
      <w:pPr>
        <w:pStyle w:val="Body"/>
        <w:numPr>
          <w:ilvl w:val="0"/>
          <w:numId w:val="32"/>
        </w:numPr>
        <w:spacing w:after="0"/>
        <w:rPr>
          <w:rFonts w:ascii="Arial" w:hAnsi="Arial" w:cs="Arial"/>
        </w:rPr>
      </w:pPr>
      <w:proofErr w:type="spellStart"/>
      <w:r w:rsidRPr="0043383F">
        <w:rPr>
          <w:rFonts w:ascii="Arial" w:hAnsi="Arial" w:cs="Arial"/>
          <w:lang w:val="es-MX"/>
        </w:rPr>
        <w:t>Ohya</w:t>
      </w:r>
      <w:proofErr w:type="spellEnd"/>
      <w:r w:rsidRPr="0043383F">
        <w:rPr>
          <w:rFonts w:ascii="Arial" w:hAnsi="Arial" w:cs="Arial"/>
          <w:lang w:val="es-MX"/>
        </w:rPr>
        <w:t xml:space="preserve">, H., </w:t>
      </w:r>
      <w:proofErr w:type="spellStart"/>
      <w:r w:rsidRPr="0043383F">
        <w:rPr>
          <w:rFonts w:ascii="Arial" w:hAnsi="Arial" w:cs="Arial"/>
          <w:lang w:val="es-MX"/>
        </w:rPr>
        <w:t>Maeda</w:t>
      </w:r>
      <w:proofErr w:type="spellEnd"/>
      <w:r w:rsidRPr="0043383F">
        <w:rPr>
          <w:rFonts w:ascii="Arial" w:hAnsi="Arial" w:cs="Arial"/>
          <w:lang w:val="es-MX"/>
        </w:rPr>
        <w:t xml:space="preserve">, A., </w:t>
      </w:r>
      <w:proofErr w:type="spellStart"/>
      <w:r w:rsidRPr="0043383F">
        <w:rPr>
          <w:rFonts w:ascii="Arial" w:hAnsi="Arial" w:cs="Arial"/>
          <w:lang w:val="es-MX"/>
        </w:rPr>
        <w:t>Takayama</w:t>
      </w:r>
      <w:proofErr w:type="spellEnd"/>
      <w:r w:rsidRPr="0043383F">
        <w:rPr>
          <w:rFonts w:ascii="Arial" w:hAnsi="Arial" w:cs="Arial"/>
          <w:lang w:val="es-MX"/>
        </w:rPr>
        <w:t xml:space="preserve">, Y., et al. </w:t>
      </w:r>
      <w:r w:rsidRPr="00F15B51">
        <w:rPr>
          <w:rFonts w:ascii="Arial" w:hAnsi="Arial" w:cs="Arial"/>
        </w:rPr>
        <w:t>(2022). Preoperative risk factors for technical difficulty in emergent laparoscopic cholecystectomy for acute cholecystitis. Asian Journal of Endoscopic Surgery. 15(1):82-89. DOI: 10.1111/ases.12969</w:t>
      </w:r>
    </w:p>
    <w:p w14:paraId="3621B1EE" w14:textId="77777777" w:rsidR="002E4D8D" w:rsidRPr="00F15B51" w:rsidRDefault="002E4D8D" w:rsidP="002E4D8D">
      <w:pPr>
        <w:pStyle w:val="Body"/>
        <w:spacing w:after="0"/>
        <w:rPr>
          <w:rFonts w:ascii="Arial" w:hAnsi="Arial" w:cs="Arial"/>
        </w:rPr>
      </w:pPr>
    </w:p>
    <w:p w14:paraId="45B3CC21" w14:textId="77777777" w:rsidR="00C11395" w:rsidRPr="00AB0198" w:rsidRDefault="00C11395" w:rsidP="00D839B9">
      <w:pPr>
        <w:pStyle w:val="Body"/>
        <w:numPr>
          <w:ilvl w:val="0"/>
          <w:numId w:val="32"/>
        </w:numPr>
        <w:spacing w:after="0"/>
        <w:rPr>
          <w:rFonts w:ascii="Arial" w:hAnsi="Arial" w:cs="Arial"/>
          <w:lang w:val="pt-BR"/>
        </w:rPr>
      </w:pPr>
      <w:proofErr w:type="spellStart"/>
      <w:r w:rsidRPr="00F15B51">
        <w:rPr>
          <w:rFonts w:ascii="Arial" w:hAnsi="Arial" w:cs="Arial"/>
        </w:rPr>
        <w:t>Osailan</w:t>
      </w:r>
      <w:proofErr w:type="spellEnd"/>
      <w:r w:rsidRPr="00F15B51">
        <w:rPr>
          <w:rFonts w:ascii="Arial" w:hAnsi="Arial" w:cs="Arial"/>
        </w:rPr>
        <w:t xml:space="preserve">, S., </w:t>
      </w:r>
      <w:proofErr w:type="spellStart"/>
      <w:r w:rsidRPr="00F15B51">
        <w:rPr>
          <w:rFonts w:ascii="Arial" w:hAnsi="Arial" w:cs="Arial"/>
        </w:rPr>
        <w:t>Esailan</w:t>
      </w:r>
      <w:proofErr w:type="spellEnd"/>
      <w:r w:rsidRPr="00F15B51">
        <w:rPr>
          <w:rFonts w:ascii="Arial" w:hAnsi="Arial" w:cs="Arial"/>
        </w:rPr>
        <w:t xml:space="preserve">, M., </w:t>
      </w:r>
      <w:proofErr w:type="spellStart"/>
      <w:r w:rsidRPr="00F15B51">
        <w:rPr>
          <w:rFonts w:ascii="Arial" w:hAnsi="Arial" w:cs="Arial"/>
        </w:rPr>
        <w:t>Alraddadi</w:t>
      </w:r>
      <w:proofErr w:type="spellEnd"/>
      <w:r w:rsidRPr="00F15B51">
        <w:rPr>
          <w:rFonts w:ascii="Arial" w:hAnsi="Arial" w:cs="Arial"/>
        </w:rPr>
        <w:t xml:space="preserve">, A. M., et al. (2023). The Use of Intraoperative Cholangiography During Cholecystectomy: A Systematic Review. </w:t>
      </w:r>
      <w:r w:rsidRPr="00AB0198">
        <w:rPr>
          <w:rFonts w:ascii="Arial" w:hAnsi="Arial" w:cs="Arial"/>
          <w:lang w:val="pt-BR"/>
        </w:rPr>
        <w:t>Cureus. 2023; 15(10). DOI: 10.7759/cureus.476468</w:t>
      </w:r>
    </w:p>
    <w:p w14:paraId="1DAAF192" w14:textId="77777777" w:rsidR="002E4D8D" w:rsidRPr="00AB0198" w:rsidRDefault="002E4D8D" w:rsidP="002E4D8D">
      <w:pPr>
        <w:pStyle w:val="Body"/>
        <w:spacing w:after="0"/>
        <w:rPr>
          <w:rFonts w:ascii="Arial" w:hAnsi="Arial" w:cs="Arial"/>
          <w:lang w:val="pt-BR"/>
        </w:rPr>
      </w:pPr>
    </w:p>
    <w:p w14:paraId="1567D9CF" w14:textId="3FCC70D0" w:rsidR="00D52D42" w:rsidRPr="00D839B9" w:rsidRDefault="00D52D42" w:rsidP="00D839B9">
      <w:pPr>
        <w:pStyle w:val="ListParagraph"/>
        <w:numPr>
          <w:ilvl w:val="0"/>
          <w:numId w:val="32"/>
        </w:numPr>
        <w:jc w:val="both"/>
        <w:rPr>
          <w:rFonts w:ascii="Arial" w:hAnsi="Arial" w:cs="Arial"/>
          <w:lang w:val="pt-BR"/>
        </w:rPr>
      </w:pPr>
      <w:r w:rsidRPr="00D839B9">
        <w:rPr>
          <w:rFonts w:ascii="Arial" w:hAnsi="Arial" w:cs="Arial"/>
          <w:highlight w:val="yellow"/>
          <w:lang w:val="es-MX"/>
        </w:rPr>
        <w:t xml:space="preserve">Pérez,  M. P., Riquelme, I., García, P., et al. </w:t>
      </w:r>
      <w:r w:rsidRPr="00D839B9">
        <w:rPr>
          <w:rFonts w:ascii="Arial" w:hAnsi="Arial" w:cs="Arial"/>
          <w:highlight w:val="yellow"/>
        </w:rPr>
        <w:t xml:space="preserve">(2022). Environmental and lifestyle risk factors in the carcinogenesis of gallbladder cancer. Journal of Personalized Medicine. </w:t>
      </w:r>
      <w:r w:rsidRPr="00D839B9">
        <w:rPr>
          <w:rFonts w:ascii="Arial" w:hAnsi="Arial" w:cs="Arial"/>
          <w:highlight w:val="yellow"/>
          <w:lang w:val="pt-BR"/>
        </w:rPr>
        <w:t>12(2):234.</w:t>
      </w:r>
      <w:r w:rsidR="00975B8C" w:rsidRPr="00D839B9">
        <w:rPr>
          <w:rFonts w:ascii="Arial" w:hAnsi="Arial" w:cs="Arial"/>
          <w:highlight w:val="yellow"/>
          <w:lang w:val="pt-BR"/>
        </w:rPr>
        <w:t xml:space="preserve"> DOI: 10.3390/jpm12020234</w:t>
      </w:r>
    </w:p>
    <w:p w14:paraId="68EAF568" w14:textId="77777777" w:rsidR="00D52D42" w:rsidRPr="00B05F9D" w:rsidRDefault="00D52D42" w:rsidP="002E4D8D">
      <w:pPr>
        <w:pStyle w:val="Body"/>
        <w:spacing w:after="0"/>
        <w:rPr>
          <w:rFonts w:ascii="Arial" w:hAnsi="Arial" w:cs="Arial"/>
          <w:lang w:val="pt-BR"/>
        </w:rPr>
      </w:pPr>
    </w:p>
    <w:p w14:paraId="18D593B0" w14:textId="77777777" w:rsidR="00D52D42" w:rsidRPr="00B05F9D" w:rsidRDefault="00D52D42" w:rsidP="002E4D8D">
      <w:pPr>
        <w:pStyle w:val="Body"/>
        <w:spacing w:after="0"/>
        <w:rPr>
          <w:rFonts w:ascii="Arial" w:hAnsi="Arial" w:cs="Arial"/>
          <w:lang w:val="pt-BR"/>
        </w:rPr>
      </w:pPr>
    </w:p>
    <w:p w14:paraId="420230E0" w14:textId="77777777" w:rsidR="00C11395" w:rsidRPr="00AB0198" w:rsidRDefault="00C11395" w:rsidP="00D839B9">
      <w:pPr>
        <w:pStyle w:val="Body"/>
        <w:numPr>
          <w:ilvl w:val="0"/>
          <w:numId w:val="32"/>
        </w:numPr>
        <w:spacing w:after="0"/>
        <w:rPr>
          <w:rFonts w:ascii="Arial" w:hAnsi="Arial" w:cs="Arial"/>
          <w:lang w:val="pt-BR"/>
        </w:rPr>
      </w:pPr>
      <w:r w:rsidRPr="0043383F">
        <w:rPr>
          <w:rFonts w:ascii="Arial" w:hAnsi="Arial" w:cs="Arial"/>
        </w:rPr>
        <w:t xml:space="preserve">Rangel, O. G., Alanis, R. B., Trejo, S. J., et al. </w:t>
      </w:r>
      <w:r w:rsidRPr="00F15B51">
        <w:rPr>
          <w:rFonts w:ascii="Arial" w:hAnsi="Arial" w:cs="Arial"/>
        </w:rPr>
        <w:t xml:space="preserve">(2022). Intraoperative complexity and risk factors associated with conversion to open surgery during laparoscopic cholecystectomy in eight hospitals in Mexico City. </w:t>
      </w:r>
      <w:r w:rsidRPr="00AB0198">
        <w:rPr>
          <w:rFonts w:ascii="Arial" w:hAnsi="Arial" w:cs="Arial"/>
          <w:lang w:val="pt-BR"/>
        </w:rPr>
        <w:t>Surgical Endoscopy. 36(12):9321-9328. DOI: 10.1007/s00464-022-09206-w</w:t>
      </w:r>
    </w:p>
    <w:p w14:paraId="6919DC1C" w14:textId="77777777" w:rsidR="002E4D8D" w:rsidRPr="00AB0198" w:rsidRDefault="002E4D8D" w:rsidP="002E4D8D">
      <w:pPr>
        <w:pStyle w:val="Body"/>
        <w:spacing w:after="0"/>
        <w:rPr>
          <w:rFonts w:ascii="Arial" w:hAnsi="Arial" w:cs="Arial"/>
          <w:lang w:val="pt-BR"/>
        </w:rPr>
      </w:pPr>
    </w:p>
    <w:p w14:paraId="6FC7D26C" w14:textId="116EB6D6" w:rsidR="00975B8C" w:rsidRPr="00975B8C" w:rsidRDefault="00975B8C" w:rsidP="00D839B9">
      <w:pPr>
        <w:pStyle w:val="Body"/>
        <w:numPr>
          <w:ilvl w:val="0"/>
          <w:numId w:val="32"/>
        </w:numPr>
        <w:spacing w:after="0"/>
        <w:rPr>
          <w:rFonts w:ascii="Arial" w:hAnsi="Arial" w:cs="Arial"/>
          <w:lang w:val="es-MX"/>
        </w:rPr>
      </w:pPr>
      <w:proofErr w:type="spellStart"/>
      <w:r w:rsidRPr="00975B8C">
        <w:rPr>
          <w:rFonts w:ascii="Arial" w:hAnsi="Arial" w:cs="Arial"/>
          <w:highlight w:val="yellow"/>
          <w:lang w:val="es-MX"/>
        </w:rPr>
        <w:t>Roesch</w:t>
      </w:r>
      <w:proofErr w:type="spellEnd"/>
      <w:r w:rsidRPr="00975B8C">
        <w:rPr>
          <w:rFonts w:ascii="Arial" w:hAnsi="Arial" w:cs="Arial"/>
          <w:highlight w:val="yellow"/>
          <w:lang w:val="es-MX"/>
        </w:rPr>
        <w:t>, D. F., Pérez, M. A. G., Ballinas, B. J. R., et al. ¿Influye la obesidad en la morbimortalidad de la colecistectomía laparoscópica</w:t>
      </w:r>
      <w:proofErr w:type="gramStart"/>
      <w:r w:rsidRPr="00975B8C">
        <w:rPr>
          <w:rFonts w:ascii="Arial" w:hAnsi="Arial" w:cs="Arial"/>
          <w:highlight w:val="yellow"/>
          <w:lang w:val="es-MX"/>
        </w:rPr>
        <w:t>?.</w:t>
      </w:r>
      <w:proofErr w:type="gramEnd"/>
      <w:r w:rsidRPr="00975B8C">
        <w:rPr>
          <w:rFonts w:ascii="Arial" w:hAnsi="Arial" w:cs="Arial"/>
          <w:highlight w:val="yellow"/>
          <w:lang w:val="es-MX"/>
        </w:rPr>
        <w:t xml:space="preserve"> Cirujano general. 44(1):5-10. DOI:</w:t>
      </w:r>
      <w:r w:rsidRPr="00B05F9D">
        <w:rPr>
          <w:highlight w:val="yellow"/>
          <w:lang w:val="es-MX"/>
        </w:rPr>
        <w:t xml:space="preserve"> </w:t>
      </w:r>
      <w:r w:rsidRPr="00975B8C">
        <w:rPr>
          <w:rFonts w:ascii="Arial" w:hAnsi="Arial" w:cs="Arial"/>
          <w:highlight w:val="yellow"/>
          <w:lang w:val="es-MX"/>
        </w:rPr>
        <w:t>10.35366/109313</w:t>
      </w:r>
    </w:p>
    <w:p w14:paraId="5FE07371" w14:textId="77777777" w:rsidR="00975B8C" w:rsidRPr="00975B8C" w:rsidRDefault="00975B8C" w:rsidP="002E4D8D">
      <w:pPr>
        <w:pStyle w:val="Body"/>
        <w:spacing w:after="0"/>
        <w:rPr>
          <w:rFonts w:ascii="Arial" w:hAnsi="Arial" w:cs="Arial"/>
          <w:lang w:val="es-MX"/>
        </w:rPr>
      </w:pPr>
    </w:p>
    <w:p w14:paraId="201E1D1A" w14:textId="77777777" w:rsidR="00C11395" w:rsidRPr="00AB0198" w:rsidRDefault="00C11395" w:rsidP="00D839B9">
      <w:pPr>
        <w:pStyle w:val="Body"/>
        <w:numPr>
          <w:ilvl w:val="0"/>
          <w:numId w:val="32"/>
        </w:numPr>
        <w:spacing w:after="0"/>
        <w:rPr>
          <w:rFonts w:ascii="Arial" w:hAnsi="Arial" w:cs="Arial"/>
          <w:lang w:val="es-MX"/>
        </w:rPr>
      </w:pPr>
      <w:r w:rsidRPr="00975B8C">
        <w:rPr>
          <w:rFonts w:ascii="Arial" w:hAnsi="Arial" w:cs="Arial"/>
          <w:lang w:val="es-MX"/>
        </w:rPr>
        <w:t xml:space="preserve">Romano, B. L. A., Hernández, A. F., Rojas, J. E. (2023). </w:t>
      </w:r>
      <w:r w:rsidRPr="00AB0198">
        <w:rPr>
          <w:rFonts w:ascii="Arial" w:hAnsi="Arial" w:cs="Arial"/>
          <w:lang w:val="es-MX"/>
        </w:rPr>
        <w:t xml:space="preserve">Comparación de los criterios de Tokio y clasificación de </w:t>
      </w:r>
      <w:proofErr w:type="spellStart"/>
      <w:r w:rsidRPr="00AB0198">
        <w:rPr>
          <w:rFonts w:ascii="Arial" w:hAnsi="Arial" w:cs="Arial"/>
          <w:lang w:val="es-MX"/>
        </w:rPr>
        <w:t>Parkland</w:t>
      </w:r>
      <w:proofErr w:type="spellEnd"/>
      <w:r w:rsidRPr="00AB0198">
        <w:rPr>
          <w:rFonts w:ascii="Arial" w:hAnsi="Arial" w:cs="Arial"/>
          <w:lang w:val="es-MX"/>
        </w:rPr>
        <w:t xml:space="preserve"> para predicción de complicaciones en una cohorte de pacientes sometidos a colecistectomía laparoscópica en el Hospital </w:t>
      </w:r>
      <w:proofErr w:type="spellStart"/>
      <w:r w:rsidRPr="00AB0198">
        <w:rPr>
          <w:rFonts w:ascii="Arial" w:hAnsi="Arial" w:cs="Arial"/>
          <w:lang w:val="es-MX"/>
        </w:rPr>
        <w:t>Angeles</w:t>
      </w:r>
      <w:proofErr w:type="spellEnd"/>
      <w:r w:rsidRPr="00AB0198">
        <w:rPr>
          <w:rFonts w:ascii="Arial" w:hAnsi="Arial" w:cs="Arial"/>
          <w:lang w:val="es-MX"/>
        </w:rPr>
        <w:t xml:space="preserve"> Pedregal. Acta médica Grupo Ángeles. 21(2):128-133. DOI: 10.35366/110258</w:t>
      </w:r>
    </w:p>
    <w:p w14:paraId="3E4F3CBF" w14:textId="77777777" w:rsidR="005F4D9D" w:rsidRPr="00AB0198" w:rsidRDefault="005F4D9D" w:rsidP="002E4D8D">
      <w:pPr>
        <w:pStyle w:val="Body"/>
        <w:spacing w:after="0"/>
        <w:rPr>
          <w:rFonts w:ascii="Arial" w:hAnsi="Arial" w:cs="Arial"/>
          <w:lang w:val="es-MX"/>
        </w:rPr>
      </w:pPr>
    </w:p>
    <w:p w14:paraId="00DA3E1D" w14:textId="7CBF569B" w:rsidR="00C11395" w:rsidRPr="00B05F9D" w:rsidRDefault="00C11395" w:rsidP="00D839B9">
      <w:pPr>
        <w:pStyle w:val="Body"/>
        <w:numPr>
          <w:ilvl w:val="0"/>
          <w:numId w:val="32"/>
        </w:numPr>
        <w:spacing w:after="0"/>
        <w:rPr>
          <w:rFonts w:ascii="Arial" w:hAnsi="Arial" w:cs="Arial"/>
          <w:lang w:val="es-MX"/>
        </w:rPr>
      </w:pPr>
      <w:r w:rsidRPr="00AB0198">
        <w:rPr>
          <w:rFonts w:ascii="Arial" w:hAnsi="Arial" w:cs="Arial"/>
          <w:lang w:val="es-MX"/>
        </w:rPr>
        <w:t>Secretaria de Salud - Instituto Nacional de Salud Pública</w:t>
      </w:r>
      <w:r w:rsidR="00FE44E8">
        <w:rPr>
          <w:rFonts w:ascii="Arial" w:hAnsi="Arial" w:cs="Arial"/>
          <w:lang w:val="es-MX"/>
        </w:rPr>
        <w:t xml:space="preserve"> (</w:t>
      </w:r>
      <w:r w:rsidR="00FE44E8" w:rsidRPr="00FE44E8">
        <w:rPr>
          <w:rFonts w:ascii="Arial" w:hAnsi="Arial" w:cs="Arial"/>
          <w:highlight w:val="yellow"/>
          <w:lang w:val="es-MX"/>
        </w:rPr>
        <w:t>SS-INSP</w:t>
      </w:r>
      <w:r w:rsidR="00FE44E8">
        <w:rPr>
          <w:rFonts w:ascii="Arial" w:hAnsi="Arial" w:cs="Arial"/>
          <w:lang w:val="es-MX"/>
        </w:rPr>
        <w:t>)</w:t>
      </w:r>
      <w:r w:rsidRPr="00AB0198">
        <w:rPr>
          <w:rFonts w:ascii="Arial" w:hAnsi="Arial" w:cs="Arial"/>
          <w:lang w:val="es-MX"/>
        </w:rPr>
        <w:t xml:space="preserve">. (2020). Encuesta Nacional de Salud y Nutrición 2020 sobre Covid-19 Resultados nacionales. </w:t>
      </w:r>
      <w:r w:rsidRPr="00B05F9D">
        <w:rPr>
          <w:rFonts w:ascii="Arial" w:hAnsi="Arial" w:cs="Arial"/>
          <w:lang w:val="es-MX"/>
        </w:rPr>
        <w:t>[</w:t>
      </w:r>
      <w:proofErr w:type="spellStart"/>
      <w:r w:rsidRPr="00B05F9D">
        <w:rPr>
          <w:rFonts w:ascii="Arial" w:hAnsi="Arial" w:cs="Arial"/>
          <w:lang w:val="es-MX"/>
        </w:rPr>
        <w:t>Accesed</w:t>
      </w:r>
      <w:proofErr w:type="spellEnd"/>
      <w:r w:rsidRPr="00B05F9D">
        <w:rPr>
          <w:rFonts w:ascii="Arial" w:hAnsi="Arial" w:cs="Arial"/>
          <w:lang w:val="es-MX"/>
        </w:rPr>
        <w:t xml:space="preserve"> Consultado febrero 2024]. [</w:t>
      </w:r>
      <w:proofErr w:type="spellStart"/>
      <w:r w:rsidRPr="00B05F9D">
        <w:rPr>
          <w:rFonts w:ascii="Arial" w:hAnsi="Arial" w:cs="Arial"/>
          <w:lang w:val="es-MX"/>
        </w:rPr>
        <w:t>Accessed</w:t>
      </w:r>
      <w:proofErr w:type="spellEnd"/>
      <w:r w:rsidRPr="00B05F9D">
        <w:rPr>
          <w:rFonts w:ascii="Arial" w:hAnsi="Arial" w:cs="Arial"/>
          <w:lang w:val="es-MX"/>
        </w:rPr>
        <w:t xml:space="preserve"> </w:t>
      </w:r>
      <w:proofErr w:type="spellStart"/>
      <w:r w:rsidRPr="00B05F9D">
        <w:rPr>
          <w:rFonts w:ascii="Arial" w:hAnsi="Arial" w:cs="Arial"/>
          <w:lang w:val="es-MX"/>
        </w:rPr>
        <w:t>January</w:t>
      </w:r>
      <w:proofErr w:type="spellEnd"/>
      <w:r w:rsidRPr="00B05F9D">
        <w:rPr>
          <w:rFonts w:ascii="Arial" w:hAnsi="Arial" w:cs="Arial"/>
          <w:lang w:val="es-MX"/>
        </w:rPr>
        <w:t xml:space="preserve"> 2026] [https://ensanut.insp.mx/encuestas/ensanutcontinua2020/doctos/informes/ensanutCovid19ResultadosNacionales.pdf] </w:t>
      </w:r>
    </w:p>
    <w:p w14:paraId="4F8D8007" w14:textId="77777777" w:rsidR="002E4D8D" w:rsidRPr="00B05F9D" w:rsidRDefault="002E4D8D" w:rsidP="002E4D8D">
      <w:pPr>
        <w:pStyle w:val="Body"/>
        <w:spacing w:after="0"/>
        <w:rPr>
          <w:rFonts w:ascii="Arial" w:hAnsi="Arial" w:cs="Arial"/>
          <w:lang w:val="es-MX"/>
        </w:rPr>
      </w:pPr>
    </w:p>
    <w:p w14:paraId="02756DCE" w14:textId="77777777" w:rsidR="00C11395" w:rsidRPr="00F15B51" w:rsidRDefault="00C11395" w:rsidP="00D839B9">
      <w:pPr>
        <w:pStyle w:val="Body"/>
        <w:numPr>
          <w:ilvl w:val="0"/>
          <w:numId w:val="32"/>
        </w:numPr>
        <w:spacing w:after="0"/>
        <w:rPr>
          <w:rFonts w:ascii="Arial" w:hAnsi="Arial" w:cs="Arial"/>
        </w:rPr>
      </w:pPr>
      <w:r w:rsidRPr="00AB0198">
        <w:rPr>
          <w:rFonts w:ascii="Arial" w:hAnsi="Arial" w:cs="Arial"/>
          <w:lang w:val="es-MX"/>
        </w:rPr>
        <w:t xml:space="preserve">Serrano, G., R., Rivero, Y., </w:t>
      </w:r>
      <w:proofErr w:type="spellStart"/>
      <w:r w:rsidRPr="00AB0198">
        <w:rPr>
          <w:rFonts w:ascii="Arial" w:hAnsi="Arial" w:cs="Arial"/>
          <w:lang w:val="es-MX"/>
        </w:rPr>
        <w:t>Hernandez</w:t>
      </w:r>
      <w:proofErr w:type="spellEnd"/>
      <w:r w:rsidRPr="00AB0198">
        <w:rPr>
          <w:rFonts w:ascii="Arial" w:hAnsi="Arial" w:cs="Arial"/>
          <w:lang w:val="es-MX"/>
        </w:rPr>
        <w:t xml:space="preserve">, V. A., et al. </w:t>
      </w:r>
      <w:r w:rsidRPr="00F15B51">
        <w:rPr>
          <w:rFonts w:ascii="Arial" w:hAnsi="Arial" w:cs="Arial"/>
        </w:rPr>
        <w:t xml:space="preserve">(2024). Predicting Difficulty in Laparoscopic Cholecystectomies: An Evaluation of the </w:t>
      </w:r>
      <w:proofErr w:type="spellStart"/>
      <w:r w:rsidRPr="00F15B51">
        <w:rPr>
          <w:rFonts w:ascii="Arial" w:hAnsi="Arial" w:cs="Arial"/>
        </w:rPr>
        <w:t>Labbad-Vivas</w:t>
      </w:r>
      <w:proofErr w:type="spellEnd"/>
      <w:r w:rsidRPr="00F15B51">
        <w:rPr>
          <w:rFonts w:ascii="Arial" w:hAnsi="Arial" w:cs="Arial"/>
        </w:rPr>
        <w:t xml:space="preserve"> Score and Its Correlation With the Parkland Grading Scale. Cureus. 16(3). DOI: 10.7759/cureus.56185</w:t>
      </w:r>
    </w:p>
    <w:p w14:paraId="6E022DEF" w14:textId="77777777" w:rsidR="002E4D8D" w:rsidRPr="00F15B51" w:rsidRDefault="002E4D8D" w:rsidP="002E4D8D">
      <w:pPr>
        <w:pStyle w:val="Body"/>
        <w:spacing w:after="0"/>
        <w:rPr>
          <w:rFonts w:ascii="Arial" w:hAnsi="Arial" w:cs="Arial"/>
        </w:rPr>
      </w:pPr>
    </w:p>
    <w:p w14:paraId="64A90935" w14:textId="77777777" w:rsidR="00C11395" w:rsidRPr="00F15B51" w:rsidRDefault="00C11395" w:rsidP="00D839B9">
      <w:pPr>
        <w:pStyle w:val="Body"/>
        <w:numPr>
          <w:ilvl w:val="0"/>
          <w:numId w:val="32"/>
        </w:numPr>
        <w:spacing w:after="0"/>
        <w:rPr>
          <w:rFonts w:ascii="Arial" w:hAnsi="Arial" w:cs="Arial"/>
        </w:rPr>
      </w:pPr>
      <w:r w:rsidRPr="00F15B51">
        <w:rPr>
          <w:rFonts w:ascii="Arial" w:hAnsi="Arial" w:cs="Arial"/>
        </w:rPr>
        <w:t>Shrestha, A., Bhattarai, A., Tamrakar, K. K., et al. (2023). Utility of the Parkland Grading Scale to determine intraoperative challenges during laparoscopic cholecystectomy: a validation study on 206 patients at an academic medical center in Nepal. Patient Safety in Surgery. 17(1):12. DOI: 10.1186/s13037-023-00364-x</w:t>
      </w:r>
    </w:p>
    <w:p w14:paraId="43D32FDD" w14:textId="77777777" w:rsidR="002E4D8D" w:rsidRPr="00F15B51" w:rsidRDefault="002E4D8D" w:rsidP="002E4D8D">
      <w:pPr>
        <w:pStyle w:val="Body"/>
        <w:spacing w:after="0"/>
        <w:rPr>
          <w:rFonts w:ascii="Arial" w:hAnsi="Arial" w:cs="Arial"/>
        </w:rPr>
      </w:pPr>
    </w:p>
    <w:p w14:paraId="17E0038F" w14:textId="77777777" w:rsidR="00C11395" w:rsidRPr="00F15B51" w:rsidRDefault="00C11395" w:rsidP="00D839B9">
      <w:pPr>
        <w:pStyle w:val="Body"/>
        <w:numPr>
          <w:ilvl w:val="0"/>
          <w:numId w:val="32"/>
        </w:numPr>
        <w:spacing w:after="0"/>
        <w:rPr>
          <w:rFonts w:ascii="Arial" w:hAnsi="Arial" w:cs="Arial"/>
        </w:rPr>
      </w:pPr>
      <w:proofErr w:type="spellStart"/>
      <w:r w:rsidRPr="0043383F">
        <w:rPr>
          <w:rFonts w:ascii="Arial" w:hAnsi="Arial" w:cs="Arial"/>
          <w:lang w:val="es-MX"/>
        </w:rPr>
        <w:lastRenderedPageBreak/>
        <w:t>Stoica</w:t>
      </w:r>
      <w:proofErr w:type="spellEnd"/>
      <w:r w:rsidRPr="0043383F">
        <w:rPr>
          <w:rFonts w:ascii="Arial" w:hAnsi="Arial" w:cs="Arial"/>
          <w:lang w:val="es-MX"/>
        </w:rPr>
        <w:t xml:space="preserve">, P. L., </w:t>
      </w:r>
      <w:proofErr w:type="spellStart"/>
      <w:r w:rsidRPr="0043383F">
        <w:rPr>
          <w:rFonts w:ascii="Arial" w:hAnsi="Arial" w:cs="Arial"/>
          <w:lang w:val="es-MX"/>
        </w:rPr>
        <w:t>Serban</w:t>
      </w:r>
      <w:proofErr w:type="spellEnd"/>
      <w:r w:rsidRPr="0043383F">
        <w:rPr>
          <w:rFonts w:ascii="Arial" w:hAnsi="Arial" w:cs="Arial"/>
          <w:lang w:val="es-MX"/>
        </w:rPr>
        <w:t xml:space="preserve">, D., </w:t>
      </w:r>
      <w:proofErr w:type="spellStart"/>
      <w:r w:rsidRPr="0043383F">
        <w:rPr>
          <w:rFonts w:ascii="Arial" w:hAnsi="Arial" w:cs="Arial"/>
          <w:lang w:val="es-MX"/>
        </w:rPr>
        <w:t>Bratu</w:t>
      </w:r>
      <w:proofErr w:type="spellEnd"/>
      <w:r w:rsidRPr="0043383F">
        <w:rPr>
          <w:rFonts w:ascii="Arial" w:hAnsi="Arial" w:cs="Arial"/>
          <w:lang w:val="es-MX"/>
        </w:rPr>
        <w:t xml:space="preserve">, D. G., et al. </w:t>
      </w:r>
      <w:r w:rsidRPr="00F15B51">
        <w:rPr>
          <w:rFonts w:ascii="Arial" w:hAnsi="Arial" w:cs="Arial"/>
        </w:rPr>
        <w:t>(2024). Predictive Factors for Difficult Laparoscopic Cholecystectomies in Acute Cholecystitis. Diagnostics. 14(3):346. DOI: 10.3390/diagnóstico14030346</w:t>
      </w:r>
    </w:p>
    <w:p w14:paraId="07F5495D" w14:textId="77777777" w:rsidR="002E4D8D" w:rsidRPr="00F15B51" w:rsidRDefault="002E4D8D" w:rsidP="002E4D8D">
      <w:pPr>
        <w:pStyle w:val="Body"/>
        <w:spacing w:after="0"/>
        <w:rPr>
          <w:rFonts w:ascii="Arial" w:hAnsi="Arial" w:cs="Arial"/>
        </w:rPr>
      </w:pPr>
    </w:p>
    <w:p w14:paraId="680C220A" w14:textId="77777777" w:rsidR="00C11395" w:rsidRPr="00F15B51" w:rsidRDefault="00C11395" w:rsidP="00D839B9">
      <w:pPr>
        <w:pStyle w:val="Body"/>
        <w:numPr>
          <w:ilvl w:val="0"/>
          <w:numId w:val="32"/>
        </w:numPr>
        <w:spacing w:after="0"/>
        <w:rPr>
          <w:rFonts w:ascii="Arial" w:hAnsi="Arial" w:cs="Arial"/>
        </w:rPr>
      </w:pPr>
      <w:proofErr w:type="spellStart"/>
      <w:r w:rsidRPr="00F15B51">
        <w:rPr>
          <w:rFonts w:ascii="Arial" w:hAnsi="Arial" w:cs="Arial"/>
        </w:rPr>
        <w:t>Strohäker</w:t>
      </w:r>
      <w:proofErr w:type="spellEnd"/>
      <w:r w:rsidRPr="00F15B51">
        <w:rPr>
          <w:rFonts w:ascii="Arial" w:hAnsi="Arial" w:cs="Arial"/>
        </w:rPr>
        <w:t>, J., Wiegand, L., Beltzer, C., et al. (2021). Routine postoperative blood tests fail to reliably predict procedure-related complications after laparoscopic cholecystectomy. Langenbeck's Archives of Surgery. 406:1155-1163. DOI: i: 10.1007/s00423-021-02115-x</w:t>
      </w:r>
    </w:p>
    <w:p w14:paraId="3482CEBF" w14:textId="77777777" w:rsidR="002E4D8D" w:rsidRPr="00F15B51" w:rsidRDefault="002E4D8D" w:rsidP="002E4D8D">
      <w:pPr>
        <w:pStyle w:val="Body"/>
        <w:spacing w:after="0"/>
        <w:rPr>
          <w:rFonts w:ascii="Arial" w:hAnsi="Arial" w:cs="Arial"/>
        </w:rPr>
      </w:pPr>
    </w:p>
    <w:p w14:paraId="19424B8F" w14:textId="77777777" w:rsidR="00C11395" w:rsidRPr="00F15B51" w:rsidRDefault="00C11395" w:rsidP="00D839B9">
      <w:pPr>
        <w:pStyle w:val="Body"/>
        <w:numPr>
          <w:ilvl w:val="0"/>
          <w:numId w:val="32"/>
        </w:numPr>
        <w:spacing w:after="0"/>
        <w:rPr>
          <w:rFonts w:ascii="Arial" w:hAnsi="Arial" w:cs="Arial"/>
        </w:rPr>
      </w:pPr>
      <w:proofErr w:type="spellStart"/>
      <w:r w:rsidRPr="0043383F">
        <w:rPr>
          <w:rFonts w:ascii="Arial" w:hAnsi="Arial" w:cs="Arial"/>
          <w:lang w:val="es-MX"/>
        </w:rPr>
        <w:t>Uçaner</w:t>
      </w:r>
      <w:proofErr w:type="spellEnd"/>
      <w:r w:rsidRPr="0043383F">
        <w:rPr>
          <w:rFonts w:ascii="Arial" w:hAnsi="Arial" w:cs="Arial"/>
          <w:lang w:val="es-MX"/>
        </w:rPr>
        <w:t xml:space="preserve">, B., </w:t>
      </w:r>
      <w:proofErr w:type="spellStart"/>
      <w:r w:rsidRPr="0043383F">
        <w:rPr>
          <w:rFonts w:ascii="Arial" w:hAnsi="Arial" w:cs="Arial"/>
          <w:lang w:val="es-MX"/>
        </w:rPr>
        <w:t>Durmuş</w:t>
      </w:r>
      <w:proofErr w:type="spellEnd"/>
      <w:r w:rsidRPr="0043383F">
        <w:rPr>
          <w:rFonts w:ascii="Arial" w:hAnsi="Arial" w:cs="Arial"/>
          <w:lang w:val="es-MX"/>
        </w:rPr>
        <w:t xml:space="preserve">, D., </w:t>
      </w:r>
      <w:proofErr w:type="spellStart"/>
      <w:r w:rsidRPr="0043383F">
        <w:rPr>
          <w:rFonts w:ascii="Arial" w:hAnsi="Arial" w:cs="Arial"/>
          <w:lang w:val="es-MX"/>
        </w:rPr>
        <w:t>Buldanlı</w:t>
      </w:r>
      <w:proofErr w:type="spellEnd"/>
      <w:r w:rsidRPr="0043383F">
        <w:rPr>
          <w:rFonts w:ascii="Arial" w:hAnsi="Arial" w:cs="Arial"/>
          <w:lang w:val="es-MX"/>
        </w:rPr>
        <w:t xml:space="preserve">, M. Z., et al. </w:t>
      </w:r>
      <w:r w:rsidRPr="00F15B51">
        <w:rPr>
          <w:rFonts w:ascii="Arial" w:hAnsi="Arial" w:cs="Arial"/>
        </w:rPr>
        <w:t>(2023). Correlation between preoperative ultrasonography and parkland grading scale in patients undergoing laparoscopic cholecystectomy. Indian Journal of Surgery. 1-7. DOI: 10.1007/s12262-023-03823-y</w:t>
      </w:r>
    </w:p>
    <w:p w14:paraId="1F595C15" w14:textId="77777777" w:rsidR="002E4D8D" w:rsidRPr="00F15B51" w:rsidRDefault="002E4D8D" w:rsidP="002E4D8D">
      <w:pPr>
        <w:pStyle w:val="Body"/>
        <w:spacing w:after="0"/>
        <w:rPr>
          <w:rFonts w:ascii="Arial" w:hAnsi="Arial" w:cs="Arial"/>
        </w:rPr>
      </w:pPr>
    </w:p>
    <w:p w14:paraId="422E4EC5" w14:textId="77777777" w:rsidR="00C11395" w:rsidRPr="00F15B51" w:rsidRDefault="00C11395" w:rsidP="00D839B9">
      <w:pPr>
        <w:pStyle w:val="Body"/>
        <w:numPr>
          <w:ilvl w:val="0"/>
          <w:numId w:val="32"/>
        </w:numPr>
        <w:spacing w:after="0"/>
        <w:rPr>
          <w:rFonts w:ascii="Arial" w:hAnsi="Arial" w:cs="Arial"/>
        </w:rPr>
      </w:pPr>
      <w:proofErr w:type="spellStart"/>
      <w:r w:rsidRPr="00F15B51">
        <w:rPr>
          <w:rFonts w:ascii="Arial" w:hAnsi="Arial" w:cs="Arial"/>
        </w:rPr>
        <w:t>Warchałowski</w:t>
      </w:r>
      <w:proofErr w:type="spellEnd"/>
      <w:r w:rsidRPr="00F15B51">
        <w:rPr>
          <w:rFonts w:ascii="Arial" w:hAnsi="Arial" w:cs="Arial"/>
        </w:rPr>
        <w:t xml:space="preserve">, Ł., </w:t>
      </w:r>
      <w:proofErr w:type="spellStart"/>
      <w:r w:rsidRPr="00F15B51">
        <w:rPr>
          <w:rFonts w:ascii="Arial" w:hAnsi="Arial" w:cs="Arial"/>
        </w:rPr>
        <w:t>Łuszczki</w:t>
      </w:r>
      <w:proofErr w:type="spellEnd"/>
      <w:r w:rsidRPr="00F15B51">
        <w:rPr>
          <w:rFonts w:ascii="Arial" w:hAnsi="Arial" w:cs="Arial"/>
        </w:rPr>
        <w:t>, E., Bartosiewicz, A., et al. (2020). The analysis of risk factors in the conversion from laparoscopic to open cholecystectomy. International journal of environmental research and public health. 17(20):7571. DOI: 10.3390/ijerph17207571</w:t>
      </w:r>
    </w:p>
    <w:p w14:paraId="0590BDCD" w14:textId="77777777" w:rsidR="002E4D8D" w:rsidRPr="00F15B51" w:rsidRDefault="002E4D8D" w:rsidP="002E4D8D">
      <w:pPr>
        <w:pStyle w:val="Body"/>
        <w:spacing w:after="0"/>
        <w:rPr>
          <w:rFonts w:ascii="Arial" w:hAnsi="Arial" w:cs="Arial"/>
        </w:rPr>
      </w:pPr>
    </w:p>
    <w:p w14:paraId="1CCE19F9" w14:textId="77777777" w:rsidR="00C11395" w:rsidRPr="00F15B51" w:rsidRDefault="00C11395" w:rsidP="00D839B9">
      <w:pPr>
        <w:pStyle w:val="Body"/>
        <w:numPr>
          <w:ilvl w:val="0"/>
          <w:numId w:val="32"/>
        </w:numPr>
        <w:spacing w:after="0"/>
        <w:rPr>
          <w:rFonts w:ascii="Arial" w:hAnsi="Arial" w:cs="Arial"/>
        </w:rPr>
      </w:pPr>
      <w:proofErr w:type="spellStart"/>
      <w:r w:rsidRPr="00F15B51">
        <w:rPr>
          <w:rFonts w:ascii="Arial" w:hAnsi="Arial" w:cs="Arial"/>
        </w:rPr>
        <w:t>Yokoe</w:t>
      </w:r>
      <w:proofErr w:type="spellEnd"/>
      <w:r w:rsidRPr="00F15B51">
        <w:rPr>
          <w:rFonts w:ascii="Arial" w:hAnsi="Arial" w:cs="Arial"/>
        </w:rPr>
        <w:t>, M., Takada, T., Hwang, T. L., et al. (2017). Descriptive review of acute cholecystitis: Japan</w:t>
      </w:r>
      <w:r w:rsidRPr="00F15B51">
        <w:rPr>
          <w:rFonts w:ascii="Cambria Math" w:hAnsi="Cambria Math" w:cs="Cambria Math"/>
        </w:rPr>
        <w:t>‐</w:t>
      </w:r>
      <w:r w:rsidRPr="00F15B51">
        <w:rPr>
          <w:rFonts w:ascii="Arial" w:hAnsi="Arial" w:cs="Arial"/>
        </w:rPr>
        <w:t>Taiwan collaborative epidemiological study. Journal of Hepato</w:t>
      </w:r>
      <w:r w:rsidRPr="00F15B51">
        <w:rPr>
          <w:rFonts w:ascii="Cambria Math" w:hAnsi="Cambria Math" w:cs="Cambria Math"/>
        </w:rPr>
        <w:t>‐</w:t>
      </w:r>
      <w:r w:rsidRPr="00F15B51">
        <w:rPr>
          <w:rFonts w:ascii="Arial" w:hAnsi="Arial" w:cs="Arial"/>
        </w:rPr>
        <w:t>biliary</w:t>
      </w:r>
      <w:r w:rsidRPr="00F15B51">
        <w:rPr>
          <w:rFonts w:ascii="Cambria Math" w:hAnsi="Cambria Math" w:cs="Cambria Math"/>
        </w:rPr>
        <w:t>‐</w:t>
      </w:r>
      <w:r w:rsidRPr="00F15B51">
        <w:rPr>
          <w:rFonts w:ascii="Arial" w:hAnsi="Arial" w:cs="Arial"/>
        </w:rPr>
        <w:t>pancreatic Sciences. 24(6):319-328. DOI: 10.1002/jhbp.450</w:t>
      </w:r>
    </w:p>
    <w:p w14:paraId="29C71749" w14:textId="77777777" w:rsidR="002E4D8D" w:rsidRPr="00F15B51" w:rsidRDefault="002E4D8D" w:rsidP="002E4D8D">
      <w:pPr>
        <w:pStyle w:val="Body"/>
        <w:spacing w:after="0"/>
        <w:rPr>
          <w:rFonts w:ascii="Arial" w:hAnsi="Arial" w:cs="Arial"/>
        </w:rPr>
      </w:pPr>
    </w:p>
    <w:p w14:paraId="55D51D57" w14:textId="77777777" w:rsidR="00EB7516" w:rsidRPr="00F15B51" w:rsidRDefault="00C11395" w:rsidP="00D839B9">
      <w:pPr>
        <w:pStyle w:val="Body"/>
        <w:numPr>
          <w:ilvl w:val="0"/>
          <w:numId w:val="32"/>
        </w:numPr>
        <w:spacing w:after="0"/>
        <w:rPr>
          <w:rFonts w:ascii="Arial" w:hAnsi="Arial" w:cs="Arial"/>
        </w:rPr>
      </w:pPr>
      <w:r w:rsidRPr="00F15B51">
        <w:rPr>
          <w:rFonts w:ascii="Arial" w:hAnsi="Arial" w:cs="Arial"/>
        </w:rPr>
        <w:t xml:space="preserve">Zhao, J. J., Syn, N. L., Chong, C., et al. (2021). Comparative outcomes of </w:t>
      </w:r>
      <w:proofErr w:type="spellStart"/>
      <w:r w:rsidRPr="00F15B51">
        <w:rPr>
          <w:rFonts w:ascii="Arial" w:hAnsi="Arial" w:cs="Arial"/>
        </w:rPr>
        <w:t>needlescopic</w:t>
      </w:r>
      <w:proofErr w:type="spellEnd"/>
      <w:r w:rsidRPr="00F15B51">
        <w:rPr>
          <w:rFonts w:ascii="Arial" w:hAnsi="Arial" w:cs="Arial"/>
        </w:rPr>
        <w:t>, single-incision laparoscopic, standard laparoscopic, mini-laparotomy, and open cholecystectomy: A systematic review and network meta-analysis of 96 randomized controlled trials with 11,083 patients. Surgery. 170(4):994-1003. DOI: 10.1016/j.surgi.2021.04.004</w:t>
      </w:r>
    </w:p>
    <w:sectPr w:rsidR="00EB7516" w:rsidRPr="00F15B51" w:rsidSect="00DF290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ECAB9" w14:textId="77777777" w:rsidR="00CE286E" w:rsidRDefault="00CE286E" w:rsidP="00C37E61">
      <w:r>
        <w:separator/>
      </w:r>
    </w:p>
  </w:endnote>
  <w:endnote w:type="continuationSeparator" w:id="0">
    <w:p w14:paraId="3E295183" w14:textId="77777777" w:rsidR="00CE286E" w:rsidRDefault="00CE286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22C10" w14:textId="77777777" w:rsidR="00A43886" w:rsidRDefault="00A438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1E3CB" w14:textId="77777777" w:rsidR="00A43886" w:rsidRDefault="00A438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A170A" w14:textId="77777777" w:rsidR="0043597D" w:rsidRDefault="0043597D">
    <w:pPr>
      <w:pStyle w:val="Footer"/>
      <w:rPr>
        <w:rFonts w:ascii="Arial" w:hAnsi="Arial" w:cs="Arial"/>
        <w:sz w:val="16"/>
      </w:rPr>
    </w:pPr>
  </w:p>
  <w:p w14:paraId="26C2B55F" w14:textId="77777777" w:rsidR="0043597D" w:rsidRDefault="0043597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6B4D614" w14:textId="77777777" w:rsidR="0043597D" w:rsidRDefault="0043597D">
    <w:pPr>
      <w:pStyle w:val="Footer"/>
      <w:rPr>
        <w:rFonts w:ascii="Arial" w:hAnsi="Arial" w:cs="Arial"/>
        <w:sz w:val="16"/>
      </w:rPr>
    </w:pPr>
  </w:p>
  <w:p w14:paraId="32858B91" w14:textId="1426CDAB" w:rsidR="0043597D" w:rsidRPr="009E048A" w:rsidRDefault="0043597D">
    <w:pPr>
      <w:pStyle w:val="Footer"/>
      <w:rPr>
        <w:rFonts w:ascii="Arial" w:hAnsi="Arial" w:cs="Arial"/>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EB779" w14:textId="77777777" w:rsidR="00CE286E" w:rsidRDefault="00CE286E" w:rsidP="00C37E61">
      <w:r>
        <w:separator/>
      </w:r>
    </w:p>
  </w:footnote>
  <w:footnote w:type="continuationSeparator" w:id="0">
    <w:p w14:paraId="51DBEDCF" w14:textId="77777777" w:rsidR="00CE286E" w:rsidRDefault="00CE286E"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711C0" w14:textId="147264BB" w:rsidR="00A43886" w:rsidRDefault="00CE286E">
    <w:pPr>
      <w:pStyle w:val="Header"/>
    </w:pPr>
    <w:r>
      <w:rPr>
        <w:noProof/>
      </w:rPr>
      <w:pict w14:anchorId="6EDFA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36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992AB" w14:textId="22E7D57D" w:rsidR="00A43886" w:rsidRDefault="00CE286E">
    <w:pPr>
      <w:pStyle w:val="Header"/>
    </w:pPr>
    <w:r>
      <w:rPr>
        <w:noProof/>
      </w:rPr>
      <w:pict w14:anchorId="3D2DD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36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7F421" w14:textId="6788B334" w:rsidR="0043597D" w:rsidRPr="00296529" w:rsidRDefault="00CE286E" w:rsidP="00296529">
    <w:pPr>
      <w:ind w:left="2160"/>
      <w:jc w:val="center"/>
      <w:rPr>
        <w:rFonts w:ascii="Times New Roman" w:eastAsia="Calibri" w:hAnsi="Times New Roman"/>
        <w:i/>
        <w:sz w:val="18"/>
        <w:szCs w:val="22"/>
      </w:rPr>
    </w:pPr>
    <w:r>
      <w:rPr>
        <w:noProof/>
      </w:rPr>
      <w:pict w14:anchorId="0B341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36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B3D91B2" w14:textId="77777777" w:rsidR="0043597D" w:rsidRPr="00296529" w:rsidRDefault="0043597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40B2F3C" w14:textId="77777777" w:rsidR="0043597D" w:rsidRPr="00296529" w:rsidRDefault="0043597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1FD4E9" w14:textId="77777777" w:rsidR="0043597D" w:rsidRPr="00296529" w:rsidRDefault="0043597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37A664" w14:textId="77777777" w:rsidR="0043597D" w:rsidRDefault="0043597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F72990" w14:textId="77777777" w:rsidR="0043597D" w:rsidRDefault="0043597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E024DFB" w14:textId="77777777" w:rsidR="0043597D" w:rsidRDefault="0043597D">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B57CE5"/>
    <w:multiLevelType w:val="hybridMultilevel"/>
    <w:tmpl w:val="5824EA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0FF7B19"/>
    <w:multiLevelType w:val="hybridMultilevel"/>
    <w:tmpl w:val="1D7EF218"/>
    <w:lvl w:ilvl="0" w:tplc="1FEAA91C">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2FE0"/>
    <w:rsid w:val="00014001"/>
    <w:rsid w:val="0001735C"/>
    <w:rsid w:val="00017971"/>
    <w:rsid w:val="000256D8"/>
    <w:rsid w:val="00030174"/>
    <w:rsid w:val="000305FF"/>
    <w:rsid w:val="00031D99"/>
    <w:rsid w:val="000355D6"/>
    <w:rsid w:val="0003627C"/>
    <w:rsid w:val="00037EF3"/>
    <w:rsid w:val="0004579C"/>
    <w:rsid w:val="000457F1"/>
    <w:rsid w:val="00051137"/>
    <w:rsid w:val="00054937"/>
    <w:rsid w:val="00055E3F"/>
    <w:rsid w:val="00056A4E"/>
    <w:rsid w:val="00057400"/>
    <w:rsid w:val="00064E98"/>
    <w:rsid w:val="0007228F"/>
    <w:rsid w:val="00083414"/>
    <w:rsid w:val="00086310"/>
    <w:rsid w:val="00091111"/>
    <w:rsid w:val="00097A81"/>
    <w:rsid w:val="000A2E99"/>
    <w:rsid w:val="000A47FA"/>
    <w:rsid w:val="000A5BFD"/>
    <w:rsid w:val="000A65D3"/>
    <w:rsid w:val="000A6CCE"/>
    <w:rsid w:val="000B1E33"/>
    <w:rsid w:val="000B3D6D"/>
    <w:rsid w:val="000B4C41"/>
    <w:rsid w:val="000B50C9"/>
    <w:rsid w:val="000D12C9"/>
    <w:rsid w:val="000D2FC9"/>
    <w:rsid w:val="000D4903"/>
    <w:rsid w:val="000D689F"/>
    <w:rsid w:val="000D6EB0"/>
    <w:rsid w:val="000D7D00"/>
    <w:rsid w:val="000E130C"/>
    <w:rsid w:val="000E1D19"/>
    <w:rsid w:val="000E681C"/>
    <w:rsid w:val="000E7B7B"/>
    <w:rsid w:val="000E7D62"/>
    <w:rsid w:val="000F28DE"/>
    <w:rsid w:val="000F6EC1"/>
    <w:rsid w:val="000F720C"/>
    <w:rsid w:val="00103357"/>
    <w:rsid w:val="00107325"/>
    <w:rsid w:val="0011456A"/>
    <w:rsid w:val="001178AA"/>
    <w:rsid w:val="00121BBC"/>
    <w:rsid w:val="00123C9F"/>
    <w:rsid w:val="001244D8"/>
    <w:rsid w:val="00126190"/>
    <w:rsid w:val="00130F17"/>
    <w:rsid w:val="001320BF"/>
    <w:rsid w:val="001433B5"/>
    <w:rsid w:val="00144FA5"/>
    <w:rsid w:val="00145E75"/>
    <w:rsid w:val="001461CE"/>
    <w:rsid w:val="00160FC6"/>
    <w:rsid w:val="00163BC4"/>
    <w:rsid w:val="00171C34"/>
    <w:rsid w:val="001736A9"/>
    <w:rsid w:val="00175F88"/>
    <w:rsid w:val="00176E31"/>
    <w:rsid w:val="00177557"/>
    <w:rsid w:val="00181F6D"/>
    <w:rsid w:val="00184137"/>
    <w:rsid w:val="00191062"/>
    <w:rsid w:val="00191785"/>
    <w:rsid w:val="00192B72"/>
    <w:rsid w:val="001A29D8"/>
    <w:rsid w:val="001A349D"/>
    <w:rsid w:val="001A5CAA"/>
    <w:rsid w:val="001B0427"/>
    <w:rsid w:val="001B1BDF"/>
    <w:rsid w:val="001B4365"/>
    <w:rsid w:val="001B4629"/>
    <w:rsid w:val="001B4C24"/>
    <w:rsid w:val="001C32C2"/>
    <w:rsid w:val="001C71B9"/>
    <w:rsid w:val="001C7CA3"/>
    <w:rsid w:val="001D332C"/>
    <w:rsid w:val="001D3A51"/>
    <w:rsid w:val="001E0FDD"/>
    <w:rsid w:val="001E10D2"/>
    <w:rsid w:val="001E25B4"/>
    <w:rsid w:val="001E2E52"/>
    <w:rsid w:val="001E44FE"/>
    <w:rsid w:val="001E6BB8"/>
    <w:rsid w:val="001E724F"/>
    <w:rsid w:val="001E73D7"/>
    <w:rsid w:val="001E7450"/>
    <w:rsid w:val="001F0626"/>
    <w:rsid w:val="001F40FE"/>
    <w:rsid w:val="00200595"/>
    <w:rsid w:val="00201A24"/>
    <w:rsid w:val="00204124"/>
    <w:rsid w:val="00204835"/>
    <w:rsid w:val="0020494F"/>
    <w:rsid w:val="00205C51"/>
    <w:rsid w:val="00207208"/>
    <w:rsid w:val="002078E9"/>
    <w:rsid w:val="00207AD5"/>
    <w:rsid w:val="0021053C"/>
    <w:rsid w:val="002111D4"/>
    <w:rsid w:val="002121E1"/>
    <w:rsid w:val="002139FD"/>
    <w:rsid w:val="00216177"/>
    <w:rsid w:val="00220DDC"/>
    <w:rsid w:val="00221423"/>
    <w:rsid w:val="00231920"/>
    <w:rsid w:val="0023195C"/>
    <w:rsid w:val="00232502"/>
    <w:rsid w:val="0024282C"/>
    <w:rsid w:val="002460DC"/>
    <w:rsid w:val="00246156"/>
    <w:rsid w:val="0024712F"/>
    <w:rsid w:val="00250985"/>
    <w:rsid w:val="002556F6"/>
    <w:rsid w:val="00260E47"/>
    <w:rsid w:val="00263D69"/>
    <w:rsid w:val="00271445"/>
    <w:rsid w:val="002742BE"/>
    <w:rsid w:val="00280B16"/>
    <w:rsid w:val="00281F69"/>
    <w:rsid w:val="00283105"/>
    <w:rsid w:val="0028454A"/>
    <w:rsid w:val="00284C4C"/>
    <w:rsid w:val="002850C3"/>
    <w:rsid w:val="0028618F"/>
    <w:rsid w:val="00291B3F"/>
    <w:rsid w:val="002937B6"/>
    <w:rsid w:val="00296529"/>
    <w:rsid w:val="002A4423"/>
    <w:rsid w:val="002A550D"/>
    <w:rsid w:val="002A6E0D"/>
    <w:rsid w:val="002B27FB"/>
    <w:rsid w:val="002B60F9"/>
    <w:rsid w:val="002B685A"/>
    <w:rsid w:val="002C0830"/>
    <w:rsid w:val="002C57D2"/>
    <w:rsid w:val="002C59FC"/>
    <w:rsid w:val="002C77F4"/>
    <w:rsid w:val="002E0B90"/>
    <w:rsid w:val="002E0D56"/>
    <w:rsid w:val="002E48D5"/>
    <w:rsid w:val="002E4D8D"/>
    <w:rsid w:val="002E68EC"/>
    <w:rsid w:val="002E6DBA"/>
    <w:rsid w:val="002E73CA"/>
    <w:rsid w:val="002F24AE"/>
    <w:rsid w:val="002F2C8E"/>
    <w:rsid w:val="00307A5F"/>
    <w:rsid w:val="00313095"/>
    <w:rsid w:val="0031451F"/>
    <w:rsid w:val="00315186"/>
    <w:rsid w:val="0033343E"/>
    <w:rsid w:val="00340740"/>
    <w:rsid w:val="003433C4"/>
    <w:rsid w:val="00344C28"/>
    <w:rsid w:val="00345762"/>
    <w:rsid w:val="00346593"/>
    <w:rsid w:val="0034787A"/>
    <w:rsid w:val="00347A90"/>
    <w:rsid w:val="003512C2"/>
    <w:rsid w:val="00355682"/>
    <w:rsid w:val="00356525"/>
    <w:rsid w:val="00362662"/>
    <w:rsid w:val="003627DF"/>
    <w:rsid w:val="003663C9"/>
    <w:rsid w:val="00366EDE"/>
    <w:rsid w:val="003675D7"/>
    <w:rsid w:val="00371FB6"/>
    <w:rsid w:val="00372030"/>
    <w:rsid w:val="00374884"/>
    <w:rsid w:val="003750CC"/>
    <w:rsid w:val="003763C1"/>
    <w:rsid w:val="00376BBE"/>
    <w:rsid w:val="00382C2A"/>
    <w:rsid w:val="00385971"/>
    <w:rsid w:val="0039224F"/>
    <w:rsid w:val="00393596"/>
    <w:rsid w:val="003A1005"/>
    <w:rsid w:val="003A2E5D"/>
    <w:rsid w:val="003A43A4"/>
    <w:rsid w:val="003A58F2"/>
    <w:rsid w:val="003A712C"/>
    <w:rsid w:val="003A7E18"/>
    <w:rsid w:val="003B1831"/>
    <w:rsid w:val="003B245B"/>
    <w:rsid w:val="003B65DC"/>
    <w:rsid w:val="003C1469"/>
    <w:rsid w:val="003C4C86"/>
    <w:rsid w:val="003C6258"/>
    <w:rsid w:val="003D08AF"/>
    <w:rsid w:val="003D5AD7"/>
    <w:rsid w:val="003E1251"/>
    <w:rsid w:val="003E20E2"/>
    <w:rsid w:val="003E2904"/>
    <w:rsid w:val="003E35C1"/>
    <w:rsid w:val="003E4FE2"/>
    <w:rsid w:val="003E6329"/>
    <w:rsid w:val="003E6F74"/>
    <w:rsid w:val="003E7E1D"/>
    <w:rsid w:val="003F1BA1"/>
    <w:rsid w:val="003F2EDA"/>
    <w:rsid w:val="00401325"/>
    <w:rsid w:val="00401927"/>
    <w:rsid w:val="00402521"/>
    <w:rsid w:val="00402729"/>
    <w:rsid w:val="00402F6C"/>
    <w:rsid w:val="00405F7C"/>
    <w:rsid w:val="0041027F"/>
    <w:rsid w:val="00412475"/>
    <w:rsid w:val="004178C1"/>
    <w:rsid w:val="0042005D"/>
    <w:rsid w:val="00422E76"/>
    <w:rsid w:val="00423789"/>
    <w:rsid w:val="00431E1E"/>
    <w:rsid w:val="0043383F"/>
    <w:rsid w:val="00433C59"/>
    <w:rsid w:val="0043597D"/>
    <w:rsid w:val="00435E74"/>
    <w:rsid w:val="00436514"/>
    <w:rsid w:val="00436893"/>
    <w:rsid w:val="004400AA"/>
    <w:rsid w:val="00440F43"/>
    <w:rsid w:val="00441B6F"/>
    <w:rsid w:val="004422D5"/>
    <w:rsid w:val="00446221"/>
    <w:rsid w:val="004475A0"/>
    <w:rsid w:val="00447F93"/>
    <w:rsid w:val="00450E62"/>
    <w:rsid w:val="004539DB"/>
    <w:rsid w:val="00456AA7"/>
    <w:rsid w:val="004619F5"/>
    <w:rsid w:val="00462B09"/>
    <w:rsid w:val="00471A80"/>
    <w:rsid w:val="004743CF"/>
    <w:rsid w:val="004760A7"/>
    <w:rsid w:val="00480BAA"/>
    <w:rsid w:val="0049216E"/>
    <w:rsid w:val="0049576E"/>
    <w:rsid w:val="004A4E3C"/>
    <w:rsid w:val="004B3D54"/>
    <w:rsid w:val="004B538C"/>
    <w:rsid w:val="004C23EF"/>
    <w:rsid w:val="004C255E"/>
    <w:rsid w:val="004C2E91"/>
    <w:rsid w:val="004C4D42"/>
    <w:rsid w:val="004C6082"/>
    <w:rsid w:val="004D074C"/>
    <w:rsid w:val="004D1F45"/>
    <w:rsid w:val="004D305E"/>
    <w:rsid w:val="004D4277"/>
    <w:rsid w:val="004D4681"/>
    <w:rsid w:val="004D48F8"/>
    <w:rsid w:val="004D5028"/>
    <w:rsid w:val="004E4110"/>
    <w:rsid w:val="004E56EA"/>
    <w:rsid w:val="004F0752"/>
    <w:rsid w:val="004F0E60"/>
    <w:rsid w:val="004F12D0"/>
    <w:rsid w:val="004F39B1"/>
    <w:rsid w:val="004F5FF3"/>
    <w:rsid w:val="00501C68"/>
    <w:rsid w:val="00502516"/>
    <w:rsid w:val="00505F06"/>
    <w:rsid w:val="00506828"/>
    <w:rsid w:val="00516E30"/>
    <w:rsid w:val="00520E1C"/>
    <w:rsid w:val="00524B2B"/>
    <w:rsid w:val="00524DA9"/>
    <w:rsid w:val="005250F0"/>
    <w:rsid w:val="0053056E"/>
    <w:rsid w:val="005407A9"/>
    <w:rsid w:val="005429CC"/>
    <w:rsid w:val="00543715"/>
    <w:rsid w:val="00544261"/>
    <w:rsid w:val="00546B64"/>
    <w:rsid w:val="005471BA"/>
    <w:rsid w:val="00550F37"/>
    <w:rsid w:val="00551F10"/>
    <w:rsid w:val="00554FDA"/>
    <w:rsid w:val="005558AE"/>
    <w:rsid w:val="005563EF"/>
    <w:rsid w:val="00560C4D"/>
    <w:rsid w:val="005641D4"/>
    <w:rsid w:val="005643B2"/>
    <w:rsid w:val="0057619B"/>
    <w:rsid w:val="0058751A"/>
    <w:rsid w:val="00592287"/>
    <w:rsid w:val="0059429E"/>
    <w:rsid w:val="00595FDC"/>
    <w:rsid w:val="005A1650"/>
    <w:rsid w:val="005A3BFD"/>
    <w:rsid w:val="005A3DAC"/>
    <w:rsid w:val="005A4A72"/>
    <w:rsid w:val="005A6C1B"/>
    <w:rsid w:val="005C087F"/>
    <w:rsid w:val="005C192F"/>
    <w:rsid w:val="005C3290"/>
    <w:rsid w:val="005C784C"/>
    <w:rsid w:val="005D17F6"/>
    <w:rsid w:val="005D2A0A"/>
    <w:rsid w:val="005D6834"/>
    <w:rsid w:val="005E5539"/>
    <w:rsid w:val="005F168C"/>
    <w:rsid w:val="005F18B0"/>
    <w:rsid w:val="005F2E4F"/>
    <w:rsid w:val="005F301C"/>
    <w:rsid w:val="005F3B05"/>
    <w:rsid w:val="005F4D9D"/>
    <w:rsid w:val="005F6BAF"/>
    <w:rsid w:val="006022FB"/>
    <w:rsid w:val="00602BF5"/>
    <w:rsid w:val="00604563"/>
    <w:rsid w:val="006117F0"/>
    <w:rsid w:val="00615333"/>
    <w:rsid w:val="00616DF4"/>
    <w:rsid w:val="00617FDD"/>
    <w:rsid w:val="0063191A"/>
    <w:rsid w:val="00633614"/>
    <w:rsid w:val="00633F68"/>
    <w:rsid w:val="00635D1E"/>
    <w:rsid w:val="006361A0"/>
    <w:rsid w:val="00636EB2"/>
    <w:rsid w:val="006375B8"/>
    <w:rsid w:val="00637A0F"/>
    <w:rsid w:val="00637BD9"/>
    <w:rsid w:val="00641D2C"/>
    <w:rsid w:val="00652989"/>
    <w:rsid w:val="00660EE4"/>
    <w:rsid w:val="00662C63"/>
    <w:rsid w:val="0066309F"/>
    <w:rsid w:val="0066448F"/>
    <w:rsid w:val="00664CA3"/>
    <w:rsid w:val="0066510A"/>
    <w:rsid w:val="00665284"/>
    <w:rsid w:val="00670F84"/>
    <w:rsid w:val="00673F9F"/>
    <w:rsid w:val="00680651"/>
    <w:rsid w:val="00681C62"/>
    <w:rsid w:val="00682D8D"/>
    <w:rsid w:val="006840BF"/>
    <w:rsid w:val="00686953"/>
    <w:rsid w:val="00687DEA"/>
    <w:rsid w:val="00687E67"/>
    <w:rsid w:val="00691D54"/>
    <w:rsid w:val="00694E0C"/>
    <w:rsid w:val="006952F6"/>
    <w:rsid w:val="006967F7"/>
    <w:rsid w:val="006971E8"/>
    <w:rsid w:val="006A06A6"/>
    <w:rsid w:val="006A250C"/>
    <w:rsid w:val="006B21D3"/>
    <w:rsid w:val="006B57D0"/>
    <w:rsid w:val="006B7453"/>
    <w:rsid w:val="006C36C3"/>
    <w:rsid w:val="006C6BBE"/>
    <w:rsid w:val="006D07CA"/>
    <w:rsid w:val="006D0D55"/>
    <w:rsid w:val="006D30FF"/>
    <w:rsid w:val="006D6513"/>
    <w:rsid w:val="006D6940"/>
    <w:rsid w:val="006E119A"/>
    <w:rsid w:val="006E4C4C"/>
    <w:rsid w:val="006F11EC"/>
    <w:rsid w:val="006F6BC2"/>
    <w:rsid w:val="006F7B32"/>
    <w:rsid w:val="0070082C"/>
    <w:rsid w:val="00703CB0"/>
    <w:rsid w:val="00707ED1"/>
    <w:rsid w:val="00717FAC"/>
    <w:rsid w:val="007217F7"/>
    <w:rsid w:val="007244AF"/>
    <w:rsid w:val="00734BCF"/>
    <w:rsid w:val="007369E6"/>
    <w:rsid w:val="007401EA"/>
    <w:rsid w:val="00746E59"/>
    <w:rsid w:val="007472F3"/>
    <w:rsid w:val="00754C9A"/>
    <w:rsid w:val="00755227"/>
    <w:rsid w:val="0075599A"/>
    <w:rsid w:val="00755FC1"/>
    <w:rsid w:val="00760195"/>
    <w:rsid w:val="00760768"/>
    <w:rsid w:val="00761235"/>
    <w:rsid w:val="00761D52"/>
    <w:rsid w:val="007637F2"/>
    <w:rsid w:val="007646FF"/>
    <w:rsid w:val="00764B5E"/>
    <w:rsid w:val="00765533"/>
    <w:rsid w:val="00765772"/>
    <w:rsid w:val="00765AA4"/>
    <w:rsid w:val="00771EE2"/>
    <w:rsid w:val="00776542"/>
    <w:rsid w:val="00777319"/>
    <w:rsid w:val="0077749E"/>
    <w:rsid w:val="007774F8"/>
    <w:rsid w:val="00782A9E"/>
    <w:rsid w:val="007833B3"/>
    <w:rsid w:val="00790697"/>
    <w:rsid w:val="00790ADA"/>
    <w:rsid w:val="00790C15"/>
    <w:rsid w:val="007A3025"/>
    <w:rsid w:val="007A7F86"/>
    <w:rsid w:val="007B0356"/>
    <w:rsid w:val="007B0A8E"/>
    <w:rsid w:val="007B613F"/>
    <w:rsid w:val="007B681B"/>
    <w:rsid w:val="007C0365"/>
    <w:rsid w:val="007C1D08"/>
    <w:rsid w:val="007D2036"/>
    <w:rsid w:val="007D2288"/>
    <w:rsid w:val="007D57DC"/>
    <w:rsid w:val="007D7136"/>
    <w:rsid w:val="007D7267"/>
    <w:rsid w:val="007E088F"/>
    <w:rsid w:val="007E31FF"/>
    <w:rsid w:val="007E5A64"/>
    <w:rsid w:val="007F695F"/>
    <w:rsid w:val="007F7B32"/>
    <w:rsid w:val="00803194"/>
    <w:rsid w:val="00804BC2"/>
    <w:rsid w:val="00805C12"/>
    <w:rsid w:val="00806A82"/>
    <w:rsid w:val="00806F85"/>
    <w:rsid w:val="00810677"/>
    <w:rsid w:val="008135FB"/>
    <w:rsid w:val="0081431A"/>
    <w:rsid w:val="00815D3B"/>
    <w:rsid w:val="00817F4A"/>
    <w:rsid w:val="00820D61"/>
    <w:rsid w:val="00822FE9"/>
    <w:rsid w:val="00823B2B"/>
    <w:rsid w:val="0083216F"/>
    <w:rsid w:val="0084067C"/>
    <w:rsid w:val="00852FAC"/>
    <w:rsid w:val="00856457"/>
    <w:rsid w:val="00856B35"/>
    <w:rsid w:val="008570BF"/>
    <w:rsid w:val="00860000"/>
    <w:rsid w:val="008607ED"/>
    <w:rsid w:val="00863AD2"/>
    <w:rsid w:val="00863BD3"/>
    <w:rsid w:val="00866D66"/>
    <w:rsid w:val="0086708F"/>
    <w:rsid w:val="008671C6"/>
    <w:rsid w:val="008710E2"/>
    <w:rsid w:val="00871414"/>
    <w:rsid w:val="00875803"/>
    <w:rsid w:val="00876B5A"/>
    <w:rsid w:val="00877EC7"/>
    <w:rsid w:val="008830AB"/>
    <w:rsid w:val="00883203"/>
    <w:rsid w:val="0088344F"/>
    <w:rsid w:val="00885E44"/>
    <w:rsid w:val="008869E7"/>
    <w:rsid w:val="00887E84"/>
    <w:rsid w:val="008945A5"/>
    <w:rsid w:val="0089784C"/>
    <w:rsid w:val="008A1C5F"/>
    <w:rsid w:val="008B0B7A"/>
    <w:rsid w:val="008B459E"/>
    <w:rsid w:val="008B550E"/>
    <w:rsid w:val="008C2E88"/>
    <w:rsid w:val="008C44A9"/>
    <w:rsid w:val="008C450A"/>
    <w:rsid w:val="008C5FB4"/>
    <w:rsid w:val="008D1958"/>
    <w:rsid w:val="008D2F5D"/>
    <w:rsid w:val="008E13AE"/>
    <w:rsid w:val="008E1506"/>
    <w:rsid w:val="008E457D"/>
    <w:rsid w:val="008E710C"/>
    <w:rsid w:val="008F3451"/>
    <w:rsid w:val="008F3AF9"/>
    <w:rsid w:val="008F69D6"/>
    <w:rsid w:val="00900EE4"/>
    <w:rsid w:val="00902823"/>
    <w:rsid w:val="00905E8F"/>
    <w:rsid w:val="00915CA6"/>
    <w:rsid w:val="00917B3B"/>
    <w:rsid w:val="00920622"/>
    <w:rsid w:val="009235F4"/>
    <w:rsid w:val="00927834"/>
    <w:rsid w:val="00927E26"/>
    <w:rsid w:val="00927F0D"/>
    <w:rsid w:val="00930C6D"/>
    <w:rsid w:val="00934EEF"/>
    <w:rsid w:val="00946369"/>
    <w:rsid w:val="00947B3F"/>
    <w:rsid w:val="009500A6"/>
    <w:rsid w:val="00950576"/>
    <w:rsid w:val="00957C18"/>
    <w:rsid w:val="009603ED"/>
    <w:rsid w:val="00961EA4"/>
    <w:rsid w:val="009659BA"/>
    <w:rsid w:val="00965CB3"/>
    <w:rsid w:val="009671DA"/>
    <w:rsid w:val="00967335"/>
    <w:rsid w:val="00971517"/>
    <w:rsid w:val="00975726"/>
    <w:rsid w:val="00975B8C"/>
    <w:rsid w:val="00977EED"/>
    <w:rsid w:val="00981CAC"/>
    <w:rsid w:val="00983040"/>
    <w:rsid w:val="0098776E"/>
    <w:rsid w:val="00990D52"/>
    <w:rsid w:val="00996E01"/>
    <w:rsid w:val="009A37EA"/>
    <w:rsid w:val="009A3D48"/>
    <w:rsid w:val="009A54BF"/>
    <w:rsid w:val="009B3FB9"/>
    <w:rsid w:val="009C155C"/>
    <w:rsid w:val="009C1BCC"/>
    <w:rsid w:val="009C2465"/>
    <w:rsid w:val="009C2DAA"/>
    <w:rsid w:val="009C3939"/>
    <w:rsid w:val="009C6BBD"/>
    <w:rsid w:val="009D35A0"/>
    <w:rsid w:val="009D66F9"/>
    <w:rsid w:val="009D6CCF"/>
    <w:rsid w:val="009D7EB7"/>
    <w:rsid w:val="009E048A"/>
    <w:rsid w:val="009E08E9"/>
    <w:rsid w:val="009E27B7"/>
    <w:rsid w:val="009E3DB9"/>
    <w:rsid w:val="009E6E35"/>
    <w:rsid w:val="009F0EDA"/>
    <w:rsid w:val="009F109E"/>
    <w:rsid w:val="009F2B27"/>
    <w:rsid w:val="009F49EF"/>
    <w:rsid w:val="009F6D92"/>
    <w:rsid w:val="00A0167F"/>
    <w:rsid w:val="00A017CB"/>
    <w:rsid w:val="00A01926"/>
    <w:rsid w:val="00A03528"/>
    <w:rsid w:val="00A03B04"/>
    <w:rsid w:val="00A03B96"/>
    <w:rsid w:val="00A05B19"/>
    <w:rsid w:val="00A110A1"/>
    <w:rsid w:val="00A1134E"/>
    <w:rsid w:val="00A15919"/>
    <w:rsid w:val="00A15AB3"/>
    <w:rsid w:val="00A222AC"/>
    <w:rsid w:val="00A22F94"/>
    <w:rsid w:val="00A24E7E"/>
    <w:rsid w:val="00A258C0"/>
    <w:rsid w:val="00A258C3"/>
    <w:rsid w:val="00A32B47"/>
    <w:rsid w:val="00A347C0"/>
    <w:rsid w:val="00A34E0C"/>
    <w:rsid w:val="00A35DCA"/>
    <w:rsid w:val="00A37E25"/>
    <w:rsid w:val="00A429DB"/>
    <w:rsid w:val="00A435B3"/>
    <w:rsid w:val="00A43886"/>
    <w:rsid w:val="00A4455A"/>
    <w:rsid w:val="00A45F56"/>
    <w:rsid w:val="00A51431"/>
    <w:rsid w:val="00A539AD"/>
    <w:rsid w:val="00A54242"/>
    <w:rsid w:val="00A55036"/>
    <w:rsid w:val="00A57C95"/>
    <w:rsid w:val="00A605F5"/>
    <w:rsid w:val="00A64D1A"/>
    <w:rsid w:val="00A70D2F"/>
    <w:rsid w:val="00A716FC"/>
    <w:rsid w:val="00A7341A"/>
    <w:rsid w:val="00A872BF"/>
    <w:rsid w:val="00A94063"/>
    <w:rsid w:val="00A9415C"/>
    <w:rsid w:val="00AA0376"/>
    <w:rsid w:val="00AA2FE2"/>
    <w:rsid w:val="00AA6219"/>
    <w:rsid w:val="00AA6AA7"/>
    <w:rsid w:val="00AA74E0"/>
    <w:rsid w:val="00AB0198"/>
    <w:rsid w:val="00AB703F"/>
    <w:rsid w:val="00AC09C7"/>
    <w:rsid w:val="00AC6BB8"/>
    <w:rsid w:val="00AD5775"/>
    <w:rsid w:val="00AE008F"/>
    <w:rsid w:val="00AE0CAE"/>
    <w:rsid w:val="00AE153D"/>
    <w:rsid w:val="00AF5B10"/>
    <w:rsid w:val="00B01FCD"/>
    <w:rsid w:val="00B05F9D"/>
    <w:rsid w:val="00B07237"/>
    <w:rsid w:val="00B10F31"/>
    <w:rsid w:val="00B14361"/>
    <w:rsid w:val="00B14961"/>
    <w:rsid w:val="00B169E3"/>
    <w:rsid w:val="00B1776C"/>
    <w:rsid w:val="00B20991"/>
    <w:rsid w:val="00B25D91"/>
    <w:rsid w:val="00B264F3"/>
    <w:rsid w:val="00B30031"/>
    <w:rsid w:val="00B32752"/>
    <w:rsid w:val="00B4074A"/>
    <w:rsid w:val="00B43D20"/>
    <w:rsid w:val="00B47D04"/>
    <w:rsid w:val="00B50098"/>
    <w:rsid w:val="00B50547"/>
    <w:rsid w:val="00B52896"/>
    <w:rsid w:val="00B53EF0"/>
    <w:rsid w:val="00B61116"/>
    <w:rsid w:val="00B61495"/>
    <w:rsid w:val="00B62432"/>
    <w:rsid w:val="00B66B94"/>
    <w:rsid w:val="00B7658B"/>
    <w:rsid w:val="00B81A0A"/>
    <w:rsid w:val="00B83B36"/>
    <w:rsid w:val="00B84C80"/>
    <w:rsid w:val="00B87E92"/>
    <w:rsid w:val="00B92692"/>
    <w:rsid w:val="00B95236"/>
    <w:rsid w:val="00B96BD9"/>
    <w:rsid w:val="00B97FC2"/>
    <w:rsid w:val="00BA1B01"/>
    <w:rsid w:val="00BA2641"/>
    <w:rsid w:val="00BB17C7"/>
    <w:rsid w:val="00BB3532"/>
    <w:rsid w:val="00BB37AA"/>
    <w:rsid w:val="00BC0908"/>
    <w:rsid w:val="00BC3EFF"/>
    <w:rsid w:val="00BC53A0"/>
    <w:rsid w:val="00BC64B7"/>
    <w:rsid w:val="00BD0C52"/>
    <w:rsid w:val="00BD109D"/>
    <w:rsid w:val="00BD7246"/>
    <w:rsid w:val="00BE4197"/>
    <w:rsid w:val="00BE4871"/>
    <w:rsid w:val="00BE62AD"/>
    <w:rsid w:val="00BE7725"/>
    <w:rsid w:val="00BE7940"/>
    <w:rsid w:val="00BF1000"/>
    <w:rsid w:val="00BF121F"/>
    <w:rsid w:val="00BF12C1"/>
    <w:rsid w:val="00BF1F80"/>
    <w:rsid w:val="00BF2088"/>
    <w:rsid w:val="00BF21B4"/>
    <w:rsid w:val="00BF442F"/>
    <w:rsid w:val="00BF51DD"/>
    <w:rsid w:val="00C028EC"/>
    <w:rsid w:val="00C02C24"/>
    <w:rsid w:val="00C04D01"/>
    <w:rsid w:val="00C0561F"/>
    <w:rsid w:val="00C07A3E"/>
    <w:rsid w:val="00C11395"/>
    <w:rsid w:val="00C166EF"/>
    <w:rsid w:val="00C167E4"/>
    <w:rsid w:val="00C17EB0"/>
    <w:rsid w:val="00C20FDC"/>
    <w:rsid w:val="00C22E3D"/>
    <w:rsid w:val="00C245CF"/>
    <w:rsid w:val="00C27F5F"/>
    <w:rsid w:val="00C30A0F"/>
    <w:rsid w:val="00C34C7A"/>
    <w:rsid w:val="00C3774E"/>
    <w:rsid w:val="00C37E61"/>
    <w:rsid w:val="00C40112"/>
    <w:rsid w:val="00C431C2"/>
    <w:rsid w:val="00C434C9"/>
    <w:rsid w:val="00C45754"/>
    <w:rsid w:val="00C4602A"/>
    <w:rsid w:val="00C52152"/>
    <w:rsid w:val="00C644B4"/>
    <w:rsid w:val="00C675DD"/>
    <w:rsid w:val="00C70F1B"/>
    <w:rsid w:val="00C71111"/>
    <w:rsid w:val="00C71A47"/>
    <w:rsid w:val="00C7464C"/>
    <w:rsid w:val="00C8107B"/>
    <w:rsid w:val="00C81FDF"/>
    <w:rsid w:val="00C85588"/>
    <w:rsid w:val="00C878BA"/>
    <w:rsid w:val="00C931EB"/>
    <w:rsid w:val="00C93F25"/>
    <w:rsid w:val="00CA5EA6"/>
    <w:rsid w:val="00CA6495"/>
    <w:rsid w:val="00CA72F4"/>
    <w:rsid w:val="00CB30F0"/>
    <w:rsid w:val="00CB31DB"/>
    <w:rsid w:val="00CB34A0"/>
    <w:rsid w:val="00CB4111"/>
    <w:rsid w:val="00CB41AA"/>
    <w:rsid w:val="00CD28E8"/>
    <w:rsid w:val="00CD35D7"/>
    <w:rsid w:val="00CD5D97"/>
    <w:rsid w:val="00CD6755"/>
    <w:rsid w:val="00CD6856"/>
    <w:rsid w:val="00CE0089"/>
    <w:rsid w:val="00CE229E"/>
    <w:rsid w:val="00CE286E"/>
    <w:rsid w:val="00CE429D"/>
    <w:rsid w:val="00CE793C"/>
    <w:rsid w:val="00CF243E"/>
    <w:rsid w:val="00CF2471"/>
    <w:rsid w:val="00CF3E5C"/>
    <w:rsid w:val="00D0596D"/>
    <w:rsid w:val="00D07E02"/>
    <w:rsid w:val="00D11F0F"/>
    <w:rsid w:val="00D1377B"/>
    <w:rsid w:val="00D173F1"/>
    <w:rsid w:val="00D20CEE"/>
    <w:rsid w:val="00D25E82"/>
    <w:rsid w:val="00D25FC0"/>
    <w:rsid w:val="00D30229"/>
    <w:rsid w:val="00D302EF"/>
    <w:rsid w:val="00D4232D"/>
    <w:rsid w:val="00D46C65"/>
    <w:rsid w:val="00D51391"/>
    <w:rsid w:val="00D52D42"/>
    <w:rsid w:val="00D55022"/>
    <w:rsid w:val="00D66098"/>
    <w:rsid w:val="00D738D4"/>
    <w:rsid w:val="00D748CF"/>
    <w:rsid w:val="00D77927"/>
    <w:rsid w:val="00D8295D"/>
    <w:rsid w:val="00D839B9"/>
    <w:rsid w:val="00D85568"/>
    <w:rsid w:val="00D86BA4"/>
    <w:rsid w:val="00D91D84"/>
    <w:rsid w:val="00D97C9E"/>
    <w:rsid w:val="00DA0E26"/>
    <w:rsid w:val="00DA26FC"/>
    <w:rsid w:val="00DA33E2"/>
    <w:rsid w:val="00DB1BF2"/>
    <w:rsid w:val="00DB2716"/>
    <w:rsid w:val="00DB39D3"/>
    <w:rsid w:val="00DB68FC"/>
    <w:rsid w:val="00DB7584"/>
    <w:rsid w:val="00DC2879"/>
    <w:rsid w:val="00DC2A65"/>
    <w:rsid w:val="00DC74ED"/>
    <w:rsid w:val="00DC77F2"/>
    <w:rsid w:val="00DD437E"/>
    <w:rsid w:val="00DD4C68"/>
    <w:rsid w:val="00DD5785"/>
    <w:rsid w:val="00DE15F0"/>
    <w:rsid w:val="00DE1C51"/>
    <w:rsid w:val="00DE3C22"/>
    <w:rsid w:val="00DE4602"/>
    <w:rsid w:val="00DE5663"/>
    <w:rsid w:val="00DE78AA"/>
    <w:rsid w:val="00DF09C1"/>
    <w:rsid w:val="00DF0A2D"/>
    <w:rsid w:val="00DF290F"/>
    <w:rsid w:val="00DF3431"/>
    <w:rsid w:val="00DF6BC2"/>
    <w:rsid w:val="00E053D0"/>
    <w:rsid w:val="00E05A1F"/>
    <w:rsid w:val="00E07795"/>
    <w:rsid w:val="00E15994"/>
    <w:rsid w:val="00E3114E"/>
    <w:rsid w:val="00E31A70"/>
    <w:rsid w:val="00E334C1"/>
    <w:rsid w:val="00E34B05"/>
    <w:rsid w:val="00E35B02"/>
    <w:rsid w:val="00E4037D"/>
    <w:rsid w:val="00E42CA3"/>
    <w:rsid w:val="00E441A8"/>
    <w:rsid w:val="00E468D4"/>
    <w:rsid w:val="00E508DB"/>
    <w:rsid w:val="00E526DB"/>
    <w:rsid w:val="00E53453"/>
    <w:rsid w:val="00E60BA5"/>
    <w:rsid w:val="00E626D4"/>
    <w:rsid w:val="00E63888"/>
    <w:rsid w:val="00E63A34"/>
    <w:rsid w:val="00E6637C"/>
    <w:rsid w:val="00E66496"/>
    <w:rsid w:val="00E66B35"/>
    <w:rsid w:val="00E66E10"/>
    <w:rsid w:val="00E67B03"/>
    <w:rsid w:val="00E7449C"/>
    <w:rsid w:val="00E769F6"/>
    <w:rsid w:val="00E80D6D"/>
    <w:rsid w:val="00E8223B"/>
    <w:rsid w:val="00E8407C"/>
    <w:rsid w:val="00E84F3C"/>
    <w:rsid w:val="00E90CF6"/>
    <w:rsid w:val="00E94CBC"/>
    <w:rsid w:val="00E9790F"/>
    <w:rsid w:val="00E97F35"/>
    <w:rsid w:val="00EA012C"/>
    <w:rsid w:val="00EA01A8"/>
    <w:rsid w:val="00EA11A1"/>
    <w:rsid w:val="00EA223C"/>
    <w:rsid w:val="00EA2F66"/>
    <w:rsid w:val="00EA51FD"/>
    <w:rsid w:val="00EA7384"/>
    <w:rsid w:val="00EB4D6B"/>
    <w:rsid w:val="00EB4ECE"/>
    <w:rsid w:val="00EB6311"/>
    <w:rsid w:val="00EB7516"/>
    <w:rsid w:val="00EC26A3"/>
    <w:rsid w:val="00EC3B57"/>
    <w:rsid w:val="00ED0288"/>
    <w:rsid w:val="00ED32B7"/>
    <w:rsid w:val="00ED3D15"/>
    <w:rsid w:val="00ED4563"/>
    <w:rsid w:val="00EE18D4"/>
    <w:rsid w:val="00EE2AA6"/>
    <w:rsid w:val="00EE3A5F"/>
    <w:rsid w:val="00EE469A"/>
    <w:rsid w:val="00EE52CB"/>
    <w:rsid w:val="00EE7CC2"/>
    <w:rsid w:val="00EF581D"/>
    <w:rsid w:val="00EF7FD8"/>
    <w:rsid w:val="00F00250"/>
    <w:rsid w:val="00F00A36"/>
    <w:rsid w:val="00F01128"/>
    <w:rsid w:val="00F06F59"/>
    <w:rsid w:val="00F11AEB"/>
    <w:rsid w:val="00F1217B"/>
    <w:rsid w:val="00F15B51"/>
    <w:rsid w:val="00F174BF"/>
    <w:rsid w:val="00F17988"/>
    <w:rsid w:val="00F238CD"/>
    <w:rsid w:val="00F241A3"/>
    <w:rsid w:val="00F24557"/>
    <w:rsid w:val="00F269BF"/>
    <w:rsid w:val="00F310EF"/>
    <w:rsid w:val="00F32F68"/>
    <w:rsid w:val="00F3638F"/>
    <w:rsid w:val="00F36734"/>
    <w:rsid w:val="00F37922"/>
    <w:rsid w:val="00F402B2"/>
    <w:rsid w:val="00F4233C"/>
    <w:rsid w:val="00F469F0"/>
    <w:rsid w:val="00F53273"/>
    <w:rsid w:val="00F535B5"/>
    <w:rsid w:val="00F62052"/>
    <w:rsid w:val="00F703C9"/>
    <w:rsid w:val="00F71596"/>
    <w:rsid w:val="00F7169A"/>
    <w:rsid w:val="00F744D1"/>
    <w:rsid w:val="00F755E4"/>
    <w:rsid w:val="00F770D7"/>
    <w:rsid w:val="00F77D02"/>
    <w:rsid w:val="00F81915"/>
    <w:rsid w:val="00F83781"/>
    <w:rsid w:val="00F83CC2"/>
    <w:rsid w:val="00F85FF7"/>
    <w:rsid w:val="00F97EEA"/>
    <w:rsid w:val="00FA2AAB"/>
    <w:rsid w:val="00FA3877"/>
    <w:rsid w:val="00FA67F8"/>
    <w:rsid w:val="00FB3A86"/>
    <w:rsid w:val="00FB41D6"/>
    <w:rsid w:val="00FB66D6"/>
    <w:rsid w:val="00FC6BDE"/>
    <w:rsid w:val="00FC731A"/>
    <w:rsid w:val="00FD10C7"/>
    <w:rsid w:val="00FD36C8"/>
    <w:rsid w:val="00FE4327"/>
    <w:rsid w:val="00FE44E8"/>
    <w:rsid w:val="00FF02D3"/>
    <w:rsid w:val="00FF0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04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paragraph" w:styleId="NoSpacing">
    <w:name w:val="No Spacing"/>
    <w:uiPriority w:val="1"/>
    <w:qFormat/>
    <w:rsid w:val="003E7E1D"/>
    <w:rPr>
      <w:rFonts w:asciiTheme="minorHAnsi" w:eastAsiaTheme="minorHAnsi" w:hAnsiTheme="minorHAnsi" w:cstheme="minorBidi"/>
      <w:sz w:val="22"/>
      <w:szCs w:val="22"/>
      <w:lang w:val="en-GB" w:eastAsia="en-US"/>
    </w:rPr>
  </w:style>
  <w:style w:type="character" w:customStyle="1" w:styleId="UnresolvedMention1">
    <w:name w:val="Unresolved Mention1"/>
    <w:basedOn w:val="DefaultParagraphFont"/>
    <w:uiPriority w:val="99"/>
    <w:semiHidden/>
    <w:unhideWhenUsed/>
    <w:rsid w:val="00D738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paragraph" w:styleId="NoSpacing">
    <w:name w:val="No Spacing"/>
    <w:uiPriority w:val="1"/>
    <w:qFormat/>
    <w:rsid w:val="003E7E1D"/>
    <w:rPr>
      <w:rFonts w:asciiTheme="minorHAnsi" w:eastAsiaTheme="minorHAnsi" w:hAnsiTheme="minorHAnsi" w:cstheme="minorBidi"/>
      <w:sz w:val="22"/>
      <w:szCs w:val="22"/>
      <w:lang w:val="en-GB" w:eastAsia="en-US"/>
    </w:rPr>
  </w:style>
  <w:style w:type="character" w:customStyle="1" w:styleId="UnresolvedMention1">
    <w:name w:val="Unresolved Mention1"/>
    <w:basedOn w:val="DefaultParagraphFont"/>
    <w:uiPriority w:val="99"/>
    <w:semiHidden/>
    <w:unhideWhenUsed/>
    <w:rsid w:val="00D73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51967">
      <w:bodyDiv w:val="1"/>
      <w:marLeft w:val="0"/>
      <w:marRight w:val="0"/>
      <w:marTop w:val="0"/>
      <w:marBottom w:val="0"/>
      <w:divBdr>
        <w:top w:val="none" w:sz="0" w:space="0" w:color="auto"/>
        <w:left w:val="none" w:sz="0" w:space="0" w:color="auto"/>
        <w:bottom w:val="none" w:sz="0" w:space="0" w:color="auto"/>
        <w:right w:val="none" w:sz="0" w:space="0" w:color="auto"/>
      </w:divBdr>
    </w:div>
    <w:div w:id="919745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850030">
      <w:bodyDiv w:val="1"/>
      <w:marLeft w:val="0"/>
      <w:marRight w:val="0"/>
      <w:marTop w:val="0"/>
      <w:marBottom w:val="0"/>
      <w:divBdr>
        <w:top w:val="none" w:sz="0" w:space="0" w:color="auto"/>
        <w:left w:val="none" w:sz="0" w:space="0" w:color="auto"/>
        <w:bottom w:val="none" w:sz="0" w:space="0" w:color="auto"/>
        <w:right w:val="none" w:sz="0" w:space="0" w:color="auto"/>
      </w:divBdr>
    </w:div>
    <w:div w:id="305623907">
      <w:bodyDiv w:val="1"/>
      <w:marLeft w:val="0"/>
      <w:marRight w:val="0"/>
      <w:marTop w:val="0"/>
      <w:marBottom w:val="0"/>
      <w:divBdr>
        <w:top w:val="none" w:sz="0" w:space="0" w:color="auto"/>
        <w:left w:val="none" w:sz="0" w:space="0" w:color="auto"/>
        <w:bottom w:val="none" w:sz="0" w:space="0" w:color="auto"/>
        <w:right w:val="none" w:sz="0" w:space="0" w:color="auto"/>
      </w:divBdr>
    </w:div>
    <w:div w:id="6340645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0677721">
      <w:bodyDiv w:val="1"/>
      <w:marLeft w:val="0"/>
      <w:marRight w:val="0"/>
      <w:marTop w:val="0"/>
      <w:marBottom w:val="0"/>
      <w:divBdr>
        <w:top w:val="none" w:sz="0" w:space="0" w:color="auto"/>
        <w:left w:val="none" w:sz="0" w:space="0" w:color="auto"/>
        <w:bottom w:val="none" w:sz="0" w:space="0" w:color="auto"/>
        <w:right w:val="none" w:sz="0" w:space="0" w:color="auto"/>
      </w:divBdr>
    </w:div>
    <w:div w:id="887835214">
      <w:bodyDiv w:val="1"/>
      <w:marLeft w:val="0"/>
      <w:marRight w:val="0"/>
      <w:marTop w:val="0"/>
      <w:marBottom w:val="0"/>
      <w:divBdr>
        <w:top w:val="none" w:sz="0" w:space="0" w:color="auto"/>
        <w:left w:val="none" w:sz="0" w:space="0" w:color="auto"/>
        <w:bottom w:val="none" w:sz="0" w:space="0" w:color="auto"/>
        <w:right w:val="none" w:sz="0" w:space="0" w:color="auto"/>
      </w:divBdr>
    </w:div>
    <w:div w:id="9029058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871417">
      <w:bodyDiv w:val="1"/>
      <w:marLeft w:val="0"/>
      <w:marRight w:val="0"/>
      <w:marTop w:val="0"/>
      <w:marBottom w:val="0"/>
      <w:divBdr>
        <w:top w:val="none" w:sz="0" w:space="0" w:color="auto"/>
        <w:left w:val="none" w:sz="0" w:space="0" w:color="auto"/>
        <w:bottom w:val="none" w:sz="0" w:space="0" w:color="auto"/>
        <w:right w:val="none" w:sz="0" w:space="0" w:color="auto"/>
      </w:divBdr>
    </w:div>
    <w:div w:id="1215503882">
      <w:bodyDiv w:val="1"/>
      <w:marLeft w:val="0"/>
      <w:marRight w:val="0"/>
      <w:marTop w:val="0"/>
      <w:marBottom w:val="0"/>
      <w:divBdr>
        <w:top w:val="none" w:sz="0" w:space="0" w:color="auto"/>
        <w:left w:val="none" w:sz="0" w:space="0" w:color="auto"/>
        <w:bottom w:val="none" w:sz="0" w:space="0" w:color="auto"/>
        <w:right w:val="none" w:sz="0" w:space="0" w:color="auto"/>
      </w:divBdr>
    </w:div>
    <w:div w:id="1222206257">
      <w:bodyDiv w:val="1"/>
      <w:marLeft w:val="0"/>
      <w:marRight w:val="0"/>
      <w:marTop w:val="0"/>
      <w:marBottom w:val="0"/>
      <w:divBdr>
        <w:top w:val="none" w:sz="0" w:space="0" w:color="auto"/>
        <w:left w:val="none" w:sz="0" w:space="0" w:color="auto"/>
        <w:bottom w:val="none" w:sz="0" w:space="0" w:color="auto"/>
        <w:right w:val="none" w:sz="0" w:space="0" w:color="auto"/>
      </w:divBdr>
    </w:div>
    <w:div w:id="14439559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99830">
      <w:bodyDiv w:val="1"/>
      <w:marLeft w:val="0"/>
      <w:marRight w:val="0"/>
      <w:marTop w:val="0"/>
      <w:marBottom w:val="0"/>
      <w:divBdr>
        <w:top w:val="none" w:sz="0" w:space="0" w:color="auto"/>
        <w:left w:val="none" w:sz="0" w:space="0" w:color="auto"/>
        <w:bottom w:val="none" w:sz="0" w:space="0" w:color="auto"/>
        <w:right w:val="none" w:sz="0" w:space="0" w:color="auto"/>
      </w:divBdr>
    </w:div>
    <w:div w:id="1827669854">
      <w:bodyDiv w:val="1"/>
      <w:marLeft w:val="0"/>
      <w:marRight w:val="0"/>
      <w:marTop w:val="0"/>
      <w:marBottom w:val="0"/>
      <w:divBdr>
        <w:top w:val="none" w:sz="0" w:space="0" w:color="auto"/>
        <w:left w:val="none" w:sz="0" w:space="0" w:color="auto"/>
        <w:bottom w:val="none" w:sz="0" w:space="0" w:color="auto"/>
        <w:right w:val="none" w:sz="0" w:space="0" w:color="auto"/>
      </w:divBdr>
    </w:div>
    <w:div w:id="19214042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yareli\Desktop\Soporte%20JZ\Dr_Jos&#233;%20S&#225;nchez\Graficos_Jose&#769;%20Sa&#769;nchez_0508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yareli\Desktop\Soporte%20JZ\Dr_Jos&#233;%20S&#225;nchez\Graficos_Jose&#769;%20Sa&#769;nchez_0508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da\Downloads\2024_Dr_Jos&#233;%20S&#225;nchez\Base%20de%20datos_Jose&#769;%20Sa&#769;nchez_010824_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Descriptivos!$B$9:$B$10</c:f>
              <c:strCache>
                <c:ptCount val="2"/>
                <c:pt idx="0">
                  <c:v>Age (years)</c:v>
                </c:pt>
                <c:pt idx="1">
                  <c:v>BMI (kg/m2)</c:v>
                </c:pt>
              </c:strCache>
            </c:strRef>
          </c:cat>
          <c:val>
            <c:numRef>
              <c:f>Descriptivos!$C$9:$C$10</c:f>
              <c:numCache>
                <c:formatCode>###0.0</c:formatCode>
                <c:ptCount val="2"/>
                <c:pt idx="0">
                  <c:v>53.725239616613436</c:v>
                </c:pt>
                <c:pt idx="1">
                  <c:v>29.952306709265184</c:v>
                </c:pt>
              </c:numCache>
            </c:numRef>
          </c:val>
          <c:extLst xmlns:c16r2="http://schemas.microsoft.com/office/drawing/2015/06/chart">
            <c:ext xmlns:c16="http://schemas.microsoft.com/office/drawing/2014/chart" uri="{C3380CC4-5D6E-409C-BE32-E72D297353CC}">
              <c16:uniqueId val="{00000000-0BE9-44F9-8B9E-406E8922B0AD}"/>
            </c:ext>
          </c:extLst>
        </c:ser>
        <c:dLbls>
          <c:showLegendKey val="0"/>
          <c:showVal val="0"/>
          <c:showCatName val="0"/>
          <c:showSerName val="0"/>
          <c:showPercent val="0"/>
          <c:showBubbleSize val="0"/>
        </c:dLbls>
        <c:gapWidth val="150"/>
        <c:axId val="43460608"/>
        <c:axId val="35582464"/>
      </c:barChart>
      <c:catAx>
        <c:axId val="43460608"/>
        <c:scaling>
          <c:orientation val="minMax"/>
        </c:scaling>
        <c:delete val="0"/>
        <c:axPos val="b"/>
        <c:numFmt formatCode="General" sourceLinked="0"/>
        <c:majorTickMark val="out"/>
        <c:minorTickMark val="none"/>
        <c:tickLblPos val="nextTo"/>
        <c:crossAx val="35582464"/>
        <c:crosses val="autoZero"/>
        <c:auto val="1"/>
        <c:lblAlgn val="ctr"/>
        <c:lblOffset val="100"/>
        <c:noMultiLvlLbl val="0"/>
      </c:catAx>
      <c:valAx>
        <c:axId val="35582464"/>
        <c:scaling>
          <c:orientation val="minMax"/>
        </c:scaling>
        <c:delete val="0"/>
        <c:axPos val="l"/>
        <c:numFmt formatCode="###0.0" sourceLinked="1"/>
        <c:majorTickMark val="out"/>
        <c:minorTickMark val="none"/>
        <c:tickLblPos val="nextTo"/>
        <c:crossAx val="43460608"/>
        <c:crosses val="autoZero"/>
        <c:crossBetween val="between"/>
      </c:valAx>
    </c:plotArea>
    <c:plotVisOnly val="1"/>
    <c:dispBlanksAs val="gap"/>
    <c:showDLblsOverMax val="0"/>
  </c:chart>
  <c:spPr>
    <a:ln>
      <a:noFill/>
    </a:ln>
  </c:spPr>
  <c:txPr>
    <a:bodyPr/>
    <a:lstStyle/>
    <a:p>
      <a:pPr>
        <a:defRPr sz="900">
          <a:latin typeface="Arial" panose="020B0604020202020204" pitchFamily="34" charset="0"/>
          <a:ea typeface="Verdana" pitchFamily="34" charset="0"/>
          <a:cs typeface="Arial" panose="020B0604020202020204"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Frecuencias!$C$24:$C$28</c:f>
              <c:strCache>
                <c:ptCount val="5"/>
                <c:pt idx="0">
                  <c:v>Normal Weigth</c:v>
                </c:pt>
                <c:pt idx="1">
                  <c:v>Overweight</c:v>
                </c:pt>
                <c:pt idx="2">
                  <c:v>Obesity Grade I</c:v>
                </c:pt>
                <c:pt idx="3">
                  <c:v>Obesity Grade II</c:v>
                </c:pt>
                <c:pt idx="4">
                  <c:v>Obesity Grade III</c:v>
                </c:pt>
              </c:strCache>
            </c:strRef>
          </c:cat>
          <c:val>
            <c:numRef>
              <c:f>Frecuencias!$D$24:$D$28</c:f>
              <c:numCache>
                <c:formatCode>###0</c:formatCode>
                <c:ptCount val="5"/>
                <c:pt idx="0">
                  <c:v>20</c:v>
                </c:pt>
                <c:pt idx="1">
                  <c:v>177</c:v>
                </c:pt>
                <c:pt idx="2">
                  <c:v>60</c:v>
                </c:pt>
                <c:pt idx="3">
                  <c:v>35</c:v>
                </c:pt>
                <c:pt idx="4">
                  <c:v>21</c:v>
                </c:pt>
              </c:numCache>
            </c:numRef>
          </c:val>
          <c:extLst xmlns:c16r2="http://schemas.microsoft.com/office/drawing/2015/06/chart">
            <c:ext xmlns:c16="http://schemas.microsoft.com/office/drawing/2014/chart" uri="{C3380CC4-5D6E-409C-BE32-E72D297353CC}">
              <c16:uniqueId val="{00000000-2F19-4AF1-A6DB-A5FE981A1883}"/>
            </c:ext>
          </c:extLst>
        </c:ser>
        <c:dLbls>
          <c:showLegendKey val="0"/>
          <c:showVal val="0"/>
          <c:showCatName val="0"/>
          <c:showSerName val="0"/>
          <c:showPercent val="0"/>
          <c:showBubbleSize val="0"/>
        </c:dLbls>
        <c:gapWidth val="150"/>
        <c:axId val="42939392"/>
        <c:axId val="41517056"/>
      </c:barChart>
      <c:catAx>
        <c:axId val="42939392"/>
        <c:scaling>
          <c:orientation val="minMax"/>
        </c:scaling>
        <c:delete val="0"/>
        <c:axPos val="b"/>
        <c:numFmt formatCode="General" sourceLinked="0"/>
        <c:majorTickMark val="out"/>
        <c:minorTickMark val="none"/>
        <c:tickLblPos val="nextTo"/>
        <c:crossAx val="41517056"/>
        <c:crosses val="autoZero"/>
        <c:auto val="1"/>
        <c:lblAlgn val="ctr"/>
        <c:lblOffset val="100"/>
        <c:noMultiLvlLbl val="0"/>
      </c:catAx>
      <c:valAx>
        <c:axId val="41517056"/>
        <c:scaling>
          <c:orientation val="minMax"/>
        </c:scaling>
        <c:delete val="0"/>
        <c:axPos val="l"/>
        <c:title>
          <c:tx>
            <c:rich>
              <a:bodyPr rot="-5400000" vert="horz"/>
              <a:lstStyle/>
              <a:p>
                <a:pPr>
                  <a:defRPr/>
                </a:pPr>
                <a:r>
                  <a:rPr lang="en-US"/>
                  <a:t>Numbers of patients</a:t>
                </a:r>
              </a:p>
            </c:rich>
          </c:tx>
          <c:overlay val="0"/>
        </c:title>
        <c:numFmt formatCode="###0" sourceLinked="1"/>
        <c:majorTickMark val="out"/>
        <c:minorTickMark val="none"/>
        <c:tickLblPos val="nextTo"/>
        <c:crossAx val="42939392"/>
        <c:crosses val="autoZero"/>
        <c:crossBetween val="between"/>
      </c:valAx>
    </c:plotArea>
    <c:plotVisOnly val="1"/>
    <c:dispBlanksAs val="gap"/>
    <c:showDLblsOverMax val="0"/>
  </c:chart>
  <c:spPr>
    <a:ln>
      <a:noFill/>
    </a:ln>
  </c:spPr>
  <c:txPr>
    <a:bodyPr/>
    <a:lstStyle/>
    <a:p>
      <a:pPr>
        <a:defRPr sz="900">
          <a:latin typeface="Arial" panose="020B0604020202020204" pitchFamily="34" charset="0"/>
          <a:ea typeface="Verdana" pitchFamily="34" charset="0"/>
          <a:cs typeface="Arial" panose="020B0604020202020204"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Frecuencias!$C$33:$C$37</c:f>
              <c:strCache>
                <c:ptCount val="5"/>
                <c:pt idx="0">
                  <c:v>I</c:v>
                </c:pt>
                <c:pt idx="1">
                  <c:v>II</c:v>
                </c:pt>
                <c:pt idx="2">
                  <c:v>III</c:v>
                </c:pt>
                <c:pt idx="3">
                  <c:v>IV</c:v>
                </c:pt>
                <c:pt idx="4">
                  <c:v>V</c:v>
                </c:pt>
              </c:strCache>
            </c:strRef>
          </c:cat>
          <c:val>
            <c:numRef>
              <c:f>Frecuencias!$D$33:$D$37</c:f>
              <c:numCache>
                <c:formatCode>###0</c:formatCode>
                <c:ptCount val="5"/>
                <c:pt idx="0">
                  <c:v>72</c:v>
                </c:pt>
                <c:pt idx="1">
                  <c:v>114</c:v>
                </c:pt>
                <c:pt idx="2">
                  <c:v>45</c:v>
                </c:pt>
                <c:pt idx="3">
                  <c:v>47</c:v>
                </c:pt>
                <c:pt idx="4">
                  <c:v>35</c:v>
                </c:pt>
              </c:numCache>
            </c:numRef>
          </c:val>
          <c:extLst xmlns:c16r2="http://schemas.microsoft.com/office/drawing/2015/06/chart">
            <c:ext xmlns:c16="http://schemas.microsoft.com/office/drawing/2014/chart" uri="{C3380CC4-5D6E-409C-BE32-E72D297353CC}">
              <c16:uniqueId val="{00000005-7D35-7847-8D29-19F4E77B4449}"/>
            </c:ext>
          </c:extLst>
        </c:ser>
        <c:dLbls>
          <c:showLegendKey val="0"/>
          <c:showVal val="0"/>
          <c:showCatName val="0"/>
          <c:showSerName val="0"/>
          <c:showPercent val="0"/>
          <c:showBubbleSize val="0"/>
        </c:dLbls>
        <c:gapWidth val="150"/>
        <c:axId val="43456000"/>
        <c:axId val="41518784"/>
      </c:barChart>
      <c:catAx>
        <c:axId val="43456000"/>
        <c:scaling>
          <c:orientation val="minMax"/>
        </c:scaling>
        <c:delete val="0"/>
        <c:axPos val="b"/>
        <c:title>
          <c:tx>
            <c:rich>
              <a:bodyPr/>
              <a:lstStyle/>
              <a:p>
                <a:pPr>
                  <a:defRPr/>
                </a:pPr>
                <a:r>
                  <a:rPr lang="en-US"/>
                  <a:t>Parkland Scale</a:t>
                </a:r>
              </a:p>
            </c:rich>
          </c:tx>
          <c:overlay val="0"/>
        </c:title>
        <c:numFmt formatCode="General" sourceLinked="0"/>
        <c:majorTickMark val="out"/>
        <c:minorTickMark val="none"/>
        <c:tickLblPos val="nextTo"/>
        <c:crossAx val="41518784"/>
        <c:crosses val="autoZero"/>
        <c:auto val="1"/>
        <c:lblAlgn val="ctr"/>
        <c:lblOffset val="100"/>
        <c:noMultiLvlLbl val="0"/>
      </c:catAx>
      <c:valAx>
        <c:axId val="41518784"/>
        <c:scaling>
          <c:orientation val="minMax"/>
        </c:scaling>
        <c:delete val="0"/>
        <c:axPos val="l"/>
        <c:title>
          <c:tx>
            <c:rich>
              <a:bodyPr rot="-5400000" vert="horz"/>
              <a:lstStyle/>
              <a:p>
                <a:pPr>
                  <a:defRPr/>
                </a:pPr>
                <a:r>
                  <a:rPr lang="en-US"/>
                  <a:t>Numbers of patients</a:t>
                </a:r>
              </a:p>
            </c:rich>
          </c:tx>
          <c:overlay val="0"/>
        </c:title>
        <c:numFmt formatCode="###0" sourceLinked="1"/>
        <c:majorTickMark val="out"/>
        <c:minorTickMark val="none"/>
        <c:tickLblPos val="nextTo"/>
        <c:crossAx val="43456000"/>
        <c:crosses val="autoZero"/>
        <c:crossBetween val="between"/>
      </c:valAx>
    </c:plotArea>
    <c:plotVisOnly val="1"/>
    <c:dispBlanksAs val="gap"/>
    <c:showDLblsOverMax val="0"/>
  </c:chart>
  <c:spPr>
    <a:ln>
      <a:noFill/>
    </a:ln>
  </c:spPr>
  <c:txPr>
    <a:bodyPr/>
    <a:lstStyle/>
    <a:p>
      <a:pPr>
        <a:defRPr sz="900" b="0">
          <a:latin typeface="Arial" panose="020B0604020202020204" pitchFamily="34" charset="0"/>
          <a:ea typeface="Verdana" pitchFamily="34" charset="0"/>
          <a:cs typeface="Arial" panose="020B0604020202020204" pitchFamily="34" charset="0"/>
        </a:defRPr>
      </a:pPr>
      <a:endParaRPr lang="es-MX"/>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01000-3F15-46CB-9D82-5057CD5B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1851</TotalTime>
  <Pages>11</Pages>
  <Words>4098</Words>
  <Characters>22540</Characters>
  <Application>Microsoft Office Word</Application>
  <DocSecurity>0</DocSecurity>
  <Lines>187</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26585</CharactersWithSpaces>
  <SharedDoc>false</SharedDoc>
  <HLinks>
    <vt:vector size="12" baseType="variant">
      <vt:variant>
        <vt:i4>1572865</vt:i4>
      </vt:variant>
      <vt:variant>
        <vt:i4>21</vt:i4>
      </vt:variant>
      <vt:variant>
        <vt:i4>0</vt:i4>
      </vt:variant>
      <vt:variant>
        <vt:i4>5</vt:i4>
      </vt:variant>
      <vt:variant>
        <vt:lpwstr>https://coronavirus.gob.mx/datos/</vt:lpwstr>
      </vt:variant>
      <vt:variant>
        <vt:lpwstr/>
      </vt:variant>
      <vt:variant>
        <vt:i4>1572959</vt:i4>
      </vt:variant>
      <vt:variant>
        <vt:i4>18</vt:i4>
      </vt:variant>
      <vt:variant>
        <vt:i4>0</vt:i4>
      </vt:variant>
      <vt:variant>
        <vt:i4>5</vt:i4>
      </vt:variant>
      <vt:variant>
        <vt:lpwstr>https://coronavirus.jhu.edu/map.html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TOSHIBA</cp:lastModifiedBy>
  <cp:revision>102</cp:revision>
  <cp:lastPrinted>2026-01-07T06:37:00Z</cp:lastPrinted>
  <dcterms:created xsi:type="dcterms:W3CDTF">2025-12-28T06:10:00Z</dcterms:created>
  <dcterms:modified xsi:type="dcterms:W3CDTF">2026-02-01T05:33:00Z</dcterms:modified>
</cp:coreProperties>
</file>