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43FDF" w14:textId="77777777" w:rsidR="00DA33E2" w:rsidRPr="00F15B51" w:rsidRDefault="00DA33E2" w:rsidP="00A57C95">
      <w:pPr>
        <w:pStyle w:val="Author"/>
        <w:rPr>
          <w:rFonts w:ascii="Arial" w:hAnsi="Arial" w:cs="Arial"/>
          <w:bCs/>
          <w:iCs/>
          <w:kern w:val="28"/>
          <w:sz w:val="36"/>
        </w:rPr>
      </w:pPr>
      <w:bookmarkStart w:id="0" w:name="_GoBack"/>
      <w:bookmarkEnd w:id="0"/>
    </w:p>
    <w:p w14:paraId="2646E068" w14:textId="77777777" w:rsidR="007244AF" w:rsidRDefault="00B50547" w:rsidP="00A57C95">
      <w:pPr>
        <w:pStyle w:val="Author"/>
        <w:rPr>
          <w:rFonts w:ascii="Arial" w:hAnsi="Arial" w:cs="Arial"/>
          <w:bCs/>
          <w:iCs/>
          <w:kern w:val="28"/>
          <w:sz w:val="32"/>
          <w:szCs w:val="18"/>
        </w:rPr>
      </w:pPr>
      <w:r w:rsidRPr="00EE469A">
        <w:rPr>
          <w:rFonts w:ascii="Arial" w:hAnsi="Arial" w:cs="Arial"/>
          <w:bCs/>
          <w:iCs/>
          <w:kern w:val="28"/>
          <w:sz w:val="32"/>
          <w:szCs w:val="18"/>
        </w:rPr>
        <w:t xml:space="preserve">Clinical-Surgical Profile of Patients Undergoing Laparoscopic Cholecystectomy in the Northern </w:t>
      </w:r>
    </w:p>
    <w:p w14:paraId="60233F74" w14:textId="081BCFEC" w:rsidR="00163BC4" w:rsidRPr="00EE469A" w:rsidRDefault="00B50547" w:rsidP="00A57C95">
      <w:pPr>
        <w:pStyle w:val="Author"/>
        <w:rPr>
          <w:rFonts w:ascii="Arial" w:hAnsi="Arial" w:cs="Arial"/>
          <w:bCs/>
          <w:iCs/>
          <w:kern w:val="28"/>
          <w:sz w:val="32"/>
          <w:szCs w:val="18"/>
        </w:rPr>
      </w:pPr>
      <w:r w:rsidRPr="00EE469A">
        <w:rPr>
          <w:rFonts w:ascii="Arial" w:hAnsi="Arial" w:cs="Arial"/>
          <w:bCs/>
          <w:iCs/>
          <w:kern w:val="28"/>
          <w:sz w:val="32"/>
          <w:szCs w:val="18"/>
        </w:rPr>
        <w:t>Region of Mexico</w:t>
      </w:r>
    </w:p>
    <w:p w14:paraId="43461F21" w14:textId="77777777" w:rsidR="00A258C3" w:rsidRPr="00F15B51" w:rsidRDefault="00A258C3" w:rsidP="00441B6F">
      <w:pPr>
        <w:pStyle w:val="Author"/>
        <w:spacing w:line="240" w:lineRule="auto"/>
        <w:jc w:val="both"/>
        <w:rPr>
          <w:rFonts w:ascii="Arial" w:hAnsi="Arial" w:cs="Arial"/>
          <w:sz w:val="36"/>
        </w:rPr>
      </w:pPr>
    </w:p>
    <w:p w14:paraId="6F4C9FB8" w14:textId="77777777" w:rsidR="00DF09C1" w:rsidRPr="00F15B51" w:rsidRDefault="00DF09C1" w:rsidP="006B7453">
      <w:pPr>
        <w:pStyle w:val="Affiliation"/>
        <w:spacing w:after="0"/>
        <w:rPr>
          <w:rFonts w:ascii="Arial" w:hAnsi="Arial" w:cs="Arial"/>
          <w:i/>
        </w:rPr>
      </w:pPr>
    </w:p>
    <w:p w14:paraId="6998470F" w14:textId="77777777" w:rsidR="00C93F25" w:rsidRPr="00F15B51" w:rsidRDefault="00C93F25" w:rsidP="001E0FDD">
      <w:pPr>
        <w:pStyle w:val="Affiliation"/>
        <w:rPr>
          <w:rFonts w:ascii="Arial" w:hAnsi="Arial" w:cs="Arial"/>
          <w:i/>
        </w:rPr>
      </w:pPr>
    </w:p>
    <w:p w14:paraId="11EAF5F9" w14:textId="77777777" w:rsidR="00B01FCD" w:rsidRPr="00F15B51" w:rsidRDefault="00717FAC" w:rsidP="00441B6F">
      <w:pPr>
        <w:pStyle w:val="Copyright"/>
        <w:spacing w:after="0" w:line="240" w:lineRule="auto"/>
        <w:jc w:val="both"/>
        <w:rPr>
          <w:rFonts w:ascii="Arial" w:hAnsi="Arial" w:cs="Arial"/>
        </w:rPr>
        <w:sectPr w:rsidR="00B01FCD" w:rsidRPr="00F15B51" w:rsidSect="00DF29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15B51">
        <w:rPr>
          <w:rFonts w:ascii="Arial" w:hAnsi="Arial" w:cs="Arial"/>
          <w:noProof/>
          <w:lang w:val="es-MX" w:eastAsia="es-MX"/>
        </w:rPr>
        <mc:AlternateContent>
          <mc:Choice Requires="wps">
            <w:drawing>
              <wp:inline distT="0" distB="0" distL="0" distR="0" wp14:anchorId="6BD379EE" wp14:editId="2AF98BCF">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68ED5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F15B51">
        <w:rPr>
          <w:rFonts w:ascii="Arial" w:hAnsi="Arial" w:cs="Arial"/>
        </w:rPr>
        <w:t>.</w:t>
      </w:r>
    </w:p>
    <w:p w14:paraId="7DEB1E08" w14:textId="77777777" w:rsidR="00B01FCD" w:rsidRPr="00F15B51" w:rsidRDefault="00B01FCD" w:rsidP="00441B6F">
      <w:pPr>
        <w:pStyle w:val="AbstHead"/>
        <w:spacing w:after="0"/>
        <w:jc w:val="both"/>
        <w:rPr>
          <w:rFonts w:ascii="Arial" w:hAnsi="Arial" w:cs="Arial"/>
        </w:rPr>
      </w:pPr>
      <w:r w:rsidRPr="00F15B51">
        <w:rPr>
          <w:rFonts w:ascii="Arial" w:hAnsi="Arial" w:cs="Arial"/>
        </w:rPr>
        <w:t>ABSTRACT</w:t>
      </w:r>
    </w:p>
    <w:p w14:paraId="3FEC0B2C" w14:textId="77777777" w:rsidR="00790ADA" w:rsidRPr="00F15B5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15B51" w14:paraId="13A3BCEF" w14:textId="77777777" w:rsidTr="001E44FE">
        <w:tc>
          <w:tcPr>
            <w:tcW w:w="9576" w:type="dxa"/>
            <w:shd w:val="clear" w:color="auto" w:fill="F2F2F2"/>
          </w:tcPr>
          <w:p w14:paraId="5D7570F9" w14:textId="77777777" w:rsidR="00EE7CC2" w:rsidRPr="00F15B51" w:rsidRDefault="00EE7CC2" w:rsidP="00B10F31">
            <w:pPr>
              <w:pBdr>
                <w:top w:val="nil"/>
                <w:left w:val="nil"/>
                <w:bottom w:val="nil"/>
                <w:right w:val="nil"/>
                <w:between w:val="nil"/>
              </w:pBdr>
              <w:jc w:val="both"/>
              <w:rPr>
                <w:rFonts w:ascii="Arial" w:eastAsia="Arial" w:hAnsi="Arial" w:cs="Arial"/>
                <w:b/>
                <w:color w:val="000000"/>
              </w:rPr>
            </w:pPr>
          </w:p>
          <w:p w14:paraId="7D7BE010" w14:textId="77777777" w:rsidR="009A37EA" w:rsidRPr="00F15B51" w:rsidRDefault="009A37EA" w:rsidP="00B10F3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Background:</w:t>
            </w:r>
            <w:r w:rsidR="00D97C9E" w:rsidRPr="00F15B51">
              <w:t xml:space="preserve"> </w:t>
            </w:r>
            <w:r w:rsidR="0011456A" w:rsidRPr="00F15B51">
              <w:rPr>
                <w:rFonts w:ascii="Arial" w:eastAsia="Arial" w:hAnsi="Arial" w:cs="Arial"/>
                <w:color w:val="000000"/>
              </w:rPr>
              <w:t>Laparoscopic cholecystectomy is one of the most frequently performed surgical procedures worldwide. However, clinical and surgical factors can create technically challenging conditions for its execution, resulting in morbidity, mortality, and excessive use of resources.</w:t>
            </w:r>
          </w:p>
          <w:p w14:paraId="144FBD53" w14:textId="77777777" w:rsidR="0011456A" w:rsidRPr="00F15B51" w:rsidRDefault="009A37EA" w:rsidP="00B10F3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Aim</w:t>
            </w:r>
            <w:r w:rsidR="00B10F31" w:rsidRPr="00F15B51">
              <w:rPr>
                <w:rFonts w:ascii="Arial" w:eastAsia="Arial" w:hAnsi="Arial" w:cs="Arial"/>
                <w:b/>
                <w:color w:val="000000"/>
              </w:rPr>
              <w:t xml:space="preserve">: </w:t>
            </w:r>
            <w:r w:rsidR="00D97C9E" w:rsidRPr="00F15B51">
              <w:rPr>
                <w:rFonts w:ascii="Arial" w:eastAsia="Arial" w:hAnsi="Arial" w:cs="Arial"/>
                <w:color w:val="000000"/>
              </w:rPr>
              <w:t xml:space="preserve">To </w:t>
            </w:r>
            <w:r w:rsidR="00220DDC" w:rsidRPr="00F15B51">
              <w:rPr>
                <w:rFonts w:ascii="Arial" w:eastAsia="Arial" w:hAnsi="Arial" w:cs="Arial"/>
                <w:color w:val="000000"/>
              </w:rPr>
              <w:t xml:space="preserve">know </w:t>
            </w:r>
            <w:r w:rsidR="00D97C9E" w:rsidRPr="00F15B51">
              <w:rPr>
                <w:rFonts w:ascii="Arial" w:eastAsia="Arial" w:hAnsi="Arial" w:cs="Arial"/>
                <w:color w:val="000000"/>
              </w:rPr>
              <w:t>the</w:t>
            </w:r>
            <w:r w:rsidR="0011456A" w:rsidRPr="00F15B51">
              <w:rPr>
                <w:rFonts w:ascii="Arial" w:eastAsia="Arial" w:hAnsi="Arial" w:cs="Arial"/>
                <w:color w:val="000000"/>
              </w:rPr>
              <w:t xml:space="preserve"> clinical and surgical profile of patients undergoing laparoscopic cholecystectomy in the Northern Region of Mexico. </w:t>
            </w:r>
          </w:p>
          <w:p w14:paraId="68E8AED2" w14:textId="77777777" w:rsidR="007401EA" w:rsidRDefault="009A37EA" w:rsidP="0011456A">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Methods</w:t>
            </w:r>
            <w:r w:rsidR="00B10F31" w:rsidRPr="00F15B51">
              <w:rPr>
                <w:rFonts w:ascii="Arial" w:eastAsia="Arial" w:hAnsi="Arial" w:cs="Arial"/>
                <w:b/>
                <w:color w:val="000000"/>
              </w:rPr>
              <w:t>:</w:t>
            </w:r>
            <w:r w:rsidR="00B10F31" w:rsidRPr="00F15B51">
              <w:rPr>
                <w:rFonts w:ascii="Arial" w:eastAsia="Arial" w:hAnsi="Arial" w:cs="Arial"/>
                <w:color w:val="000000"/>
              </w:rPr>
              <w:t xml:space="preserve"> </w:t>
            </w:r>
            <w:r w:rsidR="007401EA" w:rsidRPr="001736A9">
              <w:rPr>
                <w:rFonts w:ascii="Arial" w:eastAsia="Arial" w:hAnsi="Arial" w:cs="Arial"/>
                <w:color w:val="000000"/>
                <w:highlight w:val="yellow"/>
              </w:rPr>
              <w:t>This retrospective and descriptive study included patients enrolled in the general surgery service who underwent laparoscopic cholecystectomy between January and April 2022 at a secondary-level public hospital in the Northern Region of Mexico. All medical records of patients of both sexes and over 18 years of age were included. Those in which serious complications were recorded during the procedure were excluded. To collect demographic, clinical, hematological, biochemical, surgical and radiological data. Descriptive statistics were applied using the Statistical Package for the Social Sciences (SPSS) version 25.</w:t>
            </w:r>
          </w:p>
          <w:p w14:paraId="0FB92FA3" w14:textId="02D0C555" w:rsidR="00C71111" w:rsidRDefault="00B10F31" w:rsidP="00C7111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Results:</w:t>
            </w:r>
            <w:r w:rsidRPr="00F15B51">
              <w:rPr>
                <w:rFonts w:ascii="Arial" w:eastAsia="Arial" w:hAnsi="Arial" w:cs="Arial"/>
                <w:color w:val="000000"/>
              </w:rPr>
              <w:t xml:space="preserve"> </w:t>
            </w:r>
            <w:r w:rsidR="00C71111" w:rsidRPr="004422D5">
              <w:rPr>
                <w:rFonts w:ascii="Arial" w:eastAsia="Arial" w:hAnsi="Arial" w:cs="Arial"/>
                <w:color w:val="000000"/>
                <w:highlight w:val="yellow"/>
              </w:rPr>
              <w:t xml:space="preserve">We reviewed 313 medical records. 75.4 % were women. The mean age was 53.7 ± 15.2 years. 56.5 % were overweight. 41.9 % underwent emergency surgery. </w:t>
            </w:r>
            <w:r w:rsidR="004422D5" w:rsidRPr="004422D5">
              <w:rPr>
                <w:rFonts w:ascii="Arial" w:eastAsia="Arial" w:hAnsi="Arial" w:cs="Arial"/>
                <w:color w:val="000000"/>
                <w:highlight w:val="yellow"/>
              </w:rPr>
              <w:t>26.2</w:t>
            </w:r>
            <w:r w:rsidR="004422D5">
              <w:rPr>
                <w:rFonts w:ascii="Arial" w:eastAsia="Arial" w:hAnsi="Arial" w:cs="Arial"/>
                <w:color w:val="000000"/>
                <w:highlight w:val="yellow"/>
              </w:rPr>
              <w:t xml:space="preserve"> </w:t>
            </w:r>
            <w:r w:rsidR="004422D5" w:rsidRPr="004422D5">
              <w:rPr>
                <w:rFonts w:ascii="Arial" w:eastAsia="Arial" w:hAnsi="Arial" w:cs="Arial"/>
                <w:color w:val="000000"/>
                <w:highlight w:val="yellow"/>
              </w:rPr>
              <w:t>% recorded technically difficult laparoscopic cholecystectomy</w:t>
            </w:r>
            <w:r w:rsidR="00C71111" w:rsidRPr="004422D5">
              <w:rPr>
                <w:rFonts w:ascii="Arial" w:eastAsia="Arial" w:hAnsi="Arial" w:cs="Arial"/>
                <w:color w:val="000000"/>
                <w:highlight w:val="yellow"/>
              </w:rPr>
              <w:t>. The most frequent findings among patients were: jaundice (42.2</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leukocytosis (55.3</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hyperbilirubinemia (49.5</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gallstones larger than 10 mm (48.6</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gallbladder wall thickness ≥ 4 mm (58.1</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 and hypervascularity on Doppler ultrasound (58.8</w:t>
            </w:r>
            <w:r w:rsidR="004422D5" w:rsidRPr="004422D5">
              <w:rPr>
                <w:rFonts w:ascii="Arial" w:eastAsia="Arial" w:hAnsi="Arial" w:cs="Arial"/>
                <w:color w:val="000000"/>
                <w:highlight w:val="yellow"/>
              </w:rPr>
              <w:t xml:space="preserve"> </w:t>
            </w:r>
            <w:r w:rsidR="00C71111" w:rsidRPr="004422D5">
              <w:rPr>
                <w:rFonts w:ascii="Arial" w:eastAsia="Arial" w:hAnsi="Arial" w:cs="Arial"/>
                <w:color w:val="000000"/>
                <w:highlight w:val="yellow"/>
              </w:rPr>
              <w:t>%).</w:t>
            </w:r>
          </w:p>
          <w:p w14:paraId="730B4D5C" w14:textId="0B9FFD63" w:rsidR="00DE3C22" w:rsidRPr="00F15B51" w:rsidRDefault="00B10F31" w:rsidP="00C71111">
            <w:pPr>
              <w:pBdr>
                <w:top w:val="nil"/>
                <w:left w:val="nil"/>
                <w:bottom w:val="nil"/>
                <w:right w:val="nil"/>
                <w:between w:val="nil"/>
              </w:pBdr>
              <w:jc w:val="both"/>
              <w:rPr>
                <w:rFonts w:ascii="Arial" w:eastAsia="Arial" w:hAnsi="Arial" w:cs="Arial"/>
                <w:color w:val="000000"/>
              </w:rPr>
            </w:pPr>
            <w:r w:rsidRPr="00F15B51">
              <w:rPr>
                <w:rFonts w:ascii="Arial" w:eastAsia="Arial" w:hAnsi="Arial" w:cs="Arial"/>
                <w:b/>
                <w:color w:val="000000"/>
              </w:rPr>
              <w:t>Conclusion:</w:t>
            </w:r>
            <w:r w:rsidRPr="00F15B51">
              <w:rPr>
                <w:rFonts w:ascii="Arial" w:eastAsia="Arial" w:hAnsi="Arial" w:cs="Arial"/>
                <w:color w:val="000000"/>
              </w:rPr>
              <w:t xml:space="preserve"> </w:t>
            </w:r>
            <w:r w:rsidR="0049576E" w:rsidRPr="0049576E">
              <w:rPr>
                <w:rFonts w:ascii="Arial" w:eastAsia="Arial" w:hAnsi="Arial" w:cs="Arial"/>
                <w:color w:val="000000"/>
                <w:highlight w:val="yellow"/>
              </w:rPr>
              <w:t>The results show that demographic and epidemiological conditions in</w:t>
            </w:r>
            <w:r w:rsidR="00A605F5">
              <w:rPr>
                <w:rFonts w:ascii="Arial" w:eastAsia="Arial" w:hAnsi="Arial" w:cs="Arial"/>
                <w:color w:val="000000"/>
                <w:highlight w:val="yellow"/>
              </w:rPr>
              <w:t xml:space="preserve"> the Region N</w:t>
            </w:r>
            <w:r w:rsidR="0049576E" w:rsidRPr="0049576E">
              <w:rPr>
                <w:rFonts w:ascii="Arial" w:eastAsia="Arial" w:hAnsi="Arial" w:cs="Arial"/>
                <w:color w:val="000000"/>
                <w:highlight w:val="yellow"/>
              </w:rPr>
              <w:t>orthern Mexico increase the risk of acute cholelithiasis. Therefore, it is important to understand the clinical and surgical factors in patients undergoing laparoscopic cholecystectomy to identify conditions that may complicate the procedure, resulting in morbidity and higher hospital costs.</w:t>
            </w:r>
          </w:p>
        </w:tc>
      </w:tr>
    </w:tbl>
    <w:p w14:paraId="0B93CFB4" w14:textId="77777777" w:rsidR="00121BBC" w:rsidRPr="00F15B51" w:rsidRDefault="00121BBC" w:rsidP="00900EE4">
      <w:pPr>
        <w:pStyle w:val="Body"/>
        <w:spacing w:after="0"/>
        <w:rPr>
          <w:rFonts w:ascii="Arial" w:hAnsi="Arial" w:cs="Arial"/>
          <w:i/>
        </w:rPr>
      </w:pPr>
    </w:p>
    <w:p w14:paraId="4093ECAE" w14:textId="77777777" w:rsidR="0001735C" w:rsidRPr="00F15B51" w:rsidRDefault="00A24E7E" w:rsidP="00900EE4">
      <w:pPr>
        <w:pStyle w:val="Body"/>
        <w:spacing w:after="0"/>
        <w:rPr>
          <w:rFonts w:ascii="Arial" w:hAnsi="Arial" w:cs="Arial"/>
          <w:i/>
        </w:rPr>
      </w:pPr>
      <w:r w:rsidRPr="00F15B51">
        <w:rPr>
          <w:rFonts w:ascii="Arial" w:hAnsi="Arial" w:cs="Arial"/>
          <w:i/>
        </w:rPr>
        <w:t>Keywords</w:t>
      </w:r>
      <w:r w:rsidR="00DE3C22" w:rsidRPr="00F15B51">
        <w:rPr>
          <w:rFonts w:ascii="Arial" w:hAnsi="Arial" w:cs="Arial"/>
          <w:i/>
        </w:rPr>
        <w:t xml:space="preserve">: biochemical markers, cholelithiasis, </w:t>
      </w:r>
      <w:r w:rsidR="0011456A" w:rsidRPr="00F15B51">
        <w:rPr>
          <w:rFonts w:ascii="Arial" w:hAnsi="Arial" w:cs="Arial"/>
          <w:i/>
        </w:rPr>
        <w:t>clinical markers, radiological markers.</w:t>
      </w:r>
    </w:p>
    <w:p w14:paraId="05EBA336" w14:textId="77777777" w:rsidR="00DE3C22" w:rsidRPr="00F15B51" w:rsidRDefault="00DE3C22" w:rsidP="00900EE4">
      <w:pPr>
        <w:pStyle w:val="Body"/>
        <w:spacing w:after="0"/>
        <w:rPr>
          <w:rFonts w:ascii="Arial" w:hAnsi="Arial" w:cs="Arial"/>
          <w:i/>
        </w:rPr>
      </w:pPr>
    </w:p>
    <w:p w14:paraId="3BE0F37C" w14:textId="77777777" w:rsidR="00977EED" w:rsidRPr="00F15B51" w:rsidRDefault="00B87E92" w:rsidP="00977EED">
      <w:pPr>
        <w:pStyle w:val="Body"/>
        <w:spacing w:after="0"/>
        <w:rPr>
          <w:rFonts w:ascii="Arial" w:hAnsi="Arial" w:cs="Arial"/>
          <w:b/>
          <w:sz w:val="22"/>
          <w:szCs w:val="22"/>
        </w:rPr>
      </w:pPr>
      <w:r w:rsidRPr="00F15B51">
        <w:rPr>
          <w:rFonts w:ascii="Arial" w:hAnsi="Arial" w:cs="Arial"/>
          <w:b/>
          <w:sz w:val="22"/>
          <w:szCs w:val="22"/>
        </w:rPr>
        <w:t>1. INTRODUCTION</w:t>
      </w:r>
    </w:p>
    <w:p w14:paraId="3FE99D9C" w14:textId="77777777" w:rsidR="00977EED" w:rsidRPr="00F15B51" w:rsidRDefault="00977EED" w:rsidP="00977EED">
      <w:pPr>
        <w:pStyle w:val="Body"/>
        <w:spacing w:after="0"/>
        <w:rPr>
          <w:rFonts w:ascii="Arial" w:eastAsia="Arial" w:hAnsi="Arial" w:cs="Arial"/>
          <w:color w:val="000000"/>
        </w:rPr>
      </w:pPr>
    </w:p>
    <w:p w14:paraId="0050410B"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Bile emulsifies fatty components contained in ingested food. The gallbladder has the function of storing and excreting it. However, due to its composition and factors such as insufficient gallbladder emptying, inadequate dietary habits, and obesity, the risk of gallstone formation increases. The most frequent are those with a cholesterol structure, which partially or completely obstruct the flow of bile (Adachi et al., 2022). Acute cholelithiasis is a common cause of right upper quadrant pain, which is generally diagnosed appropriately and treated promptly. However, the risk of complications associated with surgical intervention is constant (</w:t>
      </w:r>
      <w:proofErr w:type="spellStart"/>
      <w:r w:rsidRPr="00F15B51">
        <w:rPr>
          <w:rFonts w:ascii="Arial" w:eastAsia="Arial" w:hAnsi="Arial" w:cs="Arial"/>
          <w:color w:val="000000"/>
        </w:rPr>
        <w:t>Maddu</w:t>
      </w:r>
      <w:proofErr w:type="spellEnd"/>
      <w:r w:rsidRPr="00F15B51">
        <w:rPr>
          <w:rFonts w:ascii="Arial" w:eastAsia="Arial" w:hAnsi="Arial" w:cs="Arial"/>
          <w:color w:val="000000"/>
        </w:rPr>
        <w:t xml:space="preserve"> et al., 2021).</w:t>
      </w:r>
    </w:p>
    <w:p w14:paraId="21DBEE88"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lastRenderedPageBreak/>
        <w:t xml:space="preserve">It is estimated that the risk of cholelithiasis in the general population is 10-15%, with a mortality rate of 1 %. Associated risk factors include Black race, female sex, age ≥ 40 years, obesity, and comorbidities related to metabolic syndrome. In this regard, individuals with a high </w:t>
      </w:r>
      <w:r w:rsidR="00DA26FC" w:rsidRPr="00F15B51">
        <w:rPr>
          <w:rFonts w:ascii="Arial" w:eastAsia="Arial" w:hAnsi="Arial" w:cs="Arial"/>
          <w:color w:val="000000"/>
        </w:rPr>
        <w:t>Body Mass Index (</w:t>
      </w:r>
      <w:r w:rsidRPr="00F15B51">
        <w:rPr>
          <w:rFonts w:ascii="Arial" w:eastAsia="Arial" w:hAnsi="Arial" w:cs="Arial"/>
          <w:color w:val="000000"/>
        </w:rPr>
        <w:t>BMI</w:t>
      </w:r>
      <w:r w:rsidR="00DA26FC" w:rsidRPr="00F15B51">
        <w:rPr>
          <w:rFonts w:ascii="Arial" w:eastAsia="Arial" w:hAnsi="Arial" w:cs="Arial"/>
          <w:color w:val="000000"/>
        </w:rPr>
        <w:t>)</w:t>
      </w:r>
      <w:r w:rsidR="00AE0CAE" w:rsidRPr="00F15B51">
        <w:rPr>
          <w:rFonts w:ascii="Arial" w:eastAsia="Arial" w:hAnsi="Arial" w:cs="Arial"/>
          <w:color w:val="000000"/>
        </w:rPr>
        <w:t xml:space="preserve"> </w:t>
      </w:r>
      <w:r w:rsidRPr="00F15B51">
        <w:rPr>
          <w:rFonts w:ascii="Arial" w:eastAsia="Arial" w:hAnsi="Arial" w:cs="Arial"/>
          <w:color w:val="000000"/>
        </w:rPr>
        <w:t>exhibit greater cholesterol production, which is more pronounced in women, who have a three times greater, risk (Ahmed et al., 2022).</w:t>
      </w:r>
    </w:p>
    <w:p w14:paraId="0D5A9F58"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In Mexico, three out of four people ≥ 20 years of age are overweight or obese (SS-INSP, 2020). Similarly, a higher frequency of laparoscopic cholecystectomy has been reported in women (79 %) and in individuals with a mean age of 44.1 ± 13.2 years (Rangel et al., 2022; Díaz et al., 2020). Cholecystectomy is the surgical treatment for gallstones. It can be performed via an open or laparoscopic approach, with the latter being the most common worldwide. The conversion rate from laparoscopic cholecystectomy to an open procedure is 2-15 %; associated factors include age, emergency surgery, acute cholecystitis, peritoneal adhesions, chronic cholecystitis, and infiltration. The application of predictive tools is useful for risk stratification (</w:t>
      </w:r>
      <w:proofErr w:type="spellStart"/>
      <w:r w:rsidRPr="00F15B51">
        <w:rPr>
          <w:rFonts w:ascii="Arial" w:eastAsia="Arial" w:hAnsi="Arial" w:cs="Arial"/>
          <w:color w:val="000000"/>
        </w:rPr>
        <w:t>Warchałowski</w:t>
      </w:r>
      <w:proofErr w:type="spellEnd"/>
      <w:r w:rsidRPr="00F15B51">
        <w:rPr>
          <w:rFonts w:ascii="Arial" w:eastAsia="Arial" w:hAnsi="Arial" w:cs="Arial"/>
          <w:color w:val="000000"/>
        </w:rPr>
        <w:t xml:space="preserve"> et al., 2020).</w:t>
      </w:r>
    </w:p>
    <w:p w14:paraId="689F9CDA" w14:textId="5C364076"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The laparoscopic approach is common in outpatient settings. It is performed with CO</w:t>
      </w:r>
      <w:r w:rsidRPr="00F15B51">
        <w:rPr>
          <w:rFonts w:ascii="Arial" w:eastAsia="Arial" w:hAnsi="Arial" w:cs="Arial"/>
          <w:color w:val="000000"/>
          <w:vertAlign w:val="subscript"/>
        </w:rPr>
        <w:t>2</w:t>
      </w:r>
      <w:r w:rsidRPr="00F15B51">
        <w:rPr>
          <w:rFonts w:ascii="Arial" w:eastAsia="Arial" w:hAnsi="Arial" w:cs="Arial"/>
          <w:color w:val="000000"/>
        </w:rPr>
        <w:t xml:space="preserve"> insufflation into the abdominal cavity and abdominal incisions, registering a lower risk of infection (&lt;5 %) and postoperative pain (VAS &lt; 3) (Zhao et al., 2021). However, the presence of preoperative risk factors is associated with a higher conversion rate and intraoperative complications (Di et al., 2021). Difficult laparoscopic cholecystectomy is defined as a surgical intervention with an operative time &gt; 2 hours, the need for conversion to open surgery, significant bleeding and/or use of synthetic </w:t>
      </w:r>
      <w:proofErr w:type="spellStart"/>
      <w:r w:rsidRPr="00F15B51">
        <w:rPr>
          <w:rFonts w:ascii="Arial" w:eastAsia="Arial" w:hAnsi="Arial" w:cs="Arial"/>
          <w:color w:val="000000"/>
        </w:rPr>
        <w:t>hemostatics</w:t>
      </w:r>
      <w:proofErr w:type="spellEnd"/>
      <w:r w:rsidRPr="00F15B51">
        <w:rPr>
          <w:rFonts w:ascii="Arial" w:eastAsia="Arial" w:hAnsi="Arial" w:cs="Arial"/>
          <w:color w:val="000000"/>
        </w:rPr>
        <w:t>, vascular and/or biliary injuries, and additional operative procedures (Nassar et al., 2021). A significant association has been found between difficult laparoscopic cholecy</w:t>
      </w:r>
      <w:r w:rsidR="00DA0E26">
        <w:rPr>
          <w:rFonts w:ascii="Arial" w:eastAsia="Arial" w:hAnsi="Arial" w:cs="Arial"/>
          <w:color w:val="000000"/>
        </w:rPr>
        <w:t>stectomy and leukocyte count,</w:t>
      </w:r>
      <w:r w:rsidRPr="00F15B51">
        <w:rPr>
          <w:rFonts w:ascii="Arial" w:eastAsia="Arial" w:hAnsi="Arial" w:cs="Arial"/>
          <w:color w:val="000000"/>
        </w:rPr>
        <w:t xml:space="preserve"> fibrinogen level; irregular or absent wall, pericholecystic fluid, fat </w:t>
      </w:r>
      <w:proofErr w:type="spellStart"/>
      <w:r w:rsidRPr="00F15B51">
        <w:rPr>
          <w:rFonts w:ascii="Arial" w:eastAsia="Arial" w:hAnsi="Arial" w:cs="Arial"/>
          <w:color w:val="000000"/>
        </w:rPr>
        <w:t>hyperdensity</w:t>
      </w:r>
      <w:proofErr w:type="spellEnd"/>
      <w:r w:rsidRPr="00F15B51">
        <w:rPr>
          <w:rFonts w:ascii="Arial" w:eastAsia="Arial" w:hAnsi="Arial" w:cs="Arial"/>
          <w:color w:val="000000"/>
        </w:rPr>
        <w:t>, wall thickening &gt; 4 mm, and hydrops. Preoperative identification of a difficult laparoscopic cholecystectomy provides information for efficient surgical planning and use of technical resources (</w:t>
      </w:r>
      <w:proofErr w:type="spellStart"/>
      <w:r w:rsidRPr="00F15B51">
        <w:rPr>
          <w:rFonts w:ascii="Arial" w:eastAsia="Arial" w:hAnsi="Arial" w:cs="Arial"/>
          <w:color w:val="000000"/>
        </w:rPr>
        <w:t>Ohya</w:t>
      </w:r>
      <w:proofErr w:type="spellEnd"/>
      <w:r w:rsidRPr="00F15B51">
        <w:rPr>
          <w:rFonts w:ascii="Arial" w:eastAsia="Arial" w:hAnsi="Arial" w:cs="Arial"/>
          <w:color w:val="000000"/>
        </w:rPr>
        <w:t xml:space="preserve"> et al., 2022).</w:t>
      </w:r>
    </w:p>
    <w:p w14:paraId="4E5145A4" w14:textId="77777777" w:rsidR="00DE3C22" w:rsidRPr="00F15B51" w:rsidRDefault="00DE3C22" w:rsidP="00DE3C22">
      <w:pPr>
        <w:pStyle w:val="Body"/>
        <w:rPr>
          <w:rFonts w:ascii="Arial" w:eastAsia="Arial" w:hAnsi="Arial" w:cs="Arial"/>
          <w:color w:val="000000"/>
        </w:rPr>
      </w:pPr>
      <w:r w:rsidRPr="00F15B51">
        <w:rPr>
          <w:rFonts w:ascii="Arial" w:eastAsia="Arial" w:hAnsi="Arial" w:cs="Arial"/>
          <w:color w:val="000000"/>
        </w:rPr>
        <w:t xml:space="preserve">It is estimated that 17% of laparoscopic cholecystectomies will be technically difficult due to severe inflammation and suspected adhesions and involvement of important adjacent structures, predisposing to a higher risk of vascular and biliary injuries (Stoica et al., 2024; </w:t>
      </w:r>
      <w:proofErr w:type="spellStart"/>
      <w:r w:rsidRPr="00F15B51">
        <w:rPr>
          <w:rFonts w:ascii="Arial" w:eastAsia="Arial" w:hAnsi="Arial" w:cs="Arial"/>
          <w:color w:val="000000"/>
        </w:rPr>
        <w:t>Osailan</w:t>
      </w:r>
      <w:proofErr w:type="spellEnd"/>
      <w:r w:rsidRPr="00F15B51">
        <w:rPr>
          <w:rFonts w:ascii="Arial" w:eastAsia="Arial" w:hAnsi="Arial" w:cs="Arial"/>
          <w:color w:val="000000"/>
        </w:rPr>
        <w:t xml:space="preserve"> et al., 2023; </w:t>
      </w:r>
      <w:proofErr w:type="spellStart"/>
      <w:r w:rsidRPr="00F15B51">
        <w:rPr>
          <w:rFonts w:ascii="Arial" w:eastAsia="Arial" w:hAnsi="Arial" w:cs="Arial"/>
          <w:color w:val="000000"/>
        </w:rPr>
        <w:t>Bouassida</w:t>
      </w:r>
      <w:proofErr w:type="spellEnd"/>
      <w:r w:rsidRPr="00F15B51">
        <w:rPr>
          <w:rFonts w:ascii="Arial" w:eastAsia="Arial" w:hAnsi="Arial" w:cs="Arial"/>
          <w:color w:val="000000"/>
        </w:rPr>
        <w:t xml:space="preserve"> et al., 2020). Imaging studies (ultrasound and CT scan) and blood tests have been considered first-line predictors of complications (</w:t>
      </w:r>
      <w:proofErr w:type="spellStart"/>
      <w:r w:rsidRPr="00F15B51">
        <w:rPr>
          <w:rFonts w:ascii="Arial" w:eastAsia="Arial" w:hAnsi="Arial" w:cs="Arial"/>
          <w:color w:val="000000"/>
        </w:rPr>
        <w:t>Strohäker</w:t>
      </w:r>
      <w:proofErr w:type="spellEnd"/>
      <w:r w:rsidRPr="00F15B51">
        <w:rPr>
          <w:rFonts w:ascii="Arial" w:eastAsia="Arial" w:hAnsi="Arial" w:cs="Arial"/>
          <w:color w:val="000000"/>
        </w:rPr>
        <w:t xml:space="preserve"> et al., 2021). The Parkland scale estimates severity based on intraoperative findings (Romano et al., 2023). It comprises five grades, based on the severity of inflammation, adhesions, and fibrosis of the gallbladder, as found in the initial evaluation:</w:t>
      </w:r>
    </w:p>
    <w:p w14:paraId="1EE97461" w14:textId="77777777" w:rsidR="00DE3C22" w:rsidRPr="00F15B51" w:rsidRDefault="00DE3C22" w:rsidP="00DE3C22">
      <w:pPr>
        <w:pStyle w:val="Body"/>
        <w:ind w:firstLine="720"/>
        <w:rPr>
          <w:rFonts w:ascii="Arial" w:eastAsia="Arial" w:hAnsi="Arial" w:cs="Arial"/>
          <w:color w:val="000000"/>
        </w:rPr>
      </w:pPr>
      <w:r w:rsidRPr="00F15B51">
        <w:rPr>
          <w:rFonts w:ascii="Arial" w:eastAsia="Arial" w:hAnsi="Arial" w:cs="Arial"/>
          <w:color w:val="000000"/>
        </w:rPr>
        <w:t>Grade 1. Gallbladder of normal appearance, without adhesions</w:t>
      </w:r>
    </w:p>
    <w:p w14:paraId="7D2271DF"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t>Grade 2. Gallbladder with minimal adhesions in the neck or lower third, but without evident inflammation in the wall.</w:t>
      </w:r>
    </w:p>
    <w:p w14:paraId="2D77608A"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t xml:space="preserve">Grade 3. Distended gallbladder, or with wall edema, hyperemia, </w:t>
      </w:r>
      <w:proofErr w:type="spellStart"/>
      <w:r w:rsidRPr="00F15B51">
        <w:rPr>
          <w:rFonts w:ascii="Arial" w:eastAsia="Arial" w:hAnsi="Arial" w:cs="Arial"/>
          <w:color w:val="000000"/>
        </w:rPr>
        <w:t>perivesicular</w:t>
      </w:r>
      <w:proofErr w:type="spellEnd"/>
      <w:r w:rsidRPr="00F15B51">
        <w:rPr>
          <w:rFonts w:ascii="Arial" w:eastAsia="Arial" w:hAnsi="Arial" w:cs="Arial"/>
          <w:color w:val="000000"/>
        </w:rPr>
        <w:t xml:space="preserve"> inflammatory fluid, or adhesions in the body.</w:t>
      </w:r>
    </w:p>
    <w:p w14:paraId="57BF5098" w14:textId="77777777" w:rsidR="00DE3C22" w:rsidRPr="00F15B51" w:rsidRDefault="00DE3C22" w:rsidP="00DE3C22">
      <w:pPr>
        <w:pStyle w:val="Body"/>
        <w:ind w:left="720"/>
        <w:rPr>
          <w:rFonts w:ascii="Arial" w:eastAsia="Arial" w:hAnsi="Arial" w:cs="Arial"/>
          <w:color w:val="000000"/>
        </w:rPr>
      </w:pPr>
      <w:r w:rsidRPr="00F15B51">
        <w:rPr>
          <w:rFonts w:ascii="Arial" w:eastAsia="Arial" w:hAnsi="Arial" w:cs="Arial"/>
          <w:color w:val="000000"/>
        </w:rPr>
        <w:t>Grade 4. Gallbladder with adhesions over most of the gallbladder surface, or any grade 1</w:t>
      </w:r>
      <w:r w:rsidR="00207AD5" w:rsidRPr="00F15B51">
        <w:rPr>
          <w:rFonts w:ascii="Arial" w:eastAsia="Arial" w:hAnsi="Arial" w:cs="Arial"/>
          <w:color w:val="000000"/>
        </w:rPr>
        <w:t xml:space="preserve"> </w:t>
      </w:r>
      <w:r w:rsidRPr="00F15B51">
        <w:rPr>
          <w:rFonts w:ascii="Arial" w:eastAsia="Arial" w:hAnsi="Arial" w:cs="Arial"/>
          <w:color w:val="000000"/>
        </w:rPr>
        <w:t>-</w:t>
      </w:r>
      <w:r w:rsidR="00207AD5" w:rsidRPr="00F15B51">
        <w:rPr>
          <w:rFonts w:ascii="Arial" w:eastAsia="Arial" w:hAnsi="Arial" w:cs="Arial"/>
          <w:color w:val="000000"/>
        </w:rPr>
        <w:t xml:space="preserve"> </w:t>
      </w:r>
      <w:r w:rsidRPr="00F15B51">
        <w:rPr>
          <w:rFonts w:ascii="Arial" w:eastAsia="Arial" w:hAnsi="Arial" w:cs="Arial"/>
          <w:color w:val="000000"/>
        </w:rPr>
        <w:t>3 with abnormal liver anatomy, intrahepatic gallbladder, or Mirizzi syndrome.</w:t>
      </w:r>
    </w:p>
    <w:p w14:paraId="6183B57A" w14:textId="77777777" w:rsidR="00DE3C22" w:rsidRPr="00F15B51" w:rsidRDefault="00DE3C22" w:rsidP="00DE3C22">
      <w:pPr>
        <w:pStyle w:val="Body"/>
        <w:ind w:firstLine="720"/>
        <w:rPr>
          <w:rFonts w:ascii="Arial" w:eastAsia="Arial" w:hAnsi="Arial" w:cs="Arial"/>
          <w:color w:val="000000"/>
        </w:rPr>
      </w:pPr>
      <w:r w:rsidRPr="00F15B51">
        <w:rPr>
          <w:rFonts w:ascii="Arial" w:eastAsia="Arial" w:hAnsi="Arial" w:cs="Arial"/>
          <w:color w:val="000000"/>
        </w:rPr>
        <w:t>Grade 5. Perforate</w:t>
      </w:r>
      <w:r w:rsidR="00F15B51">
        <w:rPr>
          <w:rFonts w:ascii="Arial" w:eastAsia="Arial" w:hAnsi="Arial" w:cs="Arial"/>
          <w:color w:val="000000"/>
        </w:rPr>
        <w:t xml:space="preserve">d gallbladder </w:t>
      </w:r>
      <w:r w:rsidRPr="00F15B51">
        <w:rPr>
          <w:rFonts w:ascii="Arial" w:eastAsia="Arial" w:hAnsi="Arial" w:cs="Arial"/>
          <w:color w:val="000000"/>
        </w:rPr>
        <w:t>or with necrosis.</w:t>
      </w:r>
    </w:p>
    <w:p w14:paraId="14D5F67E" w14:textId="77777777" w:rsidR="00852FAC" w:rsidRPr="00F15B51" w:rsidRDefault="00DE3C22" w:rsidP="00207AD5">
      <w:pPr>
        <w:pStyle w:val="Body"/>
        <w:rPr>
          <w:rFonts w:ascii="Arial" w:eastAsia="Arial" w:hAnsi="Arial" w:cs="Arial"/>
          <w:color w:val="000000"/>
        </w:rPr>
      </w:pPr>
      <w:r w:rsidRPr="00F15B51">
        <w:rPr>
          <w:rFonts w:ascii="Arial" w:eastAsia="Arial" w:hAnsi="Arial" w:cs="Arial"/>
          <w:color w:val="000000"/>
        </w:rPr>
        <w:lastRenderedPageBreak/>
        <w:t>The Parkland scale allows for the determination of the initial surgical strategy intraoperatively. In addition to conducting comparisons of outcomes and reporting more reliable complication rates (Sisa et al., 2022).</w:t>
      </w:r>
      <w:r w:rsidR="00207AD5" w:rsidRPr="00F15B51">
        <w:rPr>
          <w:rFonts w:ascii="Arial" w:eastAsia="Arial" w:hAnsi="Arial" w:cs="Arial"/>
          <w:color w:val="000000"/>
        </w:rPr>
        <w:t xml:space="preserve"> </w:t>
      </w:r>
      <w:r w:rsidRPr="00F15B51">
        <w:rPr>
          <w:rFonts w:ascii="Arial" w:eastAsia="Arial" w:hAnsi="Arial" w:cs="Arial"/>
          <w:color w:val="000000"/>
        </w:rPr>
        <w:t>The epidemiological and demographic conditions in Mexico increase the risk of developing cholecystitis and, consequently, of complications in its surgical treatment. The efficient use of clinical, biochemical, and radiological resources plays an essential role in recognizing potential adverse events (Stoica et al., 2024).</w:t>
      </w:r>
    </w:p>
    <w:p w14:paraId="6F5E0C33" w14:textId="77777777" w:rsidR="007F7B32" w:rsidRPr="00F15B51" w:rsidRDefault="00902823" w:rsidP="00F37922">
      <w:pPr>
        <w:pStyle w:val="AbstHead"/>
        <w:spacing w:after="0"/>
        <w:jc w:val="both"/>
        <w:rPr>
          <w:rFonts w:ascii="Arial" w:hAnsi="Arial" w:cs="Arial"/>
        </w:rPr>
      </w:pPr>
      <w:r w:rsidRPr="00F15B51">
        <w:rPr>
          <w:rFonts w:ascii="Arial" w:hAnsi="Arial" w:cs="Arial"/>
        </w:rPr>
        <w:t xml:space="preserve">2. </w:t>
      </w:r>
      <w:r w:rsidR="00B83B36" w:rsidRPr="00F15B51">
        <w:rPr>
          <w:rFonts w:ascii="Arial" w:hAnsi="Arial" w:cs="Arial"/>
        </w:rPr>
        <w:t>METHODOLOGY</w:t>
      </w:r>
    </w:p>
    <w:p w14:paraId="0606E4DC" w14:textId="77777777" w:rsidR="00F37922" w:rsidRPr="00F15B51" w:rsidRDefault="00F37922" w:rsidP="00F37922">
      <w:pPr>
        <w:pStyle w:val="AbstHead"/>
        <w:spacing w:after="0"/>
        <w:jc w:val="both"/>
        <w:rPr>
          <w:rFonts w:ascii="Arial" w:hAnsi="Arial" w:cs="Arial"/>
          <w:sz w:val="20"/>
        </w:rPr>
      </w:pPr>
    </w:p>
    <w:p w14:paraId="1A7F8E9D" w14:textId="163512E6" w:rsidR="00771EE2" w:rsidRDefault="00D30229" w:rsidP="005407A9">
      <w:pPr>
        <w:autoSpaceDE w:val="0"/>
        <w:autoSpaceDN w:val="0"/>
        <w:adjustRightInd w:val="0"/>
        <w:jc w:val="both"/>
        <w:rPr>
          <w:rFonts w:ascii="Arial" w:eastAsia="Arial" w:hAnsi="Arial" w:cs="Arial"/>
        </w:rPr>
      </w:pPr>
      <w:r w:rsidRPr="004B3D54">
        <w:rPr>
          <w:rFonts w:ascii="Arial" w:eastAsia="Arial" w:hAnsi="Arial" w:cs="Arial"/>
          <w:highlight w:val="green"/>
        </w:rPr>
        <w:t>This retrospective and descriptive study in patients admitted to the general surgery service that underwent laparoscopic cholecystectomy between January and April 2022 at a secondary-level public hospital in Northern Mexico. All patients of both sexes over 18 years were included. Those in which serious complications were recorded during the procedure were excluded. D</w:t>
      </w:r>
      <w:r w:rsidR="00F174BF" w:rsidRPr="004B3D54">
        <w:rPr>
          <w:rFonts w:ascii="Arial" w:eastAsia="Arial" w:hAnsi="Arial" w:cs="Arial"/>
          <w:highlight w:val="green"/>
        </w:rPr>
        <w:t>emographic data [</w:t>
      </w:r>
      <w:r w:rsidR="005A4A72" w:rsidRPr="004B3D54">
        <w:rPr>
          <w:rFonts w:ascii="Arial" w:eastAsia="Arial" w:hAnsi="Arial" w:cs="Arial"/>
          <w:highlight w:val="green"/>
        </w:rPr>
        <w:t xml:space="preserve">age ≥ 18 years </w:t>
      </w:r>
      <w:r w:rsidR="00F174BF" w:rsidRPr="004B3D54">
        <w:rPr>
          <w:rFonts w:ascii="Arial" w:eastAsia="Arial" w:hAnsi="Arial" w:cs="Arial"/>
          <w:highlight w:val="green"/>
        </w:rPr>
        <w:t>(</w:t>
      </w:r>
      <w:r w:rsidR="005A4A72" w:rsidRPr="004B3D54">
        <w:rPr>
          <w:rFonts w:ascii="Arial" w:eastAsia="Arial" w:hAnsi="Arial" w:cs="Arial"/>
          <w:highlight w:val="green"/>
        </w:rPr>
        <w:t>classification</w:t>
      </w:r>
      <w:r w:rsidR="008F3AF9" w:rsidRPr="004B3D54">
        <w:rPr>
          <w:rFonts w:ascii="Arial" w:eastAsia="Arial" w:hAnsi="Arial" w:cs="Arial"/>
          <w:highlight w:val="green"/>
        </w:rPr>
        <w:t>:</w:t>
      </w:r>
      <w:r w:rsidR="005A4A72" w:rsidRPr="004B3D54">
        <w:rPr>
          <w:rFonts w:ascii="Arial" w:eastAsia="Arial" w:hAnsi="Arial" w:cs="Arial"/>
          <w:highlight w:val="green"/>
        </w:rPr>
        <w:t xml:space="preserve"> 18 - 59; 60 - 74; 75 - 84; and ≥ 85</w:t>
      </w:r>
      <w:r w:rsidR="00F174BF" w:rsidRPr="004B3D54">
        <w:rPr>
          <w:rFonts w:ascii="Arial" w:eastAsia="Arial" w:hAnsi="Arial" w:cs="Arial"/>
          <w:highlight w:val="green"/>
        </w:rPr>
        <w:t xml:space="preserve">); </w:t>
      </w:r>
      <w:r w:rsidRPr="004B3D54">
        <w:rPr>
          <w:rFonts w:ascii="Arial" w:eastAsia="Arial" w:hAnsi="Arial" w:cs="Arial"/>
          <w:highlight w:val="green"/>
        </w:rPr>
        <w:t>sex; BMI</w:t>
      </w:r>
      <w:r w:rsidR="00F174BF" w:rsidRPr="004B3D54">
        <w:rPr>
          <w:highlight w:val="green"/>
        </w:rPr>
        <w:t xml:space="preserve"> </w:t>
      </w:r>
      <w:r w:rsidR="008F3AF9" w:rsidRPr="004B3D54">
        <w:rPr>
          <w:highlight w:val="green"/>
        </w:rPr>
        <w:t xml:space="preserve">(classification: </w:t>
      </w:r>
      <w:r w:rsidR="00F174BF" w:rsidRPr="004B3D54">
        <w:rPr>
          <w:rFonts w:ascii="Arial" w:eastAsia="Arial" w:hAnsi="Arial" w:cs="Arial"/>
          <w:highlight w:val="green"/>
        </w:rPr>
        <w:t>normal weight; overweight; grade I obesity; grade II obesity; grade III obesity</w:t>
      </w:r>
      <w:r w:rsidR="008F3AF9" w:rsidRPr="004B3D54">
        <w:rPr>
          <w:rFonts w:ascii="Arial" w:eastAsia="Arial" w:hAnsi="Arial" w:cs="Arial"/>
          <w:highlight w:val="green"/>
        </w:rPr>
        <w:t>)</w:t>
      </w:r>
      <w:r w:rsidR="00F174BF" w:rsidRPr="004B3D54">
        <w:rPr>
          <w:rFonts w:ascii="Arial" w:eastAsia="Arial" w:hAnsi="Arial" w:cs="Arial"/>
          <w:highlight w:val="green"/>
        </w:rPr>
        <w:t>]</w:t>
      </w:r>
      <w:r w:rsidR="008F3AF9" w:rsidRPr="004B3D54">
        <w:rPr>
          <w:rFonts w:ascii="Arial" w:eastAsia="Arial" w:hAnsi="Arial" w:cs="Arial"/>
          <w:highlight w:val="green"/>
        </w:rPr>
        <w:t xml:space="preserve">; </w:t>
      </w:r>
      <w:r w:rsidRPr="004B3D54">
        <w:rPr>
          <w:rFonts w:ascii="Arial" w:eastAsia="Arial" w:hAnsi="Arial" w:cs="Arial"/>
          <w:highlight w:val="green"/>
        </w:rPr>
        <w:t xml:space="preserve">clinical </w:t>
      </w:r>
      <w:r w:rsidR="002F24AE" w:rsidRPr="004B3D54">
        <w:rPr>
          <w:rFonts w:ascii="Arial" w:eastAsia="Arial" w:hAnsi="Arial" w:cs="Arial"/>
          <w:highlight w:val="green"/>
        </w:rPr>
        <w:t>[</w:t>
      </w:r>
      <w:r w:rsidRPr="004B3D54">
        <w:rPr>
          <w:rFonts w:ascii="Arial" w:eastAsia="Arial" w:hAnsi="Arial" w:cs="Arial"/>
          <w:highlight w:val="green"/>
        </w:rPr>
        <w:t xml:space="preserve">body </w:t>
      </w:r>
      <w:r w:rsidR="002F24AE" w:rsidRPr="004B3D54">
        <w:rPr>
          <w:rFonts w:ascii="Arial" w:eastAsia="Arial" w:hAnsi="Arial" w:cs="Arial"/>
          <w:highlight w:val="green"/>
        </w:rPr>
        <w:t>temperature &gt; 37 °C; jaundice]</w:t>
      </w:r>
      <w:r w:rsidR="008F3AF9" w:rsidRPr="004B3D54">
        <w:rPr>
          <w:rFonts w:ascii="Arial" w:eastAsia="Arial" w:hAnsi="Arial" w:cs="Arial"/>
          <w:highlight w:val="green"/>
        </w:rPr>
        <w:t xml:space="preserve">; </w:t>
      </w:r>
      <w:r w:rsidRPr="004B3D54">
        <w:rPr>
          <w:rFonts w:ascii="Arial" w:eastAsia="Arial" w:hAnsi="Arial" w:cs="Arial"/>
          <w:highlight w:val="green"/>
        </w:rPr>
        <w:t xml:space="preserve">hematological </w:t>
      </w:r>
      <w:r w:rsidR="002F24AE" w:rsidRPr="004B3D54">
        <w:rPr>
          <w:rFonts w:ascii="Arial" w:eastAsia="Arial" w:hAnsi="Arial" w:cs="Arial"/>
          <w:highlight w:val="green"/>
        </w:rPr>
        <w:t>[</w:t>
      </w:r>
      <w:r w:rsidRPr="004B3D54">
        <w:rPr>
          <w:rFonts w:ascii="Arial" w:eastAsia="Arial" w:hAnsi="Arial" w:cs="Arial"/>
          <w:highlight w:val="green"/>
        </w:rPr>
        <w:t>leukocytosis</w:t>
      </w:r>
      <w:r w:rsidR="00EE18D4" w:rsidRPr="004B3D54">
        <w:rPr>
          <w:rFonts w:ascii="Arial" w:eastAsia="Arial" w:hAnsi="Arial" w:cs="Arial"/>
          <w:highlight w:val="green"/>
        </w:rPr>
        <w:t xml:space="preserve"> (</w:t>
      </w:r>
      <w:r w:rsidR="001A349D" w:rsidRPr="004B3D54">
        <w:rPr>
          <w:rFonts w:ascii="Arial" w:eastAsia="Arial" w:hAnsi="Arial" w:cs="Arial"/>
          <w:highlight w:val="green"/>
        </w:rPr>
        <w:t xml:space="preserve">&gt; 10 </w:t>
      </w:r>
      <w:r w:rsidR="00EE18D4" w:rsidRPr="004B3D54">
        <w:rPr>
          <w:rFonts w:ascii="Arial" w:eastAsia="Arial" w:hAnsi="Arial" w:cs="Arial"/>
          <w:highlight w:val="green"/>
        </w:rPr>
        <w:t>x 10</w:t>
      </w:r>
      <w:r w:rsidR="00EE18D4" w:rsidRPr="004B3D54">
        <w:rPr>
          <w:rFonts w:ascii="Arial" w:eastAsia="Arial" w:hAnsi="Arial" w:cs="Arial"/>
          <w:highlight w:val="green"/>
          <w:vertAlign w:val="superscript"/>
        </w:rPr>
        <w:t>3</w:t>
      </w:r>
      <w:r w:rsidR="00EE18D4" w:rsidRPr="004B3D54">
        <w:rPr>
          <w:rFonts w:ascii="Arial" w:eastAsia="Arial" w:hAnsi="Arial" w:cs="Arial"/>
          <w:highlight w:val="green"/>
        </w:rPr>
        <w:t xml:space="preserve"> mm</w:t>
      </w:r>
      <w:r w:rsidR="00EE18D4" w:rsidRPr="004B3D54">
        <w:rPr>
          <w:rFonts w:ascii="Arial" w:eastAsia="Arial" w:hAnsi="Arial" w:cs="Arial"/>
          <w:highlight w:val="green"/>
          <w:vertAlign w:val="superscript"/>
        </w:rPr>
        <w:t>3</w:t>
      </w:r>
      <w:r w:rsidR="00EE18D4" w:rsidRPr="004B3D54">
        <w:rPr>
          <w:rFonts w:ascii="Arial" w:eastAsia="Arial" w:hAnsi="Arial" w:cs="Arial"/>
          <w:highlight w:val="green"/>
        </w:rPr>
        <w:t>)</w:t>
      </w:r>
      <w:r w:rsidRPr="004B3D54">
        <w:rPr>
          <w:rFonts w:ascii="Arial" w:eastAsia="Arial" w:hAnsi="Arial" w:cs="Arial"/>
          <w:highlight w:val="green"/>
        </w:rPr>
        <w:t>; thrombocytopenia</w:t>
      </w:r>
      <w:r w:rsidR="00037EF3" w:rsidRPr="004B3D54">
        <w:rPr>
          <w:rFonts w:ascii="Arial" w:eastAsia="Arial" w:hAnsi="Arial" w:cs="Arial"/>
          <w:highlight w:val="green"/>
        </w:rPr>
        <w:t xml:space="preserve"> (platelets &lt; 150000 µL)</w:t>
      </w:r>
      <w:r w:rsidRPr="004B3D54">
        <w:rPr>
          <w:rFonts w:ascii="Arial" w:eastAsia="Arial" w:hAnsi="Arial" w:cs="Arial"/>
          <w:highlight w:val="green"/>
        </w:rPr>
        <w:t>; NLR ≥</w:t>
      </w:r>
      <w:r w:rsidR="002F24AE" w:rsidRPr="004B3D54">
        <w:rPr>
          <w:rFonts w:ascii="Arial" w:eastAsia="Arial" w:hAnsi="Arial" w:cs="Arial"/>
          <w:highlight w:val="green"/>
        </w:rPr>
        <w:t xml:space="preserve"> 6]</w:t>
      </w:r>
      <w:r w:rsidRPr="004B3D54">
        <w:rPr>
          <w:rFonts w:ascii="Arial" w:eastAsia="Arial" w:hAnsi="Arial" w:cs="Arial"/>
          <w:highlight w:val="green"/>
        </w:rPr>
        <w:t xml:space="preserve">; biochemical </w:t>
      </w:r>
      <w:r w:rsidR="002F24AE" w:rsidRPr="004B3D54">
        <w:rPr>
          <w:rFonts w:ascii="Arial" w:eastAsia="Arial" w:hAnsi="Arial" w:cs="Arial"/>
          <w:highlight w:val="green"/>
        </w:rPr>
        <w:t>[</w:t>
      </w:r>
      <w:r w:rsidRPr="004B3D54">
        <w:rPr>
          <w:rFonts w:ascii="Arial" w:eastAsia="Arial" w:hAnsi="Arial" w:cs="Arial"/>
          <w:highlight w:val="green"/>
        </w:rPr>
        <w:t>hyperbilirubinemia</w:t>
      </w:r>
      <w:r w:rsidR="001C7CA3" w:rsidRPr="004B3D54">
        <w:rPr>
          <w:rFonts w:ascii="Arial" w:eastAsia="Arial" w:hAnsi="Arial" w:cs="Arial"/>
          <w:highlight w:val="green"/>
        </w:rPr>
        <w:t xml:space="preserve"> (bilirubin in blood (total &gt; 1.2 mg/dL)</w:t>
      </w:r>
      <w:r w:rsidR="002F24AE" w:rsidRPr="004B3D54">
        <w:rPr>
          <w:rFonts w:ascii="Arial" w:eastAsia="Arial" w:hAnsi="Arial" w:cs="Arial"/>
          <w:highlight w:val="green"/>
        </w:rPr>
        <w:t>; positive C-reactive protein</w:t>
      </w:r>
      <w:r w:rsidR="00934EEF" w:rsidRPr="004B3D54">
        <w:rPr>
          <w:rFonts w:ascii="Arial" w:eastAsia="Arial" w:hAnsi="Arial" w:cs="Arial"/>
          <w:highlight w:val="green"/>
        </w:rPr>
        <w:t xml:space="preserve"> (&gt; 10 mg/dL)</w:t>
      </w:r>
      <w:r w:rsidR="002F24AE" w:rsidRPr="004B3D54">
        <w:rPr>
          <w:rFonts w:ascii="Arial" w:eastAsia="Arial" w:hAnsi="Arial" w:cs="Arial"/>
          <w:highlight w:val="green"/>
        </w:rPr>
        <w:t>]</w:t>
      </w:r>
      <w:r w:rsidR="008F3AF9" w:rsidRPr="004B3D54">
        <w:rPr>
          <w:rFonts w:ascii="Arial" w:eastAsia="Arial" w:hAnsi="Arial" w:cs="Arial"/>
          <w:highlight w:val="green"/>
        </w:rPr>
        <w:t xml:space="preserve">; </w:t>
      </w:r>
      <w:r w:rsidRPr="004B3D54">
        <w:rPr>
          <w:rFonts w:ascii="Arial" w:eastAsia="Arial" w:hAnsi="Arial" w:cs="Arial"/>
          <w:highlight w:val="green"/>
        </w:rPr>
        <w:t>surgical (type of s</w:t>
      </w:r>
      <w:r w:rsidR="002F24AE" w:rsidRPr="004B3D54">
        <w:rPr>
          <w:rFonts w:ascii="Arial" w:eastAsia="Arial" w:hAnsi="Arial" w:cs="Arial"/>
          <w:highlight w:val="green"/>
        </w:rPr>
        <w:t>urgery [urgent; elective]</w:t>
      </w:r>
      <w:r w:rsidRPr="004B3D54">
        <w:rPr>
          <w:rFonts w:ascii="Arial" w:eastAsia="Arial" w:hAnsi="Arial" w:cs="Arial"/>
          <w:highlight w:val="green"/>
        </w:rPr>
        <w:t>;</w:t>
      </w:r>
      <w:r w:rsidR="002F24AE" w:rsidRPr="004B3D54">
        <w:rPr>
          <w:rFonts w:ascii="Arial" w:eastAsia="Arial" w:hAnsi="Arial" w:cs="Arial"/>
          <w:highlight w:val="green"/>
        </w:rPr>
        <w:t xml:space="preserve"> </w:t>
      </w:r>
      <w:r w:rsidRPr="004B3D54">
        <w:rPr>
          <w:rFonts w:ascii="Arial" w:eastAsia="Arial" w:hAnsi="Arial" w:cs="Arial"/>
          <w:highlight w:val="green"/>
        </w:rPr>
        <w:t>and radiological</w:t>
      </w:r>
      <w:r w:rsidR="00246156" w:rsidRPr="004B3D54">
        <w:rPr>
          <w:rFonts w:ascii="Arial" w:eastAsia="Arial" w:hAnsi="Arial" w:cs="Arial"/>
          <w:highlight w:val="green"/>
        </w:rPr>
        <w:t xml:space="preserve"> (ultrasound) </w:t>
      </w:r>
      <w:r w:rsidR="002F24AE" w:rsidRPr="004B3D54">
        <w:rPr>
          <w:rFonts w:ascii="Arial" w:eastAsia="Arial" w:hAnsi="Arial" w:cs="Arial"/>
          <w:highlight w:val="green"/>
        </w:rPr>
        <w:t>[</w:t>
      </w:r>
      <w:r w:rsidRPr="004B3D54">
        <w:rPr>
          <w:rFonts w:ascii="Arial" w:eastAsia="Arial" w:hAnsi="Arial" w:cs="Arial"/>
          <w:highlight w:val="green"/>
        </w:rPr>
        <w:t>increased length of the major axis of the gallbladder</w:t>
      </w:r>
      <w:r w:rsidR="00246156" w:rsidRPr="004B3D54">
        <w:rPr>
          <w:rFonts w:ascii="Arial" w:eastAsia="Arial" w:hAnsi="Arial" w:cs="Arial"/>
          <w:highlight w:val="green"/>
        </w:rPr>
        <w:t xml:space="preserve"> (&gt; 10 cm)</w:t>
      </w:r>
      <w:r w:rsidRPr="004B3D54">
        <w:rPr>
          <w:rFonts w:ascii="Arial" w:eastAsia="Arial" w:hAnsi="Arial" w:cs="Arial"/>
          <w:highlight w:val="green"/>
        </w:rPr>
        <w:t>; maximum stone size ≥ 10 mm; gallbladder wall thickness ≥ 4 mm; hyperva</w:t>
      </w:r>
      <w:r w:rsidR="002F24AE" w:rsidRPr="004B3D54">
        <w:rPr>
          <w:rFonts w:ascii="Arial" w:eastAsia="Arial" w:hAnsi="Arial" w:cs="Arial"/>
          <w:highlight w:val="green"/>
        </w:rPr>
        <w:t>scularity on Doppler ultrasound]</w:t>
      </w:r>
      <w:r w:rsidR="004B3D54" w:rsidRPr="004B3D54">
        <w:rPr>
          <w:rFonts w:ascii="Arial" w:eastAsia="Arial" w:hAnsi="Arial" w:cs="Arial"/>
          <w:highlight w:val="green"/>
        </w:rPr>
        <w:t xml:space="preserve"> were collected. </w:t>
      </w:r>
      <w:r w:rsidRPr="004B3D54">
        <w:rPr>
          <w:rFonts w:ascii="Arial" w:eastAsia="Arial" w:hAnsi="Arial" w:cs="Arial"/>
          <w:highlight w:val="green"/>
        </w:rPr>
        <w:t xml:space="preserve">In addition, data related to the technical difficulty of laparoscopic cholecystectomy </w:t>
      </w:r>
      <w:r w:rsidR="002F24AE" w:rsidRPr="004B3D54">
        <w:rPr>
          <w:rFonts w:ascii="Arial" w:eastAsia="Arial" w:hAnsi="Arial" w:cs="Arial"/>
          <w:highlight w:val="green"/>
        </w:rPr>
        <w:t>[difficult; not difficult]</w:t>
      </w:r>
      <w:r w:rsidRPr="004B3D54">
        <w:rPr>
          <w:rFonts w:ascii="Arial" w:eastAsia="Arial" w:hAnsi="Arial" w:cs="Arial"/>
          <w:highlight w:val="green"/>
        </w:rPr>
        <w:t xml:space="preserve"> and the Parkland Scale </w:t>
      </w:r>
      <w:r w:rsidR="002F24AE" w:rsidRPr="004B3D54">
        <w:rPr>
          <w:rFonts w:ascii="Arial" w:eastAsia="Arial" w:hAnsi="Arial" w:cs="Arial"/>
          <w:highlight w:val="green"/>
        </w:rPr>
        <w:t>[</w:t>
      </w:r>
      <w:r w:rsidR="00246156" w:rsidRPr="004B3D54">
        <w:rPr>
          <w:rFonts w:ascii="Arial" w:eastAsia="Arial" w:hAnsi="Arial" w:cs="Arial"/>
          <w:highlight w:val="green"/>
        </w:rPr>
        <w:t xml:space="preserve">Grade </w:t>
      </w:r>
      <w:r w:rsidR="002F24AE" w:rsidRPr="004B3D54">
        <w:rPr>
          <w:rFonts w:ascii="Arial" w:eastAsia="Arial" w:hAnsi="Arial" w:cs="Arial"/>
          <w:highlight w:val="green"/>
        </w:rPr>
        <w:t xml:space="preserve">I, </w:t>
      </w:r>
      <w:r w:rsidR="00246156" w:rsidRPr="004B3D54">
        <w:rPr>
          <w:rFonts w:ascii="Arial" w:eastAsia="Arial" w:hAnsi="Arial" w:cs="Arial"/>
          <w:highlight w:val="green"/>
        </w:rPr>
        <w:t xml:space="preserve">Grade </w:t>
      </w:r>
      <w:r w:rsidR="002F24AE" w:rsidRPr="004B3D54">
        <w:rPr>
          <w:rFonts w:ascii="Arial" w:eastAsia="Arial" w:hAnsi="Arial" w:cs="Arial"/>
          <w:highlight w:val="green"/>
        </w:rPr>
        <w:t xml:space="preserve">II, </w:t>
      </w:r>
      <w:r w:rsidR="00246156" w:rsidRPr="004B3D54">
        <w:rPr>
          <w:rFonts w:ascii="Arial" w:eastAsia="Arial" w:hAnsi="Arial" w:cs="Arial"/>
          <w:highlight w:val="green"/>
        </w:rPr>
        <w:t xml:space="preserve">Grade </w:t>
      </w:r>
      <w:r w:rsidR="002F24AE" w:rsidRPr="004B3D54">
        <w:rPr>
          <w:rFonts w:ascii="Arial" w:eastAsia="Arial" w:hAnsi="Arial" w:cs="Arial"/>
          <w:highlight w:val="green"/>
        </w:rPr>
        <w:t xml:space="preserve">III, </w:t>
      </w:r>
      <w:r w:rsidR="00246156" w:rsidRPr="004B3D54">
        <w:rPr>
          <w:rFonts w:ascii="Arial" w:eastAsia="Arial" w:hAnsi="Arial" w:cs="Arial"/>
          <w:highlight w:val="green"/>
        </w:rPr>
        <w:t xml:space="preserve">Grade </w:t>
      </w:r>
      <w:r w:rsidR="002F24AE" w:rsidRPr="004B3D54">
        <w:rPr>
          <w:rFonts w:ascii="Arial" w:eastAsia="Arial" w:hAnsi="Arial" w:cs="Arial"/>
          <w:highlight w:val="green"/>
        </w:rPr>
        <w:t>IV]</w:t>
      </w:r>
      <w:r w:rsidRPr="004B3D54">
        <w:rPr>
          <w:rFonts w:ascii="Arial" w:eastAsia="Arial" w:hAnsi="Arial" w:cs="Arial"/>
          <w:highlight w:val="green"/>
        </w:rPr>
        <w:t xml:space="preserve"> were collected. Descriptive statistics</w:t>
      </w:r>
      <w:r w:rsidR="00B62432" w:rsidRPr="004B3D54">
        <w:rPr>
          <w:rFonts w:ascii="Arial" w:eastAsia="Arial" w:hAnsi="Arial" w:cs="Arial"/>
          <w:highlight w:val="green"/>
        </w:rPr>
        <w:t xml:space="preserve"> [mean, standard deviation, frequencies and percentages]</w:t>
      </w:r>
      <w:r w:rsidRPr="004B3D54">
        <w:rPr>
          <w:rFonts w:ascii="Arial" w:eastAsia="Arial" w:hAnsi="Arial" w:cs="Arial"/>
          <w:highlight w:val="green"/>
        </w:rPr>
        <w:t xml:space="preserve"> were applied using SPSS, version 25.</w:t>
      </w:r>
    </w:p>
    <w:p w14:paraId="636D665C" w14:textId="77777777" w:rsidR="00D30229" w:rsidRPr="00F15B51" w:rsidRDefault="00D30229" w:rsidP="005407A9">
      <w:pPr>
        <w:autoSpaceDE w:val="0"/>
        <w:autoSpaceDN w:val="0"/>
        <w:adjustRightInd w:val="0"/>
        <w:jc w:val="both"/>
        <w:rPr>
          <w:rFonts w:ascii="Arial" w:eastAsia="Arial" w:hAnsi="Arial" w:cs="Arial"/>
        </w:rPr>
      </w:pPr>
    </w:p>
    <w:p w14:paraId="2F62011D" w14:textId="48A787E1" w:rsidR="004475A0" w:rsidRPr="00F15B51" w:rsidRDefault="00F36734" w:rsidP="004475A0">
      <w:pPr>
        <w:pStyle w:val="ConcHead"/>
        <w:spacing w:after="0"/>
        <w:jc w:val="both"/>
        <w:rPr>
          <w:rFonts w:ascii="Arial" w:hAnsi="Arial" w:cs="Arial"/>
        </w:rPr>
      </w:pPr>
      <w:r w:rsidRPr="00F15B51">
        <w:rPr>
          <w:rFonts w:ascii="Arial" w:hAnsi="Arial" w:cs="Arial"/>
        </w:rPr>
        <w:t xml:space="preserve">3. </w:t>
      </w:r>
      <w:proofErr w:type="gramStart"/>
      <w:r w:rsidR="00B83B36" w:rsidRPr="00F15B51">
        <w:rPr>
          <w:rFonts w:ascii="Arial" w:hAnsi="Arial" w:cs="Arial"/>
        </w:rPr>
        <w:t xml:space="preserve">RESULTS </w:t>
      </w:r>
      <w:r w:rsidR="004475A0">
        <w:rPr>
          <w:rFonts w:ascii="Arial" w:hAnsi="Arial" w:cs="Arial"/>
        </w:rPr>
        <w:t xml:space="preserve"> AND</w:t>
      </w:r>
      <w:proofErr w:type="gramEnd"/>
      <w:r w:rsidR="004475A0">
        <w:rPr>
          <w:rFonts w:ascii="Arial" w:hAnsi="Arial" w:cs="Arial"/>
        </w:rPr>
        <w:t xml:space="preserve"> </w:t>
      </w:r>
      <w:r w:rsidR="004475A0" w:rsidRPr="00F15B51">
        <w:rPr>
          <w:rFonts w:ascii="Arial" w:hAnsi="Arial" w:cs="Arial"/>
        </w:rPr>
        <w:t>3DISCUSSION</w:t>
      </w:r>
    </w:p>
    <w:p w14:paraId="6E6535B6" w14:textId="50D2505E" w:rsidR="00F36734" w:rsidRPr="00F15B51" w:rsidRDefault="00F36734" w:rsidP="00F36734">
      <w:pPr>
        <w:pStyle w:val="AbstHead"/>
        <w:spacing w:after="0"/>
        <w:jc w:val="both"/>
        <w:rPr>
          <w:rFonts w:ascii="Arial" w:hAnsi="Arial" w:cs="Arial"/>
        </w:rPr>
      </w:pPr>
    </w:p>
    <w:p w14:paraId="3BCA7F4E" w14:textId="77777777" w:rsidR="00F36734" w:rsidRPr="00F15B51" w:rsidRDefault="00F36734" w:rsidP="00441B6F">
      <w:pPr>
        <w:pStyle w:val="Body"/>
        <w:spacing w:after="0"/>
        <w:rPr>
          <w:rFonts w:ascii="Arial" w:hAnsi="Arial" w:cs="Arial"/>
        </w:rPr>
      </w:pPr>
    </w:p>
    <w:p w14:paraId="40C8360F" w14:textId="149FCD26" w:rsidR="00064E98" w:rsidRPr="00031D99" w:rsidRDefault="00207AD5" w:rsidP="008C450A">
      <w:pPr>
        <w:jc w:val="both"/>
        <w:rPr>
          <w:rFonts w:ascii="Arial" w:eastAsia="Arial" w:hAnsi="Arial" w:cs="Arial"/>
          <w:color w:val="000000"/>
        </w:rPr>
      </w:pPr>
      <w:r w:rsidRPr="004B3D54">
        <w:rPr>
          <w:rFonts w:ascii="Arial" w:eastAsia="Arial" w:hAnsi="Arial" w:cs="Arial"/>
          <w:color w:val="000000"/>
          <w:highlight w:val="green"/>
        </w:rPr>
        <w:t>The clinical records evaluated were 313. Women represented 75.4</w:t>
      </w:r>
      <w:r w:rsidR="00D0596D" w:rsidRPr="004B3D54">
        <w:rPr>
          <w:rFonts w:ascii="Arial" w:eastAsia="Arial" w:hAnsi="Arial" w:cs="Arial"/>
          <w:color w:val="000000"/>
          <w:highlight w:val="green"/>
        </w:rPr>
        <w:t xml:space="preserve"> </w:t>
      </w:r>
      <w:r w:rsidRPr="004B3D54">
        <w:rPr>
          <w:rFonts w:ascii="Arial" w:eastAsia="Arial" w:hAnsi="Arial" w:cs="Arial"/>
          <w:color w:val="000000"/>
          <w:highlight w:val="green"/>
        </w:rPr>
        <w:t>% (n=236). The age was 53.7 ± 15.2 years</w:t>
      </w:r>
      <w:r w:rsidR="00B62432" w:rsidRPr="004B3D54">
        <w:rPr>
          <w:rFonts w:ascii="Arial" w:eastAsia="Arial" w:hAnsi="Arial" w:cs="Arial"/>
          <w:color w:val="000000"/>
          <w:highlight w:val="green"/>
        </w:rPr>
        <w:t xml:space="preserve"> [minimum: 29</w:t>
      </w:r>
      <w:r w:rsidR="004B3D54" w:rsidRPr="004B3D54">
        <w:rPr>
          <w:rFonts w:ascii="Arial" w:eastAsia="Arial" w:hAnsi="Arial" w:cs="Arial"/>
          <w:color w:val="000000"/>
          <w:highlight w:val="green"/>
        </w:rPr>
        <w:t>;</w:t>
      </w:r>
      <w:r w:rsidR="00B62432" w:rsidRPr="004B3D54">
        <w:rPr>
          <w:rFonts w:ascii="Arial" w:eastAsia="Arial" w:hAnsi="Arial" w:cs="Arial"/>
          <w:color w:val="000000"/>
          <w:highlight w:val="green"/>
        </w:rPr>
        <w:t xml:space="preserve"> maximum:</w:t>
      </w:r>
      <w:r w:rsidR="004B3D54" w:rsidRPr="004B3D54">
        <w:rPr>
          <w:rFonts w:ascii="Arial" w:eastAsia="Arial" w:hAnsi="Arial" w:cs="Arial"/>
          <w:color w:val="000000"/>
          <w:highlight w:val="green"/>
        </w:rPr>
        <w:t xml:space="preserve"> 92</w:t>
      </w:r>
      <w:r w:rsidR="00B62432" w:rsidRPr="004B3D54">
        <w:rPr>
          <w:rFonts w:ascii="Arial" w:eastAsia="Arial" w:hAnsi="Arial" w:cs="Arial"/>
          <w:color w:val="000000"/>
          <w:highlight w:val="green"/>
        </w:rPr>
        <w:t>]</w:t>
      </w:r>
      <w:r w:rsidRPr="004B3D54">
        <w:rPr>
          <w:rFonts w:ascii="Arial" w:eastAsia="Arial" w:hAnsi="Arial" w:cs="Arial"/>
          <w:color w:val="000000"/>
          <w:highlight w:val="green"/>
        </w:rPr>
        <w:t xml:space="preserve">. </w:t>
      </w:r>
      <w:r w:rsidR="00D0596D" w:rsidRPr="004B3D54">
        <w:rPr>
          <w:rFonts w:ascii="Arial" w:eastAsia="Arial" w:hAnsi="Arial" w:cs="Arial"/>
          <w:color w:val="000000"/>
          <w:highlight w:val="green"/>
        </w:rPr>
        <w:t xml:space="preserve">The 29 - 59 age group represented 58.1 % (n=182); 60 - 74, 31.3 % (n=98); 75 - 84, 10.2 % (n=32); and ≥ 85, 0.3 % (n=1). </w:t>
      </w:r>
      <w:r w:rsidRPr="004B3D54">
        <w:rPr>
          <w:rFonts w:ascii="Arial" w:eastAsia="Arial" w:hAnsi="Arial" w:cs="Arial"/>
          <w:color w:val="000000"/>
          <w:highlight w:val="green"/>
        </w:rPr>
        <w:t xml:space="preserve">The </w:t>
      </w:r>
      <w:r w:rsidR="00B62432" w:rsidRPr="004B3D54">
        <w:rPr>
          <w:rFonts w:ascii="Arial" w:eastAsia="Arial" w:hAnsi="Arial" w:cs="Arial"/>
          <w:color w:val="000000"/>
          <w:highlight w:val="green"/>
        </w:rPr>
        <w:t>mean</w:t>
      </w:r>
      <w:r w:rsidRPr="004B3D54">
        <w:rPr>
          <w:rFonts w:ascii="Arial" w:eastAsia="Arial" w:hAnsi="Arial" w:cs="Arial"/>
          <w:color w:val="000000"/>
          <w:highlight w:val="green"/>
        </w:rPr>
        <w:t xml:space="preserve"> BMI was 29.9 ± 4.6 kg/m</w:t>
      </w:r>
      <w:r w:rsidRPr="004B3D54">
        <w:rPr>
          <w:rFonts w:ascii="Arial" w:eastAsia="Arial" w:hAnsi="Arial" w:cs="Arial"/>
          <w:color w:val="000000"/>
          <w:highlight w:val="green"/>
          <w:vertAlign w:val="superscript"/>
        </w:rPr>
        <w:t>2</w:t>
      </w:r>
      <w:r w:rsidR="00B62432" w:rsidRPr="004B3D54">
        <w:rPr>
          <w:rFonts w:ascii="Arial" w:eastAsia="Arial" w:hAnsi="Arial" w:cs="Arial"/>
          <w:color w:val="000000"/>
          <w:highlight w:val="green"/>
        </w:rPr>
        <w:t xml:space="preserve"> [minimum:</w:t>
      </w:r>
      <w:r w:rsidR="004B3D54" w:rsidRPr="004B3D54">
        <w:rPr>
          <w:rFonts w:ascii="Arial" w:eastAsia="Arial" w:hAnsi="Arial" w:cs="Arial"/>
          <w:color w:val="000000"/>
          <w:highlight w:val="green"/>
        </w:rPr>
        <w:t xml:space="preserve"> 22.0;</w:t>
      </w:r>
      <w:r w:rsidR="00B62432" w:rsidRPr="004B3D54">
        <w:rPr>
          <w:rFonts w:ascii="Arial" w:eastAsia="Arial" w:hAnsi="Arial" w:cs="Arial"/>
          <w:color w:val="000000"/>
          <w:highlight w:val="green"/>
        </w:rPr>
        <w:t xml:space="preserve"> maximum:</w:t>
      </w:r>
      <w:r w:rsidR="004B3D54" w:rsidRPr="004B3D54">
        <w:rPr>
          <w:rFonts w:ascii="Arial" w:eastAsia="Arial" w:hAnsi="Arial" w:cs="Arial"/>
          <w:color w:val="000000"/>
          <w:highlight w:val="green"/>
        </w:rPr>
        <w:t xml:space="preserve"> 42.1</w:t>
      </w:r>
      <w:r w:rsidR="00B62432" w:rsidRPr="004B3D54">
        <w:rPr>
          <w:rFonts w:ascii="Arial" w:eastAsia="Arial" w:hAnsi="Arial" w:cs="Arial"/>
          <w:color w:val="000000"/>
          <w:highlight w:val="green"/>
        </w:rPr>
        <w:t xml:space="preserve">] </w:t>
      </w:r>
      <w:r w:rsidRPr="004B3D54">
        <w:rPr>
          <w:rFonts w:ascii="Arial" w:eastAsia="Arial" w:hAnsi="Arial" w:cs="Arial"/>
          <w:color w:val="000000"/>
          <w:highlight w:val="green"/>
        </w:rPr>
        <w:t>(Fig</w:t>
      </w:r>
      <w:r w:rsidR="00436893" w:rsidRPr="004B3D54">
        <w:rPr>
          <w:rFonts w:ascii="Arial" w:eastAsia="Arial" w:hAnsi="Arial" w:cs="Arial"/>
          <w:color w:val="000000"/>
          <w:highlight w:val="green"/>
        </w:rPr>
        <w:t>.</w:t>
      </w:r>
      <w:r w:rsidR="00031D99" w:rsidRPr="004B3D54">
        <w:rPr>
          <w:rFonts w:ascii="Arial" w:eastAsia="Arial" w:hAnsi="Arial" w:cs="Arial"/>
          <w:color w:val="000000"/>
          <w:highlight w:val="green"/>
        </w:rPr>
        <w:t xml:space="preserve"> 1). The number of patients </w:t>
      </w:r>
      <w:r w:rsidR="002937B6" w:rsidRPr="004B3D54">
        <w:rPr>
          <w:rFonts w:ascii="Arial" w:eastAsia="Arial" w:hAnsi="Arial" w:cs="Arial"/>
          <w:color w:val="000000"/>
          <w:highlight w:val="green"/>
        </w:rPr>
        <w:t>who registered normal weight were</w:t>
      </w:r>
      <w:r w:rsidR="00031D99" w:rsidRPr="004B3D54">
        <w:rPr>
          <w:rFonts w:ascii="Arial" w:eastAsia="Arial" w:hAnsi="Arial" w:cs="Arial"/>
          <w:color w:val="000000"/>
          <w:highlight w:val="green"/>
        </w:rPr>
        <w:t xml:space="preserve"> 20 (6.4 %); 177 (56.5 %) overweight; 60 (19.2 %) grade I obesity; 35 (11.2 %) grade II obesity; and 21 (6.7 %) grade III obesity (Fig. 2). The patients with some degree of obesity represented 37.1% (n=116).</w:t>
      </w:r>
    </w:p>
    <w:p w14:paraId="5BCEC779" w14:textId="77777777" w:rsidR="00064E98" w:rsidRPr="00031D99" w:rsidRDefault="00064E98" w:rsidP="008C450A">
      <w:pPr>
        <w:jc w:val="both"/>
        <w:rPr>
          <w:rFonts w:ascii="Arial" w:eastAsia="Arial" w:hAnsi="Arial" w:cs="Arial"/>
          <w:color w:val="000000"/>
        </w:rPr>
      </w:pPr>
    </w:p>
    <w:p w14:paraId="3A8A6A82" w14:textId="4472D23E" w:rsidR="00BF2088" w:rsidRPr="00F15B51" w:rsidRDefault="005F4D9D" w:rsidP="008C450A">
      <w:pPr>
        <w:jc w:val="both"/>
        <w:rPr>
          <w:rFonts w:ascii="Arial" w:eastAsia="Arial" w:hAnsi="Arial" w:cs="Arial"/>
          <w:color w:val="000000"/>
        </w:rPr>
      </w:pPr>
      <w:r w:rsidRPr="00083414">
        <w:rPr>
          <w:rFonts w:ascii="Arial" w:eastAsia="Arial" w:hAnsi="Arial" w:cs="Arial"/>
          <w:color w:val="000000"/>
          <w:highlight w:val="green"/>
        </w:rPr>
        <w:t>The e</w:t>
      </w:r>
      <w:r w:rsidR="00BF2088" w:rsidRPr="00083414">
        <w:rPr>
          <w:rFonts w:ascii="Arial" w:eastAsia="Arial" w:hAnsi="Arial" w:cs="Arial"/>
          <w:color w:val="000000"/>
          <w:highlight w:val="green"/>
        </w:rPr>
        <w:t xml:space="preserve">mergency surgeries </w:t>
      </w:r>
      <w:r w:rsidR="00083414" w:rsidRPr="00083414">
        <w:rPr>
          <w:rFonts w:ascii="Arial" w:eastAsia="Arial" w:hAnsi="Arial" w:cs="Arial"/>
          <w:color w:val="000000"/>
          <w:highlight w:val="green"/>
        </w:rPr>
        <w:t>were</w:t>
      </w:r>
      <w:r w:rsidR="00BF2088" w:rsidRPr="00083414">
        <w:rPr>
          <w:rFonts w:ascii="Arial" w:eastAsia="Arial" w:hAnsi="Arial" w:cs="Arial"/>
          <w:color w:val="000000"/>
          <w:highlight w:val="green"/>
        </w:rPr>
        <w:t xml:space="preserve"> 131 (41.9</w:t>
      </w:r>
      <w:r w:rsidR="00D07E02" w:rsidRPr="00083414">
        <w:rPr>
          <w:rFonts w:ascii="Arial" w:eastAsia="Arial" w:hAnsi="Arial" w:cs="Arial"/>
          <w:color w:val="000000"/>
          <w:highlight w:val="green"/>
        </w:rPr>
        <w:t xml:space="preserve"> </w:t>
      </w:r>
      <w:r w:rsidR="00BF2088" w:rsidRPr="00083414">
        <w:rPr>
          <w:rFonts w:ascii="Arial" w:eastAsia="Arial" w:hAnsi="Arial" w:cs="Arial"/>
          <w:color w:val="000000"/>
          <w:highlight w:val="green"/>
        </w:rPr>
        <w:t>%); and scheduled surgeries 182 (58.1</w:t>
      </w:r>
      <w:r w:rsidR="00D07E02" w:rsidRPr="00083414">
        <w:rPr>
          <w:rFonts w:ascii="Arial" w:eastAsia="Arial" w:hAnsi="Arial" w:cs="Arial"/>
          <w:color w:val="000000"/>
          <w:highlight w:val="green"/>
        </w:rPr>
        <w:t xml:space="preserve"> </w:t>
      </w:r>
      <w:r w:rsidR="00BF2088" w:rsidRPr="00083414">
        <w:rPr>
          <w:rFonts w:ascii="Arial" w:eastAsia="Arial" w:hAnsi="Arial" w:cs="Arial"/>
          <w:color w:val="000000"/>
          <w:highlight w:val="green"/>
        </w:rPr>
        <w:t xml:space="preserve">%). </w:t>
      </w:r>
      <w:r w:rsidR="00F24557" w:rsidRPr="00083414">
        <w:rPr>
          <w:rFonts w:ascii="Arial" w:eastAsia="Arial" w:hAnsi="Arial" w:cs="Arial"/>
          <w:color w:val="000000"/>
          <w:highlight w:val="green"/>
        </w:rPr>
        <w:t>The t</w:t>
      </w:r>
      <w:r w:rsidR="00BF2088" w:rsidRPr="00083414">
        <w:rPr>
          <w:rFonts w:ascii="Arial" w:eastAsia="Arial" w:hAnsi="Arial" w:cs="Arial"/>
          <w:color w:val="000000"/>
          <w:highlight w:val="green"/>
        </w:rPr>
        <w:t>echnically difficult laparoscopic cholecystectomy was recorded in 82 (26.2</w:t>
      </w:r>
      <w:r w:rsidR="00D07E02" w:rsidRPr="00083414">
        <w:rPr>
          <w:rFonts w:ascii="Arial" w:eastAsia="Arial" w:hAnsi="Arial" w:cs="Arial"/>
          <w:color w:val="000000"/>
          <w:highlight w:val="green"/>
        </w:rPr>
        <w:t xml:space="preserve"> </w:t>
      </w:r>
      <w:r w:rsidR="00BF2088" w:rsidRPr="00083414">
        <w:rPr>
          <w:rFonts w:ascii="Arial" w:eastAsia="Arial" w:hAnsi="Arial" w:cs="Arial"/>
          <w:color w:val="000000"/>
          <w:highlight w:val="green"/>
        </w:rPr>
        <w:t>%) patients; and without difficulty in 231 (73.8</w:t>
      </w:r>
      <w:r w:rsidR="00D07E02" w:rsidRPr="00083414">
        <w:rPr>
          <w:rFonts w:ascii="Arial" w:eastAsia="Arial" w:hAnsi="Arial" w:cs="Arial"/>
          <w:color w:val="000000"/>
          <w:highlight w:val="green"/>
        </w:rPr>
        <w:t xml:space="preserve"> </w:t>
      </w:r>
      <w:r w:rsidR="00CB31DB" w:rsidRPr="00083414">
        <w:rPr>
          <w:rFonts w:ascii="Arial" w:eastAsia="Arial" w:hAnsi="Arial" w:cs="Arial"/>
          <w:color w:val="000000"/>
          <w:highlight w:val="green"/>
        </w:rPr>
        <w:t>%).</w:t>
      </w:r>
      <w:r w:rsidR="00CB31DB">
        <w:rPr>
          <w:rFonts w:ascii="Arial" w:eastAsia="Arial" w:hAnsi="Arial" w:cs="Arial"/>
          <w:color w:val="000000"/>
        </w:rPr>
        <w:t xml:space="preserve"> </w:t>
      </w:r>
      <w:r w:rsidR="00917B3B" w:rsidRPr="00CB31DB">
        <w:rPr>
          <w:rFonts w:ascii="Arial" w:eastAsia="Arial" w:hAnsi="Arial" w:cs="Arial"/>
          <w:color w:val="000000"/>
          <w:highlight w:val="green"/>
        </w:rPr>
        <w:t>On the Parkland Scale, Grade I represented 23.0</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(n=72); Grade II, 36.4</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(n=114); Grade III, 14.4</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(n=45); Grade IV, 15.0</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(n=47); and Grade V, 11.2</w:t>
      </w:r>
      <w:r w:rsidR="00CB31DB" w:rsidRPr="00CB31DB">
        <w:rPr>
          <w:rFonts w:ascii="Arial" w:eastAsia="Arial" w:hAnsi="Arial" w:cs="Arial"/>
          <w:color w:val="000000"/>
          <w:highlight w:val="green"/>
        </w:rPr>
        <w:t xml:space="preserve"> </w:t>
      </w:r>
      <w:r w:rsidR="00917B3B" w:rsidRPr="00CB31DB">
        <w:rPr>
          <w:rFonts w:ascii="Arial" w:eastAsia="Arial" w:hAnsi="Arial" w:cs="Arial"/>
          <w:color w:val="000000"/>
          <w:highlight w:val="green"/>
        </w:rPr>
        <w:t>% (n=35)</w:t>
      </w:r>
      <w:r w:rsidR="00CB31DB" w:rsidRPr="00CB31DB">
        <w:rPr>
          <w:rFonts w:ascii="Arial" w:eastAsia="Arial" w:hAnsi="Arial" w:cs="Arial"/>
          <w:color w:val="000000"/>
          <w:highlight w:val="green"/>
        </w:rPr>
        <w:t xml:space="preserve"> </w:t>
      </w:r>
      <w:r w:rsidR="00BF2088" w:rsidRPr="00CB31DB">
        <w:rPr>
          <w:rFonts w:ascii="Arial" w:eastAsia="Arial" w:hAnsi="Arial" w:cs="Arial"/>
          <w:color w:val="000000"/>
          <w:highlight w:val="green"/>
        </w:rPr>
        <w:t>(Fig</w:t>
      </w:r>
      <w:r w:rsidR="00436893" w:rsidRPr="00CB31DB">
        <w:rPr>
          <w:rFonts w:ascii="Arial" w:eastAsia="Arial" w:hAnsi="Arial" w:cs="Arial"/>
          <w:color w:val="000000"/>
          <w:highlight w:val="green"/>
        </w:rPr>
        <w:t>.</w:t>
      </w:r>
      <w:r w:rsidR="00BF2088" w:rsidRPr="00CB31DB">
        <w:rPr>
          <w:rFonts w:ascii="Arial" w:eastAsia="Arial" w:hAnsi="Arial" w:cs="Arial"/>
          <w:color w:val="000000"/>
          <w:highlight w:val="green"/>
        </w:rPr>
        <w:t xml:space="preserve"> 3).</w:t>
      </w:r>
    </w:p>
    <w:p w14:paraId="6B24C229" w14:textId="77777777" w:rsidR="009235F4" w:rsidRPr="00F15B51" w:rsidRDefault="009235F4" w:rsidP="008C450A">
      <w:pPr>
        <w:jc w:val="both"/>
        <w:rPr>
          <w:rFonts w:ascii="Arial" w:eastAsia="Arial" w:hAnsi="Arial" w:cs="Arial"/>
          <w:color w:val="000000"/>
        </w:rPr>
      </w:pPr>
    </w:p>
    <w:p w14:paraId="7C397CED" w14:textId="77777777" w:rsidR="00347A90" w:rsidRPr="00F15B51" w:rsidRDefault="00207AD5" w:rsidP="00996E01">
      <w:pPr>
        <w:jc w:val="center"/>
        <w:rPr>
          <w:rFonts w:ascii="Arial" w:eastAsia="Arial" w:hAnsi="Arial" w:cs="Arial"/>
          <w:color w:val="000000"/>
        </w:rPr>
      </w:pPr>
      <w:r w:rsidRPr="00F15B51">
        <w:rPr>
          <w:noProof/>
          <w:lang w:val="es-MX" w:eastAsia="es-MX"/>
        </w:rPr>
        <w:lastRenderedPageBreak/>
        <w:drawing>
          <wp:inline distT="0" distB="0" distL="0" distR="0" wp14:anchorId="427550DA" wp14:editId="29AB8E1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7A8ECD" w14:textId="77777777" w:rsidR="00347A90" w:rsidRPr="00F15B51" w:rsidRDefault="00436893" w:rsidP="00347A90">
      <w:pPr>
        <w:jc w:val="center"/>
        <w:rPr>
          <w:rFonts w:ascii="Arial" w:eastAsia="Arial" w:hAnsi="Arial" w:cs="Arial"/>
          <w:b/>
        </w:rPr>
      </w:pPr>
      <w:r>
        <w:rPr>
          <w:rFonts w:ascii="Arial" w:eastAsia="Arial" w:hAnsi="Arial" w:cs="Arial"/>
          <w:b/>
        </w:rPr>
        <w:t xml:space="preserve">Fig. </w:t>
      </w:r>
      <w:r w:rsidR="00347A90" w:rsidRPr="00F15B51">
        <w:rPr>
          <w:rFonts w:ascii="Arial" w:eastAsia="Arial" w:hAnsi="Arial" w:cs="Arial"/>
          <w:b/>
        </w:rPr>
        <w:t xml:space="preserve">1. </w:t>
      </w:r>
      <w:r w:rsidR="00207AD5" w:rsidRPr="00F15B51">
        <w:rPr>
          <w:rFonts w:ascii="Arial" w:eastAsia="Arial" w:hAnsi="Arial" w:cs="Arial"/>
          <w:b/>
        </w:rPr>
        <w:t>Age and BMI recorded.</w:t>
      </w:r>
    </w:p>
    <w:p w14:paraId="2CC52E4F" w14:textId="77777777" w:rsidR="00347A90" w:rsidRPr="00F15B51" w:rsidRDefault="00347A90" w:rsidP="00347A90"/>
    <w:p w14:paraId="238E4C64" w14:textId="77777777" w:rsidR="00207AD5" w:rsidRPr="00F15B51" w:rsidRDefault="00207AD5" w:rsidP="00207AD5">
      <w:pPr>
        <w:suppressAutoHyphens/>
        <w:spacing w:line="360" w:lineRule="auto"/>
        <w:jc w:val="center"/>
        <w:rPr>
          <w:rFonts w:ascii="Arial" w:hAnsi="Arial" w:cs="Arial"/>
          <w:sz w:val="24"/>
          <w:szCs w:val="24"/>
        </w:rPr>
      </w:pPr>
      <w:r w:rsidRPr="00F15B51">
        <w:rPr>
          <w:noProof/>
          <w:lang w:val="es-MX" w:eastAsia="es-MX"/>
        </w:rPr>
        <w:drawing>
          <wp:inline distT="0" distB="0" distL="0" distR="0" wp14:anchorId="3575F7F8" wp14:editId="09B6BE1D">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155AF1" w14:textId="77777777" w:rsidR="00207AD5" w:rsidRPr="00F15B51" w:rsidRDefault="00436893" w:rsidP="00207AD5">
      <w:pPr>
        <w:suppressAutoHyphens/>
        <w:spacing w:line="360" w:lineRule="auto"/>
        <w:jc w:val="center"/>
        <w:rPr>
          <w:rFonts w:ascii="Arial" w:hAnsi="Arial" w:cs="Arial"/>
          <w:b/>
        </w:rPr>
      </w:pPr>
      <w:r>
        <w:rPr>
          <w:rFonts w:ascii="Arial" w:hAnsi="Arial" w:cs="Arial"/>
          <w:b/>
        </w:rPr>
        <w:t xml:space="preserve">Fig. </w:t>
      </w:r>
      <w:r w:rsidR="00207AD5" w:rsidRPr="00F15B51">
        <w:rPr>
          <w:rFonts w:ascii="Arial" w:hAnsi="Arial" w:cs="Arial"/>
          <w:b/>
        </w:rPr>
        <w:t>2. Number of patients respect to BMI.</w:t>
      </w:r>
    </w:p>
    <w:p w14:paraId="3F4E9562" w14:textId="77777777" w:rsidR="00207AD5" w:rsidRPr="00F15B51" w:rsidRDefault="00207AD5" w:rsidP="008C450A">
      <w:pPr>
        <w:jc w:val="both"/>
        <w:rPr>
          <w:rFonts w:ascii="Arial" w:eastAsia="Arial" w:hAnsi="Arial" w:cs="Arial"/>
          <w:color w:val="000000"/>
        </w:rPr>
      </w:pPr>
    </w:p>
    <w:p w14:paraId="44C5B588" w14:textId="77777777" w:rsidR="00207AD5" w:rsidRPr="00F15B51" w:rsidRDefault="00207AD5" w:rsidP="008C450A">
      <w:pPr>
        <w:jc w:val="both"/>
        <w:rPr>
          <w:rFonts w:ascii="Arial" w:eastAsia="Arial" w:hAnsi="Arial" w:cs="Arial"/>
          <w:color w:val="000000"/>
        </w:rPr>
      </w:pPr>
    </w:p>
    <w:p w14:paraId="21569805" w14:textId="77777777" w:rsidR="00BF2088" w:rsidRPr="00F15B51" w:rsidRDefault="00BF2088" w:rsidP="00BF2088">
      <w:pPr>
        <w:suppressAutoHyphens/>
        <w:spacing w:line="360" w:lineRule="auto"/>
        <w:jc w:val="center"/>
        <w:rPr>
          <w:rFonts w:ascii="Arial" w:hAnsi="Arial" w:cs="Arial"/>
          <w:sz w:val="24"/>
          <w:szCs w:val="24"/>
        </w:rPr>
      </w:pPr>
      <w:r w:rsidRPr="00F15B51">
        <w:rPr>
          <w:rFonts w:ascii="Arial" w:hAnsi="Arial" w:cs="Arial"/>
          <w:noProof/>
          <w:sz w:val="24"/>
          <w:szCs w:val="24"/>
          <w:lang w:val="es-MX" w:eastAsia="es-MX"/>
        </w:rPr>
        <w:lastRenderedPageBreak/>
        <w:drawing>
          <wp:inline distT="0" distB="0" distL="0" distR="0" wp14:anchorId="42A809EB" wp14:editId="43915CB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12B170" w14:textId="77777777" w:rsidR="00BF2088" w:rsidRPr="00F15B51" w:rsidRDefault="00436893" w:rsidP="00BF2088">
      <w:pPr>
        <w:suppressAutoHyphens/>
        <w:jc w:val="center"/>
        <w:rPr>
          <w:rFonts w:ascii="Arial" w:hAnsi="Arial" w:cs="Arial"/>
          <w:b/>
        </w:rPr>
      </w:pPr>
      <w:r>
        <w:rPr>
          <w:rFonts w:ascii="Arial" w:hAnsi="Arial" w:cs="Arial"/>
          <w:b/>
        </w:rPr>
        <w:t>Fig. 3.</w:t>
      </w:r>
      <w:r w:rsidR="007B0A8E" w:rsidRPr="00F15B51">
        <w:rPr>
          <w:rFonts w:ascii="Arial" w:hAnsi="Arial" w:cs="Arial"/>
          <w:b/>
        </w:rPr>
        <w:t xml:space="preserve"> Number of patients respect to the Parkland Scale.</w:t>
      </w:r>
    </w:p>
    <w:p w14:paraId="722DE34F" w14:textId="77777777" w:rsidR="00817F4A" w:rsidRPr="00F15B51" w:rsidRDefault="00817F4A" w:rsidP="008C450A">
      <w:pPr>
        <w:jc w:val="both"/>
        <w:rPr>
          <w:rFonts w:ascii="Arial" w:eastAsia="Arial" w:hAnsi="Arial" w:cs="Arial"/>
          <w:color w:val="000000"/>
        </w:rPr>
      </w:pPr>
    </w:p>
    <w:p w14:paraId="657654CB" w14:textId="51945F87" w:rsidR="00BF2088" w:rsidRDefault="00CB31DB" w:rsidP="007B0A8E">
      <w:pPr>
        <w:tabs>
          <w:tab w:val="left" w:pos="1080"/>
        </w:tabs>
        <w:jc w:val="both"/>
        <w:rPr>
          <w:rFonts w:ascii="Arial" w:hAnsi="Arial"/>
        </w:rPr>
      </w:pPr>
      <w:r w:rsidRPr="00616DF4">
        <w:rPr>
          <w:rFonts w:ascii="Arial" w:hAnsi="Arial"/>
          <w:highlight w:val="green"/>
        </w:rPr>
        <w:t>The</w:t>
      </w:r>
      <w:r w:rsidR="005A6C1B">
        <w:rPr>
          <w:rFonts w:ascii="Arial" w:hAnsi="Arial"/>
          <w:highlight w:val="green"/>
        </w:rPr>
        <w:t xml:space="preserve"> clinical data were</w:t>
      </w:r>
      <w:r w:rsidR="00201A24">
        <w:rPr>
          <w:rFonts w:ascii="Arial" w:hAnsi="Arial"/>
          <w:highlight w:val="green"/>
        </w:rPr>
        <w:t xml:space="preserve"> </w:t>
      </w:r>
      <w:r w:rsidR="004B3D54" w:rsidRPr="00616DF4">
        <w:rPr>
          <w:rFonts w:ascii="Arial" w:hAnsi="Arial"/>
          <w:highlight w:val="green"/>
        </w:rPr>
        <w:t xml:space="preserve">body temperature &gt; 37 °C </w:t>
      </w:r>
      <w:r w:rsidRPr="00616DF4">
        <w:rPr>
          <w:rFonts w:ascii="Arial" w:hAnsi="Arial"/>
          <w:highlight w:val="green"/>
        </w:rPr>
        <w:t>were present in 106 (33.9</w:t>
      </w:r>
      <w:r w:rsidR="007C1D08" w:rsidRPr="00616DF4">
        <w:rPr>
          <w:rFonts w:ascii="Arial" w:hAnsi="Arial"/>
          <w:highlight w:val="green"/>
        </w:rPr>
        <w:t xml:space="preserve"> </w:t>
      </w:r>
      <w:r w:rsidRPr="00616DF4">
        <w:rPr>
          <w:rFonts w:ascii="Arial" w:hAnsi="Arial"/>
          <w:highlight w:val="green"/>
        </w:rPr>
        <w:t>%) patients;</w:t>
      </w:r>
      <w:r w:rsidR="00201A24">
        <w:rPr>
          <w:rFonts w:ascii="Arial" w:hAnsi="Arial"/>
          <w:highlight w:val="green"/>
        </w:rPr>
        <w:t xml:space="preserve"> and</w:t>
      </w:r>
      <w:r w:rsidRPr="00616DF4">
        <w:rPr>
          <w:rFonts w:ascii="Arial" w:hAnsi="Arial"/>
          <w:highlight w:val="green"/>
        </w:rPr>
        <w:t xml:space="preserve"> jaundice in 132 (42.2</w:t>
      </w:r>
      <w:r w:rsidR="007C1D08" w:rsidRPr="00616DF4">
        <w:rPr>
          <w:rFonts w:ascii="Arial" w:hAnsi="Arial"/>
          <w:highlight w:val="green"/>
        </w:rPr>
        <w:t xml:space="preserve"> </w:t>
      </w:r>
      <w:r w:rsidR="00201A24">
        <w:rPr>
          <w:rFonts w:ascii="Arial" w:hAnsi="Arial"/>
          <w:highlight w:val="green"/>
        </w:rPr>
        <w:t>%)</w:t>
      </w:r>
      <w:r w:rsidR="005A6C1B">
        <w:rPr>
          <w:rFonts w:ascii="Arial" w:hAnsi="Arial"/>
          <w:highlight w:val="green"/>
        </w:rPr>
        <w:t xml:space="preserve">. </w:t>
      </w:r>
      <w:r w:rsidR="00201A24">
        <w:rPr>
          <w:rFonts w:ascii="Arial" w:hAnsi="Arial"/>
          <w:highlight w:val="green"/>
        </w:rPr>
        <w:t xml:space="preserve">The hematological </w:t>
      </w:r>
      <w:r w:rsidR="005A6C1B">
        <w:rPr>
          <w:rFonts w:ascii="Arial" w:hAnsi="Arial"/>
          <w:highlight w:val="green"/>
        </w:rPr>
        <w:t>data indicated</w:t>
      </w:r>
      <w:r w:rsidR="00201A24">
        <w:rPr>
          <w:rFonts w:ascii="Arial" w:hAnsi="Arial"/>
          <w:highlight w:val="green"/>
        </w:rPr>
        <w:t xml:space="preserve"> </w:t>
      </w:r>
      <w:r w:rsidRPr="00616DF4">
        <w:rPr>
          <w:rFonts w:ascii="Arial" w:hAnsi="Arial"/>
          <w:highlight w:val="green"/>
        </w:rPr>
        <w:t>leukocytosis</w:t>
      </w:r>
      <w:r w:rsidR="00616DF4" w:rsidRPr="00616DF4">
        <w:rPr>
          <w:rFonts w:ascii="Arial" w:hAnsi="Arial"/>
          <w:highlight w:val="green"/>
        </w:rPr>
        <w:t xml:space="preserve"> </w:t>
      </w:r>
      <w:r w:rsidRPr="00616DF4">
        <w:rPr>
          <w:rFonts w:ascii="Arial" w:hAnsi="Arial"/>
          <w:highlight w:val="green"/>
        </w:rPr>
        <w:t>in 173 (55.3</w:t>
      </w:r>
      <w:r w:rsidR="007C1D08" w:rsidRPr="00616DF4">
        <w:rPr>
          <w:rFonts w:ascii="Arial" w:hAnsi="Arial"/>
          <w:highlight w:val="green"/>
        </w:rPr>
        <w:t xml:space="preserve"> </w:t>
      </w:r>
      <w:r w:rsidRPr="00616DF4">
        <w:rPr>
          <w:rFonts w:ascii="Arial" w:hAnsi="Arial"/>
          <w:highlight w:val="green"/>
        </w:rPr>
        <w:t>%); thrombocytopenia in 60 (19.2</w:t>
      </w:r>
      <w:r w:rsidR="007C1D08" w:rsidRPr="00616DF4">
        <w:rPr>
          <w:rFonts w:ascii="Arial" w:hAnsi="Arial"/>
          <w:highlight w:val="green"/>
        </w:rPr>
        <w:t xml:space="preserve"> </w:t>
      </w:r>
      <w:r w:rsidRPr="00616DF4">
        <w:rPr>
          <w:rFonts w:ascii="Arial" w:hAnsi="Arial"/>
          <w:highlight w:val="green"/>
        </w:rPr>
        <w:t>%); NLR ≥ 6 in 49 (15.7</w:t>
      </w:r>
      <w:r w:rsidR="007C1D08" w:rsidRPr="00616DF4">
        <w:rPr>
          <w:rFonts w:ascii="Arial" w:hAnsi="Arial"/>
          <w:highlight w:val="green"/>
        </w:rPr>
        <w:t xml:space="preserve"> </w:t>
      </w:r>
      <w:r w:rsidRPr="00616DF4">
        <w:rPr>
          <w:rFonts w:ascii="Arial" w:hAnsi="Arial"/>
          <w:highlight w:val="green"/>
        </w:rPr>
        <w:t>%); hyperbilirubinemia in 155 (49.5</w:t>
      </w:r>
      <w:r w:rsidR="007C1D08" w:rsidRPr="00616DF4">
        <w:rPr>
          <w:rFonts w:ascii="Arial" w:hAnsi="Arial"/>
          <w:highlight w:val="green"/>
        </w:rPr>
        <w:t xml:space="preserve"> </w:t>
      </w:r>
      <w:r w:rsidRPr="00616DF4">
        <w:rPr>
          <w:rFonts w:ascii="Arial" w:hAnsi="Arial"/>
          <w:highlight w:val="green"/>
        </w:rPr>
        <w:t>%);</w:t>
      </w:r>
      <w:r w:rsidR="005A6C1B">
        <w:rPr>
          <w:rFonts w:ascii="Arial" w:hAnsi="Arial"/>
          <w:highlight w:val="green"/>
        </w:rPr>
        <w:t xml:space="preserve"> and</w:t>
      </w:r>
      <w:r w:rsidRPr="00616DF4">
        <w:rPr>
          <w:rFonts w:ascii="Arial" w:hAnsi="Arial"/>
          <w:highlight w:val="green"/>
        </w:rPr>
        <w:t xml:space="preserve"> positive C-reactive protein in 39 (12.5</w:t>
      </w:r>
      <w:r w:rsidR="007C1D08" w:rsidRPr="00616DF4">
        <w:rPr>
          <w:rFonts w:ascii="Arial" w:hAnsi="Arial"/>
          <w:highlight w:val="green"/>
        </w:rPr>
        <w:t xml:space="preserve"> </w:t>
      </w:r>
      <w:r w:rsidR="005A6C1B">
        <w:rPr>
          <w:rFonts w:ascii="Arial" w:hAnsi="Arial"/>
          <w:highlight w:val="green"/>
        </w:rPr>
        <w:t xml:space="preserve">%). The radiological dated showed </w:t>
      </w:r>
      <w:r w:rsidRPr="00616DF4">
        <w:rPr>
          <w:rFonts w:ascii="Arial" w:hAnsi="Arial"/>
          <w:highlight w:val="green"/>
        </w:rPr>
        <w:t>increased length of the major axis of the gallbladder</w:t>
      </w:r>
      <w:r w:rsidR="007E31FF">
        <w:rPr>
          <w:rFonts w:ascii="Arial" w:hAnsi="Arial"/>
          <w:highlight w:val="green"/>
        </w:rPr>
        <w:t xml:space="preserve"> </w:t>
      </w:r>
      <w:r w:rsidR="007E31FF" w:rsidRPr="004B3D54">
        <w:rPr>
          <w:rFonts w:ascii="Arial" w:eastAsia="Arial" w:hAnsi="Arial" w:cs="Arial"/>
          <w:highlight w:val="green"/>
        </w:rPr>
        <w:t>&gt; 10 cm</w:t>
      </w:r>
      <w:r w:rsidRPr="00616DF4">
        <w:rPr>
          <w:rFonts w:ascii="Arial" w:hAnsi="Arial"/>
          <w:highlight w:val="green"/>
        </w:rPr>
        <w:t xml:space="preserve"> in 72 (23.0</w:t>
      </w:r>
      <w:r w:rsidR="007C1D08" w:rsidRPr="00616DF4">
        <w:rPr>
          <w:rFonts w:ascii="Arial" w:hAnsi="Arial"/>
          <w:highlight w:val="green"/>
        </w:rPr>
        <w:t xml:space="preserve"> </w:t>
      </w:r>
      <w:r w:rsidRPr="00616DF4">
        <w:rPr>
          <w:rFonts w:ascii="Arial" w:hAnsi="Arial"/>
          <w:highlight w:val="green"/>
        </w:rPr>
        <w:t>%); maximum stone size ≥ 10 mm in 152 (48.6</w:t>
      </w:r>
      <w:r w:rsidR="007C1D08" w:rsidRPr="00616DF4">
        <w:rPr>
          <w:rFonts w:ascii="Arial" w:hAnsi="Arial"/>
          <w:highlight w:val="green"/>
        </w:rPr>
        <w:t xml:space="preserve"> </w:t>
      </w:r>
      <w:r w:rsidRPr="00616DF4">
        <w:rPr>
          <w:rFonts w:ascii="Arial" w:hAnsi="Arial"/>
          <w:highlight w:val="green"/>
        </w:rPr>
        <w:t>%); gallbladder wall thickness ≥ 4</w:t>
      </w:r>
      <w:r w:rsidR="00616DF4">
        <w:rPr>
          <w:rFonts w:ascii="Arial" w:hAnsi="Arial"/>
          <w:highlight w:val="green"/>
        </w:rPr>
        <w:t xml:space="preserve"> mm</w:t>
      </w:r>
      <w:r w:rsidRPr="00616DF4">
        <w:rPr>
          <w:rFonts w:ascii="Arial" w:hAnsi="Arial"/>
          <w:highlight w:val="green"/>
        </w:rPr>
        <w:t xml:space="preserve"> in 182 (58.1</w:t>
      </w:r>
      <w:r w:rsidR="007C1D08" w:rsidRPr="00616DF4">
        <w:rPr>
          <w:rFonts w:ascii="Arial" w:hAnsi="Arial"/>
          <w:highlight w:val="green"/>
        </w:rPr>
        <w:t xml:space="preserve"> </w:t>
      </w:r>
      <w:r w:rsidRPr="00616DF4">
        <w:rPr>
          <w:rFonts w:ascii="Arial" w:hAnsi="Arial"/>
          <w:highlight w:val="green"/>
        </w:rPr>
        <w:t>%); and hypervascularity on Doppler function in 184 (58.8</w:t>
      </w:r>
      <w:r w:rsidR="007C1D08" w:rsidRPr="00616DF4">
        <w:rPr>
          <w:rFonts w:ascii="Arial" w:hAnsi="Arial"/>
          <w:highlight w:val="green"/>
        </w:rPr>
        <w:t xml:space="preserve"> </w:t>
      </w:r>
      <w:r w:rsidRPr="00616DF4">
        <w:rPr>
          <w:rFonts w:ascii="Arial" w:hAnsi="Arial"/>
          <w:highlight w:val="green"/>
        </w:rPr>
        <w:t xml:space="preserve">%) </w:t>
      </w:r>
      <w:r w:rsidR="007B0A8E" w:rsidRPr="00616DF4">
        <w:rPr>
          <w:rFonts w:ascii="Arial" w:hAnsi="Arial"/>
          <w:highlight w:val="green"/>
        </w:rPr>
        <w:t>(Table 1).</w:t>
      </w:r>
    </w:p>
    <w:p w14:paraId="77C33095" w14:textId="77777777" w:rsidR="00660EE4" w:rsidRPr="00F15B51" w:rsidRDefault="00660EE4" w:rsidP="007B0A8E">
      <w:pPr>
        <w:tabs>
          <w:tab w:val="left" w:pos="1080"/>
        </w:tabs>
        <w:jc w:val="both"/>
        <w:rPr>
          <w:rFonts w:ascii="Arial" w:hAnsi="Arial"/>
        </w:rPr>
      </w:pPr>
    </w:p>
    <w:p w14:paraId="079FDCC5" w14:textId="77777777" w:rsidR="007B0A8E" w:rsidRPr="00F15B51" w:rsidRDefault="007B0A8E" w:rsidP="007B0A8E">
      <w:pPr>
        <w:tabs>
          <w:tab w:val="left" w:pos="1080"/>
        </w:tabs>
        <w:jc w:val="both"/>
        <w:rPr>
          <w:rFonts w:ascii="Arial" w:hAnsi="Arial"/>
        </w:rPr>
      </w:pPr>
    </w:p>
    <w:p w14:paraId="1AE5300F" w14:textId="77777777" w:rsidR="002850C3" w:rsidRPr="00F15B51" w:rsidRDefault="002850C3" w:rsidP="002850C3">
      <w:pPr>
        <w:tabs>
          <w:tab w:val="left" w:pos="1080"/>
        </w:tabs>
        <w:jc w:val="center"/>
        <w:rPr>
          <w:rFonts w:ascii="Arial" w:hAnsi="Arial"/>
          <w:b/>
        </w:rPr>
      </w:pPr>
      <w:r w:rsidRPr="00F15B51">
        <w:rPr>
          <w:rFonts w:ascii="Arial" w:hAnsi="Arial"/>
          <w:b/>
        </w:rPr>
        <w:t xml:space="preserve">Table 1. </w:t>
      </w:r>
      <w:r w:rsidR="007B0A8E" w:rsidRPr="00F15B51">
        <w:rPr>
          <w:rFonts w:ascii="Arial" w:hAnsi="Arial"/>
          <w:b/>
        </w:rPr>
        <w:t>Frequency of abnormalities in clinical data.</w:t>
      </w:r>
    </w:p>
    <w:p w14:paraId="657175A8" w14:textId="77777777" w:rsidR="00191785" w:rsidRPr="00F15B51" w:rsidRDefault="00191785" w:rsidP="002850C3">
      <w:pPr>
        <w:tabs>
          <w:tab w:val="left" w:pos="1080"/>
        </w:tabs>
        <w:jc w:val="center"/>
        <w:rPr>
          <w:rFonts w:ascii="Arial" w:hAnsi="Arial"/>
          <w:b/>
        </w:rPr>
      </w:pPr>
    </w:p>
    <w:tbl>
      <w:tblPr>
        <w:tblW w:w="6082" w:type="dxa"/>
        <w:jc w:val="center"/>
        <w:tblCellMar>
          <w:left w:w="70" w:type="dxa"/>
          <w:right w:w="70" w:type="dxa"/>
        </w:tblCellMar>
        <w:tblLook w:val="04A0" w:firstRow="1" w:lastRow="0" w:firstColumn="1" w:lastColumn="0" w:noHBand="0" w:noVBand="1"/>
      </w:tblPr>
      <w:tblGrid>
        <w:gridCol w:w="4151"/>
        <w:gridCol w:w="971"/>
        <w:gridCol w:w="960"/>
      </w:tblGrid>
      <w:tr w:rsidR="007B0A8E" w:rsidRPr="00F15B51" w14:paraId="15E5BF70" w14:textId="77777777" w:rsidTr="007B0A8E">
        <w:trPr>
          <w:trHeight w:val="300"/>
          <w:jc w:val="center"/>
        </w:trPr>
        <w:tc>
          <w:tcPr>
            <w:tcW w:w="4151" w:type="dxa"/>
            <w:tcBorders>
              <w:top w:val="single" w:sz="4" w:space="0" w:color="auto"/>
              <w:left w:val="nil"/>
              <w:bottom w:val="single" w:sz="4" w:space="0" w:color="auto"/>
              <w:right w:val="single" w:sz="4" w:space="0" w:color="auto"/>
            </w:tcBorders>
            <w:noWrap/>
            <w:vAlign w:val="bottom"/>
            <w:hideMark/>
          </w:tcPr>
          <w:p w14:paraId="4CBB8F7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Clinical data</w:t>
            </w:r>
          </w:p>
        </w:tc>
        <w:tc>
          <w:tcPr>
            <w:tcW w:w="971" w:type="dxa"/>
            <w:tcBorders>
              <w:top w:val="single" w:sz="4" w:space="0" w:color="auto"/>
              <w:left w:val="single" w:sz="4" w:space="0" w:color="auto"/>
              <w:bottom w:val="single" w:sz="4" w:space="0" w:color="auto"/>
              <w:right w:val="nil"/>
            </w:tcBorders>
            <w:vAlign w:val="bottom"/>
            <w:hideMark/>
          </w:tcPr>
          <w:p w14:paraId="527A9A9F"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n</w:t>
            </w:r>
          </w:p>
        </w:tc>
        <w:tc>
          <w:tcPr>
            <w:tcW w:w="960" w:type="dxa"/>
            <w:tcBorders>
              <w:top w:val="single" w:sz="4" w:space="0" w:color="auto"/>
              <w:left w:val="nil"/>
              <w:bottom w:val="single" w:sz="4" w:space="0" w:color="auto"/>
              <w:right w:val="nil"/>
            </w:tcBorders>
            <w:noWrap/>
            <w:vAlign w:val="bottom"/>
            <w:hideMark/>
          </w:tcPr>
          <w:p w14:paraId="448AA4EC"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w:t>
            </w:r>
          </w:p>
        </w:tc>
      </w:tr>
      <w:tr w:rsidR="007B0A8E" w:rsidRPr="00F15B51" w14:paraId="47EF5CEF" w14:textId="77777777" w:rsidTr="007B0A8E">
        <w:trPr>
          <w:trHeight w:val="300"/>
          <w:jc w:val="center"/>
        </w:trPr>
        <w:tc>
          <w:tcPr>
            <w:tcW w:w="4151" w:type="dxa"/>
            <w:tcBorders>
              <w:top w:val="single" w:sz="4" w:space="0" w:color="auto"/>
              <w:left w:val="nil"/>
              <w:bottom w:val="nil"/>
              <w:right w:val="single" w:sz="4" w:space="0" w:color="auto"/>
            </w:tcBorders>
            <w:noWrap/>
            <w:vAlign w:val="bottom"/>
            <w:hideMark/>
          </w:tcPr>
          <w:p w14:paraId="29EDED07" w14:textId="260EA288" w:rsidR="007B0A8E" w:rsidRPr="00F15B51" w:rsidRDefault="00201A24">
            <w:pPr>
              <w:rPr>
                <w:rFonts w:ascii="Arial" w:hAnsi="Arial" w:cs="Arial"/>
                <w:color w:val="000000"/>
                <w:lang w:eastAsia="es-MX"/>
              </w:rPr>
            </w:pPr>
            <w:r w:rsidRPr="00201A24">
              <w:rPr>
                <w:rFonts w:ascii="Arial" w:hAnsi="Arial" w:cs="Arial"/>
                <w:color w:val="000000"/>
                <w:highlight w:val="green"/>
                <w:lang w:eastAsia="es-MX"/>
              </w:rPr>
              <w:t>Body temperature &gt; 37 °C</w:t>
            </w:r>
          </w:p>
        </w:tc>
        <w:tc>
          <w:tcPr>
            <w:tcW w:w="971" w:type="dxa"/>
            <w:tcBorders>
              <w:top w:val="single" w:sz="4" w:space="0" w:color="auto"/>
              <w:left w:val="single" w:sz="4" w:space="0" w:color="auto"/>
              <w:bottom w:val="nil"/>
              <w:right w:val="nil"/>
            </w:tcBorders>
            <w:noWrap/>
            <w:vAlign w:val="bottom"/>
            <w:hideMark/>
          </w:tcPr>
          <w:p w14:paraId="27AAE80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106</w:t>
            </w:r>
          </w:p>
        </w:tc>
        <w:tc>
          <w:tcPr>
            <w:tcW w:w="960" w:type="dxa"/>
            <w:tcBorders>
              <w:top w:val="single" w:sz="4" w:space="0" w:color="auto"/>
              <w:left w:val="nil"/>
              <w:bottom w:val="nil"/>
              <w:right w:val="nil"/>
            </w:tcBorders>
            <w:noWrap/>
            <w:vAlign w:val="bottom"/>
            <w:hideMark/>
          </w:tcPr>
          <w:p w14:paraId="62934C9F"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33.9</w:t>
            </w:r>
          </w:p>
        </w:tc>
      </w:tr>
      <w:tr w:rsidR="007B0A8E" w:rsidRPr="00F15B51" w14:paraId="3FA568A0" w14:textId="77777777" w:rsidTr="007B0A8E">
        <w:trPr>
          <w:trHeight w:val="300"/>
          <w:jc w:val="center"/>
        </w:trPr>
        <w:tc>
          <w:tcPr>
            <w:tcW w:w="4151" w:type="dxa"/>
            <w:tcBorders>
              <w:top w:val="nil"/>
              <w:left w:val="nil"/>
              <w:bottom w:val="nil"/>
              <w:right w:val="single" w:sz="4" w:space="0" w:color="auto"/>
            </w:tcBorders>
            <w:noWrap/>
            <w:vAlign w:val="bottom"/>
            <w:hideMark/>
          </w:tcPr>
          <w:p w14:paraId="44CD094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Jaundice</w:t>
            </w:r>
          </w:p>
        </w:tc>
        <w:tc>
          <w:tcPr>
            <w:tcW w:w="971" w:type="dxa"/>
            <w:tcBorders>
              <w:top w:val="nil"/>
              <w:left w:val="single" w:sz="4" w:space="0" w:color="auto"/>
              <w:bottom w:val="nil"/>
              <w:right w:val="nil"/>
            </w:tcBorders>
            <w:noWrap/>
            <w:vAlign w:val="bottom"/>
            <w:hideMark/>
          </w:tcPr>
          <w:p w14:paraId="08E8C095"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132</w:t>
            </w:r>
          </w:p>
        </w:tc>
        <w:tc>
          <w:tcPr>
            <w:tcW w:w="960" w:type="dxa"/>
            <w:noWrap/>
            <w:vAlign w:val="bottom"/>
            <w:hideMark/>
          </w:tcPr>
          <w:p w14:paraId="6430CFEB"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42.2</w:t>
            </w:r>
          </w:p>
        </w:tc>
      </w:tr>
      <w:tr w:rsidR="007B0A8E" w:rsidRPr="00F15B51" w14:paraId="5BCB961D" w14:textId="77777777" w:rsidTr="007B0A8E">
        <w:trPr>
          <w:trHeight w:val="300"/>
          <w:jc w:val="center"/>
        </w:trPr>
        <w:tc>
          <w:tcPr>
            <w:tcW w:w="4151" w:type="dxa"/>
            <w:tcBorders>
              <w:top w:val="nil"/>
              <w:left w:val="nil"/>
              <w:bottom w:val="nil"/>
              <w:right w:val="single" w:sz="4" w:space="0" w:color="auto"/>
            </w:tcBorders>
            <w:noWrap/>
            <w:vAlign w:val="bottom"/>
            <w:hideMark/>
          </w:tcPr>
          <w:p w14:paraId="47AB9E70"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Leukocytosis</w:t>
            </w:r>
          </w:p>
        </w:tc>
        <w:tc>
          <w:tcPr>
            <w:tcW w:w="971" w:type="dxa"/>
            <w:tcBorders>
              <w:top w:val="nil"/>
              <w:left w:val="single" w:sz="4" w:space="0" w:color="auto"/>
              <w:bottom w:val="nil"/>
              <w:right w:val="nil"/>
            </w:tcBorders>
            <w:noWrap/>
            <w:vAlign w:val="bottom"/>
            <w:hideMark/>
          </w:tcPr>
          <w:p w14:paraId="1DEA0023"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173</w:t>
            </w:r>
          </w:p>
        </w:tc>
        <w:tc>
          <w:tcPr>
            <w:tcW w:w="960" w:type="dxa"/>
            <w:noWrap/>
            <w:vAlign w:val="bottom"/>
            <w:hideMark/>
          </w:tcPr>
          <w:p w14:paraId="35140333"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55.3</w:t>
            </w:r>
          </w:p>
        </w:tc>
      </w:tr>
      <w:tr w:rsidR="007B0A8E" w:rsidRPr="00F15B51" w14:paraId="67AA7C21" w14:textId="77777777" w:rsidTr="007B0A8E">
        <w:trPr>
          <w:trHeight w:val="300"/>
          <w:jc w:val="center"/>
        </w:trPr>
        <w:tc>
          <w:tcPr>
            <w:tcW w:w="4151" w:type="dxa"/>
            <w:tcBorders>
              <w:top w:val="nil"/>
              <w:left w:val="nil"/>
              <w:bottom w:val="nil"/>
              <w:right w:val="single" w:sz="4" w:space="0" w:color="auto"/>
            </w:tcBorders>
            <w:noWrap/>
            <w:vAlign w:val="bottom"/>
            <w:hideMark/>
          </w:tcPr>
          <w:p w14:paraId="2C4AC787"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Thrombocytopenia</w:t>
            </w:r>
          </w:p>
        </w:tc>
        <w:tc>
          <w:tcPr>
            <w:tcW w:w="971" w:type="dxa"/>
            <w:tcBorders>
              <w:top w:val="nil"/>
              <w:left w:val="single" w:sz="4" w:space="0" w:color="auto"/>
              <w:bottom w:val="nil"/>
              <w:right w:val="nil"/>
            </w:tcBorders>
            <w:noWrap/>
            <w:vAlign w:val="bottom"/>
            <w:hideMark/>
          </w:tcPr>
          <w:p w14:paraId="4BD55C96"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60</w:t>
            </w:r>
          </w:p>
        </w:tc>
        <w:tc>
          <w:tcPr>
            <w:tcW w:w="960" w:type="dxa"/>
            <w:noWrap/>
            <w:vAlign w:val="bottom"/>
            <w:hideMark/>
          </w:tcPr>
          <w:p w14:paraId="534DB876"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19.2</w:t>
            </w:r>
          </w:p>
        </w:tc>
      </w:tr>
      <w:tr w:rsidR="007B0A8E" w:rsidRPr="00F15B51" w14:paraId="3269FE85" w14:textId="77777777" w:rsidTr="007B0A8E">
        <w:trPr>
          <w:trHeight w:val="300"/>
          <w:jc w:val="center"/>
        </w:trPr>
        <w:tc>
          <w:tcPr>
            <w:tcW w:w="4151" w:type="dxa"/>
            <w:tcBorders>
              <w:top w:val="nil"/>
              <w:left w:val="nil"/>
              <w:bottom w:val="nil"/>
              <w:right w:val="single" w:sz="4" w:space="0" w:color="auto"/>
            </w:tcBorders>
            <w:noWrap/>
            <w:vAlign w:val="bottom"/>
            <w:hideMark/>
          </w:tcPr>
          <w:p w14:paraId="1268E218" w14:textId="392E90DC" w:rsidR="007B0A8E" w:rsidRPr="00F15B51" w:rsidRDefault="00AE0CAE">
            <w:pPr>
              <w:rPr>
                <w:rFonts w:ascii="Arial" w:hAnsi="Arial" w:cs="Arial"/>
                <w:color w:val="000000"/>
                <w:lang w:eastAsia="es-MX"/>
              </w:rPr>
            </w:pPr>
            <w:r w:rsidRPr="00F15B51">
              <w:rPr>
                <w:rFonts w:ascii="Arial" w:hAnsi="Arial" w:cs="Arial"/>
                <w:color w:val="000000"/>
                <w:lang w:eastAsia="es-MX"/>
              </w:rPr>
              <w:t>NLR</w:t>
            </w:r>
            <w:r w:rsidR="007B0A8E" w:rsidRPr="00F15B51">
              <w:rPr>
                <w:rFonts w:ascii="Arial" w:hAnsi="Arial" w:cs="Arial"/>
                <w:color w:val="000000"/>
                <w:lang w:eastAsia="es-MX"/>
              </w:rPr>
              <w:t xml:space="preserve"> ≥</w:t>
            </w:r>
            <w:r w:rsidR="007E31FF">
              <w:rPr>
                <w:rFonts w:ascii="Arial" w:hAnsi="Arial" w:cs="Arial"/>
                <w:color w:val="000000"/>
                <w:lang w:eastAsia="es-MX"/>
              </w:rPr>
              <w:t xml:space="preserve"> </w:t>
            </w:r>
            <w:r w:rsidR="007B0A8E" w:rsidRPr="00F15B51">
              <w:rPr>
                <w:rFonts w:ascii="Arial" w:hAnsi="Arial" w:cs="Arial"/>
                <w:color w:val="000000"/>
                <w:lang w:eastAsia="es-MX"/>
              </w:rPr>
              <w:t>6</w:t>
            </w:r>
          </w:p>
        </w:tc>
        <w:tc>
          <w:tcPr>
            <w:tcW w:w="971" w:type="dxa"/>
            <w:tcBorders>
              <w:top w:val="nil"/>
              <w:left w:val="single" w:sz="4" w:space="0" w:color="auto"/>
              <w:bottom w:val="nil"/>
              <w:right w:val="nil"/>
            </w:tcBorders>
            <w:noWrap/>
            <w:vAlign w:val="bottom"/>
            <w:hideMark/>
          </w:tcPr>
          <w:p w14:paraId="5CB67FF8"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49</w:t>
            </w:r>
          </w:p>
        </w:tc>
        <w:tc>
          <w:tcPr>
            <w:tcW w:w="960" w:type="dxa"/>
            <w:noWrap/>
            <w:vAlign w:val="bottom"/>
            <w:hideMark/>
          </w:tcPr>
          <w:p w14:paraId="60583159"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15.7</w:t>
            </w:r>
          </w:p>
        </w:tc>
      </w:tr>
      <w:tr w:rsidR="007B0A8E" w:rsidRPr="00F15B51" w14:paraId="4087D843" w14:textId="77777777" w:rsidTr="007B0A8E">
        <w:trPr>
          <w:trHeight w:val="300"/>
          <w:jc w:val="center"/>
        </w:trPr>
        <w:tc>
          <w:tcPr>
            <w:tcW w:w="4151" w:type="dxa"/>
            <w:tcBorders>
              <w:top w:val="nil"/>
              <w:left w:val="nil"/>
              <w:bottom w:val="nil"/>
              <w:right w:val="single" w:sz="4" w:space="0" w:color="auto"/>
            </w:tcBorders>
            <w:noWrap/>
            <w:vAlign w:val="bottom"/>
            <w:hideMark/>
          </w:tcPr>
          <w:p w14:paraId="27561055"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Hyperbilirubinemia</w:t>
            </w:r>
          </w:p>
        </w:tc>
        <w:tc>
          <w:tcPr>
            <w:tcW w:w="971" w:type="dxa"/>
            <w:tcBorders>
              <w:top w:val="nil"/>
              <w:left w:val="single" w:sz="4" w:space="0" w:color="auto"/>
              <w:bottom w:val="nil"/>
              <w:right w:val="nil"/>
            </w:tcBorders>
            <w:noWrap/>
            <w:vAlign w:val="bottom"/>
            <w:hideMark/>
          </w:tcPr>
          <w:p w14:paraId="2BBD427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155</w:t>
            </w:r>
          </w:p>
        </w:tc>
        <w:tc>
          <w:tcPr>
            <w:tcW w:w="960" w:type="dxa"/>
            <w:noWrap/>
            <w:vAlign w:val="bottom"/>
            <w:hideMark/>
          </w:tcPr>
          <w:p w14:paraId="16AB311D"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49.5</w:t>
            </w:r>
          </w:p>
        </w:tc>
      </w:tr>
      <w:tr w:rsidR="007B0A8E" w:rsidRPr="00F15B51" w14:paraId="1F24459C" w14:textId="77777777" w:rsidTr="007B0A8E">
        <w:trPr>
          <w:trHeight w:val="300"/>
          <w:jc w:val="center"/>
        </w:trPr>
        <w:tc>
          <w:tcPr>
            <w:tcW w:w="4151" w:type="dxa"/>
            <w:tcBorders>
              <w:top w:val="nil"/>
              <w:left w:val="nil"/>
              <w:bottom w:val="nil"/>
              <w:right w:val="single" w:sz="4" w:space="0" w:color="auto"/>
            </w:tcBorders>
            <w:noWrap/>
            <w:vAlign w:val="bottom"/>
            <w:hideMark/>
          </w:tcPr>
          <w:p w14:paraId="36805B0E" w14:textId="37970F31" w:rsidR="007B0A8E" w:rsidRPr="00F15B51" w:rsidRDefault="007E31FF">
            <w:pPr>
              <w:rPr>
                <w:rFonts w:ascii="Arial" w:hAnsi="Arial" w:cs="Arial"/>
                <w:color w:val="000000"/>
                <w:lang w:eastAsia="es-MX"/>
              </w:rPr>
            </w:pPr>
            <w:r w:rsidRPr="007E31FF">
              <w:rPr>
                <w:rFonts w:ascii="Arial" w:hAnsi="Arial" w:cs="Arial"/>
                <w:color w:val="000000"/>
                <w:highlight w:val="green"/>
                <w:lang w:eastAsia="es-MX"/>
              </w:rPr>
              <w:t xml:space="preserve">Positive </w:t>
            </w:r>
            <w:r w:rsidR="007B0A8E" w:rsidRPr="007E31FF">
              <w:rPr>
                <w:rFonts w:ascii="Arial" w:hAnsi="Arial" w:cs="Arial"/>
                <w:color w:val="000000"/>
                <w:highlight w:val="green"/>
                <w:lang w:eastAsia="es-MX"/>
              </w:rPr>
              <w:t>C-reactive protein</w:t>
            </w:r>
          </w:p>
        </w:tc>
        <w:tc>
          <w:tcPr>
            <w:tcW w:w="971" w:type="dxa"/>
            <w:tcBorders>
              <w:top w:val="nil"/>
              <w:left w:val="single" w:sz="4" w:space="0" w:color="auto"/>
              <w:bottom w:val="nil"/>
              <w:right w:val="nil"/>
            </w:tcBorders>
            <w:noWrap/>
            <w:vAlign w:val="bottom"/>
            <w:hideMark/>
          </w:tcPr>
          <w:p w14:paraId="7532045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39</w:t>
            </w:r>
          </w:p>
        </w:tc>
        <w:tc>
          <w:tcPr>
            <w:tcW w:w="960" w:type="dxa"/>
            <w:noWrap/>
            <w:vAlign w:val="bottom"/>
            <w:hideMark/>
          </w:tcPr>
          <w:p w14:paraId="1ADCAEA2"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12.5</w:t>
            </w:r>
          </w:p>
        </w:tc>
      </w:tr>
      <w:tr w:rsidR="007B0A8E" w:rsidRPr="00F15B51" w14:paraId="0B407C13" w14:textId="77777777" w:rsidTr="007B0A8E">
        <w:trPr>
          <w:trHeight w:val="300"/>
          <w:jc w:val="center"/>
        </w:trPr>
        <w:tc>
          <w:tcPr>
            <w:tcW w:w="4151" w:type="dxa"/>
            <w:tcBorders>
              <w:top w:val="nil"/>
              <w:left w:val="nil"/>
              <w:bottom w:val="nil"/>
              <w:right w:val="single" w:sz="4" w:space="0" w:color="auto"/>
            </w:tcBorders>
            <w:noWrap/>
            <w:vAlign w:val="bottom"/>
            <w:hideMark/>
          </w:tcPr>
          <w:p w14:paraId="4D8F3375" w14:textId="6808E070" w:rsidR="007B0A8E" w:rsidRPr="00F15B51" w:rsidRDefault="007B0A8E">
            <w:pPr>
              <w:rPr>
                <w:rFonts w:ascii="Arial" w:hAnsi="Arial" w:cs="Arial"/>
                <w:color w:val="000000"/>
                <w:lang w:eastAsia="es-MX"/>
              </w:rPr>
            </w:pPr>
            <w:r w:rsidRPr="00F15B51">
              <w:rPr>
                <w:rFonts w:ascii="Arial" w:hAnsi="Arial" w:cs="Arial"/>
                <w:color w:val="000000"/>
                <w:lang w:eastAsia="es-MX"/>
              </w:rPr>
              <w:t>Increased gallbladder length</w:t>
            </w:r>
            <w:r w:rsidR="007E31FF">
              <w:rPr>
                <w:rFonts w:ascii="Arial" w:hAnsi="Arial" w:cs="Arial"/>
                <w:color w:val="000000"/>
                <w:lang w:eastAsia="es-MX"/>
              </w:rPr>
              <w:t xml:space="preserve"> </w:t>
            </w:r>
            <w:r w:rsidR="007E31FF" w:rsidRPr="007E31FF">
              <w:rPr>
                <w:rFonts w:ascii="Arial" w:hAnsi="Arial" w:cs="Arial"/>
                <w:color w:val="000000"/>
                <w:lang w:eastAsia="es-MX"/>
              </w:rPr>
              <w:t>&gt; 10 cm</w:t>
            </w:r>
          </w:p>
        </w:tc>
        <w:tc>
          <w:tcPr>
            <w:tcW w:w="971" w:type="dxa"/>
            <w:tcBorders>
              <w:top w:val="nil"/>
              <w:left w:val="single" w:sz="4" w:space="0" w:color="auto"/>
              <w:bottom w:val="nil"/>
              <w:right w:val="nil"/>
            </w:tcBorders>
            <w:noWrap/>
            <w:vAlign w:val="bottom"/>
            <w:hideMark/>
          </w:tcPr>
          <w:p w14:paraId="09B5FBC7"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72</w:t>
            </w:r>
          </w:p>
        </w:tc>
        <w:tc>
          <w:tcPr>
            <w:tcW w:w="960" w:type="dxa"/>
            <w:noWrap/>
            <w:vAlign w:val="bottom"/>
            <w:hideMark/>
          </w:tcPr>
          <w:p w14:paraId="2588C6D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23.0</w:t>
            </w:r>
          </w:p>
        </w:tc>
      </w:tr>
      <w:tr w:rsidR="007B0A8E" w:rsidRPr="00F15B51" w14:paraId="0CD6F7D7" w14:textId="77777777" w:rsidTr="007B0A8E">
        <w:trPr>
          <w:trHeight w:val="300"/>
          <w:jc w:val="center"/>
        </w:trPr>
        <w:tc>
          <w:tcPr>
            <w:tcW w:w="4151" w:type="dxa"/>
            <w:tcBorders>
              <w:top w:val="nil"/>
              <w:left w:val="nil"/>
              <w:bottom w:val="nil"/>
              <w:right w:val="single" w:sz="4" w:space="0" w:color="auto"/>
            </w:tcBorders>
            <w:noWrap/>
            <w:vAlign w:val="bottom"/>
            <w:hideMark/>
          </w:tcPr>
          <w:p w14:paraId="43E49C33"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Largest stone size ≥10 mm</w:t>
            </w:r>
          </w:p>
        </w:tc>
        <w:tc>
          <w:tcPr>
            <w:tcW w:w="971" w:type="dxa"/>
            <w:tcBorders>
              <w:top w:val="nil"/>
              <w:left w:val="single" w:sz="4" w:space="0" w:color="auto"/>
              <w:bottom w:val="nil"/>
              <w:right w:val="nil"/>
            </w:tcBorders>
            <w:noWrap/>
            <w:vAlign w:val="bottom"/>
            <w:hideMark/>
          </w:tcPr>
          <w:p w14:paraId="34492C51"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152</w:t>
            </w:r>
          </w:p>
        </w:tc>
        <w:tc>
          <w:tcPr>
            <w:tcW w:w="960" w:type="dxa"/>
            <w:noWrap/>
            <w:vAlign w:val="bottom"/>
            <w:hideMark/>
          </w:tcPr>
          <w:p w14:paraId="7635E674"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48.6</w:t>
            </w:r>
          </w:p>
        </w:tc>
      </w:tr>
      <w:tr w:rsidR="007B0A8E" w:rsidRPr="00F15B51" w14:paraId="27A25FA5" w14:textId="77777777" w:rsidTr="007B0A8E">
        <w:trPr>
          <w:trHeight w:val="300"/>
          <w:jc w:val="center"/>
        </w:trPr>
        <w:tc>
          <w:tcPr>
            <w:tcW w:w="4151" w:type="dxa"/>
            <w:tcBorders>
              <w:top w:val="nil"/>
              <w:left w:val="nil"/>
              <w:bottom w:val="nil"/>
              <w:right w:val="single" w:sz="4" w:space="0" w:color="auto"/>
            </w:tcBorders>
            <w:noWrap/>
            <w:vAlign w:val="bottom"/>
            <w:hideMark/>
          </w:tcPr>
          <w:p w14:paraId="2DEEA4C9"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Gallbladder wall thickness ≥4 mm</w:t>
            </w:r>
          </w:p>
        </w:tc>
        <w:tc>
          <w:tcPr>
            <w:tcW w:w="971" w:type="dxa"/>
            <w:tcBorders>
              <w:top w:val="nil"/>
              <w:left w:val="single" w:sz="4" w:space="0" w:color="auto"/>
              <w:bottom w:val="nil"/>
              <w:right w:val="nil"/>
            </w:tcBorders>
            <w:noWrap/>
            <w:vAlign w:val="bottom"/>
            <w:hideMark/>
          </w:tcPr>
          <w:p w14:paraId="373476E8"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182</w:t>
            </w:r>
          </w:p>
        </w:tc>
        <w:tc>
          <w:tcPr>
            <w:tcW w:w="960" w:type="dxa"/>
            <w:noWrap/>
            <w:vAlign w:val="bottom"/>
            <w:hideMark/>
          </w:tcPr>
          <w:p w14:paraId="72C26B7C"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58.1</w:t>
            </w:r>
          </w:p>
        </w:tc>
      </w:tr>
      <w:tr w:rsidR="007B0A8E" w:rsidRPr="00F15B51" w14:paraId="61F39C79" w14:textId="77777777" w:rsidTr="007B0A8E">
        <w:trPr>
          <w:trHeight w:val="300"/>
          <w:jc w:val="center"/>
        </w:trPr>
        <w:tc>
          <w:tcPr>
            <w:tcW w:w="4151" w:type="dxa"/>
            <w:tcBorders>
              <w:top w:val="nil"/>
              <w:left w:val="nil"/>
              <w:bottom w:val="single" w:sz="4" w:space="0" w:color="auto"/>
              <w:right w:val="single" w:sz="4" w:space="0" w:color="auto"/>
            </w:tcBorders>
            <w:noWrap/>
            <w:vAlign w:val="bottom"/>
            <w:hideMark/>
          </w:tcPr>
          <w:p w14:paraId="1B3C107D" w14:textId="77777777" w:rsidR="007B0A8E" w:rsidRPr="00F15B51" w:rsidRDefault="007B0A8E">
            <w:pPr>
              <w:rPr>
                <w:rFonts w:ascii="Arial" w:hAnsi="Arial" w:cs="Arial"/>
                <w:color w:val="000000"/>
                <w:lang w:eastAsia="es-MX"/>
              </w:rPr>
            </w:pPr>
            <w:r w:rsidRPr="00F15B51">
              <w:rPr>
                <w:rFonts w:ascii="Arial" w:hAnsi="Arial" w:cs="Arial"/>
                <w:color w:val="000000"/>
                <w:lang w:eastAsia="es-MX"/>
              </w:rPr>
              <w:t>Hypervascularity on Doppler ultrasound</w:t>
            </w:r>
          </w:p>
        </w:tc>
        <w:tc>
          <w:tcPr>
            <w:tcW w:w="971" w:type="dxa"/>
            <w:tcBorders>
              <w:top w:val="nil"/>
              <w:left w:val="single" w:sz="4" w:space="0" w:color="auto"/>
              <w:bottom w:val="single" w:sz="4" w:space="0" w:color="auto"/>
              <w:right w:val="nil"/>
            </w:tcBorders>
            <w:noWrap/>
            <w:vAlign w:val="bottom"/>
            <w:hideMark/>
          </w:tcPr>
          <w:p w14:paraId="6A515330"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184</w:t>
            </w:r>
          </w:p>
        </w:tc>
        <w:tc>
          <w:tcPr>
            <w:tcW w:w="960" w:type="dxa"/>
            <w:tcBorders>
              <w:top w:val="nil"/>
              <w:left w:val="nil"/>
              <w:bottom w:val="single" w:sz="4" w:space="0" w:color="auto"/>
              <w:right w:val="nil"/>
            </w:tcBorders>
            <w:noWrap/>
            <w:vAlign w:val="bottom"/>
            <w:hideMark/>
          </w:tcPr>
          <w:p w14:paraId="4CF15917" w14:textId="77777777" w:rsidR="007B0A8E" w:rsidRPr="00F15B51" w:rsidRDefault="007B0A8E">
            <w:pPr>
              <w:jc w:val="center"/>
              <w:rPr>
                <w:rFonts w:ascii="Arial" w:hAnsi="Arial" w:cs="Arial"/>
                <w:color w:val="000000"/>
                <w:lang w:eastAsia="es-MX"/>
              </w:rPr>
            </w:pPr>
            <w:r w:rsidRPr="00F15B51">
              <w:rPr>
                <w:rFonts w:ascii="Arial" w:hAnsi="Arial" w:cs="Arial"/>
                <w:color w:val="000000"/>
                <w:lang w:eastAsia="es-MX"/>
              </w:rPr>
              <w:t>58.8</w:t>
            </w:r>
          </w:p>
        </w:tc>
      </w:tr>
    </w:tbl>
    <w:p w14:paraId="7A4CB4CD" w14:textId="77777777" w:rsidR="005F4D9D" w:rsidRPr="00F15B51" w:rsidRDefault="005F4D9D" w:rsidP="002E4D8D">
      <w:pPr>
        <w:jc w:val="both"/>
        <w:rPr>
          <w:rFonts w:ascii="Arial" w:eastAsia="Arial" w:hAnsi="Arial" w:cs="Arial"/>
          <w:color w:val="000000"/>
        </w:rPr>
      </w:pPr>
    </w:p>
    <w:p w14:paraId="6BC10645" w14:textId="77777777" w:rsidR="002E4D8D" w:rsidRPr="00F15B51" w:rsidRDefault="002E4D8D" w:rsidP="002E4D8D">
      <w:pPr>
        <w:jc w:val="both"/>
        <w:rPr>
          <w:rFonts w:ascii="Arial" w:hAnsi="Arial" w:cs="Arial"/>
        </w:rPr>
      </w:pPr>
    </w:p>
    <w:p w14:paraId="671A7130" w14:textId="77777777" w:rsidR="00176E31" w:rsidRPr="00F15B51" w:rsidRDefault="00176E31" w:rsidP="002E4D8D">
      <w:pPr>
        <w:tabs>
          <w:tab w:val="left" w:pos="1080"/>
        </w:tabs>
        <w:jc w:val="center"/>
        <w:rPr>
          <w:rFonts w:ascii="Arial" w:hAnsi="Arial"/>
          <w:b/>
        </w:rPr>
      </w:pPr>
    </w:p>
    <w:p w14:paraId="33D22639" w14:textId="77777777" w:rsidR="009F109E" w:rsidRPr="00F15B51" w:rsidRDefault="009F109E" w:rsidP="002E4D8D">
      <w:pPr>
        <w:jc w:val="both"/>
        <w:rPr>
          <w:rFonts w:ascii="Arial" w:eastAsia="Arial" w:hAnsi="Arial" w:cs="Arial"/>
        </w:rPr>
      </w:pPr>
    </w:p>
    <w:p w14:paraId="7684D44D" w14:textId="52AFDDD4" w:rsidR="00DB68FC" w:rsidRDefault="00E63A34" w:rsidP="002E4D8D">
      <w:pPr>
        <w:jc w:val="both"/>
        <w:rPr>
          <w:rFonts w:ascii="Arial" w:eastAsia="Arial" w:hAnsi="Arial" w:cs="Arial"/>
        </w:rPr>
      </w:pPr>
      <w:r w:rsidRPr="00F15B51">
        <w:rPr>
          <w:rFonts w:ascii="Arial" w:eastAsia="Arial" w:hAnsi="Arial" w:cs="Arial"/>
        </w:rPr>
        <w:lastRenderedPageBreak/>
        <w:t xml:space="preserve">The results show that patients undergoing laparoscopic cholecystectomy in the Northern Region of Mexico were primarily women. Overweight and age &gt; 53 years were common. Laparoscopic cholecystectomy without technical difficulty predominated. Patients were mostly classified as Grade I and Grade II on the Parkland Cholecystectomy Scale. At least 30 % of patients presented with fever, jaundice, leukocytosis, hyperbilirubinemia, largest stone size ≥ 10 mm, gallbladder wall thickness ≥ 4 mm, and hypervascularity on Doppler ultrasound. Patients who underwent technically difficult laparoscopic cholecystectomy were older and had a higher BMI. </w:t>
      </w:r>
      <w:r w:rsidR="00BB17C7" w:rsidRPr="009D66F9">
        <w:rPr>
          <w:rFonts w:ascii="Arial" w:eastAsia="Arial" w:hAnsi="Arial" w:cs="Arial"/>
          <w:highlight w:val="yellow"/>
        </w:rPr>
        <w:t>This research achieved all of its proposed objectives. However, as it was a single-center study, the results are limited in relation to the demographic and epidemiological conditions of the Northern Region of Mexico.</w:t>
      </w:r>
      <w:r w:rsidR="00A64D1A" w:rsidRPr="009D66F9">
        <w:rPr>
          <w:rFonts w:ascii="Arial" w:eastAsia="Arial" w:hAnsi="Arial" w:cs="Arial"/>
          <w:highlight w:val="yellow"/>
        </w:rPr>
        <w:t xml:space="preserve"> It is estimated that the population aged 40-60 years represents 22.1 % of the national total [10 % men; 12.1 % women] (INEGI, 2020). 75.2 % of the population aged 20 years or older are overweight or obese (SS-INSP, 2020); and 8.5 million suffer from diabetes (INEGI, 2021). The aging of the population and the high prevalence of obesity, overweight, and diabetes significantly increase the risk of developing gallstones.</w:t>
      </w:r>
    </w:p>
    <w:p w14:paraId="60D1979D" w14:textId="77777777" w:rsidR="00DB68FC" w:rsidRPr="00A64D1A" w:rsidRDefault="00DB68FC" w:rsidP="002E4D8D">
      <w:pPr>
        <w:jc w:val="both"/>
        <w:rPr>
          <w:rFonts w:ascii="Arial" w:eastAsia="Arial" w:hAnsi="Arial" w:cs="Arial"/>
        </w:rPr>
      </w:pPr>
    </w:p>
    <w:p w14:paraId="2B2E3540" w14:textId="77E0E705" w:rsidR="002E48D5" w:rsidRPr="00E94CBC" w:rsidRDefault="00A15919" w:rsidP="002E4D8D">
      <w:pPr>
        <w:jc w:val="both"/>
        <w:rPr>
          <w:rFonts w:ascii="Arial" w:eastAsia="Arial" w:hAnsi="Arial" w:cs="Arial"/>
        </w:rPr>
      </w:pPr>
      <w:r w:rsidRPr="00A15919">
        <w:rPr>
          <w:rFonts w:ascii="Arial" w:eastAsia="Arial" w:hAnsi="Arial" w:cs="Arial"/>
          <w:highlight w:val="yellow"/>
        </w:rPr>
        <w:t>The demographic characteristics of the study region coincide with Pérez et al. (2022), who mention that in the regions of North America, the prevalence of cholelithiasis has been estimated between 11 - 36%; of which 7 % will require cholecystectomy; and 1 – 4 % will present complications. In this sense, Fujita et al. (2023), mentions that the cholelithiasis affects women more than men, with a ratio of 3:1. Risk factors include female sex, age &gt; 40 years, poor diet, obesity, family history, and metabolic diseases (diabetes).</w:t>
      </w:r>
    </w:p>
    <w:p w14:paraId="26BDAABF" w14:textId="77777777" w:rsidR="002E48D5" w:rsidRPr="00E94CBC" w:rsidRDefault="002E48D5" w:rsidP="002E4D8D">
      <w:pPr>
        <w:jc w:val="both"/>
        <w:rPr>
          <w:rFonts w:ascii="Arial" w:eastAsia="Arial" w:hAnsi="Arial" w:cs="Arial"/>
        </w:rPr>
      </w:pPr>
    </w:p>
    <w:p w14:paraId="7CCDA21B" w14:textId="77777777" w:rsidR="00E63A34" w:rsidRDefault="00E63A34" w:rsidP="002E4D8D">
      <w:pPr>
        <w:jc w:val="both"/>
        <w:rPr>
          <w:rFonts w:ascii="Arial" w:eastAsia="Arial" w:hAnsi="Arial" w:cs="Arial"/>
        </w:rPr>
      </w:pPr>
      <w:r w:rsidRPr="00F15B51">
        <w:rPr>
          <w:rFonts w:ascii="Arial" w:eastAsia="Arial" w:hAnsi="Arial" w:cs="Arial"/>
        </w:rPr>
        <w:t>The values ​​found for age [53.7 ± 15.2 years] and BMI [29.9 ± 4.6 kg/m</w:t>
      </w:r>
      <w:r w:rsidRPr="00F15B51">
        <w:rPr>
          <w:rFonts w:ascii="Arial" w:eastAsia="Arial" w:hAnsi="Arial" w:cs="Arial"/>
          <w:vertAlign w:val="superscript"/>
        </w:rPr>
        <w:t>2</w:t>
      </w:r>
      <w:r w:rsidRPr="00F15B51">
        <w:rPr>
          <w:rFonts w:ascii="Arial" w:eastAsia="Arial" w:hAnsi="Arial" w:cs="Arial"/>
        </w:rPr>
        <w:t>; overweight 56.5 %], as well as the frequency of sex [women 75.4 %], were similar to those reported by Shrestha et al. (2023) and Lee et al. (2020), who conducted studies to validate the Parkland scale in correlation with the severity of acute cholecystitis. However, they point out that these factors are influenced by the sociocultural and epidemiological conditions of each country.</w:t>
      </w:r>
    </w:p>
    <w:p w14:paraId="0B0D6B86" w14:textId="77777777" w:rsidR="00D07E02" w:rsidRDefault="00D07E02" w:rsidP="002E4D8D">
      <w:pPr>
        <w:jc w:val="both"/>
        <w:rPr>
          <w:rFonts w:ascii="Arial" w:eastAsia="Arial" w:hAnsi="Arial" w:cs="Arial"/>
        </w:rPr>
      </w:pPr>
    </w:p>
    <w:p w14:paraId="6C0CA308" w14:textId="3196A11F" w:rsidR="003E35C1" w:rsidRPr="003E35C1" w:rsidRDefault="003E35C1" w:rsidP="002E4D8D">
      <w:pPr>
        <w:jc w:val="both"/>
        <w:rPr>
          <w:rFonts w:ascii="Arial" w:eastAsia="Arial" w:hAnsi="Arial" w:cs="Arial"/>
        </w:rPr>
      </w:pPr>
      <w:proofErr w:type="spellStart"/>
      <w:r w:rsidRPr="003E6F74">
        <w:rPr>
          <w:rFonts w:ascii="Arial" w:eastAsia="Arial" w:hAnsi="Arial" w:cs="Arial"/>
          <w:highlight w:val="yellow"/>
        </w:rPr>
        <w:t>Roesch</w:t>
      </w:r>
      <w:proofErr w:type="spellEnd"/>
      <w:r w:rsidRPr="003E6F74">
        <w:rPr>
          <w:rFonts w:ascii="Arial" w:eastAsia="Arial" w:hAnsi="Arial" w:cs="Arial"/>
          <w:highlight w:val="yellow"/>
        </w:rPr>
        <w:t xml:space="preserve"> et al. (2023) emphasize that demographic and epidemiological conditions in various regions of Mexico increase the risk of cholelithiasis. In their study related to laparoscopic cholecystectomy, they found that patients with normal weight (42.3</w:t>
      </w:r>
      <w:r w:rsidR="000256D8" w:rsidRPr="003E6F74">
        <w:rPr>
          <w:rFonts w:ascii="Arial" w:eastAsia="Arial" w:hAnsi="Arial" w:cs="Arial"/>
          <w:highlight w:val="yellow"/>
        </w:rPr>
        <w:t xml:space="preserve"> </w:t>
      </w:r>
      <w:r w:rsidRPr="003E6F74">
        <w:rPr>
          <w:rFonts w:ascii="Arial" w:eastAsia="Arial" w:hAnsi="Arial" w:cs="Arial"/>
          <w:highlight w:val="yellow"/>
        </w:rPr>
        <w:t>%) had a mean age of 45.8 ± 14.6 years, predominantly female (83.6</w:t>
      </w:r>
      <w:r w:rsidR="000256D8" w:rsidRPr="003E6F74">
        <w:rPr>
          <w:rFonts w:ascii="Arial" w:eastAsia="Arial" w:hAnsi="Arial" w:cs="Arial"/>
          <w:highlight w:val="yellow"/>
        </w:rPr>
        <w:t xml:space="preserve"> </w:t>
      </w:r>
      <w:r w:rsidRPr="003E6F74">
        <w:rPr>
          <w:rFonts w:ascii="Arial" w:eastAsia="Arial" w:hAnsi="Arial" w:cs="Arial"/>
          <w:highlight w:val="yellow"/>
        </w:rPr>
        <w:t>%), BMI of 22.6 ± 4.6 kg/m², 17.2</w:t>
      </w:r>
      <w:r w:rsidR="000256D8" w:rsidRPr="003E6F74">
        <w:rPr>
          <w:rFonts w:ascii="Arial" w:eastAsia="Arial" w:hAnsi="Arial" w:cs="Arial"/>
          <w:highlight w:val="yellow"/>
        </w:rPr>
        <w:t xml:space="preserve"> </w:t>
      </w:r>
      <w:r w:rsidRPr="003E6F74">
        <w:rPr>
          <w:rFonts w:ascii="Arial" w:eastAsia="Arial" w:hAnsi="Arial" w:cs="Arial"/>
          <w:highlight w:val="yellow"/>
        </w:rPr>
        <w:t>% presented comorbidities,</w:t>
      </w:r>
      <w:r w:rsidR="000256D8" w:rsidRPr="003E6F74">
        <w:rPr>
          <w:rFonts w:ascii="Arial" w:eastAsia="Arial" w:hAnsi="Arial" w:cs="Arial"/>
          <w:highlight w:val="yellow"/>
        </w:rPr>
        <w:t xml:space="preserve"> and </w:t>
      </w:r>
      <w:r w:rsidRPr="003E6F74">
        <w:rPr>
          <w:rFonts w:ascii="Arial" w:eastAsia="Arial" w:hAnsi="Arial" w:cs="Arial"/>
          <w:highlight w:val="yellow"/>
        </w:rPr>
        <w:t xml:space="preserve">no complications recorded. Patients with </w:t>
      </w:r>
      <w:r w:rsidR="003E6F74" w:rsidRPr="003E6F74">
        <w:rPr>
          <w:rFonts w:ascii="Arial" w:eastAsia="Arial" w:hAnsi="Arial" w:cs="Arial"/>
          <w:highlight w:val="yellow"/>
        </w:rPr>
        <w:t>overweight</w:t>
      </w:r>
      <w:r w:rsidRPr="003E6F74">
        <w:rPr>
          <w:rFonts w:ascii="Arial" w:eastAsia="Arial" w:hAnsi="Arial" w:cs="Arial"/>
          <w:highlight w:val="yellow"/>
        </w:rPr>
        <w:t xml:space="preserve"> (28.1%) were older (51.26 ± 13.23 years), had a high proportio</w:t>
      </w:r>
      <w:r w:rsidR="000256D8" w:rsidRPr="003E6F74">
        <w:rPr>
          <w:rFonts w:ascii="Arial" w:eastAsia="Arial" w:hAnsi="Arial" w:cs="Arial"/>
          <w:highlight w:val="yellow"/>
        </w:rPr>
        <w:t>n of females (85.4</w:t>
      </w:r>
      <w:r w:rsidR="00CB4111" w:rsidRPr="003E6F74">
        <w:rPr>
          <w:rFonts w:ascii="Arial" w:eastAsia="Arial" w:hAnsi="Arial" w:cs="Arial"/>
          <w:highlight w:val="yellow"/>
        </w:rPr>
        <w:t xml:space="preserve"> </w:t>
      </w:r>
      <w:r w:rsidR="000256D8" w:rsidRPr="003E6F74">
        <w:rPr>
          <w:rFonts w:ascii="Arial" w:eastAsia="Arial" w:hAnsi="Arial" w:cs="Arial"/>
          <w:highlight w:val="yellow"/>
        </w:rPr>
        <w:t xml:space="preserve">%), </w:t>
      </w:r>
      <w:r w:rsidRPr="003E6F74">
        <w:rPr>
          <w:rFonts w:ascii="Arial" w:eastAsia="Arial" w:hAnsi="Arial" w:cs="Arial"/>
          <w:highlight w:val="yellow"/>
        </w:rPr>
        <w:t xml:space="preserve">BMI of 28.6 ± 4.50 kg/m², </w:t>
      </w:r>
      <w:r w:rsidR="00CB4111" w:rsidRPr="003E6F74">
        <w:rPr>
          <w:rFonts w:ascii="Arial" w:eastAsia="Arial" w:hAnsi="Arial" w:cs="Arial"/>
          <w:highlight w:val="yellow"/>
        </w:rPr>
        <w:t xml:space="preserve">23.59 % had comorbidities, and </w:t>
      </w:r>
      <w:r w:rsidRPr="003E6F74">
        <w:rPr>
          <w:rFonts w:ascii="Arial" w:eastAsia="Arial" w:hAnsi="Arial" w:cs="Arial"/>
          <w:highlight w:val="yellow"/>
        </w:rPr>
        <w:t>complication rate of 3.7</w:t>
      </w:r>
      <w:r w:rsidR="00CB4111" w:rsidRPr="003E6F74">
        <w:rPr>
          <w:rFonts w:ascii="Arial" w:eastAsia="Arial" w:hAnsi="Arial" w:cs="Arial"/>
          <w:highlight w:val="yellow"/>
        </w:rPr>
        <w:t xml:space="preserve"> </w:t>
      </w:r>
      <w:r w:rsidRPr="003E6F74">
        <w:rPr>
          <w:rFonts w:ascii="Arial" w:eastAsia="Arial" w:hAnsi="Arial" w:cs="Arial"/>
          <w:highlight w:val="yellow"/>
        </w:rPr>
        <w:t>%. Patients with obesity (29.6</w:t>
      </w:r>
      <w:r w:rsidR="00CB4111" w:rsidRPr="003E6F74">
        <w:rPr>
          <w:rFonts w:ascii="Arial" w:eastAsia="Arial" w:hAnsi="Arial" w:cs="Arial"/>
          <w:highlight w:val="yellow"/>
        </w:rPr>
        <w:t xml:space="preserve"> </w:t>
      </w:r>
      <w:r w:rsidRPr="003E6F74">
        <w:rPr>
          <w:rFonts w:ascii="Arial" w:eastAsia="Arial" w:hAnsi="Arial" w:cs="Arial"/>
          <w:highlight w:val="yellow"/>
        </w:rPr>
        <w:t>%) were older (58.5 ± 9.8 years), predominantly female (77.8</w:t>
      </w:r>
      <w:r w:rsidR="00CB4111" w:rsidRPr="003E6F74">
        <w:rPr>
          <w:rFonts w:ascii="Arial" w:eastAsia="Arial" w:hAnsi="Arial" w:cs="Arial"/>
          <w:highlight w:val="yellow"/>
        </w:rPr>
        <w:t xml:space="preserve"> </w:t>
      </w:r>
      <w:r w:rsidRPr="003E6F74">
        <w:rPr>
          <w:rFonts w:ascii="Arial" w:eastAsia="Arial" w:hAnsi="Arial" w:cs="Arial"/>
          <w:highlight w:val="yellow"/>
        </w:rPr>
        <w:t xml:space="preserve">%), </w:t>
      </w:r>
      <w:r w:rsidR="00CB4111" w:rsidRPr="003E6F74">
        <w:rPr>
          <w:rFonts w:ascii="Arial" w:eastAsia="Arial" w:hAnsi="Arial" w:cs="Arial"/>
          <w:highlight w:val="yellow"/>
        </w:rPr>
        <w:t>BMI of 32.5 ± 6.9 kg/m², and</w:t>
      </w:r>
      <w:r w:rsidRPr="003E6F74">
        <w:rPr>
          <w:rFonts w:ascii="Arial" w:eastAsia="Arial" w:hAnsi="Arial" w:cs="Arial"/>
          <w:highlight w:val="yellow"/>
        </w:rPr>
        <w:t xml:space="preserve"> complication rate of 10.63</w:t>
      </w:r>
      <w:r w:rsidR="00CB4111" w:rsidRPr="003E6F74">
        <w:rPr>
          <w:rFonts w:ascii="Arial" w:eastAsia="Arial" w:hAnsi="Arial" w:cs="Arial"/>
          <w:highlight w:val="yellow"/>
        </w:rPr>
        <w:t xml:space="preserve"> </w:t>
      </w:r>
      <w:r w:rsidRPr="003E6F74">
        <w:rPr>
          <w:rFonts w:ascii="Arial" w:eastAsia="Arial" w:hAnsi="Arial" w:cs="Arial"/>
          <w:highlight w:val="yellow"/>
        </w:rPr>
        <w:t>%. No mortality was recorded in any group. The sociodemographic and epidemiological conditions are similar to those in our study, highlighting the importance of generating clinical information that allows for preventive measures against cholecystitis or surgical treatment.</w:t>
      </w:r>
    </w:p>
    <w:p w14:paraId="3BD7574D" w14:textId="77777777" w:rsidR="003E35C1" w:rsidRPr="003E35C1" w:rsidRDefault="003E35C1" w:rsidP="002E4D8D">
      <w:pPr>
        <w:jc w:val="both"/>
        <w:rPr>
          <w:rFonts w:ascii="Arial" w:eastAsia="Arial" w:hAnsi="Arial" w:cs="Arial"/>
        </w:rPr>
      </w:pPr>
    </w:p>
    <w:p w14:paraId="21AACE92" w14:textId="77777777" w:rsidR="00E63A34" w:rsidRPr="00F15B51" w:rsidRDefault="00E63A34" w:rsidP="002E4D8D">
      <w:pPr>
        <w:jc w:val="both"/>
        <w:rPr>
          <w:rFonts w:ascii="Arial" w:eastAsia="Arial" w:hAnsi="Arial" w:cs="Arial"/>
        </w:rPr>
      </w:pPr>
      <w:r w:rsidRPr="00F15B51">
        <w:rPr>
          <w:rFonts w:ascii="Arial" w:eastAsia="Arial" w:hAnsi="Arial" w:cs="Arial"/>
        </w:rPr>
        <w:t>The frequency of emergency (41.9 %) and technically difficult (26.2 %) surgeries did not coincide with that reported by Serrano et al. (2024), who reported values ​​of 27.5 % for emergency surgeries and 62.5 % for technically difficult surgeries. This is likely due to local epidemiological conditions and the level of hospital care.</w:t>
      </w:r>
    </w:p>
    <w:p w14:paraId="30C36DD0" w14:textId="77777777" w:rsidR="00E63A34" w:rsidRPr="00F15B51" w:rsidRDefault="00E63A34" w:rsidP="002E4D8D">
      <w:pPr>
        <w:jc w:val="both"/>
        <w:rPr>
          <w:rFonts w:ascii="Arial" w:eastAsia="Arial" w:hAnsi="Arial" w:cs="Arial"/>
        </w:rPr>
      </w:pPr>
    </w:p>
    <w:p w14:paraId="545895EF" w14:textId="57A237D7" w:rsidR="00E63A34" w:rsidRPr="00F15B51" w:rsidRDefault="00E63A34" w:rsidP="002E4D8D">
      <w:pPr>
        <w:jc w:val="both"/>
        <w:rPr>
          <w:rFonts w:ascii="Arial" w:eastAsia="Arial" w:hAnsi="Arial" w:cs="Arial"/>
        </w:rPr>
      </w:pPr>
      <w:r w:rsidRPr="00F15B51">
        <w:rPr>
          <w:rFonts w:ascii="Arial" w:eastAsia="Arial" w:hAnsi="Arial" w:cs="Arial"/>
        </w:rPr>
        <w:t xml:space="preserve">The percentage of patients found with respect to the evaluated indicators was fever (33.9 </w:t>
      </w:r>
      <w:r w:rsidR="00C11395" w:rsidRPr="00F15B51">
        <w:rPr>
          <w:rFonts w:ascii="Arial" w:eastAsia="Arial" w:hAnsi="Arial" w:cs="Arial"/>
        </w:rPr>
        <w:t>%); jaundice (</w:t>
      </w:r>
      <w:r w:rsidRPr="00F15B51">
        <w:rPr>
          <w:rFonts w:ascii="Arial" w:eastAsia="Arial" w:hAnsi="Arial" w:cs="Arial"/>
        </w:rPr>
        <w:t xml:space="preserve">42.2 </w:t>
      </w:r>
      <w:r w:rsidR="00C11395" w:rsidRPr="00F15B51">
        <w:rPr>
          <w:rFonts w:ascii="Arial" w:eastAsia="Arial" w:hAnsi="Arial" w:cs="Arial"/>
        </w:rPr>
        <w:t>%); leukocytosis (</w:t>
      </w:r>
      <w:r w:rsidRPr="00F15B51">
        <w:rPr>
          <w:rFonts w:ascii="Arial" w:eastAsia="Arial" w:hAnsi="Arial" w:cs="Arial"/>
        </w:rPr>
        <w:t>55.3</w:t>
      </w:r>
      <w:r w:rsidR="00C11395" w:rsidRPr="00F15B51">
        <w:rPr>
          <w:rFonts w:ascii="Arial" w:eastAsia="Arial" w:hAnsi="Arial" w:cs="Arial"/>
        </w:rPr>
        <w:t xml:space="preserve"> </w:t>
      </w:r>
      <w:r w:rsidRPr="00F15B51">
        <w:rPr>
          <w:rFonts w:ascii="Arial" w:eastAsia="Arial" w:hAnsi="Arial" w:cs="Arial"/>
        </w:rPr>
        <w:t>%); thrombocytopenia (19.2</w:t>
      </w:r>
      <w:r w:rsidR="00C11395" w:rsidRPr="00F15B51">
        <w:rPr>
          <w:rFonts w:ascii="Arial" w:eastAsia="Arial" w:hAnsi="Arial" w:cs="Arial"/>
        </w:rPr>
        <w:t xml:space="preserve"> </w:t>
      </w:r>
      <w:r w:rsidRPr="00F15B51">
        <w:rPr>
          <w:rFonts w:ascii="Arial" w:eastAsia="Arial" w:hAnsi="Arial" w:cs="Arial"/>
        </w:rPr>
        <w:t>%); N</w:t>
      </w:r>
      <w:r w:rsidR="00AE0CAE" w:rsidRPr="00F15B51">
        <w:rPr>
          <w:rFonts w:ascii="Arial" w:eastAsia="Arial" w:hAnsi="Arial" w:cs="Arial"/>
        </w:rPr>
        <w:t>LR</w:t>
      </w:r>
      <w:r w:rsidRPr="00F15B51">
        <w:rPr>
          <w:rFonts w:ascii="Arial" w:eastAsia="Arial" w:hAnsi="Arial" w:cs="Arial"/>
        </w:rPr>
        <w:t xml:space="preserve"> ≥</w:t>
      </w:r>
      <w:r w:rsidR="00AE0CAE" w:rsidRPr="00F15B51">
        <w:rPr>
          <w:rFonts w:ascii="Arial" w:eastAsia="Arial" w:hAnsi="Arial" w:cs="Arial"/>
        </w:rPr>
        <w:t xml:space="preserve"> </w:t>
      </w:r>
      <w:r w:rsidRPr="00F15B51">
        <w:rPr>
          <w:rFonts w:ascii="Arial" w:eastAsia="Arial" w:hAnsi="Arial" w:cs="Arial"/>
        </w:rPr>
        <w:t>6 (15.7</w:t>
      </w:r>
      <w:r w:rsidR="00C11395" w:rsidRPr="00F15B51">
        <w:rPr>
          <w:rFonts w:ascii="Arial" w:eastAsia="Arial" w:hAnsi="Arial" w:cs="Arial"/>
        </w:rPr>
        <w:t xml:space="preserve"> %); hyperbilirubinemia (</w:t>
      </w:r>
      <w:r w:rsidRPr="00F15B51">
        <w:rPr>
          <w:rFonts w:ascii="Arial" w:eastAsia="Arial" w:hAnsi="Arial" w:cs="Arial"/>
        </w:rPr>
        <w:t>49.5</w:t>
      </w:r>
      <w:r w:rsidR="00C11395" w:rsidRPr="00F15B51">
        <w:rPr>
          <w:rFonts w:ascii="Arial" w:eastAsia="Arial" w:hAnsi="Arial" w:cs="Arial"/>
        </w:rPr>
        <w:t xml:space="preserve"> </w:t>
      </w:r>
      <w:r w:rsidRPr="00F15B51">
        <w:rPr>
          <w:rFonts w:ascii="Arial" w:eastAsia="Arial" w:hAnsi="Arial" w:cs="Arial"/>
        </w:rPr>
        <w:t>%); positive C-reactive protein (12.5</w:t>
      </w:r>
      <w:r w:rsidR="00C11395" w:rsidRPr="00F15B51">
        <w:rPr>
          <w:rFonts w:ascii="Arial" w:eastAsia="Arial" w:hAnsi="Arial" w:cs="Arial"/>
        </w:rPr>
        <w:t xml:space="preserve"> </w:t>
      </w:r>
      <w:r w:rsidRPr="00F15B51">
        <w:rPr>
          <w:rFonts w:ascii="Arial" w:eastAsia="Arial" w:hAnsi="Arial" w:cs="Arial"/>
        </w:rPr>
        <w:t>%); increased gallb</w:t>
      </w:r>
      <w:r w:rsidR="00C11395" w:rsidRPr="00F15B51">
        <w:rPr>
          <w:rFonts w:ascii="Arial" w:eastAsia="Arial" w:hAnsi="Arial" w:cs="Arial"/>
        </w:rPr>
        <w:t>ladder major axis length (</w:t>
      </w:r>
      <w:r w:rsidRPr="00F15B51">
        <w:rPr>
          <w:rFonts w:ascii="Arial" w:eastAsia="Arial" w:hAnsi="Arial" w:cs="Arial"/>
        </w:rPr>
        <w:t>23</w:t>
      </w:r>
      <w:r w:rsidR="00C11395" w:rsidRPr="00F15B51">
        <w:rPr>
          <w:rFonts w:ascii="Arial" w:eastAsia="Arial" w:hAnsi="Arial" w:cs="Arial"/>
        </w:rPr>
        <w:t xml:space="preserve"> </w:t>
      </w:r>
      <w:r w:rsidRPr="00F15B51">
        <w:rPr>
          <w:rFonts w:ascii="Arial" w:eastAsia="Arial" w:hAnsi="Arial" w:cs="Arial"/>
        </w:rPr>
        <w:t>%); la</w:t>
      </w:r>
      <w:r w:rsidR="00C11395" w:rsidRPr="00F15B51">
        <w:rPr>
          <w:rFonts w:ascii="Arial" w:eastAsia="Arial" w:hAnsi="Arial" w:cs="Arial"/>
        </w:rPr>
        <w:t>rgest stone size ≥10 mm (</w:t>
      </w:r>
      <w:r w:rsidRPr="00F15B51">
        <w:rPr>
          <w:rFonts w:ascii="Arial" w:eastAsia="Arial" w:hAnsi="Arial" w:cs="Arial"/>
        </w:rPr>
        <w:t>48.6</w:t>
      </w:r>
      <w:r w:rsidR="00C11395" w:rsidRPr="00F15B51">
        <w:rPr>
          <w:rFonts w:ascii="Arial" w:eastAsia="Arial" w:hAnsi="Arial" w:cs="Arial"/>
        </w:rPr>
        <w:t xml:space="preserve"> </w:t>
      </w:r>
      <w:r w:rsidRPr="00F15B51">
        <w:rPr>
          <w:rFonts w:ascii="Arial" w:eastAsia="Arial" w:hAnsi="Arial" w:cs="Arial"/>
        </w:rPr>
        <w:t>%); gallbladder wall thickness ≥</w:t>
      </w:r>
      <w:r w:rsidR="00C11395" w:rsidRPr="00F15B51">
        <w:rPr>
          <w:rFonts w:ascii="Arial" w:eastAsia="Arial" w:hAnsi="Arial" w:cs="Arial"/>
        </w:rPr>
        <w:t xml:space="preserve"> 4 (</w:t>
      </w:r>
      <w:r w:rsidRPr="00F15B51">
        <w:rPr>
          <w:rFonts w:ascii="Arial" w:eastAsia="Arial" w:hAnsi="Arial" w:cs="Arial"/>
        </w:rPr>
        <w:t>58.1</w:t>
      </w:r>
      <w:r w:rsidR="00C11395" w:rsidRPr="00F15B51">
        <w:rPr>
          <w:rFonts w:ascii="Arial" w:eastAsia="Arial" w:hAnsi="Arial" w:cs="Arial"/>
        </w:rPr>
        <w:t xml:space="preserve"> </w:t>
      </w:r>
      <w:r w:rsidRPr="00F15B51">
        <w:rPr>
          <w:rFonts w:ascii="Arial" w:eastAsia="Arial" w:hAnsi="Arial" w:cs="Arial"/>
        </w:rPr>
        <w:t>%); and hypervascularity on Doppler function (58.8</w:t>
      </w:r>
      <w:r w:rsidR="00BB17C7">
        <w:rPr>
          <w:rFonts w:ascii="Arial" w:eastAsia="Arial" w:hAnsi="Arial" w:cs="Arial"/>
        </w:rPr>
        <w:t xml:space="preserve"> </w:t>
      </w:r>
      <w:r w:rsidRPr="00F15B51">
        <w:rPr>
          <w:rFonts w:ascii="Arial" w:eastAsia="Arial" w:hAnsi="Arial" w:cs="Arial"/>
        </w:rPr>
        <w:t xml:space="preserve">%) were similar to those reported by </w:t>
      </w:r>
      <w:r w:rsidR="00C11395" w:rsidRPr="00F15B51">
        <w:rPr>
          <w:rFonts w:ascii="Arial" w:eastAsia="Arial" w:hAnsi="Arial" w:cs="Arial"/>
        </w:rPr>
        <w:t xml:space="preserve">Stoica et al. (2024) and </w:t>
      </w:r>
      <w:r w:rsidRPr="00F15B51">
        <w:rPr>
          <w:rFonts w:ascii="Arial" w:eastAsia="Arial" w:hAnsi="Arial" w:cs="Arial"/>
        </w:rPr>
        <w:t xml:space="preserve">Di et al. (2021) who highlight that abnormal clinical, biochemical, </w:t>
      </w:r>
      <w:r w:rsidRPr="00F15B51">
        <w:rPr>
          <w:rFonts w:ascii="Arial" w:eastAsia="Arial" w:hAnsi="Arial" w:cs="Arial"/>
        </w:rPr>
        <w:lastRenderedPageBreak/>
        <w:t>and radiological factors are frequent in patients undergoing laparoscopic cholecystectomy, and even more so in those with complications.</w:t>
      </w:r>
    </w:p>
    <w:p w14:paraId="657CD5B4" w14:textId="77777777" w:rsidR="00C11395" w:rsidRPr="00F15B51" w:rsidRDefault="00C11395" w:rsidP="002E4D8D">
      <w:pPr>
        <w:jc w:val="both"/>
        <w:rPr>
          <w:rFonts w:ascii="Arial" w:eastAsia="Arial" w:hAnsi="Arial" w:cs="Arial"/>
        </w:rPr>
      </w:pPr>
    </w:p>
    <w:p w14:paraId="5FCA0117" w14:textId="77777777" w:rsidR="000305FF" w:rsidRPr="00F15B51" w:rsidRDefault="000305FF" w:rsidP="002E4D8D">
      <w:pPr>
        <w:pStyle w:val="ConcHead"/>
        <w:spacing w:after="0"/>
        <w:jc w:val="both"/>
        <w:rPr>
          <w:rFonts w:ascii="Arial" w:hAnsi="Arial" w:cs="Arial"/>
        </w:rPr>
      </w:pPr>
      <w:r w:rsidRPr="00F15B51">
        <w:rPr>
          <w:rFonts w:ascii="Arial" w:hAnsi="Arial" w:cs="Arial"/>
        </w:rPr>
        <w:t>5. Conclusion</w:t>
      </w:r>
    </w:p>
    <w:p w14:paraId="6398C16F" w14:textId="77777777" w:rsidR="002E4D8D" w:rsidRPr="00F15B51" w:rsidRDefault="002E4D8D" w:rsidP="002E4D8D">
      <w:pPr>
        <w:pStyle w:val="AcknHead"/>
        <w:spacing w:after="0"/>
        <w:jc w:val="both"/>
        <w:rPr>
          <w:rFonts w:ascii="Arial" w:eastAsia="Arial" w:hAnsi="Arial" w:cs="Arial"/>
          <w:b w:val="0"/>
          <w:caps w:val="0"/>
          <w:color w:val="000000"/>
          <w:sz w:val="20"/>
        </w:rPr>
      </w:pPr>
    </w:p>
    <w:p w14:paraId="4DE58EB2" w14:textId="74731D3D" w:rsidR="00C11395" w:rsidRPr="00A37E25" w:rsidRDefault="00C11395" w:rsidP="002E4D8D">
      <w:pPr>
        <w:pStyle w:val="AcknHead"/>
        <w:spacing w:after="0"/>
        <w:jc w:val="both"/>
        <w:rPr>
          <w:rFonts w:ascii="Arial" w:eastAsia="Arial" w:hAnsi="Arial" w:cs="Arial"/>
          <w:b w:val="0"/>
          <w:caps w:val="0"/>
          <w:color w:val="000000"/>
          <w:sz w:val="20"/>
        </w:rPr>
      </w:pPr>
      <w:r w:rsidRPr="00F15B51">
        <w:rPr>
          <w:rFonts w:ascii="Arial" w:eastAsia="Arial" w:hAnsi="Arial" w:cs="Arial"/>
          <w:b w:val="0"/>
          <w:caps w:val="0"/>
          <w:color w:val="000000"/>
          <w:sz w:val="20"/>
        </w:rPr>
        <w:t>The results show that patients undergoing laparoscopic cholecystectomy in the Northern Region of Mexico were primarily women. Overweight and age &gt; 53 years were common. Laparoscopic cholecystectomy without technical difficulty predominated. At least 30 % of patients presented with fever, jaundice, leukocytosis, hyperbilirubinemia, largest stone size ≥ 10 mm, gallbladder wall thickness ≥ 4 mm, and hypervascularity on Doppler ultrasound. Patients who underwent technically difficult laparoscopic cholecystectomy were older and had a higher BMI. The demographic and epidemiological landscape in Mexico increases the risk of acute cholelithiasis.</w:t>
      </w:r>
      <w:r w:rsidR="00A37E25">
        <w:rPr>
          <w:rFonts w:ascii="Arial" w:eastAsia="Arial" w:hAnsi="Arial" w:cs="Arial"/>
          <w:b w:val="0"/>
          <w:caps w:val="0"/>
          <w:color w:val="000000"/>
          <w:sz w:val="20"/>
        </w:rPr>
        <w:t xml:space="preserve"> </w:t>
      </w:r>
      <w:r w:rsidR="00A37E25" w:rsidRPr="00A37E25">
        <w:rPr>
          <w:rFonts w:ascii="Arial" w:eastAsia="Arial" w:hAnsi="Arial" w:cs="Arial"/>
          <w:b w:val="0"/>
          <w:caps w:val="0"/>
          <w:color w:val="000000"/>
          <w:sz w:val="20"/>
          <w:highlight w:val="yellow"/>
        </w:rPr>
        <w:t>The descriptive nature and geographical limitations of our research require continuous epidemiological surveillance, in addition to continuing the study of biomarkers related to cholelithiasis in order to provide greater surgical safety in this type of patient.</w:t>
      </w:r>
    </w:p>
    <w:p w14:paraId="3966939B" w14:textId="6E84CCE8" w:rsidR="00F00A36" w:rsidRDefault="00F00A36" w:rsidP="002E4D8D">
      <w:pPr>
        <w:pStyle w:val="NoSpacing"/>
        <w:jc w:val="both"/>
        <w:rPr>
          <w:rFonts w:ascii="Arial" w:eastAsia="Times New Roman" w:hAnsi="Arial" w:cs="Arial"/>
          <w:sz w:val="20"/>
          <w:szCs w:val="20"/>
          <w:lang w:val="en-US"/>
        </w:rPr>
      </w:pPr>
    </w:p>
    <w:p w14:paraId="287C84AD" w14:textId="77777777" w:rsidR="00313095" w:rsidRPr="00F15B51" w:rsidRDefault="00313095" w:rsidP="002E4D8D">
      <w:pPr>
        <w:pStyle w:val="NoSpacing"/>
        <w:jc w:val="both"/>
        <w:rPr>
          <w:rFonts w:ascii="Arial" w:hAnsi="Arial" w:cs="Arial"/>
          <w:sz w:val="20"/>
          <w:szCs w:val="20"/>
          <w:lang w:val="en-US"/>
        </w:rPr>
      </w:pPr>
    </w:p>
    <w:p w14:paraId="3B5D8915" w14:textId="77777777" w:rsidR="00F7169A" w:rsidRPr="00D52D42" w:rsidRDefault="00F7169A" w:rsidP="00D52D42">
      <w:pPr>
        <w:keepNext/>
        <w:keepLines/>
        <w:jc w:val="both"/>
        <w:outlineLvl w:val="1"/>
        <w:rPr>
          <w:rFonts w:ascii="Arial" w:hAnsi="Arial" w:cs="Arial"/>
          <w:b/>
          <w:bCs/>
          <w:sz w:val="22"/>
          <w:szCs w:val="22"/>
          <w:highlight w:val="yellow"/>
          <w:lang w:val="en-GB" w:eastAsia="en-IN"/>
        </w:rPr>
      </w:pPr>
      <w:bookmarkStart w:id="1" w:name="_Hlk218867759"/>
      <w:r w:rsidRPr="00D52D42">
        <w:rPr>
          <w:rFonts w:ascii="Arial" w:hAnsi="Arial" w:cs="Arial"/>
          <w:b/>
          <w:bCs/>
          <w:sz w:val="22"/>
          <w:szCs w:val="22"/>
          <w:highlight w:val="yellow"/>
          <w:lang w:val="en-GB" w:eastAsia="en-IN"/>
        </w:rPr>
        <w:t>Disclaimer (Artificial intelligence)</w:t>
      </w:r>
    </w:p>
    <w:p w14:paraId="0E312F5E" w14:textId="77777777" w:rsidR="00D52D42" w:rsidRDefault="00D52D42" w:rsidP="00D52D42">
      <w:pPr>
        <w:keepNext/>
        <w:keepLines/>
        <w:jc w:val="both"/>
        <w:outlineLvl w:val="1"/>
        <w:rPr>
          <w:rFonts w:ascii="Arial" w:hAnsi="Arial" w:cs="Arial"/>
          <w:bCs/>
          <w:highlight w:val="yellow"/>
          <w:lang w:val="en-GB" w:eastAsia="en-IN"/>
        </w:rPr>
      </w:pPr>
    </w:p>
    <w:p w14:paraId="0E60C06D" w14:textId="7D331DDB" w:rsidR="00F7169A" w:rsidRPr="00D52D42" w:rsidRDefault="00F7169A" w:rsidP="00D52D42">
      <w:pPr>
        <w:keepNext/>
        <w:keepLines/>
        <w:jc w:val="both"/>
        <w:outlineLvl w:val="1"/>
        <w:rPr>
          <w:rFonts w:ascii="Arial" w:hAnsi="Arial" w:cs="Arial"/>
          <w:bCs/>
          <w:lang w:val="en-GB" w:eastAsia="en-IN"/>
        </w:rPr>
      </w:pPr>
      <w:r w:rsidRPr="00D52D42">
        <w:rPr>
          <w:rFonts w:ascii="Arial" w:hAnsi="Arial" w:cs="Arial"/>
          <w:bCs/>
          <w:highlight w:val="yellow"/>
          <w:lang w:val="en-GB" w:eastAsia="en-IN"/>
        </w:rPr>
        <w:t>Authors hereby declare that NO generative AI technologies such as Large Language Models (</w:t>
      </w:r>
      <w:proofErr w:type="spellStart"/>
      <w:r w:rsidRPr="00D52D42">
        <w:rPr>
          <w:rFonts w:ascii="Arial" w:hAnsi="Arial" w:cs="Arial"/>
          <w:bCs/>
          <w:highlight w:val="yellow"/>
          <w:lang w:val="en-GB" w:eastAsia="en-IN"/>
        </w:rPr>
        <w:t>ChatGPT</w:t>
      </w:r>
      <w:proofErr w:type="spellEnd"/>
      <w:r w:rsidRPr="00D52D42">
        <w:rPr>
          <w:rFonts w:ascii="Arial" w:hAnsi="Arial" w:cs="Arial"/>
          <w:bCs/>
          <w:highlight w:val="yellow"/>
          <w:lang w:val="en-GB" w:eastAsia="en-IN"/>
        </w:rPr>
        <w:t>, COPILOT, etc.) and text-to-image generators have been used during the writing or editing of this manuscript.</w:t>
      </w:r>
      <w:r w:rsidRPr="00D52D42">
        <w:rPr>
          <w:rFonts w:ascii="Arial" w:hAnsi="Arial" w:cs="Arial"/>
          <w:bCs/>
          <w:lang w:val="en-GB" w:eastAsia="en-IN"/>
        </w:rPr>
        <w:t xml:space="preserve"> </w:t>
      </w:r>
    </w:p>
    <w:bookmarkEnd w:id="1"/>
    <w:p w14:paraId="1E83BFA4" w14:textId="77777777" w:rsidR="00F7169A" w:rsidRDefault="00F7169A" w:rsidP="002E4D8D">
      <w:pPr>
        <w:pStyle w:val="ReferHead"/>
        <w:spacing w:after="0"/>
        <w:jc w:val="both"/>
        <w:rPr>
          <w:rFonts w:ascii="Arial" w:hAnsi="Arial" w:cs="Arial"/>
        </w:rPr>
      </w:pPr>
    </w:p>
    <w:p w14:paraId="1717A757" w14:textId="579C3400" w:rsidR="00BD7246" w:rsidRPr="00F15B51" w:rsidRDefault="00BD7246" w:rsidP="002E4D8D">
      <w:pPr>
        <w:pStyle w:val="ReferHead"/>
        <w:spacing w:after="0"/>
        <w:jc w:val="both"/>
        <w:rPr>
          <w:rFonts w:ascii="Arial" w:hAnsi="Arial" w:cs="Arial"/>
        </w:rPr>
      </w:pPr>
      <w:r w:rsidRPr="00F15B51">
        <w:rPr>
          <w:rFonts w:ascii="Arial" w:hAnsi="Arial" w:cs="Arial"/>
        </w:rPr>
        <w:t>References</w:t>
      </w:r>
    </w:p>
    <w:p w14:paraId="017B7220" w14:textId="77777777" w:rsidR="00BD7246" w:rsidRPr="00F15B51" w:rsidRDefault="00BD7246" w:rsidP="002E4D8D">
      <w:pPr>
        <w:pStyle w:val="Body"/>
        <w:spacing w:after="0"/>
        <w:rPr>
          <w:rFonts w:ascii="Arial" w:hAnsi="Arial" w:cs="Arial"/>
        </w:rPr>
      </w:pPr>
    </w:p>
    <w:p w14:paraId="77D5EDF8"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t>Adachi, T., Eguchi, S., Muto, Y. (2022). Pathophysiology and pathology of acute cholecystitis: A secondary publication of the Japanese version from 1992. Journal of Hepato</w:t>
      </w:r>
      <w:r w:rsidRPr="00F15B51">
        <w:rPr>
          <w:rFonts w:ascii="Cambria Math" w:hAnsi="Cambria Math" w:cs="Cambria Math"/>
        </w:rPr>
        <w:t>‐</w:t>
      </w:r>
      <w:r w:rsidRPr="00F15B51">
        <w:rPr>
          <w:rFonts w:ascii="Arial" w:hAnsi="Arial" w:cs="Arial"/>
        </w:rPr>
        <w:t>Biliary</w:t>
      </w:r>
      <w:r w:rsidRPr="00F15B51">
        <w:rPr>
          <w:rFonts w:ascii="Cambria Math" w:hAnsi="Cambria Math" w:cs="Cambria Math"/>
        </w:rPr>
        <w:t>‐</w:t>
      </w:r>
      <w:r w:rsidRPr="00F15B51">
        <w:rPr>
          <w:rFonts w:ascii="Arial" w:hAnsi="Arial" w:cs="Arial"/>
        </w:rPr>
        <w:t>Pancreatic Sciences. 29(2):212-216. DOI: 10.1002/jhbp.912</w:t>
      </w:r>
    </w:p>
    <w:p w14:paraId="651733B6" w14:textId="77777777" w:rsidR="002E4D8D" w:rsidRPr="00F15B51" w:rsidRDefault="002E4D8D" w:rsidP="002E4D8D">
      <w:pPr>
        <w:pStyle w:val="Body"/>
        <w:spacing w:after="0"/>
        <w:rPr>
          <w:rFonts w:ascii="Arial" w:hAnsi="Arial" w:cs="Arial"/>
        </w:rPr>
      </w:pPr>
    </w:p>
    <w:p w14:paraId="4627B2CB"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t xml:space="preserve">Ahmed, N., Misbah, S., Baig, M. A., et al. (2022). Patho-epidemiology of gallbladder lesions; a 5-year study at </w:t>
      </w:r>
      <w:proofErr w:type="spellStart"/>
      <w:r w:rsidRPr="00F15B51">
        <w:rPr>
          <w:rFonts w:ascii="Arial" w:hAnsi="Arial" w:cs="Arial"/>
        </w:rPr>
        <w:t>dow</w:t>
      </w:r>
      <w:proofErr w:type="spellEnd"/>
      <w:r w:rsidRPr="00F15B51">
        <w:rPr>
          <w:rFonts w:ascii="Arial" w:hAnsi="Arial" w:cs="Arial"/>
        </w:rPr>
        <w:t xml:space="preserve"> medical college, </w:t>
      </w:r>
      <w:proofErr w:type="spellStart"/>
      <w:r w:rsidRPr="00F15B51">
        <w:rPr>
          <w:rFonts w:ascii="Arial" w:hAnsi="Arial" w:cs="Arial"/>
        </w:rPr>
        <w:t>karachi</w:t>
      </w:r>
      <w:proofErr w:type="spellEnd"/>
      <w:r w:rsidRPr="00F15B51">
        <w:rPr>
          <w:rFonts w:ascii="Arial" w:hAnsi="Arial" w:cs="Arial"/>
        </w:rPr>
        <w:t>. DOI: 10.24327/23956429.ijcmpr20220018</w:t>
      </w:r>
    </w:p>
    <w:p w14:paraId="7C03023D" w14:textId="77777777" w:rsidR="002E4D8D" w:rsidRPr="00F15B51" w:rsidRDefault="002E4D8D" w:rsidP="002E4D8D">
      <w:pPr>
        <w:pStyle w:val="Body"/>
        <w:spacing w:after="0"/>
        <w:rPr>
          <w:rFonts w:ascii="Arial" w:hAnsi="Arial" w:cs="Arial"/>
        </w:rPr>
      </w:pPr>
    </w:p>
    <w:p w14:paraId="1A79DEF7" w14:textId="77777777" w:rsidR="00C11395" w:rsidRPr="00AB0198" w:rsidRDefault="00C11395" w:rsidP="00D839B9">
      <w:pPr>
        <w:pStyle w:val="Body"/>
        <w:numPr>
          <w:ilvl w:val="0"/>
          <w:numId w:val="32"/>
        </w:numPr>
        <w:spacing w:after="0"/>
        <w:rPr>
          <w:rFonts w:ascii="Arial" w:hAnsi="Arial" w:cs="Arial"/>
          <w:lang w:val="pt-BR"/>
        </w:rPr>
      </w:pPr>
      <w:proofErr w:type="spellStart"/>
      <w:r w:rsidRPr="00F15B51">
        <w:rPr>
          <w:rFonts w:ascii="Arial" w:hAnsi="Arial" w:cs="Arial"/>
        </w:rPr>
        <w:t>Bouassida</w:t>
      </w:r>
      <w:proofErr w:type="spellEnd"/>
      <w:r w:rsidRPr="00F15B51">
        <w:rPr>
          <w:rFonts w:ascii="Arial" w:hAnsi="Arial" w:cs="Arial"/>
        </w:rPr>
        <w:t xml:space="preserve">, M., Zribi, S., Krimi, B. et al. (2020). C-reactive protein is the best biomarker to predict advanced acute cholecystitis and conversion to open surgery. A prospective cohort study of 556 cases. Journal of Gastrointestinal Surgery. </w:t>
      </w:r>
      <w:r w:rsidRPr="00AB0198">
        <w:rPr>
          <w:rFonts w:ascii="Arial" w:hAnsi="Arial" w:cs="Arial"/>
          <w:lang w:val="pt-BR"/>
        </w:rPr>
        <w:t>24(12):2766-2772. DOI: 10.1007/s11605-019-04459-8</w:t>
      </w:r>
    </w:p>
    <w:p w14:paraId="506B667F" w14:textId="77777777" w:rsidR="002E4D8D" w:rsidRPr="00AB0198" w:rsidRDefault="002E4D8D" w:rsidP="002E4D8D">
      <w:pPr>
        <w:pStyle w:val="Body"/>
        <w:spacing w:after="0"/>
        <w:rPr>
          <w:rFonts w:ascii="Arial" w:hAnsi="Arial" w:cs="Arial"/>
          <w:lang w:val="pt-BR"/>
        </w:rPr>
      </w:pPr>
    </w:p>
    <w:p w14:paraId="4347FBE4" w14:textId="77777777" w:rsidR="00C11395" w:rsidRPr="00F15B51" w:rsidRDefault="00C11395" w:rsidP="00D839B9">
      <w:pPr>
        <w:pStyle w:val="Body"/>
        <w:numPr>
          <w:ilvl w:val="0"/>
          <w:numId w:val="32"/>
        </w:numPr>
        <w:spacing w:after="0"/>
        <w:rPr>
          <w:rFonts w:ascii="Arial" w:hAnsi="Arial" w:cs="Arial"/>
        </w:rPr>
      </w:pPr>
      <w:r w:rsidRPr="00AB0198">
        <w:rPr>
          <w:rFonts w:ascii="Arial" w:hAnsi="Arial" w:cs="Arial"/>
          <w:lang w:val="pt-BR"/>
        </w:rPr>
        <w:t xml:space="preserve">Di, B. G., Romano, G., Galia, M., et al. </w:t>
      </w:r>
      <w:r w:rsidRPr="00F15B51">
        <w:rPr>
          <w:rFonts w:ascii="Arial" w:hAnsi="Arial" w:cs="Arial"/>
        </w:rPr>
        <w:t>(2021).  Difficult laparoscopic cholecystectomy and preoperative predictive factors. Scientific reports. 11(1): 2559. DOI: 10.1038/s41598-021-81938-6</w:t>
      </w:r>
    </w:p>
    <w:p w14:paraId="3B9726EE" w14:textId="77777777" w:rsidR="002E4D8D" w:rsidRPr="00F15B51" w:rsidRDefault="002E4D8D" w:rsidP="005D2A0A">
      <w:pPr>
        <w:pStyle w:val="Body"/>
        <w:spacing w:after="0"/>
        <w:rPr>
          <w:rFonts w:ascii="Arial" w:hAnsi="Arial" w:cs="Arial"/>
        </w:rPr>
      </w:pPr>
    </w:p>
    <w:p w14:paraId="30BD4EC8" w14:textId="77777777" w:rsidR="00C11395" w:rsidRPr="00F15B51" w:rsidRDefault="00C11395" w:rsidP="00D839B9">
      <w:pPr>
        <w:pStyle w:val="Body"/>
        <w:numPr>
          <w:ilvl w:val="0"/>
          <w:numId w:val="32"/>
        </w:numPr>
        <w:spacing w:after="0"/>
        <w:rPr>
          <w:rFonts w:ascii="Arial" w:hAnsi="Arial" w:cs="Arial"/>
        </w:rPr>
      </w:pPr>
      <w:r w:rsidRPr="00B05F9D">
        <w:rPr>
          <w:rFonts w:ascii="Arial" w:hAnsi="Arial" w:cs="Arial"/>
        </w:rPr>
        <w:t xml:space="preserve">Díaz, R. J. D. D., Ortiz, R. O. I., Mena, A. G., et al. 2020. </w:t>
      </w:r>
      <w:r w:rsidRPr="00F15B51">
        <w:rPr>
          <w:rFonts w:ascii="Arial" w:hAnsi="Arial" w:cs="Arial"/>
        </w:rPr>
        <w:t xml:space="preserve">Factors associated with severity of grade I cholecystitis vs grade II in adult female patients. </w:t>
      </w:r>
      <w:proofErr w:type="spellStart"/>
      <w:r w:rsidRPr="00F15B51">
        <w:rPr>
          <w:rFonts w:ascii="Arial" w:hAnsi="Arial" w:cs="Arial"/>
        </w:rPr>
        <w:t>Cirujano</w:t>
      </w:r>
      <w:proofErr w:type="spellEnd"/>
      <w:r w:rsidRPr="00F15B51">
        <w:rPr>
          <w:rFonts w:ascii="Arial" w:hAnsi="Arial" w:cs="Arial"/>
        </w:rPr>
        <w:t xml:space="preserve"> general. 42(1):6-12. DOI: 10.35366/92705</w:t>
      </w:r>
    </w:p>
    <w:p w14:paraId="69840BB8" w14:textId="77777777" w:rsidR="002E4D8D" w:rsidRDefault="002E4D8D" w:rsidP="005D2A0A">
      <w:pPr>
        <w:pStyle w:val="Body"/>
        <w:spacing w:after="0"/>
        <w:rPr>
          <w:rFonts w:ascii="Arial" w:hAnsi="Arial" w:cs="Arial"/>
        </w:rPr>
      </w:pPr>
    </w:p>
    <w:p w14:paraId="002CAA0D" w14:textId="7CA93F92" w:rsidR="005D2A0A" w:rsidRPr="00D839B9" w:rsidRDefault="005D2A0A" w:rsidP="00D839B9">
      <w:pPr>
        <w:pStyle w:val="ListParagraph"/>
        <w:numPr>
          <w:ilvl w:val="0"/>
          <w:numId w:val="32"/>
        </w:numPr>
        <w:jc w:val="both"/>
        <w:rPr>
          <w:rFonts w:ascii="Arial" w:hAnsi="Arial" w:cs="Arial"/>
          <w:lang w:val="es-MX"/>
        </w:rPr>
      </w:pPr>
      <w:proofErr w:type="spellStart"/>
      <w:r w:rsidRPr="00D839B9">
        <w:rPr>
          <w:rFonts w:ascii="Arial" w:hAnsi="Arial" w:cs="Arial"/>
          <w:highlight w:val="yellow"/>
          <w:lang w:val="es-MX"/>
        </w:rPr>
        <w:t>Fujita</w:t>
      </w:r>
      <w:proofErr w:type="spellEnd"/>
      <w:r w:rsidRPr="00D839B9">
        <w:rPr>
          <w:rFonts w:ascii="Arial" w:hAnsi="Arial" w:cs="Arial"/>
          <w:highlight w:val="yellow"/>
          <w:lang w:val="es-MX"/>
        </w:rPr>
        <w:t xml:space="preserve">, N., </w:t>
      </w:r>
      <w:proofErr w:type="spellStart"/>
      <w:r w:rsidRPr="00D839B9">
        <w:rPr>
          <w:rFonts w:ascii="Arial" w:hAnsi="Arial" w:cs="Arial"/>
          <w:highlight w:val="yellow"/>
          <w:lang w:val="es-MX"/>
        </w:rPr>
        <w:t>Yasuda</w:t>
      </w:r>
      <w:proofErr w:type="spellEnd"/>
      <w:r w:rsidRPr="00D839B9">
        <w:rPr>
          <w:rFonts w:ascii="Arial" w:hAnsi="Arial" w:cs="Arial"/>
          <w:highlight w:val="yellow"/>
          <w:lang w:val="es-MX"/>
        </w:rPr>
        <w:t xml:space="preserve">, I., Endo, I., et al. </w:t>
      </w:r>
      <w:r w:rsidRPr="00D839B9">
        <w:rPr>
          <w:rFonts w:ascii="Arial" w:hAnsi="Arial" w:cs="Arial"/>
          <w:highlight w:val="yellow"/>
        </w:rPr>
        <w:t xml:space="preserve">(2023). Evidence-based clinical practice guidelines for cholelithiasis 2021. Journal of Gastroenterology. </w:t>
      </w:r>
      <w:r w:rsidRPr="00D839B9">
        <w:rPr>
          <w:rFonts w:ascii="Arial" w:hAnsi="Arial" w:cs="Arial"/>
          <w:highlight w:val="yellow"/>
          <w:lang w:val="es-MX"/>
        </w:rPr>
        <w:t>58(9): 801-833.  [https://link.springer.com/article/10.1007/s00535-023-02014-6]</w:t>
      </w:r>
    </w:p>
    <w:p w14:paraId="03F8D21B" w14:textId="77777777" w:rsidR="005D2A0A" w:rsidRDefault="005D2A0A" w:rsidP="005D2A0A">
      <w:pPr>
        <w:pStyle w:val="Body"/>
        <w:spacing w:after="0"/>
        <w:rPr>
          <w:rFonts w:ascii="Arial" w:hAnsi="Arial" w:cs="Arial"/>
          <w:highlight w:val="yellow"/>
          <w:lang w:val="es-MX"/>
        </w:rPr>
      </w:pPr>
    </w:p>
    <w:p w14:paraId="06EB6689" w14:textId="39FCDAA9" w:rsidR="00FE44E8" w:rsidRDefault="00FE44E8" w:rsidP="00D839B9">
      <w:pPr>
        <w:pStyle w:val="Body"/>
        <w:numPr>
          <w:ilvl w:val="0"/>
          <w:numId w:val="32"/>
        </w:numPr>
        <w:spacing w:after="0"/>
        <w:rPr>
          <w:rFonts w:ascii="Arial" w:hAnsi="Arial" w:cs="Arial"/>
          <w:highlight w:val="yellow"/>
        </w:rPr>
      </w:pPr>
      <w:r>
        <w:rPr>
          <w:rFonts w:ascii="Arial" w:hAnsi="Arial" w:cs="Arial"/>
          <w:highlight w:val="yellow"/>
          <w:lang w:val="es-MX"/>
        </w:rPr>
        <w:lastRenderedPageBreak/>
        <w:t xml:space="preserve">Instituto Nacional de Estadística y Geografía (INEGI). (2020). Población total (Número de habitantes) 2020. </w:t>
      </w:r>
      <w:r>
        <w:rPr>
          <w:rFonts w:ascii="Arial" w:hAnsi="Arial" w:cs="Arial"/>
          <w:highlight w:val="yellow"/>
        </w:rPr>
        <w:t>[</w:t>
      </w:r>
      <w:proofErr w:type="spellStart"/>
      <w:r>
        <w:rPr>
          <w:rFonts w:ascii="Arial" w:hAnsi="Arial" w:cs="Arial"/>
          <w:highlight w:val="yellow"/>
        </w:rPr>
        <w:t>Accesed</w:t>
      </w:r>
      <w:proofErr w:type="spellEnd"/>
      <w:r>
        <w:rPr>
          <w:rFonts w:ascii="Arial" w:hAnsi="Arial" w:cs="Arial"/>
          <w:highlight w:val="yellow"/>
        </w:rPr>
        <w:t xml:space="preserve"> December 2025]. [https://cuentame.inegi.org.mx/poblacion/habitantes.aspx?tema=P]</w:t>
      </w:r>
    </w:p>
    <w:p w14:paraId="096137C0" w14:textId="77777777" w:rsidR="005D2A0A" w:rsidRPr="00B05F9D" w:rsidRDefault="005D2A0A" w:rsidP="00FE44E8">
      <w:pPr>
        <w:pStyle w:val="Body"/>
        <w:spacing w:after="0"/>
        <w:rPr>
          <w:rFonts w:ascii="Arial" w:hAnsi="Arial" w:cs="Arial"/>
          <w:highlight w:val="yellow"/>
        </w:rPr>
      </w:pPr>
    </w:p>
    <w:p w14:paraId="0FC94BB9" w14:textId="77777777" w:rsidR="00FE44E8" w:rsidRDefault="00FE44E8" w:rsidP="00D839B9">
      <w:pPr>
        <w:pStyle w:val="Body"/>
        <w:numPr>
          <w:ilvl w:val="0"/>
          <w:numId w:val="32"/>
        </w:numPr>
        <w:spacing w:after="0"/>
        <w:rPr>
          <w:rFonts w:ascii="Arial" w:hAnsi="Arial" w:cs="Arial"/>
        </w:rPr>
      </w:pPr>
      <w:r>
        <w:rPr>
          <w:rFonts w:ascii="Arial" w:hAnsi="Arial" w:cs="Arial"/>
          <w:highlight w:val="yellow"/>
          <w:lang w:val="es-MX"/>
        </w:rPr>
        <w:t xml:space="preserve">Instituto Nacional de Estadística y Geografía (INEGI). (2021). Estadísticas a propósito del Día Mundial de la Diabetes.  </w:t>
      </w:r>
      <w:r>
        <w:rPr>
          <w:rFonts w:ascii="Arial" w:hAnsi="Arial" w:cs="Arial"/>
          <w:highlight w:val="yellow"/>
        </w:rPr>
        <w:t>[</w:t>
      </w:r>
      <w:proofErr w:type="spellStart"/>
      <w:r>
        <w:rPr>
          <w:rFonts w:ascii="Arial" w:hAnsi="Arial" w:cs="Arial"/>
          <w:highlight w:val="yellow"/>
        </w:rPr>
        <w:t>Accesed</w:t>
      </w:r>
      <w:proofErr w:type="spellEnd"/>
      <w:r>
        <w:rPr>
          <w:rFonts w:ascii="Arial" w:hAnsi="Arial" w:cs="Arial"/>
          <w:highlight w:val="yellow"/>
        </w:rPr>
        <w:t xml:space="preserve"> December 2025]. [https://www.inegi.org.mx/contenidos/saladeprensa/aproposito/2021/EAP_Diabetes2021.pdf]</w:t>
      </w:r>
    </w:p>
    <w:p w14:paraId="09D5CB76" w14:textId="77777777" w:rsidR="00FE44E8" w:rsidRPr="00F15B51" w:rsidRDefault="00FE44E8" w:rsidP="002E4D8D">
      <w:pPr>
        <w:pStyle w:val="Body"/>
        <w:spacing w:after="0"/>
        <w:rPr>
          <w:rFonts w:ascii="Arial" w:hAnsi="Arial" w:cs="Arial"/>
        </w:rPr>
      </w:pPr>
    </w:p>
    <w:p w14:paraId="4E57654B" w14:textId="77777777" w:rsidR="00FE44E8" w:rsidRPr="00FE44E8" w:rsidRDefault="00FE44E8" w:rsidP="002E4D8D">
      <w:pPr>
        <w:pStyle w:val="Body"/>
        <w:spacing w:after="0"/>
        <w:rPr>
          <w:rFonts w:ascii="Arial" w:hAnsi="Arial" w:cs="Arial"/>
        </w:rPr>
      </w:pPr>
    </w:p>
    <w:p w14:paraId="09C29379" w14:textId="77777777" w:rsidR="00C11395" w:rsidRPr="00F15B51" w:rsidRDefault="00C11395" w:rsidP="00D839B9">
      <w:pPr>
        <w:pStyle w:val="Body"/>
        <w:numPr>
          <w:ilvl w:val="0"/>
          <w:numId w:val="32"/>
        </w:numPr>
        <w:spacing w:after="0"/>
        <w:rPr>
          <w:rFonts w:ascii="Arial" w:hAnsi="Arial" w:cs="Arial"/>
        </w:rPr>
      </w:pPr>
      <w:r w:rsidRPr="00AB0198">
        <w:rPr>
          <w:rFonts w:ascii="Arial" w:hAnsi="Arial" w:cs="Arial"/>
          <w:lang w:val="es-MX"/>
        </w:rPr>
        <w:t xml:space="preserve">Lee, W., </w:t>
      </w:r>
      <w:proofErr w:type="spellStart"/>
      <w:r w:rsidRPr="00AB0198">
        <w:rPr>
          <w:rFonts w:ascii="Arial" w:hAnsi="Arial" w:cs="Arial"/>
          <w:lang w:val="es-MX"/>
        </w:rPr>
        <w:t>Jang</w:t>
      </w:r>
      <w:proofErr w:type="spellEnd"/>
      <w:r w:rsidRPr="00AB0198">
        <w:rPr>
          <w:rFonts w:ascii="Arial" w:hAnsi="Arial" w:cs="Arial"/>
          <w:lang w:val="es-MX"/>
        </w:rPr>
        <w:t xml:space="preserve">, J. Y., </w:t>
      </w:r>
      <w:proofErr w:type="gramStart"/>
      <w:r w:rsidRPr="00AB0198">
        <w:rPr>
          <w:rFonts w:ascii="Arial" w:hAnsi="Arial" w:cs="Arial"/>
          <w:lang w:val="es-MX"/>
        </w:rPr>
        <w:t>Cho,  J.</w:t>
      </w:r>
      <w:proofErr w:type="gramEnd"/>
      <w:r w:rsidRPr="00AB0198">
        <w:rPr>
          <w:rFonts w:ascii="Arial" w:hAnsi="Arial" w:cs="Arial"/>
          <w:lang w:val="es-MX"/>
        </w:rPr>
        <w:t xml:space="preserve"> K., et al. </w:t>
      </w:r>
      <w:r w:rsidRPr="00F15B51">
        <w:rPr>
          <w:rFonts w:ascii="Arial" w:hAnsi="Arial" w:cs="Arial"/>
        </w:rPr>
        <w:t>(2020). Does surgical difficulty relate to severity of acute cholecystitis? Validation of the parkland grading scale based on intraoperative findings. The American Journal of Surgery. 219(4):637-641. DOI: 10.1016/j.amjsurg.2018.12.005</w:t>
      </w:r>
    </w:p>
    <w:p w14:paraId="08A04594" w14:textId="77777777" w:rsidR="002E4D8D" w:rsidRPr="00F15B51" w:rsidRDefault="002E4D8D" w:rsidP="002E4D8D">
      <w:pPr>
        <w:pStyle w:val="Body"/>
        <w:spacing w:after="0"/>
        <w:rPr>
          <w:rFonts w:ascii="Arial" w:hAnsi="Arial" w:cs="Arial"/>
        </w:rPr>
      </w:pPr>
    </w:p>
    <w:p w14:paraId="0799F039"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Maddu</w:t>
      </w:r>
      <w:proofErr w:type="spellEnd"/>
      <w:r w:rsidRPr="00F15B51">
        <w:rPr>
          <w:rFonts w:ascii="Arial" w:hAnsi="Arial" w:cs="Arial"/>
        </w:rPr>
        <w:t>, K., Phadke, S., Hoff, C. (2021). Complications of cholecystitis: a comprehensive contemporary imaging review. Emergency Radiology. 28(5):1011-1027. DOI: 10.1007/s10140-021-01944-z</w:t>
      </w:r>
    </w:p>
    <w:p w14:paraId="37A169B0" w14:textId="77777777" w:rsidR="002E4D8D" w:rsidRPr="00F15B51" w:rsidRDefault="002E4D8D" w:rsidP="002E4D8D">
      <w:pPr>
        <w:pStyle w:val="Body"/>
        <w:spacing w:after="0"/>
        <w:rPr>
          <w:rFonts w:ascii="Arial" w:hAnsi="Arial" w:cs="Arial"/>
        </w:rPr>
      </w:pPr>
    </w:p>
    <w:p w14:paraId="46605A81"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t>Nassar, A. H., Ng, H. J., Wysocki, A. P., et al. (2021). Achieving the critical view of safety in the difficult laparoscopic cholecystectomy: a prospective study of predictors of failure. Surgical endoscopy. 35:6039-6047. DOI: 10.1007/s00464-020-08093-3</w:t>
      </w:r>
    </w:p>
    <w:p w14:paraId="797CF155" w14:textId="77777777" w:rsidR="002E4D8D" w:rsidRPr="00F15B51" w:rsidRDefault="002E4D8D" w:rsidP="002E4D8D">
      <w:pPr>
        <w:pStyle w:val="Body"/>
        <w:spacing w:after="0"/>
        <w:rPr>
          <w:rFonts w:ascii="Arial" w:hAnsi="Arial" w:cs="Arial"/>
        </w:rPr>
      </w:pPr>
    </w:p>
    <w:p w14:paraId="49434E5A"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Ohya</w:t>
      </w:r>
      <w:proofErr w:type="spellEnd"/>
      <w:r w:rsidRPr="00F15B51">
        <w:rPr>
          <w:rFonts w:ascii="Arial" w:hAnsi="Arial" w:cs="Arial"/>
        </w:rPr>
        <w:t>, H., Maeda, A., Takayama, Y., et al. (2022). Preoperative risk factors for technical difficulty in emergent laparoscopic cholecystectomy for acute cholecystitis. Asian Journal of Endoscopic Surgery. 15(1):82-89. DOI: 10.1111/ases.12969</w:t>
      </w:r>
    </w:p>
    <w:p w14:paraId="3621B1EE" w14:textId="77777777" w:rsidR="002E4D8D" w:rsidRPr="00F15B51" w:rsidRDefault="002E4D8D" w:rsidP="002E4D8D">
      <w:pPr>
        <w:pStyle w:val="Body"/>
        <w:spacing w:after="0"/>
        <w:rPr>
          <w:rFonts w:ascii="Arial" w:hAnsi="Arial" w:cs="Arial"/>
        </w:rPr>
      </w:pPr>
    </w:p>
    <w:p w14:paraId="45B3CC21" w14:textId="77777777" w:rsidR="00C11395" w:rsidRPr="00AB0198" w:rsidRDefault="00C11395" w:rsidP="00D839B9">
      <w:pPr>
        <w:pStyle w:val="Body"/>
        <w:numPr>
          <w:ilvl w:val="0"/>
          <w:numId w:val="32"/>
        </w:numPr>
        <w:spacing w:after="0"/>
        <w:rPr>
          <w:rFonts w:ascii="Arial" w:hAnsi="Arial" w:cs="Arial"/>
          <w:lang w:val="pt-BR"/>
        </w:rPr>
      </w:pPr>
      <w:proofErr w:type="spellStart"/>
      <w:r w:rsidRPr="00F15B51">
        <w:rPr>
          <w:rFonts w:ascii="Arial" w:hAnsi="Arial" w:cs="Arial"/>
        </w:rPr>
        <w:t>Osailan</w:t>
      </w:r>
      <w:proofErr w:type="spellEnd"/>
      <w:r w:rsidRPr="00F15B51">
        <w:rPr>
          <w:rFonts w:ascii="Arial" w:hAnsi="Arial" w:cs="Arial"/>
        </w:rPr>
        <w:t xml:space="preserve">, S., </w:t>
      </w:r>
      <w:proofErr w:type="spellStart"/>
      <w:r w:rsidRPr="00F15B51">
        <w:rPr>
          <w:rFonts w:ascii="Arial" w:hAnsi="Arial" w:cs="Arial"/>
        </w:rPr>
        <w:t>Esailan</w:t>
      </w:r>
      <w:proofErr w:type="spellEnd"/>
      <w:r w:rsidRPr="00F15B51">
        <w:rPr>
          <w:rFonts w:ascii="Arial" w:hAnsi="Arial" w:cs="Arial"/>
        </w:rPr>
        <w:t xml:space="preserve">, M., </w:t>
      </w:r>
      <w:proofErr w:type="spellStart"/>
      <w:r w:rsidRPr="00F15B51">
        <w:rPr>
          <w:rFonts w:ascii="Arial" w:hAnsi="Arial" w:cs="Arial"/>
        </w:rPr>
        <w:t>Alraddadi</w:t>
      </w:r>
      <w:proofErr w:type="spellEnd"/>
      <w:r w:rsidRPr="00F15B51">
        <w:rPr>
          <w:rFonts w:ascii="Arial" w:hAnsi="Arial" w:cs="Arial"/>
        </w:rPr>
        <w:t xml:space="preserve">, A. M., et al. (2023). The Use of Intraoperative Cholangiography During Cholecystectomy: A Systematic Review. </w:t>
      </w:r>
      <w:r w:rsidRPr="00AB0198">
        <w:rPr>
          <w:rFonts w:ascii="Arial" w:hAnsi="Arial" w:cs="Arial"/>
          <w:lang w:val="pt-BR"/>
        </w:rPr>
        <w:t>Cureus. 2023; 15(10). DOI: 10.7759/cureus.476468</w:t>
      </w:r>
    </w:p>
    <w:p w14:paraId="1DAAF192" w14:textId="77777777" w:rsidR="002E4D8D" w:rsidRPr="00AB0198" w:rsidRDefault="002E4D8D" w:rsidP="002E4D8D">
      <w:pPr>
        <w:pStyle w:val="Body"/>
        <w:spacing w:after="0"/>
        <w:rPr>
          <w:rFonts w:ascii="Arial" w:hAnsi="Arial" w:cs="Arial"/>
          <w:lang w:val="pt-BR"/>
        </w:rPr>
      </w:pPr>
    </w:p>
    <w:p w14:paraId="1567D9CF" w14:textId="3FCC70D0" w:rsidR="00D52D42" w:rsidRPr="00D839B9" w:rsidRDefault="00D52D42" w:rsidP="00D839B9">
      <w:pPr>
        <w:pStyle w:val="ListParagraph"/>
        <w:numPr>
          <w:ilvl w:val="0"/>
          <w:numId w:val="32"/>
        </w:numPr>
        <w:jc w:val="both"/>
        <w:rPr>
          <w:rFonts w:ascii="Arial" w:hAnsi="Arial" w:cs="Arial"/>
          <w:lang w:val="pt-BR"/>
        </w:rPr>
      </w:pPr>
      <w:proofErr w:type="gramStart"/>
      <w:r w:rsidRPr="00D839B9">
        <w:rPr>
          <w:rFonts w:ascii="Arial" w:hAnsi="Arial" w:cs="Arial"/>
          <w:highlight w:val="yellow"/>
          <w:lang w:val="es-MX"/>
        </w:rPr>
        <w:t>Pérez,  M.</w:t>
      </w:r>
      <w:proofErr w:type="gramEnd"/>
      <w:r w:rsidRPr="00D839B9">
        <w:rPr>
          <w:rFonts w:ascii="Arial" w:hAnsi="Arial" w:cs="Arial"/>
          <w:highlight w:val="yellow"/>
          <w:lang w:val="es-MX"/>
        </w:rPr>
        <w:t xml:space="preserve"> P., Riquelme, I., García, P., et al. </w:t>
      </w:r>
      <w:r w:rsidRPr="00D839B9">
        <w:rPr>
          <w:rFonts w:ascii="Arial" w:hAnsi="Arial" w:cs="Arial"/>
          <w:highlight w:val="yellow"/>
        </w:rPr>
        <w:t xml:space="preserve">(2022). Environmental and lifestyle risk factors in the carcinogenesis of gallbladder cancer. Journal of Personalized Medicine. </w:t>
      </w:r>
      <w:r w:rsidRPr="00D839B9">
        <w:rPr>
          <w:rFonts w:ascii="Arial" w:hAnsi="Arial" w:cs="Arial"/>
          <w:highlight w:val="yellow"/>
          <w:lang w:val="pt-BR"/>
        </w:rPr>
        <w:t>12(2):234.</w:t>
      </w:r>
      <w:r w:rsidR="00975B8C" w:rsidRPr="00D839B9">
        <w:rPr>
          <w:rFonts w:ascii="Arial" w:hAnsi="Arial" w:cs="Arial"/>
          <w:highlight w:val="yellow"/>
          <w:lang w:val="pt-BR"/>
        </w:rPr>
        <w:t xml:space="preserve"> DOI: 10.3390/jpm12020234</w:t>
      </w:r>
    </w:p>
    <w:p w14:paraId="68EAF568" w14:textId="77777777" w:rsidR="00D52D42" w:rsidRPr="00B05F9D" w:rsidRDefault="00D52D42" w:rsidP="002E4D8D">
      <w:pPr>
        <w:pStyle w:val="Body"/>
        <w:spacing w:after="0"/>
        <w:rPr>
          <w:rFonts w:ascii="Arial" w:hAnsi="Arial" w:cs="Arial"/>
          <w:lang w:val="pt-BR"/>
        </w:rPr>
      </w:pPr>
    </w:p>
    <w:p w14:paraId="18D593B0" w14:textId="77777777" w:rsidR="00D52D42" w:rsidRPr="00B05F9D" w:rsidRDefault="00D52D42" w:rsidP="002E4D8D">
      <w:pPr>
        <w:pStyle w:val="Body"/>
        <w:spacing w:after="0"/>
        <w:rPr>
          <w:rFonts w:ascii="Arial" w:hAnsi="Arial" w:cs="Arial"/>
          <w:lang w:val="pt-BR"/>
        </w:rPr>
      </w:pPr>
    </w:p>
    <w:p w14:paraId="420230E0" w14:textId="77777777" w:rsidR="00C11395" w:rsidRPr="00AB0198" w:rsidRDefault="00C11395" w:rsidP="00D839B9">
      <w:pPr>
        <w:pStyle w:val="Body"/>
        <w:numPr>
          <w:ilvl w:val="0"/>
          <w:numId w:val="32"/>
        </w:numPr>
        <w:spacing w:after="0"/>
        <w:rPr>
          <w:rFonts w:ascii="Arial" w:hAnsi="Arial" w:cs="Arial"/>
          <w:lang w:val="pt-BR"/>
        </w:rPr>
      </w:pPr>
      <w:r w:rsidRPr="00B05F9D">
        <w:rPr>
          <w:rFonts w:ascii="Arial" w:hAnsi="Arial" w:cs="Arial"/>
          <w:lang w:val="pt-BR"/>
        </w:rPr>
        <w:t xml:space="preserve">Rangel, O. G., Alanis, R. B., Trejo, S. J., et al. </w:t>
      </w:r>
      <w:r w:rsidRPr="00F15B51">
        <w:rPr>
          <w:rFonts w:ascii="Arial" w:hAnsi="Arial" w:cs="Arial"/>
        </w:rPr>
        <w:t xml:space="preserve">(2022). Intraoperative complexity and risk factors associated with conversion to open surgery during laparoscopic cholecystectomy in eight hospitals in Mexico City. </w:t>
      </w:r>
      <w:r w:rsidRPr="00AB0198">
        <w:rPr>
          <w:rFonts w:ascii="Arial" w:hAnsi="Arial" w:cs="Arial"/>
          <w:lang w:val="pt-BR"/>
        </w:rPr>
        <w:t>Surgical Endoscopy. 36(12):9321-9328. DOI: 10.1007/s00464-022-09206-w</w:t>
      </w:r>
    </w:p>
    <w:p w14:paraId="6919DC1C" w14:textId="77777777" w:rsidR="002E4D8D" w:rsidRPr="00AB0198" w:rsidRDefault="002E4D8D" w:rsidP="002E4D8D">
      <w:pPr>
        <w:pStyle w:val="Body"/>
        <w:spacing w:after="0"/>
        <w:rPr>
          <w:rFonts w:ascii="Arial" w:hAnsi="Arial" w:cs="Arial"/>
          <w:lang w:val="pt-BR"/>
        </w:rPr>
      </w:pPr>
    </w:p>
    <w:p w14:paraId="6FC7D26C" w14:textId="116EB6D6" w:rsidR="00975B8C" w:rsidRPr="00975B8C" w:rsidRDefault="00975B8C" w:rsidP="00D839B9">
      <w:pPr>
        <w:pStyle w:val="Body"/>
        <w:numPr>
          <w:ilvl w:val="0"/>
          <w:numId w:val="32"/>
        </w:numPr>
        <w:spacing w:after="0"/>
        <w:rPr>
          <w:rFonts w:ascii="Arial" w:hAnsi="Arial" w:cs="Arial"/>
          <w:lang w:val="es-MX"/>
        </w:rPr>
      </w:pPr>
      <w:proofErr w:type="spellStart"/>
      <w:r w:rsidRPr="00975B8C">
        <w:rPr>
          <w:rFonts w:ascii="Arial" w:hAnsi="Arial" w:cs="Arial"/>
          <w:highlight w:val="yellow"/>
          <w:lang w:val="es-MX"/>
        </w:rPr>
        <w:t>Roesch</w:t>
      </w:r>
      <w:proofErr w:type="spellEnd"/>
      <w:r w:rsidRPr="00975B8C">
        <w:rPr>
          <w:rFonts w:ascii="Arial" w:hAnsi="Arial" w:cs="Arial"/>
          <w:highlight w:val="yellow"/>
          <w:lang w:val="es-MX"/>
        </w:rPr>
        <w:t xml:space="preserve">, D. F., Pérez, M. A. G., Ballinas, B. J. R., et al. ¿Influye la obesidad en la morbimortalidad de la colecistectomía </w:t>
      </w:r>
      <w:proofErr w:type="gramStart"/>
      <w:r w:rsidRPr="00975B8C">
        <w:rPr>
          <w:rFonts w:ascii="Arial" w:hAnsi="Arial" w:cs="Arial"/>
          <w:highlight w:val="yellow"/>
          <w:lang w:val="es-MX"/>
        </w:rPr>
        <w:t>laparoscópica?.</w:t>
      </w:r>
      <w:proofErr w:type="gramEnd"/>
      <w:r w:rsidRPr="00975B8C">
        <w:rPr>
          <w:rFonts w:ascii="Arial" w:hAnsi="Arial" w:cs="Arial"/>
          <w:highlight w:val="yellow"/>
          <w:lang w:val="es-MX"/>
        </w:rPr>
        <w:t xml:space="preserve"> Cirujano general. 44(1):5-10. DOI:</w:t>
      </w:r>
      <w:r w:rsidRPr="00B05F9D">
        <w:rPr>
          <w:highlight w:val="yellow"/>
          <w:lang w:val="es-MX"/>
        </w:rPr>
        <w:t xml:space="preserve"> </w:t>
      </w:r>
      <w:r w:rsidRPr="00975B8C">
        <w:rPr>
          <w:rFonts w:ascii="Arial" w:hAnsi="Arial" w:cs="Arial"/>
          <w:highlight w:val="yellow"/>
          <w:lang w:val="es-MX"/>
        </w:rPr>
        <w:t>10.35366/109313</w:t>
      </w:r>
    </w:p>
    <w:p w14:paraId="5FE07371" w14:textId="77777777" w:rsidR="00975B8C" w:rsidRPr="00975B8C" w:rsidRDefault="00975B8C" w:rsidP="002E4D8D">
      <w:pPr>
        <w:pStyle w:val="Body"/>
        <w:spacing w:after="0"/>
        <w:rPr>
          <w:rFonts w:ascii="Arial" w:hAnsi="Arial" w:cs="Arial"/>
          <w:lang w:val="es-MX"/>
        </w:rPr>
      </w:pPr>
    </w:p>
    <w:p w14:paraId="201E1D1A" w14:textId="77777777" w:rsidR="00C11395" w:rsidRPr="00AB0198" w:rsidRDefault="00C11395" w:rsidP="00D839B9">
      <w:pPr>
        <w:pStyle w:val="Body"/>
        <w:numPr>
          <w:ilvl w:val="0"/>
          <w:numId w:val="32"/>
        </w:numPr>
        <w:spacing w:after="0"/>
        <w:rPr>
          <w:rFonts w:ascii="Arial" w:hAnsi="Arial" w:cs="Arial"/>
          <w:lang w:val="es-MX"/>
        </w:rPr>
      </w:pPr>
      <w:r w:rsidRPr="00975B8C">
        <w:rPr>
          <w:rFonts w:ascii="Arial" w:hAnsi="Arial" w:cs="Arial"/>
          <w:lang w:val="es-MX"/>
        </w:rPr>
        <w:t xml:space="preserve">Romano, B. L. A., Hernández, A. F., Rojas, J. E. (2023). </w:t>
      </w:r>
      <w:r w:rsidRPr="00AB0198">
        <w:rPr>
          <w:rFonts w:ascii="Arial" w:hAnsi="Arial" w:cs="Arial"/>
          <w:lang w:val="es-MX"/>
        </w:rPr>
        <w:t xml:space="preserve">Comparación de los criterios de Tokio y clasificación de </w:t>
      </w:r>
      <w:proofErr w:type="spellStart"/>
      <w:r w:rsidRPr="00AB0198">
        <w:rPr>
          <w:rFonts w:ascii="Arial" w:hAnsi="Arial" w:cs="Arial"/>
          <w:lang w:val="es-MX"/>
        </w:rPr>
        <w:t>Parkland</w:t>
      </w:r>
      <w:proofErr w:type="spellEnd"/>
      <w:r w:rsidRPr="00AB0198">
        <w:rPr>
          <w:rFonts w:ascii="Arial" w:hAnsi="Arial" w:cs="Arial"/>
          <w:lang w:val="es-MX"/>
        </w:rPr>
        <w:t xml:space="preserve"> para predicción de complicaciones en una cohorte de pacientes sometidos a colecistectomía laparoscópica en el Hospital </w:t>
      </w:r>
      <w:proofErr w:type="spellStart"/>
      <w:r w:rsidRPr="00AB0198">
        <w:rPr>
          <w:rFonts w:ascii="Arial" w:hAnsi="Arial" w:cs="Arial"/>
          <w:lang w:val="es-MX"/>
        </w:rPr>
        <w:t>Angeles</w:t>
      </w:r>
      <w:proofErr w:type="spellEnd"/>
      <w:r w:rsidRPr="00AB0198">
        <w:rPr>
          <w:rFonts w:ascii="Arial" w:hAnsi="Arial" w:cs="Arial"/>
          <w:lang w:val="es-MX"/>
        </w:rPr>
        <w:t xml:space="preserve"> Pedregal. Acta médica Grupo Ángeles. 21(2):128-133. DOI: 10.35366/110258</w:t>
      </w:r>
    </w:p>
    <w:p w14:paraId="3E4F3CBF" w14:textId="77777777" w:rsidR="005F4D9D" w:rsidRPr="00AB0198" w:rsidRDefault="005F4D9D" w:rsidP="002E4D8D">
      <w:pPr>
        <w:pStyle w:val="Body"/>
        <w:spacing w:after="0"/>
        <w:rPr>
          <w:rFonts w:ascii="Arial" w:hAnsi="Arial" w:cs="Arial"/>
          <w:lang w:val="es-MX"/>
        </w:rPr>
      </w:pPr>
    </w:p>
    <w:p w14:paraId="00DA3E1D" w14:textId="7CBF569B" w:rsidR="00C11395" w:rsidRPr="00B05F9D" w:rsidRDefault="00C11395" w:rsidP="00D839B9">
      <w:pPr>
        <w:pStyle w:val="Body"/>
        <w:numPr>
          <w:ilvl w:val="0"/>
          <w:numId w:val="32"/>
        </w:numPr>
        <w:spacing w:after="0"/>
        <w:rPr>
          <w:rFonts w:ascii="Arial" w:hAnsi="Arial" w:cs="Arial"/>
          <w:lang w:val="es-MX"/>
        </w:rPr>
      </w:pPr>
      <w:r w:rsidRPr="00AB0198">
        <w:rPr>
          <w:rFonts w:ascii="Arial" w:hAnsi="Arial" w:cs="Arial"/>
          <w:lang w:val="es-MX"/>
        </w:rPr>
        <w:t>Secretaria de Salud - Instituto Nacional de Salud Pública</w:t>
      </w:r>
      <w:r w:rsidR="00FE44E8">
        <w:rPr>
          <w:rFonts w:ascii="Arial" w:hAnsi="Arial" w:cs="Arial"/>
          <w:lang w:val="es-MX"/>
        </w:rPr>
        <w:t xml:space="preserve"> (</w:t>
      </w:r>
      <w:r w:rsidR="00FE44E8" w:rsidRPr="00FE44E8">
        <w:rPr>
          <w:rFonts w:ascii="Arial" w:hAnsi="Arial" w:cs="Arial"/>
          <w:highlight w:val="yellow"/>
          <w:lang w:val="es-MX"/>
        </w:rPr>
        <w:t>SS-INSP</w:t>
      </w:r>
      <w:r w:rsidR="00FE44E8">
        <w:rPr>
          <w:rFonts w:ascii="Arial" w:hAnsi="Arial" w:cs="Arial"/>
          <w:lang w:val="es-MX"/>
        </w:rPr>
        <w:t>)</w:t>
      </w:r>
      <w:r w:rsidRPr="00AB0198">
        <w:rPr>
          <w:rFonts w:ascii="Arial" w:hAnsi="Arial" w:cs="Arial"/>
          <w:lang w:val="es-MX"/>
        </w:rPr>
        <w:t xml:space="preserve">. (2020). Encuesta Nacional de Salud y Nutrición 2020 sobre Covid-19 Resultados </w:t>
      </w:r>
      <w:r w:rsidRPr="00AB0198">
        <w:rPr>
          <w:rFonts w:ascii="Arial" w:hAnsi="Arial" w:cs="Arial"/>
          <w:lang w:val="es-MX"/>
        </w:rPr>
        <w:lastRenderedPageBreak/>
        <w:t xml:space="preserve">nacionales. </w:t>
      </w:r>
      <w:r w:rsidRPr="00B05F9D">
        <w:rPr>
          <w:rFonts w:ascii="Arial" w:hAnsi="Arial" w:cs="Arial"/>
          <w:lang w:val="es-MX"/>
        </w:rPr>
        <w:t>[</w:t>
      </w:r>
      <w:proofErr w:type="spellStart"/>
      <w:r w:rsidRPr="00B05F9D">
        <w:rPr>
          <w:rFonts w:ascii="Arial" w:hAnsi="Arial" w:cs="Arial"/>
          <w:lang w:val="es-MX"/>
        </w:rPr>
        <w:t>Accesed</w:t>
      </w:r>
      <w:proofErr w:type="spellEnd"/>
      <w:r w:rsidRPr="00B05F9D">
        <w:rPr>
          <w:rFonts w:ascii="Arial" w:hAnsi="Arial" w:cs="Arial"/>
          <w:lang w:val="es-MX"/>
        </w:rPr>
        <w:t xml:space="preserve"> Consultado febrero 2024]. [</w:t>
      </w:r>
      <w:proofErr w:type="spellStart"/>
      <w:r w:rsidRPr="00B05F9D">
        <w:rPr>
          <w:rFonts w:ascii="Arial" w:hAnsi="Arial" w:cs="Arial"/>
          <w:lang w:val="es-MX"/>
        </w:rPr>
        <w:t>Accessed</w:t>
      </w:r>
      <w:proofErr w:type="spellEnd"/>
      <w:r w:rsidRPr="00B05F9D">
        <w:rPr>
          <w:rFonts w:ascii="Arial" w:hAnsi="Arial" w:cs="Arial"/>
          <w:lang w:val="es-MX"/>
        </w:rPr>
        <w:t xml:space="preserve"> </w:t>
      </w:r>
      <w:proofErr w:type="spellStart"/>
      <w:r w:rsidRPr="00B05F9D">
        <w:rPr>
          <w:rFonts w:ascii="Arial" w:hAnsi="Arial" w:cs="Arial"/>
          <w:lang w:val="es-MX"/>
        </w:rPr>
        <w:t>January</w:t>
      </w:r>
      <w:proofErr w:type="spellEnd"/>
      <w:r w:rsidRPr="00B05F9D">
        <w:rPr>
          <w:rFonts w:ascii="Arial" w:hAnsi="Arial" w:cs="Arial"/>
          <w:lang w:val="es-MX"/>
        </w:rPr>
        <w:t xml:space="preserve"> 2026] [https://ensanut.insp.mx/encuestas/ensanutcontinua2020/doctos/informes/ensanutCovid19ResultadosNacionales.pdf] </w:t>
      </w:r>
    </w:p>
    <w:p w14:paraId="4F8D8007" w14:textId="77777777" w:rsidR="002E4D8D" w:rsidRPr="00B05F9D" w:rsidRDefault="002E4D8D" w:rsidP="002E4D8D">
      <w:pPr>
        <w:pStyle w:val="Body"/>
        <w:spacing w:after="0"/>
        <w:rPr>
          <w:rFonts w:ascii="Arial" w:hAnsi="Arial" w:cs="Arial"/>
          <w:lang w:val="es-MX"/>
        </w:rPr>
      </w:pPr>
    </w:p>
    <w:p w14:paraId="02756DCE" w14:textId="77777777" w:rsidR="00C11395" w:rsidRPr="00F15B51" w:rsidRDefault="00C11395" w:rsidP="00D839B9">
      <w:pPr>
        <w:pStyle w:val="Body"/>
        <w:numPr>
          <w:ilvl w:val="0"/>
          <w:numId w:val="32"/>
        </w:numPr>
        <w:spacing w:after="0"/>
        <w:rPr>
          <w:rFonts w:ascii="Arial" w:hAnsi="Arial" w:cs="Arial"/>
        </w:rPr>
      </w:pPr>
      <w:r w:rsidRPr="00AB0198">
        <w:rPr>
          <w:rFonts w:ascii="Arial" w:hAnsi="Arial" w:cs="Arial"/>
          <w:lang w:val="es-MX"/>
        </w:rPr>
        <w:t xml:space="preserve">Serrano, G., R., Rivero, Y., </w:t>
      </w:r>
      <w:proofErr w:type="spellStart"/>
      <w:r w:rsidRPr="00AB0198">
        <w:rPr>
          <w:rFonts w:ascii="Arial" w:hAnsi="Arial" w:cs="Arial"/>
          <w:lang w:val="es-MX"/>
        </w:rPr>
        <w:t>Hernandez</w:t>
      </w:r>
      <w:proofErr w:type="spellEnd"/>
      <w:r w:rsidRPr="00AB0198">
        <w:rPr>
          <w:rFonts w:ascii="Arial" w:hAnsi="Arial" w:cs="Arial"/>
          <w:lang w:val="es-MX"/>
        </w:rPr>
        <w:t xml:space="preserve">, V. A., et al. </w:t>
      </w:r>
      <w:r w:rsidRPr="00F15B51">
        <w:rPr>
          <w:rFonts w:ascii="Arial" w:hAnsi="Arial" w:cs="Arial"/>
        </w:rPr>
        <w:t xml:space="preserve">(2024). Predicting Difficulty in Laparoscopic Cholecystectomies: An Evaluation of the </w:t>
      </w:r>
      <w:proofErr w:type="spellStart"/>
      <w:r w:rsidRPr="00F15B51">
        <w:rPr>
          <w:rFonts w:ascii="Arial" w:hAnsi="Arial" w:cs="Arial"/>
        </w:rPr>
        <w:t>Labbad-Vivas</w:t>
      </w:r>
      <w:proofErr w:type="spellEnd"/>
      <w:r w:rsidRPr="00F15B51">
        <w:rPr>
          <w:rFonts w:ascii="Arial" w:hAnsi="Arial" w:cs="Arial"/>
        </w:rPr>
        <w:t xml:space="preserve"> Score and Its Correlation </w:t>
      </w:r>
      <w:proofErr w:type="gramStart"/>
      <w:r w:rsidRPr="00F15B51">
        <w:rPr>
          <w:rFonts w:ascii="Arial" w:hAnsi="Arial" w:cs="Arial"/>
        </w:rPr>
        <w:t>With</w:t>
      </w:r>
      <w:proofErr w:type="gramEnd"/>
      <w:r w:rsidRPr="00F15B51">
        <w:rPr>
          <w:rFonts w:ascii="Arial" w:hAnsi="Arial" w:cs="Arial"/>
        </w:rPr>
        <w:t xml:space="preserve"> the Parkland Grading Scale. Cureus. 16(3). DOI: 10.7759/cureus.56185</w:t>
      </w:r>
    </w:p>
    <w:p w14:paraId="6E022DEF" w14:textId="77777777" w:rsidR="002E4D8D" w:rsidRPr="00F15B51" w:rsidRDefault="002E4D8D" w:rsidP="002E4D8D">
      <w:pPr>
        <w:pStyle w:val="Body"/>
        <w:spacing w:after="0"/>
        <w:rPr>
          <w:rFonts w:ascii="Arial" w:hAnsi="Arial" w:cs="Arial"/>
        </w:rPr>
      </w:pPr>
    </w:p>
    <w:p w14:paraId="64A90935"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t>Shrestha, A., Bhattarai, A., Tamrakar, K. K., et al. (2023). Utility of the Parkland Grading Scale to determine intraoperative challenges during laparoscopic cholecystectomy: a validation study on 206 patients at an academic medical center in Nepal. Patient Safety in Surgery. 17(1):12. DOI: 10.1186/s13037-023-00364-x</w:t>
      </w:r>
    </w:p>
    <w:p w14:paraId="43D32FDD" w14:textId="77777777" w:rsidR="002E4D8D" w:rsidRPr="00F15B51" w:rsidRDefault="002E4D8D" w:rsidP="002E4D8D">
      <w:pPr>
        <w:pStyle w:val="Body"/>
        <w:spacing w:after="0"/>
        <w:rPr>
          <w:rFonts w:ascii="Arial" w:hAnsi="Arial" w:cs="Arial"/>
        </w:rPr>
      </w:pPr>
    </w:p>
    <w:p w14:paraId="17E0038F" w14:textId="77777777" w:rsidR="00C11395" w:rsidRPr="00F15B51" w:rsidRDefault="00C11395" w:rsidP="00D839B9">
      <w:pPr>
        <w:pStyle w:val="Body"/>
        <w:numPr>
          <w:ilvl w:val="0"/>
          <w:numId w:val="32"/>
        </w:numPr>
        <w:spacing w:after="0"/>
        <w:rPr>
          <w:rFonts w:ascii="Arial" w:hAnsi="Arial" w:cs="Arial"/>
        </w:rPr>
      </w:pPr>
      <w:r w:rsidRPr="00F15B51">
        <w:rPr>
          <w:rFonts w:ascii="Arial" w:hAnsi="Arial" w:cs="Arial"/>
        </w:rPr>
        <w:t>Stoica, P. L., Serban, D., Bratu, D. G., et al. (2024). Predictive Factors for Difficult Laparoscopic Cholecystectomies in Acute Cholecystitis. Diagnostics. 14(3):346. DOI: 10.3390/diagnóstico14030346</w:t>
      </w:r>
    </w:p>
    <w:p w14:paraId="07F5495D" w14:textId="77777777" w:rsidR="002E4D8D" w:rsidRPr="00F15B51" w:rsidRDefault="002E4D8D" w:rsidP="002E4D8D">
      <w:pPr>
        <w:pStyle w:val="Body"/>
        <w:spacing w:after="0"/>
        <w:rPr>
          <w:rFonts w:ascii="Arial" w:hAnsi="Arial" w:cs="Arial"/>
        </w:rPr>
      </w:pPr>
    </w:p>
    <w:p w14:paraId="680C220A"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Strohäker</w:t>
      </w:r>
      <w:proofErr w:type="spellEnd"/>
      <w:r w:rsidRPr="00F15B51">
        <w:rPr>
          <w:rFonts w:ascii="Arial" w:hAnsi="Arial" w:cs="Arial"/>
        </w:rPr>
        <w:t>, J., Wiegand, L., Beltzer, C., et al. (2021). Routine postoperative blood tests fail to reliably predict procedure-related complications after laparoscopic cholecystectomy. Langenbeck's Archives of Surgery. 406:1155-1163. DOI: i: 10.1007/s00423-021-02115-x</w:t>
      </w:r>
    </w:p>
    <w:p w14:paraId="3482CEBF" w14:textId="77777777" w:rsidR="002E4D8D" w:rsidRPr="00F15B51" w:rsidRDefault="002E4D8D" w:rsidP="002E4D8D">
      <w:pPr>
        <w:pStyle w:val="Body"/>
        <w:spacing w:after="0"/>
        <w:rPr>
          <w:rFonts w:ascii="Arial" w:hAnsi="Arial" w:cs="Arial"/>
        </w:rPr>
      </w:pPr>
    </w:p>
    <w:p w14:paraId="19424B8F"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Uçaner</w:t>
      </w:r>
      <w:proofErr w:type="spellEnd"/>
      <w:r w:rsidRPr="00F15B51">
        <w:rPr>
          <w:rFonts w:ascii="Arial" w:hAnsi="Arial" w:cs="Arial"/>
        </w:rPr>
        <w:t xml:space="preserve">, B., Durmuş, D., </w:t>
      </w:r>
      <w:proofErr w:type="spellStart"/>
      <w:r w:rsidRPr="00F15B51">
        <w:rPr>
          <w:rFonts w:ascii="Arial" w:hAnsi="Arial" w:cs="Arial"/>
        </w:rPr>
        <w:t>Buldanlı</w:t>
      </w:r>
      <w:proofErr w:type="spellEnd"/>
      <w:r w:rsidRPr="00F15B51">
        <w:rPr>
          <w:rFonts w:ascii="Arial" w:hAnsi="Arial" w:cs="Arial"/>
        </w:rPr>
        <w:t>, M. Z., et al. (2023). Correlation between preoperative ultrasonography and parkland grading scale in patients undergoing laparoscopic cholecystectomy. Indian Journal of Surgery. 1-7. DOI: 10.1007/s12262-023-03823-y</w:t>
      </w:r>
    </w:p>
    <w:p w14:paraId="1F595C15" w14:textId="77777777" w:rsidR="002E4D8D" w:rsidRPr="00F15B51" w:rsidRDefault="002E4D8D" w:rsidP="002E4D8D">
      <w:pPr>
        <w:pStyle w:val="Body"/>
        <w:spacing w:after="0"/>
        <w:rPr>
          <w:rFonts w:ascii="Arial" w:hAnsi="Arial" w:cs="Arial"/>
        </w:rPr>
      </w:pPr>
    </w:p>
    <w:p w14:paraId="422E4EC5"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Warchałowski</w:t>
      </w:r>
      <w:proofErr w:type="spellEnd"/>
      <w:r w:rsidRPr="00F15B51">
        <w:rPr>
          <w:rFonts w:ascii="Arial" w:hAnsi="Arial" w:cs="Arial"/>
        </w:rPr>
        <w:t xml:space="preserve">, Ł., </w:t>
      </w:r>
      <w:proofErr w:type="spellStart"/>
      <w:r w:rsidRPr="00F15B51">
        <w:rPr>
          <w:rFonts w:ascii="Arial" w:hAnsi="Arial" w:cs="Arial"/>
        </w:rPr>
        <w:t>Łuszczki</w:t>
      </w:r>
      <w:proofErr w:type="spellEnd"/>
      <w:r w:rsidRPr="00F15B51">
        <w:rPr>
          <w:rFonts w:ascii="Arial" w:hAnsi="Arial" w:cs="Arial"/>
        </w:rPr>
        <w:t>, E., Bartosiewicz, A., et al. (2020). The analysis of risk factors in the conversion from laparoscopic to open cholecystectomy. International journal of environmental research and public health. 17(20):7571. DOI: 10.3390/ijerph17207571</w:t>
      </w:r>
    </w:p>
    <w:p w14:paraId="0590BDCD" w14:textId="77777777" w:rsidR="002E4D8D" w:rsidRPr="00F15B51" w:rsidRDefault="002E4D8D" w:rsidP="002E4D8D">
      <w:pPr>
        <w:pStyle w:val="Body"/>
        <w:spacing w:after="0"/>
        <w:rPr>
          <w:rFonts w:ascii="Arial" w:hAnsi="Arial" w:cs="Arial"/>
        </w:rPr>
      </w:pPr>
    </w:p>
    <w:p w14:paraId="1CCE19F9" w14:textId="77777777" w:rsidR="00C11395" w:rsidRPr="00F15B51" w:rsidRDefault="00C11395" w:rsidP="00D839B9">
      <w:pPr>
        <w:pStyle w:val="Body"/>
        <w:numPr>
          <w:ilvl w:val="0"/>
          <w:numId w:val="32"/>
        </w:numPr>
        <w:spacing w:after="0"/>
        <w:rPr>
          <w:rFonts w:ascii="Arial" w:hAnsi="Arial" w:cs="Arial"/>
        </w:rPr>
      </w:pPr>
      <w:proofErr w:type="spellStart"/>
      <w:r w:rsidRPr="00F15B51">
        <w:rPr>
          <w:rFonts w:ascii="Arial" w:hAnsi="Arial" w:cs="Arial"/>
        </w:rPr>
        <w:t>Yokoe</w:t>
      </w:r>
      <w:proofErr w:type="spellEnd"/>
      <w:r w:rsidRPr="00F15B51">
        <w:rPr>
          <w:rFonts w:ascii="Arial" w:hAnsi="Arial" w:cs="Arial"/>
        </w:rPr>
        <w:t>, M., Takada, T., Hwang, T. L., et al. (2017). Descriptive review of acute cholecystitis: Japan</w:t>
      </w:r>
      <w:r w:rsidRPr="00F15B51">
        <w:rPr>
          <w:rFonts w:ascii="Cambria Math" w:hAnsi="Cambria Math" w:cs="Cambria Math"/>
        </w:rPr>
        <w:t>‐</w:t>
      </w:r>
      <w:r w:rsidRPr="00F15B51">
        <w:rPr>
          <w:rFonts w:ascii="Arial" w:hAnsi="Arial" w:cs="Arial"/>
        </w:rPr>
        <w:t>Taiwan collaborative epidemiological study. Journal of Hepato</w:t>
      </w:r>
      <w:r w:rsidRPr="00F15B51">
        <w:rPr>
          <w:rFonts w:ascii="Cambria Math" w:hAnsi="Cambria Math" w:cs="Cambria Math"/>
        </w:rPr>
        <w:t>‐</w:t>
      </w:r>
      <w:r w:rsidRPr="00F15B51">
        <w:rPr>
          <w:rFonts w:ascii="Arial" w:hAnsi="Arial" w:cs="Arial"/>
        </w:rPr>
        <w:t>biliary</w:t>
      </w:r>
      <w:r w:rsidRPr="00F15B51">
        <w:rPr>
          <w:rFonts w:ascii="Cambria Math" w:hAnsi="Cambria Math" w:cs="Cambria Math"/>
        </w:rPr>
        <w:t>‐</w:t>
      </w:r>
      <w:r w:rsidRPr="00F15B51">
        <w:rPr>
          <w:rFonts w:ascii="Arial" w:hAnsi="Arial" w:cs="Arial"/>
        </w:rPr>
        <w:t>pancreatic Sciences. 24(6):319-328. DOI: 10.1002/jhbp.450</w:t>
      </w:r>
    </w:p>
    <w:p w14:paraId="29C71749" w14:textId="77777777" w:rsidR="002E4D8D" w:rsidRPr="00F15B51" w:rsidRDefault="002E4D8D" w:rsidP="002E4D8D">
      <w:pPr>
        <w:pStyle w:val="Body"/>
        <w:spacing w:after="0"/>
        <w:rPr>
          <w:rFonts w:ascii="Arial" w:hAnsi="Arial" w:cs="Arial"/>
        </w:rPr>
      </w:pPr>
    </w:p>
    <w:p w14:paraId="55D51D57" w14:textId="77777777" w:rsidR="00EB7516" w:rsidRPr="00F15B51" w:rsidRDefault="00C11395" w:rsidP="00D839B9">
      <w:pPr>
        <w:pStyle w:val="Body"/>
        <w:numPr>
          <w:ilvl w:val="0"/>
          <w:numId w:val="32"/>
        </w:numPr>
        <w:spacing w:after="0"/>
        <w:rPr>
          <w:rFonts w:ascii="Arial" w:hAnsi="Arial" w:cs="Arial"/>
        </w:rPr>
      </w:pPr>
      <w:r w:rsidRPr="00F15B51">
        <w:rPr>
          <w:rFonts w:ascii="Arial" w:hAnsi="Arial" w:cs="Arial"/>
        </w:rPr>
        <w:t xml:space="preserve">Zhao, J. J., Syn, N. L., Chong, C., et al. (2021). Comparative outcomes of </w:t>
      </w:r>
      <w:proofErr w:type="spellStart"/>
      <w:r w:rsidRPr="00F15B51">
        <w:rPr>
          <w:rFonts w:ascii="Arial" w:hAnsi="Arial" w:cs="Arial"/>
        </w:rPr>
        <w:t>needlescopic</w:t>
      </w:r>
      <w:proofErr w:type="spellEnd"/>
      <w:r w:rsidRPr="00F15B51">
        <w:rPr>
          <w:rFonts w:ascii="Arial" w:hAnsi="Arial" w:cs="Arial"/>
        </w:rPr>
        <w:t>, single-incision laparoscopic, standard laparoscopic, mini-laparotomy, and open cholecystectomy: A systematic review and network meta-analysis of 96 randomized controlled trials with 11,083 patients. Surgery. 170(4):994-1003. DOI: 10.1016/j.surgi.2021.04.004</w:t>
      </w:r>
    </w:p>
    <w:sectPr w:rsidR="00EB7516" w:rsidRPr="00F15B51" w:rsidSect="00DF290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1C902" w14:textId="77777777" w:rsidR="00637A0F" w:rsidRDefault="00637A0F" w:rsidP="00C37E61">
      <w:r>
        <w:separator/>
      </w:r>
    </w:p>
  </w:endnote>
  <w:endnote w:type="continuationSeparator" w:id="0">
    <w:p w14:paraId="6D415D4F" w14:textId="77777777" w:rsidR="00637A0F" w:rsidRDefault="00637A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2C10" w14:textId="77777777" w:rsidR="00A43886" w:rsidRDefault="00A43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E3CB" w14:textId="77777777" w:rsidR="00A43886" w:rsidRDefault="00A43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170A" w14:textId="77777777" w:rsidR="0043597D" w:rsidRDefault="0043597D">
    <w:pPr>
      <w:pStyle w:val="Footer"/>
      <w:rPr>
        <w:rFonts w:ascii="Arial" w:hAnsi="Arial" w:cs="Arial"/>
        <w:sz w:val="16"/>
      </w:rPr>
    </w:pPr>
  </w:p>
  <w:p w14:paraId="26C2B55F" w14:textId="77777777" w:rsidR="0043597D" w:rsidRDefault="004359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B4D614" w14:textId="77777777" w:rsidR="0043597D" w:rsidRDefault="0043597D">
    <w:pPr>
      <w:pStyle w:val="Footer"/>
      <w:rPr>
        <w:rFonts w:ascii="Arial" w:hAnsi="Arial" w:cs="Arial"/>
        <w:sz w:val="16"/>
      </w:rPr>
    </w:pPr>
  </w:p>
  <w:p w14:paraId="32858B91" w14:textId="1426CDAB" w:rsidR="0043597D" w:rsidRPr="009E048A" w:rsidRDefault="0043597D">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68657" w14:textId="77777777" w:rsidR="00637A0F" w:rsidRDefault="00637A0F" w:rsidP="00C37E61">
      <w:r>
        <w:separator/>
      </w:r>
    </w:p>
  </w:footnote>
  <w:footnote w:type="continuationSeparator" w:id="0">
    <w:p w14:paraId="3B8D2D9F" w14:textId="77777777" w:rsidR="00637A0F" w:rsidRDefault="00637A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11C0" w14:textId="147264BB" w:rsidR="00A43886" w:rsidRDefault="00637A0F">
    <w:pPr>
      <w:pStyle w:val="Header"/>
    </w:pPr>
    <w:r>
      <w:rPr>
        <w:noProof/>
      </w:rPr>
      <w:pict w14:anchorId="6EDFA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92AB" w14:textId="22E7D57D" w:rsidR="00A43886" w:rsidRDefault="00637A0F">
    <w:pPr>
      <w:pStyle w:val="Header"/>
    </w:pPr>
    <w:r>
      <w:rPr>
        <w:noProof/>
      </w:rPr>
      <w:pict w14:anchorId="3D2DD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F421" w14:textId="6788B334" w:rsidR="0043597D" w:rsidRPr="00296529" w:rsidRDefault="00637A0F" w:rsidP="00296529">
    <w:pPr>
      <w:ind w:left="2160"/>
      <w:jc w:val="center"/>
      <w:rPr>
        <w:rFonts w:ascii="Times New Roman" w:eastAsia="Calibri" w:hAnsi="Times New Roman"/>
        <w:i/>
        <w:sz w:val="18"/>
        <w:szCs w:val="22"/>
      </w:rPr>
    </w:pPr>
    <w:r>
      <w:rPr>
        <w:noProof/>
      </w:rPr>
      <w:pict w14:anchorId="0B341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3D91B2" w14:textId="77777777" w:rsidR="0043597D" w:rsidRPr="00296529" w:rsidRDefault="004359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0B2F3C" w14:textId="77777777" w:rsidR="0043597D" w:rsidRPr="00296529" w:rsidRDefault="004359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FD4E9" w14:textId="77777777" w:rsidR="0043597D" w:rsidRPr="00296529" w:rsidRDefault="004359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37A664" w14:textId="77777777" w:rsidR="0043597D" w:rsidRDefault="004359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F72990" w14:textId="77777777" w:rsidR="0043597D" w:rsidRDefault="004359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024DFB" w14:textId="77777777" w:rsidR="0043597D" w:rsidRDefault="0043597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57CE5"/>
    <w:multiLevelType w:val="hybridMultilevel"/>
    <w:tmpl w:val="5824EA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FE0"/>
    <w:rsid w:val="00014001"/>
    <w:rsid w:val="0001735C"/>
    <w:rsid w:val="00017971"/>
    <w:rsid w:val="000256D8"/>
    <w:rsid w:val="00030174"/>
    <w:rsid w:val="000305FF"/>
    <w:rsid w:val="00031D99"/>
    <w:rsid w:val="000355D6"/>
    <w:rsid w:val="0003627C"/>
    <w:rsid w:val="00037EF3"/>
    <w:rsid w:val="0004579C"/>
    <w:rsid w:val="000457F1"/>
    <w:rsid w:val="00051137"/>
    <w:rsid w:val="00054937"/>
    <w:rsid w:val="00055E3F"/>
    <w:rsid w:val="00056A4E"/>
    <w:rsid w:val="00057400"/>
    <w:rsid w:val="00064E98"/>
    <w:rsid w:val="00083414"/>
    <w:rsid w:val="00086310"/>
    <w:rsid w:val="00091111"/>
    <w:rsid w:val="00097A81"/>
    <w:rsid w:val="000A2E99"/>
    <w:rsid w:val="000A47FA"/>
    <w:rsid w:val="000A5BFD"/>
    <w:rsid w:val="000A65D3"/>
    <w:rsid w:val="000A6CCE"/>
    <w:rsid w:val="000B1E33"/>
    <w:rsid w:val="000B3D6D"/>
    <w:rsid w:val="000B4C41"/>
    <w:rsid w:val="000D12C9"/>
    <w:rsid w:val="000D2FC9"/>
    <w:rsid w:val="000D4903"/>
    <w:rsid w:val="000D689F"/>
    <w:rsid w:val="000D6EB0"/>
    <w:rsid w:val="000D7D00"/>
    <w:rsid w:val="000E130C"/>
    <w:rsid w:val="000E1D19"/>
    <w:rsid w:val="000E681C"/>
    <w:rsid w:val="000E7B7B"/>
    <w:rsid w:val="000E7D62"/>
    <w:rsid w:val="000F28DE"/>
    <w:rsid w:val="000F6EC1"/>
    <w:rsid w:val="000F720C"/>
    <w:rsid w:val="00103357"/>
    <w:rsid w:val="00107325"/>
    <w:rsid w:val="0011456A"/>
    <w:rsid w:val="00121BBC"/>
    <w:rsid w:val="00123C9F"/>
    <w:rsid w:val="001244D8"/>
    <w:rsid w:val="00126190"/>
    <w:rsid w:val="00130F17"/>
    <w:rsid w:val="001320BF"/>
    <w:rsid w:val="00144FA5"/>
    <w:rsid w:val="00145E75"/>
    <w:rsid w:val="001461CE"/>
    <w:rsid w:val="00160FC6"/>
    <w:rsid w:val="00163BC4"/>
    <w:rsid w:val="00171C34"/>
    <w:rsid w:val="001736A9"/>
    <w:rsid w:val="00175F88"/>
    <w:rsid w:val="00176E31"/>
    <w:rsid w:val="00177557"/>
    <w:rsid w:val="00181F6D"/>
    <w:rsid w:val="00184137"/>
    <w:rsid w:val="00191062"/>
    <w:rsid w:val="00191785"/>
    <w:rsid w:val="00192B72"/>
    <w:rsid w:val="001A29D8"/>
    <w:rsid w:val="001A349D"/>
    <w:rsid w:val="001A5CAA"/>
    <w:rsid w:val="001B0427"/>
    <w:rsid w:val="001B1BDF"/>
    <w:rsid w:val="001B4365"/>
    <w:rsid w:val="001B4629"/>
    <w:rsid w:val="001B4C24"/>
    <w:rsid w:val="001C32C2"/>
    <w:rsid w:val="001C71B9"/>
    <w:rsid w:val="001C7CA3"/>
    <w:rsid w:val="001D332C"/>
    <w:rsid w:val="001D3A51"/>
    <w:rsid w:val="001E0FDD"/>
    <w:rsid w:val="001E10D2"/>
    <w:rsid w:val="001E25B4"/>
    <w:rsid w:val="001E2E52"/>
    <w:rsid w:val="001E44FE"/>
    <w:rsid w:val="001E6BB8"/>
    <w:rsid w:val="001E724F"/>
    <w:rsid w:val="001E73D7"/>
    <w:rsid w:val="001E7450"/>
    <w:rsid w:val="001F0626"/>
    <w:rsid w:val="001F40FE"/>
    <w:rsid w:val="00200595"/>
    <w:rsid w:val="00201A24"/>
    <w:rsid w:val="00204124"/>
    <w:rsid w:val="00204835"/>
    <w:rsid w:val="0020494F"/>
    <w:rsid w:val="00205C51"/>
    <w:rsid w:val="00207208"/>
    <w:rsid w:val="002078E9"/>
    <w:rsid w:val="00207AD5"/>
    <w:rsid w:val="0021053C"/>
    <w:rsid w:val="002111D4"/>
    <w:rsid w:val="002121E1"/>
    <w:rsid w:val="002139FD"/>
    <w:rsid w:val="00216177"/>
    <w:rsid w:val="00220DDC"/>
    <w:rsid w:val="00221423"/>
    <w:rsid w:val="00231920"/>
    <w:rsid w:val="0023195C"/>
    <w:rsid w:val="00232502"/>
    <w:rsid w:val="0024282C"/>
    <w:rsid w:val="002460DC"/>
    <w:rsid w:val="00246156"/>
    <w:rsid w:val="0024712F"/>
    <w:rsid w:val="00250985"/>
    <w:rsid w:val="002556F6"/>
    <w:rsid w:val="00260E47"/>
    <w:rsid w:val="00263D69"/>
    <w:rsid w:val="00271445"/>
    <w:rsid w:val="002742BE"/>
    <w:rsid w:val="00280B16"/>
    <w:rsid w:val="00283105"/>
    <w:rsid w:val="0028454A"/>
    <w:rsid w:val="00284C4C"/>
    <w:rsid w:val="002850C3"/>
    <w:rsid w:val="0028618F"/>
    <w:rsid w:val="00291B3F"/>
    <w:rsid w:val="002937B6"/>
    <w:rsid w:val="00296529"/>
    <w:rsid w:val="002A4423"/>
    <w:rsid w:val="002A550D"/>
    <w:rsid w:val="002A6E0D"/>
    <w:rsid w:val="002B27FB"/>
    <w:rsid w:val="002B60F9"/>
    <w:rsid w:val="002B685A"/>
    <w:rsid w:val="002C0830"/>
    <w:rsid w:val="002C57D2"/>
    <w:rsid w:val="002C59FC"/>
    <w:rsid w:val="002C77F4"/>
    <w:rsid w:val="002E0B90"/>
    <w:rsid w:val="002E0D56"/>
    <w:rsid w:val="002E48D5"/>
    <w:rsid w:val="002E4D8D"/>
    <w:rsid w:val="002E68EC"/>
    <w:rsid w:val="002E6DBA"/>
    <w:rsid w:val="002E73CA"/>
    <w:rsid w:val="002F24AE"/>
    <w:rsid w:val="002F2C8E"/>
    <w:rsid w:val="00307A5F"/>
    <w:rsid w:val="00313095"/>
    <w:rsid w:val="0031451F"/>
    <w:rsid w:val="00315186"/>
    <w:rsid w:val="0033343E"/>
    <w:rsid w:val="00340740"/>
    <w:rsid w:val="003433C4"/>
    <w:rsid w:val="00344C28"/>
    <w:rsid w:val="00345762"/>
    <w:rsid w:val="00346593"/>
    <w:rsid w:val="0034787A"/>
    <w:rsid w:val="00347A90"/>
    <w:rsid w:val="003512C2"/>
    <w:rsid w:val="00355682"/>
    <w:rsid w:val="00356525"/>
    <w:rsid w:val="00362662"/>
    <w:rsid w:val="003627DF"/>
    <w:rsid w:val="003663C9"/>
    <w:rsid w:val="00366EDE"/>
    <w:rsid w:val="003675D7"/>
    <w:rsid w:val="00371FB6"/>
    <w:rsid w:val="00374884"/>
    <w:rsid w:val="003750CC"/>
    <w:rsid w:val="003763C1"/>
    <w:rsid w:val="00376BBE"/>
    <w:rsid w:val="00382C2A"/>
    <w:rsid w:val="00385971"/>
    <w:rsid w:val="0039224F"/>
    <w:rsid w:val="00393596"/>
    <w:rsid w:val="003A1005"/>
    <w:rsid w:val="003A2E5D"/>
    <w:rsid w:val="003A43A4"/>
    <w:rsid w:val="003A58F2"/>
    <w:rsid w:val="003A712C"/>
    <w:rsid w:val="003A7E18"/>
    <w:rsid w:val="003B1831"/>
    <w:rsid w:val="003B245B"/>
    <w:rsid w:val="003B65DC"/>
    <w:rsid w:val="003C1469"/>
    <w:rsid w:val="003C4C86"/>
    <w:rsid w:val="003C6258"/>
    <w:rsid w:val="003D08AF"/>
    <w:rsid w:val="003D5AD7"/>
    <w:rsid w:val="003E1251"/>
    <w:rsid w:val="003E20E2"/>
    <w:rsid w:val="003E2904"/>
    <w:rsid w:val="003E35C1"/>
    <w:rsid w:val="003E4FE2"/>
    <w:rsid w:val="003E6329"/>
    <w:rsid w:val="003E6F74"/>
    <w:rsid w:val="003E7E1D"/>
    <w:rsid w:val="003F1BA1"/>
    <w:rsid w:val="003F2EDA"/>
    <w:rsid w:val="00401927"/>
    <w:rsid w:val="00402521"/>
    <w:rsid w:val="00402729"/>
    <w:rsid w:val="00402F6C"/>
    <w:rsid w:val="00405F7C"/>
    <w:rsid w:val="0041027F"/>
    <w:rsid w:val="00412475"/>
    <w:rsid w:val="004178C1"/>
    <w:rsid w:val="0042005D"/>
    <w:rsid w:val="00422E76"/>
    <w:rsid w:val="00423789"/>
    <w:rsid w:val="00431E1E"/>
    <w:rsid w:val="00433C59"/>
    <w:rsid w:val="0043597D"/>
    <w:rsid w:val="00435E74"/>
    <w:rsid w:val="00436514"/>
    <w:rsid w:val="00436893"/>
    <w:rsid w:val="004400AA"/>
    <w:rsid w:val="00440F43"/>
    <w:rsid w:val="00441B6F"/>
    <w:rsid w:val="004422D5"/>
    <w:rsid w:val="00446221"/>
    <w:rsid w:val="004475A0"/>
    <w:rsid w:val="00447F93"/>
    <w:rsid w:val="00450E62"/>
    <w:rsid w:val="004539DB"/>
    <w:rsid w:val="00456AA7"/>
    <w:rsid w:val="004619F5"/>
    <w:rsid w:val="00462B09"/>
    <w:rsid w:val="00471A80"/>
    <w:rsid w:val="004743CF"/>
    <w:rsid w:val="004760A7"/>
    <w:rsid w:val="00480BAA"/>
    <w:rsid w:val="0049216E"/>
    <w:rsid w:val="0049576E"/>
    <w:rsid w:val="004A4E3C"/>
    <w:rsid w:val="004B3D54"/>
    <w:rsid w:val="004B538C"/>
    <w:rsid w:val="004C23EF"/>
    <w:rsid w:val="004C255E"/>
    <w:rsid w:val="004C2E91"/>
    <w:rsid w:val="004C4D42"/>
    <w:rsid w:val="004C6082"/>
    <w:rsid w:val="004D074C"/>
    <w:rsid w:val="004D1F45"/>
    <w:rsid w:val="004D305E"/>
    <w:rsid w:val="004D4277"/>
    <w:rsid w:val="004D4681"/>
    <w:rsid w:val="004D5028"/>
    <w:rsid w:val="004E4110"/>
    <w:rsid w:val="004E56EA"/>
    <w:rsid w:val="004F0752"/>
    <w:rsid w:val="004F12D0"/>
    <w:rsid w:val="004F39B1"/>
    <w:rsid w:val="004F5FF3"/>
    <w:rsid w:val="00501C68"/>
    <w:rsid w:val="00502516"/>
    <w:rsid w:val="00505F06"/>
    <w:rsid w:val="00506828"/>
    <w:rsid w:val="00516E30"/>
    <w:rsid w:val="00520E1C"/>
    <w:rsid w:val="00524B2B"/>
    <w:rsid w:val="00524DA9"/>
    <w:rsid w:val="005250F0"/>
    <w:rsid w:val="0053056E"/>
    <w:rsid w:val="005407A9"/>
    <w:rsid w:val="005429CC"/>
    <w:rsid w:val="00543715"/>
    <w:rsid w:val="00546B64"/>
    <w:rsid w:val="005471BA"/>
    <w:rsid w:val="00550F37"/>
    <w:rsid w:val="00551F10"/>
    <w:rsid w:val="00554FDA"/>
    <w:rsid w:val="005558AE"/>
    <w:rsid w:val="005563EF"/>
    <w:rsid w:val="00560C4D"/>
    <w:rsid w:val="005641D4"/>
    <w:rsid w:val="005643B2"/>
    <w:rsid w:val="0057619B"/>
    <w:rsid w:val="0058751A"/>
    <w:rsid w:val="00592287"/>
    <w:rsid w:val="00595FDC"/>
    <w:rsid w:val="005A1650"/>
    <w:rsid w:val="005A3DAC"/>
    <w:rsid w:val="005A4A72"/>
    <w:rsid w:val="005A6C1B"/>
    <w:rsid w:val="005C087F"/>
    <w:rsid w:val="005C192F"/>
    <w:rsid w:val="005C3290"/>
    <w:rsid w:val="005C784C"/>
    <w:rsid w:val="005D17F6"/>
    <w:rsid w:val="005D2A0A"/>
    <w:rsid w:val="005E5539"/>
    <w:rsid w:val="005F168C"/>
    <w:rsid w:val="005F18B0"/>
    <w:rsid w:val="005F2E4F"/>
    <w:rsid w:val="005F301C"/>
    <w:rsid w:val="005F3B05"/>
    <w:rsid w:val="005F4D9D"/>
    <w:rsid w:val="005F6BAF"/>
    <w:rsid w:val="006022FB"/>
    <w:rsid w:val="00602BF5"/>
    <w:rsid w:val="00604563"/>
    <w:rsid w:val="006117F0"/>
    <w:rsid w:val="00615333"/>
    <w:rsid w:val="00616DF4"/>
    <w:rsid w:val="00617FDD"/>
    <w:rsid w:val="0063191A"/>
    <w:rsid w:val="00633614"/>
    <w:rsid w:val="00633F68"/>
    <w:rsid w:val="00635D1E"/>
    <w:rsid w:val="006361A0"/>
    <w:rsid w:val="00636EB2"/>
    <w:rsid w:val="006375B8"/>
    <w:rsid w:val="00637A0F"/>
    <w:rsid w:val="00637BD9"/>
    <w:rsid w:val="00641D2C"/>
    <w:rsid w:val="00652989"/>
    <w:rsid w:val="00660EE4"/>
    <w:rsid w:val="00662C63"/>
    <w:rsid w:val="0066309F"/>
    <w:rsid w:val="0066448F"/>
    <w:rsid w:val="00664CA3"/>
    <w:rsid w:val="0066510A"/>
    <w:rsid w:val="00665284"/>
    <w:rsid w:val="00670F84"/>
    <w:rsid w:val="00673F9F"/>
    <w:rsid w:val="00680651"/>
    <w:rsid w:val="00681C62"/>
    <w:rsid w:val="00682D8D"/>
    <w:rsid w:val="006840BF"/>
    <w:rsid w:val="00686953"/>
    <w:rsid w:val="00687DEA"/>
    <w:rsid w:val="00687E67"/>
    <w:rsid w:val="00691D54"/>
    <w:rsid w:val="00694E0C"/>
    <w:rsid w:val="006952F6"/>
    <w:rsid w:val="006967F7"/>
    <w:rsid w:val="006971E8"/>
    <w:rsid w:val="006A06A6"/>
    <w:rsid w:val="006A250C"/>
    <w:rsid w:val="006B21D3"/>
    <w:rsid w:val="006B57D0"/>
    <w:rsid w:val="006B7453"/>
    <w:rsid w:val="006C36C3"/>
    <w:rsid w:val="006C6BBE"/>
    <w:rsid w:val="006D07CA"/>
    <w:rsid w:val="006D0D55"/>
    <w:rsid w:val="006D30FF"/>
    <w:rsid w:val="006D6513"/>
    <w:rsid w:val="006D6940"/>
    <w:rsid w:val="006E119A"/>
    <w:rsid w:val="006E4C4C"/>
    <w:rsid w:val="006F11EC"/>
    <w:rsid w:val="006F6BC2"/>
    <w:rsid w:val="006F7B32"/>
    <w:rsid w:val="0070082C"/>
    <w:rsid w:val="00703CB0"/>
    <w:rsid w:val="00707ED1"/>
    <w:rsid w:val="00717FAC"/>
    <w:rsid w:val="007217F7"/>
    <w:rsid w:val="007244AF"/>
    <w:rsid w:val="00734BCF"/>
    <w:rsid w:val="007369E6"/>
    <w:rsid w:val="007401EA"/>
    <w:rsid w:val="00746E59"/>
    <w:rsid w:val="007472F3"/>
    <w:rsid w:val="00754C9A"/>
    <w:rsid w:val="00755227"/>
    <w:rsid w:val="0075599A"/>
    <w:rsid w:val="00755FC1"/>
    <w:rsid w:val="00760195"/>
    <w:rsid w:val="00760768"/>
    <w:rsid w:val="00761235"/>
    <w:rsid w:val="00761D52"/>
    <w:rsid w:val="007637F2"/>
    <w:rsid w:val="007646FF"/>
    <w:rsid w:val="00764B5E"/>
    <w:rsid w:val="00765533"/>
    <w:rsid w:val="00765772"/>
    <w:rsid w:val="00765AA4"/>
    <w:rsid w:val="00771EE2"/>
    <w:rsid w:val="00776542"/>
    <w:rsid w:val="00777319"/>
    <w:rsid w:val="0077749E"/>
    <w:rsid w:val="007774F8"/>
    <w:rsid w:val="00782A9E"/>
    <w:rsid w:val="007833B3"/>
    <w:rsid w:val="00790697"/>
    <w:rsid w:val="00790ADA"/>
    <w:rsid w:val="00790C15"/>
    <w:rsid w:val="007A3025"/>
    <w:rsid w:val="007A7F86"/>
    <w:rsid w:val="007B0356"/>
    <w:rsid w:val="007B0A8E"/>
    <w:rsid w:val="007B613F"/>
    <w:rsid w:val="007B681B"/>
    <w:rsid w:val="007C0365"/>
    <w:rsid w:val="007C1D08"/>
    <w:rsid w:val="007D2036"/>
    <w:rsid w:val="007D2288"/>
    <w:rsid w:val="007D57DC"/>
    <w:rsid w:val="007D7136"/>
    <w:rsid w:val="007D7267"/>
    <w:rsid w:val="007E088F"/>
    <w:rsid w:val="007E31FF"/>
    <w:rsid w:val="007E5A64"/>
    <w:rsid w:val="007F695F"/>
    <w:rsid w:val="007F7B32"/>
    <w:rsid w:val="00803194"/>
    <w:rsid w:val="00804BC2"/>
    <w:rsid w:val="00805C12"/>
    <w:rsid w:val="00806A82"/>
    <w:rsid w:val="00806F85"/>
    <w:rsid w:val="00810677"/>
    <w:rsid w:val="008135FB"/>
    <w:rsid w:val="0081431A"/>
    <w:rsid w:val="00815D3B"/>
    <w:rsid w:val="00817F4A"/>
    <w:rsid w:val="00820D61"/>
    <w:rsid w:val="00822FE9"/>
    <w:rsid w:val="00823B2B"/>
    <w:rsid w:val="0083216F"/>
    <w:rsid w:val="0084067C"/>
    <w:rsid w:val="00852FAC"/>
    <w:rsid w:val="00856457"/>
    <w:rsid w:val="00856B35"/>
    <w:rsid w:val="00860000"/>
    <w:rsid w:val="008607ED"/>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87E84"/>
    <w:rsid w:val="008945A5"/>
    <w:rsid w:val="0089784C"/>
    <w:rsid w:val="008A1C5F"/>
    <w:rsid w:val="008B0B7A"/>
    <w:rsid w:val="008B459E"/>
    <w:rsid w:val="008B550E"/>
    <w:rsid w:val="008C2E88"/>
    <w:rsid w:val="008C44A9"/>
    <w:rsid w:val="008C450A"/>
    <w:rsid w:val="008C5FB4"/>
    <w:rsid w:val="008D1958"/>
    <w:rsid w:val="008D2F5D"/>
    <w:rsid w:val="008E13AE"/>
    <w:rsid w:val="008E1506"/>
    <w:rsid w:val="008E457D"/>
    <w:rsid w:val="008E710C"/>
    <w:rsid w:val="008F3451"/>
    <w:rsid w:val="008F3AF9"/>
    <w:rsid w:val="008F69D6"/>
    <w:rsid w:val="00900EE4"/>
    <w:rsid w:val="00902823"/>
    <w:rsid w:val="00905E8F"/>
    <w:rsid w:val="00915CA6"/>
    <w:rsid w:val="00917B3B"/>
    <w:rsid w:val="00920622"/>
    <w:rsid w:val="009235F4"/>
    <w:rsid w:val="00927834"/>
    <w:rsid w:val="00927E26"/>
    <w:rsid w:val="00927F0D"/>
    <w:rsid w:val="00930C6D"/>
    <w:rsid w:val="00934EEF"/>
    <w:rsid w:val="00946369"/>
    <w:rsid w:val="00947B3F"/>
    <w:rsid w:val="009500A6"/>
    <w:rsid w:val="00950576"/>
    <w:rsid w:val="00957C18"/>
    <w:rsid w:val="009603ED"/>
    <w:rsid w:val="00961EA4"/>
    <w:rsid w:val="009659BA"/>
    <w:rsid w:val="00965CB3"/>
    <w:rsid w:val="009671DA"/>
    <w:rsid w:val="00967335"/>
    <w:rsid w:val="00971517"/>
    <w:rsid w:val="00975726"/>
    <w:rsid w:val="00975B8C"/>
    <w:rsid w:val="00977EED"/>
    <w:rsid w:val="00983040"/>
    <w:rsid w:val="0098776E"/>
    <w:rsid w:val="00990D52"/>
    <w:rsid w:val="00996E01"/>
    <w:rsid w:val="009A37EA"/>
    <w:rsid w:val="009A3D48"/>
    <w:rsid w:val="009B3FB9"/>
    <w:rsid w:val="009C155C"/>
    <w:rsid w:val="009C1BCC"/>
    <w:rsid w:val="009C2465"/>
    <w:rsid w:val="009C2DAA"/>
    <w:rsid w:val="009C3939"/>
    <w:rsid w:val="009C6BBD"/>
    <w:rsid w:val="009D35A0"/>
    <w:rsid w:val="009D66F9"/>
    <w:rsid w:val="009D6CCF"/>
    <w:rsid w:val="009D7EB7"/>
    <w:rsid w:val="009E048A"/>
    <w:rsid w:val="009E08E9"/>
    <w:rsid w:val="009E27B7"/>
    <w:rsid w:val="009E3DB9"/>
    <w:rsid w:val="009E6E35"/>
    <w:rsid w:val="009F0EDA"/>
    <w:rsid w:val="009F109E"/>
    <w:rsid w:val="009F2B27"/>
    <w:rsid w:val="009F49EF"/>
    <w:rsid w:val="009F6D92"/>
    <w:rsid w:val="00A0167F"/>
    <w:rsid w:val="00A017CB"/>
    <w:rsid w:val="00A01926"/>
    <w:rsid w:val="00A03528"/>
    <w:rsid w:val="00A03B04"/>
    <w:rsid w:val="00A03B96"/>
    <w:rsid w:val="00A05B19"/>
    <w:rsid w:val="00A110A1"/>
    <w:rsid w:val="00A1134E"/>
    <w:rsid w:val="00A15919"/>
    <w:rsid w:val="00A15AB3"/>
    <w:rsid w:val="00A222AC"/>
    <w:rsid w:val="00A22F94"/>
    <w:rsid w:val="00A24E7E"/>
    <w:rsid w:val="00A258C0"/>
    <w:rsid w:val="00A258C3"/>
    <w:rsid w:val="00A32B47"/>
    <w:rsid w:val="00A347C0"/>
    <w:rsid w:val="00A34E0C"/>
    <w:rsid w:val="00A35DCA"/>
    <w:rsid w:val="00A37E25"/>
    <w:rsid w:val="00A429DB"/>
    <w:rsid w:val="00A435B3"/>
    <w:rsid w:val="00A43886"/>
    <w:rsid w:val="00A4455A"/>
    <w:rsid w:val="00A45F56"/>
    <w:rsid w:val="00A51431"/>
    <w:rsid w:val="00A539AD"/>
    <w:rsid w:val="00A54242"/>
    <w:rsid w:val="00A55036"/>
    <w:rsid w:val="00A57C95"/>
    <w:rsid w:val="00A605F5"/>
    <w:rsid w:val="00A64D1A"/>
    <w:rsid w:val="00A70D2F"/>
    <w:rsid w:val="00A716FC"/>
    <w:rsid w:val="00A7341A"/>
    <w:rsid w:val="00A872BF"/>
    <w:rsid w:val="00A94063"/>
    <w:rsid w:val="00AA0376"/>
    <w:rsid w:val="00AA2FE2"/>
    <w:rsid w:val="00AA6219"/>
    <w:rsid w:val="00AA6AA7"/>
    <w:rsid w:val="00AA74E0"/>
    <w:rsid w:val="00AB0198"/>
    <w:rsid w:val="00AB703F"/>
    <w:rsid w:val="00AC09C7"/>
    <w:rsid w:val="00AC6BB8"/>
    <w:rsid w:val="00AD5775"/>
    <w:rsid w:val="00AE008F"/>
    <w:rsid w:val="00AE0CAE"/>
    <w:rsid w:val="00AE153D"/>
    <w:rsid w:val="00AF5B10"/>
    <w:rsid w:val="00B01FCD"/>
    <w:rsid w:val="00B05F9D"/>
    <w:rsid w:val="00B10F31"/>
    <w:rsid w:val="00B14361"/>
    <w:rsid w:val="00B14961"/>
    <w:rsid w:val="00B169E3"/>
    <w:rsid w:val="00B1776C"/>
    <w:rsid w:val="00B20991"/>
    <w:rsid w:val="00B25D91"/>
    <w:rsid w:val="00B264F3"/>
    <w:rsid w:val="00B30031"/>
    <w:rsid w:val="00B32752"/>
    <w:rsid w:val="00B4074A"/>
    <w:rsid w:val="00B47D04"/>
    <w:rsid w:val="00B50098"/>
    <w:rsid w:val="00B50547"/>
    <w:rsid w:val="00B52896"/>
    <w:rsid w:val="00B53EF0"/>
    <w:rsid w:val="00B61116"/>
    <w:rsid w:val="00B61495"/>
    <w:rsid w:val="00B62432"/>
    <w:rsid w:val="00B66B94"/>
    <w:rsid w:val="00B7658B"/>
    <w:rsid w:val="00B81A0A"/>
    <w:rsid w:val="00B83B36"/>
    <w:rsid w:val="00B84C80"/>
    <w:rsid w:val="00B87E92"/>
    <w:rsid w:val="00B92692"/>
    <w:rsid w:val="00B95236"/>
    <w:rsid w:val="00B96BD9"/>
    <w:rsid w:val="00B97FC2"/>
    <w:rsid w:val="00BA1B01"/>
    <w:rsid w:val="00BA2641"/>
    <w:rsid w:val="00BB17C7"/>
    <w:rsid w:val="00BB3532"/>
    <w:rsid w:val="00BB37AA"/>
    <w:rsid w:val="00BC0908"/>
    <w:rsid w:val="00BC3EFF"/>
    <w:rsid w:val="00BC53A0"/>
    <w:rsid w:val="00BC64B7"/>
    <w:rsid w:val="00BD0C52"/>
    <w:rsid w:val="00BD109D"/>
    <w:rsid w:val="00BD7246"/>
    <w:rsid w:val="00BE4197"/>
    <w:rsid w:val="00BE4871"/>
    <w:rsid w:val="00BE62AD"/>
    <w:rsid w:val="00BE7725"/>
    <w:rsid w:val="00BE7940"/>
    <w:rsid w:val="00BF1000"/>
    <w:rsid w:val="00BF121F"/>
    <w:rsid w:val="00BF12C1"/>
    <w:rsid w:val="00BF1F80"/>
    <w:rsid w:val="00BF2088"/>
    <w:rsid w:val="00BF21B4"/>
    <w:rsid w:val="00BF442F"/>
    <w:rsid w:val="00BF51DD"/>
    <w:rsid w:val="00C028EC"/>
    <w:rsid w:val="00C02C24"/>
    <w:rsid w:val="00C04D01"/>
    <w:rsid w:val="00C0561F"/>
    <w:rsid w:val="00C07A3E"/>
    <w:rsid w:val="00C11395"/>
    <w:rsid w:val="00C166EF"/>
    <w:rsid w:val="00C167E4"/>
    <w:rsid w:val="00C17EB0"/>
    <w:rsid w:val="00C20FDC"/>
    <w:rsid w:val="00C22E3D"/>
    <w:rsid w:val="00C245CF"/>
    <w:rsid w:val="00C27F5F"/>
    <w:rsid w:val="00C30A0F"/>
    <w:rsid w:val="00C34C7A"/>
    <w:rsid w:val="00C3774E"/>
    <w:rsid w:val="00C37E61"/>
    <w:rsid w:val="00C40112"/>
    <w:rsid w:val="00C431C2"/>
    <w:rsid w:val="00C45754"/>
    <w:rsid w:val="00C4602A"/>
    <w:rsid w:val="00C52152"/>
    <w:rsid w:val="00C644B4"/>
    <w:rsid w:val="00C675DD"/>
    <w:rsid w:val="00C70F1B"/>
    <w:rsid w:val="00C71111"/>
    <w:rsid w:val="00C71A47"/>
    <w:rsid w:val="00C7464C"/>
    <w:rsid w:val="00C8107B"/>
    <w:rsid w:val="00C81FDF"/>
    <w:rsid w:val="00C85588"/>
    <w:rsid w:val="00C878BA"/>
    <w:rsid w:val="00C931EB"/>
    <w:rsid w:val="00C93F25"/>
    <w:rsid w:val="00CA5EA6"/>
    <w:rsid w:val="00CA72F4"/>
    <w:rsid w:val="00CB30F0"/>
    <w:rsid w:val="00CB31DB"/>
    <w:rsid w:val="00CB34A0"/>
    <w:rsid w:val="00CB4111"/>
    <w:rsid w:val="00CB41AA"/>
    <w:rsid w:val="00CD28E8"/>
    <w:rsid w:val="00CD35D7"/>
    <w:rsid w:val="00CD5D97"/>
    <w:rsid w:val="00CD6755"/>
    <w:rsid w:val="00CD6856"/>
    <w:rsid w:val="00CE0089"/>
    <w:rsid w:val="00CE229E"/>
    <w:rsid w:val="00CE793C"/>
    <w:rsid w:val="00CF243E"/>
    <w:rsid w:val="00CF2471"/>
    <w:rsid w:val="00CF3E5C"/>
    <w:rsid w:val="00D0596D"/>
    <w:rsid w:val="00D07E02"/>
    <w:rsid w:val="00D11F0F"/>
    <w:rsid w:val="00D173F1"/>
    <w:rsid w:val="00D20CEE"/>
    <w:rsid w:val="00D25E82"/>
    <w:rsid w:val="00D25FC0"/>
    <w:rsid w:val="00D30229"/>
    <w:rsid w:val="00D302EF"/>
    <w:rsid w:val="00D4232D"/>
    <w:rsid w:val="00D46C65"/>
    <w:rsid w:val="00D51391"/>
    <w:rsid w:val="00D52D42"/>
    <w:rsid w:val="00D55022"/>
    <w:rsid w:val="00D66098"/>
    <w:rsid w:val="00D738D4"/>
    <w:rsid w:val="00D77927"/>
    <w:rsid w:val="00D8295D"/>
    <w:rsid w:val="00D839B9"/>
    <w:rsid w:val="00D85568"/>
    <w:rsid w:val="00D86BA4"/>
    <w:rsid w:val="00D91D84"/>
    <w:rsid w:val="00D97C9E"/>
    <w:rsid w:val="00DA0E26"/>
    <w:rsid w:val="00DA26FC"/>
    <w:rsid w:val="00DA33E2"/>
    <w:rsid w:val="00DB2716"/>
    <w:rsid w:val="00DB39D3"/>
    <w:rsid w:val="00DB68FC"/>
    <w:rsid w:val="00DB7584"/>
    <w:rsid w:val="00DC2879"/>
    <w:rsid w:val="00DC2A65"/>
    <w:rsid w:val="00DC74ED"/>
    <w:rsid w:val="00DC77F2"/>
    <w:rsid w:val="00DD437E"/>
    <w:rsid w:val="00DD4C68"/>
    <w:rsid w:val="00DD5785"/>
    <w:rsid w:val="00DE15F0"/>
    <w:rsid w:val="00DE1C51"/>
    <w:rsid w:val="00DE3C22"/>
    <w:rsid w:val="00DE4602"/>
    <w:rsid w:val="00DE5663"/>
    <w:rsid w:val="00DE78AA"/>
    <w:rsid w:val="00DF09C1"/>
    <w:rsid w:val="00DF0A2D"/>
    <w:rsid w:val="00DF290F"/>
    <w:rsid w:val="00DF3431"/>
    <w:rsid w:val="00DF6BC2"/>
    <w:rsid w:val="00E053D0"/>
    <w:rsid w:val="00E05A1F"/>
    <w:rsid w:val="00E07795"/>
    <w:rsid w:val="00E15994"/>
    <w:rsid w:val="00E3114E"/>
    <w:rsid w:val="00E31A70"/>
    <w:rsid w:val="00E334C1"/>
    <w:rsid w:val="00E34B05"/>
    <w:rsid w:val="00E35B02"/>
    <w:rsid w:val="00E4037D"/>
    <w:rsid w:val="00E42CA3"/>
    <w:rsid w:val="00E441A8"/>
    <w:rsid w:val="00E468D4"/>
    <w:rsid w:val="00E508DB"/>
    <w:rsid w:val="00E526DB"/>
    <w:rsid w:val="00E53453"/>
    <w:rsid w:val="00E60BA5"/>
    <w:rsid w:val="00E626D4"/>
    <w:rsid w:val="00E63888"/>
    <w:rsid w:val="00E63A34"/>
    <w:rsid w:val="00E6637C"/>
    <w:rsid w:val="00E66496"/>
    <w:rsid w:val="00E66B35"/>
    <w:rsid w:val="00E66E10"/>
    <w:rsid w:val="00E67B03"/>
    <w:rsid w:val="00E7449C"/>
    <w:rsid w:val="00E769F6"/>
    <w:rsid w:val="00E80D6D"/>
    <w:rsid w:val="00E8223B"/>
    <w:rsid w:val="00E8407C"/>
    <w:rsid w:val="00E84F3C"/>
    <w:rsid w:val="00E90CF6"/>
    <w:rsid w:val="00E94CBC"/>
    <w:rsid w:val="00E9790F"/>
    <w:rsid w:val="00E97F35"/>
    <w:rsid w:val="00EA012C"/>
    <w:rsid w:val="00EA01A8"/>
    <w:rsid w:val="00EA11A1"/>
    <w:rsid w:val="00EA223C"/>
    <w:rsid w:val="00EA2F66"/>
    <w:rsid w:val="00EA51FD"/>
    <w:rsid w:val="00EA7384"/>
    <w:rsid w:val="00EB4D6B"/>
    <w:rsid w:val="00EB4ECE"/>
    <w:rsid w:val="00EB6311"/>
    <w:rsid w:val="00EB7516"/>
    <w:rsid w:val="00EC26A3"/>
    <w:rsid w:val="00EC3B57"/>
    <w:rsid w:val="00ED0288"/>
    <w:rsid w:val="00ED32B7"/>
    <w:rsid w:val="00ED3D15"/>
    <w:rsid w:val="00ED4563"/>
    <w:rsid w:val="00EE18D4"/>
    <w:rsid w:val="00EE2AA6"/>
    <w:rsid w:val="00EE3A5F"/>
    <w:rsid w:val="00EE469A"/>
    <w:rsid w:val="00EE52CB"/>
    <w:rsid w:val="00EE7CC2"/>
    <w:rsid w:val="00EF581D"/>
    <w:rsid w:val="00EF7FD8"/>
    <w:rsid w:val="00F00250"/>
    <w:rsid w:val="00F00A36"/>
    <w:rsid w:val="00F01128"/>
    <w:rsid w:val="00F06F59"/>
    <w:rsid w:val="00F11AEB"/>
    <w:rsid w:val="00F1217B"/>
    <w:rsid w:val="00F15B51"/>
    <w:rsid w:val="00F174BF"/>
    <w:rsid w:val="00F17988"/>
    <w:rsid w:val="00F238CD"/>
    <w:rsid w:val="00F241A3"/>
    <w:rsid w:val="00F24557"/>
    <w:rsid w:val="00F269BF"/>
    <w:rsid w:val="00F310EF"/>
    <w:rsid w:val="00F32F68"/>
    <w:rsid w:val="00F3638F"/>
    <w:rsid w:val="00F36734"/>
    <w:rsid w:val="00F37922"/>
    <w:rsid w:val="00F402B2"/>
    <w:rsid w:val="00F4233C"/>
    <w:rsid w:val="00F469F0"/>
    <w:rsid w:val="00F53273"/>
    <w:rsid w:val="00F535B5"/>
    <w:rsid w:val="00F62052"/>
    <w:rsid w:val="00F703C9"/>
    <w:rsid w:val="00F71596"/>
    <w:rsid w:val="00F7169A"/>
    <w:rsid w:val="00F744D1"/>
    <w:rsid w:val="00F755E4"/>
    <w:rsid w:val="00F770D7"/>
    <w:rsid w:val="00F77D02"/>
    <w:rsid w:val="00F81915"/>
    <w:rsid w:val="00F83781"/>
    <w:rsid w:val="00F83CC2"/>
    <w:rsid w:val="00F85FF7"/>
    <w:rsid w:val="00F97EEA"/>
    <w:rsid w:val="00FA2AAB"/>
    <w:rsid w:val="00FA3877"/>
    <w:rsid w:val="00FA67F8"/>
    <w:rsid w:val="00FB3A86"/>
    <w:rsid w:val="00FB41D6"/>
    <w:rsid w:val="00FB66D6"/>
    <w:rsid w:val="00FC6BDE"/>
    <w:rsid w:val="00FC731A"/>
    <w:rsid w:val="00FD10C7"/>
    <w:rsid w:val="00FD36C8"/>
    <w:rsid w:val="00FE4327"/>
    <w:rsid w:val="00FE44E8"/>
    <w:rsid w:val="00FF02D3"/>
    <w:rsid w:val="00FF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043AD6"/>
  <w15:docId w15:val="{173A9D3C-2535-42A8-A10A-DCDE46D3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D73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305623907">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4_Dr_Jos&#233;%20S&#225;nchez\Base%20de%20datos_Jose&#769;%20Sa&#769;nchez_010824_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Descriptivos!$B$9:$B$10</c:f>
              <c:strCache>
                <c:ptCount val="2"/>
                <c:pt idx="0">
                  <c:v>Age (years)</c:v>
                </c:pt>
                <c:pt idx="1">
                  <c:v>BMI (kg/m2)</c:v>
                </c:pt>
              </c:strCache>
            </c:strRef>
          </c:cat>
          <c:val>
            <c:numRef>
              <c:f>Descriptivos!$C$9:$C$10</c:f>
              <c:numCache>
                <c:formatCode>###0.0</c:formatCode>
                <c:ptCount val="2"/>
                <c:pt idx="0">
                  <c:v>53.725239616613436</c:v>
                </c:pt>
                <c:pt idx="1">
                  <c:v>29.952306709265184</c:v>
                </c:pt>
              </c:numCache>
            </c:numRef>
          </c:val>
          <c:extLst>
            <c:ext xmlns:c16="http://schemas.microsoft.com/office/drawing/2014/chart" uri="{C3380CC4-5D6E-409C-BE32-E72D297353CC}">
              <c16:uniqueId val="{00000000-0BE9-44F9-8B9E-406E8922B0AD}"/>
            </c:ext>
          </c:extLst>
        </c:ser>
        <c:dLbls>
          <c:showLegendKey val="0"/>
          <c:showVal val="0"/>
          <c:showCatName val="0"/>
          <c:showSerName val="0"/>
          <c:showPercent val="0"/>
          <c:showBubbleSize val="0"/>
        </c:dLbls>
        <c:gapWidth val="150"/>
        <c:axId val="133330944"/>
        <c:axId val="137260416"/>
      </c:barChart>
      <c:catAx>
        <c:axId val="133330944"/>
        <c:scaling>
          <c:orientation val="minMax"/>
        </c:scaling>
        <c:delete val="0"/>
        <c:axPos val="b"/>
        <c:numFmt formatCode="General" sourceLinked="0"/>
        <c:majorTickMark val="out"/>
        <c:minorTickMark val="none"/>
        <c:tickLblPos val="nextTo"/>
        <c:crossAx val="137260416"/>
        <c:crosses val="autoZero"/>
        <c:auto val="1"/>
        <c:lblAlgn val="ctr"/>
        <c:lblOffset val="100"/>
        <c:noMultiLvlLbl val="0"/>
      </c:catAx>
      <c:valAx>
        <c:axId val="137260416"/>
        <c:scaling>
          <c:orientation val="minMax"/>
        </c:scaling>
        <c:delete val="0"/>
        <c:axPos val="l"/>
        <c:numFmt formatCode="###0.0" sourceLinked="1"/>
        <c:majorTickMark val="out"/>
        <c:minorTickMark val="none"/>
        <c:tickLblPos val="nextTo"/>
        <c:crossAx val="133330944"/>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Frecuencias!$C$24:$C$28</c:f>
              <c:strCache>
                <c:ptCount val="5"/>
                <c:pt idx="0">
                  <c:v>Normal Weigth</c:v>
                </c:pt>
                <c:pt idx="1">
                  <c:v>Overweight</c:v>
                </c:pt>
                <c:pt idx="2">
                  <c:v>Obesity Grade I</c:v>
                </c:pt>
                <c:pt idx="3">
                  <c:v>Obesity Grade II</c:v>
                </c:pt>
                <c:pt idx="4">
                  <c:v>Obesity Grade III</c:v>
                </c:pt>
              </c:strCache>
            </c:strRef>
          </c:cat>
          <c:val>
            <c:numRef>
              <c:f>Frecuencias!$D$24:$D$28</c:f>
              <c:numCache>
                <c:formatCode>###0</c:formatCode>
                <c:ptCount val="5"/>
                <c:pt idx="0">
                  <c:v>20</c:v>
                </c:pt>
                <c:pt idx="1">
                  <c:v>177</c:v>
                </c:pt>
                <c:pt idx="2">
                  <c:v>60</c:v>
                </c:pt>
                <c:pt idx="3">
                  <c:v>35</c:v>
                </c:pt>
                <c:pt idx="4">
                  <c:v>21</c:v>
                </c:pt>
              </c:numCache>
            </c:numRef>
          </c:val>
          <c:extLst>
            <c:ext xmlns:c16="http://schemas.microsoft.com/office/drawing/2014/chart" uri="{C3380CC4-5D6E-409C-BE32-E72D297353CC}">
              <c16:uniqueId val="{00000000-2F19-4AF1-A6DB-A5FE981A1883}"/>
            </c:ext>
          </c:extLst>
        </c:ser>
        <c:dLbls>
          <c:showLegendKey val="0"/>
          <c:showVal val="0"/>
          <c:showCatName val="0"/>
          <c:showSerName val="0"/>
          <c:showPercent val="0"/>
          <c:showBubbleSize val="0"/>
        </c:dLbls>
        <c:gapWidth val="150"/>
        <c:axId val="133332480"/>
        <c:axId val="137262720"/>
      </c:barChart>
      <c:catAx>
        <c:axId val="133332480"/>
        <c:scaling>
          <c:orientation val="minMax"/>
        </c:scaling>
        <c:delete val="0"/>
        <c:axPos val="b"/>
        <c:numFmt formatCode="General" sourceLinked="0"/>
        <c:majorTickMark val="out"/>
        <c:minorTickMark val="none"/>
        <c:tickLblPos val="nextTo"/>
        <c:crossAx val="137262720"/>
        <c:crosses val="autoZero"/>
        <c:auto val="1"/>
        <c:lblAlgn val="ctr"/>
        <c:lblOffset val="100"/>
        <c:noMultiLvlLbl val="0"/>
      </c:catAx>
      <c:valAx>
        <c:axId val="137262720"/>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133332480"/>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Frecuencias!$C$33:$C$37</c:f>
              <c:strCache>
                <c:ptCount val="5"/>
                <c:pt idx="0">
                  <c:v>I</c:v>
                </c:pt>
                <c:pt idx="1">
                  <c:v>II</c:v>
                </c:pt>
                <c:pt idx="2">
                  <c:v>III</c:v>
                </c:pt>
                <c:pt idx="3">
                  <c:v>IV</c:v>
                </c:pt>
                <c:pt idx="4">
                  <c:v>V</c:v>
                </c:pt>
              </c:strCache>
            </c:strRef>
          </c:cat>
          <c:val>
            <c:numRef>
              <c:f>Frecuencias!$D$33:$D$37</c:f>
              <c:numCache>
                <c:formatCode>###0</c:formatCode>
                <c:ptCount val="5"/>
                <c:pt idx="0">
                  <c:v>72</c:v>
                </c:pt>
                <c:pt idx="1">
                  <c:v>114</c:v>
                </c:pt>
                <c:pt idx="2">
                  <c:v>45</c:v>
                </c:pt>
                <c:pt idx="3">
                  <c:v>47</c:v>
                </c:pt>
                <c:pt idx="4">
                  <c:v>35</c:v>
                </c:pt>
              </c:numCache>
            </c:numRef>
          </c:val>
          <c:extLst>
            <c:ext xmlns:c16="http://schemas.microsoft.com/office/drawing/2014/chart" uri="{C3380CC4-5D6E-409C-BE32-E72D297353CC}">
              <c16:uniqueId val="{00000005-7D35-7847-8D29-19F4E77B4449}"/>
            </c:ext>
          </c:extLst>
        </c:ser>
        <c:dLbls>
          <c:showLegendKey val="0"/>
          <c:showVal val="0"/>
          <c:showCatName val="0"/>
          <c:showSerName val="0"/>
          <c:showPercent val="0"/>
          <c:showBubbleSize val="0"/>
        </c:dLbls>
        <c:gapWidth val="150"/>
        <c:axId val="152526848"/>
        <c:axId val="137264448"/>
      </c:barChart>
      <c:catAx>
        <c:axId val="152526848"/>
        <c:scaling>
          <c:orientation val="minMax"/>
        </c:scaling>
        <c:delete val="0"/>
        <c:axPos val="b"/>
        <c:title>
          <c:tx>
            <c:rich>
              <a:bodyPr/>
              <a:lstStyle/>
              <a:p>
                <a:pPr>
                  <a:defRPr/>
                </a:pPr>
                <a:r>
                  <a:rPr lang="en-US"/>
                  <a:t>Parkland Scale</a:t>
                </a:r>
              </a:p>
            </c:rich>
          </c:tx>
          <c:overlay val="0"/>
        </c:title>
        <c:numFmt formatCode="General" sourceLinked="0"/>
        <c:majorTickMark val="out"/>
        <c:minorTickMark val="none"/>
        <c:tickLblPos val="nextTo"/>
        <c:crossAx val="137264448"/>
        <c:crosses val="autoZero"/>
        <c:auto val="1"/>
        <c:lblAlgn val="ctr"/>
        <c:lblOffset val="100"/>
        <c:noMultiLvlLbl val="0"/>
      </c:catAx>
      <c:valAx>
        <c:axId val="137264448"/>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152526848"/>
        <c:crosses val="autoZero"/>
        <c:crossBetween val="between"/>
      </c:valAx>
    </c:plotArea>
    <c:plotVisOnly val="1"/>
    <c:dispBlanksAs val="gap"/>
    <c:showDLblsOverMax val="0"/>
  </c:chart>
  <c:spPr>
    <a:ln>
      <a:noFill/>
    </a:ln>
  </c:spPr>
  <c:txPr>
    <a:bodyPr/>
    <a:lstStyle/>
    <a:p>
      <a:pPr>
        <a:defRPr sz="900" b="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23F3-DEDE-441E-A8C3-E298AA6D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1726</TotalTime>
  <Pages>9</Pages>
  <Words>3347</Words>
  <Characters>19084</Characters>
  <Application>Microsoft Office Word</Application>
  <DocSecurity>0</DocSecurity>
  <Lines>159</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22387</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98</cp:revision>
  <cp:lastPrinted>2026-01-07T06:37:00Z</cp:lastPrinted>
  <dcterms:created xsi:type="dcterms:W3CDTF">2025-12-28T06:10:00Z</dcterms:created>
  <dcterms:modified xsi:type="dcterms:W3CDTF">2026-01-27T06:42:00Z</dcterms:modified>
</cp:coreProperties>
</file>