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5839" w:rsidRDefault="00F21A5A">
      <w:pPr>
        <w:spacing w:line="360" w:lineRule="auto"/>
        <w:ind w:left="2741" w:hangingChars="1300" w:hanging="2741"/>
        <w:rPr>
          <w:rFonts w:ascii="Times New Roman" w:eastAsia="HGB1_CNKI" w:hAnsi="Times New Roman" w:cs="Times New Roman"/>
          <w:b/>
          <w:bCs/>
          <w:u w:val="single"/>
        </w:rPr>
      </w:pPr>
      <w:r>
        <w:rPr>
          <w:rFonts w:ascii="Times New Roman" w:eastAsia="HGB1_CNKI" w:hAnsi="Times New Roman" w:cs="Times New Roman"/>
          <w:b/>
          <w:bCs/>
          <w:u w:val="single"/>
        </w:rPr>
        <w:t>Case report</w:t>
      </w:r>
    </w:p>
    <w:p w:rsidR="00ED5839" w:rsidRDefault="00F21A5A">
      <w:pPr>
        <w:spacing w:line="360" w:lineRule="auto"/>
        <w:ind w:left="2741" w:hangingChars="1300" w:hanging="2741"/>
        <w:rPr>
          <w:rFonts w:ascii="Times New Roman" w:eastAsia="HGB1_CNKI" w:hAnsi="Times New Roman" w:cs="Times New Roman"/>
          <w:b/>
          <w:bCs/>
        </w:rPr>
      </w:pPr>
      <w:r>
        <w:rPr>
          <w:rFonts w:ascii="Times New Roman" w:eastAsia="HGB1_CNKI" w:hAnsi="Times New Roman" w:cs="Times New Roman" w:hint="eastAsia"/>
          <w:b/>
          <w:bCs/>
        </w:rPr>
        <w:t>Percutaneous Tibial Nerve Stimulation for Neurogenic Detrusor Overactivity after Spinal Cord Injury: A Case Report</w:t>
      </w:r>
    </w:p>
    <w:p w:rsidR="00ED5839" w:rsidRDefault="00F21A5A">
      <w:pPr>
        <w:spacing w:line="360" w:lineRule="auto"/>
        <w:ind w:left="2741" w:hangingChars="1300" w:hanging="2741"/>
        <w:rPr>
          <w:rFonts w:ascii="Times New Roman" w:eastAsia="HGB1_CNKI" w:hAnsi="Times New Roman" w:cs="Times New Roman"/>
          <w:b/>
          <w:bCs/>
        </w:rPr>
      </w:pPr>
      <w:r>
        <w:rPr>
          <w:rFonts w:ascii="Times New Roman" w:eastAsia="HGB1_CNKI" w:hAnsi="Times New Roman" w:cs="Times New Roman"/>
          <w:b/>
          <w:bCs/>
        </w:rPr>
        <w:t>ABSTRACT</w:t>
      </w:r>
    </w:p>
    <w:p w:rsidR="00ED5839" w:rsidRDefault="00F21A5A">
      <w:pPr>
        <w:spacing w:line="360" w:lineRule="auto"/>
        <w:ind w:left="2741" w:hangingChars="1300" w:hanging="2741"/>
        <w:rPr>
          <w:rFonts w:ascii="Times New Roman" w:eastAsia="HGB1_CNKI" w:hAnsi="Times New Roman" w:cs="Times New Roman"/>
          <w:b/>
          <w:bCs/>
        </w:rPr>
      </w:pPr>
      <w:r>
        <w:rPr>
          <w:rFonts w:ascii="Times New Roman" w:eastAsia="HGB1_CNKI" w:hAnsi="Times New Roman" w:cs="Times New Roman"/>
          <w:b/>
          <w:bCs/>
        </w:rPr>
        <w:t>Introduction</w:t>
      </w:r>
    </w:p>
    <w:p w:rsidR="00ED5839" w:rsidRDefault="00F21A5A">
      <w:pPr>
        <w:spacing w:line="360" w:lineRule="auto"/>
        <w:ind w:firstLineChars="200" w:firstLine="420"/>
        <w:rPr>
          <w:rFonts w:ascii="Times New Roman" w:hAnsi="Times New Roman" w:cs="Times New Roman"/>
        </w:rPr>
      </w:pPr>
      <w:r>
        <w:rPr>
          <w:rFonts w:ascii="Times New Roman" w:hAnsi="Times New Roman" w:cs="Times New Roman" w:hint="eastAsia"/>
        </w:rPr>
        <w:t>Neurogenic detrusor overactivity</w:t>
      </w:r>
      <w:r>
        <w:rPr>
          <w:rFonts w:ascii="Times New Roman" w:hAnsi="Times New Roman" w:cs="Times New Roman"/>
        </w:rPr>
        <w:t xml:space="preserve"> (</w:t>
      </w:r>
      <w:r>
        <w:rPr>
          <w:rFonts w:ascii="Times New Roman" w:hAnsi="Times New Roman" w:cs="Times New Roman" w:hint="eastAsia"/>
        </w:rPr>
        <w:t>N</w:t>
      </w:r>
      <w:r>
        <w:rPr>
          <w:rFonts w:ascii="Times New Roman" w:hAnsi="Times New Roman" w:cs="Times New Roman"/>
        </w:rPr>
        <w:t>DO) is characterized by spontaneous or provoked involuntary detrusor contractions during</w:t>
      </w:r>
      <w:r>
        <w:rPr>
          <w:rFonts w:ascii="Times New Roman" w:hAnsi="Times New Roman" w:cs="Times New Roman" w:hint="eastAsia"/>
        </w:rPr>
        <w:t xml:space="preserve"> the</w:t>
      </w:r>
      <w:r>
        <w:rPr>
          <w:rFonts w:ascii="Times New Roman" w:hAnsi="Times New Roman" w:cs="Times New Roman"/>
        </w:rPr>
        <w:t xml:space="preserve"> storage phase in urodynamic investigation</w:t>
      </w:r>
      <w:r>
        <w:rPr>
          <w:rFonts w:ascii="Times New Roman" w:hAnsi="Times New Roman" w:cs="Times New Roman" w:hint="eastAsia"/>
        </w:rPr>
        <w:t xml:space="preserve"> secondary to neuro-urological disorders</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Percutaneous tibial nerve stimulation is a minimally invasive neuromodulation technique for treating overactive bladder</w:t>
      </w:r>
      <w:r>
        <w:rPr>
          <w:rFonts w:ascii="Times New Roman" w:hAnsi="Times New Roman" w:cs="Times New Roman" w:hint="eastAsia"/>
        </w:rPr>
        <w:t xml:space="preserve"> </w:t>
      </w:r>
      <w:r>
        <w:rPr>
          <w:rFonts w:ascii="Times New Roman" w:hAnsi="Times New Roman" w:cs="Times New Roman"/>
        </w:rPr>
        <w:t xml:space="preserve">symptoms. </w:t>
      </w:r>
    </w:p>
    <w:p w:rsidR="00ED5839" w:rsidRDefault="00F21A5A">
      <w:pPr>
        <w:spacing w:line="360" w:lineRule="auto"/>
        <w:ind w:left="2741" w:hangingChars="1300" w:hanging="2741"/>
        <w:rPr>
          <w:rFonts w:ascii="Times New Roman" w:eastAsia="HGB1_CNKI" w:hAnsi="Times New Roman" w:cs="Times New Roman"/>
          <w:b/>
          <w:bCs/>
        </w:rPr>
      </w:pPr>
      <w:r>
        <w:rPr>
          <w:rFonts w:ascii="Times New Roman" w:eastAsia="HGB1_CNKI" w:hAnsi="Times New Roman" w:cs="Times New Roman"/>
          <w:b/>
          <w:bCs/>
        </w:rPr>
        <w:t xml:space="preserve">Case </w:t>
      </w:r>
    </w:p>
    <w:p w:rsidR="00ED5839" w:rsidRDefault="00F21A5A">
      <w:pPr>
        <w:spacing w:line="360" w:lineRule="auto"/>
        <w:rPr>
          <w:rFonts w:ascii="Times New Roman" w:eastAsia="HGB1_CNKI" w:hAnsi="Times New Roman" w:cs="Times New Roman"/>
        </w:rPr>
      </w:pPr>
      <w:r>
        <w:rPr>
          <w:rFonts w:ascii="Times New Roman" w:hAnsi="Times New Roman" w:cs="Times New Roman"/>
        </w:rPr>
        <w:t xml:space="preserve">We report the case of a </w:t>
      </w:r>
      <w:r>
        <w:rPr>
          <w:rFonts w:ascii="Times New Roman" w:hAnsi="Times New Roman" w:cs="Times New Roman" w:hint="eastAsia"/>
        </w:rPr>
        <w:t>53-</w:t>
      </w:r>
      <w:r>
        <w:rPr>
          <w:rFonts w:ascii="Times New Roman" w:hAnsi="Times New Roman" w:cs="Times New Roman"/>
        </w:rPr>
        <w:t>year</w:t>
      </w:r>
      <w:r>
        <w:rPr>
          <w:rFonts w:ascii="Times New Roman" w:hAnsi="Times New Roman" w:cs="Times New Roman" w:hint="eastAsia"/>
        </w:rPr>
        <w:t>-</w:t>
      </w:r>
      <w:r>
        <w:rPr>
          <w:rFonts w:ascii="Times New Roman" w:hAnsi="Times New Roman" w:cs="Times New Roman"/>
        </w:rPr>
        <w:t xml:space="preserve">old male, who came with </w:t>
      </w:r>
      <w:r>
        <w:rPr>
          <w:rFonts w:ascii="Times New Roman" w:eastAsia="HGB1_CNKI" w:hAnsi="Times New Roman" w:cs="Times New Roman"/>
        </w:rPr>
        <w:t>DO</w:t>
      </w:r>
      <w:r>
        <w:rPr>
          <w:rFonts w:ascii="Times New Roman" w:eastAsia="HGB1_CNKI" w:hAnsi="Times New Roman" w:cs="Times New Roman" w:hint="eastAsia"/>
        </w:rPr>
        <w:t xml:space="preserve"> secondary to spinal cord injury (SCI) since November, 2023</w:t>
      </w:r>
      <w:r>
        <w:rPr>
          <w:rFonts w:ascii="Times New Roman" w:hAnsi="Times New Roman" w:cs="Times New Roman"/>
        </w:rPr>
        <w:t xml:space="preserve">. </w:t>
      </w:r>
      <w:r>
        <w:rPr>
          <w:rFonts w:ascii="Times New Roman" w:hAnsi="Times New Roman" w:cs="Times New Roman" w:hint="eastAsia"/>
        </w:rPr>
        <w:t xml:space="preserve">The patient </w:t>
      </w:r>
      <w:r>
        <w:rPr>
          <w:rFonts w:ascii="Times New Roman" w:hAnsi="Times New Roman" w:cs="Times New Roman"/>
        </w:rPr>
        <w:t xml:space="preserve">had an inadequate response to oral anticholinergic drugs (tolterodine, </w:t>
      </w:r>
      <w:proofErr w:type="spellStart"/>
      <w:r>
        <w:rPr>
          <w:rFonts w:ascii="Times New Roman" w:hAnsi="Times New Roman" w:cs="Times New Roman"/>
        </w:rPr>
        <w:t>propiverine</w:t>
      </w:r>
      <w:proofErr w:type="spellEnd"/>
      <w:r>
        <w:rPr>
          <w:rFonts w:ascii="Times New Roman" w:hAnsi="Times New Roman" w:cs="Times New Roman"/>
        </w:rPr>
        <w:t xml:space="preserve"> and </w:t>
      </w:r>
      <w:proofErr w:type="spellStart"/>
      <w:r>
        <w:rPr>
          <w:rFonts w:ascii="Times New Roman" w:hAnsi="Times New Roman" w:cs="Times New Roman"/>
        </w:rPr>
        <w:t>solifenacin</w:t>
      </w:r>
      <w:proofErr w:type="spellEnd"/>
      <w:r>
        <w:rPr>
          <w:rFonts w:ascii="Times New Roman" w:hAnsi="Times New Roman" w:cs="Times New Roman"/>
        </w:rPr>
        <w:t>).</w:t>
      </w:r>
      <w:r>
        <w:rPr>
          <w:rFonts w:ascii="Times New Roman" w:hAnsi="Times New Roman" w:cs="Times New Roman" w:hint="eastAsia"/>
        </w:rPr>
        <w:t xml:space="preserve"> Therefore, t</w:t>
      </w:r>
      <w:r>
        <w:rPr>
          <w:rFonts w:ascii="Times New Roman" w:eastAsia="HGB1_CNKI" w:hAnsi="Times New Roman" w:cs="Times New Roman"/>
        </w:rPr>
        <w:t>he patient adopted</w:t>
      </w:r>
      <w:r>
        <w:rPr>
          <w:rFonts w:ascii="Times New Roman" w:eastAsia="HGB1_CNKI" w:hAnsi="Times New Roman" w:cs="Times New Roman" w:hint="eastAsia"/>
        </w:rPr>
        <w:t xml:space="preserve"> </w:t>
      </w:r>
      <w:r>
        <w:rPr>
          <w:rFonts w:ascii="Times New Roman" w:hAnsi="Times New Roman" w:cs="Times New Roman"/>
        </w:rPr>
        <w:t>weekly</w:t>
      </w:r>
      <w:r>
        <w:rPr>
          <w:rFonts w:ascii="Times New Roman" w:eastAsia="HGB1_CNKI" w:hAnsi="Times New Roman" w:cs="Times New Roman" w:hint="eastAsia"/>
        </w:rPr>
        <w:t xml:space="preserve"> </w:t>
      </w:r>
      <w:r>
        <w:rPr>
          <w:rFonts w:ascii="Times New Roman" w:hAnsi="Times New Roman" w:cs="Times New Roman" w:hint="eastAsia"/>
        </w:rPr>
        <w:t>percutaneous tibial nerve stimulation (PTNS) and</w:t>
      </w:r>
      <w:r>
        <w:rPr>
          <w:rFonts w:ascii="Times New Roman" w:hAnsi="Times New Roman" w:cs="Times New Roman"/>
          <w:bCs/>
          <w:sz w:val="20"/>
          <w:szCs w:val="20"/>
          <w:lang w:val="en-GB"/>
        </w:rPr>
        <w:t xml:space="preserve"> continued</w:t>
      </w:r>
      <w:r>
        <w:rPr>
          <w:rFonts w:ascii="Times New Roman" w:hAnsi="Times New Roman" w:cs="Times New Roman" w:hint="eastAsia"/>
          <w:bCs/>
          <w:sz w:val="20"/>
          <w:szCs w:val="20"/>
        </w:rPr>
        <w:t xml:space="preserve"> </w:t>
      </w:r>
      <w:r>
        <w:rPr>
          <w:rFonts w:ascii="Times New Roman" w:hAnsi="Times New Roman" w:cs="Times New Roman"/>
          <w:bCs/>
          <w:sz w:val="20"/>
          <w:szCs w:val="20"/>
          <w:lang w:val="en-GB"/>
        </w:rPr>
        <w:t xml:space="preserve">anticholinergic therapy </w:t>
      </w:r>
      <w:r>
        <w:rPr>
          <w:rFonts w:ascii="Times New Roman" w:hAnsi="Times New Roman" w:cs="Times New Roman" w:hint="eastAsia"/>
          <w:bCs/>
          <w:sz w:val="20"/>
          <w:szCs w:val="20"/>
        </w:rPr>
        <w:t>with</w:t>
      </w:r>
      <w:r>
        <w:rPr>
          <w:rFonts w:ascii="Times New Roman" w:eastAsia="HGB1_CNKI" w:hAnsi="Times New Roman" w:cs="Times New Roman" w:hint="eastAsia"/>
        </w:rPr>
        <w:t xml:space="preserve"> clean intermittent catheterization (CIC)</w:t>
      </w:r>
      <w:r>
        <w:rPr>
          <w:rFonts w:ascii="Times New Roman" w:hAnsi="Times New Roman" w:cs="Times New Roman"/>
        </w:rPr>
        <w:t>.</w:t>
      </w:r>
      <w:r>
        <w:rPr>
          <w:rFonts w:ascii="Times New Roman" w:hAnsi="Times New Roman" w:cs="Times New Roman" w:hint="eastAsia"/>
        </w:rPr>
        <w:t xml:space="preserve"> A</w:t>
      </w:r>
      <w:r>
        <w:rPr>
          <w:rFonts w:ascii="Times New Roman" w:hAnsi="Times New Roman" w:cs="Times New Roman"/>
        </w:rPr>
        <w:t xml:space="preserve">t </w:t>
      </w:r>
      <w:r>
        <w:rPr>
          <w:rFonts w:ascii="Times New Roman" w:hAnsi="Times New Roman" w:cs="Times New Roman" w:hint="eastAsia"/>
        </w:rPr>
        <w:t xml:space="preserve">3 </w:t>
      </w:r>
      <w:r>
        <w:rPr>
          <w:rFonts w:ascii="Times New Roman" w:hAnsi="Times New Roman" w:cs="Times New Roman"/>
        </w:rPr>
        <w:t>months</w:t>
      </w:r>
      <w:r>
        <w:rPr>
          <w:rFonts w:ascii="Times New Roman" w:hAnsi="Times New Roman" w:cs="Times New Roman" w:hint="eastAsia"/>
        </w:rPr>
        <w:t xml:space="preserve">,12 </w:t>
      </w:r>
      <w:r>
        <w:rPr>
          <w:rFonts w:ascii="Times New Roman" w:hAnsi="Times New Roman" w:cs="Times New Roman"/>
        </w:rPr>
        <w:t>months and 1</w:t>
      </w:r>
      <w:r>
        <w:rPr>
          <w:rFonts w:ascii="Times New Roman" w:hAnsi="Times New Roman" w:cs="Times New Roman" w:hint="eastAsia"/>
        </w:rPr>
        <w:t>8</w:t>
      </w:r>
      <w:r>
        <w:rPr>
          <w:rFonts w:ascii="Times New Roman" w:hAnsi="Times New Roman" w:cs="Times New Roman"/>
        </w:rPr>
        <w:t xml:space="preserve"> months from baseline</w:t>
      </w:r>
      <w:r>
        <w:rPr>
          <w:rFonts w:ascii="Times New Roman" w:hAnsi="Times New Roman" w:cs="Times New Roman" w:hint="eastAsia"/>
        </w:rPr>
        <w:t>,</w:t>
      </w:r>
      <w:r>
        <w:rPr>
          <w:rFonts w:ascii="Times New Roman" w:eastAsia="HGB1_CNKI" w:hAnsi="Times New Roman" w:cs="Times New Roman"/>
        </w:rPr>
        <w:t xml:space="preserve"> urodynamic assessments indicated normalized bladder compliance.</w:t>
      </w:r>
      <w:r>
        <w:rPr>
          <w:rFonts w:ascii="Times New Roman" w:eastAsia="HGB1_CNKI" w:hAnsi="Times New Roman" w:cs="Times New Roman" w:hint="eastAsia"/>
        </w:rPr>
        <w:t xml:space="preserve"> </w:t>
      </w:r>
      <w:r>
        <w:rPr>
          <w:rFonts w:ascii="Times New Roman" w:eastAsia="HGB1_CNKI" w:hAnsi="Times New Roman" w:cs="Times New Roman"/>
        </w:rPr>
        <w:t>At 3</w:t>
      </w:r>
      <w:r>
        <w:rPr>
          <w:rFonts w:ascii="Times New Roman" w:eastAsia="HGB1_CNKI" w:hAnsi="Times New Roman" w:cs="Times New Roman" w:hint="eastAsia"/>
        </w:rPr>
        <w:t xml:space="preserve"> </w:t>
      </w:r>
      <w:r>
        <w:rPr>
          <w:rFonts w:ascii="Times New Roman" w:eastAsia="HGB1_CNKI" w:hAnsi="Times New Roman" w:cs="Times New Roman"/>
        </w:rPr>
        <w:t>months from baseline, the patient had no incidence of DO and complete dryness. Significant changes were already present in Incontinence-Specific-Quality-of-Life Instrument (59 vs 19) and mean voiding volume (400 ml vs. 70 ml), respectively. The outcomes had still yielded significant improvements until 18 month</w:t>
      </w:r>
      <w:r>
        <w:rPr>
          <w:rFonts w:ascii="Times New Roman" w:eastAsia="HGB1_CNKI" w:hAnsi="Times New Roman" w:cs="Times New Roman" w:hint="eastAsia"/>
        </w:rPr>
        <w:t>s</w:t>
      </w:r>
      <w:r>
        <w:rPr>
          <w:rFonts w:ascii="Times New Roman" w:eastAsia="HGB1_CNKI" w:hAnsi="Times New Roman" w:cs="Times New Roman"/>
        </w:rPr>
        <w:t xml:space="preserve"> from baseline.</w:t>
      </w:r>
      <w:r>
        <w:rPr>
          <w:rFonts w:ascii="Times New Roman" w:eastAsia="HGB1_CNKI" w:hAnsi="Times New Roman" w:cs="Times New Roman" w:hint="eastAsia"/>
        </w:rPr>
        <w:t xml:space="preserve"> Besides, the patient reported no related adverse event. </w:t>
      </w:r>
    </w:p>
    <w:p w:rsidR="00ED5839" w:rsidRDefault="00F21A5A">
      <w:pPr>
        <w:spacing w:line="360" w:lineRule="auto"/>
        <w:rPr>
          <w:rFonts w:ascii="Times New Roman" w:hAnsi="Times New Roman" w:cs="Times New Roman"/>
        </w:rPr>
      </w:pPr>
      <w:r>
        <w:rPr>
          <w:rFonts w:ascii="Times New Roman" w:eastAsia="HGB1_CNKI" w:hAnsi="Times New Roman" w:cs="Times New Roman"/>
          <w:b/>
          <w:bCs/>
        </w:rPr>
        <w:t>Conclusion</w:t>
      </w:r>
    </w:p>
    <w:p w:rsidR="00ED5839" w:rsidRDefault="00F21A5A">
      <w:pPr>
        <w:spacing w:line="360" w:lineRule="auto"/>
        <w:rPr>
          <w:rFonts w:ascii="Times New Roman" w:eastAsia="HGB1_CNKI" w:hAnsi="Times New Roman" w:cs="Times New Roman"/>
        </w:rPr>
      </w:pPr>
      <w:r>
        <w:rPr>
          <w:rFonts w:ascii="Times New Roman" w:hAnsi="Times New Roman" w:cs="Times New Roman" w:hint="eastAsia"/>
        </w:rPr>
        <w:t>PTNS was effective and safe as the</w:t>
      </w:r>
      <w:r>
        <w:rPr>
          <w:rFonts w:ascii="Times New Roman" w:hAnsi="Times New Roman" w:cs="Times New Roman"/>
        </w:rPr>
        <w:t xml:space="preserve"> treatment </w:t>
      </w:r>
      <w:r>
        <w:rPr>
          <w:rFonts w:ascii="Times New Roman" w:hAnsi="Times New Roman" w:cs="Times New Roman" w:hint="eastAsia"/>
        </w:rPr>
        <w:t>for N</w:t>
      </w:r>
      <w:r>
        <w:rPr>
          <w:rFonts w:ascii="Times New Roman" w:hAnsi="Times New Roman" w:cs="Times New Roman"/>
        </w:rPr>
        <w:t xml:space="preserve">DO </w:t>
      </w:r>
      <w:r>
        <w:rPr>
          <w:rFonts w:ascii="Times New Roman" w:hAnsi="Times New Roman" w:cs="Times New Roman" w:hint="eastAsia"/>
        </w:rPr>
        <w:t xml:space="preserve">secondary to SCI. </w:t>
      </w:r>
    </w:p>
    <w:p w:rsidR="00ED5839" w:rsidRDefault="00F21A5A">
      <w:pPr>
        <w:spacing w:line="360" w:lineRule="auto"/>
        <w:rPr>
          <w:rFonts w:ascii="Times New Roman" w:eastAsia="HGB1_CNKI" w:hAnsi="Times New Roman" w:cs="Times New Roman"/>
        </w:rPr>
      </w:pPr>
      <w:r>
        <w:rPr>
          <w:rFonts w:ascii="Times New Roman" w:eastAsia="HGB1_CNKI" w:hAnsi="Times New Roman" w:cs="Times New Roman"/>
          <w:b/>
          <w:bCs/>
        </w:rPr>
        <w:t>Keywords</w:t>
      </w:r>
      <w:r>
        <w:rPr>
          <w:rFonts w:ascii="Times New Roman" w:eastAsia="HGB1_CNKI" w:hAnsi="Times New Roman" w:cs="Times New Roman"/>
        </w:rPr>
        <w:t xml:space="preserve">: </w:t>
      </w:r>
      <w:proofErr w:type="spellStart"/>
      <w:proofErr w:type="gramStart"/>
      <w:r>
        <w:rPr>
          <w:rFonts w:ascii="Times New Roman" w:hAnsi="Times New Roman" w:cs="Times New Roman" w:hint="eastAsia"/>
        </w:rPr>
        <w:t>Neurogenic;</w:t>
      </w:r>
      <w:r>
        <w:rPr>
          <w:rFonts w:ascii="Times New Roman" w:eastAsia="HGB1_CNKI" w:hAnsi="Times New Roman" w:cs="Times New Roman"/>
        </w:rPr>
        <w:t>Detrusor</w:t>
      </w:r>
      <w:proofErr w:type="spellEnd"/>
      <w:proofErr w:type="gramEnd"/>
      <w:r>
        <w:rPr>
          <w:rFonts w:ascii="Times New Roman" w:eastAsia="HGB1_CNKI" w:hAnsi="Times New Roman" w:cs="Times New Roman"/>
        </w:rPr>
        <w:t xml:space="preserve"> overactivity; Tibial nerve </w:t>
      </w:r>
      <w:proofErr w:type="spellStart"/>
      <w:r>
        <w:rPr>
          <w:rFonts w:ascii="Times New Roman" w:eastAsia="HGB1_CNKI" w:hAnsi="Times New Roman" w:cs="Times New Roman"/>
        </w:rPr>
        <w:t>stimulation;</w:t>
      </w:r>
      <w:r>
        <w:rPr>
          <w:rFonts w:ascii="Times New Roman" w:eastAsia="HGB1_CNKI" w:hAnsi="Times New Roman" w:cs="Times New Roman" w:hint="eastAsia"/>
        </w:rPr>
        <w:t>Spinal</w:t>
      </w:r>
      <w:proofErr w:type="spellEnd"/>
      <w:r>
        <w:rPr>
          <w:rFonts w:ascii="Times New Roman" w:eastAsia="HGB1_CNKI" w:hAnsi="Times New Roman" w:cs="Times New Roman" w:hint="eastAsia"/>
        </w:rPr>
        <w:t xml:space="preserve"> cord injury</w:t>
      </w:r>
    </w:p>
    <w:p w:rsidR="00ED5839" w:rsidRDefault="00ED5839">
      <w:pPr>
        <w:spacing w:line="360" w:lineRule="auto"/>
        <w:rPr>
          <w:rFonts w:ascii="Times New Roman" w:eastAsia="HGB1_CNKI" w:hAnsi="Times New Roman" w:cs="Times New Roman"/>
        </w:rPr>
      </w:pPr>
    </w:p>
    <w:p w:rsidR="00ED5839" w:rsidRDefault="00F21A5A">
      <w:pPr>
        <w:spacing w:line="360" w:lineRule="auto"/>
        <w:rPr>
          <w:rFonts w:ascii="Times New Roman" w:eastAsia="HGB1_CNKI" w:hAnsi="Times New Roman" w:cs="Times New Roman"/>
          <w:b/>
          <w:bCs/>
        </w:rPr>
      </w:pPr>
      <w:r>
        <w:rPr>
          <w:rFonts w:ascii="Times New Roman" w:eastAsia="HGB1_CNKI" w:hAnsi="Times New Roman" w:cs="Times New Roman"/>
          <w:b/>
          <w:bCs/>
        </w:rPr>
        <w:t>1. Introduction</w:t>
      </w:r>
    </w:p>
    <w:p w:rsidR="00ED5839" w:rsidRDefault="00F206B0">
      <w:pPr>
        <w:spacing w:line="360" w:lineRule="auto"/>
        <w:rPr>
          <w:rFonts w:ascii="Times New Roman" w:eastAsia="HGB1_CNKI" w:hAnsi="Times New Roman" w:cs="Times New Roman"/>
        </w:rPr>
      </w:pPr>
      <w:r>
        <w:rPr>
          <w:rFonts w:ascii="Times New Roman" w:eastAsia="HGB1_CNKI" w:hAnsi="Times New Roman" w:cs="Times New Roman"/>
        </w:rPr>
        <w:t>“</w:t>
      </w:r>
      <w:r w:rsidR="00F21A5A">
        <w:rPr>
          <w:rFonts w:ascii="Times New Roman" w:eastAsia="HGB1_CNKI" w:hAnsi="Times New Roman" w:cs="Times New Roman"/>
        </w:rPr>
        <w:t xml:space="preserve">Detrusor overactivity (DO) is characterized by spontaneous or provoked involuntary detrusor contractions during </w:t>
      </w:r>
      <w:r w:rsidR="00F21A5A">
        <w:rPr>
          <w:rFonts w:ascii="Times New Roman" w:eastAsia="HGB1_CNKI" w:hAnsi="Times New Roman" w:cs="Times New Roman" w:hint="eastAsia"/>
        </w:rPr>
        <w:t xml:space="preserve">the </w:t>
      </w:r>
      <w:r w:rsidR="00F21A5A">
        <w:rPr>
          <w:rFonts w:ascii="Times New Roman" w:eastAsia="HGB1_CNKI" w:hAnsi="Times New Roman" w:cs="Times New Roman"/>
        </w:rPr>
        <w:t xml:space="preserve">storage phase in urodynamic </w:t>
      </w:r>
      <w:proofErr w:type="gramStart"/>
      <w:r w:rsidR="00F21A5A">
        <w:rPr>
          <w:rFonts w:ascii="Times New Roman" w:eastAsia="HGB1_CNKI" w:hAnsi="Times New Roman" w:cs="Times New Roman"/>
        </w:rPr>
        <w:t>investigation</w:t>
      </w:r>
      <w:r w:rsidR="00F21A5A">
        <w:rPr>
          <w:rFonts w:ascii="Times New Roman" w:eastAsia="HGB1_CNKI" w:hAnsi="Times New Roman" w:cs="Times New Roman" w:hint="eastAsia"/>
        </w:rPr>
        <w:t>s</w:t>
      </w:r>
      <w:r w:rsidR="00F21A5A">
        <w:rPr>
          <w:rFonts w:ascii="Times New Roman" w:eastAsia="HGB1_CNKI" w:hAnsi="Times New Roman" w:cs="Times New Roman" w:hint="eastAsia"/>
          <w:vertAlign w:val="superscript"/>
        </w:rPr>
        <w:t>[</w:t>
      </w:r>
      <w:proofErr w:type="gramEnd"/>
      <w:r w:rsidR="00F21A5A">
        <w:rPr>
          <w:rFonts w:ascii="Times New Roman" w:eastAsia="HGB1_CNKI" w:hAnsi="Times New Roman" w:cs="Times New Roman"/>
          <w:vertAlign w:val="superscript"/>
        </w:rPr>
        <w:t>1</w:t>
      </w:r>
      <w:r w:rsidR="00F21A5A">
        <w:rPr>
          <w:rFonts w:ascii="Times New Roman" w:eastAsia="HGB1_CNKI" w:hAnsi="Times New Roman" w:cs="Times New Roman" w:hint="eastAsia"/>
          <w:vertAlign w:val="superscript"/>
        </w:rPr>
        <w:t>]</w:t>
      </w:r>
      <w:r w:rsidR="00F21A5A">
        <w:rPr>
          <w:rFonts w:ascii="Times New Roman" w:eastAsia="HGB1_CNKI" w:hAnsi="Times New Roman" w:cs="Times New Roman"/>
        </w:rPr>
        <w:t xml:space="preserve">. Neurogenic detrusor overactivity (NDO) is DO caused by various neurogenic diseases such as brain </w:t>
      </w:r>
      <w:proofErr w:type="spellStart"/>
      <w:r w:rsidR="00F21A5A">
        <w:rPr>
          <w:rFonts w:ascii="Times New Roman" w:eastAsia="HGB1_CNKI" w:hAnsi="Times New Roman" w:cs="Times New Roman"/>
        </w:rPr>
        <w:t>tumours</w:t>
      </w:r>
      <w:proofErr w:type="spellEnd"/>
      <w:r w:rsidR="00F21A5A">
        <w:rPr>
          <w:rFonts w:ascii="Times New Roman" w:eastAsia="HGB1_CNKI" w:hAnsi="Times New Roman" w:cs="Times New Roman"/>
        </w:rPr>
        <w:t>, dementia, multiple sclerosis (MS), Parkinson’s disease (PD), stroke and spinal cord injury (SCI)</w:t>
      </w:r>
      <w:r w:rsidR="00F21A5A">
        <w:rPr>
          <w:rFonts w:ascii="Times New Roman" w:eastAsia="HGB1_CNKI" w:hAnsi="Times New Roman" w:cs="Times New Roman" w:hint="eastAsia"/>
        </w:rPr>
        <w:t xml:space="preserve">. NDO can cause a variety of long-term complications such as urinary incontinence, stones, hydronephrosis, </w:t>
      </w:r>
      <w:r w:rsidR="00F21A5A">
        <w:rPr>
          <w:rFonts w:ascii="Times New Roman" w:eastAsia="HGB1_CNKI" w:hAnsi="Times New Roman" w:cs="Times New Roman" w:hint="eastAsia"/>
        </w:rPr>
        <w:lastRenderedPageBreak/>
        <w:t xml:space="preserve">recurrent urinary tract infection, </w:t>
      </w:r>
      <w:proofErr w:type="spellStart"/>
      <w:r w:rsidR="00F21A5A">
        <w:rPr>
          <w:rFonts w:ascii="Times New Roman" w:eastAsia="HGB1_CNKI" w:hAnsi="Times New Roman" w:cs="Times New Roman" w:hint="eastAsia"/>
        </w:rPr>
        <w:t>vesicoureteric</w:t>
      </w:r>
      <w:proofErr w:type="spellEnd"/>
      <w:r w:rsidR="00F21A5A">
        <w:rPr>
          <w:rFonts w:ascii="Times New Roman" w:eastAsia="HGB1_CNKI" w:hAnsi="Times New Roman" w:cs="Times New Roman" w:hint="eastAsia"/>
        </w:rPr>
        <w:t xml:space="preserve"> reflux (VUR); the most dangerous being damage to renal </w:t>
      </w:r>
      <w:proofErr w:type="gramStart"/>
      <w:r w:rsidR="00F21A5A">
        <w:rPr>
          <w:rFonts w:ascii="Times New Roman" w:eastAsia="HGB1_CNKI" w:hAnsi="Times New Roman" w:cs="Times New Roman" w:hint="eastAsia"/>
        </w:rPr>
        <w:t>function</w:t>
      </w:r>
      <w:r>
        <w:rPr>
          <w:rFonts w:ascii="Times New Roman" w:eastAsia="HGB1_CNKI" w:hAnsi="Times New Roman" w:cs="Times New Roman"/>
        </w:rPr>
        <w:t>”</w:t>
      </w:r>
      <w:r w:rsidR="00F21A5A">
        <w:rPr>
          <w:rFonts w:ascii="Times New Roman" w:eastAsia="HGB1_CNKI" w:hAnsi="Times New Roman" w:cs="Times New Roman" w:hint="eastAsia"/>
          <w:vertAlign w:val="superscript"/>
        </w:rPr>
        <w:t>[</w:t>
      </w:r>
      <w:proofErr w:type="gramEnd"/>
      <w:r w:rsidR="00F21A5A">
        <w:rPr>
          <w:rFonts w:ascii="Times New Roman" w:eastAsia="HGB1_CNKI" w:hAnsi="Times New Roman" w:cs="Times New Roman" w:hint="eastAsia"/>
          <w:vertAlign w:val="superscript"/>
        </w:rPr>
        <w:t>2,3]</w:t>
      </w:r>
      <w:r w:rsidR="00F21A5A">
        <w:rPr>
          <w:rFonts w:ascii="Times New Roman" w:eastAsia="HGB1_CNKI" w:hAnsi="Times New Roman" w:cs="Times New Roman" w:hint="eastAsia"/>
        </w:rPr>
        <w:t xml:space="preserve">. </w:t>
      </w:r>
      <w:r>
        <w:rPr>
          <w:rFonts w:ascii="Times New Roman" w:eastAsia="HGB1_CNKI" w:hAnsi="Times New Roman" w:cs="Times New Roman"/>
        </w:rPr>
        <w:t>“</w:t>
      </w:r>
      <w:r w:rsidR="00F21A5A">
        <w:rPr>
          <w:rFonts w:ascii="Times New Roman" w:eastAsia="HGB1_CNKI" w:hAnsi="Times New Roman" w:cs="Times New Roman" w:hint="eastAsia"/>
        </w:rPr>
        <w:t xml:space="preserve">According to The European Association of Urology (EAU) Neuro-Urology guidelines and The AUA/SUFU guidelines on adult neurogenic lower urinary tract dysfunction, the primary goal of NDO management is to preserve the upper urinary tract and renal function, ensuring long-term patient survival; the secondary goal is to restore or partially restore the lower urinary tract function and improve quality of </w:t>
      </w:r>
      <w:proofErr w:type="gramStart"/>
      <w:r w:rsidR="00F21A5A">
        <w:rPr>
          <w:rFonts w:ascii="Times New Roman" w:eastAsia="HGB1_CNKI" w:hAnsi="Times New Roman" w:cs="Times New Roman" w:hint="eastAsia"/>
        </w:rPr>
        <w:t>life</w:t>
      </w:r>
      <w:r>
        <w:rPr>
          <w:rFonts w:ascii="Times New Roman" w:eastAsia="HGB1_CNKI" w:hAnsi="Times New Roman" w:cs="Times New Roman"/>
        </w:rPr>
        <w:t>”</w:t>
      </w:r>
      <w:r w:rsidR="00F21A5A">
        <w:rPr>
          <w:rFonts w:ascii="Times New Roman" w:eastAsia="HGB1_CNKI" w:hAnsi="Times New Roman" w:cs="Times New Roman" w:hint="eastAsia"/>
          <w:vertAlign w:val="superscript"/>
        </w:rPr>
        <w:t>[</w:t>
      </w:r>
      <w:proofErr w:type="gramEnd"/>
      <w:r w:rsidR="00F21A5A">
        <w:rPr>
          <w:rFonts w:ascii="Times New Roman" w:eastAsia="HGB1_CNKI" w:hAnsi="Times New Roman" w:cs="Times New Roman" w:hint="eastAsia"/>
          <w:vertAlign w:val="superscript"/>
        </w:rPr>
        <w:t>4,5]</w:t>
      </w:r>
      <w:r w:rsidR="00F21A5A">
        <w:rPr>
          <w:rFonts w:ascii="Times New Roman" w:eastAsia="HGB1_CNKI" w:hAnsi="Times New Roman" w:cs="Times New Roman" w:hint="eastAsia"/>
        </w:rPr>
        <w:t xml:space="preserve">. </w:t>
      </w:r>
      <w:r>
        <w:rPr>
          <w:rFonts w:ascii="Times New Roman" w:eastAsia="HGB1_CNKI" w:hAnsi="Times New Roman" w:cs="Times New Roman"/>
        </w:rPr>
        <w:t>“</w:t>
      </w:r>
      <w:r w:rsidR="00F21A5A">
        <w:rPr>
          <w:rFonts w:ascii="Times New Roman" w:eastAsia="HGB1_CNKI" w:hAnsi="Times New Roman" w:cs="Times New Roman" w:hint="eastAsia"/>
        </w:rPr>
        <w:t xml:space="preserve">Antimuscarinic agents are first-line therapy for NDO, increasing bladder capacity and reducing urinary incontinence episodes through inhibition of parasympathetic pathways. Their long-term efficacy and safety are well </w:t>
      </w:r>
      <w:proofErr w:type="gramStart"/>
      <w:r w:rsidR="00F21A5A">
        <w:rPr>
          <w:rFonts w:ascii="Times New Roman" w:eastAsia="HGB1_CNKI" w:hAnsi="Times New Roman" w:cs="Times New Roman" w:hint="eastAsia"/>
        </w:rPr>
        <w:t>established</w:t>
      </w:r>
      <w:r>
        <w:rPr>
          <w:rFonts w:ascii="Times New Roman" w:eastAsia="HGB1_CNKI" w:hAnsi="Times New Roman" w:cs="Times New Roman"/>
        </w:rPr>
        <w:t>”</w:t>
      </w:r>
      <w:r w:rsidR="00F21A5A">
        <w:rPr>
          <w:rFonts w:ascii="Times New Roman" w:eastAsia="HGB1_CNKI" w:hAnsi="Times New Roman" w:cs="Times New Roman" w:hint="eastAsia"/>
          <w:vertAlign w:val="superscript"/>
        </w:rPr>
        <w:t>[</w:t>
      </w:r>
      <w:proofErr w:type="gramEnd"/>
      <w:r w:rsidR="00F21A5A">
        <w:rPr>
          <w:rFonts w:ascii="Times New Roman" w:eastAsia="HGB1_CNKI" w:hAnsi="Times New Roman" w:cs="Times New Roman" w:hint="eastAsia"/>
          <w:vertAlign w:val="superscript"/>
        </w:rPr>
        <w:t>6]</w:t>
      </w:r>
      <w:r w:rsidR="00F21A5A">
        <w:rPr>
          <w:rFonts w:ascii="Times New Roman" w:eastAsia="HGB1_CNKI" w:hAnsi="Times New Roman" w:cs="Times New Roman" w:hint="eastAsia"/>
        </w:rPr>
        <w:t xml:space="preserve">. </w:t>
      </w:r>
      <w:r>
        <w:rPr>
          <w:rFonts w:ascii="Times New Roman" w:eastAsia="HGB1_CNKI" w:hAnsi="Times New Roman" w:cs="Times New Roman"/>
        </w:rPr>
        <w:t>“</w:t>
      </w:r>
      <w:r w:rsidR="00F21A5A">
        <w:rPr>
          <w:rFonts w:ascii="Times New Roman" w:eastAsia="HGB1_CNKI" w:hAnsi="Times New Roman" w:cs="Times New Roman" w:hint="eastAsia"/>
        </w:rPr>
        <w:t>However, prevalent side effects such as dry mouth and constipation limit long-term compliance, with discontinuation rates of 70% to 90% within one year</w:t>
      </w:r>
      <w:r>
        <w:rPr>
          <w:rFonts w:ascii="Times New Roman" w:eastAsia="HGB1_CNKI" w:hAnsi="Times New Roman" w:cs="Times New Roman"/>
        </w:rPr>
        <w:t>”</w:t>
      </w:r>
      <w:r w:rsidR="00F21A5A">
        <w:rPr>
          <w:rFonts w:ascii="Times New Roman" w:eastAsia="HGB1_CNKI" w:hAnsi="Times New Roman" w:cs="Times New Roman" w:hint="eastAsia"/>
          <w:vertAlign w:val="superscript"/>
        </w:rPr>
        <w:t>[7</w:t>
      </w:r>
      <w:r w:rsidR="005F6A79">
        <w:rPr>
          <w:rFonts w:ascii="Times New Roman" w:eastAsia="HGB1_CNKI" w:hAnsi="Times New Roman" w:cs="Times New Roman"/>
          <w:vertAlign w:val="superscript"/>
        </w:rPr>
        <w:t>,13</w:t>
      </w:r>
      <w:r w:rsidR="00F21A5A">
        <w:rPr>
          <w:rFonts w:ascii="Times New Roman" w:eastAsia="HGB1_CNKI" w:hAnsi="Times New Roman" w:cs="Times New Roman" w:hint="eastAsia"/>
          <w:vertAlign w:val="superscript"/>
        </w:rPr>
        <w:t>]</w:t>
      </w:r>
      <w:r w:rsidR="00F21A5A">
        <w:rPr>
          <w:rFonts w:ascii="Times New Roman" w:eastAsia="HGB1_CNKI" w:hAnsi="Times New Roman" w:cs="Times New Roman" w:hint="eastAsia"/>
        </w:rPr>
        <w:t xml:space="preserve">. Neuromodulation offers an effective, well-tolerated alternative for </w:t>
      </w:r>
      <w:proofErr w:type="gramStart"/>
      <w:r w:rsidR="00F21A5A">
        <w:rPr>
          <w:rFonts w:ascii="Times New Roman" w:eastAsia="HGB1_CNKI" w:hAnsi="Times New Roman" w:cs="Times New Roman" w:hint="eastAsia"/>
        </w:rPr>
        <w:t>patients</w:t>
      </w:r>
      <w:proofErr w:type="gramEnd"/>
      <w:r w:rsidR="00F21A5A">
        <w:rPr>
          <w:rFonts w:ascii="Times New Roman" w:eastAsia="HGB1_CNKI" w:hAnsi="Times New Roman" w:cs="Times New Roman" w:hint="eastAsia"/>
        </w:rPr>
        <w:t xml:space="preserve"> refractory to or intolerant of anticholinergics. Percutaneous tibial nerve stimulation is one such technique that delivers retrograde stimulation to the sacral nerve plexus through electrical stimulation of the posterior tibial nerve via a needle electrode placed superior to the medial malleolus, an anatomical area recognized as the bladder center.</w:t>
      </w:r>
    </w:p>
    <w:p w:rsidR="00ED5839" w:rsidRDefault="00F21A5A">
      <w:pPr>
        <w:spacing w:line="360" w:lineRule="auto"/>
        <w:ind w:firstLineChars="200" w:firstLine="422"/>
        <w:rPr>
          <w:rFonts w:ascii="Times New Roman" w:eastAsia="HGB1_CNKI" w:hAnsi="Times New Roman" w:cs="Times New Roman"/>
          <w:b/>
          <w:bCs/>
        </w:rPr>
      </w:pPr>
      <w:r>
        <w:rPr>
          <w:rFonts w:ascii="Times New Roman" w:eastAsia="HGB1_CNKI" w:hAnsi="Times New Roman" w:cs="Times New Roman"/>
          <w:b/>
          <w:bCs/>
        </w:rPr>
        <w:t>2. C</w:t>
      </w:r>
      <w:r>
        <w:rPr>
          <w:rFonts w:ascii="Times New Roman" w:eastAsia="HGB1_CNKI" w:hAnsi="Times New Roman" w:cs="Times New Roman" w:hint="eastAsia"/>
          <w:b/>
          <w:bCs/>
        </w:rPr>
        <w:t>ase presentation</w:t>
      </w:r>
    </w:p>
    <w:p w:rsidR="00ED5839" w:rsidRDefault="00F21A5A">
      <w:pPr>
        <w:spacing w:line="360" w:lineRule="auto"/>
        <w:ind w:firstLineChars="200" w:firstLine="420"/>
        <w:rPr>
          <w:rFonts w:ascii="Times New Roman" w:eastAsia="HGB1_CNKI" w:hAnsi="Times New Roman" w:cs="Times New Roman"/>
        </w:rPr>
      </w:pPr>
      <w:r>
        <w:rPr>
          <w:rFonts w:ascii="Times New Roman" w:eastAsia="HGB1_CNKI" w:hAnsi="Times New Roman" w:cs="Times New Roman" w:hint="eastAsia"/>
        </w:rPr>
        <w:t>In January 2024, a 53-year-old male patient was admitted to our hospital for neurogenic disorders characterized by urinary incontinence secondary to spinal cord injury (SCI). The patient had a history of oral anticholinergic drugs (</w:t>
      </w:r>
      <w:proofErr w:type="spellStart"/>
      <w:r>
        <w:rPr>
          <w:rFonts w:ascii="Times New Roman" w:eastAsia="HGB1_CNKI" w:hAnsi="Times New Roman" w:cs="Times New Roman" w:hint="eastAsia"/>
        </w:rPr>
        <w:t>solifenacin</w:t>
      </w:r>
      <w:proofErr w:type="spellEnd"/>
      <w:r>
        <w:rPr>
          <w:rFonts w:ascii="Times New Roman" w:eastAsia="HGB1_CNKI" w:hAnsi="Times New Roman" w:cs="Times New Roman" w:hint="eastAsia"/>
        </w:rPr>
        <w:t xml:space="preserve"> succinate 10 mg once daily) and clean intermittent catheterization (CIC). </w:t>
      </w:r>
      <w:proofErr w:type="spellStart"/>
      <w:r>
        <w:rPr>
          <w:rFonts w:ascii="Times New Roman" w:eastAsia="HGB1_CNKI" w:hAnsi="Times New Roman" w:cs="Times New Roman" w:hint="eastAsia"/>
        </w:rPr>
        <w:t>Videourodynamic</w:t>
      </w:r>
      <w:proofErr w:type="spellEnd"/>
      <w:r>
        <w:rPr>
          <w:rFonts w:ascii="Times New Roman" w:eastAsia="HGB1_CNKI" w:hAnsi="Times New Roman" w:cs="Times New Roman" w:hint="eastAsia"/>
        </w:rPr>
        <w:t xml:space="preserve"> testing reported detrusor overactivity (DO). Therefore, weekly percutaneous tibial nerve stimulation was offered as additional treatment with continued oral anticholinergic drugs and CIC. Assessments by urodynamic tests included the incidence of NDO and maximum detrusor pressure during the first NDO at each time-point (3 months, 12 months and 18 months from baseline). Individual treatment sessions were 30 minutes in duration using a 34-gauge needle electrode inserted approximately 5 cm cephalad to the medial malleolus and slightly posterior to the tibia. When connected to the stimulator, a current level of 0.5 to 9 mA at 20 Hz was selected based on patient sensory and motor response (Fig. 1). At 3 months from baseline, the patient had no incidence of DO and achieved complete dryness (Figure 2). Significant changes were already present in the Incontinence-Specific Quality-of-Life Instrument (59 vs. 19) and mean voiding volume (400 ml vs. 70 ml), respectively. The outcomes continued to show significant improvements up to 18 months from baseline. During the 18-month follow-up, the </w:t>
      </w:r>
      <w:r>
        <w:rPr>
          <w:rFonts w:ascii="Times New Roman" w:eastAsia="HGB1_CNKI" w:hAnsi="Times New Roman" w:cs="Times New Roman" w:hint="eastAsia"/>
        </w:rPr>
        <w:lastRenderedPageBreak/>
        <w:t>patient reported no related adverse events.</w:t>
      </w:r>
    </w:p>
    <w:p w:rsidR="00ED5839" w:rsidRDefault="00F21A5A">
      <w:pPr>
        <w:spacing w:line="360" w:lineRule="auto"/>
        <w:ind w:firstLineChars="200" w:firstLine="422"/>
        <w:rPr>
          <w:rFonts w:ascii="Times New Roman" w:eastAsia="HGB1_CNKI" w:hAnsi="Times New Roman" w:cs="Times New Roman"/>
        </w:rPr>
      </w:pPr>
      <w:r>
        <w:rPr>
          <w:rFonts w:ascii="Times New Roman" w:eastAsia="HGB1_CNKI" w:hAnsi="Times New Roman" w:cs="Times New Roman"/>
          <w:b/>
          <w:bCs/>
        </w:rPr>
        <w:t>Discussion</w:t>
      </w:r>
    </w:p>
    <w:p w:rsidR="00ED5839" w:rsidRDefault="00F206B0">
      <w:pPr>
        <w:spacing w:line="360" w:lineRule="auto"/>
        <w:ind w:firstLineChars="200" w:firstLine="420"/>
        <w:rPr>
          <w:rFonts w:ascii="Times New Roman" w:eastAsia="HGB1_CNKI" w:hAnsi="Times New Roman" w:cs="Times New Roman"/>
        </w:rPr>
      </w:pPr>
      <w:r>
        <w:rPr>
          <w:rFonts w:ascii="Times New Roman" w:eastAsia="HGB1_CNKI" w:hAnsi="Times New Roman" w:cs="Times New Roman"/>
        </w:rPr>
        <w:t>“</w:t>
      </w:r>
      <w:r w:rsidR="00F21A5A">
        <w:rPr>
          <w:rFonts w:ascii="Times New Roman" w:eastAsia="HGB1_CNKI" w:hAnsi="Times New Roman" w:cs="Times New Roman"/>
        </w:rPr>
        <w:t xml:space="preserve">The primary aim in the treatment of NDO is to ensure that the detrusor pressure remains within safe limits during both the filling phase and the voiding phase for protection of the upper urinary </w:t>
      </w:r>
      <w:proofErr w:type="gramStart"/>
      <w:r w:rsidR="00F21A5A">
        <w:rPr>
          <w:rFonts w:ascii="Times New Roman" w:eastAsia="HGB1_CNKI" w:hAnsi="Times New Roman" w:cs="Times New Roman"/>
        </w:rPr>
        <w:t>tract</w:t>
      </w:r>
      <w:r>
        <w:rPr>
          <w:rFonts w:ascii="Times New Roman" w:eastAsia="HGB1_CNKI" w:hAnsi="Times New Roman" w:cs="Times New Roman"/>
        </w:rPr>
        <w:t>”</w:t>
      </w:r>
      <w:r w:rsidR="00F21A5A">
        <w:rPr>
          <w:rFonts w:ascii="Times New Roman" w:eastAsia="HGB1_CNKI" w:hAnsi="Times New Roman" w:cs="Times New Roman" w:hint="eastAsia"/>
          <w:vertAlign w:val="superscript"/>
        </w:rPr>
        <w:t>[</w:t>
      </w:r>
      <w:proofErr w:type="gramEnd"/>
      <w:r w:rsidR="00F21A5A">
        <w:rPr>
          <w:rFonts w:ascii="Times New Roman" w:eastAsia="HGB1_CNKI" w:hAnsi="Times New Roman" w:cs="Times New Roman" w:hint="eastAsia"/>
          <w:vertAlign w:val="superscript"/>
        </w:rPr>
        <w:t>4,5]</w:t>
      </w:r>
      <w:r w:rsidR="00F21A5A">
        <w:rPr>
          <w:rFonts w:ascii="Times New Roman" w:eastAsia="HGB1_CNKI" w:hAnsi="Times New Roman" w:cs="Times New Roman" w:hint="eastAsia"/>
        </w:rPr>
        <w:t xml:space="preserve">. </w:t>
      </w:r>
      <w:r>
        <w:rPr>
          <w:rFonts w:ascii="Times New Roman" w:eastAsia="HGB1_CNKI" w:hAnsi="Times New Roman" w:cs="Times New Roman"/>
        </w:rPr>
        <w:t>“</w:t>
      </w:r>
      <w:r w:rsidR="00F21A5A">
        <w:rPr>
          <w:rFonts w:ascii="Times New Roman" w:eastAsia="HGB1_CNKI" w:hAnsi="Times New Roman" w:cs="Times New Roman" w:hint="eastAsia"/>
        </w:rPr>
        <w:t xml:space="preserve">For </w:t>
      </w:r>
      <w:proofErr w:type="gramStart"/>
      <w:r w:rsidR="00F21A5A">
        <w:rPr>
          <w:rFonts w:ascii="Times New Roman" w:eastAsia="HGB1_CNKI" w:hAnsi="Times New Roman" w:cs="Times New Roman" w:hint="eastAsia"/>
        </w:rPr>
        <w:t>patients</w:t>
      </w:r>
      <w:proofErr w:type="gramEnd"/>
      <w:r w:rsidR="00F21A5A">
        <w:rPr>
          <w:rFonts w:ascii="Times New Roman" w:eastAsia="HGB1_CNKI" w:hAnsi="Times New Roman" w:cs="Times New Roman" w:hint="eastAsia"/>
        </w:rPr>
        <w:t xml:space="preserve"> refractory to or intolerant of anticholinergics, neuromodulation offers an effective and well-tolerated alternative. This approach employs electrical stimulation to target specific nerves of the sacral plexus that govern pelvic floor function. Percutaneous tibial nerve stimulation (PTNS), a form of neuromodulation, delivers retrograde stimulation to the sacral nerve plexus via percutaneous electrical stimulation of the posterior tibial nerve</w:t>
      </w:r>
      <w:r>
        <w:rPr>
          <w:rFonts w:ascii="Times New Roman" w:eastAsia="HGB1_CNKI" w:hAnsi="Times New Roman" w:cs="Times New Roman"/>
        </w:rPr>
        <w:t>” [4]</w:t>
      </w:r>
      <w:r w:rsidR="00F21A5A">
        <w:rPr>
          <w:rFonts w:ascii="Times New Roman" w:eastAsia="HGB1_CNKI" w:hAnsi="Times New Roman" w:cs="Times New Roman" w:hint="eastAsia"/>
        </w:rPr>
        <w:t xml:space="preserve">. </w:t>
      </w:r>
    </w:p>
    <w:p w:rsidR="00ED5839" w:rsidRDefault="00F206B0">
      <w:pPr>
        <w:spacing w:line="360" w:lineRule="auto"/>
        <w:ind w:firstLineChars="200" w:firstLine="420"/>
        <w:rPr>
          <w:rFonts w:ascii="Times New Roman" w:eastAsia="HGB1_CNKI" w:hAnsi="Times New Roman" w:cs="Times New Roman"/>
        </w:rPr>
      </w:pPr>
      <w:r>
        <w:rPr>
          <w:rFonts w:ascii="Times New Roman" w:eastAsia="HGB1_CNKI" w:hAnsi="Times New Roman" w:cs="Times New Roman"/>
        </w:rPr>
        <w:t>“</w:t>
      </w:r>
      <w:r w:rsidR="00F21A5A">
        <w:rPr>
          <w:rFonts w:ascii="Times New Roman" w:eastAsia="HGB1_CNKI" w:hAnsi="Times New Roman" w:cs="Times New Roman"/>
        </w:rPr>
        <w:t xml:space="preserve">The present </w:t>
      </w:r>
      <w:r w:rsidR="00F21A5A">
        <w:rPr>
          <w:rFonts w:ascii="Times New Roman" w:eastAsia="HGB1_CNKI" w:hAnsi="Times New Roman" w:cs="Times New Roman" w:hint="eastAsia"/>
        </w:rPr>
        <w:t>case</w:t>
      </w:r>
      <w:r w:rsidR="00F21A5A">
        <w:rPr>
          <w:rFonts w:ascii="Times New Roman" w:eastAsia="HGB1_CNKI" w:hAnsi="Times New Roman" w:cs="Times New Roman"/>
        </w:rPr>
        <w:t xml:space="preserve"> reports significant improvements</w:t>
      </w:r>
      <w:r w:rsidR="00F21A5A">
        <w:rPr>
          <w:rFonts w:ascii="Times New Roman" w:eastAsia="HGB1_CNKI" w:hAnsi="Times New Roman" w:cs="Times New Roman" w:hint="eastAsia"/>
        </w:rPr>
        <w:t xml:space="preserve"> by </w:t>
      </w:r>
      <w:r w:rsidR="00F21A5A">
        <w:rPr>
          <w:rFonts w:ascii="Times New Roman" w:eastAsia="HGB1_CNKI" w:hAnsi="Times New Roman" w:cs="Times New Roman"/>
        </w:rPr>
        <w:t>observ</w:t>
      </w:r>
      <w:r w:rsidR="00F21A5A">
        <w:rPr>
          <w:rFonts w:ascii="Times New Roman" w:eastAsia="HGB1_CNKI" w:hAnsi="Times New Roman" w:cs="Times New Roman" w:hint="eastAsia"/>
        </w:rPr>
        <w:t>ing no</w:t>
      </w:r>
      <w:r w:rsidR="00F21A5A">
        <w:rPr>
          <w:rFonts w:ascii="Times New Roman" w:eastAsia="HGB1_CNKI" w:hAnsi="Times New Roman" w:cs="Times New Roman"/>
        </w:rPr>
        <w:t xml:space="preserve"> involuntary detrusor contraction</w:t>
      </w:r>
      <w:r w:rsidR="00F21A5A">
        <w:rPr>
          <w:rFonts w:ascii="Times New Roman" w:eastAsia="HGB1_CNKI" w:hAnsi="Times New Roman" w:cs="Times New Roman" w:hint="eastAsia"/>
        </w:rPr>
        <w:t xml:space="preserve"> at 3months after baseline. Besides, the similar outcomes were yielded at 18 months. A recent multicenter randomized trial demonstrated that PTNS was more effective than extended-release tolterodine (4 mg), an anticholinergic agent, in treating OAB, with fewer associated side </w:t>
      </w:r>
      <w:proofErr w:type="gramStart"/>
      <w:r w:rsidR="00F21A5A">
        <w:rPr>
          <w:rFonts w:ascii="Times New Roman" w:eastAsia="HGB1_CNKI" w:hAnsi="Times New Roman" w:cs="Times New Roman" w:hint="eastAsia"/>
        </w:rPr>
        <w:t>effects</w:t>
      </w:r>
      <w:r>
        <w:rPr>
          <w:rFonts w:ascii="Times New Roman" w:eastAsia="HGB1_CNKI" w:hAnsi="Times New Roman" w:cs="Times New Roman"/>
        </w:rPr>
        <w:t>”</w:t>
      </w:r>
      <w:r w:rsidR="00F21A5A">
        <w:rPr>
          <w:rFonts w:ascii="Times New Roman" w:eastAsia="HGB1_CNKI" w:hAnsi="Times New Roman" w:cs="Times New Roman" w:hint="eastAsia"/>
          <w:vertAlign w:val="superscript"/>
        </w:rPr>
        <w:t>[</w:t>
      </w:r>
      <w:proofErr w:type="gramEnd"/>
      <w:r w:rsidR="00F21A5A">
        <w:rPr>
          <w:rFonts w:ascii="Times New Roman" w:eastAsia="HGB1_CNKI" w:hAnsi="Times New Roman" w:cs="Times New Roman" w:hint="eastAsia"/>
          <w:vertAlign w:val="superscript"/>
        </w:rPr>
        <w:t>8]</w:t>
      </w:r>
      <w:r w:rsidR="00F21A5A">
        <w:rPr>
          <w:rFonts w:ascii="Times New Roman" w:eastAsia="HGB1_CNKI" w:hAnsi="Times New Roman" w:cs="Times New Roman" w:hint="eastAsia"/>
        </w:rPr>
        <w:t xml:space="preserve">. </w:t>
      </w:r>
      <w:r>
        <w:rPr>
          <w:rFonts w:ascii="Times New Roman" w:eastAsia="HGB1_CNKI" w:hAnsi="Times New Roman" w:cs="Times New Roman"/>
        </w:rPr>
        <w:t>“</w:t>
      </w:r>
      <w:r w:rsidR="00F21A5A">
        <w:rPr>
          <w:rFonts w:ascii="Times New Roman" w:eastAsia="HGB1_CNKI" w:hAnsi="Times New Roman" w:cs="Times New Roman" w:hint="eastAsia"/>
        </w:rPr>
        <w:t xml:space="preserve">Dry mouth and constipation occurred significantly less frequently in the PTNS group versus the tolterodine ER group (34% vs 67% and 27% vs 45%, respectively). A follow-up study further demonstrated sustained therapeutic efficacy of PTNS through 12 months, with sessions administered at individualized tapering intervals. Kenneth M. Peters reported the long-term efficacy and safety of percutaneous tibial nerve stimulation for overactive bladder after 3 years of therapy. In their </w:t>
      </w:r>
      <w:proofErr w:type="spellStart"/>
      <w:r w:rsidR="00F21A5A">
        <w:rPr>
          <w:rFonts w:ascii="Times New Roman" w:eastAsia="HGB1_CNKI" w:hAnsi="Times New Roman" w:cs="Times New Roman" w:hint="eastAsia"/>
        </w:rPr>
        <w:t>trail,a</w:t>
      </w:r>
      <w:proofErr w:type="spellEnd"/>
      <w:r w:rsidR="00F21A5A">
        <w:rPr>
          <w:rFonts w:ascii="Times New Roman" w:eastAsia="HGB1_CNKI" w:hAnsi="Times New Roman" w:cs="Times New Roman" w:hint="eastAsia"/>
        </w:rPr>
        <w:t xml:space="preserve"> total of 29 patients completed the 36-month protocol and received a median of 1.1 treatments per month after a 14-week treatment tapering </w:t>
      </w:r>
      <w:proofErr w:type="spellStart"/>
      <w:r w:rsidR="00F21A5A">
        <w:rPr>
          <w:rFonts w:ascii="Times New Roman" w:eastAsia="HGB1_CNKI" w:hAnsi="Times New Roman" w:cs="Times New Roman" w:hint="eastAsia"/>
        </w:rPr>
        <w:t>protocol.A</w:t>
      </w:r>
      <w:proofErr w:type="spellEnd"/>
      <w:r w:rsidR="00F21A5A">
        <w:rPr>
          <w:rFonts w:ascii="Times New Roman" w:eastAsia="HGB1_CNKI" w:hAnsi="Times New Roman" w:cs="Times New Roman" w:hint="eastAsia"/>
        </w:rPr>
        <w:t xml:space="preserve"> Bayesian model estimated that 77% of patients maintained moderate or marked improvement in overactive bladder symptoms at 3 </w:t>
      </w:r>
      <w:proofErr w:type="spellStart"/>
      <w:r w:rsidR="00F21A5A">
        <w:rPr>
          <w:rFonts w:ascii="Times New Roman" w:eastAsia="HGB1_CNKI" w:hAnsi="Times New Roman" w:cs="Times New Roman" w:hint="eastAsia"/>
        </w:rPr>
        <w:t>years.Compared</w:t>
      </w:r>
      <w:proofErr w:type="spellEnd"/>
      <w:r w:rsidR="00F21A5A">
        <w:rPr>
          <w:rFonts w:ascii="Times New Roman" w:eastAsia="HGB1_CNKI" w:hAnsi="Times New Roman" w:cs="Times New Roman" w:hint="eastAsia"/>
        </w:rPr>
        <w:t xml:space="preserve"> to baseline, median voids per day decreased from 12 to 8.7, nighttime voids per night decreased from 2.7 to 1.7 and urge incontinence episodes per day decreased from 3.3 to 0.3 (all p &lt; 0.0001)</w:t>
      </w:r>
      <w:r>
        <w:rPr>
          <w:rFonts w:ascii="Times New Roman" w:eastAsia="HGB1_CNKI" w:hAnsi="Times New Roman" w:cs="Times New Roman"/>
        </w:rPr>
        <w:t>”</w:t>
      </w:r>
      <w:r w:rsidR="00F21A5A">
        <w:rPr>
          <w:rFonts w:ascii="Times New Roman" w:eastAsia="HGB1_CNKI" w:hAnsi="Times New Roman" w:cs="Times New Roman" w:hint="eastAsia"/>
          <w:vertAlign w:val="superscript"/>
        </w:rPr>
        <w:t>[9]</w:t>
      </w:r>
      <w:r w:rsidR="00F21A5A">
        <w:rPr>
          <w:rFonts w:ascii="Times New Roman" w:eastAsia="HGB1_CNKI" w:hAnsi="Times New Roman" w:cs="Times New Roman" w:hint="eastAsia"/>
        </w:rPr>
        <w:t xml:space="preserve">. </w:t>
      </w:r>
      <w:r>
        <w:rPr>
          <w:rFonts w:ascii="Times New Roman" w:eastAsia="HGB1_CNKI" w:hAnsi="Times New Roman" w:cs="Times New Roman"/>
        </w:rPr>
        <w:t>“</w:t>
      </w:r>
      <w:r w:rsidR="00F21A5A">
        <w:rPr>
          <w:rFonts w:ascii="Times New Roman" w:eastAsia="HGB1_CNKI" w:hAnsi="Times New Roman" w:cs="Times New Roman" w:hint="eastAsia"/>
        </w:rPr>
        <w:t xml:space="preserve">A randomized controlled study involving 100 patients with NDO secondary to SCI was conducted to assess the effectiveness of PTNS using adhesive skin surface </w:t>
      </w:r>
      <w:proofErr w:type="gramStart"/>
      <w:r w:rsidR="00F21A5A">
        <w:rPr>
          <w:rFonts w:ascii="Times New Roman" w:eastAsia="HGB1_CNKI" w:hAnsi="Times New Roman" w:cs="Times New Roman" w:hint="eastAsia"/>
        </w:rPr>
        <w:t>electrodes</w:t>
      </w:r>
      <w:r>
        <w:rPr>
          <w:rFonts w:ascii="Times New Roman" w:eastAsia="HGB1_CNKI" w:hAnsi="Times New Roman" w:cs="Times New Roman"/>
        </w:rPr>
        <w:t>”</w:t>
      </w:r>
      <w:r w:rsidR="00F21A5A">
        <w:rPr>
          <w:rFonts w:ascii="Times New Roman" w:eastAsia="HGB1_CNKI" w:hAnsi="Times New Roman" w:cs="Times New Roman" w:hint="eastAsia"/>
          <w:vertAlign w:val="superscript"/>
        </w:rPr>
        <w:t>[</w:t>
      </w:r>
      <w:proofErr w:type="gramEnd"/>
      <w:r w:rsidR="00F21A5A">
        <w:rPr>
          <w:rFonts w:ascii="Times New Roman" w:eastAsia="HGB1_CNKI" w:hAnsi="Times New Roman" w:cs="Times New Roman" w:hint="eastAsia"/>
          <w:vertAlign w:val="superscript"/>
        </w:rPr>
        <w:t>10]</w:t>
      </w:r>
      <w:r w:rsidR="00F21A5A">
        <w:rPr>
          <w:rFonts w:ascii="Times New Roman" w:eastAsia="HGB1_CNKI" w:hAnsi="Times New Roman" w:cs="Times New Roman" w:hint="eastAsia"/>
        </w:rPr>
        <w:t xml:space="preserve">. </w:t>
      </w:r>
      <w:r>
        <w:rPr>
          <w:rFonts w:ascii="Times New Roman" w:eastAsia="HGB1_CNKI" w:hAnsi="Times New Roman" w:cs="Times New Roman"/>
        </w:rPr>
        <w:t>“</w:t>
      </w:r>
      <w:r w:rsidR="00F21A5A">
        <w:rPr>
          <w:rFonts w:ascii="Times New Roman" w:eastAsia="HGB1_CNKI" w:hAnsi="Times New Roman" w:cs="Times New Roman" w:hint="eastAsia"/>
        </w:rPr>
        <w:t xml:space="preserve">Compared to baseline, after stimulation for 2 weeks, the volume per catheterization increased from 258.7 to 282.5 </w:t>
      </w:r>
      <w:proofErr w:type="gramStart"/>
      <w:r w:rsidR="00F21A5A">
        <w:rPr>
          <w:rFonts w:ascii="Times New Roman" w:eastAsia="HGB1_CNKI" w:hAnsi="Times New Roman" w:cs="Times New Roman" w:hint="eastAsia"/>
        </w:rPr>
        <w:t>ml(</w:t>
      </w:r>
      <w:proofErr w:type="gramEnd"/>
      <w:r w:rsidR="00F21A5A">
        <w:rPr>
          <w:rFonts w:ascii="Times New Roman" w:eastAsia="HGB1_CNKI" w:hAnsi="Times New Roman" w:cs="Times New Roman" w:hint="eastAsia"/>
        </w:rPr>
        <w:t xml:space="preserve">p &lt; 0.05), the total leakage volume per day decreased from 766.4 to 563.3 ml (p &lt; 0.05). In another retrospective evaluation over 18 months at a tertiary healthcare </w:t>
      </w:r>
      <w:proofErr w:type="spellStart"/>
      <w:r w:rsidR="00F21A5A">
        <w:rPr>
          <w:rFonts w:ascii="Times New Roman" w:eastAsia="HGB1_CNKI" w:hAnsi="Times New Roman" w:cs="Times New Roman" w:hint="eastAsia"/>
        </w:rPr>
        <w:t>centre</w:t>
      </w:r>
      <w:proofErr w:type="spellEnd"/>
      <w:r w:rsidR="00F21A5A">
        <w:rPr>
          <w:rFonts w:ascii="Times New Roman" w:eastAsia="HGB1_CNKI" w:hAnsi="Times New Roman" w:cs="Times New Roman" w:hint="eastAsia"/>
        </w:rPr>
        <w:t xml:space="preserve">, patients with NDO secondary to multiple sclerosis who found first-line treatments ineffective or intolerable underwent a standard 12-week course of PTNS. Overall for the entire cohort, significant </w:t>
      </w:r>
      <w:r w:rsidR="00F21A5A">
        <w:rPr>
          <w:rFonts w:ascii="Times New Roman" w:eastAsia="HGB1_CNKI" w:hAnsi="Times New Roman" w:cs="Times New Roman" w:hint="eastAsia"/>
        </w:rPr>
        <w:lastRenderedPageBreak/>
        <w:t xml:space="preserve">improvements were recorded after 12 weeks in the following domains: 24-h frequency on bladder diary, number of incontinent episodes on bladder diary, incontinence severity on bladder diary, and OAB symptom </w:t>
      </w:r>
      <w:proofErr w:type="gramStart"/>
      <w:r w:rsidR="00F21A5A">
        <w:rPr>
          <w:rFonts w:ascii="Times New Roman" w:eastAsia="HGB1_CNKI" w:hAnsi="Times New Roman" w:cs="Times New Roman" w:hint="eastAsia"/>
        </w:rPr>
        <w:t>scores</w:t>
      </w:r>
      <w:r>
        <w:rPr>
          <w:rFonts w:ascii="Times New Roman" w:eastAsia="HGB1_CNKI" w:hAnsi="Times New Roman" w:cs="Times New Roman"/>
        </w:rPr>
        <w:t>”</w:t>
      </w:r>
      <w:r w:rsidR="00F21A5A">
        <w:rPr>
          <w:rFonts w:ascii="Times New Roman" w:eastAsia="HGB1_CNKI" w:hAnsi="Times New Roman" w:cs="Times New Roman" w:hint="eastAsia"/>
          <w:vertAlign w:val="superscript"/>
        </w:rPr>
        <w:t>[</w:t>
      </w:r>
      <w:proofErr w:type="gramEnd"/>
      <w:r w:rsidR="00F21A5A">
        <w:rPr>
          <w:rFonts w:ascii="Times New Roman" w:eastAsia="HGB1_CNKI" w:hAnsi="Times New Roman" w:cs="Times New Roman" w:hint="eastAsia"/>
          <w:vertAlign w:val="superscript"/>
        </w:rPr>
        <w:t>11]</w:t>
      </w:r>
      <w:r w:rsidR="00F21A5A">
        <w:rPr>
          <w:rFonts w:ascii="Times New Roman" w:eastAsia="HGB1_CNKI" w:hAnsi="Times New Roman" w:cs="Times New Roman" w:hint="eastAsia"/>
        </w:rPr>
        <w:t>.</w:t>
      </w:r>
    </w:p>
    <w:p w:rsidR="00ED5839" w:rsidRDefault="00F206B0">
      <w:pPr>
        <w:spacing w:line="360" w:lineRule="auto"/>
        <w:ind w:firstLineChars="200" w:firstLine="420"/>
        <w:rPr>
          <w:rFonts w:ascii="Times New Roman" w:eastAsia="HGB1_CNKI" w:hAnsi="Times New Roman" w:cs="Times New Roman"/>
        </w:rPr>
      </w:pPr>
      <w:r>
        <w:rPr>
          <w:rFonts w:ascii="Times New Roman" w:eastAsia="HGB1_CNKI" w:hAnsi="Times New Roman" w:cs="Times New Roman"/>
        </w:rPr>
        <w:t>“</w:t>
      </w:r>
      <w:r w:rsidR="00F21A5A">
        <w:rPr>
          <w:rFonts w:ascii="Times New Roman" w:eastAsia="HGB1_CNKI" w:hAnsi="Times New Roman" w:cs="Times New Roman" w:hint="eastAsia"/>
        </w:rPr>
        <w:t>The improvements in urodynamic outcomes also translate into increased I-QoL scores.  Thus, the patient is less likely to worry about the disturbance caused by urinary incontinence, which affects their physical activities, social relationships, and emotional well-being. Most importantly, the patient experienced no systemic or significant treatment-related adverse events. Scott A. MacDiarmid reported that during the 9-month continued treatment phase, one subject had two events of abdominal pain classified as treatment-</w:t>
      </w:r>
      <w:proofErr w:type="gramStart"/>
      <w:r w:rsidR="00F21A5A">
        <w:rPr>
          <w:rFonts w:ascii="Times New Roman" w:eastAsia="HGB1_CNKI" w:hAnsi="Times New Roman" w:cs="Times New Roman" w:hint="eastAsia"/>
        </w:rPr>
        <w:t>related</w:t>
      </w:r>
      <w:r>
        <w:rPr>
          <w:rFonts w:ascii="Times New Roman" w:eastAsia="HGB1_CNKI" w:hAnsi="Times New Roman" w:cs="Times New Roman"/>
        </w:rPr>
        <w:t>”</w:t>
      </w:r>
      <w:r w:rsidR="00F21A5A">
        <w:rPr>
          <w:rFonts w:ascii="Times New Roman" w:eastAsia="HGB1_CNKI" w:hAnsi="Times New Roman" w:cs="Times New Roman" w:hint="eastAsia"/>
          <w:vertAlign w:val="superscript"/>
        </w:rPr>
        <w:t>[</w:t>
      </w:r>
      <w:proofErr w:type="gramEnd"/>
      <w:r w:rsidR="00F21A5A">
        <w:rPr>
          <w:rFonts w:ascii="Times New Roman" w:eastAsia="HGB1_CNKI" w:hAnsi="Times New Roman" w:cs="Times New Roman" w:hint="eastAsia"/>
          <w:vertAlign w:val="superscript"/>
        </w:rPr>
        <w:t>8]</w:t>
      </w:r>
      <w:r w:rsidR="00F21A5A">
        <w:rPr>
          <w:rFonts w:ascii="Times New Roman" w:eastAsia="HGB1_CNKI" w:hAnsi="Times New Roman" w:cs="Times New Roman" w:hint="eastAsia"/>
        </w:rPr>
        <w:t xml:space="preserve">. </w:t>
      </w:r>
      <w:r>
        <w:rPr>
          <w:rFonts w:ascii="Times New Roman" w:eastAsia="HGB1_CNKI" w:hAnsi="Times New Roman" w:cs="Times New Roman"/>
        </w:rPr>
        <w:t>“</w:t>
      </w:r>
      <w:r w:rsidR="00F21A5A">
        <w:rPr>
          <w:rFonts w:ascii="Times New Roman" w:eastAsia="HGB1_CNKI" w:hAnsi="Times New Roman" w:cs="Times New Roman" w:hint="eastAsia"/>
        </w:rPr>
        <w:t xml:space="preserve">Two subjects had three events with an unknown relationship to treatment, including urinary tract infection, worsening hypertension, and diarrhea. All other adverse events were reported as non-treatment-related. There were no device malfunctions reported throughout the trial. Kenneth M. Peters reported 3-year results of PTNS for overactive bladder, only two mild treatment-related adverse events of bleeding at the needle site were reported in the same </w:t>
      </w:r>
      <w:proofErr w:type="gramStart"/>
      <w:r w:rsidR="00F21A5A">
        <w:rPr>
          <w:rFonts w:ascii="Times New Roman" w:eastAsia="HGB1_CNKI" w:hAnsi="Times New Roman" w:cs="Times New Roman" w:hint="eastAsia"/>
        </w:rPr>
        <w:t>participant</w:t>
      </w:r>
      <w:r>
        <w:rPr>
          <w:rFonts w:ascii="Times New Roman" w:eastAsia="HGB1_CNKI" w:hAnsi="Times New Roman" w:cs="Times New Roman"/>
        </w:rPr>
        <w:t>”</w:t>
      </w:r>
      <w:r w:rsidR="00F21A5A">
        <w:rPr>
          <w:rFonts w:ascii="Times New Roman" w:eastAsia="HGB1_CNKI" w:hAnsi="Times New Roman" w:cs="Times New Roman" w:hint="eastAsia"/>
          <w:vertAlign w:val="superscript"/>
        </w:rPr>
        <w:t>[</w:t>
      </w:r>
      <w:proofErr w:type="gramEnd"/>
      <w:r w:rsidR="00F21A5A">
        <w:rPr>
          <w:rFonts w:ascii="Times New Roman" w:eastAsia="HGB1_CNKI" w:hAnsi="Times New Roman" w:cs="Times New Roman" w:hint="eastAsia"/>
          <w:vertAlign w:val="superscript"/>
        </w:rPr>
        <w:t>9]</w:t>
      </w:r>
      <w:r w:rsidR="00F21A5A">
        <w:rPr>
          <w:rFonts w:ascii="Times New Roman" w:eastAsia="HGB1_CNKI" w:hAnsi="Times New Roman" w:cs="Times New Roman" w:hint="eastAsia"/>
        </w:rPr>
        <w:t xml:space="preserve">. </w:t>
      </w:r>
      <w:proofErr w:type="spellStart"/>
      <w:r w:rsidR="00F21A5A">
        <w:rPr>
          <w:rFonts w:ascii="Times New Roman" w:eastAsia="HGB1_CNKI" w:hAnsi="Times New Roman" w:cs="Times New Roman" w:hint="eastAsia"/>
        </w:rPr>
        <w:t>Simila</w:t>
      </w:r>
      <w:proofErr w:type="spellEnd"/>
      <w:r w:rsidR="00F21A5A">
        <w:rPr>
          <w:rFonts w:ascii="Times New Roman" w:eastAsia="HGB1_CNKI" w:hAnsi="Times New Roman" w:cs="Times New Roman" w:hint="eastAsia"/>
        </w:rPr>
        <w:t xml:space="preserve"> results were reported in a systematic review and meta-</w:t>
      </w:r>
      <w:proofErr w:type="gramStart"/>
      <w:r w:rsidR="00F21A5A">
        <w:rPr>
          <w:rFonts w:ascii="Times New Roman" w:eastAsia="HGB1_CNKI" w:hAnsi="Times New Roman" w:cs="Times New Roman" w:hint="eastAsia"/>
        </w:rPr>
        <w:t>analysis</w:t>
      </w:r>
      <w:r w:rsidR="00F21A5A">
        <w:rPr>
          <w:rFonts w:ascii="Times New Roman" w:eastAsia="HGB1_CNKI" w:hAnsi="Times New Roman" w:cs="Times New Roman" w:hint="eastAsia"/>
          <w:vertAlign w:val="superscript"/>
        </w:rPr>
        <w:t>[</w:t>
      </w:r>
      <w:proofErr w:type="gramEnd"/>
      <w:r w:rsidR="00F21A5A">
        <w:rPr>
          <w:rFonts w:ascii="Times New Roman" w:eastAsia="HGB1_CNKI" w:hAnsi="Times New Roman" w:cs="Times New Roman" w:hint="eastAsia"/>
          <w:vertAlign w:val="superscript"/>
        </w:rPr>
        <w:t>12]</w:t>
      </w:r>
      <w:r w:rsidR="00F21A5A">
        <w:rPr>
          <w:rFonts w:ascii="Times New Roman" w:eastAsia="HGB1_CNKI" w:hAnsi="Times New Roman" w:cs="Times New Roman" w:hint="eastAsia"/>
        </w:rPr>
        <w:t xml:space="preserve">. </w:t>
      </w:r>
    </w:p>
    <w:p w:rsidR="00F206B0" w:rsidRDefault="00F21A5A" w:rsidP="00F206B0">
      <w:pPr>
        <w:spacing w:line="360" w:lineRule="auto"/>
        <w:rPr>
          <w:rFonts w:ascii="Times New Roman" w:eastAsia="HGB1_CNKI" w:hAnsi="Times New Roman" w:cs="Times New Roman"/>
        </w:rPr>
      </w:pPr>
      <w:r>
        <w:rPr>
          <w:rFonts w:ascii="Times New Roman" w:eastAsia="HGB1_CNKI" w:hAnsi="Times New Roman" w:cs="Times New Roman"/>
          <w:b/>
          <w:bCs/>
        </w:rPr>
        <w:t>Conclusion</w:t>
      </w:r>
      <w:r>
        <w:rPr>
          <w:rFonts w:ascii="Times New Roman" w:eastAsia="HGB1_CNKI" w:hAnsi="Times New Roman" w:cs="Times New Roman"/>
        </w:rPr>
        <w:t xml:space="preserve"> </w:t>
      </w:r>
      <w:r>
        <w:rPr>
          <w:rFonts w:ascii="Times New Roman" w:eastAsia="HGB1_CNKI" w:hAnsi="Times New Roman" w:cs="Times New Roman" w:hint="eastAsia"/>
        </w:rPr>
        <w:t xml:space="preserve"> </w:t>
      </w:r>
    </w:p>
    <w:p w:rsidR="00ED5839" w:rsidRPr="00F206B0" w:rsidRDefault="00F206B0">
      <w:pPr>
        <w:spacing w:line="360" w:lineRule="auto"/>
        <w:rPr>
          <w:rFonts w:ascii="Times New Roman" w:hAnsi="Times New Roman" w:cs="Times New Roman"/>
        </w:rPr>
      </w:pPr>
      <w:r>
        <w:rPr>
          <w:rFonts w:ascii="Times New Roman" w:hAnsi="Times New Roman" w:cs="Times New Roman"/>
        </w:rPr>
        <w:t>Percutaneous tibial nerve stimulation is a minimally invasive neuromodulation technique for treating overactive bladder</w:t>
      </w:r>
      <w:r>
        <w:rPr>
          <w:rFonts w:ascii="Times New Roman" w:hAnsi="Times New Roman" w:cs="Times New Roman" w:hint="eastAsia"/>
        </w:rPr>
        <w:t xml:space="preserve"> </w:t>
      </w:r>
      <w:r>
        <w:rPr>
          <w:rFonts w:ascii="Times New Roman" w:hAnsi="Times New Roman" w:cs="Times New Roman"/>
        </w:rPr>
        <w:t xml:space="preserve">symptoms. </w:t>
      </w:r>
      <w:r w:rsidR="00F21A5A">
        <w:rPr>
          <w:rFonts w:ascii="Times New Roman" w:eastAsia="HGB1_CNKI" w:hAnsi="Times New Roman" w:cs="Times New Roman" w:hint="eastAsia"/>
        </w:rPr>
        <w:t>PTNS</w:t>
      </w:r>
      <w:r w:rsidR="00F21A5A">
        <w:rPr>
          <w:rFonts w:ascii="Times New Roman" w:eastAsia="HGB1_CNKI" w:hAnsi="Times New Roman" w:cs="Times New Roman"/>
        </w:rPr>
        <w:t xml:space="preserve"> </w:t>
      </w:r>
      <w:r w:rsidR="00F21A5A">
        <w:rPr>
          <w:rFonts w:ascii="Times New Roman" w:eastAsia="HGB1_CNKI" w:hAnsi="Times New Roman" w:cs="Times New Roman" w:hint="eastAsia"/>
        </w:rPr>
        <w:t>is</w:t>
      </w:r>
      <w:r w:rsidR="00F21A5A">
        <w:rPr>
          <w:rFonts w:ascii="Times New Roman" w:eastAsia="HGB1_CNKI" w:hAnsi="Times New Roman" w:cs="Times New Roman"/>
        </w:rPr>
        <w:t xml:space="preserve"> effective</w:t>
      </w:r>
      <w:r w:rsidR="00F21A5A">
        <w:rPr>
          <w:rFonts w:ascii="Times New Roman" w:eastAsia="HGB1_CNKI" w:hAnsi="Times New Roman" w:cs="Times New Roman" w:hint="eastAsia"/>
        </w:rPr>
        <w:t xml:space="preserve"> and safe </w:t>
      </w:r>
      <w:r w:rsidR="00F21A5A">
        <w:rPr>
          <w:rFonts w:ascii="Times New Roman" w:eastAsia="HGB1_CNKI" w:hAnsi="Times New Roman" w:cs="Times New Roman"/>
        </w:rPr>
        <w:t xml:space="preserve">for </w:t>
      </w:r>
      <w:r w:rsidR="00F21A5A">
        <w:rPr>
          <w:rFonts w:ascii="Times New Roman" w:eastAsia="HGB1_CNKI" w:hAnsi="Times New Roman" w:cs="Times New Roman" w:hint="eastAsia"/>
        </w:rPr>
        <w:t xml:space="preserve">patient with </w:t>
      </w:r>
      <w:r w:rsidR="00F21A5A">
        <w:rPr>
          <w:rFonts w:ascii="Times New Roman" w:eastAsia="HGB1_CNKI" w:hAnsi="Times New Roman" w:cs="Times New Roman"/>
        </w:rPr>
        <w:t xml:space="preserve">NDO </w:t>
      </w:r>
      <w:r w:rsidR="00F21A5A">
        <w:rPr>
          <w:rFonts w:ascii="Times New Roman" w:eastAsia="HGB1_CNKI" w:hAnsi="Times New Roman" w:cs="Times New Roman" w:hint="eastAsia"/>
        </w:rPr>
        <w:t>secondary to</w:t>
      </w:r>
      <w:r w:rsidR="00F21A5A">
        <w:rPr>
          <w:rFonts w:ascii="Times New Roman" w:eastAsia="HGB1_CNKI" w:hAnsi="Times New Roman" w:cs="Times New Roman"/>
        </w:rPr>
        <w:t xml:space="preserve"> SCI.</w:t>
      </w:r>
    </w:p>
    <w:p w:rsidR="00F206B0" w:rsidRDefault="00F206B0">
      <w:pPr>
        <w:spacing w:line="360" w:lineRule="auto"/>
        <w:rPr>
          <w:rFonts w:ascii="Times New Roman" w:eastAsia="HGB1_CNKI" w:hAnsi="Times New Roman" w:cs="Times New Roman"/>
        </w:rPr>
      </w:pPr>
    </w:p>
    <w:p w:rsidR="00ED5839" w:rsidRDefault="00F21A5A">
      <w:pPr>
        <w:spacing w:line="360" w:lineRule="auto"/>
        <w:rPr>
          <w:rFonts w:ascii="Times New Roman" w:eastAsia="HGB1_CNKI" w:hAnsi="Times New Roman" w:cs="Times New Roman"/>
          <w:b/>
          <w:bCs/>
        </w:rPr>
      </w:pPr>
      <w:r>
        <w:rPr>
          <w:rFonts w:ascii="Times New Roman" w:eastAsia="HGB1_CNKI" w:hAnsi="Times New Roman" w:cs="Times New Roman"/>
          <w:b/>
          <w:bCs/>
        </w:rPr>
        <w:t>Acknowledgments</w:t>
      </w:r>
    </w:p>
    <w:p w:rsidR="00ED5839" w:rsidRDefault="00F21A5A">
      <w:pPr>
        <w:spacing w:line="360" w:lineRule="auto"/>
        <w:rPr>
          <w:rFonts w:ascii="Times New Roman" w:eastAsia="HGB1_CNKI" w:hAnsi="Times New Roman" w:cs="Times New Roman"/>
        </w:rPr>
      </w:pPr>
      <w:r>
        <w:rPr>
          <w:rFonts w:ascii="Times New Roman" w:eastAsia="HGB1_CNKI" w:hAnsi="Times New Roman" w:cs="Times New Roman"/>
        </w:rPr>
        <w:t>This study was supported by Traditional Chinese</w:t>
      </w:r>
      <w:r>
        <w:rPr>
          <w:rFonts w:ascii="Times New Roman" w:eastAsia="HGB1_CNKI" w:hAnsi="Times New Roman" w:cs="Times New Roman" w:hint="eastAsia"/>
        </w:rPr>
        <w:t xml:space="preserve"> </w:t>
      </w:r>
      <w:r>
        <w:rPr>
          <w:rFonts w:ascii="Times New Roman" w:eastAsia="HGB1_CNKI" w:hAnsi="Times New Roman" w:cs="Times New Roman"/>
        </w:rPr>
        <w:t xml:space="preserve">Medicine of Guangdong Province, China (grant </w:t>
      </w:r>
      <w:proofErr w:type="gramStart"/>
      <w:r>
        <w:rPr>
          <w:rFonts w:ascii="Times New Roman" w:eastAsia="HGB1_CNKI" w:hAnsi="Times New Roman" w:cs="Times New Roman"/>
        </w:rPr>
        <w:t>number</w:t>
      </w:r>
      <w:r>
        <w:rPr>
          <w:rFonts w:ascii="Times New Roman" w:eastAsia="HGB1_CNKI" w:hAnsi="Times New Roman" w:cs="Times New Roman" w:hint="eastAsia"/>
        </w:rPr>
        <w:t>(</w:t>
      </w:r>
      <w:proofErr w:type="gramEnd"/>
      <w:r>
        <w:rPr>
          <w:rFonts w:ascii="Times New Roman" w:eastAsia="HGB1_CNKI" w:hAnsi="Times New Roman" w:cs="Times New Roman" w:hint="eastAsia"/>
        </w:rPr>
        <w:t>20252003</w:t>
      </w:r>
      <w:r>
        <w:rPr>
          <w:rFonts w:ascii="Times New Roman" w:eastAsia="HGB1_CNKI" w:hAnsi="Times New Roman" w:cs="Times New Roman"/>
        </w:rPr>
        <w:t>)</w:t>
      </w:r>
      <w:r>
        <w:rPr>
          <w:rFonts w:ascii="Times New Roman" w:eastAsia="HGB1_CNKI" w:hAnsi="Times New Roman" w:cs="Times New Roman" w:hint="eastAsia"/>
        </w:rPr>
        <w:t>; Guangdong Basic and Applied Basic Research Foundation(2614050003025);Medical Scientific Research Foundation of Guangdong Province, China(B2025804).</w:t>
      </w: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F21A5A">
      <w:pPr>
        <w:spacing w:line="360" w:lineRule="auto"/>
        <w:rPr>
          <w:rFonts w:ascii="Times New Roman" w:eastAsia="HGB1_CNKI" w:hAnsi="Times New Roman" w:cs="Times New Roman"/>
        </w:rPr>
      </w:pPr>
      <w:r>
        <w:rPr>
          <w:rFonts w:ascii="Times New Roman" w:eastAsia="HGB1_CNKI" w:hAnsi="Times New Roman" w:cs="Times New Roman" w:hint="eastAsia"/>
          <w:noProof/>
        </w:rPr>
        <w:drawing>
          <wp:inline distT="0" distB="0" distL="114300" distR="114300">
            <wp:extent cx="2926080" cy="3901440"/>
            <wp:effectExtent l="0" t="0" r="7620" b="3810"/>
            <wp:docPr id="1" name="图片 1" descr="胫神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胫神经图"/>
                    <pic:cNvPicPr>
                      <a:picLocks noChangeAspect="1"/>
                    </pic:cNvPicPr>
                  </pic:nvPicPr>
                  <pic:blipFill>
                    <a:blip r:embed="rId8"/>
                    <a:stretch>
                      <a:fillRect/>
                    </a:stretch>
                  </pic:blipFill>
                  <pic:spPr>
                    <a:xfrm>
                      <a:off x="0" y="0"/>
                      <a:ext cx="2926080" cy="3901440"/>
                    </a:xfrm>
                    <a:prstGeom prst="rect">
                      <a:avLst/>
                    </a:prstGeom>
                  </pic:spPr>
                </pic:pic>
              </a:graphicData>
            </a:graphic>
          </wp:inline>
        </w:drawing>
      </w: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F21A5A">
      <w:pPr>
        <w:spacing w:line="360" w:lineRule="auto"/>
        <w:rPr>
          <w:rFonts w:ascii="Times New Roman" w:eastAsia="HGB1_CNKI" w:hAnsi="Times New Roman" w:cs="Times New Roman"/>
        </w:rPr>
      </w:pPr>
      <w:r>
        <w:rPr>
          <w:rFonts w:ascii="Times New Roman" w:eastAsia="HGB1_CNKI" w:hAnsi="Times New Roman" w:cs="Times New Roman" w:hint="eastAsia"/>
          <w:b/>
          <w:bCs/>
        </w:rPr>
        <w:t xml:space="preserve">Figure 1: </w:t>
      </w:r>
      <w:r>
        <w:rPr>
          <w:rFonts w:ascii="Times New Roman" w:hAnsi="Times New Roman" w:cs="Times New Roman" w:hint="eastAsia"/>
          <w:color w:val="313131"/>
          <w:szCs w:val="21"/>
        </w:rPr>
        <w:t>Percutaneous tibial nerve stimulation demonstrating placement of a 34-gauge needle electrode approximately 5 cm cephalad to the medial malleolus, positioned slightly posterior to the tibial shaft.</w:t>
      </w: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F21A5A">
      <w:pPr>
        <w:spacing w:line="360" w:lineRule="auto"/>
        <w:rPr>
          <w:rFonts w:ascii="Times New Roman" w:eastAsia="HGB1_CNKI" w:hAnsi="Times New Roman" w:cs="Times New Roman"/>
        </w:rPr>
      </w:pPr>
      <w:r>
        <w:rPr>
          <w:rFonts w:ascii="Times New Roman" w:eastAsia="HGB1_CNKI" w:hAnsi="Times New Roman" w:cs="Times New Roman" w:hint="eastAsia"/>
          <w:noProof/>
        </w:rPr>
        <w:drawing>
          <wp:inline distT="0" distB="0" distL="114300" distR="114300">
            <wp:extent cx="5273040" cy="4464685"/>
            <wp:effectExtent l="0" t="0" r="3810" b="12065"/>
            <wp:docPr id="2" name="图片 2" descr="尿动力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尿动力图"/>
                    <pic:cNvPicPr>
                      <a:picLocks noChangeAspect="1"/>
                    </pic:cNvPicPr>
                  </pic:nvPicPr>
                  <pic:blipFill>
                    <a:blip r:embed="rId9"/>
                    <a:stretch>
                      <a:fillRect/>
                    </a:stretch>
                  </pic:blipFill>
                  <pic:spPr>
                    <a:xfrm>
                      <a:off x="0" y="0"/>
                      <a:ext cx="5273040" cy="4464685"/>
                    </a:xfrm>
                    <a:prstGeom prst="rect">
                      <a:avLst/>
                    </a:prstGeom>
                  </pic:spPr>
                </pic:pic>
              </a:graphicData>
            </a:graphic>
          </wp:inline>
        </w:drawing>
      </w: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ED5839">
      <w:pPr>
        <w:spacing w:line="360" w:lineRule="auto"/>
        <w:rPr>
          <w:rFonts w:ascii="Times New Roman" w:eastAsia="HGB1_CNKI" w:hAnsi="Times New Roman" w:cs="Times New Roman"/>
        </w:rPr>
      </w:pPr>
    </w:p>
    <w:p w:rsidR="00ED5839" w:rsidRDefault="00F21A5A">
      <w:pPr>
        <w:spacing w:line="360" w:lineRule="auto"/>
        <w:rPr>
          <w:rFonts w:ascii="Times New Roman" w:eastAsia="HGB1_CNKI" w:hAnsi="Times New Roman" w:cs="Times New Roman"/>
        </w:rPr>
      </w:pPr>
      <w:r>
        <w:rPr>
          <w:rFonts w:ascii="Times New Roman" w:eastAsia="HGB1_CNKI" w:hAnsi="Times New Roman" w:cs="Times New Roman" w:hint="eastAsia"/>
          <w:b/>
          <w:bCs/>
        </w:rPr>
        <w:t>Figure 2:</w:t>
      </w:r>
      <w:r>
        <w:rPr>
          <w:rFonts w:ascii="Times New Roman" w:eastAsia="HGB1_CNKI" w:hAnsi="Times New Roman" w:cs="Times New Roman"/>
        </w:rPr>
        <w:t xml:space="preserve"> </w:t>
      </w:r>
      <w:r>
        <w:rPr>
          <w:rFonts w:ascii="Times New Roman" w:eastAsia="HGB1_CNKI" w:hAnsi="Times New Roman" w:cs="Times New Roman" w:hint="eastAsia"/>
        </w:rPr>
        <w:t>Patient urodynamic test results: (A) Pre-treatment; (B) 3 months after PTNS; (C) 12 months after PTNS; (D) 18 months after PTNS.</w:t>
      </w:r>
    </w:p>
    <w:p w:rsidR="00B25D56" w:rsidRDefault="00B25D56" w:rsidP="00B25D56">
      <w:pPr>
        <w:spacing w:line="360" w:lineRule="auto"/>
        <w:rPr>
          <w:rFonts w:ascii="Times New Roman" w:eastAsia="HGB1_CNKI" w:hAnsi="Times New Roman" w:cs="Times New Roman"/>
        </w:rPr>
      </w:pPr>
      <w:r>
        <w:rPr>
          <w:rFonts w:ascii="Times New Roman" w:eastAsia="HGB1_CNKI" w:hAnsi="Times New Roman" w:cs="Times New Roman" w:hint="eastAsia"/>
          <w:b/>
          <w:bCs/>
        </w:rPr>
        <w:lastRenderedPageBreak/>
        <w:t xml:space="preserve">Consent </w:t>
      </w:r>
    </w:p>
    <w:p w:rsidR="00B25D56" w:rsidRDefault="00B25D56" w:rsidP="00B25D56">
      <w:pPr>
        <w:spacing w:line="360" w:lineRule="auto"/>
        <w:rPr>
          <w:rFonts w:ascii="Times New Roman" w:eastAsia="HGB1_CNKI" w:hAnsi="Times New Roman" w:cs="Times New Roman"/>
        </w:rPr>
      </w:pPr>
      <w:r>
        <w:rPr>
          <w:rFonts w:ascii="Times New Roman" w:eastAsia="HGB1_CNKI" w:hAnsi="Times New Roman" w:cs="Times New Roman" w:hint="eastAsia"/>
        </w:rPr>
        <w:t>All authors declare that written informed consent was obtained from the patient for publication of this case report and accompanying images.</w:t>
      </w:r>
    </w:p>
    <w:p w:rsidR="006A3B08" w:rsidRDefault="006A3B08" w:rsidP="00B25D56">
      <w:pPr>
        <w:spacing w:line="360" w:lineRule="auto"/>
        <w:rPr>
          <w:rFonts w:ascii="Times New Roman" w:eastAsia="HGB1_CNKI" w:hAnsi="Times New Roman" w:cs="Times New Roman"/>
        </w:rPr>
      </w:pPr>
      <w:bookmarkStart w:id="0" w:name="_GoBack"/>
      <w:bookmarkEnd w:id="0"/>
    </w:p>
    <w:p w:rsidR="00B25D56" w:rsidRDefault="00B25D56" w:rsidP="00B25D56">
      <w:pPr>
        <w:spacing w:line="360" w:lineRule="auto"/>
        <w:rPr>
          <w:rFonts w:ascii="Times New Roman" w:eastAsia="HGB1_CNKI" w:hAnsi="Times New Roman" w:cs="Times New Roman"/>
        </w:rPr>
      </w:pPr>
      <w:r>
        <w:rPr>
          <w:rFonts w:ascii="Times New Roman" w:eastAsia="HGB1_CNKI" w:hAnsi="Times New Roman" w:cs="Times New Roman" w:hint="eastAsia"/>
          <w:b/>
          <w:bCs/>
        </w:rPr>
        <w:t xml:space="preserve">Ethical approval </w:t>
      </w:r>
    </w:p>
    <w:p w:rsidR="00ED5839" w:rsidRDefault="00B25D56">
      <w:pPr>
        <w:spacing w:line="360" w:lineRule="auto"/>
        <w:rPr>
          <w:rFonts w:ascii="Times New Roman" w:eastAsia="HGB1_CNKI" w:hAnsi="Times New Roman" w:cs="Times New Roman"/>
        </w:rPr>
      </w:pPr>
      <w:r>
        <w:rPr>
          <w:rFonts w:ascii="Times New Roman" w:eastAsia="HGB1_CNKI" w:hAnsi="Times New Roman" w:cs="Times New Roman" w:hint="eastAsia"/>
        </w:rPr>
        <w:t xml:space="preserve">All authors hereby declare that this case report was made in an ethical </w:t>
      </w:r>
      <w:proofErr w:type="spellStart"/>
      <w:proofErr w:type="gramStart"/>
      <w:r>
        <w:rPr>
          <w:rFonts w:ascii="Times New Roman" w:eastAsia="HGB1_CNKI" w:hAnsi="Times New Roman" w:cs="Times New Roman" w:hint="eastAsia"/>
        </w:rPr>
        <w:t>manner.The</w:t>
      </w:r>
      <w:proofErr w:type="spellEnd"/>
      <w:proofErr w:type="gramEnd"/>
      <w:r>
        <w:rPr>
          <w:rFonts w:ascii="Times New Roman" w:eastAsia="HGB1_CNKI" w:hAnsi="Times New Roman" w:cs="Times New Roman" w:hint="eastAsia"/>
        </w:rPr>
        <w:t xml:space="preserve"> study was approved by the ethics committees of institutional review board (IRB).</w:t>
      </w:r>
    </w:p>
    <w:p w:rsidR="006A3B08" w:rsidRDefault="006A3B08">
      <w:pPr>
        <w:spacing w:line="360" w:lineRule="auto"/>
        <w:rPr>
          <w:rFonts w:ascii="Times New Roman" w:eastAsia="HGB1_CNKI" w:hAnsi="Times New Roman" w:cs="Times New Roman"/>
        </w:rPr>
      </w:pPr>
    </w:p>
    <w:p w:rsidR="00ED5839" w:rsidRDefault="00F21A5A">
      <w:pPr>
        <w:rPr>
          <w:rFonts w:ascii="Times New Roman" w:hAnsi="Times New Roman" w:cs="Times New Roman"/>
          <w:b/>
          <w:bCs/>
        </w:rPr>
      </w:pPr>
      <w:r>
        <w:rPr>
          <w:rFonts w:ascii="Times New Roman" w:hAnsi="Times New Roman" w:cs="Times New Roman"/>
          <w:b/>
          <w:bCs/>
        </w:rPr>
        <w:t>Disclaimer (Artificial intelligence)</w:t>
      </w:r>
    </w:p>
    <w:p w:rsidR="00ED5839" w:rsidRDefault="00F21A5A">
      <w:pPr>
        <w:spacing w:line="360" w:lineRule="auto"/>
        <w:ind w:firstLineChars="100" w:firstLine="210"/>
        <w:rPr>
          <w:rFonts w:ascii="Times New Roman" w:hAnsi="Times New Roman" w:cs="Times New Roman"/>
        </w:rPr>
      </w:pPr>
      <w:r>
        <w:rPr>
          <w:rFonts w:ascii="Times New Roman" w:hAnsi="Times New Roman" w:cs="Times New Roman"/>
        </w:rPr>
        <w:t>Author(s) hereby declare that NO generative AI technologies such as Large Language Models (</w:t>
      </w:r>
      <w:proofErr w:type="spellStart"/>
      <w:r>
        <w:rPr>
          <w:rFonts w:ascii="Times New Roman" w:hAnsi="Times New Roman" w:cs="Times New Roman"/>
        </w:rPr>
        <w:t>ChatGPT</w:t>
      </w:r>
      <w:proofErr w:type="spellEnd"/>
      <w:r>
        <w:rPr>
          <w:rFonts w:ascii="Times New Roman" w:hAnsi="Times New Roman" w:cs="Times New Roman"/>
        </w:rPr>
        <w:t>, COPILOT, etc.) and text-to-image generators have been used during the writing or editing of this manuscript.</w:t>
      </w:r>
    </w:p>
    <w:p w:rsidR="00B25D56" w:rsidRDefault="00B25D56">
      <w:pPr>
        <w:spacing w:line="360" w:lineRule="auto"/>
        <w:ind w:firstLineChars="100" w:firstLine="210"/>
        <w:rPr>
          <w:highlight w:val="yellow"/>
        </w:rPr>
      </w:pPr>
    </w:p>
    <w:p w:rsidR="00ED5839" w:rsidRDefault="00ED5839">
      <w:pPr>
        <w:spacing w:line="360" w:lineRule="auto"/>
        <w:rPr>
          <w:rFonts w:ascii="Times New Roman" w:eastAsia="HGB1_CNKI" w:hAnsi="Times New Roman" w:cs="Times New Roman"/>
        </w:rPr>
      </w:pPr>
    </w:p>
    <w:p w:rsidR="00ED5839" w:rsidRDefault="00F21A5A">
      <w:pPr>
        <w:rPr>
          <w:rFonts w:ascii="Times New Roman" w:eastAsia="SimSun" w:hAnsi="Times New Roman" w:cs="Times New Roman"/>
          <w:b/>
          <w:bCs/>
          <w:sz w:val="28"/>
          <w:szCs w:val="28"/>
        </w:rPr>
      </w:pPr>
      <w:r>
        <w:rPr>
          <w:rFonts w:ascii="Times New Roman" w:eastAsia="SimSun" w:hAnsi="Times New Roman" w:cs="Times New Roman"/>
          <w:b/>
          <w:bCs/>
          <w:sz w:val="28"/>
          <w:szCs w:val="28"/>
        </w:rPr>
        <w:t>References</w:t>
      </w:r>
    </w:p>
    <w:p w:rsidR="00ED5839" w:rsidRDefault="00F21A5A">
      <w:pPr>
        <w:numPr>
          <w:ilvl w:val="0"/>
          <w:numId w:val="1"/>
        </w:numPr>
        <w:spacing w:line="360" w:lineRule="auto"/>
        <w:rPr>
          <w:rFonts w:ascii="Times New Roman" w:eastAsia="SimSun" w:hAnsi="Times New Roman" w:cs="Times New Roman"/>
          <w:szCs w:val="21"/>
        </w:rPr>
      </w:pPr>
      <w:r>
        <w:rPr>
          <w:rFonts w:ascii="Times New Roman" w:eastAsia="SimSun" w:hAnsi="Times New Roman" w:cs="Times New Roman"/>
          <w:szCs w:val="21"/>
        </w:rPr>
        <w:t xml:space="preserve">Abrams P, Cardozo L, Fall M, Griffiths D, Rosier P, </w:t>
      </w:r>
      <w:proofErr w:type="spellStart"/>
      <w:r>
        <w:rPr>
          <w:rFonts w:ascii="Times New Roman" w:eastAsia="SimSun" w:hAnsi="Times New Roman" w:cs="Times New Roman"/>
          <w:szCs w:val="21"/>
        </w:rPr>
        <w:t>Ulmsten</w:t>
      </w:r>
      <w:proofErr w:type="spellEnd"/>
      <w:r>
        <w:rPr>
          <w:rFonts w:ascii="Times New Roman" w:eastAsia="SimSun" w:hAnsi="Times New Roman" w:cs="Times New Roman"/>
          <w:szCs w:val="21"/>
        </w:rPr>
        <w:t xml:space="preserve"> U, Van </w:t>
      </w:r>
      <w:proofErr w:type="spellStart"/>
      <w:r>
        <w:rPr>
          <w:rFonts w:ascii="Times New Roman" w:eastAsia="SimSun" w:hAnsi="Times New Roman" w:cs="Times New Roman"/>
          <w:szCs w:val="21"/>
        </w:rPr>
        <w:t>Kerrebroeck</w:t>
      </w:r>
      <w:proofErr w:type="spellEnd"/>
      <w:r>
        <w:rPr>
          <w:rFonts w:ascii="Times New Roman" w:eastAsia="SimSun" w:hAnsi="Times New Roman" w:cs="Times New Roman"/>
          <w:szCs w:val="21"/>
        </w:rPr>
        <w:t xml:space="preserve"> P, Victor A, Wein A; </w:t>
      </w:r>
      <w:proofErr w:type="spellStart"/>
      <w:r>
        <w:rPr>
          <w:rFonts w:ascii="Times New Roman" w:eastAsia="SimSun" w:hAnsi="Times New Roman" w:cs="Times New Roman"/>
          <w:szCs w:val="21"/>
        </w:rPr>
        <w:t>Standardisation</w:t>
      </w:r>
      <w:proofErr w:type="spellEnd"/>
      <w:r>
        <w:rPr>
          <w:rFonts w:ascii="Times New Roman" w:eastAsia="SimSun" w:hAnsi="Times New Roman" w:cs="Times New Roman"/>
          <w:szCs w:val="21"/>
        </w:rPr>
        <w:t xml:space="preserve"> Sub-Committee of the International Continence Society. The </w:t>
      </w:r>
      <w:proofErr w:type="spellStart"/>
      <w:r>
        <w:rPr>
          <w:rFonts w:ascii="Times New Roman" w:eastAsia="SimSun" w:hAnsi="Times New Roman" w:cs="Times New Roman"/>
          <w:szCs w:val="21"/>
        </w:rPr>
        <w:t>standardisation</w:t>
      </w:r>
      <w:proofErr w:type="spellEnd"/>
      <w:r>
        <w:rPr>
          <w:rFonts w:ascii="Times New Roman" w:eastAsia="SimSun" w:hAnsi="Times New Roman" w:cs="Times New Roman"/>
          <w:szCs w:val="21"/>
        </w:rPr>
        <w:t xml:space="preserve"> of terminology in lower urinary tract function: report from the </w:t>
      </w:r>
      <w:proofErr w:type="spellStart"/>
      <w:r>
        <w:rPr>
          <w:rFonts w:ascii="Times New Roman" w:eastAsia="SimSun" w:hAnsi="Times New Roman" w:cs="Times New Roman"/>
          <w:szCs w:val="21"/>
        </w:rPr>
        <w:t>standardisation</w:t>
      </w:r>
      <w:proofErr w:type="spellEnd"/>
      <w:r>
        <w:rPr>
          <w:rFonts w:ascii="Times New Roman" w:eastAsia="SimSun" w:hAnsi="Times New Roman" w:cs="Times New Roman"/>
          <w:szCs w:val="21"/>
        </w:rPr>
        <w:t xml:space="preserve"> sub-committee of the International Continence Society. Urology. 2003; 61(1):37-49.</w:t>
      </w:r>
    </w:p>
    <w:p w:rsidR="00ED5839" w:rsidRDefault="00F21A5A">
      <w:pPr>
        <w:numPr>
          <w:ilvl w:val="0"/>
          <w:numId w:val="1"/>
        </w:numPr>
        <w:spacing w:line="360" w:lineRule="auto"/>
        <w:rPr>
          <w:rFonts w:ascii="Times New Roman" w:eastAsia="SimSun" w:hAnsi="Times New Roman" w:cs="Times New Roman"/>
          <w:szCs w:val="21"/>
        </w:rPr>
      </w:pPr>
      <w:r>
        <w:rPr>
          <w:rFonts w:ascii="Times New Roman" w:eastAsia="SimSun" w:hAnsi="Times New Roman" w:cs="Times New Roman"/>
          <w:szCs w:val="21"/>
        </w:rPr>
        <w:t xml:space="preserve">Hagen EM, Eide GE, </w:t>
      </w:r>
      <w:proofErr w:type="spellStart"/>
      <w:r>
        <w:rPr>
          <w:rFonts w:ascii="Times New Roman" w:eastAsia="SimSun" w:hAnsi="Times New Roman" w:cs="Times New Roman"/>
          <w:szCs w:val="21"/>
        </w:rPr>
        <w:t>Rekand</w:t>
      </w:r>
      <w:proofErr w:type="spellEnd"/>
      <w:r>
        <w:rPr>
          <w:rFonts w:ascii="Times New Roman" w:eastAsia="SimSun" w:hAnsi="Times New Roman" w:cs="Times New Roman"/>
          <w:szCs w:val="21"/>
        </w:rPr>
        <w:t xml:space="preserve"> T, et </w:t>
      </w:r>
      <w:proofErr w:type="spellStart"/>
      <w:proofErr w:type="gramStart"/>
      <w:r>
        <w:rPr>
          <w:rFonts w:ascii="Times New Roman" w:eastAsia="SimSun" w:hAnsi="Times New Roman" w:cs="Times New Roman"/>
          <w:szCs w:val="21"/>
        </w:rPr>
        <w:t>al.Traumatic</w:t>
      </w:r>
      <w:proofErr w:type="spellEnd"/>
      <w:proofErr w:type="gramEnd"/>
      <w:r>
        <w:rPr>
          <w:rFonts w:ascii="Times New Roman" w:eastAsia="SimSun" w:hAnsi="Times New Roman" w:cs="Times New Roman"/>
          <w:szCs w:val="21"/>
        </w:rPr>
        <w:t xml:space="preserve"> spinal cord injury and concomitant brain injury: a cohort study. Acta Neurol </w:t>
      </w:r>
      <w:proofErr w:type="spellStart"/>
      <w:r>
        <w:rPr>
          <w:rFonts w:ascii="Times New Roman" w:eastAsia="SimSun" w:hAnsi="Times New Roman" w:cs="Times New Roman"/>
          <w:szCs w:val="21"/>
        </w:rPr>
        <w:t>Scand</w:t>
      </w:r>
      <w:proofErr w:type="spellEnd"/>
      <w:r>
        <w:rPr>
          <w:rFonts w:ascii="Times New Roman" w:eastAsia="SimSun" w:hAnsi="Times New Roman" w:cs="Times New Roman"/>
          <w:szCs w:val="21"/>
        </w:rPr>
        <w:t xml:space="preserve"> Suppl</w:t>
      </w:r>
      <w:r>
        <w:rPr>
          <w:rFonts w:ascii="Times New Roman" w:eastAsia="SimSun" w:hAnsi="Times New Roman" w:cs="Times New Roman" w:hint="eastAsia"/>
          <w:szCs w:val="21"/>
        </w:rPr>
        <w:t>.</w:t>
      </w:r>
      <w:r>
        <w:rPr>
          <w:rFonts w:ascii="Times New Roman" w:eastAsia="SimSun" w:hAnsi="Times New Roman" w:cs="Times New Roman"/>
          <w:szCs w:val="21"/>
        </w:rPr>
        <w:t xml:space="preserve"> 2010; (190):51-</w:t>
      </w:r>
      <w:r>
        <w:rPr>
          <w:rFonts w:ascii="Times New Roman" w:eastAsia="SimSun" w:hAnsi="Times New Roman" w:cs="Times New Roman" w:hint="eastAsia"/>
          <w:szCs w:val="21"/>
        </w:rPr>
        <w:t>5</w:t>
      </w:r>
      <w:r>
        <w:rPr>
          <w:rFonts w:ascii="Times New Roman" w:eastAsia="SimSun" w:hAnsi="Times New Roman" w:cs="Times New Roman"/>
          <w:szCs w:val="21"/>
        </w:rPr>
        <w:t>7.</w:t>
      </w:r>
    </w:p>
    <w:p w:rsidR="00ED5839" w:rsidRDefault="00F21A5A">
      <w:pPr>
        <w:numPr>
          <w:ilvl w:val="0"/>
          <w:numId w:val="1"/>
        </w:numPr>
        <w:spacing w:line="360" w:lineRule="auto"/>
        <w:rPr>
          <w:rFonts w:ascii="Times New Roman" w:eastAsia="SimSun" w:hAnsi="Times New Roman" w:cs="Times New Roman"/>
          <w:szCs w:val="21"/>
        </w:rPr>
      </w:pPr>
      <w:proofErr w:type="spellStart"/>
      <w:r>
        <w:rPr>
          <w:rFonts w:ascii="Times New Roman" w:eastAsia="SimSun" w:hAnsi="Times New Roman" w:cs="Times New Roman"/>
          <w:szCs w:val="21"/>
        </w:rPr>
        <w:t>Gerridzen</w:t>
      </w:r>
      <w:proofErr w:type="spellEnd"/>
      <w:r>
        <w:rPr>
          <w:rFonts w:ascii="Times New Roman" w:eastAsia="SimSun" w:hAnsi="Times New Roman" w:cs="Times New Roman"/>
          <w:szCs w:val="21"/>
        </w:rPr>
        <w:t xml:space="preserve"> RG, </w:t>
      </w:r>
      <w:proofErr w:type="spellStart"/>
      <w:r>
        <w:rPr>
          <w:rFonts w:ascii="Times New Roman" w:eastAsia="SimSun" w:hAnsi="Times New Roman" w:cs="Times New Roman"/>
          <w:szCs w:val="21"/>
        </w:rPr>
        <w:t>Thijssen</w:t>
      </w:r>
      <w:proofErr w:type="spellEnd"/>
      <w:r>
        <w:rPr>
          <w:rFonts w:ascii="Times New Roman" w:eastAsia="SimSun" w:hAnsi="Times New Roman" w:cs="Times New Roman"/>
          <w:szCs w:val="21"/>
        </w:rPr>
        <w:t xml:space="preserve"> </w:t>
      </w:r>
      <w:proofErr w:type="spellStart"/>
      <w:proofErr w:type="gramStart"/>
      <w:r>
        <w:rPr>
          <w:rFonts w:ascii="Times New Roman" w:eastAsia="SimSun" w:hAnsi="Times New Roman" w:cs="Times New Roman"/>
          <w:szCs w:val="21"/>
        </w:rPr>
        <w:t>AM,Dehoux</w:t>
      </w:r>
      <w:proofErr w:type="spellEnd"/>
      <w:proofErr w:type="gramEnd"/>
      <w:r>
        <w:rPr>
          <w:rFonts w:ascii="Times New Roman" w:eastAsia="SimSun" w:hAnsi="Times New Roman" w:cs="Times New Roman"/>
          <w:szCs w:val="21"/>
        </w:rPr>
        <w:t xml:space="preserve"> E, et al. Risk factors for upper tract deterioration in chronic spinal cord injury patients. J Urol</w:t>
      </w:r>
      <w:r>
        <w:rPr>
          <w:rFonts w:ascii="Times New Roman" w:eastAsia="SimSun" w:hAnsi="Times New Roman" w:cs="Times New Roman" w:hint="eastAsia"/>
          <w:szCs w:val="21"/>
        </w:rPr>
        <w:t>.</w:t>
      </w:r>
      <w:r>
        <w:rPr>
          <w:rFonts w:ascii="Times New Roman" w:eastAsia="SimSun" w:hAnsi="Times New Roman" w:cs="Times New Roman"/>
          <w:szCs w:val="21"/>
        </w:rPr>
        <w:t xml:space="preserve"> 1992. 147(2): 416-418.</w:t>
      </w:r>
    </w:p>
    <w:p w:rsidR="00ED5839" w:rsidRDefault="00F21A5A">
      <w:pPr>
        <w:numPr>
          <w:ilvl w:val="0"/>
          <w:numId w:val="1"/>
        </w:numPr>
        <w:spacing w:line="360" w:lineRule="auto"/>
        <w:rPr>
          <w:rFonts w:ascii="Times New Roman" w:eastAsia="SimSun" w:hAnsi="Times New Roman" w:cs="Times New Roman"/>
          <w:szCs w:val="21"/>
        </w:rPr>
      </w:pPr>
      <w:r>
        <w:rPr>
          <w:rFonts w:ascii="Times New Roman" w:eastAsia="SimSun" w:hAnsi="Times New Roman" w:cs="Times New Roman"/>
          <w:szCs w:val="21"/>
        </w:rPr>
        <w:t>European Association of Urology. Guidelines on Neuro-urology (</w:t>
      </w:r>
      <w:proofErr w:type="gramStart"/>
      <w:r>
        <w:rPr>
          <w:rFonts w:ascii="Times New Roman" w:eastAsia="SimSun" w:hAnsi="Times New Roman" w:cs="Times New Roman"/>
          <w:szCs w:val="21"/>
        </w:rPr>
        <w:t>2023)[</w:t>
      </w:r>
      <w:proofErr w:type="gramEnd"/>
      <w:r>
        <w:rPr>
          <w:rFonts w:ascii="Times New Roman" w:eastAsia="SimSun" w:hAnsi="Times New Roman" w:cs="Times New Roman"/>
          <w:szCs w:val="21"/>
        </w:rPr>
        <w:t>EB/OL]. [202</w:t>
      </w:r>
      <w:r>
        <w:rPr>
          <w:rFonts w:ascii="Times New Roman" w:eastAsia="SimSun" w:hAnsi="Times New Roman" w:cs="Times New Roman" w:hint="eastAsia"/>
          <w:szCs w:val="21"/>
        </w:rPr>
        <w:t>5</w:t>
      </w:r>
      <w:r>
        <w:rPr>
          <w:rFonts w:ascii="Times New Roman" w:eastAsia="SimSun" w:hAnsi="Times New Roman" w:cs="Times New Roman"/>
          <w:szCs w:val="21"/>
        </w:rPr>
        <w:t>-06-28</w:t>
      </w:r>
      <w:proofErr w:type="gramStart"/>
      <w:r>
        <w:rPr>
          <w:rFonts w:ascii="Times New Roman" w:eastAsia="SimSun" w:hAnsi="Times New Roman" w:cs="Times New Roman"/>
          <w:szCs w:val="21"/>
        </w:rPr>
        <w:t>].www.uroweb</w:t>
      </w:r>
      <w:proofErr w:type="gramEnd"/>
      <w:r>
        <w:rPr>
          <w:rFonts w:ascii="Times New Roman" w:eastAsia="SimSun" w:hAnsi="Times New Roman" w:cs="Times New Roman"/>
          <w:szCs w:val="21"/>
        </w:rPr>
        <w:t>. Org.</w:t>
      </w:r>
    </w:p>
    <w:p w:rsidR="00ED5839" w:rsidRDefault="00F21A5A">
      <w:pPr>
        <w:numPr>
          <w:ilvl w:val="0"/>
          <w:numId w:val="1"/>
        </w:numPr>
        <w:spacing w:line="360" w:lineRule="auto"/>
        <w:rPr>
          <w:rFonts w:ascii="Times New Roman" w:eastAsia="SimSun" w:hAnsi="Times New Roman" w:cs="Times New Roman"/>
          <w:szCs w:val="21"/>
        </w:rPr>
      </w:pPr>
      <w:r>
        <w:rPr>
          <w:rFonts w:ascii="Times New Roman" w:eastAsia="SimSun" w:hAnsi="Times New Roman" w:cs="Times New Roman"/>
          <w:szCs w:val="21"/>
        </w:rPr>
        <w:t xml:space="preserve">Ginsberg, DA, Boone, TB, Cameron, AP, et al. The AUA/SUFU Guideline on Adult Neurogenic Lower Urinary Tract Dysfunction: Diagnosis and Evaluation. J UROLOGY. 2021; 206 (5): 1097-1105. </w:t>
      </w:r>
    </w:p>
    <w:p w:rsidR="00ED5839" w:rsidRDefault="00F21A5A">
      <w:pPr>
        <w:numPr>
          <w:ilvl w:val="0"/>
          <w:numId w:val="1"/>
        </w:numPr>
        <w:spacing w:line="360" w:lineRule="auto"/>
        <w:rPr>
          <w:rFonts w:ascii="Times New Roman" w:eastAsia="SimSun" w:hAnsi="Times New Roman" w:cs="Times New Roman"/>
          <w:szCs w:val="21"/>
        </w:rPr>
      </w:pPr>
      <w:proofErr w:type="spellStart"/>
      <w:r>
        <w:rPr>
          <w:rFonts w:ascii="Times New Roman" w:eastAsia="SimSun" w:hAnsi="Times New Roman" w:cs="Times New Roman"/>
          <w:szCs w:val="21"/>
        </w:rPr>
        <w:t>Stöhrer</w:t>
      </w:r>
      <w:proofErr w:type="spellEnd"/>
      <w:r>
        <w:rPr>
          <w:rFonts w:ascii="Times New Roman" w:eastAsia="SimSun" w:hAnsi="Times New Roman" w:cs="Times New Roman"/>
          <w:szCs w:val="21"/>
        </w:rPr>
        <w:t xml:space="preserve">, M, </w:t>
      </w:r>
      <w:proofErr w:type="spellStart"/>
      <w:r>
        <w:rPr>
          <w:rFonts w:ascii="Times New Roman" w:eastAsia="SimSun" w:hAnsi="Times New Roman" w:cs="Times New Roman"/>
          <w:szCs w:val="21"/>
        </w:rPr>
        <w:t>Mürtz</w:t>
      </w:r>
      <w:proofErr w:type="spellEnd"/>
      <w:r>
        <w:rPr>
          <w:rFonts w:ascii="Times New Roman" w:eastAsia="SimSun" w:hAnsi="Times New Roman" w:cs="Times New Roman"/>
          <w:szCs w:val="21"/>
        </w:rPr>
        <w:t xml:space="preserve">, G, Kramer, G, et al. Efficacy and tolerability of </w:t>
      </w:r>
      <w:proofErr w:type="spellStart"/>
      <w:r>
        <w:rPr>
          <w:rFonts w:ascii="Times New Roman" w:eastAsia="SimSun" w:hAnsi="Times New Roman" w:cs="Times New Roman"/>
          <w:szCs w:val="21"/>
        </w:rPr>
        <w:t>propiverine</w:t>
      </w:r>
      <w:proofErr w:type="spellEnd"/>
      <w:r>
        <w:rPr>
          <w:rFonts w:ascii="Times New Roman" w:eastAsia="SimSun" w:hAnsi="Times New Roman" w:cs="Times New Roman"/>
          <w:szCs w:val="21"/>
        </w:rPr>
        <w:t xml:space="preserve"> hydrochloride extended-release compared with immediate-release in patients with neurogenic detrusor overactivity. </w:t>
      </w:r>
      <w:r>
        <w:rPr>
          <w:rFonts w:ascii="Times New Roman" w:eastAsia="SimSun" w:hAnsi="Times New Roman" w:cs="Times New Roman"/>
          <w:szCs w:val="21"/>
        </w:rPr>
        <w:lastRenderedPageBreak/>
        <w:t>SPINAL CORD. 2013; 51 (5): 419-23.</w:t>
      </w:r>
    </w:p>
    <w:p w:rsidR="00ED5839" w:rsidRDefault="00F21A5A">
      <w:pPr>
        <w:numPr>
          <w:ilvl w:val="0"/>
          <w:numId w:val="1"/>
        </w:numPr>
        <w:spacing w:line="360" w:lineRule="auto"/>
        <w:rPr>
          <w:rFonts w:ascii="Times New Roman" w:eastAsia="SimSun" w:hAnsi="Times New Roman" w:cs="Times New Roman"/>
          <w:szCs w:val="21"/>
        </w:rPr>
      </w:pPr>
      <w:r>
        <w:rPr>
          <w:rFonts w:ascii="Times New Roman" w:eastAsia="SimSun" w:hAnsi="Times New Roman" w:cs="Times New Roman"/>
          <w:szCs w:val="21"/>
        </w:rPr>
        <w:t xml:space="preserve">Kennelly MJ, </w:t>
      </w:r>
      <w:proofErr w:type="spellStart"/>
      <w:r>
        <w:rPr>
          <w:rFonts w:ascii="Times New Roman" w:eastAsia="SimSun" w:hAnsi="Times New Roman" w:cs="Times New Roman"/>
          <w:szCs w:val="21"/>
        </w:rPr>
        <w:t>Lemack</w:t>
      </w:r>
      <w:proofErr w:type="spellEnd"/>
      <w:r>
        <w:rPr>
          <w:rFonts w:ascii="Times New Roman" w:eastAsia="SimSun" w:hAnsi="Times New Roman" w:cs="Times New Roman"/>
          <w:szCs w:val="21"/>
        </w:rPr>
        <w:t xml:space="preserve"> GE, Foote JE, et al. Efficacy and safety of oxybutynin transdermal system in</w:t>
      </w:r>
      <w:r>
        <w:rPr>
          <w:rFonts w:ascii="Times New Roman" w:eastAsia="SimSun" w:hAnsi="Times New Roman" w:cs="Times New Roman" w:hint="eastAsia"/>
          <w:szCs w:val="21"/>
        </w:rPr>
        <w:t xml:space="preserve"> </w:t>
      </w:r>
      <w:r>
        <w:rPr>
          <w:rFonts w:ascii="Times New Roman" w:eastAsia="SimSun" w:hAnsi="Times New Roman" w:cs="Times New Roman"/>
          <w:szCs w:val="21"/>
        </w:rPr>
        <w:t>spinal cord injury patients with neurogenic detrusor overactivity and incontinence: an open-</w:t>
      </w:r>
      <w:proofErr w:type="spellStart"/>
      <w:proofErr w:type="gramStart"/>
      <w:r>
        <w:rPr>
          <w:rFonts w:ascii="Times New Roman" w:eastAsia="SimSun" w:hAnsi="Times New Roman" w:cs="Times New Roman"/>
          <w:szCs w:val="21"/>
        </w:rPr>
        <w:t>label,dose</w:t>
      </w:r>
      <w:proofErr w:type="spellEnd"/>
      <w:proofErr w:type="gramEnd"/>
      <w:r>
        <w:rPr>
          <w:rFonts w:ascii="Times New Roman" w:eastAsia="SimSun" w:hAnsi="Times New Roman" w:cs="Times New Roman"/>
          <w:szCs w:val="21"/>
        </w:rPr>
        <w:t>-titration study. Urology 2009 ;74(4):741-</w:t>
      </w:r>
      <w:r>
        <w:rPr>
          <w:rFonts w:ascii="Times New Roman" w:eastAsia="SimSun" w:hAnsi="Times New Roman" w:cs="Times New Roman" w:hint="eastAsia"/>
          <w:szCs w:val="21"/>
        </w:rPr>
        <w:t>74</w:t>
      </w:r>
      <w:r>
        <w:rPr>
          <w:rFonts w:ascii="Times New Roman" w:eastAsia="SimSun" w:hAnsi="Times New Roman" w:cs="Times New Roman"/>
          <w:szCs w:val="21"/>
        </w:rPr>
        <w:t>5.</w:t>
      </w:r>
    </w:p>
    <w:p w:rsidR="00ED5839" w:rsidRDefault="00F21A5A">
      <w:pPr>
        <w:numPr>
          <w:ilvl w:val="0"/>
          <w:numId w:val="1"/>
        </w:numPr>
        <w:spacing w:line="360" w:lineRule="auto"/>
        <w:rPr>
          <w:rFonts w:ascii="Times New Roman" w:eastAsia="SimSun" w:hAnsi="Times New Roman" w:cs="Times New Roman"/>
          <w:szCs w:val="21"/>
        </w:rPr>
      </w:pPr>
      <w:r>
        <w:rPr>
          <w:rFonts w:ascii="Times New Roman" w:eastAsia="SimSun" w:hAnsi="Times New Roman" w:cs="Times New Roman"/>
          <w:szCs w:val="21"/>
        </w:rPr>
        <w:t xml:space="preserve">MacDiarmid, SA, Peters, KM, </w:t>
      </w:r>
      <w:proofErr w:type="spellStart"/>
      <w:r>
        <w:rPr>
          <w:rFonts w:ascii="Times New Roman" w:eastAsia="SimSun" w:hAnsi="Times New Roman" w:cs="Times New Roman"/>
          <w:szCs w:val="21"/>
        </w:rPr>
        <w:t>Shobeiri</w:t>
      </w:r>
      <w:proofErr w:type="spellEnd"/>
      <w:r>
        <w:rPr>
          <w:rFonts w:ascii="Times New Roman" w:eastAsia="SimSun" w:hAnsi="Times New Roman" w:cs="Times New Roman"/>
          <w:szCs w:val="21"/>
        </w:rPr>
        <w:t>, SA, et al. Long-term durability of percutaneous tibial nerve stimulation for the treatment of overactive bladder. J UROLOGY. 2010; 183 (1): 234-</w:t>
      </w:r>
      <w:r>
        <w:rPr>
          <w:rFonts w:ascii="Times New Roman" w:eastAsia="SimSun" w:hAnsi="Times New Roman" w:cs="Times New Roman" w:hint="eastAsia"/>
          <w:szCs w:val="21"/>
        </w:rPr>
        <w:t>2</w:t>
      </w:r>
      <w:r>
        <w:rPr>
          <w:rFonts w:ascii="Times New Roman" w:eastAsia="SimSun" w:hAnsi="Times New Roman" w:cs="Times New Roman"/>
          <w:szCs w:val="21"/>
        </w:rPr>
        <w:t xml:space="preserve">40. </w:t>
      </w:r>
    </w:p>
    <w:p w:rsidR="00ED5839" w:rsidRDefault="00F21A5A">
      <w:pPr>
        <w:numPr>
          <w:ilvl w:val="0"/>
          <w:numId w:val="1"/>
        </w:numPr>
        <w:spacing w:line="360" w:lineRule="auto"/>
        <w:rPr>
          <w:rFonts w:ascii="Times New Roman" w:eastAsia="SimSun" w:hAnsi="Times New Roman" w:cs="Times New Roman"/>
          <w:szCs w:val="21"/>
        </w:rPr>
      </w:pPr>
      <w:r>
        <w:rPr>
          <w:rFonts w:ascii="Times New Roman" w:eastAsia="HGB1_CNKI" w:hAnsi="Times New Roman" w:cs="Times New Roman"/>
          <w:szCs w:val="24"/>
        </w:rPr>
        <w:t>Peters KM, Carrico DJ, Wooldridge LS,</w:t>
      </w:r>
      <w:r>
        <w:rPr>
          <w:rFonts w:ascii="Times New Roman" w:eastAsia="SimSun" w:hAnsi="Times New Roman" w:cs="Times New Roman"/>
          <w:szCs w:val="21"/>
        </w:rPr>
        <w:t xml:space="preserve"> et al.</w:t>
      </w:r>
      <w:r>
        <w:rPr>
          <w:rFonts w:ascii="Times New Roman" w:eastAsia="HGB1_CNKI" w:hAnsi="Times New Roman" w:cs="Times New Roman"/>
          <w:szCs w:val="24"/>
        </w:rPr>
        <w:t xml:space="preserve"> Percutaneous tibial nerve stimulation for the long-term treatment of overactive bladder: 3-year results of the STEP study. J Urol. 2013 ;189(6):2194-</w:t>
      </w:r>
      <w:r>
        <w:rPr>
          <w:rFonts w:ascii="Times New Roman" w:eastAsia="HGB1_CNKI" w:hAnsi="Times New Roman" w:cs="Times New Roman" w:hint="eastAsia"/>
          <w:szCs w:val="24"/>
        </w:rPr>
        <w:t>2</w:t>
      </w:r>
      <w:r>
        <w:rPr>
          <w:rFonts w:ascii="Times New Roman" w:eastAsia="HGB1_CNKI" w:hAnsi="Times New Roman" w:cs="Times New Roman"/>
          <w:szCs w:val="24"/>
        </w:rPr>
        <w:t>201.</w:t>
      </w:r>
    </w:p>
    <w:p w:rsidR="00ED5839" w:rsidRDefault="00F21A5A">
      <w:pPr>
        <w:numPr>
          <w:ilvl w:val="0"/>
          <w:numId w:val="1"/>
        </w:numPr>
        <w:spacing w:line="360" w:lineRule="auto"/>
        <w:rPr>
          <w:rFonts w:ascii="Times New Roman" w:eastAsia="SimSun" w:hAnsi="Times New Roman" w:cs="Times New Roman"/>
          <w:szCs w:val="21"/>
        </w:rPr>
      </w:pPr>
      <w:r>
        <w:rPr>
          <w:rFonts w:ascii="Times New Roman" w:eastAsia="SimSun" w:hAnsi="Times New Roman" w:cs="Times New Roman"/>
          <w:szCs w:val="21"/>
        </w:rPr>
        <w:t>Chen, G, Liao, L, Li, Y. The possible role of percutaneous tibial nerve stimulation using adhesive skin surface electrodes in patients with neurogenic detrusor overactivity secondary to spinal cord injury. INT UROL NEPHROL. 2015; 47 (3): 451-</w:t>
      </w:r>
      <w:r>
        <w:rPr>
          <w:rFonts w:ascii="Times New Roman" w:eastAsia="SimSun" w:hAnsi="Times New Roman" w:cs="Times New Roman" w:hint="eastAsia"/>
          <w:szCs w:val="21"/>
        </w:rPr>
        <w:t>45</w:t>
      </w:r>
      <w:r>
        <w:rPr>
          <w:rFonts w:ascii="Times New Roman" w:eastAsia="SimSun" w:hAnsi="Times New Roman" w:cs="Times New Roman"/>
          <w:szCs w:val="21"/>
        </w:rPr>
        <w:t xml:space="preserve">5. </w:t>
      </w:r>
    </w:p>
    <w:p w:rsidR="00ED5839" w:rsidRDefault="00F21A5A">
      <w:pPr>
        <w:numPr>
          <w:ilvl w:val="0"/>
          <w:numId w:val="1"/>
        </w:numPr>
        <w:spacing w:line="360" w:lineRule="auto"/>
        <w:rPr>
          <w:rFonts w:ascii="Times New Roman" w:eastAsia="SimSun" w:hAnsi="Times New Roman" w:cs="Times New Roman"/>
          <w:szCs w:val="21"/>
        </w:rPr>
      </w:pPr>
      <w:r>
        <w:rPr>
          <w:rFonts w:ascii="Times New Roman" w:eastAsia="SimSun" w:hAnsi="Times New Roman" w:cs="Times New Roman"/>
          <w:szCs w:val="21"/>
        </w:rPr>
        <w:t xml:space="preserve">Tudor, KI, Seth, JH, </w:t>
      </w:r>
      <w:proofErr w:type="spellStart"/>
      <w:r>
        <w:rPr>
          <w:rFonts w:ascii="Times New Roman" w:eastAsia="SimSun" w:hAnsi="Times New Roman" w:cs="Times New Roman"/>
          <w:szCs w:val="21"/>
        </w:rPr>
        <w:t>Liechti</w:t>
      </w:r>
      <w:proofErr w:type="spellEnd"/>
      <w:r>
        <w:rPr>
          <w:rFonts w:ascii="Times New Roman" w:eastAsia="SimSun" w:hAnsi="Times New Roman" w:cs="Times New Roman"/>
          <w:szCs w:val="21"/>
        </w:rPr>
        <w:t xml:space="preserve">, MD, et al. Outcomes following percutaneous tibial nerve stimulation (PTNS) treatment for neurogenic and idiopathic overactive bladder. CLIN AUTON RES. 2018; 30 (1): 61-67. </w:t>
      </w:r>
    </w:p>
    <w:p w:rsidR="00ED5839" w:rsidRDefault="00F21A5A">
      <w:pPr>
        <w:numPr>
          <w:ilvl w:val="0"/>
          <w:numId w:val="1"/>
        </w:numPr>
        <w:spacing w:line="360" w:lineRule="auto"/>
        <w:rPr>
          <w:rFonts w:ascii="Times New Roman" w:eastAsia="SimSun" w:hAnsi="Times New Roman" w:cs="Times New Roman"/>
          <w:szCs w:val="21"/>
        </w:rPr>
      </w:pPr>
      <w:proofErr w:type="spellStart"/>
      <w:r>
        <w:rPr>
          <w:rFonts w:ascii="Times New Roman" w:eastAsia="SimSun" w:hAnsi="Times New Roman" w:cs="Times New Roman"/>
          <w:szCs w:val="21"/>
        </w:rPr>
        <w:t>Guitynavard</w:t>
      </w:r>
      <w:proofErr w:type="spellEnd"/>
      <w:r>
        <w:rPr>
          <w:rFonts w:ascii="Times New Roman" w:eastAsia="SimSun" w:hAnsi="Times New Roman" w:cs="Times New Roman"/>
          <w:szCs w:val="21"/>
        </w:rPr>
        <w:t xml:space="preserve">, F, </w:t>
      </w:r>
      <w:proofErr w:type="spellStart"/>
      <w:r>
        <w:rPr>
          <w:rFonts w:ascii="Times New Roman" w:eastAsia="SimSun" w:hAnsi="Times New Roman" w:cs="Times New Roman"/>
          <w:szCs w:val="21"/>
        </w:rPr>
        <w:t>Mirmosayyeb</w:t>
      </w:r>
      <w:proofErr w:type="spellEnd"/>
      <w:r>
        <w:rPr>
          <w:rFonts w:ascii="Times New Roman" w:eastAsia="SimSun" w:hAnsi="Times New Roman" w:cs="Times New Roman"/>
          <w:szCs w:val="21"/>
        </w:rPr>
        <w:t xml:space="preserve">, O, </w:t>
      </w:r>
      <w:proofErr w:type="spellStart"/>
      <w:r>
        <w:rPr>
          <w:rFonts w:ascii="Times New Roman" w:eastAsia="SimSun" w:hAnsi="Times New Roman" w:cs="Times New Roman"/>
          <w:szCs w:val="21"/>
        </w:rPr>
        <w:t>Razavi</w:t>
      </w:r>
      <w:proofErr w:type="spellEnd"/>
      <w:r>
        <w:rPr>
          <w:rFonts w:ascii="Times New Roman" w:eastAsia="SimSun" w:hAnsi="Times New Roman" w:cs="Times New Roman"/>
          <w:szCs w:val="21"/>
        </w:rPr>
        <w:t xml:space="preserve">, ERV, et al. Percutaneous posterior tibial nerve stimulation (PTNS) for lower urinary tract symptoms (LUTSs) treatment in patients with multiple sclerosis (MS): A systematic review and meta-analysis. </w:t>
      </w:r>
      <w:proofErr w:type="spellStart"/>
      <w:r>
        <w:rPr>
          <w:rFonts w:ascii="Times New Roman" w:eastAsia="SimSun" w:hAnsi="Times New Roman" w:cs="Times New Roman"/>
          <w:szCs w:val="21"/>
        </w:rPr>
        <w:t>Mult</w:t>
      </w:r>
      <w:proofErr w:type="spell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Scler</w:t>
      </w:r>
      <w:proofErr w:type="spell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Relat</w:t>
      </w:r>
      <w:proofErr w:type="spellEnd"/>
      <w:r>
        <w:rPr>
          <w:rFonts w:ascii="Times New Roman" w:eastAsia="SimSun" w:hAnsi="Times New Roman" w:cs="Times New Roman"/>
          <w:szCs w:val="21"/>
        </w:rPr>
        <w:t xml:space="preserve"> </w:t>
      </w:r>
      <w:proofErr w:type="spellStart"/>
      <w:r>
        <w:rPr>
          <w:rFonts w:ascii="Times New Roman" w:eastAsia="SimSun" w:hAnsi="Times New Roman" w:cs="Times New Roman"/>
          <w:szCs w:val="21"/>
        </w:rPr>
        <w:t>Disord</w:t>
      </w:r>
      <w:proofErr w:type="spellEnd"/>
      <w:r>
        <w:rPr>
          <w:rFonts w:ascii="Times New Roman" w:eastAsia="SimSun" w:hAnsi="Times New Roman" w:cs="Times New Roman"/>
          <w:szCs w:val="21"/>
        </w:rPr>
        <w:t>. 2021; 58</w:t>
      </w:r>
      <w:r>
        <w:rPr>
          <w:rFonts w:ascii="Times New Roman" w:eastAsia="SimSun" w:hAnsi="Times New Roman" w:cs="Times New Roman" w:hint="eastAsia"/>
          <w:szCs w:val="21"/>
        </w:rPr>
        <w:t>:</w:t>
      </w:r>
      <w:r>
        <w:rPr>
          <w:rFonts w:ascii="Times New Roman" w:eastAsia="SimSun" w:hAnsi="Times New Roman" w:cs="Times New Roman"/>
          <w:szCs w:val="21"/>
        </w:rPr>
        <w:t xml:space="preserve"> 103392. </w:t>
      </w:r>
    </w:p>
    <w:p w:rsidR="005F6A79" w:rsidRPr="005F6A79" w:rsidRDefault="005F6A79" w:rsidP="005F6A79">
      <w:pPr>
        <w:pStyle w:val="ListParagraph"/>
        <w:widowControl/>
        <w:numPr>
          <w:ilvl w:val="0"/>
          <w:numId w:val="2"/>
        </w:numPr>
        <w:shd w:val="clear" w:color="auto" w:fill="F9F9F9"/>
        <w:jc w:val="left"/>
        <w:rPr>
          <w:rFonts w:ascii="Courier New" w:eastAsia="Times New Roman" w:hAnsi="Courier New" w:cs="Courier New"/>
          <w:color w:val="333333"/>
          <w:kern w:val="0"/>
          <w:sz w:val="18"/>
          <w:szCs w:val="18"/>
          <w:lang w:eastAsia="en-US"/>
        </w:rPr>
      </w:pPr>
      <w:r w:rsidRPr="005F6A79">
        <w:rPr>
          <w:rFonts w:ascii="Courier New" w:eastAsia="Times New Roman" w:hAnsi="Courier New" w:cs="Courier New"/>
          <w:color w:val="333333"/>
          <w:kern w:val="0"/>
          <w:sz w:val="18"/>
          <w:szCs w:val="18"/>
          <w:lang w:eastAsia="en-US"/>
        </w:rPr>
        <w:t xml:space="preserve">Chen HW, </w:t>
      </w:r>
      <w:proofErr w:type="spellStart"/>
      <w:r w:rsidRPr="005F6A79">
        <w:rPr>
          <w:rFonts w:ascii="Courier New" w:eastAsia="Times New Roman" w:hAnsi="Courier New" w:cs="Courier New"/>
          <w:color w:val="333333"/>
          <w:kern w:val="0"/>
          <w:sz w:val="18"/>
          <w:szCs w:val="18"/>
          <w:lang w:eastAsia="en-US"/>
        </w:rPr>
        <w:t>Bercik</w:t>
      </w:r>
      <w:proofErr w:type="spellEnd"/>
      <w:r w:rsidRPr="005F6A79">
        <w:rPr>
          <w:rFonts w:ascii="Courier New" w:eastAsia="Times New Roman" w:hAnsi="Courier New" w:cs="Courier New"/>
          <w:color w:val="333333"/>
          <w:kern w:val="0"/>
          <w:sz w:val="18"/>
          <w:szCs w:val="18"/>
          <w:lang w:eastAsia="en-US"/>
        </w:rPr>
        <w:t xml:space="preserve"> RS, Werner EF, </w:t>
      </w:r>
      <w:proofErr w:type="spellStart"/>
      <w:r w:rsidRPr="005F6A79">
        <w:rPr>
          <w:rFonts w:ascii="Courier New" w:eastAsia="Times New Roman" w:hAnsi="Courier New" w:cs="Courier New"/>
          <w:color w:val="333333"/>
          <w:kern w:val="0"/>
          <w:sz w:val="18"/>
          <w:szCs w:val="18"/>
          <w:lang w:eastAsia="en-US"/>
        </w:rPr>
        <w:t>Thung</w:t>
      </w:r>
      <w:proofErr w:type="spellEnd"/>
      <w:r w:rsidRPr="005F6A79">
        <w:rPr>
          <w:rFonts w:ascii="Courier New" w:eastAsia="Times New Roman" w:hAnsi="Courier New" w:cs="Courier New"/>
          <w:color w:val="333333"/>
          <w:kern w:val="0"/>
          <w:sz w:val="18"/>
          <w:szCs w:val="18"/>
          <w:lang w:eastAsia="en-US"/>
        </w:rPr>
        <w:t xml:space="preserve"> SF. Cost-Effectiveness of Percutaneous Tibial Nerve Stimulation Versus Extended Release Tolterodine for Overactive Bladder. Journal of Urology [Internet]. 2012 Jan 1 [cited 2026 Feb 3];187(1):178–84. Available from: https://doi.org/10.1016/j.juro.2011.09.052</w:t>
      </w:r>
    </w:p>
    <w:p w:rsidR="00ED5839" w:rsidRDefault="00ED5839">
      <w:pPr>
        <w:spacing w:line="360" w:lineRule="auto"/>
        <w:rPr>
          <w:rFonts w:ascii="Times New Roman" w:eastAsia="HGB1_CNKI" w:hAnsi="Times New Roman" w:cs="Times New Roman"/>
        </w:rPr>
      </w:pPr>
    </w:p>
    <w:sectPr w:rsidR="00ED5839">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649C" w:rsidRDefault="0020649C">
      <w:r>
        <w:separator/>
      </w:r>
    </w:p>
  </w:endnote>
  <w:endnote w:type="continuationSeparator" w:id="0">
    <w:p w:rsidR="0020649C" w:rsidRDefault="00206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GB1_CNKI">
    <w:altName w:val="SimSun"/>
    <w:charset w:val="86"/>
    <w:family w:val="auto"/>
    <w:pitch w:val="default"/>
    <w:sig w:usb0="00000000" w:usb1="00000000" w:usb2="00000010" w:usb3="00000000" w:csb0="00040003"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839" w:rsidRDefault="00ED58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839" w:rsidRDefault="00ED58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839" w:rsidRDefault="00ED5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649C" w:rsidRDefault="0020649C">
      <w:r>
        <w:separator/>
      </w:r>
    </w:p>
  </w:footnote>
  <w:footnote w:type="continuationSeparator" w:id="0">
    <w:p w:rsidR="0020649C" w:rsidRDefault="002064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839" w:rsidRDefault="0020649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92813" o:spid="_x0000_s3075" type="#_x0000_t136" style="position:absolute;left:0;text-align:left;margin-left:0;margin-top:0;width:526.9pt;height:58.5pt;rotation:315;z-index:-251656192;mso-position-horizontal:center;mso-position-horizontal-relative:margin;mso-position-vertical:center;mso-position-vertical-relative:margin;mso-width-relative:page;mso-height-relative:page" o:allowincell="f" fillcolor="silver" stroked="f">
          <v:fill opacity=".5"/>
          <v:textpath style="font-family:&quot;DengXian&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839" w:rsidRDefault="0020649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92814" o:spid="_x0000_s3074" type="#_x0000_t136" style="position:absolute;left:0;text-align:left;margin-left:0;margin-top:0;width:526.9pt;height:58.5pt;rotation:315;z-index:-251655168;mso-position-horizontal:center;mso-position-horizontal-relative:margin;mso-position-vertical:center;mso-position-vertical-relative:margin;mso-width-relative:page;mso-height-relative:page" o:allowincell="f" fillcolor="silver" stroked="f">
          <v:fill opacity=".5"/>
          <v:textpath style="font-family:&quot;DengXian&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839" w:rsidRDefault="0020649C">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092812" o:spid="_x0000_s3073" type="#_x0000_t136" style="position:absolute;left:0;text-align:left;margin-left:0;margin-top:0;width:526.9pt;height:58.5pt;rotation:315;z-index:-251657216;mso-position-horizontal:center;mso-position-horizontal-relative:margin;mso-position-vertical:center;mso-position-vertical-relative:margin;mso-width-relative:page;mso-height-relative:page" o:allowincell="f" fillcolor="silver" stroked="f">
          <v:fill opacity=".5"/>
          <v:textpath style="font-family:&quot;DengXian&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D38C40"/>
    <w:multiLevelType w:val="singleLevel"/>
    <w:tmpl w:val="4ED38C40"/>
    <w:lvl w:ilvl="0">
      <w:start w:val="1"/>
      <w:numFmt w:val="decimal"/>
      <w:lvlText w:val="%1."/>
      <w:lvlJc w:val="left"/>
      <w:pPr>
        <w:tabs>
          <w:tab w:val="left" w:pos="312"/>
        </w:tabs>
      </w:pPr>
    </w:lvl>
  </w:abstractNum>
  <w:abstractNum w:abstractNumId="1" w15:restartNumberingAfterBreak="0">
    <w:nsid w:val="5C737AD6"/>
    <w:multiLevelType w:val="hybridMultilevel"/>
    <w:tmpl w:val="1F7AE3A0"/>
    <w:lvl w:ilvl="0" w:tplc="94F2B48E">
      <w:start w:val="1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420"/>
  <w:drawingGridVerticalSpacing w:val="156"/>
  <w:noPunctuationKerning/>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ta Biomaterialia&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rv99fsqawsrwe9tt25fe9cx05ztrp9pxd2&quot;&gt;My EndNote Library&lt;record-ids&gt;&lt;item&gt;4&lt;/item&gt;&lt;item&gt;5&lt;/item&gt;&lt;item&gt;6&lt;/item&gt;&lt;item&gt;7&lt;/item&gt;&lt;item&gt;8&lt;/item&gt;&lt;item&gt;10&lt;/item&gt;&lt;item&gt;12&lt;/item&gt;&lt;item&gt;14&lt;/item&gt;&lt;item&gt;20&lt;/item&gt;&lt;/record-ids&gt;&lt;/item&gt;&lt;/Libraries&gt;"/>
  </w:docVars>
  <w:rsids>
    <w:rsidRoot w:val="00172A27"/>
    <w:rsid w:val="000D449B"/>
    <w:rsid w:val="00172A27"/>
    <w:rsid w:val="001973FA"/>
    <w:rsid w:val="001F7068"/>
    <w:rsid w:val="0020649C"/>
    <w:rsid w:val="002235FA"/>
    <w:rsid w:val="002C4C6E"/>
    <w:rsid w:val="003967CD"/>
    <w:rsid w:val="003B3794"/>
    <w:rsid w:val="0053393D"/>
    <w:rsid w:val="005F6A79"/>
    <w:rsid w:val="006A3B08"/>
    <w:rsid w:val="007E36AC"/>
    <w:rsid w:val="007F43A0"/>
    <w:rsid w:val="00912354"/>
    <w:rsid w:val="009736DC"/>
    <w:rsid w:val="009C0979"/>
    <w:rsid w:val="00A17898"/>
    <w:rsid w:val="00B25D56"/>
    <w:rsid w:val="00B45257"/>
    <w:rsid w:val="00BE5EED"/>
    <w:rsid w:val="00C770AE"/>
    <w:rsid w:val="00CF71C8"/>
    <w:rsid w:val="00D65504"/>
    <w:rsid w:val="00DA7CD4"/>
    <w:rsid w:val="00DF5D9B"/>
    <w:rsid w:val="00ED5839"/>
    <w:rsid w:val="00F206B0"/>
    <w:rsid w:val="00F21A5A"/>
    <w:rsid w:val="021A5896"/>
    <w:rsid w:val="03ED7878"/>
    <w:rsid w:val="04214DD3"/>
    <w:rsid w:val="04BC3254"/>
    <w:rsid w:val="06A64AC7"/>
    <w:rsid w:val="0D9A4E5D"/>
    <w:rsid w:val="10CE0787"/>
    <w:rsid w:val="11456A59"/>
    <w:rsid w:val="118C462D"/>
    <w:rsid w:val="11A31560"/>
    <w:rsid w:val="12A20607"/>
    <w:rsid w:val="14265716"/>
    <w:rsid w:val="17146588"/>
    <w:rsid w:val="17A55667"/>
    <w:rsid w:val="1EB40DDF"/>
    <w:rsid w:val="203159E0"/>
    <w:rsid w:val="2450661F"/>
    <w:rsid w:val="27F21616"/>
    <w:rsid w:val="28566655"/>
    <w:rsid w:val="2BDE61F7"/>
    <w:rsid w:val="2BFF2D3B"/>
    <w:rsid w:val="2D381F64"/>
    <w:rsid w:val="2F1D4C11"/>
    <w:rsid w:val="33451BEF"/>
    <w:rsid w:val="348761FC"/>
    <w:rsid w:val="3550682E"/>
    <w:rsid w:val="399C01EE"/>
    <w:rsid w:val="3B4F30A8"/>
    <w:rsid w:val="42C3008C"/>
    <w:rsid w:val="46AD4B43"/>
    <w:rsid w:val="48275DAC"/>
    <w:rsid w:val="48683357"/>
    <w:rsid w:val="4ED473B6"/>
    <w:rsid w:val="51851B5E"/>
    <w:rsid w:val="52D66777"/>
    <w:rsid w:val="55F53942"/>
    <w:rsid w:val="57A535EC"/>
    <w:rsid w:val="57BB6AC3"/>
    <w:rsid w:val="5BB63C05"/>
    <w:rsid w:val="5EE03A8E"/>
    <w:rsid w:val="61892D25"/>
    <w:rsid w:val="61C16A73"/>
    <w:rsid w:val="63EC793C"/>
    <w:rsid w:val="66D167E8"/>
    <w:rsid w:val="689B7DE5"/>
    <w:rsid w:val="6CFB54C6"/>
    <w:rsid w:val="6E4D5FF3"/>
    <w:rsid w:val="73402D06"/>
    <w:rsid w:val="78BE1019"/>
    <w:rsid w:val="7A775485"/>
    <w:rsid w:val="7D7526B5"/>
    <w:rsid w:val="7DBC4E1C"/>
    <w:rsid w:val="7DF6617F"/>
    <w:rsid w:val="7F1C5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1F5662D2"/>
  <w15:docId w15:val="{CCDC5E1E-20CD-41BD-9E1F-07F0E16DC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pPr>
      <w:keepNext/>
      <w:keepLines/>
      <w:spacing w:before="80" w:after="40"/>
      <w:outlineLvl w:val="4"/>
    </w:pPr>
    <w:rPr>
      <w:rFonts w:cstheme="majorBidi"/>
      <w:color w:val="0F4761" w:themeColor="accent1" w:themeShade="BF"/>
      <w:sz w:val="24"/>
      <w:szCs w:val="24"/>
    </w:rPr>
  </w:style>
  <w:style w:type="paragraph" w:styleId="Heading6">
    <w:name w:val="heading 6"/>
    <w:basedOn w:val="Normal"/>
    <w:next w:val="Normal"/>
    <w:link w:val="Heading6Char"/>
    <w:uiPriority w:val="9"/>
    <w:semiHidden/>
    <w:unhideWhenUsed/>
    <w:qFormat/>
    <w:pPr>
      <w:keepNext/>
      <w:keepLines/>
      <w:spacing w:before="4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pPr>
      <w:keepNext/>
      <w:keepLines/>
      <w:spacing w:before="4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ubtitle">
    <w:name w:val="Subtitle"/>
    <w:basedOn w:val="Normal"/>
    <w:next w:val="Normal"/>
    <w:link w:val="SubtitleChar"/>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contextualSpacing/>
      <w:jc w:val="center"/>
    </w:pPr>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Pr>
      <w:b/>
    </w:rPr>
  </w:style>
  <w:style w:type="character" w:styleId="Hyperlink">
    <w:name w:val="Hyperlink"/>
    <w:basedOn w:val="DefaultParagraphFont"/>
    <w:uiPriority w:val="99"/>
    <w:unhideWhenUsed/>
    <w:qFormat/>
    <w:rPr>
      <w:color w:val="467886" w:themeColor="hyperlink"/>
      <w:u w:val="single"/>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qFormat/>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qFormat/>
    <w:rPr>
      <w:rFonts w:cstheme="majorBidi"/>
      <w:color w:val="0F4761" w:themeColor="accent1" w:themeShade="BF"/>
      <w:sz w:val="24"/>
      <w:szCs w:val="24"/>
    </w:rPr>
  </w:style>
  <w:style w:type="character" w:customStyle="1" w:styleId="Heading6Char">
    <w:name w:val="Heading 6 Char"/>
    <w:basedOn w:val="DefaultParagraphFont"/>
    <w:link w:val="Heading6"/>
    <w:uiPriority w:val="9"/>
    <w:semiHidden/>
    <w:qFormat/>
    <w:rPr>
      <w:rFonts w:cstheme="majorBidi"/>
      <w:b/>
      <w:bCs/>
      <w:color w:val="0F4761" w:themeColor="accent1" w:themeShade="BF"/>
    </w:rPr>
  </w:style>
  <w:style w:type="character" w:customStyle="1" w:styleId="Heading7Char">
    <w:name w:val="Heading 7 Char"/>
    <w:basedOn w:val="DefaultParagraphFont"/>
    <w:link w:val="Heading7"/>
    <w:uiPriority w:val="9"/>
    <w:semiHidden/>
    <w:qFormat/>
    <w:rPr>
      <w:rFonts w:cstheme="majorBidi"/>
      <w:b/>
      <w:bCs/>
      <w:color w:val="595959" w:themeColor="text1" w:themeTint="A6"/>
    </w:rPr>
  </w:style>
  <w:style w:type="character" w:customStyle="1" w:styleId="Heading8Char">
    <w:name w:val="Heading 8 Char"/>
    <w:basedOn w:val="DefaultParagraphFont"/>
    <w:link w:val="Heading8"/>
    <w:uiPriority w:val="9"/>
    <w:semiHidden/>
    <w:qFormat/>
    <w:rPr>
      <w:rFonts w:cstheme="majorBidi"/>
      <w:color w:val="595959" w:themeColor="text1" w:themeTint="A6"/>
    </w:rPr>
  </w:style>
  <w:style w:type="character" w:customStyle="1" w:styleId="Heading9Char">
    <w:name w:val="Heading 9 Char"/>
    <w:basedOn w:val="DefaultParagraphFont"/>
    <w:link w:val="Heading9"/>
    <w:uiPriority w:val="9"/>
    <w:semiHidden/>
    <w:qFormat/>
    <w:rPr>
      <w:rFonts w:eastAsiaTheme="majorEastAsia" w:cstheme="majorBidi"/>
      <w:color w:val="595959" w:themeColor="text1" w:themeTint="A6"/>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paragraph" w:customStyle="1" w:styleId="EndNoteBibliographyTitle">
    <w:name w:val="EndNote Bibliography Title"/>
    <w:basedOn w:val="Normal"/>
    <w:link w:val="EndNoteBibliographyTitle0"/>
    <w:qFormat/>
    <w:pPr>
      <w:jc w:val="center"/>
    </w:pPr>
    <w:rPr>
      <w:rFonts w:ascii="DengXian" w:eastAsia="DengXian" w:hAnsi="DengXian"/>
      <w:sz w:val="20"/>
    </w:rPr>
  </w:style>
  <w:style w:type="character" w:customStyle="1" w:styleId="EndNoteBibliographyTitle0">
    <w:name w:val="EndNote Bibliography Title 字符"/>
    <w:basedOn w:val="DefaultParagraphFont"/>
    <w:link w:val="EndNoteBibliographyTitle"/>
    <w:qFormat/>
    <w:rPr>
      <w:rFonts w:ascii="DengXian" w:eastAsia="DengXian" w:hAnsi="DengXian"/>
      <w:sz w:val="20"/>
    </w:rPr>
  </w:style>
  <w:style w:type="paragraph" w:customStyle="1" w:styleId="EndNoteBibliography">
    <w:name w:val="EndNote Bibliography"/>
    <w:basedOn w:val="Normal"/>
    <w:link w:val="EndNoteBibliography0"/>
    <w:qFormat/>
    <w:rPr>
      <w:rFonts w:ascii="DengXian" w:eastAsia="DengXian" w:hAnsi="DengXian"/>
      <w:sz w:val="20"/>
    </w:rPr>
  </w:style>
  <w:style w:type="character" w:customStyle="1" w:styleId="EndNoteBibliography0">
    <w:name w:val="EndNote Bibliography 字符"/>
    <w:basedOn w:val="DefaultParagraphFont"/>
    <w:link w:val="EndNoteBibliography"/>
    <w:qFormat/>
    <w:rPr>
      <w:rFonts w:ascii="DengXian" w:eastAsia="DengXian" w:hAnsi="DengXian"/>
      <w:sz w:val="20"/>
    </w:r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Default">
    <w:name w:val="Default"/>
    <w:uiPriority w:val="99"/>
    <w:unhideWhenUsed/>
    <w:qFormat/>
    <w:pPr>
      <w:widowControl w:val="0"/>
      <w:autoSpaceDE w:val="0"/>
      <w:autoSpaceDN w:val="0"/>
      <w:adjustRightInd w:val="0"/>
    </w:pPr>
    <w:rPr>
      <w:rFonts w:ascii="Arial" w:hAnsi="Arial" w:hint="eastAsia"/>
      <w:color w:val="000000"/>
      <w:sz w:val="24"/>
      <w:szCs w:val="24"/>
    </w:rPr>
  </w:style>
  <w:style w:type="paragraph" w:customStyle="1" w:styleId="ReferHead">
    <w:name w:val="Refer Head"/>
    <w:basedOn w:val="MainHead"/>
    <w:qFormat/>
    <w:rPr>
      <w:sz w:val="22"/>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206038">
      <w:bodyDiv w:val="1"/>
      <w:marLeft w:val="0"/>
      <w:marRight w:val="0"/>
      <w:marTop w:val="0"/>
      <w:marBottom w:val="0"/>
      <w:divBdr>
        <w:top w:val="none" w:sz="0" w:space="0" w:color="auto"/>
        <w:left w:val="none" w:sz="0" w:space="0" w:color="auto"/>
        <w:bottom w:val="none" w:sz="0" w:space="0" w:color="auto"/>
        <w:right w:val="none" w:sz="0" w:space="0" w:color="auto"/>
      </w:divBdr>
      <w:divsChild>
        <w:div w:id="958345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1977</Words>
  <Characters>11269</Characters>
  <Application>Microsoft Office Word</Application>
  <DocSecurity>0</DocSecurity>
  <Lines>93</Lines>
  <Paragraphs>26</Paragraphs>
  <ScaleCrop>false</ScaleCrop>
  <Company/>
  <LinksUpToDate>false</LinksUpToDate>
  <CharactersWithSpaces>13220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梦霞 郭</dc:creator>
  <cp:lastModifiedBy>SDI 1158</cp:lastModifiedBy>
  <cp:revision>21</cp:revision>
  <dcterms:created xsi:type="dcterms:W3CDTF">2025-08-03T15:19:00Z</dcterms:created>
  <dcterms:modified xsi:type="dcterms:W3CDTF">2026-02-04T08:42:00Z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498F663ED7394B7CB601121781FEE5BE</vt:lpwstr>
  </property>
</Properties>
</file>