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3EC05" w14:textId="77777777" w:rsidR="00D0029A" w:rsidRPr="00C32874" w:rsidRDefault="00D0029A" w:rsidP="009D422E">
      <w:pPr>
        <w:spacing w:before="100" w:beforeAutospacing="1" w:line="273" w:lineRule="auto"/>
        <w:jc w:val="both"/>
        <w:rPr>
          <w:b/>
          <w:sz w:val="32"/>
          <w:szCs w:val="20"/>
        </w:rPr>
      </w:pPr>
      <w:r w:rsidRPr="00C32874">
        <w:rPr>
          <w:b/>
          <w:sz w:val="32"/>
          <w:szCs w:val="20"/>
          <w:highlight w:val="yellow"/>
        </w:rPr>
        <w:t xml:space="preserve">Impact of ERCP on </w:t>
      </w:r>
      <w:proofErr w:type="spellStart"/>
      <w:r w:rsidRPr="00C32874">
        <w:rPr>
          <w:b/>
          <w:sz w:val="32"/>
          <w:szCs w:val="20"/>
          <w:highlight w:val="yellow"/>
        </w:rPr>
        <w:t>Cholestatic</w:t>
      </w:r>
      <w:proofErr w:type="spellEnd"/>
      <w:r w:rsidRPr="00C32874">
        <w:rPr>
          <w:b/>
          <w:sz w:val="32"/>
          <w:szCs w:val="20"/>
          <w:highlight w:val="yellow"/>
        </w:rPr>
        <w:t xml:space="preserve"> Liver Enzymes in Patients with Obstructive Jaundice at Obafemi </w:t>
      </w:r>
      <w:proofErr w:type="spellStart"/>
      <w:r w:rsidRPr="00C32874">
        <w:rPr>
          <w:b/>
          <w:sz w:val="32"/>
          <w:szCs w:val="20"/>
          <w:highlight w:val="yellow"/>
        </w:rPr>
        <w:t>Awolowo</w:t>
      </w:r>
      <w:proofErr w:type="spellEnd"/>
      <w:r w:rsidRPr="00C32874">
        <w:rPr>
          <w:b/>
          <w:sz w:val="32"/>
          <w:szCs w:val="20"/>
          <w:highlight w:val="yellow"/>
        </w:rPr>
        <w:t xml:space="preserve"> University Teaching Hospital, Ile-Ife, Osun, Nigeria</w:t>
      </w:r>
    </w:p>
    <w:p w14:paraId="04C4C6E0" w14:textId="77777777" w:rsidR="00D0029A" w:rsidRDefault="00D0029A" w:rsidP="009D422E">
      <w:pPr>
        <w:spacing w:before="100" w:beforeAutospacing="1" w:line="273" w:lineRule="auto"/>
        <w:jc w:val="both"/>
        <w:rPr>
          <w:sz w:val="20"/>
          <w:szCs w:val="20"/>
        </w:rPr>
      </w:pPr>
    </w:p>
    <w:p w14:paraId="2F704840" w14:textId="77777777" w:rsidR="009D422E" w:rsidRPr="009D422E" w:rsidRDefault="009D422E" w:rsidP="009D422E">
      <w:pPr>
        <w:spacing w:before="100" w:beforeAutospacing="1" w:line="273" w:lineRule="auto"/>
        <w:jc w:val="both"/>
        <w:rPr>
          <w:rFonts w:ascii="Times New Roman" w:eastAsia="Calibri" w:hAnsi="Times New Roman" w:cs="Times New Roman"/>
          <w:bCs/>
          <w14:ligatures w14:val="none"/>
        </w:rPr>
      </w:pPr>
      <w:r w:rsidRPr="009D422E">
        <w:rPr>
          <w:rFonts w:ascii="Times New Roman" w:eastAsia="Calibri" w:hAnsi="Times New Roman" w:cs="Times New Roman"/>
          <w:bCs/>
          <w14:ligatures w14:val="none"/>
        </w:rPr>
        <w:t xml:space="preserve"> </w:t>
      </w:r>
    </w:p>
    <w:p w14:paraId="21ADB4B7" w14:textId="77777777" w:rsidR="009D422E" w:rsidRPr="009D422E" w:rsidRDefault="009D422E" w:rsidP="009D422E">
      <w:pPr>
        <w:spacing w:before="100" w:beforeAutospacing="1" w:line="273"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bCs/>
          <w14:ligatures w14:val="none"/>
        </w:rPr>
        <w:t xml:space="preserve">Abstract </w:t>
      </w:r>
    </w:p>
    <w:p w14:paraId="1FFAA261" w14:textId="34EE98EE"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b/>
          <w:kern w:val="0"/>
          <w14:ligatures w14:val="none"/>
        </w:rPr>
        <w:t>Background:</w:t>
      </w:r>
      <w:r w:rsidRPr="009D422E">
        <w:rPr>
          <w:rFonts w:ascii="Times New Roman" w:eastAsia="Calibri" w:hAnsi="Times New Roman" w:cs="Times New Roman"/>
          <w:kern w:val="0"/>
          <w14:ligatures w14:val="none"/>
        </w:rPr>
        <w:t xml:space="preserve"> Obstructive jaundice is a common hepatobiliary disorder characterized by impaired bile flow and cholestasis, leading to significant morbidity if not promptly treated. Gamma-glutamyl transferase (GGT) and alkaline phosphatase (ALP) are key cholestatic liver enzymes widely used in the diagnosis and monitoring of biliary obstruction. </w:t>
      </w:r>
    </w:p>
    <w:p w14:paraId="6D342B2B" w14:textId="406DBB40"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b/>
          <w:kern w:val="0"/>
          <w14:ligatures w14:val="none"/>
        </w:rPr>
        <w:t>Aim</w:t>
      </w:r>
      <w:r w:rsidRPr="009D422E">
        <w:rPr>
          <w:rFonts w:ascii="Times New Roman" w:eastAsia="Calibri" w:hAnsi="Times New Roman" w:cs="Times New Roman"/>
          <w:kern w:val="0"/>
          <w14:ligatures w14:val="none"/>
        </w:rPr>
        <w:t xml:space="preserve">: </w:t>
      </w:r>
      <w:r w:rsidR="00D30333" w:rsidRPr="00C32874">
        <w:rPr>
          <w:rFonts w:ascii="Times New Roman" w:eastAsia="Calibri" w:hAnsi="Times New Roman" w:cs="Times New Roman"/>
          <w:kern w:val="0"/>
          <w:highlight w:val="yellow"/>
          <w14:ligatures w14:val="none"/>
        </w:rPr>
        <w:t>The present study</w:t>
      </w:r>
      <w:r w:rsidR="00D30333" w:rsidRPr="00C32874">
        <w:rPr>
          <w:rFonts w:ascii="Times New Roman" w:eastAsia="Calibri" w:hAnsi="Times New Roman" w:cs="Times New Roman"/>
          <w:kern w:val="0"/>
          <w:highlight w:val="yellow"/>
          <w14:ligatures w14:val="none"/>
        </w:rPr>
        <w:t xml:space="preserve"> </w:t>
      </w:r>
      <w:r w:rsidRPr="00C32874">
        <w:rPr>
          <w:rFonts w:ascii="Times New Roman" w:eastAsia="Calibri" w:hAnsi="Times New Roman" w:cs="Times New Roman"/>
          <w:kern w:val="0"/>
          <w:highlight w:val="yellow"/>
          <w14:ligatures w14:val="none"/>
        </w:rPr>
        <w:t>evaluate</w:t>
      </w:r>
      <w:r w:rsidR="00D30333" w:rsidRPr="00C32874">
        <w:rPr>
          <w:rFonts w:ascii="Times New Roman" w:eastAsia="Calibri" w:hAnsi="Times New Roman" w:cs="Times New Roman"/>
          <w:kern w:val="0"/>
          <w:highlight w:val="yellow"/>
          <w14:ligatures w14:val="none"/>
        </w:rPr>
        <w:t>s</w:t>
      </w:r>
      <w:r w:rsidRPr="009D422E">
        <w:rPr>
          <w:rFonts w:ascii="Times New Roman" w:eastAsia="Calibri" w:hAnsi="Times New Roman" w:cs="Times New Roman"/>
          <w:kern w:val="0"/>
          <w14:ligatures w14:val="none"/>
        </w:rPr>
        <w:t xml:space="preserve"> GGT and ALP and activities in elderly patients with obstructive jaundice following ERCP at Obafemi Awolowo University Teaching Hospitals, Ile-Ife, Nigeria</w:t>
      </w:r>
      <w:r w:rsidR="00D30333">
        <w:rPr>
          <w:rFonts w:ascii="Times New Roman" w:eastAsia="Calibri" w:hAnsi="Times New Roman" w:cs="Times New Roman"/>
          <w:kern w:val="0"/>
          <w14:ligatures w14:val="none"/>
        </w:rPr>
        <w:t>.</w:t>
      </w:r>
    </w:p>
    <w:p w14:paraId="271F69C9" w14:textId="6B9742D2" w:rsidR="009D422E" w:rsidRPr="009D422E" w:rsidRDefault="009D422E" w:rsidP="009D422E">
      <w:pPr>
        <w:spacing w:before="100" w:beforeAutospacing="1" w:after="0"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bookmarkStart w:id="0" w:name="_GoBack"/>
      <w:bookmarkEnd w:id="0"/>
      <w:r w:rsidRPr="009D422E">
        <w:rPr>
          <w:rFonts w:ascii="Times New Roman" w:eastAsia="Calibri" w:hAnsi="Times New Roman" w:cs="Times New Roman"/>
          <w:b/>
          <w14:ligatures w14:val="none"/>
        </w:rPr>
        <w:t>Methods</w:t>
      </w:r>
      <w:r w:rsidRPr="00C32874">
        <w:rPr>
          <w:rFonts w:ascii="Times New Roman" w:eastAsia="Calibri" w:hAnsi="Times New Roman" w:cs="Times New Roman"/>
          <w:highlight w:val="yellow"/>
          <w14:ligatures w14:val="none"/>
        </w:rPr>
        <w:t xml:space="preserve">: </w:t>
      </w:r>
      <w:r w:rsidR="00D30333" w:rsidRPr="00C32874">
        <w:rPr>
          <w:rFonts w:ascii="Times New Roman" w:eastAsia="Calibri" w:hAnsi="Times New Roman" w:cs="Times New Roman"/>
          <w:highlight w:val="yellow"/>
          <w14:ligatures w14:val="none"/>
        </w:rPr>
        <w:t xml:space="preserve">A total of </w:t>
      </w:r>
      <w:r w:rsidRPr="00C32874">
        <w:rPr>
          <w:rFonts w:ascii="Times New Roman" w:eastAsia="Calibri" w:hAnsi="Times New Roman" w:cs="Times New Roman"/>
          <w:highlight w:val="yellow"/>
          <w14:ligatures w14:val="none"/>
        </w:rPr>
        <w:t>100 elderly</w:t>
      </w:r>
      <w:r w:rsidRPr="009D422E">
        <w:rPr>
          <w:rFonts w:ascii="Times New Roman" w:eastAsia="Calibri" w:hAnsi="Times New Roman" w:cs="Times New Roman"/>
          <w14:ligatures w14:val="none"/>
        </w:rPr>
        <w:t xml:space="preserve"> men and women, aged 60 years and above, diagnosed of extrahepatic biliary obstruction, preparing for ERCP at Obafemi Awolowo University Teaching Hospitals Complex (OAUTHC), Ile-Ife, Osun State, Nigeria, were recruited for the study. Blood specimen was drawn from the subjects 48 hours before ERCP and one week after ERCP. The blood samples collected were determined for serum GGT and ALP activities using colorimetric methods. Statistical package for the social science, version 26.0 was used to obtain the results in mean ± SD. Paired t test was used to determine difference between means at a significant level of 0.05.</w:t>
      </w:r>
    </w:p>
    <w:p w14:paraId="7B2A0C66" w14:textId="77777777" w:rsidR="009D422E" w:rsidRPr="009D422E" w:rsidRDefault="009D422E" w:rsidP="009D422E">
      <w:pPr>
        <w:spacing w:before="100" w:beforeAutospacing="1" w:after="0"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172A90BB"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b/>
          <w14:ligatures w14:val="none"/>
        </w:rPr>
        <w:lastRenderedPageBreak/>
        <w:t>Results:</w:t>
      </w:r>
      <w:r w:rsidRPr="009D422E">
        <w:rPr>
          <w:rFonts w:ascii="Times New Roman" w:eastAsia="Calibri" w:hAnsi="Times New Roman" w:cs="Times New Roman"/>
          <w14:ligatures w14:val="none"/>
        </w:rPr>
        <w:t xml:space="preserve"> The mean result of ALP activity was 572.3 ± 263.3 IU/L and GGT was 505.9 ± 236.6 IU/L at 48 hours before ECRP. While the result of  mean ALP activity was 295.2 ± 158.1 IU/L, and GGT activity was 258.0 ± 124.9 IU/L, after one week of ECRP procedure. The paired t test comparisons of the enzymes activities, before and after ECRP procedure, showed significant decrease in ALP and GGT activities after ERCP procedure (P&lt;0.05).</w:t>
      </w:r>
    </w:p>
    <w:p w14:paraId="56FF0A28" w14:textId="77777777" w:rsidR="009D422E" w:rsidRPr="009D422E" w:rsidRDefault="009D422E" w:rsidP="009D422E">
      <w:pPr>
        <w:spacing w:before="100" w:beforeAutospacing="1" w:after="0" w:line="480" w:lineRule="auto"/>
        <w:jc w:val="both"/>
        <w:rPr>
          <w:rFonts w:ascii="Times New Roman" w:eastAsia="Calibri" w:hAnsi="Times New Roman" w:cs="Times New Roman"/>
          <w14:ligatures w14:val="none"/>
        </w:rPr>
      </w:pPr>
      <w:r w:rsidRPr="009D422E">
        <w:rPr>
          <w:rFonts w:ascii="Times New Roman" w:eastAsia="Calibri" w:hAnsi="Times New Roman" w:cs="Times New Roman"/>
          <w:b/>
          <w14:ligatures w14:val="none"/>
        </w:rPr>
        <w:t>Conclusion:</w:t>
      </w:r>
      <w:r w:rsidRPr="009D422E">
        <w:rPr>
          <w:rFonts w:ascii="Times New Roman" w:eastAsia="Calibri" w:hAnsi="Times New Roman" w:cs="Times New Roman"/>
          <w14:ligatures w14:val="none"/>
        </w:rPr>
        <w:t xml:space="preserve"> ERCP resulted in rapid and substantial declines in GGT and ALP activities among the elderly patients with obstructive jaundice. These findings highlight the usefulness of GGT and ALP as reliable biomarkers for assessing the resolution of biliary obstruction and monitoring treatment response.</w:t>
      </w:r>
    </w:p>
    <w:p w14:paraId="11359187" w14:textId="51EC0059" w:rsidR="009D422E" w:rsidRPr="009D422E" w:rsidRDefault="009D422E" w:rsidP="00D30333">
      <w:pPr>
        <w:spacing w:before="100" w:beforeAutospacing="1" w:line="273"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bCs/>
          <w14:ligatures w14:val="none"/>
        </w:rPr>
        <w:t xml:space="preserve"> </w:t>
      </w:r>
      <w:r w:rsidR="00D0029A" w:rsidRPr="00C32874">
        <w:rPr>
          <w:rFonts w:ascii="Times New Roman" w:eastAsia="Calibri" w:hAnsi="Times New Roman" w:cs="Times New Roman"/>
          <w:b/>
          <w:bCs/>
          <w:highlight w:val="yellow"/>
          <w14:ligatures w14:val="none"/>
        </w:rPr>
        <w:t xml:space="preserve">Keywords: </w:t>
      </w:r>
      <w:r w:rsidR="00D30333" w:rsidRPr="00C32874">
        <w:rPr>
          <w:rFonts w:ascii="Times New Roman" w:eastAsia="Calibri" w:hAnsi="Times New Roman" w:cs="Times New Roman"/>
          <w:highlight w:val="yellow"/>
          <w14:ligatures w14:val="none"/>
        </w:rPr>
        <w:t xml:space="preserve">Obstructive jaundice, </w:t>
      </w:r>
      <w:r w:rsidR="00D30333" w:rsidRPr="00C32874">
        <w:rPr>
          <w:rFonts w:ascii="Times New Roman" w:eastAsia="Calibri" w:hAnsi="Times New Roman" w:cs="Times New Roman"/>
          <w:kern w:val="0"/>
          <w:highlight w:val="yellow"/>
          <w14:ligatures w14:val="none"/>
        </w:rPr>
        <w:t>Gamma-</w:t>
      </w:r>
      <w:proofErr w:type="spellStart"/>
      <w:r w:rsidR="00D30333" w:rsidRPr="00C32874">
        <w:rPr>
          <w:rFonts w:ascii="Times New Roman" w:eastAsia="Calibri" w:hAnsi="Times New Roman" w:cs="Times New Roman"/>
          <w:kern w:val="0"/>
          <w:highlight w:val="yellow"/>
          <w14:ligatures w14:val="none"/>
        </w:rPr>
        <w:t>glutamyl</w:t>
      </w:r>
      <w:proofErr w:type="spellEnd"/>
      <w:r w:rsidR="00D30333" w:rsidRPr="00C32874">
        <w:rPr>
          <w:rFonts w:ascii="Times New Roman" w:eastAsia="Calibri" w:hAnsi="Times New Roman" w:cs="Times New Roman"/>
          <w:kern w:val="0"/>
          <w:highlight w:val="yellow"/>
          <w14:ligatures w14:val="none"/>
        </w:rPr>
        <w:t xml:space="preserve"> transferase, biliary epithelium, Endoscopic retrograde </w:t>
      </w:r>
      <w:proofErr w:type="spellStart"/>
      <w:r w:rsidR="00D30333" w:rsidRPr="00C32874">
        <w:rPr>
          <w:rFonts w:ascii="Times New Roman" w:eastAsia="Calibri" w:hAnsi="Times New Roman" w:cs="Times New Roman"/>
          <w:kern w:val="0"/>
          <w:highlight w:val="yellow"/>
          <w14:ligatures w14:val="none"/>
        </w:rPr>
        <w:t>cholangiopancreatography</w:t>
      </w:r>
      <w:proofErr w:type="spellEnd"/>
    </w:p>
    <w:p w14:paraId="4F1C9839" w14:textId="77777777" w:rsidR="009D422E" w:rsidRPr="009D422E" w:rsidRDefault="009D422E" w:rsidP="009D422E">
      <w:pPr>
        <w:spacing w:before="100" w:beforeAutospacing="1" w:line="273"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bCs/>
          <w14:ligatures w14:val="none"/>
        </w:rPr>
        <w:t xml:space="preserve">1.0 INTRODUCTION </w:t>
      </w:r>
    </w:p>
    <w:p w14:paraId="170894AE" w14:textId="7141B699" w:rsidR="009D422E" w:rsidRPr="009D422E" w:rsidRDefault="00D30333" w:rsidP="009D422E">
      <w:pPr>
        <w:spacing w:before="100" w:beforeAutospacing="1" w:after="100" w:afterAutospacing="1" w:line="480" w:lineRule="auto"/>
        <w:jc w:val="both"/>
        <w:rPr>
          <w:rFonts w:ascii="Times New Roman" w:eastAsia="Calibri" w:hAnsi="Times New Roman" w:cs="Times New Roman"/>
          <w:kern w:val="0"/>
          <w14:ligatures w14:val="none"/>
        </w:rPr>
      </w:pPr>
      <w:r w:rsidRPr="00C32874">
        <w:rPr>
          <w:rFonts w:ascii="Times New Roman" w:eastAsia="Calibri" w:hAnsi="Times New Roman" w:cs="Times New Roman"/>
          <w:kern w:val="0"/>
          <w:highlight w:val="yellow"/>
          <w14:ligatures w14:val="none"/>
        </w:rPr>
        <w:t xml:space="preserve">Obstructive jaundice from </w:t>
      </w:r>
      <w:proofErr w:type="spellStart"/>
      <w:r w:rsidRPr="00C32874">
        <w:rPr>
          <w:rFonts w:ascii="Times New Roman" w:eastAsia="Calibri" w:hAnsi="Times New Roman" w:cs="Times New Roman"/>
          <w:kern w:val="0"/>
          <w:highlight w:val="yellow"/>
          <w14:ligatures w14:val="none"/>
        </w:rPr>
        <w:t>pancreatobiliary</w:t>
      </w:r>
      <w:proofErr w:type="spellEnd"/>
      <w:r w:rsidRPr="00C32874">
        <w:rPr>
          <w:rFonts w:ascii="Times New Roman" w:eastAsia="Calibri" w:hAnsi="Times New Roman" w:cs="Times New Roman"/>
          <w:kern w:val="0"/>
          <w:highlight w:val="yellow"/>
          <w14:ligatures w14:val="none"/>
        </w:rPr>
        <w:t xml:space="preserve"> diseases represents a significant global health challenge, particularly in resource-limited settings like Rwanda. While endoscopic retrograde </w:t>
      </w:r>
      <w:proofErr w:type="spellStart"/>
      <w:r w:rsidRPr="00C32874">
        <w:rPr>
          <w:rFonts w:ascii="Times New Roman" w:eastAsia="Calibri" w:hAnsi="Times New Roman" w:cs="Times New Roman"/>
          <w:kern w:val="0"/>
          <w:highlight w:val="yellow"/>
          <w14:ligatures w14:val="none"/>
        </w:rPr>
        <w:t>cholangiopancreatography</w:t>
      </w:r>
      <w:proofErr w:type="spellEnd"/>
      <w:r w:rsidRPr="00C32874">
        <w:rPr>
          <w:rFonts w:ascii="Times New Roman" w:eastAsia="Calibri" w:hAnsi="Times New Roman" w:cs="Times New Roman"/>
          <w:kern w:val="0"/>
          <w:highlight w:val="yellow"/>
          <w14:ligatures w14:val="none"/>
        </w:rPr>
        <w:t xml:space="preserve"> (ERCP) and percutaneous </w:t>
      </w:r>
      <w:proofErr w:type="spellStart"/>
      <w:r w:rsidRPr="00C32874">
        <w:rPr>
          <w:rFonts w:ascii="Times New Roman" w:eastAsia="Calibri" w:hAnsi="Times New Roman" w:cs="Times New Roman"/>
          <w:kern w:val="0"/>
          <w:highlight w:val="yellow"/>
          <w14:ligatures w14:val="none"/>
        </w:rPr>
        <w:t>transhepatic</w:t>
      </w:r>
      <w:proofErr w:type="spellEnd"/>
      <w:r w:rsidRPr="00C32874">
        <w:rPr>
          <w:rFonts w:ascii="Times New Roman" w:eastAsia="Calibri" w:hAnsi="Times New Roman" w:cs="Times New Roman"/>
          <w:kern w:val="0"/>
          <w:highlight w:val="yellow"/>
          <w14:ligatures w14:val="none"/>
        </w:rPr>
        <w:t xml:space="preserve"> biliary drainage (PTBD) are now available at tertiary centers in Kigali, there is limited local clinical data on the management and outcomes of these conditions</w:t>
      </w:r>
      <w:r w:rsidR="00C32874">
        <w:rPr>
          <w:rFonts w:ascii="Times New Roman" w:eastAsia="Calibri" w:hAnsi="Times New Roman" w:cs="Times New Roman"/>
          <w:kern w:val="0"/>
          <w:highlight w:val="yellow"/>
          <w14:ligatures w14:val="none"/>
        </w:rPr>
        <w:t xml:space="preserve"> (</w:t>
      </w:r>
      <w:proofErr w:type="spellStart"/>
      <w:r w:rsidR="00C32874" w:rsidRPr="00B61190">
        <w:rPr>
          <w:rFonts w:ascii="Times New Roman" w:hAnsi="Times New Roman" w:cs="Times New Roman"/>
          <w:highlight w:val="yellow"/>
        </w:rPr>
        <w:t>Yakan</w:t>
      </w:r>
      <w:proofErr w:type="spellEnd"/>
      <w:r w:rsidR="00C32874">
        <w:rPr>
          <w:rFonts w:ascii="Times New Roman" w:hAnsi="Times New Roman" w:cs="Times New Roman"/>
          <w:highlight w:val="yellow"/>
        </w:rPr>
        <w:t xml:space="preserve"> et al., 2014</w:t>
      </w:r>
      <w:r w:rsidR="00C32874">
        <w:rPr>
          <w:rFonts w:ascii="Times New Roman" w:eastAsia="Calibri" w:hAnsi="Times New Roman" w:cs="Times New Roman"/>
          <w:kern w:val="0"/>
          <w:highlight w:val="yellow"/>
          <w14:ligatures w14:val="none"/>
        </w:rPr>
        <w:t>)</w:t>
      </w:r>
      <w:r w:rsidRPr="00C32874">
        <w:rPr>
          <w:rFonts w:ascii="Times New Roman" w:eastAsia="Calibri" w:hAnsi="Times New Roman" w:cs="Times New Roman"/>
          <w:kern w:val="0"/>
          <w:highlight w:val="yellow"/>
          <w14:ligatures w14:val="none"/>
        </w:rPr>
        <w:t>.</w:t>
      </w:r>
      <w:r w:rsidRPr="00D30333">
        <w:rPr>
          <w:rFonts w:ascii="Times New Roman" w:eastAsia="Calibri" w:hAnsi="Times New Roman" w:cs="Times New Roman"/>
          <w:kern w:val="0"/>
          <w14:ligatures w14:val="none"/>
        </w:rPr>
        <w:t xml:space="preserve"> </w:t>
      </w:r>
      <w:r w:rsidRPr="00C32874">
        <w:rPr>
          <w:rFonts w:ascii="Times New Roman" w:eastAsia="Calibri" w:hAnsi="Times New Roman" w:cs="Times New Roman"/>
          <w:kern w:val="0"/>
          <w:highlight w:val="yellow"/>
          <w14:ligatures w14:val="none"/>
        </w:rPr>
        <w:t xml:space="preserve">The landscape of </w:t>
      </w:r>
      <w:proofErr w:type="spellStart"/>
      <w:r w:rsidRPr="00C32874">
        <w:rPr>
          <w:rFonts w:ascii="Times New Roman" w:eastAsia="Calibri" w:hAnsi="Times New Roman" w:cs="Times New Roman"/>
          <w:kern w:val="0"/>
          <w:highlight w:val="yellow"/>
          <w14:ligatures w14:val="none"/>
        </w:rPr>
        <w:t>pancreatobiliary</w:t>
      </w:r>
      <w:proofErr w:type="spellEnd"/>
      <w:r w:rsidRPr="00C32874">
        <w:rPr>
          <w:rFonts w:ascii="Times New Roman" w:eastAsia="Calibri" w:hAnsi="Times New Roman" w:cs="Times New Roman"/>
          <w:kern w:val="0"/>
          <w:highlight w:val="yellow"/>
          <w14:ligatures w14:val="none"/>
        </w:rPr>
        <w:t xml:space="preserve"> diseases presents unique challenges due to limited healthcare resources and delayed presentation of patients. Recent studies indicate that the prevalence of obstructive jaundice in African populations ranges from 8 to 25% of all hepatobiliary admissions</w:t>
      </w:r>
      <w:r w:rsidR="00C32874">
        <w:rPr>
          <w:rFonts w:ascii="Times New Roman" w:eastAsia="Calibri" w:hAnsi="Times New Roman" w:cs="Times New Roman"/>
          <w:kern w:val="0"/>
          <w:highlight w:val="yellow"/>
          <w14:ligatures w14:val="none"/>
        </w:rPr>
        <w:t xml:space="preserve"> (</w:t>
      </w:r>
      <w:proofErr w:type="spellStart"/>
      <w:r w:rsidR="00C32874" w:rsidRPr="00C32874">
        <w:rPr>
          <w:rFonts w:ascii="Helvetica Neue" w:hAnsi="Helvetica Neue"/>
          <w:color w:val="222222"/>
          <w:highlight w:val="yellow"/>
        </w:rPr>
        <w:t>Ingabire</w:t>
      </w:r>
      <w:proofErr w:type="spellEnd"/>
      <w:r w:rsidR="00C32874" w:rsidRPr="00C32874">
        <w:rPr>
          <w:rFonts w:ascii="Helvetica Neue" w:hAnsi="Helvetica Neue"/>
          <w:color w:val="222222"/>
          <w:highlight w:val="yellow"/>
        </w:rPr>
        <w:t xml:space="preserve"> et al., 2025</w:t>
      </w:r>
      <w:r w:rsidR="00C32874">
        <w:rPr>
          <w:rFonts w:ascii="Times New Roman" w:eastAsia="Calibri" w:hAnsi="Times New Roman" w:cs="Times New Roman"/>
          <w:kern w:val="0"/>
          <w:highlight w:val="yellow"/>
          <w14:ligatures w14:val="none"/>
        </w:rPr>
        <w:t>)</w:t>
      </w:r>
      <w:r w:rsidRPr="00C32874">
        <w:rPr>
          <w:rFonts w:ascii="Times New Roman" w:eastAsia="Calibri" w:hAnsi="Times New Roman" w:cs="Times New Roman"/>
          <w:kern w:val="0"/>
          <w:highlight w:val="yellow"/>
          <w14:ligatures w14:val="none"/>
        </w:rPr>
        <w:t>.</w:t>
      </w:r>
      <w:r>
        <w:rPr>
          <w:rFonts w:ascii="Times New Roman" w:eastAsia="Calibri" w:hAnsi="Times New Roman" w:cs="Times New Roman"/>
          <w:kern w:val="0"/>
          <w14:ligatures w14:val="none"/>
        </w:rPr>
        <w:t xml:space="preserve"> </w:t>
      </w:r>
      <w:r w:rsidR="009D422E" w:rsidRPr="00D30333">
        <w:rPr>
          <w:rFonts w:ascii="Times New Roman" w:eastAsia="Calibri" w:hAnsi="Times New Roman" w:cs="Times New Roman"/>
          <w:kern w:val="0"/>
          <w14:ligatures w14:val="none"/>
        </w:rPr>
        <w:t>O</w:t>
      </w:r>
      <w:r w:rsidR="009D422E" w:rsidRPr="009D422E">
        <w:rPr>
          <w:rFonts w:ascii="Times New Roman" w:eastAsia="Calibri" w:hAnsi="Times New Roman" w:cs="Times New Roman"/>
          <w:kern w:val="0"/>
          <w14:ligatures w14:val="none"/>
        </w:rPr>
        <w:t>bstructive jaundice arises when the biliary drainage system is blocked from impaired bile flow due to mechanical obstruction of the biliary tree (</w:t>
      </w:r>
      <w:proofErr w:type="spellStart"/>
      <w:r w:rsidR="009D422E" w:rsidRPr="009D422E">
        <w:rPr>
          <w:rFonts w:ascii="Times New Roman" w:eastAsia="Calibri" w:hAnsi="Times New Roman" w:cs="Times New Roman"/>
          <w:kern w:val="0"/>
          <w14:ligatures w14:val="none"/>
        </w:rPr>
        <w:t>Tripathi</w:t>
      </w:r>
      <w:proofErr w:type="spellEnd"/>
      <w:r w:rsidR="009D422E" w:rsidRPr="009D422E">
        <w:rPr>
          <w:rFonts w:ascii="Times New Roman" w:eastAsia="Calibri" w:hAnsi="Times New Roman" w:cs="Times New Roman"/>
          <w:kern w:val="0"/>
          <w14:ligatures w14:val="none"/>
        </w:rPr>
        <w:t xml:space="preserve"> and </w:t>
      </w:r>
      <w:proofErr w:type="spellStart"/>
      <w:r w:rsidR="009D422E" w:rsidRPr="009D422E">
        <w:rPr>
          <w:rFonts w:ascii="Times New Roman" w:eastAsia="Calibri" w:hAnsi="Times New Roman" w:cs="Times New Roman"/>
          <w:kern w:val="0"/>
          <w14:ligatures w14:val="none"/>
        </w:rPr>
        <w:t>JialaL</w:t>
      </w:r>
      <w:proofErr w:type="spellEnd"/>
      <w:r w:rsidR="009D422E" w:rsidRPr="009D422E">
        <w:rPr>
          <w:rFonts w:ascii="Times New Roman" w:eastAsia="Calibri" w:hAnsi="Times New Roman" w:cs="Times New Roman"/>
          <w:kern w:val="0"/>
          <w14:ligatures w14:val="none"/>
        </w:rPr>
        <w:t xml:space="preserve">, 2025). This leads to the accumulation of conjugated bilirubin in the bloodstream, manifesting clinically as yellowing of the skin and sclera, </w:t>
      </w:r>
      <w:r w:rsidR="009D422E" w:rsidRPr="009D422E">
        <w:rPr>
          <w:rFonts w:ascii="Times New Roman" w:eastAsia="Calibri" w:hAnsi="Times New Roman" w:cs="Times New Roman"/>
          <w:kern w:val="0"/>
          <w14:ligatures w14:val="none"/>
        </w:rPr>
        <w:lastRenderedPageBreak/>
        <w:t>dark urine, pale stools, and pruritus (</w:t>
      </w:r>
      <w:proofErr w:type="spellStart"/>
      <w:r w:rsidR="009D422E" w:rsidRPr="009D422E">
        <w:rPr>
          <w:rFonts w:ascii="Times New Roman" w:eastAsia="Calibri" w:hAnsi="Times New Roman" w:cs="Times New Roman"/>
          <w:kern w:val="0"/>
          <w:shd w:val="clear" w:color="auto" w:fill="FFFFFF"/>
          <w14:ligatures w14:val="none"/>
        </w:rPr>
        <w:t>Tripathi</w:t>
      </w:r>
      <w:proofErr w:type="spellEnd"/>
      <w:r w:rsidR="009D422E" w:rsidRPr="009D422E">
        <w:rPr>
          <w:rFonts w:ascii="Times New Roman" w:eastAsia="Calibri" w:hAnsi="Times New Roman" w:cs="Times New Roman"/>
          <w:kern w:val="0"/>
          <w:shd w:val="clear" w:color="auto" w:fill="FFFFFF"/>
          <w14:ligatures w14:val="none"/>
        </w:rPr>
        <w:t xml:space="preserve"> and </w:t>
      </w:r>
      <w:proofErr w:type="spellStart"/>
      <w:r w:rsidR="009D422E" w:rsidRPr="009D422E">
        <w:rPr>
          <w:rFonts w:ascii="Times New Roman" w:eastAsia="Calibri" w:hAnsi="Times New Roman" w:cs="Times New Roman"/>
          <w:kern w:val="0"/>
          <w:shd w:val="clear" w:color="auto" w:fill="FFFFFF"/>
          <w14:ligatures w14:val="none"/>
        </w:rPr>
        <w:t>Jialal</w:t>
      </w:r>
      <w:proofErr w:type="spellEnd"/>
      <w:r w:rsidR="009D422E" w:rsidRPr="009D422E">
        <w:rPr>
          <w:rFonts w:ascii="Times New Roman" w:eastAsia="Calibri" w:hAnsi="Times New Roman" w:cs="Times New Roman"/>
          <w:kern w:val="0"/>
          <w:shd w:val="clear" w:color="auto" w:fill="FFFFFF"/>
          <w14:ligatures w14:val="none"/>
        </w:rPr>
        <w:t>, 2023</w:t>
      </w:r>
      <w:r w:rsidR="009D422E" w:rsidRPr="009D422E">
        <w:rPr>
          <w:rFonts w:ascii="Times New Roman" w:eastAsia="Calibri" w:hAnsi="Times New Roman" w:cs="Times New Roman"/>
          <w:kern w:val="0"/>
          <w14:ligatures w14:val="none"/>
        </w:rPr>
        <w:t>). Causes of obstruction may be benign, such as choledocholithiasis or strictures, or malignant, such as cholangiocarcinoma and pancreatic head tumors (</w:t>
      </w:r>
      <w:r w:rsidR="009D422E" w:rsidRPr="009D422E">
        <w:rPr>
          <w:rFonts w:ascii="Times New Roman" w:eastAsia="Calibri" w:hAnsi="Times New Roman" w:cs="Times New Roman"/>
          <w:kern w:val="0"/>
          <w:shd w:val="clear" w:color="auto" w:fill="FFFFFF"/>
          <w14:ligatures w14:val="none"/>
        </w:rPr>
        <w:t>Coucke et al., 2022</w:t>
      </w:r>
      <w:r w:rsidR="009D422E" w:rsidRPr="009D422E">
        <w:rPr>
          <w:rFonts w:ascii="Times New Roman" w:eastAsia="Calibri" w:hAnsi="Times New Roman" w:cs="Times New Roman"/>
          <w:kern w:val="0"/>
          <w14:ligatures w14:val="none"/>
        </w:rPr>
        <w:t xml:space="preserve">). In low- and middle-income countries, delayed presentation and limited access to advanced diagnostic modalities often compound the disease burden, resulting in significant morbidity and mortality (Bohle et al., 2020; </w:t>
      </w:r>
      <w:r w:rsidR="009D422E" w:rsidRPr="009D422E">
        <w:rPr>
          <w:rFonts w:ascii="Times New Roman" w:eastAsia="Calibri" w:hAnsi="Times New Roman" w:cs="Times New Roman"/>
          <w:kern w:val="0"/>
          <w:shd w:val="clear" w:color="auto" w:fill="FFFFFF"/>
          <w14:ligatures w14:val="none"/>
        </w:rPr>
        <w:t>Brand et al., 2019</w:t>
      </w:r>
      <w:r w:rsidR="009D422E" w:rsidRPr="009D422E">
        <w:rPr>
          <w:rFonts w:ascii="Times New Roman" w:eastAsia="Calibri" w:hAnsi="Times New Roman" w:cs="Times New Roman"/>
          <w:kern w:val="0"/>
          <w14:ligatures w14:val="none"/>
        </w:rPr>
        <w:t>).</w:t>
      </w:r>
    </w:p>
    <w:p w14:paraId="3F3CA61C"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Biochemical assessment plays a pivotal role in the diagnosis and management of obstructive jaundice (Vinu and Adithya, 2025). Liver enzyme alterations reflect the site and severity of hepatobiliary injury and are key adjuncts to clinical assessment and imaging</w:t>
      </w:r>
      <w:r w:rsidRPr="009D422E">
        <w:rPr>
          <w:rFonts w:ascii="Times New Roman" w:eastAsia="Calibri" w:hAnsi="Times New Roman" w:cs="Times New Roman"/>
          <w:kern w:val="0"/>
          <w:shd w:val="clear" w:color="auto" w:fill="FFFFFF"/>
          <w14:ligatures w14:val="none"/>
        </w:rPr>
        <w:t xml:space="preserve"> (Kalas et al, 2021)</w:t>
      </w:r>
      <w:r w:rsidRPr="009D422E">
        <w:rPr>
          <w:rFonts w:ascii="Times New Roman" w:eastAsia="Calibri" w:hAnsi="Times New Roman" w:cs="Times New Roman"/>
          <w:kern w:val="0"/>
          <w14:ligatures w14:val="none"/>
        </w:rPr>
        <w:t xml:space="preserve">. Among these, </w:t>
      </w:r>
      <w:r w:rsidRPr="009D422E">
        <w:rPr>
          <w:rFonts w:ascii="Times New Roman" w:eastAsia="Calibri" w:hAnsi="Times New Roman" w:cs="Times New Roman"/>
          <w:bCs/>
          <w:kern w:val="0"/>
          <w14:ligatures w14:val="none"/>
        </w:rPr>
        <w:t>ALP</w:t>
      </w:r>
      <w:r w:rsidRPr="009D422E">
        <w:rPr>
          <w:rFonts w:ascii="Times New Roman" w:eastAsia="Calibri" w:hAnsi="Times New Roman" w:cs="Times New Roman"/>
          <w:b/>
          <w:bCs/>
          <w:kern w:val="0"/>
          <w14:ligatures w14:val="none"/>
        </w:rPr>
        <w:t xml:space="preserve"> </w:t>
      </w:r>
      <w:r w:rsidRPr="009D422E">
        <w:rPr>
          <w:rFonts w:ascii="Times New Roman" w:eastAsia="Calibri" w:hAnsi="Times New Roman" w:cs="Times New Roman"/>
          <w:kern w:val="0"/>
          <w14:ligatures w14:val="none"/>
        </w:rPr>
        <w:t xml:space="preserve">and </w:t>
      </w:r>
      <w:r w:rsidRPr="009D422E">
        <w:rPr>
          <w:rFonts w:ascii="Times New Roman" w:eastAsia="Calibri" w:hAnsi="Times New Roman" w:cs="Times New Roman"/>
          <w:bCs/>
          <w:kern w:val="0"/>
          <w14:ligatures w14:val="none"/>
        </w:rPr>
        <w:t>GGT</w:t>
      </w:r>
      <w:r w:rsidRPr="009D422E">
        <w:rPr>
          <w:rFonts w:ascii="Times New Roman" w:eastAsia="Calibri" w:hAnsi="Times New Roman" w:cs="Times New Roman"/>
          <w:kern w:val="0"/>
          <w14:ligatures w14:val="none"/>
        </w:rPr>
        <w:t xml:space="preserve"> are considered hallmark markers of cholestasis. ALP is typically elevated in conditions involving biliary obstruction, as cholestasis stimulates increased synthesis and release of ALP from the biliary epithelium (</w:t>
      </w:r>
      <w:r w:rsidRPr="009D422E">
        <w:rPr>
          <w:rFonts w:ascii="Times New Roman" w:eastAsia="Calibri" w:hAnsi="Times New Roman" w:cs="Times New Roman"/>
          <w:kern w:val="0"/>
          <w:shd w:val="clear" w:color="auto" w:fill="FFFFFF"/>
          <w14:ligatures w14:val="none"/>
        </w:rPr>
        <w:t>Vroon et al., 1990</w:t>
      </w:r>
      <w:r w:rsidRPr="009D422E">
        <w:rPr>
          <w:rFonts w:ascii="Times New Roman" w:eastAsia="Calibri" w:hAnsi="Times New Roman" w:cs="Times New Roman"/>
          <w:kern w:val="0"/>
          <w14:ligatures w14:val="none"/>
        </w:rPr>
        <w:t>). However, ALP elevations can also be seen in bone disorders and other systemic conditions, necessitating correlation with other markers (Kang et al., 2015). GGT, an enzyme located on the external surface of hepatocytes and bile duct cells, is highly sensitive to biliary obstruction and increases earlier in cholestatic processes, but its specificity is limited when assessed in isolation (</w:t>
      </w:r>
      <w:r w:rsidRPr="009D422E">
        <w:rPr>
          <w:rFonts w:ascii="Times New Roman" w:eastAsia="Calibri" w:hAnsi="Times New Roman" w:cs="Times New Roman"/>
          <w:kern w:val="0"/>
          <w:shd w:val="clear" w:color="auto" w:fill="FFFFFF"/>
          <w14:ligatures w14:val="none"/>
        </w:rPr>
        <w:t>Xing et al., 2022</w:t>
      </w:r>
      <w:r w:rsidRPr="009D422E">
        <w:rPr>
          <w:rFonts w:ascii="Times New Roman" w:eastAsia="Calibri" w:hAnsi="Times New Roman" w:cs="Times New Roman"/>
          <w:kern w:val="0"/>
          <w14:ligatures w14:val="none"/>
        </w:rPr>
        <w:t>). When both ALP and GGT are elevated, the likelihood that the cholestatic pattern originates from hepatic or biliary pathology rather than extrahepatic sources such as bone disease increases substantially (Vroon et al., 1990). Elevated GGT also helps confirm that an elevated ALP is of hepatic origin (</w:t>
      </w:r>
      <w:r w:rsidRPr="009D422E">
        <w:rPr>
          <w:rFonts w:ascii="Times New Roman" w:eastAsia="Calibri" w:hAnsi="Times New Roman" w:cs="Times New Roman"/>
          <w:kern w:val="0"/>
          <w:shd w:val="clear" w:color="auto" w:fill="FFFFFF"/>
          <w14:ligatures w14:val="none"/>
        </w:rPr>
        <w:t>Vroon et al., 1990</w:t>
      </w:r>
      <w:r w:rsidRPr="009D422E">
        <w:rPr>
          <w:rFonts w:ascii="Times New Roman" w:eastAsia="Calibri" w:hAnsi="Times New Roman" w:cs="Times New Roman"/>
          <w:kern w:val="0"/>
          <w14:ligatures w14:val="none"/>
        </w:rPr>
        <w:t xml:space="preserve">). </w:t>
      </w:r>
    </w:p>
    <w:p w14:paraId="14BD6447"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 xml:space="preserve">Endoscopic retrograde </w:t>
      </w:r>
      <w:proofErr w:type="spellStart"/>
      <w:r w:rsidRPr="009D422E">
        <w:rPr>
          <w:rFonts w:ascii="Times New Roman" w:eastAsia="Calibri" w:hAnsi="Times New Roman" w:cs="Times New Roman"/>
          <w:kern w:val="0"/>
          <w14:ligatures w14:val="none"/>
        </w:rPr>
        <w:t>cholangiopancreatography</w:t>
      </w:r>
      <w:proofErr w:type="spellEnd"/>
      <w:r w:rsidRPr="009D422E">
        <w:rPr>
          <w:rFonts w:ascii="Times New Roman" w:eastAsia="Calibri" w:hAnsi="Times New Roman" w:cs="Times New Roman"/>
          <w:kern w:val="0"/>
          <w14:ligatures w14:val="none"/>
        </w:rPr>
        <w:t xml:space="preserve"> has evolved into a cornerstone in the management of obstructive jaundice due to its dual diagnostic and therapeutic capabilities</w:t>
      </w:r>
      <w:r w:rsidRPr="009D422E">
        <w:rPr>
          <w:rFonts w:ascii="Times New Roman" w:eastAsia="Calibri" w:hAnsi="Times New Roman" w:cs="Times New Roman"/>
          <w:kern w:val="0"/>
          <w:shd w:val="clear" w:color="auto" w:fill="FFFFFF"/>
          <w14:ligatures w14:val="none"/>
        </w:rPr>
        <w:t xml:space="preserve"> (</w:t>
      </w:r>
      <w:proofErr w:type="spellStart"/>
      <w:r w:rsidRPr="009D422E">
        <w:rPr>
          <w:rFonts w:ascii="Times New Roman" w:eastAsia="Calibri" w:hAnsi="Times New Roman" w:cs="Times New Roman"/>
          <w:kern w:val="0"/>
          <w:shd w:val="clear" w:color="auto" w:fill="FFFFFF"/>
          <w14:ligatures w14:val="none"/>
        </w:rPr>
        <w:t>Badar</w:t>
      </w:r>
      <w:proofErr w:type="spellEnd"/>
      <w:r w:rsidRPr="009D422E">
        <w:rPr>
          <w:rFonts w:ascii="Times New Roman" w:eastAsia="Calibri" w:hAnsi="Times New Roman" w:cs="Times New Roman"/>
          <w:kern w:val="0"/>
          <w:shd w:val="clear" w:color="auto" w:fill="FFFFFF"/>
          <w14:ligatures w14:val="none"/>
        </w:rPr>
        <w:t xml:space="preserve"> </w:t>
      </w:r>
      <w:proofErr w:type="spellStart"/>
      <w:r w:rsidRPr="009D422E">
        <w:rPr>
          <w:rFonts w:ascii="Times New Roman" w:eastAsia="Calibri" w:hAnsi="Times New Roman" w:cs="Times New Roman"/>
          <w:kern w:val="0"/>
          <w:shd w:val="clear" w:color="auto" w:fill="FFFFFF"/>
          <w14:ligatures w14:val="none"/>
        </w:rPr>
        <w:t>etal</w:t>
      </w:r>
      <w:proofErr w:type="spellEnd"/>
      <w:r w:rsidRPr="009D422E">
        <w:rPr>
          <w:rFonts w:ascii="Times New Roman" w:eastAsia="Calibri" w:hAnsi="Times New Roman" w:cs="Times New Roman"/>
          <w:kern w:val="0"/>
          <w:shd w:val="clear" w:color="auto" w:fill="FFFFFF"/>
          <w14:ligatures w14:val="none"/>
        </w:rPr>
        <w:t>., 2025)</w:t>
      </w:r>
      <w:r w:rsidRPr="009D422E">
        <w:rPr>
          <w:rFonts w:ascii="Times New Roman" w:eastAsia="Calibri" w:hAnsi="Times New Roman" w:cs="Times New Roman"/>
          <w:kern w:val="0"/>
          <w14:ligatures w14:val="none"/>
        </w:rPr>
        <w:t xml:space="preserve">. ERCP allows direct </w:t>
      </w:r>
      <w:proofErr w:type="spellStart"/>
      <w:r w:rsidRPr="009D422E">
        <w:rPr>
          <w:rFonts w:ascii="Times New Roman" w:eastAsia="Calibri" w:hAnsi="Times New Roman" w:cs="Times New Roman"/>
          <w:kern w:val="0"/>
          <w14:ligatures w14:val="none"/>
        </w:rPr>
        <w:t>cholangiographic</w:t>
      </w:r>
      <w:proofErr w:type="spellEnd"/>
      <w:r w:rsidRPr="009D422E">
        <w:rPr>
          <w:rFonts w:ascii="Times New Roman" w:eastAsia="Calibri" w:hAnsi="Times New Roman" w:cs="Times New Roman"/>
          <w:kern w:val="0"/>
          <w14:ligatures w14:val="none"/>
        </w:rPr>
        <w:t xml:space="preserve"> visualization of the biliary and pancreatic ductal </w:t>
      </w:r>
      <w:r w:rsidRPr="009D422E">
        <w:rPr>
          <w:rFonts w:ascii="Times New Roman" w:eastAsia="Calibri" w:hAnsi="Times New Roman" w:cs="Times New Roman"/>
          <w:kern w:val="0"/>
          <w14:ligatures w14:val="none"/>
        </w:rPr>
        <w:lastRenderedPageBreak/>
        <w:t>systems, enabling targeted interventions such as stone extraction, stricture dilation, and stent placement. These interventions not only confirm the site and cause of obstruction but also restore bile flow, thereby facilitating hepatic recovery (</w:t>
      </w:r>
      <w:proofErr w:type="spellStart"/>
      <w:r w:rsidRPr="009D422E">
        <w:rPr>
          <w:rFonts w:ascii="Times New Roman" w:eastAsia="Calibri" w:hAnsi="Times New Roman" w:cs="Times New Roman"/>
          <w:kern w:val="0"/>
          <w:shd w:val="clear" w:color="auto" w:fill="FFFFFF"/>
          <w14:ligatures w14:val="none"/>
        </w:rPr>
        <w:t>Meseeha</w:t>
      </w:r>
      <w:proofErr w:type="spellEnd"/>
      <w:r w:rsidRPr="009D422E">
        <w:rPr>
          <w:rFonts w:ascii="Times New Roman" w:eastAsia="Calibri" w:hAnsi="Times New Roman" w:cs="Times New Roman"/>
          <w:kern w:val="0"/>
          <w:shd w:val="clear" w:color="auto" w:fill="FFFFFF"/>
          <w14:ligatures w14:val="none"/>
        </w:rPr>
        <w:t xml:space="preserve"> et al., 2023</w:t>
      </w:r>
      <w:r w:rsidRPr="009D422E">
        <w:rPr>
          <w:rFonts w:ascii="Times New Roman" w:eastAsia="Calibri" w:hAnsi="Times New Roman" w:cs="Times New Roman"/>
          <w:kern w:val="0"/>
          <w14:ligatures w14:val="none"/>
        </w:rPr>
        <w:t>). Studies have demonstrated that biochemical markers of liver injury, including ALP and GGT, improve following successful ERCP, underscoring its role in reversing cholestasis (</w:t>
      </w:r>
      <w:proofErr w:type="spellStart"/>
      <w:r w:rsidRPr="009D422E">
        <w:rPr>
          <w:rFonts w:ascii="Times New Roman" w:eastAsia="Calibri" w:hAnsi="Times New Roman" w:cs="Times New Roman"/>
          <w:kern w:val="0"/>
          <w:shd w:val="clear" w:color="auto" w:fill="FFFFFF"/>
          <w14:ligatures w14:val="none"/>
        </w:rPr>
        <w:t>Mawardi</w:t>
      </w:r>
      <w:proofErr w:type="spellEnd"/>
      <w:r w:rsidRPr="009D422E">
        <w:rPr>
          <w:rFonts w:ascii="Times New Roman" w:eastAsia="Calibri" w:hAnsi="Times New Roman" w:cs="Times New Roman"/>
          <w:kern w:val="0"/>
          <w:shd w:val="clear" w:color="auto" w:fill="FFFFFF"/>
          <w14:ligatures w14:val="none"/>
        </w:rPr>
        <w:t xml:space="preserve"> et al., 2021</w:t>
      </w:r>
      <w:r w:rsidRPr="009D422E">
        <w:rPr>
          <w:rFonts w:ascii="Times New Roman" w:eastAsia="Calibri" w:hAnsi="Times New Roman" w:cs="Times New Roman"/>
          <w:kern w:val="0"/>
          <w14:ligatures w14:val="none"/>
        </w:rPr>
        <w:t>)</w:t>
      </w:r>
      <w:r w:rsidRPr="009D422E">
        <w:rPr>
          <w:rFonts w:ascii="Times New Roman" w:eastAsia="Calibri" w:hAnsi="Times New Roman" w:cs="Times New Roman"/>
          <w:kern w:val="0"/>
          <w:u w:val="single"/>
          <w14:ligatures w14:val="none"/>
        </w:rPr>
        <w:t>.</w:t>
      </w:r>
    </w:p>
    <w:p w14:paraId="40BCC50B"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Although ERCP is widely utilized in high-resource settings, its application in sub-Saharan Africa is relatively recent and expanding</w:t>
      </w:r>
      <w:r w:rsidRPr="009D422E">
        <w:rPr>
          <w:rFonts w:ascii="Times New Roman" w:eastAsia="Calibri" w:hAnsi="Times New Roman" w:cs="Times New Roman"/>
          <w:kern w:val="0"/>
          <w:shd w:val="clear" w:color="auto" w:fill="FFFFFF"/>
          <w14:ligatures w14:val="none"/>
        </w:rPr>
        <w:t xml:space="preserve"> (Abdo et al., 2025)</w:t>
      </w:r>
      <w:r w:rsidRPr="009D422E">
        <w:rPr>
          <w:rFonts w:ascii="Times New Roman" w:eastAsia="Calibri" w:hAnsi="Times New Roman" w:cs="Times New Roman"/>
          <w:kern w:val="0"/>
          <w14:ligatures w14:val="none"/>
        </w:rPr>
        <w:t>. At the Obafemi Awolowo University Teaching Hospitals Complex (OAUTHC), Ile-Ife, Nigeria, ERCP services have been documented in the management of hepatobiliary complications, particularly in post-cholecystectomy patients. Local retrospective data have highlighted the utility and safety of ERCP in reducing surgical interventions and associated morbidity (</w:t>
      </w:r>
      <w:r w:rsidRPr="009D422E">
        <w:rPr>
          <w:rFonts w:ascii="Times New Roman" w:eastAsia="Calibri" w:hAnsi="Times New Roman" w:cs="Times New Roman"/>
          <w:kern w:val="0"/>
          <w:shd w:val="clear" w:color="auto" w:fill="FFFFFF"/>
          <w14:ligatures w14:val="none"/>
        </w:rPr>
        <w:t>Al Masoud et al., 2025</w:t>
      </w:r>
      <w:r w:rsidRPr="009D422E">
        <w:rPr>
          <w:rFonts w:ascii="Times New Roman" w:eastAsia="Calibri" w:hAnsi="Times New Roman" w:cs="Times New Roman"/>
          <w:kern w:val="0"/>
          <w14:ligatures w14:val="none"/>
        </w:rPr>
        <w:t xml:space="preserve">). </w:t>
      </w:r>
    </w:p>
    <w:p w14:paraId="24E01B41"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Despite the central role of ALP and GGT in evaluating cholestatic liver injury, there is a paucity of local data examining their specific patterns in patients with obstructive jaundice before and after ERCP in Nigerian populations. Understanding these enzyme dynamics in the Nigerian clinical context is essential for optimizing diagnostic accuracy, guiding therapeutic decisions, and improving patient outcomes. Therefore, this study aims to assess the activities of GGT and ALP in patients with obstructive jaundice undergoing ERCP at OAUTHC, Ile-Ife, providing evidence that may enhance clinical practice and contribute to the regional hepatobiliary literature.</w:t>
      </w:r>
    </w:p>
    <w:p w14:paraId="44824170"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 xml:space="preserve">MATERIALS AND METHODS </w:t>
      </w:r>
    </w:p>
    <w:p w14:paraId="541541B3"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2.1 Study Design</w:t>
      </w:r>
    </w:p>
    <w:p w14:paraId="4E864BF7"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lastRenderedPageBreak/>
        <w:t xml:space="preserve">This was a prospective observational study conducted in the Gastroenterology and Hepatology units of Obafemi Awolowo University Teaching Hospital, Ile-Ife, Nigeria. 0ne hundred elderly men and women between the ages of 60 years and above with confirmed extrahepatic obstructive jaundice who underwent ERCP for biliary decompression between the period April 2024 to August, 2025 were recruited in the study. </w:t>
      </w:r>
    </w:p>
    <w:p w14:paraId="111D17B4"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2.2 Inclusion Criteria</w:t>
      </w:r>
    </w:p>
    <w:p w14:paraId="2423071E"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Patients with clinical and radiological evidence of extrahepatic obstructive jaundice, a serum bilirubin level greater than 2.5 mg/dL, and elevated cholestatic liver enzymes prior to undergoing endoscopic retrograde cholangiopancreatography (ERCP) were included in the study.</w:t>
      </w:r>
    </w:p>
    <w:p w14:paraId="6ED4E29C"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 xml:space="preserve"> </w:t>
      </w:r>
    </w:p>
    <w:p w14:paraId="78067D45"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 xml:space="preserve"> </w:t>
      </w:r>
    </w:p>
    <w:p w14:paraId="2C00B0FC"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2.3 Exclusion Criteria</w:t>
      </w:r>
    </w:p>
    <w:p w14:paraId="31928332"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Patients were excluded if they had pre-existing chronic liver disease unrelated to biliary obstruction (including viral hepatitis or cirrhosis), hemolytic or unconjugated hyperbilirubinemia, a history of prior biliary surgery or percutaneous biliary drainage, incomplete clinical or laboratory data, active cholangitis requiring emergency intervention, or current use of hepatotoxic medications.</w:t>
      </w:r>
    </w:p>
    <w:p w14:paraId="5CBFF239" w14:textId="77777777" w:rsidR="009D422E" w:rsidRPr="009D422E" w:rsidRDefault="009D422E" w:rsidP="009D422E">
      <w:pPr>
        <w:spacing w:before="100" w:beforeAutospacing="1" w:line="480"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bCs/>
          <w14:ligatures w14:val="none"/>
        </w:rPr>
        <w:t>2.4 Specimen collection</w:t>
      </w:r>
    </w:p>
    <w:p w14:paraId="4ABC6579"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lastRenderedPageBreak/>
        <w:t>Blood specimen was drawn from each subject by aseptic technique into labeled plain blood collection tubes before and after ERCP procedure. The blood specimens were centrifuged at 5000 revolution per minutes for 10 minutes after which the serum was extracted for laboratory investigation of GGT, ALP and bilirubin.</w:t>
      </w:r>
    </w:p>
    <w:p w14:paraId="388DBAF5"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2.5 Laboratory Investigations</w:t>
      </w:r>
    </w:p>
    <w:p w14:paraId="304A2757"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ALP activity was measured according to the method described by Bowers and McComb (1975), while GGT was analyzed as per the procedure outlined by Persijn and van der </w:t>
      </w:r>
      <w:proofErr w:type="spellStart"/>
      <w:r w:rsidRPr="009D422E">
        <w:rPr>
          <w:rFonts w:ascii="Times New Roman" w:eastAsia="Calibri" w:hAnsi="Times New Roman" w:cs="Times New Roman"/>
          <w14:ligatures w14:val="none"/>
        </w:rPr>
        <w:t>Slik</w:t>
      </w:r>
      <w:proofErr w:type="spellEnd"/>
      <w:r w:rsidRPr="009D422E">
        <w:rPr>
          <w:rFonts w:ascii="Times New Roman" w:eastAsia="Calibri" w:hAnsi="Times New Roman" w:cs="Times New Roman"/>
          <w14:ligatures w14:val="none"/>
        </w:rPr>
        <w:t xml:space="preserve"> (1976). Serum bilirubin concentration was determined using the method described by </w:t>
      </w:r>
      <w:proofErr w:type="spellStart"/>
      <w:r w:rsidRPr="009D422E">
        <w:rPr>
          <w:rFonts w:ascii="Times New Roman" w:eastAsia="Calibri" w:hAnsi="Times New Roman" w:cs="Times New Roman"/>
          <w14:ligatures w14:val="none"/>
        </w:rPr>
        <w:t>Jendrassik</w:t>
      </w:r>
      <w:proofErr w:type="spellEnd"/>
      <w:r w:rsidRPr="009D422E">
        <w:rPr>
          <w:rFonts w:ascii="Times New Roman" w:eastAsia="Calibri" w:hAnsi="Times New Roman" w:cs="Times New Roman"/>
          <w14:ligatures w14:val="none"/>
        </w:rPr>
        <w:t xml:space="preserve"> and </w:t>
      </w:r>
      <w:proofErr w:type="spellStart"/>
      <w:r w:rsidRPr="009D422E">
        <w:rPr>
          <w:rFonts w:ascii="Times New Roman" w:eastAsia="Calibri" w:hAnsi="Times New Roman" w:cs="Times New Roman"/>
          <w14:ligatures w14:val="none"/>
        </w:rPr>
        <w:t>Grof</w:t>
      </w:r>
      <w:proofErr w:type="spellEnd"/>
      <w:r w:rsidRPr="009D422E">
        <w:rPr>
          <w:rFonts w:ascii="Times New Roman" w:eastAsia="Calibri" w:hAnsi="Times New Roman" w:cs="Times New Roman"/>
          <w14:ligatures w14:val="none"/>
        </w:rPr>
        <w:t xml:space="preserve"> (1938).</w:t>
      </w:r>
    </w:p>
    <w:p w14:paraId="27D40262" w14:textId="77777777" w:rsidR="009D422E" w:rsidRPr="009D422E" w:rsidRDefault="009D422E" w:rsidP="009D422E">
      <w:pPr>
        <w:spacing w:before="100" w:beforeAutospacing="1" w:line="480"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2.6 Statistical Analysis</w:t>
      </w:r>
    </w:p>
    <w:p w14:paraId="0B6C31E9" w14:textId="77777777" w:rsidR="009D422E" w:rsidRPr="009D422E" w:rsidRDefault="009D422E" w:rsidP="009D422E">
      <w:pPr>
        <w:spacing w:before="100" w:beforeAutospacing="1" w:line="480" w:lineRule="auto"/>
        <w:jc w:val="both"/>
        <w:rPr>
          <w:rFonts w:ascii="Times New Roman" w:eastAsia="Calibri" w:hAnsi="Times New Roman" w:cs="Times New Roman"/>
          <w:b/>
          <w:bCs/>
          <w14:ligatures w14:val="none"/>
        </w:rPr>
      </w:pPr>
      <w:r w:rsidRPr="009D422E">
        <w:rPr>
          <w:rFonts w:ascii="Times New Roman" w:eastAsia="Calibri" w:hAnsi="Times New Roman" w:cs="Times New Roman"/>
          <w14:ligatures w14:val="none"/>
        </w:rPr>
        <w:t xml:space="preserve">Laboratory data were analyzed using IBM SPSS Statistics version 26.0. Continuous variables were expressed as mean ± standard deviation (SD). Differences between paired measurements were assessed using the paired </w:t>
      </w:r>
      <w:r w:rsidRPr="009D422E">
        <w:rPr>
          <w:rFonts w:ascii="Times New Roman" w:eastAsia="Calibri" w:hAnsi="Times New Roman" w:cs="Times New Roman"/>
          <w:i/>
          <w:iCs/>
          <w14:ligatures w14:val="none"/>
        </w:rPr>
        <w:t>t</w:t>
      </w:r>
      <w:r w:rsidRPr="009D422E">
        <w:rPr>
          <w:rFonts w:ascii="Times New Roman" w:eastAsia="Calibri" w:hAnsi="Times New Roman" w:cs="Times New Roman"/>
          <w14:ligatures w14:val="none"/>
        </w:rPr>
        <w:t xml:space="preserve">-test, with statistical significance set at </w:t>
      </w:r>
      <w:r w:rsidRPr="009D422E">
        <w:rPr>
          <w:rFonts w:ascii="Times New Roman" w:eastAsia="Calibri" w:hAnsi="Times New Roman" w:cs="Times New Roman"/>
          <w:iCs/>
          <w14:ligatures w14:val="none"/>
        </w:rPr>
        <w:t>p</w:t>
      </w:r>
      <w:r w:rsidRPr="009D422E">
        <w:rPr>
          <w:rFonts w:ascii="Times New Roman" w:eastAsia="Calibri" w:hAnsi="Times New Roman" w:cs="Times New Roman"/>
          <w:i/>
          <w14:ligatures w14:val="none"/>
        </w:rPr>
        <w:t xml:space="preserve"> </w:t>
      </w:r>
      <w:r w:rsidRPr="009D422E">
        <w:rPr>
          <w:rFonts w:ascii="Times New Roman" w:eastAsia="Calibri" w:hAnsi="Times New Roman" w:cs="Times New Roman"/>
          <w14:ligatures w14:val="none"/>
        </w:rPr>
        <w:t>&lt; 0.05.</w:t>
      </w:r>
    </w:p>
    <w:p w14:paraId="50C375FC" w14:textId="77777777" w:rsidR="009D422E" w:rsidRPr="009D422E" w:rsidRDefault="009D422E" w:rsidP="009D422E">
      <w:pPr>
        <w:spacing w:before="100" w:beforeAutospacing="1" w:line="276"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bCs/>
          <w14:ligatures w14:val="none"/>
        </w:rPr>
        <w:t>3.0 RESULTS</w:t>
      </w:r>
    </w:p>
    <w:p w14:paraId="7592232E"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 xml:space="preserve">The serum levels of total bilirubin, ALP, and GGT were measured before and after the ERCP procedure to assess biochemical response to biliary decompression. As shown in Table 1.0, the mean total bilirubin level before ERCP was </w:t>
      </w:r>
      <w:r w:rsidRPr="009D422E">
        <w:rPr>
          <w:rFonts w:ascii="Times New Roman" w:eastAsia="Calibri" w:hAnsi="Times New Roman" w:cs="Times New Roman"/>
          <w:bCs/>
          <w:kern w:val="0"/>
          <w14:ligatures w14:val="none"/>
        </w:rPr>
        <w:t>14.2 ± 5.8 mg/dL</w:t>
      </w:r>
      <w:r w:rsidRPr="009D422E">
        <w:rPr>
          <w:rFonts w:ascii="Times New Roman" w:eastAsia="Calibri" w:hAnsi="Times New Roman" w:cs="Times New Roman"/>
          <w:kern w:val="0"/>
          <w14:ligatures w14:val="none"/>
        </w:rPr>
        <w:t xml:space="preserve">, which decreased significantly to </w:t>
      </w:r>
      <w:r w:rsidRPr="009D422E">
        <w:rPr>
          <w:rFonts w:ascii="Times New Roman" w:eastAsia="Calibri" w:hAnsi="Times New Roman" w:cs="Times New Roman"/>
          <w:bCs/>
          <w:kern w:val="0"/>
          <w14:ligatures w14:val="none"/>
        </w:rPr>
        <w:t>5.6 ± 3.1 mg/dL</w:t>
      </w:r>
      <w:r w:rsidRPr="009D422E">
        <w:rPr>
          <w:rFonts w:ascii="Times New Roman" w:eastAsia="Calibri" w:hAnsi="Times New Roman" w:cs="Times New Roman"/>
          <w:kern w:val="0"/>
          <w14:ligatures w14:val="none"/>
        </w:rPr>
        <w:t xml:space="preserve"> after the procedure (p&lt; 0.001). This reduction reflects effective restoration of bile flow and improved bilirubin excretion after biliary decompression.</w:t>
      </w:r>
    </w:p>
    <w:p w14:paraId="025C855D"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 xml:space="preserve">Similarly, serum ALP levels showed a significant decline after ERCP, decreasing from a mean pre-procedure value of </w:t>
      </w:r>
      <w:r w:rsidRPr="009D422E">
        <w:rPr>
          <w:rFonts w:ascii="Times New Roman" w:eastAsia="Calibri" w:hAnsi="Times New Roman" w:cs="Times New Roman"/>
          <w:bCs/>
          <w:kern w:val="0"/>
          <w14:ligatures w14:val="none"/>
        </w:rPr>
        <w:t>572.3 ± 263.3 IU/L</w:t>
      </w:r>
      <w:r w:rsidRPr="009D422E">
        <w:rPr>
          <w:rFonts w:ascii="Times New Roman" w:eastAsia="Calibri" w:hAnsi="Times New Roman" w:cs="Times New Roman"/>
          <w:kern w:val="0"/>
          <w14:ligatures w14:val="none"/>
        </w:rPr>
        <w:t xml:space="preserve"> to </w:t>
      </w:r>
      <w:r w:rsidRPr="009D422E">
        <w:rPr>
          <w:rFonts w:ascii="Times New Roman" w:eastAsia="Calibri" w:hAnsi="Times New Roman" w:cs="Times New Roman"/>
          <w:bCs/>
          <w:kern w:val="0"/>
          <w14:ligatures w14:val="none"/>
        </w:rPr>
        <w:t>295.2 ± 158.1 IU/L</w:t>
      </w:r>
      <w:r w:rsidRPr="009D422E">
        <w:rPr>
          <w:rFonts w:ascii="Times New Roman" w:eastAsia="Calibri" w:hAnsi="Times New Roman" w:cs="Times New Roman"/>
          <w:kern w:val="0"/>
          <w14:ligatures w14:val="none"/>
        </w:rPr>
        <w:t xml:space="preserve"> post-procedure (</w:t>
      </w:r>
      <w:r w:rsidRPr="009D422E">
        <w:rPr>
          <w:rFonts w:ascii="Times New Roman" w:eastAsia="Calibri" w:hAnsi="Times New Roman" w:cs="Times New Roman"/>
          <w:bCs/>
          <w:kern w:val="0"/>
          <w14:ligatures w14:val="none"/>
        </w:rPr>
        <w:t>p &lt; 0.001</w:t>
      </w:r>
      <w:r w:rsidRPr="009D422E">
        <w:rPr>
          <w:rFonts w:ascii="Times New Roman" w:eastAsia="Calibri" w:hAnsi="Times New Roman" w:cs="Times New Roman"/>
          <w:kern w:val="0"/>
          <w14:ligatures w14:val="none"/>
        </w:rPr>
        <w:t xml:space="preserve">). This </w:t>
      </w:r>
      <w:r w:rsidRPr="009D422E">
        <w:rPr>
          <w:rFonts w:ascii="Times New Roman" w:eastAsia="Calibri" w:hAnsi="Times New Roman" w:cs="Times New Roman"/>
          <w:kern w:val="0"/>
          <w14:ligatures w14:val="none"/>
        </w:rPr>
        <w:lastRenderedPageBreak/>
        <w:t xml:space="preserve">reduction suggests a marked improvement in cholestasis and biliary epithelial function following intervention. GGT levels also demonstrated a significant decrease after ERCP, with mean values falling from </w:t>
      </w:r>
      <w:r w:rsidRPr="009D422E">
        <w:rPr>
          <w:rFonts w:ascii="Times New Roman" w:eastAsia="Calibri" w:hAnsi="Times New Roman" w:cs="Times New Roman"/>
          <w:bCs/>
          <w:kern w:val="0"/>
          <w14:ligatures w14:val="none"/>
        </w:rPr>
        <w:t>505.9 ± 236.6 IU/L</w:t>
      </w:r>
      <w:r w:rsidRPr="009D422E">
        <w:rPr>
          <w:rFonts w:ascii="Times New Roman" w:eastAsia="Calibri" w:hAnsi="Times New Roman" w:cs="Times New Roman"/>
          <w:kern w:val="0"/>
          <w14:ligatures w14:val="none"/>
        </w:rPr>
        <w:t xml:space="preserve"> before the procedure to </w:t>
      </w:r>
      <w:r w:rsidRPr="009D422E">
        <w:rPr>
          <w:rFonts w:ascii="Times New Roman" w:eastAsia="Calibri" w:hAnsi="Times New Roman" w:cs="Times New Roman"/>
          <w:bCs/>
          <w:kern w:val="0"/>
          <w14:ligatures w14:val="none"/>
        </w:rPr>
        <w:t>258.0 ± 124.9 IU/L</w:t>
      </w:r>
      <w:r w:rsidRPr="009D422E">
        <w:rPr>
          <w:rFonts w:ascii="Times New Roman" w:eastAsia="Calibri" w:hAnsi="Times New Roman" w:cs="Times New Roman"/>
          <w:kern w:val="0"/>
          <w14:ligatures w14:val="none"/>
        </w:rPr>
        <w:t xml:space="preserve"> after the procedure (</w:t>
      </w:r>
      <w:r w:rsidRPr="009D422E">
        <w:rPr>
          <w:rFonts w:ascii="Times New Roman" w:eastAsia="Calibri" w:hAnsi="Times New Roman" w:cs="Times New Roman"/>
          <w:bCs/>
          <w:kern w:val="0"/>
          <w14:ligatures w14:val="none"/>
        </w:rPr>
        <w:t>p &lt; 0.001</w:t>
      </w:r>
      <w:r w:rsidRPr="009D422E">
        <w:rPr>
          <w:rFonts w:ascii="Times New Roman" w:eastAsia="Calibri" w:hAnsi="Times New Roman" w:cs="Times New Roman"/>
          <w:kern w:val="0"/>
          <w14:ligatures w14:val="none"/>
        </w:rPr>
        <w:t>). The consistent and statistically significant reductions observed across all biochemical markers indicate a favorable biochemical response to ERCP in patients with obstructive jaundice.</w:t>
      </w:r>
    </w:p>
    <w:p w14:paraId="3274F8C2" w14:textId="77777777" w:rsidR="009D422E" w:rsidRPr="009D422E" w:rsidRDefault="009D422E" w:rsidP="009D422E">
      <w:pPr>
        <w:keepNext/>
        <w:keepLines/>
        <w:widowControl w:val="0"/>
        <w:spacing w:before="360" w:after="80" w:line="276" w:lineRule="auto"/>
        <w:jc w:val="both"/>
        <w:outlineLvl w:val="0"/>
        <w:rPr>
          <w:rFonts w:ascii="Times New Roman" w:eastAsia="Times New Roman" w:hAnsi="Times New Roman" w:cs="Times New Roman"/>
          <w:b/>
          <w:color w:val="2F5496"/>
          <w14:ligatures w14:val="none"/>
        </w:rPr>
      </w:pPr>
      <w:r w:rsidRPr="009D422E">
        <w:rPr>
          <w:rFonts w:ascii="Times New Roman" w:eastAsia="Times New Roman" w:hAnsi="Times New Roman" w:cs="Times New Roman"/>
          <w:b/>
          <w:color w:val="2F5496"/>
          <w14:ligatures w14:val="none"/>
        </w:rPr>
        <w:t xml:space="preserve"> </w:t>
      </w:r>
    </w:p>
    <w:p w14:paraId="4C77F841" w14:textId="77777777" w:rsidR="009D422E" w:rsidRPr="009D422E" w:rsidRDefault="009D422E" w:rsidP="009D422E">
      <w:pPr>
        <w:keepNext/>
        <w:keepLines/>
        <w:widowControl w:val="0"/>
        <w:spacing w:before="360" w:after="80" w:line="276" w:lineRule="auto"/>
        <w:jc w:val="both"/>
        <w:outlineLvl w:val="0"/>
        <w:rPr>
          <w:rFonts w:ascii="Times New Roman" w:eastAsia="Times New Roman" w:hAnsi="Times New Roman" w:cs="Times New Roman"/>
          <w:b/>
          <w:color w:val="2F5496"/>
          <w14:ligatures w14:val="none"/>
        </w:rPr>
      </w:pPr>
      <w:r w:rsidRPr="009D422E">
        <w:rPr>
          <w:rFonts w:ascii="Times New Roman" w:eastAsia="Times New Roman" w:hAnsi="Times New Roman" w:cs="Times New Roman"/>
          <w:b/>
          <w:color w:val="2F5496"/>
          <w14:ligatures w14:val="none"/>
        </w:rPr>
        <w:t xml:space="preserve"> </w:t>
      </w:r>
    </w:p>
    <w:p w14:paraId="317BB4EC"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71D89D5E" w14:textId="77777777" w:rsidR="009D422E" w:rsidRPr="009D422E" w:rsidRDefault="009D422E" w:rsidP="009D422E">
      <w:pPr>
        <w:keepNext/>
        <w:keepLines/>
        <w:widowControl w:val="0"/>
        <w:spacing w:before="360" w:after="80" w:line="276" w:lineRule="auto"/>
        <w:jc w:val="both"/>
        <w:outlineLvl w:val="0"/>
        <w:rPr>
          <w:rFonts w:ascii="Times New Roman" w:eastAsia="Times New Roman" w:hAnsi="Times New Roman" w:cs="Times New Roman"/>
          <w:b/>
          <w:bCs/>
          <w:color w:val="2F5496"/>
          <w14:ligatures w14:val="none"/>
        </w:rPr>
      </w:pPr>
      <w:r w:rsidRPr="009D422E">
        <w:rPr>
          <w:rFonts w:ascii="Times New Roman" w:eastAsia="Times New Roman" w:hAnsi="Times New Roman" w:cs="Times New Roman"/>
          <w:b/>
          <w:bCs/>
          <w:color w:val="2F5496"/>
          <w14:ligatures w14:val="none"/>
        </w:rPr>
        <w:t xml:space="preserve"> </w:t>
      </w:r>
    </w:p>
    <w:p w14:paraId="1E1A24F9"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6C0927D1" w14:textId="77777777" w:rsidR="009D422E" w:rsidRPr="009D422E" w:rsidRDefault="009D422E" w:rsidP="009D422E">
      <w:pPr>
        <w:keepNext/>
        <w:keepLines/>
        <w:widowControl w:val="0"/>
        <w:spacing w:before="360" w:after="80" w:line="276" w:lineRule="auto"/>
        <w:jc w:val="both"/>
        <w:outlineLvl w:val="0"/>
        <w:rPr>
          <w:rFonts w:ascii="Times New Roman" w:eastAsia="Times New Roman" w:hAnsi="Times New Roman" w:cs="Times New Roman"/>
          <w:b/>
          <w:color w:val="2F5496"/>
          <w14:ligatures w14:val="none"/>
        </w:rPr>
      </w:pPr>
      <w:r w:rsidRPr="009D422E">
        <w:rPr>
          <w:rFonts w:ascii="Times New Roman" w:eastAsia="Times New Roman" w:hAnsi="Times New Roman" w:cs="Times New Roman"/>
          <w:b/>
          <w:color w:val="2F5496"/>
          <w14:ligatures w14:val="none"/>
        </w:rPr>
        <w:t>Table: 1.0: Results of Bilirubin, ALP and GGT of Patients with Obstructive Jaundice Before and After ERCP procedure</w:t>
      </w:r>
    </w:p>
    <w:tbl>
      <w:tblPr>
        <w:tblW w:w="0" w:type="auto"/>
        <w:tblLook w:val="04A0" w:firstRow="1" w:lastRow="0" w:firstColumn="1" w:lastColumn="0" w:noHBand="0" w:noVBand="1"/>
      </w:tblPr>
      <w:tblGrid>
        <w:gridCol w:w="1871"/>
        <w:gridCol w:w="1823"/>
        <w:gridCol w:w="1693"/>
        <w:gridCol w:w="1171"/>
        <w:gridCol w:w="1220"/>
        <w:gridCol w:w="1582"/>
      </w:tblGrid>
      <w:tr w:rsidR="009D422E" w:rsidRPr="009D422E" w14:paraId="7D599E98" w14:textId="77777777">
        <w:tc>
          <w:tcPr>
            <w:tcW w:w="1908" w:type="dxa"/>
            <w:tcBorders>
              <w:top w:val="single" w:sz="4" w:space="0" w:color="auto"/>
              <w:left w:val="nil"/>
              <w:bottom w:val="single" w:sz="4" w:space="0" w:color="auto"/>
              <w:right w:val="nil"/>
            </w:tcBorders>
            <w:hideMark/>
          </w:tcPr>
          <w:p w14:paraId="36496214" w14:textId="77777777" w:rsidR="009D422E" w:rsidRPr="009D422E" w:rsidRDefault="009D422E" w:rsidP="009D422E">
            <w:pPr>
              <w:spacing w:before="100" w:beforeAutospacing="1" w:line="276"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Parameter</w:t>
            </w:r>
          </w:p>
        </w:tc>
        <w:tc>
          <w:tcPr>
            <w:tcW w:w="1883" w:type="dxa"/>
            <w:tcBorders>
              <w:top w:val="single" w:sz="4" w:space="0" w:color="auto"/>
              <w:left w:val="nil"/>
              <w:bottom w:val="single" w:sz="4" w:space="0" w:color="auto"/>
              <w:right w:val="nil"/>
            </w:tcBorders>
            <w:hideMark/>
          </w:tcPr>
          <w:p w14:paraId="38447B7F" w14:textId="77777777" w:rsidR="009D422E" w:rsidRPr="009D422E" w:rsidRDefault="009D422E" w:rsidP="009D422E">
            <w:pPr>
              <w:spacing w:before="100" w:beforeAutospacing="1" w:line="276"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Pre-ERCP (Mean ± SD)</w:t>
            </w:r>
          </w:p>
        </w:tc>
        <w:tc>
          <w:tcPr>
            <w:tcW w:w="1745" w:type="dxa"/>
            <w:tcBorders>
              <w:top w:val="single" w:sz="4" w:space="0" w:color="auto"/>
              <w:left w:val="nil"/>
              <w:bottom w:val="single" w:sz="4" w:space="0" w:color="auto"/>
              <w:right w:val="nil"/>
            </w:tcBorders>
            <w:hideMark/>
          </w:tcPr>
          <w:p w14:paraId="364295FF" w14:textId="77777777" w:rsidR="009D422E" w:rsidRPr="009D422E" w:rsidRDefault="009D422E" w:rsidP="009D422E">
            <w:pPr>
              <w:spacing w:before="100" w:beforeAutospacing="1" w:line="276"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Post-ERCP (Mean ± SD)</w:t>
            </w:r>
          </w:p>
        </w:tc>
        <w:tc>
          <w:tcPr>
            <w:tcW w:w="1197" w:type="dxa"/>
            <w:tcBorders>
              <w:top w:val="single" w:sz="4" w:space="0" w:color="auto"/>
              <w:left w:val="nil"/>
              <w:bottom w:val="single" w:sz="4" w:space="0" w:color="auto"/>
              <w:right w:val="nil"/>
            </w:tcBorders>
            <w:hideMark/>
          </w:tcPr>
          <w:p w14:paraId="33812FD4" w14:textId="77777777" w:rsidR="009D422E" w:rsidRPr="009D422E" w:rsidRDefault="009D422E" w:rsidP="009D422E">
            <w:pPr>
              <w:spacing w:before="100" w:beforeAutospacing="1" w:line="276"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t-value</w:t>
            </w:r>
          </w:p>
        </w:tc>
        <w:tc>
          <w:tcPr>
            <w:tcW w:w="1241" w:type="dxa"/>
            <w:tcBorders>
              <w:top w:val="single" w:sz="4" w:space="0" w:color="auto"/>
              <w:left w:val="nil"/>
              <w:bottom w:val="single" w:sz="4" w:space="0" w:color="auto"/>
              <w:right w:val="nil"/>
            </w:tcBorders>
            <w:hideMark/>
          </w:tcPr>
          <w:p w14:paraId="7E14A9D5" w14:textId="77777777" w:rsidR="009D422E" w:rsidRPr="009D422E" w:rsidRDefault="009D422E" w:rsidP="009D422E">
            <w:pPr>
              <w:spacing w:before="100" w:beforeAutospacing="1" w:line="276"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p-value</w:t>
            </w:r>
          </w:p>
        </w:tc>
        <w:tc>
          <w:tcPr>
            <w:tcW w:w="1602" w:type="dxa"/>
            <w:tcBorders>
              <w:top w:val="single" w:sz="4" w:space="0" w:color="auto"/>
              <w:left w:val="nil"/>
              <w:bottom w:val="single" w:sz="4" w:space="0" w:color="auto"/>
              <w:right w:val="nil"/>
            </w:tcBorders>
            <w:hideMark/>
          </w:tcPr>
          <w:p w14:paraId="79C45E11" w14:textId="77777777" w:rsidR="009D422E" w:rsidRPr="009D422E" w:rsidRDefault="009D422E" w:rsidP="009D422E">
            <w:pPr>
              <w:spacing w:before="100" w:beforeAutospacing="1" w:line="276"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Remark</w:t>
            </w:r>
          </w:p>
        </w:tc>
      </w:tr>
      <w:tr w:rsidR="009D422E" w:rsidRPr="009D422E" w14:paraId="48561906" w14:textId="77777777">
        <w:tc>
          <w:tcPr>
            <w:tcW w:w="1908" w:type="dxa"/>
            <w:tcBorders>
              <w:top w:val="single" w:sz="4" w:space="0" w:color="auto"/>
              <w:left w:val="nil"/>
              <w:bottom w:val="nil"/>
              <w:right w:val="nil"/>
            </w:tcBorders>
            <w:hideMark/>
          </w:tcPr>
          <w:p w14:paraId="72262720"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Total Bilirubin (mg/dL)</w:t>
            </w:r>
          </w:p>
        </w:tc>
        <w:tc>
          <w:tcPr>
            <w:tcW w:w="1883" w:type="dxa"/>
            <w:tcBorders>
              <w:top w:val="single" w:sz="4" w:space="0" w:color="auto"/>
              <w:left w:val="nil"/>
              <w:bottom w:val="nil"/>
              <w:right w:val="nil"/>
            </w:tcBorders>
            <w:hideMark/>
          </w:tcPr>
          <w:p w14:paraId="3CB7E4D8"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14.2 ± 5.8</w:t>
            </w:r>
          </w:p>
        </w:tc>
        <w:tc>
          <w:tcPr>
            <w:tcW w:w="1745" w:type="dxa"/>
            <w:tcBorders>
              <w:top w:val="single" w:sz="4" w:space="0" w:color="auto"/>
              <w:left w:val="nil"/>
              <w:bottom w:val="nil"/>
              <w:right w:val="nil"/>
            </w:tcBorders>
            <w:hideMark/>
          </w:tcPr>
          <w:p w14:paraId="75D313CC"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5.6 ± 3.1</w:t>
            </w:r>
          </w:p>
        </w:tc>
        <w:tc>
          <w:tcPr>
            <w:tcW w:w="1197" w:type="dxa"/>
            <w:tcBorders>
              <w:top w:val="single" w:sz="4" w:space="0" w:color="auto"/>
              <w:left w:val="nil"/>
              <w:bottom w:val="nil"/>
              <w:right w:val="nil"/>
            </w:tcBorders>
            <w:hideMark/>
          </w:tcPr>
          <w:p w14:paraId="3DAB7770"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5.45</w:t>
            </w:r>
          </w:p>
        </w:tc>
        <w:tc>
          <w:tcPr>
            <w:tcW w:w="1241" w:type="dxa"/>
            <w:tcBorders>
              <w:top w:val="single" w:sz="4" w:space="0" w:color="auto"/>
              <w:left w:val="nil"/>
              <w:bottom w:val="nil"/>
              <w:right w:val="nil"/>
            </w:tcBorders>
            <w:hideMark/>
          </w:tcPr>
          <w:p w14:paraId="7611E71D"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&lt;0.001</w:t>
            </w:r>
          </w:p>
        </w:tc>
        <w:tc>
          <w:tcPr>
            <w:tcW w:w="1602" w:type="dxa"/>
            <w:tcBorders>
              <w:top w:val="single" w:sz="4" w:space="0" w:color="auto"/>
              <w:left w:val="nil"/>
              <w:bottom w:val="nil"/>
              <w:right w:val="nil"/>
            </w:tcBorders>
            <w:hideMark/>
          </w:tcPr>
          <w:p w14:paraId="27DC452A"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Significant</w:t>
            </w:r>
          </w:p>
        </w:tc>
      </w:tr>
      <w:tr w:rsidR="009D422E" w:rsidRPr="009D422E" w14:paraId="2D77FE09" w14:textId="77777777">
        <w:tc>
          <w:tcPr>
            <w:tcW w:w="1908" w:type="dxa"/>
            <w:tcBorders>
              <w:top w:val="nil"/>
              <w:left w:val="nil"/>
              <w:bottom w:val="nil"/>
              <w:right w:val="nil"/>
            </w:tcBorders>
            <w:hideMark/>
          </w:tcPr>
          <w:p w14:paraId="2A0AE0EF"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ALP (IU/L)</w:t>
            </w:r>
          </w:p>
        </w:tc>
        <w:tc>
          <w:tcPr>
            <w:tcW w:w="1883" w:type="dxa"/>
            <w:tcBorders>
              <w:top w:val="nil"/>
              <w:left w:val="nil"/>
              <w:bottom w:val="nil"/>
              <w:right w:val="nil"/>
            </w:tcBorders>
            <w:hideMark/>
          </w:tcPr>
          <w:p w14:paraId="7E63FDEC"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572.3 ± 263.3</w:t>
            </w:r>
          </w:p>
        </w:tc>
        <w:tc>
          <w:tcPr>
            <w:tcW w:w="1745" w:type="dxa"/>
            <w:tcBorders>
              <w:top w:val="nil"/>
              <w:left w:val="nil"/>
              <w:bottom w:val="nil"/>
              <w:right w:val="nil"/>
            </w:tcBorders>
            <w:hideMark/>
          </w:tcPr>
          <w:p w14:paraId="5D11436A"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295.2 ± 158.1</w:t>
            </w:r>
          </w:p>
        </w:tc>
        <w:tc>
          <w:tcPr>
            <w:tcW w:w="1197" w:type="dxa"/>
            <w:tcBorders>
              <w:top w:val="nil"/>
              <w:left w:val="nil"/>
              <w:bottom w:val="nil"/>
              <w:right w:val="nil"/>
            </w:tcBorders>
            <w:hideMark/>
          </w:tcPr>
          <w:p w14:paraId="7A541CEF"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19.68</w:t>
            </w:r>
          </w:p>
        </w:tc>
        <w:tc>
          <w:tcPr>
            <w:tcW w:w="1241" w:type="dxa"/>
            <w:tcBorders>
              <w:top w:val="nil"/>
              <w:left w:val="nil"/>
              <w:bottom w:val="nil"/>
              <w:right w:val="nil"/>
            </w:tcBorders>
            <w:hideMark/>
          </w:tcPr>
          <w:p w14:paraId="07E6FE74"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&lt;0.001</w:t>
            </w:r>
          </w:p>
        </w:tc>
        <w:tc>
          <w:tcPr>
            <w:tcW w:w="1602" w:type="dxa"/>
            <w:tcBorders>
              <w:top w:val="nil"/>
              <w:left w:val="nil"/>
              <w:bottom w:val="nil"/>
              <w:right w:val="nil"/>
            </w:tcBorders>
            <w:hideMark/>
          </w:tcPr>
          <w:p w14:paraId="43BC64E8"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Significant</w:t>
            </w:r>
          </w:p>
        </w:tc>
      </w:tr>
      <w:tr w:rsidR="009D422E" w:rsidRPr="009D422E" w14:paraId="1A47D5A8" w14:textId="77777777">
        <w:tc>
          <w:tcPr>
            <w:tcW w:w="1908" w:type="dxa"/>
            <w:tcBorders>
              <w:top w:val="nil"/>
              <w:left w:val="nil"/>
              <w:bottom w:val="single" w:sz="4" w:space="0" w:color="auto"/>
              <w:right w:val="nil"/>
            </w:tcBorders>
            <w:hideMark/>
          </w:tcPr>
          <w:p w14:paraId="6F596C5E"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GGT (IU/L)</w:t>
            </w:r>
          </w:p>
        </w:tc>
        <w:tc>
          <w:tcPr>
            <w:tcW w:w="1883" w:type="dxa"/>
            <w:tcBorders>
              <w:top w:val="nil"/>
              <w:left w:val="nil"/>
              <w:bottom w:val="single" w:sz="4" w:space="0" w:color="auto"/>
              <w:right w:val="nil"/>
            </w:tcBorders>
            <w:hideMark/>
          </w:tcPr>
          <w:p w14:paraId="549F4ED4"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505.9 ± 236.6</w:t>
            </w:r>
          </w:p>
        </w:tc>
        <w:tc>
          <w:tcPr>
            <w:tcW w:w="1745" w:type="dxa"/>
            <w:tcBorders>
              <w:top w:val="nil"/>
              <w:left w:val="nil"/>
              <w:bottom w:val="single" w:sz="4" w:space="0" w:color="auto"/>
              <w:right w:val="nil"/>
            </w:tcBorders>
            <w:hideMark/>
          </w:tcPr>
          <w:p w14:paraId="7E9FFE71"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258.0 ± 124.9</w:t>
            </w:r>
          </w:p>
        </w:tc>
        <w:tc>
          <w:tcPr>
            <w:tcW w:w="1197" w:type="dxa"/>
            <w:tcBorders>
              <w:top w:val="nil"/>
              <w:left w:val="nil"/>
              <w:bottom w:val="single" w:sz="4" w:space="0" w:color="auto"/>
              <w:right w:val="nil"/>
            </w:tcBorders>
            <w:hideMark/>
          </w:tcPr>
          <w:p w14:paraId="5AF136AD"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19.33</w:t>
            </w:r>
          </w:p>
        </w:tc>
        <w:tc>
          <w:tcPr>
            <w:tcW w:w="1241" w:type="dxa"/>
            <w:tcBorders>
              <w:top w:val="nil"/>
              <w:left w:val="nil"/>
              <w:bottom w:val="single" w:sz="4" w:space="0" w:color="auto"/>
              <w:right w:val="nil"/>
            </w:tcBorders>
            <w:hideMark/>
          </w:tcPr>
          <w:p w14:paraId="72CB6DFA"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&lt;0.001</w:t>
            </w:r>
          </w:p>
        </w:tc>
        <w:tc>
          <w:tcPr>
            <w:tcW w:w="1602" w:type="dxa"/>
            <w:tcBorders>
              <w:top w:val="nil"/>
              <w:left w:val="nil"/>
              <w:bottom w:val="single" w:sz="4" w:space="0" w:color="auto"/>
              <w:right w:val="nil"/>
            </w:tcBorders>
            <w:hideMark/>
          </w:tcPr>
          <w:p w14:paraId="0146F594"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Significant</w:t>
            </w:r>
          </w:p>
        </w:tc>
      </w:tr>
    </w:tbl>
    <w:p w14:paraId="50DC4BEC"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2E59836D"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3B13B0EF" w14:textId="77777777" w:rsidR="009D422E" w:rsidRPr="009D422E" w:rsidRDefault="009D422E" w:rsidP="009D422E">
      <w:pPr>
        <w:spacing w:before="100" w:beforeAutospacing="1" w:line="276"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7D778D79" w14:textId="77777777" w:rsidR="009D422E" w:rsidRPr="009D422E" w:rsidRDefault="009D422E" w:rsidP="009D422E">
      <w:pPr>
        <w:spacing w:before="100" w:beforeAutospacing="1" w:line="276" w:lineRule="auto"/>
        <w:jc w:val="both"/>
        <w:rPr>
          <w:rFonts w:ascii="Times New Roman" w:eastAsia="Calibri" w:hAnsi="Times New Roman" w:cs="Times New Roman"/>
          <w:b/>
          <w:bCs/>
          <w14:ligatures w14:val="none"/>
        </w:rPr>
      </w:pPr>
      <w:r w:rsidRPr="009D422E">
        <w:rPr>
          <w:rFonts w:ascii="Times New Roman" w:eastAsia="Times New Roman" w:hAnsi="Times New Roman" w:cs="Times New Roman"/>
          <w:noProof/>
          <w:lang w:val="en-IN" w:eastAsia="en-IN"/>
          <w14:ligatures w14:val="none"/>
        </w:rPr>
        <w:lastRenderedPageBreak/>
        <w:drawing>
          <wp:inline distT="0" distB="0" distL="0" distR="0" wp14:anchorId="0447DA33" wp14:editId="538A8090">
            <wp:extent cx="5029200" cy="30194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3019425"/>
                    </a:xfrm>
                    <a:prstGeom prst="rect">
                      <a:avLst/>
                    </a:prstGeom>
                    <a:noFill/>
                    <a:ln>
                      <a:noFill/>
                    </a:ln>
                  </pic:spPr>
                </pic:pic>
              </a:graphicData>
            </a:graphic>
          </wp:inline>
        </w:drawing>
      </w:r>
      <w:r w:rsidRPr="009D422E">
        <w:rPr>
          <w:rFonts w:ascii="Times New Roman" w:eastAsia="Calibri" w:hAnsi="Times New Roman" w:cs="Times New Roman"/>
          <w:b/>
          <w:bCs/>
          <w14:ligatures w14:val="none"/>
        </w:rPr>
        <w:t xml:space="preserve"> </w:t>
      </w:r>
    </w:p>
    <w:p w14:paraId="6E7B5430" w14:textId="77777777" w:rsidR="009D422E" w:rsidRPr="009D422E" w:rsidRDefault="009D422E" w:rsidP="009D422E">
      <w:pPr>
        <w:spacing w:before="100" w:beforeAutospacing="1" w:line="276"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14:ligatures w14:val="none"/>
        </w:rPr>
        <w:t xml:space="preserve">Figure 1.0: A Bar Chart Presentation of Mean Levels of Bilirubin, ALP and </w:t>
      </w:r>
      <w:proofErr w:type="gramStart"/>
      <w:r w:rsidRPr="009D422E">
        <w:rPr>
          <w:rFonts w:ascii="Times New Roman" w:eastAsia="Calibri" w:hAnsi="Times New Roman" w:cs="Times New Roman"/>
          <w:b/>
          <w14:ligatures w14:val="none"/>
        </w:rPr>
        <w:t>GGT  in</w:t>
      </w:r>
      <w:proofErr w:type="gramEnd"/>
      <w:r w:rsidRPr="009D422E">
        <w:rPr>
          <w:rFonts w:ascii="Times New Roman" w:eastAsia="Calibri" w:hAnsi="Times New Roman" w:cs="Times New Roman"/>
          <w:b/>
          <w14:ligatures w14:val="none"/>
        </w:rPr>
        <w:t xml:space="preserve"> Patients with Obstructive Jaundice, Before and After ERCP </w:t>
      </w:r>
    </w:p>
    <w:p w14:paraId="52C80726" w14:textId="0CA71A30" w:rsidR="009D422E" w:rsidRPr="009D422E" w:rsidRDefault="009D422E" w:rsidP="00B14E99">
      <w:pPr>
        <w:spacing w:before="100" w:beforeAutospacing="1" w:line="273"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5EC7269A" w14:textId="77777777" w:rsidR="009D422E" w:rsidRPr="009D422E" w:rsidRDefault="009D422E" w:rsidP="009D422E">
      <w:pPr>
        <w:spacing w:before="100" w:beforeAutospacing="1" w:line="273"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1920CE12" w14:textId="77777777" w:rsidR="009D422E" w:rsidRPr="009D422E" w:rsidRDefault="009D422E" w:rsidP="009D422E">
      <w:pPr>
        <w:spacing w:before="100" w:beforeAutospacing="1" w:line="273" w:lineRule="auto"/>
        <w:jc w:val="both"/>
        <w:rPr>
          <w:rFonts w:ascii="Times New Roman" w:eastAsia="Calibri" w:hAnsi="Times New Roman" w:cs="Times New Roman"/>
          <w:b/>
          <w14:ligatures w14:val="none"/>
        </w:rPr>
      </w:pPr>
      <w:r w:rsidRPr="009D422E">
        <w:rPr>
          <w:rFonts w:ascii="Times New Roman" w:eastAsia="Calibri" w:hAnsi="Times New Roman" w:cs="Times New Roman"/>
          <w:b/>
          <w14:ligatures w14:val="none"/>
        </w:rPr>
        <w:t>4.0 DISCUSSION</w:t>
      </w:r>
    </w:p>
    <w:p w14:paraId="1A8E4023"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This study evaluated the activities of alkaline phosphatase (ALP) and gamma-glutamyl transferase (GGT) in patients with obstructive jaundice before and after endoscopic retrograde cholangiopancreatography (ERCP) at the Obafemi Awolowo University Teaching Hospitals Complex, Ile-Ife. The findings demonstrate a statistically significant reduction in all measured biochemical parameters following ERCP, underscoring the effectiveness of the procedure in relieving biliary obstruction and improving hepatic function.</w:t>
      </w:r>
    </w:p>
    <w:p w14:paraId="5E3F5003"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The markedly elevated pre-ERCP levels of total bilirubin observed in this cohort are consistent with the established pathophysiology of obstructive jaundice, in which impaired bile flow leads to accumulation of conjugated bilirubin in the circulation (</w:t>
      </w:r>
      <w:proofErr w:type="spellStart"/>
      <w:r w:rsidRPr="009D422E">
        <w:rPr>
          <w:rFonts w:ascii="Times New Roman" w:eastAsia="Calibri" w:hAnsi="Times New Roman" w:cs="Times New Roman"/>
          <w:kern w:val="0"/>
          <w14:ligatures w14:val="none"/>
        </w:rPr>
        <w:t>Tripathi</w:t>
      </w:r>
      <w:proofErr w:type="spellEnd"/>
      <w:r w:rsidRPr="009D422E">
        <w:rPr>
          <w:rFonts w:ascii="Times New Roman" w:eastAsia="Calibri" w:hAnsi="Times New Roman" w:cs="Times New Roman"/>
          <w:kern w:val="0"/>
          <w14:ligatures w14:val="none"/>
        </w:rPr>
        <w:t xml:space="preserve"> &amp; </w:t>
      </w:r>
      <w:proofErr w:type="spellStart"/>
      <w:r w:rsidRPr="009D422E">
        <w:rPr>
          <w:rFonts w:ascii="Times New Roman" w:eastAsia="Calibri" w:hAnsi="Times New Roman" w:cs="Times New Roman"/>
          <w:kern w:val="0"/>
          <w14:ligatures w14:val="none"/>
        </w:rPr>
        <w:t>Jialal</w:t>
      </w:r>
      <w:proofErr w:type="spellEnd"/>
      <w:r w:rsidRPr="009D422E">
        <w:rPr>
          <w:rFonts w:ascii="Times New Roman" w:eastAsia="Calibri" w:hAnsi="Times New Roman" w:cs="Times New Roman"/>
          <w:kern w:val="0"/>
          <w14:ligatures w14:val="none"/>
        </w:rPr>
        <w:t xml:space="preserve">, 2025). The significant </w:t>
      </w:r>
      <w:r w:rsidRPr="009D422E">
        <w:rPr>
          <w:rFonts w:ascii="Times New Roman" w:eastAsia="Calibri" w:hAnsi="Times New Roman" w:cs="Times New Roman"/>
          <w:kern w:val="0"/>
          <w14:ligatures w14:val="none"/>
        </w:rPr>
        <w:lastRenderedPageBreak/>
        <w:t xml:space="preserve">decline in bilirubin levels following ERCP indicates successful biliary decompression and restoration of bile flow. This observation is in agreement with previous studies reporting rapid biochemical improvement after effective endoscopic intervention in obstructive jaundice (Wagh et al., 2023; </w:t>
      </w:r>
      <w:proofErr w:type="spellStart"/>
      <w:r w:rsidRPr="009D422E">
        <w:rPr>
          <w:rFonts w:ascii="Times New Roman" w:eastAsia="Calibri" w:hAnsi="Times New Roman" w:cs="Times New Roman"/>
          <w:kern w:val="0"/>
          <w14:ligatures w14:val="none"/>
        </w:rPr>
        <w:t>Lekharaju</w:t>
      </w:r>
      <w:proofErr w:type="spellEnd"/>
      <w:r w:rsidRPr="009D422E">
        <w:rPr>
          <w:rFonts w:ascii="Times New Roman" w:eastAsia="Calibri" w:hAnsi="Times New Roman" w:cs="Times New Roman"/>
          <w:kern w:val="0"/>
          <w14:ligatures w14:val="none"/>
        </w:rPr>
        <w:t xml:space="preserve"> et al., 2013).</w:t>
      </w:r>
    </w:p>
    <w:p w14:paraId="3DED6000"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In cholestatic states, intrahepatic accumulation of bile acids stimulates increased synthesis of ALP and causes canalicular saturation, leading to elevated serum ALP and GGT levels (Levitt et al., 2022; Vroon et al., 1990). Relief of obstruction through ERCP restores bile flow, thereby halting excessive enzyme production and permitting clearance from the circulation.</w:t>
      </w:r>
    </w:p>
    <w:p w14:paraId="5688C2D4"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 xml:space="preserve">In the present study, mean ALP levels declined significantly from approximately 572 IU/L pre-ERCP to 295 IU/L post-ERCP, while GGT decreased from about 506 IU/L to 258 IU/L (p &lt; 0.001). The magnitude of these reductions is comparable to those reported following surgical biliary decompression. Lal and Dayal (2019), for example, demonstrated that ALP levels fell to roughly 50% of baseline by the first postoperative week and to approximately 25% by four weeks. The nearly 48% reduction in ALP observed in our cohort at one week suggests a similar early recovery trajectory. Likewise, </w:t>
      </w:r>
      <w:proofErr w:type="spellStart"/>
      <w:r w:rsidRPr="009D422E">
        <w:rPr>
          <w:rFonts w:ascii="Times New Roman" w:eastAsia="Calibri" w:hAnsi="Times New Roman" w:cs="Times New Roman"/>
          <w:kern w:val="0"/>
          <w14:ligatures w14:val="none"/>
        </w:rPr>
        <w:t>Muhammedoğlu</w:t>
      </w:r>
      <w:proofErr w:type="spellEnd"/>
      <w:r w:rsidRPr="009D422E">
        <w:rPr>
          <w:rFonts w:ascii="Times New Roman" w:eastAsia="Calibri" w:hAnsi="Times New Roman" w:cs="Times New Roman"/>
          <w:kern w:val="0"/>
          <w14:ligatures w14:val="none"/>
        </w:rPr>
        <w:t xml:space="preserve"> (2019) reported marked declines in GGT following ERCP combined with cholecystectomy, findings that closely mirror our results.</w:t>
      </w:r>
    </w:p>
    <w:p w14:paraId="57A72F42"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Our findings extend existing literature by focusing specifically on an exclusively elderly population. Importantly, the observed biochemical recovery confirms that advanced age does not preclude normalization of cholestatic markers once biliary obstruction is relieved. This is clinically significant, as elderly patients are often managed conservatively due to concerns about comorbidities and procedural risk.</w:t>
      </w:r>
    </w:p>
    <w:p w14:paraId="43CCD490"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lastRenderedPageBreak/>
        <w:t xml:space="preserve">The introduction of ERCP has been a major advance in the management of obstructive jaundice, offering effective internal biliary drainage with lower morbidity and mortality compared to surgical approaches (Shu et al., 2023; </w:t>
      </w:r>
      <w:proofErr w:type="spellStart"/>
      <w:r w:rsidRPr="009D422E">
        <w:rPr>
          <w:rFonts w:ascii="Times New Roman" w:eastAsia="Calibri" w:hAnsi="Times New Roman" w:cs="Times New Roman"/>
          <w:kern w:val="0"/>
          <w14:ligatures w14:val="none"/>
        </w:rPr>
        <w:t>Alatise</w:t>
      </w:r>
      <w:proofErr w:type="spellEnd"/>
      <w:r w:rsidRPr="009D422E">
        <w:rPr>
          <w:rFonts w:ascii="Times New Roman" w:eastAsia="Calibri" w:hAnsi="Times New Roman" w:cs="Times New Roman"/>
          <w:kern w:val="0"/>
          <w14:ligatures w14:val="none"/>
        </w:rPr>
        <w:t xml:space="preserve"> et al., 2020). The significant pre- and post-ERCP differences observed in this study (paired analysis, p &lt; 0.001) provide objective biochemical evidence supporting the efficacy of ERCP in reversing cholestatic injury. Moreover, these results reinforce prior reports identifying ALP and GGT as sensitive markers of therapeutic response following biliary decompression (Lowe et al., 2023).</w:t>
      </w:r>
    </w:p>
    <w:p w14:paraId="24036D22"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From a practical standpoint, the present findings highlight the usefulness of ALP and GGT as follow-up markers in patients undergoing ERCP for obstructive jaundice. Serial measurements obtained before the procedure and within 1–2 weeks afterward can provide a quantitative assessment of therapeutic success. A significant post-procedural decline, as demonstrated in our cohort, confirms effective relief of obstruction. Conversely, persistently elevated or rising enzyme levels should prompt further evaluation, including repeat imaging or consideration of repeat ERCP (Lowe et al., 2023).</w:t>
      </w:r>
    </w:p>
    <w:p w14:paraId="327E7C81"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This approach is particularly valuable in resource-limited settings, where access to advanced imaging may be restricted. Routine laboratory monitoring can complement clinical assessment and guide timely decision-making.</w:t>
      </w:r>
    </w:p>
    <w:p w14:paraId="397B41D2"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 xml:space="preserve">From a mechanistic perspective, the observed declines in ALP and GGT reflect restoration of hepatocellular and </w:t>
      </w:r>
      <w:proofErr w:type="spellStart"/>
      <w:r w:rsidRPr="009D422E">
        <w:rPr>
          <w:rFonts w:ascii="Times New Roman" w:eastAsia="Calibri" w:hAnsi="Times New Roman" w:cs="Times New Roman"/>
          <w:kern w:val="0"/>
          <w14:ligatures w14:val="none"/>
        </w:rPr>
        <w:t>cholangiolar</w:t>
      </w:r>
      <w:proofErr w:type="spellEnd"/>
      <w:r w:rsidRPr="009D422E">
        <w:rPr>
          <w:rFonts w:ascii="Times New Roman" w:eastAsia="Calibri" w:hAnsi="Times New Roman" w:cs="Times New Roman"/>
          <w:kern w:val="0"/>
          <w14:ligatures w14:val="none"/>
        </w:rPr>
        <w:t xml:space="preserve"> function following decompression (Kaw et al., 2003). In obstructive jaundice, elevated </w:t>
      </w:r>
      <w:proofErr w:type="spellStart"/>
      <w:r w:rsidRPr="009D422E">
        <w:rPr>
          <w:rFonts w:ascii="Times New Roman" w:eastAsia="Calibri" w:hAnsi="Times New Roman" w:cs="Times New Roman"/>
          <w:kern w:val="0"/>
          <w14:ligatures w14:val="none"/>
        </w:rPr>
        <w:t>intrabiliary</w:t>
      </w:r>
      <w:proofErr w:type="spellEnd"/>
      <w:r w:rsidRPr="009D422E">
        <w:rPr>
          <w:rFonts w:ascii="Times New Roman" w:eastAsia="Calibri" w:hAnsi="Times New Roman" w:cs="Times New Roman"/>
          <w:kern w:val="0"/>
          <w14:ligatures w14:val="none"/>
        </w:rPr>
        <w:t xml:space="preserve"> pressure and bile acid accumulation induce enzyme synthesis and promote leakage into the circulation. Once drainage is re-established, excessive enzyme production ceases, and circulating ALP, characterized by an approximate seven-day half-</w:t>
      </w:r>
      <w:r w:rsidRPr="009D422E">
        <w:rPr>
          <w:rFonts w:ascii="Times New Roman" w:eastAsia="Calibri" w:hAnsi="Times New Roman" w:cs="Times New Roman"/>
          <w:kern w:val="0"/>
          <w14:ligatures w14:val="none"/>
        </w:rPr>
        <w:lastRenderedPageBreak/>
        <w:t>life, is progressively cleared. GGT, which is similarly responsive to cholestasis, declines as bile flow normalizes (Kiriyama et al., 2013).</w:t>
      </w:r>
    </w:p>
    <w:p w14:paraId="4898F0C7" w14:textId="77777777" w:rsidR="009D422E" w:rsidRPr="009D422E" w:rsidRDefault="009D422E" w:rsidP="009D422E">
      <w:pPr>
        <w:spacing w:before="100" w:beforeAutospacing="1" w:after="100" w:afterAutospacing="1" w:line="480" w:lineRule="auto"/>
        <w:jc w:val="both"/>
        <w:rPr>
          <w:rFonts w:ascii="Times New Roman" w:eastAsia="Calibri" w:hAnsi="Times New Roman" w:cs="Times New Roman"/>
          <w:kern w:val="0"/>
          <w14:ligatures w14:val="none"/>
        </w:rPr>
      </w:pPr>
      <w:r w:rsidRPr="009D422E">
        <w:rPr>
          <w:rFonts w:ascii="Times New Roman" w:eastAsia="Calibri" w:hAnsi="Times New Roman" w:cs="Times New Roman"/>
          <w:kern w:val="0"/>
          <w14:ligatures w14:val="none"/>
        </w:rPr>
        <w:t>Although the expected biochemical trend after ERCP is downward, clinicians should remain vigilant for atypical courses. Rare cases of post-ERCP worsening of cholestatic markers have been reported, including contrast-induced cholestasis, in which bilirubin and ALP may rise weeks after the procedure (Lin &amp; Huang). Awareness of such exceptions underscores the importance of continued clinical and biochemical surveillance.</w:t>
      </w:r>
    </w:p>
    <w:p w14:paraId="2E59D3D1"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471FC461" w14:textId="77777777" w:rsidR="009D422E" w:rsidRPr="009D422E" w:rsidRDefault="009D422E" w:rsidP="009D422E">
      <w:pPr>
        <w:spacing w:before="100" w:beforeAutospacing="1" w:line="480" w:lineRule="auto"/>
        <w:jc w:val="both"/>
        <w:rPr>
          <w:rFonts w:ascii="Times New Roman" w:eastAsia="Calibri" w:hAnsi="Times New Roman" w:cs="Times New Roman"/>
          <w:b/>
          <w:bCs/>
          <w14:ligatures w14:val="none"/>
        </w:rPr>
      </w:pPr>
      <w:r w:rsidRPr="009D422E">
        <w:rPr>
          <w:rFonts w:ascii="Times New Roman" w:eastAsia="Calibri" w:hAnsi="Times New Roman" w:cs="Times New Roman"/>
          <w:b/>
          <w:bCs/>
          <w14:ligatures w14:val="none"/>
        </w:rPr>
        <w:t>CONCLUSION</w:t>
      </w:r>
    </w:p>
    <w:p w14:paraId="28BD93B5"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In this prospective series of 100 elderly Nigerian patients with extrahepatic obstructive jaundice, ERCP resulted in substantial reductions in serum ALP and GGT within one week. These results confirm that ALP and GGT are reliable biomarkers of biliary obstruction and its relief. Clinically, monitoring these enzymes before and after ERCP can help assess procedural success. Our findings are consistent with prior literature showing rapid normalization of cholestatic enzymes after decompression. In practice, elderly patients should be treated as aggressively as younger ones when feasible, since they experience similar biochemical improvements. Future studies might examine longer-term enzyme trajectories and correlate them with clinical outcomes. Overall, this study reinforces the utility of ERCP in elderly patients and highlights the prognostic value of ALP and GGT trends in obstructive jaundice. </w:t>
      </w:r>
    </w:p>
    <w:p w14:paraId="0BD851C3" w14:textId="77777777" w:rsidR="009D422E" w:rsidRPr="009D422E" w:rsidRDefault="009D422E" w:rsidP="009D422E">
      <w:pPr>
        <w:spacing w:before="100" w:beforeAutospacing="1" w:line="480" w:lineRule="auto"/>
        <w:jc w:val="both"/>
        <w:rPr>
          <w:rFonts w:ascii="Times New Roman" w:eastAsia="Calibri" w:hAnsi="Times New Roman" w:cs="Times New Roman"/>
          <w:b/>
          <w:iCs/>
          <w14:ligatures w14:val="none"/>
        </w:rPr>
      </w:pPr>
      <w:r w:rsidRPr="009D422E">
        <w:rPr>
          <w:rFonts w:ascii="Times New Roman" w:eastAsia="Calibri" w:hAnsi="Times New Roman" w:cs="Times New Roman"/>
          <w:b/>
          <w:iCs/>
          <w14:ligatures w14:val="none"/>
        </w:rPr>
        <w:t>LIMITATION</w:t>
      </w:r>
    </w:p>
    <w:p w14:paraId="04C55280" w14:textId="77777777" w:rsidR="009D422E" w:rsidRPr="009D422E" w:rsidRDefault="009D422E" w:rsidP="009D422E">
      <w:pPr>
        <w:spacing w:before="100" w:beforeAutospacing="1" w:line="480"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lastRenderedPageBreak/>
        <w:t xml:space="preserve">This study has limitations. It was conducted at a single center and may not be generalizable to all settings. Our follow-up period was relatively short (one week); longer-term trends would likely show further enzyme normalization. We also lacked a control group (e.g., patients managed without ERCP), although withholding ERCP would be unethical in obstructive jaundice. The sample size (n=100) was moderate; larger multicenter studies could provide more precise estimates, especially for subgroups. We did not assess patient outcomes beyond enzyme levels (e.g., mortality, infection rates), which could be explored in future research. Finally, while ALP and GGT are standard markers, additional biomarkers (e.g., bile acids, Fib-4 index) might offer complementary information. </w:t>
      </w:r>
    </w:p>
    <w:p w14:paraId="20FAB5DE" w14:textId="77777777" w:rsidR="009D422E" w:rsidRPr="009D422E" w:rsidRDefault="009D422E" w:rsidP="009D422E">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9D422E">
        <w:rPr>
          <w:rFonts w:ascii="Times New Roman" w:eastAsia="Calibri" w:hAnsi="Times New Roman" w:cs="Times New Roman"/>
          <w:b/>
          <w:bCs/>
          <w:color w:val="000000"/>
          <w:kern w:val="0"/>
          <w14:ligatures w14:val="none"/>
        </w:rPr>
        <w:t xml:space="preserve">CONSENT </w:t>
      </w:r>
    </w:p>
    <w:p w14:paraId="4D1FD66C" w14:textId="77777777" w:rsidR="009D422E" w:rsidRPr="009D422E" w:rsidRDefault="009D422E" w:rsidP="009D422E">
      <w:pPr>
        <w:autoSpaceDE w:val="0"/>
        <w:autoSpaceDN w:val="0"/>
        <w:adjustRightInd w:val="0"/>
        <w:spacing w:after="0" w:line="240" w:lineRule="auto"/>
        <w:rPr>
          <w:rFonts w:ascii="Times New Roman" w:eastAsia="Calibri" w:hAnsi="Times New Roman" w:cs="Times New Roman"/>
          <w:color w:val="000000"/>
          <w:kern w:val="0"/>
          <w14:ligatures w14:val="none"/>
        </w:rPr>
      </w:pPr>
      <w:r w:rsidRPr="009D422E">
        <w:rPr>
          <w:rFonts w:ascii="Times New Roman" w:eastAsia="Calibri" w:hAnsi="Times New Roman" w:cs="Times New Roman"/>
          <w:b/>
          <w:bCs/>
          <w:color w:val="000000"/>
          <w:kern w:val="0"/>
          <w14:ligatures w14:val="none"/>
        </w:rPr>
        <w:t xml:space="preserve"> </w:t>
      </w:r>
    </w:p>
    <w:p w14:paraId="5971BFBB" w14:textId="77777777" w:rsidR="009D422E" w:rsidRPr="009D422E" w:rsidRDefault="009D422E" w:rsidP="009D422E">
      <w:pPr>
        <w:autoSpaceDE w:val="0"/>
        <w:autoSpaceDN w:val="0"/>
        <w:adjustRightInd w:val="0"/>
        <w:spacing w:after="0" w:line="240" w:lineRule="auto"/>
        <w:rPr>
          <w:rFonts w:ascii="Times New Roman" w:eastAsia="Calibri" w:hAnsi="Times New Roman" w:cs="Times New Roman"/>
          <w:color w:val="000000"/>
          <w:kern w:val="0"/>
          <w14:ligatures w14:val="none"/>
        </w:rPr>
      </w:pPr>
      <w:r w:rsidRPr="009D422E">
        <w:rPr>
          <w:rFonts w:ascii="Times New Roman" w:eastAsia="Calibri" w:hAnsi="Times New Roman" w:cs="Times New Roman"/>
          <w:color w:val="000000"/>
          <w:kern w:val="0"/>
          <w14:ligatures w14:val="none"/>
        </w:rPr>
        <w:t>Consent was obtained from the participants.</w:t>
      </w:r>
    </w:p>
    <w:p w14:paraId="7BD5423F" w14:textId="77777777" w:rsidR="009D422E" w:rsidRPr="009D422E" w:rsidRDefault="009D422E" w:rsidP="009D422E">
      <w:pPr>
        <w:autoSpaceDE w:val="0"/>
        <w:autoSpaceDN w:val="0"/>
        <w:adjustRightInd w:val="0"/>
        <w:spacing w:after="0" w:line="240" w:lineRule="auto"/>
        <w:rPr>
          <w:rFonts w:ascii="Times New Roman" w:eastAsia="Calibri" w:hAnsi="Times New Roman" w:cs="Times New Roman"/>
          <w:color w:val="000000"/>
          <w:kern w:val="0"/>
          <w14:ligatures w14:val="none"/>
        </w:rPr>
      </w:pPr>
      <w:r w:rsidRPr="009D422E">
        <w:rPr>
          <w:rFonts w:ascii="Times New Roman" w:eastAsia="Calibri" w:hAnsi="Times New Roman" w:cs="Times New Roman"/>
          <w:color w:val="000000"/>
          <w:kern w:val="0"/>
          <w14:ligatures w14:val="none"/>
        </w:rPr>
        <w:t xml:space="preserve"> </w:t>
      </w:r>
    </w:p>
    <w:p w14:paraId="3F5B5882" w14:textId="77777777" w:rsidR="009D422E" w:rsidRPr="009D422E" w:rsidRDefault="009D422E" w:rsidP="009D422E">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9D422E">
        <w:rPr>
          <w:rFonts w:ascii="Times New Roman" w:eastAsia="Calibri" w:hAnsi="Times New Roman" w:cs="Times New Roman"/>
          <w:b/>
          <w:bCs/>
          <w:color w:val="000000"/>
          <w:kern w:val="0"/>
          <w14:ligatures w14:val="none"/>
        </w:rPr>
        <w:t>ETHICAL APPROVAL</w:t>
      </w:r>
    </w:p>
    <w:p w14:paraId="2E5F432D" w14:textId="77777777" w:rsidR="009D422E" w:rsidRPr="009D422E" w:rsidRDefault="009D422E" w:rsidP="009D422E">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9D422E">
        <w:rPr>
          <w:rFonts w:ascii="Times New Roman" w:eastAsia="Calibri" w:hAnsi="Times New Roman" w:cs="Times New Roman"/>
          <w:b/>
          <w:bCs/>
          <w:color w:val="000000"/>
          <w:kern w:val="0"/>
          <w14:ligatures w14:val="none"/>
        </w:rPr>
        <w:t xml:space="preserve"> </w:t>
      </w:r>
    </w:p>
    <w:p w14:paraId="17A0E7EC" w14:textId="77777777" w:rsidR="009D422E" w:rsidRPr="009D422E" w:rsidRDefault="009D422E" w:rsidP="009D422E">
      <w:pPr>
        <w:autoSpaceDE w:val="0"/>
        <w:autoSpaceDN w:val="0"/>
        <w:adjustRightInd w:val="0"/>
        <w:spacing w:after="0" w:line="480" w:lineRule="auto"/>
        <w:rPr>
          <w:rFonts w:ascii="Times New Roman" w:eastAsia="Calibri" w:hAnsi="Times New Roman" w:cs="Times New Roman"/>
          <w:bCs/>
          <w:color w:val="000000"/>
          <w:kern w:val="0"/>
          <w14:ligatures w14:val="none"/>
        </w:rPr>
      </w:pPr>
      <w:r w:rsidRPr="009D422E">
        <w:rPr>
          <w:rFonts w:ascii="Times New Roman" w:eastAsia="Calibri" w:hAnsi="Times New Roman" w:cs="Times New Roman"/>
          <w:bCs/>
          <w:color w:val="000000"/>
          <w:kern w:val="0"/>
          <w14:ligatures w14:val="none"/>
        </w:rPr>
        <w:t xml:space="preserve">Ethical approval was obtained from </w:t>
      </w:r>
      <w:r w:rsidRPr="009D422E">
        <w:rPr>
          <w:rFonts w:ascii="Times New Roman" w:eastAsia="Calibri" w:hAnsi="Times New Roman" w:cs="Times New Roman"/>
          <w:color w:val="000000"/>
          <w:kern w:val="0"/>
          <w14:ligatures w14:val="none"/>
        </w:rPr>
        <w:t>Obafemi Awolowo University Teaching Hospitals Complex, Ile-Ife, Nigeria</w:t>
      </w:r>
    </w:p>
    <w:p w14:paraId="7F912DDC" w14:textId="77777777" w:rsidR="001915D4" w:rsidRPr="00740879" w:rsidRDefault="009D422E" w:rsidP="001915D4">
      <w:pPr>
        <w:rPr>
          <w:highlight w:val="yellow"/>
        </w:rPr>
      </w:pPr>
      <w:r w:rsidRPr="009D422E">
        <w:rPr>
          <w:rFonts w:ascii="Times New Roman" w:eastAsia="Calibri" w:hAnsi="Times New Roman" w:cs="Times New Roman"/>
          <w:b/>
          <w:iCs/>
          <w14:ligatures w14:val="none"/>
        </w:rPr>
        <w:t xml:space="preserve"> </w:t>
      </w:r>
      <w:r w:rsidR="001915D4" w:rsidRPr="00740879">
        <w:rPr>
          <w:highlight w:val="yellow"/>
        </w:rPr>
        <w:t>Disclaimer (Artificial intelligence)</w:t>
      </w:r>
    </w:p>
    <w:p w14:paraId="7F994355" w14:textId="77777777" w:rsidR="001915D4" w:rsidRPr="00740879" w:rsidRDefault="001915D4" w:rsidP="001915D4">
      <w:pPr>
        <w:rPr>
          <w:highlight w:val="yellow"/>
        </w:rPr>
      </w:pPr>
      <w:r w:rsidRPr="00740879">
        <w:rPr>
          <w:highlight w:val="yellow"/>
        </w:rPr>
        <w:t xml:space="preserve">Option 1: </w:t>
      </w:r>
    </w:p>
    <w:p w14:paraId="35B9222B" w14:textId="77777777" w:rsidR="001915D4" w:rsidRPr="00740879" w:rsidRDefault="001915D4" w:rsidP="001915D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A60A311" w14:textId="77777777" w:rsidR="001915D4" w:rsidRPr="00740879" w:rsidRDefault="001915D4" w:rsidP="001915D4">
      <w:pPr>
        <w:rPr>
          <w:highlight w:val="yellow"/>
        </w:rPr>
      </w:pPr>
      <w:r w:rsidRPr="00740879">
        <w:rPr>
          <w:highlight w:val="yellow"/>
        </w:rPr>
        <w:t xml:space="preserve">Option 2: </w:t>
      </w:r>
    </w:p>
    <w:p w14:paraId="085C75AE" w14:textId="77777777" w:rsidR="001915D4" w:rsidRPr="00740879" w:rsidRDefault="001915D4" w:rsidP="001915D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1B5805" w14:textId="77777777" w:rsidR="001915D4" w:rsidRPr="00740879" w:rsidRDefault="001915D4" w:rsidP="001915D4">
      <w:pPr>
        <w:rPr>
          <w:highlight w:val="yellow"/>
        </w:rPr>
      </w:pPr>
      <w:r w:rsidRPr="00740879">
        <w:rPr>
          <w:highlight w:val="yellow"/>
        </w:rPr>
        <w:t>Details of the AI usage are given below:</w:t>
      </w:r>
    </w:p>
    <w:p w14:paraId="5A0CA06A" w14:textId="77777777" w:rsidR="001915D4" w:rsidRPr="00740879" w:rsidRDefault="001915D4" w:rsidP="001915D4">
      <w:pPr>
        <w:rPr>
          <w:highlight w:val="yellow"/>
        </w:rPr>
      </w:pPr>
      <w:r w:rsidRPr="00740879">
        <w:rPr>
          <w:highlight w:val="yellow"/>
        </w:rPr>
        <w:t>1.</w:t>
      </w:r>
    </w:p>
    <w:p w14:paraId="3172F23A" w14:textId="77777777" w:rsidR="001915D4" w:rsidRPr="00740879" w:rsidRDefault="001915D4" w:rsidP="001915D4">
      <w:pPr>
        <w:rPr>
          <w:highlight w:val="yellow"/>
        </w:rPr>
      </w:pPr>
      <w:r w:rsidRPr="00740879">
        <w:rPr>
          <w:highlight w:val="yellow"/>
        </w:rPr>
        <w:lastRenderedPageBreak/>
        <w:t>2.</w:t>
      </w:r>
    </w:p>
    <w:p w14:paraId="21C36E3E" w14:textId="77777777" w:rsidR="001915D4" w:rsidRPr="00D047BB" w:rsidRDefault="001915D4" w:rsidP="001915D4">
      <w:r w:rsidRPr="00740879">
        <w:rPr>
          <w:highlight w:val="yellow"/>
        </w:rPr>
        <w:t>3.</w:t>
      </w:r>
    </w:p>
    <w:p w14:paraId="40E14A85" w14:textId="77777777" w:rsidR="009D422E" w:rsidRPr="009D422E" w:rsidRDefault="009D422E" w:rsidP="009D422E">
      <w:pPr>
        <w:spacing w:before="100" w:beforeAutospacing="1" w:line="273" w:lineRule="auto"/>
        <w:jc w:val="both"/>
        <w:rPr>
          <w:rFonts w:ascii="Times New Roman" w:eastAsia="Calibri" w:hAnsi="Times New Roman" w:cs="Times New Roman"/>
          <w:b/>
          <w:iCs/>
          <w14:ligatures w14:val="none"/>
        </w:rPr>
      </w:pPr>
    </w:p>
    <w:p w14:paraId="1DF494F4" w14:textId="77777777" w:rsidR="009D422E" w:rsidRPr="009D422E" w:rsidRDefault="009D422E" w:rsidP="009D422E">
      <w:pPr>
        <w:spacing w:before="100" w:beforeAutospacing="1" w:line="273" w:lineRule="auto"/>
        <w:jc w:val="both"/>
        <w:rPr>
          <w:rFonts w:ascii="Times New Roman" w:eastAsia="Calibri" w:hAnsi="Times New Roman" w:cs="Times New Roman"/>
          <w:b/>
          <w:i/>
          <w:iCs/>
          <w14:ligatures w14:val="none"/>
        </w:rPr>
      </w:pPr>
      <w:r w:rsidRPr="009D422E">
        <w:rPr>
          <w:rFonts w:ascii="Times New Roman" w:eastAsia="Calibri" w:hAnsi="Times New Roman" w:cs="Times New Roman"/>
          <w:b/>
          <w:iCs/>
          <w14:ligatures w14:val="none"/>
        </w:rPr>
        <w:t>REFERENCES</w:t>
      </w:r>
      <w:r w:rsidRPr="009D422E">
        <w:rPr>
          <w:rFonts w:ascii="Times New Roman" w:eastAsia="Calibri" w:hAnsi="Times New Roman" w:cs="Times New Roman"/>
          <w:b/>
          <w:i/>
          <w:iCs/>
          <w14:ligatures w14:val="none"/>
        </w:rPr>
        <w:t xml:space="preserve"> </w:t>
      </w:r>
    </w:p>
    <w:p w14:paraId="4B0316CD" w14:textId="77777777" w:rsidR="009D422E" w:rsidRPr="009D422E" w:rsidRDefault="009D422E" w:rsidP="009D422E">
      <w:pPr>
        <w:pBdr>
          <w:top w:val="single" w:sz="6" w:space="1" w:color="auto"/>
        </w:pBdr>
        <w:spacing w:before="100" w:beforeAutospacing="1" w:after="0" w:line="240" w:lineRule="auto"/>
        <w:ind w:left="720" w:hanging="720"/>
        <w:jc w:val="center"/>
        <w:rPr>
          <w:rFonts w:ascii="Times New Roman" w:eastAsia="Calibri" w:hAnsi="Times New Roman" w:cs="Times New Roman"/>
          <w:vanish/>
          <w:kern w:val="0"/>
          <w14:ligatures w14:val="none"/>
        </w:rPr>
      </w:pPr>
      <w:r w:rsidRPr="009D422E">
        <w:rPr>
          <w:rFonts w:ascii="Times New Roman" w:eastAsia="Calibri" w:hAnsi="Times New Roman" w:cs="Times New Roman"/>
          <w:vanish/>
          <w:kern w:val="0"/>
          <w14:ligatures w14:val="none"/>
        </w:rPr>
        <w:t>Bottom of Form</w:t>
      </w:r>
    </w:p>
    <w:p w14:paraId="40139648"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236C94">
        <w:rPr>
          <w:rFonts w:ascii="Times New Roman" w:eastAsia="Calibri" w:hAnsi="Times New Roman" w:cs="Times New Roman"/>
          <w:kern w:val="0"/>
          <w14:ligatures w14:val="none"/>
        </w:rPr>
        <w:t xml:space="preserve">Abdo, A., </w:t>
      </w:r>
      <w:proofErr w:type="spellStart"/>
      <w:r w:rsidRPr="00236C94">
        <w:rPr>
          <w:rFonts w:ascii="Times New Roman" w:eastAsia="Calibri" w:hAnsi="Times New Roman" w:cs="Times New Roman"/>
          <w:kern w:val="0"/>
          <w14:ligatures w14:val="none"/>
        </w:rPr>
        <w:t>Dafalla</w:t>
      </w:r>
      <w:proofErr w:type="spellEnd"/>
      <w:r w:rsidRPr="00236C94">
        <w:rPr>
          <w:rFonts w:ascii="Times New Roman" w:eastAsia="Calibri" w:hAnsi="Times New Roman" w:cs="Times New Roman"/>
          <w:kern w:val="0"/>
          <w14:ligatures w14:val="none"/>
        </w:rPr>
        <w:t xml:space="preserve">, S., Bushra, M., Mustafa, R., Hamad, R., </w:t>
      </w:r>
      <w:proofErr w:type="spellStart"/>
      <w:r w:rsidRPr="00236C94">
        <w:rPr>
          <w:rFonts w:ascii="Times New Roman" w:eastAsia="Calibri" w:hAnsi="Times New Roman" w:cs="Times New Roman"/>
          <w:kern w:val="0"/>
          <w14:ligatures w14:val="none"/>
        </w:rPr>
        <w:t>Rafei</w:t>
      </w:r>
      <w:proofErr w:type="spellEnd"/>
      <w:r w:rsidRPr="00236C94">
        <w:rPr>
          <w:rFonts w:ascii="Times New Roman" w:eastAsia="Calibri" w:hAnsi="Times New Roman" w:cs="Times New Roman"/>
          <w:kern w:val="0"/>
          <w14:ligatures w14:val="none"/>
        </w:rPr>
        <w:t xml:space="preserve">, A., </w:t>
      </w:r>
      <w:proofErr w:type="spellStart"/>
      <w:r w:rsidRPr="00236C94">
        <w:rPr>
          <w:rFonts w:ascii="Times New Roman" w:eastAsia="Calibri" w:hAnsi="Times New Roman" w:cs="Times New Roman"/>
          <w:kern w:val="0"/>
          <w14:ligatures w14:val="none"/>
        </w:rPr>
        <w:t>Jaafer</w:t>
      </w:r>
      <w:proofErr w:type="spellEnd"/>
      <w:r w:rsidRPr="00236C94">
        <w:rPr>
          <w:rFonts w:ascii="Times New Roman" w:eastAsia="Calibri" w:hAnsi="Times New Roman" w:cs="Times New Roman"/>
          <w:kern w:val="0"/>
          <w14:ligatures w14:val="none"/>
        </w:rPr>
        <w:t xml:space="preserve">, M., </w:t>
      </w:r>
      <w:proofErr w:type="spellStart"/>
      <w:r w:rsidRPr="00236C94">
        <w:rPr>
          <w:rFonts w:ascii="Times New Roman" w:eastAsia="Calibri" w:hAnsi="Times New Roman" w:cs="Times New Roman"/>
          <w:kern w:val="0"/>
          <w14:ligatures w14:val="none"/>
        </w:rPr>
        <w:t>Bidab</w:t>
      </w:r>
      <w:proofErr w:type="spellEnd"/>
      <w:r w:rsidRPr="00236C94">
        <w:rPr>
          <w:rFonts w:ascii="Times New Roman" w:eastAsia="Calibri" w:hAnsi="Times New Roman" w:cs="Times New Roman"/>
          <w:kern w:val="0"/>
          <w14:ligatures w14:val="none"/>
        </w:rPr>
        <w:t xml:space="preserve">, R., </w:t>
      </w:r>
      <w:proofErr w:type="spellStart"/>
      <w:r w:rsidRPr="00236C94">
        <w:rPr>
          <w:rFonts w:ascii="Times New Roman" w:eastAsia="Calibri" w:hAnsi="Times New Roman" w:cs="Times New Roman"/>
          <w:kern w:val="0"/>
          <w14:ligatures w14:val="none"/>
        </w:rPr>
        <w:t>Ojan</w:t>
      </w:r>
      <w:proofErr w:type="spellEnd"/>
      <w:r w:rsidRPr="00236C94">
        <w:rPr>
          <w:rFonts w:ascii="Times New Roman" w:eastAsia="Calibri" w:hAnsi="Times New Roman" w:cs="Times New Roman"/>
          <w:kern w:val="0"/>
          <w14:ligatures w14:val="none"/>
        </w:rPr>
        <w:t xml:space="preserve">, W. G., </w:t>
      </w:r>
      <w:proofErr w:type="spellStart"/>
      <w:r w:rsidRPr="00236C94">
        <w:rPr>
          <w:rFonts w:ascii="Times New Roman" w:eastAsia="Calibri" w:hAnsi="Times New Roman" w:cs="Times New Roman"/>
          <w:kern w:val="0"/>
          <w14:ligatures w14:val="none"/>
        </w:rPr>
        <w:t>Ganim</w:t>
      </w:r>
      <w:proofErr w:type="spellEnd"/>
      <w:r w:rsidRPr="00236C94">
        <w:rPr>
          <w:rFonts w:ascii="Times New Roman" w:eastAsia="Calibri" w:hAnsi="Times New Roman" w:cs="Times New Roman"/>
          <w:kern w:val="0"/>
          <w14:ligatures w14:val="none"/>
        </w:rPr>
        <w:t xml:space="preserve">, M., &amp; Abdalla, H. (2025). Endoscopic retrograde cholangiopancreatography services in Sudan during wartime: Innovations in crisis. Endoscopy International Open, 13, a26215666. </w:t>
      </w:r>
      <w:hyperlink r:id="rId7" w:history="1">
        <w:r w:rsidRPr="00EC1128">
          <w:rPr>
            <w:rStyle w:val="Hyperlink"/>
            <w:rFonts w:ascii="Times New Roman" w:eastAsia="Calibri" w:hAnsi="Times New Roman" w:cs="Times New Roman"/>
            <w:kern w:val="0"/>
            <w14:ligatures w14:val="none"/>
          </w:rPr>
          <w:t>https://doi.org/10.1055/a-2621-5666</w:t>
        </w:r>
      </w:hyperlink>
      <w:r>
        <w:rPr>
          <w:rFonts w:ascii="Times New Roman" w:eastAsia="Calibri" w:hAnsi="Times New Roman" w:cs="Times New Roman"/>
          <w:kern w:val="0"/>
          <w14:ligatures w14:val="none"/>
        </w:rPr>
        <w:t xml:space="preserve"> </w:t>
      </w:r>
    </w:p>
    <w:p w14:paraId="51B6D9CA"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236C94">
        <w:rPr>
          <w:rFonts w:ascii="Times New Roman" w:eastAsia="Calibri" w:hAnsi="Times New Roman" w:cs="Times New Roman"/>
          <w:kern w:val="0"/>
          <w14:ligatures w14:val="none"/>
        </w:rPr>
        <w:t xml:space="preserve">Al Masoud, A., </w:t>
      </w:r>
      <w:proofErr w:type="spellStart"/>
      <w:r w:rsidRPr="00236C94">
        <w:rPr>
          <w:rFonts w:ascii="Times New Roman" w:eastAsia="Calibri" w:hAnsi="Times New Roman" w:cs="Times New Roman"/>
          <w:kern w:val="0"/>
          <w14:ligatures w14:val="none"/>
        </w:rPr>
        <w:t>Zacharakis</w:t>
      </w:r>
      <w:proofErr w:type="spellEnd"/>
      <w:r w:rsidRPr="00236C94">
        <w:rPr>
          <w:rFonts w:ascii="Times New Roman" w:eastAsia="Calibri" w:hAnsi="Times New Roman" w:cs="Times New Roman"/>
          <w:kern w:val="0"/>
          <w14:ligatures w14:val="none"/>
        </w:rPr>
        <w:t>, G., Al-</w:t>
      </w:r>
      <w:proofErr w:type="spellStart"/>
      <w:r w:rsidRPr="00236C94">
        <w:rPr>
          <w:rFonts w:ascii="Times New Roman" w:eastAsia="Calibri" w:hAnsi="Times New Roman" w:cs="Times New Roman"/>
          <w:kern w:val="0"/>
          <w14:ligatures w14:val="none"/>
        </w:rPr>
        <w:t>Robayan</w:t>
      </w:r>
      <w:proofErr w:type="spellEnd"/>
      <w:r w:rsidRPr="00236C94">
        <w:rPr>
          <w:rFonts w:ascii="Times New Roman" w:eastAsia="Calibri" w:hAnsi="Times New Roman" w:cs="Times New Roman"/>
          <w:kern w:val="0"/>
          <w14:ligatures w14:val="none"/>
        </w:rPr>
        <w:t>, A., Al-</w:t>
      </w:r>
      <w:proofErr w:type="spellStart"/>
      <w:r w:rsidRPr="00236C94">
        <w:rPr>
          <w:rFonts w:ascii="Times New Roman" w:eastAsia="Calibri" w:hAnsi="Times New Roman" w:cs="Times New Roman"/>
          <w:kern w:val="0"/>
          <w14:ligatures w14:val="none"/>
        </w:rPr>
        <w:t>Meghaiseeb</w:t>
      </w:r>
      <w:proofErr w:type="spellEnd"/>
      <w:r w:rsidRPr="00236C94">
        <w:rPr>
          <w:rFonts w:ascii="Times New Roman" w:eastAsia="Calibri" w:hAnsi="Times New Roman" w:cs="Times New Roman"/>
          <w:kern w:val="0"/>
          <w14:ligatures w14:val="none"/>
        </w:rPr>
        <w:t>, E., Al-</w:t>
      </w:r>
      <w:proofErr w:type="spellStart"/>
      <w:r w:rsidRPr="00236C94">
        <w:rPr>
          <w:rFonts w:ascii="Times New Roman" w:eastAsia="Calibri" w:hAnsi="Times New Roman" w:cs="Times New Roman"/>
          <w:kern w:val="0"/>
          <w14:ligatures w14:val="none"/>
        </w:rPr>
        <w:t>Amro</w:t>
      </w:r>
      <w:proofErr w:type="spellEnd"/>
      <w:r w:rsidRPr="00236C94">
        <w:rPr>
          <w:rFonts w:ascii="Times New Roman" w:eastAsia="Calibri" w:hAnsi="Times New Roman" w:cs="Times New Roman"/>
          <w:kern w:val="0"/>
          <w14:ligatures w14:val="none"/>
        </w:rPr>
        <w:t xml:space="preserve">, R., Ghazal, H., </w:t>
      </w:r>
      <w:proofErr w:type="spellStart"/>
      <w:r w:rsidRPr="00236C94">
        <w:rPr>
          <w:rFonts w:ascii="Times New Roman" w:eastAsia="Calibri" w:hAnsi="Times New Roman" w:cs="Times New Roman"/>
          <w:kern w:val="0"/>
          <w14:ligatures w14:val="none"/>
        </w:rPr>
        <w:t>Alansari</w:t>
      </w:r>
      <w:proofErr w:type="spellEnd"/>
      <w:r w:rsidRPr="00236C94">
        <w:rPr>
          <w:rFonts w:ascii="Times New Roman" w:eastAsia="Calibri" w:hAnsi="Times New Roman" w:cs="Times New Roman"/>
          <w:kern w:val="0"/>
          <w14:ligatures w14:val="none"/>
        </w:rPr>
        <w:t xml:space="preserve">, N., </w:t>
      </w:r>
      <w:proofErr w:type="spellStart"/>
      <w:r w:rsidRPr="00236C94">
        <w:rPr>
          <w:rFonts w:ascii="Times New Roman" w:eastAsia="Calibri" w:hAnsi="Times New Roman" w:cs="Times New Roman"/>
          <w:kern w:val="0"/>
          <w14:ligatures w14:val="none"/>
        </w:rPr>
        <w:t>Mugren</w:t>
      </w:r>
      <w:proofErr w:type="spellEnd"/>
      <w:r w:rsidRPr="00236C94">
        <w:rPr>
          <w:rFonts w:ascii="Times New Roman" w:eastAsia="Calibri" w:hAnsi="Times New Roman" w:cs="Times New Roman"/>
          <w:kern w:val="0"/>
          <w14:ligatures w14:val="none"/>
        </w:rPr>
        <w:t xml:space="preserve">, N. B., </w:t>
      </w:r>
      <w:proofErr w:type="spellStart"/>
      <w:r w:rsidRPr="00236C94">
        <w:rPr>
          <w:rFonts w:ascii="Times New Roman" w:eastAsia="Calibri" w:hAnsi="Times New Roman" w:cs="Times New Roman"/>
          <w:kern w:val="0"/>
          <w14:ligatures w14:val="none"/>
        </w:rPr>
        <w:t>Alshablan</w:t>
      </w:r>
      <w:proofErr w:type="spellEnd"/>
      <w:r w:rsidRPr="00236C94">
        <w:rPr>
          <w:rFonts w:ascii="Times New Roman" w:eastAsia="Calibri" w:hAnsi="Times New Roman" w:cs="Times New Roman"/>
          <w:kern w:val="0"/>
          <w14:ligatures w14:val="none"/>
        </w:rPr>
        <w:t xml:space="preserve">, A., </w:t>
      </w:r>
      <w:proofErr w:type="spellStart"/>
      <w:r w:rsidRPr="00236C94">
        <w:rPr>
          <w:rFonts w:ascii="Times New Roman" w:eastAsia="Calibri" w:hAnsi="Times New Roman" w:cs="Times New Roman"/>
          <w:kern w:val="0"/>
          <w14:ligatures w14:val="none"/>
        </w:rPr>
        <w:t>Aldawish</w:t>
      </w:r>
      <w:proofErr w:type="spellEnd"/>
      <w:r w:rsidRPr="00236C94">
        <w:rPr>
          <w:rFonts w:ascii="Times New Roman" w:eastAsia="Calibri" w:hAnsi="Times New Roman" w:cs="Times New Roman"/>
          <w:kern w:val="0"/>
          <w14:ligatures w14:val="none"/>
        </w:rPr>
        <w:t xml:space="preserve">, A., &amp; </w:t>
      </w:r>
      <w:proofErr w:type="spellStart"/>
      <w:r w:rsidRPr="00236C94">
        <w:rPr>
          <w:rFonts w:ascii="Times New Roman" w:eastAsia="Calibri" w:hAnsi="Times New Roman" w:cs="Times New Roman"/>
          <w:kern w:val="0"/>
          <w14:ligatures w14:val="none"/>
        </w:rPr>
        <w:t>Alduhayshi</w:t>
      </w:r>
      <w:proofErr w:type="spellEnd"/>
      <w:r w:rsidRPr="00236C94">
        <w:rPr>
          <w:rFonts w:ascii="Times New Roman" w:eastAsia="Calibri" w:hAnsi="Times New Roman" w:cs="Times New Roman"/>
          <w:kern w:val="0"/>
          <w14:ligatures w14:val="none"/>
        </w:rPr>
        <w:t xml:space="preserve">, A. (2025). Endoscopic retrograde cholangiopancreatography of geriatric patients with cholangitis: A single-center experience in central Saudi Arabia. Saudi Journal of Gastroenterology, 31(6), 338–346. </w:t>
      </w:r>
      <w:hyperlink r:id="rId8" w:history="1">
        <w:r w:rsidRPr="00EC1128">
          <w:rPr>
            <w:rStyle w:val="Hyperlink"/>
            <w:rFonts w:ascii="Times New Roman" w:eastAsia="Calibri" w:hAnsi="Times New Roman" w:cs="Times New Roman"/>
            <w:kern w:val="0"/>
            <w14:ligatures w14:val="none"/>
          </w:rPr>
          <w:t>https://doi.org/10.4103/sjg.sjg_205_25</w:t>
        </w:r>
      </w:hyperlink>
      <w:r>
        <w:rPr>
          <w:rFonts w:ascii="Times New Roman" w:eastAsia="Calibri" w:hAnsi="Times New Roman" w:cs="Times New Roman"/>
          <w:kern w:val="0"/>
          <w14:ligatures w14:val="none"/>
        </w:rPr>
        <w:t xml:space="preserve"> </w:t>
      </w:r>
    </w:p>
    <w:p w14:paraId="01228E39"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236C94">
        <w:rPr>
          <w:rFonts w:ascii="Times New Roman" w:eastAsia="Calibri" w:hAnsi="Times New Roman" w:cs="Times New Roman"/>
          <w:kern w:val="0"/>
          <w14:ligatures w14:val="none"/>
        </w:rPr>
        <w:t>Alatise</w:t>
      </w:r>
      <w:proofErr w:type="spellEnd"/>
      <w:r w:rsidRPr="00236C94">
        <w:rPr>
          <w:rFonts w:ascii="Times New Roman" w:eastAsia="Calibri" w:hAnsi="Times New Roman" w:cs="Times New Roman"/>
          <w:kern w:val="0"/>
          <w14:ligatures w14:val="none"/>
        </w:rPr>
        <w:t xml:space="preserve">, O. I., </w:t>
      </w:r>
      <w:proofErr w:type="spellStart"/>
      <w:r w:rsidRPr="00236C94">
        <w:rPr>
          <w:rFonts w:ascii="Times New Roman" w:eastAsia="Calibri" w:hAnsi="Times New Roman" w:cs="Times New Roman"/>
          <w:kern w:val="0"/>
          <w14:ligatures w14:val="none"/>
        </w:rPr>
        <w:t>Owojuyigbe</w:t>
      </w:r>
      <w:proofErr w:type="spellEnd"/>
      <w:r w:rsidRPr="00236C94">
        <w:rPr>
          <w:rFonts w:ascii="Times New Roman" w:eastAsia="Calibri" w:hAnsi="Times New Roman" w:cs="Times New Roman"/>
          <w:kern w:val="0"/>
          <w14:ligatures w14:val="none"/>
        </w:rPr>
        <w:t xml:space="preserve">, A. M., </w:t>
      </w:r>
      <w:proofErr w:type="spellStart"/>
      <w:r w:rsidRPr="00236C94">
        <w:rPr>
          <w:rFonts w:ascii="Times New Roman" w:eastAsia="Calibri" w:hAnsi="Times New Roman" w:cs="Times New Roman"/>
          <w:kern w:val="0"/>
          <w14:ligatures w14:val="none"/>
        </w:rPr>
        <w:t>Omisore</w:t>
      </w:r>
      <w:proofErr w:type="spellEnd"/>
      <w:r w:rsidRPr="00236C94">
        <w:rPr>
          <w:rFonts w:ascii="Times New Roman" w:eastAsia="Calibri" w:hAnsi="Times New Roman" w:cs="Times New Roman"/>
          <w:kern w:val="0"/>
          <w14:ligatures w14:val="none"/>
        </w:rPr>
        <w:t xml:space="preserve">, A. D., </w:t>
      </w:r>
      <w:proofErr w:type="spellStart"/>
      <w:r w:rsidRPr="00236C94">
        <w:rPr>
          <w:rFonts w:ascii="Times New Roman" w:eastAsia="Calibri" w:hAnsi="Times New Roman" w:cs="Times New Roman"/>
          <w:kern w:val="0"/>
          <w14:ligatures w14:val="none"/>
        </w:rPr>
        <w:t>Ndububa</w:t>
      </w:r>
      <w:proofErr w:type="spellEnd"/>
      <w:r w:rsidRPr="00236C94">
        <w:rPr>
          <w:rFonts w:ascii="Times New Roman" w:eastAsia="Calibri" w:hAnsi="Times New Roman" w:cs="Times New Roman"/>
          <w:kern w:val="0"/>
          <w14:ligatures w14:val="none"/>
        </w:rPr>
        <w:t xml:space="preserve">, D. A., </w:t>
      </w:r>
      <w:proofErr w:type="spellStart"/>
      <w:r w:rsidRPr="00236C94">
        <w:rPr>
          <w:rFonts w:ascii="Times New Roman" w:eastAsia="Calibri" w:hAnsi="Times New Roman" w:cs="Times New Roman"/>
          <w:kern w:val="0"/>
          <w14:ligatures w14:val="none"/>
        </w:rPr>
        <w:t>Aburime</w:t>
      </w:r>
      <w:proofErr w:type="spellEnd"/>
      <w:r w:rsidRPr="00236C94">
        <w:rPr>
          <w:rFonts w:ascii="Times New Roman" w:eastAsia="Calibri" w:hAnsi="Times New Roman" w:cs="Times New Roman"/>
          <w:kern w:val="0"/>
          <w14:ligatures w14:val="none"/>
        </w:rPr>
        <w:t xml:space="preserve">, E., </w:t>
      </w:r>
      <w:proofErr w:type="spellStart"/>
      <w:r w:rsidRPr="00236C94">
        <w:rPr>
          <w:rFonts w:ascii="Times New Roman" w:eastAsia="Calibri" w:hAnsi="Times New Roman" w:cs="Times New Roman"/>
          <w:kern w:val="0"/>
          <w14:ligatures w14:val="none"/>
        </w:rPr>
        <w:t>Dua</w:t>
      </w:r>
      <w:proofErr w:type="spellEnd"/>
      <w:r w:rsidRPr="00236C94">
        <w:rPr>
          <w:rFonts w:ascii="Times New Roman" w:eastAsia="Calibri" w:hAnsi="Times New Roman" w:cs="Times New Roman"/>
          <w:kern w:val="0"/>
          <w14:ligatures w14:val="none"/>
        </w:rPr>
        <w:t xml:space="preserve">, K. S., &amp; </w:t>
      </w:r>
      <w:proofErr w:type="spellStart"/>
      <w:r w:rsidRPr="00236C94">
        <w:rPr>
          <w:rFonts w:ascii="Times New Roman" w:eastAsia="Calibri" w:hAnsi="Times New Roman" w:cs="Times New Roman"/>
          <w:kern w:val="0"/>
          <w14:ligatures w14:val="none"/>
        </w:rPr>
        <w:t>Asombang</w:t>
      </w:r>
      <w:proofErr w:type="spellEnd"/>
      <w:r w:rsidRPr="00236C94">
        <w:rPr>
          <w:rFonts w:ascii="Times New Roman" w:eastAsia="Calibri" w:hAnsi="Times New Roman" w:cs="Times New Roman"/>
          <w:kern w:val="0"/>
          <w14:ligatures w14:val="none"/>
        </w:rPr>
        <w:t xml:space="preserve">, A. W. (2020). Endoscopic management and clinical outcomes of obstructive jaundice. Nigerian Postgraduate Medical Journal, 27(4), 302–310. </w:t>
      </w:r>
      <w:hyperlink r:id="rId9" w:history="1">
        <w:r w:rsidRPr="00EC1128">
          <w:rPr>
            <w:rStyle w:val="Hyperlink"/>
            <w:rFonts w:ascii="Times New Roman" w:eastAsia="Calibri" w:hAnsi="Times New Roman" w:cs="Times New Roman"/>
            <w:kern w:val="0"/>
            <w14:ligatures w14:val="none"/>
          </w:rPr>
          <w:t>https://doi.org/10.4103/npmj.npmj_242_20</w:t>
        </w:r>
      </w:hyperlink>
      <w:r>
        <w:rPr>
          <w:rFonts w:ascii="Times New Roman" w:eastAsia="Calibri" w:hAnsi="Times New Roman" w:cs="Times New Roman"/>
          <w:kern w:val="0"/>
          <w14:ligatures w14:val="none"/>
        </w:rPr>
        <w:t xml:space="preserve"> </w:t>
      </w:r>
    </w:p>
    <w:p w14:paraId="130D5341"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236C94">
        <w:rPr>
          <w:rFonts w:ascii="Times New Roman" w:eastAsia="Calibri" w:hAnsi="Times New Roman" w:cs="Times New Roman"/>
          <w:kern w:val="0"/>
          <w14:ligatures w14:val="none"/>
        </w:rPr>
        <w:t>Badar</w:t>
      </w:r>
      <w:proofErr w:type="spellEnd"/>
      <w:r w:rsidRPr="00236C94">
        <w:rPr>
          <w:rFonts w:ascii="Times New Roman" w:eastAsia="Calibri" w:hAnsi="Times New Roman" w:cs="Times New Roman"/>
          <w:kern w:val="0"/>
          <w14:ligatures w14:val="none"/>
        </w:rPr>
        <w:t xml:space="preserve">, M. K., Ali, J., Imran, B., Rasheed, M. U., Kaleem, M. U., &amp; Raza, A. (2025). Endoscopic retrograde cholangiopancreatography for choledocholithiasis: Clinical outcomes and predictors of complications. </w:t>
      </w:r>
      <w:proofErr w:type="spellStart"/>
      <w:r w:rsidRPr="00236C94">
        <w:rPr>
          <w:rFonts w:ascii="Times New Roman" w:eastAsia="Calibri" w:hAnsi="Times New Roman" w:cs="Times New Roman"/>
          <w:kern w:val="0"/>
          <w14:ligatures w14:val="none"/>
        </w:rPr>
        <w:t>Cureus</w:t>
      </w:r>
      <w:proofErr w:type="spellEnd"/>
      <w:r w:rsidRPr="00236C94">
        <w:rPr>
          <w:rFonts w:ascii="Times New Roman" w:eastAsia="Calibri" w:hAnsi="Times New Roman" w:cs="Times New Roman"/>
          <w:kern w:val="0"/>
          <w14:ligatures w14:val="none"/>
        </w:rPr>
        <w:t xml:space="preserve">, 17(10), e95865. </w:t>
      </w:r>
      <w:hyperlink r:id="rId10" w:history="1">
        <w:r w:rsidRPr="00EC1128">
          <w:rPr>
            <w:rStyle w:val="Hyperlink"/>
            <w:rFonts w:ascii="Times New Roman" w:eastAsia="Calibri" w:hAnsi="Times New Roman" w:cs="Times New Roman"/>
            <w:kern w:val="0"/>
            <w14:ligatures w14:val="none"/>
          </w:rPr>
          <w:t>https://doi.org/10.7759/cureus.95865</w:t>
        </w:r>
      </w:hyperlink>
      <w:r>
        <w:rPr>
          <w:rFonts w:ascii="Times New Roman" w:eastAsia="Calibri" w:hAnsi="Times New Roman" w:cs="Times New Roman"/>
          <w:kern w:val="0"/>
          <w14:ligatures w14:val="none"/>
        </w:rPr>
        <w:t xml:space="preserve"> </w:t>
      </w:r>
    </w:p>
    <w:p w14:paraId="59C61F00"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236C94">
        <w:rPr>
          <w:rFonts w:ascii="Times New Roman" w:eastAsia="Calibri" w:hAnsi="Times New Roman" w:cs="Times New Roman"/>
          <w:kern w:val="0"/>
          <w14:ligatures w14:val="none"/>
        </w:rPr>
        <w:t xml:space="preserve">Brand, N. R., Qu, L. G., Chao, A., &amp; </w:t>
      </w:r>
      <w:proofErr w:type="spellStart"/>
      <w:r w:rsidRPr="00236C94">
        <w:rPr>
          <w:rFonts w:ascii="Times New Roman" w:eastAsia="Calibri" w:hAnsi="Times New Roman" w:cs="Times New Roman"/>
          <w:kern w:val="0"/>
          <w14:ligatures w14:val="none"/>
        </w:rPr>
        <w:t>Ilbawi</w:t>
      </w:r>
      <w:proofErr w:type="spellEnd"/>
      <w:r w:rsidRPr="00236C94">
        <w:rPr>
          <w:rFonts w:ascii="Times New Roman" w:eastAsia="Calibri" w:hAnsi="Times New Roman" w:cs="Times New Roman"/>
          <w:kern w:val="0"/>
          <w14:ligatures w14:val="none"/>
        </w:rPr>
        <w:t xml:space="preserve">, A. M. (2019). Delays and barriers to cancer care in low- and middle-income countries: A systematic review. The Oncologist, 24(12), e1371–e1380. </w:t>
      </w:r>
      <w:hyperlink r:id="rId11" w:history="1">
        <w:r w:rsidRPr="00EC1128">
          <w:rPr>
            <w:rStyle w:val="Hyperlink"/>
            <w:rFonts w:ascii="Times New Roman" w:eastAsia="Calibri" w:hAnsi="Times New Roman" w:cs="Times New Roman"/>
            <w:kern w:val="0"/>
            <w14:ligatures w14:val="none"/>
          </w:rPr>
          <w:t>https://doi.org/10.1634/theoncologist.2019-0057</w:t>
        </w:r>
      </w:hyperlink>
      <w:r>
        <w:rPr>
          <w:rFonts w:ascii="Times New Roman" w:eastAsia="Calibri" w:hAnsi="Times New Roman" w:cs="Times New Roman"/>
          <w:kern w:val="0"/>
          <w14:ligatures w14:val="none"/>
        </w:rPr>
        <w:t xml:space="preserve"> </w:t>
      </w:r>
    </w:p>
    <w:p w14:paraId="4CE9123F"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236C94">
        <w:rPr>
          <w:rFonts w:ascii="Times New Roman" w:eastAsia="Calibri" w:hAnsi="Times New Roman" w:cs="Times New Roman"/>
          <w:kern w:val="0"/>
          <w14:ligatures w14:val="none"/>
        </w:rPr>
        <w:t>Coucke</w:t>
      </w:r>
      <w:proofErr w:type="spellEnd"/>
      <w:r w:rsidRPr="00236C94">
        <w:rPr>
          <w:rFonts w:ascii="Times New Roman" w:eastAsia="Calibri" w:hAnsi="Times New Roman" w:cs="Times New Roman"/>
          <w:kern w:val="0"/>
          <w14:ligatures w14:val="none"/>
        </w:rPr>
        <w:t xml:space="preserve">, E. M., Akbar, H., </w:t>
      </w:r>
      <w:proofErr w:type="spellStart"/>
      <w:r w:rsidRPr="00236C94">
        <w:rPr>
          <w:rFonts w:ascii="Times New Roman" w:eastAsia="Calibri" w:hAnsi="Times New Roman" w:cs="Times New Roman"/>
          <w:kern w:val="0"/>
          <w14:ligatures w14:val="none"/>
        </w:rPr>
        <w:t>Kahloon</w:t>
      </w:r>
      <w:proofErr w:type="spellEnd"/>
      <w:r w:rsidRPr="00236C94">
        <w:rPr>
          <w:rFonts w:ascii="Times New Roman" w:eastAsia="Calibri" w:hAnsi="Times New Roman" w:cs="Times New Roman"/>
          <w:kern w:val="0"/>
          <w14:ligatures w14:val="none"/>
        </w:rPr>
        <w:t xml:space="preserve">, A., &amp; Lopez, P. P. (2025). Biliary obstruction. In </w:t>
      </w:r>
      <w:proofErr w:type="spellStart"/>
      <w:r w:rsidRPr="00236C94">
        <w:rPr>
          <w:rFonts w:ascii="Times New Roman" w:eastAsia="Calibri" w:hAnsi="Times New Roman" w:cs="Times New Roman"/>
          <w:kern w:val="0"/>
          <w14:ligatures w14:val="none"/>
        </w:rPr>
        <w:t>StatPearls</w:t>
      </w:r>
      <w:proofErr w:type="spellEnd"/>
      <w:r w:rsidRPr="00236C94">
        <w:rPr>
          <w:rFonts w:ascii="Times New Roman" w:eastAsia="Calibri" w:hAnsi="Times New Roman" w:cs="Times New Roman"/>
          <w:kern w:val="0"/>
          <w14:ligatures w14:val="none"/>
        </w:rPr>
        <w:t xml:space="preserve">. </w:t>
      </w:r>
      <w:proofErr w:type="spellStart"/>
      <w:r w:rsidRPr="00236C94">
        <w:rPr>
          <w:rFonts w:ascii="Times New Roman" w:eastAsia="Calibri" w:hAnsi="Times New Roman" w:cs="Times New Roman"/>
          <w:kern w:val="0"/>
          <w14:ligatures w14:val="none"/>
        </w:rPr>
        <w:t>StatPearls</w:t>
      </w:r>
      <w:proofErr w:type="spellEnd"/>
      <w:r w:rsidRPr="00236C94">
        <w:rPr>
          <w:rFonts w:ascii="Times New Roman" w:eastAsia="Calibri" w:hAnsi="Times New Roman" w:cs="Times New Roman"/>
          <w:kern w:val="0"/>
          <w14:ligatures w14:val="none"/>
        </w:rPr>
        <w:t xml:space="preserve"> Publishing. </w:t>
      </w:r>
      <w:hyperlink r:id="rId12" w:history="1">
        <w:r w:rsidRPr="00EC1128">
          <w:rPr>
            <w:rStyle w:val="Hyperlink"/>
            <w:rFonts w:ascii="Times New Roman" w:eastAsia="Calibri" w:hAnsi="Times New Roman" w:cs="Times New Roman"/>
            <w:kern w:val="0"/>
            <w14:ligatures w14:val="none"/>
          </w:rPr>
          <w:t>https://www.ncbi.nlm.nih.gov/books/NBK539698/</w:t>
        </w:r>
      </w:hyperlink>
      <w:r>
        <w:rPr>
          <w:rFonts w:ascii="Times New Roman" w:eastAsia="Calibri" w:hAnsi="Times New Roman" w:cs="Times New Roman"/>
          <w:kern w:val="0"/>
          <w14:ligatures w14:val="none"/>
        </w:rPr>
        <w:t xml:space="preserve"> </w:t>
      </w:r>
    </w:p>
    <w:p w14:paraId="3B4C3015"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236C94">
        <w:rPr>
          <w:rFonts w:ascii="Times New Roman" w:eastAsia="Calibri" w:hAnsi="Times New Roman" w:cs="Times New Roman"/>
          <w:kern w:val="0"/>
          <w14:ligatures w14:val="none"/>
        </w:rPr>
        <w:t xml:space="preserve">Gopinath, V., &amp; Adithya, S. S. (2025). A clinical study on presentation of obstructive jaundice in inflammation, stone disease and malignancy in a tertiary care hospital at rural area. Research Journal of Medical Sciences. </w:t>
      </w:r>
      <w:hyperlink r:id="rId13" w:history="1">
        <w:r w:rsidRPr="00EC1128">
          <w:rPr>
            <w:rStyle w:val="Hyperlink"/>
            <w:rFonts w:ascii="Times New Roman" w:eastAsia="Calibri" w:hAnsi="Times New Roman" w:cs="Times New Roman"/>
            <w:kern w:val="0"/>
            <w14:ligatures w14:val="none"/>
          </w:rPr>
          <w:t>https://doi.org/10.36478/makrjms.2025.4.82.86</w:t>
        </w:r>
      </w:hyperlink>
      <w:r>
        <w:rPr>
          <w:rFonts w:ascii="Times New Roman" w:eastAsia="Calibri" w:hAnsi="Times New Roman" w:cs="Times New Roman"/>
          <w:kern w:val="0"/>
          <w14:ligatures w14:val="none"/>
        </w:rPr>
        <w:t xml:space="preserve"> </w:t>
      </w:r>
    </w:p>
    <w:p w14:paraId="005D30BE"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236C94">
        <w:rPr>
          <w:rFonts w:ascii="Times New Roman" w:eastAsia="Calibri" w:hAnsi="Times New Roman" w:cs="Times New Roman"/>
          <w:kern w:val="0"/>
          <w14:ligatures w14:val="none"/>
        </w:rPr>
        <w:t>Kalas</w:t>
      </w:r>
      <w:proofErr w:type="spellEnd"/>
      <w:r w:rsidRPr="00236C94">
        <w:rPr>
          <w:rFonts w:ascii="Times New Roman" w:eastAsia="Calibri" w:hAnsi="Times New Roman" w:cs="Times New Roman"/>
          <w:kern w:val="0"/>
          <w14:ligatures w14:val="none"/>
        </w:rPr>
        <w:t xml:space="preserve">, M. A., Chavez, L., Leon, M., </w:t>
      </w:r>
      <w:proofErr w:type="spellStart"/>
      <w:r w:rsidRPr="00236C94">
        <w:rPr>
          <w:rFonts w:ascii="Times New Roman" w:eastAsia="Calibri" w:hAnsi="Times New Roman" w:cs="Times New Roman"/>
          <w:kern w:val="0"/>
          <w14:ligatures w14:val="none"/>
        </w:rPr>
        <w:t>Taweesedt</w:t>
      </w:r>
      <w:proofErr w:type="spellEnd"/>
      <w:r w:rsidRPr="00236C94">
        <w:rPr>
          <w:rFonts w:ascii="Times New Roman" w:eastAsia="Calibri" w:hAnsi="Times New Roman" w:cs="Times New Roman"/>
          <w:kern w:val="0"/>
          <w14:ligatures w14:val="none"/>
        </w:rPr>
        <w:t xml:space="preserve">, P. T., &amp; </w:t>
      </w:r>
      <w:proofErr w:type="spellStart"/>
      <w:r w:rsidRPr="00236C94">
        <w:rPr>
          <w:rFonts w:ascii="Times New Roman" w:eastAsia="Calibri" w:hAnsi="Times New Roman" w:cs="Times New Roman"/>
          <w:kern w:val="0"/>
          <w14:ligatures w14:val="none"/>
        </w:rPr>
        <w:t>Surani</w:t>
      </w:r>
      <w:proofErr w:type="spellEnd"/>
      <w:r w:rsidRPr="00236C94">
        <w:rPr>
          <w:rFonts w:ascii="Times New Roman" w:eastAsia="Calibri" w:hAnsi="Times New Roman" w:cs="Times New Roman"/>
          <w:kern w:val="0"/>
          <w14:ligatures w14:val="none"/>
        </w:rPr>
        <w:t xml:space="preserve">, S. (2021). Abnormal liver enzymes: A review for clinicians. World Journal of Hepatology, 13(11), 1688–1698. </w:t>
      </w:r>
      <w:hyperlink r:id="rId14" w:history="1">
        <w:r w:rsidRPr="00EC1128">
          <w:rPr>
            <w:rStyle w:val="Hyperlink"/>
            <w:rFonts w:ascii="Times New Roman" w:eastAsia="Calibri" w:hAnsi="Times New Roman" w:cs="Times New Roman"/>
            <w:kern w:val="0"/>
            <w14:ligatures w14:val="none"/>
          </w:rPr>
          <w:t>https://doi.org/10.4254/wjh.v13.i11.1688</w:t>
        </w:r>
      </w:hyperlink>
      <w:r>
        <w:rPr>
          <w:rFonts w:ascii="Times New Roman" w:eastAsia="Calibri" w:hAnsi="Times New Roman" w:cs="Times New Roman"/>
          <w:kern w:val="0"/>
          <w14:ligatures w14:val="none"/>
        </w:rPr>
        <w:t xml:space="preserve"> </w:t>
      </w:r>
    </w:p>
    <w:p w14:paraId="3DFE56D9" w14:textId="77777777" w:rsidR="00236C94" w:rsidRDefault="00236C94" w:rsidP="009D422E">
      <w:pPr>
        <w:spacing w:before="100" w:beforeAutospacing="1" w:after="100" w:afterAutospacing="1" w:line="240" w:lineRule="auto"/>
        <w:ind w:left="720" w:hanging="720"/>
        <w:jc w:val="both"/>
        <w:rPr>
          <w:rFonts w:ascii="Times New Roman" w:eastAsia="Calibri" w:hAnsi="Times New Roman" w:cs="Times New Roman"/>
          <w:kern w:val="0"/>
          <w14:ligatures w14:val="none"/>
        </w:rPr>
      </w:pPr>
      <w:r w:rsidRPr="00236C94">
        <w:rPr>
          <w:rFonts w:ascii="Times New Roman" w:eastAsia="Calibri" w:hAnsi="Times New Roman" w:cs="Times New Roman"/>
          <w:kern w:val="0"/>
          <w14:ligatures w14:val="none"/>
        </w:rPr>
        <w:t xml:space="preserve">Kang, K. Y., Hong, Y. S., Park, S. H., &amp; Ju, J. H. (2015). Increased serum alkaline phosphatase levels correlate with high disease activity and low bone mineral density in patients with </w:t>
      </w:r>
      <w:r w:rsidRPr="00236C94">
        <w:rPr>
          <w:rFonts w:ascii="Times New Roman" w:eastAsia="Calibri" w:hAnsi="Times New Roman" w:cs="Times New Roman"/>
          <w:kern w:val="0"/>
          <w14:ligatures w14:val="none"/>
        </w:rPr>
        <w:lastRenderedPageBreak/>
        <w:t xml:space="preserve">axial </w:t>
      </w:r>
      <w:proofErr w:type="spellStart"/>
      <w:r w:rsidRPr="00236C94">
        <w:rPr>
          <w:rFonts w:ascii="Times New Roman" w:eastAsia="Calibri" w:hAnsi="Times New Roman" w:cs="Times New Roman"/>
          <w:kern w:val="0"/>
          <w14:ligatures w14:val="none"/>
        </w:rPr>
        <w:t>spondyloarthritis</w:t>
      </w:r>
      <w:proofErr w:type="spellEnd"/>
      <w:r w:rsidRPr="00236C94">
        <w:rPr>
          <w:rFonts w:ascii="Times New Roman" w:eastAsia="Calibri" w:hAnsi="Times New Roman" w:cs="Times New Roman"/>
          <w:kern w:val="0"/>
          <w14:ligatures w14:val="none"/>
        </w:rPr>
        <w:t xml:space="preserve">. Seminars in Arthritis and Rheumatism, 45(2), 202–207. </w:t>
      </w:r>
      <w:hyperlink r:id="rId15" w:history="1">
        <w:r w:rsidRPr="00EC1128">
          <w:rPr>
            <w:rStyle w:val="Hyperlink"/>
            <w:rFonts w:ascii="Times New Roman" w:eastAsia="Calibri" w:hAnsi="Times New Roman" w:cs="Times New Roman"/>
            <w:kern w:val="0"/>
            <w14:ligatures w14:val="none"/>
          </w:rPr>
          <w:t>https://doi.org/10.1016/j.semarthrit.2015.03.002</w:t>
        </w:r>
      </w:hyperlink>
      <w:r>
        <w:rPr>
          <w:rFonts w:ascii="Times New Roman" w:eastAsia="Calibri" w:hAnsi="Times New Roman" w:cs="Times New Roman"/>
          <w:kern w:val="0"/>
          <w14:ligatures w14:val="none"/>
        </w:rPr>
        <w:t xml:space="preserve"> </w:t>
      </w:r>
    </w:p>
    <w:p w14:paraId="7A7E7019"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236C94">
        <w:rPr>
          <w:rFonts w:ascii="Times New Roman" w:eastAsia="Calibri" w:hAnsi="Times New Roman" w:cs="Times New Roman"/>
          <w:kern w:val="0"/>
          <w14:ligatures w14:val="none"/>
        </w:rPr>
        <w:t xml:space="preserve">Lal, M., &amp; </w:t>
      </w:r>
      <w:proofErr w:type="spellStart"/>
      <w:r w:rsidRPr="00236C94">
        <w:rPr>
          <w:rFonts w:ascii="Times New Roman" w:eastAsia="Calibri" w:hAnsi="Times New Roman" w:cs="Times New Roman"/>
          <w:kern w:val="0"/>
          <w14:ligatures w14:val="none"/>
        </w:rPr>
        <w:t>Dayal</w:t>
      </w:r>
      <w:proofErr w:type="spellEnd"/>
      <w:r w:rsidRPr="00236C94">
        <w:rPr>
          <w:rFonts w:ascii="Times New Roman" w:eastAsia="Calibri" w:hAnsi="Times New Roman" w:cs="Times New Roman"/>
          <w:kern w:val="0"/>
          <w14:ligatures w14:val="none"/>
        </w:rPr>
        <w:t xml:space="preserve">, P. (2019). Liver function trends after biliary decompression in obstructive jaundice: a </w:t>
      </w:r>
      <w:proofErr w:type="spellStart"/>
      <w:r w:rsidRPr="00236C94">
        <w:rPr>
          <w:rFonts w:ascii="Times New Roman" w:eastAsia="Calibri" w:hAnsi="Times New Roman" w:cs="Times New Roman"/>
          <w:kern w:val="0"/>
          <w14:ligatures w14:val="none"/>
        </w:rPr>
        <w:t>clinico</w:t>
      </w:r>
      <w:proofErr w:type="spellEnd"/>
      <w:r w:rsidRPr="00236C94">
        <w:rPr>
          <w:rFonts w:ascii="Times New Roman" w:eastAsia="Calibri" w:hAnsi="Times New Roman" w:cs="Times New Roman"/>
          <w:kern w:val="0"/>
          <w14:ligatures w14:val="none"/>
        </w:rPr>
        <w:t xml:space="preserve">-pathological-biochemical study. International Surgery Journal, 7(1), 168–177. </w:t>
      </w:r>
      <w:hyperlink r:id="rId16" w:history="1">
        <w:r w:rsidRPr="00EC1128">
          <w:rPr>
            <w:rStyle w:val="Hyperlink"/>
            <w:rFonts w:ascii="Times New Roman" w:eastAsia="Calibri" w:hAnsi="Times New Roman" w:cs="Times New Roman"/>
            <w:kern w:val="0"/>
            <w14:ligatures w14:val="none"/>
          </w:rPr>
          <w:t>https://doi.org/10.18203/2349-2902.isj20195964</w:t>
        </w:r>
      </w:hyperlink>
      <w:r>
        <w:rPr>
          <w:rFonts w:ascii="Times New Roman" w:eastAsia="Calibri" w:hAnsi="Times New Roman" w:cs="Times New Roman"/>
          <w:kern w:val="0"/>
          <w14:ligatures w14:val="none"/>
        </w:rPr>
        <w:t xml:space="preserve"> </w:t>
      </w:r>
    </w:p>
    <w:p w14:paraId="72BD07B2" w14:textId="77777777" w:rsidR="00236C94" w:rsidRDefault="00236C94"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236C94">
        <w:rPr>
          <w:rFonts w:ascii="Times New Roman" w:eastAsia="Calibri" w:hAnsi="Times New Roman" w:cs="Times New Roman"/>
          <w:kern w:val="0"/>
          <w14:ligatures w14:val="none"/>
        </w:rPr>
        <w:t>Lekharaju</w:t>
      </w:r>
      <w:proofErr w:type="spellEnd"/>
      <w:r w:rsidRPr="00236C94">
        <w:rPr>
          <w:rFonts w:ascii="Times New Roman" w:eastAsia="Calibri" w:hAnsi="Times New Roman" w:cs="Times New Roman"/>
          <w:kern w:val="0"/>
          <w14:ligatures w14:val="none"/>
        </w:rPr>
        <w:t xml:space="preserve">, V. P. K., Iqbal, J., </w:t>
      </w:r>
      <w:proofErr w:type="spellStart"/>
      <w:r w:rsidRPr="00236C94">
        <w:rPr>
          <w:rFonts w:ascii="Times New Roman" w:eastAsia="Calibri" w:hAnsi="Times New Roman" w:cs="Times New Roman"/>
          <w:kern w:val="0"/>
          <w14:ligatures w14:val="none"/>
        </w:rPr>
        <w:t>Noorullah</w:t>
      </w:r>
      <w:proofErr w:type="spellEnd"/>
      <w:r w:rsidRPr="00236C94">
        <w:rPr>
          <w:rFonts w:ascii="Times New Roman" w:eastAsia="Calibri" w:hAnsi="Times New Roman" w:cs="Times New Roman"/>
          <w:kern w:val="0"/>
          <w14:ligatures w14:val="none"/>
        </w:rPr>
        <w:t xml:space="preserve">, O., </w:t>
      </w:r>
      <w:proofErr w:type="spellStart"/>
      <w:r w:rsidRPr="00236C94">
        <w:rPr>
          <w:rFonts w:ascii="Times New Roman" w:eastAsia="Calibri" w:hAnsi="Times New Roman" w:cs="Times New Roman"/>
          <w:kern w:val="0"/>
          <w14:ligatures w14:val="none"/>
        </w:rPr>
        <w:t>Polavarapu</w:t>
      </w:r>
      <w:proofErr w:type="spellEnd"/>
      <w:r w:rsidRPr="00236C94">
        <w:rPr>
          <w:rFonts w:ascii="Times New Roman" w:eastAsia="Calibri" w:hAnsi="Times New Roman" w:cs="Times New Roman"/>
          <w:kern w:val="0"/>
          <w14:ligatures w14:val="none"/>
        </w:rPr>
        <w:t xml:space="preserve">, N., Menon, S., Hood, S., Stern, N., &amp; </w:t>
      </w:r>
      <w:proofErr w:type="spellStart"/>
      <w:r w:rsidRPr="00236C94">
        <w:rPr>
          <w:rFonts w:ascii="Times New Roman" w:eastAsia="Calibri" w:hAnsi="Times New Roman" w:cs="Times New Roman"/>
          <w:kern w:val="0"/>
          <w14:ligatures w14:val="none"/>
        </w:rPr>
        <w:t>Sturgess</w:t>
      </w:r>
      <w:proofErr w:type="spellEnd"/>
      <w:r w:rsidRPr="00236C94">
        <w:rPr>
          <w:rFonts w:ascii="Times New Roman" w:eastAsia="Calibri" w:hAnsi="Times New Roman" w:cs="Times New Roman"/>
          <w:kern w:val="0"/>
          <w14:ligatures w14:val="none"/>
        </w:rPr>
        <w:t xml:space="preserve">, R. (2013). Emergency endoscopic retrograde cholangiopancreatography in critically ill patients is a safe and effective procedure. Frontline Gastroenterology, 4(2), 138–142. </w:t>
      </w:r>
      <w:hyperlink r:id="rId17" w:history="1">
        <w:r w:rsidRPr="00EC1128">
          <w:rPr>
            <w:rStyle w:val="Hyperlink"/>
            <w:rFonts w:ascii="Times New Roman" w:eastAsia="Calibri" w:hAnsi="Times New Roman" w:cs="Times New Roman"/>
            <w:kern w:val="0"/>
            <w14:ligatures w14:val="none"/>
          </w:rPr>
          <w:t>https://doi.org/10.1136/flgastro-2012-100239</w:t>
        </w:r>
      </w:hyperlink>
      <w:r>
        <w:rPr>
          <w:rFonts w:ascii="Times New Roman" w:eastAsia="Calibri" w:hAnsi="Times New Roman" w:cs="Times New Roman"/>
          <w:kern w:val="0"/>
          <w14:ligatures w14:val="none"/>
        </w:rPr>
        <w:t xml:space="preserve"> </w:t>
      </w:r>
    </w:p>
    <w:p w14:paraId="747F9D33"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t xml:space="preserve">Levitt, M. D., </w:t>
      </w:r>
      <w:proofErr w:type="spellStart"/>
      <w:r w:rsidRPr="00F676A0">
        <w:rPr>
          <w:rFonts w:ascii="Times New Roman" w:eastAsia="Calibri" w:hAnsi="Times New Roman" w:cs="Times New Roman"/>
          <w:kern w:val="0"/>
          <w14:ligatures w14:val="none"/>
        </w:rPr>
        <w:t>Hapak</w:t>
      </w:r>
      <w:proofErr w:type="spellEnd"/>
      <w:r w:rsidRPr="00F676A0">
        <w:rPr>
          <w:rFonts w:ascii="Times New Roman" w:eastAsia="Calibri" w:hAnsi="Times New Roman" w:cs="Times New Roman"/>
          <w:kern w:val="0"/>
          <w14:ligatures w14:val="none"/>
        </w:rPr>
        <w:t xml:space="preserve">, S. M., &amp; Levitt, D. G. (2022). Alkaline phosphatase pathophysiology with emphasis on the seldom-discussed role of defective elimination in unexplained elevations of serum ALP: A case report and literature review. Clinical and Experimental Gastroenterology. </w:t>
      </w:r>
      <w:hyperlink r:id="rId18" w:history="1">
        <w:r w:rsidRPr="00EC1128">
          <w:rPr>
            <w:rStyle w:val="Hyperlink"/>
            <w:rFonts w:ascii="Times New Roman" w:eastAsia="Calibri" w:hAnsi="Times New Roman" w:cs="Times New Roman"/>
            <w:kern w:val="0"/>
            <w14:ligatures w14:val="none"/>
          </w:rPr>
          <w:t>https://doi.org/10.2147/CEG.S345531</w:t>
        </w:r>
      </w:hyperlink>
      <w:r>
        <w:rPr>
          <w:rFonts w:ascii="Times New Roman" w:eastAsia="Calibri" w:hAnsi="Times New Roman" w:cs="Times New Roman"/>
          <w:kern w:val="0"/>
          <w14:ligatures w14:val="none"/>
        </w:rPr>
        <w:t xml:space="preserve"> </w:t>
      </w:r>
    </w:p>
    <w:p w14:paraId="7E7281E8"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t xml:space="preserve">Lowe, D., </w:t>
      </w:r>
      <w:proofErr w:type="spellStart"/>
      <w:r w:rsidRPr="00F676A0">
        <w:rPr>
          <w:rFonts w:ascii="Times New Roman" w:eastAsia="Calibri" w:hAnsi="Times New Roman" w:cs="Times New Roman"/>
          <w:kern w:val="0"/>
          <w14:ligatures w14:val="none"/>
        </w:rPr>
        <w:t>Sanvictores</w:t>
      </w:r>
      <w:proofErr w:type="spellEnd"/>
      <w:r w:rsidRPr="00F676A0">
        <w:rPr>
          <w:rFonts w:ascii="Times New Roman" w:eastAsia="Calibri" w:hAnsi="Times New Roman" w:cs="Times New Roman"/>
          <w:kern w:val="0"/>
          <w14:ligatures w14:val="none"/>
        </w:rPr>
        <w:t>, T., Zubair, M., et al. (2025). Alkaline phosphatase. In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Publishing. </w:t>
      </w:r>
      <w:hyperlink r:id="rId19" w:history="1">
        <w:r w:rsidRPr="00EC1128">
          <w:rPr>
            <w:rStyle w:val="Hyperlink"/>
            <w:rFonts w:ascii="Times New Roman" w:eastAsia="Calibri" w:hAnsi="Times New Roman" w:cs="Times New Roman"/>
            <w:kern w:val="0"/>
            <w14:ligatures w14:val="none"/>
          </w:rPr>
          <w:t>https://www.ncbi.nlm.nih.gov/books/NBK459201/</w:t>
        </w:r>
      </w:hyperlink>
      <w:r>
        <w:rPr>
          <w:rFonts w:ascii="Times New Roman" w:eastAsia="Calibri" w:hAnsi="Times New Roman" w:cs="Times New Roman"/>
          <w:kern w:val="0"/>
          <w14:ligatures w14:val="none"/>
        </w:rPr>
        <w:t xml:space="preserve"> </w:t>
      </w:r>
    </w:p>
    <w:p w14:paraId="1AF412D8"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F676A0">
        <w:rPr>
          <w:rFonts w:ascii="Times New Roman" w:eastAsia="Calibri" w:hAnsi="Times New Roman" w:cs="Times New Roman"/>
          <w:kern w:val="0"/>
          <w14:ligatures w14:val="none"/>
        </w:rPr>
        <w:t>Lubuzo</w:t>
      </w:r>
      <w:proofErr w:type="spellEnd"/>
      <w:r w:rsidRPr="00F676A0">
        <w:rPr>
          <w:rFonts w:ascii="Times New Roman" w:eastAsia="Calibri" w:hAnsi="Times New Roman" w:cs="Times New Roman"/>
          <w:kern w:val="0"/>
          <w14:ligatures w14:val="none"/>
        </w:rPr>
        <w:t xml:space="preserve">, B., </w:t>
      </w:r>
      <w:proofErr w:type="spellStart"/>
      <w:r w:rsidRPr="00F676A0">
        <w:rPr>
          <w:rFonts w:ascii="Times New Roman" w:eastAsia="Calibri" w:hAnsi="Times New Roman" w:cs="Times New Roman"/>
          <w:kern w:val="0"/>
          <w14:ligatures w14:val="none"/>
        </w:rPr>
        <w:t>Ginindza</w:t>
      </w:r>
      <w:proofErr w:type="spellEnd"/>
      <w:r w:rsidRPr="00F676A0">
        <w:rPr>
          <w:rFonts w:ascii="Times New Roman" w:eastAsia="Calibri" w:hAnsi="Times New Roman" w:cs="Times New Roman"/>
          <w:kern w:val="0"/>
          <w14:ligatures w14:val="none"/>
        </w:rPr>
        <w:t xml:space="preserve">, T., &amp; </w:t>
      </w:r>
      <w:proofErr w:type="spellStart"/>
      <w:r w:rsidRPr="00F676A0">
        <w:rPr>
          <w:rFonts w:ascii="Times New Roman" w:eastAsia="Calibri" w:hAnsi="Times New Roman" w:cs="Times New Roman"/>
          <w:kern w:val="0"/>
          <w14:ligatures w14:val="none"/>
        </w:rPr>
        <w:t>Hlongwana</w:t>
      </w:r>
      <w:proofErr w:type="spellEnd"/>
      <w:r w:rsidRPr="00F676A0">
        <w:rPr>
          <w:rFonts w:ascii="Times New Roman" w:eastAsia="Calibri" w:hAnsi="Times New Roman" w:cs="Times New Roman"/>
          <w:kern w:val="0"/>
          <w14:ligatures w14:val="none"/>
        </w:rPr>
        <w:t xml:space="preserve">, K. (2020). The barriers to initiating lung cancer care in low- and middle-income countries. Pan African Medical Journal, 35, 38. </w:t>
      </w:r>
      <w:hyperlink r:id="rId20" w:history="1">
        <w:r w:rsidRPr="00EC1128">
          <w:rPr>
            <w:rStyle w:val="Hyperlink"/>
            <w:rFonts w:ascii="Times New Roman" w:eastAsia="Calibri" w:hAnsi="Times New Roman" w:cs="Times New Roman"/>
            <w:kern w:val="0"/>
            <w14:ligatures w14:val="none"/>
          </w:rPr>
          <w:t>https://doi.org/10.11604/pamj.2020.35.38.17333</w:t>
        </w:r>
      </w:hyperlink>
      <w:r>
        <w:rPr>
          <w:rFonts w:ascii="Times New Roman" w:eastAsia="Calibri" w:hAnsi="Times New Roman" w:cs="Times New Roman"/>
          <w:kern w:val="0"/>
          <w14:ligatures w14:val="none"/>
        </w:rPr>
        <w:t xml:space="preserve"> </w:t>
      </w:r>
    </w:p>
    <w:p w14:paraId="4282B7DC"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F676A0">
        <w:rPr>
          <w:rFonts w:ascii="Times New Roman" w:eastAsia="Calibri" w:hAnsi="Times New Roman" w:cs="Times New Roman"/>
          <w:kern w:val="0"/>
          <w14:ligatures w14:val="none"/>
        </w:rPr>
        <w:t>Mawardi</w:t>
      </w:r>
      <w:proofErr w:type="spellEnd"/>
      <w:r w:rsidRPr="00F676A0">
        <w:rPr>
          <w:rFonts w:ascii="Times New Roman" w:eastAsia="Calibri" w:hAnsi="Times New Roman" w:cs="Times New Roman"/>
          <w:kern w:val="0"/>
          <w14:ligatures w14:val="none"/>
        </w:rPr>
        <w:t xml:space="preserve">, M., </w:t>
      </w:r>
      <w:proofErr w:type="spellStart"/>
      <w:r w:rsidRPr="00F676A0">
        <w:rPr>
          <w:rFonts w:ascii="Times New Roman" w:eastAsia="Calibri" w:hAnsi="Times New Roman" w:cs="Times New Roman"/>
          <w:kern w:val="0"/>
          <w14:ligatures w14:val="none"/>
        </w:rPr>
        <w:t>Alalwan</w:t>
      </w:r>
      <w:proofErr w:type="spellEnd"/>
      <w:r w:rsidRPr="00F676A0">
        <w:rPr>
          <w:rFonts w:ascii="Times New Roman" w:eastAsia="Calibri" w:hAnsi="Times New Roman" w:cs="Times New Roman"/>
          <w:kern w:val="0"/>
          <w14:ligatures w14:val="none"/>
        </w:rPr>
        <w:t xml:space="preserve">, A., </w:t>
      </w:r>
      <w:proofErr w:type="spellStart"/>
      <w:r w:rsidRPr="00F676A0">
        <w:rPr>
          <w:rFonts w:ascii="Times New Roman" w:eastAsia="Calibri" w:hAnsi="Times New Roman" w:cs="Times New Roman"/>
          <w:kern w:val="0"/>
          <w14:ligatures w14:val="none"/>
        </w:rPr>
        <w:t>Fallatah</w:t>
      </w:r>
      <w:proofErr w:type="spellEnd"/>
      <w:r w:rsidRPr="00F676A0">
        <w:rPr>
          <w:rFonts w:ascii="Times New Roman" w:eastAsia="Calibri" w:hAnsi="Times New Roman" w:cs="Times New Roman"/>
          <w:kern w:val="0"/>
          <w14:ligatures w14:val="none"/>
        </w:rPr>
        <w:t xml:space="preserve">, H., </w:t>
      </w:r>
      <w:proofErr w:type="spellStart"/>
      <w:r w:rsidRPr="00F676A0">
        <w:rPr>
          <w:rFonts w:ascii="Times New Roman" w:eastAsia="Calibri" w:hAnsi="Times New Roman" w:cs="Times New Roman"/>
          <w:kern w:val="0"/>
          <w14:ligatures w14:val="none"/>
        </w:rPr>
        <w:t>Abaalkhail</w:t>
      </w:r>
      <w:proofErr w:type="spellEnd"/>
      <w:r w:rsidRPr="00F676A0">
        <w:rPr>
          <w:rFonts w:ascii="Times New Roman" w:eastAsia="Calibri" w:hAnsi="Times New Roman" w:cs="Times New Roman"/>
          <w:kern w:val="0"/>
          <w14:ligatures w14:val="none"/>
        </w:rPr>
        <w:t xml:space="preserve">, F., </w:t>
      </w:r>
      <w:proofErr w:type="spellStart"/>
      <w:r w:rsidRPr="00F676A0">
        <w:rPr>
          <w:rFonts w:ascii="Times New Roman" w:eastAsia="Calibri" w:hAnsi="Times New Roman" w:cs="Times New Roman"/>
          <w:kern w:val="0"/>
          <w14:ligatures w14:val="none"/>
        </w:rPr>
        <w:t>Hasosah</w:t>
      </w:r>
      <w:proofErr w:type="spellEnd"/>
      <w:r w:rsidRPr="00F676A0">
        <w:rPr>
          <w:rFonts w:ascii="Times New Roman" w:eastAsia="Calibri" w:hAnsi="Times New Roman" w:cs="Times New Roman"/>
          <w:kern w:val="0"/>
          <w14:ligatures w14:val="none"/>
        </w:rPr>
        <w:t xml:space="preserve">, M., </w:t>
      </w:r>
      <w:proofErr w:type="spellStart"/>
      <w:r w:rsidRPr="00F676A0">
        <w:rPr>
          <w:rFonts w:ascii="Times New Roman" w:eastAsia="Calibri" w:hAnsi="Times New Roman" w:cs="Times New Roman"/>
          <w:kern w:val="0"/>
          <w14:ligatures w14:val="none"/>
        </w:rPr>
        <w:t>Shagrani</w:t>
      </w:r>
      <w:proofErr w:type="spellEnd"/>
      <w:r w:rsidRPr="00F676A0">
        <w:rPr>
          <w:rFonts w:ascii="Times New Roman" w:eastAsia="Calibri" w:hAnsi="Times New Roman" w:cs="Times New Roman"/>
          <w:kern w:val="0"/>
          <w14:ligatures w14:val="none"/>
        </w:rPr>
        <w:t xml:space="preserve">, M., Alghamdi, M. Y., &amp; Alghamdi, A. S. (2021). Cholestatic liver disease: Practice guidelines from the Saudi Association for the Study of Liver diseases and Transplantation. Saudi Journal of Gastroenterology, 27(Suppl 1), S1–S26. </w:t>
      </w:r>
      <w:hyperlink r:id="rId21" w:history="1">
        <w:r w:rsidRPr="00EC1128">
          <w:rPr>
            <w:rStyle w:val="Hyperlink"/>
            <w:rFonts w:ascii="Times New Roman" w:eastAsia="Calibri" w:hAnsi="Times New Roman" w:cs="Times New Roman"/>
            <w:kern w:val="0"/>
            <w14:ligatures w14:val="none"/>
          </w:rPr>
          <w:t>https://doi.org/10.4103/sjg.sjg_112_21</w:t>
        </w:r>
      </w:hyperlink>
      <w:r>
        <w:rPr>
          <w:rFonts w:ascii="Times New Roman" w:eastAsia="Calibri" w:hAnsi="Times New Roman" w:cs="Times New Roman"/>
          <w:kern w:val="0"/>
          <w14:ligatures w14:val="none"/>
        </w:rPr>
        <w:t xml:space="preserve"> </w:t>
      </w:r>
    </w:p>
    <w:p w14:paraId="508579D8" w14:textId="77777777" w:rsidR="00F676A0" w:rsidRDefault="00F676A0" w:rsidP="009D422E">
      <w:pPr>
        <w:spacing w:before="100" w:beforeAutospacing="1" w:after="100" w:afterAutospacing="1" w:line="240" w:lineRule="auto"/>
        <w:ind w:left="720" w:hanging="720"/>
        <w:jc w:val="both"/>
        <w:rPr>
          <w:rFonts w:ascii="Times New Roman" w:eastAsia="Calibri" w:hAnsi="Times New Roman" w:cs="Times New Roman"/>
          <w:kern w:val="0"/>
          <w14:ligatures w14:val="none"/>
        </w:rPr>
      </w:pPr>
      <w:proofErr w:type="spellStart"/>
      <w:r w:rsidRPr="00F676A0">
        <w:rPr>
          <w:rFonts w:ascii="Times New Roman" w:eastAsia="Calibri" w:hAnsi="Times New Roman" w:cs="Times New Roman"/>
          <w:kern w:val="0"/>
          <w14:ligatures w14:val="none"/>
        </w:rPr>
        <w:t>Meseeha</w:t>
      </w:r>
      <w:proofErr w:type="spellEnd"/>
      <w:r w:rsidRPr="00F676A0">
        <w:rPr>
          <w:rFonts w:ascii="Times New Roman" w:eastAsia="Calibri" w:hAnsi="Times New Roman" w:cs="Times New Roman"/>
          <w:kern w:val="0"/>
          <w14:ligatures w14:val="none"/>
        </w:rPr>
        <w:t xml:space="preserve">, M., &amp; Attia, M. (2025). Endoscopic Retrograde Cholangiopancreatography. In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Publishing. </w:t>
      </w:r>
      <w:hyperlink r:id="rId22" w:history="1">
        <w:r w:rsidRPr="00EC1128">
          <w:rPr>
            <w:rStyle w:val="Hyperlink"/>
            <w:rFonts w:ascii="Times New Roman" w:eastAsia="Calibri" w:hAnsi="Times New Roman" w:cs="Times New Roman"/>
            <w:kern w:val="0"/>
            <w14:ligatures w14:val="none"/>
          </w:rPr>
          <w:t>https://www.ncbi.nlm.nih.gov/books/NBK493160/</w:t>
        </w:r>
      </w:hyperlink>
      <w:r>
        <w:rPr>
          <w:rFonts w:ascii="Times New Roman" w:eastAsia="Calibri" w:hAnsi="Times New Roman" w:cs="Times New Roman"/>
          <w:kern w:val="0"/>
          <w14:ligatures w14:val="none"/>
        </w:rPr>
        <w:t xml:space="preserve"> </w:t>
      </w:r>
    </w:p>
    <w:p w14:paraId="28E89783"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14:ligatures w14:val="none"/>
        </w:rPr>
      </w:pPr>
      <w:proofErr w:type="spellStart"/>
      <w:r w:rsidRPr="00F676A0">
        <w:rPr>
          <w:rFonts w:ascii="Times New Roman" w:eastAsia="Calibri" w:hAnsi="Times New Roman" w:cs="Times New Roman"/>
          <w14:ligatures w14:val="none"/>
        </w:rPr>
        <w:t>Muhammedoğlu</w:t>
      </w:r>
      <w:proofErr w:type="spellEnd"/>
      <w:r w:rsidRPr="00F676A0">
        <w:rPr>
          <w:rFonts w:ascii="Times New Roman" w:eastAsia="Calibri" w:hAnsi="Times New Roman" w:cs="Times New Roman"/>
          <w14:ligatures w14:val="none"/>
        </w:rPr>
        <w:t xml:space="preserve">, B. (2019). Single-stage treatment with ERCP and laparoscopic cholecystectomy versus two-stage treatment with ERCP followed by laparoscopic cholecystectomy within six to eight weeks: A retrospective study. Turkish Journal of Surgery, 35(3), 178–184. </w:t>
      </w:r>
      <w:hyperlink r:id="rId23" w:history="1">
        <w:r w:rsidRPr="00EC1128">
          <w:rPr>
            <w:rStyle w:val="Hyperlink"/>
            <w:rFonts w:ascii="Times New Roman" w:eastAsia="Calibri" w:hAnsi="Times New Roman" w:cs="Times New Roman"/>
            <w14:ligatures w14:val="none"/>
          </w:rPr>
          <w:t>https://doi.org/10.5152/turkjsurg.2018.4204</w:t>
        </w:r>
      </w:hyperlink>
      <w:r>
        <w:rPr>
          <w:rFonts w:ascii="Times New Roman" w:eastAsia="Calibri" w:hAnsi="Times New Roman" w:cs="Times New Roman"/>
          <w14:ligatures w14:val="none"/>
        </w:rPr>
        <w:t xml:space="preserve"> </w:t>
      </w:r>
    </w:p>
    <w:p w14:paraId="578406A8"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t xml:space="preserve">Shu, J., Yang, H., Yang, J., </w:t>
      </w:r>
      <w:proofErr w:type="spellStart"/>
      <w:r w:rsidRPr="00F676A0">
        <w:rPr>
          <w:rFonts w:ascii="Times New Roman" w:eastAsia="Calibri" w:hAnsi="Times New Roman" w:cs="Times New Roman"/>
          <w:kern w:val="0"/>
          <w14:ligatures w14:val="none"/>
        </w:rPr>
        <w:t>Bian</w:t>
      </w:r>
      <w:proofErr w:type="spellEnd"/>
      <w:r w:rsidRPr="00F676A0">
        <w:rPr>
          <w:rFonts w:ascii="Times New Roman" w:eastAsia="Calibri" w:hAnsi="Times New Roman" w:cs="Times New Roman"/>
          <w:kern w:val="0"/>
          <w14:ligatures w14:val="none"/>
        </w:rPr>
        <w:t xml:space="preserve">, H. Q., &amp; Wang, X. (2023). Application of endoscopic retrograde cholangiopancreatography for treatment of obstructive jaundice after hepatoblastoma surgery: A case report. World Journal of Clinical Cases, 11(11), 2502–2509. </w:t>
      </w:r>
      <w:hyperlink r:id="rId24" w:history="1">
        <w:r w:rsidRPr="00EC1128">
          <w:rPr>
            <w:rStyle w:val="Hyperlink"/>
            <w:rFonts w:ascii="Times New Roman" w:eastAsia="Calibri" w:hAnsi="Times New Roman" w:cs="Times New Roman"/>
            <w:kern w:val="0"/>
            <w14:ligatures w14:val="none"/>
          </w:rPr>
          <w:t>https://doi.org/10.12998/wjcc.v11.i11.2502</w:t>
        </w:r>
      </w:hyperlink>
      <w:r>
        <w:rPr>
          <w:rFonts w:ascii="Times New Roman" w:eastAsia="Calibri" w:hAnsi="Times New Roman" w:cs="Times New Roman"/>
          <w:kern w:val="0"/>
          <w14:ligatures w14:val="none"/>
        </w:rPr>
        <w:t xml:space="preserve"> </w:t>
      </w:r>
    </w:p>
    <w:p w14:paraId="10EC30B1"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t xml:space="preserve">Tripathi, N., &amp; </w:t>
      </w:r>
      <w:proofErr w:type="spellStart"/>
      <w:r w:rsidRPr="00F676A0">
        <w:rPr>
          <w:rFonts w:ascii="Times New Roman" w:eastAsia="Calibri" w:hAnsi="Times New Roman" w:cs="Times New Roman"/>
          <w:kern w:val="0"/>
          <w14:ligatures w14:val="none"/>
        </w:rPr>
        <w:t>Jialal</w:t>
      </w:r>
      <w:proofErr w:type="spellEnd"/>
      <w:r w:rsidRPr="00F676A0">
        <w:rPr>
          <w:rFonts w:ascii="Times New Roman" w:eastAsia="Calibri" w:hAnsi="Times New Roman" w:cs="Times New Roman"/>
          <w:kern w:val="0"/>
          <w14:ligatures w14:val="none"/>
        </w:rPr>
        <w:t xml:space="preserve">, I. (2023). Conjugated Hyperbilirubinemia. In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Publishing. </w:t>
      </w:r>
      <w:hyperlink r:id="rId25" w:history="1">
        <w:r w:rsidRPr="00EC1128">
          <w:rPr>
            <w:rStyle w:val="Hyperlink"/>
            <w:rFonts w:ascii="Times New Roman" w:eastAsia="Calibri" w:hAnsi="Times New Roman" w:cs="Times New Roman"/>
            <w:kern w:val="0"/>
            <w14:ligatures w14:val="none"/>
          </w:rPr>
          <w:t>https://www.ncbi.nlm.nih.gov/books/NBK562172/</w:t>
        </w:r>
      </w:hyperlink>
      <w:r>
        <w:rPr>
          <w:rFonts w:ascii="Times New Roman" w:eastAsia="Calibri" w:hAnsi="Times New Roman" w:cs="Times New Roman"/>
          <w:kern w:val="0"/>
          <w14:ligatures w14:val="none"/>
        </w:rPr>
        <w:t xml:space="preserve"> </w:t>
      </w:r>
    </w:p>
    <w:p w14:paraId="75F4DD70"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lastRenderedPageBreak/>
        <w:t xml:space="preserve">Tripathi, N., &amp; </w:t>
      </w:r>
      <w:proofErr w:type="spellStart"/>
      <w:r w:rsidRPr="00F676A0">
        <w:rPr>
          <w:rFonts w:ascii="Times New Roman" w:eastAsia="Calibri" w:hAnsi="Times New Roman" w:cs="Times New Roman"/>
          <w:kern w:val="0"/>
          <w14:ligatures w14:val="none"/>
        </w:rPr>
        <w:t>Jialal</w:t>
      </w:r>
      <w:proofErr w:type="spellEnd"/>
      <w:r w:rsidRPr="00F676A0">
        <w:rPr>
          <w:rFonts w:ascii="Times New Roman" w:eastAsia="Calibri" w:hAnsi="Times New Roman" w:cs="Times New Roman"/>
          <w:kern w:val="0"/>
          <w14:ligatures w14:val="none"/>
        </w:rPr>
        <w:t xml:space="preserve">, I. (2025). Conjugated hyperbilirubinemia. In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w:t>
      </w:r>
      <w:proofErr w:type="spellStart"/>
      <w:r w:rsidRPr="00F676A0">
        <w:rPr>
          <w:rFonts w:ascii="Times New Roman" w:eastAsia="Calibri" w:hAnsi="Times New Roman" w:cs="Times New Roman"/>
          <w:kern w:val="0"/>
          <w14:ligatures w14:val="none"/>
        </w:rPr>
        <w:t>StatPearls</w:t>
      </w:r>
      <w:proofErr w:type="spellEnd"/>
      <w:r w:rsidRPr="00F676A0">
        <w:rPr>
          <w:rFonts w:ascii="Times New Roman" w:eastAsia="Calibri" w:hAnsi="Times New Roman" w:cs="Times New Roman"/>
          <w:kern w:val="0"/>
          <w14:ligatures w14:val="none"/>
        </w:rPr>
        <w:t xml:space="preserve"> Publishing. </w:t>
      </w:r>
      <w:hyperlink r:id="rId26" w:history="1">
        <w:r w:rsidRPr="00EC1128">
          <w:rPr>
            <w:rStyle w:val="Hyperlink"/>
            <w:rFonts w:ascii="Times New Roman" w:eastAsia="Calibri" w:hAnsi="Times New Roman" w:cs="Times New Roman"/>
            <w:kern w:val="0"/>
            <w14:ligatures w14:val="none"/>
          </w:rPr>
          <w:t>https://www.ncbi.nlm.nih.gov/books/NBK562172/</w:t>
        </w:r>
      </w:hyperlink>
      <w:r>
        <w:rPr>
          <w:rFonts w:ascii="Times New Roman" w:eastAsia="Calibri" w:hAnsi="Times New Roman" w:cs="Times New Roman"/>
          <w:kern w:val="0"/>
          <w14:ligatures w14:val="none"/>
        </w:rPr>
        <w:t xml:space="preserve"> </w:t>
      </w:r>
    </w:p>
    <w:p w14:paraId="10110F74"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t xml:space="preserve">Vroon, D. H., &amp; </w:t>
      </w:r>
      <w:proofErr w:type="spellStart"/>
      <w:r w:rsidRPr="00F676A0">
        <w:rPr>
          <w:rFonts w:ascii="Times New Roman" w:eastAsia="Calibri" w:hAnsi="Times New Roman" w:cs="Times New Roman"/>
          <w:kern w:val="0"/>
          <w14:ligatures w14:val="none"/>
        </w:rPr>
        <w:t>Israili</w:t>
      </w:r>
      <w:proofErr w:type="spellEnd"/>
      <w:r w:rsidRPr="00F676A0">
        <w:rPr>
          <w:rFonts w:ascii="Times New Roman" w:eastAsia="Calibri" w:hAnsi="Times New Roman" w:cs="Times New Roman"/>
          <w:kern w:val="0"/>
          <w14:ligatures w14:val="none"/>
        </w:rPr>
        <w:t xml:space="preserve">, Z. (1990). Alkaline phosphatase and gamma </w:t>
      </w:r>
      <w:proofErr w:type="spellStart"/>
      <w:r w:rsidRPr="00F676A0">
        <w:rPr>
          <w:rFonts w:ascii="Times New Roman" w:eastAsia="Calibri" w:hAnsi="Times New Roman" w:cs="Times New Roman"/>
          <w:kern w:val="0"/>
          <w14:ligatures w14:val="none"/>
        </w:rPr>
        <w:t>glutamyltransferase</w:t>
      </w:r>
      <w:proofErr w:type="spellEnd"/>
      <w:r w:rsidRPr="00F676A0">
        <w:rPr>
          <w:rFonts w:ascii="Times New Roman" w:eastAsia="Calibri" w:hAnsi="Times New Roman" w:cs="Times New Roman"/>
          <w:kern w:val="0"/>
          <w14:ligatures w14:val="none"/>
        </w:rPr>
        <w:t xml:space="preserve">. In H. K. Walker, W. D. Hall, &amp; J. W. Hurst (Eds.), Clinical methods: The history, physical, and laboratory examinations (3rd ed., Chapter 100). Butterworths. </w:t>
      </w:r>
      <w:hyperlink r:id="rId27" w:history="1">
        <w:r w:rsidRPr="00EC1128">
          <w:rPr>
            <w:rStyle w:val="Hyperlink"/>
            <w:rFonts w:ascii="Times New Roman" w:eastAsia="Calibri" w:hAnsi="Times New Roman" w:cs="Times New Roman"/>
            <w:kern w:val="0"/>
            <w14:ligatures w14:val="none"/>
          </w:rPr>
          <w:t>https://www.ncbi.nlm.nih.gov/books/NBK203/</w:t>
        </w:r>
      </w:hyperlink>
      <w:r>
        <w:rPr>
          <w:rFonts w:ascii="Times New Roman" w:eastAsia="Calibri" w:hAnsi="Times New Roman" w:cs="Times New Roman"/>
          <w:kern w:val="0"/>
          <w14:ligatures w14:val="none"/>
        </w:rPr>
        <w:t xml:space="preserve"> </w:t>
      </w:r>
    </w:p>
    <w:p w14:paraId="5C6611B1" w14:textId="77777777" w:rsidR="00F676A0" w:rsidRDefault="00F676A0" w:rsidP="009D422E">
      <w:pPr>
        <w:spacing w:before="100" w:beforeAutospacing="1" w:after="100" w:afterAutospacing="1" w:line="240" w:lineRule="auto"/>
        <w:ind w:left="720" w:hanging="720"/>
        <w:rPr>
          <w:rFonts w:ascii="Times New Roman" w:eastAsia="Calibri" w:hAnsi="Times New Roman" w:cs="Times New Roman"/>
          <w:kern w:val="0"/>
          <w14:ligatures w14:val="none"/>
        </w:rPr>
      </w:pPr>
      <w:proofErr w:type="spellStart"/>
      <w:r w:rsidRPr="00F676A0">
        <w:rPr>
          <w:rFonts w:ascii="Times New Roman" w:eastAsia="Calibri" w:hAnsi="Times New Roman" w:cs="Times New Roman"/>
          <w:kern w:val="0"/>
          <w14:ligatures w14:val="none"/>
        </w:rPr>
        <w:t>Wagh</w:t>
      </w:r>
      <w:proofErr w:type="spellEnd"/>
      <w:r w:rsidRPr="00F676A0">
        <w:rPr>
          <w:rFonts w:ascii="Times New Roman" w:eastAsia="Calibri" w:hAnsi="Times New Roman" w:cs="Times New Roman"/>
          <w:kern w:val="0"/>
          <w14:ligatures w14:val="none"/>
        </w:rPr>
        <w:t xml:space="preserve">, A., </w:t>
      </w:r>
      <w:proofErr w:type="spellStart"/>
      <w:r w:rsidRPr="00F676A0">
        <w:rPr>
          <w:rFonts w:ascii="Times New Roman" w:eastAsia="Calibri" w:hAnsi="Times New Roman" w:cs="Times New Roman"/>
          <w:kern w:val="0"/>
          <w14:ligatures w14:val="none"/>
        </w:rPr>
        <w:t>Bachhav</w:t>
      </w:r>
      <w:proofErr w:type="spellEnd"/>
      <w:r w:rsidRPr="00F676A0">
        <w:rPr>
          <w:rFonts w:ascii="Times New Roman" w:eastAsia="Calibri" w:hAnsi="Times New Roman" w:cs="Times New Roman"/>
          <w:kern w:val="0"/>
          <w14:ligatures w14:val="none"/>
        </w:rPr>
        <w:t xml:space="preserve">, G., </w:t>
      </w:r>
      <w:proofErr w:type="spellStart"/>
      <w:r w:rsidRPr="00F676A0">
        <w:rPr>
          <w:rFonts w:ascii="Times New Roman" w:eastAsia="Calibri" w:hAnsi="Times New Roman" w:cs="Times New Roman"/>
          <w:kern w:val="0"/>
          <w14:ligatures w14:val="none"/>
        </w:rPr>
        <w:t>Thorat</w:t>
      </w:r>
      <w:proofErr w:type="spellEnd"/>
      <w:r w:rsidRPr="00F676A0">
        <w:rPr>
          <w:rFonts w:ascii="Times New Roman" w:eastAsia="Calibri" w:hAnsi="Times New Roman" w:cs="Times New Roman"/>
          <w:kern w:val="0"/>
          <w14:ligatures w14:val="none"/>
        </w:rPr>
        <w:t xml:space="preserve">, A., Das, A., Patil, V., &amp; Patil, T. (2023). Prospective assessment of liver function recovery following surgical biliary decompression in obstructive jaundice: Insights from a tertiary care centre. International Journal of Academic Medicine and Pharmacy, 5(5), 973–979. </w:t>
      </w:r>
      <w:hyperlink r:id="rId28" w:history="1">
        <w:r w:rsidRPr="00EC1128">
          <w:rPr>
            <w:rStyle w:val="Hyperlink"/>
            <w:rFonts w:ascii="Times New Roman" w:eastAsia="Calibri" w:hAnsi="Times New Roman" w:cs="Times New Roman"/>
            <w:kern w:val="0"/>
            <w14:ligatures w14:val="none"/>
          </w:rPr>
          <w:t>https://doi.org/10.47009/jamp.2023.5.5.191</w:t>
        </w:r>
      </w:hyperlink>
      <w:r>
        <w:rPr>
          <w:rFonts w:ascii="Times New Roman" w:eastAsia="Calibri" w:hAnsi="Times New Roman" w:cs="Times New Roman"/>
          <w:kern w:val="0"/>
          <w14:ligatures w14:val="none"/>
        </w:rPr>
        <w:t xml:space="preserve"> </w:t>
      </w:r>
    </w:p>
    <w:p w14:paraId="7C23EB0D" w14:textId="77777777" w:rsidR="00F676A0" w:rsidRDefault="00F676A0" w:rsidP="009D422E">
      <w:pPr>
        <w:spacing w:before="100" w:beforeAutospacing="1" w:line="273" w:lineRule="auto"/>
        <w:jc w:val="both"/>
        <w:rPr>
          <w:rFonts w:ascii="Times New Roman" w:eastAsia="Calibri" w:hAnsi="Times New Roman" w:cs="Times New Roman"/>
          <w:kern w:val="0"/>
          <w14:ligatures w14:val="none"/>
        </w:rPr>
      </w:pPr>
      <w:r w:rsidRPr="00F676A0">
        <w:rPr>
          <w:rFonts w:ascii="Times New Roman" w:eastAsia="Calibri" w:hAnsi="Times New Roman" w:cs="Times New Roman"/>
          <w:kern w:val="0"/>
          <w14:ligatures w14:val="none"/>
        </w:rPr>
        <w:t xml:space="preserve">Xing, M., Gao, M., Li, J., Han, P., Mei, L., &amp; Zhao, L. (2022). Characteristics of peripheral blood gamma-glutamyl transferase in different liver diseases. Medicine (Baltimore), 101(1), e28443. </w:t>
      </w:r>
      <w:hyperlink r:id="rId29" w:history="1">
        <w:r w:rsidRPr="00EC1128">
          <w:rPr>
            <w:rStyle w:val="Hyperlink"/>
            <w:rFonts w:ascii="Times New Roman" w:eastAsia="Calibri" w:hAnsi="Times New Roman" w:cs="Times New Roman"/>
            <w:kern w:val="0"/>
            <w14:ligatures w14:val="none"/>
          </w:rPr>
          <w:t>https://doi.org/10.1097/MD.0000000000028443</w:t>
        </w:r>
      </w:hyperlink>
      <w:r>
        <w:rPr>
          <w:rFonts w:ascii="Times New Roman" w:eastAsia="Calibri" w:hAnsi="Times New Roman" w:cs="Times New Roman"/>
          <w:kern w:val="0"/>
          <w14:ligatures w14:val="none"/>
        </w:rPr>
        <w:t xml:space="preserve"> </w:t>
      </w:r>
    </w:p>
    <w:p w14:paraId="1FF7E639" w14:textId="79BDA9B1" w:rsidR="009D422E" w:rsidRPr="009D422E" w:rsidRDefault="009D422E" w:rsidP="009D422E">
      <w:pPr>
        <w:spacing w:before="100" w:beforeAutospacing="1" w:line="273" w:lineRule="auto"/>
        <w:jc w:val="both"/>
        <w:rPr>
          <w:rFonts w:ascii="Times New Roman" w:eastAsia="Calibri" w:hAnsi="Times New Roman" w:cs="Times New Roman"/>
          <w14:ligatures w14:val="none"/>
        </w:rPr>
      </w:pPr>
      <w:r w:rsidRPr="009D422E">
        <w:rPr>
          <w:rFonts w:ascii="Times New Roman" w:eastAsia="Calibri" w:hAnsi="Times New Roman" w:cs="Times New Roman"/>
          <w14:ligatures w14:val="none"/>
        </w:rPr>
        <w:t xml:space="preserve"> </w:t>
      </w:r>
    </w:p>
    <w:p w14:paraId="7ACF765A" w14:textId="4CB56974" w:rsidR="00D30333" w:rsidRDefault="00D30333" w:rsidP="00D30333">
      <w:pPr>
        <w:pStyle w:val="c-bibliographic-informationcitation"/>
        <w:shd w:val="clear" w:color="auto" w:fill="FFFFFF"/>
        <w:spacing w:before="0" w:beforeAutospacing="0" w:after="240" w:afterAutospacing="0"/>
        <w:rPr>
          <w:rFonts w:ascii="Helvetica Neue" w:hAnsi="Helvetica Neue"/>
          <w:color w:val="222222"/>
        </w:rPr>
      </w:pPr>
      <w:proofErr w:type="spellStart"/>
      <w:r w:rsidRPr="00C32874">
        <w:rPr>
          <w:rFonts w:ascii="Helvetica Neue" w:hAnsi="Helvetica Neue"/>
          <w:color w:val="222222"/>
          <w:highlight w:val="yellow"/>
        </w:rPr>
        <w:t>Ingabire</w:t>
      </w:r>
      <w:proofErr w:type="spellEnd"/>
      <w:r w:rsidRPr="00C32874">
        <w:rPr>
          <w:rFonts w:ascii="Helvetica Neue" w:hAnsi="Helvetica Neue"/>
          <w:color w:val="222222"/>
          <w:highlight w:val="yellow"/>
        </w:rPr>
        <w:t xml:space="preserve">, Z., Hanna, A.B., </w:t>
      </w:r>
      <w:proofErr w:type="spellStart"/>
      <w:r w:rsidRPr="00C32874">
        <w:rPr>
          <w:rFonts w:ascii="Helvetica Neue" w:hAnsi="Helvetica Neue"/>
          <w:color w:val="222222"/>
          <w:highlight w:val="yellow"/>
        </w:rPr>
        <w:t>Sebera</w:t>
      </w:r>
      <w:proofErr w:type="spellEnd"/>
      <w:r w:rsidRPr="00C32874">
        <w:rPr>
          <w:rFonts w:ascii="Helvetica Neue" w:hAnsi="Helvetica Neue"/>
          <w:color w:val="222222"/>
          <w:highlight w:val="yellow"/>
        </w:rPr>
        <w:t>, E. </w:t>
      </w:r>
      <w:r w:rsidRPr="00C32874">
        <w:rPr>
          <w:rFonts w:ascii="Helvetica Neue" w:hAnsi="Helvetica Neue"/>
          <w:i/>
          <w:iCs/>
          <w:color w:val="222222"/>
          <w:highlight w:val="yellow"/>
        </w:rPr>
        <w:t>et al.</w:t>
      </w:r>
      <w:r w:rsidRPr="00C32874">
        <w:rPr>
          <w:rFonts w:ascii="Helvetica Neue" w:hAnsi="Helvetica Neue"/>
          <w:color w:val="222222"/>
          <w:highlight w:val="yellow"/>
        </w:rPr>
        <w:t xml:space="preserve"> Management and outcomes of patients with obstructive jaundice from </w:t>
      </w:r>
      <w:proofErr w:type="spellStart"/>
      <w:r w:rsidRPr="00C32874">
        <w:rPr>
          <w:rFonts w:ascii="Helvetica Neue" w:hAnsi="Helvetica Neue"/>
          <w:color w:val="222222"/>
          <w:highlight w:val="yellow"/>
        </w:rPr>
        <w:t>pancreatobiliary</w:t>
      </w:r>
      <w:proofErr w:type="spellEnd"/>
      <w:r w:rsidRPr="00C32874">
        <w:rPr>
          <w:rFonts w:ascii="Helvetica Neue" w:hAnsi="Helvetica Neue"/>
          <w:color w:val="222222"/>
          <w:highlight w:val="yellow"/>
        </w:rPr>
        <w:t xml:space="preserve"> diseases in Rwanda. </w:t>
      </w:r>
      <w:r w:rsidRPr="00C32874">
        <w:rPr>
          <w:rFonts w:ascii="Helvetica Neue" w:hAnsi="Helvetica Neue"/>
          <w:i/>
          <w:iCs/>
          <w:color w:val="222222"/>
          <w:highlight w:val="yellow"/>
        </w:rPr>
        <w:t xml:space="preserve">BMC </w:t>
      </w:r>
      <w:proofErr w:type="spellStart"/>
      <w:r w:rsidRPr="00C32874">
        <w:rPr>
          <w:rFonts w:ascii="Helvetica Neue" w:hAnsi="Helvetica Neue"/>
          <w:i/>
          <w:iCs/>
          <w:color w:val="222222"/>
          <w:highlight w:val="yellow"/>
        </w:rPr>
        <w:t>Gastroenterol</w:t>
      </w:r>
      <w:proofErr w:type="spellEnd"/>
      <w:r w:rsidRPr="00C32874">
        <w:rPr>
          <w:rFonts w:ascii="Helvetica Neue" w:hAnsi="Helvetica Neue"/>
          <w:color w:val="222222"/>
          <w:highlight w:val="yellow"/>
        </w:rPr>
        <w:t> </w:t>
      </w:r>
      <w:r w:rsidRPr="00C32874">
        <w:rPr>
          <w:rFonts w:ascii="Helvetica Neue" w:hAnsi="Helvetica Neue"/>
          <w:b/>
          <w:bCs/>
          <w:color w:val="222222"/>
          <w:highlight w:val="yellow"/>
        </w:rPr>
        <w:t>25</w:t>
      </w:r>
      <w:r w:rsidRPr="00C32874">
        <w:rPr>
          <w:rFonts w:ascii="Helvetica Neue" w:hAnsi="Helvetica Neue"/>
          <w:color w:val="222222"/>
          <w:highlight w:val="yellow"/>
        </w:rPr>
        <w:t>, 535 (2025). https://doi.org/10.1186/s12876-025-04143-z</w:t>
      </w:r>
    </w:p>
    <w:p w14:paraId="727A2E63" w14:textId="669B73DC" w:rsidR="00A05D77" w:rsidRPr="009D422E" w:rsidRDefault="00C32874">
      <w:pPr>
        <w:rPr>
          <w:rFonts w:ascii="Times New Roman" w:hAnsi="Times New Roman" w:cs="Times New Roman"/>
        </w:rPr>
      </w:pPr>
      <w:proofErr w:type="spellStart"/>
      <w:r w:rsidRPr="00C32874">
        <w:rPr>
          <w:rFonts w:ascii="Times New Roman" w:hAnsi="Times New Roman" w:cs="Times New Roman"/>
          <w:highlight w:val="yellow"/>
        </w:rPr>
        <w:t>Savas</w:t>
      </w:r>
      <w:proofErr w:type="spellEnd"/>
      <w:r w:rsidRPr="00C32874">
        <w:rPr>
          <w:rFonts w:ascii="Times New Roman" w:hAnsi="Times New Roman" w:cs="Times New Roman"/>
          <w:highlight w:val="yellow"/>
        </w:rPr>
        <w:t xml:space="preserve"> </w:t>
      </w:r>
      <w:proofErr w:type="spellStart"/>
      <w:r w:rsidRPr="00C32874">
        <w:rPr>
          <w:rFonts w:ascii="Times New Roman" w:hAnsi="Times New Roman" w:cs="Times New Roman"/>
          <w:highlight w:val="yellow"/>
        </w:rPr>
        <w:t>Yakan</w:t>
      </w:r>
      <w:proofErr w:type="spellEnd"/>
      <w:r w:rsidRPr="00C32874">
        <w:rPr>
          <w:rFonts w:ascii="Times New Roman" w:hAnsi="Times New Roman" w:cs="Times New Roman"/>
          <w:highlight w:val="yellow"/>
        </w:rPr>
        <w:t xml:space="preserve">, </w:t>
      </w:r>
      <w:proofErr w:type="spellStart"/>
      <w:r w:rsidRPr="00C32874">
        <w:rPr>
          <w:rFonts w:ascii="Times New Roman" w:hAnsi="Times New Roman" w:cs="Times New Roman"/>
          <w:highlight w:val="yellow"/>
        </w:rPr>
        <w:t>Erdem</w:t>
      </w:r>
      <w:proofErr w:type="spellEnd"/>
      <w:r w:rsidRPr="00C32874">
        <w:rPr>
          <w:rFonts w:ascii="Times New Roman" w:hAnsi="Times New Roman" w:cs="Times New Roman"/>
          <w:highlight w:val="yellow"/>
        </w:rPr>
        <w:t xml:space="preserve"> Sari, </w:t>
      </w:r>
      <w:proofErr w:type="spellStart"/>
      <w:r w:rsidRPr="00C32874">
        <w:rPr>
          <w:rFonts w:ascii="Times New Roman" w:hAnsi="Times New Roman" w:cs="Times New Roman"/>
          <w:highlight w:val="yellow"/>
        </w:rPr>
        <w:t>Erdem</w:t>
      </w:r>
      <w:proofErr w:type="spellEnd"/>
      <w:r w:rsidRPr="00C32874">
        <w:rPr>
          <w:rFonts w:ascii="Times New Roman" w:hAnsi="Times New Roman" w:cs="Times New Roman"/>
          <w:highlight w:val="yellow"/>
        </w:rPr>
        <w:t xml:space="preserve"> </w:t>
      </w:r>
      <w:proofErr w:type="spellStart"/>
      <w:r w:rsidRPr="00C32874">
        <w:rPr>
          <w:rFonts w:ascii="Times New Roman" w:hAnsi="Times New Roman" w:cs="Times New Roman"/>
          <w:highlight w:val="yellow"/>
        </w:rPr>
        <w:t>Carti</w:t>
      </w:r>
      <w:proofErr w:type="spellEnd"/>
      <w:r w:rsidRPr="00C32874">
        <w:rPr>
          <w:rFonts w:ascii="Times New Roman" w:hAnsi="Times New Roman" w:cs="Times New Roman"/>
          <w:highlight w:val="yellow"/>
        </w:rPr>
        <w:t xml:space="preserve">, A. </w:t>
      </w:r>
      <w:proofErr w:type="spellStart"/>
      <w:r w:rsidRPr="00C32874">
        <w:rPr>
          <w:rFonts w:ascii="Times New Roman" w:hAnsi="Times New Roman" w:cs="Times New Roman"/>
          <w:highlight w:val="yellow"/>
        </w:rPr>
        <w:t>Deniz</w:t>
      </w:r>
      <w:proofErr w:type="spellEnd"/>
      <w:r w:rsidRPr="00C32874">
        <w:rPr>
          <w:rFonts w:ascii="Times New Roman" w:hAnsi="Times New Roman" w:cs="Times New Roman"/>
          <w:highlight w:val="yellow"/>
        </w:rPr>
        <w:t xml:space="preserve"> </w:t>
      </w:r>
      <w:proofErr w:type="spellStart"/>
      <w:r w:rsidRPr="00C32874">
        <w:rPr>
          <w:rFonts w:ascii="Times New Roman" w:hAnsi="Times New Roman" w:cs="Times New Roman"/>
          <w:highlight w:val="yellow"/>
        </w:rPr>
        <w:t>Ucar</w:t>
      </w:r>
      <w:proofErr w:type="spellEnd"/>
      <w:r w:rsidRPr="00C32874">
        <w:rPr>
          <w:rFonts w:ascii="Times New Roman" w:hAnsi="Times New Roman" w:cs="Times New Roman"/>
          <w:highlight w:val="yellow"/>
        </w:rPr>
        <w:t xml:space="preserve">, </w:t>
      </w:r>
      <w:proofErr w:type="spellStart"/>
      <w:r w:rsidRPr="00C32874">
        <w:rPr>
          <w:rFonts w:ascii="Times New Roman" w:hAnsi="Times New Roman" w:cs="Times New Roman"/>
          <w:highlight w:val="yellow"/>
        </w:rPr>
        <w:t>Nazif</w:t>
      </w:r>
      <w:proofErr w:type="spellEnd"/>
      <w:r w:rsidRPr="00C32874">
        <w:rPr>
          <w:rFonts w:ascii="Times New Roman" w:hAnsi="Times New Roman" w:cs="Times New Roman"/>
          <w:highlight w:val="yellow"/>
        </w:rPr>
        <w:t xml:space="preserve"> </w:t>
      </w:r>
      <w:proofErr w:type="spellStart"/>
      <w:r w:rsidRPr="00C32874">
        <w:rPr>
          <w:rFonts w:ascii="Times New Roman" w:hAnsi="Times New Roman" w:cs="Times New Roman"/>
          <w:highlight w:val="yellow"/>
        </w:rPr>
        <w:t>Erkan</w:t>
      </w:r>
      <w:proofErr w:type="spellEnd"/>
      <w:r w:rsidRPr="00C32874">
        <w:rPr>
          <w:rFonts w:ascii="Times New Roman" w:hAnsi="Times New Roman" w:cs="Times New Roman"/>
          <w:highlight w:val="yellow"/>
        </w:rPr>
        <w:t xml:space="preserve">, Mehmet </w:t>
      </w:r>
      <w:proofErr w:type="spellStart"/>
      <w:r w:rsidRPr="00C32874">
        <w:rPr>
          <w:rFonts w:ascii="Times New Roman" w:hAnsi="Times New Roman" w:cs="Times New Roman"/>
          <w:highlight w:val="yellow"/>
        </w:rPr>
        <w:t>Yildirim</w:t>
      </w:r>
      <w:proofErr w:type="spellEnd"/>
      <w:r w:rsidRPr="00C32874">
        <w:rPr>
          <w:rFonts w:ascii="Times New Roman" w:hAnsi="Times New Roman" w:cs="Times New Roman"/>
          <w:highlight w:val="yellow"/>
        </w:rPr>
        <w:t xml:space="preserve">, and </w:t>
      </w:r>
      <w:proofErr w:type="spellStart"/>
      <w:r w:rsidRPr="00C32874">
        <w:rPr>
          <w:rFonts w:ascii="Times New Roman" w:hAnsi="Times New Roman" w:cs="Times New Roman"/>
          <w:highlight w:val="yellow"/>
        </w:rPr>
        <w:t>Durmus</w:t>
      </w:r>
      <w:proofErr w:type="spellEnd"/>
      <w:r w:rsidRPr="00C32874">
        <w:rPr>
          <w:rFonts w:ascii="Times New Roman" w:hAnsi="Times New Roman" w:cs="Times New Roman"/>
          <w:highlight w:val="yellow"/>
        </w:rPr>
        <w:t xml:space="preserve"> Ali Cetin. 2014. “A Case of Gastric and Esophageal Perforation Caused by Endoscopic Retrograde </w:t>
      </w:r>
      <w:proofErr w:type="spellStart"/>
      <w:r w:rsidRPr="00C32874">
        <w:rPr>
          <w:rFonts w:ascii="Times New Roman" w:hAnsi="Times New Roman" w:cs="Times New Roman"/>
          <w:highlight w:val="yellow"/>
        </w:rPr>
        <w:t>Cholangiopancreatography</w:t>
      </w:r>
      <w:proofErr w:type="spellEnd"/>
      <w:r w:rsidRPr="00C32874">
        <w:rPr>
          <w:rFonts w:ascii="Times New Roman" w:hAnsi="Times New Roman" w:cs="Times New Roman"/>
          <w:highlight w:val="yellow"/>
        </w:rPr>
        <w:t>”. International Journal of Medical and Pharmaceutical Case Reports 1 (2):37–41. https://doi.org/10.9734/IJMPCR/2014/11875.</w:t>
      </w:r>
    </w:p>
    <w:sectPr w:rsidR="00A05D77" w:rsidRPr="009D422E">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FE281" w14:textId="77777777" w:rsidR="009E7EA0" w:rsidRDefault="009E7EA0" w:rsidP="001E022A">
      <w:pPr>
        <w:spacing w:after="0" w:line="240" w:lineRule="auto"/>
      </w:pPr>
      <w:r>
        <w:separator/>
      </w:r>
    </w:p>
  </w:endnote>
  <w:endnote w:type="continuationSeparator" w:id="0">
    <w:p w14:paraId="03491238" w14:textId="77777777" w:rsidR="009E7EA0" w:rsidRDefault="009E7EA0" w:rsidP="001E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Vrinda">
    <w:panose1 w:val="00000400000000000000"/>
    <w:charset w:val="00"/>
    <w:family w:val="swiss"/>
    <w:pitch w:val="variable"/>
    <w:sig w:usb0="00010003" w:usb1="00000000" w:usb2="00000000" w:usb3="00000000" w:csb0="00000001" w:csb1="00000000"/>
  </w:font>
  <w:font w:name="Calibri Light">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Helvetica Neue">
    <w:altName w:val="Times New Roman"/>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68CCA" w14:textId="77777777" w:rsidR="001E022A" w:rsidRDefault="001E022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C99F" w14:textId="77777777" w:rsidR="001E022A" w:rsidRDefault="001E022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66F23" w14:textId="77777777" w:rsidR="001E022A" w:rsidRDefault="001E02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CB59F" w14:textId="77777777" w:rsidR="009E7EA0" w:rsidRDefault="009E7EA0" w:rsidP="001E022A">
      <w:pPr>
        <w:spacing w:after="0" w:line="240" w:lineRule="auto"/>
      </w:pPr>
      <w:r>
        <w:separator/>
      </w:r>
    </w:p>
  </w:footnote>
  <w:footnote w:type="continuationSeparator" w:id="0">
    <w:p w14:paraId="2DD2E700" w14:textId="77777777" w:rsidR="009E7EA0" w:rsidRDefault="009E7EA0" w:rsidP="001E0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A0D20" w14:textId="2E636F3A" w:rsidR="001E022A" w:rsidRDefault="009E7EA0">
    <w:pPr>
      <w:pStyle w:val="Header"/>
    </w:pPr>
    <w:r>
      <w:rPr>
        <w:noProof/>
      </w:rPr>
      <w:pict w14:anchorId="2E848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769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78DBD" w14:textId="56369A4D" w:rsidR="001E022A" w:rsidRDefault="009E7EA0">
    <w:pPr>
      <w:pStyle w:val="Header"/>
    </w:pPr>
    <w:r>
      <w:rPr>
        <w:noProof/>
      </w:rPr>
      <w:pict w14:anchorId="493D7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769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E70CA" w14:textId="45A123BE" w:rsidR="001E022A" w:rsidRDefault="009E7EA0">
    <w:pPr>
      <w:pStyle w:val="Header"/>
    </w:pPr>
    <w:r>
      <w:rPr>
        <w:noProof/>
      </w:rPr>
      <w:pict w14:anchorId="24114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769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2E"/>
    <w:rsid w:val="00160F8A"/>
    <w:rsid w:val="001915D4"/>
    <w:rsid w:val="001E022A"/>
    <w:rsid w:val="00236C94"/>
    <w:rsid w:val="0026004A"/>
    <w:rsid w:val="0038423C"/>
    <w:rsid w:val="00396921"/>
    <w:rsid w:val="004052E7"/>
    <w:rsid w:val="0046274C"/>
    <w:rsid w:val="007448ED"/>
    <w:rsid w:val="007A4346"/>
    <w:rsid w:val="00880B97"/>
    <w:rsid w:val="009D422E"/>
    <w:rsid w:val="009E7EA0"/>
    <w:rsid w:val="00A05D77"/>
    <w:rsid w:val="00A349AD"/>
    <w:rsid w:val="00AE2D3F"/>
    <w:rsid w:val="00B14E99"/>
    <w:rsid w:val="00BC76FE"/>
    <w:rsid w:val="00C32874"/>
    <w:rsid w:val="00C34333"/>
    <w:rsid w:val="00D0029A"/>
    <w:rsid w:val="00D30333"/>
    <w:rsid w:val="00EB6691"/>
    <w:rsid w:val="00F3104E"/>
    <w:rsid w:val="00F676A0"/>
    <w:rsid w:val="00FA65B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7DB020"/>
  <w15:chartTrackingRefBased/>
  <w15:docId w15:val="{AF5C089F-F3F7-4D54-BDCD-770A8626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4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4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4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22E"/>
    <w:rPr>
      <w:rFonts w:eastAsiaTheme="majorEastAsia" w:cstheme="majorBidi"/>
      <w:color w:val="272727" w:themeColor="text1" w:themeTint="D8"/>
    </w:rPr>
  </w:style>
  <w:style w:type="paragraph" w:styleId="Title">
    <w:name w:val="Title"/>
    <w:basedOn w:val="Normal"/>
    <w:next w:val="Normal"/>
    <w:link w:val="TitleChar"/>
    <w:uiPriority w:val="10"/>
    <w:qFormat/>
    <w:rsid w:val="009D4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22E"/>
    <w:pPr>
      <w:spacing w:before="160"/>
      <w:jc w:val="center"/>
    </w:pPr>
    <w:rPr>
      <w:i/>
      <w:iCs/>
      <w:color w:val="404040" w:themeColor="text1" w:themeTint="BF"/>
    </w:rPr>
  </w:style>
  <w:style w:type="character" w:customStyle="1" w:styleId="QuoteChar">
    <w:name w:val="Quote Char"/>
    <w:basedOn w:val="DefaultParagraphFont"/>
    <w:link w:val="Quote"/>
    <w:uiPriority w:val="29"/>
    <w:rsid w:val="009D422E"/>
    <w:rPr>
      <w:i/>
      <w:iCs/>
      <w:color w:val="404040" w:themeColor="text1" w:themeTint="BF"/>
    </w:rPr>
  </w:style>
  <w:style w:type="paragraph" w:styleId="ListParagraph">
    <w:name w:val="List Paragraph"/>
    <w:basedOn w:val="Normal"/>
    <w:uiPriority w:val="34"/>
    <w:qFormat/>
    <w:rsid w:val="009D422E"/>
    <w:pPr>
      <w:ind w:left="720"/>
      <w:contextualSpacing/>
    </w:pPr>
  </w:style>
  <w:style w:type="character" w:styleId="IntenseEmphasis">
    <w:name w:val="Intense Emphasis"/>
    <w:basedOn w:val="DefaultParagraphFont"/>
    <w:uiPriority w:val="21"/>
    <w:qFormat/>
    <w:rsid w:val="009D422E"/>
    <w:rPr>
      <w:i/>
      <w:iCs/>
      <w:color w:val="2F5496" w:themeColor="accent1" w:themeShade="BF"/>
    </w:rPr>
  </w:style>
  <w:style w:type="paragraph" w:styleId="IntenseQuote">
    <w:name w:val="Intense Quote"/>
    <w:basedOn w:val="Normal"/>
    <w:next w:val="Normal"/>
    <w:link w:val="IntenseQuoteChar"/>
    <w:uiPriority w:val="30"/>
    <w:qFormat/>
    <w:rsid w:val="009D4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22E"/>
    <w:rPr>
      <w:i/>
      <w:iCs/>
      <w:color w:val="2F5496" w:themeColor="accent1" w:themeShade="BF"/>
    </w:rPr>
  </w:style>
  <w:style w:type="character" w:styleId="IntenseReference">
    <w:name w:val="Intense Reference"/>
    <w:basedOn w:val="DefaultParagraphFont"/>
    <w:uiPriority w:val="32"/>
    <w:qFormat/>
    <w:rsid w:val="009D422E"/>
    <w:rPr>
      <w:b/>
      <w:bCs/>
      <w:smallCaps/>
      <w:color w:val="2F5496" w:themeColor="accent1" w:themeShade="BF"/>
      <w:spacing w:val="5"/>
    </w:rPr>
  </w:style>
  <w:style w:type="character" w:styleId="Hyperlink">
    <w:name w:val="Hyperlink"/>
    <w:basedOn w:val="DefaultParagraphFont"/>
    <w:uiPriority w:val="99"/>
    <w:unhideWhenUsed/>
    <w:rsid w:val="00F3104E"/>
    <w:rPr>
      <w:color w:val="0563C1" w:themeColor="hyperlink"/>
      <w:u w:val="single"/>
    </w:rPr>
  </w:style>
  <w:style w:type="character" w:customStyle="1" w:styleId="UnresolvedMention">
    <w:name w:val="Unresolved Mention"/>
    <w:basedOn w:val="DefaultParagraphFont"/>
    <w:uiPriority w:val="99"/>
    <w:semiHidden/>
    <w:unhideWhenUsed/>
    <w:rsid w:val="00236C94"/>
    <w:rPr>
      <w:color w:val="605E5C"/>
      <w:shd w:val="clear" w:color="auto" w:fill="E1DFDD"/>
    </w:rPr>
  </w:style>
  <w:style w:type="paragraph" w:styleId="Header">
    <w:name w:val="header"/>
    <w:basedOn w:val="Normal"/>
    <w:link w:val="HeaderChar"/>
    <w:uiPriority w:val="99"/>
    <w:unhideWhenUsed/>
    <w:rsid w:val="001E0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22A"/>
  </w:style>
  <w:style w:type="paragraph" w:styleId="Footer">
    <w:name w:val="footer"/>
    <w:basedOn w:val="Normal"/>
    <w:link w:val="FooterChar"/>
    <w:uiPriority w:val="99"/>
    <w:unhideWhenUsed/>
    <w:rsid w:val="001E0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22A"/>
  </w:style>
  <w:style w:type="paragraph" w:styleId="BalloonText">
    <w:name w:val="Balloon Text"/>
    <w:basedOn w:val="Normal"/>
    <w:link w:val="BalloonTextChar"/>
    <w:uiPriority w:val="99"/>
    <w:semiHidden/>
    <w:unhideWhenUsed/>
    <w:rsid w:val="00D00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29A"/>
    <w:rPr>
      <w:rFonts w:ascii="Segoe UI" w:hAnsi="Segoe UI" w:cs="Segoe UI"/>
      <w:sz w:val="18"/>
      <w:szCs w:val="18"/>
    </w:rPr>
  </w:style>
  <w:style w:type="paragraph" w:customStyle="1" w:styleId="c-bibliographic-informationcitation">
    <w:name w:val="c-bibliographic-information__citation"/>
    <w:basedOn w:val="Normal"/>
    <w:rsid w:val="00D30333"/>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9553">
      <w:bodyDiv w:val="1"/>
      <w:marLeft w:val="0"/>
      <w:marRight w:val="0"/>
      <w:marTop w:val="0"/>
      <w:marBottom w:val="0"/>
      <w:divBdr>
        <w:top w:val="none" w:sz="0" w:space="0" w:color="auto"/>
        <w:left w:val="none" w:sz="0" w:space="0" w:color="auto"/>
        <w:bottom w:val="none" w:sz="0" w:space="0" w:color="auto"/>
        <w:right w:val="none" w:sz="0" w:space="0" w:color="auto"/>
      </w:divBdr>
      <w:divsChild>
        <w:div w:id="386758194">
          <w:marLeft w:val="0"/>
          <w:marRight w:val="0"/>
          <w:marTop w:val="0"/>
          <w:marBottom w:val="0"/>
          <w:divBdr>
            <w:top w:val="none" w:sz="0" w:space="0" w:color="auto"/>
            <w:left w:val="none" w:sz="0" w:space="0" w:color="auto"/>
            <w:bottom w:val="none" w:sz="0" w:space="0" w:color="auto"/>
            <w:right w:val="none" w:sz="0" w:space="0" w:color="auto"/>
          </w:divBdr>
          <w:divsChild>
            <w:div w:id="177474159">
              <w:marLeft w:val="0"/>
              <w:marRight w:val="0"/>
              <w:marTop w:val="0"/>
              <w:marBottom w:val="0"/>
              <w:divBdr>
                <w:top w:val="none" w:sz="0" w:space="0" w:color="auto"/>
                <w:left w:val="none" w:sz="0" w:space="0" w:color="auto"/>
                <w:bottom w:val="none" w:sz="0" w:space="0" w:color="auto"/>
                <w:right w:val="none" w:sz="0" w:space="0" w:color="auto"/>
              </w:divBdr>
              <w:divsChild>
                <w:div w:id="1231111597">
                  <w:marLeft w:val="0"/>
                  <w:marRight w:val="0"/>
                  <w:marTop w:val="0"/>
                  <w:marBottom w:val="0"/>
                  <w:divBdr>
                    <w:top w:val="none" w:sz="0" w:space="0" w:color="auto"/>
                    <w:left w:val="none" w:sz="0" w:space="0" w:color="auto"/>
                    <w:bottom w:val="none" w:sz="0" w:space="0" w:color="auto"/>
                    <w:right w:val="none" w:sz="0" w:space="0" w:color="auto"/>
                  </w:divBdr>
                  <w:divsChild>
                    <w:div w:id="17715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2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6478/makrjms.2025.4.82.86" TargetMode="External"/><Relationship Id="rId18" Type="http://schemas.openxmlformats.org/officeDocument/2006/relationships/hyperlink" Target="https://doi.org/10.2147/CEG.S345531" TargetMode="External"/><Relationship Id="rId26" Type="http://schemas.openxmlformats.org/officeDocument/2006/relationships/hyperlink" Target="https://www.ncbi.nlm.nih.gov/books/NBK562172/" TargetMode="External"/><Relationship Id="rId21" Type="http://schemas.openxmlformats.org/officeDocument/2006/relationships/hyperlink" Target="https://doi.org/10.4103/sjg.sjg_112_21" TargetMode="External"/><Relationship Id="rId34" Type="http://schemas.openxmlformats.org/officeDocument/2006/relationships/header" Target="header3.xml"/><Relationship Id="rId7" Type="http://schemas.openxmlformats.org/officeDocument/2006/relationships/hyperlink" Target="https://doi.org/10.1055/a-2621-5666" TargetMode="External"/><Relationship Id="rId12" Type="http://schemas.openxmlformats.org/officeDocument/2006/relationships/hyperlink" Target="https://www.ncbi.nlm.nih.gov/books/NBK539698/" TargetMode="External"/><Relationship Id="rId17" Type="http://schemas.openxmlformats.org/officeDocument/2006/relationships/hyperlink" Target="https://doi.org/10.1136/flgastro-2012-100239" TargetMode="External"/><Relationship Id="rId25" Type="http://schemas.openxmlformats.org/officeDocument/2006/relationships/hyperlink" Target="https://www.ncbi.nlm.nih.gov/books/NBK562172/"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i.org/10.18203/2349-2902.isj20195964" TargetMode="External"/><Relationship Id="rId20" Type="http://schemas.openxmlformats.org/officeDocument/2006/relationships/hyperlink" Target="https://doi.org/10.11604/pamj.2020.35.38.17333" TargetMode="External"/><Relationship Id="rId29" Type="http://schemas.openxmlformats.org/officeDocument/2006/relationships/hyperlink" Target="https://doi.org/10.1097/MD.000000000002844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1634/theoncologist.2019-0057" TargetMode="External"/><Relationship Id="rId24" Type="http://schemas.openxmlformats.org/officeDocument/2006/relationships/hyperlink" Target="https://doi.org/10.12998/wjcc.v11.i11.250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16/j.semarthrit.2015.03.002" TargetMode="External"/><Relationship Id="rId23" Type="http://schemas.openxmlformats.org/officeDocument/2006/relationships/hyperlink" Target="https://doi.org/10.5152/turkjsurg.2018.4204" TargetMode="External"/><Relationship Id="rId28" Type="http://schemas.openxmlformats.org/officeDocument/2006/relationships/hyperlink" Target="https://doi.org/10.47009/jamp.2023.5.5.191" TargetMode="External"/><Relationship Id="rId36" Type="http://schemas.openxmlformats.org/officeDocument/2006/relationships/fontTable" Target="fontTable.xml"/><Relationship Id="rId10" Type="http://schemas.openxmlformats.org/officeDocument/2006/relationships/hyperlink" Target="https://doi.org/10.7759/cureus.95865" TargetMode="External"/><Relationship Id="rId19" Type="http://schemas.openxmlformats.org/officeDocument/2006/relationships/hyperlink" Target="https://www.ncbi.nlm.nih.gov/books/NBK459201/"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4103/npmj.npmj_242_20" TargetMode="External"/><Relationship Id="rId14" Type="http://schemas.openxmlformats.org/officeDocument/2006/relationships/hyperlink" Target="https://doi.org/10.4254/wjh.v13.i11.1688" TargetMode="External"/><Relationship Id="rId22" Type="http://schemas.openxmlformats.org/officeDocument/2006/relationships/hyperlink" Target="https://www.ncbi.nlm.nih.gov/books/NBK493160/" TargetMode="External"/><Relationship Id="rId27" Type="http://schemas.openxmlformats.org/officeDocument/2006/relationships/hyperlink" Target="https://www.ncbi.nlm.nih.gov/books/NBK20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4103/sjg.sjg_205_25"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 nelson</dc:creator>
  <cp:keywords/>
  <dc:description/>
  <cp:lastModifiedBy>user</cp:lastModifiedBy>
  <cp:revision>14</cp:revision>
  <dcterms:created xsi:type="dcterms:W3CDTF">2025-12-14T11:15:00Z</dcterms:created>
  <dcterms:modified xsi:type="dcterms:W3CDTF">2025-12-28T15:41:00Z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78cece40-8f8e-44b9-a5b6-c7ee803d00ad</vt:lpwstr>
  </property>
</Properties>
</file>