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5611F" w14:textId="77777777" w:rsidR="009352B2" w:rsidRDefault="009352B2" w:rsidP="000563A8">
      <w:pPr>
        <w:jc w:val="both"/>
        <w:rPr>
          <w:color w:val="002060"/>
          <w:sz w:val="40"/>
          <w:szCs w:val="40"/>
        </w:rPr>
      </w:pPr>
      <w:r w:rsidRPr="009352B2">
        <w:rPr>
          <w:color w:val="002060"/>
          <w:sz w:val="40"/>
          <w:szCs w:val="40"/>
        </w:rPr>
        <w:t xml:space="preserve">Case report </w:t>
      </w:r>
    </w:p>
    <w:p w14:paraId="013C900E" w14:textId="77777777" w:rsidR="009352B2" w:rsidRDefault="009352B2" w:rsidP="000563A8">
      <w:pPr>
        <w:jc w:val="both"/>
        <w:rPr>
          <w:color w:val="002060"/>
          <w:sz w:val="40"/>
          <w:szCs w:val="40"/>
        </w:rPr>
      </w:pPr>
    </w:p>
    <w:p w14:paraId="493C2989" w14:textId="4CA3C2EF" w:rsidR="00DB1565" w:rsidRPr="004200BD" w:rsidRDefault="007979B0" w:rsidP="000563A8">
      <w:pPr>
        <w:jc w:val="both"/>
        <w:rPr>
          <w:color w:val="002060"/>
        </w:rPr>
      </w:pPr>
      <w:r w:rsidRPr="007979B0">
        <w:rPr>
          <w:color w:val="002060"/>
          <w:sz w:val="40"/>
          <w:szCs w:val="40"/>
        </w:rPr>
        <w:t xml:space="preserve">Stroke with a Hidden </w:t>
      </w:r>
      <w:proofErr w:type="spellStart"/>
      <w:r w:rsidRPr="007979B0">
        <w:rPr>
          <w:color w:val="002060"/>
          <w:sz w:val="40"/>
          <w:szCs w:val="40"/>
        </w:rPr>
        <w:t>Tumor</w:t>
      </w:r>
      <w:proofErr w:type="spellEnd"/>
      <w:r w:rsidRPr="007979B0">
        <w:rPr>
          <w:color w:val="002060"/>
          <w:sz w:val="40"/>
          <w:szCs w:val="40"/>
        </w:rPr>
        <w:t>: Retroperitoneal Paraganglioma Presenting as Catecholamine-Induced Cerebrovascular Accident</w:t>
      </w:r>
    </w:p>
    <w:p w14:paraId="0957B891" w14:textId="77777777" w:rsidR="00D27A9B" w:rsidRDefault="007C2E92" w:rsidP="000563A8">
      <w:pPr>
        <w:jc w:val="both"/>
      </w:pPr>
      <w:r>
        <w:t xml:space="preserve"> </w:t>
      </w:r>
    </w:p>
    <w:p w14:paraId="05503705" w14:textId="77777777" w:rsidR="00B80121" w:rsidRDefault="00B80121" w:rsidP="000563A8">
      <w:pPr>
        <w:jc w:val="both"/>
      </w:pPr>
    </w:p>
    <w:p w14:paraId="715B71F6" w14:textId="77777777" w:rsidR="00B80121" w:rsidRDefault="00B80121" w:rsidP="000563A8">
      <w:pPr>
        <w:jc w:val="both"/>
        <w:sectPr w:rsidR="00B80121">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5C2FDE94" w14:textId="44DF7923" w:rsidR="00D27A9B" w:rsidRPr="0094751E" w:rsidRDefault="00F64A42" w:rsidP="000563A8">
      <w:pPr>
        <w:jc w:val="both"/>
        <w:rPr>
          <w:b/>
          <w:color w:val="002060"/>
          <w:sz w:val="32"/>
          <w:szCs w:val="32"/>
        </w:rPr>
      </w:pPr>
      <w:r>
        <w:rPr>
          <w:b/>
          <w:color w:val="002060"/>
          <w:sz w:val="32"/>
          <w:szCs w:val="32"/>
        </w:rPr>
        <w:t>ABSTRACT</w:t>
      </w:r>
    </w:p>
    <w:p w14:paraId="337AC97B" w14:textId="77777777" w:rsidR="00D27A9B" w:rsidRDefault="00D27A9B" w:rsidP="000563A8">
      <w:pPr>
        <w:jc w:val="both"/>
      </w:pPr>
    </w:p>
    <w:p w14:paraId="0D274625" w14:textId="77777777" w:rsidR="007979B0" w:rsidRPr="007979B0" w:rsidRDefault="007979B0" w:rsidP="007979B0">
      <w:pPr>
        <w:jc w:val="both"/>
        <w:rPr>
          <w:b/>
        </w:rPr>
      </w:pPr>
      <w:r w:rsidRPr="007979B0">
        <w:rPr>
          <w:b/>
        </w:rPr>
        <w:t>Background:</w:t>
      </w:r>
    </w:p>
    <w:p w14:paraId="36BAA44D" w14:textId="77777777" w:rsidR="007979B0" w:rsidRPr="007979B0" w:rsidRDefault="007979B0" w:rsidP="007979B0">
      <w:pPr>
        <w:jc w:val="both"/>
      </w:pPr>
      <w:r w:rsidRPr="007979B0">
        <w:t xml:space="preserve">Paragangliomas are rare neuroendocrine </w:t>
      </w:r>
      <w:proofErr w:type="spellStart"/>
      <w:r w:rsidRPr="007979B0">
        <w:t>tumors</w:t>
      </w:r>
      <w:proofErr w:type="spellEnd"/>
      <w:r w:rsidRPr="007979B0">
        <w:t xml:space="preserve"> arising from extra-adrenal chromaffin tissue of the autonomic nervous system. Functioning paragangliomas may secrete catecholamines, leading to hypertensive crises and serious cardiovascular and cerebrovascular complications.</w:t>
      </w:r>
    </w:p>
    <w:p w14:paraId="313DF3EB" w14:textId="77777777" w:rsidR="007979B0" w:rsidRPr="007979B0" w:rsidRDefault="007979B0" w:rsidP="007979B0">
      <w:pPr>
        <w:jc w:val="both"/>
      </w:pPr>
    </w:p>
    <w:p w14:paraId="30C33EF6" w14:textId="77777777" w:rsidR="007979B0" w:rsidRPr="007979B0" w:rsidRDefault="007979B0" w:rsidP="007979B0">
      <w:pPr>
        <w:jc w:val="both"/>
        <w:rPr>
          <w:b/>
        </w:rPr>
      </w:pPr>
      <w:r w:rsidRPr="007979B0">
        <w:rPr>
          <w:b/>
        </w:rPr>
        <w:t>Case Presentation:</w:t>
      </w:r>
    </w:p>
    <w:p w14:paraId="4D532CDF" w14:textId="77777777" w:rsidR="007979B0" w:rsidRPr="007979B0" w:rsidRDefault="007979B0" w:rsidP="007979B0">
      <w:pPr>
        <w:jc w:val="both"/>
      </w:pPr>
      <w:r w:rsidRPr="007979B0">
        <w:t xml:space="preserve">We report a 46-year-old female with no prior medical history who presented with sudden-onset headache, palpitations, and unilateral sensory disturbance. Neuroimaging revealed an acute cerebrovascular accident. Persistent accelerated hypertension prompted endocrine evaluation, which demonstrated markedly elevated catecholamine metabolites. Contrast-enhanced CT revealed a 3 cm retroperitoneal mass compressing the inferior vena cava, consistent with a functioning paraganglioma. Following adequate preoperative alpha blockade, the </w:t>
      </w:r>
      <w:proofErr w:type="spellStart"/>
      <w:r w:rsidRPr="007979B0">
        <w:t>tumor</w:t>
      </w:r>
      <w:proofErr w:type="spellEnd"/>
      <w:r w:rsidRPr="007979B0">
        <w:t xml:space="preserve"> was excised without complication. Postoperatively, the patient remained normotensive with complete resolution of symptoms.</w:t>
      </w:r>
    </w:p>
    <w:p w14:paraId="0AED481F" w14:textId="77777777" w:rsidR="007979B0" w:rsidRPr="007979B0" w:rsidRDefault="007979B0" w:rsidP="007979B0">
      <w:pPr>
        <w:jc w:val="both"/>
      </w:pPr>
    </w:p>
    <w:p w14:paraId="4BF49052" w14:textId="77777777" w:rsidR="007979B0" w:rsidRPr="007979B0" w:rsidRDefault="007979B0" w:rsidP="007979B0">
      <w:pPr>
        <w:jc w:val="both"/>
      </w:pPr>
      <w:r w:rsidRPr="007979B0">
        <w:rPr>
          <w:b/>
        </w:rPr>
        <w:t>Conclusion</w:t>
      </w:r>
      <w:r w:rsidRPr="007979B0">
        <w:t>:</w:t>
      </w:r>
    </w:p>
    <w:p w14:paraId="53123387" w14:textId="77777777" w:rsidR="007979B0" w:rsidRPr="007979B0" w:rsidRDefault="007979B0" w:rsidP="007979B0">
      <w:pPr>
        <w:jc w:val="both"/>
      </w:pPr>
      <w:r w:rsidRPr="007979B0">
        <w:t xml:space="preserve">Catecholamine-secreting paragangliomas represent a rare but important secondary cause of stroke in relatively young and middle-aged patients. Early recognition, biochemical evaluation, and multidisciplinary management are crucial to prevent recurrent cerebrovascular events and ensure </w:t>
      </w:r>
      <w:proofErr w:type="spellStart"/>
      <w:r w:rsidRPr="007979B0">
        <w:t>favorable</w:t>
      </w:r>
      <w:proofErr w:type="spellEnd"/>
      <w:r w:rsidRPr="007979B0">
        <w:t xml:space="preserve"> outcomes.</w:t>
      </w:r>
    </w:p>
    <w:p w14:paraId="138C7F24" w14:textId="77777777" w:rsidR="007979B0" w:rsidRDefault="007979B0" w:rsidP="007979B0">
      <w:pPr>
        <w:jc w:val="both"/>
        <w:rPr>
          <w:b/>
        </w:rPr>
      </w:pPr>
    </w:p>
    <w:p w14:paraId="21DA8784" w14:textId="7C4F9177" w:rsidR="00D27A9B" w:rsidRDefault="00D27A9B" w:rsidP="007979B0">
      <w:pPr>
        <w:jc w:val="both"/>
      </w:pPr>
      <w:r w:rsidRPr="0094751E">
        <w:rPr>
          <w:b/>
        </w:rPr>
        <w:t>Keywords</w:t>
      </w:r>
      <w:r>
        <w:t>: Paraganglioma, catecholamines, pheochromocytoma, hypertension</w:t>
      </w:r>
      <w:r w:rsidR="0094751E">
        <w:t xml:space="preserve">, stroke, retroperitoneal </w:t>
      </w:r>
      <w:proofErr w:type="spellStart"/>
      <w:r w:rsidR="0094751E">
        <w:t>tumor</w:t>
      </w:r>
      <w:proofErr w:type="spellEnd"/>
    </w:p>
    <w:p w14:paraId="578DA7B2" w14:textId="77777777" w:rsidR="00D27A9B" w:rsidRDefault="00D27A9B" w:rsidP="000563A8">
      <w:pPr>
        <w:jc w:val="both"/>
      </w:pPr>
    </w:p>
    <w:p w14:paraId="70674236" w14:textId="3F07977D" w:rsidR="00D27A9B" w:rsidRDefault="00B934C3" w:rsidP="000563A8">
      <w:pPr>
        <w:jc w:val="both"/>
        <w:rPr>
          <w:b/>
          <w:color w:val="002060"/>
          <w:sz w:val="32"/>
          <w:szCs w:val="32"/>
        </w:rPr>
      </w:pPr>
      <w:r>
        <w:rPr>
          <w:b/>
          <w:color w:val="002060"/>
          <w:sz w:val="32"/>
          <w:szCs w:val="32"/>
        </w:rPr>
        <w:t>INTRODUCTION</w:t>
      </w:r>
    </w:p>
    <w:p w14:paraId="2048EB54" w14:textId="77777777" w:rsidR="00C8296B" w:rsidRPr="00C8296B" w:rsidRDefault="00C8296B" w:rsidP="00C8296B">
      <w:pPr>
        <w:jc w:val="both"/>
        <w:rPr>
          <w:rFonts w:ascii="Times New Roman" w:eastAsia="Times New Roman" w:hAnsi="Times New Roman" w:cs="Times New Roman"/>
          <w:sz w:val="24"/>
          <w:szCs w:val="24"/>
          <w:lang w:eastAsia="en-IN"/>
        </w:rPr>
      </w:pPr>
      <w:r w:rsidRPr="00C8296B">
        <w:rPr>
          <w:rFonts w:ascii="Times New Roman" w:eastAsia="Times New Roman" w:hAnsi="Times New Roman" w:cs="Times New Roman"/>
          <w:sz w:val="24"/>
          <w:szCs w:val="24"/>
          <w:lang w:eastAsia="en-IN"/>
        </w:rPr>
        <w:t xml:space="preserve">Paragangliomas are rare extra-adrenal neuroendocrine </w:t>
      </w:r>
      <w:proofErr w:type="spellStart"/>
      <w:r w:rsidRPr="00C8296B">
        <w:rPr>
          <w:rFonts w:ascii="Times New Roman" w:eastAsia="Times New Roman" w:hAnsi="Times New Roman" w:cs="Times New Roman"/>
          <w:sz w:val="24"/>
          <w:szCs w:val="24"/>
          <w:lang w:eastAsia="en-IN"/>
        </w:rPr>
        <w:t>tumors</w:t>
      </w:r>
      <w:proofErr w:type="spellEnd"/>
      <w:r w:rsidRPr="00C8296B">
        <w:rPr>
          <w:rFonts w:ascii="Times New Roman" w:eastAsia="Times New Roman" w:hAnsi="Times New Roman" w:cs="Times New Roman"/>
          <w:sz w:val="24"/>
          <w:szCs w:val="24"/>
          <w:lang w:eastAsia="en-IN"/>
        </w:rPr>
        <w:t xml:space="preserve"> that arise from paraganglionic tissue distributed along the sympathetic and parasympathetic nervous systems. Sympathetic paragangliomas typically occur within the abdomen and retroperitoneum and are more likely to be biochemically active, secreting catecholamines such as norepinephrine, epinephrine, and dopamine. Excess catecholamine release may result in paroxysmal or sustained hypertension, tachyarrhythmias, diaphoresis, anxiety, and multisystem end-organ damage. Parasympathetic paragangliomas, by </w:t>
      </w:r>
      <w:r w:rsidRPr="00C8296B">
        <w:rPr>
          <w:rFonts w:ascii="Times New Roman" w:eastAsia="Times New Roman" w:hAnsi="Times New Roman" w:cs="Times New Roman"/>
          <w:sz w:val="24"/>
          <w:szCs w:val="24"/>
          <w:lang w:eastAsia="en-IN"/>
        </w:rPr>
        <w:lastRenderedPageBreak/>
        <w:t>contrast, are usually non-secretory and are more commonly located in the head and neck region.</w:t>
      </w:r>
    </w:p>
    <w:p w14:paraId="2878BFD9" w14:textId="77777777" w:rsidR="00C8296B" w:rsidRPr="00C8296B" w:rsidRDefault="00C8296B" w:rsidP="00C8296B">
      <w:pPr>
        <w:jc w:val="both"/>
        <w:rPr>
          <w:rFonts w:ascii="Times New Roman" w:eastAsia="Times New Roman" w:hAnsi="Times New Roman" w:cs="Times New Roman"/>
          <w:sz w:val="24"/>
          <w:szCs w:val="24"/>
          <w:lang w:eastAsia="en-IN"/>
        </w:rPr>
      </w:pPr>
    </w:p>
    <w:p w14:paraId="3B64A280" w14:textId="77777777" w:rsidR="00C8296B" w:rsidRPr="00C8296B" w:rsidRDefault="00C8296B" w:rsidP="00C8296B">
      <w:pPr>
        <w:jc w:val="both"/>
        <w:rPr>
          <w:rFonts w:ascii="Times New Roman" w:eastAsia="Times New Roman" w:hAnsi="Times New Roman" w:cs="Times New Roman"/>
          <w:sz w:val="24"/>
          <w:szCs w:val="24"/>
          <w:lang w:eastAsia="en-IN"/>
        </w:rPr>
      </w:pPr>
      <w:r w:rsidRPr="00C8296B">
        <w:rPr>
          <w:rFonts w:ascii="Times New Roman" w:eastAsia="Times New Roman" w:hAnsi="Times New Roman" w:cs="Times New Roman"/>
          <w:sz w:val="24"/>
          <w:szCs w:val="24"/>
          <w:lang w:eastAsia="en-IN"/>
        </w:rPr>
        <w:t xml:space="preserve">While the cardiovascular, metabolic, and renal sequelae of functioning paragangliomas are well documented, neurological manifestations are comparatively uncommon and may pose a diagnostic challenge. Cerebrovascular events—including transient ischemic attacks, ischemic stroke, and intracranial </w:t>
      </w:r>
      <w:proofErr w:type="spellStart"/>
      <w:r w:rsidRPr="00C8296B">
        <w:rPr>
          <w:rFonts w:ascii="Times New Roman" w:eastAsia="Times New Roman" w:hAnsi="Times New Roman" w:cs="Times New Roman"/>
          <w:sz w:val="24"/>
          <w:szCs w:val="24"/>
          <w:lang w:eastAsia="en-IN"/>
        </w:rPr>
        <w:t>hemorrhage</w:t>
      </w:r>
      <w:proofErr w:type="spellEnd"/>
      <w:r w:rsidRPr="00C8296B">
        <w:rPr>
          <w:rFonts w:ascii="Times New Roman" w:eastAsia="Times New Roman" w:hAnsi="Times New Roman" w:cs="Times New Roman"/>
          <w:sz w:val="24"/>
          <w:szCs w:val="24"/>
          <w:lang w:eastAsia="en-IN"/>
        </w:rPr>
        <w:t xml:space="preserve">—have been rarely reported in association with catecholamine-secreting paragangliomas. These events are believed to arise from catecholamine-mediated mechanisms such as severe hypertensive crises, reversible cerebral vasoconstriction, endothelial injury, oxidative stress, and hypercoagulability, which may lead to both reversible and irreversible cerebrovascular injury. Due to the rarity of such presentations and their overlap with more common stroke </w:t>
      </w:r>
      <w:proofErr w:type="spellStart"/>
      <w:r w:rsidRPr="00C8296B">
        <w:rPr>
          <w:rFonts w:ascii="Times New Roman" w:eastAsia="Times New Roman" w:hAnsi="Times New Roman" w:cs="Times New Roman"/>
          <w:sz w:val="24"/>
          <w:szCs w:val="24"/>
          <w:lang w:eastAsia="en-IN"/>
        </w:rPr>
        <w:t>etiologies</w:t>
      </w:r>
      <w:proofErr w:type="spellEnd"/>
      <w:r w:rsidRPr="00C8296B">
        <w:rPr>
          <w:rFonts w:ascii="Times New Roman" w:eastAsia="Times New Roman" w:hAnsi="Times New Roman" w:cs="Times New Roman"/>
          <w:sz w:val="24"/>
          <w:szCs w:val="24"/>
          <w:lang w:eastAsia="en-IN"/>
        </w:rPr>
        <w:t>, the underlying endocrine disorder may remain unrecognized for a prolonged period.</w:t>
      </w:r>
    </w:p>
    <w:p w14:paraId="1EBAEAF5" w14:textId="77777777" w:rsidR="00C8296B" w:rsidRPr="00C8296B" w:rsidRDefault="00C8296B" w:rsidP="00C8296B">
      <w:pPr>
        <w:jc w:val="both"/>
        <w:rPr>
          <w:rFonts w:ascii="Times New Roman" w:eastAsia="Times New Roman" w:hAnsi="Times New Roman" w:cs="Times New Roman"/>
          <w:sz w:val="24"/>
          <w:szCs w:val="24"/>
          <w:lang w:eastAsia="en-IN"/>
        </w:rPr>
      </w:pPr>
    </w:p>
    <w:p w14:paraId="57B7E3AD" w14:textId="03D48669" w:rsidR="00D27A9B" w:rsidRDefault="00C8296B" w:rsidP="00C8296B">
      <w:pPr>
        <w:jc w:val="both"/>
        <w:rPr>
          <w:rFonts w:ascii="Times New Roman" w:eastAsia="Times New Roman" w:hAnsi="Times New Roman" w:cs="Times New Roman"/>
          <w:sz w:val="24"/>
          <w:szCs w:val="24"/>
          <w:lang w:eastAsia="en-IN"/>
        </w:rPr>
      </w:pPr>
      <w:r w:rsidRPr="00C8296B">
        <w:rPr>
          <w:rFonts w:ascii="Times New Roman" w:eastAsia="Times New Roman" w:hAnsi="Times New Roman" w:cs="Times New Roman"/>
          <w:sz w:val="24"/>
          <w:szCs w:val="24"/>
          <w:lang w:eastAsia="en-IN"/>
        </w:rPr>
        <w:t xml:space="preserve">The diagnostic complexity is further compounded by the diverse anatomical locations and variable clinical </w:t>
      </w:r>
      <w:proofErr w:type="spellStart"/>
      <w:r w:rsidRPr="00C8296B">
        <w:rPr>
          <w:rFonts w:ascii="Times New Roman" w:eastAsia="Times New Roman" w:hAnsi="Times New Roman" w:cs="Times New Roman"/>
          <w:sz w:val="24"/>
          <w:szCs w:val="24"/>
          <w:lang w:eastAsia="en-IN"/>
        </w:rPr>
        <w:t>behavior</w:t>
      </w:r>
      <w:proofErr w:type="spellEnd"/>
      <w:r w:rsidRPr="00C8296B">
        <w:rPr>
          <w:rFonts w:ascii="Times New Roman" w:eastAsia="Times New Roman" w:hAnsi="Times New Roman" w:cs="Times New Roman"/>
          <w:sz w:val="24"/>
          <w:szCs w:val="24"/>
          <w:lang w:eastAsia="en-IN"/>
        </w:rPr>
        <w:t xml:space="preserve"> of paragangliomas, which may delay diagnosis until significant end-organ involvement occurs. Early recognition is therefore crucial to prevent recurrent neurological complications and reduce long-term morbidity. In this report, we describe a case of retroperitoneal paraganglioma presenting with stroke in a relatively young patient accompanied by persistent accelerated hypertension, highlighting the importance of considering catecholamine-secreting </w:t>
      </w:r>
      <w:proofErr w:type="spellStart"/>
      <w:r w:rsidRPr="00C8296B">
        <w:rPr>
          <w:rFonts w:ascii="Times New Roman" w:eastAsia="Times New Roman" w:hAnsi="Times New Roman" w:cs="Times New Roman"/>
          <w:sz w:val="24"/>
          <w:szCs w:val="24"/>
          <w:lang w:eastAsia="en-IN"/>
        </w:rPr>
        <w:t>tumors</w:t>
      </w:r>
      <w:proofErr w:type="spellEnd"/>
      <w:r w:rsidRPr="00C8296B">
        <w:rPr>
          <w:rFonts w:ascii="Times New Roman" w:eastAsia="Times New Roman" w:hAnsi="Times New Roman" w:cs="Times New Roman"/>
          <w:sz w:val="24"/>
          <w:szCs w:val="24"/>
          <w:lang w:eastAsia="en-IN"/>
        </w:rPr>
        <w:t xml:space="preserve"> in the differential diagnosis of atypical cerebrovascular events. The diagnostic and </w:t>
      </w:r>
      <w:r w:rsidRPr="00C8296B">
        <w:rPr>
          <w:rFonts w:ascii="Times New Roman" w:eastAsia="Times New Roman" w:hAnsi="Times New Roman" w:cs="Times New Roman"/>
          <w:sz w:val="24"/>
          <w:szCs w:val="24"/>
          <w:lang w:eastAsia="en-IN"/>
        </w:rPr>
        <w:t>therapeutic considerations relevant to such cases are discussed.</w:t>
      </w:r>
    </w:p>
    <w:p w14:paraId="0B350F9D" w14:textId="77777777" w:rsidR="00C8296B" w:rsidRDefault="00C8296B" w:rsidP="00C8296B">
      <w:pPr>
        <w:jc w:val="both"/>
        <w:rPr>
          <w:rFonts w:ascii="Times New Roman" w:eastAsia="Times New Roman" w:hAnsi="Times New Roman" w:cs="Times New Roman"/>
          <w:sz w:val="24"/>
          <w:szCs w:val="24"/>
          <w:lang w:eastAsia="en-IN"/>
        </w:rPr>
      </w:pPr>
    </w:p>
    <w:p w14:paraId="0DA4A69F" w14:textId="77777777" w:rsidR="00C8296B" w:rsidRDefault="00C8296B" w:rsidP="00C8296B">
      <w:pPr>
        <w:jc w:val="both"/>
      </w:pPr>
    </w:p>
    <w:p w14:paraId="44A659C9" w14:textId="4C31CD31" w:rsidR="00D27A9B" w:rsidRPr="0094751E" w:rsidRDefault="00B934C3" w:rsidP="000563A8">
      <w:pPr>
        <w:jc w:val="both"/>
        <w:rPr>
          <w:b/>
          <w:color w:val="002060"/>
          <w:sz w:val="32"/>
          <w:szCs w:val="32"/>
        </w:rPr>
      </w:pPr>
      <w:r>
        <w:rPr>
          <w:b/>
          <w:color w:val="002060"/>
          <w:sz w:val="32"/>
          <w:szCs w:val="32"/>
        </w:rPr>
        <w:t>CASE PRESENTATION</w:t>
      </w:r>
    </w:p>
    <w:p w14:paraId="3CCF4A1D" w14:textId="77777777" w:rsidR="00D27A9B" w:rsidRDefault="00D27A9B" w:rsidP="000563A8">
      <w:pPr>
        <w:jc w:val="both"/>
      </w:pPr>
    </w:p>
    <w:p w14:paraId="1589B284" w14:textId="77777777" w:rsidR="005E5580" w:rsidRDefault="005E5580" w:rsidP="000563A8">
      <w:pPr>
        <w:jc w:val="both"/>
      </w:pPr>
      <w:r w:rsidRPr="005E5580">
        <w:t>A 46-year-old female with no significant medical history presented with acute-onset headache, palpitations, and altered sensation involving the left upper and lower limbs. Three months prior to the current presentation, she had been diagnosed with an acute infarct involving the caudate nucleus and left thalamus. Carotid Doppler ultrasound at that time revealed atheromatous plaque in the distal common carotid artery and carotid bulbs, and she was managed conservatively.</w:t>
      </w:r>
    </w:p>
    <w:p w14:paraId="7A776C12" w14:textId="5E9234B6" w:rsidR="00D27A9B" w:rsidRDefault="00D27A9B" w:rsidP="000563A8">
      <w:pPr>
        <w:jc w:val="both"/>
      </w:pPr>
      <w:r>
        <w:t xml:space="preserve">Despite therapy, the patient developed persistent accelerated hypertension on follow-up. Biochemical evaluation revealed markedly elevated catecholamine metabolites: 24-hour VMA 16.8 mg/24 h (normal &lt; 8 mg/24 h), plasma free normetanephrine 580.68 </w:t>
      </w:r>
      <w:proofErr w:type="spellStart"/>
      <w:r>
        <w:t>pg</w:t>
      </w:r>
      <w:proofErr w:type="spellEnd"/>
      <w:r>
        <w:t xml:space="preserve">/mL (normal &lt; 180 </w:t>
      </w:r>
      <w:proofErr w:type="spellStart"/>
      <w:r>
        <w:t>pg</w:t>
      </w:r>
      <w:proofErr w:type="spellEnd"/>
      <w:r>
        <w:t xml:space="preserve">/mL), and free </w:t>
      </w:r>
      <w:proofErr w:type="spellStart"/>
      <w:r>
        <w:t>metanephrine</w:t>
      </w:r>
      <w:proofErr w:type="spellEnd"/>
      <w:r>
        <w:t xml:space="preserve"> 12.58 </w:t>
      </w:r>
      <w:proofErr w:type="spellStart"/>
      <w:r>
        <w:t>pg</w:t>
      </w:r>
      <w:proofErr w:type="spellEnd"/>
      <w:r>
        <w:t xml:space="preserve">/mL (normal &lt; 88 </w:t>
      </w:r>
      <w:proofErr w:type="spellStart"/>
      <w:r>
        <w:t>pg</w:t>
      </w:r>
      <w:proofErr w:type="spellEnd"/>
      <w:r>
        <w:t>/mL).</w:t>
      </w:r>
    </w:p>
    <w:p w14:paraId="5279F6D5" w14:textId="77777777" w:rsidR="0094751E" w:rsidRDefault="0094751E" w:rsidP="000563A8">
      <w:pPr>
        <w:jc w:val="both"/>
      </w:pPr>
      <w:r>
        <w:t>CT abdomen and pelvis demonstrated a homogeneous 2.6 × 3.2 × 3.3 cm precaval mass indenting the inferior vena cava, consistent with a functioning retroperitoneal paraganglioma. Bilateral adrenal glands were normal.</w:t>
      </w:r>
    </w:p>
    <w:p w14:paraId="2BFF32CE" w14:textId="77777777" w:rsidR="000563A8" w:rsidRDefault="000563A8" w:rsidP="000563A8">
      <w:pPr>
        <w:jc w:val="both"/>
      </w:pPr>
      <w:r w:rsidRPr="006070D0">
        <w:rPr>
          <w:rFonts w:ascii="Arial" w:hAnsi="Arial" w:cs="Arial"/>
          <w:noProof/>
          <w:sz w:val="20"/>
          <w:szCs w:val="20"/>
          <w:lang w:eastAsia="en-IN"/>
        </w:rPr>
        <w:drawing>
          <wp:inline distT="0" distB="0" distL="0" distR="0" wp14:anchorId="77955AD0" wp14:editId="68B01973">
            <wp:extent cx="2640965" cy="1806575"/>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0965" cy="1806575"/>
                    </a:xfrm>
                    <a:prstGeom prst="rect">
                      <a:avLst/>
                    </a:prstGeom>
                  </pic:spPr>
                </pic:pic>
              </a:graphicData>
            </a:graphic>
          </wp:inline>
        </w:drawing>
      </w:r>
    </w:p>
    <w:p w14:paraId="784CD21D" w14:textId="77777777" w:rsidR="00D27A9B" w:rsidRDefault="000563A8" w:rsidP="000563A8">
      <w:pPr>
        <w:jc w:val="both"/>
      </w:pPr>
      <w:r>
        <w:lastRenderedPageBreak/>
        <w:t xml:space="preserve">Figure 1. CT showing retroperitoneal mass indenting the inferior vena </w:t>
      </w:r>
    </w:p>
    <w:p w14:paraId="3625951A" w14:textId="77777777" w:rsidR="000563A8" w:rsidRDefault="000563A8" w:rsidP="000563A8">
      <w:pPr>
        <w:jc w:val="both"/>
      </w:pPr>
    </w:p>
    <w:p w14:paraId="5AD5D5F1" w14:textId="77777777" w:rsidR="00252DD8" w:rsidRDefault="00D27A9B" w:rsidP="000563A8">
      <w:pPr>
        <w:jc w:val="both"/>
        <w:rPr>
          <w:rFonts w:ascii="Arial" w:hAnsi="Arial" w:cs="Arial"/>
          <w:noProof/>
          <w:sz w:val="20"/>
          <w:szCs w:val="20"/>
          <w:lang w:eastAsia="en-IN"/>
        </w:rPr>
      </w:pPr>
      <w:r>
        <w:t xml:space="preserve">Preoperative optimization included alpha blockade followed by beta blockade, calcium channel blockers, and salt supplementation. After achieving adequate blood pressure control, surgical excision was performed via chevron incision with extended </w:t>
      </w:r>
      <w:proofErr w:type="spellStart"/>
      <w:r>
        <w:t>Kocherization</w:t>
      </w:r>
      <w:proofErr w:type="spellEnd"/>
      <w:r>
        <w:t>. A 3×3 cm mass between the aorta and inferior vena cava was dissected and excised in toto.</w:t>
      </w:r>
      <w:r w:rsidR="00252DD8" w:rsidRPr="00252DD8">
        <w:rPr>
          <w:rFonts w:ascii="Arial" w:hAnsi="Arial" w:cs="Arial"/>
          <w:noProof/>
          <w:sz w:val="20"/>
          <w:szCs w:val="20"/>
          <w:lang w:eastAsia="en-IN"/>
        </w:rPr>
        <w:t xml:space="preserve"> </w:t>
      </w:r>
    </w:p>
    <w:p w14:paraId="587D740A" w14:textId="77777777" w:rsidR="00252DD8" w:rsidRDefault="00252DD8" w:rsidP="000563A8">
      <w:pPr>
        <w:jc w:val="both"/>
        <w:rPr>
          <w:rFonts w:ascii="Arial" w:hAnsi="Arial" w:cs="Arial"/>
          <w:noProof/>
          <w:sz w:val="20"/>
          <w:szCs w:val="20"/>
          <w:lang w:eastAsia="en-IN"/>
        </w:rPr>
      </w:pPr>
    </w:p>
    <w:p w14:paraId="5FD97647" w14:textId="77777777" w:rsidR="0094751E" w:rsidRDefault="0094751E" w:rsidP="000563A8">
      <w:pPr>
        <w:jc w:val="both"/>
        <w:rPr>
          <w:rFonts w:ascii="Arial" w:hAnsi="Arial" w:cs="Arial"/>
          <w:noProof/>
          <w:sz w:val="20"/>
          <w:szCs w:val="20"/>
          <w:lang w:eastAsia="en-IN"/>
        </w:rPr>
      </w:pPr>
    </w:p>
    <w:p w14:paraId="349B690C" w14:textId="77777777" w:rsidR="00D27A9B" w:rsidRDefault="00252DD8" w:rsidP="000563A8">
      <w:pPr>
        <w:jc w:val="both"/>
        <w:rPr>
          <w:rFonts w:ascii="Arial" w:hAnsi="Arial" w:cs="Arial"/>
          <w:noProof/>
          <w:sz w:val="20"/>
          <w:szCs w:val="20"/>
          <w:lang w:eastAsia="en-IN"/>
        </w:rPr>
      </w:pPr>
      <w:r w:rsidRPr="006070D0">
        <w:rPr>
          <w:rFonts w:ascii="Arial" w:hAnsi="Arial" w:cs="Arial"/>
          <w:noProof/>
          <w:sz w:val="20"/>
          <w:szCs w:val="20"/>
          <w:lang w:eastAsia="en-IN"/>
        </w:rPr>
        <w:drawing>
          <wp:inline distT="0" distB="0" distL="0" distR="0" wp14:anchorId="575E8DBD" wp14:editId="61706B1E">
            <wp:extent cx="2460946" cy="1723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vron incision.jpg"/>
                    <pic:cNvPicPr/>
                  </pic:nvPicPr>
                  <pic:blipFill rotWithShape="1">
                    <a:blip r:embed="rId14" cstate="print">
                      <a:extLst>
                        <a:ext uri="{28A0092B-C50C-407E-A947-70E740481C1C}">
                          <a14:useLocalDpi xmlns:a14="http://schemas.microsoft.com/office/drawing/2010/main" val="0"/>
                        </a:ext>
                      </a:extLst>
                    </a:blip>
                    <a:srcRect l="15090" t="16579" r="20690" b="15923"/>
                    <a:stretch/>
                  </pic:blipFill>
                  <pic:spPr bwMode="auto">
                    <a:xfrm>
                      <a:off x="0" y="0"/>
                      <a:ext cx="2475657" cy="1733593"/>
                    </a:xfrm>
                    <a:prstGeom prst="rect">
                      <a:avLst/>
                    </a:prstGeom>
                    <a:ln>
                      <a:noFill/>
                    </a:ln>
                    <a:extLst>
                      <a:ext uri="{53640926-AAD7-44D8-BBD7-CCE9431645EC}">
                        <a14:shadowObscured xmlns:a14="http://schemas.microsoft.com/office/drawing/2010/main"/>
                      </a:ext>
                    </a:extLst>
                  </pic:spPr>
                </pic:pic>
              </a:graphicData>
            </a:graphic>
          </wp:inline>
        </w:drawing>
      </w:r>
    </w:p>
    <w:p w14:paraId="4919B060" w14:textId="58D04FB3" w:rsidR="00252DD8" w:rsidRPr="006070D0" w:rsidRDefault="00252DD8" w:rsidP="000563A8">
      <w:pPr>
        <w:jc w:val="both"/>
        <w:rPr>
          <w:rFonts w:ascii="Arial" w:hAnsi="Arial" w:cs="Arial"/>
          <w:sz w:val="20"/>
          <w:szCs w:val="20"/>
        </w:rPr>
      </w:pPr>
      <w:r w:rsidRPr="006070D0">
        <w:rPr>
          <w:rFonts w:ascii="Arial" w:hAnsi="Arial" w:cs="Arial"/>
          <w:sz w:val="20"/>
          <w:szCs w:val="20"/>
        </w:rPr>
        <w:t xml:space="preserve">         </w:t>
      </w:r>
      <w:r w:rsidR="00497CF5" w:rsidRPr="00497CF5">
        <w:rPr>
          <w:rFonts w:ascii="Arial" w:hAnsi="Arial" w:cs="Arial"/>
          <w:sz w:val="20"/>
          <w:szCs w:val="20"/>
        </w:rPr>
        <w:t xml:space="preserve">Figure </w:t>
      </w:r>
      <w:r w:rsidRPr="006070D0">
        <w:rPr>
          <w:rFonts w:ascii="Arial" w:hAnsi="Arial" w:cs="Arial"/>
          <w:sz w:val="20"/>
          <w:szCs w:val="20"/>
        </w:rPr>
        <w:t xml:space="preserve"># 2:  Chevron incision             </w:t>
      </w:r>
    </w:p>
    <w:p w14:paraId="7990237F" w14:textId="77777777" w:rsidR="00407B36" w:rsidRDefault="00407B36" w:rsidP="000563A8">
      <w:pPr>
        <w:jc w:val="both"/>
      </w:pPr>
    </w:p>
    <w:p w14:paraId="29AEAA10" w14:textId="77777777" w:rsidR="00252DD8" w:rsidRDefault="00252DD8" w:rsidP="000563A8">
      <w:pPr>
        <w:jc w:val="both"/>
      </w:pPr>
    </w:p>
    <w:p w14:paraId="2CBEE315" w14:textId="78D00350" w:rsidR="00252DD8" w:rsidRDefault="005E5580" w:rsidP="000563A8">
      <w:pPr>
        <w:jc w:val="both"/>
      </w:pPr>
      <w:r w:rsidRPr="006070D0">
        <w:rPr>
          <w:rFonts w:ascii="Arial" w:hAnsi="Arial" w:cs="Arial"/>
          <w:noProof/>
          <w:sz w:val="20"/>
          <w:szCs w:val="20"/>
          <w:lang w:eastAsia="en-IN"/>
        </w:rPr>
        <w:drawing>
          <wp:inline distT="0" distB="0" distL="0" distR="0" wp14:anchorId="5F1C1CBB" wp14:editId="548717C3">
            <wp:extent cx="2554997" cy="1943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ended kocherisation.jpg"/>
                    <pic:cNvPicPr/>
                  </pic:nvPicPr>
                  <pic:blipFill rotWithShape="1">
                    <a:blip r:embed="rId15" cstate="print">
                      <a:extLst>
                        <a:ext uri="{28A0092B-C50C-407E-A947-70E740481C1C}">
                          <a14:useLocalDpi xmlns:a14="http://schemas.microsoft.com/office/drawing/2010/main" val="0"/>
                        </a:ext>
                      </a:extLst>
                    </a:blip>
                    <a:srcRect l="16866" t="13920" r="24445" b="9115"/>
                    <a:stretch/>
                  </pic:blipFill>
                  <pic:spPr bwMode="auto">
                    <a:xfrm>
                      <a:off x="0" y="0"/>
                      <a:ext cx="2578732" cy="1961791"/>
                    </a:xfrm>
                    <a:prstGeom prst="rect">
                      <a:avLst/>
                    </a:prstGeom>
                    <a:ln>
                      <a:noFill/>
                    </a:ln>
                    <a:extLst>
                      <a:ext uri="{53640926-AAD7-44D8-BBD7-CCE9431645EC}">
                        <a14:shadowObscured xmlns:a14="http://schemas.microsoft.com/office/drawing/2010/main"/>
                      </a:ext>
                    </a:extLst>
                  </pic:spPr>
                </pic:pic>
              </a:graphicData>
            </a:graphic>
          </wp:inline>
        </w:drawing>
      </w:r>
    </w:p>
    <w:p w14:paraId="68A2407A" w14:textId="6F6487EF" w:rsidR="000563A8" w:rsidRPr="005E5580" w:rsidRDefault="00252DD8" w:rsidP="000563A8">
      <w:pPr>
        <w:jc w:val="both"/>
        <w:rPr>
          <w:rFonts w:ascii="Arial" w:hAnsi="Arial" w:cs="Arial"/>
          <w:sz w:val="20"/>
          <w:szCs w:val="20"/>
        </w:rPr>
      </w:pPr>
      <w:r w:rsidRPr="006070D0">
        <w:rPr>
          <w:rFonts w:ascii="Arial" w:hAnsi="Arial" w:cs="Arial"/>
          <w:sz w:val="20"/>
          <w:szCs w:val="20"/>
        </w:rPr>
        <w:t xml:space="preserve">       </w:t>
      </w:r>
      <w:r w:rsidR="00497CF5" w:rsidRPr="00497CF5">
        <w:rPr>
          <w:rFonts w:ascii="Arial" w:hAnsi="Arial" w:cs="Arial"/>
          <w:sz w:val="20"/>
          <w:szCs w:val="20"/>
        </w:rPr>
        <w:t xml:space="preserve">Figure </w:t>
      </w:r>
      <w:r w:rsidRPr="006070D0">
        <w:rPr>
          <w:rFonts w:ascii="Arial" w:hAnsi="Arial" w:cs="Arial"/>
          <w:sz w:val="20"/>
          <w:szCs w:val="20"/>
        </w:rPr>
        <w:t xml:space="preserve"># 3: extended Kocherisation    </w:t>
      </w:r>
    </w:p>
    <w:p w14:paraId="339078F1" w14:textId="77777777" w:rsidR="000563A8" w:rsidRDefault="000563A8" w:rsidP="000563A8">
      <w:pPr>
        <w:jc w:val="both"/>
        <w:rPr>
          <w:rFonts w:ascii="Arial" w:hAnsi="Arial" w:cs="Arial"/>
          <w:noProof/>
          <w:sz w:val="20"/>
          <w:szCs w:val="20"/>
          <w:lang w:eastAsia="en-IN"/>
        </w:rPr>
      </w:pPr>
    </w:p>
    <w:p w14:paraId="487C8041" w14:textId="77777777" w:rsidR="00252DD8" w:rsidRDefault="00252DD8" w:rsidP="000563A8">
      <w:pPr>
        <w:jc w:val="both"/>
      </w:pPr>
      <w:r w:rsidRPr="006070D0">
        <w:rPr>
          <w:rFonts w:ascii="Arial" w:hAnsi="Arial" w:cs="Arial"/>
          <w:noProof/>
          <w:sz w:val="20"/>
          <w:szCs w:val="20"/>
          <w:lang w:eastAsia="en-IN"/>
        </w:rPr>
        <w:drawing>
          <wp:inline distT="0" distB="0" distL="0" distR="0" wp14:anchorId="2C86B64F" wp14:editId="470CC4DF">
            <wp:extent cx="2456266" cy="179949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s identified.jpg"/>
                    <pic:cNvPicPr/>
                  </pic:nvPicPr>
                  <pic:blipFill rotWithShape="1">
                    <a:blip r:embed="rId16" cstate="print">
                      <a:extLst>
                        <a:ext uri="{28A0092B-C50C-407E-A947-70E740481C1C}">
                          <a14:useLocalDpi xmlns:a14="http://schemas.microsoft.com/office/drawing/2010/main" val="0"/>
                        </a:ext>
                      </a:extLst>
                    </a:blip>
                    <a:srcRect l="5895" t="15542" r="34483" b="17539"/>
                    <a:stretch/>
                  </pic:blipFill>
                  <pic:spPr bwMode="auto">
                    <a:xfrm>
                      <a:off x="0" y="0"/>
                      <a:ext cx="2459219" cy="1801656"/>
                    </a:xfrm>
                    <a:prstGeom prst="rect">
                      <a:avLst/>
                    </a:prstGeom>
                    <a:ln>
                      <a:noFill/>
                    </a:ln>
                    <a:extLst>
                      <a:ext uri="{53640926-AAD7-44D8-BBD7-CCE9431645EC}">
                        <a14:shadowObscured xmlns:a14="http://schemas.microsoft.com/office/drawing/2010/main"/>
                      </a:ext>
                    </a:extLst>
                  </pic:spPr>
                </pic:pic>
              </a:graphicData>
            </a:graphic>
          </wp:inline>
        </w:drawing>
      </w:r>
    </w:p>
    <w:p w14:paraId="6B511B1F" w14:textId="74BE2622" w:rsidR="00252DD8" w:rsidRDefault="000563A8" w:rsidP="000563A8">
      <w:pPr>
        <w:jc w:val="both"/>
        <w:rPr>
          <w:rFonts w:ascii="Arial" w:hAnsi="Arial" w:cs="Arial"/>
          <w:sz w:val="20"/>
          <w:szCs w:val="20"/>
        </w:rPr>
      </w:pPr>
      <w:r>
        <w:rPr>
          <w:rFonts w:ascii="Arial" w:hAnsi="Arial" w:cs="Arial"/>
          <w:sz w:val="20"/>
          <w:szCs w:val="20"/>
        </w:rPr>
        <w:t xml:space="preserve">   </w:t>
      </w:r>
      <w:r w:rsidR="00252DD8" w:rsidRPr="006070D0">
        <w:rPr>
          <w:rFonts w:ascii="Arial" w:hAnsi="Arial" w:cs="Arial"/>
          <w:sz w:val="20"/>
          <w:szCs w:val="20"/>
        </w:rPr>
        <w:t xml:space="preserve"> </w:t>
      </w:r>
      <w:r w:rsidR="00497CF5" w:rsidRPr="00497CF5">
        <w:rPr>
          <w:rFonts w:ascii="Arial" w:hAnsi="Arial" w:cs="Arial"/>
          <w:sz w:val="20"/>
          <w:szCs w:val="20"/>
        </w:rPr>
        <w:t xml:space="preserve">Figure </w:t>
      </w:r>
      <w:r w:rsidR="00252DD8" w:rsidRPr="006070D0">
        <w:rPr>
          <w:rFonts w:ascii="Arial" w:hAnsi="Arial" w:cs="Arial"/>
          <w:sz w:val="20"/>
          <w:szCs w:val="20"/>
        </w:rPr>
        <w:t xml:space="preserve"># 4: Mass identified             </w:t>
      </w:r>
    </w:p>
    <w:p w14:paraId="218A687A" w14:textId="77777777" w:rsidR="00407B36" w:rsidRPr="006070D0" w:rsidRDefault="00407B36" w:rsidP="000563A8">
      <w:pPr>
        <w:jc w:val="both"/>
        <w:rPr>
          <w:rFonts w:ascii="Arial" w:hAnsi="Arial" w:cs="Arial"/>
          <w:sz w:val="20"/>
          <w:szCs w:val="20"/>
        </w:rPr>
      </w:pPr>
    </w:p>
    <w:p w14:paraId="55D6DFAB" w14:textId="77777777" w:rsidR="00252DD8" w:rsidRDefault="00252DD8" w:rsidP="000563A8">
      <w:pPr>
        <w:jc w:val="both"/>
      </w:pPr>
      <w:r w:rsidRPr="006070D0">
        <w:rPr>
          <w:rFonts w:ascii="Arial" w:hAnsi="Arial" w:cs="Arial"/>
          <w:noProof/>
          <w:sz w:val="20"/>
          <w:szCs w:val="20"/>
          <w:lang w:eastAsia="en-IN"/>
        </w:rPr>
        <w:drawing>
          <wp:inline distT="0" distB="0" distL="0" distR="0" wp14:anchorId="4FE9867D" wp14:editId="4CD93D54">
            <wp:extent cx="2397369" cy="179646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s dissected.jpg"/>
                    <pic:cNvPicPr/>
                  </pic:nvPicPr>
                  <pic:blipFill rotWithShape="1">
                    <a:blip r:embed="rId17" cstate="print">
                      <a:extLst>
                        <a:ext uri="{28A0092B-C50C-407E-A947-70E740481C1C}">
                          <a14:useLocalDpi xmlns:a14="http://schemas.microsoft.com/office/drawing/2010/main" val="0"/>
                        </a:ext>
                      </a:extLst>
                    </a:blip>
                    <a:srcRect t="21761" r="38264" b="8801"/>
                    <a:stretch/>
                  </pic:blipFill>
                  <pic:spPr bwMode="auto">
                    <a:xfrm>
                      <a:off x="0" y="0"/>
                      <a:ext cx="2414434" cy="1809256"/>
                    </a:xfrm>
                    <a:prstGeom prst="rect">
                      <a:avLst/>
                    </a:prstGeom>
                    <a:ln>
                      <a:noFill/>
                    </a:ln>
                    <a:extLst>
                      <a:ext uri="{53640926-AAD7-44D8-BBD7-CCE9431645EC}">
                        <a14:shadowObscured xmlns:a14="http://schemas.microsoft.com/office/drawing/2010/main"/>
                      </a:ext>
                    </a:extLst>
                  </pic:spPr>
                </pic:pic>
              </a:graphicData>
            </a:graphic>
          </wp:inline>
        </w:drawing>
      </w:r>
    </w:p>
    <w:p w14:paraId="2F4F8AAC" w14:textId="3F8446BD" w:rsidR="00252DD8" w:rsidRDefault="00252DD8" w:rsidP="000563A8">
      <w:pPr>
        <w:jc w:val="both"/>
        <w:rPr>
          <w:rFonts w:ascii="Arial" w:hAnsi="Arial" w:cs="Arial"/>
          <w:sz w:val="20"/>
          <w:szCs w:val="20"/>
        </w:rPr>
      </w:pPr>
      <w:r w:rsidRPr="006070D0">
        <w:rPr>
          <w:rFonts w:ascii="Arial" w:hAnsi="Arial" w:cs="Arial"/>
          <w:sz w:val="20"/>
          <w:szCs w:val="20"/>
        </w:rPr>
        <w:t xml:space="preserve"> </w:t>
      </w:r>
      <w:r w:rsidR="00497CF5" w:rsidRPr="00497CF5">
        <w:rPr>
          <w:rFonts w:ascii="Arial" w:hAnsi="Arial" w:cs="Arial"/>
          <w:sz w:val="20"/>
          <w:szCs w:val="20"/>
        </w:rPr>
        <w:t xml:space="preserve">Figure </w:t>
      </w:r>
      <w:r w:rsidRPr="006070D0">
        <w:rPr>
          <w:rFonts w:ascii="Arial" w:hAnsi="Arial" w:cs="Arial"/>
          <w:sz w:val="20"/>
          <w:szCs w:val="20"/>
        </w:rPr>
        <w:t>#5: Mass dissected</w:t>
      </w:r>
    </w:p>
    <w:p w14:paraId="1987C360" w14:textId="77777777" w:rsidR="00407B36" w:rsidRDefault="00407B36" w:rsidP="000563A8">
      <w:pPr>
        <w:jc w:val="both"/>
        <w:rPr>
          <w:rFonts w:ascii="Arial" w:hAnsi="Arial" w:cs="Arial"/>
          <w:sz w:val="20"/>
          <w:szCs w:val="20"/>
        </w:rPr>
      </w:pPr>
    </w:p>
    <w:p w14:paraId="085EFA04" w14:textId="77777777" w:rsidR="00252DD8" w:rsidRDefault="00252DD8" w:rsidP="000563A8">
      <w:pPr>
        <w:jc w:val="both"/>
        <w:rPr>
          <w:rFonts w:ascii="Arial" w:hAnsi="Arial" w:cs="Arial"/>
          <w:sz w:val="20"/>
          <w:szCs w:val="20"/>
        </w:rPr>
      </w:pPr>
      <w:r w:rsidRPr="006070D0">
        <w:rPr>
          <w:rFonts w:ascii="Arial" w:hAnsi="Arial" w:cs="Arial"/>
          <w:noProof/>
          <w:sz w:val="20"/>
          <w:szCs w:val="20"/>
          <w:lang w:eastAsia="en-IN"/>
        </w:rPr>
        <w:drawing>
          <wp:inline distT="0" distB="0" distL="0" distR="0" wp14:anchorId="4512AA23" wp14:editId="7815ECC2">
            <wp:extent cx="2420815" cy="180798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ter resection.jpg"/>
                    <pic:cNvPicPr/>
                  </pic:nvPicPr>
                  <pic:blipFill rotWithShape="1">
                    <a:blip r:embed="rId18" cstate="print">
                      <a:extLst>
                        <a:ext uri="{28A0092B-C50C-407E-A947-70E740481C1C}">
                          <a14:useLocalDpi xmlns:a14="http://schemas.microsoft.com/office/drawing/2010/main" val="0"/>
                        </a:ext>
                      </a:extLst>
                    </a:blip>
                    <a:srcRect l="15192" t="15395" r="32248" b="25687"/>
                    <a:stretch/>
                  </pic:blipFill>
                  <pic:spPr bwMode="auto">
                    <a:xfrm>
                      <a:off x="0" y="0"/>
                      <a:ext cx="2439058" cy="1821606"/>
                    </a:xfrm>
                    <a:prstGeom prst="rect">
                      <a:avLst/>
                    </a:prstGeom>
                    <a:ln>
                      <a:noFill/>
                    </a:ln>
                    <a:extLst>
                      <a:ext uri="{53640926-AAD7-44D8-BBD7-CCE9431645EC}">
                        <a14:shadowObscured xmlns:a14="http://schemas.microsoft.com/office/drawing/2010/main"/>
                      </a:ext>
                    </a:extLst>
                  </pic:spPr>
                </pic:pic>
              </a:graphicData>
            </a:graphic>
          </wp:inline>
        </w:drawing>
      </w:r>
    </w:p>
    <w:p w14:paraId="3EAA3183" w14:textId="40A14A87" w:rsidR="000563A8" w:rsidRDefault="00252DD8" w:rsidP="000563A8">
      <w:pPr>
        <w:jc w:val="both"/>
        <w:rPr>
          <w:rFonts w:ascii="Arial" w:hAnsi="Arial" w:cs="Arial"/>
          <w:sz w:val="20"/>
          <w:szCs w:val="20"/>
        </w:rPr>
      </w:pPr>
      <w:r w:rsidRPr="006070D0">
        <w:rPr>
          <w:rFonts w:ascii="Arial" w:hAnsi="Arial" w:cs="Arial"/>
          <w:sz w:val="20"/>
          <w:szCs w:val="20"/>
        </w:rPr>
        <w:t xml:space="preserve">      </w:t>
      </w:r>
      <w:r w:rsidR="00497CF5" w:rsidRPr="00497CF5">
        <w:rPr>
          <w:rFonts w:ascii="Arial" w:hAnsi="Arial" w:cs="Arial"/>
          <w:sz w:val="20"/>
          <w:szCs w:val="20"/>
        </w:rPr>
        <w:t xml:space="preserve">Figure </w:t>
      </w:r>
      <w:r w:rsidRPr="006070D0">
        <w:rPr>
          <w:rFonts w:ascii="Arial" w:hAnsi="Arial" w:cs="Arial"/>
          <w:sz w:val="20"/>
          <w:szCs w:val="20"/>
        </w:rPr>
        <w:t xml:space="preserve"># 6:  feeder vessel ligated     </w:t>
      </w:r>
    </w:p>
    <w:p w14:paraId="795193CA" w14:textId="29FD2441" w:rsidR="000563A8" w:rsidRDefault="00252DD8" w:rsidP="000563A8">
      <w:pPr>
        <w:jc w:val="both"/>
        <w:rPr>
          <w:rFonts w:ascii="Arial" w:hAnsi="Arial" w:cs="Arial"/>
          <w:sz w:val="20"/>
          <w:szCs w:val="20"/>
        </w:rPr>
      </w:pPr>
      <w:r w:rsidRPr="006070D0">
        <w:rPr>
          <w:rFonts w:ascii="Arial" w:hAnsi="Arial" w:cs="Arial"/>
          <w:sz w:val="20"/>
          <w:szCs w:val="20"/>
        </w:rPr>
        <w:t xml:space="preserve">                 </w:t>
      </w:r>
    </w:p>
    <w:p w14:paraId="499FADDC" w14:textId="77777777" w:rsidR="00407B36" w:rsidRDefault="00407B36" w:rsidP="000563A8">
      <w:pPr>
        <w:jc w:val="both"/>
        <w:rPr>
          <w:rFonts w:ascii="Arial" w:hAnsi="Arial" w:cs="Arial"/>
          <w:noProof/>
          <w:sz w:val="20"/>
          <w:szCs w:val="20"/>
          <w:lang w:eastAsia="en-IN"/>
        </w:rPr>
      </w:pPr>
    </w:p>
    <w:p w14:paraId="0DDDA5F8" w14:textId="77777777" w:rsidR="00D27A9B" w:rsidRDefault="00252DD8" w:rsidP="000563A8">
      <w:pPr>
        <w:jc w:val="both"/>
      </w:pPr>
      <w:r w:rsidRPr="006070D0">
        <w:rPr>
          <w:rFonts w:ascii="Arial" w:hAnsi="Arial" w:cs="Arial"/>
          <w:noProof/>
          <w:sz w:val="20"/>
          <w:szCs w:val="20"/>
          <w:lang w:eastAsia="en-IN"/>
        </w:rPr>
        <w:lastRenderedPageBreak/>
        <w:drawing>
          <wp:inline distT="0" distB="0" distL="0" distR="0" wp14:anchorId="7C28CBD4" wp14:editId="44207FDF">
            <wp:extent cx="2420815" cy="180798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ter resection.jpg"/>
                    <pic:cNvPicPr/>
                  </pic:nvPicPr>
                  <pic:blipFill rotWithShape="1">
                    <a:blip r:embed="rId18" cstate="print">
                      <a:extLst>
                        <a:ext uri="{28A0092B-C50C-407E-A947-70E740481C1C}">
                          <a14:useLocalDpi xmlns:a14="http://schemas.microsoft.com/office/drawing/2010/main" val="0"/>
                        </a:ext>
                      </a:extLst>
                    </a:blip>
                    <a:srcRect l="15192" t="15395" r="32248" b="25687"/>
                    <a:stretch/>
                  </pic:blipFill>
                  <pic:spPr bwMode="auto">
                    <a:xfrm>
                      <a:off x="0" y="0"/>
                      <a:ext cx="2439058" cy="1821606"/>
                    </a:xfrm>
                    <a:prstGeom prst="rect">
                      <a:avLst/>
                    </a:prstGeom>
                    <a:ln>
                      <a:noFill/>
                    </a:ln>
                    <a:extLst>
                      <a:ext uri="{53640926-AAD7-44D8-BBD7-CCE9431645EC}">
                        <a14:shadowObscured xmlns:a14="http://schemas.microsoft.com/office/drawing/2010/main"/>
                      </a:ext>
                    </a:extLst>
                  </pic:spPr>
                </pic:pic>
              </a:graphicData>
            </a:graphic>
          </wp:inline>
        </w:drawing>
      </w:r>
    </w:p>
    <w:p w14:paraId="0B34D4CB" w14:textId="77777777" w:rsidR="000563A8" w:rsidRDefault="00252DD8" w:rsidP="000563A8">
      <w:pPr>
        <w:jc w:val="both"/>
        <w:rPr>
          <w:rFonts w:ascii="Arial" w:hAnsi="Arial" w:cs="Arial"/>
          <w:sz w:val="20"/>
          <w:szCs w:val="20"/>
        </w:rPr>
      </w:pPr>
      <w:r w:rsidRPr="006070D0">
        <w:rPr>
          <w:rFonts w:ascii="Arial" w:hAnsi="Arial" w:cs="Arial"/>
          <w:sz w:val="20"/>
          <w:szCs w:val="20"/>
        </w:rPr>
        <w:t xml:space="preserve">    </w:t>
      </w:r>
    </w:p>
    <w:p w14:paraId="04D41DFB" w14:textId="5057CEB7" w:rsidR="00252DD8" w:rsidRPr="006070D0" w:rsidRDefault="00252DD8" w:rsidP="000563A8">
      <w:pPr>
        <w:jc w:val="both"/>
        <w:rPr>
          <w:rFonts w:ascii="Arial" w:hAnsi="Arial" w:cs="Arial"/>
          <w:sz w:val="20"/>
          <w:szCs w:val="20"/>
        </w:rPr>
      </w:pPr>
      <w:r w:rsidRPr="006070D0">
        <w:rPr>
          <w:rFonts w:ascii="Arial" w:hAnsi="Arial" w:cs="Arial"/>
          <w:sz w:val="20"/>
          <w:szCs w:val="20"/>
        </w:rPr>
        <w:t xml:space="preserve">  </w:t>
      </w:r>
      <w:r w:rsidR="00497CF5" w:rsidRPr="00497CF5">
        <w:rPr>
          <w:rFonts w:ascii="Arial" w:hAnsi="Arial" w:cs="Arial"/>
          <w:sz w:val="20"/>
          <w:szCs w:val="20"/>
        </w:rPr>
        <w:t xml:space="preserve">Figure </w:t>
      </w:r>
      <w:r w:rsidRPr="006070D0">
        <w:rPr>
          <w:rFonts w:ascii="Arial" w:hAnsi="Arial" w:cs="Arial"/>
          <w:sz w:val="20"/>
          <w:szCs w:val="20"/>
        </w:rPr>
        <w:t># 7:  post resection</w:t>
      </w:r>
    </w:p>
    <w:p w14:paraId="588EDC6E" w14:textId="77777777" w:rsidR="00252DD8" w:rsidRDefault="00252DD8" w:rsidP="000563A8">
      <w:pPr>
        <w:jc w:val="both"/>
      </w:pPr>
      <w:r w:rsidRPr="006070D0">
        <w:rPr>
          <w:rFonts w:ascii="Arial" w:hAnsi="Arial" w:cs="Arial"/>
          <w:noProof/>
          <w:sz w:val="20"/>
          <w:szCs w:val="20"/>
          <w:lang w:eastAsia="en-IN"/>
        </w:rPr>
        <w:drawing>
          <wp:inline distT="0" distB="0" distL="0" distR="0" wp14:anchorId="2DD67198" wp14:editId="16D0970F">
            <wp:extent cx="2022231" cy="15865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ecimen.jpg"/>
                    <pic:cNvPicPr/>
                  </pic:nvPicPr>
                  <pic:blipFill rotWithShape="1">
                    <a:blip r:embed="rId19" cstate="print">
                      <a:extLst>
                        <a:ext uri="{28A0092B-C50C-407E-A947-70E740481C1C}">
                          <a14:useLocalDpi xmlns:a14="http://schemas.microsoft.com/office/drawing/2010/main" val="0"/>
                        </a:ext>
                      </a:extLst>
                    </a:blip>
                    <a:srcRect l="32056" t="20723" r="23058" b="13686"/>
                    <a:stretch/>
                  </pic:blipFill>
                  <pic:spPr bwMode="auto">
                    <a:xfrm>
                      <a:off x="0" y="0"/>
                      <a:ext cx="2035859" cy="1597285"/>
                    </a:xfrm>
                    <a:prstGeom prst="rect">
                      <a:avLst/>
                    </a:prstGeom>
                    <a:ln>
                      <a:noFill/>
                    </a:ln>
                    <a:extLst>
                      <a:ext uri="{53640926-AAD7-44D8-BBD7-CCE9431645EC}">
                        <a14:shadowObscured xmlns:a14="http://schemas.microsoft.com/office/drawing/2010/main"/>
                      </a:ext>
                    </a:extLst>
                  </pic:spPr>
                </pic:pic>
              </a:graphicData>
            </a:graphic>
          </wp:inline>
        </w:drawing>
      </w:r>
    </w:p>
    <w:p w14:paraId="7BAB5547" w14:textId="03EE84CA" w:rsidR="00252DD8" w:rsidRPr="006070D0" w:rsidRDefault="00252DD8" w:rsidP="000563A8">
      <w:pPr>
        <w:jc w:val="both"/>
        <w:rPr>
          <w:rFonts w:ascii="Arial" w:hAnsi="Arial" w:cs="Arial"/>
          <w:sz w:val="20"/>
          <w:szCs w:val="20"/>
        </w:rPr>
      </w:pPr>
      <w:r w:rsidRPr="006070D0">
        <w:rPr>
          <w:rFonts w:ascii="Arial" w:hAnsi="Arial" w:cs="Arial"/>
          <w:sz w:val="20"/>
          <w:szCs w:val="20"/>
        </w:rPr>
        <w:t xml:space="preserve">         </w:t>
      </w:r>
      <w:r w:rsidR="00497CF5" w:rsidRPr="00497CF5">
        <w:rPr>
          <w:rFonts w:ascii="Arial" w:hAnsi="Arial" w:cs="Arial"/>
          <w:sz w:val="20"/>
          <w:szCs w:val="20"/>
        </w:rPr>
        <w:t xml:space="preserve">Figure </w:t>
      </w:r>
      <w:r w:rsidRPr="006070D0">
        <w:rPr>
          <w:rFonts w:ascii="Arial" w:hAnsi="Arial" w:cs="Arial"/>
          <w:sz w:val="20"/>
          <w:szCs w:val="20"/>
        </w:rPr>
        <w:t>#8: specimen</w:t>
      </w:r>
    </w:p>
    <w:p w14:paraId="76F38584" w14:textId="77777777" w:rsidR="00252DD8" w:rsidRDefault="00252DD8" w:rsidP="000563A8">
      <w:pPr>
        <w:jc w:val="both"/>
      </w:pPr>
    </w:p>
    <w:p w14:paraId="77561B8D" w14:textId="77777777" w:rsidR="00252DD8" w:rsidRDefault="00252DD8" w:rsidP="000563A8">
      <w:pPr>
        <w:jc w:val="both"/>
      </w:pPr>
    </w:p>
    <w:p w14:paraId="3D6BE124" w14:textId="77777777" w:rsidR="00D27A9B" w:rsidRDefault="00D27A9B" w:rsidP="000563A8">
      <w:pPr>
        <w:jc w:val="both"/>
      </w:pPr>
      <w:r>
        <w:t xml:space="preserve">Figures 2–7. Intraoperative findings: chevron incision, extended </w:t>
      </w:r>
      <w:proofErr w:type="spellStart"/>
      <w:r>
        <w:t>Kocherization</w:t>
      </w:r>
      <w:proofErr w:type="spellEnd"/>
      <w:r>
        <w:t>, identification of mass, vessel ligation, and post-resection field.</w:t>
      </w:r>
    </w:p>
    <w:p w14:paraId="6EA8F1B9" w14:textId="77777777" w:rsidR="00D27A9B" w:rsidRDefault="00D27A9B" w:rsidP="000563A8">
      <w:pPr>
        <w:jc w:val="both"/>
      </w:pPr>
      <w:r>
        <w:t>Intraoperatively, transient hypertensive surges were noted and managed with nitroprusside and beta-blocker infusion. The postoperative course was uneventful. The patient maintained normotension without antihypertensive therapy and was discharged on day 3.</w:t>
      </w:r>
    </w:p>
    <w:p w14:paraId="624E49A1" w14:textId="77777777" w:rsidR="00407B36" w:rsidRDefault="00D27A9B" w:rsidP="000563A8">
      <w:pPr>
        <w:jc w:val="both"/>
      </w:pPr>
      <w:r>
        <w:t xml:space="preserve">Gross examination showed a globular 4.5 × 4 × 3 cm lesion with </w:t>
      </w:r>
      <w:proofErr w:type="spellStart"/>
      <w:r>
        <w:t>hemorrhagic</w:t>
      </w:r>
      <w:proofErr w:type="spellEnd"/>
      <w:r>
        <w:t xml:space="preserve"> areas. </w:t>
      </w:r>
    </w:p>
    <w:p w14:paraId="706B9667" w14:textId="77777777" w:rsidR="00407B36" w:rsidRDefault="00407B36" w:rsidP="000563A8">
      <w:pPr>
        <w:jc w:val="both"/>
      </w:pPr>
    </w:p>
    <w:p w14:paraId="6A75E35A" w14:textId="77777777" w:rsidR="00407B36" w:rsidRDefault="00407B36" w:rsidP="000563A8">
      <w:pPr>
        <w:jc w:val="both"/>
      </w:pPr>
    </w:p>
    <w:p w14:paraId="479FF04D" w14:textId="77777777" w:rsidR="00D27A9B" w:rsidRDefault="00D27A9B" w:rsidP="000563A8">
      <w:pPr>
        <w:jc w:val="both"/>
      </w:pPr>
      <w:r>
        <w:t xml:space="preserve">Microscopy demonstrated round-to-polygonal cells with eosinophilic cytoplasm, vesicular nuclei, and stippled chromatin. Lymph nodes showed reactive changes. Features were </w:t>
      </w:r>
      <w:r>
        <w:t>consistent with pheochromocytoma, and immunohistochemistry wa</w:t>
      </w:r>
      <w:r w:rsidR="0094751E">
        <w:t>s recommended for confirmation.</w:t>
      </w:r>
    </w:p>
    <w:p w14:paraId="5DD2966F" w14:textId="77777777" w:rsidR="00D27A9B" w:rsidRDefault="00D27A9B" w:rsidP="000563A8">
      <w:pPr>
        <w:jc w:val="both"/>
      </w:pPr>
      <w:r>
        <w:t>Short-term follow-up revealed sustained normotension and complete resolution of symptoms.</w:t>
      </w:r>
    </w:p>
    <w:p w14:paraId="72E1FFB5" w14:textId="77777777" w:rsidR="00D27A9B" w:rsidRDefault="00D27A9B" w:rsidP="000563A8">
      <w:pPr>
        <w:jc w:val="both"/>
      </w:pPr>
    </w:p>
    <w:p w14:paraId="631BA55C" w14:textId="77777777" w:rsidR="003A3FF9" w:rsidRDefault="003A3FF9" w:rsidP="000563A8">
      <w:pPr>
        <w:jc w:val="both"/>
      </w:pPr>
    </w:p>
    <w:p w14:paraId="785B002B" w14:textId="50C5645B" w:rsidR="006363C3" w:rsidRDefault="000563A8" w:rsidP="000563A8">
      <w:pPr>
        <w:jc w:val="both"/>
        <w:rPr>
          <w:b/>
          <w:color w:val="002060"/>
          <w:sz w:val="32"/>
          <w:szCs w:val="32"/>
        </w:rPr>
      </w:pPr>
      <w:r w:rsidRPr="003A3FF9">
        <w:rPr>
          <w:b/>
          <w:color w:val="002060"/>
          <w:sz w:val="32"/>
          <w:szCs w:val="32"/>
        </w:rPr>
        <w:t xml:space="preserve">DISCUSSION </w:t>
      </w:r>
    </w:p>
    <w:p w14:paraId="5D156F8F" w14:textId="6CF15CAD" w:rsidR="006363C3" w:rsidRPr="006363C3" w:rsidRDefault="006363C3" w:rsidP="000563A8">
      <w:pPr>
        <w:jc w:val="both"/>
        <w:rPr>
          <w:color w:val="000000" w:themeColor="text1"/>
        </w:rPr>
      </w:pPr>
      <w:r w:rsidRPr="006363C3">
        <w:rPr>
          <w:color w:val="000000" w:themeColor="text1"/>
        </w:rPr>
        <w:t xml:space="preserve">The present case is noteworthy due to the unusual neurological presentation preceding the diagnosis of a catecholamine-secreting retroperitoneal paraganglioma. Unlike the more typical presentation with paroxysmal hypertension and adrenergic symptoms, the initial manifestation was a cerebrovascular accident, which delayed recognition of the underlying endocrine </w:t>
      </w:r>
      <w:proofErr w:type="spellStart"/>
      <w:r w:rsidRPr="006363C3">
        <w:rPr>
          <w:color w:val="000000" w:themeColor="text1"/>
        </w:rPr>
        <w:t>etiology</w:t>
      </w:r>
      <w:proofErr w:type="spellEnd"/>
      <w:r w:rsidRPr="006363C3">
        <w:rPr>
          <w:color w:val="000000" w:themeColor="text1"/>
        </w:rPr>
        <w:t>. Such presentations remain sparsely reported in literature, with fewer than 100 cases described worldwide, underscoring the rarity and diagnostic challenge associated with this entity</w:t>
      </w:r>
      <w:r>
        <w:rPr>
          <w:color w:val="000000" w:themeColor="text1"/>
        </w:rPr>
        <w:t>.</w:t>
      </w:r>
    </w:p>
    <w:p w14:paraId="39508139" w14:textId="058DC8F6" w:rsidR="00BC7DA4" w:rsidRDefault="000563A8" w:rsidP="000563A8">
      <w:pPr>
        <w:jc w:val="both"/>
      </w:pPr>
      <w:r>
        <w:t xml:space="preserve">Paragangliomas represent a rare and heterogeneous group of neuroendocrine </w:t>
      </w:r>
      <w:proofErr w:type="spellStart"/>
      <w:r>
        <w:t>tumors</w:t>
      </w:r>
      <w:proofErr w:type="spellEnd"/>
      <w:r>
        <w:t xml:space="preserve"> arising from extra-adrenal paraganglionic tissue associated with the sympathetic and parasympathetic nervous systems. Sympathetic paragangliomas are typically localized in the abdomen and retroperitoneum and are often catecholamine-secreting, whereas parasympathetic </w:t>
      </w:r>
      <w:proofErr w:type="spellStart"/>
      <w:r>
        <w:t>tumors</w:t>
      </w:r>
      <w:proofErr w:type="spellEnd"/>
      <w:r>
        <w:t xml:space="preserve"> usually arise in the head and neck and are non-secretory (Neumann et al., 2019). The incidence of paraganglioma and pheochromocytoma is estimated at 2–8 per million individuals annually, although improved imaging and genetic testing are likely to increase reported prevalence (</w:t>
      </w:r>
      <w:proofErr w:type="spellStart"/>
      <w:r>
        <w:t>Taïeb</w:t>
      </w:r>
      <w:proofErr w:type="spellEnd"/>
      <w:r>
        <w:t xml:space="preserve"> et al., 2019). While many patients present with classical manifestations of catecholamine excess such as headache, palpitations, diaphoresis, and paroxysmal hypertension, atypical presentations may delay diagnosis for </w:t>
      </w:r>
      <w:r>
        <w:lastRenderedPageBreak/>
        <w:t xml:space="preserve">months to years. </w:t>
      </w:r>
      <w:r w:rsidR="007547D2" w:rsidRPr="007547D2">
        <w:t xml:space="preserve">The case presented here underscores an uncommon but clinically significant presentation—a cerebrovascular accident in a relatively young patient secondary to catecholamine surge from </w:t>
      </w:r>
      <w:r w:rsidR="007547D2">
        <w:t>a retroperitoneal paraganglioma</w:t>
      </w:r>
      <w:r w:rsidR="00BC7DA4">
        <w:t>.</w:t>
      </w:r>
    </w:p>
    <w:p w14:paraId="2B63432F" w14:textId="77777777" w:rsidR="007547D2" w:rsidRDefault="007547D2" w:rsidP="000563A8">
      <w:pPr>
        <w:jc w:val="both"/>
      </w:pPr>
    </w:p>
    <w:p w14:paraId="058A2B71" w14:textId="77777777" w:rsidR="00BC7DA4" w:rsidRDefault="000563A8" w:rsidP="000563A8">
      <w:pPr>
        <w:jc w:val="both"/>
        <w:rPr>
          <w:b/>
        </w:rPr>
      </w:pPr>
      <w:r w:rsidRPr="00BC7DA4">
        <w:rPr>
          <w:b/>
        </w:rPr>
        <w:t>Paragangl</w:t>
      </w:r>
      <w:r w:rsidR="003A3FF9" w:rsidRPr="00BC7DA4">
        <w:rPr>
          <w:b/>
        </w:rPr>
        <w:t>ioma and Cerebrovascular Events</w:t>
      </w:r>
    </w:p>
    <w:p w14:paraId="1A15364C" w14:textId="77777777" w:rsidR="007547D2" w:rsidRPr="00BC7DA4" w:rsidRDefault="007547D2" w:rsidP="000563A8">
      <w:pPr>
        <w:jc w:val="both"/>
        <w:rPr>
          <w:b/>
        </w:rPr>
      </w:pPr>
    </w:p>
    <w:p w14:paraId="0B36B24C" w14:textId="73F95E98" w:rsidR="000563A8" w:rsidRDefault="003A3FF9" w:rsidP="000563A8">
      <w:pPr>
        <w:jc w:val="both"/>
      </w:pPr>
      <w:r>
        <w:t xml:space="preserve"> </w:t>
      </w:r>
      <w:r w:rsidR="000563A8">
        <w:t xml:space="preserve">Stroke is an unusual manifestation of catecholamine-secreting </w:t>
      </w:r>
      <w:proofErr w:type="spellStart"/>
      <w:r w:rsidR="000563A8">
        <w:t>tumors</w:t>
      </w:r>
      <w:proofErr w:type="spellEnd"/>
      <w:r w:rsidR="000563A8">
        <w:t xml:space="preserve">. The pathophysiological mechanisms proposed include hypertensive crisis, vasospasm, endothelial dysfunction, oxidative stress, pro-thrombotic effects, and microvascular injury (Sutton &amp; Doran, 2020). Catecholamines may induce reversible cerebral vasoconstriction syndrome (RCVS), leading to transient vasoconstriction of cerebral arteries and resulting in focal ischemia or </w:t>
      </w:r>
      <w:proofErr w:type="spellStart"/>
      <w:r w:rsidR="000563A8">
        <w:t>hemorrhage</w:t>
      </w:r>
      <w:proofErr w:type="spellEnd"/>
      <w:r w:rsidR="000563A8">
        <w:t xml:space="preserve"> (Calabrese et al., 2019). In parallel, paroxysmal hypertension may precipitate small vessel </w:t>
      </w:r>
      <w:proofErr w:type="spellStart"/>
      <w:r w:rsidR="000563A8">
        <w:t>lipohyalinosis</w:t>
      </w:r>
      <w:proofErr w:type="spellEnd"/>
      <w:r w:rsidR="000563A8">
        <w:t xml:space="preserve">, blood-brain barrier disruption, or intracranial </w:t>
      </w:r>
      <w:proofErr w:type="spellStart"/>
      <w:r w:rsidR="000563A8">
        <w:t>hemorrhage</w:t>
      </w:r>
      <w:proofErr w:type="spellEnd"/>
      <w:r w:rsidR="000563A8">
        <w:t xml:space="preserve">. Additionally, excessive catecholamines trigger platelet activation and increase von Willebrand factor, which may further contribute to thrombosis (Gupta et al., 2020). In </w:t>
      </w:r>
      <w:r w:rsidR="007547D2">
        <w:t xml:space="preserve">relatively </w:t>
      </w:r>
      <w:r w:rsidR="000563A8">
        <w:t>young</w:t>
      </w:r>
      <w:r w:rsidR="00BC7DA4">
        <w:t xml:space="preserve"> </w:t>
      </w:r>
      <w:r w:rsidR="000563A8">
        <w:t xml:space="preserve">patients without conventional cerebrovascular risk factors, these mechanisms should raise suspicion for a secondary endocrine </w:t>
      </w:r>
      <w:proofErr w:type="spellStart"/>
      <w:r w:rsidR="000563A8">
        <w:t>etiology</w:t>
      </w:r>
      <w:proofErr w:type="spellEnd"/>
      <w:r w:rsidR="000563A8">
        <w:t>, especially when associated with persistent or refractory hypertension.</w:t>
      </w:r>
    </w:p>
    <w:p w14:paraId="4C62BCF7" w14:textId="0E8A13B5" w:rsidR="000563A8" w:rsidRDefault="000563A8" w:rsidP="000563A8">
      <w:pPr>
        <w:jc w:val="both"/>
      </w:pPr>
      <w:r>
        <w:t xml:space="preserve">The association between catecholamine-secreting </w:t>
      </w:r>
      <w:proofErr w:type="spellStart"/>
      <w:r>
        <w:t>tumors</w:t>
      </w:r>
      <w:proofErr w:type="spellEnd"/>
      <w:r>
        <w:t xml:space="preserve"> and stroke remains underrecognized, with fewer than 100 cases described globally in literature over several decades (Sutton &amp; Doran, 2020). Younger age at presentation further complicates clinical evaluation, as initial neurological events may overshadow systemic symptoms. In the presented case, the patient’s first manifestation was an acute cerebrovascular accident involving the caudate nucleus and thalamus, followed by persistent accelerated </w:t>
      </w:r>
      <w:r>
        <w:t xml:space="preserve">hypertension. </w:t>
      </w:r>
      <w:r w:rsidR="00E815E4" w:rsidRPr="00E815E4">
        <w:t xml:space="preserve">This pattern is consistent with recently described catecholamine-driven </w:t>
      </w:r>
      <w:r w:rsidR="00B934C3" w:rsidRPr="00E815E4">
        <w:t>stroke</w:t>
      </w:r>
      <w:r w:rsidR="00B934C3">
        <w:t xml:space="preserve"> presentations</w:t>
      </w:r>
      <w:r w:rsidR="003A3FF9">
        <w:t xml:space="preserve"> in literature from south and East Asia, suggesting possible underreporting in these regions (Lee et al., 2021; Hsu et al., 2020).</w:t>
      </w:r>
    </w:p>
    <w:p w14:paraId="02F821C8" w14:textId="77777777" w:rsidR="000563A8" w:rsidRDefault="000563A8" w:rsidP="000563A8">
      <w:pPr>
        <w:jc w:val="both"/>
      </w:pPr>
    </w:p>
    <w:p w14:paraId="0434A52A" w14:textId="77777777" w:rsidR="000563A8" w:rsidRDefault="000563A8" w:rsidP="000563A8">
      <w:pPr>
        <w:jc w:val="both"/>
        <w:rPr>
          <w:b/>
        </w:rPr>
      </w:pPr>
      <w:r w:rsidRPr="003A3FF9">
        <w:rPr>
          <w:b/>
        </w:rPr>
        <w:t>Diagnostic Considerations</w:t>
      </w:r>
    </w:p>
    <w:p w14:paraId="3AD0BB61" w14:textId="77777777" w:rsidR="007547D2" w:rsidRPr="003A3FF9" w:rsidRDefault="007547D2" w:rsidP="000563A8">
      <w:pPr>
        <w:jc w:val="both"/>
        <w:rPr>
          <w:b/>
        </w:rPr>
      </w:pPr>
    </w:p>
    <w:p w14:paraId="72B0F5E1" w14:textId="77777777" w:rsidR="000563A8" w:rsidRDefault="000563A8" w:rsidP="000563A8">
      <w:pPr>
        <w:jc w:val="both"/>
      </w:pPr>
      <w:r>
        <w:t xml:space="preserve">Diagnostic evaluation of suspected paraganglioma relies on biochemical confirmation followed by anatomical and functional imaging. Plasma free </w:t>
      </w:r>
      <w:proofErr w:type="spellStart"/>
      <w:r>
        <w:t>metanephrines</w:t>
      </w:r>
      <w:proofErr w:type="spellEnd"/>
      <w:r>
        <w:t xml:space="preserve"> and normetanephrines remain the most sensitive biochemical markers, demonstrating &gt;95% sensitivity (Lenders et al., 2020). In this case, elevated urinary VMA and markedly elevated plasma normetanephrine and </w:t>
      </w:r>
      <w:proofErr w:type="spellStart"/>
      <w:r>
        <w:t>metanephrine</w:t>
      </w:r>
      <w:proofErr w:type="spellEnd"/>
      <w:r>
        <w:t xml:space="preserve"> levels supported the </w:t>
      </w:r>
      <w:r w:rsidR="003A3FF9">
        <w:t>diagnosis.</w:t>
      </w:r>
    </w:p>
    <w:p w14:paraId="09D59D5C" w14:textId="77777777" w:rsidR="000563A8" w:rsidRDefault="000563A8" w:rsidP="000563A8">
      <w:pPr>
        <w:jc w:val="both"/>
      </w:pPr>
      <w:r>
        <w:t xml:space="preserve">It is notable that normetanephrine elevation often correlates with extra-adrenal sympathetic </w:t>
      </w:r>
      <w:proofErr w:type="spellStart"/>
      <w:r>
        <w:t>tumors</w:t>
      </w:r>
      <w:proofErr w:type="spellEnd"/>
      <w:r>
        <w:t xml:space="preserve">, whereas </w:t>
      </w:r>
      <w:proofErr w:type="spellStart"/>
      <w:r>
        <w:t>metanephrine</w:t>
      </w:r>
      <w:proofErr w:type="spellEnd"/>
      <w:r>
        <w:t xml:space="preserve"> elevation is more prominent in adrenal pheochromocytomas (</w:t>
      </w:r>
      <w:proofErr w:type="spellStart"/>
      <w:r>
        <w:t>Eisenhofer</w:t>
      </w:r>
      <w:proofErr w:type="spellEnd"/>
      <w:r>
        <w:t xml:space="preserve"> et al., 2020).</w:t>
      </w:r>
    </w:p>
    <w:p w14:paraId="63029AE0" w14:textId="77777777" w:rsidR="000563A8" w:rsidRDefault="000563A8" w:rsidP="000563A8">
      <w:pPr>
        <w:jc w:val="both"/>
      </w:pPr>
      <w:r>
        <w:t xml:space="preserve">Cross-sectional imaging using CT or MRI provides anatomical delineation and surgical planning. CT typically reveals a </w:t>
      </w:r>
      <w:proofErr w:type="spellStart"/>
      <w:r>
        <w:t>hypervascular</w:t>
      </w:r>
      <w:proofErr w:type="spellEnd"/>
      <w:r>
        <w:t xml:space="preserve"> retroperitoneal mass with soft-tissue attenuation (</w:t>
      </w:r>
      <w:proofErr w:type="spellStart"/>
      <w:r>
        <w:t>Mannelli</w:t>
      </w:r>
      <w:proofErr w:type="spellEnd"/>
      <w:r>
        <w:t xml:space="preserve"> et al., 2020). MRI may demonstrate the classical “light-bulb” T2-weighted appearance, although this is neither universal nor specific. Functional imaging—including ^123I-MIBG, ^18F-FDOPA PET, ^68Ga-DOTATATE PET/CT, and ^18F-FDG PET—is recommended for metastatic or hereditary disease and for localization of multifocal </w:t>
      </w:r>
      <w:proofErr w:type="spellStart"/>
      <w:r>
        <w:t>tumors</w:t>
      </w:r>
      <w:proofErr w:type="spellEnd"/>
      <w:r>
        <w:t xml:space="preserve"> (</w:t>
      </w:r>
      <w:proofErr w:type="spellStart"/>
      <w:r>
        <w:t>Taïeb</w:t>
      </w:r>
      <w:proofErr w:type="spellEnd"/>
      <w:r>
        <w:t xml:space="preserve"> et al., 2019). Recent meta-analyses show superior sensitivity of ^68Ga-DOTATATE PET/CT over MIBG scintigraphy, especially in SDHB-mutated </w:t>
      </w:r>
      <w:proofErr w:type="spellStart"/>
      <w:r>
        <w:t>tumors</w:t>
      </w:r>
      <w:proofErr w:type="spellEnd"/>
      <w:r>
        <w:t xml:space="preserve"> (Han et al., 2019). In regions where somatostatin receptor PET availability remains </w:t>
      </w:r>
      <w:r>
        <w:lastRenderedPageBreak/>
        <w:t>limited, CT and MRI continue to serve as primary diagnostic tools.</w:t>
      </w:r>
    </w:p>
    <w:p w14:paraId="75FC7603" w14:textId="77777777" w:rsidR="000563A8" w:rsidRDefault="000563A8" w:rsidP="000563A8">
      <w:pPr>
        <w:jc w:val="both"/>
      </w:pPr>
      <w:r>
        <w:t>Perioperative Optimization and Surgical Management</w:t>
      </w:r>
    </w:p>
    <w:p w14:paraId="71484DD8" w14:textId="77777777" w:rsidR="000563A8" w:rsidRDefault="000563A8" w:rsidP="000563A8">
      <w:pPr>
        <w:jc w:val="both"/>
      </w:pPr>
      <w:r>
        <w:t xml:space="preserve">Surgical excision remains the definitive curative therapy for paraganglioma (Neumann et al., 2019). However, perioperative management is critical to mitigate catecholamine-induced hemodynamic instability. Preoperative alpha-adrenergic blockade with agents such as phenoxybenzamine or doxazosin is considered the standard of care; beta-blockers may be added subsequently to control tachyarrhythmias (Pacak et al., 2021). Adequate hydration and salt-loading promote intravascular volume expansion to counteract postoperative hypotension. In the presented case, preoperative alpha blockade followed by beta blockade and calcium channel blockers achieved satisfactory blood pressure control prior to </w:t>
      </w:r>
      <w:proofErr w:type="spellStart"/>
      <w:r>
        <w:t>tumor</w:t>
      </w:r>
      <w:proofErr w:type="spellEnd"/>
      <w:r>
        <w:t xml:space="preserve"> excision </w:t>
      </w:r>
    </w:p>
    <w:p w14:paraId="063051F9" w14:textId="77777777" w:rsidR="00C8296B" w:rsidRDefault="00C8296B" w:rsidP="00C8296B">
      <w:pPr>
        <w:jc w:val="both"/>
      </w:pPr>
      <w:r>
        <w:t xml:space="preserve">The surgical approach—open versus minimally invasive—depends on </w:t>
      </w:r>
      <w:proofErr w:type="spellStart"/>
      <w:r>
        <w:t>tumor</w:t>
      </w:r>
      <w:proofErr w:type="spellEnd"/>
      <w:r>
        <w:t xml:space="preserve"> size, location, vascular relationships, and surgeon expertise. Retroperitoneal paragangliomas located adjacent to major vessels such as the aorta or inferior vena cava may necessitate open surgery to permit safe dissection. Laparoscopic and robotic approaches are increasingly used for smaller or anatomically </w:t>
      </w:r>
      <w:proofErr w:type="spellStart"/>
      <w:r>
        <w:t>favorable</w:t>
      </w:r>
      <w:proofErr w:type="spellEnd"/>
      <w:r>
        <w:t xml:space="preserve"> lesions (</w:t>
      </w:r>
      <w:proofErr w:type="spellStart"/>
      <w:r>
        <w:t>Crona</w:t>
      </w:r>
      <w:proofErr w:type="spellEnd"/>
      <w:r>
        <w:t xml:space="preserve"> &amp; Ghosal, 2020). Intraoperative hypertensive surges are common during </w:t>
      </w:r>
      <w:proofErr w:type="spellStart"/>
      <w:r>
        <w:t>tumor</w:t>
      </w:r>
      <w:proofErr w:type="spellEnd"/>
      <w:r>
        <w:t xml:space="preserve"> manipulation and require careful </w:t>
      </w:r>
      <w:proofErr w:type="spellStart"/>
      <w:r>
        <w:t>anesthetic</w:t>
      </w:r>
      <w:proofErr w:type="spellEnd"/>
      <w:r>
        <w:t xml:space="preserve"> management. In this case, hypertensive episodes were managed with nitroprusside and beta-blocker infusion, and the postoperative course was uneventful.</w:t>
      </w:r>
    </w:p>
    <w:p w14:paraId="06C55E34" w14:textId="77777777" w:rsidR="00C8296B" w:rsidRDefault="00C8296B" w:rsidP="00C8296B">
      <w:pPr>
        <w:jc w:val="both"/>
      </w:pPr>
    </w:p>
    <w:p w14:paraId="5CBBB2D3" w14:textId="77777777" w:rsidR="00C8296B" w:rsidRPr="00C8296B" w:rsidRDefault="00C8296B" w:rsidP="00C8296B">
      <w:pPr>
        <w:jc w:val="both"/>
        <w:rPr>
          <w:b/>
        </w:rPr>
      </w:pPr>
      <w:r w:rsidRPr="00C8296B">
        <w:rPr>
          <w:b/>
        </w:rPr>
        <w:t>Prognosis, Recurrence, and Malignancy</w:t>
      </w:r>
    </w:p>
    <w:p w14:paraId="27C842DD" w14:textId="77777777" w:rsidR="00C8296B" w:rsidRDefault="00C8296B" w:rsidP="00C8296B">
      <w:pPr>
        <w:jc w:val="both"/>
      </w:pPr>
    </w:p>
    <w:p w14:paraId="48B9D594" w14:textId="77777777" w:rsidR="00C8296B" w:rsidRDefault="00C8296B" w:rsidP="00C8296B">
      <w:pPr>
        <w:jc w:val="both"/>
      </w:pPr>
      <w:r>
        <w:t xml:space="preserve">Paragangliomas possess highly variable malignant potential. Unlike most solid </w:t>
      </w:r>
      <w:proofErr w:type="spellStart"/>
      <w:r>
        <w:t>tumors</w:t>
      </w:r>
      <w:proofErr w:type="spellEnd"/>
      <w:r>
        <w:t xml:space="preserve">, histological differentiation alone does not </w:t>
      </w:r>
      <w:r>
        <w:t xml:space="preserve">reliably distinguish benign from malignant </w:t>
      </w:r>
      <w:proofErr w:type="spellStart"/>
      <w:r>
        <w:t>behavior</w:t>
      </w:r>
      <w:proofErr w:type="spellEnd"/>
      <w:r>
        <w:t>. Malignancy is defined by the presence of metastases in non-chromaffin tissue such as bone, liver, or lung (</w:t>
      </w:r>
      <w:proofErr w:type="spellStart"/>
      <w:r>
        <w:t>Crona</w:t>
      </w:r>
      <w:proofErr w:type="spellEnd"/>
      <w:r>
        <w:t xml:space="preserve"> &amp; </w:t>
      </w:r>
      <w:proofErr w:type="spellStart"/>
      <w:r>
        <w:t>Lamarca</w:t>
      </w:r>
      <w:proofErr w:type="spellEnd"/>
      <w:r>
        <w:t xml:space="preserve">, 2019). Recurrence rates can reach 17–20% in sporadic </w:t>
      </w:r>
      <w:proofErr w:type="spellStart"/>
      <w:r>
        <w:t>tumors</w:t>
      </w:r>
      <w:proofErr w:type="spellEnd"/>
      <w:r>
        <w:t xml:space="preserve"> and up to 60% in hereditary variants (Buffet et al., 2020). SDHB mutation is associated with particularly aggressive </w:t>
      </w:r>
      <w:proofErr w:type="spellStart"/>
      <w:r>
        <w:t>behavior</w:t>
      </w:r>
      <w:proofErr w:type="spellEnd"/>
      <w:r>
        <w:t xml:space="preserve">, early metastasis, and poorer survival (Amar et al., 2021). Therefore, long-term surveillance is recommended for all patients, particularly those with extra-adrenal </w:t>
      </w:r>
      <w:proofErr w:type="spellStart"/>
      <w:r>
        <w:t>tumors</w:t>
      </w:r>
      <w:proofErr w:type="spellEnd"/>
      <w:r>
        <w:t>, large lesions, or genetic predisposition.</w:t>
      </w:r>
    </w:p>
    <w:p w14:paraId="1C435893" w14:textId="77777777" w:rsidR="00C8296B" w:rsidRDefault="00C8296B" w:rsidP="00C8296B">
      <w:pPr>
        <w:jc w:val="both"/>
      </w:pPr>
    </w:p>
    <w:p w14:paraId="5EA9AFA8" w14:textId="77777777" w:rsidR="00C8296B" w:rsidRPr="00C8296B" w:rsidRDefault="00C8296B" w:rsidP="00C8296B">
      <w:pPr>
        <w:jc w:val="both"/>
        <w:rPr>
          <w:b/>
        </w:rPr>
      </w:pPr>
      <w:r w:rsidRPr="00C8296B">
        <w:rPr>
          <w:b/>
        </w:rPr>
        <w:t>Implications for Asian Clinical Settings</w:t>
      </w:r>
    </w:p>
    <w:p w14:paraId="2EC498F9" w14:textId="77777777" w:rsidR="00C8296B" w:rsidRDefault="00C8296B" w:rsidP="00C8296B">
      <w:pPr>
        <w:jc w:val="both"/>
      </w:pPr>
    </w:p>
    <w:p w14:paraId="1AD2B714" w14:textId="472D533C" w:rsidR="000563A8" w:rsidRDefault="00C8296B" w:rsidP="00C8296B">
      <w:pPr>
        <w:jc w:val="both"/>
      </w:pPr>
      <w:r>
        <w:t xml:space="preserve">Asian case series demonstrate differences in presentation, genetic distribution, and diagnostic delay (Chong et al., 2021). In many South and Southeast Asian </w:t>
      </w:r>
      <w:proofErr w:type="spellStart"/>
      <w:r>
        <w:t>centers</w:t>
      </w:r>
      <w:proofErr w:type="spellEnd"/>
      <w:r>
        <w:t xml:space="preserve">, limited access to functional imaging or genetic testing may result in underdiagnosis or delayed recognition. The presented case typifies a scenario in which neurological presentation masked the underlying endocrine disease, leading to a gap between cerebrovascular onset and </w:t>
      </w:r>
      <w:proofErr w:type="spellStart"/>
      <w:r>
        <w:t>tumor</w:t>
      </w:r>
      <w:proofErr w:type="spellEnd"/>
      <w:r>
        <w:t xml:space="preserve"> identification. Increasing awareness of catecholamine-induced stroke among neurologists and endocrinologists may improve early detection and prevent recurrent vascular events in relatively young patients.</w:t>
      </w:r>
    </w:p>
    <w:p w14:paraId="20C635D6" w14:textId="77777777" w:rsidR="000563A8" w:rsidRDefault="000563A8" w:rsidP="000563A8">
      <w:pPr>
        <w:jc w:val="both"/>
      </w:pPr>
    </w:p>
    <w:p w14:paraId="6F0C15BA" w14:textId="77777777" w:rsidR="000563A8" w:rsidRPr="00407B36" w:rsidRDefault="000563A8" w:rsidP="000563A8">
      <w:pPr>
        <w:jc w:val="both"/>
        <w:rPr>
          <w:b/>
        </w:rPr>
      </w:pPr>
      <w:r w:rsidRPr="00407B36">
        <w:rPr>
          <w:b/>
        </w:rPr>
        <w:t>FOLLOW-UP AND SURVEILLANCE</w:t>
      </w:r>
    </w:p>
    <w:p w14:paraId="3DAA693F" w14:textId="77777777" w:rsidR="000563A8" w:rsidRDefault="000563A8" w:rsidP="000563A8">
      <w:pPr>
        <w:jc w:val="both"/>
      </w:pPr>
    </w:p>
    <w:p w14:paraId="4D946649" w14:textId="77777777" w:rsidR="000563A8" w:rsidRDefault="000563A8" w:rsidP="000563A8">
      <w:pPr>
        <w:jc w:val="both"/>
      </w:pPr>
      <w:r>
        <w:t xml:space="preserve">Following complete </w:t>
      </w:r>
      <w:proofErr w:type="spellStart"/>
      <w:r>
        <w:t>tumor</w:t>
      </w:r>
      <w:proofErr w:type="spellEnd"/>
      <w:r>
        <w:t xml:space="preserve"> resection, the patient achieved sustained normotension and remained asymp</w:t>
      </w:r>
      <w:r w:rsidR="00407B36">
        <w:t>tomatic on short-term follow-up.</w:t>
      </w:r>
      <w:r>
        <w:t xml:space="preserve"> Long-term postoperative surveillance is essential due to risk of recurrence, metastatic transformation, and delayed clinical manifestations. Current guidelines recommend annual biochemical monitoring of </w:t>
      </w:r>
      <w:r>
        <w:lastRenderedPageBreak/>
        <w:t xml:space="preserve">plasma or urine </w:t>
      </w:r>
      <w:proofErr w:type="spellStart"/>
      <w:r>
        <w:t>metanephrines</w:t>
      </w:r>
      <w:proofErr w:type="spellEnd"/>
      <w:r>
        <w:t xml:space="preserve"> for at least 10 years and lifelong surveillance in hereditary cases (Lenders et al., 2020). Imaging-based surveillance is warranted for high-risk features including extra-adrenal primary </w:t>
      </w:r>
      <w:proofErr w:type="spellStart"/>
      <w:r>
        <w:t>tumor</w:t>
      </w:r>
      <w:proofErr w:type="spellEnd"/>
      <w:r>
        <w:t xml:space="preserve">, large </w:t>
      </w:r>
      <w:proofErr w:type="spellStart"/>
      <w:r>
        <w:t>tumor</w:t>
      </w:r>
      <w:proofErr w:type="spellEnd"/>
      <w:r>
        <w:t xml:space="preserve"> size, SDHB mutation, or </w:t>
      </w:r>
      <w:proofErr w:type="spellStart"/>
      <w:r>
        <w:t>pediatric</w:t>
      </w:r>
      <w:proofErr w:type="spellEnd"/>
      <w:r>
        <w:t xml:space="preserve"> onset (</w:t>
      </w:r>
      <w:proofErr w:type="spellStart"/>
      <w:r>
        <w:t>Taïeb</w:t>
      </w:r>
      <w:proofErr w:type="spellEnd"/>
      <w:r>
        <w:t xml:space="preserve"> et al., 2019).</w:t>
      </w:r>
    </w:p>
    <w:p w14:paraId="5124D489" w14:textId="77777777" w:rsidR="000563A8" w:rsidRDefault="000563A8" w:rsidP="000563A8">
      <w:pPr>
        <w:jc w:val="both"/>
      </w:pPr>
    </w:p>
    <w:p w14:paraId="0CFA79B1" w14:textId="3CAC4B4E" w:rsidR="000563A8" w:rsidRDefault="000563A8" w:rsidP="000563A8">
      <w:pPr>
        <w:jc w:val="both"/>
      </w:pPr>
      <w:r>
        <w:t>Stroke risk also warrants neurological follow-up. Catecholamine-driven vasoconstriction often reverses post-resection, reducing recurrent stroke risk. However, structural cerebrovascular damage may persist, necessitating secondary prevention strategies including blood pressure optimization and metabolic risk assessment (Lee et al., 2021). For Asian contexts where prevalence of</w:t>
      </w:r>
      <w:r w:rsidR="007547D2">
        <w:t xml:space="preserve"> relatively</w:t>
      </w:r>
      <w:r>
        <w:t xml:space="preserve"> young stroke is increasing, the case highlights a need for integrated endocrine-neurology care pathways.</w:t>
      </w:r>
    </w:p>
    <w:p w14:paraId="001B40B0" w14:textId="77777777" w:rsidR="000563A8" w:rsidRDefault="000563A8" w:rsidP="000563A8">
      <w:pPr>
        <w:jc w:val="both"/>
      </w:pPr>
    </w:p>
    <w:p w14:paraId="308D5B0F" w14:textId="77777777" w:rsidR="00407B36" w:rsidRDefault="00407B36" w:rsidP="000563A8">
      <w:pPr>
        <w:jc w:val="both"/>
      </w:pPr>
    </w:p>
    <w:p w14:paraId="39EB0DFE" w14:textId="77777777" w:rsidR="000563A8" w:rsidRPr="00407B36" w:rsidRDefault="000563A8" w:rsidP="000563A8">
      <w:pPr>
        <w:jc w:val="both"/>
        <w:rPr>
          <w:b/>
        </w:rPr>
      </w:pPr>
      <w:r w:rsidRPr="00407B36">
        <w:rPr>
          <w:b/>
        </w:rPr>
        <w:t>GENETIC CONSIDERATIONS</w:t>
      </w:r>
    </w:p>
    <w:p w14:paraId="09848C57" w14:textId="77777777" w:rsidR="00407B36" w:rsidRDefault="00407B36" w:rsidP="000563A8">
      <w:pPr>
        <w:jc w:val="both"/>
      </w:pPr>
    </w:p>
    <w:p w14:paraId="3D088886" w14:textId="7F4FD502" w:rsidR="000563A8" w:rsidRDefault="000563A8" w:rsidP="000563A8">
      <w:pPr>
        <w:jc w:val="both"/>
      </w:pPr>
      <w:r>
        <w:t xml:space="preserve">Up to 40% of paragangliomas </w:t>
      </w:r>
      <w:proofErr w:type="spellStart"/>
      <w:r>
        <w:t>harbor</w:t>
      </w:r>
      <w:proofErr w:type="spellEnd"/>
      <w:r>
        <w:t xml:space="preserve"> germline mutations, most commonly involving the succinate dehydrogenase (SDH) complex, VHL, RET, NF1, MAX, and TMEM127 (Fishbein et al., 2017). </w:t>
      </w:r>
      <w:r w:rsidR="00E937CB" w:rsidRPr="00E937CB">
        <w:t>Although genetic testing was not performed in this patient, its consideration is justified given the extra-adrenal location and the relatively young age at presentation.</w:t>
      </w:r>
      <w:r w:rsidR="00E937CB">
        <w:t xml:space="preserve"> </w:t>
      </w:r>
      <w:r>
        <w:t>SDHB mutation in particular confers increased risk of malignancy and poorer prognosis due to pseudohypoxia-driven tumorigenesis and metabolic reprogramming (Buffet et al., 2020). Genetic testing is increasingly recommended for all patients with paraganglioma, irrespective of age or family history (Crona et al., 2019). Asian cohorts have reported differing mutation spectra, with SDHB and SDHD variants predominating in several recent studies (Chong et al., 2021).</w:t>
      </w:r>
    </w:p>
    <w:p w14:paraId="0B6A48E3" w14:textId="77777777" w:rsidR="000563A8" w:rsidRDefault="000563A8" w:rsidP="000563A8">
      <w:pPr>
        <w:jc w:val="both"/>
      </w:pPr>
    </w:p>
    <w:p w14:paraId="077AD588" w14:textId="2A34ADBD" w:rsidR="000563A8" w:rsidRDefault="000563A8" w:rsidP="000563A8">
      <w:pPr>
        <w:jc w:val="both"/>
      </w:pPr>
      <w:r>
        <w:t xml:space="preserve">Genetic assessment also informs surveillance intensity, family </w:t>
      </w:r>
      <w:proofErr w:type="spellStart"/>
      <w:r>
        <w:t>counseling</w:t>
      </w:r>
      <w:proofErr w:type="spellEnd"/>
      <w:r>
        <w:t xml:space="preserve">, and therapeutic decisions. In </w:t>
      </w:r>
      <w:proofErr w:type="spellStart"/>
      <w:r>
        <w:t>tumors</w:t>
      </w:r>
      <w:proofErr w:type="spellEnd"/>
      <w:r>
        <w:t xml:space="preserve"> expressing somatostatin receptor 2 due to </w:t>
      </w:r>
      <w:proofErr w:type="spellStart"/>
      <w:r>
        <w:t>SDHx</w:t>
      </w:r>
      <w:proofErr w:type="spellEnd"/>
      <w:r>
        <w:t xml:space="preserve"> mutations, ^68Ga-DOTATATE PET may serve both diagnostic and therapeutic functions via peptide receptor radionuclide therap</w:t>
      </w:r>
      <w:r w:rsidR="00E815E4">
        <w:t>y (PRRT) in metastatic settings</w:t>
      </w:r>
      <w:r>
        <w:t>.</w:t>
      </w:r>
    </w:p>
    <w:p w14:paraId="0E5E6434" w14:textId="77777777" w:rsidR="000563A8" w:rsidRDefault="000563A8" w:rsidP="000563A8">
      <w:pPr>
        <w:jc w:val="both"/>
      </w:pPr>
    </w:p>
    <w:p w14:paraId="5636CF4B" w14:textId="77777777" w:rsidR="000563A8" w:rsidRPr="00407B36" w:rsidRDefault="000563A8" w:rsidP="000563A8">
      <w:pPr>
        <w:jc w:val="both"/>
        <w:rPr>
          <w:b/>
        </w:rPr>
      </w:pPr>
      <w:r w:rsidRPr="00407B36">
        <w:rPr>
          <w:b/>
        </w:rPr>
        <w:t>LEARNING POINTS</w:t>
      </w:r>
    </w:p>
    <w:p w14:paraId="0FBB5720" w14:textId="77777777" w:rsidR="000563A8" w:rsidRDefault="000563A8" w:rsidP="000563A8">
      <w:pPr>
        <w:jc w:val="both"/>
      </w:pPr>
    </w:p>
    <w:p w14:paraId="210A292A" w14:textId="4818EA0A" w:rsidR="000563A8" w:rsidRDefault="000563A8" w:rsidP="000563A8">
      <w:pPr>
        <w:jc w:val="both"/>
      </w:pPr>
      <w:r>
        <w:t xml:space="preserve">• Catecholamine-secreting paragangliomas constitute a rare but important secondary cause of stroke in </w:t>
      </w:r>
      <w:r w:rsidR="00E815E4">
        <w:t xml:space="preserve">relatively </w:t>
      </w:r>
      <w:r w:rsidR="00DD3CDF">
        <w:t>young</w:t>
      </w:r>
      <w:r>
        <w:t xml:space="preserve"> patients.</w:t>
      </w:r>
    </w:p>
    <w:p w14:paraId="1DD9EF20" w14:textId="77777777" w:rsidR="000563A8" w:rsidRDefault="000563A8" w:rsidP="000563A8">
      <w:pPr>
        <w:jc w:val="both"/>
      </w:pPr>
      <w:r>
        <w:t xml:space="preserve">• Persistent hypertension following cerebrovascular events should prompt evaluation for endocrine </w:t>
      </w:r>
      <w:proofErr w:type="spellStart"/>
      <w:r>
        <w:t>etiologies</w:t>
      </w:r>
      <w:proofErr w:type="spellEnd"/>
      <w:r>
        <w:t>.</w:t>
      </w:r>
    </w:p>
    <w:p w14:paraId="4CB76150" w14:textId="77777777" w:rsidR="000563A8" w:rsidRDefault="000563A8" w:rsidP="000563A8">
      <w:pPr>
        <w:jc w:val="both"/>
      </w:pPr>
      <w:r>
        <w:t xml:space="preserve">• Biochemical testing with plasma </w:t>
      </w:r>
      <w:proofErr w:type="spellStart"/>
      <w:r>
        <w:t>metanephrines</w:t>
      </w:r>
      <w:proofErr w:type="spellEnd"/>
      <w:r>
        <w:t xml:space="preserve"> is highly sensitive for diagnosis.</w:t>
      </w:r>
    </w:p>
    <w:p w14:paraId="321D06DD" w14:textId="77777777" w:rsidR="000563A8" w:rsidRDefault="000563A8" w:rsidP="000563A8">
      <w:pPr>
        <w:jc w:val="both"/>
      </w:pPr>
      <w:r>
        <w:t>• Surgical excision following adequate alpha blockade remains definitive therapy.</w:t>
      </w:r>
    </w:p>
    <w:p w14:paraId="1E9D2D18" w14:textId="77777777" w:rsidR="000563A8" w:rsidRDefault="000563A8" w:rsidP="000563A8">
      <w:pPr>
        <w:jc w:val="both"/>
      </w:pPr>
      <w:r>
        <w:t xml:space="preserve">• Long-term surveillance and genetic </w:t>
      </w:r>
      <w:proofErr w:type="spellStart"/>
      <w:r>
        <w:t>counseling</w:t>
      </w:r>
      <w:proofErr w:type="spellEnd"/>
      <w:r>
        <w:t xml:space="preserve"> are integral to management due to recurrence and hereditary risk.</w:t>
      </w:r>
    </w:p>
    <w:p w14:paraId="0ED7BF46" w14:textId="18666195" w:rsidR="000563A8" w:rsidRDefault="000563A8" w:rsidP="000563A8">
      <w:pPr>
        <w:jc w:val="both"/>
      </w:pPr>
      <w:r>
        <w:t>• Awareness of this entity is crucial in Asian populations where diagnostic delay remains common.</w:t>
      </w:r>
    </w:p>
    <w:p w14:paraId="2ABA540B" w14:textId="77777777" w:rsidR="00844BAE" w:rsidRDefault="00844BAE" w:rsidP="000563A8">
      <w:pPr>
        <w:jc w:val="both"/>
      </w:pPr>
    </w:p>
    <w:p w14:paraId="05D193D6" w14:textId="77777777" w:rsidR="000563A8" w:rsidRDefault="000563A8" w:rsidP="000563A8">
      <w:pPr>
        <w:jc w:val="both"/>
      </w:pPr>
    </w:p>
    <w:p w14:paraId="15658C24" w14:textId="2C2EB576" w:rsidR="00D27A9B" w:rsidRPr="00E937CB" w:rsidRDefault="00824C2F" w:rsidP="000563A8">
      <w:pPr>
        <w:jc w:val="both"/>
        <w:rPr>
          <w:b/>
          <w:color w:val="002060"/>
          <w:sz w:val="32"/>
          <w:szCs w:val="32"/>
        </w:rPr>
      </w:pPr>
      <w:r>
        <w:rPr>
          <w:b/>
          <w:color w:val="002060"/>
          <w:sz w:val="32"/>
          <w:szCs w:val="32"/>
        </w:rPr>
        <w:t>CONCLUSION</w:t>
      </w:r>
    </w:p>
    <w:p w14:paraId="5CD4B047" w14:textId="3AE7E037" w:rsidR="0000276C" w:rsidRDefault="00C8296B" w:rsidP="000563A8">
      <w:pPr>
        <w:jc w:val="both"/>
      </w:pPr>
      <w:r w:rsidRPr="00C8296B">
        <w:t xml:space="preserve">This case highlights the importance of recognizing retroperitoneal paraganglioma as a secondary and potentially reversible cause of stroke in relatively young and middle-aged patients. Persistent hypertension following an initial cerebrovascular event should prompt biochemical assessment for catecholamine excess to avoid delays in diagnosis. Multidisciplinary coordination of care is </w:t>
      </w:r>
      <w:r w:rsidRPr="00C8296B">
        <w:lastRenderedPageBreak/>
        <w:t xml:space="preserve">essential to ensure safe perioperative management and optimized surgical outcomes. Furthermore, postoperative follow-up and genetic considerations are warranted due to the malignant potential and hereditary predisposition </w:t>
      </w:r>
      <w:r w:rsidR="001810C7">
        <w:t>ass</w:t>
      </w:r>
      <w:r w:rsidR="00B52F65">
        <w:t xml:space="preserve">ociated with </w:t>
      </w:r>
      <w:r w:rsidRPr="00C8296B">
        <w:t>paragangliomas. Greater awareness of such atypical presentations may aid clinicians in improving diagnostic accuracy and preventing recurrent neurological sequelae.</w:t>
      </w:r>
    </w:p>
    <w:p w14:paraId="1B8072A0" w14:textId="77777777" w:rsidR="00E92DD7" w:rsidRPr="00E92DD7" w:rsidRDefault="00E92DD7" w:rsidP="00E92DD7">
      <w:pPr>
        <w:spacing w:after="200" w:line="276" w:lineRule="auto"/>
        <w:rPr>
          <w:rFonts w:ascii="Calibri" w:eastAsia="Calibri" w:hAnsi="Calibri" w:cs="Times New Roman"/>
          <w:b/>
          <w:sz w:val="28"/>
          <w:lang w:val="en-US"/>
        </w:rPr>
      </w:pPr>
      <w:r w:rsidRPr="00E92DD7">
        <w:rPr>
          <w:rFonts w:ascii="Calibri" w:eastAsia="Calibri" w:hAnsi="Calibri" w:cs="Times New Roman"/>
          <w:b/>
          <w:sz w:val="28"/>
          <w:highlight w:val="yellow"/>
          <w:lang w:val="en-US"/>
        </w:rPr>
        <w:t>Consent</w:t>
      </w:r>
      <w:r w:rsidRPr="00E92DD7">
        <w:rPr>
          <w:rFonts w:ascii="Calibri" w:eastAsia="Calibri" w:hAnsi="Calibri" w:cs="Times New Roman"/>
          <w:b/>
          <w:sz w:val="28"/>
          <w:lang w:val="en-US"/>
        </w:rPr>
        <w:t xml:space="preserve"> </w:t>
      </w:r>
    </w:p>
    <w:p w14:paraId="29BA33B3" w14:textId="77777777" w:rsidR="00E92DD7" w:rsidRPr="00E92DD7" w:rsidRDefault="00E92DD7" w:rsidP="00E92DD7">
      <w:pPr>
        <w:spacing w:after="200" w:line="276" w:lineRule="auto"/>
        <w:rPr>
          <w:rFonts w:ascii="Calibri" w:eastAsia="Calibri" w:hAnsi="Calibri" w:cs="Times New Roman"/>
          <w:lang w:val="en-US"/>
        </w:rPr>
      </w:pPr>
      <w:r w:rsidRPr="00E92DD7">
        <w:rPr>
          <w:rFonts w:ascii="Calibri" w:eastAsia="Calibri" w:hAnsi="Calibri" w:cs="Times New Roman"/>
          <w:lang w:val="en-US"/>
        </w:rPr>
        <w:t>As per international standards or university standards, patient(s) written consent has been collected and preserved by the author</w:t>
      </w:r>
      <w:r w:rsidRPr="00E92DD7">
        <w:rPr>
          <w:rFonts w:ascii="Calibri" w:eastAsia="Calibri" w:hAnsi="Calibri" w:cs="Times New Roman"/>
          <w:highlight w:val="yellow"/>
          <w:lang w:val="en-US"/>
        </w:rPr>
        <w:t>(s).</w:t>
      </w:r>
    </w:p>
    <w:p w14:paraId="6C91780B" w14:textId="675E301E" w:rsidR="00E92DD7" w:rsidRDefault="00E92DD7" w:rsidP="000563A8">
      <w:pPr>
        <w:jc w:val="both"/>
      </w:pPr>
    </w:p>
    <w:p w14:paraId="2368E3CA" w14:textId="09F77DA6" w:rsidR="00E92DD7" w:rsidRDefault="00E92DD7" w:rsidP="000563A8">
      <w:pPr>
        <w:jc w:val="both"/>
      </w:pPr>
    </w:p>
    <w:p w14:paraId="4906787C" w14:textId="77777777" w:rsidR="00E92DD7" w:rsidRPr="00E92DD7" w:rsidRDefault="00E92DD7" w:rsidP="00E92DD7">
      <w:pPr>
        <w:spacing w:after="200" w:line="276" w:lineRule="auto"/>
        <w:rPr>
          <w:rFonts w:ascii="Calibri" w:eastAsia="Calibri" w:hAnsi="Calibri" w:cs="Times New Roman"/>
          <w:b/>
          <w:sz w:val="28"/>
          <w:lang w:val="en-US"/>
        </w:rPr>
      </w:pPr>
      <w:r w:rsidRPr="00E92DD7">
        <w:rPr>
          <w:rFonts w:ascii="Calibri" w:eastAsia="Calibri" w:hAnsi="Calibri" w:cs="Times New Roman"/>
          <w:b/>
          <w:sz w:val="28"/>
          <w:lang w:val="en-US"/>
        </w:rPr>
        <w:t>Ethical Approval:</w:t>
      </w:r>
      <w:bookmarkStart w:id="0" w:name="_GoBack"/>
      <w:bookmarkEnd w:id="0"/>
    </w:p>
    <w:p w14:paraId="184903BE" w14:textId="77777777" w:rsidR="00E92DD7" w:rsidRPr="00E92DD7" w:rsidRDefault="00E92DD7" w:rsidP="00E92DD7">
      <w:pPr>
        <w:spacing w:after="200" w:line="276" w:lineRule="auto"/>
        <w:rPr>
          <w:rFonts w:ascii="Calibri" w:eastAsia="Times New Roman" w:hAnsi="Calibri" w:cs="Times New Roman"/>
          <w:lang w:val="en-US"/>
        </w:rPr>
      </w:pPr>
    </w:p>
    <w:p w14:paraId="44214992" w14:textId="77777777" w:rsidR="00E92DD7" w:rsidRPr="00E92DD7" w:rsidRDefault="00E92DD7" w:rsidP="00E92DD7">
      <w:pPr>
        <w:spacing w:after="200" w:line="276" w:lineRule="auto"/>
        <w:rPr>
          <w:rFonts w:ascii="Calibri" w:eastAsia="Times New Roman" w:hAnsi="Calibri" w:cs="Times New Roman"/>
          <w:lang w:val="en-US"/>
        </w:rPr>
      </w:pPr>
      <w:r w:rsidRPr="00E92DD7">
        <w:rPr>
          <w:rFonts w:ascii="Calibri" w:eastAsia="Times New Roman" w:hAnsi="Calibri" w:cs="Times New Roman"/>
          <w:lang w:val="en-US"/>
        </w:rPr>
        <w:t>As per international standards or university standards written ethical approval has been collected and preserved by the author(s).</w:t>
      </w:r>
    </w:p>
    <w:p w14:paraId="769C04CB" w14:textId="77777777" w:rsidR="00E92DD7" w:rsidRDefault="00E92DD7" w:rsidP="000563A8">
      <w:pPr>
        <w:jc w:val="both"/>
      </w:pPr>
    </w:p>
    <w:p w14:paraId="660F7E22" w14:textId="77777777" w:rsidR="0000276C" w:rsidRDefault="0000276C" w:rsidP="0000276C">
      <w:pPr>
        <w:jc w:val="both"/>
      </w:pPr>
      <w:r>
        <w:t>COMPETING INTERESTS DISCLAIMER:</w:t>
      </w:r>
    </w:p>
    <w:p w14:paraId="317821A9" w14:textId="4936E557" w:rsidR="0000276C" w:rsidRDefault="00C8296B" w:rsidP="0000276C">
      <w:pPr>
        <w:jc w:val="both"/>
      </w:pPr>
      <w:r w:rsidRPr="00C8296B">
        <w:t>Authors declare that they have no known competing financial or non-financial interests or personal relationships that could have influenced the work reported in this paper.</w:t>
      </w:r>
    </w:p>
    <w:p w14:paraId="5A090F0C" w14:textId="28933466" w:rsidR="00844BAE" w:rsidRDefault="00844BAE" w:rsidP="0000276C">
      <w:pPr>
        <w:jc w:val="both"/>
      </w:pPr>
    </w:p>
    <w:p w14:paraId="67BF27A5" w14:textId="77777777" w:rsidR="00844BAE" w:rsidRDefault="00844BAE" w:rsidP="00844BAE">
      <w:pPr>
        <w:jc w:val="both"/>
      </w:pPr>
      <w:r>
        <w:t>Disclaimer (Artificial intelligence)</w:t>
      </w:r>
    </w:p>
    <w:p w14:paraId="2B60E2F9" w14:textId="77777777" w:rsidR="00844BAE" w:rsidRDefault="00844BAE" w:rsidP="00844BAE">
      <w:pPr>
        <w:jc w:val="both"/>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324DFC41" w14:textId="77777777" w:rsidR="00844BAE" w:rsidRDefault="00844BAE" w:rsidP="0000276C">
      <w:pPr>
        <w:jc w:val="both"/>
      </w:pPr>
    </w:p>
    <w:p w14:paraId="5D4F8FBC" w14:textId="77777777" w:rsidR="000563A8" w:rsidRDefault="000563A8" w:rsidP="000563A8">
      <w:pPr>
        <w:jc w:val="both"/>
      </w:pPr>
    </w:p>
    <w:p w14:paraId="504A0007" w14:textId="05A42655" w:rsidR="00D27A9B" w:rsidRPr="0094751E" w:rsidRDefault="006E7CB5" w:rsidP="000563A8">
      <w:pPr>
        <w:jc w:val="both"/>
        <w:rPr>
          <w:b/>
          <w:color w:val="002060"/>
          <w:sz w:val="32"/>
          <w:szCs w:val="32"/>
        </w:rPr>
      </w:pPr>
      <w:r>
        <w:rPr>
          <w:b/>
          <w:color w:val="002060"/>
          <w:sz w:val="32"/>
          <w:szCs w:val="32"/>
        </w:rPr>
        <w:t>REFERENCES</w:t>
      </w:r>
    </w:p>
    <w:p w14:paraId="41EFF97D" w14:textId="77777777" w:rsidR="00D27A9B" w:rsidRDefault="00D27A9B" w:rsidP="000563A8">
      <w:pPr>
        <w:jc w:val="both"/>
      </w:pPr>
    </w:p>
    <w:p w14:paraId="2E430E4C" w14:textId="77777777" w:rsidR="000563A8" w:rsidRDefault="000563A8" w:rsidP="000563A8">
      <w:pPr>
        <w:pStyle w:val="ListParagraph"/>
        <w:numPr>
          <w:ilvl w:val="0"/>
          <w:numId w:val="1"/>
        </w:numPr>
        <w:ind w:left="426"/>
        <w:jc w:val="both"/>
      </w:pPr>
      <w:r>
        <w:t>Neumann HPH, Young WF Jr., Eng C. Pheochromocytoma and Paraganglioma. N Engl J Med. 2019;381(6):552–565.</w:t>
      </w:r>
    </w:p>
    <w:p w14:paraId="5D8843F0" w14:textId="77777777" w:rsidR="000563A8" w:rsidRDefault="000563A8" w:rsidP="000563A8">
      <w:pPr>
        <w:jc w:val="both"/>
      </w:pPr>
    </w:p>
    <w:p w14:paraId="4FA32F38" w14:textId="77777777" w:rsidR="000563A8" w:rsidRDefault="000563A8" w:rsidP="000563A8">
      <w:pPr>
        <w:pStyle w:val="ListParagraph"/>
        <w:numPr>
          <w:ilvl w:val="0"/>
          <w:numId w:val="1"/>
        </w:numPr>
        <w:ind w:left="426"/>
        <w:jc w:val="both"/>
      </w:pPr>
      <w:proofErr w:type="spellStart"/>
      <w:r>
        <w:t>Taïeb</w:t>
      </w:r>
      <w:proofErr w:type="spellEnd"/>
      <w:r>
        <w:t xml:space="preserve"> D, Shah MH, </w:t>
      </w:r>
      <w:proofErr w:type="spellStart"/>
      <w:r>
        <w:t>Kebebew</w:t>
      </w:r>
      <w:proofErr w:type="spellEnd"/>
      <w:r>
        <w:t xml:space="preserve"> E, et al. Pheochromocytoma and Paraganglioma: Update on Diagnosis, Prognosis, and Management. Lancet Diabetes Endocrinol. 2019;7(10):728–742.</w:t>
      </w:r>
    </w:p>
    <w:p w14:paraId="425759CD" w14:textId="77777777" w:rsidR="000563A8" w:rsidRDefault="000563A8" w:rsidP="000563A8">
      <w:pPr>
        <w:jc w:val="both"/>
      </w:pPr>
    </w:p>
    <w:p w14:paraId="2C1CDAE0" w14:textId="77777777" w:rsidR="000563A8" w:rsidRDefault="000563A8" w:rsidP="000563A8">
      <w:pPr>
        <w:pStyle w:val="ListParagraph"/>
        <w:numPr>
          <w:ilvl w:val="0"/>
          <w:numId w:val="1"/>
        </w:numPr>
        <w:ind w:left="426"/>
        <w:jc w:val="both"/>
      </w:pPr>
      <w:r>
        <w:t xml:space="preserve">Sutton T, Doran M. Catecholamine-induced stroke: A systematic review. J </w:t>
      </w:r>
      <w:proofErr w:type="spellStart"/>
      <w:r>
        <w:t>Neurol</w:t>
      </w:r>
      <w:proofErr w:type="spellEnd"/>
      <w:r>
        <w:t xml:space="preserve"> Sci. </w:t>
      </w:r>
      <w:proofErr w:type="gramStart"/>
      <w:r>
        <w:t>2020;412:116719</w:t>
      </w:r>
      <w:proofErr w:type="gramEnd"/>
      <w:r>
        <w:t>.</w:t>
      </w:r>
    </w:p>
    <w:p w14:paraId="6A058F33" w14:textId="77777777" w:rsidR="000563A8" w:rsidRDefault="000563A8" w:rsidP="000563A8">
      <w:pPr>
        <w:jc w:val="both"/>
      </w:pPr>
    </w:p>
    <w:p w14:paraId="725390D5" w14:textId="77777777" w:rsidR="000563A8" w:rsidRDefault="000563A8" w:rsidP="000563A8">
      <w:pPr>
        <w:pStyle w:val="ListParagraph"/>
        <w:numPr>
          <w:ilvl w:val="0"/>
          <w:numId w:val="1"/>
        </w:numPr>
        <w:ind w:left="426"/>
        <w:jc w:val="both"/>
      </w:pPr>
      <w:r>
        <w:t>Calabrese LH, Duna G, Calabrese C. Reversible Cerebral Vasoconstriction Syndrome Update. Lancet Neurol. 2019;18(4):324–334.</w:t>
      </w:r>
    </w:p>
    <w:p w14:paraId="0AE83E82" w14:textId="77777777" w:rsidR="000563A8" w:rsidRDefault="000563A8" w:rsidP="000563A8">
      <w:pPr>
        <w:jc w:val="both"/>
      </w:pPr>
    </w:p>
    <w:p w14:paraId="0AB2AFE9" w14:textId="77777777" w:rsidR="000563A8" w:rsidRDefault="000563A8" w:rsidP="000563A8">
      <w:pPr>
        <w:pStyle w:val="ListParagraph"/>
        <w:numPr>
          <w:ilvl w:val="0"/>
          <w:numId w:val="1"/>
        </w:numPr>
        <w:ind w:left="426"/>
        <w:jc w:val="both"/>
      </w:pPr>
      <w:r>
        <w:t>Gupta N, Raval M, Madsen B, et al. Catecholamine Surge-Induced Thrombotic and Microvascular Injury Mechanisms. Stroke. 2020;51(4):1321–1328.</w:t>
      </w:r>
    </w:p>
    <w:p w14:paraId="04133758" w14:textId="77777777" w:rsidR="000563A8" w:rsidRDefault="000563A8" w:rsidP="000563A8">
      <w:pPr>
        <w:jc w:val="both"/>
      </w:pPr>
    </w:p>
    <w:p w14:paraId="703ED932" w14:textId="69F2CF17" w:rsidR="000563A8" w:rsidRDefault="000563A8" w:rsidP="000563A8">
      <w:pPr>
        <w:pStyle w:val="ListParagraph"/>
        <w:numPr>
          <w:ilvl w:val="0"/>
          <w:numId w:val="1"/>
        </w:numPr>
        <w:ind w:left="426"/>
        <w:jc w:val="both"/>
      </w:pPr>
      <w:r>
        <w:t xml:space="preserve">Lee H-Y, Chen C-L, Chou Y-C, et al. Unusual Stroke </w:t>
      </w:r>
      <w:proofErr w:type="spellStart"/>
      <w:r>
        <w:t>Etiologies</w:t>
      </w:r>
      <w:proofErr w:type="spellEnd"/>
      <w:r>
        <w:t xml:space="preserve"> in Young Patients: A 10-Year Asian Cohort Study. Neurology Asia. 2021;26(3):529–538.</w:t>
      </w:r>
    </w:p>
    <w:p w14:paraId="361F5624" w14:textId="77777777" w:rsidR="000563A8" w:rsidRDefault="000563A8" w:rsidP="000563A8">
      <w:pPr>
        <w:jc w:val="both"/>
      </w:pPr>
    </w:p>
    <w:p w14:paraId="6B386A08" w14:textId="77777777" w:rsidR="000563A8" w:rsidRDefault="000563A8" w:rsidP="000563A8">
      <w:pPr>
        <w:pStyle w:val="ListParagraph"/>
        <w:numPr>
          <w:ilvl w:val="0"/>
          <w:numId w:val="1"/>
        </w:numPr>
        <w:ind w:left="426"/>
        <w:jc w:val="both"/>
      </w:pPr>
      <w:r>
        <w:t xml:space="preserve">Hsu C-Y, Chen Y-H, Wu C-L, et al. Pheochromocytoma Presenting as Recurrent Ischemic Stroke in a Young Female. J Stroke </w:t>
      </w:r>
      <w:proofErr w:type="spellStart"/>
      <w:r>
        <w:t>Cerebrovasc</w:t>
      </w:r>
      <w:proofErr w:type="spellEnd"/>
      <w:r>
        <w:t xml:space="preserve"> Dis. 2020;29(7):104871.</w:t>
      </w:r>
    </w:p>
    <w:p w14:paraId="6E48B5A1" w14:textId="77777777" w:rsidR="000563A8" w:rsidRDefault="000563A8" w:rsidP="000563A8">
      <w:pPr>
        <w:jc w:val="both"/>
      </w:pPr>
    </w:p>
    <w:p w14:paraId="766CE416" w14:textId="77777777" w:rsidR="000563A8" w:rsidRDefault="000563A8" w:rsidP="000563A8">
      <w:pPr>
        <w:pStyle w:val="ListParagraph"/>
        <w:numPr>
          <w:ilvl w:val="0"/>
          <w:numId w:val="1"/>
        </w:numPr>
        <w:tabs>
          <w:tab w:val="left" w:pos="207"/>
        </w:tabs>
        <w:ind w:left="426"/>
        <w:jc w:val="both"/>
      </w:pPr>
      <w:r>
        <w:lastRenderedPageBreak/>
        <w:t xml:space="preserve">Lenders JWM, Duh Q-Y, </w:t>
      </w:r>
      <w:proofErr w:type="spellStart"/>
      <w:r>
        <w:t>Eisenhofer</w:t>
      </w:r>
      <w:proofErr w:type="spellEnd"/>
      <w:r>
        <w:t xml:space="preserve"> G, et al. Endocrine Society Clinical Practice Guidelines: Pheochromocytoma and Paraganglioma. J Clin Endocrinol </w:t>
      </w:r>
      <w:proofErr w:type="spellStart"/>
      <w:r>
        <w:t>Metab</w:t>
      </w:r>
      <w:proofErr w:type="spellEnd"/>
      <w:r>
        <w:t>. 2020;105(9):285–325.</w:t>
      </w:r>
    </w:p>
    <w:p w14:paraId="4A7710E9" w14:textId="77777777" w:rsidR="000563A8" w:rsidRDefault="000563A8" w:rsidP="000563A8">
      <w:pPr>
        <w:jc w:val="both"/>
      </w:pPr>
    </w:p>
    <w:p w14:paraId="54D08A4B" w14:textId="77777777" w:rsidR="000563A8" w:rsidRDefault="000563A8" w:rsidP="000563A8">
      <w:pPr>
        <w:pStyle w:val="ListParagraph"/>
        <w:numPr>
          <w:ilvl w:val="0"/>
          <w:numId w:val="1"/>
        </w:numPr>
        <w:ind w:left="284" w:hanging="284"/>
        <w:jc w:val="both"/>
      </w:pPr>
      <w:r>
        <w:t xml:space="preserve">    </w:t>
      </w:r>
      <w:proofErr w:type="spellStart"/>
      <w:r>
        <w:t>Eisenhofer</w:t>
      </w:r>
      <w:proofErr w:type="spellEnd"/>
      <w:r>
        <w:t xml:space="preserve"> G, </w:t>
      </w:r>
      <w:proofErr w:type="spellStart"/>
      <w:r>
        <w:t>Pacak</w:t>
      </w:r>
      <w:proofErr w:type="spellEnd"/>
      <w:r>
        <w:t xml:space="preserve"> K, Huynh T, et al.             Diagnostic Value of Plasma </w:t>
      </w:r>
      <w:proofErr w:type="spellStart"/>
      <w:r>
        <w:t>Metanephrines</w:t>
      </w:r>
      <w:proofErr w:type="spellEnd"/>
      <w:r>
        <w:t xml:space="preserve"> in Pheochromocytoma and Paraganglioma. Clin Chem. 2020;66(3):427–439.</w:t>
      </w:r>
    </w:p>
    <w:p w14:paraId="5F563C4E" w14:textId="77777777" w:rsidR="000563A8" w:rsidRDefault="000563A8" w:rsidP="000563A8">
      <w:pPr>
        <w:jc w:val="both"/>
      </w:pPr>
    </w:p>
    <w:p w14:paraId="0A546D1B" w14:textId="77777777" w:rsidR="000563A8" w:rsidRDefault="000563A8" w:rsidP="000563A8">
      <w:pPr>
        <w:pStyle w:val="ListParagraph"/>
        <w:numPr>
          <w:ilvl w:val="0"/>
          <w:numId w:val="1"/>
        </w:numPr>
        <w:ind w:left="426"/>
        <w:jc w:val="both"/>
      </w:pPr>
      <w:proofErr w:type="spellStart"/>
      <w:r>
        <w:t>Mannelli</w:t>
      </w:r>
      <w:proofErr w:type="spellEnd"/>
      <w:r>
        <w:t xml:space="preserve"> M, Castellano M, Schiavi F, et al. Paraganglioma: Clinical and Diagnostic Insights. Eur J Endocrinol. 2020;182(1</w:t>
      </w:r>
      <w:proofErr w:type="gramStart"/>
      <w:r>
        <w:t>):R</w:t>
      </w:r>
      <w:proofErr w:type="gramEnd"/>
      <w:r>
        <w:t>11–R25.</w:t>
      </w:r>
    </w:p>
    <w:p w14:paraId="63EA6672" w14:textId="77777777" w:rsidR="000563A8" w:rsidRDefault="000563A8" w:rsidP="000563A8">
      <w:pPr>
        <w:jc w:val="both"/>
      </w:pPr>
    </w:p>
    <w:p w14:paraId="326901C0" w14:textId="77777777" w:rsidR="000563A8" w:rsidRDefault="000563A8" w:rsidP="000563A8">
      <w:pPr>
        <w:pStyle w:val="ListParagraph"/>
        <w:numPr>
          <w:ilvl w:val="0"/>
          <w:numId w:val="1"/>
        </w:numPr>
        <w:jc w:val="both"/>
      </w:pPr>
      <w:r>
        <w:t xml:space="preserve">Han S, Suh CH, Woo S, et al. Diagnostic Accuracy of 68Ga-DOTATATE PET/CT in Pheochromocytoma and Paraganglioma: Systematic Review and Meta-analysis. J </w:t>
      </w:r>
      <w:proofErr w:type="spellStart"/>
      <w:r>
        <w:t>Nucl</w:t>
      </w:r>
      <w:proofErr w:type="spellEnd"/>
      <w:r>
        <w:t xml:space="preserve"> Med. 2019;60(3):369–376.</w:t>
      </w:r>
    </w:p>
    <w:p w14:paraId="0174F088" w14:textId="77777777" w:rsidR="000563A8" w:rsidRDefault="000563A8" w:rsidP="000563A8">
      <w:pPr>
        <w:jc w:val="both"/>
      </w:pPr>
    </w:p>
    <w:p w14:paraId="7E3C3358" w14:textId="77777777" w:rsidR="000563A8" w:rsidRDefault="000563A8" w:rsidP="000563A8">
      <w:pPr>
        <w:pStyle w:val="ListParagraph"/>
        <w:numPr>
          <w:ilvl w:val="0"/>
          <w:numId w:val="1"/>
        </w:numPr>
        <w:jc w:val="both"/>
      </w:pPr>
      <w:r>
        <w:t xml:space="preserve">Crona J, Ghosal S, et al. Precision Management in Pheochromocytoma and Paraganglioma. Cancer Treat Rev. </w:t>
      </w:r>
      <w:proofErr w:type="gramStart"/>
      <w:r>
        <w:t>2020;86:102013</w:t>
      </w:r>
      <w:proofErr w:type="gramEnd"/>
      <w:r>
        <w:t>.</w:t>
      </w:r>
    </w:p>
    <w:p w14:paraId="668AC209" w14:textId="77777777" w:rsidR="000563A8" w:rsidRDefault="000563A8" w:rsidP="000563A8">
      <w:pPr>
        <w:jc w:val="both"/>
      </w:pPr>
    </w:p>
    <w:p w14:paraId="7442BD71" w14:textId="77777777" w:rsidR="000563A8" w:rsidRDefault="000563A8" w:rsidP="000563A8">
      <w:pPr>
        <w:pStyle w:val="ListParagraph"/>
        <w:numPr>
          <w:ilvl w:val="0"/>
          <w:numId w:val="1"/>
        </w:numPr>
        <w:jc w:val="both"/>
      </w:pPr>
      <w:r>
        <w:t xml:space="preserve">Crona J, Lamarca A, Ghosal S, et al. Genotype–Phenotype Correlations in PPGL: Meta-analysis. </w:t>
      </w:r>
      <w:proofErr w:type="spellStart"/>
      <w:r>
        <w:t>Endocr</w:t>
      </w:r>
      <w:proofErr w:type="spellEnd"/>
      <w:r>
        <w:t xml:space="preserve"> </w:t>
      </w:r>
      <w:proofErr w:type="spellStart"/>
      <w:r>
        <w:t>Relat</w:t>
      </w:r>
      <w:proofErr w:type="spellEnd"/>
      <w:r>
        <w:t xml:space="preserve"> Cancer. 2019;26(5):539–550.</w:t>
      </w:r>
    </w:p>
    <w:p w14:paraId="3F6A80A7" w14:textId="77777777" w:rsidR="000563A8" w:rsidRDefault="000563A8" w:rsidP="000563A8">
      <w:pPr>
        <w:jc w:val="both"/>
      </w:pPr>
    </w:p>
    <w:p w14:paraId="73D65005" w14:textId="77777777" w:rsidR="000563A8" w:rsidRDefault="000563A8" w:rsidP="000563A8">
      <w:pPr>
        <w:pStyle w:val="ListParagraph"/>
        <w:numPr>
          <w:ilvl w:val="0"/>
          <w:numId w:val="1"/>
        </w:numPr>
        <w:jc w:val="both"/>
      </w:pPr>
      <w:r>
        <w:t xml:space="preserve">Buffet A, </w:t>
      </w:r>
      <w:proofErr w:type="spellStart"/>
      <w:r>
        <w:t>Burnichon</w:t>
      </w:r>
      <w:proofErr w:type="spellEnd"/>
      <w:r>
        <w:t xml:space="preserve"> N, Favier J, et al. SDHB Mutations and Risk Stratification in Paraganglioma. J Clin Oncol. 2020;38(9):1033–1043.</w:t>
      </w:r>
    </w:p>
    <w:p w14:paraId="7FC8C959" w14:textId="77777777" w:rsidR="000563A8" w:rsidRDefault="000563A8" w:rsidP="000563A8">
      <w:pPr>
        <w:jc w:val="both"/>
      </w:pPr>
    </w:p>
    <w:p w14:paraId="54E14D26" w14:textId="77777777" w:rsidR="000563A8" w:rsidRDefault="000563A8" w:rsidP="000563A8">
      <w:pPr>
        <w:pStyle w:val="ListParagraph"/>
        <w:numPr>
          <w:ilvl w:val="0"/>
          <w:numId w:val="1"/>
        </w:numPr>
        <w:jc w:val="both"/>
      </w:pPr>
      <w:r>
        <w:t xml:space="preserve">Amar L, </w:t>
      </w:r>
      <w:proofErr w:type="spellStart"/>
      <w:r>
        <w:t>Baudin</w:t>
      </w:r>
      <w:proofErr w:type="spellEnd"/>
      <w:r>
        <w:t xml:space="preserve"> E, </w:t>
      </w:r>
      <w:proofErr w:type="spellStart"/>
      <w:r>
        <w:t>Burnichon</w:t>
      </w:r>
      <w:proofErr w:type="spellEnd"/>
      <w:r>
        <w:t xml:space="preserve"> N, et al. SDHB Gene Mutations Predict Survival </w:t>
      </w:r>
      <w:r>
        <w:t xml:space="preserve">in Paraganglioma. J Clin Endocrinol </w:t>
      </w:r>
      <w:proofErr w:type="spellStart"/>
      <w:r>
        <w:t>Metab</w:t>
      </w:r>
      <w:proofErr w:type="spellEnd"/>
      <w:r>
        <w:t>. 2021;106(3</w:t>
      </w:r>
      <w:proofErr w:type="gramStart"/>
      <w:r>
        <w:t>):e</w:t>
      </w:r>
      <w:proofErr w:type="gramEnd"/>
      <w:r>
        <w:t>1160–e1170.</w:t>
      </w:r>
    </w:p>
    <w:p w14:paraId="62598158" w14:textId="77777777" w:rsidR="000563A8" w:rsidRDefault="000563A8" w:rsidP="000563A8">
      <w:pPr>
        <w:jc w:val="both"/>
      </w:pPr>
    </w:p>
    <w:p w14:paraId="1EC4054E" w14:textId="77777777" w:rsidR="000563A8" w:rsidRDefault="000563A8" w:rsidP="000563A8">
      <w:pPr>
        <w:pStyle w:val="ListParagraph"/>
        <w:numPr>
          <w:ilvl w:val="0"/>
          <w:numId w:val="1"/>
        </w:numPr>
        <w:jc w:val="both"/>
      </w:pPr>
      <w:r>
        <w:t>Fishbein L, et al. Comprehensive Molecular Characterization of PPGL. Cancer Cell. 2017;31(2):181–193.</w:t>
      </w:r>
    </w:p>
    <w:p w14:paraId="610C503C" w14:textId="77777777" w:rsidR="000563A8" w:rsidRDefault="000563A8" w:rsidP="000563A8">
      <w:pPr>
        <w:jc w:val="both"/>
      </w:pPr>
    </w:p>
    <w:p w14:paraId="306EF1E7" w14:textId="77777777" w:rsidR="000563A8" w:rsidRDefault="000563A8" w:rsidP="000563A8">
      <w:pPr>
        <w:pStyle w:val="ListParagraph"/>
        <w:numPr>
          <w:ilvl w:val="0"/>
          <w:numId w:val="1"/>
        </w:numPr>
        <w:jc w:val="both"/>
      </w:pPr>
      <w:r>
        <w:t xml:space="preserve">Chong ST, et al. Clinical and Genetic Spectrum of Paraganglioma in Southeast Asia. </w:t>
      </w:r>
      <w:proofErr w:type="spellStart"/>
      <w:r>
        <w:t>Endocr</w:t>
      </w:r>
      <w:proofErr w:type="spellEnd"/>
      <w:r>
        <w:t xml:space="preserve"> </w:t>
      </w:r>
      <w:proofErr w:type="spellStart"/>
      <w:r>
        <w:t>Pract</w:t>
      </w:r>
      <w:proofErr w:type="spellEnd"/>
      <w:r>
        <w:t>. 2021;27(6):578–587.</w:t>
      </w:r>
    </w:p>
    <w:p w14:paraId="2B42F82C" w14:textId="77777777" w:rsidR="000563A8" w:rsidRDefault="000563A8" w:rsidP="000563A8">
      <w:pPr>
        <w:jc w:val="both"/>
      </w:pPr>
    </w:p>
    <w:p w14:paraId="43376DE0" w14:textId="77777777" w:rsidR="000563A8" w:rsidRDefault="000563A8" w:rsidP="000563A8">
      <w:pPr>
        <w:pStyle w:val="ListParagraph"/>
        <w:numPr>
          <w:ilvl w:val="0"/>
          <w:numId w:val="1"/>
        </w:numPr>
        <w:jc w:val="both"/>
      </w:pPr>
      <w:r>
        <w:t xml:space="preserve">Pacak K, Preoperative Management of Pheochromocytoma. Endocrinol </w:t>
      </w:r>
      <w:proofErr w:type="spellStart"/>
      <w:r>
        <w:t>Metab</w:t>
      </w:r>
      <w:proofErr w:type="spellEnd"/>
      <w:r>
        <w:t xml:space="preserve"> Clin North Am. 2021;50(2):389–404.</w:t>
      </w:r>
    </w:p>
    <w:p w14:paraId="407F0590" w14:textId="77777777" w:rsidR="000563A8" w:rsidRDefault="000563A8" w:rsidP="000563A8">
      <w:pPr>
        <w:jc w:val="both"/>
      </w:pPr>
    </w:p>
    <w:p w14:paraId="64054153" w14:textId="77777777" w:rsidR="000563A8" w:rsidRDefault="000563A8" w:rsidP="000563A8">
      <w:pPr>
        <w:pStyle w:val="ListParagraph"/>
        <w:numPr>
          <w:ilvl w:val="0"/>
          <w:numId w:val="1"/>
        </w:numPr>
        <w:jc w:val="both"/>
      </w:pPr>
      <w:proofErr w:type="spellStart"/>
      <w:r>
        <w:t>Hescot</w:t>
      </w:r>
      <w:proofErr w:type="spellEnd"/>
      <w:r>
        <w:t xml:space="preserve"> S, et al. Outcomes and Recurrence in Extra-Adrenal Paraganglioma. Eur J Cancer. </w:t>
      </w:r>
      <w:proofErr w:type="gramStart"/>
      <w:r>
        <w:t>2020;135:67</w:t>
      </w:r>
      <w:proofErr w:type="gramEnd"/>
      <w:r>
        <w:t>–75.</w:t>
      </w:r>
    </w:p>
    <w:p w14:paraId="38A7E917" w14:textId="77777777" w:rsidR="000563A8" w:rsidRDefault="000563A8" w:rsidP="000563A8">
      <w:pPr>
        <w:jc w:val="both"/>
      </w:pPr>
    </w:p>
    <w:p w14:paraId="1CA5EC54" w14:textId="77777777" w:rsidR="000563A8" w:rsidRDefault="000563A8" w:rsidP="000563A8">
      <w:pPr>
        <w:pStyle w:val="ListParagraph"/>
        <w:numPr>
          <w:ilvl w:val="0"/>
          <w:numId w:val="1"/>
        </w:numPr>
        <w:jc w:val="both"/>
      </w:pPr>
      <w:r>
        <w:t>Young WF Jr. Diagnostic Approach to Adrenal Incidentalomas. N Engl J Med. 2007;356(6):601–610. (classic guideline reference)</w:t>
      </w:r>
    </w:p>
    <w:p w14:paraId="2468053E" w14:textId="77777777" w:rsidR="000563A8" w:rsidRDefault="000563A8" w:rsidP="000563A8">
      <w:pPr>
        <w:jc w:val="both"/>
      </w:pPr>
    </w:p>
    <w:p w14:paraId="459DF43D" w14:textId="77777777" w:rsidR="000563A8" w:rsidRDefault="000563A8" w:rsidP="000563A8">
      <w:pPr>
        <w:pStyle w:val="ListParagraph"/>
        <w:numPr>
          <w:ilvl w:val="0"/>
          <w:numId w:val="1"/>
        </w:numPr>
        <w:jc w:val="both"/>
      </w:pPr>
      <w:r>
        <w:t>Benn DE, Gimenez-</w:t>
      </w:r>
      <w:proofErr w:type="spellStart"/>
      <w:r>
        <w:t>Roqueplo</w:t>
      </w:r>
      <w:proofErr w:type="spellEnd"/>
      <w:r>
        <w:t xml:space="preserve"> AP, et al. Penetrance of PPGL Syndromes. J Clin Endocrinol </w:t>
      </w:r>
      <w:proofErr w:type="spellStart"/>
      <w:r>
        <w:t>Metab</w:t>
      </w:r>
      <w:proofErr w:type="spellEnd"/>
      <w:r>
        <w:t>. 2006;91(3):827–836. (global genetics reference)</w:t>
      </w:r>
    </w:p>
    <w:p w14:paraId="57AFA465" w14:textId="77777777" w:rsidR="000563A8" w:rsidRDefault="000563A8" w:rsidP="000563A8">
      <w:pPr>
        <w:jc w:val="both"/>
      </w:pPr>
    </w:p>
    <w:p w14:paraId="0842A78A" w14:textId="77777777" w:rsidR="000563A8" w:rsidRDefault="000563A8" w:rsidP="000563A8">
      <w:pPr>
        <w:pStyle w:val="ListParagraph"/>
        <w:numPr>
          <w:ilvl w:val="0"/>
          <w:numId w:val="1"/>
        </w:numPr>
        <w:jc w:val="both"/>
      </w:pPr>
      <w:r>
        <w:t xml:space="preserve">Jimenez C, </w:t>
      </w:r>
      <w:proofErr w:type="spellStart"/>
      <w:r>
        <w:t>Rohren</w:t>
      </w:r>
      <w:proofErr w:type="spellEnd"/>
      <w:r>
        <w:t xml:space="preserve"> E, Habra MA. Current and Future Treatments for Metastatic Paraganglioma. Curr Oncol Rep. 2019;21(6):54.</w:t>
      </w:r>
    </w:p>
    <w:p w14:paraId="0021FB61" w14:textId="77777777" w:rsidR="000563A8" w:rsidRDefault="000563A8" w:rsidP="000563A8">
      <w:pPr>
        <w:jc w:val="both"/>
      </w:pPr>
    </w:p>
    <w:p w14:paraId="32B56C17" w14:textId="77777777" w:rsidR="000563A8" w:rsidRDefault="000563A8" w:rsidP="000563A8">
      <w:pPr>
        <w:pStyle w:val="ListParagraph"/>
        <w:numPr>
          <w:ilvl w:val="0"/>
          <w:numId w:val="1"/>
        </w:numPr>
        <w:jc w:val="both"/>
      </w:pPr>
      <w:r>
        <w:lastRenderedPageBreak/>
        <w:t>Sbardella E, et al. Role of Functional Imaging in PPGL Follow-up. Eur J Endocrinol. 2018;169(6):785–793.</w:t>
      </w:r>
    </w:p>
    <w:p w14:paraId="75007C81" w14:textId="77777777" w:rsidR="000563A8" w:rsidRDefault="000563A8" w:rsidP="000563A8">
      <w:pPr>
        <w:jc w:val="both"/>
      </w:pPr>
    </w:p>
    <w:p w14:paraId="2EB55A66" w14:textId="77777777" w:rsidR="000563A8" w:rsidRDefault="000563A8" w:rsidP="000563A8">
      <w:pPr>
        <w:pStyle w:val="ListParagraph"/>
        <w:numPr>
          <w:ilvl w:val="0"/>
          <w:numId w:val="1"/>
        </w:numPr>
        <w:jc w:val="both"/>
      </w:pPr>
      <w:r>
        <w:t>Favier J, Amar L, Gimenez-</w:t>
      </w:r>
      <w:proofErr w:type="spellStart"/>
      <w:r>
        <w:t>Roqueplo</w:t>
      </w:r>
      <w:proofErr w:type="spellEnd"/>
      <w:r>
        <w:t xml:space="preserve"> AP. PPGL: Genetics to Personalized Medicine. Nat Rev Endocrinol. 2015;11(2):101–111. (classic &amp; still cited)</w:t>
      </w:r>
    </w:p>
    <w:p w14:paraId="7E59C681" w14:textId="77777777" w:rsidR="000563A8" w:rsidRPr="00CE7E9F" w:rsidRDefault="000563A8" w:rsidP="000563A8">
      <w:pPr>
        <w:jc w:val="both"/>
      </w:pPr>
    </w:p>
    <w:p w14:paraId="55213FB1" w14:textId="77777777" w:rsidR="002D4D7A" w:rsidRDefault="002D4D7A" w:rsidP="000563A8">
      <w:pPr>
        <w:jc w:val="both"/>
      </w:pPr>
    </w:p>
    <w:sectPr w:rsidR="002D4D7A" w:rsidSect="00D27A9B">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F0F8E" w14:textId="77777777" w:rsidR="00145CFA" w:rsidRDefault="00145CFA" w:rsidP="00D938C1">
      <w:pPr>
        <w:spacing w:after="0" w:line="240" w:lineRule="auto"/>
      </w:pPr>
      <w:r>
        <w:separator/>
      </w:r>
    </w:p>
  </w:endnote>
  <w:endnote w:type="continuationSeparator" w:id="0">
    <w:p w14:paraId="48ACA4A2" w14:textId="77777777" w:rsidR="00145CFA" w:rsidRDefault="00145CFA" w:rsidP="00D93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46C17" w14:textId="77777777" w:rsidR="00D938C1" w:rsidRDefault="00D938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86715" w14:textId="77777777" w:rsidR="00D938C1" w:rsidRDefault="00D938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A4B06" w14:textId="77777777" w:rsidR="00D938C1" w:rsidRDefault="00D938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4EDAE" w14:textId="77777777" w:rsidR="00145CFA" w:rsidRDefault="00145CFA" w:rsidP="00D938C1">
      <w:pPr>
        <w:spacing w:after="0" w:line="240" w:lineRule="auto"/>
      </w:pPr>
      <w:r>
        <w:separator/>
      </w:r>
    </w:p>
  </w:footnote>
  <w:footnote w:type="continuationSeparator" w:id="0">
    <w:p w14:paraId="117BFCB0" w14:textId="77777777" w:rsidR="00145CFA" w:rsidRDefault="00145CFA" w:rsidP="00D938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0F753" w14:textId="57D5CCD6" w:rsidR="00D938C1" w:rsidRDefault="00145CFA">
    <w:pPr>
      <w:pStyle w:val="Header"/>
    </w:pPr>
    <w:r>
      <w:rPr>
        <w:noProof/>
      </w:rPr>
      <w:pict w14:anchorId="640967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33220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F2EB4" w14:textId="63432351" w:rsidR="00D938C1" w:rsidRDefault="00145CFA">
    <w:pPr>
      <w:pStyle w:val="Header"/>
    </w:pPr>
    <w:r>
      <w:rPr>
        <w:noProof/>
      </w:rPr>
      <w:pict w14:anchorId="4DAF9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33220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E1106" w14:textId="2E59BD2C" w:rsidR="00D938C1" w:rsidRDefault="00145CFA">
    <w:pPr>
      <w:pStyle w:val="Header"/>
    </w:pPr>
    <w:r>
      <w:rPr>
        <w:noProof/>
      </w:rPr>
      <w:pict w14:anchorId="5BC84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33220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205506"/>
    <w:multiLevelType w:val="hybridMultilevel"/>
    <w:tmpl w:val="1E5857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A9B"/>
    <w:rsid w:val="0000276C"/>
    <w:rsid w:val="000563A8"/>
    <w:rsid w:val="00110E46"/>
    <w:rsid w:val="00145CFA"/>
    <w:rsid w:val="001810C7"/>
    <w:rsid w:val="00191667"/>
    <w:rsid w:val="001D18D5"/>
    <w:rsid w:val="00252DD8"/>
    <w:rsid w:val="00282222"/>
    <w:rsid w:val="002D4D7A"/>
    <w:rsid w:val="003A3FF9"/>
    <w:rsid w:val="003E39E9"/>
    <w:rsid w:val="00407B36"/>
    <w:rsid w:val="004200BD"/>
    <w:rsid w:val="00497CF5"/>
    <w:rsid w:val="004D6905"/>
    <w:rsid w:val="005E5580"/>
    <w:rsid w:val="006363C3"/>
    <w:rsid w:val="006E7CB5"/>
    <w:rsid w:val="007547D2"/>
    <w:rsid w:val="007979B0"/>
    <w:rsid w:val="007C2E92"/>
    <w:rsid w:val="00824C2F"/>
    <w:rsid w:val="008256AF"/>
    <w:rsid w:val="00844BAE"/>
    <w:rsid w:val="00902756"/>
    <w:rsid w:val="009352B2"/>
    <w:rsid w:val="0094751E"/>
    <w:rsid w:val="00993FA6"/>
    <w:rsid w:val="00A31EA4"/>
    <w:rsid w:val="00A75DCB"/>
    <w:rsid w:val="00B52F65"/>
    <w:rsid w:val="00B65431"/>
    <w:rsid w:val="00B80121"/>
    <w:rsid w:val="00B934C3"/>
    <w:rsid w:val="00BC7DA4"/>
    <w:rsid w:val="00C158F0"/>
    <w:rsid w:val="00C8296B"/>
    <w:rsid w:val="00D27A9B"/>
    <w:rsid w:val="00D938C1"/>
    <w:rsid w:val="00DB1565"/>
    <w:rsid w:val="00DD3CDF"/>
    <w:rsid w:val="00E815E4"/>
    <w:rsid w:val="00E92DD7"/>
    <w:rsid w:val="00E937CB"/>
    <w:rsid w:val="00F074B1"/>
    <w:rsid w:val="00F64A42"/>
    <w:rsid w:val="00FD46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382BA9"/>
  <w15:chartTrackingRefBased/>
  <w15:docId w15:val="{3C162B4A-A56F-4A99-B5A8-68025744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3A8"/>
    <w:pPr>
      <w:ind w:left="720"/>
      <w:contextualSpacing/>
    </w:pPr>
  </w:style>
  <w:style w:type="paragraph" w:styleId="NormalWeb">
    <w:name w:val="Normal (Web)"/>
    <w:basedOn w:val="Normal"/>
    <w:uiPriority w:val="99"/>
    <w:semiHidden/>
    <w:unhideWhenUsed/>
    <w:rsid w:val="000563A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DB1565"/>
    <w:rPr>
      <w:color w:val="0563C1" w:themeColor="hyperlink"/>
      <w:u w:val="single"/>
    </w:rPr>
  </w:style>
  <w:style w:type="character" w:customStyle="1" w:styleId="UnresolvedMention1">
    <w:name w:val="Unresolved Mention1"/>
    <w:basedOn w:val="DefaultParagraphFont"/>
    <w:uiPriority w:val="99"/>
    <w:semiHidden/>
    <w:unhideWhenUsed/>
    <w:rsid w:val="00DB1565"/>
    <w:rPr>
      <w:color w:val="605E5C"/>
      <w:shd w:val="clear" w:color="auto" w:fill="E1DFDD"/>
    </w:rPr>
  </w:style>
  <w:style w:type="table" w:styleId="TableGrid">
    <w:name w:val="Table Grid"/>
    <w:basedOn w:val="TableNormal"/>
    <w:uiPriority w:val="39"/>
    <w:rsid w:val="00935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38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8C1"/>
  </w:style>
  <w:style w:type="paragraph" w:styleId="Footer">
    <w:name w:val="footer"/>
    <w:basedOn w:val="Normal"/>
    <w:link w:val="FooterChar"/>
    <w:uiPriority w:val="99"/>
    <w:unhideWhenUsed/>
    <w:rsid w:val="00D93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59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10</Pages>
  <Words>3276</Words>
  <Characters>18674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DAB</dc:creator>
  <cp:keywords/>
  <dc:description/>
  <cp:lastModifiedBy>SDI 1158</cp:lastModifiedBy>
  <cp:revision>33</cp:revision>
  <dcterms:created xsi:type="dcterms:W3CDTF">2026-01-19T08:55:00Z</dcterms:created>
  <dcterms:modified xsi:type="dcterms:W3CDTF">2026-02-16T08:19:00Z</dcterms:modified>
</cp:coreProperties>
</file>