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324D1" w14:textId="77777777" w:rsidR="005E24B5" w:rsidRPr="00071BFA" w:rsidRDefault="005E24B5">
      <w:pPr>
        <w:pStyle w:val="Heading2"/>
        <w:rPr>
          <w:rFonts w:hint="eastAsia"/>
          <w:b w:val="0"/>
          <w:bCs/>
        </w:rPr>
      </w:pPr>
    </w:p>
    <w:p w14:paraId="35A80EC3" w14:textId="77777777" w:rsidR="00FF72A4" w:rsidRPr="00071BFA" w:rsidRDefault="00A63885" w:rsidP="00151657">
      <w:pPr>
        <w:jc w:val="center"/>
        <w:rPr>
          <w:rFonts w:hint="eastAsia"/>
          <w:bCs/>
          <w:sz w:val="40"/>
          <w:szCs w:val="40"/>
        </w:rPr>
      </w:pPr>
      <w:r w:rsidRPr="00071BFA">
        <w:rPr>
          <w:bCs/>
          <w:sz w:val="40"/>
          <w:szCs w:val="40"/>
        </w:rPr>
        <w:t>The Clinical and Comorbidity Profile of Acute Kidney Injury in Critically Ill Patients: A Multi-Center Cross-Sectional Study from Sudan</w:t>
      </w:r>
    </w:p>
    <w:p w14:paraId="30045086" w14:textId="3A9BEF48" w:rsidR="00D4436B" w:rsidRPr="00071BFA" w:rsidRDefault="00D4436B">
      <w:pPr>
        <w:rPr>
          <w:rFonts w:hint="eastAsia"/>
          <w:bCs/>
        </w:rPr>
      </w:pPr>
    </w:p>
    <w:p w14:paraId="3091E8A4" w14:textId="77777777" w:rsidR="00D4436B" w:rsidRPr="00071BFA" w:rsidRDefault="00D4436B">
      <w:pPr>
        <w:rPr>
          <w:rFonts w:hint="eastAsia"/>
          <w:bCs/>
        </w:rPr>
      </w:pPr>
    </w:p>
    <w:p w14:paraId="6896ABC0" w14:textId="77777777" w:rsidR="00FF72A4" w:rsidRPr="00071BFA" w:rsidRDefault="00A63885">
      <w:pPr>
        <w:rPr>
          <w:rFonts w:hint="eastAsia"/>
          <w:bCs/>
          <w:sz w:val="28"/>
          <w:szCs w:val="28"/>
        </w:rPr>
      </w:pPr>
      <w:r w:rsidRPr="00071BFA">
        <w:rPr>
          <w:bCs/>
          <w:sz w:val="28"/>
          <w:szCs w:val="28"/>
        </w:rPr>
        <w:t>Abstract</w:t>
      </w:r>
    </w:p>
    <w:p w14:paraId="7747CC39" w14:textId="77777777" w:rsidR="00FF72A4" w:rsidRPr="00071BFA" w:rsidRDefault="00A63885">
      <w:pPr>
        <w:rPr>
          <w:rFonts w:hint="eastAsia"/>
          <w:bCs/>
        </w:rPr>
      </w:pPr>
      <w:r w:rsidRPr="00071BFA">
        <w:rPr>
          <w:bCs/>
        </w:rPr>
        <w:br/>
      </w:r>
    </w:p>
    <w:p w14:paraId="1872A0FE" w14:textId="77777777" w:rsidR="00FF72A4" w:rsidRPr="00071BFA" w:rsidRDefault="00A63885">
      <w:pPr>
        <w:rPr>
          <w:rFonts w:asciiTheme="minorBidi" w:hAnsiTheme="minorBidi" w:cstheme="minorBidi"/>
          <w:bCs/>
          <w:sz w:val="22"/>
          <w:szCs w:val="22"/>
        </w:rPr>
      </w:pPr>
      <w:r w:rsidRPr="00071BFA">
        <w:rPr>
          <w:rFonts w:asciiTheme="minorBidi" w:hAnsiTheme="minorBidi" w:cstheme="minorBidi"/>
          <w:bCs/>
          <w:sz w:val="22"/>
          <w:szCs w:val="22"/>
        </w:rPr>
        <w:t>Background: The demographic and etiological landscape of Acute Kidney Injury (AKI) varies significantly across regions, influenced by local disease burdens and healthcare access. Data on AKI characteristics from Sudan and similar sub-Saharan African settings are scarce. This study describes the clinical presentation, age distribution, and comorbidity profile of critically ill patients with AKI in Sudan.</w:t>
      </w:r>
    </w:p>
    <w:p w14:paraId="0096F48A" w14:textId="77777777" w:rsidR="00FF72A4" w:rsidRPr="00071BFA" w:rsidRDefault="00FF72A4">
      <w:pPr>
        <w:rPr>
          <w:rFonts w:asciiTheme="minorBidi" w:hAnsiTheme="minorBidi" w:cstheme="minorBidi"/>
          <w:bCs/>
          <w:sz w:val="22"/>
          <w:szCs w:val="22"/>
        </w:rPr>
      </w:pPr>
    </w:p>
    <w:p w14:paraId="3A2FF174" w14:textId="77777777" w:rsidR="00FF72A4" w:rsidRPr="00071BFA" w:rsidRDefault="00A63885" w:rsidP="00D4436B">
      <w:pPr>
        <w:rPr>
          <w:rFonts w:asciiTheme="minorBidi" w:hAnsiTheme="minorBidi" w:cstheme="minorBidi"/>
          <w:bCs/>
          <w:sz w:val="22"/>
          <w:szCs w:val="22"/>
        </w:rPr>
      </w:pPr>
      <w:r w:rsidRPr="00071BFA">
        <w:rPr>
          <w:rFonts w:asciiTheme="minorBidi" w:hAnsiTheme="minorBidi" w:cstheme="minorBidi"/>
          <w:bCs/>
          <w:sz w:val="22"/>
          <w:szCs w:val="22"/>
        </w:rPr>
        <w:t>Methods: A p</w:t>
      </w:r>
      <w:r w:rsidR="00D4436B" w:rsidRPr="00071BFA">
        <w:rPr>
          <w:rFonts w:asciiTheme="minorBidi" w:hAnsiTheme="minorBidi" w:cstheme="minorBidi"/>
          <w:bCs/>
          <w:sz w:val="22"/>
          <w:szCs w:val="22"/>
        </w:rPr>
        <w:t xml:space="preserve">rospective, multi-center, cross </w:t>
      </w:r>
      <w:r w:rsidRPr="00071BFA">
        <w:rPr>
          <w:rFonts w:asciiTheme="minorBidi" w:hAnsiTheme="minorBidi" w:cstheme="minorBidi"/>
          <w:bCs/>
          <w:sz w:val="22"/>
          <w:szCs w:val="22"/>
        </w:rPr>
        <w:t>sectional study was conducted in four major Sudanese hospitals between July and September 2022. All consecutively admitted adult ICU patients meeting KDIGO criteria for AKI were enrolled. Data on demographics and comorbidities were collected using a structured checklist. Descriptive statistics were used for analysis.</w:t>
      </w:r>
      <w:r w:rsidRPr="00071BFA">
        <w:rPr>
          <w:rFonts w:asciiTheme="minorBidi" w:hAnsiTheme="minorBidi" w:cstheme="minorBidi"/>
          <w:bCs/>
          <w:sz w:val="22"/>
          <w:szCs w:val="22"/>
        </w:rPr>
        <w:br/>
      </w:r>
    </w:p>
    <w:p w14:paraId="36594FB4" w14:textId="11298C99" w:rsidR="006F776F" w:rsidRPr="00071BFA" w:rsidRDefault="006F776F" w:rsidP="006F776F">
      <w:pPr>
        <w:rPr>
          <w:rFonts w:asciiTheme="minorBidi" w:hAnsiTheme="minorBidi" w:cstheme="minorBidi"/>
          <w:bCs/>
          <w:sz w:val="22"/>
          <w:szCs w:val="22"/>
        </w:rPr>
      </w:pPr>
      <w:r w:rsidRPr="00071BFA">
        <w:rPr>
          <w:rFonts w:asciiTheme="minorBidi" w:hAnsiTheme="minorBidi" w:cstheme="minorBidi"/>
          <w:bCs/>
          <w:sz w:val="22"/>
          <w:szCs w:val="22"/>
        </w:rPr>
        <w:t>Results: Forty</w:t>
      </w:r>
      <w:r w:rsidR="00A63885" w:rsidRPr="00071BFA">
        <w:rPr>
          <w:rFonts w:asciiTheme="minorBidi" w:hAnsiTheme="minorBidi" w:cstheme="minorBidi"/>
          <w:bCs/>
          <w:sz w:val="22"/>
          <w:szCs w:val="22"/>
        </w:rPr>
        <w:t>two patients were included. The cohort was notably</w:t>
      </w:r>
      <w:proofErr w:type="gramStart"/>
      <w:r w:rsidR="00A63885" w:rsidRPr="00071BFA">
        <w:rPr>
          <w:rFonts w:asciiTheme="minorBidi" w:hAnsiTheme="minorBidi" w:cstheme="minorBidi"/>
          <w:bCs/>
          <w:sz w:val="22"/>
          <w:szCs w:val="22"/>
        </w:rPr>
        <w:t> </w:t>
      </w:r>
      <w:r w:rsidRPr="00071BFA">
        <w:rPr>
          <w:rFonts w:asciiTheme="minorBidi" w:hAnsiTheme="minorBidi" w:cstheme="minorBidi"/>
          <w:bCs/>
          <w:sz w:val="22"/>
          <w:szCs w:val="22"/>
        </w:rPr>
        <w:t xml:space="preserve"> young</w:t>
      </w:r>
      <w:proofErr w:type="gramEnd"/>
      <w:r w:rsidRPr="00071BFA">
        <w:rPr>
          <w:rFonts w:asciiTheme="minorBidi" w:hAnsiTheme="minorBidi" w:cstheme="minorBidi"/>
          <w:bCs/>
          <w:sz w:val="22"/>
          <w:szCs w:val="22"/>
        </w:rPr>
        <w:t xml:space="preserve"> age distribution was observed, with 41.5% aged 18-39 years. A significant gender-age interaction was noted: younger patients were predominantly female (80%), while elderly patients (≥60 years) were predominantly male (71%). The comorbidity burden was substantial, with 83.4% of patients having at least one chronic condition, a mean of 1.9 comorbidities per patient, and hypertension (43.9%) and diabetes mellitus (34.1%) being most prevalent.</w:t>
      </w:r>
    </w:p>
    <w:p w14:paraId="1B536C4F" w14:textId="77777777" w:rsidR="006F776F" w:rsidRPr="00071BFA" w:rsidRDefault="006F776F" w:rsidP="006F776F">
      <w:pPr>
        <w:rPr>
          <w:rFonts w:asciiTheme="minorBidi" w:hAnsiTheme="minorBidi" w:cstheme="minorBidi"/>
          <w:bCs/>
          <w:sz w:val="22"/>
          <w:szCs w:val="22"/>
        </w:rPr>
      </w:pPr>
    </w:p>
    <w:p w14:paraId="5C4EC622" w14:textId="6A6EC3DA" w:rsidR="006F776F" w:rsidRPr="00071BFA" w:rsidRDefault="006F776F" w:rsidP="006F776F">
      <w:pPr>
        <w:rPr>
          <w:rFonts w:asciiTheme="minorBidi" w:hAnsiTheme="minorBidi" w:cstheme="minorBidi"/>
          <w:bCs/>
          <w:sz w:val="22"/>
          <w:szCs w:val="22"/>
        </w:rPr>
      </w:pPr>
      <w:r w:rsidRPr="00071BFA">
        <w:rPr>
          <w:rFonts w:asciiTheme="minorBidi" w:hAnsiTheme="minorBidi" w:cstheme="minorBidi"/>
          <w:bCs/>
          <w:sz w:val="22"/>
          <w:szCs w:val="22"/>
        </w:rPr>
        <w:t>The overall 30-day mortality rate was 29.3%, demonstrating a clear age-dependent gradient. Comorbidity burden was a critical prognostic factor; mortality was 62.5% in patients with ≥3 comorbidities versus 14.3% in those with none. Specific combinations, particularly diabetes + hypertension + cerebrovascular disease, were associated with extremely high mortality (75%). Among survivors, 74.2% recovered normal renal function, while 25.8% progressed to chronic kidney disease.</w:t>
      </w:r>
    </w:p>
    <w:p w14:paraId="5513E73C" w14:textId="22DEF203" w:rsidR="00FF72A4" w:rsidRPr="00071BFA" w:rsidRDefault="00FF72A4">
      <w:pPr>
        <w:rPr>
          <w:rFonts w:asciiTheme="minorBidi" w:hAnsiTheme="minorBidi" w:cstheme="minorBidi"/>
          <w:bCs/>
          <w:sz w:val="22"/>
          <w:szCs w:val="22"/>
        </w:rPr>
      </w:pPr>
    </w:p>
    <w:p w14:paraId="779ABD50" w14:textId="23A13AF5" w:rsidR="00FF72A4" w:rsidRPr="00071BFA" w:rsidRDefault="00A63885" w:rsidP="006F776F">
      <w:pPr>
        <w:rPr>
          <w:rFonts w:asciiTheme="minorBidi" w:hAnsiTheme="minorBidi" w:cstheme="minorBidi"/>
          <w:bCs/>
          <w:sz w:val="22"/>
          <w:szCs w:val="22"/>
        </w:rPr>
      </w:pPr>
      <w:r w:rsidRPr="00071BFA">
        <w:rPr>
          <w:rFonts w:asciiTheme="minorBidi" w:hAnsiTheme="minorBidi" w:cstheme="minorBidi"/>
          <w:bCs/>
          <w:sz w:val="22"/>
          <w:szCs w:val="22"/>
        </w:rPr>
        <w:t>Conclusion: This study reveals</w:t>
      </w:r>
      <w:r w:rsidR="00DC75EB" w:rsidRPr="00071BFA">
        <w:rPr>
          <w:rFonts w:asciiTheme="minorBidi" w:hAnsiTheme="minorBidi" w:cstheme="minorBidi"/>
          <w:bCs/>
          <w:sz w:val="22"/>
          <w:szCs w:val="22"/>
        </w:rPr>
        <w:t> that</w:t>
      </w:r>
      <w:r w:rsidR="006F776F" w:rsidRPr="00071BFA">
        <w:rPr>
          <w:rFonts w:asciiTheme="minorBidi" w:hAnsiTheme="minorBidi" w:cstheme="minorBidi"/>
          <w:bCs/>
          <w:sz w:val="22"/>
          <w:szCs w:val="22"/>
        </w:rPr>
        <w:t xml:space="preserve"> AKI in this setting is strongly linked to a high burden of non-communicable diseases, leading to significant mortality. The young age of the cohort and the unique gender-age interaction suggest distinct, age-specific risk pathways. The catastrophic outcomes associated with multiple comorbidities, especially the </w:t>
      </w:r>
      <w:r w:rsidR="00DC75EB" w:rsidRPr="00071BFA">
        <w:rPr>
          <w:rFonts w:asciiTheme="minorBidi" w:hAnsiTheme="minorBidi" w:cstheme="minorBidi"/>
          <w:bCs/>
          <w:sz w:val="22"/>
          <w:szCs w:val="22"/>
        </w:rPr>
        <w:t>cardio metabolic</w:t>
      </w:r>
      <w:r w:rsidR="006F776F" w:rsidRPr="00071BFA">
        <w:rPr>
          <w:rFonts w:asciiTheme="minorBidi" w:hAnsiTheme="minorBidi" w:cstheme="minorBidi"/>
          <w:bCs/>
          <w:sz w:val="22"/>
          <w:szCs w:val="22"/>
        </w:rPr>
        <w:t xml:space="preserve"> triad, identify a high-risk subgroup requiring intensive management. The study underscores the urgent need for integrated chronic disease management to prevent AKI and for vigilant recognition of high-risk profiles to improve outcomes.</w:t>
      </w:r>
    </w:p>
    <w:p w14:paraId="065DA213" w14:textId="77777777" w:rsidR="00FF72A4" w:rsidRPr="00071BFA" w:rsidRDefault="00A63885">
      <w:pPr>
        <w:rPr>
          <w:rFonts w:hint="eastAsia"/>
          <w:bCs/>
        </w:rPr>
      </w:pPr>
      <w:r w:rsidRPr="00071BFA">
        <w:rPr>
          <w:bCs/>
        </w:rPr>
        <w:br/>
      </w:r>
    </w:p>
    <w:p w14:paraId="511F57B1" w14:textId="77777777" w:rsidR="00D4436B" w:rsidRPr="00071BFA" w:rsidRDefault="00D4436B">
      <w:pPr>
        <w:rPr>
          <w:rFonts w:hint="eastAsia"/>
          <w:bCs/>
        </w:rPr>
      </w:pPr>
    </w:p>
    <w:p w14:paraId="59277029" w14:textId="77777777" w:rsidR="00F66875" w:rsidRPr="00071BFA" w:rsidRDefault="00F66875" w:rsidP="00F66875">
      <w:pPr>
        <w:rPr>
          <w:rFonts w:hint="eastAsia"/>
          <w:bCs/>
        </w:rPr>
      </w:pPr>
      <w:r w:rsidRPr="00071BFA">
        <w:rPr>
          <w:bCs/>
          <w:sz w:val="28"/>
          <w:szCs w:val="28"/>
        </w:rPr>
        <w:t>Keywords</w:t>
      </w:r>
      <w:r w:rsidRPr="00071BFA">
        <w:rPr>
          <w:bCs/>
          <w:szCs w:val="24"/>
        </w:rPr>
        <w:t>: Acute Kidney Injury, Epidemiology, Comorbidity, Critical Illness, Sudan, Chronic Liver Disease, Intensive Care Units.</w:t>
      </w:r>
    </w:p>
    <w:p w14:paraId="3A740242" w14:textId="77777777" w:rsidR="00D4436B" w:rsidRPr="00071BFA" w:rsidRDefault="00D4436B">
      <w:pPr>
        <w:rPr>
          <w:rFonts w:hint="eastAsia"/>
          <w:bCs/>
        </w:rPr>
      </w:pPr>
    </w:p>
    <w:p w14:paraId="0F877978" w14:textId="77777777" w:rsidR="00D4436B" w:rsidRPr="00071BFA" w:rsidRDefault="00D4436B">
      <w:pPr>
        <w:rPr>
          <w:rFonts w:hint="eastAsia"/>
          <w:bCs/>
        </w:rPr>
      </w:pPr>
    </w:p>
    <w:p w14:paraId="5B4B9BC0" w14:textId="77777777" w:rsidR="00D4436B" w:rsidRPr="00071BFA" w:rsidRDefault="00D4436B">
      <w:pPr>
        <w:rPr>
          <w:rFonts w:hint="eastAsia"/>
          <w:bCs/>
        </w:rPr>
      </w:pPr>
    </w:p>
    <w:p w14:paraId="7EA30690" w14:textId="77777777" w:rsidR="00D4436B" w:rsidRPr="00071BFA" w:rsidRDefault="00D4436B">
      <w:pPr>
        <w:rPr>
          <w:rFonts w:hint="eastAsia"/>
          <w:bCs/>
        </w:rPr>
      </w:pPr>
    </w:p>
    <w:p w14:paraId="4F3FBF24" w14:textId="77777777" w:rsidR="00D4436B" w:rsidRPr="00071BFA" w:rsidRDefault="00D4436B">
      <w:pPr>
        <w:rPr>
          <w:rFonts w:hint="eastAsia"/>
          <w:bCs/>
        </w:rPr>
      </w:pPr>
    </w:p>
    <w:p w14:paraId="5B94B998" w14:textId="77777777" w:rsidR="00D4436B" w:rsidRPr="00071BFA" w:rsidRDefault="00D4436B">
      <w:pPr>
        <w:rPr>
          <w:rFonts w:hint="eastAsia"/>
          <w:bCs/>
        </w:rPr>
      </w:pPr>
    </w:p>
    <w:p w14:paraId="73A0DD2C" w14:textId="77777777" w:rsidR="00D4436B" w:rsidRPr="00071BFA" w:rsidRDefault="00D4436B">
      <w:pPr>
        <w:rPr>
          <w:rFonts w:hint="eastAsia"/>
          <w:bCs/>
        </w:rPr>
      </w:pPr>
    </w:p>
    <w:p w14:paraId="7D51E2D5" w14:textId="77777777" w:rsidR="00D4436B" w:rsidRPr="00071BFA" w:rsidRDefault="00D4436B">
      <w:pPr>
        <w:rPr>
          <w:rFonts w:hint="eastAsia"/>
          <w:bCs/>
        </w:rPr>
      </w:pPr>
    </w:p>
    <w:p w14:paraId="4977FD57" w14:textId="77777777" w:rsidR="00D4436B" w:rsidRPr="00071BFA" w:rsidRDefault="00D4436B">
      <w:pPr>
        <w:rPr>
          <w:rFonts w:hint="eastAsia"/>
          <w:bCs/>
        </w:rPr>
      </w:pPr>
    </w:p>
    <w:p w14:paraId="1B3EC51B" w14:textId="77777777" w:rsidR="00D4436B" w:rsidRPr="00071BFA" w:rsidRDefault="00D4436B">
      <w:pPr>
        <w:rPr>
          <w:rFonts w:hint="eastAsia"/>
          <w:bCs/>
        </w:rPr>
      </w:pPr>
    </w:p>
    <w:p w14:paraId="521C4FC2" w14:textId="77777777" w:rsidR="00D4436B" w:rsidRPr="00071BFA" w:rsidRDefault="00D4436B">
      <w:pPr>
        <w:rPr>
          <w:rFonts w:hint="eastAsia"/>
          <w:bCs/>
        </w:rPr>
      </w:pPr>
    </w:p>
    <w:p w14:paraId="232CB319" w14:textId="77777777" w:rsidR="00D4436B" w:rsidRPr="00071BFA" w:rsidRDefault="00D4436B">
      <w:pPr>
        <w:rPr>
          <w:rFonts w:hint="eastAsia"/>
          <w:bCs/>
        </w:rPr>
      </w:pPr>
    </w:p>
    <w:p w14:paraId="04DF95F6" w14:textId="77777777" w:rsidR="00D4436B" w:rsidRPr="00071BFA" w:rsidRDefault="00D4436B">
      <w:pPr>
        <w:rPr>
          <w:rFonts w:hint="eastAsia"/>
          <w:bCs/>
        </w:rPr>
      </w:pPr>
    </w:p>
    <w:p w14:paraId="1088A39C" w14:textId="77777777" w:rsidR="00D4436B" w:rsidRPr="00071BFA" w:rsidRDefault="00D4436B">
      <w:pPr>
        <w:rPr>
          <w:rFonts w:hint="eastAsia"/>
          <w:bCs/>
        </w:rPr>
      </w:pPr>
    </w:p>
    <w:p w14:paraId="64F955B6" w14:textId="77777777" w:rsidR="00D4436B" w:rsidRPr="00071BFA" w:rsidRDefault="00D4436B">
      <w:pPr>
        <w:rPr>
          <w:rFonts w:hint="eastAsia"/>
          <w:bCs/>
        </w:rPr>
      </w:pPr>
    </w:p>
    <w:p w14:paraId="4C5A103E" w14:textId="77777777" w:rsidR="00D4436B" w:rsidRPr="00071BFA" w:rsidRDefault="00D4436B">
      <w:pPr>
        <w:rPr>
          <w:rFonts w:hint="eastAsia"/>
          <w:bCs/>
        </w:rPr>
      </w:pPr>
    </w:p>
    <w:p w14:paraId="362DEE4B" w14:textId="77777777" w:rsidR="00FF72A4" w:rsidRPr="00071BFA" w:rsidRDefault="00A63885">
      <w:pPr>
        <w:rPr>
          <w:rFonts w:asciiTheme="minorBidi" w:hAnsiTheme="minorBidi" w:cstheme="minorBidi"/>
          <w:bCs/>
          <w:sz w:val="28"/>
          <w:szCs w:val="28"/>
        </w:rPr>
      </w:pPr>
      <w:r w:rsidRPr="00071BFA">
        <w:rPr>
          <w:rFonts w:asciiTheme="minorBidi" w:hAnsiTheme="minorBidi" w:cstheme="minorBidi"/>
          <w:bCs/>
          <w:sz w:val="28"/>
          <w:szCs w:val="28"/>
        </w:rPr>
        <w:t>Introduction</w:t>
      </w:r>
    </w:p>
    <w:p w14:paraId="1B1B8FEF" w14:textId="77777777" w:rsidR="00FF72A4" w:rsidRPr="00071BFA" w:rsidRDefault="00A63885">
      <w:pPr>
        <w:rPr>
          <w:rFonts w:hint="eastAsia"/>
          <w:bCs/>
        </w:rPr>
      </w:pPr>
      <w:r w:rsidRPr="00071BFA">
        <w:rPr>
          <w:bCs/>
        </w:rPr>
        <w:br/>
      </w:r>
    </w:p>
    <w:p w14:paraId="0B6D91C1" w14:textId="77777777" w:rsidR="00FF72A4" w:rsidRPr="005D47B3" w:rsidRDefault="00A63885">
      <w:pPr>
        <w:rPr>
          <w:rFonts w:asciiTheme="minorBidi" w:hAnsiTheme="minorBidi" w:cstheme="minorBidi"/>
          <w:b/>
          <w:sz w:val="22"/>
          <w:szCs w:val="22"/>
        </w:rPr>
      </w:pPr>
      <w:r w:rsidRPr="005D47B3">
        <w:rPr>
          <w:rFonts w:asciiTheme="minorBidi" w:hAnsiTheme="minorBidi" w:cstheme="minorBidi"/>
          <w:b/>
          <w:sz w:val="22"/>
          <w:szCs w:val="22"/>
        </w:rPr>
        <w:t>Acute Kidney Injury (AKI) is a global healthcare problem associated with high morbidity, mortality, and resource utilization [1]. However, its epidemiology is not uniform; significant geographical and socioeconomic variations exist in its incidence, causes, and outcomes [2, 3]. In high-income countries, AKI predominantly affects older populations and is frequently associated with comorbidities such as chronic kidney disease (CKD), diabetes, cardiovascular disease, and iatrogenic causes related to complex procedures [4, 5].</w:t>
      </w:r>
    </w:p>
    <w:p w14:paraId="057D48FF" w14:textId="77777777" w:rsidR="00FF72A4" w:rsidRPr="005D47B3" w:rsidRDefault="00A63885">
      <w:pPr>
        <w:rPr>
          <w:rFonts w:asciiTheme="minorBidi" w:hAnsiTheme="minorBidi" w:cstheme="minorBidi"/>
          <w:b/>
          <w:sz w:val="22"/>
          <w:szCs w:val="22"/>
        </w:rPr>
      </w:pPr>
      <w:r w:rsidRPr="005D47B3">
        <w:rPr>
          <w:rFonts w:asciiTheme="minorBidi" w:hAnsiTheme="minorBidi" w:cstheme="minorBidi"/>
          <w:b/>
          <w:sz w:val="22"/>
          <w:szCs w:val="22"/>
        </w:rPr>
        <w:br/>
      </w:r>
    </w:p>
    <w:p w14:paraId="326614BC" w14:textId="77777777" w:rsidR="00FF72A4" w:rsidRPr="005D47B3" w:rsidRDefault="00A63885">
      <w:pPr>
        <w:rPr>
          <w:rFonts w:asciiTheme="minorBidi" w:hAnsiTheme="minorBidi" w:cstheme="minorBidi"/>
          <w:b/>
          <w:sz w:val="22"/>
          <w:szCs w:val="22"/>
        </w:rPr>
      </w:pPr>
      <w:r w:rsidRPr="005D47B3">
        <w:rPr>
          <w:rFonts w:asciiTheme="minorBidi" w:hAnsiTheme="minorBidi" w:cstheme="minorBidi"/>
          <w:b/>
          <w:sz w:val="22"/>
          <w:szCs w:val="22"/>
        </w:rPr>
        <w:t>In contrast, the AKI landscape in low- and middle-income countries (LMICs), particularly in sub-Saharan Africa, is presumed to be different. Factors such as a high burden of infectious diseases (e.g., malaria, leptospirosis, HIV), limited access to primary care, late hospital presentation, toxins (e.g., traditional medicines, animal venoms), and obstetric complications are thought to contribute significantly to AKI etiology, potentially affecting a younger demographic [6, 7].</w:t>
      </w:r>
    </w:p>
    <w:p w14:paraId="11364FAF" w14:textId="77777777" w:rsidR="00FF72A4" w:rsidRPr="005D47B3" w:rsidRDefault="00A63885">
      <w:pPr>
        <w:rPr>
          <w:rFonts w:asciiTheme="minorBidi" w:hAnsiTheme="minorBidi" w:cstheme="minorBidi"/>
          <w:b/>
          <w:sz w:val="22"/>
          <w:szCs w:val="22"/>
        </w:rPr>
      </w:pPr>
      <w:r w:rsidRPr="005D47B3">
        <w:rPr>
          <w:rFonts w:asciiTheme="minorBidi" w:hAnsiTheme="minorBidi" w:cstheme="minorBidi"/>
          <w:b/>
          <w:sz w:val="22"/>
          <w:szCs w:val="22"/>
        </w:rPr>
        <w:br/>
      </w:r>
    </w:p>
    <w:p w14:paraId="6B9BA8D0" w14:textId="77777777" w:rsidR="00FF72A4" w:rsidRPr="005D47B3" w:rsidRDefault="00A63885">
      <w:pPr>
        <w:rPr>
          <w:rFonts w:asciiTheme="minorBidi" w:hAnsiTheme="minorBidi" w:cstheme="minorBidi"/>
          <w:b/>
          <w:sz w:val="22"/>
          <w:szCs w:val="22"/>
        </w:rPr>
      </w:pPr>
      <w:r w:rsidRPr="005D47B3">
        <w:rPr>
          <w:rFonts w:asciiTheme="minorBidi" w:hAnsiTheme="minorBidi" w:cstheme="minorBidi"/>
          <w:b/>
          <w:sz w:val="22"/>
          <w:szCs w:val="22"/>
        </w:rPr>
        <w:t>Despite this, there is a critical lack of contemporary, systematic data from Sudan detailing the clinical and comorbidity profile of patients developing AKI in intensive care settings. Understanding the local epidemiology is the first crucial step towards developing effective prevention, early detection, and management strategies tailored to the specific needs of the population.</w:t>
      </w:r>
    </w:p>
    <w:p w14:paraId="4DA83543" w14:textId="77777777" w:rsidR="00FF72A4" w:rsidRPr="005D47B3" w:rsidRDefault="00A63885">
      <w:pPr>
        <w:rPr>
          <w:rFonts w:asciiTheme="minorBidi" w:hAnsiTheme="minorBidi" w:cstheme="minorBidi"/>
          <w:b/>
          <w:sz w:val="22"/>
          <w:szCs w:val="22"/>
        </w:rPr>
      </w:pPr>
      <w:r w:rsidRPr="005D47B3">
        <w:rPr>
          <w:rFonts w:asciiTheme="minorBidi" w:hAnsiTheme="minorBidi" w:cstheme="minorBidi"/>
          <w:b/>
          <w:sz w:val="22"/>
          <w:szCs w:val="22"/>
        </w:rPr>
        <w:br/>
      </w:r>
    </w:p>
    <w:p w14:paraId="4910355D" w14:textId="77777777" w:rsidR="00FF72A4" w:rsidRPr="005D47B3" w:rsidRDefault="00A63885">
      <w:pPr>
        <w:rPr>
          <w:rFonts w:asciiTheme="minorBidi" w:hAnsiTheme="minorBidi" w:cstheme="minorBidi"/>
          <w:b/>
          <w:sz w:val="22"/>
          <w:szCs w:val="22"/>
        </w:rPr>
      </w:pPr>
      <w:r w:rsidRPr="005D47B3">
        <w:rPr>
          <w:rFonts w:asciiTheme="minorBidi" w:hAnsiTheme="minorBidi" w:cstheme="minorBidi"/>
          <w:b/>
          <w:sz w:val="22"/>
          <w:szCs w:val="22"/>
        </w:rPr>
        <w:t>This study aimed to describe the demographic characteristics and comorbidity patterns of critically ill patients with AKI admitted to ICUs across multiple hospitals in Sudan, providing a foundational snapshot of the disease burden in this context.</w:t>
      </w:r>
    </w:p>
    <w:p w14:paraId="0DDC0B74" w14:textId="77777777" w:rsidR="00FF72A4" w:rsidRDefault="00A63885">
      <w:pPr>
        <w:rPr>
          <w:bCs/>
        </w:rPr>
      </w:pPr>
      <w:r w:rsidRPr="005D47B3">
        <w:rPr>
          <w:rFonts w:asciiTheme="minorBidi" w:hAnsiTheme="minorBidi" w:cstheme="minorBidi"/>
          <w:b/>
          <w:sz w:val="22"/>
          <w:szCs w:val="22"/>
        </w:rPr>
        <w:br/>
      </w:r>
    </w:p>
    <w:p w14:paraId="41F3457A" w14:textId="77777777" w:rsidR="005D47B3" w:rsidRPr="00071BFA" w:rsidRDefault="005D47B3">
      <w:pPr>
        <w:rPr>
          <w:rFonts w:hint="eastAsia"/>
          <w:bCs/>
        </w:rPr>
      </w:pPr>
    </w:p>
    <w:p w14:paraId="4DB00C60" w14:textId="77777777" w:rsidR="00FF72A4" w:rsidRPr="00071BFA" w:rsidRDefault="00A63885">
      <w:pPr>
        <w:rPr>
          <w:rFonts w:hint="eastAsia"/>
          <w:bCs/>
          <w:sz w:val="32"/>
          <w:szCs w:val="32"/>
        </w:rPr>
      </w:pPr>
      <w:r w:rsidRPr="00071BFA">
        <w:rPr>
          <w:bCs/>
          <w:sz w:val="32"/>
          <w:szCs w:val="32"/>
        </w:rPr>
        <w:lastRenderedPageBreak/>
        <w:t>Methods</w:t>
      </w:r>
    </w:p>
    <w:p w14:paraId="75D7914B" w14:textId="77777777" w:rsidR="00FF72A4" w:rsidRPr="00071BFA" w:rsidRDefault="00A63885">
      <w:pPr>
        <w:rPr>
          <w:rFonts w:hint="eastAsia"/>
          <w:bCs/>
        </w:rPr>
      </w:pPr>
      <w:r w:rsidRPr="00071BFA">
        <w:rPr>
          <w:bCs/>
        </w:rPr>
        <w:br/>
      </w:r>
    </w:p>
    <w:p w14:paraId="69EDE2F4" w14:textId="77777777" w:rsidR="00D4436B"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Study Design and Setting</w:t>
      </w:r>
      <w:r w:rsidR="00D4436B" w:rsidRPr="005D47B3">
        <w:rPr>
          <w:rFonts w:asciiTheme="minorBidi" w:hAnsiTheme="minorBidi" w:cstheme="minorBidi"/>
          <w:b/>
          <w:sz w:val="22"/>
          <w:szCs w:val="22"/>
        </w:rPr>
        <w:t xml:space="preserve"> </w:t>
      </w:r>
      <w:proofErr w:type="gramStart"/>
      <w:r w:rsidRPr="005D47B3">
        <w:rPr>
          <w:rFonts w:asciiTheme="minorBidi" w:hAnsiTheme="minorBidi" w:cstheme="minorBidi"/>
          <w:b/>
          <w:sz w:val="22"/>
          <w:szCs w:val="22"/>
        </w:rPr>
        <w:t>A</w:t>
      </w:r>
      <w:proofErr w:type="gramEnd"/>
      <w:r w:rsidRPr="005D47B3">
        <w:rPr>
          <w:rFonts w:asciiTheme="minorBidi" w:hAnsiTheme="minorBidi" w:cstheme="minorBidi"/>
          <w:b/>
          <w:sz w:val="22"/>
          <w:szCs w:val="22"/>
        </w:rPr>
        <w:t> p</w:t>
      </w:r>
      <w:r w:rsidR="00D4436B" w:rsidRPr="005D47B3">
        <w:rPr>
          <w:rFonts w:asciiTheme="minorBidi" w:hAnsiTheme="minorBidi" w:cstheme="minorBidi"/>
          <w:b/>
          <w:sz w:val="22"/>
          <w:szCs w:val="22"/>
        </w:rPr>
        <w:t xml:space="preserve">rospective, multi-center, cross </w:t>
      </w:r>
      <w:r w:rsidRPr="005D47B3">
        <w:rPr>
          <w:rFonts w:asciiTheme="minorBidi" w:hAnsiTheme="minorBidi" w:cstheme="minorBidi"/>
          <w:b/>
          <w:sz w:val="22"/>
          <w:szCs w:val="22"/>
        </w:rPr>
        <w:t>sectional</w:t>
      </w:r>
    </w:p>
    <w:p w14:paraId="66289C74"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 </w:t>
      </w:r>
      <w:r w:rsidR="00D4436B" w:rsidRPr="005D47B3">
        <w:rPr>
          <w:rFonts w:asciiTheme="minorBidi" w:hAnsiTheme="minorBidi" w:cstheme="minorBidi"/>
          <w:b/>
          <w:sz w:val="22"/>
          <w:szCs w:val="22"/>
        </w:rPr>
        <w:t>S</w:t>
      </w:r>
      <w:r w:rsidRPr="005D47B3">
        <w:rPr>
          <w:rFonts w:asciiTheme="minorBidi" w:hAnsiTheme="minorBidi" w:cstheme="minorBidi"/>
          <w:b/>
          <w:sz w:val="22"/>
          <w:szCs w:val="22"/>
        </w:rPr>
        <w:t>tudy was conducted over three months (July to September 2022). The study sites were four major tertiary care hospitals in Sudan: Soba University Hospital and Fedail Hospital in Khartoum, and Sea Ports Corporation Hospital and Prince Osman Digna Referral Hospital in Port Sudan, Red Sea State. These hospitals serve as referral centers for large urban and rural populations.</w:t>
      </w:r>
    </w:p>
    <w:p w14:paraId="3F070AF9"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br/>
      </w:r>
    </w:p>
    <w:p w14:paraId="0C3CBD77"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Study Population</w:t>
      </w:r>
    </w:p>
    <w:p w14:paraId="113D2AE4" w14:textId="0077AC14"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The study included all critically ill adult patients (≥18 years) admitted to the participating ICUs who were diagnosed with AKI based on the KDIGO clinical practice guidelines (increase in serum creatinine by ≥0.3 mg/dL within 48 hours or increase to ≥1.5 times baseline within the last 7 days, or urine output &lt;0.5 mL/kg/h for 6 hours) [8]. Patients were enrolled consecutively. </w:t>
      </w:r>
      <w:r w:rsidR="008C6AF8">
        <w:rPr>
          <w:rFonts w:asciiTheme="minorBidi" w:hAnsiTheme="minorBidi" w:cstheme="minorBidi"/>
          <w:b/>
          <w:sz w:val="22"/>
          <w:szCs w:val="22"/>
        </w:rPr>
        <w:t>Exclusion criteria included pre</w:t>
      </w:r>
      <w:r w:rsidRPr="005D47B3">
        <w:rPr>
          <w:rFonts w:asciiTheme="minorBidi" w:hAnsiTheme="minorBidi" w:cstheme="minorBidi"/>
          <w:b/>
          <w:sz w:val="22"/>
          <w:szCs w:val="22"/>
        </w:rPr>
        <w:t>existing chronic kidney disease on dialysis, heart failure, and those on diuretic therapy, to focus on acute events and minimize confounding from chronic fluid overload states.</w:t>
      </w:r>
    </w:p>
    <w:p w14:paraId="72A32A31"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br/>
      </w:r>
    </w:p>
    <w:p w14:paraId="789690EF"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Data Collection</w:t>
      </w:r>
    </w:p>
    <w:p w14:paraId="434319D5"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Data were collected by the principal investigator using a pre-designed, structured checklist. The following data were extracted:</w:t>
      </w:r>
    </w:p>
    <w:p w14:paraId="0042E7B6"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 Demographic characteristics: age and sex.</w:t>
      </w:r>
    </w:p>
    <w:p w14:paraId="21BFD0BD" w14:textId="77777777" w:rsidR="00FF72A4"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Documented comorbidities: based on patient history, medical records, and clinical diagnosis. Assessed comorbidities included hypertension (HTN), diabetes mellitus (DM), ischemic heart disease (IHD), chronic liver disease, cerebrovascular disease, asthma, chronic obstructive pulmonary disease (COPD), cancer, and autoimmune diseases.</w:t>
      </w:r>
    </w:p>
    <w:p w14:paraId="0A113DCE" w14:textId="51524DBD" w:rsidR="008C6AF8" w:rsidRPr="008C6AF8" w:rsidRDefault="008C6AF8" w:rsidP="005D47B3">
      <w:pPr>
        <w:jc w:val="both"/>
        <w:rPr>
          <w:rFonts w:asciiTheme="minorBidi" w:hAnsiTheme="minorBidi" w:cstheme="minorBidi"/>
          <w:b/>
          <w:sz w:val="22"/>
          <w:szCs w:val="22"/>
        </w:rPr>
      </w:pPr>
      <w:proofErr w:type="gramStart"/>
      <w:r w:rsidRPr="008C6AF8">
        <w:rPr>
          <w:rFonts w:asciiTheme="minorBidi" w:hAnsiTheme="minorBidi" w:cstheme="minorBidi"/>
          <w:b/>
          <w:sz w:val="22"/>
          <w:szCs w:val="22"/>
          <w:lang w:val="en-GB"/>
        </w:rPr>
        <w:t xml:space="preserve">universal </w:t>
      </w:r>
      <w:r w:rsidRPr="008C6AF8">
        <w:rPr>
          <w:rFonts w:asciiTheme="minorBidi" w:hAnsiTheme="minorBidi" w:cstheme="minorBidi"/>
          <w:b/>
          <w:sz w:val="22"/>
          <w:szCs w:val="22"/>
          <w:lang w:val="en-GB"/>
        </w:rPr>
        <w:t xml:space="preserve"> &amp;</w:t>
      </w:r>
      <w:proofErr w:type="gramEnd"/>
      <w:r w:rsidRPr="008C6AF8">
        <w:rPr>
          <w:rFonts w:asciiTheme="minorBidi" w:hAnsiTheme="minorBidi" w:cstheme="minorBidi"/>
          <w:b/>
          <w:sz w:val="22"/>
          <w:szCs w:val="22"/>
          <w:lang w:val="en-GB"/>
        </w:rPr>
        <w:t xml:space="preserve"> local </w:t>
      </w:r>
      <w:r w:rsidRPr="008C6AF8">
        <w:rPr>
          <w:rFonts w:asciiTheme="minorBidi" w:hAnsiTheme="minorBidi" w:cstheme="minorBidi"/>
          <w:b/>
          <w:sz w:val="22"/>
          <w:szCs w:val="22"/>
          <w:lang w:val="en-GB"/>
        </w:rPr>
        <w:t>protocol</w:t>
      </w:r>
      <w:r w:rsidRPr="008C6AF8">
        <w:rPr>
          <w:rFonts w:asciiTheme="minorBidi" w:hAnsiTheme="minorBidi" w:cstheme="minorBidi"/>
          <w:b/>
          <w:sz w:val="22"/>
          <w:szCs w:val="22"/>
          <w:lang w:val="en-GB"/>
        </w:rPr>
        <w:t>s</w:t>
      </w:r>
      <w:r w:rsidRPr="008C6AF8">
        <w:rPr>
          <w:rFonts w:asciiTheme="minorBidi" w:hAnsiTheme="minorBidi" w:cstheme="minorBidi"/>
          <w:b/>
          <w:sz w:val="22"/>
          <w:szCs w:val="22"/>
          <w:lang w:val="en-GB"/>
        </w:rPr>
        <w:t xml:space="preserve"> was followed for treating study population admitted under different centres involved in the study.</w:t>
      </w:r>
    </w:p>
    <w:p w14:paraId="56B7AF2A" w14:textId="77777777" w:rsidR="00FF72A4" w:rsidRPr="008C6AF8" w:rsidRDefault="00A63885" w:rsidP="005D47B3">
      <w:pPr>
        <w:jc w:val="both"/>
        <w:rPr>
          <w:rFonts w:asciiTheme="minorBidi" w:hAnsiTheme="minorBidi" w:cstheme="minorBidi"/>
          <w:b/>
          <w:sz w:val="22"/>
          <w:szCs w:val="22"/>
        </w:rPr>
      </w:pPr>
      <w:r w:rsidRPr="008C6AF8">
        <w:rPr>
          <w:rFonts w:asciiTheme="minorBidi" w:hAnsiTheme="minorBidi" w:cstheme="minorBidi"/>
          <w:b/>
          <w:sz w:val="22"/>
          <w:szCs w:val="22"/>
        </w:rPr>
        <w:t>Ethical Considerations</w:t>
      </w:r>
    </w:p>
    <w:p w14:paraId="5FC7B194"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Ethical approval was granted by the Sudan Medical Specialization Board (SMSB) Ethical Committee. Administrative permission was obtained from the heads of each participating hospital. Informed consent was secured from all patients or their next of kin prior to enrollment. Confidentiality was maintained by using anonymized identification codes for all participants.</w:t>
      </w:r>
      <w:r w:rsidRPr="005D47B3">
        <w:rPr>
          <w:rFonts w:asciiTheme="minorBidi" w:hAnsiTheme="minorBidi" w:cstheme="minorBidi"/>
          <w:b/>
          <w:sz w:val="22"/>
          <w:szCs w:val="22"/>
        </w:rPr>
        <w:br/>
      </w:r>
    </w:p>
    <w:p w14:paraId="0AF45402"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Statistical Analysis</w:t>
      </w:r>
    </w:p>
    <w:p w14:paraId="5A479104" w14:textId="77777777" w:rsidR="00FF72A4" w:rsidRPr="005D47B3" w:rsidRDefault="00A63885" w:rsidP="005D47B3">
      <w:pPr>
        <w:jc w:val="both"/>
        <w:rPr>
          <w:rFonts w:asciiTheme="minorBidi" w:hAnsiTheme="minorBidi" w:cstheme="minorBidi"/>
          <w:b/>
          <w:sz w:val="22"/>
          <w:szCs w:val="22"/>
        </w:rPr>
      </w:pPr>
      <w:r w:rsidRPr="005D47B3">
        <w:rPr>
          <w:rFonts w:asciiTheme="minorBidi" w:hAnsiTheme="minorBidi" w:cstheme="minorBidi"/>
          <w:b/>
          <w:sz w:val="22"/>
          <w:szCs w:val="22"/>
        </w:rPr>
        <w:t>Data were analyzed using IBM SPSS Statistics version 25.0. Descriptive statistics were computed for all variables. Categorical variables (e.g., sex, presence of comorbidities) were expressed as frequencies and percentages. Continuous variables (age) were summarized and presented in categories.</w:t>
      </w:r>
    </w:p>
    <w:p w14:paraId="06931A74" w14:textId="77777777" w:rsidR="00FF72A4" w:rsidRPr="00071BFA" w:rsidRDefault="00A63885" w:rsidP="005D47B3">
      <w:pPr>
        <w:jc w:val="both"/>
        <w:rPr>
          <w:rFonts w:hint="eastAsia"/>
          <w:bCs/>
        </w:rPr>
      </w:pPr>
      <w:r w:rsidRPr="005D47B3">
        <w:rPr>
          <w:rFonts w:asciiTheme="minorBidi" w:hAnsiTheme="minorBidi" w:cstheme="minorBidi"/>
          <w:b/>
          <w:sz w:val="22"/>
          <w:szCs w:val="22"/>
        </w:rPr>
        <w:br/>
      </w:r>
    </w:p>
    <w:p w14:paraId="546A7901" w14:textId="77777777" w:rsidR="00FF72A4" w:rsidRPr="00071BFA" w:rsidRDefault="00A63885">
      <w:pPr>
        <w:rPr>
          <w:rFonts w:hint="eastAsia"/>
          <w:bCs/>
          <w:sz w:val="28"/>
          <w:szCs w:val="28"/>
        </w:rPr>
      </w:pPr>
      <w:r w:rsidRPr="00071BFA">
        <w:rPr>
          <w:bCs/>
          <w:sz w:val="28"/>
          <w:szCs w:val="28"/>
        </w:rPr>
        <w:t>Results</w:t>
      </w:r>
    </w:p>
    <w:p w14:paraId="0123446D" w14:textId="77777777" w:rsidR="00D6569E" w:rsidRPr="005D47B3" w:rsidRDefault="00A63885" w:rsidP="005D47B3">
      <w:pPr>
        <w:pStyle w:val="NormalWeb"/>
        <w:rPr>
          <w:rFonts w:asciiTheme="minorBidi" w:hAnsiTheme="minorBidi" w:cstheme="minorBidi"/>
          <w:b/>
          <w:sz w:val="22"/>
          <w:szCs w:val="22"/>
        </w:rPr>
      </w:pPr>
      <w:r w:rsidRPr="005D47B3">
        <w:rPr>
          <w:rFonts w:asciiTheme="minorBidi" w:hAnsiTheme="minorBidi" w:cstheme="minorBidi"/>
          <w:b/>
          <w:sz w:val="22"/>
          <w:szCs w:val="22"/>
        </w:rPr>
        <w:br/>
      </w:r>
      <w:r w:rsidR="00D6569E" w:rsidRPr="005D47B3">
        <w:rPr>
          <w:rFonts w:asciiTheme="minorBidi" w:hAnsiTheme="minorBidi" w:cstheme="minorBidi"/>
          <w:b/>
          <w:sz w:val="22"/>
          <w:szCs w:val="22"/>
        </w:rPr>
        <w:t xml:space="preserve">The demographic characteristics of our patient group as shown in Tables </w:t>
      </w:r>
      <w:proofErr w:type="gramStart"/>
      <w:r w:rsidR="00D6569E" w:rsidRPr="005D47B3">
        <w:rPr>
          <w:rFonts w:asciiTheme="minorBidi" w:hAnsiTheme="minorBidi" w:cstheme="minorBidi"/>
          <w:b/>
          <w:sz w:val="22"/>
          <w:szCs w:val="22"/>
        </w:rPr>
        <w:t>1  point</w:t>
      </w:r>
      <w:proofErr w:type="gramEnd"/>
      <w:r w:rsidR="00D6569E" w:rsidRPr="005D47B3">
        <w:rPr>
          <w:rFonts w:asciiTheme="minorBidi" w:hAnsiTheme="minorBidi" w:cstheme="minorBidi"/>
          <w:b/>
          <w:sz w:val="22"/>
          <w:szCs w:val="22"/>
        </w:rPr>
        <w:t xml:space="preserve"> to</w:t>
      </w:r>
      <w:r w:rsidR="00D6569E" w:rsidRPr="005D47B3">
        <w:rPr>
          <w:rFonts w:asciiTheme="minorBidi" w:hAnsiTheme="minorBidi" w:cstheme="minorBidi"/>
          <w:b/>
          <w:sz w:val="22"/>
          <w:szCs w:val="22"/>
        </w:rPr>
        <w:t> </w:t>
      </w:r>
      <w:r w:rsidR="00D6569E" w:rsidRPr="005D47B3">
        <w:rPr>
          <w:rFonts w:asciiTheme="minorBidi" w:hAnsiTheme="minorBidi" w:cstheme="minorBidi"/>
          <w:b/>
          <w:sz w:val="22"/>
          <w:szCs w:val="22"/>
        </w:rPr>
        <w:t>an unexpectedly young age distribution because the percentage of patients aged between 18-39 years was 41.5% (17/41) and only that of the patients aged above did were no more than 19.5% (8/41) . The ratio of females</w:t>
      </w:r>
      <w:r w:rsidR="00D6569E" w:rsidRPr="005D47B3">
        <w:rPr>
          <w:rFonts w:asciiTheme="minorBidi" w:hAnsiTheme="minorBidi" w:cstheme="minorBidi"/>
          <w:b/>
          <w:sz w:val="22"/>
          <w:szCs w:val="22"/>
        </w:rPr>
        <w:t> </w:t>
      </w:r>
      <w:r w:rsidR="00D6569E" w:rsidRPr="005D47B3">
        <w:rPr>
          <w:rFonts w:asciiTheme="minorBidi" w:hAnsiTheme="minorBidi" w:cstheme="minorBidi"/>
          <w:b/>
          <w:sz w:val="22"/>
          <w:szCs w:val="22"/>
        </w:rPr>
        <w:lastRenderedPageBreak/>
        <w:t xml:space="preserve">to males was 1.5 (58.5% female vs 39.0%) that of male, driven by the increasing age subgroups across all ages. However, a significant age-gender interaction was noticed, the younger patients (18-39 years) being predominantly </w:t>
      </w:r>
      <w:proofErr w:type="gramStart"/>
      <w:r w:rsidR="00D6569E" w:rsidRPr="005D47B3">
        <w:rPr>
          <w:rFonts w:asciiTheme="minorBidi" w:hAnsiTheme="minorBidi" w:cstheme="minorBidi"/>
          <w:b/>
          <w:sz w:val="22"/>
          <w:szCs w:val="22"/>
        </w:rPr>
        <w:t>female</w:t>
      </w:r>
      <w:proofErr w:type="gramEnd"/>
      <w:r w:rsidR="00D6569E" w:rsidRPr="005D47B3">
        <w:rPr>
          <w:rFonts w:asciiTheme="minorBidi" w:hAnsiTheme="minorBidi" w:cstheme="minorBidi"/>
          <w:b/>
          <w:sz w:val="22"/>
          <w:szCs w:val="22"/>
        </w:rPr>
        <w:t> </w:t>
      </w:r>
      <w:r w:rsidR="00D6569E" w:rsidRPr="005D47B3">
        <w:rPr>
          <w:rFonts w:asciiTheme="minorBidi" w:hAnsiTheme="minorBidi" w:cstheme="minorBidi"/>
          <w:b/>
          <w:sz w:val="22"/>
          <w:szCs w:val="22"/>
        </w:rPr>
        <w:t xml:space="preserve">(80%), and elderly patients (60+ years) showing male preponderance (71%). </w:t>
      </w:r>
    </w:p>
    <w:p w14:paraId="4104B0B6" w14:textId="77777777" w:rsidR="00D6569E" w:rsidRPr="005D47B3" w:rsidRDefault="00D6569E" w:rsidP="005D47B3">
      <w:pPr>
        <w:pStyle w:val="NormalWeb"/>
        <w:rPr>
          <w:rFonts w:asciiTheme="minorBidi" w:hAnsiTheme="minorBidi" w:cstheme="minorBidi"/>
          <w:b/>
          <w:sz w:val="22"/>
          <w:szCs w:val="22"/>
        </w:rPr>
      </w:pPr>
      <w:r w:rsidRPr="005D47B3">
        <w:rPr>
          <w:rFonts w:asciiTheme="minorBidi" w:hAnsiTheme="minorBidi" w:cstheme="minorBidi"/>
          <w:b/>
          <w:sz w:val="22"/>
          <w:szCs w:val="22"/>
        </w:rPr>
        <w:t>The comorbid profile our cohort</w:t>
      </w:r>
      <w:r w:rsidRPr="005D47B3">
        <w:rPr>
          <w:rFonts w:asciiTheme="minorBidi" w:hAnsiTheme="minorBidi" w:cstheme="minorBidi"/>
          <w:b/>
          <w:sz w:val="22"/>
          <w:szCs w:val="22"/>
        </w:rPr>
        <w:t> </w:t>
      </w:r>
      <w:r w:rsidRPr="005D47B3">
        <w:rPr>
          <w:rFonts w:asciiTheme="minorBidi" w:hAnsiTheme="minorBidi" w:cstheme="minorBidi"/>
          <w:b/>
          <w:sz w:val="22"/>
          <w:szCs w:val="22"/>
        </w:rPr>
        <w:t>describes a considerable number of chronic diseases, 39 patients (83.4%) out of 42 had at least one recorded comorbidity. The average number of comorbidities</w:t>
      </w:r>
      <w:r w:rsidRPr="005D47B3">
        <w:rPr>
          <w:rFonts w:asciiTheme="minorBidi" w:hAnsiTheme="minorBidi" w:cstheme="minorBidi"/>
          <w:b/>
          <w:sz w:val="22"/>
          <w:szCs w:val="22"/>
        </w:rPr>
        <w:t> </w:t>
      </w:r>
      <w:r w:rsidRPr="005D47B3">
        <w:rPr>
          <w:rFonts w:asciiTheme="minorBidi" w:hAnsiTheme="minorBidi" w:cstheme="minorBidi"/>
          <w:b/>
          <w:sz w:val="22"/>
          <w:szCs w:val="22"/>
        </w:rPr>
        <w:t>at 1.9 (±1.2 SD) per patient. Hypertension (HTN) was the most common</w:t>
      </w:r>
      <w:r w:rsidRPr="005D47B3">
        <w:rPr>
          <w:rFonts w:asciiTheme="minorBidi" w:hAnsiTheme="minorBidi" w:cstheme="minorBidi"/>
          <w:b/>
          <w:sz w:val="22"/>
          <w:szCs w:val="22"/>
        </w:rPr>
        <w:t> </w:t>
      </w:r>
      <w:r w:rsidRPr="005D47B3">
        <w:rPr>
          <w:rFonts w:asciiTheme="minorBidi" w:hAnsiTheme="minorBidi" w:cstheme="minorBidi"/>
          <w:b/>
          <w:sz w:val="22"/>
          <w:szCs w:val="22"/>
        </w:rPr>
        <w:t xml:space="preserve">comorbidity (43.9%, n = 18 patients), closely followed by Diabetes Mellitus (DM) (34.1%, n = 14 patients).  </w:t>
      </w:r>
      <w:proofErr w:type="gramStart"/>
      <w:r w:rsidRPr="005D47B3">
        <w:rPr>
          <w:rFonts w:asciiTheme="minorBidi" w:hAnsiTheme="minorBidi" w:cstheme="minorBidi"/>
          <w:b/>
          <w:sz w:val="22"/>
          <w:szCs w:val="22"/>
        </w:rPr>
        <w:t>a</w:t>
      </w:r>
      <w:proofErr w:type="gramEnd"/>
      <w:r w:rsidRPr="005D47B3">
        <w:rPr>
          <w:rFonts w:asciiTheme="minorBidi" w:hAnsiTheme="minorBidi" w:cstheme="minorBidi"/>
          <w:b/>
          <w:sz w:val="22"/>
          <w:szCs w:val="22"/>
        </w:rPr>
        <w:t xml:space="preserve"> concurrent presence was observed among 24.4% (10/41) patients had them all simultaneously sequenced. Besides HTN and DM, the cohort had a wide range of comorbid conditions including </w:t>
      </w:r>
      <w:proofErr w:type="gramStart"/>
      <w:r w:rsidRPr="005D47B3">
        <w:rPr>
          <w:rFonts w:asciiTheme="minorBidi" w:hAnsiTheme="minorBidi" w:cstheme="minorBidi"/>
          <w:b/>
          <w:sz w:val="22"/>
          <w:szCs w:val="22"/>
        </w:rPr>
        <w:t>CVD</w:t>
      </w:r>
      <w:proofErr w:type="gramEnd"/>
      <w:r w:rsidRPr="005D47B3">
        <w:rPr>
          <w:rFonts w:asciiTheme="minorBidi" w:hAnsiTheme="minorBidi" w:cstheme="minorBidi"/>
          <w:b/>
          <w:sz w:val="22"/>
          <w:szCs w:val="22"/>
        </w:rPr>
        <w:t> </w:t>
      </w:r>
      <w:r w:rsidRPr="005D47B3">
        <w:rPr>
          <w:rFonts w:asciiTheme="minorBidi" w:hAnsiTheme="minorBidi" w:cstheme="minorBidi"/>
          <w:b/>
          <w:sz w:val="22"/>
          <w:szCs w:val="22"/>
        </w:rPr>
        <w:t>(IHD 17.1%, cerebrovascular disease 14.6%), autoimmune disorders (14.6%) and other comorbidities  as shown in table 2 &amp;3.</w:t>
      </w:r>
    </w:p>
    <w:p w14:paraId="38659983" w14:textId="3BA8B55C" w:rsidR="00C764D2" w:rsidRPr="005D47B3" w:rsidRDefault="00D6569E" w:rsidP="005D47B3">
      <w:pPr>
        <w:pStyle w:val="NormalWeb"/>
        <w:rPr>
          <w:rFonts w:asciiTheme="minorBidi" w:hAnsiTheme="minorBidi" w:cstheme="minorBidi"/>
          <w:b/>
          <w:sz w:val="22"/>
          <w:szCs w:val="22"/>
        </w:rPr>
      </w:pPr>
      <w:r w:rsidRPr="005D47B3">
        <w:rPr>
          <w:rFonts w:asciiTheme="minorBidi" w:hAnsiTheme="minorBidi" w:cstheme="minorBidi"/>
          <w:b/>
          <w:sz w:val="22"/>
          <w:szCs w:val="22"/>
        </w:rPr>
        <w:t>Owing to an overall 30-day mortality rate of 29.3% (12/42</w:t>
      </w:r>
      <w:r w:rsidRPr="005D47B3">
        <w:rPr>
          <w:rFonts w:asciiTheme="minorBidi" w:hAnsiTheme="minorBidi" w:cstheme="minorBidi"/>
          <w:b/>
          <w:sz w:val="22"/>
          <w:szCs w:val="22"/>
        </w:rPr>
        <w:t> </w:t>
      </w:r>
      <w:r w:rsidRPr="005D47B3">
        <w:rPr>
          <w:rFonts w:asciiTheme="minorBidi" w:hAnsiTheme="minorBidi" w:cstheme="minorBidi"/>
          <w:b/>
          <w:sz w:val="22"/>
          <w:szCs w:val="22"/>
        </w:rPr>
        <w:t>patients). Mortality presented an obvious age-dependent trend: 23.5% among the patients aged 18-39</w:t>
      </w:r>
    </w:p>
    <w:p w14:paraId="08A6D15A" w14:textId="77777777" w:rsidR="00C764D2" w:rsidRPr="005D47B3" w:rsidRDefault="00C764D2" w:rsidP="005D47B3">
      <w:pPr>
        <w:pStyle w:val="NormalWeb"/>
        <w:rPr>
          <w:rFonts w:asciiTheme="minorBidi" w:hAnsiTheme="minorBidi" w:cstheme="minorBidi"/>
          <w:b/>
          <w:sz w:val="22"/>
          <w:szCs w:val="22"/>
        </w:rPr>
      </w:pPr>
    </w:p>
    <w:p w14:paraId="30CA2252" w14:textId="4BDB4955" w:rsidR="00FF72A4" w:rsidRPr="005D47B3" w:rsidRDefault="00D6569E" w:rsidP="008C6AF8">
      <w:pPr>
        <w:pStyle w:val="NormalWeb"/>
        <w:rPr>
          <w:rFonts w:asciiTheme="minorBidi" w:hAnsiTheme="minorBidi" w:cstheme="minorBidi"/>
          <w:b/>
          <w:sz w:val="22"/>
          <w:szCs w:val="22"/>
        </w:rPr>
      </w:pPr>
      <w:r w:rsidRPr="005D47B3">
        <w:rPr>
          <w:rFonts w:asciiTheme="minorBidi" w:hAnsiTheme="minorBidi" w:cstheme="minorBidi"/>
          <w:b/>
          <w:sz w:val="22"/>
          <w:szCs w:val="22"/>
        </w:rPr>
        <w:t>33.3% in those aged 40-59, and</w:t>
      </w:r>
      <w:r w:rsidRPr="005D47B3">
        <w:rPr>
          <w:rFonts w:asciiTheme="minorBidi" w:hAnsiTheme="minorBidi" w:cstheme="minorBidi"/>
          <w:b/>
          <w:sz w:val="22"/>
          <w:szCs w:val="22"/>
        </w:rPr>
        <w:t> </w:t>
      </w:r>
      <w:r w:rsidRPr="005D47B3">
        <w:rPr>
          <w:rFonts w:asciiTheme="minorBidi" w:hAnsiTheme="minorBidi" w:cstheme="minorBidi"/>
          <w:b/>
          <w:sz w:val="22"/>
          <w:szCs w:val="22"/>
        </w:rPr>
        <w:t>a proportion of about 37.5% among &gt;60 group. In terms of renal functional follow-up, 74.2% (23/31) of the survivors achieved normal renal function</w:t>
      </w:r>
      <w:r w:rsidRPr="005D47B3">
        <w:rPr>
          <w:rFonts w:asciiTheme="minorBidi" w:hAnsiTheme="minorBidi" w:cstheme="minorBidi"/>
          <w:b/>
          <w:sz w:val="22"/>
          <w:szCs w:val="22"/>
        </w:rPr>
        <w:t> </w:t>
      </w:r>
      <w:r w:rsidRPr="005D47B3">
        <w:rPr>
          <w:rFonts w:asciiTheme="minorBidi" w:hAnsiTheme="minorBidi" w:cstheme="minorBidi"/>
          <w:b/>
          <w:sz w:val="22"/>
          <w:szCs w:val="22"/>
        </w:rPr>
        <w:t>level and 25.8% (8/31) progressed to chronic kidney disease (CKD) or were diagnosed with CKD. Patients</w:t>
      </w:r>
      <w:r w:rsidRPr="005D47B3">
        <w:rPr>
          <w:rFonts w:asciiTheme="minorBidi" w:hAnsiTheme="minorBidi" w:cstheme="minorBidi"/>
          <w:b/>
          <w:sz w:val="22"/>
          <w:szCs w:val="22"/>
        </w:rPr>
        <w:t> </w:t>
      </w:r>
      <w:r w:rsidRPr="005D47B3">
        <w:rPr>
          <w:rFonts w:asciiTheme="minorBidi" w:hAnsiTheme="minorBidi" w:cstheme="minorBidi"/>
          <w:b/>
          <w:sz w:val="22"/>
          <w:szCs w:val="22"/>
        </w:rPr>
        <w:t xml:space="preserve">with 3 comorbidities had a mortality of 62.5% in contrast to those without comorbidity (14.3%). </w:t>
      </w:r>
      <w:r w:rsidR="008C6AF8" w:rsidRPr="008C6AF8">
        <w:rPr>
          <w:rFonts w:asciiTheme="minorBidi" w:hAnsiTheme="minorBidi" w:cstheme="minorBidi" w:hint="eastAsia"/>
          <w:b/>
          <w:sz w:val="22"/>
          <w:szCs w:val="22"/>
        </w:rPr>
        <w:t>Specific comorbidity combinations carried particularly poor prognoses: the tr</w:t>
      </w:r>
      <w:r w:rsidR="008C6AF8">
        <w:rPr>
          <w:rFonts w:asciiTheme="minorBidi" w:hAnsiTheme="minorBidi" w:cstheme="minorBidi" w:hint="eastAsia"/>
          <w:b/>
          <w:sz w:val="22"/>
          <w:szCs w:val="22"/>
        </w:rPr>
        <w:t xml:space="preserve">iad </w:t>
      </w:r>
      <w:proofErr w:type="gramStart"/>
      <w:r w:rsidR="008C6AF8">
        <w:rPr>
          <w:rFonts w:asciiTheme="minorBidi" w:hAnsiTheme="minorBidi" w:cstheme="minorBidi" w:hint="eastAsia"/>
          <w:b/>
          <w:sz w:val="22"/>
          <w:szCs w:val="22"/>
        </w:rPr>
        <w:t>of</w:t>
      </w:r>
      <w:r w:rsidR="008C6AF8">
        <w:rPr>
          <w:rFonts w:asciiTheme="minorBidi" w:hAnsiTheme="minorBidi" w:cstheme="minorBidi"/>
          <w:b/>
          <w:sz w:val="22"/>
          <w:szCs w:val="22"/>
        </w:rPr>
        <w:t xml:space="preserve"> </w:t>
      </w:r>
      <w:r w:rsidRPr="005D47B3">
        <w:rPr>
          <w:rFonts w:asciiTheme="minorBidi" w:hAnsiTheme="minorBidi" w:cstheme="minorBidi"/>
          <w:b/>
          <w:sz w:val="22"/>
          <w:szCs w:val="22"/>
        </w:rPr>
        <w:t xml:space="preserve"> DM</w:t>
      </w:r>
      <w:proofErr w:type="gramEnd"/>
      <w:r w:rsidRPr="005D47B3">
        <w:rPr>
          <w:rFonts w:asciiTheme="minorBidi" w:hAnsiTheme="minorBidi" w:cstheme="minorBidi"/>
          <w:b/>
          <w:sz w:val="22"/>
          <w:szCs w:val="22"/>
        </w:rPr>
        <w:t>+HTN+</w:t>
      </w:r>
      <w:r w:rsidRPr="005D47B3">
        <w:rPr>
          <w:rFonts w:asciiTheme="minorBidi" w:hAnsiTheme="minorBidi" w:cstheme="minorBidi"/>
          <w:b/>
          <w:sz w:val="22"/>
          <w:szCs w:val="22"/>
        </w:rPr>
        <w:t> </w:t>
      </w:r>
      <w:r w:rsidRPr="005D47B3">
        <w:rPr>
          <w:rFonts w:asciiTheme="minorBidi" w:hAnsiTheme="minorBidi" w:cstheme="minorBidi"/>
          <w:b/>
          <w:sz w:val="22"/>
          <w:szCs w:val="22"/>
        </w:rPr>
        <w:t>Cerebrovas</w:t>
      </w:r>
      <w:r w:rsidR="008C6AF8">
        <w:rPr>
          <w:rFonts w:asciiTheme="minorBidi" w:hAnsiTheme="minorBidi" w:cstheme="minorBidi"/>
          <w:b/>
          <w:sz w:val="22"/>
          <w:szCs w:val="22"/>
        </w:rPr>
        <w:t>cular disease was fatal in 75%</w:t>
      </w:r>
      <w:bookmarkStart w:id="0" w:name="_GoBack"/>
      <w:bookmarkEnd w:id="0"/>
      <w:r w:rsidRPr="005D47B3">
        <w:rPr>
          <w:rFonts w:asciiTheme="minorBidi" w:hAnsiTheme="minorBidi" w:cstheme="minorBidi"/>
          <w:b/>
          <w:sz w:val="22"/>
          <w:szCs w:val="22"/>
        </w:rPr>
        <w:t>and DM+HTN alone equally bad, killing 40% of all its patients. Age-gender interactions revealed complex patterns. Although the total mortality rate</w:t>
      </w:r>
      <w:r w:rsidRPr="005D47B3">
        <w:rPr>
          <w:rFonts w:asciiTheme="minorBidi" w:hAnsiTheme="minorBidi" w:cstheme="minorBidi"/>
          <w:b/>
          <w:sz w:val="22"/>
          <w:szCs w:val="22"/>
        </w:rPr>
        <w:t> </w:t>
      </w:r>
      <w:r w:rsidRPr="005D47B3">
        <w:rPr>
          <w:rFonts w:asciiTheme="minorBidi" w:hAnsiTheme="minorBidi" w:cstheme="minorBidi"/>
          <w:b/>
          <w:sz w:val="22"/>
          <w:szCs w:val="22"/>
        </w:rPr>
        <w:t>of males (37.5%) was higher than that of females (25.0%</w:t>
      </w:r>
      <w:proofErr w:type="gramStart"/>
      <w:r w:rsidRPr="005D47B3">
        <w:rPr>
          <w:rFonts w:asciiTheme="minorBidi" w:hAnsiTheme="minorBidi" w:cstheme="minorBidi"/>
          <w:b/>
          <w:sz w:val="22"/>
          <w:szCs w:val="22"/>
        </w:rPr>
        <w:t>) .</w:t>
      </w:r>
      <w:proofErr w:type="gramEnd"/>
    </w:p>
    <w:p w14:paraId="6F049867" w14:textId="77777777" w:rsidR="00D6569E" w:rsidRPr="005D47B3" w:rsidRDefault="00D6569E" w:rsidP="005D47B3">
      <w:pPr>
        <w:rPr>
          <w:rFonts w:asciiTheme="minorBidi" w:hAnsiTheme="minorBidi" w:cstheme="minorBidi"/>
          <w:b/>
          <w:sz w:val="22"/>
          <w:szCs w:val="22"/>
        </w:rPr>
      </w:pPr>
      <w:r w:rsidRPr="005D47B3">
        <w:rPr>
          <w:rFonts w:asciiTheme="minorBidi" w:hAnsiTheme="minorBidi" w:cstheme="minorBidi"/>
          <w:b/>
          <w:sz w:val="22"/>
          <w:szCs w:val="22"/>
        </w:rPr>
        <w:t>TABLE 1: Demographic Characteristics (N=41)</w:t>
      </w:r>
    </w:p>
    <w:p w14:paraId="1E57ACB8" w14:textId="77777777" w:rsidR="00D6569E" w:rsidRPr="005D47B3" w:rsidRDefault="00D6569E" w:rsidP="005D47B3">
      <w:pPr>
        <w:rPr>
          <w:rFonts w:asciiTheme="minorBidi" w:hAnsiTheme="minorBidi" w:cstheme="minorBidi"/>
          <w:b/>
          <w:sz w:val="22"/>
          <w:szCs w:val="22"/>
        </w:rPr>
      </w:pPr>
    </w:p>
    <w:tbl>
      <w:tblPr>
        <w:tblStyle w:val="GridTable6Colorful-Accent1"/>
        <w:tblpPr w:leftFromText="180" w:rightFromText="180" w:vertAnchor="page" w:horzAnchor="margin" w:tblpY="4747"/>
        <w:tblW w:w="8255" w:type="dxa"/>
        <w:tblLook w:val="04A0" w:firstRow="1" w:lastRow="0" w:firstColumn="1" w:lastColumn="0" w:noHBand="0" w:noVBand="1"/>
      </w:tblPr>
      <w:tblGrid>
        <w:gridCol w:w="1677"/>
        <w:gridCol w:w="1450"/>
        <w:gridCol w:w="1648"/>
        <w:gridCol w:w="3480"/>
      </w:tblGrid>
      <w:tr w:rsidR="00D6569E" w:rsidRPr="005D47B3" w14:paraId="1360B4DF" w14:textId="77777777" w:rsidTr="00C764D2">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2A213172"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Variable</w:t>
            </w:r>
          </w:p>
        </w:tc>
        <w:tc>
          <w:tcPr>
            <w:tcW w:w="0" w:type="auto"/>
            <w:hideMark/>
          </w:tcPr>
          <w:p w14:paraId="5672ABFE"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Category</w:t>
            </w:r>
          </w:p>
        </w:tc>
        <w:tc>
          <w:tcPr>
            <w:tcW w:w="0" w:type="auto"/>
            <w:hideMark/>
          </w:tcPr>
          <w:p w14:paraId="083D175A"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Frequency</w:t>
            </w:r>
          </w:p>
        </w:tc>
        <w:tc>
          <w:tcPr>
            <w:tcW w:w="0" w:type="auto"/>
            <w:hideMark/>
          </w:tcPr>
          <w:p w14:paraId="2AB596A3"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Percentage (%)</w:t>
            </w:r>
          </w:p>
        </w:tc>
      </w:tr>
      <w:tr w:rsidR="00D6569E" w:rsidRPr="005D47B3" w14:paraId="47EF5FA3" w14:textId="77777777" w:rsidTr="00C764D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000797B2"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Age Group</w:t>
            </w:r>
          </w:p>
        </w:tc>
        <w:tc>
          <w:tcPr>
            <w:tcW w:w="0" w:type="auto"/>
            <w:hideMark/>
          </w:tcPr>
          <w:p w14:paraId="3E53427C"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18-39</w:t>
            </w:r>
          </w:p>
        </w:tc>
        <w:tc>
          <w:tcPr>
            <w:tcW w:w="0" w:type="auto"/>
          </w:tcPr>
          <w:p w14:paraId="1B2A5914" w14:textId="77777777" w:rsidR="00D6569E" w:rsidRPr="005D47B3" w:rsidRDefault="00D6569E" w:rsidP="005D47B3">
            <w:pPr>
              <w:ind w:left="567"/>
              <w:cnfStyle w:val="000000100000" w:firstRow="0" w:lastRow="0" w:firstColumn="0" w:lastColumn="0" w:oddVBand="0" w:evenVBand="0" w:oddHBand="1" w:evenHBand="0" w:firstRowFirstColumn="0" w:firstRowLastColumn="0" w:lastRowFirstColumn="0" w:lastRowLastColumn="0"/>
              <w:rPr>
                <w:rFonts w:asciiTheme="minorBidi" w:hAnsiTheme="minorBidi"/>
                <w:b/>
                <w:sz w:val="22"/>
                <w:szCs w:val="22"/>
              </w:rPr>
            </w:pPr>
            <w:r w:rsidRPr="005D47B3">
              <w:rPr>
                <w:rFonts w:asciiTheme="minorBidi" w:hAnsiTheme="minorBidi"/>
                <w:b/>
                <w:sz w:val="22"/>
                <w:szCs w:val="22"/>
              </w:rPr>
              <w:t>18</w:t>
            </w:r>
          </w:p>
        </w:tc>
        <w:tc>
          <w:tcPr>
            <w:tcW w:w="0" w:type="auto"/>
          </w:tcPr>
          <w:p w14:paraId="42A82710" w14:textId="77777777" w:rsidR="00D6569E" w:rsidRPr="005D47B3" w:rsidRDefault="00D6569E" w:rsidP="005D47B3">
            <w:pPr>
              <w:ind w:left="1494"/>
              <w:cnfStyle w:val="000000100000" w:firstRow="0" w:lastRow="0" w:firstColumn="0" w:lastColumn="0" w:oddVBand="0" w:evenVBand="0" w:oddHBand="1" w:evenHBand="0" w:firstRowFirstColumn="0" w:firstRowLastColumn="0" w:lastRowFirstColumn="0" w:lastRowLastColumn="0"/>
              <w:rPr>
                <w:rFonts w:asciiTheme="minorBidi" w:hAnsiTheme="minorBidi"/>
                <w:b/>
                <w:sz w:val="22"/>
                <w:szCs w:val="22"/>
              </w:rPr>
            </w:pPr>
            <w:r w:rsidRPr="005D47B3">
              <w:rPr>
                <w:rFonts w:asciiTheme="minorBidi" w:hAnsiTheme="minorBidi"/>
                <w:b/>
                <w:sz w:val="22"/>
                <w:szCs w:val="22"/>
              </w:rPr>
              <w:t>46.3%      </w:t>
            </w:r>
          </w:p>
        </w:tc>
      </w:tr>
      <w:tr w:rsidR="00D6569E" w:rsidRPr="005D47B3" w14:paraId="1A1DEA5E" w14:textId="77777777" w:rsidTr="00C764D2">
        <w:trPr>
          <w:trHeight w:val="466"/>
        </w:trPr>
        <w:tc>
          <w:tcPr>
            <w:cnfStyle w:val="001000000000" w:firstRow="0" w:lastRow="0" w:firstColumn="1" w:lastColumn="0" w:oddVBand="0" w:evenVBand="0" w:oddHBand="0" w:evenHBand="0" w:firstRowFirstColumn="0" w:firstRowLastColumn="0" w:lastRowFirstColumn="0" w:lastRowLastColumn="0"/>
            <w:tcW w:w="0" w:type="auto"/>
            <w:hideMark/>
          </w:tcPr>
          <w:p w14:paraId="4534CD5A" w14:textId="77777777" w:rsidR="00D6569E" w:rsidRPr="005D47B3" w:rsidRDefault="00D6569E" w:rsidP="005D47B3">
            <w:pPr>
              <w:spacing w:line="375" w:lineRule="atLeast"/>
              <w:rPr>
                <w:rFonts w:asciiTheme="minorBidi" w:eastAsia="Times New Roman" w:hAnsiTheme="minorBidi"/>
                <w:bCs w:val="0"/>
                <w:color w:val="auto"/>
                <w:sz w:val="22"/>
                <w:szCs w:val="22"/>
              </w:rPr>
            </w:pPr>
          </w:p>
        </w:tc>
        <w:tc>
          <w:tcPr>
            <w:tcW w:w="0" w:type="auto"/>
            <w:hideMark/>
          </w:tcPr>
          <w:p w14:paraId="15B6C712"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40-59</w:t>
            </w:r>
          </w:p>
        </w:tc>
        <w:tc>
          <w:tcPr>
            <w:tcW w:w="0" w:type="auto"/>
          </w:tcPr>
          <w:p w14:paraId="1FFFBB0F" w14:textId="77777777" w:rsidR="00D6569E" w:rsidRPr="005D47B3" w:rsidRDefault="00D6569E" w:rsidP="005D47B3">
            <w:pPr>
              <w:ind w:left="567"/>
              <w:cnfStyle w:val="000000000000" w:firstRow="0" w:lastRow="0" w:firstColumn="0" w:lastColumn="0" w:oddVBand="0" w:evenVBand="0" w:oddHBand="0" w:evenHBand="0" w:firstRowFirstColumn="0" w:firstRowLastColumn="0" w:lastRowFirstColumn="0" w:lastRowLastColumn="0"/>
              <w:rPr>
                <w:rFonts w:asciiTheme="minorBidi" w:hAnsiTheme="minorBidi"/>
                <w:b/>
                <w:sz w:val="22"/>
                <w:szCs w:val="22"/>
              </w:rPr>
            </w:pPr>
            <w:r w:rsidRPr="005D47B3">
              <w:rPr>
                <w:rFonts w:asciiTheme="minorBidi" w:hAnsiTheme="minorBidi"/>
                <w:b/>
                <w:sz w:val="22"/>
                <w:szCs w:val="22"/>
              </w:rPr>
              <w:t>15</w:t>
            </w:r>
          </w:p>
        </w:tc>
        <w:tc>
          <w:tcPr>
            <w:tcW w:w="0" w:type="auto"/>
          </w:tcPr>
          <w:p w14:paraId="30B7E6CC" w14:textId="77777777" w:rsidR="00D6569E" w:rsidRPr="005D47B3" w:rsidRDefault="00D6569E" w:rsidP="005D47B3">
            <w:pPr>
              <w:ind w:left="1562"/>
              <w:cnfStyle w:val="000000000000" w:firstRow="0" w:lastRow="0" w:firstColumn="0" w:lastColumn="0" w:oddVBand="0" w:evenVBand="0" w:oddHBand="0" w:evenHBand="0" w:firstRowFirstColumn="0" w:firstRowLastColumn="0" w:lastRowFirstColumn="0" w:lastRowLastColumn="0"/>
              <w:rPr>
                <w:rFonts w:asciiTheme="minorBidi" w:hAnsiTheme="minorBidi"/>
                <w:b/>
                <w:sz w:val="22"/>
                <w:szCs w:val="22"/>
              </w:rPr>
            </w:pPr>
            <w:r w:rsidRPr="005D47B3">
              <w:rPr>
                <w:rFonts w:asciiTheme="minorBidi" w:hAnsiTheme="minorBidi"/>
                <w:b/>
                <w:sz w:val="22"/>
                <w:szCs w:val="22"/>
              </w:rPr>
              <w:t>36.6%      </w:t>
            </w:r>
          </w:p>
        </w:tc>
      </w:tr>
      <w:tr w:rsidR="00D6569E" w:rsidRPr="005D47B3" w14:paraId="51BE7281" w14:textId="77777777" w:rsidTr="00C764D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08B4CBDA" w14:textId="77777777" w:rsidR="00D6569E" w:rsidRPr="005D47B3" w:rsidRDefault="00D6569E" w:rsidP="005D47B3">
            <w:pPr>
              <w:spacing w:line="375" w:lineRule="atLeast"/>
              <w:rPr>
                <w:rFonts w:asciiTheme="minorBidi" w:eastAsia="Times New Roman" w:hAnsiTheme="minorBidi"/>
                <w:bCs w:val="0"/>
                <w:color w:val="auto"/>
                <w:sz w:val="22"/>
                <w:szCs w:val="22"/>
              </w:rPr>
            </w:pPr>
          </w:p>
        </w:tc>
        <w:tc>
          <w:tcPr>
            <w:tcW w:w="0" w:type="auto"/>
            <w:hideMark/>
          </w:tcPr>
          <w:p w14:paraId="1AFD2A69"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60+</w:t>
            </w:r>
          </w:p>
        </w:tc>
        <w:tc>
          <w:tcPr>
            <w:tcW w:w="0" w:type="auto"/>
          </w:tcPr>
          <w:p w14:paraId="7D50CB2B" w14:textId="77777777" w:rsidR="00D6569E" w:rsidRPr="005D47B3" w:rsidRDefault="00D6569E" w:rsidP="005D47B3">
            <w:pPr>
              <w:ind w:left="620"/>
              <w:cnfStyle w:val="000000100000" w:firstRow="0" w:lastRow="0" w:firstColumn="0" w:lastColumn="0" w:oddVBand="0" w:evenVBand="0" w:oddHBand="1" w:evenHBand="0" w:firstRowFirstColumn="0" w:firstRowLastColumn="0" w:lastRowFirstColumn="0" w:lastRowLastColumn="0"/>
              <w:rPr>
                <w:rFonts w:asciiTheme="minorBidi" w:hAnsiTheme="minorBidi"/>
                <w:b/>
                <w:sz w:val="22"/>
                <w:szCs w:val="22"/>
              </w:rPr>
            </w:pPr>
            <w:r w:rsidRPr="005D47B3">
              <w:rPr>
                <w:rFonts w:asciiTheme="minorBidi" w:hAnsiTheme="minorBidi"/>
                <w:b/>
                <w:sz w:val="22"/>
                <w:szCs w:val="22"/>
              </w:rPr>
              <w:t>7</w:t>
            </w:r>
          </w:p>
        </w:tc>
        <w:tc>
          <w:tcPr>
            <w:tcW w:w="0" w:type="auto"/>
          </w:tcPr>
          <w:p w14:paraId="1F8F2656" w14:textId="77777777" w:rsidR="00D6569E" w:rsidRPr="005D47B3" w:rsidRDefault="00D6569E" w:rsidP="005D47B3">
            <w:pPr>
              <w:ind w:left="1600"/>
              <w:cnfStyle w:val="000000100000" w:firstRow="0" w:lastRow="0" w:firstColumn="0" w:lastColumn="0" w:oddVBand="0" w:evenVBand="0" w:oddHBand="1" w:evenHBand="0" w:firstRowFirstColumn="0" w:firstRowLastColumn="0" w:lastRowFirstColumn="0" w:lastRowLastColumn="0"/>
              <w:rPr>
                <w:rFonts w:asciiTheme="minorBidi" w:hAnsiTheme="minorBidi"/>
                <w:b/>
                <w:sz w:val="22"/>
                <w:szCs w:val="22"/>
              </w:rPr>
            </w:pPr>
            <w:r w:rsidRPr="005D47B3">
              <w:rPr>
                <w:rFonts w:asciiTheme="minorBidi" w:hAnsiTheme="minorBidi"/>
                <w:b/>
                <w:sz w:val="22"/>
                <w:szCs w:val="22"/>
              </w:rPr>
              <w:t>17.1%      </w:t>
            </w:r>
          </w:p>
        </w:tc>
      </w:tr>
      <w:tr w:rsidR="00D6569E" w:rsidRPr="005D47B3" w14:paraId="1491953A" w14:textId="77777777" w:rsidTr="00C764D2">
        <w:trPr>
          <w:trHeight w:val="456"/>
        </w:trPr>
        <w:tc>
          <w:tcPr>
            <w:cnfStyle w:val="001000000000" w:firstRow="0" w:lastRow="0" w:firstColumn="1" w:lastColumn="0" w:oddVBand="0" w:evenVBand="0" w:oddHBand="0" w:evenHBand="0" w:firstRowFirstColumn="0" w:firstRowLastColumn="0" w:lastRowFirstColumn="0" w:lastRowLastColumn="0"/>
            <w:tcW w:w="0" w:type="auto"/>
            <w:gridSpan w:val="4"/>
          </w:tcPr>
          <w:p w14:paraId="123BA0B9" w14:textId="77777777" w:rsidR="00D6569E" w:rsidRPr="005D47B3" w:rsidRDefault="00D6569E" w:rsidP="005D47B3">
            <w:pPr>
              <w:spacing w:line="375" w:lineRule="atLeast"/>
              <w:rPr>
                <w:rFonts w:asciiTheme="minorBidi" w:eastAsia="Times New Roman" w:hAnsiTheme="minorBidi"/>
                <w:bCs w:val="0"/>
                <w:color w:val="auto"/>
                <w:sz w:val="22"/>
                <w:szCs w:val="22"/>
              </w:rPr>
            </w:pPr>
          </w:p>
        </w:tc>
      </w:tr>
      <w:tr w:rsidR="00D6569E" w:rsidRPr="005D47B3" w14:paraId="16ED4218" w14:textId="77777777" w:rsidTr="00C764D2">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hideMark/>
          </w:tcPr>
          <w:p w14:paraId="30169881"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Gender</w:t>
            </w:r>
          </w:p>
        </w:tc>
        <w:tc>
          <w:tcPr>
            <w:tcW w:w="0" w:type="auto"/>
            <w:hideMark/>
          </w:tcPr>
          <w:p w14:paraId="6DE55CCF"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Female</w:t>
            </w:r>
          </w:p>
        </w:tc>
        <w:tc>
          <w:tcPr>
            <w:tcW w:w="0" w:type="auto"/>
            <w:hideMark/>
          </w:tcPr>
          <w:p w14:paraId="13266A23"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w:t>
            </w:r>
            <w:r w:rsidRPr="005D47B3">
              <w:rPr>
                <w:rFonts w:asciiTheme="minorBidi" w:eastAsia="Times New Roman" w:hAnsiTheme="minorBidi"/>
                <w:b/>
                <w:color w:val="auto"/>
                <w:sz w:val="22"/>
                <w:szCs w:val="22"/>
                <w:rtl/>
              </w:rPr>
              <w:t>6</w:t>
            </w:r>
          </w:p>
        </w:tc>
        <w:tc>
          <w:tcPr>
            <w:tcW w:w="0" w:type="auto"/>
          </w:tcPr>
          <w:p w14:paraId="43C27AC9" w14:textId="77777777" w:rsidR="00D6569E" w:rsidRPr="005D47B3" w:rsidRDefault="00D6569E" w:rsidP="005D47B3">
            <w:pPr>
              <w:ind w:left="1487"/>
              <w:cnfStyle w:val="000000100000" w:firstRow="0" w:lastRow="0" w:firstColumn="0" w:lastColumn="0" w:oddVBand="0" w:evenVBand="0" w:oddHBand="1" w:evenHBand="0" w:firstRowFirstColumn="0" w:firstRowLastColumn="0" w:lastRowFirstColumn="0" w:lastRowLastColumn="0"/>
              <w:rPr>
                <w:rFonts w:asciiTheme="minorBidi" w:hAnsiTheme="minorBidi"/>
                <w:b/>
                <w:sz w:val="22"/>
                <w:szCs w:val="22"/>
              </w:rPr>
            </w:pPr>
            <w:r w:rsidRPr="005D47B3">
              <w:rPr>
                <w:rFonts w:asciiTheme="minorBidi" w:hAnsiTheme="minorBidi"/>
                <w:b/>
                <w:sz w:val="22"/>
                <w:szCs w:val="22"/>
              </w:rPr>
              <w:t>61.9%      </w:t>
            </w:r>
          </w:p>
        </w:tc>
      </w:tr>
      <w:tr w:rsidR="00D6569E" w:rsidRPr="005D47B3" w14:paraId="00CF3EA1" w14:textId="77777777" w:rsidTr="00C764D2">
        <w:trPr>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270D5ABA" w14:textId="77777777" w:rsidR="00D6569E" w:rsidRPr="005D47B3" w:rsidRDefault="00D6569E" w:rsidP="005D47B3">
            <w:pPr>
              <w:spacing w:line="375" w:lineRule="atLeast"/>
              <w:rPr>
                <w:rFonts w:asciiTheme="minorBidi" w:eastAsia="Times New Roman" w:hAnsiTheme="minorBidi"/>
                <w:bCs w:val="0"/>
                <w:color w:val="auto"/>
                <w:sz w:val="22"/>
                <w:szCs w:val="22"/>
              </w:rPr>
            </w:pPr>
          </w:p>
        </w:tc>
        <w:tc>
          <w:tcPr>
            <w:tcW w:w="0" w:type="auto"/>
            <w:hideMark/>
          </w:tcPr>
          <w:p w14:paraId="465E5A67"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Male</w:t>
            </w:r>
          </w:p>
        </w:tc>
        <w:tc>
          <w:tcPr>
            <w:tcW w:w="0" w:type="auto"/>
            <w:hideMark/>
          </w:tcPr>
          <w:p w14:paraId="2CBEEA2D"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16</w:t>
            </w:r>
          </w:p>
        </w:tc>
        <w:tc>
          <w:tcPr>
            <w:tcW w:w="0" w:type="auto"/>
          </w:tcPr>
          <w:p w14:paraId="332A8223" w14:textId="77777777" w:rsidR="00D6569E" w:rsidRPr="005D47B3" w:rsidRDefault="00D6569E" w:rsidP="005D47B3">
            <w:pPr>
              <w:ind w:left="1592"/>
              <w:cnfStyle w:val="000000000000" w:firstRow="0" w:lastRow="0" w:firstColumn="0" w:lastColumn="0" w:oddVBand="0" w:evenVBand="0" w:oddHBand="0" w:evenHBand="0" w:firstRowFirstColumn="0" w:firstRowLastColumn="0" w:lastRowFirstColumn="0" w:lastRowLastColumn="0"/>
              <w:rPr>
                <w:rFonts w:asciiTheme="minorBidi" w:hAnsiTheme="minorBidi"/>
                <w:b/>
                <w:sz w:val="22"/>
                <w:szCs w:val="22"/>
              </w:rPr>
            </w:pPr>
            <w:r w:rsidRPr="005D47B3">
              <w:rPr>
                <w:rFonts w:asciiTheme="minorBidi" w:hAnsiTheme="minorBidi"/>
                <w:b/>
                <w:sz w:val="22"/>
                <w:szCs w:val="22"/>
              </w:rPr>
              <w:t>38.1%      </w:t>
            </w:r>
          </w:p>
        </w:tc>
      </w:tr>
      <w:tr w:rsidR="00D6569E" w:rsidRPr="005D47B3" w14:paraId="6D6533A2" w14:textId="77777777" w:rsidTr="00C764D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tcPr>
          <w:p w14:paraId="29A245A9" w14:textId="77777777" w:rsidR="00D6569E" w:rsidRPr="005D47B3" w:rsidRDefault="00D6569E" w:rsidP="005D47B3">
            <w:pPr>
              <w:spacing w:line="375" w:lineRule="atLeast"/>
              <w:rPr>
                <w:rFonts w:asciiTheme="minorBidi" w:eastAsia="Times New Roman" w:hAnsiTheme="minorBidi"/>
                <w:bCs w:val="0"/>
                <w:sz w:val="22"/>
                <w:szCs w:val="22"/>
              </w:rPr>
            </w:pPr>
            <w:r w:rsidRPr="005D47B3">
              <w:rPr>
                <w:rFonts w:asciiTheme="minorBidi" w:eastAsia="Times New Roman" w:hAnsiTheme="minorBidi"/>
                <w:bCs w:val="0"/>
                <w:sz w:val="22"/>
                <w:szCs w:val="22"/>
              </w:rPr>
              <w:t xml:space="preserve">Total </w:t>
            </w:r>
          </w:p>
        </w:tc>
        <w:tc>
          <w:tcPr>
            <w:tcW w:w="0" w:type="auto"/>
          </w:tcPr>
          <w:p w14:paraId="51572D73"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sz w:val="22"/>
                <w:szCs w:val="22"/>
              </w:rPr>
            </w:pPr>
          </w:p>
        </w:tc>
        <w:tc>
          <w:tcPr>
            <w:tcW w:w="0" w:type="auto"/>
          </w:tcPr>
          <w:p w14:paraId="18777DF1"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sz w:val="22"/>
                <w:szCs w:val="22"/>
              </w:rPr>
            </w:pPr>
            <w:r w:rsidRPr="005D47B3">
              <w:rPr>
                <w:rFonts w:asciiTheme="minorBidi" w:eastAsia="Times New Roman" w:hAnsiTheme="minorBidi"/>
                <w:b/>
                <w:sz w:val="22"/>
                <w:szCs w:val="22"/>
              </w:rPr>
              <w:t>42</w:t>
            </w:r>
          </w:p>
        </w:tc>
        <w:tc>
          <w:tcPr>
            <w:tcW w:w="0" w:type="auto"/>
          </w:tcPr>
          <w:p w14:paraId="3B274A96" w14:textId="77777777" w:rsidR="00D6569E" w:rsidRPr="005D47B3" w:rsidRDefault="00D6569E" w:rsidP="005D47B3">
            <w:pPr>
              <w:ind w:left="1592"/>
              <w:cnfStyle w:val="000000100000" w:firstRow="0" w:lastRow="0" w:firstColumn="0" w:lastColumn="0" w:oddVBand="0" w:evenVBand="0" w:oddHBand="1" w:evenHBand="0" w:firstRowFirstColumn="0" w:firstRowLastColumn="0" w:lastRowFirstColumn="0" w:lastRowLastColumn="0"/>
              <w:rPr>
                <w:rFonts w:asciiTheme="minorBidi" w:hAnsiTheme="minorBidi"/>
                <w:b/>
                <w:sz w:val="22"/>
                <w:szCs w:val="22"/>
              </w:rPr>
            </w:pPr>
            <w:r w:rsidRPr="005D47B3">
              <w:rPr>
                <w:rFonts w:asciiTheme="minorBidi" w:hAnsiTheme="minorBidi"/>
                <w:b/>
                <w:sz w:val="22"/>
                <w:szCs w:val="22"/>
              </w:rPr>
              <w:t>100%</w:t>
            </w:r>
          </w:p>
        </w:tc>
      </w:tr>
    </w:tbl>
    <w:p w14:paraId="649CD0B6" w14:textId="77777777" w:rsidR="00D6569E" w:rsidRPr="005D47B3" w:rsidRDefault="00D6569E" w:rsidP="005D47B3">
      <w:pPr>
        <w:rPr>
          <w:rFonts w:asciiTheme="minorBidi" w:hAnsiTheme="minorBidi" w:cstheme="minorBidi"/>
          <w:b/>
          <w:sz w:val="22"/>
          <w:szCs w:val="22"/>
        </w:rPr>
      </w:pPr>
    </w:p>
    <w:p w14:paraId="6EFFB726" w14:textId="77777777" w:rsidR="00D6569E" w:rsidRPr="005D47B3" w:rsidRDefault="00D6569E" w:rsidP="005D47B3">
      <w:pPr>
        <w:rPr>
          <w:rFonts w:asciiTheme="minorBidi" w:hAnsiTheme="minorBidi" w:cstheme="minorBidi"/>
          <w:b/>
          <w:sz w:val="22"/>
          <w:szCs w:val="22"/>
        </w:rPr>
      </w:pPr>
    </w:p>
    <w:p w14:paraId="63220F42" w14:textId="77777777" w:rsidR="00D6569E" w:rsidRPr="005D47B3" w:rsidRDefault="00D6569E" w:rsidP="005D47B3">
      <w:pPr>
        <w:rPr>
          <w:rFonts w:asciiTheme="minorBidi" w:hAnsiTheme="minorBidi" w:cstheme="minorBidi"/>
          <w:b/>
          <w:sz w:val="22"/>
          <w:szCs w:val="22"/>
        </w:rPr>
      </w:pPr>
    </w:p>
    <w:p w14:paraId="2CB04AE4" w14:textId="77777777" w:rsidR="00D6569E" w:rsidRPr="005D47B3" w:rsidRDefault="00D6569E" w:rsidP="005D47B3">
      <w:pPr>
        <w:rPr>
          <w:rFonts w:asciiTheme="minorBidi" w:hAnsiTheme="minorBidi" w:cstheme="minorBidi"/>
          <w:b/>
          <w:sz w:val="22"/>
          <w:szCs w:val="22"/>
        </w:rPr>
      </w:pPr>
    </w:p>
    <w:p w14:paraId="0235E699" w14:textId="77777777" w:rsidR="00D6569E" w:rsidRPr="005D47B3" w:rsidRDefault="00D6569E" w:rsidP="005D47B3">
      <w:pPr>
        <w:rPr>
          <w:rFonts w:asciiTheme="minorBidi" w:hAnsiTheme="minorBidi" w:cstheme="minorBidi"/>
          <w:b/>
          <w:sz w:val="22"/>
          <w:szCs w:val="22"/>
        </w:rPr>
      </w:pPr>
    </w:p>
    <w:p w14:paraId="68DC1FEC" w14:textId="77777777" w:rsidR="00D6569E" w:rsidRPr="005D47B3" w:rsidRDefault="00D6569E" w:rsidP="005D47B3">
      <w:pPr>
        <w:rPr>
          <w:rFonts w:asciiTheme="minorBidi" w:hAnsiTheme="minorBidi" w:cstheme="minorBidi"/>
          <w:b/>
          <w:sz w:val="22"/>
          <w:szCs w:val="22"/>
        </w:rPr>
      </w:pPr>
    </w:p>
    <w:p w14:paraId="5FC17E3F" w14:textId="77777777" w:rsidR="00D6569E" w:rsidRPr="005D47B3" w:rsidRDefault="00D6569E" w:rsidP="005D47B3">
      <w:pPr>
        <w:rPr>
          <w:rFonts w:asciiTheme="minorBidi" w:hAnsiTheme="minorBidi" w:cstheme="minorBidi"/>
          <w:b/>
          <w:sz w:val="22"/>
          <w:szCs w:val="22"/>
        </w:rPr>
      </w:pPr>
    </w:p>
    <w:p w14:paraId="1D151BBE" w14:textId="77777777" w:rsidR="00D6569E" w:rsidRPr="005D47B3" w:rsidRDefault="00D6569E" w:rsidP="005D47B3">
      <w:pPr>
        <w:rPr>
          <w:rFonts w:asciiTheme="minorBidi" w:hAnsiTheme="minorBidi" w:cstheme="minorBidi"/>
          <w:b/>
          <w:sz w:val="22"/>
          <w:szCs w:val="22"/>
        </w:rPr>
      </w:pPr>
    </w:p>
    <w:p w14:paraId="4DD60E3B" w14:textId="77777777" w:rsidR="00D6569E" w:rsidRPr="005D47B3" w:rsidRDefault="00D6569E" w:rsidP="005D47B3">
      <w:pPr>
        <w:rPr>
          <w:rFonts w:asciiTheme="minorBidi" w:hAnsiTheme="minorBidi" w:cstheme="minorBidi"/>
          <w:b/>
          <w:sz w:val="22"/>
          <w:szCs w:val="22"/>
        </w:rPr>
      </w:pPr>
    </w:p>
    <w:p w14:paraId="27ECCED8" w14:textId="77777777" w:rsidR="00D6569E" w:rsidRPr="005D47B3" w:rsidRDefault="00D6569E" w:rsidP="005D47B3">
      <w:pPr>
        <w:rPr>
          <w:rFonts w:asciiTheme="minorBidi" w:hAnsiTheme="minorBidi" w:cstheme="minorBidi"/>
          <w:b/>
          <w:sz w:val="22"/>
          <w:szCs w:val="22"/>
        </w:rPr>
      </w:pPr>
    </w:p>
    <w:p w14:paraId="42C7ED0A" w14:textId="77777777" w:rsidR="00D6569E" w:rsidRPr="005D47B3" w:rsidRDefault="00D6569E" w:rsidP="005D47B3">
      <w:pPr>
        <w:rPr>
          <w:rFonts w:asciiTheme="minorBidi" w:hAnsiTheme="minorBidi" w:cstheme="minorBidi"/>
          <w:b/>
          <w:sz w:val="22"/>
          <w:szCs w:val="22"/>
        </w:rPr>
      </w:pPr>
    </w:p>
    <w:p w14:paraId="0ADD77CC" w14:textId="77777777" w:rsidR="00D6569E" w:rsidRPr="005D47B3" w:rsidRDefault="00D6569E" w:rsidP="005D47B3">
      <w:pPr>
        <w:rPr>
          <w:rFonts w:asciiTheme="minorBidi" w:hAnsiTheme="minorBidi" w:cstheme="minorBidi"/>
          <w:b/>
          <w:sz w:val="22"/>
          <w:szCs w:val="22"/>
        </w:rPr>
      </w:pPr>
    </w:p>
    <w:p w14:paraId="5E7AB134" w14:textId="77777777" w:rsidR="00D6569E" w:rsidRPr="005D47B3" w:rsidRDefault="00D6569E" w:rsidP="005D47B3">
      <w:pPr>
        <w:rPr>
          <w:rFonts w:asciiTheme="minorBidi" w:hAnsiTheme="minorBidi" w:cstheme="minorBidi"/>
          <w:b/>
          <w:sz w:val="22"/>
          <w:szCs w:val="22"/>
        </w:rPr>
      </w:pPr>
    </w:p>
    <w:p w14:paraId="23ED12B3" w14:textId="77777777" w:rsidR="00D6569E" w:rsidRPr="005D47B3" w:rsidRDefault="00D6569E" w:rsidP="005D47B3">
      <w:pPr>
        <w:rPr>
          <w:rFonts w:asciiTheme="minorBidi" w:hAnsiTheme="minorBidi" w:cstheme="minorBidi"/>
          <w:b/>
          <w:sz w:val="22"/>
          <w:szCs w:val="22"/>
        </w:rPr>
      </w:pPr>
    </w:p>
    <w:p w14:paraId="58F32BB3" w14:textId="77777777" w:rsidR="00D6569E" w:rsidRPr="005D47B3" w:rsidRDefault="00D6569E" w:rsidP="005D47B3">
      <w:pPr>
        <w:rPr>
          <w:rFonts w:asciiTheme="minorBidi" w:hAnsiTheme="minorBidi" w:cstheme="minorBidi"/>
          <w:b/>
          <w:sz w:val="22"/>
          <w:szCs w:val="22"/>
        </w:rPr>
      </w:pPr>
    </w:p>
    <w:p w14:paraId="03E06798" w14:textId="77777777" w:rsidR="00D6569E" w:rsidRPr="005D47B3" w:rsidRDefault="00D6569E" w:rsidP="005D47B3">
      <w:pPr>
        <w:rPr>
          <w:rFonts w:asciiTheme="minorBidi" w:hAnsiTheme="minorBidi" w:cstheme="minorBidi"/>
          <w:b/>
          <w:sz w:val="22"/>
          <w:szCs w:val="22"/>
        </w:rPr>
      </w:pPr>
    </w:p>
    <w:p w14:paraId="52F2E578" w14:textId="77777777" w:rsidR="00D6569E" w:rsidRPr="005D47B3" w:rsidRDefault="00D6569E" w:rsidP="005D47B3">
      <w:pPr>
        <w:rPr>
          <w:rFonts w:asciiTheme="minorBidi" w:hAnsiTheme="minorBidi" w:cstheme="minorBidi"/>
          <w:b/>
          <w:sz w:val="22"/>
          <w:szCs w:val="22"/>
        </w:rPr>
      </w:pPr>
    </w:p>
    <w:p w14:paraId="4B5A0FB9" w14:textId="77777777" w:rsidR="00D6569E" w:rsidRPr="005D47B3" w:rsidRDefault="00D6569E" w:rsidP="005D47B3">
      <w:pPr>
        <w:rPr>
          <w:rFonts w:asciiTheme="minorBidi" w:hAnsiTheme="minorBidi" w:cstheme="minorBidi"/>
          <w:b/>
          <w:sz w:val="22"/>
          <w:szCs w:val="22"/>
        </w:rPr>
      </w:pPr>
    </w:p>
    <w:p w14:paraId="591A11F5" w14:textId="77777777" w:rsidR="00D6569E" w:rsidRPr="005D47B3" w:rsidRDefault="00D6569E" w:rsidP="005D47B3">
      <w:pPr>
        <w:rPr>
          <w:rFonts w:asciiTheme="minorBidi" w:hAnsiTheme="minorBidi" w:cstheme="minorBidi"/>
          <w:b/>
          <w:sz w:val="22"/>
          <w:szCs w:val="22"/>
        </w:rPr>
      </w:pPr>
    </w:p>
    <w:p w14:paraId="582FD778" w14:textId="77777777" w:rsidR="00D6569E" w:rsidRPr="005D47B3" w:rsidRDefault="00D6569E" w:rsidP="005D47B3">
      <w:pPr>
        <w:rPr>
          <w:rFonts w:asciiTheme="minorBidi" w:hAnsiTheme="minorBidi" w:cstheme="minorBidi"/>
          <w:b/>
          <w:sz w:val="22"/>
          <w:szCs w:val="22"/>
        </w:rPr>
      </w:pPr>
    </w:p>
    <w:p w14:paraId="3E69ECE9" w14:textId="77777777" w:rsidR="00D6569E" w:rsidRPr="005D47B3" w:rsidRDefault="00D6569E" w:rsidP="005D47B3">
      <w:pPr>
        <w:rPr>
          <w:rFonts w:asciiTheme="minorBidi" w:hAnsiTheme="minorBidi" w:cstheme="minorBidi"/>
          <w:b/>
          <w:sz w:val="22"/>
          <w:szCs w:val="22"/>
        </w:rPr>
      </w:pPr>
    </w:p>
    <w:p w14:paraId="00B28A14" w14:textId="77777777" w:rsidR="00D6569E" w:rsidRPr="005D47B3" w:rsidRDefault="00D6569E" w:rsidP="005D47B3">
      <w:pPr>
        <w:rPr>
          <w:rFonts w:asciiTheme="minorBidi" w:hAnsiTheme="minorBidi" w:cstheme="minorBidi"/>
          <w:b/>
          <w:sz w:val="22"/>
          <w:szCs w:val="22"/>
        </w:rPr>
      </w:pPr>
    </w:p>
    <w:p w14:paraId="5C67D62A" w14:textId="77777777" w:rsidR="00D6569E" w:rsidRPr="005D47B3" w:rsidRDefault="00D6569E" w:rsidP="005D47B3">
      <w:pPr>
        <w:rPr>
          <w:rFonts w:asciiTheme="minorBidi" w:hAnsiTheme="minorBidi" w:cstheme="minorBidi"/>
          <w:b/>
          <w:sz w:val="22"/>
          <w:szCs w:val="22"/>
        </w:rPr>
      </w:pPr>
    </w:p>
    <w:p w14:paraId="168FEC3E" w14:textId="77777777" w:rsidR="00D6569E" w:rsidRPr="005D47B3" w:rsidRDefault="00D6569E" w:rsidP="005D47B3">
      <w:pPr>
        <w:rPr>
          <w:rFonts w:asciiTheme="minorBidi" w:hAnsiTheme="minorBidi" w:cstheme="minorBidi"/>
          <w:b/>
          <w:sz w:val="22"/>
          <w:szCs w:val="22"/>
        </w:rPr>
      </w:pPr>
    </w:p>
    <w:p w14:paraId="2A66C371" w14:textId="77777777" w:rsidR="00D6569E" w:rsidRPr="005D47B3" w:rsidRDefault="00D6569E" w:rsidP="005D47B3">
      <w:pPr>
        <w:rPr>
          <w:rFonts w:asciiTheme="minorBidi" w:hAnsiTheme="minorBidi" w:cstheme="minorBidi"/>
          <w:b/>
          <w:sz w:val="22"/>
          <w:szCs w:val="22"/>
        </w:rPr>
      </w:pPr>
    </w:p>
    <w:p w14:paraId="43649360" w14:textId="77777777" w:rsidR="00D6569E" w:rsidRPr="005D47B3" w:rsidRDefault="00D6569E" w:rsidP="005D47B3">
      <w:pPr>
        <w:rPr>
          <w:rFonts w:asciiTheme="minorBidi" w:hAnsiTheme="minorBidi" w:cstheme="minorBidi"/>
          <w:b/>
          <w:sz w:val="22"/>
          <w:szCs w:val="22"/>
        </w:rPr>
      </w:pPr>
    </w:p>
    <w:p w14:paraId="0476B51A" w14:textId="77777777" w:rsidR="00D6569E" w:rsidRPr="005D47B3" w:rsidRDefault="00D6569E" w:rsidP="005D47B3">
      <w:pPr>
        <w:rPr>
          <w:rFonts w:asciiTheme="minorBidi" w:hAnsiTheme="minorBidi" w:cstheme="minorBidi"/>
          <w:b/>
          <w:sz w:val="22"/>
          <w:szCs w:val="22"/>
        </w:rPr>
      </w:pPr>
    </w:p>
    <w:p w14:paraId="590E5726" w14:textId="77777777" w:rsidR="00D6569E" w:rsidRPr="005D47B3" w:rsidRDefault="00D6569E" w:rsidP="005D47B3">
      <w:pPr>
        <w:rPr>
          <w:rFonts w:asciiTheme="minorBidi" w:hAnsiTheme="minorBidi" w:cstheme="minorBidi"/>
          <w:b/>
          <w:sz w:val="22"/>
          <w:szCs w:val="22"/>
        </w:rPr>
      </w:pPr>
    </w:p>
    <w:p w14:paraId="16322932" w14:textId="77777777" w:rsidR="00D6569E" w:rsidRPr="005D47B3" w:rsidRDefault="00D6569E" w:rsidP="005D47B3">
      <w:pPr>
        <w:rPr>
          <w:rFonts w:asciiTheme="minorBidi" w:hAnsiTheme="minorBidi" w:cstheme="minorBidi"/>
          <w:b/>
          <w:sz w:val="22"/>
          <w:szCs w:val="22"/>
        </w:rPr>
      </w:pPr>
    </w:p>
    <w:p w14:paraId="1D631538" w14:textId="77777777" w:rsidR="00D6569E" w:rsidRPr="005D47B3" w:rsidRDefault="00D6569E" w:rsidP="005D47B3">
      <w:pPr>
        <w:rPr>
          <w:rFonts w:asciiTheme="minorBidi" w:hAnsiTheme="minorBidi" w:cstheme="minorBidi"/>
          <w:b/>
          <w:sz w:val="22"/>
          <w:szCs w:val="22"/>
        </w:rPr>
      </w:pPr>
    </w:p>
    <w:p w14:paraId="7D31C5B4" w14:textId="77777777" w:rsidR="00D6569E" w:rsidRPr="005D47B3" w:rsidRDefault="00D6569E" w:rsidP="005D47B3">
      <w:pPr>
        <w:rPr>
          <w:rFonts w:asciiTheme="minorBidi" w:hAnsiTheme="minorBidi" w:cstheme="minorBidi"/>
          <w:b/>
          <w:sz w:val="22"/>
          <w:szCs w:val="22"/>
        </w:rPr>
      </w:pPr>
    </w:p>
    <w:p w14:paraId="797A8BB7" w14:textId="77777777" w:rsidR="00D6569E" w:rsidRPr="005D47B3" w:rsidRDefault="00D6569E" w:rsidP="005D47B3">
      <w:pPr>
        <w:rPr>
          <w:rFonts w:asciiTheme="minorBidi" w:hAnsiTheme="minorBidi" w:cstheme="minorBidi"/>
          <w:b/>
          <w:sz w:val="22"/>
          <w:szCs w:val="22"/>
        </w:rPr>
      </w:pPr>
    </w:p>
    <w:p w14:paraId="6D4ED919" w14:textId="77777777" w:rsidR="00D6569E" w:rsidRPr="005D47B3" w:rsidRDefault="00D6569E" w:rsidP="005D47B3">
      <w:pPr>
        <w:rPr>
          <w:rFonts w:asciiTheme="minorBidi" w:hAnsiTheme="minorBidi" w:cstheme="minorBidi"/>
          <w:b/>
          <w:sz w:val="22"/>
          <w:szCs w:val="22"/>
        </w:rPr>
      </w:pPr>
    </w:p>
    <w:p w14:paraId="04EB8A66" w14:textId="77777777" w:rsidR="00D6569E" w:rsidRPr="005D47B3" w:rsidRDefault="00D6569E" w:rsidP="005D47B3">
      <w:pPr>
        <w:rPr>
          <w:rFonts w:asciiTheme="minorBidi" w:hAnsiTheme="minorBidi" w:cstheme="minorBidi"/>
          <w:b/>
          <w:sz w:val="22"/>
          <w:szCs w:val="22"/>
        </w:rPr>
      </w:pPr>
    </w:p>
    <w:p w14:paraId="5B291756" w14:textId="77777777" w:rsidR="00D6569E" w:rsidRPr="005D47B3" w:rsidRDefault="00D6569E" w:rsidP="005D47B3">
      <w:pPr>
        <w:rPr>
          <w:rFonts w:asciiTheme="minorBidi" w:hAnsiTheme="minorBidi" w:cstheme="minorBidi"/>
          <w:b/>
          <w:sz w:val="22"/>
          <w:szCs w:val="22"/>
        </w:rPr>
      </w:pPr>
    </w:p>
    <w:p w14:paraId="5271257E" w14:textId="77777777" w:rsidR="00D6569E" w:rsidRPr="005D47B3" w:rsidRDefault="00D6569E" w:rsidP="005D47B3">
      <w:pPr>
        <w:rPr>
          <w:rFonts w:asciiTheme="minorBidi" w:hAnsiTheme="minorBidi" w:cstheme="minorBidi"/>
          <w:b/>
          <w:sz w:val="22"/>
          <w:szCs w:val="22"/>
        </w:rPr>
      </w:pPr>
    </w:p>
    <w:p w14:paraId="59B83826" w14:textId="77777777" w:rsidR="00D6569E" w:rsidRPr="005D47B3" w:rsidRDefault="00D6569E" w:rsidP="005D47B3">
      <w:pPr>
        <w:rPr>
          <w:rFonts w:asciiTheme="minorBidi" w:hAnsiTheme="minorBidi" w:cstheme="minorBidi"/>
          <w:b/>
          <w:sz w:val="22"/>
          <w:szCs w:val="22"/>
        </w:rPr>
      </w:pPr>
    </w:p>
    <w:p w14:paraId="0B4F00CB" w14:textId="77777777" w:rsidR="00D6569E" w:rsidRPr="005D47B3" w:rsidRDefault="00D6569E" w:rsidP="005D47B3">
      <w:pPr>
        <w:rPr>
          <w:rFonts w:asciiTheme="minorBidi" w:hAnsiTheme="minorBidi" w:cstheme="minorBidi"/>
          <w:b/>
          <w:sz w:val="22"/>
          <w:szCs w:val="22"/>
        </w:rPr>
      </w:pPr>
    </w:p>
    <w:p w14:paraId="70DE304E" w14:textId="77777777" w:rsidR="00D6569E" w:rsidRPr="005D47B3" w:rsidRDefault="00D6569E" w:rsidP="005D47B3">
      <w:pPr>
        <w:rPr>
          <w:rFonts w:asciiTheme="minorBidi" w:hAnsiTheme="minorBidi" w:cstheme="minorBidi"/>
          <w:b/>
          <w:sz w:val="22"/>
          <w:szCs w:val="22"/>
        </w:rPr>
      </w:pPr>
    </w:p>
    <w:p w14:paraId="16F001E5" w14:textId="77777777" w:rsidR="00D6569E" w:rsidRPr="005D47B3" w:rsidRDefault="00D6569E" w:rsidP="005D47B3">
      <w:pPr>
        <w:rPr>
          <w:rFonts w:asciiTheme="minorBidi" w:hAnsiTheme="minorBidi" w:cstheme="minorBidi"/>
          <w:b/>
          <w:sz w:val="22"/>
          <w:szCs w:val="22"/>
        </w:rPr>
      </w:pPr>
    </w:p>
    <w:p w14:paraId="108574DA" w14:textId="77777777" w:rsidR="00D6569E" w:rsidRPr="005D47B3" w:rsidRDefault="00D6569E" w:rsidP="005D47B3">
      <w:pPr>
        <w:rPr>
          <w:rFonts w:asciiTheme="minorBidi" w:hAnsiTheme="minorBidi" w:cstheme="minorBidi"/>
          <w:b/>
          <w:sz w:val="22"/>
          <w:szCs w:val="22"/>
        </w:rPr>
      </w:pPr>
    </w:p>
    <w:p w14:paraId="6D497472" w14:textId="77777777" w:rsidR="00D6569E" w:rsidRPr="005D47B3" w:rsidRDefault="00D6569E" w:rsidP="005D47B3">
      <w:pPr>
        <w:rPr>
          <w:rFonts w:asciiTheme="minorBidi" w:hAnsiTheme="minorBidi" w:cstheme="minorBidi"/>
          <w:b/>
          <w:sz w:val="22"/>
          <w:szCs w:val="22"/>
        </w:rPr>
      </w:pPr>
      <w:r w:rsidRPr="005D47B3">
        <w:rPr>
          <w:rFonts w:asciiTheme="minorBidi" w:hAnsiTheme="minorBidi" w:cstheme="minorBidi"/>
          <w:b/>
          <w:sz w:val="22"/>
          <w:szCs w:val="22"/>
        </w:rPr>
        <w:t>TABLE 2: Distribution of the patients according to Comorbidity Profile</w:t>
      </w:r>
    </w:p>
    <w:tbl>
      <w:tblPr>
        <w:tblStyle w:val="GridTable6Colorful-Accent1"/>
        <w:tblW w:w="9322" w:type="dxa"/>
        <w:tblLook w:val="04A0" w:firstRow="1" w:lastRow="0" w:firstColumn="1" w:lastColumn="0" w:noHBand="0" w:noVBand="1"/>
      </w:tblPr>
      <w:tblGrid>
        <w:gridCol w:w="4753"/>
        <w:gridCol w:w="1937"/>
        <w:gridCol w:w="2632"/>
      </w:tblGrid>
      <w:tr w:rsidR="00D6569E" w:rsidRPr="005D47B3" w14:paraId="280A5988" w14:textId="77777777" w:rsidTr="00706C6F">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3605211E"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Comorbidity</w:t>
            </w:r>
          </w:p>
        </w:tc>
        <w:tc>
          <w:tcPr>
            <w:tcW w:w="0" w:type="auto"/>
            <w:hideMark/>
          </w:tcPr>
          <w:p w14:paraId="7DD43E5B"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Frequency</w:t>
            </w:r>
          </w:p>
        </w:tc>
        <w:tc>
          <w:tcPr>
            <w:tcW w:w="0" w:type="auto"/>
            <w:hideMark/>
          </w:tcPr>
          <w:p w14:paraId="52692DAE"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Percentage (%)</w:t>
            </w:r>
          </w:p>
        </w:tc>
      </w:tr>
      <w:tr w:rsidR="00D6569E" w:rsidRPr="005D47B3" w14:paraId="2E617640" w14:textId="77777777" w:rsidTr="00706C6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301990C5"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Hypertension (HTN)</w:t>
            </w:r>
          </w:p>
        </w:tc>
        <w:tc>
          <w:tcPr>
            <w:tcW w:w="0" w:type="auto"/>
            <w:hideMark/>
          </w:tcPr>
          <w:p w14:paraId="5FD3B1A7"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18</w:t>
            </w:r>
          </w:p>
        </w:tc>
        <w:tc>
          <w:tcPr>
            <w:tcW w:w="0" w:type="auto"/>
            <w:hideMark/>
          </w:tcPr>
          <w:p w14:paraId="57533692"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43.9</w:t>
            </w:r>
          </w:p>
        </w:tc>
      </w:tr>
      <w:tr w:rsidR="00D6569E" w:rsidRPr="005D47B3" w14:paraId="737D0DE7" w14:textId="77777777" w:rsidTr="00706C6F">
        <w:trPr>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6C024EB6"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Diabetes Mellitus (DM)</w:t>
            </w:r>
          </w:p>
        </w:tc>
        <w:tc>
          <w:tcPr>
            <w:tcW w:w="0" w:type="auto"/>
            <w:hideMark/>
          </w:tcPr>
          <w:p w14:paraId="2F9297AD"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14</w:t>
            </w:r>
          </w:p>
        </w:tc>
        <w:tc>
          <w:tcPr>
            <w:tcW w:w="0" w:type="auto"/>
            <w:hideMark/>
          </w:tcPr>
          <w:p w14:paraId="25D18F8E"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34.1</w:t>
            </w:r>
          </w:p>
        </w:tc>
      </w:tr>
      <w:tr w:rsidR="00D6569E" w:rsidRPr="005D47B3" w14:paraId="66670F79" w14:textId="77777777" w:rsidTr="00706C6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1F8B5686"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Ischemic Heart Disease (IHD)</w:t>
            </w:r>
          </w:p>
        </w:tc>
        <w:tc>
          <w:tcPr>
            <w:tcW w:w="0" w:type="auto"/>
            <w:hideMark/>
          </w:tcPr>
          <w:p w14:paraId="3F83130B"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7</w:t>
            </w:r>
          </w:p>
        </w:tc>
        <w:tc>
          <w:tcPr>
            <w:tcW w:w="0" w:type="auto"/>
            <w:hideMark/>
          </w:tcPr>
          <w:p w14:paraId="227E67F6"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17.1</w:t>
            </w:r>
          </w:p>
        </w:tc>
      </w:tr>
      <w:tr w:rsidR="00D6569E" w:rsidRPr="005D47B3" w14:paraId="19583CB9" w14:textId="77777777" w:rsidTr="00706C6F">
        <w:trPr>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1AC97D43"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Cerebrovascular Disease</w:t>
            </w:r>
          </w:p>
        </w:tc>
        <w:tc>
          <w:tcPr>
            <w:tcW w:w="0" w:type="auto"/>
            <w:hideMark/>
          </w:tcPr>
          <w:p w14:paraId="3ED720D2"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6</w:t>
            </w:r>
          </w:p>
        </w:tc>
        <w:tc>
          <w:tcPr>
            <w:tcW w:w="0" w:type="auto"/>
            <w:hideMark/>
          </w:tcPr>
          <w:p w14:paraId="5E12FBF1"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14.6</w:t>
            </w:r>
          </w:p>
        </w:tc>
      </w:tr>
      <w:tr w:rsidR="00D6569E" w:rsidRPr="005D47B3" w14:paraId="5E78964C" w14:textId="77777777" w:rsidTr="00706C6F">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691E3575"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Autoimmune Disease</w:t>
            </w:r>
          </w:p>
        </w:tc>
        <w:tc>
          <w:tcPr>
            <w:tcW w:w="0" w:type="auto"/>
            <w:hideMark/>
          </w:tcPr>
          <w:p w14:paraId="46F5C8CF"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6</w:t>
            </w:r>
          </w:p>
        </w:tc>
        <w:tc>
          <w:tcPr>
            <w:tcW w:w="0" w:type="auto"/>
            <w:hideMark/>
          </w:tcPr>
          <w:p w14:paraId="5E2577FA"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14.6</w:t>
            </w:r>
          </w:p>
        </w:tc>
      </w:tr>
      <w:tr w:rsidR="00D6569E" w:rsidRPr="005D47B3" w14:paraId="0FC6C912" w14:textId="77777777" w:rsidTr="00706C6F">
        <w:trPr>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532AD1B4"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Asthma</w:t>
            </w:r>
          </w:p>
        </w:tc>
        <w:tc>
          <w:tcPr>
            <w:tcW w:w="0" w:type="auto"/>
            <w:hideMark/>
          </w:tcPr>
          <w:p w14:paraId="2CBBB60A"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3</w:t>
            </w:r>
          </w:p>
        </w:tc>
        <w:tc>
          <w:tcPr>
            <w:tcW w:w="0" w:type="auto"/>
            <w:hideMark/>
          </w:tcPr>
          <w:p w14:paraId="38437AB2"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7.3</w:t>
            </w:r>
          </w:p>
        </w:tc>
      </w:tr>
      <w:tr w:rsidR="00D6569E" w:rsidRPr="005D47B3" w14:paraId="15F9A901" w14:textId="77777777" w:rsidTr="00706C6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581C792D"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Chronic Liver Disease</w:t>
            </w:r>
          </w:p>
        </w:tc>
        <w:tc>
          <w:tcPr>
            <w:tcW w:w="0" w:type="auto"/>
            <w:hideMark/>
          </w:tcPr>
          <w:p w14:paraId="576191AE"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3</w:t>
            </w:r>
          </w:p>
        </w:tc>
        <w:tc>
          <w:tcPr>
            <w:tcW w:w="0" w:type="auto"/>
            <w:hideMark/>
          </w:tcPr>
          <w:p w14:paraId="551EB459"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7.3</w:t>
            </w:r>
          </w:p>
        </w:tc>
      </w:tr>
      <w:tr w:rsidR="00D6569E" w:rsidRPr="005D47B3" w14:paraId="69DDDB33" w14:textId="77777777" w:rsidTr="00706C6F">
        <w:trPr>
          <w:trHeight w:val="404"/>
        </w:trPr>
        <w:tc>
          <w:tcPr>
            <w:cnfStyle w:val="001000000000" w:firstRow="0" w:lastRow="0" w:firstColumn="1" w:lastColumn="0" w:oddVBand="0" w:evenVBand="0" w:oddHBand="0" w:evenHBand="0" w:firstRowFirstColumn="0" w:firstRowLastColumn="0" w:lastRowFirstColumn="0" w:lastRowLastColumn="0"/>
            <w:tcW w:w="0" w:type="auto"/>
            <w:hideMark/>
          </w:tcPr>
          <w:p w14:paraId="25D549B5"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Cancer</w:t>
            </w:r>
          </w:p>
        </w:tc>
        <w:tc>
          <w:tcPr>
            <w:tcW w:w="0" w:type="auto"/>
            <w:hideMark/>
          </w:tcPr>
          <w:p w14:paraId="02795D07"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w:t>
            </w:r>
          </w:p>
        </w:tc>
        <w:tc>
          <w:tcPr>
            <w:tcW w:w="0" w:type="auto"/>
            <w:hideMark/>
          </w:tcPr>
          <w:p w14:paraId="04F298D5"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4.9</w:t>
            </w:r>
          </w:p>
        </w:tc>
      </w:tr>
      <w:tr w:rsidR="00D6569E" w:rsidRPr="005D47B3" w14:paraId="1BF99C27" w14:textId="77777777" w:rsidTr="00706C6F">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auto"/>
            <w:hideMark/>
          </w:tcPr>
          <w:p w14:paraId="7F2F30B8"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lastRenderedPageBreak/>
              <w:t>COPD</w:t>
            </w:r>
          </w:p>
        </w:tc>
        <w:tc>
          <w:tcPr>
            <w:tcW w:w="0" w:type="auto"/>
            <w:hideMark/>
          </w:tcPr>
          <w:p w14:paraId="506D07C4"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w:t>
            </w:r>
          </w:p>
        </w:tc>
        <w:tc>
          <w:tcPr>
            <w:tcW w:w="0" w:type="auto"/>
            <w:hideMark/>
          </w:tcPr>
          <w:p w14:paraId="01CFCD0A"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2.4</w:t>
            </w:r>
          </w:p>
        </w:tc>
      </w:tr>
    </w:tbl>
    <w:p w14:paraId="51E83B64" w14:textId="77777777" w:rsidR="00D6569E" w:rsidRPr="005D47B3" w:rsidRDefault="00D6569E" w:rsidP="005D47B3">
      <w:pPr>
        <w:ind w:firstLine="720"/>
        <w:rPr>
          <w:rFonts w:asciiTheme="minorBidi" w:hAnsiTheme="minorBidi" w:cstheme="minorBidi"/>
          <w:b/>
          <w:sz w:val="22"/>
          <w:szCs w:val="22"/>
        </w:rPr>
      </w:pPr>
      <w:r w:rsidRPr="005D47B3">
        <w:rPr>
          <w:rFonts w:asciiTheme="minorBidi" w:hAnsiTheme="minorBidi" w:cstheme="minorBidi"/>
          <w:b/>
          <w:sz w:val="22"/>
          <w:szCs w:val="22"/>
        </w:rPr>
        <w:t xml:space="preserve">*(Multiple </w:t>
      </w:r>
      <w:proofErr w:type="gramStart"/>
      <w:r w:rsidRPr="005D47B3">
        <w:rPr>
          <w:rFonts w:asciiTheme="minorBidi" w:hAnsiTheme="minorBidi" w:cstheme="minorBidi"/>
          <w:b/>
          <w:sz w:val="22"/>
          <w:szCs w:val="22"/>
        </w:rPr>
        <w:t>Selections )</w:t>
      </w:r>
      <w:proofErr w:type="gramEnd"/>
    </w:p>
    <w:p w14:paraId="553B5726" w14:textId="77777777" w:rsidR="00D6569E" w:rsidRPr="005D47B3" w:rsidRDefault="00D6569E" w:rsidP="005D47B3">
      <w:pPr>
        <w:ind w:firstLine="720"/>
        <w:rPr>
          <w:rFonts w:asciiTheme="minorBidi" w:hAnsiTheme="minorBidi" w:cstheme="minorBidi"/>
          <w:b/>
          <w:sz w:val="22"/>
          <w:szCs w:val="22"/>
        </w:rPr>
      </w:pPr>
    </w:p>
    <w:p w14:paraId="608B3541" w14:textId="77777777" w:rsidR="00D6569E" w:rsidRPr="005D47B3" w:rsidRDefault="00D6569E" w:rsidP="005D47B3">
      <w:pPr>
        <w:rPr>
          <w:rFonts w:asciiTheme="minorBidi" w:hAnsiTheme="minorBidi" w:cstheme="minorBidi"/>
          <w:b/>
          <w:sz w:val="22"/>
          <w:szCs w:val="22"/>
        </w:rPr>
      </w:pPr>
    </w:p>
    <w:p w14:paraId="5786E065" w14:textId="77777777" w:rsidR="00D6569E" w:rsidRPr="005D47B3" w:rsidRDefault="00D6569E" w:rsidP="005D47B3">
      <w:pPr>
        <w:rPr>
          <w:rFonts w:asciiTheme="minorBidi" w:hAnsiTheme="minorBidi" w:cstheme="minorBidi"/>
          <w:b/>
          <w:sz w:val="22"/>
          <w:szCs w:val="22"/>
        </w:rPr>
      </w:pPr>
    </w:p>
    <w:p w14:paraId="6C5B5E1A" w14:textId="77777777" w:rsidR="00D6569E" w:rsidRPr="005D47B3" w:rsidRDefault="00D6569E" w:rsidP="005D47B3">
      <w:pPr>
        <w:rPr>
          <w:rFonts w:asciiTheme="minorBidi" w:hAnsiTheme="minorBidi" w:cstheme="minorBidi"/>
          <w:b/>
          <w:sz w:val="22"/>
          <w:szCs w:val="22"/>
        </w:rPr>
      </w:pPr>
    </w:p>
    <w:p w14:paraId="0835FC5E" w14:textId="77777777" w:rsidR="00D6569E" w:rsidRPr="005D47B3" w:rsidRDefault="00D6569E" w:rsidP="005D47B3">
      <w:pPr>
        <w:ind w:firstLine="720"/>
        <w:rPr>
          <w:rFonts w:asciiTheme="minorBidi" w:hAnsiTheme="minorBidi" w:cstheme="minorBidi"/>
          <w:b/>
          <w:sz w:val="22"/>
          <w:szCs w:val="22"/>
        </w:rPr>
      </w:pPr>
      <w:r w:rsidRPr="005D47B3">
        <w:rPr>
          <w:rFonts w:asciiTheme="minorBidi" w:hAnsiTheme="minorBidi" w:cstheme="minorBidi"/>
          <w:b/>
          <w:sz w:val="22"/>
          <w:szCs w:val="22"/>
        </w:rPr>
        <w:t>TABLE 3: Comorbidity Burden per Patient</w:t>
      </w:r>
    </w:p>
    <w:p w14:paraId="1A1F4B70" w14:textId="77777777" w:rsidR="00D6569E" w:rsidRPr="005D47B3" w:rsidRDefault="00D6569E" w:rsidP="005D47B3">
      <w:pPr>
        <w:ind w:firstLine="720"/>
        <w:rPr>
          <w:rFonts w:asciiTheme="minorBidi" w:hAnsiTheme="minorBidi" w:cstheme="minorBidi"/>
          <w:b/>
          <w:sz w:val="22"/>
          <w:szCs w:val="22"/>
        </w:rPr>
      </w:pPr>
    </w:p>
    <w:tbl>
      <w:tblPr>
        <w:tblStyle w:val="GridTable6Colorful-Accent1"/>
        <w:tblW w:w="9154" w:type="dxa"/>
        <w:tblLook w:val="04A0" w:firstRow="1" w:lastRow="0" w:firstColumn="1" w:lastColumn="0" w:noHBand="0" w:noVBand="1"/>
      </w:tblPr>
      <w:tblGrid>
        <w:gridCol w:w="3418"/>
        <w:gridCol w:w="1590"/>
        <w:gridCol w:w="2161"/>
        <w:gridCol w:w="1985"/>
      </w:tblGrid>
      <w:tr w:rsidR="00D6569E" w:rsidRPr="005D47B3" w14:paraId="6BAC2EDA" w14:textId="77777777" w:rsidTr="00706C6F">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3D9DBE63"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Number of Comorbidities</w:t>
            </w:r>
          </w:p>
        </w:tc>
        <w:tc>
          <w:tcPr>
            <w:tcW w:w="0" w:type="auto"/>
            <w:hideMark/>
          </w:tcPr>
          <w:p w14:paraId="679DA65E"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Frequency</w:t>
            </w:r>
          </w:p>
        </w:tc>
        <w:tc>
          <w:tcPr>
            <w:tcW w:w="0" w:type="auto"/>
            <w:hideMark/>
          </w:tcPr>
          <w:p w14:paraId="26044C27"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Percentage (%)</w:t>
            </w:r>
          </w:p>
        </w:tc>
        <w:tc>
          <w:tcPr>
            <w:tcW w:w="0" w:type="auto"/>
            <w:hideMark/>
          </w:tcPr>
          <w:p w14:paraId="0DEA2C25"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Cumulative %</w:t>
            </w:r>
          </w:p>
        </w:tc>
      </w:tr>
      <w:tr w:rsidR="00D6569E" w:rsidRPr="005D47B3" w14:paraId="38C950E8" w14:textId="77777777" w:rsidTr="00706C6F">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478E4FDD"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0</w:t>
            </w:r>
          </w:p>
        </w:tc>
        <w:tc>
          <w:tcPr>
            <w:tcW w:w="0" w:type="auto"/>
            <w:hideMark/>
          </w:tcPr>
          <w:p w14:paraId="399AB610"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6</w:t>
            </w:r>
          </w:p>
        </w:tc>
        <w:tc>
          <w:tcPr>
            <w:tcW w:w="0" w:type="auto"/>
            <w:hideMark/>
          </w:tcPr>
          <w:p w14:paraId="7F476969"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14.6</w:t>
            </w:r>
          </w:p>
        </w:tc>
        <w:tc>
          <w:tcPr>
            <w:tcW w:w="0" w:type="auto"/>
            <w:hideMark/>
          </w:tcPr>
          <w:p w14:paraId="71A3ED08"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14.6</w:t>
            </w:r>
          </w:p>
        </w:tc>
      </w:tr>
      <w:tr w:rsidR="00D6569E" w:rsidRPr="005D47B3" w14:paraId="3AD86C2E" w14:textId="77777777" w:rsidTr="00706C6F">
        <w:trPr>
          <w:trHeight w:val="667"/>
        </w:trPr>
        <w:tc>
          <w:tcPr>
            <w:cnfStyle w:val="001000000000" w:firstRow="0" w:lastRow="0" w:firstColumn="1" w:lastColumn="0" w:oddVBand="0" w:evenVBand="0" w:oddHBand="0" w:evenHBand="0" w:firstRowFirstColumn="0" w:firstRowLastColumn="0" w:lastRowFirstColumn="0" w:lastRowLastColumn="0"/>
            <w:tcW w:w="0" w:type="auto"/>
            <w:hideMark/>
          </w:tcPr>
          <w:p w14:paraId="1E3197A5"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1</w:t>
            </w:r>
          </w:p>
        </w:tc>
        <w:tc>
          <w:tcPr>
            <w:tcW w:w="0" w:type="auto"/>
            <w:hideMark/>
          </w:tcPr>
          <w:p w14:paraId="6F9353BB"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12</w:t>
            </w:r>
          </w:p>
        </w:tc>
        <w:tc>
          <w:tcPr>
            <w:tcW w:w="0" w:type="auto"/>
            <w:hideMark/>
          </w:tcPr>
          <w:p w14:paraId="02000F05"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29.3</w:t>
            </w:r>
          </w:p>
        </w:tc>
        <w:tc>
          <w:tcPr>
            <w:tcW w:w="0" w:type="auto"/>
            <w:hideMark/>
          </w:tcPr>
          <w:p w14:paraId="574CDD73"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43.9</w:t>
            </w:r>
          </w:p>
        </w:tc>
      </w:tr>
      <w:tr w:rsidR="00D6569E" w:rsidRPr="005D47B3" w14:paraId="4DBB29B3" w14:textId="77777777" w:rsidTr="00706C6F">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1BBB04AB"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2</w:t>
            </w:r>
          </w:p>
        </w:tc>
        <w:tc>
          <w:tcPr>
            <w:tcW w:w="0" w:type="auto"/>
            <w:hideMark/>
          </w:tcPr>
          <w:p w14:paraId="70AED36F"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9</w:t>
            </w:r>
          </w:p>
        </w:tc>
        <w:tc>
          <w:tcPr>
            <w:tcW w:w="0" w:type="auto"/>
            <w:hideMark/>
          </w:tcPr>
          <w:p w14:paraId="7DF235D1"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22.0</w:t>
            </w:r>
          </w:p>
        </w:tc>
        <w:tc>
          <w:tcPr>
            <w:tcW w:w="0" w:type="auto"/>
            <w:hideMark/>
          </w:tcPr>
          <w:p w14:paraId="500793BA"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65.9</w:t>
            </w:r>
          </w:p>
        </w:tc>
      </w:tr>
      <w:tr w:rsidR="00D6569E" w:rsidRPr="005D47B3" w14:paraId="014C7A9D" w14:textId="77777777" w:rsidTr="00706C6F">
        <w:trPr>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203B9DC8"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3</w:t>
            </w:r>
          </w:p>
        </w:tc>
        <w:tc>
          <w:tcPr>
            <w:tcW w:w="0" w:type="auto"/>
            <w:hideMark/>
          </w:tcPr>
          <w:p w14:paraId="2A20CEC2"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8</w:t>
            </w:r>
          </w:p>
        </w:tc>
        <w:tc>
          <w:tcPr>
            <w:tcW w:w="0" w:type="auto"/>
            <w:hideMark/>
          </w:tcPr>
          <w:p w14:paraId="47A8BECB"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19.5</w:t>
            </w:r>
          </w:p>
        </w:tc>
        <w:tc>
          <w:tcPr>
            <w:tcW w:w="0" w:type="auto"/>
            <w:hideMark/>
          </w:tcPr>
          <w:p w14:paraId="2FAC552D"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85.4</w:t>
            </w:r>
          </w:p>
        </w:tc>
      </w:tr>
      <w:tr w:rsidR="00D6569E" w:rsidRPr="005D47B3" w14:paraId="7EBA10D3" w14:textId="77777777" w:rsidTr="00706C6F">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hideMark/>
          </w:tcPr>
          <w:p w14:paraId="6E0895A6"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4</w:t>
            </w:r>
          </w:p>
        </w:tc>
        <w:tc>
          <w:tcPr>
            <w:tcW w:w="0" w:type="auto"/>
            <w:hideMark/>
          </w:tcPr>
          <w:p w14:paraId="5A61FF7C"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6</w:t>
            </w:r>
          </w:p>
        </w:tc>
        <w:tc>
          <w:tcPr>
            <w:tcW w:w="0" w:type="auto"/>
            <w:hideMark/>
          </w:tcPr>
          <w:p w14:paraId="7C9318ED"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14.6</w:t>
            </w:r>
          </w:p>
        </w:tc>
        <w:tc>
          <w:tcPr>
            <w:tcW w:w="0" w:type="auto"/>
            <w:hideMark/>
          </w:tcPr>
          <w:p w14:paraId="323036FB"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97.6</w:t>
            </w:r>
          </w:p>
        </w:tc>
      </w:tr>
    </w:tbl>
    <w:p w14:paraId="43246018" w14:textId="77777777" w:rsidR="00D6569E" w:rsidRPr="005D47B3" w:rsidRDefault="00D6569E" w:rsidP="005D47B3">
      <w:pPr>
        <w:ind w:firstLine="720"/>
        <w:rPr>
          <w:rFonts w:asciiTheme="minorBidi" w:hAnsiTheme="minorBidi" w:cstheme="minorBidi"/>
          <w:b/>
          <w:sz w:val="22"/>
          <w:szCs w:val="22"/>
        </w:rPr>
      </w:pPr>
    </w:p>
    <w:p w14:paraId="658752DB" w14:textId="77777777" w:rsidR="00D6569E" w:rsidRPr="005D47B3" w:rsidRDefault="00D6569E" w:rsidP="005D47B3">
      <w:pPr>
        <w:rPr>
          <w:rFonts w:asciiTheme="minorBidi" w:hAnsiTheme="minorBidi" w:cstheme="minorBidi"/>
          <w:b/>
          <w:sz w:val="22"/>
          <w:szCs w:val="22"/>
        </w:rPr>
      </w:pPr>
    </w:p>
    <w:p w14:paraId="1382891B" w14:textId="77777777" w:rsidR="00D6569E" w:rsidRPr="005D47B3" w:rsidRDefault="00D6569E" w:rsidP="005D47B3">
      <w:pPr>
        <w:rPr>
          <w:rFonts w:asciiTheme="minorBidi" w:hAnsiTheme="minorBidi" w:cstheme="minorBidi"/>
          <w:b/>
          <w:sz w:val="22"/>
          <w:szCs w:val="22"/>
        </w:rPr>
      </w:pPr>
    </w:p>
    <w:p w14:paraId="3E544641" w14:textId="77777777" w:rsidR="00567B3E" w:rsidRPr="005D47B3" w:rsidRDefault="00567B3E" w:rsidP="005D47B3">
      <w:pPr>
        <w:rPr>
          <w:rFonts w:asciiTheme="minorBidi" w:hAnsiTheme="minorBidi" w:cstheme="minorBidi"/>
          <w:b/>
          <w:sz w:val="22"/>
          <w:szCs w:val="22"/>
        </w:rPr>
      </w:pPr>
    </w:p>
    <w:p w14:paraId="4217F9C4" w14:textId="77777777" w:rsidR="00567B3E" w:rsidRPr="005D47B3" w:rsidRDefault="00567B3E" w:rsidP="005D47B3">
      <w:pPr>
        <w:rPr>
          <w:rFonts w:asciiTheme="minorBidi" w:hAnsiTheme="minorBidi" w:cstheme="minorBidi"/>
          <w:b/>
          <w:sz w:val="22"/>
          <w:szCs w:val="22"/>
        </w:rPr>
      </w:pPr>
    </w:p>
    <w:p w14:paraId="2CD598FD" w14:textId="77777777" w:rsidR="00567B3E" w:rsidRPr="005D47B3" w:rsidRDefault="00567B3E" w:rsidP="005D47B3">
      <w:pPr>
        <w:rPr>
          <w:rFonts w:asciiTheme="minorBidi" w:hAnsiTheme="minorBidi" w:cstheme="minorBidi"/>
          <w:b/>
          <w:sz w:val="22"/>
          <w:szCs w:val="22"/>
        </w:rPr>
      </w:pPr>
    </w:p>
    <w:p w14:paraId="195AF203" w14:textId="77777777" w:rsidR="00567B3E" w:rsidRPr="005D47B3" w:rsidRDefault="00567B3E" w:rsidP="005D47B3">
      <w:pPr>
        <w:rPr>
          <w:rFonts w:asciiTheme="minorBidi" w:hAnsiTheme="minorBidi" w:cstheme="minorBidi"/>
          <w:b/>
          <w:sz w:val="22"/>
          <w:szCs w:val="22"/>
        </w:rPr>
      </w:pPr>
    </w:p>
    <w:p w14:paraId="5103173C" w14:textId="77777777" w:rsidR="00567B3E" w:rsidRPr="005D47B3" w:rsidRDefault="00567B3E" w:rsidP="005D47B3">
      <w:pPr>
        <w:rPr>
          <w:rFonts w:asciiTheme="minorBidi" w:hAnsiTheme="minorBidi" w:cstheme="minorBidi"/>
          <w:b/>
          <w:sz w:val="22"/>
          <w:szCs w:val="22"/>
        </w:rPr>
      </w:pPr>
    </w:p>
    <w:p w14:paraId="7E9F30D6" w14:textId="77777777" w:rsidR="00567B3E" w:rsidRPr="005D47B3" w:rsidRDefault="00567B3E" w:rsidP="005D47B3">
      <w:pPr>
        <w:rPr>
          <w:rFonts w:asciiTheme="minorBidi" w:hAnsiTheme="minorBidi" w:cstheme="minorBidi"/>
          <w:b/>
          <w:sz w:val="22"/>
          <w:szCs w:val="22"/>
        </w:rPr>
      </w:pPr>
    </w:p>
    <w:p w14:paraId="3C216BFE" w14:textId="77777777" w:rsidR="00567B3E" w:rsidRPr="005D47B3" w:rsidRDefault="00567B3E" w:rsidP="005D47B3">
      <w:pPr>
        <w:rPr>
          <w:rFonts w:asciiTheme="minorBidi" w:hAnsiTheme="minorBidi" w:cstheme="minorBidi"/>
          <w:b/>
          <w:sz w:val="22"/>
          <w:szCs w:val="22"/>
        </w:rPr>
      </w:pPr>
    </w:p>
    <w:p w14:paraId="6938B8A0" w14:textId="77777777" w:rsidR="00567B3E" w:rsidRPr="005D47B3" w:rsidRDefault="00567B3E" w:rsidP="005D47B3">
      <w:pPr>
        <w:rPr>
          <w:rFonts w:asciiTheme="minorBidi" w:hAnsiTheme="minorBidi" w:cstheme="minorBidi"/>
          <w:b/>
          <w:sz w:val="22"/>
          <w:szCs w:val="22"/>
        </w:rPr>
      </w:pPr>
    </w:p>
    <w:p w14:paraId="11D299B8" w14:textId="77777777" w:rsidR="00D6569E" w:rsidRPr="005D47B3" w:rsidRDefault="00D6569E" w:rsidP="005D47B3">
      <w:pPr>
        <w:rPr>
          <w:rFonts w:asciiTheme="minorBidi" w:hAnsiTheme="minorBidi" w:cstheme="minorBidi"/>
          <w:b/>
          <w:sz w:val="22"/>
          <w:szCs w:val="22"/>
        </w:rPr>
      </w:pPr>
    </w:p>
    <w:p w14:paraId="575FD134" w14:textId="77777777" w:rsidR="00D6569E" w:rsidRPr="005D47B3" w:rsidRDefault="00D6569E" w:rsidP="005D47B3">
      <w:pPr>
        <w:rPr>
          <w:rFonts w:asciiTheme="minorBidi" w:hAnsiTheme="minorBidi" w:cstheme="minorBidi"/>
          <w:b/>
          <w:sz w:val="22"/>
          <w:szCs w:val="22"/>
        </w:rPr>
      </w:pPr>
      <w:r w:rsidRPr="005D47B3">
        <w:rPr>
          <w:rFonts w:asciiTheme="minorBidi" w:hAnsiTheme="minorBidi" w:cstheme="minorBidi"/>
          <w:b/>
          <w:sz w:val="22"/>
          <w:szCs w:val="22"/>
        </w:rPr>
        <w:t>TABLE 4: Comorbidity Patterns by Age Group</w:t>
      </w:r>
    </w:p>
    <w:tbl>
      <w:tblPr>
        <w:tblStyle w:val="GridTable6Colorful-Accent1"/>
        <w:tblW w:w="9315" w:type="dxa"/>
        <w:tblLook w:val="04A0" w:firstRow="1" w:lastRow="0" w:firstColumn="1" w:lastColumn="0" w:noHBand="0" w:noVBand="1"/>
      </w:tblPr>
      <w:tblGrid>
        <w:gridCol w:w="2972"/>
        <w:gridCol w:w="2272"/>
        <w:gridCol w:w="2272"/>
        <w:gridCol w:w="1799"/>
      </w:tblGrid>
      <w:tr w:rsidR="00D6569E" w:rsidRPr="005D47B3" w14:paraId="5BF8EF8C" w14:textId="77777777" w:rsidTr="00706C6F">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auto"/>
            <w:hideMark/>
          </w:tcPr>
          <w:p w14:paraId="11E99BEC"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Comorbidity</w:t>
            </w:r>
          </w:p>
        </w:tc>
        <w:tc>
          <w:tcPr>
            <w:tcW w:w="0" w:type="auto"/>
            <w:hideMark/>
          </w:tcPr>
          <w:p w14:paraId="4A0F7304"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18-39 (n=17)</w:t>
            </w:r>
          </w:p>
        </w:tc>
        <w:tc>
          <w:tcPr>
            <w:tcW w:w="0" w:type="auto"/>
            <w:hideMark/>
          </w:tcPr>
          <w:p w14:paraId="4DBC48D4"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40-59 (n=15)</w:t>
            </w:r>
          </w:p>
        </w:tc>
        <w:tc>
          <w:tcPr>
            <w:tcW w:w="0" w:type="auto"/>
            <w:hideMark/>
          </w:tcPr>
          <w:p w14:paraId="4B42C7D4"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60+ (n=8)</w:t>
            </w:r>
          </w:p>
        </w:tc>
      </w:tr>
      <w:tr w:rsidR="00D6569E" w:rsidRPr="005D47B3" w14:paraId="49058F88" w14:textId="77777777" w:rsidTr="00706C6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auto"/>
            <w:hideMark/>
          </w:tcPr>
          <w:p w14:paraId="780ABE66"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HTN</w:t>
            </w:r>
          </w:p>
        </w:tc>
        <w:tc>
          <w:tcPr>
            <w:tcW w:w="0" w:type="auto"/>
            <w:hideMark/>
          </w:tcPr>
          <w:p w14:paraId="4F374883"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8 (47.1%)</w:t>
            </w:r>
          </w:p>
        </w:tc>
        <w:tc>
          <w:tcPr>
            <w:tcW w:w="0" w:type="auto"/>
            <w:hideMark/>
          </w:tcPr>
          <w:p w14:paraId="16E5B45E"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7 (46.7%)</w:t>
            </w:r>
          </w:p>
        </w:tc>
        <w:tc>
          <w:tcPr>
            <w:tcW w:w="0" w:type="auto"/>
            <w:hideMark/>
          </w:tcPr>
          <w:p w14:paraId="05452769"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3 (37.5%)</w:t>
            </w:r>
          </w:p>
        </w:tc>
      </w:tr>
      <w:tr w:rsidR="00D6569E" w:rsidRPr="005D47B3" w14:paraId="1F5299F2" w14:textId="77777777" w:rsidTr="00706C6F">
        <w:trPr>
          <w:trHeight w:val="509"/>
        </w:trPr>
        <w:tc>
          <w:tcPr>
            <w:cnfStyle w:val="001000000000" w:firstRow="0" w:lastRow="0" w:firstColumn="1" w:lastColumn="0" w:oddVBand="0" w:evenVBand="0" w:oddHBand="0" w:evenHBand="0" w:firstRowFirstColumn="0" w:firstRowLastColumn="0" w:lastRowFirstColumn="0" w:lastRowLastColumn="0"/>
            <w:tcW w:w="0" w:type="auto"/>
            <w:hideMark/>
          </w:tcPr>
          <w:p w14:paraId="75602A92"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DM</w:t>
            </w:r>
          </w:p>
        </w:tc>
        <w:tc>
          <w:tcPr>
            <w:tcW w:w="0" w:type="auto"/>
            <w:hideMark/>
          </w:tcPr>
          <w:p w14:paraId="054E1EE6"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 (23.5%)</w:t>
            </w:r>
          </w:p>
        </w:tc>
        <w:tc>
          <w:tcPr>
            <w:tcW w:w="0" w:type="auto"/>
            <w:hideMark/>
          </w:tcPr>
          <w:p w14:paraId="21041AC6"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7 (46.7%)</w:t>
            </w:r>
          </w:p>
        </w:tc>
        <w:tc>
          <w:tcPr>
            <w:tcW w:w="0" w:type="auto"/>
            <w:hideMark/>
          </w:tcPr>
          <w:p w14:paraId="3583E0C4"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3 (37.5%)</w:t>
            </w:r>
          </w:p>
        </w:tc>
      </w:tr>
      <w:tr w:rsidR="00D6569E" w:rsidRPr="005D47B3" w14:paraId="3A7CDB11" w14:textId="77777777" w:rsidTr="00706C6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0" w:type="auto"/>
            <w:hideMark/>
          </w:tcPr>
          <w:p w14:paraId="3EE88B1E"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IHD</w:t>
            </w:r>
          </w:p>
        </w:tc>
        <w:tc>
          <w:tcPr>
            <w:tcW w:w="0" w:type="auto"/>
            <w:hideMark/>
          </w:tcPr>
          <w:p w14:paraId="7A2DCC32"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 (11.8%)</w:t>
            </w:r>
          </w:p>
        </w:tc>
        <w:tc>
          <w:tcPr>
            <w:tcW w:w="0" w:type="auto"/>
            <w:hideMark/>
          </w:tcPr>
          <w:p w14:paraId="49FF933F"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 (26.7%)</w:t>
            </w:r>
          </w:p>
        </w:tc>
        <w:tc>
          <w:tcPr>
            <w:tcW w:w="0" w:type="auto"/>
            <w:hideMark/>
          </w:tcPr>
          <w:p w14:paraId="6CC0C61B"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 (12.5%)</w:t>
            </w:r>
          </w:p>
        </w:tc>
      </w:tr>
      <w:tr w:rsidR="00D6569E" w:rsidRPr="005D47B3" w14:paraId="3BFB5C29" w14:textId="77777777" w:rsidTr="00706C6F">
        <w:trPr>
          <w:trHeight w:val="499"/>
        </w:trPr>
        <w:tc>
          <w:tcPr>
            <w:cnfStyle w:val="001000000000" w:firstRow="0" w:lastRow="0" w:firstColumn="1" w:lastColumn="0" w:oddVBand="0" w:evenVBand="0" w:oddHBand="0" w:evenHBand="0" w:firstRowFirstColumn="0" w:firstRowLastColumn="0" w:lastRowFirstColumn="0" w:lastRowLastColumn="0"/>
            <w:tcW w:w="0" w:type="auto"/>
            <w:hideMark/>
          </w:tcPr>
          <w:p w14:paraId="62ECEC52"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Cerebrovascular</w:t>
            </w:r>
          </w:p>
        </w:tc>
        <w:tc>
          <w:tcPr>
            <w:tcW w:w="0" w:type="auto"/>
            <w:hideMark/>
          </w:tcPr>
          <w:p w14:paraId="3632FB21"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 (11.8%)</w:t>
            </w:r>
          </w:p>
        </w:tc>
        <w:tc>
          <w:tcPr>
            <w:tcW w:w="0" w:type="auto"/>
            <w:hideMark/>
          </w:tcPr>
          <w:p w14:paraId="5CD8E5B2"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 (6.7%)</w:t>
            </w:r>
          </w:p>
        </w:tc>
        <w:tc>
          <w:tcPr>
            <w:tcW w:w="0" w:type="auto"/>
            <w:hideMark/>
          </w:tcPr>
          <w:p w14:paraId="07F0CD29"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3 (37.5%)</w:t>
            </w:r>
          </w:p>
        </w:tc>
      </w:tr>
      <w:tr w:rsidR="00D6569E" w:rsidRPr="005D47B3" w14:paraId="1BDFB07C" w14:textId="77777777" w:rsidTr="00706C6F">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0" w:type="auto"/>
            <w:hideMark/>
          </w:tcPr>
          <w:p w14:paraId="350B6890"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Autoimmune</w:t>
            </w:r>
          </w:p>
        </w:tc>
        <w:tc>
          <w:tcPr>
            <w:tcW w:w="0" w:type="auto"/>
            <w:hideMark/>
          </w:tcPr>
          <w:p w14:paraId="11B723B9"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 (23.5%)</w:t>
            </w:r>
          </w:p>
        </w:tc>
        <w:tc>
          <w:tcPr>
            <w:tcW w:w="0" w:type="auto"/>
            <w:hideMark/>
          </w:tcPr>
          <w:p w14:paraId="39E227A8"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 (13.3%)</w:t>
            </w:r>
          </w:p>
        </w:tc>
        <w:tc>
          <w:tcPr>
            <w:tcW w:w="0" w:type="auto"/>
            <w:hideMark/>
          </w:tcPr>
          <w:p w14:paraId="34181B65"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0 (0.0%)</w:t>
            </w:r>
          </w:p>
        </w:tc>
      </w:tr>
    </w:tbl>
    <w:p w14:paraId="6F8240C3" w14:textId="77777777" w:rsidR="00D6569E" w:rsidRPr="005D47B3" w:rsidRDefault="00D6569E" w:rsidP="005D47B3">
      <w:pPr>
        <w:ind w:firstLine="720"/>
        <w:rPr>
          <w:rFonts w:asciiTheme="minorBidi" w:hAnsiTheme="minorBidi" w:cstheme="minorBidi"/>
          <w:b/>
          <w:sz w:val="22"/>
          <w:szCs w:val="22"/>
        </w:rPr>
      </w:pPr>
    </w:p>
    <w:p w14:paraId="72FB701F" w14:textId="77777777" w:rsidR="00D6569E" w:rsidRPr="005D47B3" w:rsidRDefault="00D6569E" w:rsidP="005D47B3">
      <w:pPr>
        <w:ind w:firstLine="720"/>
        <w:rPr>
          <w:rFonts w:asciiTheme="minorBidi" w:hAnsiTheme="minorBidi" w:cstheme="minorBidi"/>
          <w:b/>
          <w:sz w:val="22"/>
          <w:szCs w:val="22"/>
        </w:rPr>
      </w:pPr>
    </w:p>
    <w:p w14:paraId="33095C0F" w14:textId="77777777" w:rsidR="00D6569E" w:rsidRPr="005D47B3" w:rsidRDefault="00D6569E" w:rsidP="005D47B3">
      <w:pPr>
        <w:rPr>
          <w:rFonts w:asciiTheme="minorBidi" w:hAnsiTheme="minorBidi" w:cstheme="minorBidi"/>
          <w:b/>
          <w:sz w:val="22"/>
          <w:szCs w:val="22"/>
        </w:rPr>
      </w:pPr>
    </w:p>
    <w:p w14:paraId="091D7C9A" w14:textId="77777777" w:rsidR="00D6569E" w:rsidRPr="005D47B3" w:rsidRDefault="00D6569E" w:rsidP="005D47B3">
      <w:pPr>
        <w:rPr>
          <w:rFonts w:asciiTheme="minorBidi" w:hAnsiTheme="minorBidi" w:cstheme="minorBidi"/>
          <w:b/>
          <w:sz w:val="22"/>
          <w:szCs w:val="22"/>
        </w:rPr>
      </w:pPr>
    </w:p>
    <w:p w14:paraId="4B41C88E" w14:textId="77777777" w:rsidR="00D6569E" w:rsidRPr="005D47B3" w:rsidRDefault="00D6569E" w:rsidP="005D47B3">
      <w:pPr>
        <w:rPr>
          <w:rFonts w:asciiTheme="minorBidi" w:hAnsiTheme="minorBidi" w:cstheme="minorBidi"/>
          <w:b/>
          <w:sz w:val="22"/>
          <w:szCs w:val="22"/>
        </w:rPr>
      </w:pPr>
    </w:p>
    <w:p w14:paraId="35B7DAA9" w14:textId="77777777" w:rsidR="00D6569E" w:rsidRPr="005D47B3" w:rsidRDefault="00D6569E" w:rsidP="005D47B3">
      <w:pPr>
        <w:rPr>
          <w:rFonts w:asciiTheme="minorBidi" w:hAnsiTheme="minorBidi" w:cstheme="minorBidi"/>
          <w:b/>
          <w:sz w:val="22"/>
          <w:szCs w:val="22"/>
        </w:rPr>
      </w:pPr>
    </w:p>
    <w:p w14:paraId="694C4E86" w14:textId="77777777" w:rsidR="00D6569E" w:rsidRPr="005D47B3" w:rsidRDefault="00D6569E" w:rsidP="005D47B3">
      <w:pPr>
        <w:rPr>
          <w:rFonts w:asciiTheme="minorBidi" w:hAnsiTheme="minorBidi" w:cstheme="minorBidi"/>
          <w:b/>
          <w:sz w:val="22"/>
          <w:szCs w:val="22"/>
        </w:rPr>
      </w:pPr>
    </w:p>
    <w:p w14:paraId="2F6D4F4F" w14:textId="77777777" w:rsidR="00D6569E" w:rsidRPr="005D47B3" w:rsidRDefault="00D6569E" w:rsidP="005D47B3">
      <w:pPr>
        <w:rPr>
          <w:rFonts w:asciiTheme="minorBidi" w:hAnsiTheme="minorBidi" w:cstheme="minorBidi"/>
          <w:b/>
          <w:sz w:val="22"/>
          <w:szCs w:val="22"/>
        </w:rPr>
      </w:pPr>
      <w:r w:rsidRPr="005D47B3">
        <w:rPr>
          <w:rFonts w:asciiTheme="minorBidi" w:hAnsiTheme="minorBidi" w:cstheme="minorBidi"/>
          <w:b/>
          <w:sz w:val="22"/>
          <w:szCs w:val="22"/>
        </w:rPr>
        <w:t xml:space="preserve">               </w:t>
      </w:r>
    </w:p>
    <w:p w14:paraId="0F88615E" w14:textId="77777777" w:rsidR="00D6569E" w:rsidRPr="005D47B3" w:rsidRDefault="00D6569E" w:rsidP="005D47B3">
      <w:pPr>
        <w:rPr>
          <w:rFonts w:asciiTheme="minorBidi" w:hAnsiTheme="minorBidi" w:cstheme="minorBidi"/>
          <w:b/>
          <w:sz w:val="22"/>
          <w:szCs w:val="22"/>
        </w:rPr>
      </w:pPr>
    </w:p>
    <w:p w14:paraId="7E0C1A8D" w14:textId="77777777" w:rsidR="00D6569E" w:rsidRPr="005D47B3" w:rsidRDefault="00D6569E" w:rsidP="005D47B3">
      <w:pPr>
        <w:rPr>
          <w:rFonts w:asciiTheme="minorBidi" w:hAnsiTheme="minorBidi" w:cstheme="minorBidi"/>
          <w:b/>
          <w:sz w:val="22"/>
          <w:szCs w:val="22"/>
        </w:rPr>
      </w:pPr>
    </w:p>
    <w:p w14:paraId="31639766" w14:textId="77777777" w:rsidR="00D6569E" w:rsidRPr="005D47B3" w:rsidRDefault="00D6569E" w:rsidP="005D47B3">
      <w:pPr>
        <w:rPr>
          <w:rFonts w:asciiTheme="minorBidi" w:hAnsiTheme="minorBidi" w:cstheme="minorBidi"/>
          <w:b/>
          <w:sz w:val="22"/>
          <w:szCs w:val="22"/>
        </w:rPr>
      </w:pPr>
      <w:r w:rsidRPr="005D47B3">
        <w:rPr>
          <w:rFonts w:asciiTheme="minorBidi" w:hAnsiTheme="minorBidi" w:cstheme="minorBidi"/>
          <w:b/>
          <w:sz w:val="22"/>
          <w:szCs w:val="22"/>
        </w:rPr>
        <w:t xml:space="preserve"> TABLE 5: Distribution of the patients according to their outcome</w:t>
      </w:r>
    </w:p>
    <w:tbl>
      <w:tblPr>
        <w:tblStyle w:val="GridTable6Colorful-Accent5"/>
        <w:tblpPr w:leftFromText="180" w:rightFromText="180" w:vertAnchor="text" w:horzAnchor="margin" w:tblpY="63"/>
        <w:tblW w:w="9769" w:type="dxa"/>
        <w:tblLook w:val="04A0" w:firstRow="1" w:lastRow="0" w:firstColumn="1" w:lastColumn="0" w:noHBand="0" w:noVBand="1"/>
      </w:tblPr>
      <w:tblGrid>
        <w:gridCol w:w="4103"/>
        <w:gridCol w:w="1517"/>
        <w:gridCol w:w="1759"/>
        <w:gridCol w:w="2390"/>
      </w:tblGrid>
      <w:tr w:rsidR="00D6569E" w:rsidRPr="005D47B3" w14:paraId="151156F6" w14:textId="77777777" w:rsidTr="00706C6F">
        <w:trPr>
          <w:cnfStyle w:val="100000000000" w:firstRow="1" w:lastRow="0" w:firstColumn="0" w:lastColumn="0" w:oddVBand="0" w:evenVBand="0" w:oddHBand="0"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0" w:type="auto"/>
            <w:hideMark/>
          </w:tcPr>
          <w:p w14:paraId="54B3E76A"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Outcome</w:t>
            </w:r>
          </w:p>
        </w:tc>
        <w:tc>
          <w:tcPr>
            <w:tcW w:w="0" w:type="auto"/>
          </w:tcPr>
          <w:p w14:paraId="14C1B2AA"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sz w:val="22"/>
                <w:szCs w:val="22"/>
              </w:rPr>
            </w:pPr>
          </w:p>
        </w:tc>
        <w:tc>
          <w:tcPr>
            <w:tcW w:w="0" w:type="auto"/>
            <w:hideMark/>
          </w:tcPr>
          <w:p w14:paraId="65EFDF79"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Frequency</w:t>
            </w:r>
          </w:p>
        </w:tc>
        <w:tc>
          <w:tcPr>
            <w:tcW w:w="0" w:type="auto"/>
            <w:hideMark/>
          </w:tcPr>
          <w:p w14:paraId="3E5D1C3E"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Percentage (%)</w:t>
            </w:r>
          </w:p>
        </w:tc>
      </w:tr>
      <w:tr w:rsidR="00D6569E" w:rsidRPr="005D47B3" w14:paraId="34C4A6DF" w14:textId="77777777" w:rsidTr="00706C6F">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0" w:type="auto"/>
            <w:hideMark/>
          </w:tcPr>
          <w:p w14:paraId="5541C613"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30-Day Mortality</w:t>
            </w:r>
          </w:p>
        </w:tc>
        <w:tc>
          <w:tcPr>
            <w:tcW w:w="0" w:type="auto"/>
          </w:tcPr>
          <w:p w14:paraId="5758B545"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Survived</w:t>
            </w:r>
          </w:p>
        </w:tc>
        <w:tc>
          <w:tcPr>
            <w:tcW w:w="0" w:type="auto"/>
          </w:tcPr>
          <w:p w14:paraId="012F0744"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30</w:t>
            </w:r>
          </w:p>
        </w:tc>
        <w:tc>
          <w:tcPr>
            <w:tcW w:w="0" w:type="auto"/>
          </w:tcPr>
          <w:p w14:paraId="04365E19"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70.7</w:t>
            </w:r>
          </w:p>
        </w:tc>
      </w:tr>
      <w:tr w:rsidR="00D6569E" w:rsidRPr="005D47B3" w14:paraId="63701C42" w14:textId="77777777" w:rsidTr="00706C6F">
        <w:trPr>
          <w:trHeight w:val="894"/>
        </w:trPr>
        <w:tc>
          <w:tcPr>
            <w:cnfStyle w:val="001000000000" w:firstRow="0" w:lastRow="0" w:firstColumn="1" w:lastColumn="0" w:oddVBand="0" w:evenVBand="0" w:oddHBand="0" w:evenHBand="0" w:firstRowFirstColumn="0" w:firstRowLastColumn="0" w:lastRowFirstColumn="0" w:lastRowLastColumn="0"/>
            <w:tcW w:w="0" w:type="auto"/>
            <w:hideMark/>
          </w:tcPr>
          <w:p w14:paraId="77428A6A" w14:textId="77777777" w:rsidR="00D6569E" w:rsidRPr="005D47B3" w:rsidRDefault="00D6569E" w:rsidP="005D47B3">
            <w:pPr>
              <w:spacing w:line="375" w:lineRule="atLeast"/>
              <w:rPr>
                <w:rFonts w:asciiTheme="minorBidi" w:eastAsia="Times New Roman" w:hAnsiTheme="minorBidi"/>
                <w:bCs w:val="0"/>
                <w:color w:val="auto"/>
                <w:sz w:val="22"/>
                <w:szCs w:val="22"/>
              </w:rPr>
            </w:pPr>
          </w:p>
        </w:tc>
        <w:tc>
          <w:tcPr>
            <w:tcW w:w="0" w:type="auto"/>
          </w:tcPr>
          <w:p w14:paraId="4EC4F769"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Died</w:t>
            </w:r>
          </w:p>
        </w:tc>
        <w:tc>
          <w:tcPr>
            <w:tcW w:w="0" w:type="auto"/>
          </w:tcPr>
          <w:p w14:paraId="755452C7"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12</w:t>
            </w:r>
          </w:p>
        </w:tc>
        <w:tc>
          <w:tcPr>
            <w:tcW w:w="0" w:type="auto"/>
          </w:tcPr>
          <w:p w14:paraId="3EF8A21E"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29.3</w:t>
            </w:r>
          </w:p>
        </w:tc>
      </w:tr>
      <w:tr w:rsidR="00D6569E" w:rsidRPr="005D47B3" w14:paraId="731D520B" w14:textId="77777777" w:rsidTr="00706C6F">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0" w:type="auto"/>
          </w:tcPr>
          <w:p w14:paraId="5EF8F521" w14:textId="77777777" w:rsidR="00D6569E" w:rsidRPr="005D47B3" w:rsidRDefault="00D6569E" w:rsidP="005D47B3">
            <w:pPr>
              <w:spacing w:line="375" w:lineRule="atLeast"/>
              <w:rPr>
                <w:rFonts w:asciiTheme="minorBidi" w:eastAsia="Times New Roman" w:hAnsiTheme="minorBidi"/>
                <w:bCs w:val="0"/>
                <w:sz w:val="22"/>
                <w:szCs w:val="22"/>
              </w:rPr>
            </w:pPr>
            <w:r w:rsidRPr="005D47B3">
              <w:rPr>
                <w:rFonts w:asciiTheme="minorBidi" w:eastAsia="Times New Roman" w:hAnsiTheme="minorBidi"/>
                <w:bCs w:val="0"/>
                <w:sz w:val="22"/>
                <w:szCs w:val="22"/>
              </w:rPr>
              <w:t>Total</w:t>
            </w:r>
          </w:p>
        </w:tc>
        <w:tc>
          <w:tcPr>
            <w:tcW w:w="0" w:type="auto"/>
          </w:tcPr>
          <w:p w14:paraId="0FE0D513"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sz w:val="22"/>
                <w:szCs w:val="22"/>
              </w:rPr>
            </w:pPr>
          </w:p>
        </w:tc>
        <w:tc>
          <w:tcPr>
            <w:tcW w:w="0" w:type="auto"/>
          </w:tcPr>
          <w:p w14:paraId="3F5AE476"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sz w:val="22"/>
                <w:szCs w:val="22"/>
              </w:rPr>
            </w:pPr>
            <w:r w:rsidRPr="005D47B3">
              <w:rPr>
                <w:rFonts w:asciiTheme="minorBidi" w:eastAsia="Times New Roman" w:hAnsiTheme="minorBidi"/>
                <w:b/>
                <w:sz w:val="22"/>
                <w:szCs w:val="22"/>
              </w:rPr>
              <w:t>42</w:t>
            </w:r>
          </w:p>
        </w:tc>
        <w:tc>
          <w:tcPr>
            <w:tcW w:w="0" w:type="auto"/>
          </w:tcPr>
          <w:p w14:paraId="1CFB634D"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sz w:val="22"/>
                <w:szCs w:val="22"/>
              </w:rPr>
            </w:pPr>
            <w:r w:rsidRPr="005D47B3">
              <w:rPr>
                <w:rFonts w:asciiTheme="minorBidi" w:eastAsia="Times New Roman" w:hAnsiTheme="minorBidi"/>
                <w:b/>
                <w:sz w:val="22"/>
                <w:szCs w:val="22"/>
              </w:rPr>
              <w:t>100</w:t>
            </w:r>
          </w:p>
        </w:tc>
      </w:tr>
      <w:tr w:rsidR="00D6569E" w:rsidRPr="005D47B3" w14:paraId="742983B7" w14:textId="77777777" w:rsidTr="00706C6F">
        <w:trPr>
          <w:trHeight w:val="894"/>
        </w:trPr>
        <w:tc>
          <w:tcPr>
            <w:cnfStyle w:val="001000000000" w:firstRow="0" w:lastRow="0" w:firstColumn="1" w:lastColumn="0" w:oddVBand="0" w:evenVBand="0" w:oddHBand="0" w:evenHBand="0" w:firstRowFirstColumn="0" w:firstRowLastColumn="0" w:lastRowFirstColumn="0" w:lastRowLastColumn="0"/>
            <w:tcW w:w="0" w:type="auto"/>
          </w:tcPr>
          <w:p w14:paraId="46E15E5E"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 xml:space="preserve">Renal Function in follow-up </w:t>
            </w:r>
          </w:p>
        </w:tc>
        <w:tc>
          <w:tcPr>
            <w:tcW w:w="0" w:type="auto"/>
          </w:tcPr>
          <w:p w14:paraId="4EEE050E"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Normal</w:t>
            </w:r>
          </w:p>
        </w:tc>
        <w:tc>
          <w:tcPr>
            <w:tcW w:w="0" w:type="auto"/>
          </w:tcPr>
          <w:p w14:paraId="1C44B9D0"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22</w:t>
            </w:r>
          </w:p>
        </w:tc>
        <w:tc>
          <w:tcPr>
            <w:tcW w:w="0" w:type="auto"/>
          </w:tcPr>
          <w:p w14:paraId="13991E3B"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73.3</w:t>
            </w:r>
          </w:p>
        </w:tc>
      </w:tr>
      <w:tr w:rsidR="00D6569E" w:rsidRPr="005D47B3" w14:paraId="2BD8EC53" w14:textId="77777777" w:rsidTr="00706C6F">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0" w:type="auto"/>
          </w:tcPr>
          <w:p w14:paraId="77AEEBDA" w14:textId="77777777" w:rsidR="00D6569E" w:rsidRPr="005D47B3" w:rsidRDefault="00D6569E" w:rsidP="005D47B3">
            <w:pPr>
              <w:spacing w:line="375" w:lineRule="atLeast"/>
              <w:rPr>
                <w:rFonts w:asciiTheme="minorBidi" w:eastAsia="Times New Roman" w:hAnsiTheme="minorBidi"/>
                <w:bCs w:val="0"/>
                <w:color w:val="auto"/>
                <w:sz w:val="22"/>
                <w:szCs w:val="22"/>
              </w:rPr>
            </w:pPr>
          </w:p>
        </w:tc>
        <w:tc>
          <w:tcPr>
            <w:tcW w:w="0" w:type="auto"/>
          </w:tcPr>
          <w:p w14:paraId="0C9B0B73"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CKD</w:t>
            </w:r>
          </w:p>
        </w:tc>
        <w:tc>
          <w:tcPr>
            <w:tcW w:w="0" w:type="auto"/>
          </w:tcPr>
          <w:p w14:paraId="3312FAFE"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8</w:t>
            </w:r>
          </w:p>
        </w:tc>
        <w:tc>
          <w:tcPr>
            <w:tcW w:w="0" w:type="auto"/>
          </w:tcPr>
          <w:p w14:paraId="7A33AF4C"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26.7</w:t>
            </w:r>
          </w:p>
        </w:tc>
      </w:tr>
      <w:tr w:rsidR="00D6569E" w:rsidRPr="005D47B3" w14:paraId="4A8D7409" w14:textId="77777777" w:rsidTr="00706C6F">
        <w:trPr>
          <w:trHeight w:val="894"/>
        </w:trPr>
        <w:tc>
          <w:tcPr>
            <w:cnfStyle w:val="001000000000" w:firstRow="0" w:lastRow="0" w:firstColumn="1" w:lastColumn="0" w:oddVBand="0" w:evenVBand="0" w:oddHBand="0" w:evenHBand="0" w:firstRowFirstColumn="0" w:firstRowLastColumn="0" w:lastRowFirstColumn="0" w:lastRowLastColumn="0"/>
            <w:tcW w:w="0" w:type="auto"/>
          </w:tcPr>
          <w:p w14:paraId="3BEEED6A" w14:textId="77777777" w:rsidR="00D6569E" w:rsidRPr="005D47B3" w:rsidRDefault="00D6569E" w:rsidP="005D47B3">
            <w:pPr>
              <w:spacing w:line="375" w:lineRule="atLeast"/>
              <w:rPr>
                <w:rFonts w:asciiTheme="minorBidi" w:eastAsia="Times New Roman" w:hAnsiTheme="minorBidi"/>
                <w:bCs w:val="0"/>
                <w:sz w:val="22"/>
                <w:szCs w:val="22"/>
              </w:rPr>
            </w:pPr>
            <w:r w:rsidRPr="005D47B3">
              <w:rPr>
                <w:rFonts w:asciiTheme="minorBidi" w:eastAsia="Times New Roman" w:hAnsiTheme="minorBidi"/>
                <w:bCs w:val="0"/>
                <w:sz w:val="22"/>
                <w:szCs w:val="22"/>
              </w:rPr>
              <w:t>Total</w:t>
            </w:r>
          </w:p>
        </w:tc>
        <w:tc>
          <w:tcPr>
            <w:tcW w:w="0" w:type="auto"/>
          </w:tcPr>
          <w:p w14:paraId="5816DD5D"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sz w:val="22"/>
                <w:szCs w:val="22"/>
              </w:rPr>
            </w:pPr>
          </w:p>
        </w:tc>
        <w:tc>
          <w:tcPr>
            <w:tcW w:w="0" w:type="auto"/>
          </w:tcPr>
          <w:p w14:paraId="00371B2C"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sz w:val="22"/>
                <w:szCs w:val="22"/>
              </w:rPr>
            </w:pPr>
            <w:r w:rsidRPr="005D47B3">
              <w:rPr>
                <w:rFonts w:asciiTheme="minorBidi" w:eastAsia="Times New Roman" w:hAnsiTheme="minorBidi"/>
                <w:b/>
                <w:color w:val="auto"/>
                <w:sz w:val="22"/>
                <w:szCs w:val="22"/>
              </w:rPr>
              <w:t>30</w:t>
            </w:r>
          </w:p>
        </w:tc>
        <w:tc>
          <w:tcPr>
            <w:tcW w:w="0" w:type="auto"/>
          </w:tcPr>
          <w:p w14:paraId="5D1A070D"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sz w:val="22"/>
                <w:szCs w:val="22"/>
              </w:rPr>
            </w:pPr>
            <w:r w:rsidRPr="005D47B3">
              <w:rPr>
                <w:rFonts w:asciiTheme="minorBidi" w:eastAsia="Times New Roman" w:hAnsiTheme="minorBidi"/>
                <w:b/>
                <w:sz w:val="22"/>
                <w:szCs w:val="22"/>
              </w:rPr>
              <w:t>100</w:t>
            </w:r>
          </w:p>
        </w:tc>
      </w:tr>
    </w:tbl>
    <w:p w14:paraId="2FA95E3A" w14:textId="77777777" w:rsidR="00D6569E" w:rsidRPr="005D47B3" w:rsidRDefault="00D6569E" w:rsidP="005D47B3">
      <w:pPr>
        <w:rPr>
          <w:rFonts w:asciiTheme="minorBidi" w:hAnsiTheme="minorBidi" w:cstheme="minorBidi"/>
          <w:b/>
          <w:sz w:val="22"/>
          <w:szCs w:val="22"/>
        </w:rPr>
      </w:pPr>
    </w:p>
    <w:p w14:paraId="0F90B290" w14:textId="77777777" w:rsidR="00D6569E" w:rsidRPr="005D47B3" w:rsidRDefault="00D6569E" w:rsidP="005D47B3">
      <w:pPr>
        <w:rPr>
          <w:rFonts w:asciiTheme="minorBidi" w:hAnsiTheme="minorBidi" w:cstheme="minorBidi"/>
          <w:b/>
          <w:sz w:val="22"/>
          <w:szCs w:val="22"/>
        </w:rPr>
      </w:pPr>
    </w:p>
    <w:p w14:paraId="3D1EE979" w14:textId="77777777" w:rsidR="00D6569E" w:rsidRPr="005D47B3" w:rsidRDefault="00D6569E" w:rsidP="005D47B3">
      <w:pPr>
        <w:ind w:firstLine="720"/>
        <w:rPr>
          <w:rFonts w:asciiTheme="minorBidi" w:hAnsiTheme="minorBidi" w:cstheme="minorBidi"/>
          <w:b/>
          <w:sz w:val="22"/>
          <w:szCs w:val="22"/>
        </w:rPr>
      </w:pPr>
    </w:p>
    <w:p w14:paraId="65EF9268" w14:textId="77777777" w:rsidR="00D6569E" w:rsidRPr="005D47B3" w:rsidRDefault="00D6569E" w:rsidP="005D47B3">
      <w:pPr>
        <w:ind w:firstLine="720"/>
        <w:rPr>
          <w:rFonts w:asciiTheme="minorBidi" w:hAnsiTheme="minorBidi" w:cstheme="minorBidi"/>
          <w:b/>
          <w:sz w:val="22"/>
          <w:szCs w:val="22"/>
        </w:rPr>
      </w:pPr>
    </w:p>
    <w:p w14:paraId="0EAAB9ED" w14:textId="77777777" w:rsidR="00D6569E" w:rsidRPr="005D47B3" w:rsidRDefault="00D6569E" w:rsidP="005D47B3">
      <w:pPr>
        <w:ind w:firstLine="720"/>
        <w:rPr>
          <w:rFonts w:asciiTheme="minorBidi" w:hAnsiTheme="minorBidi" w:cstheme="minorBidi"/>
          <w:b/>
          <w:sz w:val="22"/>
          <w:szCs w:val="22"/>
        </w:rPr>
      </w:pPr>
    </w:p>
    <w:p w14:paraId="46AB8440" w14:textId="77777777" w:rsidR="00D6569E" w:rsidRPr="005D47B3" w:rsidRDefault="00D6569E" w:rsidP="005D47B3">
      <w:pPr>
        <w:rPr>
          <w:rFonts w:asciiTheme="minorBidi" w:hAnsiTheme="minorBidi" w:cstheme="minorBidi"/>
          <w:b/>
          <w:sz w:val="22"/>
          <w:szCs w:val="22"/>
        </w:rPr>
      </w:pPr>
    </w:p>
    <w:p w14:paraId="3CFD6C35" w14:textId="77777777" w:rsidR="00D6569E" w:rsidRPr="005D47B3" w:rsidRDefault="00D6569E" w:rsidP="005D47B3">
      <w:pPr>
        <w:ind w:firstLine="720"/>
        <w:rPr>
          <w:rFonts w:asciiTheme="minorBidi" w:hAnsiTheme="minorBidi" w:cstheme="minorBidi"/>
          <w:b/>
          <w:sz w:val="22"/>
          <w:szCs w:val="22"/>
        </w:rPr>
      </w:pPr>
      <w:r w:rsidRPr="005D47B3">
        <w:rPr>
          <w:rFonts w:asciiTheme="minorBidi" w:hAnsiTheme="minorBidi" w:cstheme="minorBidi"/>
          <w:b/>
          <w:sz w:val="22"/>
          <w:szCs w:val="22"/>
        </w:rPr>
        <w:t>TABLE 6: High-Risk Comorbidity Combinations and Mortality</w:t>
      </w:r>
    </w:p>
    <w:tbl>
      <w:tblPr>
        <w:tblStyle w:val="GridTable6Colorful-Accent1"/>
        <w:tblW w:w="9337" w:type="dxa"/>
        <w:tblLook w:val="04A0" w:firstRow="1" w:lastRow="0" w:firstColumn="1" w:lastColumn="0" w:noHBand="0" w:noVBand="1"/>
      </w:tblPr>
      <w:tblGrid>
        <w:gridCol w:w="3390"/>
        <w:gridCol w:w="1387"/>
        <w:gridCol w:w="1885"/>
        <w:gridCol w:w="2675"/>
      </w:tblGrid>
      <w:tr w:rsidR="00D6569E" w:rsidRPr="005D47B3" w14:paraId="54C44369" w14:textId="77777777" w:rsidTr="00706C6F">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612D08BD"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Comorbidity Combination</w:t>
            </w:r>
          </w:p>
        </w:tc>
        <w:tc>
          <w:tcPr>
            <w:tcW w:w="0" w:type="auto"/>
            <w:hideMark/>
          </w:tcPr>
          <w:p w14:paraId="17B5328C"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Frequency</w:t>
            </w:r>
          </w:p>
        </w:tc>
        <w:tc>
          <w:tcPr>
            <w:tcW w:w="0" w:type="auto"/>
            <w:hideMark/>
          </w:tcPr>
          <w:p w14:paraId="1D60F051"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Percentage (%)</w:t>
            </w:r>
          </w:p>
        </w:tc>
        <w:tc>
          <w:tcPr>
            <w:tcW w:w="0" w:type="auto"/>
            <w:hideMark/>
          </w:tcPr>
          <w:p w14:paraId="2AF00388" w14:textId="77777777" w:rsidR="00D6569E" w:rsidRPr="005D47B3" w:rsidRDefault="00D6569E" w:rsidP="005D47B3">
            <w:pPr>
              <w:spacing w:line="375" w:lineRule="atLeast"/>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Mortality in this Group</w:t>
            </w:r>
          </w:p>
        </w:tc>
      </w:tr>
      <w:tr w:rsidR="00D6569E" w:rsidRPr="005D47B3" w14:paraId="6A3C9DDA" w14:textId="77777777" w:rsidTr="00706C6F">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085AE62B"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DM + HTN</w:t>
            </w:r>
          </w:p>
        </w:tc>
        <w:tc>
          <w:tcPr>
            <w:tcW w:w="0" w:type="auto"/>
            <w:hideMark/>
          </w:tcPr>
          <w:p w14:paraId="223CBCFD"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10</w:t>
            </w:r>
          </w:p>
        </w:tc>
        <w:tc>
          <w:tcPr>
            <w:tcW w:w="0" w:type="auto"/>
            <w:hideMark/>
          </w:tcPr>
          <w:p w14:paraId="0F2B06B0"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24.4</w:t>
            </w:r>
          </w:p>
        </w:tc>
        <w:tc>
          <w:tcPr>
            <w:tcW w:w="0" w:type="auto"/>
            <w:hideMark/>
          </w:tcPr>
          <w:p w14:paraId="00AC3A13"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40.0% (4/10)</w:t>
            </w:r>
          </w:p>
        </w:tc>
      </w:tr>
      <w:tr w:rsidR="00D6569E" w:rsidRPr="005D47B3" w14:paraId="0087EB7D" w14:textId="77777777" w:rsidTr="00706C6F">
        <w:trPr>
          <w:trHeight w:val="625"/>
        </w:trPr>
        <w:tc>
          <w:tcPr>
            <w:cnfStyle w:val="001000000000" w:firstRow="0" w:lastRow="0" w:firstColumn="1" w:lastColumn="0" w:oddVBand="0" w:evenVBand="0" w:oddHBand="0" w:evenHBand="0" w:firstRowFirstColumn="0" w:firstRowLastColumn="0" w:lastRowFirstColumn="0" w:lastRowLastColumn="0"/>
            <w:tcW w:w="0" w:type="auto"/>
            <w:hideMark/>
          </w:tcPr>
          <w:p w14:paraId="3280A1D1"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HTN only</w:t>
            </w:r>
          </w:p>
        </w:tc>
        <w:tc>
          <w:tcPr>
            <w:tcW w:w="0" w:type="auto"/>
            <w:hideMark/>
          </w:tcPr>
          <w:p w14:paraId="0BCCAA44"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8</w:t>
            </w:r>
          </w:p>
        </w:tc>
        <w:tc>
          <w:tcPr>
            <w:tcW w:w="0" w:type="auto"/>
            <w:hideMark/>
          </w:tcPr>
          <w:p w14:paraId="45ACB64A"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19.5</w:t>
            </w:r>
          </w:p>
        </w:tc>
        <w:tc>
          <w:tcPr>
            <w:tcW w:w="0" w:type="auto"/>
            <w:hideMark/>
          </w:tcPr>
          <w:p w14:paraId="0DDA0895"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25.0% (2/8)</w:t>
            </w:r>
          </w:p>
        </w:tc>
      </w:tr>
      <w:tr w:rsidR="00D6569E" w:rsidRPr="005D47B3" w14:paraId="2DE7EECF" w14:textId="77777777" w:rsidTr="00706C6F">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7961C617"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DM only</w:t>
            </w:r>
          </w:p>
        </w:tc>
        <w:tc>
          <w:tcPr>
            <w:tcW w:w="0" w:type="auto"/>
            <w:hideMark/>
          </w:tcPr>
          <w:p w14:paraId="36F95C97"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w:t>
            </w:r>
          </w:p>
        </w:tc>
        <w:tc>
          <w:tcPr>
            <w:tcW w:w="0" w:type="auto"/>
            <w:hideMark/>
          </w:tcPr>
          <w:p w14:paraId="1761D204"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9.8</w:t>
            </w:r>
          </w:p>
        </w:tc>
        <w:tc>
          <w:tcPr>
            <w:tcW w:w="0" w:type="auto"/>
            <w:hideMark/>
          </w:tcPr>
          <w:p w14:paraId="1EC2B008"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0.0% (0/4)</w:t>
            </w:r>
          </w:p>
        </w:tc>
      </w:tr>
      <w:tr w:rsidR="00D6569E" w:rsidRPr="005D47B3" w14:paraId="6942993B" w14:textId="77777777" w:rsidTr="00706C6F">
        <w:trPr>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35C1551D"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DM + HTN + Cerebrovascular</w:t>
            </w:r>
          </w:p>
        </w:tc>
        <w:tc>
          <w:tcPr>
            <w:tcW w:w="0" w:type="auto"/>
            <w:hideMark/>
          </w:tcPr>
          <w:p w14:paraId="54EB122D"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w:t>
            </w:r>
          </w:p>
        </w:tc>
        <w:tc>
          <w:tcPr>
            <w:tcW w:w="0" w:type="auto"/>
            <w:hideMark/>
          </w:tcPr>
          <w:p w14:paraId="59251D9D"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9.8</w:t>
            </w:r>
          </w:p>
        </w:tc>
        <w:tc>
          <w:tcPr>
            <w:tcW w:w="0" w:type="auto"/>
            <w:hideMark/>
          </w:tcPr>
          <w:p w14:paraId="7FEE04FF"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75.0% (3/4)</w:t>
            </w:r>
          </w:p>
        </w:tc>
      </w:tr>
      <w:tr w:rsidR="00D6569E" w:rsidRPr="005D47B3" w14:paraId="04CC970A" w14:textId="77777777" w:rsidTr="00706C6F">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0" w:type="auto"/>
            <w:hideMark/>
          </w:tcPr>
          <w:p w14:paraId="3AFD4A2B"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t>DM + HTN + IHD</w:t>
            </w:r>
          </w:p>
        </w:tc>
        <w:tc>
          <w:tcPr>
            <w:tcW w:w="0" w:type="auto"/>
            <w:hideMark/>
          </w:tcPr>
          <w:p w14:paraId="22133661"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4</w:t>
            </w:r>
          </w:p>
        </w:tc>
        <w:tc>
          <w:tcPr>
            <w:tcW w:w="0" w:type="auto"/>
            <w:hideMark/>
          </w:tcPr>
          <w:p w14:paraId="5619EA26"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9.8</w:t>
            </w:r>
          </w:p>
        </w:tc>
        <w:tc>
          <w:tcPr>
            <w:tcW w:w="0" w:type="auto"/>
            <w:hideMark/>
          </w:tcPr>
          <w:p w14:paraId="3B389583" w14:textId="77777777" w:rsidR="00D6569E" w:rsidRPr="005D47B3" w:rsidRDefault="00D6569E" w:rsidP="005D47B3">
            <w:pPr>
              <w:spacing w:line="375" w:lineRule="atLeas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50.0% (2/4)</w:t>
            </w:r>
          </w:p>
        </w:tc>
      </w:tr>
      <w:tr w:rsidR="00D6569E" w:rsidRPr="005D47B3" w14:paraId="75AAD494" w14:textId="77777777" w:rsidTr="00706C6F">
        <w:trPr>
          <w:trHeight w:val="612"/>
        </w:trPr>
        <w:tc>
          <w:tcPr>
            <w:cnfStyle w:val="001000000000" w:firstRow="0" w:lastRow="0" w:firstColumn="1" w:lastColumn="0" w:oddVBand="0" w:evenVBand="0" w:oddHBand="0" w:evenHBand="0" w:firstRowFirstColumn="0" w:firstRowLastColumn="0" w:lastRowFirstColumn="0" w:lastRowLastColumn="0"/>
            <w:tcW w:w="0" w:type="auto"/>
            <w:hideMark/>
          </w:tcPr>
          <w:p w14:paraId="37CB02F2" w14:textId="77777777" w:rsidR="00D6569E" w:rsidRPr="005D47B3" w:rsidRDefault="00D6569E" w:rsidP="005D47B3">
            <w:pPr>
              <w:spacing w:line="375" w:lineRule="atLeast"/>
              <w:rPr>
                <w:rFonts w:asciiTheme="minorBidi" w:eastAsia="Times New Roman" w:hAnsiTheme="minorBidi"/>
                <w:bCs w:val="0"/>
                <w:color w:val="auto"/>
                <w:sz w:val="22"/>
                <w:szCs w:val="22"/>
              </w:rPr>
            </w:pPr>
            <w:r w:rsidRPr="005D47B3">
              <w:rPr>
                <w:rFonts w:asciiTheme="minorBidi" w:eastAsia="Times New Roman" w:hAnsiTheme="minorBidi"/>
                <w:bCs w:val="0"/>
                <w:color w:val="auto"/>
                <w:sz w:val="22"/>
                <w:szCs w:val="22"/>
              </w:rPr>
              <w:lastRenderedPageBreak/>
              <w:t>HTN + Autoimmune</w:t>
            </w:r>
          </w:p>
        </w:tc>
        <w:tc>
          <w:tcPr>
            <w:tcW w:w="0" w:type="auto"/>
            <w:hideMark/>
          </w:tcPr>
          <w:p w14:paraId="023CCD1E"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3</w:t>
            </w:r>
          </w:p>
        </w:tc>
        <w:tc>
          <w:tcPr>
            <w:tcW w:w="0" w:type="auto"/>
            <w:hideMark/>
          </w:tcPr>
          <w:p w14:paraId="7195AB26"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7.3</w:t>
            </w:r>
          </w:p>
        </w:tc>
        <w:tc>
          <w:tcPr>
            <w:tcW w:w="0" w:type="auto"/>
            <w:hideMark/>
          </w:tcPr>
          <w:p w14:paraId="15D3B3F1" w14:textId="77777777" w:rsidR="00D6569E" w:rsidRPr="005D47B3" w:rsidRDefault="00D6569E" w:rsidP="005D47B3">
            <w:pPr>
              <w:spacing w:line="375" w:lineRule="atLeas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color w:val="auto"/>
                <w:sz w:val="22"/>
                <w:szCs w:val="22"/>
              </w:rPr>
            </w:pPr>
            <w:r w:rsidRPr="005D47B3">
              <w:rPr>
                <w:rFonts w:asciiTheme="minorBidi" w:eastAsia="Times New Roman" w:hAnsiTheme="minorBidi"/>
                <w:b/>
                <w:color w:val="auto"/>
                <w:sz w:val="22"/>
                <w:szCs w:val="22"/>
              </w:rPr>
              <w:t>33.3% (1/3)</w:t>
            </w:r>
          </w:p>
        </w:tc>
      </w:tr>
    </w:tbl>
    <w:p w14:paraId="35AA1C2A" w14:textId="77777777" w:rsidR="00D6569E" w:rsidRPr="005D47B3" w:rsidRDefault="00D6569E" w:rsidP="005D47B3">
      <w:pPr>
        <w:ind w:firstLine="720"/>
        <w:rPr>
          <w:rFonts w:asciiTheme="minorBidi" w:hAnsiTheme="minorBidi" w:cstheme="minorBidi"/>
          <w:b/>
          <w:sz w:val="22"/>
          <w:szCs w:val="22"/>
        </w:rPr>
      </w:pPr>
    </w:p>
    <w:p w14:paraId="5A074E66" w14:textId="77777777" w:rsidR="00D6569E" w:rsidRPr="005D47B3" w:rsidRDefault="00D6569E" w:rsidP="005D47B3">
      <w:pPr>
        <w:rPr>
          <w:rFonts w:asciiTheme="minorBidi" w:hAnsiTheme="minorBidi" w:cstheme="minorBidi"/>
          <w:b/>
          <w:sz w:val="22"/>
          <w:szCs w:val="22"/>
        </w:rPr>
      </w:pPr>
    </w:p>
    <w:p w14:paraId="65578268" w14:textId="77777777" w:rsidR="00D6569E" w:rsidRPr="005D47B3" w:rsidRDefault="00D6569E" w:rsidP="005D47B3">
      <w:pPr>
        <w:rPr>
          <w:rFonts w:asciiTheme="minorBidi" w:hAnsiTheme="minorBidi" w:cstheme="minorBidi"/>
          <w:b/>
          <w:sz w:val="22"/>
          <w:szCs w:val="22"/>
        </w:rPr>
      </w:pPr>
    </w:p>
    <w:p w14:paraId="6932CA70" w14:textId="77777777" w:rsidR="00D6569E" w:rsidRPr="005D47B3" w:rsidRDefault="00D6569E" w:rsidP="005D47B3">
      <w:pPr>
        <w:rPr>
          <w:rFonts w:asciiTheme="minorBidi" w:hAnsiTheme="minorBidi" w:cstheme="minorBidi"/>
          <w:b/>
          <w:sz w:val="22"/>
          <w:szCs w:val="22"/>
        </w:rPr>
      </w:pPr>
    </w:p>
    <w:p w14:paraId="7E15B344" w14:textId="77777777" w:rsidR="00D6569E" w:rsidRPr="005D47B3" w:rsidRDefault="00D6569E" w:rsidP="005D47B3">
      <w:pPr>
        <w:pStyle w:val="NormalWeb"/>
        <w:rPr>
          <w:rFonts w:asciiTheme="minorBidi" w:hAnsiTheme="minorBidi" w:cstheme="minorBidi"/>
          <w:b/>
          <w:sz w:val="22"/>
          <w:szCs w:val="22"/>
        </w:rPr>
      </w:pPr>
    </w:p>
    <w:p w14:paraId="559382B9" w14:textId="77777777" w:rsidR="00FF72A4" w:rsidRPr="005D47B3" w:rsidRDefault="00A63885" w:rsidP="005D47B3">
      <w:pPr>
        <w:rPr>
          <w:rFonts w:asciiTheme="minorBidi" w:hAnsiTheme="minorBidi" w:cstheme="minorBidi"/>
          <w:b/>
          <w:sz w:val="22"/>
          <w:szCs w:val="22"/>
        </w:rPr>
      </w:pPr>
      <w:r w:rsidRPr="005D47B3">
        <w:rPr>
          <w:rFonts w:asciiTheme="minorBidi" w:hAnsiTheme="minorBidi" w:cstheme="minorBidi"/>
          <w:b/>
          <w:sz w:val="22"/>
          <w:szCs w:val="22"/>
        </w:rPr>
        <w:t>Discussion</w:t>
      </w:r>
    </w:p>
    <w:p w14:paraId="33B004B4" w14:textId="3CCA4376" w:rsidR="00567B3E" w:rsidRPr="005D47B3" w:rsidRDefault="00A63885" w:rsidP="008C6AF8">
      <w:pPr>
        <w:spacing w:before="100" w:beforeAutospacing="1" w:after="100" w:afterAutospacing="1"/>
        <w:rPr>
          <w:rFonts w:asciiTheme="minorBidi" w:eastAsia="Times New Roman" w:hAnsiTheme="minorBidi" w:cstheme="minorBidi"/>
          <w:b/>
          <w:sz w:val="22"/>
          <w:szCs w:val="22"/>
        </w:rPr>
      </w:pPr>
      <w:r w:rsidRPr="005D47B3">
        <w:rPr>
          <w:rFonts w:asciiTheme="minorBidi" w:hAnsiTheme="minorBidi" w:cstheme="minorBidi"/>
          <w:b/>
          <w:sz w:val="22"/>
          <w:szCs w:val="22"/>
        </w:rPr>
        <w:br/>
      </w:r>
      <w:r w:rsidR="008C6AF8" w:rsidRPr="008C6AF8">
        <w:rPr>
          <w:rFonts w:asciiTheme="minorBidi" w:eastAsia="Times New Roman" w:hAnsiTheme="minorBidi" w:cstheme="minorBidi" w:hint="eastAsia"/>
          <w:b/>
          <w:sz w:val="22"/>
          <w:szCs w:val="22"/>
        </w:rPr>
        <w:t>The</w:t>
      </w:r>
      <w:r w:rsidR="008C6AF8">
        <w:rPr>
          <w:rFonts w:asciiTheme="minorBidi" w:eastAsia="Times New Roman" w:hAnsiTheme="minorBidi" w:cstheme="minorBidi" w:hint="eastAsia"/>
          <w:b/>
          <w:sz w:val="22"/>
          <w:szCs w:val="22"/>
        </w:rPr>
        <w:t xml:space="preserve"> findings of this study paint a</w:t>
      </w:r>
      <w:r w:rsidR="008C6AF8">
        <w:rPr>
          <w:rFonts w:asciiTheme="minorBidi" w:eastAsia="Times New Roman" w:hAnsiTheme="minorBidi" w:cstheme="minorBidi"/>
          <w:b/>
          <w:sz w:val="22"/>
          <w:szCs w:val="22"/>
        </w:rPr>
        <w:t xml:space="preserve"> </w:t>
      </w:r>
      <w:r w:rsidR="008C6AF8" w:rsidRPr="008C6AF8">
        <w:rPr>
          <w:rFonts w:asciiTheme="minorBidi" w:eastAsia="Times New Roman" w:hAnsiTheme="minorBidi" w:cstheme="minorBidi" w:hint="eastAsia"/>
          <w:b/>
          <w:sz w:val="22"/>
          <w:szCs w:val="22"/>
        </w:rPr>
        <w:t>detailed picture of the demographic characteristics, comorbidity burden, and clinic</w:t>
      </w:r>
      <w:r w:rsidR="008C6AF8">
        <w:rPr>
          <w:rFonts w:asciiTheme="minorBidi" w:eastAsia="Times New Roman" w:hAnsiTheme="minorBidi" w:cstheme="minorBidi" w:hint="eastAsia"/>
          <w:b/>
          <w:sz w:val="22"/>
          <w:szCs w:val="22"/>
        </w:rPr>
        <w:t xml:space="preserve">al outcomes of </w:t>
      </w:r>
      <w:proofErr w:type="gramStart"/>
      <w:r w:rsidR="008C6AF8">
        <w:rPr>
          <w:rFonts w:asciiTheme="minorBidi" w:eastAsia="Times New Roman" w:hAnsiTheme="minorBidi" w:cstheme="minorBidi" w:hint="eastAsia"/>
          <w:b/>
          <w:sz w:val="22"/>
          <w:szCs w:val="22"/>
        </w:rPr>
        <w:t xml:space="preserve">AKI </w:t>
      </w:r>
      <w:r w:rsidR="008C6AF8" w:rsidRPr="008C6AF8">
        <w:rPr>
          <w:rFonts w:asciiTheme="minorBidi" w:eastAsia="Times New Roman" w:hAnsiTheme="minorBidi" w:cstheme="minorBidi" w:hint="eastAsia"/>
          <w:b/>
          <w:sz w:val="22"/>
          <w:szCs w:val="22"/>
        </w:rPr>
        <w:t>.</w:t>
      </w:r>
      <w:proofErr w:type="gramEnd"/>
      <w:r w:rsidR="008C6AF8" w:rsidRPr="008C6AF8">
        <w:rPr>
          <w:rFonts w:asciiTheme="minorBidi" w:eastAsia="Times New Roman" w:hAnsiTheme="minorBidi" w:cstheme="minorBidi" w:hint="eastAsia"/>
          <w:b/>
          <w:sz w:val="22"/>
          <w:szCs w:val="22"/>
        </w:rPr>
        <w:t xml:space="preserve"> Several key patterns emerge</w:t>
      </w:r>
      <w:r w:rsidR="008C6AF8" w:rsidRPr="008C6AF8">
        <w:rPr>
          <w:rFonts w:asciiTheme="minorBidi" w:eastAsia="Times New Roman" w:hAnsiTheme="minorBidi" w:cstheme="minorBidi"/>
          <w:b/>
          <w:sz w:val="22"/>
          <w:szCs w:val="22"/>
        </w:rPr>
        <w:t xml:space="preserve"> </w:t>
      </w:r>
      <w:r w:rsidR="00567B3E" w:rsidRPr="005D47B3">
        <w:rPr>
          <w:rFonts w:asciiTheme="minorBidi" w:eastAsia="Times New Roman" w:hAnsiTheme="minorBidi" w:cstheme="minorBidi"/>
          <w:b/>
          <w:sz w:val="22"/>
          <w:szCs w:val="22"/>
        </w:rPr>
        <w:t>young p</w:t>
      </w:r>
      <w:r w:rsidR="008C6AF8">
        <w:rPr>
          <w:rFonts w:asciiTheme="minorBidi" w:eastAsia="Times New Roman" w:hAnsiTheme="minorBidi" w:cstheme="minorBidi"/>
          <w:b/>
          <w:sz w:val="22"/>
          <w:szCs w:val="22"/>
        </w:rPr>
        <w:t>atient population, and high burden</w:t>
      </w:r>
      <w:r w:rsidR="00567B3E" w:rsidRPr="005D47B3">
        <w:rPr>
          <w:rFonts w:asciiTheme="minorBidi" w:eastAsia="Times New Roman" w:hAnsiTheme="minorBidi" w:cstheme="minorBidi"/>
          <w:b/>
          <w:sz w:val="22"/>
          <w:szCs w:val="22"/>
        </w:rPr>
        <w:t xml:space="preserve"> of chronic comorbidities, along with very high mortality rates that correspond with those levels of chronic </w:t>
      </w:r>
      <w:proofErr w:type="gramStart"/>
      <w:r w:rsidR="00567B3E" w:rsidRPr="005D47B3">
        <w:rPr>
          <w:rFonts w:asciiTheme="minorBidi" w:eastAsia="Times New Roman" w:hAnsiTheme="minorBidi" w:cstheme="minorBidi"/>
          <w:b/>
          <w:sz w:val="22"/>
          <w:szCs w:val="22"/>
        </w:rPr>
        <w:t>comorbidity .</w:t>
      </w:r>
      <w:proofErr w:type="gramEnd"/>
      <w:r w:rsidR="00567B3E" w:rsidRPr="005D47B3">
        <w:rPr>
          <w:rFonts w:asciiTheme="minorBidi" w:eastAsia="Times New Roman" w:hAnsiTheme="minorBidi" w:cstheme="minorBidi"/>
          <w:b/>
          <w:sz w:val="22"/>
          <w:szCs w:val="22"/>
        </w:rPr>
        <w:t xml:space="preserve"> Our cohort was much younger than those</w:t>
      </w:r>
      <w:r w:rsidR="00567B3E" w:rsidRPr="005D47B3">
        <w:rPr>
          <w:rFonts w:asciiTheme="minorBidi" w:eastAsia="Times New Roman" w:hAnsiTheme="minorBidi" w:cstheme="minorBidi"/>
          <w:b/>
          <w:sz w:val="22"/>
          <w:szCs w:val="22"/>
        </w:rPr>
        <w:t> </w:t>
      </w:r>
      <w:r w:rsidR="00567B3E" w:rsidRPr="005D47B3">
        <w:rPr>
          <w:rFonts w:asciiTheme="minorBidi" w:eastAsia="Times New Roman" w:hAnsiTheme="minorBidi" w:cstheme="minorBidi"/>
          <w:b/>
          <w:sz w:val="22"/>
          <w:szCs w:val="22"/>
        </w:rPr>
        <w:t>studied in most similar studies. Our population remains, on average and likely due to 41.5% of the patients being between 18-39 years of age, younger than</w:t>
      </w:r>
      <w:r w:rsidR="00567B3E" w:rsidRPr="005D47B3">
        <w:rPr>
          <w:rFonts w:asciiTheme="minorBidi" w:eastAsia="Times New Roman" w:hAnsiTheme="minorBidi" w:cstheme="minorBidi"/>
          <w:b/>
          <w:sz w:val="22"/>
          <w:szCs w:val="22"/>
        </w:rPr>
        <w:t> </w:t>
      </w:r>
      <w:r w:rsidR="00567B3E" w:rsidRPr="005D47B3">
        <w:rPr>
          <w:rFonts w:asciiTheme="minorBidi" w:eastAsia="Times New Roman" w:hAnsiTheme="minorBidi" w:cstheme="minorBidi"/>
          <w:b/>
          <w:sz w:val="22"/>
          <w:szCs w:val="22"/>
        </w:rPr>
        <w:t>the one in Berhe et al (mean age is 48±18 years). at an Ethiopian emergency department [9]; median age 44 years of in the</w:t>
      </w:r>
      <w:r w:rsidR="00567B3E" w:rsidRPr="005D47B3">
        <w:rPr>
          <w:rFonts w:asciiTheme="minorBidi" w:eastAsia="Times New Roman" w:hAnsiTheme="minorBidi" w:cstheme="minorBidi"/>
          <w:b/>
          <w:sz w:val="22"/>
          <w:szCs w:val="22"/>
        </w:rPr>
        <w:t> </w:t>
      </w:r>
      <w:r w:rsidR="00567B3E" w:rsidRPr="005D47B3">
        <w:rPr>
          <w:rFonts w:asciiTheme="minorBidi" w:eastAsia="Times New Roman" w:hAnsiTheme="minorBidi" w:cstheme="minorBidi"/>
          <w:b/>
          <w:sz w:val="22"/>
          <w:szCs w:val="22"/>
        </w:rPr>
        <w:t>South African hospital study by Dlamini et al. [11], and the relationship between age and AKI as well</w:t>
      </w:r>
      <w:r w:rsidR="00567B3E" w:rsidRPr="005D47B3">
        <w:rPr>
          <w:rFonts w:asciiTheme="minorBidi" w:eastAsia="Times New Roman" w:hAnsiTheme="minorBidi" w:cstheme="minorBidi"/>
          <w:b/>
          <w:sz w:val="22"/>
          <w:szCs w:val="22"/>
        </w:rPr>
        <w:t> </w:t>
      </w:r>
      <w:r w:rsidR="00567B3E" w:rsidRPr="005D47B3">
        <w:rPr>
          <w:rFonts w:asciiTheme="minorBidi" w:eastAsia="Times New Roman" w:hAnsiTheme="minorBidi" w:cstheme="minorBidi"/>
          <w:b/>
          <w:sz w:val="22"/>
          <w:szCs w:val="22"/>
        </w:rPr>
        <w:t xml:space="preserve">as mortality in reports from Sudan, Ethiopia, and India [10, 12, 14]. Such disparity may relate to differences in healthcare provision (with our </w:t>
      </w:r>
      <w:proofErr w:type="spellStart"/>
      <w:r w:rsidR="00567B3E" w:rsidRPr="005D47B3">
        <w:rPr>
          <w:rFonts w:asciiTheme="minorBidi" w:eastAsia="Times New Roman" w:hAnsiTheme="minorBidi" w:cstheme="minorBidi"/>
          <w:b/>
          <w:sz w:val="22"/>
          <w:szCs w:val="22"/>
        </w:rPr>
        <w:t>centre</w:t>
      </w:r>
      <w:proofErr w:type="spellEnd"/>
      <w:r w:rsidR="00567B3E" w:rsidRPr="005D47B3">
        <w:rPr>
          <w:rFonts w:asciiTheme="minorBidi" w:eastAsia="Times New Roman" w:hAnsiTheme="minorBidi" w:cstheme="minorBidi"/>
          <w:b/>
          <w:sz w:val="22"/>
          <w:szCs w:val="22"/>
        </w:rPr>
        <w:t xml:space="preserve"> receiving predominantly younger</w:t>
      </w:r>
      <w:proofErr w:type="gramStart"/>
      <w:r w:rsidR="00567B3E" w:rsidRPr="005D47B3">
        <w:rPr>
          <w:rFonts w:asciiTheme="minorBidi" w:eastAsia="Times New Roman" w:hAnsiTheme="minorBidi" w:cstheme="minorBidi"/>
          <w:b/>
          <w:sz w:val="22"/>
          <w:szCs w:val="22"/>
        </w:rPr>
        <w:t>,</w:t>
      </w:r>
      <w:proofErr w:type="gramEnd"/>
      <w:r w:rsidR="00567B3E" w:rsidRPr="005D47B3">
        <w:rPr>
          <w:rFonts w:asciiTheme="minorBidi" w:eastAsia="Times New Roman" w:hAnsiTheme="minorBidi" w:cstheme="minorBidi"/>
          <w:b/>
          <w:sz w:val="22"/>
          <w:szCs w:val="22"/>
        </w:rPr>
        <w:t> </w:t>
      </w:r>
      <w:r w:rsidR="00567B3E" w:rsidRPr="005D47B3">
        <w:rPr>
          <w:rFonts w:asciiTheme="minorBidi" w:eastAsia="Times New Roman" w:hAnsiTheme="minorBidi" w:cstheme="minorBidi"/>
          <w:b/>
          <w:sz w:val="22"/>
          <w:szCs w:val="22"/>
        </w:rPr>
        <w:t>referred patients with more severe/complex AKI) or indeed a true heightened prevalence of risk factors including hypertension and diabetes among younger adults within our local catchment. One of the most interesting and unique findings was that of a strong gender-age</w:t>
      </w:r>
      <w:r w:rsidR="00567B3E" w:rsidRPr="005D47B3">
        <w:rPr>
          <w:rFonts w:asciiTheme="minorBidi" w:eastAsia="Times New Roman" w:hAnsiTheme="minorBidi" w:cstheme="minorBidi"/>
          <w:b/>
          <w:sz w:val="22"/>
          <w:szCs w:val="22"/>
        </w:rPr>
        <w:t> </w:t>
      </w:r>
      <w:r w:rsidR="00567B3E" w:rsidRPr="005D47B3">
        <w:rPr>
          <w:rFonts w:asciiTheme="minorBidi" w:eastAsia="Times New Roman" w:hAnsiTheme="minorBidi" w:cstheme="minorBidi"/>
          <w:b/>
          <w:sz w:val="22"/>
          <w:szCs w:val="22"/>
        </w:rPr>
        <w:t>interaction. In our group of young adults (18-39 years), the particularly strong female predominance (by 80%) was in contrast to males, which dominated by 71% among elderly</w:t>
      </w:r>
      <w:r w:rsidR="00567B3E" w:rsidRPr="005D47B3">
        <w:rPr>
          <w:rFonts w:asciiTheme="minorBidi" w:eastAsia="Times New Roman" w:hAnsiTheme="minorBidi" w:cstheme="minorBidi"/>
          <w:b/>
          <w:sz w:val="22"/>
          <w:szCs w:val="22"/>
        </w:rPr>
        <w:t> </w:t>
      </w:r>
      <w:r w:rsidR="00567B3E" w:rsidRPr="005D47B3">
        <w:rPr>
          <w:rFonts w:asciiTheme="minorBidi" w:eastAsia="Times New Roman" w:hAnsiTheme="minorBidi" w:cstheme="minorBidi"/>
          <w:b/>
          <w:sz w:val="22"/>
          <w:szCs w:val="22"/>
        </w:rPr>
        <w:t xml:space="preserve">patients (60+ years). This trend is not frequently </w:t>
      </w:r>
      <w:proofErr w:type="spellStart"/>
      <w:r w:rsidR="00567B3E" w:rsidRPr="005D47B3">
        <w:rPr>
          <w:rFonts w:asciiTheme="minorBidi" w:eastAsia="Times New Roman" w:hAnsiTheme="minorBidi" w:cstheme="minorBidi"/>
          <w:b/>
          <w:sz w:val="22"/>
          <w:szCs w:val="22"/>
        </w:rPr>
        <w:t>emphasised</w:t>
      </w:r>
      <w:proofErr w:type="spellEnd"/>
      <w:r w:rsidR="00567B3E" w:rsidRPr="005D47B3">
        <w:rPr>
          <w:rFonts w:asciiTheme="minorBidi" w:eastAsia="Times New Roman" w:hAnsiTheme="minorBidi" w:cstheme="minorBidi"/>
          <w:b/>
          <w:sz w:val="22"/>
          <w:szCs w:val="22"/>
        </w:rPr>
        <w:t xml:space="preserve"> in the studies cited, which show overall near-equal or male predominated gender</w:t>
      </w:r>
      <w:r w:rsidR="00567B3E" w:rsidRPr="005D47B3">
        <w:rPr>
          <w:rFonts w:asciiTheme="minorBidi" w:eastAsia="Times New Roman" w:hAnsiTheme="minorBidi" w:cstheme="minorBidi"/>
          <w:b/>
          <w:sz w:val="22"/>
          <w:szCs w:val="22"/>
        </w:rPr>
        <w:t> </w:t>
      </w:r>
      <w:r w:rsidR="00567B3E" w:rsidRPr="005D47B3">
        <w:rPr>
          <w:rFonts w:asciiTheme="minorBidi" w:eastAsia="Times New Roman" w:hAnsiTheme="minorBidi" w:cstheme="minorBidi"/>
          <w:b/>
          <w:sz w:val="22"/>
          <w:szCs w:val="22"/>
        </w:rPr>
        <w:t>distributions [9, 11, 15]. This implies the existence</w:t>
      </w:r>
      <w:r w:rsidR="00567B3E" w:rsidRPr="005D47B3">
        <w:rPr>
          <w:rFonts w:asciiTheme="minorBidi" w:eastAsia="Times New Roman" w:hAnsiTheme="minorBidi" w:cstheme="minorBidi"/>
          <w:b/>
          <w:sz w:val="22"/>
          <w:szCs w:val="22"/>
        </w:rPr>
        <w:t> </w:t>
      </w:r>
      <w:r w:rsidR="00567B3E" w:rsidRPr="005D47B3">
        <w:rPr>
          <w:rFonts w:asciiTheme="minorBidi" w:eastAsia="Times New Roman" w:hAnsiTheme="minorBidi" w:cstheme="minorBidi"/>
          <w:b/>
          <w:sz w:val="22"/>
          <w:szCs w:val="22"/>
        </w:rPr>
        <w:t>of distinct, age-specific etiological factors or risk factor pathways in our population, such as obstetric or autoimmune disease in younger women [12] and a higher load of traditional cardiovascular risks among older men.</w:t>
      </w:r>
    </w:p>
    <w:p w14:paraId="02B13C25" w14:textId="77777777" w:rsidR="00567B3E" w:rsidRPr="005D47B3" w:rsidRDefault="00567B3E" w:rsidP="005D47B3">
      <w:pPr>
        <w:ind w:firstLine="720"/>
        <w:rPr>
          <w:rFonts w:asciiTheme="minorBidi" w:hAnsiTheme="minorBidi" w:cstheme="minorBidi"/>
          <w:b/>
          <w:sz w:val="22"/>
          <w:szCs w:val="22"/>
        </w:rPr>
      </w:pPr>
      <w:r w:rsidRPr="005D47B3">
        <w:rPr>
          <w:rFonts w:asciiTheme="minorBidi" w:hAnsiTheme="minorBidi" w:cstheme="minorBidi"/>
          <w:b/>
          <w:sz w:val="22"/>
          <w:szCs w:val="22"/>
        </w:rPr>
        <w:t>The comorbidity profile of our cohort, with 83.4% having at least one comorbidity and a mean of 1.9 per patient, underscores the critical role of chronic diseases in AKI pathogenesis in low-resource settings. The predominance of hypertension (HTN, 43.9%) and diabetes mellitus (DM, 34.1%) aligns consistently with nearly all referenced studies. These conditions were the top two comorbidities in Ethiopian ICU and emergency department studies [9, 12], the South African cohort [11], the Tanzanian ICU [13], and studies from India and Brazil [15, 16]. The frequent co-occurrence of HTN and DM in 24.4% of our patients creates a high-risk phenotype for both AKI development and poor outcomes, a synergy noted elsewhere [13].</w:t>
      </w:r>
    </w:p>
    <w:p w14:paraId="645D073E" w14:textId="77777777" w:rsidR="00567B3E" w:rsidRPr="005D47B3" w:rsidRDefault="00567B3E" w:rsidP="005D47B3">
      <w:pPr>
        <w:rPr>
          <w:rFonts w:asciiTheme="minorBidi" w:hAnsiTheme="minorBidi" w:cstheme="minorBidi"/>
          <w:b/>
          <w:sz w:val="22"/>
          <w:szCs w:val="22"/>
        </w:rPr>
      </w:pPr>
      <w:r w:rsidRPr="005D47B3">
        <w:rPr>
          <w:rFonts w:asciiTheme="minorBidi" w:hAnsiTheme="minorBidi" w:cstheme="minorBidi"/>
          <w:b/>
          <w:sz w:val="22"/>
          <w:szCs w:val="22"/>
        </w:rPr>
        <w:t xml:space="preserve">However, the relative ranking of other comorbidities differed. While cardiovascular diseases (IHD, cerebrovascular) and autoimmune disorders were notable in our cohort, studies by Berhe et al. and Dlamini et al. reported a higher prominence of HIV and malignancy [9, 11]. This variation likely reflects differences in the background disease prevalence in the respective populations and the study setting (e.g., general hospital wards vs. specialized oncology or HIV care centers). The 30-day mortality rate of 29.3% in our study </w:t>
      </w:r>
      <w:r w:rsidRPr="005D47B3">
        <w:rPr>
          <w:rFonts w:asciiTheme="minorBidi" w:hAnsiTheme="minorBidi" w:cstheme="minorBidi"/>
          <w:b/>
          <w:sz w:val="22"/>
          <w:szCs w:val="22"/>
        </w:rPr>
        <w:lastRenderedPageBreak/>
        <w:t>falls within the wide range reported across Africa and India (28.6% to 57.8%) [9, 10, 12, 14, 15]. The clear age-dependent gradient in mortality we observed (23.5% to 37.5%) reinforces the well-established link between aging and poor AKI outcomes, as seen in studies from Sudan and India [10, 14].</w:t>
      </w:r>
    </w:p>
    <w:p w14:paraId="5FEBD161" w14:textId="77777777" w:rsidR="00567B3E" w:rsidRPr="005D47B3" w:rsidRDefault="00567B3E" w:rsidP="005D47B3">
      <w:pPr>
        <w:rPr>
          <w:rFonts w:asciiTheme="minorBidi" w:hAnsiTheme="minorBidi" w:cstheme="minorBidi"/>
          <w:b/>
          <w:sz w:val="22"/>
          <w:szCs w:val="22"/>
        </w:rPr>
      </w:pPr>
      <w:r w:rsidRPr="005D47B3">
        <w:rPr>
          <w:rFonts w:asciiTheme="minorBidi" w:hAnsiTheme="minorBidi" w:cstheme="minorBidi"/>
          <w:b/>
          <w:sz w:val="22"/>
          <w:szCs w:val="22"/>
        </w:rPr>
        <w:t xml:space="preserve">What stands out most in death rates is how strongly they tie to the number of existing comorbidities. Starting at 14.3%, deaths climbed sharply hitting 62.5% when three or more comorbidities were present. Each added condition built on the last, raising danger steadily. Work by </w:t>
      </w:r>
      <w:proofErr w:type="spellStart"/>
      <w:r w:rsidRPr="005D47B3">
        <w:rPr>
          <w:rFonts w:asciiTheme="minorBidi" w:hAnsiTheme="minorBidi" w:cstheme="minorBidi"/>
          <w:b/>
          <w:sz w:val="22"/>
          <w:szCs w:val="22"/>
        </w:rPr>
        <w:t>Kefyalew</w:t>
      </w:r>
      <w:proofErr w:type="spellEnd"/>
      <w:r w:rsidRPr="005D47B3">
        <w:rPr>
          <w:rFonts w:asciiTheme="minorBidi" w:hAnsiTheme="minorBidi" w:cstheme="minorBidi"/>
          <w:b/>
          <w:sz w:val="22"/>
          <w:szCs w:val="22"/>
        </w:rPr>
        <w:t xml:space="preserve"> and team supports this </w:t>
      </w:r>
      <w:proofErr w:type="gramStart"/>
      <w:r w:rsidRPr="005D47B3">
        <w:rPr>
          <w:rFonts w:asciiTheme="minorBidi" w:hAnsiTheme="minorBidi" w:cstheme="minorBidi"/>
          <w:b/>
          <w:sz w:val="22"/>
          <w:szCs w:val="22"/>
        </w:rPr>
        <w:t>pattern ,</w:t>
      </w:r>
      <w:proofErr w:type="gramEnd"/>
      <w:r w:rsidRPr="005D47B3">
        <w:rPr>
          <w:rFonts w:asciiTheme="minorBidi" w:hAnsiTheme="minorBidi" w:cstheme="minorBidi"/>
          <w:b/>
          <w:sz w:val="22"/>
          <w:szCs w:val="22"/>
        </w:rPr>
        <w:t xml:space="preserve">  their data showed even one long-term illness raised kidney injury odds almost nine times [12]. Worst off were patients dealing with diabetes, high blood pressure, and stroke-related issues </w:t>
      </w:r>
      <w:proofErr w:type="gramStart"/>
      <w:r w:rsidRPr="005D47B3">
        <w:rPr>
          <w:rFonts w:asciiTheme="minorBidi" w:hAnsiTheme="minorBidi" w:cstheme="minorBidi"/>
          <w:b/>
          <w:sz w:val="22"/>
          <w:szCs w:val="22"/>
        </w:rPr>
        <w:t>together ,</w:t>
      </w:r>
      <w:proofErr w:type="gramEnd"/>
      <w:r w:rsidRPr="005D47B3">
        <w:rPr>
          <w:rFonts w:asciiTheme="minorBidi" w:hAnsiTheme="minorBidi" w:cstheme="minorBidi"/>
          <w:b/>
          <w:sz w:val="22"/>
          <w:szCs w:val="22"/>
        </w:rPr>
        <w:t xml:space="preserve"> nearly three-quarters did not survive. Despite being less numerous, men showed greater death </w:t>
      </w:r>
      <w:proofErr w:type="gramStart"/>
      <w:r w:rsidRPr="005D47B3">
        <w:rPr>
          <w:rFonts w:asciiTheme="minorBidi" w:hAnsiTheme="minorBidi" w:cstheme="minorBidi"/>
          <w:b/>
          <w:sz w:val="22"/>
          <w:szCs w:val="22"/>
        </w:rPr>
        <w:t>rates  37.5</w:t>
      </w:r>
      <w:proofErr w:type="gramEnd"/>
      <w:r w:rsidRPr="005D47B3">
        <w:rPr>
          <w:rFonts w:asciiTheme="minorBidi" w:hAnsiTheme="minorBidi" w:cstheme="minorBidi"/>
          <w:b/>
          <w:sz w:val="22"/>
          <w:szCs w:val="22"/>
        </w:rPr>
        <w:t xml:space="preserve"> percent compared to women’s 25.0 percent , a pattern seen in certain reports [10], though not universally, possibly tied to worse underlying conditions or later hospital arrival in male patients. In line with findings from an ICU survey in Tanzania, preexisting heart-related illnesses appeared frequently, while sepsis, typically linked with long-term health issues, strongly signaled fatal outcomes [13]. The presence of diabetes and hypertension together raised the chance of dying by 40 percent, suggesting deep-seated fragility even when no clear cardiac incident occurred.</w:t>
      </w:r>
    </w:p>
    <w:p w14:paraId="74CC70BE" w14:textId="77777777" w:rsidR="00567B3E" w:rsidRPr="005D47B3" w:rsidRDefault="00567B3E" w:rsidP="005D47B3">
      <w:pPr>
        <w:rPr>
          <w:rFonts w:asciiTheme="minorBidi" w:hAnsiTheme="minorBidi" w:cstheme="minorBidi"/>
          <w:b/>
          <w:sz w:val="22"/>
          <w:szCs w:val="22"/>
        </w:rPr>
      </w:pPr>
      <w:r w:rsidRPr="005D47B3">
        <w:rPr>
          <w:rFonts w:asciiTheme="minorBidi" w:hAnsiTheme="minorBidi" w:cstheme="minorBidi"/>
          <w:b/>
          <w:sz w:val="22"/>
          <w:szCs w:val="22"/>
        </w:rPr>
        <w:t xml:space="preserve">In those who survived, kidney function returned to normal in 74.2%, a figure close to the 79.8% seen in Dlamini et al.'s study [11]. Still, one out of every four individuals either developed chronic kidney disease or was diagnosed with </w:t>
      </w:r>
      <w:proofErr w:type="gramStart"/>
      <w:r w:rsidRPr="005D47B3">
        <w:rPr>
          <w:rFonts w:asciiTheme="minorBidi" w:hAnsiTheme="minorBidi" w:cstheme="minorBidi"/>
          <w:b/>
          <w:sz w:val="22"/>
          <w:szCs w:val="22"/>
        </w:rPr>
        <w:t>it ,</w:t>
      </w:r>
      <w:proofErr w:type="gramEnd"/>
      <w:r w:rsidRPr="005D47B3">
        <w:rPr>
          <w:rFonts w:asciiTheme="minorBidi" w:hAnsiTheme="minorBidi" w:cstheme="minorBidi"/>
          <w:b/>
          <w:sz w:val="22"/>
          <w:szCs w:val="22"/>
        </w:rPr>
        <w:t xml:space="preserve"> this portion demands ongoing medical attention, an issue echoed widely in different regions [11].</w:t>
      </w:r>
    </w:p>
    <w:p w14:paraId="4B34C423" w14:textId="77777777" w:rsidR="00567B3E" w:rsidRPr="005D47B3" w:rsidRDefault="00567B3E" w:rsidP="005D47B3">
      <w:pPr>
        <w:rPr>
          <w:rFonts w:asciiTheme="minorBidi" w:hAnsiTheme="minorBidi" w:cstheme="minorBidi"/>
          <w:b/>
          <w:sz w:val="22"/>
          <w:szCs w:val="22"/>
        </w:rPr>
      </w:pPr>
    </w:p>
    <w:p w14:paraId="170AD25E" w14:textId="5CEDB985" w:rsidR="00FF72A4" w:rsidRPr="005D47B3" w:rsidRDefault="00567B3E" w:rsidP="005D47B3">
      <w:pPr>
        <w:rPr>
          <w:rFonts w:asciiTheme="minorBidi" w:hAnsiTheme="minorBidi" w:cstheme="minorBidi"/>
          <w:b/>
          <w:sz w:val="22"/>
          <w:szCs w:val="22"/>
        </w:rPr>
      </w:pPr>
      <w:r w:rsidRPr="005D47B3">
        <w:rPr>
          <w:rFonts w:asciiTheme="minorBidi" w:hAnsiTheme="minorBidi" w:cstheme="minorBidi"/>
          <w:b/>
          <w:sz w:val="22"/>
          <w:szCs w:val="22"/>
        </w:rPr>
        <w:t>Despite its insights, this work carries constraints relevant to interpretation alongside prior reports. A modest participant count (n=42) could limit how widely results apply, especially regarding death rates tied to particular comorbid pairings. Much like research conducted in South Africa [11], our group , possibly drawn from a specialized care setting , might reflect advanced AKI stages (such as Stage 3), leading to higher fatality estimates than those seen in population-level analyses [10]. Equally important, methods used to record and confirm existing health conditions differ across investigations.</w:t>
      </w:r>
    </w:p>
    <w:p w14:paraId="138937D1" w14:textId="77777777" w:rsidR="00FF72A4" w:rsidRPr="005D47B3" w:rsidRDefault="00A63885" w:rsidP="005D47B3">
      <w:pPr>
        <w:rPr>
          <w:rFonts w:asciiTheme="minorBidi" w:hAnsiTheme="minorBidi" w:cstheme="minorBidi"/>
          <w:b/>
          <w:sz w:val="22"/>
          <w:szCs w:val="22"/>
        </w:rPr>
      </w:pPr>
      <w:r w:rsidRPr="005D47B3">
        <w:rPr>
          <w:rFonts w:asciiTheme="minorBidi" w:hAnsiTheme="minorBidi" w:cstheme="minorBidi"/>
          <w:b/>
          <w:sz w:val="22"/>
          <w:szCs w:val="22"/>
        </w:rPr>
        <w:t>This study has limitations. The sample size, though representative of the participating ICUs during the study period, is modest. The cross-sectional design describes associations but cannot establish causality between comorbidities and AKI. The study did not collect specific data on the etiology of AKI (e.g., septic, toxic, hypovolemic) or the severity of the listed comorbidities, which would provide deeper insights. Furthermore, the findings from these tertiary centers may not be fully generalizable to all hospitals in Sudan.</w:t>
      </w:r>
    </w:p>
    <w:p w14:paraId="122F0DE4" w14:textId="77777777" w:rsidR="00FF72A4" w:rsidRPr="005D47B3" w:rsidRDefault="00A63885" w:rsidP="005D47B3">
      <w:pPr>
        <w:rPr>
          <w:rFonts w:asciiTheme="minorBidi" w:hAnsiTheme="minorBidi" w:cstheme="minorBidi"/>
          <w:b/>
          <w:sz w:val="22"/>
          <w:szCs w:val="22"/>
        </w:rPr>
      </w:pPr>
      <w:r w:rsidRPr="005D47B3">
        <w:rPr>
          <w:rFonts w:asciiTheme="minorBidi" w:hAnsiTheme="minorBidi" w:cstheme="minorBidi"/>
          <w:b/>
          <w:sz w:val="22"/>
          <w:szCs w:val="22"/>
        </w:rPr>
        <w:br/>
      </w:r>
    </w:p>
    <w:p w14:paraId="3234A9D0" w14:textId="77777777" w:rsidR="00FF72A4" w:rsidRPr="005D47B3" w:rsidRDefault="00A63885" w:rsidP="005D47B3">
      <w:pPr>
        <w:rPr>
          <w:rFonts w:asciiTheme="minorBidi" w:hAnsiTheme="minorBidi" w:cstheme="minorBidi"/>
          <w:b/>
          <w:sz w:val="22"/>
          <w:szCs w:val="22"/>
        </w:rPr>
      </w:pPr>
      <w:r w:rsidRPr="005D47B3">
        <w:rPr>
          <w:rFonts w:asciiTheme="minorBidi" w:hAnsiTheme="minorBidi" w:cstheme="minorBidi"/>
          <w:b/>
          <w:sz w:val="22"/>
          <w:szCs w:val="22"/>
        </w:rPr>
        <w:t>Conclusion</w:t>
      </w:r>
    </w:p>
    <w:p w14:paraId="2C944CAD" w14:textId="12198385" w:rsidR="006F776F" w:rsidRPr="005D47B3" w:rsidRDefault="006F776F" w:rsidP="005D47B3">
      <w:pPr>
        <w:ind w:firstLine="720"/>
        <w:rPr>
          <w:rFonts w:asciiTheme="minorBidi" w:hAnsiTheme="minorBidi" w:cstheme="minorBidi"/>
          <w:b/>
          <w:sz w:val="22"/>
          <w:szCs w:val="22"/>
        </w:rPr>
      </w:pPr>
      <w:r w:rsidRPr="005D47B3">
        <w:rPr>
          <w:rFonts w:asciiTheme="minorBidi" w:hAnsiTheme="minorBidi" w:cstheme="minorBidi"/>
          <w:b/>
          <w:sz w:val="22"/>
          <w:szCs w:val="22"/>
        </w:rPr>
        <w:t xml:space="preserve">This study confirms that AKI in our setting is a disease heavily superimposed on a background of chronic non-communicable diseases, particularly hypertension and diabetes, leading to substantial mortality. The young age of our patients and the unique gender-age interaction signal an emerging epidemic requiring targeted prevention strategies. The extremely high mortality associated with multiple comorbidities, especially the triad of DM, HTN, and cerebrovascular disease, identifies a critical subgroup for intensive management. These findings reinforce the broader African and global literature on the centrality of comorbidities in </w:t>
      </w:r>
      <w:proofErr w:type="gramStart"/>
      <w:r w:rsidRPr="005D47B3">
        <w:rPr>
          <w:rFonts w:asciiTheme="minorBidi" w:hAnsiTheme="minorBidi" w:cstheme="minorBidi"/>
          <w:b/>
          <w:sz w:val="22"/>
          <w:szCs w:val="22"/>
        </w:rPr>
        <w:t>AKI ,</w:t>
      </w:r>
      <w:proofErr w:type="gramEnd"/>
      <w:r w:rsidRPr="005D47B3">
        <w:rPr>
          <w:rFonts w:asciiTheme="minorBidi" w:hAnsiTheme="minorBidi" w:cstheme="minorBidi"/>
          <w:b/>
          <w:sz w:val="22"/>
          <w:szCs w:val="22"/>
        </w:rPr>
        <w:t xml:space="preserve">  while highlighting distinctive local demographic patterns. Future efforts must focus on integrated management of chronic diseases to prevent AKI and on recognizing high-risk </w:t>
      </w:r>
      <w:r w:rsidRPr="005D47B3">
        <w:rPr>
          <w:rFonts w:asciiTheme="minorBidi" w:hAnsiTheme="minorBidi" w:cstheme="minorBidi"/>
          <w:b/>
          <w:sz w:val="22"/>
          <w:szCs w:val="22"/>
        </w:rPr>
        <w:lastRenderedPageBreak/>
        <w:t>comorbidity profiles to improve outcomes when AKI occurs.</w:t>
      </w:r>
    </w:p>
    <w:p w14:paraId="148C6FD1" w14:textId="6D66E616" w:rsidR="00CC00C5" w:rsidRPr="00071BFA" w:rsidRDefault="00CC00C5">
      <w:pPr>
        <w:rPr>
          <w:rFonts w:hint="eastAsia"/>
          <w:bCs/>
        </w:rPr>
      </w:pPr>
    </w:p>
    <w:p w14:paraId="042542D1" w14:textId="77777777" w:rsidR="009A3143" w:rsidRPr="00CA3906" w:rsidRDefault="009A3143" w:rsidP="009A3143">
      <w:pPr>
        <w:rPr>
          <w:rFonts w:hint="eastAsia"/>
          <w:b/>
          <w:highlight w:val="yellow"/>
        </w:rPr>
      </w:pPr>
      <w:r w:rsidRPr="00CA3906">
        <w:rPr>
          <w:b/>
          <w:highlight w:val="yellow"/>
        </w:rPr>
        <w:t>Disclaimer (Artificial intelligence)</w:t>
      </w:r>
    </w:p>
    <w:p w14:paraId="2480EB79" w14:textId="77777777" w:rsidR="009A3143" w:rsidRPr="00740879" w:rsidRDefault="009A3143" w:rsidP="009A3143">
      <w:pPr>
        <w:rPr>
          <w:rFonts w:hint="eastAsia"/>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AAA6596" w14:textId="77777777" w:rsidR="00CC00C5" w:rsidRPr="00071BFA" w:rsidRDefault="00CC00C5">
      <w:pPr>
        <w:rPr>
          <w:rFonts w:hint="eastAsia"/>
          <w:bCs/>
        </w:rPr>
      </w:pPr>
    </w:p>
    <w:p w14:paraId="26082255" w14:textId="77777777" w:rsidR="00FF72A4" w:rsidRPr="00071BFA" w:rsidRDefault="00A63885">
      <w:pPr>
        <w:rPr>
          <w:rFonts w:hint="eastAsia"/>
          <w:bCs/>
          <w:sz w:val="32"/>
          <w:szCs w:val="32"/>
        </w:rPr>
      </w:pPr>
      <w:r w:rsidRPr="00071BFA">
        <w:rPr>
          <w:bCs/>
          <w:sz w:val="32"/>
          <w:szCs w:val="32"/>
        </w:rPr>
        <w:t>References</w:t>
      </w:r>
    </w:p>
    <w:p w14:paraId="2BF53E3C" w14:textId="3A0CB099" w:rsidR="00847BF2" w:rsidRPr="00847BF2" w:rsidRDefault="00847BF2" w:rsidP="00847BF2">
      <w:pPr>
        <w:rPr>
          <w:rFonts w:hint="eastAsia"/>
          <w:bCs/>
        </w:rPr>
      </w:pPr>
    </w:p>
    <w:p w14:paraId="7A613F10" w14:textId="77777777" w:rsidR="00847BF2" w:rsidRPr="00847BF2" w:rsidRDefault="00847BF2" w:rsidP="00847BF2">
      <w:pPr>
        <w:rPr>
          <w:rFonts w:hint="eastAsia"/>
          <w:bCs/>
        </w:rPr>
      </w:pPr>
    </w:p>
    <w:p w14:paraId="7FBD3CA6" w14:textId="5958133A"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1. </w:t>
      </w:r>
      <w:proofErr w:type="spellStart"/>
      <w:r w:rsidRPr="004715E0">
        <w:rPr>
          <w:rFonts w:asciiTheme="minorBidi" w:hAnsiTheme="minorBidi" w:cstheme="minorBidi"/>
          <w:b/>
          <w:sz w:val="20"/>
          <w:szCs w:val="20"/>
        </w:rPr>
        <w:t>Hoste</w:t>
      </w:r>
      <w:proofErr w:type="spellEnd"/>
      <w:r w:rsidRPr="004715E0">
        <w:rPr>
          <w:rFonts w:asciiTheme="minorBidi" w:hAnsiTheme="minorBidi" w:cstheme="minorBidi"/>
          <w:b/>
          <w:sz w:val="20"/>
          <w:szCs w:val="20"/>
        </w:rPr>
        <w:t xml:space="preserve">, E. A. J., </w:t>
      </w:r>
      <w:proofErr w:type="spellStart"/>
      <w:r w:rsidRPr="004715E0">
        <w:rPr>
          <w:rFonts w:asciiTheme="minorBidi" w:hAnsiTheme="minorBidi" w:cstheme="minorBidi"/>
          <w:b/>
          <w:sz w:val="20"/>
          <w:szCs w:val="20"/>
        </w:rPr>
        <w:t>Bagshaw</w:t>
      </w:r>
      <w:proofErr w:type="spellEnd"/>
      <w:r w:rsidRPr="004715E0">
        <w:rPr>
          <w:rFonts w:asciiTheme="minorBidi" w:hAnsiTheme="minorBidi" w:cstheme="minorBidi"/>
          <w:b/>
          <w:sz w:val="20"/>
          <w:szCs w:val="20"/>
        </w:rPr>
        <w:t xml:space="preserve">, S. M., </w:t>
      </w:r>
      <w:proofErr w:type="spellStart"/>
      <w:r w:rsidRPr="004715E0">
        <w:rPr>
          <w:rFonts w:asciiTheme="minorBidi" w:hAnsiTheme="minorBidi" w:cstheme="minorBidi"/>
          <w:b/>
          <w:sz w:val="20"/>
          <w:szCs w:val="20"/>
        </w:rPr>
        <w:t>Bellomo</w:t>
      </w:r>
      <w:proofErr w:type="spellEnd"/>
      <w:r w:rsidRPr="004715E0">
        <w:rPr>
          <w:rFonts w:asciiTheme="minorBidi" w:hAnsiTheme="minorBidi" w:cstheme="minorBidi"/>
          <w:b/>
          <w:sz w:val="20"/>
          <w:szCs w:val="20"/>
        </w:rPr>
        <w:t xml:space="preserve">, R., </w:t>
      </w:r>
      <w:proofErr w:type="spellStart"/>
      <w:r w:rsidRPr="004715E0">
        <w:rPr>
          <w:rFonts w:asciiTheme="minorBidi" w:hAnsiTheme="minorBidi" w:cstheme="minorBidi"/>
          <w:b/>
          <w:sz w:val="20"/>
          <w:szCs w:val="20"/>
        </w:rPr>
        <w:t>Cely</w:t>
      </w:r>
      <w:proofErr w:type="spellEnd"/>
      <w:r w:rsidRPr="004715E0">
        <w:rPr>
          <w:rFonts w:asciiTheme="minorBidi" w:hAnsiTheme="minorBidi" w:cstheme="minorBidi"/>
          <w:b/>
          <w:sz w:val="20"/>
          <w:szCs w:val="20"/>
        </w:rPr>
        <w:t>, C. M., Colman, R., Cruz, D. N., et al. (2015). Epidemiology of acute kidney injury in critically ill patients: th</w:t>
      </w:r>
      <w:r w:rsidRPr="004715E0">
        <w:rPr>
          <w:rFonts w:asciiTheme="minorBidi" w:hAnsiTheme="minorBidi" w:cstheme="minorBidi"/>
          <w:b/>
          <w:sz w:val="20"/>
          <w:szCs w:val="20"/>
        </w:rPr>
        <w:t>e multinational AKI-EPI study. Intensive Care Medicine</w:t>
      </w:r>
      <w:r w:rsidRPr="004715E0">
        <w:rPr>
          <w:rFonts w:asciiTheme="minorBidi" w:hAnsiTheme="minorBidi" w:cstheme="minorBidi"/>
          <w:b/>
          <w:sz w:val="20"/>
          <w:szCs w:val="20"/>
        </w:rPr>
        <w:t>, 41(8), 1411</w:t>
      </w:r>
      <w:r w:rsidR="004715E0" w:rsidRPr="004715E0">
        <w:rPr>
          <w:rFonts w:asciiTheme="minorBidi" w:hAnsiTheme="minorBidi" w:cstheme="minorBidi"/>
          <w:b/>
          <w:sz w:val="20"/>
          <w:szCs w:val="20"/>
        </w:rPr>
        <w:t>-</w:t>
      </w:r>
      <w:r w:rsidRPr="004715E0">
        <w:rPr>
          <w:rFonts w:asciiTheme="minorBidi" w:hAnsiTheme="minorBidi" w:cstheme="minorBidi"/>
          <w:b/>
          <w:sz w:val="20"/>
          <w:szCs w:val="20"/>
        </w:rPr>
        <w:t>1423.</w:t>
      </w:r>
    </w:p>
    <w:p w14:paraId="19CCA59E" w14:textId="77777777" w:rsidR="00847BF2" w:rsidRPr="004715E0" w:rsidRDefault="00847BF2" w:rsidP="00847BF2">
      <w:pPr>
        <w:rPr>
          <w:rFonts w:asciiTheme="minorBidi" w:hAnsiTheme="minorBidi" w:cstheme="minorBidi"/>
          <w:b/>
          <w:sz w:val="20"/>
          <w:szCs w:val="20"/>
        </w:rPr>
      </w:pPr>
    </w:p>
    <w:p w14:paraId="5AFA54DF" w14:textId="00A966EB"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2. </w:t>
      </w:r>
      <w:proofErr w:type="spellStart"/>
      <w:r w:rsidRPr="004715E0">
        <w:rPr>
          <w:rFonts w:asciiTheme="minorBidi" w:hAnsiTheme="minorBidi" w:cstheme="minorBidi"/>
          <w:b/>
          <w:sz w:val="20"/>
          <w:szCs w:val="20"/>
        </w:rPr>
        <w:t>Lewington</w:t>
      </w:r>
      <w:proofErr w:type="spellEnd"/>
      <w:r w:rsidRPr="004715E0">
        <w:rPr>
          <w:rFonts w:asciiTheme="minorBidi" w:hAnsiTheme="minorBidi" w:cstheme="minorBidi"/>
          <w:b/>
          <w:sz w:val="20"/>
          <w:szCs w:val="20"/>
        </w:rPr>
        <w:t xml:space="preserve">, A. J. P., </w:t>
      </w:r>
      <w:proofErr w:type="spellStart"/>
      <w:r w:rsidRPr="004715E0">
        <w:rPr>
          <w:rFonts w:asciiTheme="minorBidi" w:hAnsiTheme="minorBidi" w:cstheme="minorBidi"/>
          <w:b/>
          <w:sz w:val="20"/>
          <w:szCs w:val="20"/>
        </w:rPr>
        <w:t>Cerd</w:t>
      </w:r>
      <w:proofErr w:type="spellEnd"/>
      <w:r w:rsidRPr="004715E0">
        <w:rPr>
          <w:rFonts w:asciiTheme="minorBidi" w:hAnsiTheme="minorBidi" w:cstheme="minorBidi"/>
          <w:b/>
          <w:sz w:val="20"/>
          <w:szCs w:val="20"/>
        </w:rPr>
        <w:t>á, J., &amp; Mehta, R. L. (2013). Raising awareness of acute kidney injury: a global p</w:t>
      </w:r>
      <w:r w:rsidRPr="004715E0">
        <w:rPr>
          <w:rFonts w:asciiTheme="minorBidi" w:hAnsiTheme="minorBidi" w:cstheme="minorBidi"/>
          <w:b/>
          <w:sz w:val="20"/>
          <w:szCs w:val="20"/>
        </w:rPr>
        <w:t xml:space="preserve">erspective of a silent killer. </w:t>
      </w:r>
      <w:r w:rsidRPr="004715E0">
        <w:rPr>
          <w:rFonts w:asciiTheme="minorBidi" w:hAnsiTheme="minorBidi" w:cstheme="minorBidi"/>
          <w:b/>
          <w:sz w:val="20"/>
          <w:szCs w:val="20"/>
        </w:rPr>
        <w:t xml:space="preserve">Kidney </w:t>
      </w:r>
      <w:proofErr w:type="gramStart"/>
      <w:r w:rsidRPr="004715E0">
        <w:rPr>
          <w:rFonts w:asciiTheme="minorBidi" w:hAnsiTheme="minorBidi" w:cstheme="minorBidi"/>
          <w:b/>
          <w:sz w:val="20"/>
          <w:szCs w:val="20"/>
        </w:rPr>
        <w:t>Interna</w:t>
      </w:r>
      <w:r w:rsidRPr="004715E0">
        <w:rPr>
          <w:rFonts w:asciiTheme="minorBidi" w:hAnsiTheme="minorBidi" w:cstheme="minorBidi"/>
          <w:b/>
          <w:sz w:val="20"/>
          <w:szCs w:val="20"/>
        </w:rPr>
        <w:t xml:space="preserve">tional </w:t>
      </w:r>
      <w:r w:rsidRPr="004715E0">
        <w:rPr>
          <w:rFonts w:asciiTheme="minorBidi" w:hAnsiTheme="minorBidi" w:cstheme="minorBidi"/>
          <w:b/>
          <w:sz w:val="20"/>
          <w:szCs w:val="20"/>
        </w:rPr>
        <w:t>,</w:t>
      </w:r>
      <w:proofErr w:type="gramEnd"/>
      <w:r w:rsidRPr="004715E0">
        <w:rPr>
          <w:rFonts w:asciiTheme="minorBidi" w:hAnsiTheme="minorBidi" w:cstheme="minorBidi"/>
          <w:b/>
          <w:sz w:val="20"/>
          <w:szCs w:val="20"/>
        </w:rPr>
        <w:t xml:space="preserve"> 84(3), 457</w:t>
      </w:r>
      <w:r w:rsidR="004715E0" w:rsidRPr="004715E0">
        <w:rPr>
          <w:rFonts w:asciiTheme="minorBidi" w:hAnsiTheme="minorBidi" w:cstheme="minorBidi"/>
          <w:b/>
          <w:sz w:val="20"/>
          <w:szCs w:val="20"/>
        </w:rPr>
        <w:t>-</w:t>
      </w:r>
      <w:r w:rsidRPr="004715E0">
        <w:rPr>
          <w:rFonts w:asciiTheme="minorBidi" w:hAnsiTheme="minorBidi" w:cstheme="minorBidi"/>
          <w:b/>
          <w:sz w:val="20"/>
          <w:szCs w:val="20"/>
        </w:rPr>
        <w:t>467.</w:t>
      </w:r>
    </w:p>
    <w:p w14:paraId="5096CAE0" w14:textId="77777777" w:rsidR="00847BF2" w:rsidRPr="004715E0" w:rsidRDefault="00847BF2" w:rsidP="00847BF2">
      <w:pPr>
        <w:rPr>
          <w:rFonts w:asciiTheme="minorBidi" w:hAnsiTheme="minorBidi" w:cstheme="minorBidi"/>
          <w:b/>
          <w:sz w:val="20"/>
          <w:szCs w:val="20"/>
        </w:rPr>
      </w:pPr>
    </w:p>
    <w:p w14:paraId="43F1C160" w14:textId="1FE11BFC"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3. </w:t>
      </w:r>
      <w:proofErr w:type="spellStart"/>
      <w:r w:rsidRPr="004715E0">
        <w:rPr>
          <w:rFonts w:asciiTheme="minorBidi" w:hAnsiTheme="minorBidi" w:cstheme="minorBidi"/>
          <w:b/>
          <w:sz w:val="20"/>
          <w:szCs w:val="20"/>
        </w:rPr>
        <w:t>Susantitaphong</w:t>
      </w:r>
      <w:proofErr w:type="spellEnd"/>
      <w:r w:rsidRPr="004715E0">
        <w:rPr>
          <w:rFonts w:asciiTheme="minorBidi" w:hAnsiTheme="minorBidi" w:cstheme="minorBidi"/>
          <w:b/>
          <w:sz w:val="20"/>
          <w:szCs w:val="20"/>
        </w:rPr>
        <w:t xml:space="preserve">, P., Cruz, D. N., Cerda, J., </w:t>
      </w:r>
      <w:proofErr w:type="spellStart"/>
      <w:r w:rsidRPr="004715E0">
        <w:rPr>
          <w:rFonts w:asciiTheme="minorBidi" w:hAnsiTheme="minorBidi" w:cstheme="minorBidi"/>
          <w:b/>
          <w:sz w:val="20"/>
          <w:szCs w:val="20"/>
        </w:rPr>
        <w:t>Abulfaraj</w:t>
      </w:r>
      <w:proofErr w:type="spellEnd"/>
      <w:r w:rsidRPr="004715E0">
        <w:rPr>
          <w:rFonts w:asciiTheme="minorBidi" w:hAnsiTheme="minorBidi" w:cstheme="minorBidi"/>
          <w:b/>
          <w:sz w:val="20"/>
          <w:szCs w:val="20"/>
        </w:rPr>
        <w:t xml:space="preserve">, M., </w:t>
      </w:r>
      <w:proofErr w:type="spellStart"/>
      <w:r w:rsidRPr="004715E0">
        <w:rPr>
          <w:rFonts w:asciiTheme="minorBidi" w:hAnsiTheme="minorBidi" w:cstheme="minorBidi"/>
          <w:b/>
          <w:sz w:val="20"/>
          <w:szCs w:val="20"/>
        </w:rPr>
        <w:t>Alqahtani</w:t>
      </w:r>
      <w:proofErr w:type="spellEnd"/>
      <w:r w:rsidRPr="004715E0">
        <w:rPr>
          <w:rFonts w:asciiTheme="minorBidi" w:hAnsiTheme="minorBidi" w:cstheme="minorBidi"/>
          <w:b/>
          <w:sz w:val="20"/>
          <w:szCs w:val="20"/>
        </w:rPr>
        <w:t xml:space="preserve">, F., </w:t>
      </w:r>
      <w:proofErr w:type="spellStart"/>
      <w:r w:rsidRPr="004715E0">
        <w:rPr>
          <w:rFonts w:asciiTheme="minorBidi" w:hAnsiTheme="minorBidi" w:cstheme="minorBidi"/>
          <w:b/>
          <w:sz w:val="20"/>
          <w:szCs w:val="20"/>
        </w:rPr>
        <w:t>Koulouridis</w:t>
      </w:r>
      <w:proofErr w:type="spellEnd"/>
      <w:r w:rsidRPr="004715E0">
        <w:rPr>
          <w:rFonts w:asciiTheme="minorBidi" w:hAnsiTheme="minorBidi" w:cstheme="minorBidi"/>
          <w:b/>
          <w:sz w:val="20"/>
          <w:szCs w:val="20"/>
        </w:rPr>
        <w:t>, I., et al. (2013). World inci</w:t>
      </w:r>
      <w:r w:rsidRPr="004715E0">
        <w:rPr>
          <w:rFonts w:asciiTheme="minorBidi" w:hAnsiTheme="minorBidi" w:cstheme="minorBidi"/>
          <w:b/>
          <w:sz w:val="20"/>
          <w:szCs w:val="20"/>
        </w:rPr>
        <w:t xml:space="preserve">dence of AKI: a meta-analysis. </w:t>
      </w:r>
      <w:r w:rsidRPr="004715E0">
        <w:rPr>
          <w:rFonts w:asciiTheme="minorBidi" w:hAnsiTheme="minorBidi" w:cstheme="minorBidi"/>
          <w:b/>
          <w:sz w:val="20"/>
          <w:szCs w:val="20"/>
        </w:rPr>
        <w:t>Clinical Journal of the</w:t>
      </w:r>
      <w:r w:rsidRPr="004715E0">
        <w:rPr>
          <w:rFonts w:asciiTheme="minorBidi" w:hAnsiTheme="minorBidi" w:cstheme="minorBidi"/>
          <w:b/>
          <w:sz w:val="20"/>
          <w:szCs w:val="20"/>
        </w:rPr>
        <w:t xml:space="preserve"> American Society of Nephrology</w:t>
      </w:r>
      <w:r w:rsidRPr="004715E0">
        <w:rPr>
          <w:rFonts w:asciiTheme="minorBidi" w:hAnsiTheme="minorBidi" w:cstheme="minorBidi"/>
          <w:b/>
          <w:sz w:val="20"/>
          <w:szCs w:val="20"/>
        </w:rPr>
        <w:t>, 8(9), 1482</w:t>
      </w:r>
      <w:r w:rsidR="004715E0" w:rsidRPr="004715E0">
        <w:rPr>
          <w:rFonts w:asciiTheme="minorBidi" w:hAnsiTheme="minorBidi" w:cstheme="minorBidi"/>
          <w:b/>
          <w:sz w:val="20"/>
          <w:szCs w:val="20"/>
        </w:rPr>
        <w:t>-</w:t>
      </w:r>
      <w:r w:rsidRPr="004715E0">
        <w:rPr>
          <w:rFonts w:asciiTheme="minorBidi" w:hAnsiTheme="minorBidi" w:cstheme="minorBidi"/>
          <w:b/>
          <w:sz w:val="20"/>
          <w:szCs w:val="20"/>
        </w:rPr>
        <w:t>1493.</w:t>
      </w:r>
    </w:p>
    <w:p w14:paraId="2C945D16" w14:textId="77777777" w:rsidR="00847BF2" w:rsidRPr="004715E0" w:rsidRDefault="00847BF2" w:rsidP="00847BF2">
      <w:pPr>
        <w:rPr>
          <w:rFonts w:asciiTheme="minorBidi" w:hAnsiTheme="minorBidi" w:cstheme="minorBidi"/>
          <w:b/>
          <w:sz w:val="20"/>
          <w:szCs w:val="20"/>
        </w:rPr>
      </w:pPr>
    </w:p>
    <w:p w14:paraId="52C3ED55" w14:textId="13B0594B"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4. James, M. T., </w:t>
      </w:r>
      <w:proofErr w:type="spellStart"/>
      <w:r w:rsidRPr="004715E0">
        <w:rPr>
          <w:rFonts w:asciiTheme="minorBidi" w:hAnsiTheme="minorBidi" w:cstheme="minorBidi"/>
          <w:b/>
          <w:sz w:val="20"/>
          <w:szCs w:val="20"/>
        </w:rPr>
        <w:t>Hemmelgarn</w:t>
      </w:r>
      <w:proofErr w:type="spellEnd"/>
      <w:r w:rsidRPr="004715E0">
        <w:rPr>
          <w:rFonts w:asciiTheme="minorBidi" w:hAnsiTheme="minorBidi" w:cstheme="minorBidi"/>
          <w:b/>
          <w:sz w:val="20"/>
          <w:szCs w:val="20"/>
        </w:rPr>
        <w:t xml:space="preserve">, B. R., &amp; </w:t>
      </w:r>
      <w:proofErr w:type="spellStart"/>
      <w:r w:rsidRPr="004715E0">
        <w:rPr>
          <w:rFonts w:asciiTheme="minorBidi" w:hAnsiTheme="minorBidi" w:cstheme="minorBidi"/>
          <w:b/>
          <w:sz w:val="20"/>
          <w:szCs w:val="20"/>
        </w:rPr>
        <w:t>Tonelli</w:t>
      </w:r>
      <w:proofErr w:type="spellEnd"/>
      <w:r w:rsidRPr="004715E0">
        <w:rPr>
          <w:rFonts w:asciiTheme="minorBidi" w:hAnsiTheme="minorBidi" w:cstheme="minorBidi"/>
          <w:b/>
          <w:sz w:val="20"/>
          <w:szCs w:val="20"/>
        </w:rPr>
        <w:t>, M. (2019). Association between acute kidney injury and residual kidney function decline in chronic kidney dis</w:t>
      </w:r>
      <w:r w:rsidR="004715E0" w:rsidRPr="004715E0">
        <w:rPr>
          <w:rFonts w:asciiTheme="minorBidi" w:hAnsiTheme="minorBidi" w:cstheme="minorBidi"/>
          <w:b/>
          <w:sz w:val="20"/>
          <w:szCs w:val="20"/>
        </w:rPr>
        <w:t xml:space="preserve">ease patients: a cohort study. </w:t>
      </w:r>
      <w:r w:rsidRPr="004715E0">
        <w:rPr>
          <w:rFonts w:asciiTheme="minorBidi" w:hAnsiTheme="minorBidi" w:cstheme="minorBidi"/>
          <w:b/>
          <w:sz w:val="20"/>
          <w:szCs w:val="20"/>
        </w:rPr>
        <w:t>Neph</w:t>
      </w:r>
      <w:r w:rsidR="004715E0" w:rsidRPr="004715E0">
        <w:rPr>
          <w:rFonts w:asciiTheme="minorBidi" w:hAnsiTheme="minorBidi" w:cstheme="minorBidi"/>
          <w:b/>
          <w:sz w:val="20"/>
          <w:szCs w:val="20"/>
        </w:rPr>
        <w:t>rology Dialysis Transplantation</w:t>
      </w:r>
      <w:r w:rsidRPr="004715E0">
        <w:rPr>
          <w:rFonts w:asciiTheme="minorBidi" w:hAnsiTheme="minorBidi" w:cstheme="minorBidi"/>
          <w:b/>
          <w:sz w:val="20"/>
          <w:szCs w:val="20"/>
        </w:rPr>
        <w:t>, 34(2), 291</w:t>
      </w:r>
      <w:r w:rsidR="004715E0" w:rsidRPr="004715E0">
        <w:rPr>
          <w:rFonts w:asciiTheme="minorBidi" w:hAnsiTheme="minorBidi" w:cstheme="minorBidi"/>
          <w:b/>
          <w:sz w:val="20"/>
          <w:szCs w:val="20"/>
        </w:rPr>
        <w:t>-</w:t>
      </w:r>
      <w:r w:rsidRPr="004715E0">
        <w:rPr>
          <w:rFonts w:asciiTheme="minorBidi" w:hAnsiTheme="minorBidi" w:cstheme="minorBidi"/>
          <w:b/>
          <w:sz w:val="20"/>
          <w:szCs w:val="20"/>
        </w:rPr>
        <w:t>298.</w:t>
      </w:r>
    </w:p>
    <w:p w14:paraId="4174B5A3" w14:textId="77777777" w:rsidR="00847BF2" w:rsidRPr="004715E0" w:rsidRDefault="00847BF2" w:rsidP="00847BF2">
      <w:pPr>
        <w:rPr>
          <w:rFonts w:asciiTheme="minorBidi" w:hAnsiTheme="minorBidi" w:cstheme="minorBidi"/>
          <w:b/>
          <w:sz w:val="20"/>
          <w:szCs w:val="20"/>
        </w:rPr>
      </w:pPr>
    </w:p>
    <w:p w14:paraId="35690D4D" w14:textId="6DCDC951"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5. Silver, S. A., </w:t>
      </w:r>
      <w:proofErr w:type="spellStart"/>
      <w:r w:rsidRPr="004715E0">
        <w:rPr>
          <w:rFonts w:asciiTheme="minorBidi" w:hAnsiTheme="minorBidi" w:cstheme="minorBidi"/>
          <w:b/>
          <w:sz w:val="20"/>
          <w:szCs w:val="20"/>
        </w:rPr>
        <w:t>Harel</w:t>
      </w:r>
      <w:proofErr w:type="spellEnd"/>
      <w:r w:rsidRPr="004715E0">
        <w:rPr>
          <w:rFonts w:asciiTheme="minorBidi" w:hAnsiTheme="minorBidi" w:cstheme="minorBidi"/>
          <w:b/>
          <w:sz w:val="20"/>
          <w:szCs w:val="20"/>
        </w:rPr>
        <w:t xml:space="preserve">, Z., McArthur, E., Nash, D. M., </w:t>
      </w:r>
      <w:proofErr w:type="spellStart"/>
      <w:r w:rsidRPr="004715E0">
        <w:rPr>
          <w:rFonts w:asciiTheme="minorBidi" w:hAnsiTheme="minorBidi" w:cstheme="minorBidi"/>
          <w:b/>
          <w:sz w:val="20"/>
          <w:szCs w:val="20"/>
        </w:rPr>
        <w:t>Acedillo</w:t>
      </w:r>
      <w:proofErr w:type="spellEnd"/>
      <w:r w:rsidRPr="004715E0">
        <w:rPr>
          <w:rFonts w:asciiTheme="minorBidi" w:hAnsiTheme="minorBidi" w:cstheme="minorBidi"/>
          <w:b/>
          <w:sz w:val="20"/>
          <w:szCs w:val="20"/>
        </w:rPr>
        <w:t xml:space="preserve">, R., </w:t>
      </w:r>
      <w:proofErr w:type="spellStart"/>
      <w:r w:rsidRPr="004715E0">
        <w:rPr>
          <w:rFonts w:asciiTheme="minorBidi" w:hAnsiTheme="minorBidi" w:cstheme="minorBidi"/>
          <w:b/>
          <w:sz w:val="20"/>
          <w:szCs w:val="20"/>
        </w:rPr>
        <w:t>Kitchlu</w:t>
      </w:r>
      <w:proofErr w:type="spellEnd"/>
      <w:r w:rsidRPr="004715E0">
        <w:rPr>
          <w:rFonts w:asciiTheme="minorBidi" w:hAnsiTheme="minorBidi" w:cstheme="minorBidi"/>
          <w:b/>
          <w:sz w:val="20"/>
          <w:szCs w:val="20"/>
        </w:rPr>
        <w:t xml:space="preserve">, A., et al. (2018). The epidemiology of acute kidney injury in primary care: a </w:t>
      </w:r>
      <w:r w:rsidR="004715E0" w:rsidRPr="004715E0">
        <w:rPr>
          <w:rFonts w:asciiTheme="minorBidi" w:hAnsiTheme="minorBidi" w:cstheme="minorBidi"/>
          <w:b/>
          <w:sz w:val="20"/>
          <w:szCs w:val="20"/>
        </w:rPr>
        <w:t>population-based cohort study. BMJ Open</w:t>
      </w:r>
      <w:r w:rsidRPr="004715E0">
        <w:rPr>
          <w:rFonts w:asciiTheme="minorBidi" w:hAnsiTheme="minorBidi" w:cstheme="minorBidi"/>
          <w:b/>
          <w:sz w:val="20"/>
          <w:szCs w:val="20"/>
        </w:rPr>
        <w:t>, 8(5), e019539.</w:t>
      </w:r>
    </w:p>
    <w:p w14:paraId="1A3009B5" w14:textId="77777777" w:rsidR="00847BF2" w:rsidRPr="004715E0" w:rsidRDefault="00847BF2" w:rsidP="00847BF2">
      <w:pPr>
        <w:rPr>
          <w:rFonts w:asciiTheme="minorBidi" w:hAnsiTheme="minorBidi" w:cstheme="minorBidi"/>
          <w:b/>
          <w:sz w:val="20"/>
          <w:szCs w:val="20"/>
        </w:rPr>
      </w:pPr>
    </w:p>
    <w:p w14:paraId="3FF12A36" w14:textId="33293A14"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6. </w:t>
      </w:r>
      <w:proofErr w:type="spellStart"/>
      <w:r w:rsidRPr="004715E0">
        <w:rPr>
          <w:rFonts w:asciiTheme="minorBidi" w:hAnsiTheme="minorBidi" w:cstheme="minorBidi"/>
          <w:b/>
          <w:sz w:val="20"/>
          <w:szCs w:val="20"/>
        </w:rPr>
        <w:t>Olowu</w:t>
      </w:r>
      <w:proofErr w:type="spellEnd"/>
      <w:r w:rsidRPr="004715E0">
        <w:rPr>
          <w:rFonts w:asciiTheme="minorBidi" w:hAnsiTheme="minorBidi" w:cstheme="minorBidi"/>
          <w:b/>
          <w:sz w:val="20"/>
          <w:szCs w:val="20"/>
        </w:rPr>
        <w:t xml:space="preserve">, W. A., </w:t>
      </w:r>
      <w:proofErr w:type="spellStart"/>
      <w:r w:rsidRPr="004715E0">
        <w:rPr>
          <w:rFonts w:asciiTheme="minorBidi" w:hAnsiTheme="minorBidi" w:cstheme="minorBidi"/>
          <w:b/>
          <w:sz w:val="20"/>
          <w:szCs w:val="20"/>
        </w:rPr>
        <w:t>Niang</w:t>
      </w:r>
      <w:proofErr w:type="spellEnd"/>
      <w:r w:rsidRPr="004715E0">
        <w:rPr>
          <w:rFonts w:asciiTheme="minorBidi" w:hAnsiTheme="minorBidi" w:cstheme="minorBidi"/>
          <w:b/>
          <w:sz w:val="20"/>
          <w:szCs w:val="20"/>
        </w:rPr>
        <w:t xml:space="preserve">, A., </w:t>
      </w:r>
      <w:proofErr w:type="spellStart"/>
      <w:r w:rsidRPr="004715E0">
        <w:rPr>
          <w:rFonts w:asciiTheme="minorBidi" w:hAnsiTheme="minorBidi" w:cstheme="minorBidi"/>
          <w:b/>
          <w:sz w:val="20"/>
          <w:szCs w:val="20"/>
        </w:rPr>
        <w:t>Osafo</w:t>
      </w:r>
      <w:proofErr w:type="spellEnd"/>
      <w:r w:rsidRPr="004715E0">
        <w:rPr>
          <w:rFonts w:asciiTheme="minorBidi" w:hAnsiTheme="minorBidi" w:cstheme="minorBidi"/>
          <w:b/>
          <w:sz w:val="20"/>
          <w:szCs w:val="20"/>
        </w:rPr>
        <w:t xml:space="preserve">, C., </w:t>
      </w:r>
      <w:proofErr w:type="spellStart"/>
      <w:r w:rsidRPr="004715E0">
        <w:rPr>
          <w:rFonts w:asciiTheme="minorBidi" w:hAnsiTheme="minorBidi" w:cstheme="minorBidi"/>
          <w:b/>
          <w:sz w:val="20"/>
          <w:szCs w:val="20"/>
        </w:rPr>
        <w:t>Ashuntantang</w:t>
      </w:r>
      <w:proofErr w:type="spellEnd"/>
      <w:r w:rsidRPr="004715E0">
        <w:rPr>
          <w:rFonts w:asciiTheme="minorBidi" w:hAnsiTheme="minorBidi" w:cstheme="minorBidi"/>
          <w:b/>
          <w:sz w:val="20"/>
          <w:szCs w:val="20"/>
        </w:rPr>
        <w:t xml:space="preserve">, G., </w:t>
      </w:r>
      <w:proofErr w:type="spellStart"/>
      <w:r w:rsidRPr="004715E0">
        <w:rPr>
          <w:rFonts w:asciiTheme="minorBidi" w:hAnsiTheme="minorBidi" w:cstheme="minorBidi"/>
          <w:b/>
          <w:sz w:val="20"/>
          <w:szCs w:val="20"/>
        </w:rPr>
        <w:t>Arogundade</w:t>
      </w:r>
      <w:proofErr w:type="spellEnd"/>
      <w:r w:rsidRPr="004715E0">
        <w:rPr>
          <w:rFonts w:asciiTheme="minorBidi" w:hAnsiTheme="minorBidi" w:cstheme="minorBidi"/>
          <w:b/>
          <w:sz w:val="20"/>
          <w:szCs w:val="20"/>
        </w:rPr>
        <w:t>, F. A., Porter, J., et al. (2016). Outcomes of acute kidney injury in children and adults in sub-Sahara</w:t>
      </w:r>
      <w:r w:rsidR="004715E0" w:rsidRPr="004715E0">
        <w:rPr>
          <w:rFonts w:asciiTheme="minorBidi" w:hAnsiTheme="minorBidi" w:cstheme="minorBidi"/>
          <w:b/>
          <w:sz w:val="20"/>
          <w:szCs w:val="20"/>
        </w:rPr>
        <w:t>n Africa: a systematic review. The Lancet Global Health</w:t>
      </w:r>
      <w:r w:rsidRPr="004715E0">
        <w:rPr>
          <w:rFonts w:asciiTheme="minorBidi" w:hAnsiTheme="minorBidi" w:cstheme="minorBidi"/>
          <w:b/>
          <w:sz w:val="20"/>
          <w:szCs w:val="20"/>
        </w:rPr>
        <w:t>, 4(4), e242</w:t>
      </w:r>
      <w:r w:rsidR="004715E0" w:rsidRPr="004715E0">
        <w:rPr>
          <w:rFonts w:asciiTheme="minorBidi" w:hAnsiTheme="minorBidi" w:cstheme="minorBidi"/>
          <w:b/>
          <w:sz w:val="20"/>
          <w:szCs w:val="20"/>
        </w:rPr>
        <w:t>-</w:t>
      </w:r>
      <w:r w:rsidRPr="004715E0">
        <w:rPr>
          <w:rFonts w:asciiTheme="minorBidi" w:hAnsiTheme="minorBidi" w:cstheme="minorBidi"/>
          <w:b/>
          <w:sz w:val="20"/>
          <w:szCs w:val="20"/>
        </w:rPr>
        <w:t>e250.</w:t>
      </w:r>
    </w:p>
    <w:p w14:paraId="21ED4212" w14:textId="77777777" w:rsidR="00847BF2" w:rsidRPr="004715E0" w:rsidRDefault="00847BF2" w:rsidP="00847BF2">
      <w:pPr>
        <w:rPr>
          <w:rFonts w:asciiTheme="minorBidi" w:hAnsiTheme="minorBidi" w:cstheme="minorBidi"/>
          <w:b/>
          <w:sz w:val="20"/>
          <w:szCs w:val="20"/>
        </w:rPr>
      </w:pPr>
    </w:p>
    <w:p w14:paraId="260C67F6" w14:textId="6684B8E0"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7. </w:t>
      </w:r>
      <w:proofErr w:type="spellStart"/>
      <w:r w:rsidRPr="004715E0">
        <w:rPr>
          <w:rFonts w:asciiTheme="minorBidi" w:hAnsiTheme="minorBidi" w:cstheme="minorBidi"/>
          <w:b/>
          <w:sz w:val="20"/>
          <w:szCs w:val="20"/>
        </w:rPr>
        <w:t>Lachance</w:t>
      </w:r>
      <w:proofErr w:type="spellEnd"/>
      <w:r w:rsidRPr="004715E0">
        <w:rPr>
          <w:rFonts w:asciiTheme="minorBidi" w:hAnsiTheme="minorBidi" w:cstheme="minorBidi"/>
          <w:b/>
          <w:sz w:val="20"/>
          <w:szCs w:val="20"/>
        </w:rPr>
        <w:t xml:space="preserve">, P., Villeneuve, P.-M., Wilson, F. P., Selby, N. M., Featherstone, R. J., &amp; </w:t>
      </w:r>
      <w:proofErr w:type="spellStart"/>
      <w:r w:rsidRPr="004715E0">
        <w:rPr>
          <w:rFonts w:asciiTheme="minorBidi" w:hAnsiTheme="minorBidi" w:cstheme="minorBidi"/>
          <w:b/>
          <w:sz w:val="20"/>
          <w:szCs w:val="20"/>
        </w:rPr>
        <w:t>Rewa</w:t>
      </w:r>
      <w:proofErr w:type="spellEnd"/>
      <w:r w:rsidRPr="004715E0">
        <w:rPr>
          <w:rFonts w:asciiTheme="minorBidi" w:hAnsiTheme="minorBidi" w:cstheme="minorBidi"/>
          <w:b/>
          <w:sz w:val="20"/>
          <w:szCs w:val="20"/>
        </w:rPr>
        <w:t>, O. G. (2021). Acute kidney injury in a rural, resource-limited setting: a cross-sectional study of eti</w:t>
      </w:r>
      <w:r w:rsidR="004715E0" w:rsidRPr="004715E0">
        <w:rPr>
          <w:rFonts w:asciiTheme="minorBidi" w:hAnsiTheme="minorBidi" w:cstheme="minorBidi"/>
          <w:b/>
          <w:sz w:val="20"/>
          <w:szCs w:val="20"/>
        </w:rPr>
        <w:t>ology and short-term outcomes. BMC Nephrology</w:t>
      </w:r>
      <w:r w:rsidRPr="004715E0">
        <w:rPr>
          <w:rFonts w:asciiTheme="minorBidi" w:hAnsiTheme="minorBidi" w:cstheme="minorBidi"/>
          <w:b/>
          <w:sz w:val="20"/>
          <w:szCs w:val="20"/>
        </w:rPr>
        <w:t>, 22(1), 117.</w:t>
      </w:r>
    </w:p>
    <w:p w14:paraId="44FCFD6B" w14:textId="77777777" w:rsidR="00847BF2" w:rsidRPr="004715E0" w:rsidRDefault="00847BF2" w:rsidP="00847BF2">
      <w:pPr>
        <w:rPr>
          <w:rFonts w:asciiTheme="minorBidi" w:hAnsiTheme="minorBidi" w:cstheme="minorBidi"/>
          <w:b/>
          <w:sz w:val="20"/>
          <w:szCs w:val="20"/>
        </w:rPr>
      </w:pPr>
    </w:p>
    <w:p w14:paraId="3892BC6D" w14:textId="6BDD4612"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8. </w:t>
      </w:r>
      <w:proofErr w:type="spellStart"/>
      <w:r w:rsidRPr="004715E0">
        <w:rPr>
          <w:rFonts w:asciiTheme="minorBidi" w:hAnsiTheme="minorBidi" w:cstheme="minorBidi"/>
          <w:b/>
          <w:sz w:val="20"/>
          <w:szCs w:val="20"/>
        </w:rPr>
        <w:t>Khwaja</w:t>
      </w:r>
      <w:proofErr w:type="spellEnd"/>
      <w:r w:rsidRPr="004715E0">
        <w:rPr>
          <w:rFonts w:asciiTheme="minorBidi" w:hAnsiTheme="minorBidi" w:cstheme="minorBidi"/>
          <w:b/>
          <w:sz w:val="20"/>
          <w:szCs w:val="20"/>
        </w:rPr>
        <w:t>, A. (2012). KDIGO clinical practice guidelines for ac</w:t>
      </w:r>
      <w:r w:rsidR="004715E0" w:rsidRPr="004715E0">
        <w:rPr>
          <w:rFonts w:asciiTheme="minorBidi" w:hAnsiTheme="minorBidi" w:cstheme="minorBidi"/>
          <w:b/>
          <w:sz w:val="20"/>
          <w:szCs w:val="20"/>
        </w:rPr>
        <w:t>ute kidney injury. Nephron Clinical Practice</w:t>
      </w:r>
      <w:r w:rsidRPr="004715E0">
        <w:rPr>
          <w:rFonts w:asciiTheme="minorBidi" w:hAnsiTheme="minorBidi" w:cstheme="minorBidi"/>
          <w:b/>
          <w:sz w:val="20"/>
          <w:szCs w:val="20"/>
        </w:rPr>
        <w:t>, 120(4), c179</w:t>
      </w:r>
      <w:r w:rsidR="004715E0" w:rsidRPr="004715E0">
        <w:rPr>
          <w:rFonts w:asciiTheme="minorBidi" w:hAnsiTheme="minorBidi" w:cstheme="minorBidi"/>
          <w:b/>
          <w:sz w:val="20"/>
          <w:szCs w:val="20"/>
        </w:rPr>
        <w:t>-</w:t>
      </w:r>
      <w:r w:rsidRPr="004715E0">
        <w:rPr>
          <w:rFonts w:asciiTheme="minorBidi" w:hAnsiTheme="minorBidi" w:cstheme="minorBidi"/>
          <w:b/>
          <w:sz w:val="20"/>
          <w:szCs w:val="20"/>
        </w:rPr>
        <w:t>c184.</w:t>
      </w:r>
    </w:p>
    <w:p w14:paraId="7053712B" w14:textId="77777777" w:rsidR="00847BF2" w:rsidRPr="004715E0" w:rsidRDefault="00847BF2" w:rsidP="00847BF2">
      <w:pPr>
        <w:rPr>
          <w:rFonts w:asciiTheme="minorBidi" w:hAnsiTheme="minorBidi" w:cstheme="minorBidi"/>
          <w:b/>
          <w:sz w:val="20"/>
          <w:szCs w:val="20"/>
        </w:rPr>
      </w:pPr>
    </w:p>
    <w:p w14:paraId="4C297B14" w14:textId="23A80A29"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9. </w:t>
      </w:r>
      <w:proofErr w:type="spellStart"/>
      <w:r w:rsidRPr="004715E0">
        <w:rPr>
          <w:rFonts w:asciiTheme="minorBidi" w:hAnsiTheme="minorBidi" w:cstheme="minorBidi"/>
          <w:b/>
          <w:sz w:val="20"/>
          <w:szCs w:val="20"/>
        </w:rPr>
        <w:t>Berhe</w:t>
      </w:r>
      <w:proofErr w:type="spellEnd"/>
      <w:r w:rsidRPr="004715E0">
        <w:rPr>
          <w:rFonts w:asciiTheme="minorBidi" w:hAnsiTheme="minorBidi" w:cstheme="minorBidi"/>
          <w:b/>
          <w:sz w:val="20"/>
          <w:szCs w:val="20"/>
        </w:rPr>
        <w:t xml:space="preserve">, B. A., </w:t>
      </w:r>
      <w:proofErr w:type="spellStart"/>
      <w:r w:rsidRPr="004715E0">
        <w:rPr>
          <w:rFonts w:asciiTheme="minorBidi" w:hAnsiTheme="minorBidi" w:cstheme="minorBidi"/>
          <w:b/>
          <w:sz w:val="20"/>
          <w:szCs w:val="20"/>
        </w:rPr>
        <w:t>Gebrehiwot</w:t>
      </w:r>
      <w:proofErr w:type="spellEnd"/>
      <w:r w:rsidRPr="004715E0">
        <w:rPr>
          <w:rFonts w:asciiTheme="minorBidi" w:hAnsiTheme="minorBidi" w:cstheme="minorBidi"/>
          <w:b/>
          <w:sz w:val="20"/>
          <w:szCs w:val="20"/>
        </w:rPr>
        <w:t xml:space="preserve">, B. B., </w:t>
      </w:r>
      <w:proofErr w:type="spellStart"/>
      <w:r w:rsidRPr="004715E0">
        <w:rPr>
          <w:rFonts w:asciiTheme="minorBidi" w:hAnsiTheme="minorBidi" w:cstheme="minorBidi"/>
          <w:b/>
          <w:sz w:val="20"/>
          <w:szCs w:val="20"/>
        </w:rPr>
        <w:t>Senbeta</w:t>
      </w:r>
      <w:proofErr w:type="spellEnd"/>
      <w:r w:rsidRPr="004715E0">
        <w:rPr>
          <w:rFonts w:asciiTheme="minorBidi" w:hAnsiTheme="minorBidi" w:cstheme="minorBidi"/>
          <w:b/>
          <w:sz w:val="20"/>
          <w:szCs w:val="20"/>
        </w:rPr>
        <w:t xml:space="preserve">, F. W., </w:t>
      </w:r>
      <w:proofErr w:type="spellStart"/>
      <w:r w:rsidRPr="004715E0">
        <w:rPr>
          <w:rFonts w:asciiTheme="minorBidi" w:hAnsiTheme="minorBidi" w:cstheme="minorBidi"/>
          <w:b/>
          <w:sz w:val="20"/>
          <w:szCs w:val="20"/>
        </w:rPr>
        <w:t>Alemu</w:t>
      </w:r>
      <w:proofErr w:type="spellEnd"/>
      <w:r w:rsidRPr="004715E0">
        <w:rPr>
          <w:rFonts w:asciiTheme="minorBidi" w:hAnsiTheme="minorBidi" w:cstheme="minorBidi"/>
          <w:b/>
          <w:sz w:val="20"/>
          <w:szCs w:val="20"/>
        </w:rPr>
        <w:t xml:space="preserve">, D. M., Mohammed, M. S., </w:t>
      </w:r>
      <w:proofErr w:type="spellStart"/>
      <w:r w:rsidRPr="004715E0">
        <w:rPr>
          <w:rFonts w:asciiTheme="minorBidi" w:hAnsiTheme="minorBidi" w:cstheme="minorBidi"/>
          <w:b/>
          <w:sz w:val="20"/>
          <w:szCs w:val="20"/>
        </w:rPr>
        <w:t>Nuguse</w:t>
      </w:r>
      <w:proofErr w:type="spellEnd"/>
      <w:r w:rsidRPr="004715E0">
        <w:rPr>
          <w:rFonts w:asciiTheme="minorBidi" w:hAnsiTheme="minorBidi" w:cstheme="minorBidi"/>
          <w:b/>
          <w:sz w:val="20"/>
          <w:szCs w:val="20"/>
        </w:rPr>
        <w:t xml:space="preserve">, M. K., et al. (2025). Clinical profile and outcome of patients with acute kidney injury in the Emergency Department of a </w:t>
      </w:r>
      <w:r w:rsidR="004715E0" w:rsidRPr="004715E0">
        <w:rPr>
          <w:rFonts w:asciiTheme="minorBidi" w:hAnsiTheme="minorBidi" w:cstheme="minorBidi"/>
          <w:b/>
          <w:sz w:val="20"/>
          <w:szCs w:val="20"/>
        </w:rPr>
        <w:t xml:space="preserve">teaching hospital in Ethiopia. </w:t>
      </w:r>
      <w:r w:rsidRPr="004715E0">
        <w:rPr>
          <w:rFonts w:asciiTheme="minorBidi" w:hAnsiTheme="minorBidi" w:cstheme="minorBidi"/>
          <w:b/>
          <w:sz w:val="20"/>
          <w:szCs w:val="20"/>
        </w:rPr>
        <w:t>Africa</w:t>
      </w:r>
      <w:r w:rsidR="004715E0" w:rsidRPr="004715E0">
        <w:rPr>
          <w:rFonts w:asciiTheme="minorBidi" w:hAnsiTheme="minorBidi" w:cstheme="minorBidi"/>
          <w:b/>
          <w:sz w:val="20"/>
          <w:szCs w:val="20"/>
        </w:rPr>
        <w:t>n Journal of Emergency Medicine</w:t>
      </w:r>
      <w:r w:rsidRPr="004715E0">
        <w:rPr>
          <w:rFonts w:asciiTheme="minorBidi" w:hAnsiTheme="minorBidi" w:cstheme="minorBidi"/>
          <w:b/>
          <w:sz w:val="20"/>
          <w:szCs w:val="20"/>
        </w:rPr>
        <w:t>, 15(4), 100926.</w:t>
      </w:r>
    </w:p>
    <w:p w14:paraId="6E637CDD" w14:textId="77777777" w:rsidR="00847BF2" w:rsidRPr="004715E0" w:rsidRDefault="00847BF2" w:rsidP="00847BF2">
      <w:pPr>
        <w:rPr>
          <w:rFonts w:asciiTheme="minorBidi" w:hAnsiTheme="minorBidi" w:cstheme="minorBidi"/>
          <w:b/>
          <w:sz w:val="20"/>
          <w:szCs w:val="20"/>
        </w:rPr>
      </w:pPr>
    </w:p>
    <w:p w14:paraId="79BA18E0" w14:textId="0EC7E4A8"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10. Osman, M., </w:t>
      </w:r>
      <w:proofErr w:type="spellStart"/>
      <w:r w:rsidRPr="004715E0">
        <w:rPr>
          <w:rFonts w:asciiTheme="minorBidi" w:hAnsiTheme="minorBidi" w:cstheme="minorBidi"/>
          <w:b/>
          <w:sz w:val="20"/>
          <w:szCs w:val="20"/>
        </w:rPr>
        <w:t>Shigidi</w:t>
      </w:r>
      <w:proofErr w:type="spellEnd"/>
      <w:r w:rsidRPr="004715E0">
        <w:rPr>
          <w:rFonts w:asciiTheme="minorBidi" w:hAnsiTheme="minorBidi" w:cstheme="minorBidi"/>
          <w:b/>
          <w:sz w:val="20"/>
          <w:szCs w:val="20"/>
        </w:rPr>
        <w:t xml:space="preserve">, M., Ahmed, H., </w:t>
      </w:r>
      <w:proofErr w:type="spellStart"/>
      <w:r w:rsidRPr="004715E0">
        <w:rPr>
          <w:rFonts w:asciiTheme="minorBidi" w:hAnsiTheme="minorBidi" w:cstheme="minorBidi"/>
          <w:b/>
          <w:sz w:val="20"/>
          <w:szCs w:val="20"/>
        </w:rPr>
        <w:t>Abdelrahman</w:t>
      </w:r>
      <w:proofErr w:type="spellEnd"/>
      <w:r w:rsidRPr="004715E0">
        <w:rPr>
          <w:rFonts w:asciiTheme="minorBidi" w:hAnsiTheme="minorBidi" w:cstheme="minorBidi"/>
          <w:b/>
          <w:sz w:val="20"/>
          <w:szCs w:val="20"/>
        </w:rPr>
        <w:t xml:space="preserve">, I., </w:t>
      </w:r>
      <w:proofErr w:type="spellStart"/>
      <w:r w:rsidRPr="004715E0">
        <w:rPr>
          <w:rFonts w:asciiTheme="minorBidi" w:hAnsiTheme="minorBidi" w:cstheme="minorBidi"/>
          <w:b/>
          <w:sz w:val="20"/>
          <w:szCs w:val="20"/>
        </w:rPr>
        <w:t>Karrar</w:t>
      </w:r>
      <w:proofErr w:type="spellEnd"/>
      <w:r w:rsidRPr="004715E0">
        <w:rPr>
          <w:rFonts w:asciiTheme="minorBidi" w:hAnsiTheme="minorBidi" w:cstheme="minorBidi"/>
          <w:b/>
          <w:sz w:val="20"/>
          <w:szCs w:val="20"/>
        </w:rPr>
        <w:t xml:space="preserve">, W., </w:t>
      </w:r>
      <w:proofErr w:type="spellStart"/>
      <w:r w:rsidRPr="004715E0">
        <w:rPr>
          <w:rFonts w:asciiTheme="minorBidi" w:hAnsiTheme="minorBidi" w:cstheme="minorBidi"/>
          <w:b/>
          <w:sz w:val="20"/>
          <w:szCs w:val="20"/>
        </w:rPr>
        <w:t>Elhassan</w:t>
      </w:r>
      <w:proofErr w:type="spellEnd"/>
      <w:r w:rsidRPr="004715E0">
        <w:rPr>
          <w:rFonts w:asciiTheme="minorBidi" w:hAnsiTheme="minorBidi" w:cstheme="minorBidi"/>
          <w:b/>
          <w:sz w:val="20"/>
          <w:szCs w:val="20"/>
        </w:rPr>
        <w:t>, E., et al. (2017). Pattern and outcome of acute kidney injury among Sudanese adults admitted to a tertiary level hospital:</w:t>
      </w:r>
      <w:r w:rsidR="004715E0" w:rsidRPr="004715E0">
        <w:rPr>
          <w:rFonts w:asciiTheme="minorBidi" w:hAnsiTheme="minorBidi" w:cstheme="minorBidi"/>
          <w:b/>
          <w:sz w:val="20"/>
          <w:szCs w:val="20"/>
        </w:rPr>
        <w:t xml:space="preserve"> a retrospective cohort study. </w:t>
      </w:r>
      <w:r w:rsidRPr="004715E0">
        <w:rPr>
          <w:rFonts w:asciiTheme="minorBidi" w:hAnsiTheme="minorBidi" w:cstheme="minorBidi"/>
          <w:b/>
          <w:sz w:val="20"/>
          <w:szCs w:val="20"/>
        </w:rPr>
        <w:t>Pan African Medical Jour</w:t>
      </w:r>
      <w:r w:rsidR="004715E0" w:rsidRPr="004715E0">
        <w:rPr>
          <w:rFonts w:asciiTheme="minorBidi" w:hAnsiTheme="minorBidi" w:cstheme="minorBidi"/>
          <w:b/>
          <w:sz w:val="20"/>
          <w:szCs w:val="20"/>
        </w:rPr>
        <w:t>nal</w:t>
      </w:r>
      <w:r w:rsidRPr="004715E0">
        <w:rPr>
          <w:rFonts w:asciiTheme="minorBidi" w:hAnsiTheme="minorBidi" w:cstheme="minorBidi"/>
          <w:b/>
          <w:sz w:val="20"/>
          <w:szCs w:val="20"/>
        </w:rPr>
        <w:t>, 28(1), 165.</w:t>
      </w:r>
    </w:p>
    <w:p w14:paraId="73594D79" w14:textId="77777777" w:rsidR="00847BF2" w:rsidRPr="004715E0" w:rsidRDefault="00847BF2" w:rsidP="00847BF2">
      <w:pPr>
        <w:rPr>
          <w:rFonts w:asciiTheme="minorBidi" w:hAnsiTheme="minorBidi" w:cstheme="minorBidi"/>
          <w:b/>
          <w:sz w:val="20"/>
          <w:szCs w:val="20"/>
        </w:rPr>
      </w:pPr>
    </w:p>
    <w:p w14:paraId="43FDFDCA" w14:textId="1D7CA9DD"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11. </w:t>
      </w:r>
      <w:proofErr w:type="spellStart"/>
      <w:r w:rsidRPr="004715E0">
        <w:rPr>
          <w:rFonts w:asciiTheme="minorBidi" w:hAnsiTheme="minorBidi" w:cstheme="minorBidi"/>
          <w:b/>
          <w:sz w:val="20"/>
          <w:szCs w:val="20"/>
        </w:rPr>
        <w:t>Dlamini</w:t>
      </w:r>
      <w:proofErr w:type="spellEnd"/>
      <w:r w:rsidRPr="004715E0">
        <w:rPr>
          <w:rFonts w:asciiTheme="minorBidi" w:hAnsiTheme="minorBidi" w:cstheme="minorBidi"/>
          <w:b/>
          <w:sz w:val="20"/>
          <w:szCs w:val="20"/>
        </w:rPr>
        <w:t xml:space="preserve">, T. A., </w:t>
      </w:r>
      <w:proofErr w:type="spellStart"/>
      <w:r w:rsidRPr="004715E0">
        <w:rPr>
          <w:rFonts w:asciiTheme="minorBidi" w:hAnsiTheme="minorBidi" w:cstheme="minorBidi"/>
          <w:b/>
          <w:sz w:val="20"/>
          <w:szCs w:val="20"/>
        </w:rPr>
        <w:t>Heering</w:t>
      </w:r>
      <w:proofErr w:type="spellEnd"/>
      <w:r w:rsidRPr="004715E0">
        <w:rPr>
          <w:rFonts w:asciiTheme="minorBidi" w:hAnsiTheme="minorBidi" w:cstheme="minorBidi"/>
          <w:b/>
          <w:sz w:val="20"/>
          <w:szCs w:val="20"/>
        </w:rPr>
        <w:t xml:space="preserve">, P. J., </w:t>
      </w:r>
      <w:proofErr w:type="spellStart"/>
      <w:r w:rsidRPr="004715E0">
        <w:rPr>
          <w:rFonts w:asciiTheme="minorBidi" w:hAnsiTheme="minorBidi" w:cstheme="minorBidi"/>
          <w:b/>
          <w:sz w:val="20"/>
          <w:szCs w:val="20"/>
        </w:rPr>
        <w:t>Chivese</w:t>
      </w:r>
      <w:proofErr w:type="spellEnd"/>
      <w:r w:rsidRPr="004715E0">
        <w:rPr>
          <w:rFonts w:asciiTheme="minorBidi" w:hAnsiTheme="minorBidi" w:cstheme="minorBidi"/>
          <w:b/>
          <w:sz w:val="20"/>
          <w:szCs w:val="20"/>
        </w:rPr>
        <w:t>, T., &amp; Rayner, B. (2017). A prospective study of the demographics, management and outcome of patients with acute kidney inju</w:t>
      </w:r>
      <w:r w:rsidR="004715E0" w:rsidRPr="004715E0">
        <w:rPr>
          <w:rFonts w:asciiTheme="minorBidi" w:hAnsiTheme="minorBidi" w:cstheme="minorBidi"/>
          <w:b/>
          <w:sz w:val="20"/>
          <w:szCs w:val="20"/>
        </w:rPr>
        <w:t xml:space="preserve">ry in Cape Town, South Africa. </w:t>
      </w:r>
      <w:proofErr w:type="spellStart"/>
      <w:r w:rsidRPr="004715E0">
        <w:rPr>
          <w:rFonts w:asciiTheme="minorBidi" w:hAnsiTheme="minorBidi" w:cstheme="minorBidi"/>
          <w:b/>
          <w:sz w:val="20"/>
          <w:szCs w:val="20"/>
        </w:rPr>
        <w:t>PLoS</w:t>
      </w:r>
      <w:proofErr w:type="spellEnd"/>
      <w:r w:rsidR="004715E0" w:rsidRPr="004715E0">
        <w:rPr>
          <w:rFonts w:asciiTheme="minorBidi" w:hAnsiTheme="minorBidi" w:cstheme="minorBidi"/>
          <w:b/>
          <w:sz w:val="20"/>
          <w:szCs w:val="20"/>
        </w:rPr>
        <w:t xml:space="preserve"> One</w:t>
      </w:r>
      <w:r w:rsidRPr="004715E0">
        <w:rPr>
          <w:rFonts w:asciiTheme="minorBidi" w:hAnsiTheme="minorBidi" w:cstheme="minorBidi"/>
          <w:b/>
          <w:sz w:val="20"/>
          <w:szCs w:val="20"/>
        </w:rPr>
        <w:t>, 12(6), e0177460.</w:t>
      </w:r>
    </w:p>
    <w:p w14:paraId="01FDF857" w14:textId="77777777" w:rsidR="00847BF2" w:rsidRPr="004715E0" w:rsidRDefault="00847BF2" w:rsidP="00847BF2">
      <w:pPr>
        <w:rPr>
          <w:rFonts w:asciiTheme="minorBidi" w:hAnsiTheme="minorBidi" w:cstheme="minorBidi"/>
          <w:b/>
          <w:sz w:val="20"/>
          <w:szCs w:val="20"/>
        </w:rPr>
      </w:pPr>
    </w:p>
    <w:p w14:paraId="5F9265CF" w14:textId="51DE9932" w:rsidR="00847BF2" w:rsidRPr="004715E0" w:rsidRDefault="004715E0" w:rsidP="004715E0">
      <w:pPr>
        <w:rPr>
          <w:rFonts w:asciiTheme="minorBidi" w:hAnsiTheme="minorBidi" w:cstheme="minorBidi"/>
          <w:b/>
          <w:sz w:val="20"/>
          <w:szCs w:val="20"/>
        </w:rPr>
      </w:pPr>
      <w:r w:rsidRPr="004715E0">
        <w:rPr>
          <w:rFonts w:asciiTheme="minorBidi" w:hAnsiTheme="minorBidi" w:cstheme="minorBidi"/>
          <w:b/>
          <w:sz w:val="20"/>
          <w:szCs w:val="20"/>
        </w:rPr>
        <w:t xml:space="preserve">12.  </w:t>
      </w:r>
      <w:proofErr w:type="spellStart"/>
      <w:r w:rsidRPr="004715E0">
        <w:rPr>
          <w:rFonts w:asciiTheme="minorBidi" w:hAnsiTheme="minorBidi" w:cstheme="minorBidi"/>
          <w:b/>
          <w:color w:val="222222"/>
          <w:sz w:val="20"/>
          <w:szCs w:val="20"/>
          <w:shd w:val="clear" w:color="auto" w:fill="FFFFFF"/>
        </w:rPr>
        <w:t>Kefyalew</w:t>
      </w:r>
      <w:proofErr w:type="spellEnd"/>
      <w:r w:rsidRPr="004715E0">
        <w:rPr>
          <w:rFonts w:asciiTheme="minorBidi" w:hAnsiTheme="minorBidi" w:cstheme="minorBidi"/>
          <w:b/>
          <w:color w:val="222222"/>
          <w:sz w:val="20"/>
          <w:szCs w:val="20"/>
          <w:shd w:val="clear" w:color="auto" w:fill="FFFFFF"/>
        </w:rPr>
        <w:t xml:space="preserve">, E., </w:t>
      </w:r>
      <w:proofErr w:type="spellStart"/>
      <w:r w:rsidRPr="004715E0">
        <w:rPr>
          <w:rFonts w:asciiTheme="minorBidi" w:hAnsiTheme="minorBidi" w:cstheme="minorBidi"/>
          <w:b/>
          <w:color w:val="222222"/>
          <w:sz w:val="20"/>
          <w:szCs w:val="20"/>
          <w:shd w:val="clear" w:color="auto" w:fill="FFFFFF"/>
        </w:rPr>
        <w:t>Sisay</w:t>
      </w:r>
      <w:proofErr w:type="spellEnd"/>
      <w:r w:rsidRPr="004715E0">
        <w:rPr>
          <w:rFonts w:asciiTheme="minorBidi" w:hAnsiTheme="minorBidi" w:cstheme="minorBidi"/>
          <w:b/>
          <w:color w:val="222222"/>
          <w:sz w:val="20"/>
          <w:szCs w:val="20"/>
          <w:shd w:val="clear" w:color="auto" w:fill="FFFFFF"/>
        </w:rPr>
        <w:t xml:space="preserve">, G., &amp; </w:t>
      </w:r>
      <w:proofErr w:type="spellStart"/>
      <w:r w:rsidRPr="004715E0">
        <w:rPr>
          <w:rFonts w:asciiTheme="minorBidi" w:hAnsiTheme="minorBidi" w:cstheme="minorBidi"/>
          <w:b/>
          <w:color w:val="222222"/>
          <w:sz w:val="20"/>
          <w:szCs w:val="20"/>
          <w:shd w:val="clear" w:color="auto" w:fill="FFFFFF"/>
        </w:rPr>
        <w:t>Esayas</w:t>
      </w:r>
      <w:proofErr w:type="spellEnd"/>
      <w:r w:rsidRPr="004715E0">
        <w:rPr>
          <w:rFonts w:asciiTheme="minorBidi" w:hAnsiTheme="minorBidi" w:cstheme="minorBidi"/>
          <w:b/>
          <w:color w:val="222222"/>
          <w:sz w:val="20"/>
          <w:szCs w:val="20"/>
          <w:shd w:val="clear" w:color="auto" w:fill="FFFFFF"/>
        </w:rPr>
        <w:t>, H. (2025). Incidence, Risk Factors, and Short-Term Outcomes of Acute Kidney Injury in Patients Admitted to Intensive Care Units in Selected Hospitals in Southern Ethiopia: A Prospective Cohort Study.</w:t>
      </w:r>
      <w:r w:rsidRPr="004715E0">
        <w:rPr>
          <w:rFonts w:asciiTheme="minorBidi" w:hAnsiTheme="minorBidi" w:cstheme="minorBidi"/>
          <w:b/>
          <w:sz w:val="20"/>
          <w:szCs w:val="20"/>
        </w:rPr>
        <w:t xml:space="preserve"> </w:t>
      </w:r>
    </w:p>
    <w:p w14:paraId="0E5898B9" w14:textId="312C63C4"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lastRenderedPageBreak/>
        <w:t xml:space="preserve">13. </w:t>
      </w:r>
      <w:proofErr w:type="spellStart"/>
      <w:r w:rsidRPr="004715E0">
        <w:rPr>
          <w:rFonts w:asciiTheme="minorBidi" w:hAnsiTheme="minorBidi" w:cstheme="minorBidi"/>
          <w:b/>
          <w:sz w:val="20"/>
          <w:szCs w:val="20"/>
        </w:rPr>
        <w:t>Minja</w:t>
      </w:r>
      <w:proofErr w:type="spellEnd"/>
      <w:r w:rsidRPr="004715E0">
        <w:rPr>
          <w:rFonts w:asciiTheme="minorBidi" w:hAnsiTheme="minorBidi" w:cstheme="minorBidi"/>
          <w:b/>
          <w:sz w:val="20"/>
          <w:szCs w:val="20"/>
        </w:rPr>
        <w:t xml:space="preserve">, N. W., </w:t>
      </w:r>
      <w:proofErr w:type="spellStart"/>
      <w:r w:rsidRPr="004715E0">
        <w:rPr>
          <w:rFonts w:asciiTheme="minorBidi" w:hAnsiTheme="minorBidi" w:cstheme="minorBidi"/>
          <w:b/>
          <w:sz w:val="20"/>
          <w:szCs w:val="20"/>
        </w:rPr>
        <w:t>Akrabi</w:t>
      </w:r>
      <w:proofErr w:type="spellEnd"/>
      <w:r w:rsidRPr="004715E0">
        <w:rPr>
          <w:rFonts w:asciiTheme="minorBidi" w:hAnsiTheme="minorBidi" w:cstheme="minorBidi"/>
          <w:b/>
          <w:sz w:val="20"/>
          <w:szCs w:val="20"/>
        </w:rPr>
        <w:t xml:space="preserve">, H., </w:t>
      </w:r>
      <w:proofErr w:type="spellStart"/>
      <w:r w:rsidRPr="004715E0">
        <w:rPr>
          <w:rFonts w:asciiTheme="minorBidi" w:hAnsiTheme="minorBidi" w:cstheme="minorBidi"/>
          <w:b/>
          <w:sz w:val="20"/>
          <w:szCs w:val="20"/>
        </w:rPr>
        <w:t>Yeates</w:t>
      </w:r>
      <w:proofErr w:type="spellEnd"/>
      <w:r w:rsidRPr="004715E0">
        <w:rPr>
          <w:rFonts w:asciiTheme="minorBidi" w:hAnsiTheme="minorBidi" w:cstheme="minorBidi"/>
          <w:b/>
          <w:sz w:val="20"/>
          <w:szCs w:val="20"/>
        </w:rPr>
        <w:t xml:space="preserve">, K., &amp; </w:t>
      </w:r>
      <w:proofErr w:type="spellStart"/>
      <w:r w:rsidRPr="004715E0">
        <w:rPr>
          <w:rFonts w:asciiTheme="minorBidi" w:hAnsiTheme="minorBidi" w:cstheme="minorBidi"/>
          <w:b/>
          <w:sz w:val="20"/>
          <w:szCs w:val="20"/>
        </w:rPr>
        <w:t>Kilonzo</w:t>
      </w:r>
      <w:proofErr w:type="spellEnd"/>
      <w:r w:rsidRPr="004715E0">
        <w:rPr>
          <w:rFonts w:asciiTheme="minorBidi" w:hAnsiTheme="minorBidi" w:cstheme="minorBidi"/>
          <w:b/>
          <w:sz w:val="20"/>
          <w:szCs w:val="20"/>
        </w:rPr>
        <w:t xml:space="preserve">, K. G. (2021). Acute kidney injury and associated factors in intensive care units at a tertiary </w:t>
      </w:r>
      <w:r w:rsidR="004715E0" w:rsidRPr="004715E0">
        <w:rPr>
          <w:rFonts w:asciiTheme="minorBidi" w:hAnsiTheme="minorBidi" w:cstheme="minorBidi"/>
          <w:b/>
          <w:sz w:val="20"/>
          <w:szCs w:val="20"/>
        </w:rPr>
        <w:t xml:space="preserve">hospital in northern </w:t>
      </w:r>
      <w:proofErr w:type="spellStart"/>
      <w:r w:rsidR="004715E0" w:rsidRPr="004715E0">
        <w:rPr>
          <w:rFonts w:asciiTheme="minorBidi" w:hAnsiTheme="minorBidi" w:cstheme="minorBidi"/>
          <w:b/>
          <w:sz w:val="20"/>
          <w:szCs w:val="20"/>
        </w:rPr>
        <w:t>Tanzania.</w:t>
      </w:r>
      <w:r w:rsidRPr="004715E0">
        <w:rPr>
          <w:rFonts w:asciiTheme="minorBidi" w:hAnsiTheme="minorBidi" w:cstheme="minorBidi"/>
          <w:b/>
          <w:sz w:val="20"/>
          <w:szCs w:val="20"/>
        </w:rPr>
        <w:t>Canadian</w:t>
      </w:r>
      <w:proofErr w:type="spellEnd"/>
      <w:r w:rsidRPr="004715E0">
        <w:rPr>
          <w:rFonts w:asciiTheme="minorBidi" w:hAnsiTheme="minorBidi" w:cstheme="minorBidi"/>
          <w:b/>
          <w:sz w:val="20"/>
          <w:szCs w:val="20"/>
        </w:rPr>
        <w:t xml:space="preserve"> Journ</w:t>
      </w:r>
      <w:r w:rsidR="004715E0" w:rsidRPr="004715E0">
        <w:rPr>
          <w:rFonts w:asciiTheme="minorBidi" w:hAnsiTheme="minorBidi" w:cstheme="minorBidi"/>
          <w:b/>
          <w:sz w:val="20"/>
          <w:szCs w:val="20"/>
        </w:rPr>
        <w:t>al of Kidney Health and Disease</w:t>
      </w:r>
      <w:r w:rsidRPr="004715E0">
        <w:rPr>
          <w:rFonts w:asciiTheme="minorBidi" w:hAnsiTheme="minorBidi" w:cstheme="minorBidi"/>
          <w:b/>
          <w:sz w:val="20"/>
          <w:szCs w:val="20"/>
        </w:rPr>
        <w:t>, 8, 20543581211027971.</w:t>
      </w:r>
    </w:p>
    <w:p w14:paraId="77E7B64A" w14:textId="77777777" w:rsidR="00847BF2" w:rsidRPr="004715E0" w:rsidRDefault="00847BF2" w:rsidP="00847BF2">
      <w:pPr>
        <w:rPr>
          <w:rFonts w:asciiTheme="minorBidi" w:hAnsiTheme="minorBidi" w:cstheme="minorBidi"/>
          <w:b/>
          <w:sz w:val="20"/>
          <w:szCs w:val="20"/>
        </w:rPr>
      </w:pPr>
    </w:p>
    <w:p w14:paraId="0F4920DC" w14:textId="766CE6D2"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14. </w:t>
      </w:r>
      <w:proofErr w:type="spellStart"/>
      <w:r w:rsidRPr="004715E0">
        <w:rPr>
          <w:rFonts w:asciiTheme="minorBidi" w:hAnsiTheme="minorBidi" w:cstheme="minorBidi"/>
          <w:b/>
          <w:sz w:val="20"/>
          <w:szCs w:val="20"/>
        </w:rPr>
        <w:t>Badhe</w:t>
      </w:r>
      <w:proofErr w:type="spellEnd"/>
      <w:r w:rsidRPr="004715E0">
        <w:rPr>
          <w:rFonts w:asciiTheme="minorBidi" w:hAnsiTheme="minorBidi" w:cstheme="minorBidi"/>
          <w:b/>
          <w:sz w:val="20"/>
          <w:szCs w:val="20"/>
        </w:rPr>
        <w:t xml:space="preserve">, Y. K., Patel, U. N., &amp; </w:t>
      </w:r>
      <w:proofErr w:type="spellStart"/>
      <w:r w:rsidRPr="004715E0">
        <w:rPr>
          <w:rFonts w:asciiTheme="minorBidi" w:hAnsiTheme="minorBidi" w:cstheme="minorBidi"/>
          <w:b/>
          <w:sz w:val="20"/>
          <w:szCs w:val="20"/>
        </w:rPr>
        <w:t>Suryatale</w:t>
      </w:r>
      <w:proofErr w:type="spellEnd"/>
      <w:r w:rsidRPr="004715E0">
        <w:rPr>
          <w:rFonts w:asciiTheme="minorBidi" w:hAnsiTheme="minorBidi" w:cstheme="minorBidi"/>
          <w:b/>
          <w:sz w:val="20"/>
          <w:szCs w:val="20"/>
        </w:rPr>
        <w:t>, A. S. (2023). Clinical profile and prognostic factors of acute kidney inju</w:t>
      </w:r>
      <w:r w:rsidR="004715E0" w:rsidRPr="004715E0">
        <w:rPr>
          <w:rFonts w:asciiTheme="minorBidi" w:hAnsiTheme="minorBidi" w:cstheme="minorBidi"/>
          <w:b/>
          <w:sz w:val="20"/>
          <w:szCs w:val="20"/>
        </w:rPr>
        <w:t xml:space="preserve">ry in critically ill patients. </w:t>
      </w:r>
      <w:r w:rsidRPr="004715E0">
        <w:rPr>
          <w:rFonts w:asciiTheme="minorBidi" w:hAnsiTheme="minorBidi" w:cstheme="minorBidi"/>
          <w:b/>
          <w:sz w:val="20"/>
          <w:szCs w:val="20"/>
        </w:rPr>
        <w:t>European Jou</w:t>
      </w:r>
      <w:r w:rsidR="004715E0" w:rsidRPr="004715E0">
        <w:rPr>
          <w:rFonts w:asciiTheme="minorBidi" w:hAnsiTheme="minorBidi" w:cstheme="minorBidi"/>
          <w:b/>
          <w:sz w:val="20"/>
          <w:szCs w:val="20"/>
        </w:rPr>
        <w:t>rnal of Cardiovascular Medicine</w:t>
      </w:r>
      <w:r w:rsidRPr="004715E0">
        <w:rPr>
          <w:rFonts w:asciiTheme="minorBidi" w:hAnsiTheme="minorBidi" w:cstheme="minorBidi"/>
          <w:b/>
          <w:sz w:val="20"/>
          <w:szCs w:val="20"/>
        </w:rPr>
        <w:t>, 13(2).</w:t>
      </w:r>
    </w:p>
    <w:p w14:paraId="037E41A9" w14:textId="77777777" w:rsidR="00847BF2" w:rsidRPr="004715E0" w:rsidRDefault="00847BF2" w:rsidP="00847BF2">
      <w:pPr>
        <w:rPr>
          <w:rFonts w:asciiTheme="minorBidi" w:hAnsiTheme="minorBidi" w:cstheme="minorBidi"/>
          <w:b/>
          <w:sz w:val="20"/>
          <w:szCs w:val="20"/>
        </w:rPr>
      </w:pPr>
    </w:p>
    <w:p w14:paraId="1DA9AA8B" w14:textId="51C5D7B1" w:rsidR="00847BF2"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15. </w:t>
      </w:r>
      <w:proofErr w:type="spellStart"/>
      <w:r w:rsidRPr="004715E0">
        <w:rPr>
          <w:rFonts w:asciiTheme="minorBidi" w:hAnsiTheme="minorBidi" w:cstheme="minorBidi"/>
          <w:b/>
          <w:sz w:val="20"/>
          <w:szCs w:val="20"/>
        </w:rPr>
        <w:t>Sah</w:t>
      </w:r>
      <w:proofErr w:type="spellEnd"/>
      <w:r w:rsidRPr="004715E0">
        <w:rPr>
          <w:rFonts w:asciiTheme="minorBidi" w:hAnsiTheme="minorBidi" w:cstheme="minorBidi"/>
          <w:b/>
          <w:sz w:val="20"/>
          <w:szCs w:val="20"/>
        </w:rPr>
        <w:t>, V. K., &amp; Prakash, S. (2022). Clinical profile of patients with acute kidney injury ad</w:t>
      </w:r>
      <w:r w:rsidR="004715E0" w:rsidRPr="004715E0">
        <w:rPr>
          <w:rFonts w:asciiTheme="minorBidi" w:hAnsiTheme="minorBidi" w:cstheme="minorBidi"/>
          <w:b/>
          <w:sz w:val="20"/>
          <w:szCs w:val="20"/>
        </w:rPr>
        <w:t xml:space="preserve">mitted in intensive care unit. </w:t>
      </w:r>
      <w:r w:rsidRPr="004715E0">
        <w:rPr>
          <w:rFonts w:asciiTheme="minorBidi" w:hAnsiTheme="minorBidi" w:cstheme="minorBidi"/>
          <w:b/>
          <w:sz w:val="20"/>
          <w:szCs w:val="20"/>
        </w:rPr>
        <w:t xml:space="preserve">International </w:t>
      </w:r>
      <w:r w:rsidR="004715E0" w:rsidRPr="004715E0">
        <w:rPr>
          <w:rFonts w:asciiTheme="minorBidi" w:hAnsiTheme="minorBidi" w:cstheme="minorBidi"/>
          <w:b/>
          <w:sz w:val="20"/>
          <w:szCs w:val="20"/>
        </w:rPr>
        <w:t>Journal of Advances in Medicine</w:t>
      </w:r>
      <w:r w:rsidRPr="004715E0">
        <w:rPr>
          <w:rFonts w:asciiTheme="minorBidi" w:hAnsiTheme="minorBidi" w:cstheme="minorBidi"/>
          <w:b/>
          <w:sz w:val="20"/>
          <w:szCs w:val="20"/>
        </w:rPr>
        <w:t>, 9, 532</w:t>
      </w:r>
      <w:r w:rsidR="004715E0" w:rsidRPr="004715E0">
        <w:rPr>
          <w:rFonts w:asciiTheme="minorBidi" w:hAnsiTheme="minorBidi" w:cstheme="minorBidi"/>
          <w:b/>
          <w:sz w:val="20"/>
          <w:szCs w:val="20"/>
        </w:rPr>
        <w:t>-</w:t>
      </w:r>
      <w:r w:rsidRPr="004715E0">
        <w:rPr>
          <w:rFonts w:asciiTheme="minorBidi" w:hAnsiTheme="minorBidi" w:cstheme="minorBidi"/>
          <w:b/>
          <w:sz w:val="20"/>
          <w:szCs w:val="20"/>
        </w:rPr>
        <w:t>536.</w:t>
      </w:r>
    </w:p>
    <w:p w14:paraId="1100482D" w14:textId="77777777" w:rsidR="00847BF2" w:rsidRPr="004715E0" w:rsidRDefault="00847BF2" w:rsidP="00847BF2">
      <w:pPr>
        <w:rPr>
          <w:rFonts w:asciiTheme="minorBidi" w:hAnsiTheme="minorBidi" w:cstheme="minorBidi"/>
          <w:b/>
          <w:sz w:val="20"/>
          <w:szCs w:val="20"/>
        </w:rPr>
      </w:pPr>
    </w:p>
    <w:p w14:paraId="0EAAE965" w14:textId="4DEBB784" w:rsidR="00CC00C5" w:rsidRPr="004715E0" w:rsidRDefault="00847BF2" w:rsidP="00847BF2">
      <w:pPr>
        <w:rPr>
          <w:rFonts w:asciiTheme="minorBidi" w:hAnsiTheme="minorBidi" w:cstheme="minorBidi"/>
          <w:b/>
          <w:sz w:val="20"/>
          <w:szCs w:val="20"/>
        </w:rPr>
      </w:pPr>
      <w:r w:rsidRPr="004715E0">
        <w:rPr>
          <w:rFonts w:asciiTheme="minorBidi" w:hAnsiTheme="minorBidi" w:cstheme="minorBidi"/>
          <w:b/>
          <w:sz w:val="20"/>
          <w:szCs w:val="20"/>
        </w:rPr>
        <w:t xml:space="preserve">16. </w:t>
      </w:r>
      <w:proofErr w:type="spellStart"/>
      <w:r w:rsidRPr="004715E0">
        <w:rPr>
          <w:rFonts w:asciiTheme="minorBidi" w:hAnsiTheme="minorBidi" w:cstheme="minorBidi"/>
          <w:b/>
          <w:sz w:val="20"/>
          <w:szCs w:val="20"/>
        </w:rPr>
        <w:t>Inda-Filho</w:t>
      </w:r>
      <w:proofErr w:type="spellEnd"/>
      <w:r w:rsidRPr="004715E0">
        <w:rPr>
          <w:rFonts w:asciiTheme="minorBidi" w:hAnsiTheme="minorBidi" w:cstheme="minorBidi"/>
          <w:b/>
          <w:sz w:val="20"/>
          <w:szCs w:val="20"/>
        </w:rPr>
        <w:t xml:space="preserve">, A. J., </w:t>
      </w:r>
      <w:proofErr w:type="spellStart"/>
      <w:r w:rsidRPr="004715E0">
        <w:rPr>
          <w:rFonts w:asciiTheme="minorBidi" w:hAnsiTheme="minorBidi" w:cstheme="minorBidi"/>
          <w:b/>
          <w:sz w:val="20"/>
          <w:szCs w:val="20"/>
        </w:rPr>
        <w:t>Ribeiro</w:t>
      </w:r>
      <w:proofErr w:type="spellEnd"/>
      <w:r w:rsidRPr="004715E0">
        <w:rPr>
          <w:rFonts w:asciiTheme="minorBidi" w:hAnsiTheme="minorBidi" w:cstheme="minorBidi"/>
          <w:b/>
          <w:sz w:val="20"/>
          <w:szCs w:val="20"/>
        </w:rPr>
        <w:t>, H. S., Vieira, E. A., &amp; Ferreira, A. P. (2021). Epidemiological profile of acute kidney injury in critically ill patients admitted to intensive care units: a</w:t>
      </w:r>
      <w:r w:rsidR="004715E0" w:rsidRPr="004715E0">
        <w:rPr>
          <w:rFonts w:asciiTheme="minorBidi" w:hAnsiTheme="minorBidi" w:cstheme="minorBidi"/>
          <w:b/>
          <w:sz w:val="20"/>
          <w:szCs w:val="20"/>
        </w:rPr>
        <w:t xml:space="preserve"> prospective Brazilian cohort. Brazilian Journal of Nephrology</w:t>
      </w:r>
      <w:r w:rsidRPr="004715E0">
        <w:rPr>
          <w:rFonts w:asciiTheme="minorBidi" w:hAnsiTheme="minorBidi" w:cstheme="minorBidi"/>
          <w:b/>
          <w:sz w:val="20"/>
          <w:szCs w:val="20"/>
        </w:rPr>
        <w:t>, 43(4), 580</w:t>
      </w:r>
      <w:r w:rsidR="004715E0" w:rsidRPr="004715E0">
        <w:rPr>
          <w:rFonts w:asciiTheme="minorBidi" w:hAnsiTheme="minorBidi" w:cstheme="minorBidi"/>
          <w:b/>
          <w:sz w:val="20"/>
          <w:szCs w:val="20"/>
        </w:rPr>
        <w:t>-</w:t>
      </w:r>
      <w:r w:rsidRPr="004715E0">
        <w:rPr>
          <w:rFonts w:asciiTheme="minorBidi" w:hAnsiTheme="minorBidi" w:cstheme="minorBidi"/>
          <w:b/>
          <w:sz w:val="20"/>
          <w:szCs w:val="20"/>
        </w:rPr>
        <w:t>585.</w:t>
      </w:r>
    </w:p>
    <w:p w14:paraId="4DC882BC" w14:textId="77777777" w:rsidR="00FF72A4" w:rsidRPr="00071BFA" w:rsidRDefault="00FF72A4">
      <w:pPr>
        <w:rPr>
          <w:rFonts w:hint="eastAsia"/>
          <w:bCs/>
        </w:rPr>
      </w:pPr>
    </w:p>
    <w:sectPr w:rsidR="00FF72A4" w:rsidRPr="00071BFA">
      <w:headerReference w:type="even" r:id="rId7"/>
      <w:headerReference w:type="default" r:id="rId8"/>
      <w:footerReference w:type="even" r:id="rId9"/>
      <w:footerReference w:type="default" r:id="rId10"/>
      <w:headerReference w:type="first" r:id="rId11"/>
      <w:footerReference w:type="first" r:id="rId12"/>
      <w:pgSz w:w="11907" w:h="16839"/>
      <w:pgMar w:top="1440" w:right="1800" w:bottom="1440" w:left="1800"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A8450" w14:textId="77777777" w:rsidR="009224C5" w:rsidRDefault="009224C5" w:rsidP="00321F62">
      <w:pPr>
        <w:rPr>
          <w:rFonts w:hint="eastAsia"/>
        </w:rPr>
      </w:pPr>
      <w:r>
        <w:separator/>
      </w:r>
    </w:p>
  </w:endnote>
  <w:endnote w:type="continuationSeparator" w:id="0">
    <w:p w14:paraId="1DCF64AE" w14:textId="77777777" w:rsidR="009224C5" w:rsidRDefault="009224C5" w:rsidP="00321F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61DA7" w14:textId="77777777" w:rsidR="00321F62" w:rsidRDefault="00321F62">
    <w:pPr>
      <w:pStyle w:val="Foo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84664" w14:textId="77777777" w:rsidR="00321F62" w:rsidRDefault="00321F62">
    <w:pPr>
      <w:pStyle w:val="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E5D08" w14:textId="77777777" w:rsidR="00321F62" w:rsidRDefault="00321F62">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393BF" w14:textId="77777777" w:rsidR="009224C5" w:rsidRDefault="009224C5" w:rsidP="00321F62">
      <w:pPr>
        <w:rPr>
          <w:rFonts w:hint="eastAsia"/>
        </w:rPr>
      </w:pPr>
      <w:r>
        <w:separator/>
      </w:r>
    </w:p>
  </w:footnote>
  <w:footnote w:type="continuationSeparator" w:id="0">
    <w:p w14:paraId="3A389517" w14:textId="77777777" w:rsidR="009224C5" w:rsidRDefault="009224C5" w:rsidP="00321F62">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B0B7E" w14:textId="63ABB544" w:rsidR="00321F62" w:rsidRDefault="009224C5">
    <w:pPr>
      <w:pStyle w:val="Header"/>
      <w:rPr>
        <w:rFonts w:hint="eastAsia"/>
      </w:rPr>
    </w:pPr>
    <w:r>
      <w:rPr>
        <w:rFonts w:hint="eastAsia"/>
        <w:noProof/>
      </w:rPr>
      <w:pict w14:anchorId="7B0AA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28454" o:spid="_x0000_s2050" type="#_x0000_t136" style="position:absolute;margin-left:0;margin-top:0;width:527pt;height:58.55pt;rotation:315;z-index:-251655168;mso-position-horizontal:center;mso-position-horizontal-relative:margin;mso-position-vertical:center;mso-position-vertical-relative:margin" o:allowincell="f" fillcolor="silver" stroked="f">
          <v:fill opacity=".5"/>
          <v:textpath style="font-family:&quot;Droid San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DB6C1" w14:textId="722EB390" w:rsidR="00321F62" w:rsidRDefault="009224C5">
    <w:pPr>
      <w:pStyle w:val="Header"/>
      <w:rPr>
        <w:rFonts w:hint="eastAsia"/>
      </w:rPr>
    </w:pPr>
    <w:r>
      <w:rPr>
        <w:rFonts w:hint="eastAsia"/>
        <w:noProof/>
      </w:rPr>
      <w:pict w14:anchorId="4E10B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28455" o:spid="_x0000_s2051" type="#_x0000_t136" style="position:absolute;margin-left:0;margin-top:0;width:527pt;height:58.55pt;rotation:315;z-index:-251653120;mso-position-horizontal:center;mso-position-horizontal-relative:margin;mso-position-vertical:center;mso-position-vertical-relative:margin" o:allowincell="f" fillcolor="silver" stroked="f">
          <v:fill opacity=".5"/>
          <v:textpath style="font-family:&quot;Droid San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BD30" w14:textId="4D5907EE" w:rsidR="00321F62" w:rsidRDefault="009224C5">
    <w:pPr>
      <w:pStyle w:val="Header"/>
      <w:rPr>
        <w:rFonts w:hint="eastAsia"/>
      </w:rPr>
    </w:pPr>
    <w:r>
      <w:rPr>
        <w:rFonts w:hint="eastAsia"/>
        <w:noProof/>
      </w:rPr>
      <w:pict w14:anchorId="18AA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028453" o:spid="_x0000_s2049" type="#_x0000_t136" style="position:absolute;margin-left:0;margin-top:0;width:527pt;height:58.55pt;rotation:315;z-index:-251657216;mso-position-horizontal:center;mso-position-horizontal-relative:margin;mso-position-vertical:center;mso-position-vertical-relative:margin" o:allowincell="f" fillcolor="silver" stroked="f">
          <v:fill opacity=".5"/>
          <v:textpath style="font-family:&quot;Droid San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C56"/>
    <w:multiLevelType w:val="hybridMultilevel"/>
    <w:tmpl w:val="CF32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A4"/>
    <w:rsid w:val="00071BFA"/>
    <w:rsid w:val="00151657"/>
    <w:rsid w:val="00321F62"/>
    <w:rsid w:val="00373C7F"/>
    <w:rsid w:val="00454B00"/>
    <w:rsid w:val="004715E0"/>
    <w:rsid w:val="00567B3E"/>
    <w:rsid w:val="005C3EFC"/>
    <w:rsid w:val="005D47B3"/>
    <w:rsid w:val="005E24B5"/>
    <w:rsid w:val="006F28C1"/>
    <w:rsid w:val="006F776F"/>
    <w:rsid w:val="00847BF2"/>
    <w:rsid w:val="008C6AF8"/>
    <w:rsid w:val="008D3F22"/>
    <w:rsid w:val="009224C5"/>
    <w:rsid w:val="00924A74"/>
    <w:rsid w:val="009A3143"/>
    <w:rsid w:val="00A63885"/>
    <w:rsid w:val="00AC525A"/>
    <w:rsid w:val="00B0409C"/>
    <w:rsid w:val="00B47A3E"/>
    <w:rsid w:val="00C764D2"/>
    <w:rsid w:val="00CC00C5"/>
    <w:rsid w:val="00CF54F7"/>
    <w:rsid w:val="00D4436B"/>
    <w:rsid w:val="00D6569E"/>
    <w:rsid w:val="00DC75EB"/>
    <w:rsid w:val="00F55CD2"/>
    <w:rsid w:val="00F66875"/>
    <w:rsid w:val="00FF72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74387"/>
  <w15:docId w15:val="{2306E398-29E4-4B09-886D-80717D80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Droid Sans" w:hAnsi="Droid Sans"/>
      <w:kern w:val="2"/>
      <w:sz w:val="24"/>
      <w:szCs w:val="21"/>
    </w:rPr>
  </w:style>
  <w:style w:type="paragraph" w:styleId="Heading1">
    <w:name w:val="heading 1"/>
    <w:basedOn w:val="Normal"/>
    <w:next w:val="Normal"/>
    <w:pPr>
      <w:keepNext/>
      <w:keepLines/>
      <w:spacing w:before="340" w:after="330" w:line="578" w:lineRule="auto"/>
      <w:outlineLvl w:val="0"/>
    </w:pPr>
    <w:rPr>
      <w:b/>
      <w:bCs/>
      <w:kern w:val="44"/>
      <w:sz w:val="44"/>
    </w:rPr>
  </w:style>
  <w:style w:type="paragraph" w:styleId="Heading2">
    <w:name w:val="heading 2"/>
    <w:basedOn w:val="Normal"/>
    <w:pPr>
      <w:widowControl/>
      <w:spacing w:before="100" w:beforeAutospacing="1" w:after="100" w:afterAutospacing="1"/>
      <w:outlineLvl w:val="1"/>
    </w:pPr>
    <w:rPr>
      <w:b/>
      <w:kern w:val="0"/>
      <w:sz w:val="36"/>
    </w:rPr>
  </w:style>
  <w:style w:type="paragraph" w:styleId="Heading3">
    <w:name w:val="heading 3"/>
    <w:basedOn w:val="Normal"/>
    <w:next w:val="Normal"/>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657"/>
    <w:pPr>
      <w:ind w:left="720"/>
      <w:contextualSpacing/>
    </w:pPr>
  </w:style>
  <w:style w:type="character" w:styleId="Hyperlink">
    <w:name w:val="Hyperlink"/>
    <w:basedOn w:val="DefaultParagraphFont"/>
    <w:uiPriority w:val="99"/>
    <w:unhideWhenUsed/>
    <w:rsid w:val="00151657"/>
    <w:rPr>
      <w:color w:val="0563C1" w:themeColor="hyperlink"/>
      <w:u w:val="single"/>
    </w:rPr>
  </w:style>
  <w:style w:type="table" w:styleId="TableGrid">
    <w:name w:val="Table Grid"/>
    <w:basedOn w:val="TableNormal"/>
    <w:uiPriority w:val="39"/>
    <w:rsid w:val="00B4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D443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D443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443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00C5"/>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C00C5"/>
    <w:rPr>
      <w:sz w:val="16"/>
      <w:szCs w:val="16"/>
    </w:rPr>
  </w:style>
  <w:style w:type="paragraph" w:styleId="CommentText">
    <w:name w:val="annotation text"/>
    <w:basedOn w:val="Normal"/>
    <w:link w:val="CommentTextChar"/>
    <w:uiPriority w:val="99"/>
    <w:semiHidden/>
    <w:unhideWhenUsed/>
    <w:rsid w:val="00CC00C5"/>
    <w:rPr>
      <w:sz w:val="20"/>
      <w:szCs w:val="20"/>
    </w:rPr>
  </w:style>
  <w:style w:type="character" w:customStyle="1" w:styleId="CommentTextChar">
    <w:name w:val="Comment Text Char"/>
    <w:basedOn w:val="DefaultParagraphFont"/>
    <w:link w:val="CommentText"/>
    <w:uiPriority w:val="99"/>
    <w:semiHidden/>
    <w:rsid w:val="00CC00C5"/>
    <w:rPr>
      <w:rFonts w:ascii="Droid Sans" w:hAnsi="Droid Sans"/>
      <w:kern w:val="2"/>
    </w:rPr>
  </w:style>
  <w:style w:type="paragraph" w:styleId="CommentSubject">
    <w:name w:val="annotation subject"/>
    <w:basedOn w:val="CommentText"/>
    <w:next w:val="CommentText"/>
    <w:link w:val="CommentSubjectChar"/>
    <w:uiPriority w:val="99"/>
    <w:semiHidden/>
    <w:unhideWhenUsed/>
    <w:rsid w:val="00CC00C5"/>
    <w:rPr>
      <w:b/>
      <w:bCs/>
    </w:rPr>
  </w:style>
  <w:style w:type="character" w:customStyle="1" w:styleId="CommentSubjectChar">
    <w:name w:val="Comment Subject Char"/>
    <w:basedOn w:val="CommentTextChar"/>
    <w:link w:val="CommentSubject"/>
    <w:uiPriority w:val="99"/>
    <w:semiHidden/>
    <w:rsid w:val="00CC00C5"/>
    <w:rPr>
      <w:rFonts w:ascii="Droid Sans" w:hAnsi="Droid Sans"/>
      <w:b/>
      <w:bCs/>
      <w:kern w:val="2"/>
    </w:rPr>
  </w:style>
  <w:style w:type="paragraph" w:styleId="BalloonText">
    <w:name w:val="Balloon Text"/>
    <w:basedOn w:val="Normal"/>
    <w:link w:val="BalloonTextChar"/>
    <w:uiPriority w:val="99"/>
    <w:semiHidden/>
    <w:unhideWhenUsed/>
    <w:rsid w:val="00CC0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0C5"/>
    <w:rPr>
      <w:rFonts w:ascii="Segoe UI" w:hAnsi="Segoe UI" w:cs="Segoe UI"/>
      <w:kern w:val="2"/>
      <w:sz w:val="18"/>
      <w:szCs w:val="18"/>
    </w:rPr>
  </w:style>
  <w:style w:type="paragraph" w:styleId="NormalWeb">
    <w:name w:val="Normal (Web)"/>
    <w:basedOn w:val="Normal"/>
    <w:uiPriority w:val="99"/>
    <w:unhideWhenUsed/>
    <w:rsid w:val="00D6569E"/>
    <w:pPr>
      <w:widowControl/>
      <w:spacing w:before="100" w:beforeAutospacing="1" w:after="100" w:afterAutospacing="1"/>
    </w:pPr>
    <w:rPr>
      <w:rFonts w:ascii="Times New Roman" w:eastAsia="Times New Roman" w:hAnsi="Times New Roman"/>
      <w:kern w:val="0"/>
      <w:szCs w:val="24"/>
      <w:lang w:eastAsia="en-US"/>
    </w:rPr>
  </w:style>
  <w:style w:type="table" w:styleId="GridTable6Colorful-Accent1">
    <w:name w:val="Grid Table 6 Colorful Accent 1"/>
    <w:basedOn w:val="TableNormal"/>
    <w:uiPriority w:val="51"/>
    <w:rsid w:val="00D6569E"/>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5">
    <w:name w:val="Grid Table 6 Colorful Accent 5"/>
    <w:basedOn w:val="TableNormal"/>
    <w:uiPriority w:val="51"/>
    <w:rsid w:val="00D6569E"/>
    <w:rPr>
      <w:rFonts w:asciiTheme="minorHAnsi" w:eastAsiaTheme="minorHAnsi" w:hAnsiTheme="minorHAnsi" w:cstheme="minorBidi"/>
      <w:color w:val="2F5496" w:themeColor="accent5" w:themeShade="BF"/>
      <w:sz w:val="22"/>
      <w:szCs w:val="22"/>
      <w:lang w:eastAsia="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321F62"/>
    <w:pPr>
      <w:tabs>
        <w:tab w:val="center" w:pos="4680"/>
        <w:tab w:val="right" w:pos="9360"/>
      </w:tabs>
    </w:pPr>
  </w:style>
  <w:style w:type="character" w:customStyle="1" w:styleId="HeaderChar">
    <w:name w:val="Header Char"/>
    <w:basedOn w:val="DefaultParagraphFont"/>
    <w:link w:val="Header"/>
    <w:uiPriority w:val="99"/>
    <w:rsid w:val="00321F62"/>
    <w:rPr>
      <w:rFonts w:ascii="Droid Sans" w:hAnsi="Droid Sans"/>
      <w:kern w:val="2"/>
      <w:sz w:val="24"/>
      <w:szCs w:val="21"/>
    </w:rPr>
  </w:style>
  <w:style w:type="paragraph" w:styleId="Footer">
    <w:name w:val="footer"/>
    <w:basedOn w:val="Normal"/>
    <w:link w:val="FooterChar"/>
    <w:uiPriority w:val="99"/>
    <w:unhideWhenUsed/>
    <w:rsid w:val="00321F62"/>
    <w:pPr>
      <w:tabs>
        <w:tab w:val="center" w:pos="4680"/>
        <w:tab w:val="right" w:pos="9360"/>
      </w:tabs>
    </w:pPr>
  </w:style>
  <w:style w:type="character" w:customStyle="1" w:styleId="FooterChar">
    <w:name w:val="Footer Char"/>
    <w:basedOn w:val="DefaultParagraphFont"/>
    <w:link w:val="Footer"/>
    <w:uiPriority w:val="99"/>
    <w:rsid w:val="00321F62"/>
    <w:rPr>
      <w:rFonts w:ascii="Droid Sans" w:hAnsi="Droid Sans"/>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abdalwajed</dc:creator>
  <cp:lastModifiedBy>moh awad</cp:lastModifiedBy>
  <cp:revision>2</cp:revision>
  <dcterms:created xsi:type="dcterms:W3CDTF">2026-02-14T13:04:00Z</dcterms:created>
  <dcterms:modified xsi:type="dcterms:W3CDTF">2026-02-14T13:04:00Z</dcterms:modified>
</cp:coreProperties>
</file>