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00B49" w14:textId="29D46B47" w:rsidR="00163BC4" w:rsidRPr="00163BC4" w:rsidRDefault="00927BED" w:rsidP="00441B6F">
      <w:pPr>
        <w:pStyle w:val="Author"/>
        <w:spacing w:line="240" w:lineRule="auto"/>
        <w:rPr>
          <w:rFonts w:ascii="Arial" w:hAnsi="Arial" w:cs="Arial"/>
          <w:bCs/>
          <w:iCs/>
          <w:kern w:val="28"/>
          <w:sz w:val="36"/>
        </w:rPr>
      </w:pPr>
      <w:r w:rsidRPr="00927BED">
        <w:rPr>
          <w:rFonts w:ascii="Arial" w:hAnsi="Arial" w:cs="Arial"/>
          <w:bCs/>
          <w:iCs/>
          <w:kern w:val="28"/>
          <w:sz w:val="36"/>
        </w:rPr>
        <w:t xml:space="preserve">Clinician’s perspectives on the management of anemia in chronic kidney disease in </w:t>
      </w:r>
      <w:r w:rsidR="0009109A" w:rsidRPr="0009109A">
        <w:rPr>
          <w:rFonts w:ascii="Arial" w:hAnsi="Arial" w:cs="Arial"/>
          <w:bCs/>
          <w:iCs/>
          <w:kern w:val="28"/>
          <w:sz w:val="36"/>
        </w:rPr>
        <w:t>Indian settings</w:t>
      </w:r>
      <w:r w:rsidR="00231920">
        <w:rPr>
          <w:rFonts w:ascii="Arial" w:hAnsi="Arial" w:cs="Arial"/>
          <w:bCs/>
          <w:iCs/>
          <w:kern w:val="28"/>
          <w:sz w:val="36"/>
        </w:rPr>
        <w:t xml:space="preserve"> </w:t>
      </w:r>
    </w:p>
    <w:p w14:paraId="665DC011" w14:textId="77777777" w:rsidR="00A258C3" w:rsidRPr="00790ADA" w:rsidRDefault="00A258C3" w:rsidP="00441B6F">
      <w:pPr>
        <w:pStyle w:val="Author"/>
        <w:spacing w:line="240" w:lineRule="auto"/>
        <w:jc w:val="both"/>
        <w:rPr>
          <w:rFonts w:ascii="Arial" w:hAnsi="Arial" w:cs="Arial"/>
          <w:sz w:val="36"/>
        </w:rPr>
      </w:pPr>
    </w:p>
    <w:p w14:paraId="064AFDB7" w14:textId="77777777" w:rsidR="00084DA0" w:rsidRDefault="00084DA0" w:rsidP="008357EE">
      <w:pPr>
        <w:pStyle w:val="Affiliation"/>
        <w:spacing w:after="0" w:line="240" w:lineRule="auto"/>
        <w:jc w:val="center"/>
        <w:rPr>
          <w:rFonts w:ascii="Arial" w:hAnsi="Arial" w:cs="Arial"/>
          <w:i/>
          <w:color w:val="000000" w:themeColor="text1"/>
        </w:rPr>
      </w:pPr>
    </w:p>
    <w:p w14:paraId="3CA644CF" w14:textId="0E2FF88F" w:rsidR="00084DA0" w:rsidRDefault="00084DA0" w:rsidP="006A00B8">
      <w:pPr>
        <w:pStyle w:val="Affiliation"/>
        <w:spacing w:after="0" w:line="240" w:lineRule="auto"/>
        <w:rPr>
          <w:rFonts w:ascii="Arial" w:hAnsi="Arial" w:cs="Arial"/>
          <w:i/>
        </w:rPr>
      </w:pPr>
      <w:r>
        <w:rPr>
          <w:rFonts w:ascii="Arial" w:hAnsi="Arial" w:cs="Arial"/>
          <w:i/>
          <w:color w:val="000000" w:themeColor="text1"/>
        </w:rPr>
        <w:t xml:space="preserve"> </w:t>
      </w:r>
    </w:p>
    <w:p w14:paraId="290E86C8" w14:textId="77777777" w:rsidR="006A00B8" w:rsidRDefault="006A00B8" w:rsidP="006A00B8">
      <w:pPr>
        <w:pStyle w:val="Affiliation"/>
        <w:spacing w:after="0" w:line="240" w:lineRule="auto"/>
        <w:jc w:val="both"/>
        <w:rPr>
          <w:rFonts w:ascii="Arial" w:hAnsi="Arial" w:cs="Arial"/>
        </w:rPr>
      </w:pPr>
    </w:p>
    <w:p w14:paraId="3F2D537D" w14:textId="77777777" w:rsidR="00B01FCD" w:rsidRPr="00FB3A86" w:rsidRDefault="00C95A82" w:rsidP="00441B6F">
      <w:pPr>
        <w:pStyle w:val="Copyright"/>
        <w:spacing w:after="0" w:line="240" w:lineRule="auto"/>
        <w:jc w:val="both"/>
        <w:rPr>
          <w:rFonts w:ascii="Arial" w:hAnsi="Arial" w:cs="Arial"/>
        </w:rPr>
        <w:sectPr w:rsidR="00B01FCD" w:rsidRPr="00FB3A86" w:rsidSect="005C565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99500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E8B85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2F53B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8A6277" w14:textId="77777777" w:rsidTr="001E44FE">
        <w:tc>
          <w:tcPr>
            <w:tcW w:w="9576" w:type="dxa"/>
            <w:shd w:val="clear" w:color="auto" w:fill="F2F2F2"/>
          </w:tcPr>
          <w:p w14:paraId="141EC9BA" w14:textId="753BA710" w:rsidR="00157EFD" w:rsidRPr="00157EFD" w:rsidRDefault="00157EFD" w:rsidP="00157EFD">
            <w:pPr>
              <w:pStyle w:val="Body"/>
              <w:rPr>
                <w:rFonts w:ascii="Arial" w:eastAsia="Calibri" w:hAnsi="Arial" w:cs="Arial"/>
                <w:bCs/>
                <w:szCs w:val="22"/>
                <w:lang w:val="en-IN"/>
              </w:rPr>
            </w:pPr>
            <w:r w:rsidRPr="00157EFD">
              <w:rPr>
                <w:rFonts w:ascii="Arial" w:eastAsia="Calibri" w:hAnsi="Arial" w:cs="Arial"/>
                <w:b/>
                <w:szCs w:val="22"/>
                <w:lang w:val="en-IN"/>
              </w:rPr>
              <w:t xml:space="preserve">Objective: </w:t>
            </w:r>
            <w:r w:rsidR="00927BED" w:rsidRPr="007B1FAC">
              <w:rPr>
                <w:rFonts w:cstheme="minorHAnsi"/>
              </w:rPr>
              <w:t>The study aims to gather clinicians’ perspectives on the management of anemia in patients with chronic kidney disease (CKD)</w:t>
            </w:r>
            <w:r w:rsidRPr="00157EFD">
              <w:rPr>
                <w:rFonts w:ascii="Arial" w:eastAsia="Calibri" w:hAnsi="Arial" w:cs="Arial"/>
                <w:bCs/>
                <w:szCs w:val="22"/>
                <w:lang w:val="en-IN"/>
              </w:rPr>
              <w:t>.</w:t>
            </w:r>
          </w:p>
          <w:p w14:paraId="7C2D9C77" w14:textId="20D17FDB" w:rsidR="00157EFD" w:rsidRPr="00157EFD" w:rsidRDefault="00157EFD" w:rsidP="00157EFD">
            <w:pPr>
              <w:pStyle w:val="Body"/>
              <w:rPr>
                <w:rFonts w:ascii="Arial" w:eastAsia="Calibri" w:hAnsi="Arial" w:cs="Arial"/>
                <w:bCs/>
                <w:szCs w:val="22"/>
                <w:lang w:val="en-IN"/>
              </w:rPr>
            </w:pPr>
            <w:r w:rsidRPr="00157EFD">
              <w:rPr>
                <w:rFonts w:ascii="Arial" w:eastAsia="Calibri" w:hAnsi="Arial" w:cs="Arial"/>
                <w:b/>
                <w:szCs w:val="22"/>
                <w:lang w:val="en-IN"/>
              </w:rPr>
              <w:t xml:space="preserve">Methods: </w:t>
            </w:r>
            <w:r w:rsidR="00927BED" w:rsidRPr="00927BED">
              <w:rPr>
                <w:rFonts w:ascii="Arial" w:eastAsia="Calibri" w:hAnsi="Arial" w:cs="Arial"/>
                <w:bCs/>
                <w:szCs w:val="22"/>
                <w:lang w:val="en-IN"/>
              </w:rPr>
              <w:t xml:space="preserve">In this cross-sectional study, a 23-item, multiple-response questionnaire gathered expert opinion on current practices, clinical observations, and experiences related to the management of </w:t>
            </w:r>
            <w:proofErr w:type="spellStart"/>
            <w:r w:rsidR="00927BED" w:rsidRPr="00927BED">
              <w:rPr>
                <w:rFonts w:ascii="Arial" w:eastAsia="Calibri" w:hAnsi="Arial" w:cs="Arial"/>
                <w:bCs/>
                <w:szCs w:val="22"/>
                <w:lang w:val="en-IN"/>
              </w:rPr>
              <w:t>anemia</w:t>
            </w:r>
            <w:proofErr w:type="spellEnd"/>
            <w:r w:rsidR="00927BED" w:rsidRPr="00927BED">
              <w:rPr>
                <w:rFonts w:ascii="Arial" w:eastAsia="Calibri" w:hAnsi="Arial" w:cs="Arial"/>
                <w:bCs/>
                <w:szCs w:val="22"/>
                <w:lang w:val="en-IN"/>
              </w:rPr>
              <w:t xml:space="preserve"> in CKD patients in India. The survey respondents were specialists with expertise in managing CKD. Data were analysed using descriptive statistics</w:t>
            </w:r>
            <w:r w:rsidRPr="00157EFD">
              <w:rPr>
                <w:rFonts w:ascii="Arial" w:eastAsia="Calibri" w:hAnsi="Arial" w:cs="Arial"/>
                <w:bCs/>
                <w:szCs w:val="22"/>
                <w:lang w:val="en-IN"/>
              </w:rPr>
              <w:t>.</w:t>
            </w:r>
          </w:p>
          <w:p w14:paraId="7CD86E66" w14:textId="692AFC5D" w:rsidR="00157EFD" w:rsidRPr="00157EFD" w:rsidRDefault="00157EFD" w:rsidP="00157EFD">
            <w:pPr>
              <w:pStyle w:val="Body"/>
              <w:rPr>
                <w:rFonts w:ascii="Arial" w:eastAsia="Calibri" w:hAnsi="Arial" w:cs="Arial"/>
                <w:bCs/>
                <w:szCs w:val="22"/>
                <w:lang w:val="en-IN"/>
              </w:rPr>
            </w:pPr>
            <w:r w:rsidRPr="00157EFD">
              <w:rPr>
                <w:rFonts w:ascii="Arial" w:eastAsia="Calibri" w:hAnsi="Arial" w:cs="Arial"/>
                <w:b/>
                <w:szCs w:val="22"/>
                <w:lang w:val="en-IN"/>
              </w:rPr>
              <w:t xml:space="preserve">Result: </w:t>
            </w:r>
            <w:r w:rsidR="00927BED" w:rsidRPr="007B1FAC">
              <w:rPr>
                <w:rFonts w:cstheme="minorHAnsi"/>
              </w:rPr>
              <w:t xml:space="preserve">The study included 288 clinicians. Inadequate production of erythropoietin by the kidneys was the primary cause of anemia in the majority of patients with CKD, as reported by 36% of respondents. More than half (55.56%) of the respondents reported that the preferred iron supplementation for patients with </w:t>
            </w:r>
            <w:r w:rsidR="00927BED">
              <w:rPr>
                <w:rFonts w:cstheme="minorHAnsi"/>
              </w:rPr>
              <w:t>hemoglobin (</w:t>
            </w:r>
            <w:r w:rsidR="00927BED" w:rsidRPr="007B1FAC">
              <w:rPr>
                <w:rFonts w:cstheme="minorHAnsi"/>
              </w:rPr>
              <w:t>Hb</w:t>
            </w:r>
            <w:r w:rsidR="00927BED">
              <w:rPr>
                <w:rFonts w:cstheme="minorHAnsi"/>
              </w:rPr>
              <w:t xml:space="preserve">) </w:t>
            </w:r>
            <w:r w:rsidR="00927BED" w:rsidRPr="007B1FAC">
              <w:rPr>
                <w:rFonts w:cstheme="minorHAnsi"/>
              </w:rPr>
              <w:t xml:space="preserve">&lt;9% was </w:t>
            </w:r>
            <w:r w:rsidR="00927BED">
              <w:rPr>
                <w:rFonts w:cstheme="minorHAnsi"/>
              </w:rPr>
              <w:t xml:space="preserve">the </w:t>
            </w:r>
            <w:r w:rsidR="00927BED" w:rsidRPr="007B1FAC">
              <w:rPr>
                <w:rFonts w:cstheme="minorHAnsi"/>
              </w:rPr>
              <w:t xml:space="preserve">intravenous </w:t>
            </w:r>
            <w:r w:rsidR="00927BED">
              <w:rPr>
                <w:rFonts w:cstheme="minorHAnsi"/>
              </w:rPr>
              <w:t>(</w:t>
            </w:r>
            <w:r w:rsidR="00927BED" w:rsidRPr="007B1FAC">
              <w:rPr>
                <w:rFonts w:cstheme="minorHAnsi"/>
              </w:rPr>
              <w:t>IV</w:t>
            </w:r>
            <w:r w:rsidR="00927BED">
              <w:rPr>
                <w:rFonts w:cstheme="minorHAnsi"/>
              </w:rPr>
              <w:t>)</w:t>
            </w:r>
            <w:r w:rsidR="00927BED" w:rsidRPr="007B1FAC">
              <w:rPr>
                <w:rFonts w:cstheme="minorHAnsi"/>
              </w:rPr>
              <w:t xml:space="preserve"> route, while 42% reported that tablets were the preferred iron supplementation. Oral iron supplements were the most preferred treatment option for anemia in CKD patients, as indicated by 39% of the clinicians, while 36% of them stated erythropoiesis-stimulating agents (ESAs) were the preferred treatment option for CKD. A majority (78.82%) of the participants stated ferric </w:t>
            </w:r>
            <w:proofErr w:type="spellStart"/>
            <w:r w:rsidR="00927BED" w:rsidRPr="007B1FAC">
              <w:rPr>
                <w:rFonts w:cstheme="minorHAnsi"/>
              </w:rPr>
              <w:t>carboxymaltose</w:t>
            </w:r>
            <w:proofErr w:type="spellEnd"/>
            <w:r w:rsidR="00927BED" w:rsidRPr="007B1FAC">
              <w:rPr>
                <w:rFonts w:cstheme="minorHAnsi"/>
              </w:rPr>
              <w:t xml:space="preserve"> as their preferred </w:t>
            </w:r>
            <w:r w:rsidR="00927BED">
              <w:rPr>
                <w:rFonts w:cstheme="minorHAnsi"/>
              </w:rPr>
              <w:t>IV</w:t>
            </w:r>
            <w:r w:rsidR="00927BED" w:rsidRPr="007B1FAC">
              <w:rPr>
                <w:rFonts w:cstheme="minorHAnsi"/>
              </w:rPr>
              <w:t xml:space="preserve"> iron formulation. About 56% of the clinicians opined that highly bioavailable liposomal iron bypasses the extremely restrictive normal intestinal barriers and achieves a much higher plasma iron concentration, were true regarding liposomal iron.</w:t>
            </w:r>
          </w:p>
          <w:p w14:paraId="45CBA51F" w14:textId="54A0B646" w:rsidR="00505F06" w:rsidRPr="006A00B8" w:rsidRDefault="00157EFD" w:rsidP="00157EFD">
            <w:pPr>
              <w:pStyle w:val="Body"/>
              <w:spacing w:after="0"/>
              <w:rPr>
                <w:rFonts w:ascii="Arial" w:eastAsia="Calibri" w:hAnsi="Arial" w:cs="Arial"/>
                <w:szCs w:val="22"/>
                <w:lang w:val="en-IN"/>
              </w:rPr>
            </w:pPr>
            <w:r w:rsidRPr="00157EFD">
              <w:rPr>
                <w:rFonts w:ascii="Arial" w:eastAsia="Calibri" w:hAnsi="Arial" w:cs="Arial"/>
                <w:b/>
                <w:szCs w:val="22"/>
                <w:lang w:val="en-IN"/>
              </w:rPr>
              <w:t xml:space="preserve">Conclusion: </w:t>
            </w:r>
            <w:r w:rsidR="00927BED" w:rsidRPr="007B1FAC">
              <w:rPr>
                <w:rFonts w:cstheme="minorHAnsi"/>
              </w:rPr>
              <w:t xml:space="preserve">This </w:t>
            </w:r>
            <w:r w:rsidR="00927BED">
              <w:rPr>
                <w:rFonts w:cstheme="minorHAnsi"/>
              </w:rPr>
              <w:t>study</w:t>
            </w:r>
            <w:r w:rsidR="00927BED" w:rsidRPr="007B1FAC">
              <w:rPr>
                <w:rFonts w:cstheme="minorHAnsi"/>
              </w:rPr>
              <w:t xml:space="preserve"> </w:t>
            </w:r>
            <w:r w:rsidR="00927BED">
              <w:rPr>
                <w:rFonts w:cstheme="minorHAnsi"/>
              </w:rPr>
              <w:t>reported that r</w:t>
            </w:r>
            <w:r w:rsidR="00927BED" w:rsidRPr="007B1FAC">
              <w:rPr>
                <w:rFonts w:cstheme="minorHAnsi"/>
              </w:rPr>
              <w:t xml:space="preserve">educed erythropoietin production was the leading cause of anemia, with iron therapy and ESAs as the primary treatments. </w:t>
            </w:r>
            <w:r w:rsidR="00927BED">
              <w:rPr>
                <w:rFonts w:cstheme="minorHAnsi"/>
              </w:rPr>
              <w:t>IV</w:t>
            </w:r>
            <w:r w:rsidR="00927BED" w:rsidRPr="007B1FAC">
              <w:rPr>
                <w:rFonts w:cstheme="minorHAnsi"/>
              </w:rPr>
              <w:t xml:space="preserve"> iron was preferred for more severe anemia, while oral iron remained widely used. Liposomal iron was the preferred choice due to its perceived bioavailability</w:t>
            </w:r>
            <w:r w:rsidRPr="00157EFD">
              <w:rPr>
                <w:rFonts w:ascii="Arial" w:eastAsia="Calibri" w:hAnsi="Arial" w:cs="Arial"/>
                <w:bCs/>
                <w:szCs w:val="22"/>
                <w:lang w:val="en-IN"/>
              </w:rPr>
              <w:t>.</w:t>
            </w:r>
          </w:p>
        </w:tc>
      </w:tr>
    </w:tbl>
    <w:p w14:paraId="47F03EA8" w14:textId="77777777" w:rsidR="00636EB2" w:rsidRDefault="00636EB2" w:rsidP="00441B6F">
      <w:pPr>
        <w:pStyle w:val="Body"/>
        <w:spacing w:after="0"/>
        <w:rPr>
          <w:rFonts w:ascii="Arial" w:hAnsi="Arial" w:cs="Arial"/>
          <w:i/>
        </w:rPr>
      </w:pPr>
    </w:p>
    <w:p w14:paraId="66A07B2F" w14:textId="16433A07" w:rsidR="00A24E7E" w:rsidRDefault="00A24E7E" w:rsidP="00441B6F">
      <w:pPr>
        <w:pStyle w:val="Body"/>
        <w:spacing w:after="0"/>
        <w:rPr>
          <w:rFonts w:ascii="Arial" w:hAnsi="Arial" w:cs="Arial"/>
          <w:i/>
        </w:rPr>
      </w:pPr>
      <w:r w:rsidRPr="00157EFD">
        <w:rPr>
          <w:rFonts w:ascii="Arial" w:hAnsi="Arial" w:cs="Arial"/>
          <w:b/>
          <w:bCs/>
          <w:i/>
        </w:rPr>
        <w:t>Keywords</w:t>
      </w:r>
      <w:r>
        <w:rPr>
          <w:rFonts w:ascii="Arial" w:hAnsi="Arial" w:cs="Arial"/>
          <w:i/>
        </w:rPr>
        <w:t xml:space="preserve">: </w:t>
      </w:r>
      <w:r w:rsidR="00927BED" w:rsidRPr="00927BED">
        <w:rPr>
          <w:rFonts w:ascii="Arial" w:hAnsi="Arial" w:cs="Arial"/>
          <w:i/>
        </w:rPr>
        <w:t>Chronic kidney disease, Anemia, Hemoglobin, Oral iron supplements, Liposomal iron</w:t>
      </w:r>
    </w:p>
    <w:p w14:paraId="35A2B735" w14:textId="77777777" w:rsidR="00505F06" w:rsidRPr="00A24E7E" w:rsidRDefault="00505F06" w:rsidP="00441B6F">
      <w:pPr>
        <w:pStyle w:val="Body"/>
        <w:spacing w:after="0"/>
        <w:rPr>
          <w:rFonts w:ascii="Arial" w:hAnsi="Arial" w:cs="Arial"/>
          <w:i/>
        </w:rPr>
      </w:pPr>
    </w:p>
    <w:p w14:paraId="3E5B2CC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AD1441A" w14:textId="77777777" w:rsidR="00790ADA" w:rsidRPr="00FB3A86" w:rsidRDefault="00790ADA" w:rsidP="00441B6F">
      <w:pPr>
        <w:pStyle w:val="AbstHead"/>
        <w:spacing w:after="0"/>
        <w:jc w:val="both"/>
        <w:rPr>
          <w:rFonts w:ascii="Arial" w:hAnsi="Arial" w:cs="Arial"/>
        </w:rPr>
      </w:pPr>
    </w:p>
    <w:p w14:paraId="1DECF47A" w14:textId="7AD3B647" w:rsidR="00927BED" w:rsidRDefault="00C95A82" w:rsidP="00927BED">
      <w:pPr>
        <w:jc w:val="both"/>
        <w:rPr>
          <w:rFonts w:cstheme="minorHAnsi"/>
          <w:vertAlign w:val="superscript"/>
        </w:rPr>
      </w:pPr>
      <w:r>
        <w:rPr>
          <w:rFonts w:cstheme="minorHAnsi"/>
        </w:rPr>
        <w:t>“</w:t>
      </w:r>
      <w:r w:rsidR="00927BED" w:rsidRPr="007B1FAC">
        <w:rPr>
          <w:rFonts w:cstheme="minorHAnsi"/>
        </w:rPr>
        <w:t>Chronic kidney disease (CKD) represents a major global health burden, affecting an estimated 8–16% of the population worldwide</w:t>
      </w:r>
      <w:r>
        <w:rPr>
          <w:rFonts w:cstheme="minorHAnsi"/>
        </w:rPr>
        <w:t>”</w:t>
      </w:r>
      <w:r w:rsidR="00927BED" w:rsidRPr="007B1FAC">
        <w:rPr>
          <w:rFonts w:cstheme="minorHAnsi"/>
        </w:rPr>
        <w:t>.</w:t>
      </w:r>
      <w:r w:rsidR="00927BED" w:rsidRPr="007B1FAC">
        <w:rPr>
          <w:rFonts w:cstheme="minorHAnsi"/>
          <w:vertAlign w:val="superscript"/>
        </w:rPr>
        <w:t>1</w:t>
      </w:r>
      <w:r w:rsidR="00927BED" w:rsidRPr="007B1FAC">
        <w:rPr>
          <w:rFonts w:cstheme="minorHAnsi"/>
        </w:rPr>
        <w:t xml:space="preserve"> </w:t>
      </w:r>
      <w:r>
        <w:rPr>
          <w:rFonts w:cstheme="minorHAnsi"/>
        </w:rPr>
        <w:t>“</w:t>
      </w:r>
      <w:r w:rsidR="00927BED" w:rsidRPr="007B1FAC">
        <w:rPr>
          <w:rFonts w:cstheme="minorHAnsi"/>
        </w:rPr>
        <w:t>Anemia is a common complication of CKD and contributes substantially to increased morbidity, impaired quality of life, and a heightened risk of cardiovascular events</w:t>
      </w:r>
      <w:r>
        <w:rPr>
          <w:rFonts w:cstheme="minorHAnsi"/>
        </w:rPr>
        <w:t>”</w:t>
      </w:r>
      <w:r w:rsidR="00927BED" w:rsidRPr="007B1FAC">
        <w:rPr>
          <w:rFonts w:cstheme="minorHAnsi"/>
        </w:rPr>
        <w:t>.</w:t>
      </w:r>
      <w:r w:rsidR="00927BED" w:rsidRPr="007B1FAC">
        <w:rPr>
          <w:rFonts w:cstheme="minorHAnsi"/>
          <w:vertAlign w:val="superscript"/>
        </w:rPr>
        <w:t>2</w:t>
      </w:r>
      <w:r w:rsidR="00927BED" w:rsidRPr="007B1FAC">
        <w:rPr>
          <w:rFonts w:cstheme="minorHAnsi"/>
        </w:rPr>
        <w:t xml:space="preserve"> </w:t>
      </w:r>
      <w:r>
        <w:rPr>
          <w:rFonts w:cstheme="minorHAnsi"/>
        </w:rPr>
        <w:t>“</w:t>
      </w:r>
      <w:r w:rsidR="00927BED" w:rsidRPr="007B1FAC">
        <w:rPr>
          <w:rFonts w:cstheme="minorHAnsi"/>
        </w:rPr>
        <w:t>The pathogenesis of anemia in CKD is multifactorial, involving inadequate erythropoietin production, iron deficiency, chronic inflammation, and associated nutritional deficiencies, thereby making its effective management a critical component of comprehensive CKD care</w:t>
      </w:r>
      <w:r>
        <w:rPr>
          <w:rFonts w:cstheme="minorHAnsi"/>
        </w:rPr>
        <w:t>”</w:t>
      </w:r>
      <w:r w:rsidR="00927BED" w:rsidRPr="007B1FAC">
        <w:rPr>
          <w:rFonts w:cstheme="minorHAnsi"/>
        </w:rPr>
        <w:t>.</w:t>
      </w:r>
      <w:r w:rsidR="00927BED" w:rsidRPr="007B1FAC">
        <w:rPr>
          <w:rFonts w:cstheme="minorHAnsi"/>
          <w:vertAlign w:val="superscript"/>
        </w:rPr>
        <w:t>3</w:t>
      </w:r>
      <w:r w:rsidR="00927BED" w:rsidRPr="007B1FAC">
        <w:rPr>
          <w:rFonts w:cstheme="minorHAnsi"/>
        </w:rPr>
        <w:t xml:space="preserve"> </w:t>
      </w:r>
      <w:r>
        <w:rPr>
          <w:rFonts w:cstheme="minorHAnsi"/>
        </w:rPr>
        <w:t>“</w:t>
      </w:r>
      <w:r w:rsidR="00927BED" w:rsidRPr="007B1FAC">
        <w:rPr>
          <w:rFonts w:cstheme="minorHAnsi"/>
        </w:rPr>
        <w:t xml:space="preserve">According to the Kidney Disease: Improving Global Outcomes (KDIGO) clinical practice guidelines, anemia in CKD is </w:t>
      </w:r>
      <w:r w:rsidR="00927BED" w:rsidRPr="007B1FAC">
        <w:rPr>
          <w:rFonts w:cstheme="minorHAnsi"/>
        </w:rPr>
        <w:lastRenderedPageBreak/>
        <w:t>defined by hemoglobin levels below 13.0 g/dL in men and below 12.0 g/dL in non-pregnant women</w:t>
      </w:r>
      <w:r>
        <w:rPr>
          <w:rFonts w:cstheme="minorHAnsi"/>
        </w:rPr>
        <w:t>”</w:t>
      </w:r>
      <w:r w:rsidR="00927BED" w:rsidRPr="007B1FAC">
        <w:rPr>
          <w:rFonts w:cstheme="minorHAnsi"/>
        </w:rPr>
        <w:t>.</w:t>
      </w:r>
      <w:r w:rsidR="00927BED" w:rsidRPr="007B1FAC">
        <w:rPr>
          <w:rFonts w:cstheme="minorHAnsi"/>
          <w:vertAlign w:val="superscript"/>
        </w:rPr>
        <w:t>4</w:t>
      </w:r>
    </w:p>
    <w:p w14:paraId="47DA7221" w14:textId="77777777" w:rsidR="00927BED" w:rsidRPr="007B1FAC" w:rsidRDefault="00927BED" w:rsidP="00927BED">
      <w:pPr>
        <w:jc w:val="both"/>
        <w:rPr>
          <w:rFonts w:cstheme="minorHAnsi"/>
        </w:rPr>
      </w:pPr>
    </w:p>
    <w:p w14:paraId="266BA57E" w14:textId="0F7AB48C" w:rsidR="00927BED" w:rsidRDefault="00C95A82" w:rsidP="00927BED">
      <w:pPr>
        <w:jc w:val="both"/>
        <w:rPr>
          <w:rFonts w:cstheme="minorHAnsi"/>
          <w:vertAlign w:val="superscript"/>
        </w:rPr>
      </w:pPr>
      <w:r>
        <w:rPr>
          <w:rFonts w:cstheme="minorHAnsi"/>
        </w:rPr>
        <w:t>“</w:t>
      </w:r>
      <w:r w:rsidR="00927BED" w:rsidRPr="007B1FAC">
        <w:rPr>
          <w:rFonts w:cstheme="minorHAnsi"/>
        </w:rPr>
        <w:t>The prevalence and severity of anemia increase progressively with advancing stages of CKD, with notable declines in hemoglobin levels typically observed from Stage 3 onwards and becoming more pronounced in Stages 4 and 5</w:t>
      </w:r>
      <w:r>
        <w:rPr>
          <w:rFonts w:cstheme="minorHAnsi"/>
        </w:rPr>
        <w:t>”</w:t>
      </w:r>
      <w:r w:rsidR="00927BED" w:rsidRPr="007B1FAC">
        <w:rPr>
          <w:rFonts w:cstheme="minorHAnsi"/>
        </w:rPr>
        <w:t>.</w:t>
      </w:r>
      <w:r w:rsidR="00927BED" w:rsidRPr="007B1FAC">
        <w:rPr>
          <w:rFonts w:cstheme="minorHAnsi"/>
          <w:vertAlign w:val="superscript"/>
        </w:rPr>
        <w:t>5</w:t>
      </w:r>
      <w:r w:rsidR="00927BED" w:rsidRPr="007B1FAC">
        <w:rPr>
          <w:rFonts w:cstheme="minorHAnsi"/>
        </w:rPr>
        <w:t xml:space="preserve"> </w:t>
      </w:r>
      <w:r>
        <w:rPr>
          <w:rFonts w:cstheme="minorHAnsi"/>
        </w:rPr>
        <w:t>“</w:t>
      </w:r>
      <w:r w:rsidR="00927BED" w:rsidRPr="007B1FAC">
        <w:rPr>
          <w:rFonts w:cstheme="minorHAnsi"/>
        </w:rPr>
        <w:t>This progression is largely attributed to declining erythropoietin synthesis and disturbances in iron metabolism. Epidemiological data indicate that approximately 50% of patients with CKD in the United States are anemic, while the reported prevalence in India exceeds 70%</w:t>
      </w:r>
      <w:r>
        <w:rPr>
          <w:rFonts w:cstheme="minorHAnsi"/>
        </w:rPr>
        <w:t>”</w:t>
      </w:r>
      <w:r w:rsidR="00927BED" w:rsidRPr="007B1FAC">
        <w:rPr>
          <w:rFonts w:cstheme="minorHAnsi"/>
        </w:rPr>
        <w:t>.</w:t>
      </w:r>
      <w:r w:rsidR="00927BED" w:rsidRPr="007B1FAC">
        <w:rPr>
          <w:rFonts w:cstheme="minorHAnsi"/>
          <w:vertAlign w:val="superscript"/>
        </w:rPr>
        <w:t xml:space="preserve">6 </w:t>
      </w:r>
      <w:r>
        <w:rPr>
          <w:rFonts w:cstheme="minorHAnsi"/>
          <w:vertAlign w:val="superscript"/>
        </w:rPr>
        <w:t>“</w:t>
      </w:r>
      <w:r w:rsidR="00927BED" w:rsidRPr="007B1FAC">
        <w:rPr>
          <w:rFonts w:cstheme="minorHAnsi"/>
        </w:rPr>
        <w:t xml:space="preserve">Analyses from the National Health and Nutrition Examination Survey (NHANES) 2007–2008 and 2009–2010 cycles further demonstrated that anemia is nearly twice as prevalent in individuals with CKD compared </w:t>
      </w:r>
      <w:r w:rsidR="00927BED">
        <w:rPr>
          <w:rFonts w:cstheme="minorHAnsi"/>
        </w:rPr>
        <w:t>to</w:t>
      </w:r>
      <w:r w:rsidR="00927BED" w:rsidRPr="007B1FAC">
        <w:rPr>
          <w:rFonts w:cstheme="minorHAnsi"/>
        </w:rPr>
        <w:t xml:space="preserve"> the general population</w:t>
      </w:r>
      <w:r>
        <w:rPr>
          <w:rFonts w:cstheme="minorHAnsi"/>
        </w:rPr>
        <w:t>”</w:t>
      </w:r>
      <w:r w:rsidR="00927BED" w:rsidRPr="007B1FAC">
        <w:rPr>
          <w:rFonts w:cstheme="minorHAnsi"/>
        </w:rPr>
        <w:t>.</w:t>
      </w:r>
      <w:r w:rsidR="00927BED" w:rsidRPr="007B1FAC">
        <w:rPr>
          <w:rFonts w:cstheme="minorHAnsi"/>
          <w:vertAlign w:val="superscript"/>
        </w:rPr>
        <w:t>7,8</w:t>
      </w:r>
      <w:r w:rsidR="00927BED" w:rsidRPr="007B1FAC">
        <w:rPr>
          <w:rFonts w:cstheme="minorHAnsi"/>
        </w:rPr>
        <w:t xml:space="preserve"> </w:t>
      </w:r>
      <w:r>
        <w:rPr>
          <w:rFonts w:cstheme="minorHAnsi"/>
        </w:rPr>
        <w:t>“</w:t>
      </w:r>
      <w:r w:rsidR="00927BED" w:rsidRPr="007B1FAC">
        <w:rPr>
          <w:rFonts w:cstheme="minorHAnsi"/>
        </w:rPr>
        <w:t>Factors associated with a higher risk of anemia include longer disease duration, advanced CKD stage, and the presence of comorbid conditions such as diabetes mellitus and hypertension</w:t>
      </w:r>
      <w:r>
        <w:rPr>
          <w:rFonts w:cstheme="minorHAnsi"/>
        </w:rPr>
        <w:t>”</w:t>
      </w:r>
      <w:r w:rsidR="00927BED" w:rsidRPr="007B1FAC">
        <w:rPr>
          <w:rFonts w:cstheme="minorHAnsi"/>
        </w:rPr>
        <w:t>.</w:t>
      </w:r>
      <w:r w:rsidR="00927BED" w:rsidRPr="007B1FAC">
        <w:rPr>
          <w:rFonts w:cstheme="minorHAnsi"/>
          <w:vertAlign w:val="superscript"/>
        </w:rPr>
        <w:t>6</w:t>
      </w:r>
    </w:p>
    <w:p w14:paraId="487D8F5C" w14:textId="77777777" w:rsidR="00927BED" w:rsidRPr="007B1FAC" w:rsidRDefault="00927BED" w:rsidP="00927BED">
      <w:pPr>
        <w:jc w:val="both"/>
        <w:rPr>
          <w:rFonts w:cstheme="minorHAnsi"/>
        </w:rPr>
      </w:pPr>
    </w:p>
    <w:p w14:paraId="0AB89CF5" w14:textId="3B31DFC2" w:rsidR="00927BED" w:rsidRDefault="00C95A82" w:rsidP="00927BED">
      <w:pPr>
        <w:jc w:val="both"/>
        <w:rPr>
          <w:rFonts w:cstheme="minorHAnsi"/>
        </w:rPr>
      </w:pPr>
      <w:r>
        <w:rPr>
          <w:rFonts w:cstheme="minorHAnsi"/>
        </w:rPr>
        <w:t>“</w:t>
      </w:r>
      <w:r w:rsidR="00927BED" w:rsidRPr="007B1FAC">
        <w:rPr>
          <w:rFonts w:cstheme="minorHAnsi"/>
        </w:rPr>
        <w:t>Current therapeutic strategies for the management of anemia in CKD include iron supplementation, erythropoiesis-stimulating agents (ESAs), and, in selected cases, red blood cell transfusions. Clinical guidelines emphasize the correction of iron deficiency before or concomitant with ESA therapy to optimize treatment response and minimize excessive ESA exposure</w:t>
      </w:r>
      <w:r>
        <w:rPr>
          <w:rFonts w:cstheme="minorHAnsi"/>
        </w:rPr>
        <w:t>”</w:t>
      </w:r>
      <w:r w:rsidR="00927BED" w:rsidRPr="007B1FAC">
        <w:rPr>
          <w:rFonts w:cstheme="minorHAnsi"/>
        </w:rPr>
        <w:t>.</w:t>
      </w:r>
      <w:r w:rsidR="00927BED" w:rsidRPr="007B1FAC">
        <w:rPr>
          <w:rFonts w:cstheme="minorHAnsi"/>
          <w:vertAlign w:val="superscript"/>
        </w:rPr>
        <w:t xml:space="preserve">9 </w:t>
      </w:r>
      <w:r>
        <w:rPr>
          <w:rFonts w:cstheme="minorHAnsi"/>
          <w:vertAlign w:val="superscript"/>
        </w:rPr>
        <w:t>“</w:t>
      </w:r>
      <w:r w:rsidR="00927BED" w:rsidRPr="007B1FAC">
        <w:rPr>
          <w:rFonts w:cstheme="minorHAnsi"/>
        </w:rPr>
        <w:t>Iron supplementation remains the cornerstone of anemia management in CKD; however, the optimal route of administration continues to be debated. Conventional oral iron preparations are often limited by poor gastrointestinal tolerability and variable absorption, while the need for supervised administration constrains intravenous iron therapy, infusion-related adverse reactions, and concerns regarding iron overload</w:t>
      </w:r>
      <w:r>
        <w:rPr>
          <w:rFonts w:cstheme="minorHAnsi"/>
        </w:rPr>
        <w:t>”</w:t>
      </w:r>
      <w:r w:rsidR="00927BED" w:rsidRPr="007B1FAC">
        <w:rPr>
          <w:rFonts w:cstheme="minorHAnsi"/>
        </w:rPr>
        <w:t>.</w:t>
      </w:r>
      <w:r w:rsidR="00927BED" w:rsidRPr="007B1FAC">
        <w:rPr>
          <w:rFonts w:cstheme="minorHAnsi"/>
          <w:vertAlign w:val="superscript"/>
        </w:rPr>
        <w:t>10</w:t>
      </w:r>
      <w:r w:rsidR="00927BED" w:rsidRPr="007B1FAC">
        <w:rPr>
          <w:rFonts w:cstheme="minorHAnsi"/>
        </w:rPr>
        <w:t xml:space="preserve"> These practical considerations frequently influence treatment decisions, particularly in patients with non-dialysis-dependent CKD.</w:t>
      </w:r>
    </w:p>
    <w:p w14:paraId="726FCD6B" w14:textId="77777777" w:rsidR="00927BED" w:rsidRPr="007B1FAC" w:rsidRDefault="00927BED" w:rsidP="00927BED">
      <w:pPr>
        <w:jc w:val="both"/>
        <w:rPr>
          <w:rFonts w:cstheme="minorHAnsi"/>
        </w:rPr>
      </w:pPr>
    </w:p>
    <w:p w14:paraId="44A122D9" w14:textId="70E655F0" w:rsidR="00B01FCD" w:rsidRDefault="00C95A82" w:rsidP="00927BED">
      <w:pPr>
        <w:jc w:val="both"/>
        <w:rPr>
          <w:rFonts w:ascii="Arial" w:hAnsi="Arial" w:cs="Arial"/>
          <w:lang w:val="en-IN"/>
        </w:rPr>
      </w:pPr>
      <w:r>
        <w:rPr>
          <w:rFonts w:cstheme="minorHAnsi"/>
        </w:rPr>
        <w:t>“</w:t>
      </w:r>
      <w:r w:rsidR="00927BED" w:rsidRPr="007B1FAC">
        <w:rPr>
          <w:rFonts w:cstheme="minorHAnsi"/>
        </w:rPr>
        <w:t>In recent years, newer oral iron formulations such as liposomal iron have been developed to address these limitations by improving iron bioavailability and tolerability</w:t>
      </w:r>
      <w:r>
        <w:rPr>
          <w:rFonts w:cstheme="minorHAnsi"/>
        </w:rPr>
        <w:t>”</w:t>
      </w:r>
      <w:r w:rsidR="00927BED" w:rsidRPr="007B1FAC">
        <w:rPr>
          <w:rFonts w:cstheme="minorHAnsi"/>
        </w:rPr>
        <w:t>.</w:t>
      </w:r>
      <w:r w:rsidR="00927BED" w:rsidRPr="007B1FAC">
        <w:rPr>
          <w:rFonts w:cstheme="minorHAnsi"/>
          <w:vertAlign w:val="superscript"/>
        </w:rPr>
        <w:t>11</w:t>
      </w:r>
      <w:r w:rsidR="00927BED" w:rsidRPr="007B1FAC">
        <w:rPr>
          <w:rFonts w:cstheme="minorHAnsi"/>
        </w:rPr>
        <w:t xml:space="preserve"> </w:t>
      </w:r>
      <w:r>
        <w:rPr>
          <w:rFonts w:cstheme="minorHAnsi"/>
        </w:rPr>
        <w:t>“</w:t>
      </w:r>
      <w:r w:rsidR="00927BED" w:rsidRPr="007B1FAC">
        <w:rPr>
          <w:rFonts w:cstheme="minorHAnsi"/>
        </w:rPr>
        <w:t xml:space="preserve">Liposomal iron is </w:t>
      </w:r>
      <w:r w:rsidR="00927BED">
        <w:rPr>
          <w:rFonts w:cstheme="minorHAnsi"/>
        </w:rPr>
        <w:t>a</w:t>
      </w:r>
      <w:r w:rsidR="00927BED" w:rsidRPr="007B1FAC">
        <w:rPr>
          <w:rFonts w:cstheme="minorHAnsi"/>
        </w:rPr>
        <w:t xml:space="preserve"> </w:t>
      </w:r>
      <w:r w:rsidR="00927BED">
        <w:rPr>
          <w:rFonts w:cstheme="minorHAnsi"/>
        </w:rPr>
        <w:t>novel</w:t>
      </w:r>
      <w:r w:rsidR="00927BED" w:rsidRPr="007B1FAC">
        <w:rPr>
          <w:rFonts w:cstheme="minorHAnsi"/>
        </w:rPr>
        <w:t xml:space="preserve"> formulation in which ferric pyrophosphate is encapsulated within a phospholipid bilayer, forming a liposome that protects iron from direct interaction with the gastrointestinal mucosa</w:t>
      </w:r>
      <w:r>
        <w:rPr>
          <w:rFonts w:cstheme="minorHAnsi"/>
        </w:rPr>
        <w:t>”</w:t>
      </w:r>
      <w:r w:rsidR="00927BED" w:rsidRPr="007B1FAC">
        <w:rPr>
          <w:rFonts w:cstheme="minorHAnsi"/>
        </w:rPr>
        <w:t>.</w:t>
      </w:r>
      <w:r w:rsidR="00927BED" w:rsidRPr="007B1FAC">
        <w:rPr>
          <w:rFonts w:cstheme="minorHAnsi"/>
          <w:vertAlign w:val="superscript"/>
        </w:rPr>
        <w:t>12</w:t>
      </w:r>
      <w:r w:rsidR="00927BED" w:rsidRPr="007B1FAC">
        <w:rPr>
          <w:rFonts w:cstheme="minorHAnsi"/>
        </w:rPr>
        <w:t xml:space="preserve"> </w:t>
      </w:r>
      <w:r>
        <w:rPr>
          <w:rFonts w:cstheme="minorHAnsi"/>
        </w:rPr>
        <w:t>“</w:t>
      </w:r>
      <w:r w:rsidR="00927BED" w:rsidRPr="007B1FAC">
        <w:rPr>
          <w:rFonts w:cstheme="minorHAnsi"/>
        </w:rPr>
        <w:t xml:space="preserve">This </w:t>
      </w:r>
      <w:r w:rsidR="00927BED">
        <w:rPr>
          <w:rFonts w:cstheme="minorHAnsi"/>
        </w:rPr>
        <w:t>technology</w:t>
      </w:r>
      <w:r w:rsidR="00927BED" w:rsidRPr="007B1FAC">
        <w:rPr>
          <w:rFonts w:cstheme="minorHAnsi"/>
        </w:rPr>
        <w:t xml:space="preserve"> enables absorption through transcellular pathways, including endocytosis and lymphatic uptake, thereby bypassing conventional divalent metal transporter-dependent mechanisms and hepcidin-regulated intestinal transport. By minimizing the presence of free iron in the gut lumen, liposomal iron is associated with improved bioavailability and a lower incidence of gastrointestinal adverse effects compared with conventional oral iron preparations</w:t>
      </w:r>
      <w:r>
        <w:rPr>
          <w:rFonts w:cstheme="minorHAnsi"/>
        </w:rPr>
        <w:t>”</w:t>
      </w:r>
      <w:r w:rsidR="00927BED" w:rsidRPr="007B1FAC">
        <w:rPr>
          <w:rFonts w:cstheme="minorHAnsi"/>
        </w:rPr>
        <w:t>.</w:t>
      </w:r>
      <w:r w:rsidR="00927BED" w:rsidRPr="007B1FAC">
        <w:rPr>
          <w:rFonts w:cstheme="minorHAnsi"/>
          <w:vertAlign w:val="superscript"/>
        </w:rPr>
        <w:t>12,13</w:t>
      </w:r>
      <w:r w:rsidR="00927BED" w:rsidRPr="007B1FAC">
        <w:rPr>
          <w:rFonts w:cstheme="minorHAnsi"/>
        </w:rPr>
        <w:t xml:space="preserve"> </w:t>
      </w:r>
      <w:r w:rsidR="00927BED" w:rsidRPr="002C530C">
        <w:rPr>
          <w:rFonts w:cstheme="minorHAnsi"/>
          <w:highlight w:val="yellow"/>
        </w:rPr>
        <w:t xml:space="preserve">Despite emerging evidence </w:t>
      </w:r>
      <w:r w:rsidR="002C530C">
        <w:rPr>
          <w:rFonts w:cstheme="minorHAnsi"/>
          <w:highlight w:val="yellow"/>
        </w:rPr>
        <w:t>of potential clinical benefits, studies on clinicians' perceptions of</w:t>
      </w:r>
      <w:r w:rsidR="00927BED" w:rsidRPr="002C530C">
        <w:rPr>
          <w:rFonts w:cstheme="minorHAnsi"/>
          <w:highlight w:val="yellow"/>
        </w:rPr>
        <w:t xml:space="preserve"> the applicability of liposomal iron in CKD-associated anemia remain limited.</w:t>
      </w:r>
      <w:r w:rsidR="00927BED">
        <w:rPr>
          <w:rFonts w:cstheme="minorHAnsi"/>
        </w:rPr>
        <w:t xml:space="preserve"> </w:t>
      </w:r>
      <w:r w:rsidR="00927BED" w:rsidRPr="007B1FAC">
        <w:rPr>
          <w:rFonts w:cstheme="minorHAnsi"/>
        </w:rPr>
        <w:t>The present study aims to gather clinicians' preferences and perspectives for the management of anemia in CKD among Indian patients.</w:t>
      </w:r>
    </w:p>
    <w:p w14:paraId="48211113" w14:textId="77777777" w:rsidR="00157EFD" w:rsidRPr="00157EFD" w:rsidRDefault="00157EFD" w:rsidP="00157EFD">
      <w:pPr>
        <w:jc w:val="both"/>
        <w:rPr>
          <w:rFonts w:ascii="Arial" w:hAnsi="Arial" w:cs="Arial"/>
          <w:lang w:val="en-IN"/>
        </w:rPr>
      </w:pPr>
    </w:p>
    <w:p w14:paraId="74C2AC61" w14:textId="77777777" w:rsidR="007F7B32" w:rsidRDefault="00902823" w:rsidP="00441B6F">
      <w:pPr>
        <w:pStyle w:val="AbstHead"/>
        <w:spacing w:after="0"/>
        <w:jc w:val="both"/>
        <w:rPr>
          <w:rFonts w:ascii="Arial" w:hAnsi="Arial" w:cs="Arial"/>
        </w:rPr>
      </w:pPr>
      <w:r>
        <w:rPr>
          <w:rFonts w:ascii="Arial" w:hAnsi="Arial" w:cs="Arial"/>
        </w:rPr>
        <w:t>2. material</w:t>
      </w:r>
      <w:r w:rsidR="00192216">
        <w:rPr>
          <w:rFonts w:ascii="Arial" w:hAnsi="Arial" w:cs="Arial"/>
        </w:rPr>
        <w:t>S</w:t>
      </w:r>
      <w:r>
        <w:rPr>
          <w:rFonts w:ascii="Arial" w:hAnsi="Arial" w:cs="Arial"/>
        </w:rPr>
        <w:t xml:space="preserve"> and method</w:t>
      </w:r>
      <w:r w:rsidR="00000F8F">
        <w:rPr>
          <w:rFonts w:ascii="Arial" w:hAnsi="Arial" w:cs="Arial"/>
        </w:rPr>
        <w:t xml:space="preserve">s </w:t>
      </w:r>
    </w:p>
    <w:p w14:paraId="6B5C055D" w14:textId="77777777" w:rsidR="00790ADA" w:rsidRPr="00FB3A86" w:rsidRDefault="00790ADA" w:rsidP="00441B6F">
      <w:pPr>
        <w:pStyle w:val="AbstHead"/>
        <w:spacing w:after="0"/>
        <w:jc w:val="both"/>
        <w:rPr>
          <w:rFonts w:ascii="Arial" w:hAnsi="Arial" w:cs="Arial"/>
        </w:rPr>
      </w:pPr>
    </w:p>
    <w:p w14:paraId="233DD068" w14:textId="77777777" w:rsidR="00927BED" w:rsidRDefault="00927BED" w:rsidP="00927BED">
      <w:pPr>
        <w:jc w:val="both"/>
        <w:rPr>
          <w:rFonts w:ascii="Arial" w:hAnsi="Arial" w:cs="Arial"/>
          <w:color w:val="000000" w:themeColor="text1"/>
          <w:lang w:val="en-IN"/>
        </w:rPr>
      </w:pPr>
      <w:r w:rsidRPr="00927BED">
        <w:rPr>
          <w:rFonts w:ascii="Arial" w:hAnsi="Arial" w:cs="Arial"/>
          <w:color w:val="000000" w:themeColor="text1"/>
          <w:lang w:val="en-IN"/>
        </w:rPr>
        <w:t xml:space="preserve">We carried out a cross-sectional study among clinicians involved in managing </w:t>
      </w:r>
      <w:proofErr w:type="spellStart"/>
      <w:r w:rsidRPr="00927BED">
        <w:rPr>
          <w:rFonts w:ascii="Arial" w:hAnsi="Arial" w:cs="Arial"/>
          <w:color w:val="000000" w:themeColor="text1"/>
          <w:lang w:val="en-IN"/>
        </w:rPr>
        <w:t>anemia</w:t>
      </w:r>
      <w:proofErr w:type="spellEnd"/>
      <w:r w:rsidRPr="00927BED">
        <w:rPr>
          <w:rFonts w:ascii="Arial" w:hAnsi="Arial" w:cs="Arial"/>
          <w:color w:val="000000" w:themeColor="text1"/>
          <w:lang w:val="en-IN"/>
        </w:rPr>
        <w:t xml:space="preserve"> in CKD patients across India from June 2024 to December 2024. The study was conducted after receiving approval from Bangalore Ethics, an Independent Ethics Committee, which was recognized by the Indian Regulatory Authority, the Drug Controller General of India.</w:t>
      </w:r>
    </w:p>
    <w:p w14:paraId="5CDC3C49" w14:textId="77777777" w:rsidR="00927BED" w:rsidRPr="00927BED" w:rsidRDefault="00927BED" w:rsidP="00927BED">
      <w:pPr>
        <w:jc w:val="both"/>
        <w:rPr>
          <w:rFonts w:ascii="Arial" w:hAnsi="Arial" w:cs="Arial"/>
          <w:color w:val="000000" w:themeColor="text1"/>
          <w:lang w:val="en-IN"/>
        </w:rPr>
      </w:pPr>
    </w:p>
    <w:p w14:paraId="53CBF45A" w14:textId="50F3411A" w:rsidR="00E7425A" w:rsidRDefault="00927BED" w:rsidP="00927BED">
      <w:pPr>
        <w:jc w:val="both"/>
        <w:rPr>
          <w:rFonts w:ascii="Arial" w:hAnsi="Arial" w:cs="Arial"/>
          <w:color w:val="000000" w:themeColor="text1"/>
          <w:lang w:val="en-IN"/>
        </w:rPr>
      </w:pPr>
      <w:r w:rsidRPr="00927BED">
        <w:rPr>
          <w:rFonts w:ascii="Arial" w:hAnsi="Arial" w:cs="Arial"/>
          <w:color w:val="000000" w:themeColor="text1"/>
          <w:lang w:val="en-IN"/>
        </w:rPr>
        <w:t xml:space="preserve">A convenient sampling technique was used, and an invitation was sent to leading clinicians in managing </w:t>
      </w:r>
      <w:proofErr w:type="spellStart"/>
      <w:r w:rsidRPr="00927BED">
        <w:rPr>
          <w:rFonts w:ascii="Arial" w:hAnsi="Arial" w:cs="Arial"/>
          <w:color w:val="000000" w:themeColor="text1"/>
          <w:lang w:val="en-IN"/>
        </w:rPr>
        <w:t>anemia</w:t>
      </w:r>
      <w:proofErr w:type="spellEnd"/>
      <w:r w:rsidRPr="00927BED">
        <w:rPr>
          <w:rFonts w:ascii="Arial" w:hAnsi="Arial" w:cs="Arial"/>
          <w:color w:val="000000" w:themeColor="text1"/>
          <w:lang w:val="en-IN"/>
        </w:rPr>
        <w:t xml:space="preserve"> in CKD patients in the month of March 2024 for participation in this Indian survey. About 288 clinicians from major cities of all Indian states, representing the geographical distribution, shared their willingness to participate and provide necessary data.</w:t>
      </w:r>
      <w:r>
        <w:rPr>
          <w:rFonts w:ascii="Arial" w:hAnsi="Arial" w:cs="Arial"/>
          <w:color w:val="000000" w:themeColor="text1"/>
          <w:lang w:val="en-IN"/>
        </w:rPr>
        <w:t xml:space="preserve"> </w:t>
      </w:r>
      <w:r w:rsidRPr="00927BED">
        <w:rPr>
          <w:rFonts w:ascii="Arial" w:hAnsi="Arial" w:cs="Arial"/>
          <w:color w:val="000000" w:themeColor="text1"/>
          <w:lang w:val="en-IN"/>
        </w:rPr>
        <w:t xml:space="preserve">The questionnaire booklet titled </w:t>
      </w:r>
      <w:r w:rsidR="001D4393">
        <w:rPr>
          <w:rFonts w:ascii="Arial" w:hAnsi="Arial" w:cs="Arial"/>
          <w:color w:val="000000" w:themeColor="text1"/>
          <w:lang w:val="en-IN"/>
        </w:rPr>
        <w:t xml:space="preserve">the </w:t>
      </w:r>
      <w:r w:rsidRPr="00927BED">
        <w:rPr>
          <w:rFonts w:ascii="Arial" w:hAnsi="Arial" w:cs="Arial"/>
          <w:color w:val="000000" w:themeColor="text1"/>
          <w:lang w:val="en-IN"/>
        </w:rPr>
        <w:t xml:space="preserve">IRONTRACE study was sent to clinicians who were </w:t>
      </w:r>
      <w:r w:rsidRPr="00927BED">
        <w:rPr>
          <w:rFonts w:ascii="Arial" w:hAnsi="Arial" w:cs="Arial"/>
          <w:color w:val="000000" w:themeColor="text1"/>
          <w:lang w:val="en-IN"/>
        </w:rPr>
        <w:lastRenderedPageBreak/>
        <w:t xml:space="preserve">interested in participating in this study. The IRONTRACE study questionnaire consisted of 23 questions designed to collect expert insights on clinical practice patterns, diagnostic approaches, treatment preferences, and challenges encountered in the management of CKD-associated </w:t>
      </w:r>
      <w:proofErr w:type="spellStart"/>
      <w:r w:rsidRPr="00927BED">
        <w:rPr>
          <w:rFonts w:ascii="Arial" w:hAnsi="Arial" w:cs="Arial"/>
          <w:color w:val="000000" w:themeColor="text1"/>
          <w:lang w:val="en-IN"/>
        </w:rPr>
        <w:t>anemia</w:t>
      </w:r>
      <w:proofErr w:type="spellEnd"/>
      <w:r w:rsidRPr="00927BED">
        <w:rPr>
          <w:rFonts w:ascii="Arial" w:hAnsi="Arial" w:cs="Arial"/>
          <w:color w:val="000000" w:themeColor="text1"/>
          <w:lang w:val="en-IN"/>
        </w:rPr>
        <w:t xml:space="preserve">, with a particular focus on iron supplementation strategies, including the use of liposomal iron. </w:t>
      </w:r>
      <w:r w:rsidR="00E7425A" w:rsidRPr="000763A1">
        <w:rPr>
          <w:rFonts w:ascii="Arial" w:hAnsi="Arial" w:cs="Arial"/>
          <w:color w:val="000000" w:themeColor="text1"/>
          <w:highlight w:val="yellow"/>
        </w:rPr>
        <w:t>Iron supplementation practices were reported based on clinician experience and routine practice patterns, in the context of prevailing guideline recommendations, including KDIGO guidance on iron initiation thresholds</w:t>
      </w:r>
      <w:r w:rsidR="00E7425A" w:rsidRPr="000763A1">
        <w:rPr>
          <w:rFonts w:ascii="Arial" w:hAnsi="Arial" w:cs="Arial"/>
          <w:color w:val="000000" w:themeColor="text1"/>
          <w:highlight w:val="yellow"/>
          <w:lang w:val="en-IN"/>
        </w:rPr>
        <w:t>.</w:t>
      </w:r>
    </w:p>
    <w:p w14:paraId="4971EC46" w14:textId="77777777" w:rsidR="00E7425A" w:rsidRDefault="00E7425A" w:rsidP="00927BED">
      <w:pPr>
        <w:jc w:val="both"/>
        <w:rPr>
          <w:rFonts w:ascii="Arial" w:hAnsi="Arial" w:cs="Arial"/>
          <w:color w:val="000000" w:themeColor="text1"/>
          <w:lang w:val="en-IN"/>
        </w:rPr>
      </w:pPr>
    </w:p>
    <w:p w14:paraId="6641EFD2" w14:textId="1EEB0FD1" w:rsidR="00157EFD" w:rsidRDefault="00927BED" w:rsidP="00927BED">
      <w:pPr>
        <w:jc w:val="both"/>
        <w:rPr>
          <w:rFonts w:ascii="Arial" w:hAnsi="Arial" w:cs="Arial"/>
          <w:color w:val="000000" w:themeColor="text1"/>
          <w:lang w:val="en-IN"/>
        </w:rPr>
      </w:pPr>
      <w:r w:rsidRPr="00927BED">
        <w:rPr>
          <w:rFonts w:ascii="Arial" w:hAnsi="Arial" w:cs="Arial"/>
          <w:color w:val="000000" w:themeColor="text1"/>
          <w:lang w:val="en-IN"/>
        </w:rPr>
        <w:t xml:space="preserve">Reliability, as determined by a split-half test (coefficient alpha), was adequate but should be improved in future versions of the questionnaire. A study of criterion validity was undertaken to test the questionnaire and to develop methods of testing the validity of measures of Physicians' Perspectives. However, the extraneous variables in this include the clinician's experience, usage of the newer drugs, etc. The two criteria used were the doctors' perspectives from the clinical practice and the assessment of an external assessor and statistician. Clinicians had the option to skip any questions they preferred not to answer. They were instructed to complete the questionnaire independently, without consulting their colleagues. </w:t>
      </w:r>
    </w:p>
    <w:p w14:paraId="2FB73390" w14:textId="77777777" w:rsidR="00E7425A" w:rsidRDefault="00E7425A" w:rsidP="00927BED">
      <w:pPr>
        <w:jc w:val="both"/>
        <w:rPr>
          <w:rFonts w:ascii="Arial" w:hAnsi="Arial" w:cs="Arial"/>
          <w:color w:val="000000" w:themeColor="text1"/>
          <w:lang w:val="en-IN"/>
        </w:rPr>
      </w:pPr>
    </w:p>
    <w:p w14:paraId="0A9A291A" w14:textId="77777777" w:rsidR="00157EFD" w:rsidRPr="00157EFD" w:rsidRDefault="00157EFD" w:rsidP="00157EFD">
      <w:pPr>
        <w:jc w:val="both"/>
        <w:rPr>
          <w:rFonts w:ascii="Arial" w:hAnsi="Arial" w:cs="Arial"/>
          <w:b/>
          <w:bCs/>
          <w:color w:val="000000" w:themeColor="text1"/>
          <w:lang w:val="en-IN"/>
        </w:rPr>
      </w:pPr>
      <w:r w:rsidRPr="00157EFD">
        <w:rPr>
          <w:rFonts w:ascii="Arial" w:hAnsi="Arial" w:cs="Arial"/>
          <w:b/>
          <w:bCs/>
          <w:color w:val="000000" w:themeColor="text1"/>
          <w:lang w:val="en-IN"/>
        </w:rPr>
        <w:t>Statistical analysis</w:t>
      </w:r>
    </w:p>
    <w:p w14:paraId="2DF73FDC" w14:textId="27C84B69" w:rsidR="003F71EF" w:rsidRPr="00A70B37" w:rsidRDefault="00927BED" w:rsidP="00157EFD">
      <w:pPr>
        <w:jc w:val="both"/>
        <w:rPr>
          <w:rFonts w:ascii="Arial" w:hAnsi="Arial" w:cs="Arial"/>
        </w:rPr>
      </w:pPr>
      <w:r w:rsidRPr="007B1FAC">
        <w:rPr>
          <w:rFonts w:cstheme="minorHAnsi"/>
        </w:rPr>
        <w:t>Data were analyzed using descriptive statistics, with categorical variables summarized as frequencies and percentages. Tables were generated using Microsoft Excel (version 2409, build 16.0.18025.20030) to present the findings in a structured format.</w:t>
      </w:r>
    </w:p>
    <w:p w14:paraId="0159AB66" w14:textId="77777777" w:rsidR="003F71EF" w:rsidRPr="00FB3A86" w:rsidRDefault="003F71EF" w:rsidP="003F71EF">
      <w:pPr>
        <w:pStyle w:val="Body"/>
        <w:spacing w:after="0"/>
        <w:rPr>
          <w:rFonts w:ascii="Arial" w:hAnsi="Arial" w:cs="Arial"/>
        </w:rPr>
      </w:pPr>
    </w:p>
    <w:p w14:paraId="68111EAD" w14:textId="77777777" w:rsidR="003F71EF" w:rsidRDefault="003F71EF" w:rsidP="003F71EF">
      <w:pPr>
        <w:pStyle w:val="Head1"/>
        <w:spacing w:after="0"/>
        <w:jc w:val="both"/>
        <w:rPr>
          <w:rFonts w:ascii="Arial" w:hAnsi="Arial" w:cs="Arial"/>
        </w:rPr>
      </w:pPr>
      <w:r>
        <w:rPr>
          <w:rFonts w:ascii="Arial" w:hAnsi="Arial" w:cs="Arial"/>
        </w:rPr>
        <w:t>3. results</w:t>
      </w:r>
    </w:p>
    <w:p w14:paraId="73D2BCA5" w14:textId="77777777" w:rsidR="003F71EF" w:rsidRPr="00FB3A86" w:rsidRDefault="003F71EF" w:rsidP="003F71EF">
      <w:pPr>
        <w:pStyle w:val="Head1"/>
        <w:spacing w:after="0"/>
        <w:jc w:val="both"/>
        <w:rPr>
          <w:rFonts w:ascii="Arial" w:hAnsi="Arial" w:cs="Arial"/>
        </w:rPr>
      </w:pPr>
    </w:p>
    <w:p w14:paraId="5A3F75D2" w14:textId="77777777" w:rsidR="00927BED" w:rsidRDefault="00927BED" w:rsidP="00927BED">
      <w:pPr>
        <w:jc w:val="both"/>
        <w:rPr>
          <w:rFonts w:cstheme="minorHAnsi"/>
        </w:rPr>
      </w:pPr>
      <w:r w:rsidRPr="007B1FAC">
        <w:rPr>
          <w:rFonts w:cstheme="minorHAnsi"/>
        </w:rPr>
        <w:t xml:space="preserve">The study included 288 clinicians, and more than half (52.08%) of them reported that the estimated prevalence of anemia in patients with CKD was about 26 to 50%. The majority of respondents (73.26%) reported that the prevalence of anemia increases with advancing stages of CKD. About 60% of the clinicians indicated that vitamin B12, vitamin C, and vitamin D were common, co-morbid deficiencies in patients with CKD anemia. Approximately 65% of the participants stated that diabetes was the common comorbid condition in patients with anemia in CKD. About 55% of participants indicated that CKD-associated anemia occurs equally in both men and women. </w:t>
      </w:r>
    </w:p>
    <w:p w14:paraId="7F8A6EBC" w14:textId="77777777" w:rsidR="00927BED" w:rsidRPr="007B1FAC" w:rsidRDefault="00927BED" w:rsidP="00927BED">
      <w:pPr>
        <w:jc w:val="both"/>
        <w:rPr>
          <w:rFonts w:cstheme="minorHAnsi"/>
        </w:rPr>
      </w:pPr>
    </w:p>
    <w:p w14:paraId="769BFD86" w14:textId="4F97D201" w:rsidR="007C70B7" w:rsidRDefault="00927BED" w:rsidP="00927BED">
      <w:pPr>
        <w:pStyle w:val="Body"/>
        <w:spacing w:after="0"/>
        <w:rPr>
          <w:rFonts w:ascii="Arial" w:hAnsi="Arial" w:cs="Arial"/>
        </w:rPr>
      </w:pPr>
      <w:r w:rsidRPr="007B1FAC">
        <w:rPr>
          <w:rFonts w:cstheme="minorHAnsi"/>
        </w:rPr>
        <w:t>Around 11 to 20% of the clinicians were aware of the CKD anemia and its complications, as reported by 42% of the respondents. About 30% reported that anemia is most commonly observed in end-stage renal disease (ESRD). Inadequate production of erythropoietin by the kidneys was the primary cause of anemia in the majority of patients with CKD, as reported by 36% of respondents (Table 1).</w:t>
      </w:r>
    </w:p>
    <w:p w14:paraId="397C2062" w14:textId="77777777" w:rsidR="00157EFD" w:rsidRDefault="00157EFD" w:rsidP="007C70B7">
      <w:pPr>
        <w:pStyle w:val="Body"/>
        <w:spacing w:after="0"/>
        <w:rPr>
          <w:rFonts w:ascii="Arial" w:hAnsi="Arial" w:cs="Arial"/>
        </w:rPr>
      </w:pPr>
    </w:p>
    <w:p w14:paraId="08B7FE20" w14:textId="02F80D6A" w:rsidR="00927BED" w:rsidRDefault="00927BED" w:rsidP="007C70B7">
      <w:pPr>
        <w:pStyle w:val="Body"/>
        <w:spacing w:after="0"/>
        <w:rPr>
          <w:rFonts w:cstheme="minorHAnsi"/>
          <w:b/>
          <w:bCs/>
        </w:rPr>
      </w:pPr>
      <w:r w:rsidRPr="007B1FAC">
        <w:rPr>
          <w:rFonts w:cstheme="minorHAnsi"/>
          <w:b/>
          <w:bCs/>
        </w:rPr>
        <w:t xml:space="preserve">Table 1: Distribution of </w:t>
      </w:r>
      <w:r>
        <w:rPr>
          <w:rFonts w:cstheme="minorHAnsi"/>
          <w:b/>
          <w:bCs/>
        </w:rPr>
        <w:t>responses</w:t>
      </w:r>
      <w:r w:rsidRPr="007B1FAC">
        <w:rPr>
          <w:rFonts w:cstheme="minorHAnsi"/>
          <w:b/>
          <w:bCs/>
        </w:rPr>
        <w:t xml:space="preserve"> on the primary cause of anemia in the majority of patients with CKD </w:t>
      </w:r>
    </w:p>
    <w:p w14:paraId="1BD7B8A2" w14:textId="77777777" w:rsidR="00927BED" w:rsidRDefault="00927BED" w:rsidP="007C70B7">
      <w:pPr>
        <w:pStyle w:val="Body"/>
        <w:spacing w:after="0"/>
        <w:rPr>
          <w:rFonts w:cstheme="minorHAnsi"/>
          <w:b/>
          <w:bCs/>
        </w:rPr>
      </w:pPr>
    </w:p>
    <w:tbl>
      <w:tblPr>
        <w:tblW w:w="6945" w:type="dxa"/>
        <w:tblInd w:w="985" w:type="dxa"/>
        <w:tblCellMar>
          <w:left w:w="0" w:type="dxa"/>
          <w:right w:w="0" w:type="dxa"/>
        </w:tblCellMar>
        <w:tblLook w:val="04A0" w:firstRow="1" w:lastRow="0" w:firstColumn="1" w:lastColumn="0" w:noHBand="0" w:noVBand="1"/>
      </w:tblPr>
      <w:tblGrid>
        <w:gridCol w:w="4589"/>
        <w:gridCol w:w="2356"/>
      </w:tblGrid>
      <w:tr w:rsidR="00927BED" w:rsidRPr="007B1FAC" w14:paraId="7DCEBDC3" w14:textId="77777777" w:rsidTr="003E495E">
        <w:trPr>
          <w:trHeight w:val="300"/>
        </w:trPr>
        <w:tc>
          <w:tcPr>
            <w:tcW w:w="458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50C447" w14:textId="77777777" w:rsidR="00927BED" w:rsidRPr="007B1FAC" w:rsidRDefault="00927BED" w:rsidP="003E495E">
            <w:pPr>
              <w:spacing w:after="160" w:line="259" w:lineRule="auto"/>
              <w:jc w:val="center"/>
              <w:rPr>
                <w:rFonts w:eastAsia="Calibri" w:cstheme="minorHAnsi"/>
                <w:b/>
                <w:bCs/>
              </w:rPr>
            </w:pPr>
            <w:r w:rsidRPr="007B1FAC">
              <w:rPr>
                <w:rFonts w:eastAsia="Calibri" w:cstheme="minorHAnsi"/>
                <w:b/>
                <w:bCs/>
              </w:rPr>
              <w:t>Causes</w:t>
            </w:r>
          </w:p>
        </w:tc>
        <w:tc>
          <w:tcPr>
            <w:tcW w:w="2356"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86C8B5" w14:textId="77777777" w:rsidR="00927BED" w:rsidRPr="007B1FAC" w:rsidRDefault="00927BED" w:rsidP="003E495E">
            <w:pPr>
              <w:spacing w:after="160" w:line="259" w:lineRule="auto"/>
              <w:jc w:val="center"/>
              <w:rPr>
                <w:rFonts w:eastAsia="Calibri" w:cstheme="minorHAnsi"/>
                <w:b/>
                <w:bCs/>
              </w:rPr>
            </w:pPr>
            <w:r w:rsidRPr="007B1FAC">
              <w:rPr>
                <w:rFonts w:eastAsia="Calibri" w:cstheme="minorHAnsi"/>
                <w:b/>
                <w:bCs/>
              </w:rPr>
              <w:t>Response rate (n = 288)</w:t>
            </w:r>
          </w:p>
        </w:tc>
      </w:tr>
      <w:tr w:rsidR="00927BED" w:rsidRPr="007B1FAC" w14:paraId="501C39A5" w14:textId="77777777" w:rsidTr="003E495E">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52E556"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t>Decreased iron absorption from the gastrointestinal tract</w:t>
            </w:r>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350C0E"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t>20.14%</w:t>
            </w:r>
          </w:p>
        </w:tc>
      </w:tr>
      <w:tr w:rsidR="00927BED" w:rsidRPr="007B1FAC" w14:paraId="0511F4A6" w14:textId="77777777" w:rsidTr="003E495E">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DC507F"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t>Increased blood loss from hemodialysis</w:t>
            </w:r>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090502"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t>11.81%</w:t>
            </w:r>
          </w:p>
        </w:tc>
      </w:tr>
      <w:tr w:rsidR="00927BED" w:rsidRPr="007B1FAC" w14:paraId="50D32186" w14:textId="77777777" w:rsidTr="003E495E">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E32C65"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t xml:space="preserve">Inadequate production of erythropoietin by the kidneys </w:t>
            </w:r>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2AD8FC"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t>36.11%</w:t>
            </w:r>
          </w:p>
        </w:tc>
      </w:tr>
      <w:tr w:rsidR="00927BED" w:rsidRPr="007B1FAC" w14:paraId="2DE5BF62" w14:textId="77777777" w:rsidTr="003E495E">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B9F3AF"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lastRenderedPageBreak/>
              <w:t>Vitamin B12 deficiency</w:t>
            </w:r>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C670E4"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t>2.78%</w:t>
            </w:r>
          </w:p>
        </w:tc>
      </w:tr>
      <w:tr w:rsidR="00927BED" w:rsidRPr="007B1FAC" w14:paraId="756127EF" w14:textId="77777777" w:rsidTr="003E495E">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EBE34C"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t>All of the above</w:t>
            </w:r>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7BCC80" w14:textId="77777777" w:rsidR="00927BED" w:rsidRPr="007B1FAC" w:rsidRDefault="00927BED" w:rsidP="003E495E">
            <w:pPr>
              <w:spacing w:after="160" w:line="259" w:lineRule="auto"/>
              <w:jc w:val="center"/>
              <w:rPr>
                <w:rFonts w:eastAsia="Calibri" w:cstheme="minorHAnsi"/>
              </w:rPr>
            </w:pPr>
            <w:r w:rsidRPr="007B1FAC">
              <w:rPr>
                <w:rFonts w:eastAsia="Calibri" w:cstheme="minorHAnsi"/>
              </w:rPr>
              <w:t>28.82%</w:t>
            </w:r>
          </w:p>
        </w:tc>
      </w:tr>
    </w:tbl>
    <w:p w14:paraId="30C60050" w14:textId="77777777" w:rsidR="00927BED" w:rsidRDefault="00927BED" w:rsidP="007C70B7">
      <w:pPr>
        <w:pStyle w:val="Body"/>
        <w:spacing w:after="0"/>
        <w:rPr>
          <w:rFonts w:ascii="Arial" w:hAnsi="Arial" w:cs="Arial"/>
        </w:rPr>
      </w:pPr>
    </w:p>
    <w:p w14:paraId="07D83D3C" w14:textId="77777777" w:rsidR="00927BED" w:rsidRDefault="00927BED" w:rsidP="00927BED">
      <w:pPr>
        <w:jc w:val="both"/>
        <w:rPr>
          <w:rFonts w:cstheme="minorHAnsi"/>
        </w:rPr>
      </w:pPr>
      <w:r w:rsidRPr="007B1FAC">
        <w:rPr>
          <w:rFonts w:cstheme="minorHAnsi"/>
        </w:rPr>
        <w:t xml:space="preserve">CKD anemia was more common among the age group of 51 to 60 years, as reported by 35% of the clinicians. About 21 to 30% of non-dialysis CKD patients had iron deficiency anemia, according to 48% of respondents, while 14% of clinicians stated that about 11 to 20% of them had iron deficiency anemia. Approximately 43% of participants indicated that hypertension was the common potential complication of higher doses of ESAs. </w:t>
      </w:r>
    </w:p>
    <w:p w14:paraId="6A4F04E7" w14:textId="77777777" w:rsidR="00927BED" w:rsidRPr="007B1FAC" w:rsidRDefault="00927BED" w:rsidP="00927BED">
      <w:pPr>
        <w:jc w:val="both"/>
        <w:rPr>
          <w:rFonts w:cstheme="minorHAnsi"/>
        </w:rPr>
      </w:pPr>
    </w:p>
    <w:p w14:paraId="2ED15E0D" w14:textId="0DB1EA89" w:rsidR="00927BED" w:rsidRDefault="00927BED" w:rsidP="00927BED">
      <w:pPr>
        <w:pStyle w:val="Body"/>
        <w:spacing w:after="0"/>
        <w:rPr>
          <w:rFonts w:cstheme="minorHAnsi"/>
        </w:rPr>
      </w:pPr>
      <w:r w:rsidRPr="00EB20E7">
        <w:rPr>
          <w:rFonts w:cstheme="minorHAnsi"/>
          <w:highlight w:val="yellow"/>
        </w:rPr>
        <w:t>More than half (55.56%) of the respondents reported that the preferred iron supplementation for patients with Hb &lt;9% was IV route, while 42% reported that tablets were the preferred iron supplementation (Fig. 1). Oral iron supplements were the most preferred treatment option for anemia in CKD patients, as indicated by 39% of the clinicians, while 36% of them stated ESAs were the preferred treatment option for CKD (Fig. 2).</w:t>
      </w:r>
      <w:r w:rsidRPr="007B1FAC">
        <w:rPr>
          <w:rFonts w:cstheme="minorHAnsi"/>
        </w:rPr>
        <w:t xml:space="preserve"> </w:t>
      </w:r>
    </w:p>
    <w:p w14:paraId="3A273A6E" w14:textId="77777777" w:rsidR="00927BED" w:rsidRDefault="00927BED" w:rsidP="00927BED">
      <w:pPr>
        <w:pStyle w:val="Body"/>
        <w:spacing w:after="0"/>
        <w:rPr>
          <w:rFonts w:cstheme="minorHAnsi"/>
        </w:rPr>
      </w:pPr>
    </w:p>
    <w:p w14:paraId="28612B9D" w14:textId="785CAD42" w:rsidR="00927BED" w:rsidRDefault="00927BED" w:rsidP="00927BED">
      <w:pPr>
        <w:pStyle w:val="Body"/>
        <w:spacing w:after="0"/>
        <w:rPr>
          <w:rFonts w:cstheme="minorHAnsi"/>
          <w:b/>
          <w:bCs/>
        </w:rPr>
      </w:pPr>
      <w:r w:rsidRPr="007B1FAC">
        <w:rPr>
          <w:rFonts w:cstheme="minorHAnsi"/>
          <w:b/>
          <w:bCs/>
        </w:rPr>
        <w:t>Fig.</w:t>
      </w:r>
      <w:r>
        <w:rPr>
          <w:rFonts w:cstheme="minorHAnsi"/>
          <w:b/>
          <w:bCs/>
        </w:rPr>
        <w:t xml:space="preserve"> </w:t>
      </w:r>
      <w:r w:rsidRPr="007B1FAC">
        <w:rPr>
          <w:rFonts w:cstheme="minorHAnsi"/>
          <w:b/>
          <w:bCs/>
        </w:rPr>
        <w:t>1: Distribution of response</w:t>
      </w:r>
      <w:r>
        <w:rPr>
          <w:rFonts w:cstheme="minorHAnsi"/>
          <w:b/>
          <w:bCs/>
        </w:rPr>
        <w:t>s</w:t>
      </w:r>
      <w:r w:rsidRPr="007B1FAC">
        <w:rPr>
          <w:rFonts w:cstheme="minorHAnsi"/>
          <w:b/>
          <w:bCs/>
        </w:rPr>
        <w:t xml:space="preserve"> </w:t>
      </w:r>
      <w:r>
        <w:rPr>
          <w:rFonts w:cstheme="minorHAnsi"/>
          <w:b/>
          <w:bCs/>
        </w:rPr>
        <w:t>to</w:t>
      </w:r>
      <w:r w:rsidRPr="007B1FAC">
        <w:rPr>
          <w:rFonts w:cstheme="minorHAnsi"/>
          <w:b/>
          <w:bCs/>
        </w:rPr>
        <w:t xml:space="preserve"> the preferred Iron supplementation in your clinical practice for patients </w:t>
      </w:r>
      <w:r>
        <w:rPr>
          <w:rFonts w:cstheme="minorHAnsi"/>
          <w:b/>
          <w:bCs/>
        </w:rPr>
        <w:t xml:space="preserve">with </w:t>
      </w:r>
      <w:r w:rsidRPr="007B1FAC">
        <w:rPr>
          <w:rFonts w:cstheme="minorHAnsi"/>
          <w:b/>
          <w:bCs/>
        </w:rPr>
        <w:t>Hb &lt;9%</w:t>
      </w:r>
    </w:p>
    <w:p w14:paraId="537A9425" w14:textId="77777777" w:rsidR="00927BED" w:rsidRDefault="00927BED" w:rsidP="00927BED">
      <w:pPr>
        <w:pStyle w:val="Body"/>
        <w:spacing w:after="0"/>
        <w:rPr>
          <w:rFonts w:cstheme="minorHAnsi"/>
          <w:b/>
          <w:bCs/>
        </w:rPr>
      </w:pPr>
    </w:p>
    <w:p w14:paraId="20891ECC" w14:textId="7D45171A" w:rsidR="00927BED" w:rsidRDefault="00927BED" w:rsidP="00927BED">
      <w:pPr>
        <w:pStyle w:val="Body"/>
        <w:spacing w:after="0"/>
        <w:jc w:val="center"/>
        <w:rPr>
          <w:rFonts w:cstheme="minorHAnsi"/>
          <w:b/>
          <w:bCs/>
        </w:rPr>
      </w:pPr>
      <w:r w:rsidRPr="007B1FAC">
        <w:rPr>
          <w:rFonts w:cstheme="minorHAnsi"/>
          <w:noProof/>
        </w:rPr>
        <w:drawing>
          <wp:inline distT="0" distB="0" distL="0" distR="0" wp14:anchorId="5E944A3D" wp14:editId="79F0E17F">
            <wp:extent cx="4469130" cy="2743200"/>
            <wp:effectExtent l="0" t="0" r="0" b="0"/>
            <wp:docPr id="560660979" name="Chart 1">
              <a:extLst xmlns:a="http://schemas.openxmlformats.org/drawingml/2006/main">
                <a:ext uri="{FF2B5EF4-FFF2-40B4-BE49-F238E27FC236}">
                  <a16:creationId xmlns:a16="http://schemas.microsoft.com/office/drawing/2014/main" id="{1F8D6A8A-B988-797D-AEB3-4CBE13E4D6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311710" w14:textId="77777777" w:rsidR="00927BED" w:rsidRDefault="00927BED" w:rsidP="00927BED">
      <w:pPr>
        <w:pStyle w:val="Body"/>
        <w:spacing w:after="0"/>
        <w:rPr>
          <w:rFonts w:cstheme="minorHAnsi"/>
          <w:b/>
          <w:bCs/>
        </w:rPr>
      </w:pPr>
    </w:p>
    <w:p w14:paraId="7A9281CD" w14:textId="55869E77" w:rsidR="00927BED" w:rsidRDefault="00927BED" w:rsidP="00927BED">
      <w:pPr>
        <w:pStyle w:val="Body"/>
        <w:spacing w:after="0"/>
        <w:rPr>
          <w:rFonts w:cstheme="minorHAnsi"/>
          <w:b/>
          <w:bCs/>
        </w:rPr>
      </w:pPr>
      <w:r w:rsidRPr="007B1FAC">
        <w:rPr>
          <w:rFonts w:cstheme="minorHAnsi"/>
          <w:b/>
          <w:bCs/>
        </w:rPr>
        <w:t>Fig.</w:t>
      </w:r>
      <w:r>
        <w:rPr>
          <w:rFonts w:cstheme="minorHAnsi"/>
          <w:b/>
          <w:bCs/>
        </w:rPr>
        <w:t xml:space="preserve"> </w:t>
      </w:r>
      <w:r w:rsidRPr="007B1FAC">
        <w:rPr>
          <w:rFonts w:cstheme="minorHAnsi"/>
          <w:b/>
          <w:bCs/>
        </w:rPr>
        <w:t>2: Distribution of response</w:t>
      </w:r>
      <w:r>
        <w:rPr>
          <w:rFonts w:cstheme="minorHAnsi"/>
          <w:b/>
          <w:bCs/>
        </w:rPr>
        <w:t>s</w:t>
      </w:r>
      <w:r w:rsidRPr="007B1FAC">
        <w:rPr>
          <w:rFonts w:cstheme="minorHAnsi"/>
          <w:b/>
          <w:bCs/>
        </w:rPr>
        <w:t xml:space="preserve"> </w:t>
      </w:r>
      <w:r>
        <w:rPr>
          <w:rFonts w:cstheme="minorHAnsi"/>
          <w:b/>
          <w:bCs/>
        </w:rPr>
        <w:t>to</w:t>
      </w:r>
      <w:r w:rsidRPr="007B1FAC">
        <w:rPr>
          <w:rFonts w:cstheme="minorHAnsi"/>
          <w:b/>
          <w:bCs/>
        </w:rPr>
        <w:t xml:space="preserve"> the most preferred treatment option for anemia in CKD</w:t>
      </w:r>
    </w:p>
    <w:p w14:paraId="2AE19C43" w14:textId="6312BA79" w:rsidR="00927BED" w:rsidRDefault="00927BED" w:rsidP="00927BED">
      <w:pPr>
        <w:pStyle w:val="Body"/>
        <w:spacing w:after="0"/>
        <w:rPr>
          <w:rFonts w:ascii="Arial" w:hAnsi="Arial" w:cs="Arial"/>
        </w:rPr>
      </w:pPr>
      <w:r w:rsidRPr="007B1FAC">
        <w:rPr>
          <w:rFonts w:cstheme="minorHAnsi"/>
          <w:noProof/>
        </w:rPr>
        <w:lastRenderedPageBreak/>
        <w:drawing>
          <wp:inline distT="0" distB="0" distL="0" distR="0" wp14:anchorId="6088A4DF" wp14:editId="1A89D83E">
            <wp:extent cx="5499100" cy="2590800"/>
            <wp:effectExtent l="0" t="0" r="0" b="0"/>
            <wp:docPr id="981977335" name="Chart 1">
              <a:extLst xmlns:a="http://schemas.openxmlformats.org/drawingml/2006/main">
                <a:ext uri="{FF2B5EF4-FFF2-40B4-BE49-F238E27FC236}">
                  <a16:creationId xmlns:a16="http://schemas.microsoft.com/office/drawing/2014/main" id="{171CC2DD-9293-7ADD-1930-979C55AAEB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4C0718" w14:textId="77777777" w:rsidR="00927BED" w:rsidRDefault="00927BED" w:rsidP="007C70B7">
      <w:pPr>
        <w:pStyle w:val="Body"/>
        <w:spacing w:after="0"/>
        <w:rPr>
          <w:rFonts w:ascii="Arial" w:hAnsi="Arial" w:cs="Arial"/>
        </w:rPr>
      </w:pPr>
    </w:p>
    <w:p w14:paraId="795EE308" w14:textId="1BC04103" w:rsidR="00927BED" w:rsidRDefault="00927BED" w:rsidP="007C70B7">
      <w:pPr>
        <w:pStyle w:val="Body"/>
        <w:spacing w:after="0"/>
        <w:rPr>
          <w:rFonts w:cstheme="minorHAnsi"/>
        </w:rPr>
      </w:pPr>
      <w:r w:rsidRPr="007B1FAC">
        <w:rPr>
          <w:rFonts w:cstheme="minorHAnsi"/>
        </w:rPr>
        <w:t>A significant proportion (80.56%) of the participants reported that the most commonly preferred diagnostic test to evaluate anemia in a patient with CKD was complete blood count (CBC). The majority (81.25%) of the respondents opined that inflammation, hyperparathyroidism</w:t>
      </w:r>
      <w:r>
        <w:rPr>
          <w:rFonts w:cstheme="minorHAnsi"/>
        </w:rPr>
        <w:t>,</w:t>
      </w:r>
      <w:r w:rsidRPr="007B1FAC">
        <w:rPr>
          <w:rFonts w:cstheme="minorHAnsi"/>
        </w:rPr>
        <w:t xml:space="preserve"> and recurrent infections were the factors that complicate the management of anemia in CKD patients (Fig.</w:t>
      </w:r>
      <w:r>
        <w:rPr>
          <w:rFonts w:cstheme="minorHAnsi"/>
        </w:rPr>
        <w:t xml:space="preserve"> </w:t>
      </w:r>
      <w:r w:rsidRPr="007B1FAC">
        <w:rPr>
          <w:rFonts w:cstheme="minorHAnsi"/>
        </w:rPr>
        <w:t>3).</w:t>
      </w:r>
    </w:p>
    <w:p w14:paraId="3DB777DF" w14:textId="77777777" w:rsidR="00927BED" w:rsidRDefault="00927BED" w:rsidP="007C70B7">
      <w:pPr>
        <w:pStyle w:val="Body"/>
        <w:spacing w:after="0"/>
        <w:rPr>
          <w:rFonts w:cstheme="minorHAnsi"/>
        </w:rPr>
      </w:pPr>
    </w:p>
    <w:p w14:paraId="5B1C5571" w14:textId="77777777" w:rsidR="00927BED" w:rsidRPr="007B1FAC" w:rsidRDefault="00927BED" w:rsidP="00927BED">
      <w:pPr>
        <w:jc w:val="both"/>
        <w:rPr>
          <w:rFonts w:cstheme="minorHAnsi"/>
          <w:b/>
          <w:bCs/>
        </w:rPr>
      </w:pPr>
      <w:r w:rsidRPr="007B1FAC">
        <w:rPr>
          <w:rFonts w:cstheme="minorHAnsi"/>
          <w:b/>
          <w:bCs/>
        </w:rPr>
        <w:t>Fig. 3: Distribution of response</w:t>
      </w:r>
      <w:r>
        <w:rPr>
          <w:rFonts w:cstheme="minorHAnsi"/>
          <w:b/>
          <w:bCs/>
        </w:rPr>
        <w:t>s</w:t>
      </w:r>
      <w:r w:rsidRPr="007B1FAC">
        <w:rPr>
          <w:rFonts w:cstheme="minorHAnsi"/>
          <w:b/>
          <w:bCs/>
        </w:rPr>
        <w:t xml:space="preserve"> on the factors </w:t>
      </w:r>
      <w:r>
        <w:rPr>
          <w:rFonts w:cstheme="minorHAnsi"/>
          <w:b/>
          <w:bCs/>
        </w:rPr>
        <w:t>that</w:t>
      </w:r>
      <w:r w:rsidRPr="007B1FAC">
        <w:rPr>
          <w:rFonts w:cstheme="minorHAnsi"/>
          <w:b/>
          <w:bCs/>
        </w:rPr>
        <w:t xml:space="preserve"> complicate the management of anemia in CKD patients</w:t>
      </w:r>
    </w:p>
    <w:p w14:paraId="3CF94185" w14:textId="77777777" w:rsidR="00927BED" w:rsidRDefault="00927BED" w:rsidP="007C70B7">
      <w:pPr>
        <w:pStyle w:val="Body"/>
        <w:spacing w:after="0"/>
        <w:rPr>
          <w:rFonts w:ascii="Arial" w:hAnsi="Arial" w:cs="Arial"/>
        </w:rPr>
      </w:pPr>
    </w:p>
    <w:p w14:paraId="4A13C77B" w14:textId="0F587452" w:rsidR="00927BED" w:rsidRDefault="00927BED" w:rsidP="007C70B7">
      <w:pPr>
        <w:pStyle w:val="Body"/>
        <w:spacing w:after="0"/>
        <w:rPr>
          <w:rFonts w:ascii="Arial" w:hAnsi="Arial" w:cs="Arial"/>
        </w:rPr>
      </w:pPr>
      <w:r w:rsidRPr="007B1FAC">
        <w:rPr>
          <w:rFonts w:cstheme="minorHAnsi"/>
          <w:noProof/>
        </w:rPr>
        <w:drawing>
          <wp:inline distT="0" distB="0" distL="0" distR="0" wp14:anchorId="4F73295B" wp14:editId="13E21AF7">
            <wp:extent cx="4813300" cy="2387600"/>
            <wp:effectExtent l="0" t="0" r="0" b="0"/>
            <wp:docPr id="1811430305" name="Chart 1">
              <a:extLst xmlns:a="http://schemas.openxmlformats.org/drawingml/2006/main">
                <a:ext uri="{FF2B5EF4-FFF2-40B4-BE49-F238E27FC236}">
                  <a16:creationId xmlns:a16="http://schemas.microsoft.com/office/drawing/2014/main" id="{66254F2A-1B28-1285-98C5-E805E16F3D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053FB8" w14:textId="77777777" w:rsidR="00927BED" w:rsidRDefault="00927BED" w:rsidP="007C70B7">
      <w:pPr>
        <w:pStyle w:val="Body"/>
        <w:spacing w:after="0"/>
        <w:rPr>
          <w:rFonts w:ascii="Arial" w:hAnsi="Arial" w:cs="Arial"/>
        </w:rPr>
      </w:pPr>
    </w:p>
    <w:p w14:paraId="0EDE83E3" w14:textId="77777777" w:rsidR="00927BED" w:rsidRPr="007B1FAC" w:rsidRDefault="00927BED" w:rsidP="00927BED">
      <w:pPr>
        <w:jc w:val="both"/>
        <w:rPr>
          <w:rFonts w:cstheme="minorHAnsi"/>
        </w:rPr>
      </w:pPr>
      <w:r w:rsidRPr="007B1FAC">
        <w:rPr>
          <w:rFonts w:cstheme="minorHAnsi"/>
        </w:rPr>
        <w:t>About 45% of the respondents indicated that folic acid deficiency should be corrected before initiating ESA</w:t>
      </w:r>
      <w:r>
        <w:rPr>
          <w:rFonts w:cstheme="minorHAnsi"/>
        </w:rPr>
        <w:t xml:space="preserve"> </w:t>
      </w:r>
      <w:r w:rsidRPr="007B1FAC">
        <w:rPr>
          <w:rFonts w:cstheme="minorHAnsi"/>
        </w:rPr>
        <w:t xml:space="preserve">therapy. A majority (78.82%) of the participants stated ferric </w:t>
      </w:r>
      <w:proofErr w:type="spellStart"/>
      <w:r w:rsidRPr="007B1FAC">
        <w:rPr>
          <w:rFonts w:cstheme="minorHAnsi"/>
        </w:rPr>
        <w:t>carboxymaltose</w:t>
      </w:r>
      <w:proofErr w:type="spellEnd"/>
      <w:r w:rsidRPr="007B1FAC">
        <w:rPr>
          <w:rFonts w:cstheme="minorHAnsi"/>
        </w:rPr>
        <w:t xml:space="preserve"> as their preferred intravenous iron formulation (Table 2). </w:t>
      </w:r>
    </w:p>
    <w:p w14:paraId="7C083611" w14:textId="77777777" w:rsidR="00927BED" w:rsidRDefault="00927BED" w:rsidP="007C70B7">
      <w:pPr>
        <w:pStyle w:val="Body"/>
        <w:spacing w:after="0"/>
        <w:rPr>
          <w:rFonts w:ascii="Arial" w:hAnsi="Arial" w:cs="Arial"/>
        </w:rPr>
      </w:pPr>
    </w:p>
    <w:p w14:paraId="6CA135F9" w14:textId="39497160" w:rsidR="00927BED" w:rsidRDefault="00927BED" w:rsidP="007C70B7">
      <w:pPr>
        <w:pStyle w:val="Body"/>
        <w:spacing w:after="0"/>
        <w:rPr>
          <w:rFonts w:cstheme="minorHAnsi"/>
          <w:b/>
          <w:bCs/>
        </w:rPr>
      </w:pPr>
      <w:r w:rsidRPr="007B1FAC">
        <w:rPr>
          <w:rFonts w:cstheme="minorHAnsi"/>
          <w:b/>
          <w:bCs/>
        </w:rPr>
        <w:t>Table 2: Distribution of response</w:t>
      </w:r>
      <w:r>
        <w:rPr>
          <w:rFonts w:cstheme="minorHAnsi"/>
          <w:b/>
          <w:bCs/>
        </w:rPr>
        <w:t>s</w:t>
      </w:r>
      <w:r w:rsidRPr="007B1FAC">
        <w:rPr>
          <w:rFonts w:cstheme="minorHAnsi"/>
          <w:b/>
          <w:bCs/>
        </w:rPr>
        <w:t xml:space="preserve"> on the preferred IV iron formulation</w:t>
      </w:r>
    </w:p>
    <w:p w14:paraId="28109A8F" w14:textId="77777777" w:rsidR="00927BED" w:rsidRDefault="00927BED" w:rsidP="007C70B7">
      <w:pPr>
        <w:pStyle w:val="Body"/>
        <w:spacing w:after="0"/>
        <w:rPr>
          <w:rFonts w:cstheme="minorHAnsi"/>
          <w:b/>
          <w:bCs/>
        </w:rPr>
      </w:pPr>
    </w:p>
    <w:tbl>
      <w:tblPr>
        <w:tblW w:w="6945" w:type="dxa"/>
        <w:tblInd w:w="629" w:type="dxa"/>
        <w:tblCellMar>
          <w:left w:w="0" w:type="dxa"/>
          <w:right w:w="0" w:type="dxa"/>
        </w:tblCellMar>
        <w:tblLook w:val="04A0" w:firstRow="1" w:lastRow="0" w:firstColumn="1" w:lastColumn="0" w:noHBand="0" w:noVBand="1"/>
      </w:tblPr>
      <w:tblGrid>
        <w:gridCol w:w="4589"/>
        <w:gridCol w:w="2356"/>
      </w:tblGrid>
      <w:tr w:rsidR="00927BED" w:rsidRPr="007B1FAC" w14:paraId="55CEF3D8" w14:textId="77777777" w:rsidTr="00927BED">
        <w:trPr>
          <w:trHeight w:val="300"/>
        </w:trPr>
        <w:tc>
          <w:tcPr>
            <w:tcW w:w="4589"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244C6C17" w14:textId="77777777" w:rsidR="00927BED" w:rsidRPr="007B1FAC" w:rsidRDefault="00927BED" w:rsidP="003E495E">
            <w:pPr>
              <w:jc w:val="center"/>
              <w:rPr>
                <w:b/>
                <w:bCs/>
              </w:rPr>
            </w:pPr>
            <w:r w:rsidRPr="007B1FAC">
              <w:rPr>
                <w:b/>
                <w:bCs/>
              </w:rPr>
              <w:t xml:space="preserve">Formulation </w:t>
            </w:r>
          </w:p>
        </w:tc>
        <w:tc>
          <w:tcPr>
            <w:tcW w:w="2356"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22DB656E" w14:textId="77777777" w:rsidR="00927BED" w:rsidRPr="007B1FAC" w:rsidRDefault="00927BED" w:rsidP="003E495E">
            <w:pPr>
              <w:jc w:val="center"/>
              <w:rPr>
                <w:b/>
                <w:bCs/>
              </w:rPr>
            </w:pPr>
            <w:r w:rsidRPr="007B1FAC">
              <w:rPr>
                <w:b/>
                <w:bCs/>
              </w:rPr>
              <w:t>Response rate (n = 288)</w:t>
            </w:r>
          </w:p>
        </w:tc>
      </w:tr>
      <w:tr w:rsidR="00927BED" w:rsidRPr="007B1FAC" w14:paraId="3514424E" w14:textId="77777777" w:rsidTr="00927BED">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6D78DC" w14:textId="77777777" w:rsidR="00927BED" w:rsidRPr="007B1FAC" w:rsidRDefault="00927BED" w:rsidP="003E495E">
            <w:pPr>
              <w:jc w:val="center"/>
            </w:pPr>
            <w:r w:rsidRPr="007B1FAC">
              <w:lastRenderedPageBreak/>
              <w:t xml:space="preserve">Ferric </w:t>
            </w:r>
            <w:proofErr w:type="spellStart"/>
            <w:r w:rsidRPr="007B1FAC">
              <w:t>carboxymaltose</w:t>
            </w:r>
            <w:proofErr w:type="spellEnd"/>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C2967F" w14:textId="77777777" w:rsidR="00927BED" w:rsidRPr="007B1FAC" w:rsidRDefault="00927BED" w:rsidP="003E495E">
            <w:pPr>
              <w:jc w:val="center"/>
            </w:pPr>
            <w:r w:rsidRPr="007B1FAC">
              <w:t>78.82%</w:t>
            </w:r>
          </w:p>
        </w:tc>
      </w:tr>
      <w:tr w:rsidR="00927BED" w:rsidRPr="007B1FAC" w14:paraId="03905B31" w14:textId="77777777" w:rsidTr="00927BED">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407EB4" w14:textId="77777777" w:rsidR="00927BED" w:rsidRPr="007B1FAC" w:rsidRDefault="00927BED" w:rsidP="003E495E">
            <w:pPr>
              <w:jc w:val="center"/>
            </w:pPr>
            <w:r w:rsidRPr="007B1FAC">
              <w:t>Iron isomaltose</w:t>
            </w:r>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49AD75" w14:textId="77777777" w:rsidR="00927BED" w:rsidRPr="007B1FAC" w:rsidRDefault="00927BED" w:rsidP="003E495E">
            <w:pPr>
              <w:jc w:val="center"/>
            </w:pPr>
            <w:r w:rsidRPr="007B1FAC">
              <w:t>9.72%</w:t>
            </w:r>
          </w:p>
        </w:tc>
      </w:tr>
      <w:tr w:rsidR="00927BED" w:rsidRPr="007B1FAC" w14:paraId="19944A7F" w14:textId="77777777" w:rsidTr="00927BED">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0719AD" w14:textId="77777777" w:rsidR="00927BED" w:rsidRPr="007B1FAC" w:rsidRDefault="00927BED" w:rsidP="003E495E">
            <w:pPr>
              <w:jc w:val="center"/>
            </w:pPr>
            <w:r w:rsidRPr="007B1FAC">
              <w:t xml:space="preserve">Iron sucrose </w:t>
            </w:r>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70E880" w14:textId="77777777" w:rsidR="00927BED" w:rsidRPr="007B1FAC" w:rsidRDefault="00927BED" w:rsidP="003E495E">
            <w:pPr>
              <w:jc w:val="center"/>
            </w:pPr>
            <w:r w:rsidRPr="007B1FAC">
              <w:t>10.07%</w:t>
            </w:r>
          </w:p>
        </w:tc>
      </w:tr>
      <w:tr w:rsidR="00927BED" w:rsidRPr="007B1FAC" w14:paraId="7F4B557B" w14:textId="77777777" w:rsidTr="00927BED">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FAB55D" w14:textId="77777777" w:rsidR="00927BED" w:rsidRPr="007B1FAC" w:rsidRDefault="00927BED" w:rsidP="003E495E">
            <w:pPr>
              <w:jc w:val="center"/>
            </w:pPr>
            <w:r w:rsidRPr="007B1FAC">
              <w:t>Iron dextran</w:t>
            </w:r>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0C98B5" w14:textId="77777777" w:rsidR="00927BED" w:rsidRPr="007B1FAC" w:rsidRDefault="00927BED" w:rsidP="003E495E">
            <w:pPr>
              <w:jc w:val="center"/>
            </w:pPr>
            <w:r w:rsidRPr="007B1FAC">
              <w:t>0.35%</w:t>
            </w:r>
          </w:p>
        </w:tc>
      </w:tr>
      <w:tr w:rsidR="00927BED" w:rsidRPr="007B1FAC" w14:paraId="1A05B859" w14:textId="77777777" w:rsidTr="00927BED">
        <w:trPr>
          <w:trHeight w:val="300"/>
        </w:trPr>
        <w:tc>
          <w:tcPr>
            <w:tcW w:w="45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1B4819" w14:textId="77777777" w:rsidR="00927BED" w:rsidRPr="007B1FAC" w:rsidRDefault="00927BED" w:rsidP="003E495E">
            <w:pPr>
              <w:jc w:val="center"/>
            </w:pPr>
            <w:r w:rsidRPr="007B1FAC">
              <w:t>All of the above</w:t>
            </w:r>
          </w:p>
        </w:tc>
        <w:tc>
          <w:tcPr>
            <w:tcW w:w="23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A996AA" w14:textId="77777777" w:rsidR="00927BED" w:rsidRPr="007B1FAC" w:rsidRDefault="00927BED" w:rsidP="003E495E">
            <w:pPr>
              <w:jc w:val="center"/>
            </w:pPr>
            <w:r w:rsidRPr="007B1FAC">
              <w:t>0.35%</w:t>
            </w:r>
          </w:p>
        </w:tc>
      </w:tr>
    </w:tbl>
    <w:p w14:paraId="65824120" w14:textId="77777777" w:rsidR="00927BED" w:rsidRDefault="00927BED" w:rsidP="007C70B7">
      <w:pPr>
        <w:pStyle w:val="Body"/>
        <w:spacing w:after="0"/>
        <w:rPr>
          <w:rFonts w:ascii="Arial" w:hAnsi="Arial" w:cs="Arial"/>
        </w:rPr>
      </w:pPr>
    </w:p>
    <w:p w14:paraId="288266D3" w14:textId="41403BEB" w:rsidR="00927BED" w:rsidRDefault="00927BED" w:rsidP="007C70B7">
      <w:pPr>
        <w:pStyle w:val="Body"/>
        <w:spacing w:after="0"/>
        <w:rPr>
          <w:rFonts w:cstheme="minorHAnsi"/>
        </w:rPr>
      </w:pPr>
      <w:r>
        <w:rPr>
          <w:rFonts w:cstheme="minorHAnsi"/>
        </w:rPr>
        <w:t>Iron</w:t>
      </w:r>
      <w:r w:rsidRPr="007B1FAC">
        <w:rPr>
          <w:rFonts w:cstheme="minorHAnsi"/>
        </w:rPr>
        <w:t xml:space="preserve"> preparations are associated with infusion reactions, as reported by 32% of the clinicians. Nearly half of the respondents (48.61%) reported that lack of response after 3 months of oral iron therapy was the primary criterion for considering oral iron inadequate before starting intravenous iron in non-dialysis CKD patients. About 64% of the clinicians reported that the common complaints from patients on the usage of iron preparations were GI disturbance. The most frequently considered factor when prescribing liposomal iron to a CKD patient with anemia was the patient’s preference for oral medication, as stated by 34% of the participants. About 21 to 30% of the patients were prescribed liposomal iron, as indicated by 35% of the clinicians. About 56% of the clinicians opined that highly bioavailable bypasses the extremely restrictive normal intestinal barriers and achieves a much higher plasma iron concentration, were true regarding liposomal iron (Table 3).</w:t>
      </w:r>
    </w:p>
    <w:p w14:paraId="20B86530" w14:textId="77777777" w:rsidR="00927BED" w:rsidRDefault="00927BED" w:rsidP="007C70B7">
      <w:pPr>
        <w:pStyle w:val="Body"/>
        <w:spacing w:after="0"/>
        <w:rPr>
          <w:rFonts w:cstheme="minorHAnsi"/>
        </w:rPr>
      </w:pPr>
    </w:p>
    <w:p w14:paraId="6EA2ED2D" w14:textId="77794096" w:rsidR="00927BED" w:rsidRDefault="00927BED" w:rsidP="007C70B7">
      <w:pPr>
        <w:pStyle w:val="Body"/>
        <w:spacing w:after="0"/>
        <w:rPr>
          <w:rFonts w:cstheme="minorHAnsi"/>
          <w:b/>
          <w:bCs/>
        </w:rPr>
      </w:pPr>
      <w:r w:rsidRPr="00CC195E">
        <w:rPr>
          <w:rFonts w:cstheme="minorHAnsi"/>
          <w:b/>
          <w:bCs/>
        </w:rPr>
        <w:t xml:space="preserve">Table 3: Distribution of </w:t>
      </w:r>
      <w:r>
        <w:rPr>
          <w:rFonts w:cstheme="minorHAnsi"/>
          <w:b/>
          <w:bCs/>
        </w:rPr>
        <w:t>responses</w:t>
      </w:r>
      <w:r w:rsidRPr="00CC195E">
        <w:rPr>
          <w:rFonts w:cstheme="minorHAnsi"/>
          <w:b/>
          <w:bCs/>
        </w:rPr>
        <w:t xml:space="preserve"> on the clinician perspectives on bioavailability and absorption advantages of liposomal iron</w:t>
      </w:r>
    </w:p>
    <w:p w14:paraId="7250ABC4" w14:textId="77777777" w:rsidR="00927BED" w:rsidRDefault="00927BED" w:rsidP="007C70B7">
      <w:pPr>
        <w:pStyle w:val="Body"/>
        <w:spacing w:after="0"/>
        <w:rPr>
          <w:rFonts w:cstheme="minorHAnsi"/>
          <w:b/>
          <w:bCs/>
        </w:rPr>
      </w:pPr>
    </w:p>
    <w:tbl>
      <w:tblPr>
        <w:tblW w:w="7883" w:type="dxa"/>
        <w:tblInd w:w="164" w:type="dxa"/>
        <w:tblCellMar>
          <w:left w:w="0" w:type="dxa"/>
          <w:right w:w="0" w:type="dxa"/>
        </w:tblCellMar>
        <w:tblLook w:val="04A0" w:firstRow="1" w:lastRow="0" w:firstColumn="1" w:lastColumn="0" w:noHBand="0" w:noVBand="1"/>
      </w:tblPr>
      <w:tblGrid>
        <w:gridCol w:w="5439"/>
        <w:gridCol w:w="2444"/>
      </w:tblGrid>
      <w:tr w:rsidR="00927BED" w:rsidRPr="007B1FAC" w14:paraId="7E9AE050" w14:textId="77777777" w:rsidTr="00927BED">
        <w:trPr>
          <w:trHeight w:val="298"/>
        </w:trPr>
        <w:tc>
          <w:tcPr>
            <w:tcW w:w="5439"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3CDB91F9" w14:textId="77777777" w:rsidR="00927BED" w:rsidRPr="007B1FAC" w:rsidRDefault="00927BED" w:rsidP="003E495E">
            <w:pPr>
              <w:jc w:val="center"/>
              <w:rPr>
                <w:b/>
                <w:bCs/>
              </w:rPr>
            </w:pPr>
            <w:r w:rsidRPr="007B1FAC">
              <w:rPr>
                <w:b/>
                <w:bCs/>
              </w:rPr>
              <w:t>Advantages</w:t>
            </w:r>
          </w:p>
        </w:tc>
        <w:tc>
          <w:tcPr>
            <w:tcW w:w="2444"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4E7BCE01" w14:textId="77777777" w:rsidR="00927BED" w:rsidRPr="007B1FAC" w:rsidRDefault="00927BED" w:rsidP="003E495E">
            <w:pPr>
              <w:jc w:val="center"/>
              <w:rPr>
                <w:b/>
                <w:bCs/>
              </w:rPr>
            </w:pPr>
            <w:r w:rsidRPr="007B1FAC">
              <w:rPr>
                <w:b/>
                <w:bCs/>
              </w:rPr>
              <w:t>Response rate (n = 288)</w:t>
            </w:r>
          </w:p>
        </w:tc>
      </w:tr>
      <w:tr w:rsidR="00927BED" w:rsidRPr="007B1FAC" w14:paraId="00A935DD" w14:textId="77777777" w:rsidTr="00927BED">
        <w:trPr>
          <w:trHeight w:val="298"/>
        </w:trPr>
        <w:tc>
          <w:tcPr>
            <w:tcW w:w="543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9C691B" w14:textId="77777777" w:rsidR="00927BED" w:rsidRPr="007B1FAC" w:rsidRDefault="00927BED" w:rsidP="003E495E">
            <w:pPr>
              <w:jc w:val="center"/>
            </w:pPr>
            <w:bookmarkStart w:id="0" w:name="_Hlk216800895"/>
            <w:r w:rsidRPr="007B1FAC">
              <w:t>Highly bioavailable</w:t>
            </w:r>
          </w:p>
        </w:tc>
        <w:tc>
          <w:tcPr>
            <w:tcW w:w="24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78F705" w14:textId="77777777" w:rsidR="00927BED" w:rsidRPr="007B1FAC" w:rsidRDefault="00927BED" w:rsidP="003E495E">
            <w:pPr>
              <w:jc w:val="center"/>
            </w:pPr>
            <w:r w:rsidRPr="007B1FAC">
              <w:t>25%</w:t>
            </w:r>
          </w:p>
        </w:tc>
      </w:tr>
      <w:tr w:rsidR="00927BED" w:rsidRPr="007B1FAC" w14:paraId="7E926B14" w14:textId="77777777" w:rsidTr="00927BED">
        <w:trPr>
          <w:trHeight w:val="298"/>
        </w:trPr>
        <w:tc>
          <w:tcPr>
            <w:tcW w:w="543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8417DA" w14:textId="77777777" w:rsidR="00927BED" w:rsidRPr="007B1FAC" w:rsidRDefault="00927BED" w:rsidP="003E495E">
            <w:pPr>
              <w:jc w:val="center"/>
            </w:pPr>
            <w:r w:rsidRPr="007B1FAC">
              <w:t>Bypasses the extremely restrictive normal intestinal barriers</w:t>
            </w:r>
          </w:p>
        </w:tc>
        <w:tc>
          <w:tcPr>
            <w:tcW w:w="24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940BB8" w14:textId="77777777" w:rsidR="00927BED" w:rsidRPr="007B1FAC" w:rsidRDefault="00927BED" w:rsidP="003E495E">
            <w:pPr>
              <w:jc w:val="center"/>
            </w:pPr>
            <w:r w:rsidRPr="007B1FAC">
              <w:t>14.93%</w:t>
            </w:r>
          </w:p>
        </w:tc>
      </w:tr>
      <w:tr w:rsidR="00927BED" w:rsidRPr="007B1FAC" w14:paraId="0E0A4C24" w14:textId="77777777" w:rsidTr="00927BED">
        <w:trPr>
          <w:trHeight w:val="298"/>
        </w:trPr>
        <w:tc>
          <w:tcPr>
            <w:tcW w:w="543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22EB48" w14:textId="77777777" w:rsidR="00927BED" w:rsidRPr="007B1FAC" w:rsidRDefault="00927BED" w:rsidP="003E495E">
            <w:pPr>
              <w:jc w:val="center"/>
            </w:pPr>
            <w:r w:rsidRPr="007B1FAC">
              <w:t>Achieves much higher plasma iron concentration</w:t>
            </w:r>
          </w:p>
        </w:tc>
        <w:tc>
          <w:tcPr>
            <w:tcW w:w="24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A8FD4E" w14:textId="77777777" w:rsidR="00927BED" w:rsidRPr="007B1FAC" w:rsidRDefault="00927BED" w:rsidP="003E495E">
            <w:pPr>
              <w:jc w:val="center"/>
            </w:pPr>
            <w:r w:rsidRPr="007B1FAC">
              <w:t>3.82%</w:t>
            </w:r>
          </w:p>
        </w:tc>
      </w:tr>
      <w:bookmarkEnd w:id="0"/>
      <w:tr w:rsidR="00927BED" w:rsidRPr="007B1FAC" w14:paraId="1A2469D7" w14:textId="77777777" w:rsidTr="00927BED">
        <w:trPr>
          <w:trHeight w:val="298"/>
        </w:trPr>
        <w:tc>
          <w:tcPr>
            <w:tcW w:w="543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17BA66" w14:textId="77777777" w:rsidR="00927BED" w:rsidRPr="007B1FAC" w:rsidRDefault="00927BED" w:rsidP="003E495E">
            <w:pPr>
              <w:jc w:val="center"/>
            </w:pPr>
            <w:r w:rsidRPr="007B1FAC">
              <w:t>All of the above</w:t>
            </w:r>
          </w:p>
        </w:tc>
        <w:tc>
          <w:tcPr>
            <w:tcW w:w="24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56B32B" w14:textId="77777777" w:rsidR="00927BED" w:rsidRPr="007B1FAC" w:rsidRDefault="00927BED" w:rsidP="003E495E">
            <w:pPr>
              <w:jc w:val="center"/>
            </w:pPr>
            <w:r w:rsidRPr="007B1FAC">
              <w:t>55.56%</w:t>
            </w:r>
          </w:p>
        </w:tc>
      </w:tr>
    </w:tbl>
    <w:p w14:paraId="3BC0328C" w14:textId="77777777" w:rsidR="00927BED" w:rsidRDefault="00927BED" w:rsidP="007C70B7">
      <w:pPr>
        <w:pStyle w:val="Body"/>
        <w:spacing w:after="0"/>
        <w:rPr>
          <w:rFonts w:ascii="Arial" w:hAnsi="Arial" w:cs="Arial"/>
        </w:rPr>
      </w:pPr>
    </w:p>
    <w:p w14:paraId="6F324A28" w14:textId="77777777" w:rsidR="004E3A9E" w:rsidRPr="004E3A9E" w:rsidRDefault="004E3A9E" w:rsidP="007C70B7">
      <w:pPr>
        <w:pStyle w:val="Body"/>
        <w:spacing w:after="0"/>
        <w:rPr>
          <w:rFonts w:ascii="Arial" w:hAnsi="Arial" w:cs="Arial"/>
          <w:b/>
          <w:bCs/>
        </w:rPr>
      </w:pPr>
    </w:p>
    <w:p w14:paraId="39F6E958" w14:textId="77777777" w:rsidR="00902823" w:rsidRDefault="00C4190C"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discussion</w:t>
      </w:r>
    </w:p>
    <w:p w14:paraId="5062AFEE" w14:textId="77777777" w:rsidR="00790ADA" w:rsidRPr="00FB3A86" w:rsidRDefault="00790ADA" w:rsidP="00441B6F">
      <w:pPr>
        <w:pStyle w:val="Head1"/>
        <w:spacing w:after="0"/>
        <w:jc w:val="both"/>
        <w:rPr>
          <w:rFonts w:ascii="Arial" w:hAnsi="Arial" w:cs="Arial"/>
        </w:rPr>
      </w:pPr>
    </w:p>
    <w:p w14:paraId="4A36532D" w14:textId="77777777" w:rsidR="00927BED" w:rsidRDefault="00927BED" w:rsidP="00927BED">
      <w:pPr>
        <w:jc w:val="both"/>
        <w:rPr>
          <w:rFonts w:cstheme="minorHAnsi"/>
        </w:rPr>
      </w:pPr>
      <w:r w:rsidRPr="007B1FAC">
        <w:rPr>
          <w:rFonts w:cstheme="minorHAnsi"/>
        </w:rPr>
        <w:t xml:space="preserve">This </w:t>
      </w:r>
      <w:r>
        <w:rPr>
          <w:rFonts w:cstheme="minorHAnsi"/>
        </w:rPr>
        <w:t>study</w:t>
      </w:r>
      <w:r w:rsidRPr="007B1FAC">
        <w:rPr>
          <w:rFonts w:cstheme="minorHAnsi"/>
        </w:rPr>
        <w:t xml:space="preserve"> provides insight into the clinical practices and clinician perspectives regarding the management of anemia in patients with CKD in India, with a particular emphasis on treatment strategies and iron supplementation practices.</w:t>
      </w:r>
    </w:p>
    <w:p w14:paraId="5A1D460A" w14:textId="77777777" w:rsidR="00927BED" w:rsidRPr="007B1FAC" w:rsidRDefault="00927BED" w:rsidP="00927BED">
      <w:pPr>
        <w:jc w:val="both"/>
        <w:rPr>
          <w:rFonts w:cstheme="minorHAnsi"/>
        </w:rPr>
      </w:pPr>
    </w:p>
    <w:p w14:paraId="2121D212" w14:textId="0CE183B2" w:rsidR="00927BED" w:rsidRDefault="00C95A82" w:rsidP="00927BED">
      <w:pPr>
        <w:jc w:val="both"/>
        <w:rPr>
          <w:rFonts w:cstheme="minorHAnsi"/>
          <w:vertAlign w:val="superscript"/>
        </w:rPr>
      </w:pPr>
      <w:r>
        <w:rPr>
          <w:rFonts w:cstheme="minorHAnsi"/>
        </w:rPr>
        <w:t>“</w:t>
      </w:r>
      <w:r w:rsidR="00927BED" w:rsidRPr="007B1FAC">
        <w:rPr>
          <w:rFonts w:cstheme="minorHAnsi"/>
        </w:rPr>
        <w:t xml:space="preserve">The current study findings indicated that inadequate production of erythropoietin by the kidneys was the primary cause of anemia in the majority of patients with CKD. In line with this finding, </w:t>
      </w:r>
      <w:r w:rsidR="00927BED">
        <w:rPr>
          <w:rFonts w:cstheme="minorHAnsi"/>
        </w:rPr>
        <w:t>a previous</w:t>
      </w:r>
      <w:r w:rsidR="00927BED" w:rsidRPr="007B1FAC">
        <w:rPr>
          <w:rFonts w:cstheme="minorHAnsi"/>
        </w:rPr>
        <w:t xml:space="preserve"> study reported that while anemia is multifactorial, EPO reduction remains the central mechanism. The study revealed progressive hemoglobin decline correlating with kidney function, with 67.1% experiencing iron deficiency alongside EPO production impairment</w:t>
      </w:r>
      <w:r>
        <w:rPr>
          <w:rFonts w:cstheme="minorHAnsi"/>
        </w:rPr>
        <w:t>”</w:t>
      </w:r>
      <w:r w:rsidR="00927BED" w:rsidRPr="007B1FAC">
        <w:rPr>
          <w:rFonts w:cstheme="minorHAnsi"/>
        </w:rPr>
        <w:t>.</w:t>
      </w:r>
      <w:r w:rsidR="00927BED" w:rsidRPr="007B1FAC">
        <w:rPr>
          <w:rFonts w:cstheme="minorHAnsi"/>
          <w:vertAlign w:val="superscript"/>
        </w:rPr>
        <w:t>14</w:t>
      </w:r>
    </w:p>
    <w:p w14:paraId="360D925A" w14:textId="77777777" w:rsidR="00927BED" w:rsidRPr="007B1FAC" w:rsidRDefault="00927BED" w:rsidP="00927BED">
      <w:pPr>
        <w:jc w:val="both"/>
        <w:rPr>
          <w:rFonts w:cstheme="minorHAnsi"/>
        </w:rPr>
      </w:pPr>
    </w:p>
    <w:p w14:paraId="2984C585" w14:textId="4FB4E255" w:rsidR="00927BED" w:rsidRDefault="00C95A82" w:rsidP="00927BED">
      <w:pPr>
        <w:jc w:val="both"/>
        <w:rPr>
          <w:rFonts w:cstheme="minorHAnsi"/>
          <w:vertAlign w:val="superscript"/>
        </w:rPr>
      </w:pPr>
      <w:r>
        <w:rPr>
          <w:rFonts w:cstheme="minorHAnsi"/>
        </w:rPr>
        <w:t>“</w:t>
      </w:r>
      <w:r w:rsidR="00927BED" w:rsidRPr="007B1FAC">
        <w:rPr>
          <w:rFonts w:cstheme="minorHAnsi"/>
        </w:rPr>
        <w:t>In the present study, it was reported that the preferred iron supplementation for patients with Hb</w:t>
      </w:r>
      <w:r w:rsidR="00927BED">
        <w:rPr>
          <w:rFonts w:cstheme="minorHAnsi"/>
        </w:rPr>
        <w:t xml:space="preserve"> </w:t>
      </w:r>
      <w:r w:rsidR="00927BED" w:rsidRPr="007B1FAC">
        <w:rPr>
          <w:rFonts w:cstheme="minorHAnsi"/>
        </w:rPr>
        <w:t>&lt;9% was the IV route.  A prospective clinical study by Bharti and Katiyar showed that IV iron supplementation led to significantly greater increases in hemoglobin, serum ferritin, and transferrin saturation than oral iron in CKD patients preferring IV iron in more severe anemia cases, like Hb &lt;9 g/dL, when rapid and effective correction is needed</w:t>
      </w:r>
      <w:r>
        <w:rPr>
          <w:rFonts w:cstheme="minorHAnsi"/>
        </w:rPr>
        <w:t>”</w:t>
      </w:r>
      <w:r w:rsidR="00927BED" w:rsidRPr="007B1FAC">
        <w:rPr>
          <w:rFonts w:cstheme="minorHAnsi"/>
        </w:rPr>
        <w:t>.</w:t>
      </w:r>
      <w:r w:rsidR="00927BED" w:rsidRPr="007B1FAC">
        <w:rPr>
          <w:rFonts w:cstheme="minorHAnsi"/>
          <w:vertAlign w:val="superscript"/>
        </w:rPr>
        <w:t>15</w:t>
      </w:r>
      <w:r w:rsidR="00927BED" w:rsidRPr="007B1FAC">
        <w:rPr>
          <w:rFonts w:cstheme="minorHAnsi"/>
        </w:rPr>
        <w:t xml:space="preserve"> Agarwal et al. in their study found that IV iron sucrose therapy was more effective and better tolerated than oral iron in elevating hemoglobin and iron markers in CKD patients.</w:t>
      </w:r>
      <w:r w:rsidR="00927BED" w:rsidRPr="007B1FAC">
        <w:rPr>
          <w:rFonts w:cstheme="minorHAnsi"/>
          <w:vertAlign w:val="superscript"/>
        </w:rPr>
        <w:t>16</w:t>
      </w:r>
    </w:p>
    <w:p w14:paraId="7BF82AAD" w14:textId="77777777" w:rsidR="00927BED" w:rsidRPr="007B1FAC" w:rsidRDefault="00927BED" w:rsidP="00927BED">
      <w:pPr>
        <w:jc w:val="both"/>
        <w:rPr>
          <w:rFonts w:cstheme="minorHAnsi"/>
        </w:rPr>
      </w:pPr>
    </w:p>
    <w:p w14:paraId="659A5602" w14:textId="06CF5F0A" w:rsidR="00927BED" w:rsidRDefault="00927BED" w:rsidP="00927BED">
      <w:pPr>
        <w:jc w:val="both"/>
        <w:rPr>
          <w:rFonts w:cstheme="minorHAnsi"/>
        </w:rPr>
      </w:pPr>
      <w:r w:rsidRPr="007B1FAC">
        <w:rPr>
          <w:rFonts w:cstheme="minorHAnsi"/>
        </w:rPr>
        <w:lastRenderedPageBreak/>
        <w:t xml:space="preserve">Indian Society of Nephrology guidelines recommend that in patients with non-dialysis CKD (Stages III–V ND and PD), a trial of oral iron therapy for 1 to 3 months should be given if iron deficiency anemia is present, and oral preparations can be continued long-term if effective and well tolerated. This reflects real-world clinician practice in India, </w:t>
      </w:r>
      <w:proofErr w:type="spellStart"/>
      <w:r w:rsidRPr="007B1FAC">
        <w:rPr>
          <w:rFonts w:cstheme="minorHAnsi"/>
        </w:rPr>
        <w:t>favouring</w:t>
      </w:r>
      <w:proofErr w:type="spellEnd"/>
      <w:r w:rsidRPr="007B1FAC">
        <w:rPr>
          <w:rFonts w:cstheme="minorHAnsi"/>
        </w:rPr>
        <w:t xml:space="preserve"> oral iron as an initial treatment approach in selected patients.</w:t>
      </w:r>
      <w:r w:rsidRPr="007B1FAC">
        <w:rPr>
          <w:rFonts w:cstheme="minorHAnsi"/>
          <w:vertAlign w:val="superscript"/>
        </w:rPr>
        <w:t>2</w:t>
      </w:r>
      <w:r w:rsidRPr="007B1FAC">
        <w:rPr>
          <w:rFonts w:cstheme="minorHAnsi"/>
        </w:rPr>
        <w:t xml:space="preserve"> </w:t>
      </w:r>
      <w:proofErr w:type="spellStart"/>
      <w:r w:rsidRPr="007B1FAC">
        <w:rPr>
          <w:rFonts w:cstheme="minorHAnsi"/>
        </w:rPr>
        <w:t>Viswanadh</w:t>
      </w:r>
      <w:proofErr w:type="spellEnd"/>
      <w:r w:rsidRPr="007B1FAC">
        <w:rPr>
          <w:rFonts w:cstheme="minorHAnsi"/>
        </w:rPr>
        <w:t xml:space="preserve"> et al., in their study compared </w:t>
      </w:r>
      <w:r w:rsidR="00C95A82">
        <w:rPr>
          <w:rFonts w:cstheme="minorHAnsi"/>
        </w:rPr>
        <w:t>“</w:t>
      </w:r>
      <w:r w:rsidRPr="007B1FAC">
        <w:rPr>
          <w:rFonts w:cstheme="minorHAnsi"/>
        </w:rPr>
        <w:t>different iron replacement modalities in CKD Stage G3–G4 and found that oral iron supplementation (ferrous ascorbate) resulted in significant increases in hemoglobin and serum iron parameters, supporting it as a first-line approach in certain CKD populations.</w:t>
      </w:r>
      <w:r w:rsidRPr="007B1FAC">
        <w:rPr>
          <w:rFonts w:cstheme="minorHAnsi"/>
          <w:vertAlign w:val="superscript"/>
        </w:rPr>
        <w:t>17</w:t>
      </w:r>
      <w:r w:rsidRPr="007B1FAC">
        <w:rPr>
          <w:rFonts w:cstheme="minorHAnsi"/>
        </w:rPr>
        <w:t xml:space="preserve"> Similar results were also found in the present study; oral iron supplements were the most preferred treatment option for anemia in CKD patients</w:t>
      </w:r>
      <w:r w:rsidR="00C95A82">
        <w:rPr>
          <w:rFonts w:cstheme="minorHAnsi"/>
        </w:rPr>
        <w:t>”</w:t>
      </w:r>
      <w:r w:rsidRPr="007B1FAC">
        <w:rPr>
          <w:rFonts w:cstheme="minorHAnsi"/>
        </w:rPr>
        <w:t xml:space="preserve">. </w:t>
      </w:r>
    </w:p>
    <w:p w14:paraId="3F2D8365" w14:textId="77777777" w:rsidR="00927BED" w:rsidRPr="007B1FAC" w:rsidRDefault="00927BED" w:rsidP="00927BED">
      <w:pPr>
        <w:jc w:val="both"/>
        <w:rPr>
          <w:rFonts w:cstheme="minorHAnsi"/>
        </w:rPr>
      </w:pPr>
    </w:p>
    <w:p w14:paraId="6CE26AA2" w14:textId="4ACCCE5E" w:rsidR="00927BED" w:rsidRDefault="00C95A82" w:rsidP="00927BED">
      <w:pPr>
        <w:jc w:val="both"/>
        <w:rPr>
          <w:rFonts w:cstheme="minorHAnsi"/>
          <w:vertAlign w:val="superscript"/>
        </w:rPr>
      </w:pPr>
      <w:r>
        <w:rPr>
          <w:rFonts w:cstheme="minorHAnsi"/>
        </w:rPr>
        <w:t>“</w:t>
      </w:r>
      <w:r w:rsidR="00927BED" w:rsidRPr="007B1FAC">
        <w:rPr>
          <w:rFonts w:cstheme="minorHAnsi"/>
        </w:rPr>
        <w:t>The majority of respondents in this survey identified inflammation, hyperparathyroidism, and recurrent infections as factors that complicate the management of anemia in CKD. These perceptions align with a study by Brzozka et al., showing that chronic inflammation in CKD elevates hepcidin and pro-inflammatory cytokines, which impair iron mobilization and erythropoiesis and reduce responsiveness to ESAs</w:t>
      </w:r>
      <w:r>
        <w:rPr>
          <w:rFonts w:cstheme="minorHAnsi"/>
        </w:rPr>
        <w:t>”</w:t>
      </w:r>
      <w:r w:rsidR="00927BED" w:rsidRPr="007B1FAC">
        <w:rPr>
          <w:rFonts w:cstheme="minorHAnsi"/>
        </w:rPr>
        <w:t>.</w:t>
      </w:r>
      <w:r w:rsidR="00927BED" w:rsidRPr="007B1FAC">
        <w:rPr>
          <w:rFonts w:cstheme="minorHAnsi"/>
          <w:vertAlign w:val="superscript"/>
        </w:rPr>
        <w:t>18</w:t>
      </w:r>
      <w:r w:rsidR="00927BED" w:rsidRPr="007B1FAC">
        <w:rPr>
          <w:rFonts w:cstheme="minorHAnsi"/>
        </w:rPr>
        <w:t xml:space="preserve"> </w:t>
      </w:r>
      <w:r>
        <w:rPr>
          <w:rFonts w:cstheme="minorHAnsi"/>
        </w:rPr>
        <w:t>“</w:t>
      </w:r>
      <w:r w:rsidR="00927BED" w:rsidRPr="007B1FAC">
        <w:rPr>
          <w:rFonts w:cstheme="minorHAnsi"/>
        </w:rPr>
        <w:t>Secondary hyperparathyroidism has also been implicated in worsening anemia and ESA resistance by directly affecting erythroid progenitor cells and erythropoietin responsiveness. Additionally, recurrent infections contribute to sustained inflammatory states in CKD patients, further exacerbating anemia and complicating clinical management</w:t>
      </w:r>
      <w:r>
        <w:rPr>
          <w:rFonts w:cstheme="minorHAnsi"/>
        </w:rPr>
        <w:t>”</w:t>
      </w:r>
      <w:r w:rsidR="00927BED" w:rsidRPr="007B1FAC">
        <w:rPr>
          <w:rFonts w:cstheme="minorHAnsi"/>
        </w:rPr>
        <w:t>.</w:t>
      </w:r>
      <w:r w:rsidR="00927BED" w:rsidRPr="007B1FAC">
        <w:rPr>
          <w:rFonts w:cstheme="minorHAnsi"/>
          <w:vertAlign w:val="superscript"/>
        </w:rPr>
        <w:t>19,20</w:t>
      </w:r>
    </w:p>
    <w:p w14:paraId="68242446" w14:textId="77777777" w:rsidR="00927BED" w:rsidRPr="007B1FAC" w:rsidRDefault="00927BED" w:rsidP="00927BED">
      <w:pPr>
        <w:jc w:val="both"/>
        <w:rPr>
          <w:rFonts w:cstheme="minorHAnsi"/>
        </w:rPr>
      </w:pPr>
    </w:p>
    <w:p w14:paraId="4521B5DF" w14:textId="7667A00C" w:rsidR="00927BED" w:rsidRDefault="00C95A82" w:rsidP="00927BED">
      <w:pPr>
        <w:jc w:val="both"/>
        <w:rPr>
          <w:rFonts w:cstheme="minorHAnsi"/>
          <w:vertAlign w:val="superscript"/>
        </w:rPr>
      </w:pPr>
      <w:r>
        <w:rPr>
          <w:rFonts w:cstheme="minorHAnsi"/>
        </w:rPr>
        <w:t>“</w:t>
      </w:r>
      <w:r w:rsidR="00927BED" w:rsidRPr="007B1FAC">
        <w:rPr>
          <w:rFonts w:cstheme="minorHAnsi"/>
        </w:rPr>
        <w:t xml:space="preserve">A majority of respondents in the current study reported ferric </w:t>
      </w:r>
      <w:proofErr w:type="spellStart"/>
      <w:r w:rsidR="00927BED" w:rsidRPr="007B1FAC">
        <w:rPr>
          <w:rFonts w:cstheme="minorHAnsi"/>
        </w:rPr>
        <w:t>carboxymaltose</w:t>
      </w:r>
      <w:proofErr w:type="spellEnd"/>
      <w:r w:rsidR="00927BED" w:rsidRPr="007B1FAC">
        <w:rPr>
          <w:rFonts w:cstheme="minorHAnsi"/>
        </w:rPr>
        <w:t xml:space="preserve"> as their preferred intravenous iron formulation. This aligns with an Indian expert consensus recommending ferric </w:t>
      </w:r>
      <w:proofErr w:type="spellStart"/>
      <w:r w:rsidR="00927BED" w:rsidRPr="007B1FAC">
        <w:rPr>
          <w:rFonts w:cstheme="minorHAnsi"/>
        </w:rPr>
        <w:t>carboxymaltose</w:t>
      </w:r>
      <w:proofErr w:type="spellEnd"/>
      <w:r w:rsidR="00927BED" w:rsidRPr="007B1FAC">
        <w:rPr>
          <w:rFonts w:cstheme="minorHAnsi"/>
        </w:rPr>
        <w:t xml:space="preserve"> as the preferred IV iron in </w:t>
      </w:r>
      <w:proofErr w:type="spellStart"/>
      <w:r w:rsidR="00927BED" w:rsidRPr="007B1FAC">
        <w:rPr>
          <w:rFonts w:cstheme="minorHAnsi"/>
        </w:rPr>
        <w:t>haemodialysis</w:t>
      </w:r>
      <w:proofErr w:type="spellEnd"/>
      <w:r w:rsidR="00927BED" w:rsidRPr="007B1FAC">
        <w:rPr>
          <w:rFonts w:cstheme="minorHAnsi"/>
        </w:rPr>
        <w:t>-dependent CKD due to its favorable administration and safety</w:t>
      </w:r>
      <w:r w:rsidR="00927BED">
        <w:rPr>
          <w:rFonts w:cstheme="minorHAnsi"/>
        </w:rPr>
        <w:t xml:space="preserve"> </w:t>
      </w:r>
      <w:r w:rsidR="00927BED" w:rsidRPr="007B1FAC">
        <w:rPr>
          <w:rFonts w:cstheme="minorHAnsi"/>
        </w:rPr>
        <w:t>profile in practice</w:t>
      </w:r>
      <w:r>
        <w:rPr>
          <w:rFonts w:cstheme="minorHAnsi"/>
        </w:rPr>
        <w:t>”</w:t>
      </w:r>
      <w:r w:rsidR="00927BED" w:rsidRPr="007B1FAC">
        <w:rPr>
          <w:rFonts w:cstheme="minorHAnsi"/>
        </w:rPr>
        <w:t>.</w:t>
      </w:r>
      <w:r w:rsidR="00927BED" w:rsidRPr="007B1FAC">
        <w:rPr>
          <w:rFonts w:cstheme="minorHAnsi"/>
          <w:vertAlign w:val="superscript"/>
        </w:rPr>
        <w:t>21</w:t>
      </w:r>
      <w:r w:rsidR="00927BED" w:rsidRPr="007B1FAC">
        <w:rPr>
          <w:rFonts w:cstheme="minorHAnsi"/>
        </w:rPr>
        <w:t xml:space="preserve"> Bhalla et al. in their retrospective study demonstrated significant improvements in hemoglobin and iron indices with FCM, indicating its practical effectiveness and supporting its frequent selection by clinicians.</w:t>
      </w:r>
      <w:r w:rsidR="00927BED" w:rsidRPr="007B1FAC">
        <w:rPr>
          <w:rFonts w:cstheme="minorHAnsi"/>
          <w:vertAlign w:val="superscript"/>
        </w:rPr>
        <w:t>22</w:t>
      </w:r>
      <w:r w:rsidR="00927BED" w:rsidRPr="007B1FAC">
        <w:rPr>
          <w:rFonts w:cstheme="minorHAnsi"/>
        </w:rPr>
        <w:t xml:space="preserve">  Khanna et al. in their study concluded that </w:t>
      </w:r>
      <w:r>
        <w:rPr>
          <w:rFonts w:cstheme="minorHAnsi"/>
        </w:rPr>
        <w:t>“</w:t>
      </w:r>
      <w:r w:rsidR="00927BED" w:rsidRPr="007B1FAC">
        <w:rPr>
          <w:rFonts w:cstheme="minorHAnsi"/>
        </w:rPr>
        <w:t xml:space="preserve">ferric </w:t>
      </w:r>
      <w:proofErr w:type="spellStart"/>
      <w:r w:rsidR="00927BED" w:rsidRPr="007B1FAC">
        <w:rPr>
          <w:rFonts w:cstheme="minorHAnsi"/>
        </w:rPr>
        <w:t>carboxymaltose</w:t>
      </w:r>
      <w:proofErr w:type="spellEnd"/>
      <w:r w:rsidR="00927BED" w:rsidRPr="007B1FAC">
        <w:rPr>
          <w:rFonts w:cstheme="minorHAnsi"/>
        </w:rPr>
        <w:t xml:space="preserve"> is effective and safe for managing iron deficiency anemia in Indian CKD patients undergoing hemodialysis, as shown by significant improvements in hemoglobin, ferritin, and transferrin saturation levels</w:t>
      </w:r>
      <w:r>
        <w:rPr>
          <w:rFonts w:cstheme="minorHAnsi"/>
        </w:rPr>
        <w:t>”</w:t>
      </w:r>
      <w:bookmarkStart w:id="1" w:name="_GoBack"/>
      <w:bookmarkEnd w:id="1"/>
      <w:r w:rsidR="00927BED" w:rsidRPr="007B1FAC">
        <w:rPr>
          <w:rFonts w:cstheme="minorHAnsi"/>
        </w:rPr>
        <w:t>.</w:t>
      </w:r>
      <w:r w:rsidR="00927BED" w:rsidRPr="007B1FAC">
        <w:rPr>
          <w:rFonts w:cstheme="minorHAnsi"/>
          <w:vertAlign w:val="superscript"/>
        </w:rPr>
        <w:t>23</w:t>
      </w:r>
    </w:p>
    <w:p w14:paraId="656E0A16" w14:textId="77777777" w:rsidR="00927BED" w:rsidRPr="007B1FAC" w:rsidRDefault="00927BED" w:rsidP="00927BED">
      <w:pPr>
        <w:jc w:val="both"/>
        <w:rPr>
          <w:rFonts w:cstheme="minorHAnsi"/>
        </w:rPr>
      </w:pPr>
    </w:p>
    <w:p w14:paraId="394B10F1" w14:textId="77777777" w:rsidR="00927BED" w:rsidRDefault="00927BED" w:rsidP="00927BED">
      <w:pPr>
        <w:jc w:val="both"/>
        <w:rPr>
          <w:rFonts w:cstheme="minorHAnsi"/>
          <w:vertAlign w:val="superscript"/>
        </w:rPr>
      </w:pPr>
      <w:r w:rsidRPr="007B1FAC">
        <w:rPr>
          <w:rFonts w:cstheme="minorHAnsi"/>
        </w:rPr>
        <w:t>The present study results demonstrated that liposomal iron was highly bioavailable, bypassing the extremely restrictive normal intestinal barriers and achieving a much higher plasma iron concentration. Similar results were also shown by Khalil and Anees in their study that liposomal iron is highly bioavailable and effective in improving hematological parameters.</w:t>
      </w:r>
      <w:r w:rsidRPr="007B1FAC">
        <w:rPr>
          <w:rFonts w:cstheme="minorHAnsi"/>
          <w:vertAlign w:val="superscript"/>
        </w:rPr>
        <w:t>24</w:t>
      </w:r>
      <w:r w:rsidRPr="007B1FAC">
        <w:rPr>
          <w:rFonts w:cstheme="minorHAnsi"/>
        </w:rPr>
        <w:t xml:space="preserve"> Bhalla et al. found that liposomal pyrophosphate iron’s bioavailability is 3.5 times greater than free pyrophosphate iron, 2.7 times higher than iron sulfate, and 4.1 times higher than iron gluconate.</w:t>
      </w:r>
      <w:r w:rsidRPr="007B1FAC">
        <w:rPr>
          <w:rFonts w:cstheme="minorHAnsi"/>
          <w:vertAlign w:val="superscript"/>
        </w:rPr>
        <w:t>22</w:t>
      </w:r>
      <w:r w:rsidRPr="007B1FAC">
        <w:rPr>
          <w:rFonts w:cstheme="minorHAnsi"/>
        </w:rPr>
        <w:t xml:space="preserve"> </w:t>
      </w:r>
      <w:proofErr w:type="spellStart"/>
      <w:r w:rsidRPr="007B1FAC">
        <w:rPr>
          <w:rFonts w:cstheme="minorHAnsi"/>
        </w:rPr>
        <w:t>Maladkar</w:t>
      </w:r>
      <w:proofErr w:type="spellEnd"/>
      <w:r w:rsidRPr="007B1FAC">
        <w:rPr>
          <w:rFonts w:cstheme="minorHAnsi"/>
        </w:rPr>
        <w:t xml:space="preserve"> et al.</w:t>
      </w:r>
      <w:r>
        <w:rPr>
          <w:rFonts w:cstheme="minorHAnsi"/>
        </w:rPr>
        <w:t>,</w:t>
      </w:r>
      <w:r w:rsidRPr="007B1FAC">
        <w:rPr>
          <w:rFonts w:cstheme="minorHAnsi"/>
        </w:rPr>
        <w:t xml:space="preserve"> in their study, conclude that liposomal iron has a differential delivery system ensuring higher absorption and bioavailability, potentially bypassing normal intestinal barriers and achieving higher plasma iron concentrations.</w:t>
      </w:r>
      <w:r w:rsidRPr="007B1FAC">
        <w:rPr>
          <w:rFonts w:cstheme="minorHAnsi"/>
          <w:vertAlign w:val="superscript"/>
        </w:rPr>
        <w:t>25</w:t>
      </w:r>
    </w:p>
    <w:p w14:paraId="6D1CC4A3" w14:textId="77777777" w:rsidR="00927BED" w:rsidRPr="007B1FAC" w:rsidRDefault="00927BED" w:rsidP="00927BED">
      <w:pPr>
        <w:jc w:val="both"/>
        <w:rPr>
          <w:rFonts w:cstheme="minorHAnsi"/>
        </w:rPr>
      </w:pPr>
    </w:p>
    <w:p w14:paraId="0FD5BABB" w14:textId="77777777" w:rsidR="00927BED" w:rsidRDefault="00927BED" w:rsidP="00927BED">
      <w:pPr>
        <w:jc w:val="both"/>
        <w:rPr>
          <w:rFonts w:cstheme="minorHAnsi"/>
        </w:rPr>
      </w:pPr>
      <w:r w:rsidRPr="007B1FAC">
        <w:rPr>
          <w:rFonts w:cstheme="minorHAnsi"/>
        </w:rPr>
        <w:t xml:space="preserve">The </w:t>
      </w:r>
      <w:r>
        <w:rPr>
          <w:rFonts w:cstheme="minorHAnsi"/>
        </w:rPr>
        <w:t>major</w:t>
      </w:r>
      <w:r w:rsidRPr="007B1FAC">
        <w:rPr>
          <w:rFonts w:cstheme="minorHAnsi"/>
        </w:rPr>
        <w:t xml:space="preserve"> strength of this study lies in its large and geographically diverse sample of clinicians, which provides a comprehensive overview of treatment preferences in the management of anemia among patients with CKD</w:t>
      </w:r>
      <w:r>
        <w:rPr>
          <w:rFonts w:cstheme="minorHAnsi"/>
        </w:rPr>
        <w:t xml:space="preserve"> </w:t>
      </w:r>
      <w:r w:rsidRPr="007B1FAC">
        <w:rPr>
          <w:rFonts w:cstheme="minorHAnsi"/>
        </w:rPr>
        <w:t>in India. The survey captures valuable insights into diagnostic approaches, therapeutic strategies, and clinician perspectives on iron supplementation, including the use of newer formulations such as liposomal iron, thereby reflecting routine clinical decision-making across varied practice settings.</w:t>
      </w:r>
    </w:p>
    <w:p w14:paraId="6124843A" w14:textId="77777777" w:rsidR="00927BED" w:rsidRPr="007B1FAC" w:rsidRDefault="00927BED" w:rsidP="00927BED">
      <w:pPr>
        <w:jc w:val="both"/>
        <w:rPr>
          <w:rFonts w:cstheme="minorHAnsi"/>
        </w:rPr>
      </w:pPr>
    </w:p>
    <w:p w14:paraId="5EC7BA63" w14:textId="78367E98" w:rsidR="00790ADA" w:rsidRPr="008D54AA" w:rsidRDefault="008D54AA" w:rsidP="00927BED">
      <w:pPr>
        <w:pStyle w:val="Body"/>
        <w:rPr>
          <w:rFonts w:cstheme="minorHAnsi"/>
          <w:lang w:val="en-IN"/>
        </w:rPr>
      </w:pPr>
      <w:r w:rsidRPr="008D54AA">
        <w:rPr>
          <w:rFonts w:cstheme="minorHAnsi"/>
          <w:highlight w:val="yellow"/>
          <w:lang w:val="en-IN"/>
        </w:rPr>
        <w:t>Despite the strengths of this study</w:t>
      </w:r>
      <w:r>
        <w:rPr>
          <w:rFonts w:cstheme="minorHAnsi"/>
          <w:highlight w:val="yellow"/>
          <w:lang w:val="en-IN"/>
        </w:rPr>
        <w:t xml:space="preserve">, </w:t>
      </w:r>
      <w:r w:rsidRPr="008D54AA">
        <w:rPr>
          <w:rFonts w:cstheme="minorHAnsi"/>
          <w:highlight w:val="yellow"/>
          <w:lang w:val="en-IN"/>
        </w:rPr>
        <w:t xml:space="preserve">several limitations should be acknowledged. As this was a questionnaire-based survey, the findings are subject to potential response and recall bias, and the reported practices may not fully reflect actual prescribing </w:t>
      </w:r>
      <w:proofErr w:type="spellStart"/>
      <w:r w:rsidRPr="008D54AA">
        <w:rPr>
          <w:rFonts w:cstheme="minorHAnsi"/>
          <w:highlight w:val="yellow"/>
          <w:lang w:val="en-IN"/>
        </w:rPr>
        <w:t>behavior</w:t>
      </w:r>
      <w:proofErr w:type="spellEnd"/>
      <w:r w:rsidRPr="008D54AA">
        <w:rPr>
          <w:rFonts w:cstheme="minorHAnsi"/>
          <w:highlight w:val="yellow"/>
          <w:lang w:val="en-IN"/>
        </w:rPr>
        <w:t xml:space="preserve"> in all clinical settings. In addition, the study did not collect patient-level clinical, biochemical, or outcome </w:t>
      </w:r>
      <w:r w:rsidRPr="008D54AA">
        <w:rPr>
          <w:rFonts w:cstheme="minorHAnsi"/>
          <w:highlight w:val="yellow"/>
          <w:lang w:val="en-IN"/>
        </w:rPr>
        <w:lastRenderedPageBreak/>
        <w:t>data, limiting the ability to correlate clinician-reported practices with treatment effectiveness or safety. Variations in institutional protocols, access to therapies, and regional healthcare infrastructure were also not assessed and may have influenced responses. Consequently, the findings should be interpreted as descriptive of clinician perceptions rather than evidence of clinical efficacy.</w:t>
      </w:r>
      <w:r w:rsidR="00C30A0F" w:rsidRPr="004E3A9E">
        <w:rPr>
          <w:rFonts w:ascii="Arial" w:hAnsi="Arial" w:cs="Arial"/>
        </w:rPr>
        <w:t xml:space="preserve"> </w:t>
      </w:r>
    </w:p>
    <w:p w14:paraId="2F464C8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F27205" w14:textId="77777777" w:rsidR="00790ADA" w:rsidRPr="00FB3A86" w:rsidRDefault="00790ADA" w:rsidP="00441B6F">
      <w:pPr>
        <w:pStyle w:val="ConcHead"/>
        <w:spacing w:after="0"/>
        <w:jc w:val="both"/>
        <w:rPr>
          <w:rFonts w:ascii="Arial" w:hAnsi="Arial" w:cs="Arial"/>
        </w:rPr>
      </w:pPr>
    </w:p>
    <w:p w14:paraId="122D3D0A" w14:textId="5208A867" w:rsidR="00927BED" w:rsidRPr="007B1FAC" w:rsidRDefault="009C2428" w:rsidP="00927BED">
      <w:pPr>
        <w:jc w:val="both"/>
        <w:rPr>
          <w:rFonts w:cstheme="minorHAnsi"/>
        </w:rPr>
      </w:pPr>
      <w:r w:rsidRPr="009C2428">
        <w:rPr>
          <w:rFonts w:cstheme="minorHAnsi"/>
          <w:highlight w:val="yellow"/>
        </w:rPr>
        <w:t xml:space="preserve">This study presents clinicians’ perspectives on anemia management in patients with CKD in India. Reduced erythropoietin production was perceived as the primary cause of anemia, with iron therapy and erythropoiesis-stimulating agents forming the cornerstone of treatment. Intravenous iron, particularly ferric </w:t>
      </w:r>
      <w:proofErr w:type="spellStart"/>
      <w:r w:rsidRPr="009C2428">
        <w:rPr>
          <w:rFonts w:cstheme="minorHAnsi"/>
          <w:highlight w:val="yellow"/>
        </w:rPr>
        <w:t>carboxymaltose</w:t>
      </w:r>
      <w:proofErr w:type="spellEnd"/>
      <w:r w:rsidRPr="009C2428">
        <w:rPr>
          <w:rFonts w:cstheme="minorHAnsi"/>
          <w:highlight w:val="yellow"/>
        </w:rPr>
        <w:t xml:space="preserve">, was preferred for more severe anemia, while oral iron remained widely used in routine practice. Inflammation, hyperparathyroidism, and recurrent infections were commonly identified as factors complicating management. The reported advantages of liposomal iron reflect </w:t>
      </w:r>
      <w:r>
        <w:rPr>
          <w:rFonts w:cstheme="minorHAnsi"/>
          <w:highlight w:val="yellow"/>
        </w:rPr>
        <w:t>clinicians'</w:t>
      </w:r>
      <w:r w:rsidRPr="009C2428">
        <w:rPr>
          <w:rFonts w:cstheme="minorHAnsi"/>
          <w:highlight w:val="yellow"/>
        </w:rPr>
        <w:t xml:space="preserve"> pe</w:t>
      </w:r>
      <w:r>
        <w:rPr>
          <w:rFonts w:cstheme="minorHAnsi"/>
          <w:highlight w:val="yellow"/>
        </w:rPr>
        <w:t>rceived effects</w:t>
      </w:r>
      <w:r w:rsidRPr="009C2428">
        <w:rPr>
          <w:rFonts w:cstheme="minorHAnsi"/>
          <w:highlight w:val="yellow"/>
        </w:rPr>
        <w:t xml:space="preserve"> rather than clinical </w:t>
      </w:r>
      <w:r w:rsidR="00333073">
        <w:rPr>
          <w:rFonts w:cstheme="minorHAnsi"/>
          <w:highlight w:val="yellow"/>
        </w:rPr>
        <w:t>outcomes</w:t>
      </w:r>
      <w:r w:rsidRPr="009C2428">
        <w:rPr>
          <w:rFonts w:cstheme="minorHAnsi"/>
          <w:highlight w:val="yellow"/>
        </w:rPr>
        <w:t>, highlighting growing interest in newer oral iron formulations.</w:t>
      </w:r>
      <w:r w:rsidR="00927BED" w:rsidRPr="007B1FAC">
        <w:rPr>
          <w:rFonts w:cstheme="minorHAnsi"/>
        </w:rPr>
        <w:t xml:space="preserve"> </w:t>
      </w:r>
    </w:p>
    <w:p w14:paraId="0E0CEC48" w14:textId="49F33461" w:rsidR="00B01FCD" w:rsidRDefault="00B01FCD" w:rsidP="00441B6F">
      <w:pPr>
        <w:pStyle w:val="Body"/>
        <w:spacing w:after="0"/>
        <w:rPr>
          <w:rFonts w:ascii="Arial" w:hAnsi="Arial" w:cs="Arial"/>
        </w:rPr>
      </w:pPr>
    </w:p>
    <w:p w14:paraId="20D13E0E" w14:textId="77777777" w:rsidR="00790ADA" w:rsidRPr="00FB3A86" w:rsidRDefault="00790ADA" w:rsidP="00441B6F">
      <w:pPr>
        <w:pStyle w:val="Body"/>
        <w:spacing w:after="0"/>
        <w:rPr>
          <w:rFonts w:ascii="Arial" w:hAnsi="Arial" w:cs="Arial"/>
        </w:rPr>
      </w:pPr>
    </w:p>
    <w:p w14:paraId="6B44E41A" w14:textId="77777777" w:rsidR="009E0535" w:rsidRDefault="009E0535" w:rsidP="00592C36">
      <w:pPr>
        <w:pStyle w:val="ReferHead"/>
        <w:spacing w:after="0"/>
        <w:jc w:val="both"/>
        <w:rPr>
          <w:rFonts w:ascii="Arial" w:hAnsi="Arial" w:cs="Arial"/>
          <w:b w:val="0"/>
          <w:caps w:val="0"/>
          <w:sz w:val="20"/>
        </w:rPr>
      </w:pPr>
    </w:p>
    <w:p w14:paraId="4893ABAC" w14:textId="77777777" w:rsidR="009E0535" w:rsidRPr="009E0535" w:rsidRDefault="009E0535" w:rsidP="009E0535">
      <w:pPr>
        <w:spacing w:after="200" w:line="276" w:lineRule="auto"/>
        <w:jc w:val="both"/>
        <w:outlineLvl w:val="0"/>
        <w:rPr>
          <w:rFonts w:ascii="Arial" w:eastAsiaTheme="minorEastAsia" w:hAnsi="Arial" w:cs="Arial"/>
          <w:sz w:val="22"/>
          <w:szCs w:val="22"/>
          <w:lang w:val="en-GB" w:eastAsia="en-GB"/>
        </w:rPr>
      </w:pPr>
      <w:r w:rsidRPr="009E0535">
        <w:rPr>
          <w:rFonts w:ascii="Arial" w:eastAsiaTheme="minorEastAsia" w:hAnsi="Arial" w:cs="Arial"/>
          <w:b/>
          <w:bCs/>
          <w:sz w:val="22"/>
          <w:szCs w:val="22"/>
          <w:lang w:val="en-GB" w:eastAsia="en-GB"/>
        </w:rPr>
        <w:t>COMPETING INTERESTS DISCLAIMER:</w:t>
      </w:r>
    </w:p>
    <w:p w14:paraId="642DBD99" w14:textId="5CAA9F55" w:rsidR="009E0535" w:rsidRDefault="009E0535" w:rsidP="009E0535">
      <w:pPr>
        <w:spacing w:after="200" w:line="276" w:lineRule="auto"/>
        <w:rPr>
          <w:rFonts w:asciiTheme="minorHAnsi" w:eastAsiaTheme="minorEastAsia" w:hAnsiTheme="minorHAnsi" w:cstheme="minorBidi"/>
          <w:sz w:val="22"/>
          <w:szCs w:val="22"/>
          <w:lang w:val="en-GB" w:eastAsia="en-GB"/>
        </w:rPr>
      </w:pPr>
      <w:r w:rsidRPr="009E0535">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8AF7106" w14:textId="1447C02B" w:rsidR="00A44DCD" w:rsidRPr="00A44DCD" w:rsidRDefault="00A44DCD" w:rsidP="009E0535">
      <w:pPr>
        <w:spacing w:after="200" w:line="276" w:lineRule="auto"/>
        <w:rPr>
          <w:rFonts w:asciiTheme="minorHAnsi" w:eastAsiaTheme="minorEastAsia" w:hAnsiTheme="minorHAnsi" w:cstheme="minorBidi"/>
          <w:b/>
          <w:sz w:val="22"/>
          <w:szCs w:val="22"/>
          <w:lang w:val="en-GB" w:eastAsia="en-GB"/>
        </w:rPr>
      </w:pPr>
      <w:r w:rsidRPr="00A44DCD">
        <w:rPr>
          <w:rFonts w:asciiTheme="minorHAnsi" w:eastAsiaTheme="minorEastAsia" w:hAnsiTheme="minorHAnsi" w:cstheme="minorBidi"/>
          <w:b/>
          <w:sz w:val="22"/>
          <w:szCs w:val="22"/>
          <w:lang w:val="en-GB" w:eastAsia="en-GB"/>
        </w:rPr>
        <w:t>Consent</w:t>
      </w:r>
    </w:p>
    <w:p w14:paraId="1FA3DF68" w14:textId="0E383F8F" w:rsidR="00A44DCD" w:rsidRDefault="00A44DCD" w:rsidP="009E0535">
      <w:pPr>
        <w:spacing w:after="200" w:line="276" w:lineRule="auto"/>
        <w:rPr>
          <w:rFonts w:asciiTheme="minorHAnsi" w:eastAsiaTheme="minorEastAsia" w:hAnsiTheme="minorHAnsi" w:cstheme="minorBidi"/>
          <w:sz w:val="22"/>
          <w:szCs w:val="22"/>
          <w:lang w:val="en-GB" w:eastAsia="en-GB"/>
        </w:rPr>
      </w:pPr>
      <w:r w:rsidRPr="00A44DCD">
        <w:rPr>
          <w:rFonts w:asciiTheme="minorHAnsi" w:eastAsiaTheme="minorEastAsia" w:hAnsiTheme="minorHAnsi" w:cstheme="minorBidi"/>
          <w:sz w:val="22"/>
          <w:szCs w:val="22"/>
          <w:lang w:val="en-GB" w:eastAsia="en-GB"/>
        </w:rPr>
        <w:t>Written informed consent was obtained from all participants before the study commenced.</w:t>
      </w:r>
    </w:p>
    <w:p w14:paraId="5D9A903E" w14:textId="77777777" w:rsidR="00A44DCD" w:rsidRPr="009E0535" w:rsidRDefault="00A44DCD" w:rsidP="009E0535">
      <w:pPr>
        <w:spacing w:after="200" w:line="276" w:lineRule="auto"/>
        <w:rPr>
          <w:rFonts w:asciiTheme="minorHAnsi" w:eastAsiaTheme="minorEastAsia" w:hAnsiTheme="minorHAnsi" w:cstheme="minorBidi"/>
          <w:sz w:val="22"/>
          <w:szCs w:val="22"/>
          <w:lang w:val="en-GB" w:eastAsia="en-GB"/>
        </w:rPr>
      </w:pPr>
    </w:p>
    <w:p w14:paraId="046959D8" w14:textId="77777777" w:rsidR="009E0535" w:rsidRDefault="009E0535" w:rsidP="00592C36">
      <w:pPr>
        <w:pStyle w:val="ReferHead"/>
        <w:spacing w:after="0"/>
        <w:jc w:val="both"/>
        <w:rPr>
          <w:rFonts w:ascii="Arial" w:hAnsi="Arial" w:cs="Arial"/>
          <w:b w:val="0"/>
          <w:caps w:val="0"/>
          <w:sz w:val="20"/>
        </w:rPr>
      </w:pPr>
    </w:p>
    <w:p w14:paraId="05A5A4A0" w14:textId="77777777" w:rsidR="00DB5F07" w:rsidRPr="00CA3906" w:rsidRDefault="00DB5F07" w:rsidP="00DB5F07">
      <w:pPr>
        <w:rPr>
          <w:b/>
          <w:highlight w:val="yellow"/>
        </w:rPr>
      </w:pPr>
      <w:r w:rsidRPr="00CA3906">
        <w:rPr>
          <w:b/>
          <w:highlight w:val="yellow"/>
        </w:rPr>
        <w:t>Disclaimer (Artificial intelligence)</w:t>
      </w:r>
    </w:p>
    <w:p w14:paraId="3EA93277" w14:textId="77777777" w:rsidR="00DB5F07" w:rsidRPr="00740879" w:rsidRDefault="00DB5F07" w:rsidP="00DB5F0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EFBA961" w14:textId="77777777" w:rsidR="00592C36" w:rsidRDefault="00592C36" w:rsidP="00592C36">
      <w:pPr>
        <w:pStyle w:val="ReferHead"/>
        <w:spacing w:after="0"/>
        <w:jc w:val="both"/>
        <w:rPr>
          <w:rFonts w:ascii="Arial" w:hAnsi="Arial" w:cs="Arial"/>
          <w:b w:val="0"/>
          <w:caps w:val="0"/>
          <w:sz w:val="20"/>
        </w:rPr>
      </w:pPr>
    </w:p>
    <w:p w14:paraId="55D8AA21" w14:textId="77777777" w:rsidR="009E0535" w:rsidRPr="00745BE1" w:rsidRDefault="009E0535" w:rsidP="00592C36">
      <w:pPr>
        <w:pStyle w:val="ReferHead"/>
        <w:spacing w:after="0"/>
        <w:jc w:val="both"/>
        <w:rPr>
          <w:rFonts w:ascii="Arial" w:hAnsi="Arial" w:cs="Arial"/>
          <w:b w:val="0"/>
          <w:caps w:val="0"/>
          <w:sz w:val="20"/>
        </w:rPr>
      </w:pPr>
    </w:p>
    <w:p w14:paraId="6A08E617" w14:textId="77777777" w:rsidR="00592C36" w:rsidRDefault="00592C36" w:rsidP="00592C36">
      <w:pPr>
        <w:pStyle w:val="ReferHead"/>
        <w:spacing w:after="0"/>
        <w:jc w:val="both"/>
        <w:rPr>
          <w:rFonts w:ascii="Arial" w:hAnsi="Arial" w:cs="Arial"/>
        </w:rPr>
      </w:pPr>
    </w:p>
    <w:p w14:paraId="726FFC95" w14:textId="77777777" w:rsidR="00592C36" w:rsidRDefault="00592C36" w:rsidP="00592C36">
      <w:pPr>
        <w:pStyle w:val="ReferHead"/>
        <w:spacing w:after="0"/>
        <w:jc w:val="both"/>
        <w:rPr>
          <w:rFonts w:ascii="Arial" w:hAnsi="Arial" w:cs="Arial"/>
        </w:rPr>
      </w:pPr>
      <w:r w:rsidRPr="00FB3A86">
        <w:rPr>
          <w:rFonts w:ascii="Arial" w:hAnsi="Arial" w:cs="Arial"/>
        </w:rPr>
        <w:t>References</w:t>
      </w:r>
    </w:p>
    <w:p w14:paraId="4D39E67A" w14:textId="77777777" w:rsidR="00592C36" w:rsidRPr="00FB3A86" w:rsidRDefault="00592C36" w:rsidP="00592C36">
      <w:pPr>
        <w:pStyle w:val="ReferHead"/>
        <w:spacing w:after="0"/>
        <w:jc w:val="both"/>
        <w:rPr>
          <w:rFonts w:ascii="Arial" w:hAnsi="Arial" w:cs="Arial"/>
        </w:rPr>
      </w:pPr>
    </w:p>
    <w:p w14:paraId="7ECC1F72"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Bhat WH, Thomson S, Ramaiah B.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Chronic Kidney Disease: A Cross-Sectional Study on Prevalence, Severity and Morphological Patterns in a Tertiary Care Hospital. Indian J Pharmacy Practice. 2025;18(3):321-4.</w:t>
      </w:r>
    </w:p>
    <w:p w14:paraId="77DF511F"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Bansal SB, </w:t>
      </w:r>
      <w:proofErr w:type="spellStart"/>
      <w:r w:rsidRPr="00927BED">
        <w:rPr>
          <w:rFonts w:ascii="Arial" w:eastAsia="Calibri" w:hAnsi="Arial" w:cs="Arial"/>
          <w:lang w:val="en-IN" w:eastAsia="en-IN"/>
        </w:rPr>
        <w:t>Lokkur</w:t>
      </w:r>
      <w:proofErr w:type="spellEnd"/>
      <w:r w:rsidRPr="00927BED">
        <w:rPr>
          <w:rFonts w:ascii="Arial" w:eastAsia="Calibri" w:hAnsi="Arial" w:cs="Arial"/>
          <w:lang w:val="en-IN" w:eastAsia="en-IN"/>
        </w:rPr>
        <w:t xml:space="preserve"> PP, Subhash S, Subbiah A, Sethi SK, Chellappan A, et al.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of Chronic Kidney Disease in India: Consensus Guidelines of Indian Society of Nephrology. Indian J Nephrol. 2025 Oct 30;35(2</w:t>
      </w:r>
      <w:proofErr w:type="gramStart"/>
      <w:r w:rsidRPr="00927BED">
        <w:rPr>
          <w:rFonts w:ascii="Arial" w:eastAsia="Calibri" w:hAnsi="Arial" w:cs="Arial"/>
          <w:lang w:val="en-IN" w:eastAsia="en-IN"/>
        </w:rPr>
        <w:t>):S</w:t>
      </w:r>
      <w:proofErr w:type="gramEnd"/>
      <w:r w:rsidRPr="00927BED">
        <w:rPr>
          <w:rFonts w:ascii="Arial" w:eastAsia="Calibri" w:hAnsi="Arial" w:cs="Arial"/>
          <w:lang w:val="en-IN" w:eastAsia="en-IN"/>
        </w:rPr>
        <w:t xml:space="preserve">1–31. </w:t>
      </w:r>
    </w:p>
    <w:p w14:paraId="4D380414"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Balla M, Kumar V, Kour M. Prevalence of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chronic kidney disease in a tertiary care hospital of North India. Int J Health Clin Res. 2022;5(2):219–222.</w:t>
      </w:r>
    </w:p>
    <w:p w14:paraId="790149CE"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lastRenderedPageBreak/>
        <w:t xml:space="preserve">Khullar D, </w:t>
      </w:r>
      <w:proofErr w:type="spellStart"/>
      <w:r w:rsidRPr="00927BED">
        <w:rPr>
          <w:rFonts w:ascii="Arial" w:eastAsia="Calibri" w:hAnsi="Arial" w:cs="Arial"/>
          <w:lang w:val="en-IN" w:eastAsia="en-IN"/>
        </w:rPr>
        <w:t>Muchhala</w:t>
      </w:r>
      <w:proofErr w:type="spellEnd"/>
      <w:r w:rsidRPr="00927BED">
        <w:rPr>
          <w:rFonts w:ascii="Arial" w:eastAsia="Calibri" w:hAnsi="Arial" w:cs="Arial"/>
          <w:lang w:val="en-IN" w:eastAsia="en-IN"/>
        </w:rPr>
        <w:t xml:space="preserve"> SS, T A. Advancing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Management in Chronic Kidney Disease: Assessing the Superiority of Darbepoetin Alfa Over Erythropoietin Alpha. Cureus. 2024; 16(1</w:t>
      </w:r>
      <w:proofErr w:type="gramStart"/>
      <w:r w:rsidRPr="00927BED">
        <w:rPr>
          <w:rFonts w:ascii="Arial" w:eastAsia="Calibri" w:hAnsi="Arial" w:cs="Arial"/>
          <w:lang w:val="en-IN" w:eastAsia="en-IN"/>
        </w:rPr>
        <w:t>):e</w:t>
      </w:r>
      <w:proofErr w:type="gramEnd"/>
      <w:r w:rsidRPr="00927BED">
        <w:rPr>
          <w:rFonts w:ascii="Arial" w:eastAsia="Calibri" w:hAnsi="Arial" w:cs="Arial"/>
          <w:lang w:val="en-IN" w:eastAsia="en-IN"/>
        </w:rPr>
        <w:t xml:space="preserve">51613. </w:t>
      </w:r>
    </w:p>
    <w:p w14:paraId="41795C2C"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Shristi S, Mohanty S, Nayak S, Biswas P, Sahu AK, Naik PK, et al. Prevalence of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among Chronic Kidney Disease and Chronic Kidney Disease of unknown Etiology Patients of Bargarh District Odisha: A Cross Sectional Study. J Clin Nephrol. 2025;9(4):49-55.</w:t>
      </w:r>
    </w:p>
    <w:p w14:paraId="67D1D308"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27BED">
        <w:rPr>
          <w:rFonts w:ascii="Arial" w:eastAsia="Calibri" w:hAnsi="Arial" w:cs="Arial"/>
          <w:lang w:val="en-IN" w:eastAsia="en-IN"/>
        </w:rPr>
        <w:t>Zaawari</w:t>
      </w:r>
      <w:proofErr w:type="spellEnd"/>
      <w:r w:rsidRPr="00927BED">
        <w:rPr>
          <w:rFonts w:ascii="Arial" w:eastAsia="Calibri" w:hAnsi="Arial" w:cs="Arial"/>
          <w:lang w:val="en-IN" w:eastAsia="en-IN"/>
        </w:rPr>
        <w:t xml:space="preserve"> A, </w:t>
      </w:r>
      <w:proofErr w:type="spellStart"/>
      <w:r w:rsidRPr="00927BED">
        <w:rPr>
          <w:rFonts w:ascii="Arial" w:eastAsia="Calibri" w:hAnsi="Arial" w:cs="Arial"/>
          <w:lang w:val="en-IN" w:eastAsia="en-IN"/>
        </w:rPr>
        <w:t>Tejaswini</w:t>
      </w:r>
      <w:proofErr w:type="spellEnd"/>
      <w:r w:rsidRPr="00927BED">
        <w:rPr>
          <w:rFonts w:ascii="Arial" w:eastAsia="Calibri" w:hAnsi="Arial" w:cs="Arial"/>
          <w:lang w:val="en-IN" w:eastAsia="en-IN"/>
        </w:rPr>
        <w:t xml:space="preserve"> KL, Davina GD, </w:t>
      </w:r>
      <w:proofErr w:type="spellStart"/>
      <w:r w:rsidRPr="00927BED">
        <w:rPr>
          <w:rFonts w:ascii="Arial" w:eastAsia="Calibri" w:hAnsi="Arial" w:cs="Arial"/>
          <w:lang w:val="en-IN" w:eastAsia="en-IN"/>
        </w:rPr>
        <w:t>Singanaveni</w:t>
      </w:r>
      <w:proofErr w:type="spellEnd"/>
      <w:r w:rsidRPr="00927BED">
        <w:rPr>
          <w:rFonts w:ascii="Arial" w:eastAsia="Calibri" w:hAnsi="Arial" w:cs="Arial"/>
          <w:lang w:val="en-IN" w:eastAsia="en-IN"/>
        </w:rPr>
        <w:t xml:space="preserve"> A. Prevalence of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among chronic kidney disease patients in India: a single-centre study. Int J Basic Clin </w:t>
      </w:r>
      <w:proofErr w:type="spellStart"/>
      <w:r w:rsidRPr="00927BED">
        <w:rPr>
          <w:rFonts w:ascii="Arial" w:eastAsia="Calibri" w:hAnsi="Arial" w:cs="Arial"/>
          <w:lang w:val="en-IN" w:eastAsia="en-IN"/>
        </w:rPr>
        <w:t>Pharmacol</w:t>
      </w:r>
      <w:proofErr w:type="spellEnd"/>
      <w:r w:rsidRPr="00927BED">
        <w:rPr>
          <w:rFonts w:ascii="Arial" w:eastAsia="Calibri" w:hAnsi="Arial" w:cs="Arial"/>
          <w:lang w:val="en-IN" w:eastAsia="en-IN"/>
        </w:rPr>
        <w:t xml:space="preserve">. 2022;11(5):404–9. </w:t>
      </w:r>
    </w:p>
    <w:p w14:paraId="7799CBF2"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27BED">
        <w:rPr>
          <w:rFonts w:ascii="Arial" w:eastAsia="Calibri" w:hAnsi="Arial" w:cs="Arial"/>
          <w:lang w:val="en-IN" w:eastAsia="en-IN"/>
        </w:rPr>
        <w:t>Portolés</w:t>
      </w:r>
      <w:proofErr w:type="spellEnd"/>
      <w:r w:rsidRPr="00927BED">
        <w:rPr>
          <w:rFonts w:ascii="Arial" w:eastAsia="Calibri" w:hAnsi="Arial" w:cs="Arial"/>
          <w:lang w:val="en-IN" w:eastAsia="en-IN"/>
        </w:rPr>
        <w:t xml:space="preserve"> J, Martín L, </w:t>
      </w:r>
      <w:proofErr w:type="spellStart"/>
      <w:r w:rsidRPr="00927BED">
        <w:rPr>
          <w:rFonts w:ascii="Arial" w:eastAsia="Calibri" w:hAnsi="Arial" w:cs="Arial"/>
          <w:lang w:val="en-IN" w:eastAsia="en-IN"/>
        </w:rPr>
        <w:t>Broseta</w:t>
      </w:r>
      <w:proofErr w:type="spellEnd"/>
      <w:r w:rsidRPr="00927BED">
        <w:rPr>
          <w:rFonts w:ascii="Arial" w:eastAsia="Calibri" w:hAnsi="Arial" w:cs="Arial"/>
          <w:lang w:val="en-IN" w:eastAsia="en-IN"/>
        </w:rPr>
        <w:t xml:space="preserve"> JJ, Cases A.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Chronic Kidney Disease: From Pathophysiology and Current Treatments, to Future Agents. Front Med (Lausanne). </w:t>
      </w:r>
      <w:proofErr w:type="gramStart"/>
      <w:r w:rsidRPr="00927BED">
        <w:rPr>
          <w:rFonts w:ascii="Arial" w:eastAsia="Calibri" w:hAnsi="Arial" w:cs="Arial"/>
          <w:lang w:val="en-IN" w:eastAsia="en-IN"/>
        </w:rPr>
        <w:t>2021;8:642296</w:t>
      </w:r>
      <w:proofErr w:type="gramEnd"/>
      <w:r w:rsidRPr="00927BED">
        <w:rPr>
          <w:rFonts w:ascii="Arial" w:eastAsia="Calibri" w:hAnsi="Arial" w:cs="Arial"/>
          <w:lang w:val="en-IN" w:eastAsia="en-IN"/>
        </w:rPr>
        <w:t>.</w:t>
      </w:r>
    </w:p>
    <w:p w14:paraId="6231EE49"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Stauffer ME, Fan T. Prevalence of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chronic kidney disease in the United States. </w:t>
      </w:r>
      <w:proofErr w:type="spellStart"/>
      <w:r w:rsidRPr="00927BED">
        <w:rPr>
          <w:rFonts w:ascii="Arial" w:eastAsia="Calibri" w:hAnsi="Arial" w:cs="Arial"/>
          <w:lang w:val="en-IN" w:eastAsia="en-IN"/>
        </w:rPr>
        <w:t>PLoS</w:t>
      </w:r>
      <w:proofErr w:type="spellEnd"/>
      <w:r w:rsidRPr="00927BED">
        <w:rPr>
          <w:rFonts w:ascii="Arial" w:eastAsia="Calibri" w:hAnsi="Arial" w:cs="Arial"/>
          <w:lang w:val="en-IN" w:eastAsia="en-IN"/>
        </w:rPr>
        <w:t xml:space="preserve"> One. 2014;9(1</w:t>
      </w:r>
      <w:proofErr w:type="gramStart"/>
      <w:r w:rsidRPr="00927BED">
        <w:rPr>
          <w:rFonts w:ascii="Arial" w:eastAsia="Calibri" w:hAnsi="Arial" w:cs="Arial"/>
          <w:lang w:val="en-IN" w:eastAsia="en-IN"/>
        </w:rPr>
        <w:t>):e</w:t>
      </w:r>
      <w:proofErr w:type="gramEnd"/>
      <w:r w:rsidRPr="00927BED">
        <w:rPr>
          <w:rFonts w:ascii="Arial" w:eastAsia="Calibri" w:hAnsi="Arial" w:cs="Arial"/>
          <w:lang w:val="en-IN" w:eastAsia="en-IN"/>
        </w:rPr>
        <w:t>84943.</w:t>
      </w:r>
    </w:p>
    <w:p w14:paraId="308F4B99"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Hashmi MF, Shaikh H, Rout P.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of Chronic Kidney Disease. In: </w:t>
      </w:r>
      <w:proofErr w:type="spellStart"/>
      <w:r w:rsidRPr="00927BED">
        <w:rPr>
          <w:rFonts w:ascii="Arial" w:eastAsia="Calibri" w:hAnsi="Arial" w:cs="Arial"/>
          <w:lang w:val="en-IN" w:eastAsia="en-IN"/>
        </w:rPr>
        <w:t>StatPearls</w:t>
      </w:r>
      <w:proofErr w:type="spellEnd"/>
      <w:r w:rsidRPr="00927BED">
        <w:rPr>
          <w:rFonts w:ascii="Arial" w:eastAsia="Calibri" w:hAnsi="Arial" w:cs="Arial"/>
          <w:lang w:val="en-IN" w:eastAsia="en-IN"/>
        </w:rPr>
        <w:t xml:space="preserve"> [Internet]. Treasure Island (FL): </w:t>
      </w:r>
      <w:proofErr w:type="spellStart"/>
      <w:r w:rsidRPr="00927BED">
        <w:rPr>
          <w:rFonts w:ascii="Arial" w:eastAsia="Calibri" w:hAnsi="Arial" w:cs="Arial"/>
          <w:lang w:val="en-IN" w:eastAsia="en-IN"/>
        </w:rPr>
        <w:t>StatPearls</w:t>
      </w:r>
      <w:proofErr w:type="spellEnd"/>
      <w:r w:rsidRPr="00927BED">
        <w:rPr>
          <w:rFonts w:ascii="Arial" w:eastAsia="Calibri" w:hAnsi="Arial" w:cs="Arial"/>
          <w:lang w:val="en-IN" w:eastAsia="en-IN"/>
        </w:rPr>
        <w:t xml:space="preserve"> Publishing; 2025 [cited 2025 Dec 19]. Available from: http://www.ncbi.nlm.nih.gov/books/NBK539871/</w:t>
      </w:r>
    </w:p>
    <w:p w14:paraId="045407B3"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Manna A. Comparison of Oral Iron vs Intravenous Iron Sucrose in the Treatment of Iron Deficiency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Chronic Kidney Disease Patients. Int J Life Sci </w:t>
      </w:r>
      <w:proofErr w:type="spellStart"/>
      <w:r w:rsidRPr="00927BED">
        <w:rPr>
          <w:rFonts w:ascii="Arial" w:eastAsia="Calibri" w:hAnsi="Arial" w:cs="Arial"/>
          <w:lang w:val="en-IN" w:eastAsia="en-IN"/>
        </w:rPr>
        <w:t>Biotechnol</w:t>
      </w:r>
      <w:proofErr w:type="spellEnd"/>
      <w:r w:rsidRPr="00927BED">
        <w:rPr>
          <w:rFonts w:ascii="Arial" w:eastAsia="Calibri" w:hAnsi="Arial" w:cs="Arial"/>
          <w:lang w:val="en-IN" w:eastAsia="en-IN"/>
        </w:rPr>
        <w:t xml:space="preserve"> Pharma Res. 2025;14(7):637-642. </w:t>
      </w:r>
    </w:p>
    <w:p w14:paraId="26B80CB6"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Manjula S, Krishna KM. Expert opinion on the clinical use and benefits of liposomal iron in the treatment of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Indian settings. Int J Res Med Sci. 2024;12(3):846–50. </w:t>
      </w:r>
    </w:p>
    <w:p w14:paraId="7DCC5BCF"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27BED">
        <w:rPr>
          <w:rFonts w:ascii="Arial" w:eastAsia="Calibri" w:hAnsi="Arial" w:cs="Arial"/>
          <w:lang w:val="en-IN" w:eastAsia="en-IN"/>
        </w:rPr>
        <w:t>Ladhawala</w:t>
      </w:r>
      <w:proofErr w:type="spellEnd"/>
      <w:r w:rsidRPr="00927BED">
        <w:rPr>
          <w:rFonts w:ascii="Arial" w:eastAsia="Calibri" w:hAnsi="Arial" w:cs="Arial"/>
          <w:lang w:val="en-IN" w:eastAsia="en-IN"/>
        </w:rPr>
        <w:t xml:space="preserve"> K, Shah N, Chudgar J, Modi J, Vora BK, Shah A, et al. The Evolution of Liposomal Iron Formulations: A Comprehensive Review of Past, Present, and Future Prospects. Int J Res </w:t>
      </w:r>
      <w:proofErr w:type="spellStart"/>
      <w:r w:rsidRPr="00927BED">
        <w:rPr>
          <w:rFonts w:ascii="Arial" w:eastAsia="Calibri" w:hAnsi="Arial" w:cs="Arial"/>
          <w:lang w:val="en-IN" w:eastAsia="en-IN"/>
        </w:rPr>
        <w:t>Publ</w:t>
      </w:r>
      <w:proofErr w:type="spellEnd"/>
      <w:r w:rsidRPr="00927BED">
        <w:rPr>
          <w:rFonts w:ascii="Arial" w:eastAsia="Calibri" w:hAnsi="Arial" w:cs="Arial"/>
          <w:lang w:val="en-IN" w:eastAsia="en-IN"/>
        </w:rPr>
        <w:t xml:space="preserve"> Rev. 2025;6(9):3457–65. </w:t>
      </w:r>
    </w:p>
    <w:p w14:paraId="23EB0F29"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Rout SR, Pradhan D, Haldar J, Rajwar TK, Dash P, Dash C, et al. Recent advances in the formulation strategy to improve iron bioavailability: A review. J Drug Deliv Sci Technol. 2024 May </w:t>
      </w:r>
      <w:proofErr w:type="gramStart"/>
      <w:r w:rsidRPr="00927BED">
        <w:rPr>
          <w:rFonts w:ascii="Arial" w:eastAsia="Calibri" w:hAnsi="Arial" w:cs="Arial"/>
          <w:lang w:val="en-IN" w:eastAsia="en-IN"/>
        </w:rPr>
        <w:t>1;95:105633</w:t>
      </w:r>
      <w:proofErr w:type="gramEnd"/>
      <w:r w:rsidRPr="00927BED">
        <w:rPr>
          <w:rFonts w:ascii="Arial" w:eastAsia="Calibri" w:hAnsi="Arial" w:cs="Arial"/>
          <w:lang w:val="en-IN" w:eastAsia="en-IN"/>
        </w:rPr>
        <w:t xml:space="preserve">. </w:t>
      </w:r>
    </w:p>
    <w:p w14:paraId="0BB14E39"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Vikrant S. Etiological spectrum of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non-dialysis-dependent chronic kidney disease: A single-</w:t>
      </w:r>
      <w:proofErr w:type="spellStart"/>
      <w:r w:rsidRPr="00927BED">
        <w:rPr>
          <w:rFonts w:ascii="Arial" w:eastAsia="Calibri" w:hAnsi="Arial" w:cs="Arial"/>
          <w:lang w:val="en-IN" w:eastAsia="en-IN"/>
        </w:rPr>
        <w:t>center</w:t>
      </w:r>
      <w:proofErr w:type="spellEnd"/>
      <w:r w:rsidRPr="00927BED">
        <w:rPr>
          <w:rFonts w:ascii="Arial" w:eastAsia="Calibri" w:hAnsi="Arial" w:cs="Arial"/>
          <w:lang w:val="en-IN" w:eastAsia="en-IN"/>
        </w:rPr>
        <w:t xml:space="preserve"> study from India. Saudi J Kidney Dis </w:t>
      </w:r>
      <w:proofErr w:type="spellStart"/>
      <w:r w:rsidRPr="00927BED">
        <w:rPr>
          <w:rFonts w:ascii="Arial" w:eastAsia="Calibri" w:hAnsi="Arial" w:cs="Arial"/>
          <w:lang w:val="en-IN" w:eastAsia="en-IN"/>
        </w:rPr>
        <w:t>Transpl</w:t>
      </w:r>
      <w:proofErr w:type="spellEnd"/>
      <w:r w:rsidRPr="00927BED">
        <w:rPr>
          <w:rFonts w:ascii="Arial" w:eastAsia="Calibri" w:hAnsi="Arial" w:cs="Arial"/>
          <w:lang w:val="en-IN" w:eastAsia="en-IN"/>
        </w:rPr>
        <w:t xml:space="preserve">. 2019;30(4):932-942. </w:t>
      </w:r>
    </w:p>
    <w:p w14:paraId="2C128845"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Bharti V, Katiyar DK. Comparative Study of Oral vs. Intravenous Iron Supplements in the Management of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Chronic Kidney Disease. J Neonatal Surg. 2025;14(12S):562-7.</w:t>
      </w:r>
    </w:p>
    <w:p w14:paraId="5E02954F"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Agrawal S, Sonawane S, Kumar S, Acharya S, </w:t>
      </w:r>
      <w:proofErr w:type="spellStart"/>
      <w:r w:rsidRPr="00927BED">
        <w:rPr>
          <w:rFonts w:ascii="Arial" w:eastAsia="Calibri" w:hAnsi="Arial" w:cs="Arial"/>
          <w:lang w:val="en-IN" w:eastAsia="en-IN"/>
        </w:rPr>
        <w:t>Gaidhane</w:t>
      </w:r>
      <w:proofErr w:type="spellEnd"/>
      <w:r w:rsidRPr="00927BED">
        <w:rPr>
          <w:rFonts w:ascii="Arial" w:eastAsia="Calibri" w:hAnsi="Arial" w:cs="Arial"/>
          <w:lang w:val="en-IN" w:eastAsia="en-IN"/>
        </w:rPr>
        <w:t xml:space="preserve"> SA, </w:t>
      </w:r>
      <w:proofErr w:type="spellStart"/>
      <w:r w:rsidRPr="00927BED">
        <w:rPr>
          <w:rFonts w:ascii="Arial" w:eastAsia="Calibri" w:hAnsi="Arial" w:cs="Arial"/>
          <w:lang w:val="en-IN" w:eastAsia="en-IN"/>
        </w:rPr>
        <w:t>Wanjari</w:t>
      </w:r>
      <w:proofErr w:type="spellEnd"/>
      <w:r w:rsidRPr="00927BED">
        <w:rPr>
          <w:rFonts w:ascii="Arial" w:eastAsia="Calibri" w:hAnsi="Arial" w:cs="Arial"/>
          <w:lang w:val="en-IN" w:eastAsia="en-IN"/>
        </w:rPr>
        <w:t xml:space="preserve"> A, et al. Efficacy of Oral Versus Injectable Iron in Patients </w:t>
      </w:r>
      <w:proofErr w:type="gramStart"/>
      <w:r w:rsidRPr="00927BED">
        <w:rPr>
          <w:rFonts w:ascii="Arial" w:eastAsia="Calibri" w:hAnsi="Arial" w:cs="Arial"/>
          <w:lang w:val="en-IN" w:eastAsia="en-IN"/>
        </w:rPr>
        <w:t>With</w:t>
      </w:r>
      <w:proofErr w:type="gramEnd"/>
      <w:r w:rsidRPr="00927BED">
        <w:rPr>
          <w:rFonts w:ascii="Arial" w:eastAsia="Calibri" w:hAnsi="Arial" w:cs="Arial"/>
          <w:lang w:val="en-IN" w:eastAsia="en-IN"/>
        </w:rPr>
        <w:t xml:space="preserve"> Chronic Kidney Disease: A Two-Year Cross-Sectional Study Conducted at a Rural Teaching Hospital. Cureus. 2022;14(7</w:t>
      </w:r>
      <w:proofErr w:type="gramStart"/>
      <w:r w:rsidRPr="00927BED">
        <w:rPr>
          <w:rFonts w:ascii="Arial" w:eastAsia="Calibri" w:hAnsi="Arial" w:cs="Arial"/>
          <w:lang w:val="en-IN" w:eastAsia="en-IN"/>
        </w:rPr>
        <w:t>):e</w:t>
      </w:r>
      <w:proofErr w:type="gramEnd"/>
      <w:r w:rsidRPr="00927BED">
        <w:rPr>
          <w:rFonts w:ascii="Arial" w:eastAsia="Calibri" w:hAnsi="Arial" w:cs="Arial"/>
          <w:lang w:val="en-IN" w:eastAsia="en-IN"/>
        </w:rPr>
        <w:t xml:space="preserve">27529. </w:t>
      </w:r>
    </w:p>
    <w:p w14:paraId="2426D42A"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27BED">
        <w:rPr>
          <w:rFonts w:ascii="Arial" w:eastAsia="Calibri" w:hAnsi="Arial" w:cs="Arial"/>
          <w:lang w:val="en-IN" w:eastAsia="en-IN"/>
        </w:rPr>
        <w:lastRenderedPageBreak/>
        <w:t>Viswanadh</w:t>
      </w:r>
      <w:proofErr w:type="spellEnd"/>
      <w:r w:rsidRPr="00927BED">
        <w:rPr>
          <w:rFonts w:ascii="Arial" w:eastAsia="Calibri" w:hAnsi="Arial" w:cs="Arial"/>
          <w:lang w:val="en-IN" w:eastAsia="en-IN"/>
        </w:rPr>
        <w:t xml:space="preserve"> B, Manu Dogra P, Sood V, Singh V. A single </w:t>
      </w:r>
      <w:proofErr w:type="spellStart"/>
      <w:r w:rsidRPr="00927BED">
        <w:rPr>
          <w:rFonts w:ascii="Arial" w:eastAsia="Calibri" w:hAnsi="Arial" w:cs="Arial"/>
          <w:lang w:val="en-IN" w:eastAsia="en-IN"/>
        </w:rPr>
        <w:t>center</w:t>
      </w:r>
      <w:proofErr w:type="spellEnd"/>
      <w:r w:rsidRPr="00927BED">
        <w:rPr>
          <w:rFonts w:ascii="Arial" w:eastAsia="Calibri" w:hAnsi="Arial" w:cs="Arial"/>
          <w:lang w:val="en-IN" w:eastAsia="en-IN"/>
        </w:rPr>
        <w:t xml:space="preserve"> non-crossover randomised trial to compare response to three modalities of iron replacement for iron deficiency anaemia in chronic kidney disease stage G3–4. Indian J Nephrol. 2022;32(</w:t>
      </w:r>
      <w:proofErr w:type="spellStart"/>
      <w:r w:rsidRPr="00927BED">
        <w:rPr>
          <w:rFonts w:ascii="Arial" w:eastAsia="Calibri" w:hAnsi="Arial" w:cs="Arial"/>
          <w:lang w:val="en-IN" w:eastAsia="en-IN"/>
        </w:rPr>
        <w:t>Suppl</w:t>
      </w:r>
      <w:proofErr w:type="spellEnd"/>
      <w:r w:rsidRPr="00927BED">
        <w:rPr>
          <w:rFonts w:ascii="Arial" w:eastAsia="Calibri" w:hAnsi="Arial" w:cs="Arial"/>
          <w:lang w:val="en-IN" w:eastAsia="en-IN"/>
        </w:rPr>
        <w:t xml:space="preserve"> 1</w:t>
      </w:r>
      <w:proofErr w:type="gramStart"/>
      <w:r w:rsidRPr="00927BED">
        <w:rPr>
          <w:rFonts w:ascii="Arial" w:eastAsia="Calibri" w:hAnsi="Arial" w:cs="Arial"/>
          <w:lang w:val="en-IN" w:eastAsia="en-IN"/>
        </w:rPr>
        <w:t>):S</w:t>
      </w:r>
      <w:proofErr w:type="gramEnd"/>
      <w:r w:rsidRPr="00927BED">
        <w:rPr>
          <w:rFonts w:ascii="Arial" w:eastAsia="Calibri" w:hAnsi="Arial" w:cs="Arial"/>
          <w:lang w:val="en-IN" w:eastAsia="en-IN"/>
        </w:rPr>
        <w:t xml:space="preserve">1–S18. Abstract No. 21. </w:t>
      </w:r>
    </w:p>
    <w:p w14:paraId="00A60848"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27BED">
        <w:rPr>
          <w:rFonts w:ascii="Arial" w:eastAsia="Calibri" w:hAnsi="Arial" w:cs="Arial"/>
          <w:lang w:val="en-IN" w:eastAsia="en-IN"/>
        </w:rPr>
        <w:t>Gluba-Brzózka</w:t>
      </w:r>
      <w:proofErr w:type="spellEnd"/>
      <w:r w:rsidRPr="00927BED">
        <w:rPr>
          <w:rFonts w:ascii="Arial" w:eastAsia="Calibri" w:hAnsi="Arial" w:cs="Arial"/>
          <w:lang w:val="en-IN" w:eastAsia="en-IN"/>
        </w:rPr>
        <w:t xml:space="preserve"> A, </w:t>
      </w:r>
      <w:proofErr w:type="spellStart"/>
      <w:r w:rsidRPr="00927BED">
        <w:rPr>
          <w:rFonts w:ascii="Arial" w:eastAsia="Calibri" w:hAnsi="Arial" w:cs="Arial"/>
          <w:lang w:val="en-IN" w:eastAsia="en-IN"/>
        </w:rPr>
        <w:t>Franczyk</w:t>
      </w:r>
      <w:proofErr w:type="spellEnd"/>
      <w:r w:rsidRPr="00927BED">
        <w:rPr>
          <w:rFonts w:ascii="Arial" w:eastAsia="Calibri" w:hAnsi="Arial" w:cs="Arial"/>
          <w:lang w:val="en-IN" w:eastAsia="en-IN"/>
        </w:rPr>
        <w:t xml:space="preserve"> B, Olszewski R, Rysz J. The Influence of Inflammation on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CKD Patients. Int J Mol Sci. 2020;21(3):725. </w:t>
      </w:r>
    </w:p>
    <w:p w14:paraId="7C986E65"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Geddes CC. Pathophysiology of renal anaemia. Nephrol Dial Transplant. 2019;34(6):921–2. </w:t>
      </w:r>
    </w:p>
    <w:p w14:paraId="7ED01A64"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27BED">
        <w:rPr>
          <w:rFonts w:ascii="Arial" w:eastAsia="Calibri" w:hAnsi="Arial" w:cs="Arial"/>
          <w:lang w:val="en-IN" w:eastAsia="en-IN"/>
        </w:rPr>
        <w:t>Gluba-Brzózka</w:t>
      </w:r>
      <w:proofErr w:type="spellEnd"/>
      <w:r w:rsidRPr="00927BED">
        <w:rPr>
          <w:rFonts w:ascii="Arial" w:eastAsia="Calibri" w:hAnsi="Arial" w:cs="Arial"/>
          <w:lang w:val="en-IN" w:eastAsia="en-IN"/>
        </w:rPr>
        <w:t xml:space="preserve"> A, </w:t>
      </w:r>
      <w:proofErr w:type="spellStart"/>
      <w:r w:rsidRPr="00927BED">
        <w:rPr>
          <w:rFonts w:ascii="Arial" w:eastAsia="Calibri" w:hAnsi="Arial" w:cs="Arial"/>
          <w:lang w:val="en-IN" w:eastAsia="en-IN"/>
        </w:rPr>
        <w:t>Franczyk</w:t>
      </w:r>
      <w:proofErr w:type="spellEnd"/>
      <w:r w:rsidRPr="00927BED">
        <w:rPr>
          <w:rFonts w:ascii="Arial" w:eastAsia="Calibri" w:hAnsi="Arial" w:cs="Arial"/>
          <w:lang w:val="en-IN" w:eastAsia="en-IN"/>
        </w:rPr>
        <w:t xml:space="preserve"> B, Olszewski R, Rysz J. The Influence of Inflammation on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in CKD Patients. Int J Mol Sci. 2020;21(3):725.</w:t>
      </w:r>
    </w:p>
    <w:p w14:paraId="109163E5"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Almeida AF, Kher V, Sakhuja V, Aghor N, Chandrasekaran V, Gang S, Gumber M, et al. Expert Panel Consensus on Management of Iron Deficiency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and Use of Ferric </w:t>
      </w:r>
      <w:proofErr w:type="spellStart"/>
      <w:r w:rsidRPr="00927BED">
        <w:rPr>
          <w:rFonts w:ascii="Arial" w:eastAsia="Calibri" w:hAnsi="Arial" w:cs="Arial"/>
          <w:lang w:val="en-IN" w:eastAsia="en-IN"/>
        </w:rPr>
        <w:t>Carboxymaltose</w:t>
      </w:r>
      <w:proofErr w:type="spellEnd"/>
      <w:r w:rsidRPr="00927BED">
        <w:rPr>
          <w:rFonts w:ascii="Arial" w:eastAsia="Calibri" w:hAnsi="Arial" w:cs="Arial"/>
          <w:lang w:val="en-IN" w:eastAsia="en-IN"/>
        </w:rPr>
        <w:t xml:space="preserve"> in </w:t>
      </w:r>
      <w:proofErr w:type="spellStart"/>
      <w:r w:rsidRPr="00927BED">
        <w:rPr>
          <w:rFonts w:ascii="Arial" w:eastAsia="Calibri" w:hAnsi="Arial" w:cs="Arial"/>
          <w:lang w:val="en-IN" w:eastAsia="en-IN"/>
        </w:rPr>
        <w:t>Hemodialysis</w:t>
      </w:r>
      <w:proofErr w:type="spellEnd"/>
      <w:r w:rsidRPr="00927BED">
        <w:rPr>
          <w:rFonts w:ascii="Arial" w:eastAsia="Calibri" w:hAnsi="Arial" w:cs="Arial"/>
          <w:lang w:val="en-IN" w:eastAsia="en-IN"/>
        </w:rPr>
        <w:t>-Dependent Chronic Kidney Disease Patients. Indian J Nephrol. 2025 (Article in press)</w:t>
      </w:r>
    </w:p>
    <w:p w14:paraId="34B1FB85"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Bhalla AK, Parekh A, </w:t>
      </w:r>
      <w:proofErr w:type="spellStart"/>
      <w:r w:rsidRPr="00927BED">
        <w:rPr>
          <w:rFonts w:ascii="Arial" w:eastAsia="Calibri" w:hAnsi="Arial" w:cs="Arial"/>
          <w:lang w:val="en-IN" w:eastAsia="en-IN"/>
        </w:rPr>
        <w:t>Bhadoria</w:t>
      </w:r>
      <w:proofErr w:type="spellEnd"/>
      <w:r w:rsidRPr="00927BED">
        <w:rPr>
          <w:rFonts w:ascii="Arial" w:eastAsia="Calibri" w:hAnsi="Arial" w:cs="Arial"/>
          <w:lang w:val="en-IN" w:eastAsia="en-IN"/>
        </w:rPr>
        <w:t xml:space="preserve"> RS, Ramachandra JH, Vishwanath S, Dharan KS, et al. Efficacy of Ferric </w:t>
      </w:r>
      <w:proofErr w:type="spellStart"/>
      <w:r w:rsidRPr="00927BED">
        <w:rPr>
          <w:rFonts w:ascii="Arial" w:eastAsia="Calibri" w:hAnsi="Arial" w:cs="Arial"/>
          <w:lang w:val="en-IN" w:eastAsia="en-IN"/>
        </w:rPr>
        <w:t>Carboxymaltose</w:t>
      </w:r>
      <w:proofErr w:type="spellEnd"/>
      <w:r w:rsidRPr="00927BED">
        <w:rPr>
          <w:rFonts w:ascii="Arial" w:eastAsia="Calibri" w:hAnsi="Arial" w:cs="Arial"/>
          <w:lang w:val="en-IN" w:eastAsia="en-IN"/>
        </w:rPr>
        <w:t xml:space="preserve"> in Iron Deficiency Anaemia Management in </w:t>
      </w:r>
      <w:proofErr w:type="gramStart"/>
      <w:r w:rsidRPr="00927BED">
        <w:rPr>
          <w:rFonts w:ascii="Arial" w:eastAsia="Calibri" w:hAnsi="Arial" w:cs="Arial"/>
          <w:lang w:val="en-IN" w:eastAsia="en-IN"/>
        </w:rPr>
        <w:t>Non Dialysis</w:t>
      </w:r>
      <w:proofErr w:type="gramEnd"/>
      <w:r w:rsidRPr="00927BED">
        <w:rPr>
          <w:rFonts w:ascii="Arial" w:eastAsia="Calibri" w:hAnsi="Arial" w:cs="Arial"/>
          <w:lang w:val="en-IN" w:eastAsia="en-IN"/>
        </w:rPr>
        <w:t xml:space="preserve"> Dependent Chronic Kidney Disease Patients: A Retrospective Observational Study. J Clin Diagn Res. 2025;19(8</w:t>
      </w:r>
      <w:proofErr w:type="gramStart"/>
      <w:r w:rsidRPr="00927BED">
        <w:rPr>
          <w:rFonts w:ascii="Arial" w:eastAsia="Calibri" w:hAnsi="Arial" w:cs="Arial"/>
          <w:lang w:val="en-IN" w:eastAsia="en-IN"/>
        </w:rPr>
        <w:t>):OC</w:t>
      </w:r>
      <w:proofErr w:type="gramEnd"/>
      <w:r w:rsidRPr="00927BED">
        <w:rPr>
          <w:rFonts w:ascii="Arial" w:eastAsia="Calibri" w:hAnsi="Arial" w:cs="Arial"/>
          <w:lang w:val="en-IN" w:eastAsia="en-IN"/>
        </w:rPr>
        <w:t xml:space="preserve">40–3. </w:t>
      </w:r>
    </w:p>
    <w:p w14:paraId="2B0AE10E"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Khanna U, Perugu PK, Kumar A, Sheth S, Gaikwad A, </w:t>
      </w:r>
      <w:proofErr w:type="spellStart"/>
      <w:r w:rsidRPr="00927BED">
        <w:rPr>
          <w:rFonts w:ascii="Arial" w:eastAsia="Calibri" w:hAnsi="Arial" w:cs="Arial"/>
          <w:lang w:val="en-IN" w:eastAsia="en-IN"/>
        </w:rPr>
        <w:t>Gajbe</w:t>
      </w:r>
      <w:proofErr w:type="spellEnd"/>
      <w:r w:rsidRPr="00927BED">
        <w:rPr>
          <w:rFonts w:ascii="Arial" w:eastAsia="Calibri" w:hAnsi="Arial" w:cs="Arial"/>
          <w:lang w:val="en-IN" w:eastAsia="en-IN"/>
        </w:rPr>
        <w:t xml:space="preserve"> P, et al. AIM HD-CKD study: assessment of the efficacy and safety of ferric </w:t>
      </w:r>
      <w:proofErr w:type="spellStart"/>
      <w:r w:rsidRPr="00927BED">
        <w:rPr>
          <w:rFonts w:ascii="Arial" w:eastAsia="Calibri" w:hAnsi="Arial" w:cs="Arial"/>
          <w:lang w:val="en-IN" w:eastAsia="en-IN"/>
        </w:rPr>
        <w:t>carboxymaltose</w:t>
      </w:r>
      <w:proofErr w:type="spellEnd"/>
      <w:r w:rsidRPr="00927BED">
        <w:rPr>
          <w:rFonts w:ascii="Arial" w:eastAsia="Calibri" w:hAnsi="Arial" w:cs="Arial"/>
          <w:lang w:val="en-IN" w:eastAsia="en-IN"/>
        </w:rPr>
        <w:t xml:space="preserve"> in iron deficiency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management in haemodialysis patients with chronic kidney disease. International Journal of Clinical Trials. 2025;12(2):80–6. </w:t>
      </w:r>
    </w:p>
    <w:p w14:paraId="5B68915A" w14:textId="77777777" w:rsidR="00927BED" w:rsidRPr="00927BED" w:rsidRDefault="00927BED" w:rsidP="00927BED">
      <w:pPr>
        <w:numPr>
          <w:ilvl w:val="0"/>
          <w:numId w:val="31"/>
        </w:numPr>
        <w:tabs>
          <w:tab w:val="left" w:pos="4035"/>
        </w:tabs>
        <w:spacing w:line="324" w:lineRule="auto"/>
        <w:ind w:right="80"/>
        <w:jc w:val="both"/>
        <w:rPr>
          <w:rFonts w:ascii="Arial" w:eastAsia="Calibri" w:hAnsi="Arial" w:cs="Arial"/>
          <w:lang w:val="en-IN" w:eastAsia="en-IN"/>
        </w:rPr>
      </w:pPr>
      <w:r w:rsidRPr="00927BED">
        <w:rPr>
          <w:rFonts w:ascii="Arial" w:eastAsia="Calibri" w:hAnsi="Arial" w:cs="Arial"/>
          <w:lang w:val="en-IN" w:eastAsia="en-IN"/>
        </w:rPr>
        <w:t xml:space="preserve">Bin Khalil Q, Anees M. Comparison of Oral Liposomal vs Intravenous Iron in Iron Deficiency </w:t>
      </w:r>
      <w:proofErr w:type="spellStart"/>
      <w:r w:rsidRPr="00927BED">
        <w:rPr>
          <w:rFonts w:ascii="Arial" w:eastAsia="Calibri" w:hAnsi="Arial" w:cs="Arial"/>
          <w:lang w:val="en-IN" w:eastAsia="en-IN"/>
        </w:rPr>
        <w:t>Anemia</w:t>
      </w:r>
      <w:proofErr w:type="spellEnd"/>
      <w:r w:rsidRPr="00927BED">
        <w:rPr>
          <w:rFonts w:ascii="Arial" w:eastAsia="Calibri" w:hAnsi="Arial" w:cs="Arial"/>
          <w:lang w:val="en-IN" w:eastAsia="en-IN"/>
        </w:rPr>
        <w:t xml:space="preserve"> Patients with Non-Dialysis- Dependent Chronic Kidney Disease. Pak J Kidney Dis. 2025;9(1):45–50. </w:t>
      </w:r>
    </w:p>
    <w:p w14:paraId="2B634C7F" w14:textId="559D1D89" w:rsidR="00315186" w:rsidRPr="00193629" w:rsidRDefault="00927BED" w:rsidP="00927BED">
      <w:pPr>
        <w:numPr>
          <w:ilvl w:val="0"/>
          <w:numId w:val="31"/>
        </w:numPr>
        <w:tabs>
          <w:tab w:val="left" w:pos="4035"/>
        </w:tabs>
        <w:spacing w:line="324" w:lineRule="auto"/>
        <w:ind w:right="80"/>
        <w:jc w:val="both"/>
        <w:rPr>
          <w:rFonts w:ascii="Arial" w:hAnsi="Arial" w:cs="Arial"/>
        </w:rPr>
      </w:pPr>
      <w:proofErr w:type="spellStart"/>
      <w:r w:rsidRPr="00927BED">
        <w:rPr>
          <w:rFonts w:ascii="Arial" w:eastAsia="Calibri" w:hAnsi="Arial" w:cs="Arial"/>
          <w:lang w:val="en-IN" w:eastAsia="en-IN"/>
        </w:rPr>
        <w:t>Maladkar</w:t>
      </w:r>
      <w:proofErr w:type="spellEnd"/>
      <w:r w:rsidRPr="00927BED">
        <w:rPr>
          <w:rFonts w:ascii="Arial" w:eastAsia="Calibri" w:hAnsi="Arial" w:cs="Arial"/>
          <w:lang w:val="en-IN" w:eastAsia="en-IN"/>
        </w:rPr>
        <w:t xml:space="preserve"> M, Sankar S, Yadav A. A Novel Approach for Iron Deficiency Anaemia with Liposomal Iron: Concept to Clinic. JBM. 2020;8(9):27–41.</w:t>
      </w:r>
    </w:p>
    <w:sectPr w:rsidR="00315186" w:rsidRPr="00193629" w:rsidSect="005C565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D2C82" w14:textId="77777777" w:rsidR="006F5DD7" w:rsidRDefault="006F5DD7" w:rsidP="00C37E61">
      <w:r>
        <w:separator/>
      </w:r>
    </w:p>
  </w:endnote>
  <w:endnote w:type="continuationSeparator" w:id="0">
    <w:p w14:paraId="15BD93F8" w14:textId="77777777" w:rsidR="006F5DD7" w:rsidRDefault="006F5DD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9C5CC" w14:textId="77777777" w:rsidR="005C5655" w:rsidRDefault="005C5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C1BF" w14:textId="77777777" w:rsidR="005C5655" w:rsidRDefault="005C56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95892" w14:textId="2F01E967" w:rsidR="00754C9A" w:rsidRPr="008052D0" w:rsidRDefault="00754C9A" w:rsidP="00805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7AAA5" w14:textId="77777777" w:rsidR="006F5DD7" w:rsidRDefault="006F5DD7" w:rsidP="00C37E61">
      <w:r>
        <w:separator/>
      </w:r>
    </w:p>
  </w:footnote>
  <w:footnote w:type="continuationSeparator" w:id="0">
    <w:p w14:paraId="30A9E765" w14:textId="77777777" w:rsidR="006F5DD7" w:rsidRDefault="006F5DD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BB73B" w14:textId="3A075020" w:rsidR="005C5655" w:rsidRDefault="00C95A82">
    <w:pPr>
      <w:pStyle w:val="Header"/>
    </w:pPr>
    <w:r>
      <w:rPr>
        <w:noProof/>
      </w:rPr>
      <w:pict w14:anchorId="4C141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306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AA44E" w14:textId="2E1BC1CA" w:rsidR="005C5655" w:rsidRDefault="00C95A82">
    <w:pPr>
      <w:pStyle w:val="Header"/>
    </w:pPr>
    <w:r>
      <w:rPr>
        <w:noProof/>
      </w:rPr>
      <w:pict w14:anchorId="1E188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306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3DFF" w14:textId="07934D85" w:rsidR="00296529" w:rsidRPr="00296529" w:rsidRDefault="00C95A82" w:rsidP="00296529">
    <w:pPr>
      <w:ind w:left="2160"/>
      <w:jc w:val="center"/>
      <w:rPr>
        <w:rFonts w:ascii="Times New Roman" w:eastAsia="Calibri" w:hAnsi="Times New Roman"/>
        <w:i/>
        <w:sz w:val="18"/>
        <w:szCs w:val="22"/>
      </w:rPr>
    </w:pPr>
    <w:r>
      <w:rPr>
        <w:noProof/>
      </w:rPr>
      <w:pict w14:anchorId="007E4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306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4633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4038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CBB9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A62B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EA38B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8E08D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EE282F"/>
    <w:multiLevelType w:val="multilevel"/>
    <w:tmpl w:val="A2C26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D14"/>
    <w:rsid w:val="00013C2C"/>
    <w:rsid w:val="00030174"/>
    <w:rsid w:val="00036DDF"/>
    <w:rsid w:val="0004579C"/>
    <w:rsid w:val="000505D0"/>
    <w:rsid w:val="000763A1"/>
    <w:rsid w:val="00084DA0"/>
    <w:rsid w:val="0009109A"/>
    <w:rsid w:val="000A117B"/>
    <w:rsid w:val="000A47FA"/>
    <w:rsid w:val="000A65D3"/>
    <w:rsid w:val="000B1E33"/>
    <w:rsid w:val="000D689F"/>
    <w:rsid w:val="000E7B7B"/>
    <w:rsid w:val="000E7D62"/>
    <w:rsid w:val="000F1414"/>
    <w:rsid w:val="000F509C"/>
    <w:rsid w:val="000F707C"/>
    <w:rsid w:val="00103357"/>
    <w:rsid w:val="001139E2"/>
    <w:rsid w:val="00123C9F"/>
    <w:rsid w:val="00126190"/>
    <w:rsid w:val="00130F17"/>
    <w:rsid w:val="001320BF"/>
    <w:rsid w:val="00141B78"/>
    <w:rsid w:val="00157EFD"/>
    <w:rsid w:val="00163BC4"/>
    <w:rsid w:val="00191062"/>
    <w:rsid w:val="00192216"/>
    <w:rsid w:val="00192B72"/>
    <w:rsid w:val="00193629"/>
    <w:rsid w:val="001A29D8"/>
    <w:rsid w:val="001A3CF6"/>
    <w:rsid w:val="001A5CAA"/>
    <w:rsid w:val="001B0427"/>
    <w:rsid w:val="001D3A51"/>
    <w:rsid w:val="001D4393"/>
    <w:rsid w:val="001E10D2"/>
    <w:rsid w:val="001E25B4"/>
    <w:rsid w:val="001E44FE"/>
    <w:rsid w:val="001F6421"/>
    <w:rsid w:val="001F64CE"/>
    <w:rsid w:val="00200595"/>
    <w:rsid w:val="00204489"/>
    <w:rsid w:val="00204835"/>
    <w:rsid w:val="002206C8"/>
    <w:rsid w:val="00231920"/>
    <w:rsid w:val="0023195C"/>
    <w:rsid w:val="002400EB"/>
    <w:rsid w:val="0024282C"/>
    <w:rsid w:val="002460DC"/>
    <w:rsid w:val="00250985"/>
    <w:rsid w:val="002556F6"/>
    <w:rsid w:val="00257A90"/>
    <w:rsid w:val="00283105"/>
    <w:rsid w:val="00284C4C"/>
    <w:rsid w:val="0028742F"/>
    <w:rsid w:val="00296529"/>
    <w:rsid w:val="002B27FB"/>
    <w:rsid w:val="002B685A"/>
    <w:rsid w:val="002C530C"/>
    <w:rsid w:val="002C57D2"/>
    <w:rsid w:val="002E0D56"/>
    <w:rsid w:val="002F1568"/>
    <w:rsid w:val="002F4609"/>
    <w:rsid w:val="00315186"/>
    <w:rsid w:val="003235AC"/>
    <w:rsid w:val="00326C02"/>
    <w:rsid w:val="00333073"/>
    <w:rsid w:val="0033343E"/>
    <w:rsid w:val="003512C2"/>
    <w:rsid w:val="00360A0E"/>
    <w:rsid w:val="003612DF"/>
    <w:rsid w:val="00371FB6"/>
    <w:rsid w:val="003763C1"/>
    <w:rsid w:val="00376BBE"/>
    <w:rsid w:val="0039224F"/>
    <w:rsid w:val="003A43A4"/>
    <w:rsid w:val="003A7E18"/>
    <w:rsid w:val="003C4C86"/>
    <w:rsid w:val="003C6258"/>
    <w:rsid w:val="003D0363"/>
    <w:rsid w:val="003E0542"/>
    <w:rsid w:val="003E2904"/>
    <w:rsid w:val="003F71EF"/>
    <w:rsid w:val="00401927"/>
    <w:rsid w:val="0041027F"/>
    <w:rsid w:val="00412475"/>
    <w:rsid w:val="00413694"/>
    <w:rsid w:val="004142CF"/>
    <w:rsid w:val="00423789"/>
    <w:rsid w:val="004408A6"/>
    <w:rsid w:val="00440F43"/>
    <w:rsid w:val="00441B6F"/>
    <w:rsid w:val="00446221"/>
    <w:rsid w:val="00450E62"/>
    <w:rsid w:val="004539DB"/>
    <w:rsid w:val="00471A80"/>
    <w:rsid w:val="004B0365"/>
    <w:rsid w:val="004B4BBD"/>
    <w:rsid w:val="004D305E"/>
    <w:rsid w:val="004D4277"/>
    <w:rsid w:val="004E3A9E"/>
    <w:rsid w:val="004E6B2D"/>
    <w:rsid w:val="00502516"/>
    <w:rsid w:val="00505F06"/>
    <w:rsid w:val="00506828"/>
    <w:rsid w:val="0053056E"/>
    <w:rsid w:val="005321B2"/>
    <w:rsid w:val="00535DFF"/>
    <w:rsid w:val="00554FDA"/>
    <w:rsid w:val="00592C36"/>
    <w:rsid w:val="005C5655"/>
    <w:rsid w:val="005C784C"/>
    <w:rsid w:val="005D17F6"/>
    <w:rsid w:val="005E5539"/>
    <w:rsid w:val="00602BF5"/>
    <w:rsid w:val="006149E5"/>
    <w:rsid w:val="00617892"/>
    <w:rsid w:val="00617FDD"/>
    <w:rsid w:val="00633614"/>
    <w:rsid w:val="00633F68"/>
    <w:rsid w:val="00636EB2"/>
    <w:rsid w:val="006375B8"/>
    <w:rsid w:val="0066510A"/>
    <w:rsid w:val="00673F9F"/>
    <w:rsid w:val="00686953"/>
    <w:rsid w:val="00687DEA"/>
    <w:rsid w:val="00687E67"/>
    <w:rsid w:val="006967F7"/>
    <w:rsid w:val="006A00B8"/>
    <w:rsid w:val="006A250C"/>
    <w:rsid w:val="006B21D3"/>
    <w:rsid w:val="006B57D0"/>
    <w:rsid w:val="006C395A"/>
    <w:rsid w:val="006D30FF"/>
    <w:rsid w:val="006D6940"/>
    <w:rsid w:val="006F11EC"/>
    <w:rsid w:val="006F5DD7"/>
    <w:rsid w:val="0070082C"/>
    <w:rsid w:val="0070534B"/>
    <w:rsid w:val="0072429A"/>
    <w:rsid w:val="00733B63"/>
    <w:rsid w:val="007369E6"/>
    <w:rsid w:val="00746E59"/>
    <w:rsid w:val="00754C9A"/>
    <w:rsid w:val="0075599A"/>
    <w:rsid w:val="00761D52"/>
    <w:rsid w:val="0077053E"/>
    <w:rsid w:val="0077749E"/>
    <w:rsid w:val="00790ADA"/>
    <w:rsid w:val="00795DCE"/>
    <w:rsid w:val="007C70B7"/>
    <w:rsid w:val="007D2288"/>
    <w:rsid w:val="007D6174"/>
    <w:rsid w:val="007E088F"/>
    <w:rsid w:val="007E6FDE"/>
    <w:rsid w:val="007F7B32"/>
    <w:rsid w:val="00804BC2"/>
    <w:rsid w:val="008052D0"/>
    <w:rsid w:val="0081431A"/>
    <w:rsid w:val="00817F59"/>
    <w:rsid w:val="0083216F"/>
    <w:rsid w:val="008357EE"/>
    <w:rsid w:val="0083766E"/>
    <w:rsid w:val="00844BC9"/>
    <w:rsid w:val="00860000"/>
    <w:rsid w:val="00863BD3"/>
    <w:rsid w:val="00866D66"/>
    <w:rsid w:val="008671C6"/>
    <w:rsid w:val="0087047A"/>
    <w:rsid w:val="008707BB"/>
    <w:rsid w:val="00871B4D"/>
    <w:rsid w:val="00875803"/>
    <w:rsid w:val="008B459E"/>
    <w:rsid w:val="008D54AA"/>
    <w:rsid w:val="008E13AE"/>
    <w:rsid w:val="008E1506"/>
    <w:rsid w:val="008E710C"/>
    <w:rsid w:val="008F4CB0"/>
    <w:rsid w:val="008F69D6"/>
    <w:rsid w:val="00902823"/>
    <w:rsid w:val="00915CA6"/>
    <w:rsid w:val="00927834"/>
    <w:rsid w:val="00927BED"/>
    <w:rsid w:val="009340FE"/>
    <w:rsid w:val="00945077"/>
    <w:rsid w:val="009500A6"/>
    <w:rsid w:val="00957C18"/>
    <w:rsid w:val="009659BA"/>
    <w:rsid w:val="00983040"/>
    <w:rsid w:val="009A1C50"/>
    <w:rsid w:val="009B0180"/>
    <w:rsid w:val="009B3FB9"/>
    <w:rsid w:val="009C2428"/>
    <w:rsid w:val="009C2465"/>
    <w:rsid w:val="009C69DD"/>
    <w:rsid w:val="009D0C67"/>
    <w:rsid w:val="009D35A0"/>
    <w:rsid w:val="009D7EB7"/>
    <w:rsid w:val="009E048A"/>
    <w:rsid w:val="009E0535"/>
    <w:rsid w:val="009E08E9"/>
    <w:rsid w:val="009E2D40"/>
    <w:rsid w:val="009E3DB9"/>
    <w:rsid w:val="009E6E35"/>
    <w:rsid w:val="009F0EDA"/>
    <w:rsid w:val="00A03B96"/>
    <w:rsid w:val="00A05B19"/>
    <w:rsid w:val="00A1134E"/>
    <w:rsid w:val="00A14FDC"/>
    <w:rsid w:val="00A242B0"/>
    <w:rsid w:val="00A24E7E"/>
    <w:rsid w:val="00A258C3"/>
    <w:rsid w:val="00A347C0"/>
    <w:rsid w:val="00A41B41"/>
    <w:rsid w:val="00A44DCD"/>
    <w:rsid w:val="00A51431"/>
    <w:rsid w:val="00A539AD"/>
    <w:rsid w:val="00A5519B"/>
    <w:rsid w:val="00A81B1D"/>
    <w:rsid w:val="00A94063"/>
    <w:rsid w:val="00A95D1E"/>
    <w:rsid w:val="00A968EF"/>
    <w:rsid w:val="00AA6219"/>
    <w:rsid w:val="00AA74E0"/>
    <w:rsid w:val="00AB04ED"/>
    <w:rsid w:val="00AB3F29"/>
    <w:rsid w:val="00AB703F"/>
    <w:rsid w:val="00AC6BB8"/>
    <w:rsid w:val="00AE008F"/>
    <w:rsid w:val="00B01FCD"/>
    <w:rsid w:val="00B1776C"/>
    <w:rsid w:val="00B4215D"/>
    <w:rsid w:val="00B52896"/>
    <w:rsid w:val="00B92D56"/>
    <w:rsid w:val="00B95236"/>
    <w:rsid w:val="00B96BD9"/>
    <w:rsid w:val="00BA1B01"/>
    <w:rsid w:val="00BA2641"/>
    <w:rsid w:val="00BA7620"/>
    <w:rsid w:val="00BB37AA"/>
    <w:rsid w:val="00BC53A0"/>
    <w:rsid w:val="00BE37B9"/>
    <w:rsid w:val="00BE62AD"/>
    <w:rsid w:val="00BF121F"/>
    <w:rsid w:val="00BF1F80"/>
    <w:rsid w:val="00C03762"/>
    <w:rsid w:val="00C166EF"/>
    <w:rsid w:val="00C17EB0"/>
    <w:rsid w:val="00C27F5F"/>
    <w:rsid w:val="00C30A0F"/>
    <w:rsid w:val="00C37E61"/>
    <w:rsid w:val="00C4190C"/>
    <w:rsid w:val="00C70F1B"/>
    <w:rsid w:val="00C71A47"/>
    <w:rsid w:val="00C7464C"/>
    <w:rsid w:val="00C85588"/>
    <w:rsid w:val="00C87634"/>
    <w:rsid w:val="00C95A82"/>
    <w:rsid w:val="00CC3D82"/>
    <w:rsid w:val="00CD6755"/>
    <w:rsid w:val="00CD6856"/>
    <w:rsid w:val="00CE0089"/>
    <w:rsid w:val="00CE2580"/>
    <w:rsid w:val="00CE793C"/>
    <w:rsid w:val="00D16ADB"/>
    <w:rsid w:val="00D173F1"/>
    <w:rsid w:val="00D220E0"/>
    <w:rsid w:val="00D510B7"/>
    <w:rsid w:val="00D8295D"/>
    <w:rsid w:val="00DB5F07"/>
    <w:rsid w:val="00DC2A65"/>
    <w:rsid w:val="00DC6C93"/>
    <w:rsid w:val="00DE15F0"/>
    <w:rsid w:val="00DE5663"/>
    <w:rsid w:val="00DE78AA"/>
    <w:rsid w:val="00DF47A0"/>
    <w:rsid w:val="00E053D0"/>
    <w:rsid w:val="00E0709F"/>
    <w:rsid w:val="00E15994"/>
    <w:rsid w:val="00E3114E"/>
    <w:rsid w:val="00E31A70"/>
    <w:rsid w:val="00E3256E"/>
    <w:rsid w:val="00E35B02"/>
    <w:rsid w:val="00E43745"/>
    <w:rsid w:val="00E45A22"/>
    <w:rsid w:val="00E66496"/>
    <w:rsid w:val="00E66B35"/>
    <w:rsid w:val="00E66E10"/>
    <w:rsid w:val="00E7425A"/>
    <w:rsid w:val="00E769F6"/>
    <w:rsid w:val="00E8407C"/>
    <w:rsid w:val="00E84F3C"/>
    <w:rsid w:val="00EA012C"/>
    <w:rsid w:val="00EB20E7"/>
    <w:rsid w:val="00EB32BA"/>
    <w:rsid w:val="00ED0288"/>
    <w:rsid w:val="00EE0B12"/>
    <w:rsid w:val="00EE52CB"/>
    <w:rsid w:val="00EF581D"/>
    <w:rsid w:val="00EF7FD8"/>
    <w:rsid w:val="00F06F59"/>
    <w:rsid w:val="00F10D25"/>
    <w:rsid w:val="00F17988"/>
    <w:rsid w:val="00F23729"/>
    <w:rsid w:val="00F30983"/>
    <w:rsid w:val="00F469F0"/>
    <w:rsid w:val="00F53273"/>
    <w:rsid w:val="00F632D6"/>
    <w:rsid w:val="00F755E4"/>
    <w:rsid w:val="00F77D02"/>
    <w:rsid w:val="00FB3A86"/>
    <w:rsid w:val="00FD36C8"/>
    <w:rsid w:val="00FE73B0"/>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_x0000_s1026"/>
      </o:rules>
    </o:shapelayout>
  </w:shapeDefaults>
  <w:decimalSymbol w:val="."/>
  <w:listSeparator w:val=","/>
  <w14:docId w14:val="55322A8C"/>
  <w15:docId w15:val="{98020198-C8F3-44D2-8351-E5F269A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4F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92C36"/>
    <w:pPr>
      <w:spacing w:after="160" w:line="256" w:lineRule="auto"/>
      <w:ind w:left="720"/>
      <w:contextualSpacing/>
    </w:pPr>
    <w:rPr>
      <w:rFonts w:ascii="Calibri" w:eastAsia="Calibri" w:hAnsi="Calibri" w:cs="Calibri"/>
      <w:sz w:val="22"/>
      <w:szCs w:val="22"/>
      <w:lang w:val="en-IN" w:eastAsia="en-IN"/>
    </w:rPr>
  </w:style>
  <w:style w:type="character" w:customStyle="1" w:styleId="FooterChar">
    <w:name w:val="Footer Char"/>
    <w:basedOn w:val="DefaultParagraphFont"/>
    <w:link w:val="Footer"/>
    <w:rsid w:val="00617892"/>
    <w:rPr>
      <w:rFonts w:ascii="Helvetica" w:hAnsi="Helvetica"/>
    </w:rPr>
  </w:style>
  <w:style w:type="character" w:customStyle="1" w:styleId="Heading3Char">
    <w:name w:val="Heading 3 Char"/>
    <w:basedOn w:val="DefaultParagraphFont"/>
    <w:link w:val="Heading3"/>
    <w:uiPriority w:val="9"/>
    <w:semiHidden/>
    <w:rsid w:val="00A14FD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084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IRONTRACE%202024%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IRONTRACE%202024%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IRONTRACE%202024%20-%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Graphs!$C$2</c:f>
              <c:strCache>
                <c:ptCount val="1"/>
                <c:pt idx="0">
                  <c:v>Response rate (n = 288)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Graphs!$B$3:$B$7</c:f>
              <c:strCache>
                <c:ptCount val="5"/>
                <c:pt idx="0">
                  <c:v>IV route</c:v>
                </c:pt>
                <c:pt idx="1">
                  <c:v>Tablets</c:v>
                </c:pt>
                <c:pt idx="2">
                  <c:v>Syrups</c:v>
                </c:pt>
                <c:pt idx="3">
                  <c:v>All of the above</c:v>
                </c:pt>
                <c:pt idx="4">
                  <c:v>Not attempted</c:v>
                </c:pt>
              </c:strCache>
            </c:strRef>
          </c:cat>
          <c:val>
            <c:numRef>
              <c:f>Graphs!$C$3:$C$7</c:f>
              <c:numCache>
                <c:formatCode>0.00%</c:formatCode>
                <c:ptCount val="5"/>
                <c:pt idx="0">
                  <c:v>0.55559999999999998</c:v>
                </c:pt>
                <c:pt idx="1">
                  <c:v>0.42359999999999998</c:v>
                </c:pt>
                <c:pt idx="2">
                  <c:v>6.8999999999999999E-3</c:v>
                </c:pt>
                <c:pt idx="3">
                  <c:v>6.8999999999999999E-3</c:v>
                </c:pt>
                <c:pt idx="4">
                  <c:v>6.8999999999999999E-3</c:v>
                </c:pt>
              </c:numCache>
            </c:numRef>
          </c:val>
          <c:extLst>
            <c:ext xmlns:c16="http://schemas.microsoft.com/office/drawing/2014/chart" uri="{C3380CC4-5D6E-409C-BE32-E72D297353CC}">
              <c16:uniqueId val="{00000000-6FE0-4E77-BAB7-9FCC051E7756}"/>
            </c:ext>
          </c:extLst>
        </c:ser>
        <c:dLbls>
          <c:dLblPos val="outEnd"/>
          <c:showLegendKey val="0"/>
          <c:showVal val="1"/>
          <c:showCatName val="0"/>
          <c:showSerName val="0"/>
          <c:showPercent val="0"/>
          <c:showBubbleSize val="0"/>
        </c:dLbls>
        <c:gapWidth val="219"/>
        <c:overlap val="-27"/>
        <c:axId val="1958478239"/>
        <c:axId val="1958477279"/>
      </c:barChart>
      <c:catAx>
        <c:axId val="1958478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958477279"/>
        <c:crosses val="autoZero"/>
        <c:auto val="1"/>
        <c:lblAlgn val="ctr"/>
        <c:lblOffset val="100"/>
        <c:noMultiLvlLbl val="0"/>
      </c:catAx>
      <c:valAx>
        <c:axId val="19584772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IN" sz="900" b="1" i="0" u="none" strike="noStrike" baseline="0">
                    <a:solidFill>
                      <a:sysClr val="windowText" lastClr="000000"/>
                    </a:solidFill>
                    <a:effectLst/>
                    <a:latin typeface="Calibri" panose="020F0502020204030204" pitchFamily="34" charset="0"/>
                    <a:ea typeface="Calibri" panose="020F0502020204030204" pitchFamily="34" charset="0"/>
                    <a:cs typeface="Calibri" panose="020F0502020204030204" pitchFamily="34" charset="0"/>
                  </a:rPr>
                  <a:t>Response rate (n = 288) </a:t>
                </a:r>
                <a:endParaRPr lang="en-IN" sz="900" b="1">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9584782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Graphs!$G$2</c:f>
              <c:strCache>
                <c:ptCount val="1"/>
                <c:pt idx="0">
                  <c:v>(n = 288)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Graphs!$F$3:$F$8</c:f>
              <c:strCache>
                <c:ptCount val="6"/>
                <c:pt idx="0">
                  <c:v>Erythropoiesis- stimulating agents (ESAs)</c:v>
                </c:pt>
                <c:pt idx="1">
                  <c:v>Intravenous iron</c:v>
                </c:pt>
                <c:pt idx="2">
                  <c:v>Red blood cell transfusions</c:v>
                </c:pt>
                <c:pt idx="3">
                  <c:v>Oral iron supplements</c:v>
                </c:pt>
                <c:pt idx="4">
                  <c:v>All of the above</c:v>
                </c:pt>
                <c:pt idx="5">
                  <c:v>Not attempted</c:v>
                </c:pt>
              </c:strCache>
            </c:strRef>
          </c:cat>
          <c:val>
            <c:numRef>
              <c:f>Graphs!$G$3:$G$8</c:f>
              <c:numCache>
                <c:formatCode>0.00%</c:formatCode>
                <c:ptCount val="6"/>
                <c:pt idx="0">
                  <c:v>0.36109999999999998</c:v>
                </c:pt>
                <c:pt idx="1">
                  <c:v>0.22220000000000001</c:v>
                </c:pt>
                <c:pt idx="2">
                  <c:v>1.7399999999999999E-2</c:v>
                </c:pt>
                <c:pt idx="3">
                  <c:v>0.38890000000000002</c:v>
                </c:pt>
                <c:pt idx="4">
                  <c:v>3.5000000000000001E-3</c:v>
                </c:pt>
                <c:pt idx="5">
                  <c:v>6.8999999999999999E-3</c:v>
                </c:pt>
              </c:numCache>
            </c:numRef>
          </c:val>
          <c:extLst>
            <c:ext xmlns:c16="http://schemas.microsoft.com/office/drawing/2014/chart" uri="{C3380CC4-5D6E-409C-BE32-E72D297353CC}">
              <c16:uniqueId val="{00000000-9BAD-4EE2-942B-7768135543F9}"/>
            </c:ext>
          </c:extLst>
        </c:ser>
        <c:dLbls>
          <c:dLblPos val="outEnd"/>
          <c:showLegendKey val="0"/>
          <c:showVal val="1"/>
          <c:showCatName val="0"/>
          <c:showSerName val="0"/>
          <c:showPercent val="0"/>
          <c:showBubbleSize val="0"/>
        </c:dLbls>
        <c:gapWidth val="219"/>
        <c:overlap val="-27"/>
        <c:axId val="320883663"/>
        <c:axId val="320882703"/>
      </c:barChart>
      <c:catAx>
        <c:axId val="320883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320882703"/>
        <c:crosses val="autoZero"/>
        <c:auto val="1"/>
        <c:lblAlgn val="ctr"/>
        <c:lblOffset val="100"/>
        <c:noMultiLvlLbl val="0"/>
      </c:catAx>
      <c:valAx>
        <c:axId val="320882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IN" sz="900" b="1" i="0" u="none" strike="noStrike" baseline="0">
                    <a:solidFill>
                      <a:sysClr val="windowText" lastClr="000000"/>
                    </a:solidFill>
                    <a:effectLst/>
                    <a:latin typeface="Calibri" panose="020F0502020204030204" pitchFamily="34" charset="0"/>
                    <a:ea typeface="Calibri" panose="020F0502020204030204" pitchFamily="34" charset="0"/>
                    <a:cs typeface="Calibri" panose="020F0502020204030204" pitchFamily="34" charset="0"/>
                  </a:rPr>
                  <a:t>Response rate (n = 288) </a:t>
                </a:r>
                <a:endParaRPr lang="en-IN" sz="900" b="1">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3208836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Graphs!$K$2</c:f>
              <c:strCache>
                <c:ptCount val="1"/>
                <c:pt idx="0">
                  <c:v>(n = 288)</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Graphs!$J$3:$J$7</c:f>
              <c:strCache>
                <c:ptCount val="5"/>
                <c:pt idx="0">
                  <c:v>Inflammation</c:v>
                </c:pt>
                <c:pt idx="1">
                  <c:v>Hyperparathyroidism</c:v>
                </c:pt>
                <c:pt idx="2">
                  <c:v>Recurrent infections</c:v>
                </c:pt>
                <c:pt idx="3">
                  <c:v>All of the above</c:v>
                </c:pt>
                <c:pt idx="4">
                  <c:v>Not attempted</c:v>
                </c:pt>
              </c:strCache>
            </c:strRef>
          </c:cat>
          <c:val>
            <c:numRef>
              <c:f>Graphs!$K$3:$K$7</c:f>
              <c:numCache>
                <c:formatCode>0.00%</c:formatCode>
                <c:ptCount val="5"/>
                <c:pt idx="0">
                  <c:v>7.6399999999999996E-2</c:v>
                </c:pt>
                <c:pt idx="1">
                  <c:v>4.5100000000000001E-2</c:v>
                </c:pt>
                <c:pt idx="2">
                  <c:v>5.8999999999999997E-2</c:v>
                </c:pt>
                <c:pt idx="3">
                  <c:v>0.8125</c:v>
                </c:pt>
                <c:pt idx="4">
                  <c:v>6.8999999999999999E-3</c:v>
                </c:pt>
              </c:numCache>
            </c:numRef>
          </c:val>
          <c:extLst>
            <c:ext xmlns:c16="http://schemas.microsoft.com/office/drawing/2014/chart" uri="{C3380CC4-5D6E-409C-BE32-E72D297353CC}">
              <c16:uniqueId val="{00000000-9959-4703-AA20-2170E066F589}"/>
            </c:ext>
          </c:extLst>
        </c:ser>
        <c:dLbls>
          <c:dLblPos val="outEnd"/>
          <c:showLegendKey val="0"/>
          <c:showVal val="1"/>
          <c:showCatName val="0"/>
          <c:showSerName val="0"/>
          <c:showPercent val="0"/>
          <c:showBubbleSize val="0"/>
        </c:dLbls>
        <c:gapWidth val="219"/>
        <c:overlap val="-27"/>
        <c:axId val="240487615"/>
        <c:axId val="240488095"/>
      </c:barChart>
      <c:catAx>
        <c:axId val="240487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240488095"/>
        <c:crosses val="autoZero"/>
        <c:auto val="1"/>
        <c:lblAlgn val="ctr"/>
        <c:lblOffset val="100"/>
        <c:noMultiLvlLbl val="0"/>
      </c:catAx>
      <c:valAx>
        <c:axId val="2404880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1" i="0" u="none" strike="noStrike" kern="1200" baseline="0">
                    <a:solidFill>
                      <a:schemeClr val="tx1"/>
                    </a:solidFill>
                    <a:latin typeface="+mn-lt"/>
                    <a:ea typeface="+mn-ea"/>
                    <a:cs typeface="+mn-cs"/>
                  </a:defRPr>
                </a:pPr>
                <a:r>
                  <a:rPr lang="en-IN"/>
                  <a:t>Response rate (n = 288) </a:t>
                </a:r>
              </a:p>
            </c:rich>
          </c:tx>
          <c:overlay val="0"/>
          <c:spPr>
            <a:noFill/>
            <a:ln>
              <a:noFill/>
            </a:ln>
            <a:effectLst/>
          </c:spPr>
          <c:txPr>
            <a:bodyPr rot="-54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2404876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49FD4-F4F9-42DD-A30D-D9C3AA26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158</TotalTime>
  <Pages>10</Pages>
  <Words>3780</Words>
  <Characters>21547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25277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172</cp:revision>
  <cp:lastPrinted>1999-07-06T11:00:00Z</cp:lastPrinted>
  <dcterms:created xsi:type="dcterms:W3CDTF">2014-10-25T14:34:00Z</dcterms:created>
  <dcterms:modified xsi:type="dcterms:W3CDTF">2026-02-17T07:42:00Z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d61527ee-5a45-4ce9-b9ba-b77d1ef01250</vt:lpwstr>
  </property>
</Properties>
</file>