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41EFE" w14:textId="77777777" w:rsidR="00506D81" w:rsidRDefault="00506D81">
      <w:pPr>
        <w:spacing w:before="68"/>
        <w:ind w:left="358"/>
        <w:rPr>
          <w:b/>
          <w:i/>
          <w:sz w:val="20"/>
          <w:szCs w:val="20"/>
          <w:u w:val="single"/>
        </w:rPr>
      </w:pPr>
    </w:p>
    <w:p w14:paraId="175FB621" w14:textId="77777777" w:rsidR="00506D81" w:rsidRDefault="00506D81">
      <w:pPr>
        <w:spacing w:before="68"/>
        <w:ind w:left="358"/>
        <w:rPr>
          <w:b/>
          <w:i/>
          <w:sz w:val="20"/>
          <w:szCs w:val="20"/>
          <w:u w:val="single"/>
        </w:rPr>
      </w:pPr>
    </w:p>
    <w:p w14:paraId="26A96B5F" w14:textId="7FF5E504" w:rsidR="00280950" w:rsidRPr="00C30899" w:rsidRDefault="00711468">
      <w:pPr>
        <w:spacing w:before="68"/>
        <w:ind w:left="358"/>
        <w:rPr>
          <w:b/>
          <w:i/>
          <w:sz w:val="20"/>
          <w:szCs w:val="20"/>
        </w:rPr>
      </w:pPr>
      <w:r w:rsidRPr="00C30899">
        <w:rPr>
          <w:b/>
          <w:i/>
          <w:sz w:val="20"/>
          <w:szCs w:val="20"/>
          <w:u w:val="single"/>
        </w:rPr>
        <w:t>Original</w:t>
      </w:r>
      <w:r w:rsidRPr="00C30899">
        <w:rPr>
          <w:b/>
          <w:i/>
          <w:spacing w:val="3"/>
          <w:sz w:val="20"/>
          <w:szCs w:val="20"/>
          <w:u w:val="single"/>
        </w:rPr>
        <w:t xml:space="preserve"> </w:t>
      </w:r>
      <w:r w:rsidRPr="00C30899">
        <w:rPr>
          <w:b/>
          <w:i/>
          <w:sz w:val="20"/>
          <w:szCs w:val="20"/>
          <w:u w:val="single"/>
        </w:rPr>
        <w:t>Research</w:t>
      </w:r>
      <w:r w:rsidRPr="00C30899">
        <w:rPr>
          <w:b/>
          <w:i/>
          <w:spacing w:val="-3"/>
          <w:sz w:val="20"/>
          <w:szCs w:val="20"/>
          <w:u w:val="single"/>
        </w:rPr>
        <w:t xml:space="preserve"> </w:t>
      </w:r>
      <w:r w:rsidRPr="00C30899">
        <w:rPr>
          <w:b/>
          <w:i/>
          <w:spacing w:val="-2"/>
          <w:sz w:val="20"/>
          <w:szCs w:val="20"/>
          <w:u w:val="single"/>
        </w:rPr>
        <w:t>Article</w:t>
      </w:r>
    </w:p>
    <w:p w14:paraId="4C88D07C" w14:textId="77777777" w:rsidR="00280950" w:rsidRPr="00C30899" w:rsidRDefault="00280950">
      <w:pPr>
        <w:pStyle w:val="BodyText"/>
        <w:rPr>
          <w:b/>
          <w:i/>
        </w:rPr>
      </w:pPr>
    </w:p>
    <w:p w14:paraId="37B30EFF" w14:textId="77777777" w:rsidR="00280950" w:rsidRPr="00C30899" w:rsidRDefault="00280950">
      <w:pPr>
        <w:pStyle w:val="BodyText"/>
        <w:spacing w:before="9"/>
        <w:rPr>
          <w:b/>
          <w:i/>
        </w:rPr>
      </w:pPr>
    </w:p>
    <w:p w14:paraId="1B50DBAA" w14:textId="022EE5D7" w:rsidR="00506D81" w:rsidRPr="00506D81" w:rsidRDefault="00506D81" w:rsidP="00506D81">
      <w:pPr>
        <w:pStyle w:val="Title"/>
        <w:rPr>
          <w:spacing w:val="-2"/>
          <w:lang w:val="en-PH"/>
        </w:rPr>
      </w:pPr>
      <w:r w:rsidRPr="00506D81">
        <w:rPr>
          <w:spacing w:val="-2"/>
          <w:lang w:val="en-PH"/>
        </w:rPr>
        <w:t>Insight of Digital Health-Seeking Behavior Among Elderly in Nueva Ecija, Philippines</w:t>
      </w:r>
    </w:p>
    <w:p w14:paraId="6F0C3298" w14:textId="0807CDFF" w:rsidR="00280950" w:rsidRPr="00CE3F20" w:rsidRDefault="00280950">
      <w:pPr>
        <w:pStyle w:val="Title"/>
      </w:pPr>
    </w:p>
    <w:p w14:paraId="41FDE9A1" w14:textId="77777777" w:rsidR="00280950" w:rsidRPr="00CE3F20" w:rsidRDefault="00280950">
      <w:pPr>
        <w:pStyle w:val="BodyText"/>
        <w:rPr>
          <w:b/>
          <w:sz w:val="36"/>
          <w:szCs w:val="36"/>
        </w:rPr>
      </w:pPr>
    </w:p>
    <w:p w14:paraId="21C46126" w14:textId="174F3464" w:rsidR="00280950" w:rsidRPr="00C30899" w:rsidRDefault="0029119A" w:rsidP="00601991">
      <w:pPr>
        <w:pStyle w:val="BodyText"/>
        <w:spacing w:before="5"/>
      </w:pPr>
      <w:r>
        <w:pict w14:anchorId="5C67D842">
          <v:shape id="docshape1" o:spid="_x0000_s1027" style="position:absolute;margin-left:101.55pt;margin-top:14.15pt;width:417.6pt;height:.1pt;z-index:-15728640;mso-wrap-distance-left:0;mso-wrap-distance-right:0;mso-position-horizontal-relative:page" coordorigin="2031,283" coordsize="8352,0" path="m2031,283r8352,e" filled="f" strokeweight="1.5pt">
            <v:path arrowok="t"/>
            <w10:wrap type="topAndBottom" anchorx="page"/>
          </v:shape>
        </w:pict>
      </w:r>
    </w:p>
    <w:p w14:paraId="05CFA67B" w14:textId="77777777" w:rsidR="00280950" w:rsidRPr="00C30899" w:rsidRDefault="00711468">
      <w:pPr>
        <w:pStyle w:val="Heading1"/>
        <w:spacing w:line="229" w:lineRule="exact"/>
      </w:pPr>
      <w:r w:rsidRPr="00C30899">
        <w:rPr>
          <w:spacing w:val="-2"/>
        </w:rPr>
        <w:t>ABSTRACT</w:t>
      </w:r>
    </w:p>
    <w:p w14:paraId="0A326E97" w14:textId="77777777" w:rsidR="00280950" w:rsidRPr="00C30899" w:rsidRDefault="0029119A">
      <w:pPr>
        <w:pStyle w:val="BodyText"/>
        <w:spacing w:before="3"/>
        <w:rPr>
          <w:b/>
        </w:rPr>
      </w:pPr>
      <w:r>
        <w:pict w14:anchorId="16E04148">
          <v:shapetype id="_x0000_t202" coordsize="21600,21600" o:spt="202" path="m,l,21600r21600,l21600,xe">
            <v:stroke joinstyle="miter"/>
            <v:path gradientshapeok="t" o:connecttype="rect"/>
          </v:shapetype>
          <v:shape id="docshape2" o:spid="_x0000_s1026" type="#_x0000_t202" style="position:absolute;margin-left:95.2pt;margin-top:11.45pt;width:421.6pt;height:339.25pt;z-index:-15728128;mso-wrap-distance-left:0;mso-wrap-distance-right:0;mso-position-horizontal-relative:page" fillcolor="#f1f1f1" strokeweight=".21169mm">
            <v:textbox style="mso-next-textbox:#docshape2" inset="0,0,0,0">
              <w:txbxContent>
                <w:p w14:paraId="1CA2200D" w14:textId="77777777" w:rsidR="00280950" w:rsidRDefault="00711468">
                  <w:pPr>
                    <w:spacing w:before="4"/>
                    <w:ind w:left="107"/>
                    <w:rPr>
                      <w:b/>
                      <w:color w:val="000000"/>
                      <w:sz w:val="20"/>
                    </w:rPr>
                  </w:pPr>
                  <w:r>
                    <w:rPr>
                      <w:b/>
                      <w:color w:val="000000"/>
                      <w:spacing w:val="-4"/>
                      <w:sz w:val="20"/>
                    </w:rPr>
                    <w:t>Aim:</w:t>
                  </w:r>
                </w:p>
                <w:p w14:paraId="12B45B2E" w14:textId="77777777" w:rsidR="00280950" w:rsidRDefault="00711468">
                  <w:pPr>
                    <w:pStyle w:val="BodyText"/>
                    <w:spacing w:before="11" w:line="259" w:lineRule="auto"/>
                    <w:ind w:left="107" w:right="107"/>
                    <w:jc w:val="both"/>
                    <w:rPr>
                      <w:color w:val="000000"/>
                    </w:rPr>
                  </w:pPr>
                  <w:r>
                    <w:rPr>
                      <w:color w:val="000000"/>
                    </w:rPr>
                    <w:t>The rising use of digital platforms for health information has influenced how elderly adults interpret symptoms and make health-related decisions. Understanding these behaviors is essential to support safe and informed health engagement among aging populations. This study examined</w:t>
                  </w:r>
                  <w:r>
                    <w:rPr>
                      <w:color w:val="000000"/>
                      <w:spacing w:val="-5"/>
                    </w:rPr>
                    <w:t xml:space="preserve"> </w:t>
                  </w:r>
                  <w:r>
                    <w:rPr>
                      <w:color w:val="000000"/>
                    </w:rPr>
                    <w:t>the</w:t>
                  </w:r>
                  <w:r>
                    <w:rPr>
                      <w:color w:val="000000"/>
                      <w:spacing w:val="-5"/>
                    </w:rPr>
                    <w:t xml:space="preserve"> </w:t>
                  </w:r>
                  <w:r>
                    <w:rPr>
                      <w:color w:val="000000"/>
                    </w:rPr>
                    <w:t>online</w:t>
                  </w:r>
                  <w:r>
                    <w:rPr>
                      <w:color w:val="000000"/>
                      <w:spacing w:val="-5"/>
                    </w:rPr>
                    <w:t xml:space="preserve"> </w:t>
                  </w:r>
                  <w:r>
                    <w:rPr>
                      <w:color w:val="000000"/>
                    </w:rPr>
                    <w:t>health-seeking behavior of elderly adults in</w:t>
                  </w:r>
                  <w:r>
                    <w:rPr>
                      <w:color w:val="000000"/>
                      <w:spacing w:val="-5"/>
                    </w:rPr>
                    <w:t xml:space="preserve"> </w:t>
                  </w:r>
                  <w:r>
                    <w:rPr>
                      <w:color w:val="000000"/>
                    </w:rPr>
                    <w:t>Nueva</w:t>
                  </w:r>
                  <w:r>
                    <w:rPr>
                      <w:color w:val="000000"/>
                      <w:spacing w:val="-5"/>
                    </w:rPr>
                    <w:t xml:space="preserve"> </w:t>
                  </w:r>
                  <w:r>
                    <w:rPr>
                      <w:color w:val="000000"/>
                    </w:rPr>
                    <w:t>Ecija, focusing on how digital platforms are used for symptom interpretation, disease information, and personal health decision-making.</w:t>
                  </w:r>
                </w:p>
                <w:p w14:paraId="2C1ABFFD" w14:textId="77777777" w:rsidR="00280950" w:rsidRDefault="00711468">
                  <w:pPr>
                    <w:spacing w:before="142"/>
                    <w:ind w:left="107"/>
                    <w:rPr>
                      <w:b/>
                      <w:color w:val="000000"/>
                      <w:sz w:val="20"/>
                    </w:rPr>
                  </w:pPr>
                  <w:r>
                    <w:rPr>
                      <w:b/>
                      <w:color w:val="000000"/>
                      <w:spacing w:val="-2"/>
                      <w:sz w:val="20"/>
                    </w:rPr>
                    <w:t>Methodology:</w:t>
                  </w:r>
                </w:p>
                <w:p w14:paraId="1944234E" w14:textId="5B0FB007" w:rsidR="00280950" w:rsidRDefault="00711468">
                  <w:pPr>
                    <w:pStyle w:val="BodyText"/>
                    <w:spacing w:before="22" w:line="254" w:lineRule="auto"/>
                    <w:ind w:left="107" w:right="89"/>
                    <w:jc w:val="both"/>
                    <w:rPr>
                      <w:color w:val="000000"/>
                    </w:rPr>
                  </w:pPr>
                  <w:r>
                    <w:rPr>
                      <w:color w:val="000000"/>
                    </w:rPr>
                    <w:t>A descriptive qualitative research design was</w:t>
                  </w:r>
                  <w:r>
                    <w:rPr>
                      <w:color w:val="000000"/>
                      <w:spacing w:val="40"/>
                    </w:rPr>
                    <w:t xml:space="preserve"> </w:t>
                  </w:r>
                  <w:r>
                    <w:rPr>
                      <w:color w:val="000000"/>
                    </w:rPr>
                    <w:t>utilized.</w:t>
                  </w:r>
                  <w:r>
                    <w:rPr>
                      <w:color w:val="000000"/>
                      <w:spacing w:val="40"/>
                    </w:rPr>
                    <w:t xml:space="preserve"> </w:t>
                  </w:r>
                  <w:r>
                    <w:rPr>
                      <w:color w:val="000000"/>
                    </w:rPr>
                    <w:t xml:space="preserve">Data were collected from </w:t>
                  </w:r>
                  <w:r w:rsidR="00CE3F20">
                    <w:rPr>
                      <w:color w:val="000000"/>
                    </w:rPr>
                    <w:t xml:space="preserve">ten </w:t>
                  </w:r>
                  <w:r>
                    <w:rPr>
                      <w:color w:val="000000"/>
                    </w:rPr>
                    <w:t>elderly adults who actively engage with online health information for self-care or health-related decisions. Data were analyzed thematically to identify perceived benefits, challenges, and behavioral patterns associated with digital health use.</w:t>
                  </w:r>
                </w:p>
                <w:p w14:paraId="660B2B5E" w14:textId="77777777" w:rsidR="00280950" w:rsidRDefault="00711468">
                  <w:pPr>
                    <w:spacing w:before="166"/>
                    <w:ind w:left="107"/>
                    <w:rPr>
                      <w:b/>
                      <w:color w:val="000000"/>
                      <w:sz w:val="20"/>
                    </w:rPr>
                  </w:pPr>
                  <w:r>
                    <w:rPr>
                      <w:b/>
                      <w:color w:val="000000"/>
                      <w:spacing w:val="-2"/>
                      <w:sz w:val="20"/>
                    </w:rPr>
                    <w:t>Results:</w:t>
                  </w:r>
                </w:p>
                <w:p w14:paraId="558BB2A7" w14:textId="77777777" w:rsidR="00280950" w:rsidRDefault="00711468">
                  <w:pPr>
                    <w:pStyle w:val="BodyText"/>
                    <w:spacing w:before="11" w:line="259" w:lineRule="auto"/>
                    <w:ind w:left="107" w:right="101"/>
                    <w:jc w:val="both"/>
                    <w:rPr>
                      <w:color w:val="000000"/>
                    </w:rPr>
                  </w:pPr>
                  <w:r>
                    <w:rPr>
                      <w:color w:val="000000"/>
                    </w:rPr>
                    <w:t>Findings revealed that online platforms were predominantly used to search for symptoms, medications, and disease-related information. Convenience, immediacy, and cost-savings were identified as major benefits. However, participants also expressed concerns regarding the credibility of online sources, misinformation, and difficulties interpreting complex health information. Online health resources influenced certain decisions such as self-care and delayed medical consultation, but did not fully replace professional healthcare advice.</w:t>
                  </w:r>
                </w:p>
                <w:p w14:paraId="6B519405" w14:textId="77777777" w:rsidR="00280950" w:rsidRDefault="00711468">
                  <w:pPr>
                    <w:spacing w:before="142"/>
                    <w:ind w:left="107"/>
                    <w:rPr>
                      <w:b/>
                      <w:color w:val="000000"/>
                      <w:sz w:val="20"/>
                    </w:rPr>
                  </w:pPr>
                  <w:r>
                    <w:rPr>
                      <w:b/>
                      <w:color w:val="000000"/>
                      <w:spacing w:val="-2"/>
                      <w:sz w:val="20"/>
                    </w:rPr>
                    <w:t>Conclusion:</w:t>
                  </w:r>
                </w:p>
                <w:p w14:paraId="33A87E7A" w14:textId="77777777" w:rsidR="00280950" w:rsidRDefault="00711468">
                  <w:pPr>
                    <w:pStyle w:val="BodyText"/>
                    <w:spacing w:before="22" w:line="256" w:lineRule="auto"/>
                    <w:ind w:left="107" w:right="108"/>
                    <w:jc w:val="both"/>
                    <w:rPr>
                      <w:color w:val="000000"/>
                    </w:rPr>
                  </w:pPr>
                  <w:r>
                    <w:rPr>
                      <w:color w:val="000000"/>
                    </w:rPr>
                    <w:t>Elderly adults are increasingly engaging with digital health platforms for initial health assessment. While online health information supports autonomy and accessibility, it also introduces risks related to misinterpretation and misinformation. Digital health literacy interventions tailored for elderly populations are</w:t>
                  </w:r>
                  <w:r>
                    <w:rPr>
                      <w:color w:val="000000"/>
                      <w:spacing w:val="-5"/>
                    </w:rPr>
                    <w:t xml:space="preserve"> </w:t>
                  </w:r>
                  <w:r>
                    <w:rPr>
                      <w:color w:val="000000"/>
                    </w:rPr>
                    <w:t>necessary to ensure</w:t>
                  </w:r>
                  <w:r>
                    <w:rPr>
                      <w:color w:val="000000"/>
                      <w:spacing w:val="-5"/>
                    </w:rPr>
                    <w:t xml:space="preserve"> </w:t>
                  </w:r>
                  <w:r>
                    <w:rPr>
                      <w:color w:val="000000"/>
                    </w:rPr>
                    <w:t>safe and informed use of online health resources.</w:t>
                  </w:r>
                </w:p>
              </w:txbxContent>
            </v:textbox>
            <w10:wrap type="topAndBottom" anchorx="page"/>
          </v:shape>
        </w:pict>
      </w:r>
    </w:p>
    <w:p w14:paraId="4BC94948" w14:textId="77777777" w:rsidR="00280950" w:rsidRPr="00C30899" w:rsidRDefault="00280950">
      <w:pPr>
        <w:pStyle w:val="BodyText"/>
        <w:spacing w:before="3"/>
        <w:rPr>
          <w:b/>
        </w:rPr>
      </w:pPr>
    </w:p>
    <w:p w14:paraId="040D325E" w14:textId="77777777" w:rsidR="00280950" w:rsidRPr="00C30899" w:rsidRDefault="00711468">
      <w:pPr>
        <w:spacing w:before="98" w:line="249" w:lineRule="auto"/>
        <w:ind w:left="298"/>
        <w:rPr>
          <w:i/>
          <w:sz w:val="20"/>
          <w:szCs w:val="20"/>
        </w:rPr>
      </w:pPr>
      <w:r w:rsidRPr="00C30899">
        <w:rPr>
          <w:i/>
          <w:sz w:val="20"/>
          <w:szCs w:val="20"/>
        </w:rPr>
        <w:t>Keywords: Digital Health, Digital Literacy, Elderly Adults, Health</w:t>
      </w:r>
      <w:r w:rsidRPr="00C30899">
        <w:rPr>
          <w:i/>
          <w:spacing w:val="-6"/>
          <w:sz w:val="20"/>
          <w:szCs w:val="20"/>
        </w:rPr>
        <w:t xml:space="preserve"> </w:t>
      </w:r>
      <w:r w:rsidRPr="00C30899">
        <w:rPr>
          <w:i/>
          <w:sz w:val="20"/>
          <w:szCs w:val="20"/>
        </w:rPr>
        <w:t>Information</w:t>
      </w:r>
      <w:r w:rsidRPr="00C30899">
        <w:rPr>
          <w:i/>
          <w:spacing w:val="-6"/>
          <w:sz w:val="20"/>
          <w:szCs w:val="20"/>
        </w:rPr>
        <w:t xml:space="preserve"> </w:t>
      </w:r>
      <w:r w:rsidRPr="00C30899">
        <w:rPr>
          <w:i/>
          <w:sz w:val="20"/>
          <w:szCs w:val="20"/>
        </w:rPr>
        <w:t>Seeking, Online Platforms, Qualitative Research</w:t>
      </w:r>
    </w:p>
    <w:p w14:paraId="0951E026" w14:textId="77777777" w:rsidR="00280950" w:rsidRPr="00C30899" w:rsidRDefault="00280950">
      <w:pPr>
        <w:spacing w:line="249" w:lineRule="auto"/>
        <w:rPr>
          <w:sz w:val="20"/>
          <w:szCs w:val="20"/>
        </w:rPr>
        <w:sectPr w:rsidR="00280950" w:rsidRPr="00C30899" w:rsidSect="00627470">
          <w:type w:val="continuous"/>
          <w:pgSz w:w="12240" w:h="15840"/>
          <w:pgMar w:top="1440" w:right="2070" w:bottom="2070" w:left="2070" w:header="720" w:footer="720" w:gutter="0"/>
          <w:cols w:space="720"/>
        </w:sectPr>
      </w:pPr>
    </w:p>
    <w:p w14:paraId="2510B46C" w14:textId="77777777" w:rsidR="00280950" w:rsidRPr="00C30899" w:rsidRDefault="00711468">
      <w:pPr>
        <w:pStyle w:val="Heading1"/>
        <w:numPr>
          <w:ilvl w:val="0"/>
          <w:numId w:val="1"/>
        </w:numPr>
        <w:tabs>
          <w:tab w:val="left" w:pos="526"/>
        </w:tabs>
        <w:spacing w:before="86"/>
      </w:pPr>
      <w:r w:rsidRPr="00C30899">
        <w:rPr>
          <w:spacing w:val="-2"/>
        </w:rPr>
        <w:lastRenderedPageBreak/>
        <w:t>INTRODUCTION</w:t>
      </w:r>
    </w:p>
    <w:p w14:paraId="7E7A8901" w14:textId="77777777" w:rsidR="00280950" w:rsidRPr="00C30899" w:rsidRDefault="00280950">
      <w:pPr>
        <w:pStyle w:val="BodyText"/>
        <w:spacing w:before="7"/>
        <w:rPr>
          <w:b/>
        </w:rPr>
      </w:pPr>
    </w:p>
    <w:p w14:paraId="1381F933" w14:textId="77777777" w:rsidR="00601991" w:rsidRPr="00C30899" w:rsidRDefault="00601991" w:rsidP="00627470">
      <w:pPr>
        <w:pStyle w:val="BodyText"/>
        <w:ind w:firstLine="297"/>
        <w:jc w:val="both"/>
        <w:rPr>
          <w:lang w:val="en-PH"/>
        </w:rPr>
      </w:pPr>
      <w:r w:rsidRPr="00C30899">
        <w:rPr>
          <w:lang w:val="en-PH"/>
        </w:rPr>
        <w:t>The increasing integration of digital technologies into health information systems has reshaped how individuals seek, evaluate, and apply health-related information. Online platforms such as search engines, health websites, and social media are now routinely used for symptom interpretation, disease understanding, and health decision support. These digital resources provide rapid and convenient access to information and increasingly function as preliminary reference points prior to professional consultation. Older adults have become an expanding group of digital health users, reflecting global trends toward technology-assisted health engagement in aging populations (</w:t>
      </w:r>
      <w:proofErr w:type="spellStart"/>
      <w:r w:rsidRPr="00C30899">
        <w:rPr>
          <w:lang w:val="en-PH"/>
        </w:rPr>
        <w:t>Xie</w:t>
      </w:r>
      <w:proofErr w:type="spellEnd"/>
      <w:r w:rsidRPr="00C30899">
        <w:rPr>
          <w:lang w:val="en-PH"/>
        </w:rPr>
        <w:t xml:space="preserve"> et al., 2020; Seifert &amp; </w:t>
      </w:r>
      <w:proofErr w:type="spellStart"/>
      <w:r w:rsidRPr="00C30899">
        <w:rPr>
          <w:lang w:val="en-PH"/>
        </w:rPr>
        <w:t>Cotten</w:t>
      </w:r>
      <w:proofErr w:type="spellEnd"/>
      <w:r w:rsidRPr="00C30899">
        <w:rPr>
          <w:lang w:val="en-PH"/>
        </w:rPr>
        <w:t>, 2020).</w:t>
      </w:r>
    </w:p>
    <w:p w14:paraId="7C41E4D4" w14:textId="41912D28" w:rsidR="00601991" w:rsidRPr="00C30899" w:rsidRDefault="00601991" w:rsidP="00C30899">
      <w:pPr>
        <w:pStyle w:val="BodyText"/>
        <w:ind w:firstLine="720"/>
        <w:jc w:val="both"/>
        <w:rPr>
          <w:lang w:val="en-PH"/>
        </w:rPr>
      </w:pPr>
      <w:r w:rsidRPr="00C30899">
        <w:rPr>
          <w:lang w:val="en-PH"/>
        </w:rPr>
        <w:t xml:space="preserve">In Southeast Asia and other low- and middle-income regions, expanding internet infrastructure and digital health initiatives have increased access to online health information. However, older adults continue to experience disparities in digital access, health literacy, and confidence in navigating online health resources. Empirical studies indicate that elderly users often face challenges related to evaluating information credibility, understanding medical terminology, and distinguishing evidence-based content from misinformation (Hsu et al., 2022; </w:t>
      </w:r>
      <w:proofErr w:type="spellStart"/>
      <w:r w:rsidRPr="00C30899">
        <w:rPr>
          <w:lang w:val="en-PH"/>
        </w:rPr>
        <w:t>Vraga</w:t>
      </w:r>
      <w:proofErr w:type="spellEnd"/>
      <w:r w:rsidRPr="00C30899">
        <w:rPr>
          <w:lang w:val="en-PH"/>
        </w:rPr>
        <w:t xml:space="preserve"> &amp; Bode, 2021). These challenges suggest that while digital health platforms may enhance access and autonomy, they may also introduce risks when digital health literacy is limited.</w:t>
      </w:r>
      <w:r w:rsidR="00506D81">
        <w:rPr>
          <w:lang w:val="en-PH"/>
        </w:rPr>
        <w:t xml:space="preserve"> </w:t>
      </w:r>
      <w:r w:rsidR="00506D81" w:rsidRPr="00506D81">
        <w:t>Recent evidence further indicates that health literacy significantly shapes how middle-aged and older adults search for, interpret, and apply online health information, influencing both confidence and decision-making in digital health contexts (</w:t>
      </w:r>
      <w:proofErr w:type="spellStart"/>
      <w:r w:rsidR="00506D81" w:rsidRPr="00506D81">
        <w:t>Ishizuki</w:t>
      </w:r>
      <w:proofErr w:type="spellEnd"/>
      <w:r w:rsidR="00506D81" w:rsidRPr="00506D81">
        <w:t xml:space="preserve"> &amp; Hirano, 2024).</w:t>
      </w:r>
    </w:p>
    <w:p w14:paraId="06F487EA" w14:textId="51244FDE" w:rsidR="00601991" w:rsidRPr="00C30899" w:rsidRDefault="00601991" w:rsidP="00C30899">
      <w:pPr>
        <w:pStyle w:val="BodyText"/>
        <w:ind w:firstLine="720"/>
        <w:jc w:val="both"/>
        <w:rPr>
          <w:lang w:val="en-PH"/>
        </w:rPr>
      </w:pPr>
      <w:r w:rsidRPr="00C30899">
        <w:rPr>
          <w:lang w:val="en-PH"/>
        </w:rPr>
        <w:t>Recent theoretical and empirical work highlights the importance of digital health literacy in shaping online health-seeking behaviors among older adults</w:t>
      </w:r>
      <w:r w:rsidR="00D55074" w:rsidRPr="00C30899">
        <w:rPr>
          <w:lang w:val="en-PH"/>
        </w:rPr>
        <w:t xml:space="preserve">. </w:t>
      </w:r>
      <w:r w:rsidR="00D55074" w:rsidRPr="00C30899">
        <w:t xml:space="preserve">Digital health literacy has been conceptualized as a multidimensional competence involving the ability to locate, understand, appraise, and apply online health information to health-related decisions (van der </w:t>
      </w:r>
      <w:proofErr w:type="spellStart"/>
      <w:r w:rsidR="00D55074" w:rsidRPr="00C30899">
        <w:t>Vaart</w:t>
      </w:r>
      <w:proofErr w:type="spellEnd"/>
      <w:r w:rsidR="00D55074" w:rsidRPr="00C30899">
        <w:t xml:space="preserve"> &amp; </w:t>
      </w:r>
      <w:proofErr w:type="spellStart"/>
      <w:r w:rsidR="00D55074" w:rsidRPr="00C30899">
        <w:t>Drossaert</w:t>
      </w:r>
      <w:proofErr w:type="spellEnd"/>
      <w:r w:rsidR="00D55074" w:rsidRPr="00C30899">
        <w:t>, 2017; Zhao et al., 2022).</w:t>
      </w:r>
      <w:r w:rsidRPr="00C30899">
        <w:rPr>
          <w:lang w:val="en-PH"/>
        </w:rPr>
        <w:t xml:space="preserve"> Studies conducted after 2016 consistently show that older adults with higher digital health literacy are more likely to use online health information effectively and to integrate it appropriately with professional medical advice (Choi, 2020; Hsu et al., 2022).</w:t>
      </w:r>
    </w:p>
    <w:p w14:paraId="6E0EC8E3" w14:textId="77777777" w:rsidR="00601991" w:rsidRPr="00C30899" w:rsidRDefault="00601991" w:rsidP="00C30899">
      <w:pPr>
        <w:pStyle w:val="BodyText"/>
        <w:jc w:val="both"/>
        <w:rPr>
          <w:lang w:val="en-PH"/>
        </w:rPr>
      </w:pPr>
      <w:r w:rsidRPr="00C30899">
        <w:rPr>
          <w:lang w:val="en-PH"/>
        </w:rPr>
        <w:t xml:space="preserve">Health information seeking in digital contexts has also been framed as an adaptive strategy for managing uncertainty and supporting decision-making. Contemporary research suggests that older adults use online health information pragmatically—to assess symptom severity, prepare for medical consultations, and support self-care—rather than as a substitute for professional healthcare (Baumgartner et al., 2021; Seifert &amp; </w:t>
      </w:r>
      <w:proofErr w:type="spellStart"/>
      <w:r w:rsidRPr="00C30899">
        <w:rPr>
          <w:lang w:val="en-PH"/>
        </w:rPr>
        <w:t>Cotten</w:t>
      </w:r>
      <w:proofErr w:type="spellEnd"/>
      <w:r w:rsidRPr="00C30899">
        <w:rPr>
          <w:lang w:val="en-PH"/>
        </w:rPr>
        <w:t xml:space="preserve">, 2020). However, reliance on online information has also been associated with delayed care-seeking and increased anxiety when information is misleading or difficult to interpret (Swire-Thompson &amp; </w:t>
      </w:r>
      <w:proofErr w:type="spellStart"/>
      <w:r w:rsidRPr="00C30899">
        <w:rPr>
          <w:lang w:val="en-PH"/>
        </w:rPr>
        <w:t>Lazer</w:t>
      </w:r>
      <w:proofErr w:type="spellEnd"/>
      <w:r w:rsidRPr="00C30899">
        <w:rPr>
          <w:lang w:val="en-PH"/>
        </w:rPr>
        <w:t>, 2020).</w:t>
      </w:r>
    </w:p>
    <w:p w14:paraId="483DA519" w14:textId="77777777" w:rsidR="00601991" w:rsidRPr="00C30899" w:rsidRDefault="00601991" w:rsidP="00C30899">
      <w:pPr>
        <w:pStyle w:val="BodyText"/>
        <w:ind w:firstLine="297"/>
        <w:jc w:val="both"/>
        <w:rPr>
          <w:lang w:val="en-PH"/>
        </w:rPr>
      </w:pPr>
      <w:r w:rsidRPr="00C30899">
        <w:rPr>
          <w:lang w:val="en-PH"/>
        </w:rPr>
        <w:t>Although a growing body of literature has examined online health-seeking behavior among older adults globally, most studies have been conducted in high-income countries and urban settings. Research focusing specifically on elderly populations in Southeast Asia remains limited, particularly at the provincial and community levels. In the Philippine context, localized evidence on how elderly individuals access, interpret, and use online health information for health-related decision-making is scarce. This gap constrains the development of context-sensitive digital health literacy interventions. The present study addresses this gap by examining the online health-seeking behavior of elderly adults in Nueva Ecija, focusing on perceived benefits, challenges, and the influence of online health information on health-related decisions.</w:t>
      </w:r>
    </w:p>
    <w:p w14:paraId="1D7B1325" w14:textId="77777777" w:rsidR="00280950" w:rsidRPr="00C30899" w:rsidRDefault="00280950">
      <w:pPr>
        <w:pStyle w:val="BodyText"/>
      </w:pPr>
    </w:p>
    <w:p w14:paraId="159A235F" w14:textId="77777777" w:rsidR="00280950" w:rsidRPr="00C30899" w:rsidRDefault="00280950">
      <w:pPr>
        <w:pStyle w:val="BodyText"/>
        <w:spacing w:before="6"/>
      </w:pPr>
    </w:p>
    <w:p w14:paraId="554BBE70" w14:textId="77777777" w:rsidR="00280950" w:rsidRPr="00C30899" w:rsidRDefault="00711468">
      <w:pPr>
        <w:pStyle w:val="Heading1"/>
        <w:numPr>
          <w:ilvl w:val="0"/>
          <w:numId w:val="1"/>
        </w:numPr>
        <w:tabs>
          <w:tab w:val="left" w:pos="526"/>
        </w:tabs>
      </w:pPr>
      <w:r w:rsidRPr="00C30899">
        <w:t>MATERIAL</w:t>
      </w:r>
      <w:r w:rsidRPr="00C30899">
        <w:rPr>
          <w:spacing w:val="5"/>
        </w:rPr>
        <w:t xml:space="preserve"> </w:t>
      </w:r>
      <w:r w:rsidRPr="00C30899">
        <w:t>AND</w:t>
      </w:r>
      <w:r w:rsidRPr="00C30899">
        <w:rPr>
          <w:spacing w:val="6"/>
        </w:rPr>
        <w:t xml:space="preserve"> </w:t>
      </w:r>
      <w:r w:rsidRPr="00C30899">
        <w:rPr>
          <w:spacing w:val="-2"/>
        </w:rPr>
        <w:t>METHODS</w:t>
      </w:r>
    </w:p>
    <w:p w14:paraId="55D5C11A" w14:textId="77777777" w:rsidR="00280950" w:rsidRPr="00C30899" w:rsidRDefault="00280950">
      <w:pPr>
        <w:pStyle w:val="BodyText"/>
        <w:spacing w:before="8"/>
        <w:rPr>
          <w:b/>
        </w:rPr>
      </w:pPr>
    </w:p>
    <w:p w14:paraId="045DEA4D" w14:textId="77777777" w:rsidR="00280950" w:rsidRPr="00C30899" w:rsidRDefault="00711468">
      <w:pPr>
        <w:pStyle w:val="Heading2"/>
        <w:spacing w:line="229" w:lineRule="exact"/>
        <w:jc w:val="both"/>
      </w:pPr>
      <w:r w:rsidRPr="00C30899">
        <w:lastRenderedPageBreak/>
        <w:t>Study</w:t>
      </w:r>
      <w:r w:rsidRPr="00C30899">
        <w:rPr>
          <w:spacing w:val="-3"/>
        </w:rPr>
        <w:t xml:space="preserve"> </w:t>
      </w:r>
      <w:r w:rsidRPr="00C30899">
        <w:rPr>
          <w:spacing w:val="-2"/>
        </w:rPr>
        <w:t>Design</w:t>
      </w:r>
    </w:p>
    <w:p w14:paraId="21F23602" w14:textId="77777777" w:rsidR="00280950" w:rsidRPr="00C30899" w:rsidRDefault="00711468">
      <w:pPr>
        <w:pStyle w:val="BodyText"/>
        <w:spacing w:line="242" w:lineRule="auto"/>
        <w:ind w:left="298" w:right="291" w:firstLine="720"/>
        <w:jc w:val="both"/>
      </w:pPr>
      <w:r w:rsidRPr="00C30899">
        <w:t>A descriptive qualitative research design was employed to examine how elderly adults engage with online health information and how such engagement influences their health-related decisions. This design was appropriate for capturing contextual meanings, experiential patterns, and behavioral processes associated with digital health-seeking</w:t>
      </w:r>
      <w:r w:rsidRPr="00C30899">
        <w:rPr>
          <w:spacing w:val="40"/>
        </w:rPr>
        <w:t xml:space="preserve"> </w:t>
      </w:r>
      <w:r w:rsidRPr="00C30899">
        <w:t>among older adults.</w:t>
      </w:r>
    </w:p>
    <w:p w14:paraId="640EC0BE" w14:textId="77777777" w:rsidR="00280950" w:rsidRPr="00C30899" w:rsidRDefault="00280950">
      <w:pPr>
        <w:pStyle w:val="BodyText"/>
      </w:pPr>
    </w:p>
    <w:p w14:paraId="250526F2" w14:textId="77777777" w:rsidR="00280950" w:rsidRPr="00C30899" w:rsidRDefault="00711468">
      <w:pPr>
        <w:pStyle w:val="Heading2"/>
      </w:pPr>
      <w:r w:rsidRPr="00C30899">
        <w:rPr>
          <w:spacing w:val="-2"/>
        </w:rPr>
        <w:t>Setting</w:t>
      </w:r>
    </w:p>
    <w:p w14:paraId="7B576016" w14:textId="77777777" w:rsidR="00280950" w:rsidRPr="00C30899" w:rsidRDefault="00711468">
      <w:pPr>
        <w:pStyle w:val="BodyText"/>
        <w:spacing w:before="87" w:line="237" w:lineRule="auto"/>
        <w:ind w:left="298" w:right="306" w:firstLine="720"/>
        <w:jc w:val="both"/>
      </w:pPr>
      <w:r w:rsidRPr="00C30899">
        <w:t>The study was conducted in Nueva Ecija, a province in Central Luzon, Philippines, characterized by increasing digital connectivity and expanding internet availability among urban and peri-urban communities. The setting was selected due to</w:t>
      </w:r>
      <w:r w:rsidRPr="00C30899">
        <w:rPr>
          <w:spacing w:val="-4"/>
        </w:rPr>
        <w:t xml:space="preserve"> </w:t>
      </w:r>
      <w:r w:rsidRPr="00C30899">
        <w:t>the presence of elderly populations with varying levels of digital exposure and health care utilization.</w:t>
      </w:r>
    </w:p>
    <w:p w14:paraId="620E3842" w14:textId="77777777" w:rsidR="00280950" w:rsidRPr="00C30899" w:rsidRDefault="00280950">
      <w:pPr>
        <w:pStyle w:val="BodyText"/>
        <w:spacing w:before="10"/>
      </w:pPr>
    </w:p>
    <w:p w14:paraId="56911703" w14:textId="77777777" w:rsidR="00280950" w:rsidRPr="00C30899" w:rsidRDefault="00711468">
      <w:pPr>
        <w:pStyle w:val="Heading2"/>
      </w:pPr>
      <w:r w:rsidRPr="00C30899">
        <w:t>Participants</w:t>
      </w:r>
      <w:r w:rsidRPr="00C30899">
        <w:rPr>
          <w:spacing w:val="-1"/>
        </w:rPr>
        <w:t xml:space="preserve"> </w:t>
      </w:r>
      <w:r w:rsidRPr="00C30899">
        <w:t xml:space="preserve">and </w:t>
      </w:r>
      <w:r w:rsidRPr="00C30899">
        <w:rPr>
          <w:spacing w:val="-2"/>
        </w:rPr>
        <w:t>Sampling</w:t>
      </w:r>
    </w:p>
    <w:p w14:paraId="172CC288" w14:textId="77777777" w:rsidR="00280950" w:rsidRPr="00C30899" w:rsidRDefault="00280950">
      <w:pPr>
        <w:pStyle w:val="BodyText"/>
        <w:spacing w:before="8"/>
        <w:rPr>
          <w:b/>
        </w:rPr>
      </w:pPr>
    </w:p>
    <w:p w14:paraId="2B2F9939" w14:textId="588A4D40" w:rsidR="00280950" w:rsidRPr="00C30899" w:rsidRDefault="00711468">
      <w:pPr>
        <w:pStyle w:val="BodyText"/>
        <w:ind w:left="298" w:right="294" w:firstLine="720"/>
        <w:jc w:val="both"/>
      </w:pPr>
      <w:r w:rsidRPr="00C30899">
        <w:t>Participants consisted of</w:t>
      </w:r>
      <w:r w:rsidR="00C0400B">
        <w:t xml:space="preserve"> ten</w:t>
      </w:r>
      <w:r w:rsidRPr="00C30899">
        <w:t xml:space="preserve"> elderly adults who</w:t>
      </w:r>
      <w:r w:rsidRPr="00C30899">
        <w:rPr>
          <w:spacing w:val="-5"/>
        </w:rPr>
        <w:t xml:space="preserve"> </w:t>
      </w:r>
      <w:r w:rsidRPr="00C30899">
        <w:t>reported using the</w:t>
      </w:r>
      <w:r w:rsidRPr="00C30899">
        <w:rPr>
          <w:spacing w:val="-5"/>
        </w:rPr>
        <w:t xml:space="preserve"> </w:t>
      </w:r>
      <w:r w:rsidRPr="00C30899">
        <w:t>internet to</w:t>
      </w:r>
      <w:r w:rsidRPr="00C30899">
        <w:rPr>
          <w:spacing w:val="-5"/>
        </w:rPr>
        <w:t xml:space="preserve"> </w:t>
      </w:r>
      <w:r w:rsidRPr="00C30899">
        <w:t>search for health-related information. Eligibility criteria</w:t>
      </w:r>
      <w:r w:rsidRPr="00C30899">
        <w:rPr>
          <w:spacing w:val="-8"/>
        </w:rPr>
        <w:t xml:space="preserve"> </w:t>
      </w:r>
      <w:r w:rsidRPr="00C30899">
        <w:t>included: (1) aged 60</w:t>
      </w:r>
      <w:r w:rsidRPr="00C30899">
        <w:rPr>
          <w:spacing w:val="-8"/>
        </w:rPr>
        <w:t xml:space="preserve"> </w:t>
      </w:r>
      <w:r w:rsidRPr="00C30899">
        <w:t>years or older, (2) residing in Nueva Ecija, and (3) having used digital platforms (e.g., search engines, social media, health websites) for symptom checking, disease information, medication inquiries, or health decision-making within</w:t>
      </w:r>
      <w:r w:rsidRPr="00C30899">
        <w:rPr>
          <w:spacing w:val="-5"/>
        </w:rPr>
        <w:t xml:space="preserve"> </w:t>
      </w:r>
      <w:r w:rsidRPr="00C30899">
        <w:t>the past</w:t>
      </w:r>
      <w:r w:rsidRPr="00C30899">
        <w:rPr>
          <w:spacing w:val="-8"/>
        </w:rPr>
        <w:t xml:space="preserve"> </w:t>
      </w:r>
      <w:r w:rsidRPr="00C30899">
        <w:t>year. Purposive</w:t>
      </w:r>
      <w:r w:rsidRPr="00C30899">
        <w:rPr>
          <w:spacing w:val="-5"/>
        </w:rPr>
        <w:t xml:space="preserve"> </w:t>
      </w:r>
      <w:r w:rsidRPr="00C30899">
        <w:t>sampling was utilized to</w:t>
      </w:r>
      <w:r w:rsidRPr="00C30899">
        <w:rPr>
          <w:spacing w:val="-5"/>
        </w:rPr>
        <w:t xml:space="preserve"> </w:t>
      </w:r>
      <w:r w:rsidRPr="00C30899">
        <w:t>ensure</w:t>
      </w:r>
      <w:r w:rsidRPr="00C30899">
        <w:rPr>
          <w:spacing w:val="-5"/>
        </w:rPr>
        <w:t xml:space="preserve"> </w:t>
      </w:r>
      <w:r w:rsidRPr="00C30899">
        <w:t>inclusion of participants with direct experiential engagement in digital health-seeking. Sample size was determined based on data saturation, which was reached when additional interviews no longer generated new themes.</w:t>
      </w:r>
    </w:p>
    <w:p w14:paraId="5C15F3ED" w14:textId="77777777" w:rsidR="00280950" w:rsidRPr="00C30899" w:rsidRDefault="00280950">
      <w:pPr>
        <w:pStyle w:val="BodyText"/>
        <w:spacing w:before="8"/>
      </w:pPr>
    </w:p>
    <w:p w14:paraId="513BAB3B" w14:textId="77777777" w:rsidR="00280950" w:rsidRPr="00C30899" w:rsidRDefault="00711468">
      <w:pPr>
        <w:pStyle w:val="Heading2"/>
      </w:pPr>
      <w:r w:rsidRPr="00C30899">
        <w:t>Data</w:t>
      </w:r>
      <w:r w:rsidRPr="00C30899">
        <w:rPr>
          <w:spacing w:val="1"/>
        </w:rPr>
        <w:t xml:space="preserve"> </w:t>
      </w:r>
      <w:r w:rsidRPr="00C30899">
        <w:t>Collection</w:t>
      </w:r>
      <w:r w:rsidRPr="00C30899">
        <w:rPr>
          <w:spacing w:val="3"/>
        </w:rPr>
        <w:t xml:space="preserve"> </w:t>
      </w:r>
      <w:r w:rsidRPr="00C30899">
        <w:rPr>
          <w:spacing w:val="-2"/>
        </w:rPr>
        <w:t>Procedure</w:t>
      </w:r>
    </w:p>
    <w:p w14:paraId="7924D1FE" w14:textId="77777777" w:rsidR="00280950" w:rsidRPr="00C30899" w:rsidRDefault="00280950">
      <w:pPr>
        <w:pStyle w:val="BodyText"/>
        <w:spacing w:before="8"/>
        <w:rPr>
          <w:b/>
        </w:rPr>
      </w:pPr>
    </w:p>
    <w:p w14:paraId="1498FC21" w14:textId="77777777" w:rsidR="00280950" w:rsidRPr="00C30899" w:rsidRDefault="00711468">
      <w:pPr>
        <w:pStyle w:val="BodyText"/>
        <w:ind w:left="298" w:right="287" w:firstLine="720"/>
        <w:jc w:val="both"/>
      </w:pPr>
      <w:r w:rsidRPr="00C30899">
        <w:t>Data were gathered through</w:t>
      </w:r>
      <w:r w:rsidRPr="00C30899">
        <w:rPr>
          <w:spacing w:val="-3"/>
        </w:rPr>
        <w:t xml:space="preserve"> </w:t>
      </w:r>
      <w:r w:rsidRPr="00C30899">
        <w:t>semi-structured</w:t>
      </w:r>
      <w:r w:rsidRPr="00C30899">
        <w:rPr>
          <w:spacing w:val="-4"/>
        </w:rPr>
        <w:t xml:space="preserve"> </w:t>
      </w:r>
      <w:r w:rsidRPr="00C30899">
        <w:t>interviews, allowing for flexible probing while maintaining consistency across core content areas. Interviews included questions about online health information use, perceived benefits, perceived risks, interpretive challenges, and decision-making processes. Interviews were conducted in participants’ homes or community settings to support comfort and naturalistic recall. All interviews were audio-recorded with consent and subsequently transcribed verbatim for analysis.</w:t>
      </w:r>
    </w:p>
    <w:p w14:paraId="4C0D4565" w14:textId="77777777" w:rsidR="00280950" w:rsidRPr="00C30899" w:rsidRDefault="00280950">
      <w:pPr>
        <w:pStyle w:val="BodyText"/>
        <w:spacing w:before="10"/>
      </w:pPr>
    </w:p>
    <w:p w14:paraId="342C1181" w14:textId="77777777" w:rsidR="00280950" w:rsidRPr="00C30899" w:rsidRDefault="00711468">
      <w:pPr>
        <w:pStyle w:val="Heading2"/>
        <w:spacing w:before="1"/>
      </w:pPr>
      <w:r w:rsidRPr="00C30899">
        <w:t>Data</w:t>
      </w:r>
      <w:r w:rsidRPr="00C30899">
        <w:rPr>
          <w:spacing w:val="-13"/>
        </w:rPr>
        <w:t xml:space="preserve"> </w:t>
      </w:r>
      <w:r w:rsidRPr="00C30899">
        <w:rPr>
          <w:spacing w:val="-2"/>
        </w:rPr>
        <w:t>Analysis</w:t>
      </w:r>
    </w:p>
    <w:p w14:paraId="19A8453A" w14:textId="77777777" w:rsidR="00280950" w:rsidRPr="00C30899" w:rsidRDefault="00280950">
      <w:pPr>
        <w:pStyle w:val="BodyText"/>
        <w:spacing w:before="8"/>
        <w:rPr>
          <w:b/>
        </w:rPr>
      </w:pPr>
    </w:p>
    <w:p w14:paraId="677480DC" w14:textId="77777777" w:rsidR="00280950" w:rsidRPr="00C30899" w:rsidRDefault="00711468">
      <w:pPr>
        <w:pStyle w:val="BodyText"/>
        <w:ind w:left="298" w:right="292" w:firstLine="720"/>
        <w:jc w:val="both"/>
      </w:pPr>
      <w:r w:rsidRPr="00C30899">
        <w:t>Thematic analysis was used to interpret the qualitative data. Transcripts were reviewed iteratively to identify initial codes, which were</w:t>
      </w:r>
      <w:r w:rsidRPr="00C30899">
        <w:rPr>
          <w:spacing w:val="-2"/>
        </w:rPr>
        <w:t xml:space="preserve"> </w:t>
      </w:r>
      <w:r w:rsidRPr="00C30899">
        <w:t>subsequently clustered into broader categories and themes. Coding was performed manually to preserve</w:t>
      </w:r>
      <w:r w:rsidRPr="00C30899">
        <w:rPr>
          <w:spacing w:val="-3"/>
        </w:rPr>
        <w:t xml:space="preserve"> </w:t>
      </w:r>
      <w:r w:rsidRPr="00C30899">
        <w:t>contextual nuances in participants’ narratives. Themes were refined through cross-checking to ensure internal consistency and conceptual clarity. Representative quotations were selected to support thematic interpretation.</w:t>
      </w:r>
    </w:p>
    <w:p w14:paraId="7B805A00" w14:textId="77777777" w:rsidR="00280950" w:rsidRPr="00C30899" w:rsidRDefault="00280950">
      <w:pPr>
        <w:pStyle w:val="BodyText"/>
        <w:spacing w:before="11"/>
      </w:pPr>
    </w:p>
    <w:p w14:paraId="0609A94A" w14:textId="77777777" w:rsidR="00280950" w:rsidRPr="00C30899" w:rsidRDefault="00711468">
      <w:pPr>
        <w:pStyle w:val="Heading2"/>
      </w:pPr>
      <w:r w:rsidRPr="00C30899">
        <w:t>Ethical</w:t>
      </w:r>
      <w:r w:rsidRPr="00C30899">
        <w:rPr>
          <w:spacing w:val="4"/>
        </w:rPr>
        <w:t xml:space="preserve"> </w:t>
      </w:r>
      <w:r w:rsidRPr="00C30899">
        <w:rPr>
          <w:spacing w:val="-2"/>
        </w:rPr>
        <w:t>Considerations</w:t>
      </w:r>
    </w:p>
    <w:p w14:paraId="3BB035F4" w14:textId="77777777" w:rsidR="00280950" w:rsidRPr="00C30899" w:rsidRDefault="00280950">
      <w:pPr>
        <w:pStyle w:val="BodyText"/>
        <w:spacing w:before="8"/>
        <w:rPr>
          <w:b/>
        </w:rPr>
      </w:pPr>
    </w:p>
    <w:p w14:paraId="7212A2B6" w14:textId="77777777" w:rsidR="00280950" w:rsidRPr="00C30899" w:rsidRDefault="00711468" w:rsidP="00C30899">
      <w:pPr>
        <w:pStyle w:val="BodyText"/>
        <w:spacing w:line="242" w:lineRule="auto"/>
        <w:ind w:left="298" w:right="244" w:firstLine="422"/>
      </w:pPr>
      <w:r w:rsidRPr="00C30899">
        <w:t>The</w:t>
      </w:r>
      <w:r w:rsidRPr="00C30899">
        <w:rPr>
          <w:spacing w:val="-9"/>
        </w:rPr>
        <w:t xml:space="preserve"> </w:t>
      </w:r>
      <w:r w:rsidRPr="00C30899">
        <w:t>study adhered</w:t>
      </w:r>
      <w:r w:rsidRPr="00C30899">
        <w:rPr>
          <w:spacing w:val="-9"/>
        </w:rPr>
        <w:t xml:space="preserve"> </w:t>
      </w:r>
      <w:r w:rsidRPr="00C30899">
        <w:t>to</w:t>
      </w:r>
      <w:r w:rsidRPr="00C30899">
        <w:rPr>
          <w:spacing w:val="-9"/>
        </w:rPr>
        <w:t xml:space="preserve"> </w:t>
      </w:r>
      <w:r w:rsidRPr="00C30899">
        <w:t>ethical</w:t>
      </w:r>
      <w:r w:rsidRPr="00C30899">
        <w:rPr>
          <w:spacing w:val="-2"/>
        </w:rPr>
        <w:t xml:space="preserve"> </w:t>
      </w:r>
      <w:r w:rsidRPr="00C30899">
        <w:t>principles</w:t>
      </w:r>
      <w:r w:rsidRPr="00C30899">
        <w:rPr>
          <w:spacing w:val="-9"/>
        </w:rPr>
        <w:t xml:space="preserve"> </w:t>
      </w:r>
      <w:r w:rsidRPr="00C30899">
        <w:t>of</w:t>
      </w:r>
      <w:r w:rsidRPr="00C30899">
        <w:rPr>
          <w:spacing w:val="-1"/>
        </w:rPr>
        <w:t xml:space="preserve"> </w:t>
      </w:r>
      <w:r w:rsidRPr="00C30899">
        <w:t>autonomy,</w:t>
      </w:r>
      <w:r w:rsidRPr="00C30899">
        <w:rPr>
          <w:spacing w:val="-1"/>
        </w:rPr>
        <w:t xml:space="preserve"> </w:t>
      </w:r>
      <w:r w:rsidRPr="00C30899">
        <w:t>beneficence,</w:t>
      </w:r>
      <w:r w:rsidRPr="00C30899">
        <w:rPr>
          <w:spacing w:val="-1"/>
        </w:rPr>
        <w:t xml:space="preserve"> </w:t>
      </w:r>
      <w:r w:rsidRPr="00C30899">
        <w:t>and</w:t>
      </w:r>
      <w:r w:rsidRPr="00C30899">
        <w:rPr>
          <w:spacing w:val="-9"/>
        </w:rPr>
        <w:t xml:space="preserve"> </w:t>
      </w:r>
      <w:r w:rsidRPr="00C30899">
        <w:t>confidentiality. Participants were informed about the purpose</w:t>
      </w:r>
      <w:r w:rsidRPr="00C30899">
        <w:rPr>
          <w:spacing w:val="-2"/>
        </w:rPr>
        <w:t xml:space="preserve"> </w:t>
      </w:r>
      <w:r w:rsidRPr="00C30899">
        <w:t>of the</w:t>
      </w:r>
      <w:r w:rsidRPr="00C30899">
        <w:rPr>
          <w:spacing w:val="-2"/>
        </w:rPr>
        <w:t xml:space="preserve"> </w:t>
      </w:r>
      <w:r w:rsidRPr="00C30899">
        <w:t>study, voluntary nature</w:t>
      </w:r>
      <w:r w:rsidRPr="00C30899">
        <w:rPr>
          <w:spacing w:val="-2"/>
        </w:rPr>
        <w:t xml:space="preserve"> </w:t>
      </w:r>
      <w:r w:rsidRPr="00C30899">
        <w:t>of participation, and their right to withdraw at any time without consequences. Written informed</w:t>
      </w:r>
      <w:r w:rsidRPr="00C30899">
        <w:rPr>
          <w:spacing w:val="-3"/>
        </w:rPr>
        <w:t xml:space="preserve"> </w:t>
      </w:r>
      <w:r w:rsidRPr="00C30899">
        <w:t>consent was obtained from all participants. Personal identifiers were</w:t>
      </w:r>
      <w:r w:rsidRPr="00C30899">
        <w:rPr>
          <w:spacing w:val="-2"/>
        </w:rPr>
        <w:t xml:space="preserve"> </w:t>
      </w:r>
      <w:r w:rsidRPr="00C30899">
        <w:t>removed</w:t>
      </w:r>
      <w:r w:rsidRPr="00C30899">
        <w:rPr>
          <w:spacing w:val="-2"/>
        </w:rPr>
        <w:t xml:space="preserve"> </w:t>
      </w:r>
      <w:r w:rsidRPr="00C30899">
        <w:t>from transcripts and</w:t>
      </w:r>
      <w:r w:rsidRPr="00C30899">
        <w:rPr>
          <w:spacing w:val="-2"/>
        </w:rPr>
        <w:t xml:space="preserve"> </w:t>
      </w:r>
      <w:r w:rsidRPr="00C30899">
        <w:t>stored separately to maintain privacy.</w:t>
      </w:r>
    </w:p>
    <w:p w14:paraId="4FF90E7C" w14:textId="77777777" w:rsidR="00280950" w:rsidRPr="00C30899" w:rsidRDefault="00280950">
      <w:pPr>
        <w:pStyle w:val="BodyText"/>
        <w:spacing w:before="1"/>
      </w:pPr>
    </w:p>
    <w:p w14:paraId="20AD9A51" w14:textId="77777777" w:rsidR="00280950" w:rsidRPr="00C30899" w:rsidRDefault="00711468">
      <w:pPr>
        <w:pStyle w:val="Heading2"/>
      </w:pPr>
      <w:r w:rsidRPr="00C30899">
        <w:t>Trustworthiness</w:t>
      </w:r>
      <w:r w:rsidRPr="00C30899">
        <w:rPr>
          <w:spacing w:val="3"/>
        </w:rPr>
        <w:t xml:space="preserve"> </w:t>
      </w:r>
      <w:r w:rsidRPr="00C30899">
        <w:t>of</w:t>
      </w:r>
      <w:r w:rsidRPr="00C30899">
        <w:rPr>
          <w:spacing w:val="15"/>
        </w:rPr>
        <w:t xml:space="preserve"> </w:t>
      </w:r>
      <w:r w:rsidRPr="00C30899">
        <w:rPr>
          <w:spacing w:val="-4"/>
        </w:rPr>
        <w:t>Data</w:t>
      </w:r>
    </w:p>
    <w:p w14:paraId="3F05E526" w14:textId="77777777" w:rsidR="00280950" w:rsidRPr="00C30899" w:rsidRDefault="00280950">
      <w:pPr>
        <w:pStyle w:val="BodyText"/>
        <w:spacing w:before="8"/>
        <w:rPr>
          <w:b/>
        </w:rPr>
      </w:pPr>
    </w:p>
    <w:p w14:paraId="6A07632F" w14:textId="77777777" w:rsidR="009F498B" w:rsidRDefault="009F498B" w:rsidP="009F498B">
      <w:pPr>
        <w:pStyle w:val="Heading1"/>
        <w:tabs>
          <w:tab w:val="left" w:pos="526"/>
        </w:tabs>
        <w:spacing w:before="86"/>
        <w:jc w:val="both"/>
        <w:rPr>
          <w:b w:val="0"/>
          <w:bCs w:val="0"/>
        </w:rPr>
      </w:pPr>
      <w:r>
        <w:rPr>
          <w:b w:val="0"/>
          <w:bCs w:val="0"/>
        </w:rPr>
        <w:tab/>
      </w:r>
      <w:r w:rsidRPr="009F498B">
        <w:rPr>
          <w:b w:val="0"/>
          <w:bCs w:val="0"/>
        </w:rPr>
        <w:t>Trustworthiness of the qualitative findings was established using the criteria of credibility, transferability, dependability, and confirmability, as proposed by Lincoln and Guba (1985). Credibility was enhanced through prolonged engagement with participants, repeated review of interview transcripts, and clarification of responses during the interview process. Transferability was supported by providing rich and detailed descriptions of the research context, participants, and study setting to allow readers to assess the applicability of the findings to other contexts. Dependability was ensured through systematic documentation of data collection and analysis procedures, enabling transparency and consistency throughout the research process. Confirmability was addressed by grounding interpretations in participants’ narratives and maintaining an audit trail to minimize researcher bias and support the neutrality of findings</w:t>
      </w:r>
      <w:r>
        <w:rPr>
          <w:b w:val="0"/>
          <w:bCs w:val="0"/>
        </w:rPr>
        <w:t>.</w:t>
      </w:r>
    </w:p>
    <w:p w14:paraId="786457D0" w14:textId="77777777" w:rsidR="009F498B" w:rsidRDefault="009F498B" w:rsidP="009F498B">
      <w:pPr>
        <w:pStyle w:val="Heading1"/>
        <w:tabs>
          <w:tab w:val="left" w:pos="526"/>
        </w:tabs>
        <w:spacing w:before="86"/>
        <w:jc w:val="both"/>
        <w:rPr>
          <w:b w:val="0"/>
          <w:bCs w:val="0"/>
        </w:rPr>
      </w:pPr>
    </w:p>
    <w:p w14:paraId="5C05BC8E" w14:textId="3874EAE6" w:rsidR="00280950" w:rsidRPr="009F498B" w:rsidRDefault="00711468" w:rsidP="009F498B">
      <w:pPr>
        <w:pStyle w:val="Heading1"/>
        <w:tabs>
          <w:tab w:val="left" w:pos="526"/>
        </w:tabs>
        <w:spacing w:before="86"/>
        <w:jc w:val="both"/>
        <w:rPr>
          <w:b w:val="0"/>
          <w:bCs w:val="0"/>
        </w:rPr>
      </w:pPr>
      <w:r w:rsidRPr="00C30899">
        <w:t>RESULTS</w:t>
      </w:r>
      <w:r w:rsidRPr="00C30899">
        <w:rPr>
          <w:spacing w:val="1"/>
        </w:rPr>
        <w:t xml:space="preserve"> </w:t>
      </w:r>
      <w:r w:rsidRPr="00C30899">
        <w:t>AND</w:t>
      </w:r>
      <w:r w:rsidRPr="00C30899">
        <w:rPr>
          <w:spacing w:val="2"/>
        </w:rPr>
        <w:t xml:space="preserve"> </w:t>
      </w:r>
      <w:r w:rsidRPr="00C30899">
        <w:rPr>
          <w:spacing w:val="-2"/>
        </w:rPr>
        <w:t>DISCUSSION</w:t>
      </w:r>
    </w:p>
    <w:p w14:paraId="631F6E66" w14:textId="77777777" w:rsidR="00280950" w:rsidRPr="00C30899" w:rsidRDefault="00280950">
      <w:pPr>
        <w:pStyle w:val="BodyText"/>
        <w:spacing w:before="9"/>
        <w:rPr>
          <w:b/>
        </w:rPr>
      </w:pPr>
    </w:p>
    <w:p w14:paraId="47DB1E97" w14:textId="77777777" w:rsidR="00280950" w:rsidRPr="00C30899" w:rsidRDefault="00711468" w:rsidP="00C30899">
      <w:pPr>
        <w:pStyle w:val="BodyText"/>
        <w:spacing w:line="244" w:lineRule="auto"/>
        <w:ind w:left="298" w:right="244" w:firstLine="422"/>
      </w:pPr>
      <w:r w:rsidRPr="00C30899">
        <w:t>Analysis of interview data yielded three major themes that characterize how elderly adults engaged with online health information: (1) Online Symptom Interpretation as Preliminary Assessment, (2) Digital Information as a Facilitator of Autonomy and Convenience, and (3) Navigating Credibility and Risk in Online Health-Seeking. These findings are interpreted in relation to prior literature and contextual factors.</w:t>
      </w:r>
    </w:p>
    <w:p w14:paraId="3C315109" w14:textId="77777777" w:rsidR="00280950" w:rsidRDefault="00280950">
      <w:pPr>
        <w:pStyle w:val="BodyText"/>
        <w:spacing w:before="3"/>
      </w:pPr>
    </w:p>
    <w:p w14:paraId="23C41565" w14:textId="77777777" w:rsidR="006F17E2" w:rsidRDefault="006F17E2" w:rsidP="006F17E2">
      <w:pPr>
        <w:pStyle w:val="BodyText"/>
        <w:spacing w:before="3"/>
        <w:rPr>
          <w:b/>
          <w:bCs/>
          <w:lang w:val="en-PH"/>
        </w:rPr>
      </w:pPr>
      <w:proofErr w:type="spellStart"/>
      <w:r w:rsidRPr="006F17E2">
        <w:rPr>
          <w:b/>
          <w:bCs/>
          <w:lang w:val="en-PH"/>
        </w:rPr>
        <w:t>Robofoto</w:t>
      </w:r>
      <w:proofErr w:type="spellEnd"/>
      <w:r w:rsidRPr="006F17E2">
        <w:rPr>
          <w:b/>
          <w:bCs/>
          <w:lang w:val="en-PH"/>
        </w:rPr>
        <w:t xml:space="preserve"> of the Participants</w:t>
      </w:r>
    </w:p>
    <w:p w14:paraId="6273812F" w14:textId="77777777" w:rsidR="006F17E2" w:rsidRPr="006F17E2" w:rsidRDefault="006F17E2" w:rsidP="006F17E2">
      <w:pPr>
        <w:pStyle w:val="BodyText"/>
        <w:spacing w:before="3"/>
        <w:jc w:val="both"/>
        <w:rPr>
          <w:b/>
          <w:bCs/>
          <w:lang w:val="en-PH"/>
        </w:rPr>
      </w:pPr>
    </w:p>
    <w:p w14:paraId="34758448" w14:textId="77777777" w:rsidR="006F17E2" w:rsidRPr="006F17E2" w:rsidRDefault="006F17E2" w:rsidP="006F17E2">
      <w:pPr>
        <w:pStyle w:val="BodyText"/>
        <w:spacing w:before="3"/>
        <w:ind w:firstLine="720"/>
        <w:jc w:val="both"/>
        <w:rPr>
          <w:lang w:val="en-PH"/>
        </w:rPr>
      </w:pPr>
      <w:r w:rsidRPr="006F17E2">
        <w:rPr>
          <w:lang w:val="en-PH"/>
        </w:rPr>
        <w:t>The participants of this study consisted of ten elderly individuals aged 60 years and above who were residents of different municipalities in Nueva Ecija. Pseudonyms were assigned to all participants to ensure confidentiality and anonymity. The group included both male and female participants with varying lengths of experience in using digital technology for health-related purposes.</w:t>
      </w:r>
    </w:p>
    <w:p w14:paraId="61413F80" w14:textId="3BBE0B2D" w:rsidR="006F17E2" w:rsidRPr="006F17E2" w:rsidRDefault="006F17E2" w:rsidP="006F17E2">
      <w:pPr>
        <w:pStyle w:val="BodyText"/>
        <w:spacing w:before="3"/>
        <w:ind w:firstLine="720"/>
        <w:jc w:val="both"/>
        <w:rPr>
          <w:lang w:val="en-PH"/>
        </w:rPr>
      </w:pPr>
      <w:r w:rsidRPr="006F17E2">
        <w:rPr>
          <w:lang w:val="en-PH"/>
        </w:rPr>
        <w:t xml:space="preserve">Peach is a 61-year-old female residing in Purok 2, </w:t>
      </w:r>
      <w:proofErr w:type="spellStart"/>
      <w:r w:rsidRPr="006F17E2">
        <w:rPr>
          <w:lang w:val="en-PH"/>
        </w:rPr>
        <w:t>Bunol</w:t>
      </w:r>
      <w:proofErr w:type="spellEnd"/>
      <w:r w:rsidRPr="006F17E2">
        <w:rPr>
          <w:lang w:val="en-PH"/>
        </w:rPr>
        <w:t xml:space="preserve">, </w:t>
      </w:r>
      <w:proofErr w:type="spellStart"/>
      <w:r w:rsidRPr="006F17E2">
        <w:rPr>
          <w:lang w:val="en-PH"/>
        </w:rPr>
        <w:t>Guimba</w:t>
      </w:r>
      <w:proofErr w:type="spellEnd"/>
      <w:r w:rsidRPr="006F17E2">
        <w:rPr>
          <w:lang w:val="en-PH"/>
        </w:rPr>
        <w:t xml:space="preserve">, who had been using technology for approximately seven months. Kiwi, a 60-year-old female from the same area, reported one year and two months of experience in using digital technology. Banana is a 60-year-old male living in </w:t>
      </w:r>
      <w:proofErr w:type="spellStart"/>
      <w:r w:rsidRPr="006F17E2">
        <w:rPr>
          <w:lang w:val="en-PH"/>
        </w:rPr>
        <w:t>Maligaya</w:t>
      </w:r>
      <w:proofErr w:type="spellEnd"/>
      <w:r w:rsidRPr="006F17E2">
        <w:rPr>
          <w:lang w:val="en-PH"/>
        </w:rPr>
        <w:t xml:space="preserve">, </w:t>
      </w:r>
      <w:proofErr w:type="spellStart"/>
      <w:r w:rsidRPr="006F17E2">
        <w:rPr>
          <w:lang w:val="en-PH"/>
        </w:rPr>
        <w:t>Palayan</w:t>
      </w:r>
      <w:proofErr w:type="spellEnd"/>
      <w:r w:rsidRPr="006F17E2">
        <w:rPr>
          <w:lang w:val="en-PH"/>
        </w:rPr>
        <w:t xml:space="preserve"> City, who had been using technology for eight months, while Melon, a 61-year-old female also from </w:t>
      </w:r>
      <w:proofErr w:type="spellStart"/>
      <w:r w:rsidRPr="006F17E2">
        <w:rPr>
          <w:lang w:val="en-PH"/>
        </w:rPr>
        <w:t>Maligaya</w:t>
      </w:r>
      <w:proofErr w:type="spellEnd"/>
      <w:r w:rsidRPr="006F17E2">
        <w:rPr>
          <w:lang w:val="en-PH"/>
        </w:rPr>
        <w:t xml:space="preserve">, </w:t>
      </w:r>
      <w:proofErr w:type="spellStart"/>
      <w:r w:rsidRPr="006F17E2">
        <w:rPr>
          <w:lang w:val="en-PH"/>
        </w:rPr>
        <w:t>Palayan</w:t>
      </w:r>
      <w:proofErr w:type="spellEnd"/>
      <w:r w:rsidRPr="006F17E2">
        <w:rPr>
          <w:lang w:val="en-PH"/>
        </w:rPr>
        <w:t xml:space="preserve"> City, had six months of technology use.</w:t>
      </w:r>
      <w:r>
        <w:rPr>
          <w:lang w:val="en-PH"/>
        </w:rPr>
        <w:t xml:space="preserve"> </w:t>
      </w:r>
      <w:r w:rsidRPr="006F17E2">
        <w:rPr>
          <w:lang w:val="en-PH"/>
        </w:rPr>
        <w:t xml:space="preserve">Pomelo is a 63-year-old male residing in Bagong </w:t>
      </w:r>
      <w:proofErr w:type="spellStart"/>
      <w:r w:rsidRPr="006F17E2">
        <w:rPr>
          <w:lang w:val="en-PH"/>
        </w:rPr>
        <w:t>Sikat</w:t>
      </w:r>
      <w:proofErr w:type="spellEnd"/>
      <w:r w:rsidRPr="006F17E2">
        <w:rPr>
          <w:lang w:val="en-PH"/>
        </w:rPr>
        <w:t xml:space="preserve">, San Jose, with one year and one month of experience using technology. Lemon, a 61-year-old male from the same area, reported five months of technology use. Mango is a 60-year-old male living in District I, </w:t>
      </w:r>
      <w:proofErr w:type="spellStart"/>
      <w:r w:rsidRPr="006F17E2">
        <w:rPr>
          <w:lang w:val="en-PH"/>
        </w:rPr>
        <w:t>Cuyapo</w:t>
      </w:r>
      <w:proofErr w:type="spellEnd"/>
      <w:r w:rsidRPr="006F17E2">
        <w:rPr>
          <w:lang w:val="en-PH"/>
        </w:rPr>
        <w:t xml:space="preserve">, who had been using technology for six months, while Pear, a 60-year-old female from District I, </w:t>
      </w:r>
      <w:proofErr w:type="spellStart"/>
      <w:r w:rsidRPr="006F17E2">
        <w:rPr>
          <w:lang w:val="en-PH"/>
        </w:rPr>
        <w:t>Cuyapo</w:t>
      </w:r>
      <w:proofErr w:type="spellEnd"/>
      <w:r w:rsidRPr="006F17E2">
        <w:rPr>
          <w:lang w:val="en-PH"/>
        </w:rPr>
        <w:t>, reported nine months of experience.</w:t>
      </w:r>
    </w:p>
    <w:p w14:paraId="1F2DFAED" w14:textId="77777777" w:rsidR="006F17E2" w:rsidRPr="006F17E2" w:rsidRDefault="006F17E2" w:rsidP="006F17E2">
      <w:pPr>
        <w:pStyle w:val="BodyText"/>
        <w:spacing w:before="3"/>
        <w:jc w:val="both"/>
        <w:rPr>
          <w:lang w:val="en-PH"/>
        </w:rPr>
      </w:pPr>
      <w:r w:rsidRPr="006F17E2">
        <w:rPr>
          <w:lang w:val="en-PH"/>
        </w:rPr>
        <w:t xml:space="preserve">Grape is a 60-year-old female residing in </w:t>
      </w:r>
      <w:proofErr w:type="spellStart"/>
      <w:r w:rsidRPr="006F17E2">
        <w:rPr>
          <w:lang w:val="en-PH"/>
        </w:rPr>
        <w:t>Poblacion</w:t>
      </w:r>
      <w:proofErr w:type="spellEnd"/>
      <w:r w:rsidRPr="006F17E2">
        <w:rPr>
          <w:lang w:val="en-PH"/>
        </w:rPr>
        <w:t xml:space="preserve"> II, </w:t>
      </w:r>
      <w:proofErr w:type="spellStart"/>
      <w:r w:rsidRPr="006F17E2">
        <w:rPr>
          <w:lang w:val="en-PH"/>
        </w:rPr>
        <w:t>Peñaranda</w:t>
      </w:r>
      <w:proofErr w:type="spellEnd"/>
      <w:r w:rsidRPr="006F17E2">
        <w:rPr>
          <w:lang w:val="en-PH"/>
        </w:rPr>
        <w:t xml:space="preserve">, who had the longest experience among the participants, having used technology for two years. Lastly, Apple is a 62-year-old male from </w:t>
      </w:r>
      <w:proofErr w:type="spellStart"/>
      <w:r w:rsidRPr="006F17E2">
        <w:rPr>
          <w:lang w:val="en-PH"/>
        </w:rPr>
        <w:t>Poblacion</w:t>
      </w:r>
      <w:proofErr w:type="spellEnd"/>
      <w:r w:rsidRPr="006F17E2">
        <w:rPr>
          <w:lang w:val="en-PH"/>
        </w:rPr>
        <w:t xml:space="preserve"> II, </w:t>
      </w:r>
      <w:proofErr w:type="spellStart"/>
      <w:r w:rsidRPr="006F17E2">
        <w:rPr>
          <w:lang w:val="en-PH"/>
        </w:rPr>
        <w:t>Peñaranda</w:t>
      </w:r>
      <w:proofErr w:type="spellEnd"/>
      <w:r w:rsidRPr="006F17E2">
        <w:rPr>
          <w:lang w:val="en-PH"/>
        </w:rPr>
        <w:t>, who had been using technology for eight months.</w:t>
      </w:r>
    </w:p>
    <w:p w14:paraId="42001F61" w14:textId="77777777" w:rsidR="006F17E2" w:rsidRPr="006F17E2" w:rsidRDefault="006F17E2" w:rsidP="006F17E2">
      <w:pPr>
        <w:pStyle w:val="BodyText"/>
        <w:spacing w:before="3"/>
        <w:ind w:firstLine="298"/>
        <w:jc w:val="both"/>
        <w:rPr>
          <w:lang w:val="en-PH"/>
        </w:rPr>
      </w:pPr>
      <w:r w:rsidRPr="006F17E2">
        <w:rPr>
          <w:lang w:val="en-PH"/>
        </w:rPr>
        <w:t>Overall, the participants represented a diverse group of elderly individuals in terms of sex, residence, and length of technology use. Their varied experiences provided rich and meaningful insights into the online health-seeking behavior of elderly individuals in Nueva Ecija.</w:t>
      </w:r>
    </w:p>
    <w:p w14:paraId="1911D19C" w14:textId="77777777" w:rsidR="006F17E2" w:rsidRPr="00C30899" w:rsidRDefault="006F17E2">
      <w:pPr>
        <w:pStyle w:val="BodyText"/>
        <w:spacing w:before="3"/>
      </w:pPr>
    </w:p>
    <w:p w14:paraId="4AFE995D" w14:textId="152871F2" w:rsidR="00280950" w:rsidRPr="009118D3" w:rsidRDefault="00711468">
      <w:pPr>
        <w:pStyle w:val="BodyText"/>
        <w:spacing w:before="1"/>
        <w:ind w:left="298"/>
        <w:rPr>
          <w:b/>
          <w:bCs/>
        </w:rPr>
      </w:pPr>
      <w:r w:rsidRPr="009118D3">
        <w:rPr>
          <w:b/>
          <w:bCs/>
        </w:rPr>
        <w:t>Figure</w:t>
      </w:r>
      <w:r w:rsidRPr="009118D3">
        <w:rPr>
          <w:b/>
          <w:bCs/>
          <w:spacing w:val="-3"/>
        </w:rPr>
        <w:t xml:space="preserve"> </w:t>
      </w:r>
      <w:r w:rsidRPr="009118D3">
        <w:rPr>
          <w:b/>
          <w:bCs/>
        </w:rPr>
        <w:t>1.</w:t>
      </w:r>
      <w:r w:rsidRPr="009118D3">
        <w:rPr>
          <w:b/>
          <w:bCs/>
          <w:spacing w:val="5"/>
        </w:rPr>
        <w:t xml:space="preserve"> </w:t>
      </w:r>
      <w:r w:rsidRPr="009118D3">
        <w:rPr>
          <w:b/>
          <w:bCs/>
        </w:rPr>
        <w:t>Conceptual</w:t>
      </w:r>
      <w:r w:rsidRPr="009118D3">
        <w:rPr>
          <w:b/>
          <w:bCs/>
          <w:spacing w:val="5"/>
        </w:rPr>
        <w:t xml:space="preserve"> </w:t>
      </w:r>
      <w:r w:rsidRPr="009118D3">
        <w:rPr>
          <w:b/>
          <w:bCs/>
          <w:spacing w:val="-2"/>
        </w:rPr>
        <w:t>Framework</w:t>
      </w:r>
    </w:p>
    <w:p w14:paraId="244E6F7C" w14:textId="4BA7FDCC" w:rsidR="00280950" w:rsidRPr="00C30899" w:rsidRDefault="0029119A">
      <w:pPr>
        <w:pStyle w:val="BodyText"/>
      </w:pPr>
      <w:bookmarkStart w:id="0" w:name="_GoBack"/>
      <w:r w:rsidRPr="009118D3">
        <w:rPr>
          <w:b/>
          <w:bCs/>
          <w:noProof/>
        </w:rPr>
        <w:lastRenderedPageBreak/>
        <w:drawing>
          <wp:anchor distT="0" distB="0" distL="0" distR="0" simplePos="0" relativeHeight="251659264" behindDoc="1" locked="0" layoutInCell="1" allowOverlap="1" wp14:anchorId="343530D0" wp14:editId="222B7812">
            <wp:simplePos x="0" y="0"/>
            <wp:positionH relativeFrom="page">
              <wp:posOffset>2556510</wp:posOffset>
            </wp:positionH>
            <wp:positionV relativeFrom="paragraph">
              <wp:posOffset>-341601</wp:posOffset>
            </wp:positionV>
            <wp:extent cx="2410460" cy="3615690"/>
            <wp:effectExtent l="0" t="0" r="0" b="0"/>
            <wp:wrapNone/>
            <wp:docPr id="1" name="image1.jpeg" descr="ChatGPT Image Jan 29, 2026, 11_26_59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410460" cy="3615690"/>
                    </a:xfrm>
                    <a:prstGeom prst="rect">
                      <a:avLst/>
                    </a:prstGeom>
                  </pic:spPr>
                </pic:pic>
              </a:graphicData>
            </a:graphic>
          </wp:anchor>
        </w:drawing>
      </w:r>
      <w:bookmarkEnd w:id="0"/>
    </w:p>
    <w:p w14:paraId="7017B4B2" w14:textId="77777777" w:rsidR="00280950" w:rsidRPr="00C30899" w:rsidRDefault="00280950">
      <w:pPr>
        <w:pStyle w:val="BodyText"/>
      </w:pPr>
    </w:p>
    <w:p w14:paraId="587C09E6" w14:textId="77777777" w:rsidR="00280950" w:rsidRPr="00C30899" w:rsidRDefault="00280950">
      <w:pPr>
        <w:pStyle w:val="BodyText"/>
      </w:pPr>
    </w:p>
    <w:p w14:paraId="29949280" w14:textId="77777777" w:rsidR="00280950" w:rsidRPr="00C30899" w:rsidRDefault="00280950">
      <w:pPr>
        <w:pStyle w:val="BodyText"/>
      </w:pPr>
    </w:p>
    <w:p w14:paraId="43C4F917" w14:textId="77777777" w:rsidR="00280950" w:rsidRPr="00C30899" w:rsidRDefault="00280950">
      <w:pPr>
        <w:pStyle w:val="BodyText"/>
      </w:pPr>
    </w:p>
    <w:p w14:paraId="7694B0DB" w14:textId="77777777" w:rsidR="00280950" w:rsidRPr="00C30899" w:rsidRDefault="00280950">
      <w:pPr>
        <w:pStyle w:val="BodyText"/>
      </w:pPr>
    </w:p>
    <w:p w14:paraId="4151C907" w14:textId="77777777" w:rsidR="00280950" w:rsidRPr="00C30899" w:rsidRDefault="00280950">
      <w:pPr>
        <w:pStyle w:val="BodyText"/>
      </w:pPr>
    </w:p>
    <w:p w14:paraId="7999FAF7" w14:textId="77777777" w:rsidR="00280950" w:rsidRPr="00C30899" w:rsidRDefault="00280950">
      <w:pPr>
        <w:pStyle w:val="BodyText"/>
      </w:pPr>
    </w:p>
    <w:p w14:paraId="233DC560" w14:textId="77777777" w:rsidR="00280950" w:rsidRPr="00C30899" w:rsidRDefault="00280950">
      <w:pPr>
        <w:pStyle w:val="BodyText"/>
      </w:pPr>
    </w:p>
    <w:p w14:paraId="13C9C03B" w14:textId="77777777" w:rsidR="00280950" w:rsidRPr="00C30899" w:rsidRDefault="00280950">
      <w:pPr>
        <w:pStyle w:val="BodyText"/>
      </w:pPr>
    </w:p>
    <w:p w14:paraId="3DE04E6E" w14:textId="77777777" w:rsidR="00280950" w:rsidRPr="00C30899" w:rsidRDefault="00280950">
      <w:pPr>
        <w:pStyle w:val="BodyText"/>
      </w:pPr>
    </w:p>
    <w:p w14:paraId="612DB83D" w14:textId="77777777" w:rsidR="00280950" w:rsidRPr="00C30899" w:rsidRDefault="00280950">
      <w:pPr>
        <w:pStyle w:val="BodyText"/>
      </w:pPr>
    </w:p>
    <w:p w14:paraId="3201D3AD" w14:textId="77777777" w:rsidR="00280950" w:rsidRPr="00C30899" w:rsidRDefault="00280950">
      <w:pPr>
        <w:pStyle w:val="BodyText"/>
      </w:pPr>
    </w:p>
    <w:p w14:paraId="0B2273AF" w14:textId="77777777" w:rsidR="00280950" w:rsidRPr="00C30899" w:rsidRDefault="00280950">
      <w:pPr>
        <w:pStyle w:val="BodyText"/>
      </w:pPr>
    </w:p>
    <w:p w14:paraId="43BCC043" w14:textId="77777777" w:rsidR="00280950" w:rsidRPr="00C30899" w:rsidRDefault="00280950">
      <w:pPr>
        <w:pStyle w:val="BodyText"/>
      </w:pPr>
    </w:p>
    <w:p w14:paraId="3B28B351" w14:textId="77777777" w:rsidR="00280950" w:rsidRPr="00C30899" w:rsidRDefault="00280950">
      <w:pPr>
        <w:pStyle w:val="BodyText"/>
      </w:pPr>
    </w:p>
    <w:p w14:paraId="2373F043" w14:textId="77777777" w:rsidR="00280950" w:rsidRPr="00C30899" w:rsidRDefault="00280950">
      <w:pPr>
        <w:pStyle w:val="BodyText"/>
      </w:pPr>
    </w:p>
    <w:p w14:paraId="31D4F8E8" w14:textId="77777777" w:rsidR="00280950" w:rsidRPr="00C30899" w:rsidRDefault="00280950">
      <w:pPr>
        <w:pStyle w:val="BodyText"/>
      </w:pPr>
    </w:p>
    <w:p w14:paraId="525DA975" w14:textId="77777777" w:rsidR="00280950" w:rsidRPr="00C30899" w:rsidRDefault="00280950">
      <w:pPr>
        <w:pStyle w:val="BodyText"/>
      </w:pPr>
    </w:p>
    <w:p w14:paraId="6E3ACACA" w14:textId="77777777" w:rsidR="00280950" w:rsidRPr="00C30899" w:rsidRDefault="00280950">
      <w:pPr>
        <w:pStyle w:val="BodyText"/>
      </w:pPr>
    </w:p>
    <w:p w14:paraId="608286B1" w14:textId="77777777" w:rsidR="00280950" w:rsidRPr="00C30899" w:rsidRDefault="00280950">
      <w:pPr>
        <w:pStyle w:val="BodyText"/>
        <w:spacing w:before="8"/>
      </w:pPr>
    </w:p>
    <w:p w14:paraId="502D12E7" w14:textId="77777777" w:rsidR="009118D3" w:rsidRDefault="009118D3">
      <w:pPr>
        <w:pStyle w:val="BodyText"/>
        <w:ind w:left="298" w:right="331"/>
      </w:pPr>
    </w:p>
    <w:p w14:paraId="31BBF5C0" w14:textId="77777777" w:rsidR="009118D3" w:rsidRDefault="009118D3">
      <w:pPr>
        <w:pStyle w:val="BodyText"/>
        <w:ind w:left="298" w:right="331"/>
      </w:pPr>
    </w:p>
    <w:p w14:paraId="49602C60" w14:textId="77777777" w:rsidR="009118D3" w:rsidRDefault="009118D3">
      <w:pPr>
        <w:pStyle w:val="BodyText"/>
        <w:ind w:left="298" w:right="331"/>
      </w:pPr>
    </w:p>
    <w:p w14:paraId="0A760FF1" w14:textId="435906A1" w:rsidR="00280950" w:rsidRPr="00C30899" w:rsidRDefault="00711468">
      <w:pPr>
        <w:pStyle w:val="BodyText"/>
        <w:ind w:left="298" w:right="331"/>
      </w:pPr>
      <w:r w:rsidRPr="00C30899">
        <w:t>Note: This visual representation was generated using an AI-assisted tool for visualization</w:t>
      </w:r>
      <w:r w:rsidRPr="00C30899">
        <w:rPr>
          <w:spacing w:val="40"/>
        </w:rPr>
        <w:t xml:space="preserve"> </w:t>
      </w:r>
      <w:r w:rsidRPr="00C30899">
        <w:t xml:space="preserve">and layout purposes only. </w:t>
      </w:r>
    </w:p>
    <w:p w14:paraId="6E4E49A5" w14:textId="77777777" w:rsidR="00280950" w:rsidRPr="00C30899" w:rsidRDefault="00280950">
      <w:pPr>
        <w:pStyle w:val="BodyText"/>
        <w:spacing w:before="7"/>
      </w:pPr>
    </w:p>
    <w:p w14:paraId="4C6C2884" w14:textId="77777777" w:rsidR="00280950" w:rsidRPr="00C30899" w:rsidRDefault="00711468" w:rsidP="009118D3">
      <w:pPr>
        <w:pStyle w:val="BodyText"/>
        <w:ind w:left="298" w:right="244" w:firstLine="422"/>
        <w:jc w:val="both"/>
      </w:pPr>
      <w:r w:rsidRPr="00C30899">
        <w:t>The visual representation presents a concise overview of how elderly adults engage with online health information and how this engagement influences their health-related decision- making. Online platforms such as Google, health websites, and social media are shown as the primary entry points through which participants seek health information. This process gives rise to three interrelated themes: online symptom interpretation as a preliminary assessment,</w:t>
      </w:r>
      <w:r w:rsidRPr="00C30899">
        <w:rPr>
          <w:spacing w:val="-14"/>
        </w:rPr>
        <w:t xml:space="preserve"> </w:t>
      </w:r>
      <w:r w:rsidRPr="00C30899">
        <w:t>digital</w:t>
      </w:r>
      <w:r w:rsidRPr="00C30899">
        <w:rPr>
          <w:spacing w:val="-15"/>
        </w:rPr>
        <w:t xml:space="preserve"> </w:t>
      </w:r>
      <w:r w:rsidRPr="00C30899">
        <w:t>information</w:t>
      </w:r>
      <w:r w:rsidRPr="00C30899">
        <w:rPr>
          <w:spacing w:val="-24"/>
        </w:rPr>
        <w:t xml:space="preserve"> </w:t>
      </w:r>
      <w:r w:rsidRPr="00C30899">
        <w:t>as a</w:t>
      </w:r>
      <w:r w:rsidRPr="00C30899">
        <w:rPr>
          <w:spacing w:val="-11"/>
        </w:rPr>
        <w:t xml:space="preserve"> </w:t>
      </w:r>
      <w:r w:rsidRPr="00C30899">
        <w:t>facilitator</w:t>
      </w:r>
      <w:r w:rsidRPr="00C30899">
        <w:rPr>
          <w:spacing w:val="-13"/>
        </w:rPr>
        <w:t xml:space="preserve"> </w:t>
      </w:r>
      <w:r w:rsidRPr="00C30899">
        <w:t>of autonomy and convenience, and navigating credibility and risk in online health-seeking. Together, these themes illustrate how elderly adults use online resources to check symptoms, assess severity, save time and costs, and prepare for medical consultations, while also facing challenges related to misinformation, conflicting information, and complex medical terminology. The figure highlights that online health information serves as a supplementary tool rather than a substitute for professional healthcare, with its impact shaped by digital health literacy, access to technology, trust in online sources, and sociocultural context.</w:t>
      </w:r>
    </w:p>
    <w:p w14:paraId="6C5B273E" w14:textId="77777777" w:rsidR="00280950" w:rsidRPr="00C30899" w:rsidRDefault="00280950">
      <w:pPr>
        <w:pStyle w:val="BodyText"/>
        <w:spacing w:before="1"/>
      </w:pPr>
    </w:p>
    <w:p w14:paraId="0EE5A72F" w14:textId="77777777" w:rsidR="00D55074" w:rsidRDefault="00D55074" w:rsidP="00C30899">
      <w:pPr>
        <w:pStyle w:val="BodyText"/>
        <w:ind w:firstLine="298"/>
        <w:rPr>
          <w:b/>
          <w:bCs/>
          <w:lang w:val="en-PH"/>
        </w:rPr>
      </w:pPr>
      <w:r w:rsidRPr="00C30899">
        <w:rPr>
          <w:b/>
          <w:bCs/>
          <w:lang w:val="en-PH"/>
        </w:rPr>
        <w:t>Theme 1: Online Symptom Interpretation as Preliminary Assessment</w:t>
      </w:r>
    </w:p>
    <w:p w14:paraId="1F10A06B" w14:textId="77777777" w:rsidR="00C30899" w:rsidRPr="00C30899" w:rsidRDefault="00C30899" w:rsidP="00D55074">
      <w:pPr>
        <w:pStyle w:val="BodyText"/>
        <w:rPr>
          <w:b/>
          <w:bCs/>
          <w:lang w:val="en-PH"/>
        </w:rPr>
      </w:pPr>
    </w:p>
    <w:p w14:paraId="1B4B8038" w14:textId="77777777" w:rsidR="00D55074" w:rsidRPr="00C30899" w:rsidRDefault="00D55074" w:rsidP="009118D3">
      <w:pPr>
        <w:pStyle w:val="BodyText"/>
        <w:ind w:firstLine="298"/>
        <w:jc w:val="both"/>
        <w:rPr>
          <w:lang w:val="en-PH"/>
        </w:rPr>
      </w:pPr>
      <w:r w:rsidRPr="00C30899">
        <w:rPr>
          <w:lang w:val="en-PH"/>
        </w:rPr>
        <w:t xml:space="preserve">Participants reported using online platforms such as search engines and health-related websites to explore unfamiliar symptoms and possible illnesses. Online health information functioned as an initial interpretive layer that helped participants judge symptom severity and decide whether to observe symptoms, attempt self-care, or seek professional consultation. Similar patterns have been observed in recent studies indicating that older adults use online health information as a preliminary decision-support tool rather than as a diagnostic substitute (Murray et al., 2019; van der </w:t>
      </w:r>
      <w:proofErr w:type="spellStart"/>
      <w:r w:rsidRPr="00C30899">
        <w:rPr>
          <w:lang w:val="en-PH"/>
        </w:rPr>
        <w:t>Vaart</w:t>
      </w:r>
      <w:proofErr w:type="spellEnd"/>
      <w:r w:rsidRPr="00C30899">
        <w:rPr>
          <w:lang w:val="en-PH"/>
        </w:rPr>
        <w:t xml:space="preserve"> &amp; </w:t>
      </w:r>
      <w:proofErr w:type="spellStart"/>
      <w:r w:rsidRPr="00C30899">
        <w:rPr>
          <w:lang w:val="en-PH"/>
        </w:rPr>
        <w:t>Drossaert</w:t>
      </w:r>
      <w:proofErr w:type="spellEnd"/>
      <w:r w:rsidRPr="00C30899">
        <w:rPr>
          <w:lang w:val="en-PH"/>
        </w:rPr>
        <w:t>, 2017).</w:t>
      </w:r>
    </w:p>
    <w:p w14:paraId="3A82A0C6" w14:textId="77777777" w:rsidR="00D55074" w:rsidRPr="00C30899" w:rsidRDefault="00D55074" w:rsidP="009118D3">
      <w:pPr>
        <w:pStyle w:val="BodyText"/>
        <w:ind w:firstLine="298"/>
        <w:jc w:val="both"/>
        <w:rPr>
          <w:b/>
          <w:bCs/>
          <w:lang w:val="en-PH"/>
        </w:rPr>
      </w:pPr>
      <w:r w:rsidRPr="00C30899">
        <w:rPr>
          <w:lang w:val="en-PH"/>
        </w:rPr>
        <w:t xml:space="preserve">Recent evidence suggests that online symptom interpretation supports older adults by reducing uncertainty and increasing confidence prior to clinical encounters. For example, </w:t>
      </w:r>
      <w:r w:rsidRPr="00C30899">
        <w:rPr>
          <w:lang w:val="en-PH"/>
        </w:rPr>
        <w:lastRenderedPageBreak/>
        <w:t>studies have shown that pre-consultation information seeking enables older adults to better articulate concerns and engage more actively during medical visits (</w:t>
      </w:r>
      <w:proofErr w:type="spellStart"/>
      <w:r w:rsidRPr="00C30899">
        <w:rPr>
          <w:lang w:val="en-PH"/>
        </w:rPr>
        <w:t>Bujnowska-Fedak</w:t>
      </w:r>
      <w:proofErr w:type="spellEnd"/>
      <w:r w:rsidRPr="00C30899">
        <w:rPr>
          <w:lang w:val="en-PH"/>
        </w:rPr>
        <w:t xml:space="preserve"> &amp; </w:t>
      </w:r>
      <w:proofErr w:type="spellStart"/>
      <w:r w:rsidRPr="00C30899">
        <w:rPr>
          <w:lang w:val="en-PH"/>
        </w:rPr>
        <w:t>Węgierek</w:t>
      </w:r>
      <w:proofErr w:type="spellEnd"/>
      <w:r w:rsidRPr="00C30899">
        <w:rPr>
          <w:lang w:val="en-PH"/>
        </w:rPr>
        <w:t>, 2020). This behavior reflects a growing tendency for older adults to integrate digital information into health appraisal processes in a cautious and pragmatic manner.</w:t>
      </w:r>
    </w:p>
    <w:p w14:paraId="405EA582" w14:textId="09932935" w:rsidR="00D55074" w:rsidRPr="00C30899" w:rsidRDefault="00D55074" w:rsidP="00D55074">
      <w:pPr>
        <w:pStyle w:val="BodyText"/>
        <w:rPr>
          <w:b/>
          <w:bCs/>
          <w:lang w:val="en-PH"/>
        </w:rPr>
      </w:pPr>
    </w:p>
    <w:p w14:paraId="0A0038A8" w14:textId="77777777" w:rsidR="00D55074" w:rsidRDefault="00D55074" w:rsidP="009118D3">
      <w:pPr>
        <w:pStyle w:val="BodyText"/>
        <w:ind w:firstLine="298"/>
        <w:rPr>
          <w:b/>
          <w:bCs/>
          <w:lang w:val="en-PH"/>
        </w:rPr>
      </w:pPr>
      <w:r w:rsidRPr="00C30899">
        <w:rPr>
          <w:b/>
          <w:bCs/>
          <w:lang w:val="en-PH"/>
        </w:rPr>
        <w:t>Theme 2: Digital Information as a Facilitator of Autonomy and Convenience</w:t>
      </w:r>
    </w:p>
    <w:p w14:paraId="43E49031" w14:textId="77777777" w:rsidR="009118D3" w:rsidRPr="00C30899" w:rsidRDefault="009118D3" w:rsidP="009118D3">
      <w:pPr>
        <w:pStyle w:val="BodyText"/>
        <w:ind w:firstLine="298"/>
        <w:rPr>
          <w:b/>
          <w:bCs/>
          <w:lang w:val="en-PH"/>
        </w:rPr>
      </w:pPr>
    </w:p>
    <w:p w14:paraId="458A42FF" w14:textId="77777777" w:rsidR="00D55074" w:rsidRPr="009118D3" w:rsidRDefault="00D55074" w:rsidP="009118D3">
      <w:pPr>
        <w:pStyle w:val="BodyText"/>
        <w:ind w:firstLine="298"/>
        <w:jc w:val="both"/>
        <w:rPr>
          <w:lang w:val="en-PH"/>
        </w:rPr>
      </w:pPr>
      <w:r w:rsidRPr="009118D3">
        <w:rPr>
          <w:lang w:val="en-PH"/>
        </w:rPr>
        <w:t>Participants emphasized convenience, immediacy, and reduced financial burden as major advantages of accessing online health information. Digital platforms allowed participants to obtain health-related knowledge without travel, waiting time, or immediate costs. Comparable findings have been reported in studies showing that digital health information enhances perceived autonomy and supports independent health management among older adults (</w:t>
      </w:r>
      <w:proofErr w:type="spellStart"/>
      <w:r w:rsidRPr="009118D3">
        <w:rPr>
          <w:lang w:val="en-PH"/>
        </w:rPr>
        <w:t>Gell</w:t>
      </w:r>
      <w:proofErr w:type="spellEnd"/>
      <w:r w:rsidRPr="009118D3">
        <w:rPr>
          <w:lang w:val="en-PH"/>
        </w:rPr>
        <w:t xml:space="preserve"> et al., 2019; Chang et al., 2021).</w:t>
      </w:r>
    </w:p>
    <w:p w14:paraId="643912CA" w14:textId="77777777" w:rsidR="00D55074" w:rsidRPr="00C30899" w:rsidRDefault="00D55074" w:rsidP="009118D3">
      <w:pPr>
        <w:pStyle w:val="BodyText"/>
        <w:jc w:val="both"/>
        <w:rPr>
          <w:b/>
          <w:bCs/>
          <w:lang w:val="en-PH"/>
        </w:rPr>
      </w:pPr>
      <w:r w:rsidRPr="009118D3">
        <w:rPr>
          <w:lang w:val="en-PH"/>
        </w:rPr>
        <w:t>For older adults managing chronic conditions or physical limitations, digital access has been linked to improved informational control and greater involvement in self-care decisions (</w:t>
      </w:r>
      <w:proofErr w:type="spellStart"/>
      <w:r w:rsidRPr="009118D3">
        <w:rPr>
          <w:lang w:val="en-PH"/>
        </w:rPr>
        <w:t>Mitzner</w:t>
      </w:r>
      <w:proofErr w:type="spellEnd"/>
      <w:r w:rsidRPr="009118D3">
        <w:rPr>
          <w:lang w:val="en-PH"/>
        </w:rPr>
        <w:t xml:space="preserve"> et al., 2019). Rather than replacing healthcare professionals, online resources were described as tools that supported preparation for consultations and facilitated understanding of treatment options, reinforcing evidence that digital health engagement promotes patient activation among older populations (</w:t>
      </w:r>
      <w:proofErr w:type="spellStart"/>
      <w:r w:rsidRPr="009118D3">
        <w:rPr>
          <w:lang w:val="en-PH"/>
        </w:rPr>
        <w:t>Barello</w:t>
      </w:r>
      <w:proofErr w:type="spellEnd"/>
      <w:r w:rsidRPr="009118D3">
        <w:rPr>
          <w:lang w:val="en-PH"/>
        </w:rPr>
        <w:t xml:space="preserve"> et al., 2020).</w:t>
      </w:r>
    </w:p>
    <w:p w14:paraId="7C92CDA2" w14:textId="327C755A" w:rsidR="00D55074" w:rsidRPr="00C30899" w:rsidRDefault="00D55074" w:rsidP="00D55074">
      <w:pPr>
        <w:pStyle w:val="BodyText"/>
        <w:rPr>
          <w:b/>
          <w:bCs/>
          <w:lang w:val="en-PH"/>
        </w:rPr>
      </w:pPr>
    </w:p>
    <w:p w14:paraId="26E7C287" w14:textId="77777777" w:rsidR="00D55074" w:rsidRPr="00C30899" w:rsidRDefault="00D55074" w:rsidP="00D55074">
      <w:pPr>
        <w:pStyle w:val="BodyText"/>
        <w:rPr>
          <w:b/>
          <w:bCs/>
          <w:lang w:val="en-PH"/>
        </w:rPr>
      </w:pPr>
      <w:r w:rsidRPr="00C30899">
        <w:rPr>
          <w:b/>
          <w:bCs/>
          <w:lang w:val="en-PH"/>
        </w:rPr>
        <w:t>Theme 3: Navigating Credibility and Risk in Online Health-Seeking</w:t>
      </w:r>
    </w:p>
    <w:p w14:paraId="2D8C9492" w14:textId="77777777" w:rsidR="009118D3" w:rsidRDefault="009118D3" w:rsidP="009118D3">
      <w:pPr>
        <w:pStyle w:val="BodyText"/>
        <w:jc w:val="both"/>
        <w:rPr>
          <w:lang w:val="en-PH"/>
        </w:rPr>
      </w:pPr>
    </w:p>
    <w:p w14:paraId="241E867E" w14:textId="6BAED775" w:rsidR="00D55074" w:rsidRPr="009118D3" w:rsidRDefault="00D55074" w:rsidP="009118D3">
      <w:pPr>
        <w:pStyle w:val="BodyText"/>
        <w:ind w:firstLine="720"/>
        <w:jc w:val="both"/>
        <w:rPr>
          <w:lang w:val="en-PH"/>
        </w:rPr>
      </w:pPr>
      <w:r w:rsidRPr="009118D3">
        <w:rPr>
          <w:lang w:val="en-PH"/>
        </w:rPr>
        <w:t>Despite perceived benefits, participants expressed concern about misinformation, inconsistent search results, and difficulty interpreting medical terminology. Recent research confirms that older adults often face challenges in evaluating the reliability of online health information, particularly when content lacks clear authorship or institutional endorsement (</w:t>
      </w:r>
      <w:proofErr w:type="spellStart"/>
      <w:r w:rsidRPr="009118D3">
        <w:rPr>
          <w:lang w:val="en-PH"/>
        </w:rPr>
        <w:t>Neter</w:t>
      </w:r>
      <w:proofErr w:type="spellEnd"/>
      <w:r w:rsidRPr="009118D3">
        <w:rPr>
          <w:lang w:val="en-PH"/>
        </w:rPr>
        <w:t xml:space="preserve"> &amp; </w:t>
      </w:r>
      <w:proofErr w:type="spellStart"/>
      <w:r w:rsidRPr="009118D3">
        <w:rPr>
          <w:lang w:val="en-PH"/>
        </w:rPr>
        <w:t>Brainin</w:t>
      </w:r>
      <w:proofErr w:type="spellEnd"/>
      <w:r w:rsidRPr="009118D3">
        <w:rPr>
          <w:lang w:val="en-PH"/>
        </w:rPr>
        <w:t>, 2019). Difficulty distinguishing credible information from misleading content has been associated with increased confusion and delayed professional consultation (</w:t>
      </w:r>
      <w:proofErr w:type="spellStart"/>
      <w:r w:rsidRPr="009118D3">
        <w:rPr>
          <w:lang w:val="en-PH"/>
        </w:rPr>
        <w:t>Diviani</w:t>
      </w:r>
      <w:proofErr w:type="spellEnd"/>
      <w:r w:rsidRPr="009118D3">
        <w:rPr>
          <w:lang w:val="en-PH"/>
        </w:rPr>
        <w:t xml:space="preserve"> et al., 2020).</w:t>
      </w:r>
    </w:p>
    <w:p w14:paraId="421A5442" w14:textId="77777777" w:rsidR="00D55074" w:rsidRDefault="00D55074" w:rsidP="009118D3">
      <w:pPr>
        <w:pStyle w:val="BodyText"/>
        <w:ind w:firstLine="720"/>
        <w:jc w:val="both"/>
        <w:rPr>
          <w:lang w:val="en-PH"/>
        </w:rPr>
      </w:pPr>
      <w:r w:rsidRPr="009118D3">
        <w:rPr>
          <w:lang w:val="en-PH"/>
        </w:rPr>
        <w:t>Studies conducted during and after the COVID-19 pandemic further highlight older adults’ vulnerability to online health misinformation, especially when digital literacy support is limited (Pickles et al., 2021). Research also indicates that older users frequently rely on surface-level cues—such as website appearance or familiarity—when judging credibility, which may increase susceptibility to inaccurate health claims (</w:t>
      </w:r>
      <w:proofErr w:type="spellStart"/>
      <w:r w:rsidRPr="009118D3">
        <w:rPr>
          <w:lang w:val="en-PH"/>
        </w:rPr>
        <w:t>Sillence</w:t>
      </w:r>
      <w:proofErr w:type="spellEnd"/>
      <w:r w:rsidRPr="009118D3">
        <w:rPr>
          <w:lang w:val="en-PH"/>
        </w:rPr>
        <w:t xml:space="preserve"> et al., 2021). These findings suggest that digital health environments present both opportunities and risks, depending on users’ evaluative skills and contextual supports.</w:t>
      </w:r>
    </w:p>
    <w:p w14:paraId="366ACEAD" w14:textId="77777777" w:rsidR="00506D81" w:rsidRDefault="00506D81" w:rsidP="009118D3">
      <w:pPr>
        <w:pStyle w:val="BodyText"/>
        <w:ind w:firstLine="720"/>
        <w:jc w:val="both"/>
        <w:rPr>
          <w:lang w:val="en-PH"/>
        </w:rPr>
      </w:pPr>
    </w:p>
    <w:p w14:paraId="7B79ACCF" w14:textId="760124CE" w:rsidR="00506D81" w:rsidRPr="009118D3" w:rsidRDefault="00506D81" w:rsidP="009118D3">
      <w:pPr>
        <w:pStyle w:val="BodyText"/>
        <w:ind w:firstLine="720"/>
        <w:jc w:val="both"/>
        <w:rPr>
          <w:lang w:val="en-PH"/>
        </w:rPr>
      </w:pPr>
      <w:r w:rsidRPr="00506D81">
        <w:t>The findings of this study align with broader national and global digital health strategies that emphasize the importance of inclusive and equitable digital health engagement. The World Health Organization’s digital health framework highlights digital literacy, user trust, and capacity-building as essential components of effective digital health systems, particularly for vulnerable populations such as older adults. The experiences reported by elderly participants in this study—characterized by both increased access to health information and challenges related to credibility and interpretation—underscore the relevance of these strategic priorities. In the Philippine context, ongoing eHealth and digital health initiatives aimed at expanding access to health information and services would benefit from greater attention to age-specific digital health literacy support. Integrating targeted guidance for older adults into existing digital health strategies may help maximize the benefits of online health information while mitigating risks associated with misinformation and misinterpretation.</w:t>
      </w:r>
    </w:p>
    <w:p w14:paraId="071F4292" w14:textId="052C82A1" w:rsidR="00D55074" w:rsidRPr="00C30899" w:rsidRDefault="00D55074" w:rsidP="009118D3">
      <w:pPr>
        <w:pStyle w:val="BodyText"/>
        <w:jc w:val="both"/>
        <w:rPr>
          <w:b/>
          <w:bCs/>
          <w:lang w:val="en-PH"/>
        </w:rPr>
      </w:pPr>
    </w:p>
    <w:p w14:paraId="55497F4E" w14:textId="77777777" w:rsidR="00D55074" w:rsidRPr="00C30899" w:rsidRDefault="00D55074" w:rsidP="00D55074">
      <w:pPr>
        <w:pStyle w:val="BodyText"/>
        <w:rPr>
          <w:b/>
          <w:bCs/>
          <w:lang w:val="en-PH"/>
        </w:rPr>
      </w:pPr>
      <w:r w:rsidRPr="00C30899">
        <w:rPr>
          <w:b/>
          <w:bCs/>
          <w:lang w:val="en-PH"/>
        </w:rPr>
        <w:t>Conclusions</w:t>
      </w:r>
    </w:p>
    <w:p w14:paraId="580FF711" w14:textId="77777777" w:rsidR="009118D3" w:rsidRDefault="009118D3" w:rsidP="009118D3">
      <w:pPr>
        <w:pStyle w:val="BodyText"/>
        <w:jc w:val="both"/>
        <w:rPr>
          <w:lang w:val="en-PH"/>
        </w:rPr>
      </w:pPr>
    </w:p>
    <w:p w14:paraId="7FA5A9E0" w14:textId="179C08F2" w:rsidR="00D55074" w:rsidRPr="009118D3" w:rsidRDefault="00D55074" w:rsidP="009118D3">
      <w:pPr>
        <w:pStyle w:val="BodyText"/>
        <w:ind w:firstLine="720"/>
        <w:jc w:val="both"/>
        <w:rPr>
          <w:lang w:val="en-PH"/>
        </w:rPr>
      </w:pPr>
      <w:r w:rsidRPr="009118D3">
        <w:rPr>
          <w:lang w:val="en-PH"/>
        </w:rPr>
        <w:lastRenderedPageBreak/>
        <w:t>This study demonstrates that elderly adults use online health information as a practical resource for symptom interpretation, decision support, and health management. Online platforms served as an initial assessment tool that enabled participants to make sense of health concerns and determine the need for professional care. Digital health information also enhanced autonomy and convenience by reducing logistical and financial barriers to healthcare access.</w:t>
      </w:r>
    </w:p>
    <w:p w14:paraId="1172EEB7" w14:textId="77777777" w:rsidR="00D55074" w:rsidRPr="009118D3" w:rsidRDefault="00D55074" w:rsidP="009118D3">
      <w:pPr>
        <w:pStyle w:val="BodyText"/>
        <w:jc w:val="both"/>
        <w:rPr>
          <w:lang w:val="en-PH"/>
        </w:rPr>
      </w:pPr>
      <w:r w:rsidRPr="009118D3">
        <w:rPr>
          <w:lang w:val="en-PH"/>
        </w:rPr>
        <w:t>However, challenges related to credibility, misinformation, and comprehension limited the effectiveness of online health-seeking, underscoring the importance of digital health literacy. Overall, online health information complemented rather than replaced formal healthcare services by shaping perceptions, supporting self-management, and influencing the timing of care-seeking decisions.</w:t>
      </w:r>
    </w:p>
    <w:p w14:paraId="013C8B2C" w14:textId="77862821" w:rsidR="00D55074" w:rsidRPr="00C30899" w:rsidRDefault="00D55074" w:rsidP="009118D3">
      <w:pPr>
        <w:pStyle w:val="BodyText"/>
        <w:jc w:val="both"/>
        <w:rPr>
          <w:b/>
          <w:bCs/>
          <w:lang w:val="en-PH"/>
        </w:rPr>
      </w:pPr>
    </w:p>
    <w:p w14:paraId="0AB3BC4D" w14:textId="77777777" w:rsidR="00D55074" w:rsidRPr="00C30899" w:rsidRDefault="00D55074" w:rsidP="00D55074">
      <w:pPr>
        <w:pStyle w:val="BodyText"/>
        <w:rPr>
          <w:b/>
          <w:bCs/>
          <w:lang w:val="en-PH"/>
        </w:rPr>
      </w:pPr>
      <w:r w:rsidRPr="00C30899">
        <w:rPr>
          <w:b/>
          <w:bCs/>
          <w:lang w:val="en-PH"/>
        </w:rPr>
        <w:t>Implications for Practice and Public Health</w:t>
      </w:r>
    </w:p>
    <w:p w14:paraId="56A1B8B4" w14:textId="77777777" w:rsidR="009118D3" w:rsidRDefault="009118D3" w:rsidP="00D55074">
      <w:pPr>
        <w:pStyle w:val="BodyText"/>
        <w:rPr>
          <w:b/>
          <w:bCs/>
          <w:lang w:val="en-PH"/>
        </w:rPr>
      </w:pPr>
    </w:p>
    <w:p w14:paraId="2C4B9AFC" w14:textId="70BE7BD6" w:rsidR="00D55074" w:rsidRPr="009118D3" w:rsidRDefault="00D55074" w:rsidP="009118D3">
      <w:pPr>
        <w:pStyle w:val="BodyText"/>
        <w:ind w:firstLine="720"/>
        <w:jc w:val="both"/>
        <w:rPr>
          <w:lang w:val="en-PH"/>
        </w:rPr>
      </w:pPr>
      <w:r w:rsidRPr="009118D3">
        <w:rPr>
          <w:lang w:val="en-PH"/>
        </w:rPr>
        <w:t>The findings highlight the need for targeted digital health literacy interventions for older adults. Healthcare providers can play a critical role by guiding elderly patients toward reliable online health resources and helping them interpret symptom-related information accurately. Community health centers, primary care clinics, and senior organizations are well-positioned to deliver structured digital health education.</w:t>
      </w:r>
    </w:p>
    <w:p w14:paraId="6B857FB0" w14:textId="77777777" w:rsidR="00D55074" w:rsidRPr="009118D3" w:rsidRDefault="00D55074" w:rsidP="009118D3">
      <w:pPr>
        <w:pStyle w:val="BodyText"/>
        <w:ind w:firstLine="720"/>
        <w:jc w:val="both"/>
        <w:rPr>
          <w:lang w:val="en-PH"/>
        </w:rPr>
      </w:pPr>
      <w:r w:rsidRPr="009118D3">
        <w:rPr>
          <w:lang w:val="en-PH"/>
        </w:rPr>
        <w:t>At the public health level, ensuring equitable access to trustworthy digital health information aligns with global digital health priorities. Tailored interventions—such as simplified digital interfaces, caregiver-assisted navigation, and community-based digital training—may reduce exposure to misinformation and enhance informed health decision-making. Strengthening elderly users’ capacity to evaluate and apply online health information remains essential for improving health outcomes and promoting equity in increasingly digital health systems.</w:t>
      </w:r>
    </w:p>
    <w:p w14:paraId="2309A0A6" w14:textId="77777777" w:rsidR="00280950" w:rsidRPr="00C30899" w:rsidRDefault="00280950">
      <w:pPr>
        <w:pStyle w:val="BodyText"/>
      </w:pPr>
    </w:p>
    <w:p w14:paraId="6423CA06" w14:textId="77777777" w:rsidR="009C3E60" w:rsidRDefault="00711468" w:rsidP="009C3E60">
      <w:pPr>
        <w:pStyle w:val="Heading1"/>
        <w:ind w:left="0"/>
        <w:rPr>
          <w:spacing w:val="-2"/>
        </w:rPr>
      </w:pPr>
      <w:r w:rsidRPr="00C30899">
        <w:t>COMPETING</w:t>
      </w:r>
      <w:r w:rsidRPr="00C30899">
        <w:rPr>
          <w:spacing w:val="12"/>
        </w:rPr>
        <w:t xml:space="preserve"> </w:t>
      </w:r>
      <w:r w:rsidRPr="00C30899">
        <w:rPr>
          <w:spacing w:val="-2"/>
        </w:rPr>
        <w:t>INTERESTS</w:t>
      </w:r>
    </w:p>
    <w:p w14:paraId="3C0168E7" w14:textId="77777777" w:rsidR="009C3E60" w:rsidRDefault="009C3E60" w:rsidP="009C3E60">
      <w:pPr>
        <w:pStyle w:val="Heading1"/>
        <w:ind w:left="0"/>
        <w:rPr>
          <w:spacing w:val="-2"/>
        </w:rPr>
      </w:pPr>
    </w:p>
    <w:p w14:paraId="012521A0" w14:textId="4C0A2384" w:rsidR="00280950" w:rsidRPr="009C3E60" w:rsidRDefault="00711468" w:rsidP="009C3E60">
      <w:pPr>
        <w:pStyle w:val="Heading1"/>
        <w:ind w:left="0"/>
        <w:rPr>
          <w:b w:val="0"/>
          <w:bCs w:val="0"/>
        </w:rPr>
      </w:pPr>
      <w:r w:rsidRPr="009C3E60">
        <w:rPr>
          <w:b w:val="0"/>
          <w:bCs w:val="0"/>
        </w:rPr>
        <w:t xml:space="preserve">The authors declare that they have no financial or personal relationships with other individuals or organizations that could inappropriately influence or bias reported in this </w:t>
      </w:r>
      <w:r w:rsidRPr="009C3E60">
        <w:rPr>
          <w:b w:val="0"/>
          <w:bCs w:val="0"/>
          <w:spacing w:val="-2"/>
        </w:rPr>
        <w:t>manuscript.</w:t>
      </w:r>
    </w:p>
    <w:p w14:paraId="0887A090" w14:textId="77777777" w:rsidR="00280950" w:rsidRPr="00C30899" w:rsidRDefault="00280950">
      <w:pPr>
        <w:pStyle w:val="BodyText"/>
        <w:spacing w:before="7"/>
      </w:pPr>
    </w:p>
    <w:p w14:paraId="4357CFF1" w14:textId="1D22399E" w:rsidR="00280950" w:rsidRPr="009C3E60" w:rsidRDefault="00711468" w:rsidP="009C3E60">
      <w:pPr>
        <w:pStyle w:val="Heading1"/>
        <w:spacing w:before="1"/>
        <w:ind w:left="0"/>
      </w:pPr>
      <w:r w:rsidRPr="00C30899">
        <w:rPr>
          <w:spacing w:val="-2"/>
        </w:rPr>
        <w:t>CONSENT</w:t>
      </w:r>
    </w:p>
    <w:p w14:paraId="07FAEB2A" w14:textId="77777777" w:rsidR="009C3E60" w:rsidRDefault="009C3E60" w:rsidP="009C3E60">
      <w:pPr>
        <w:pStyle w:val="BodyText"/>
        <w:spacing w:before="1"/>
        <w:jc w:val="both"/>
      </w:pPr>
    </w:p>
    <w:p w14:paraId="6403BF21" w14:textId="6B0642A9" w:rsidR="00280950" w:rsidRPr="00627470" w:rsidRDefault="00627470" w:rsidP="00627470">
      <w:pPr>
        <w:pStyle w:val="BodyText"/>
        <w:jc w:val="both"/>
      </w:pPr>
      <w:r w:rsidRPr="00627470">
        <w:t>Written informed consent was obtained from all participants prior to data collection. Personal identifiers were removed from transcripts and stored separately to maintain privacy.</w:t>
      </w:r>
    </w:p>
    <w:p w14:paraId="7EC8442E" w14:textId="77777777" w:rsidR="00280950" w:rsidRPr="00C30899" w:rsidRDefault="00280950">
      <w:pPr>
        <w:pStyle w:val="BodyText"/>
        <w:spacing w:before="4"/>
      </w:pPr>
    </w:p>
    <w:p w14:paraId="63EC87D4" w14:textId="77777777" w:rsidR="00280950" w:rsidRPr="00C30899" w:rsidRDefault="00711468" w:rsidP="009C3E60">
      <w:pPr>
        <w:pStyle w:val="Heading1"/>
        <w:spacing w:before="1"/>
        <w:ind w:left="0"/>
      </w:pPr>
      <w:r w:rsidRPr="00C30899">
        <w:t>ETHICAL</w:t>
      </w:r>
      <w:r w:rsidRPr="00C30899">
        <w:rPr>
          <w:spacing w:val="9"/>
        </w:rPr>
        <w:t xml:space="preserve"> </w:t>
      </w:r>
      <w:r w:rsidRPr="00C30899">
        <w:rPr>
          <w:spacing w:val="-2"/>
        </w:rPr>
        <w:t>APPROVAL</w:t>
      </w:r>
    </w:p>
    <w:p w14:paraId="1AAC6DD3" w14:textId="77777777" w:rsidR="009C3E60" w:rsidRDefault="009C3E60" w:rsidP="009C3E60">
      <w:pPr>
        <w:pStyle w:val="BodyText"/>
        <w:spacing w:before="1" w:line="237" w:lineRule="auto"/>
        <w:ind w:right="298"/>
        <w:jc w:val="both"/>
        <w:rPr>
          <w:b/>
        </w:rPr>
      </w:pPr>
    </w:p>
    <w:p w14:paraId="695FEF66" w14:textId="401C59C3" w:rsidR="00280950" w:rsidRPr="00C30899" w:rsidRDefault="00711468" w:rsidP="009C3E60">
      <w:pPr>
        <w:pStyle w:val="BodyText"/>
        <w:spacing w:before="1" w:line="237" w:lineRule="auto"/>
        <w:ind w:right="298"/>
        <w:jc w:val="both"/>
      </w:pPr>
      <w:r w:rsidRPr="00C30899">
        <w:t>During the period of data collection, no formal institutional review board was available for community-based non-clinical survey</w:t>
      </w:r>
      <w:r w:rsidRPr="00C30899">
        <w:rPr>
          <w:spacing w:val="-3"/>
        </w:rPr>
        <w:t xml:space="preserve"> </w:t>
      </w:r>
      <w:r w:rsidRPr="00C30899">
        <w:t>studies in</w:t>
      </w:r>
      <w:r w:rsidRPr="00C30899">
        <w:rPr>
          <w:spacing w:val="-3"/>
        </w:rPr>
        <w:t xml:space="preserve"> </w:t>
      </w:r>
      <w:r w:rsidRPr="00C30899">
        <w:t>the locality. Nonetheless, the</w:t>
      </w:r>
      <w:r w:rsidRPr="00C30899">
        <w:rPr>
          <w:spacing w:val="-3"/>
        </w:rPr>
        <w:t xml:space="preserve"> </w:t>
      </w:r>
      <w:r w:rsidRPr="00C30899">
        <w:t>study adhered to ethical</w:t>
      </w:r>
      <w:r w:rsidRPr="00C30899">
        <w:rPr>
          <w:spacing w:val="-9"/>
        </w:rPr>
        <w:t xml:space="preserve"> </w:t>
      </w:r>
      <w:r w:rsidRPr="00C30899">
        <w:t>standards involving human participants, including voluntary participation, informed consent, confidentiality, and anonymity of responses. No personally identifiable information was collected and participation posed minimal risk.</w:t>
      </w:r>
    </w:p>
    <w:p w14:paraId="207003D5" w14:textId="77777777" w:rsidR="00280950" w:rsidRPr="00C30899" w:rsidRDefault="00280950">
      <w:pPr>
        <w:spacing w:line="237" w:lineRule="auto"/>
        <w:jc w:val="both"/>
        <w:rPr>
          <w:sz w:val="20"/>
          <w:szCs w:val="20"/>
        </w:rPr>
        <w:sectPr w:rsidR="00280950" w:rsidRPr="00C30899" w:rsidSect="00627470">
          <w:pgSz w:w="12240" w:h="15840"/>
          <w:pgMar w:top="1440" w:right="2070" w:bottom="2070" w:left="2070" w:header="720" w:footer="720" w:gutter="0"/>
          <w:cols w:space="720"/>
        </w:sectPr>
      </w:pPr>
    </w:p>
    <w:p w14:paraId="4849580F" w14:textId="77777777" w:rsidR="00711468" w:rsidRPr="00005ED1" w:rsidRDefault="00711468" w:rsidP="00711468">
      <w:pPr>
        <w:pStyle w:val="NoSpacing"/>
        <w:rPr>
          <w:rFonts w:ascii="Arial" w:hAnsi="Arial" w:cs="Arial"/>
          <w:highlight w:val="yellow"/>
        </w:rPr>
      </w:pPr>
      <w:bookmarkStart w:id="1" w:name="_Hlk198031404"/>
      <w:r w:rsidRPr="00005ED1">
        <w:rPr>
          <w:rFonts w:ascii="Arial" w:hAnsi="Arial" w:cs="Arial"/>
          <w:highlight w:val="yellow"/>
        </w:rPr>
        <w:lastRenderedPageBreak/>
        <w:t>Disclaimer (Artificial intelligence)</w:t>
      </w:r>
    </w:p>
    <w:p w14:paraId="40C4084C" w14:textId="77777777" w:rsidR="00711468" w:rsidRPr="00005ED1" w:rsidRDefault="00711468" w:rsidP="00711468">
      <w:pPr>
        <w:pStyle w:val="NoSpacing"/>
        <w:rPr>
          <w:rFonts w:ascii="Arial" w:hAnsi="Arial" w:cs="Arial"/>
          <w:highlight w:val="yellow"/>
        </w:rPr>
      </w:pPr>
    </w:p>
    <w:p w14:paraId="3B7F2513" w14:textId="77777777" w:rsidR="00711468" w:rsidRPr="00005ED1" w:rsidRDefault="00711468" w:rsidP="00711468">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17BE1F19" w14:textId="77777777" w:rsidR="00711468" w:rsidRDefault="00711468" w:rsidP="00711468">
      <w:pPr>
        <w:pStyle w:val="NoSpacing"/>
        <w:rPr>
          <w:rFonts w:ascii="Arial" w:hAnsi="Arial" w:cs="Arial"/>
        </w:rPr>
      </w:pPr>
    </w:p>
    <w:p w14:paraId="73BBC9B6" w14:textId="77777777" w:rsidR="00711468" w:rsidRDefault="00711468" w:rsidP="00711468">
      <w:pPr>
        <w:pStyle w:val="NoSpacing"/>
        <w:rPr>
          <w:rFonts w:ascii="Arial" w:hAnsi="Arial" w:cs="Arial"/>
        </w:rPr>
      </w:pPr>
    </w:p>
    <w:p w14:paraId="06363DD6" w14:textId="77777777" w:rsidR="00711468" w:rsidRPr="00005ED1" w:rsidRDefault="00711468" w:rsidP="00711468">
      <w:pPr>
        <w:pStyle w:val="NoSpacing"/>
        <w:rPr>
          <w:rFonts w:ascii="Arial" w:hAnsi="Arial" w:cs="Arial"/>
        </w:rPr>
      </w:pPr>
    </w:p>
    <w:p w14:paraId="7E89629A" w14:textId="77777777" w:rsidR="00280950" w:rsidRPr="00C30899" w:rsidRDefault="00711468">
      <w:pPr>
        <w:pStyle w:val="Heading1"/>
        <w:spacing w:before="97"/>
      </w:pPr>
      <w:r w:rsidRPr="00C30899">
        <w:rPr>
          <w:spacing w:val="-2"/>
        </w:rPr>
        <w:t>REFERENCES</w:t>
      </w:r>
    </w:p>
    <w:p w14:paraId="7798B856" w14:textId="77777777" w:rsidR="00280950" w:rsidRPr="00C30899" w:rsidRDefault="00280950">
      <w:pPr>
        <w:pStyle w:val="BodyText"/>
        <w:spacing w:before="10"/>
        <w:rPr>
          <w:b/>
        </w:rPr>
      </w:pPr>
    </w:p>
    <w:p w14:paraId="6DA9FCE7" w14:textId="77777777" w:rsidR="00D55074" w:rsidRPr="00C30899" w:rsidRDefault="00D55074" w:rsidP="00711468">
      <w:pPr>
        <w:pStyle w:val="BodyText"/>
        <w:numPr>
          <w:ilvl w:val="0"/>
          <w:numId w:val="2"/>
        </w:numPr>
        <w:spacing w:before="97" w:line="244" w:lineRule="auto"/>
        <w:ind w:right="244"/>
        <w:rPr>
          <w:lang w:val="en-PH"/>
        </w:rPr>
      </w:pPr>
      <w:proofErr w:type="spellStart"/>
      <w:r w:rsidRPr="00C30899">
        <w:rPr>
          <w:lang w:val="en-PH"/>
        </w:rPr>
        <w:t>Barello</w:t>
      </w:r>
      <w:proofErr w:type="spellEnd"/>
      <w:r w:rsidRPr="00C30899">
        <w:rPr>
          <w:lang w:val="en-PH"/>
        </w:rPr>
        <w:t xml:space="preserve">, S., </w:t>
      </w:r>
      <w:proofErr w:type="spellStart"/>
      <w:r w:rsidRPr="00C30899">
        <w:rPr>
          <w:lang w:val="en-PH"/>
        </w:rPr>
        <w:t>Triberti</w:t>
      </w:r>
      <w:proofErr w:type="spellEnd"/>
      <w:r w:rsidRPr="00C30899">
        <w:rPr>
          <w:lang w:val="en-PH"/>
        </w:rPr>
        <w:t xml:space="preserve">, S., </w:t>
      </w:r>
      <w:proofErr w:type="spellStart"/>
      <w:r w:rsidRPr="00C30899">
        <w:rPr>
          <w:lang w:val="en-PH"/>
        </w:rPr>
        <w:t>Graffigna</w:t>
      </w:r>
      <w:proofErr w:type="spellEnd"/>
      <w:r w:rsidRPr="00C30899">
        <w:rPr>
          <w:lang w:val="en-PH"/>
        </w:rPr>
        <w:t xml:space="preserve">, G., </w:t>
      </w:r>
      <w:proofErr w:type="spellStart"/>
      <w:r w:rsidRPr="00C30899">
        <w:rPr>
          <w:lang w:val="en-PH"/>
        </w:rPr>
        <w:t>Libreri</w:t>
      </w:r>
      <w:proofErr w:type="spellEnd"/>
      <w:r w:rsidRPr="00C30899">
        <w:rPr>
          <w:lang w:val="en-PH"/>
        </w:rPr>
        <w:t xml:space="preserve">, C., </w:t>
      </w:r>
      <w:proofErr w:type="spellStart"/>
      <w:r w:rsidRPr="00C30899">
        <w:rPr>
          <w:lang w:val="en-PH"/>
        </w:rPr>
        <w:t>Serino</w:t>
      </w:r>
      <w:proofErr w:type="spellEnd"/>
      <w:r w:rsidRPr="00C30899">
        <w:rPr>
          <w:lang w:val="en-PH"/>
        </w:rPr>
        <w:t xml:space="preserve">, S., Hibbard, J., &amp; Riva, G. (2020). eHealth for patient engagement: A systematic review. </w:t>
      </w:r>
      <w:r w:rsidRPr="00C30899">
        <w:rPr>
          <w:i/>
          <w:iCs/>
          <w:lang w:val="en-PH"/>
        </w:rPr>
        <w:t>Frontiers in Psychology, 11</w:t>
      </w:r>
      <w:r w:rsidRPr="00C30899">
        <w:rPr>
          <w:lang w:val="en-PH"/>
        </w:rPr>
        <w:t xml:space="preserve">, 563. </w:t>
      </w:r>
      <w:hyperlink r:id="rId6" w:tgtFrame="_new" w:history="1">
        <w:r w:rsidRPr="00C30899">
          <w:rPr>
            <w:rStyle w:val="Hyperlink"/>
            <w:lang w:val="en-PH"/>
          </w:rPr>
          <w:t>https://doi.org/10.3389/fpsyg.2020.00563</w:t>
        </w:r>
      </w:hyperlink>
    </w:p>
    <w:p w14:paraId="2D582421" w14:textId="77777777" w:rsidR="00D55074" w:rsidRPr="00C30899" w:rsidRDefault="00D55074" w:rsidP="00711468">
      <w:pPr>
        <w:pStyle w:val="BodyText"/>
        <w:numPr>
          <w:ilvl w:val="0"/>
          <w:numId w:val="2"/>
        </w:numPr>
        <w:spacing w:before="97" w:line="244" w:lineRule="auto"/>
        <w:ind w:right="244"/>
        <w:rPr>
          <w:lang w:val="en-PH"/>
        </w:rPr>
      </w:pPr>
      <w:r w:rsidRPr="00C30899">
        <w:rPr>
          <w:lang w:val="en-PH"/>
        </w:rPr>
        <w:t xml:space="preserve">Baumgartner, S. E., Hartmann, T., &amp; Thomas, J. (2021). Digital symptom checking and health care utilization among older adults. </w:t>
      </w:r>
      <w:r w:rsidRPr="00C30899">
        <w:rPr>
          <w:i/>
          <w:iCs/>
          <w:lang w:val="en-PH"/>
        </w:rPr>
        <w:t>SSM – Population Health, 14</w:t>
      </w:r>
      <w:r w:rsidRPr="00C30899">
        <w:rPr>
          <w:lang w:val="en-PH"/>
        </w:rPr>
        <w:t xml:space="preserve">, 100898. </w:t>
      </w:r>
      <w:hyperlink r:id="rId7" w:tgtFrame="_new" w:history="1">
        <w:r w:rsidRPr="00C30899">
          <w:rPr>
            <w:rStyle w:val="Hyperlink"/>
            <w:lang w:val="en-PH"/>
          </w:rPr>
          <w:t>https://doi.org/10.1016/j.ssmph.2021.100898</w:t>
        </w:r>
      </w:hyperlink>
    </w:p>
    <w:p w14:paraId="296EC35B" w14:textId="77777777" w:rsidR="00D55074" w:rsidRPr="00C30899" w:rsidRDefault="00D55074" w:rsidP="00711468">
      <w:pPr>
        <w:pStyle w:val="BodyText"/>
        <w:numPr>
          <w:ilvl w:val="0"/>
          <w:numId w:val="2"/>
        </w:numPr>
        <w:spacing w:before="97" w:line="244" w:lineRule="auto"/>
        <w:ind w:right="244"/>
        <w:rPr>
          <w:lang w:val="en-PH"/>
        </w:rPr>
      </w:pPr>
      <w:proofErr w:type="spellStart"/>
      <w:r w:rsidRPr="00C30899">
        <w:rPr>
          <w:lang w:val="en-PH"/>
        </w:rPr>
        <w:t>Bujnowska-Fedak</w:t>
      </w:r>
      <w:proofErr w:type="spellEnd"/>
      <w:r w:rsidRPr="00C30899">
        <w:rPr>
          <w:lang w:val="en-PH"/>
        </w:rPr>
        <w:t xml:space="preserve">, M. M., &amp; </w:t>
      </w:r>
      <w:proofErr w:type="spellStart"/>
      <w:r w:rsidRPr="00C30899">
        <w:rPr>
          <w:lang w:val="en-PH"/>
        </w:rPr>
        <w:t>Węgierek</w:t>
      </w:r>
      <w:proofErr w:type="spellEnd"/>
      <w:r w:rsidRPr="00C30899">
        <w:rPr>
          <w:lang w:val="en-PH"/>
        </w:rPr>
        <w:t xml:space="preserve">, P. (2020). The impact of online health information on patient engagement and physician–patient communication. </w:t>
      </w:r>
      <w:r w:rsidRPr="00C30899">
        <w:rPr>
          <w:i/>
          <w:iCs/>
          <w:lang w:val="en-PH"/>
        </w:rPr>
        <w:t>International Journal of Environmental Research and Public Health, 17</w:t>
      </w:r>
      <w:r w:rsidRPr="00C30899">
        <w:rPr>
          <w:lang w:val="en-PH"/>
        </w:rPr>
        <w:t xml:space="preserve">(23), 8800. </w:t>
      </w:r>
      <w:hyperlink r:id="rId8" w:tgtFrame="_new" w:history="1">
        <w:r w:rsidRPr="00C30899">
          <w:rPr>
            <w:rStyle w:val="Hyperlink"/>
            <w:lang w:val="en-PH"/>
          </w:rPr>
          <w:t>https://doi.org/10.3390/ijerph17238800</w:t>
        </w:r>
      </w:hyperlink>
    </w:p>
    <w:p w14:paraId="19494AD5" w14:textId="77777777" w:rsidR="00D55074" w:rsidRPr="00C30899" w:rsidRDefault="00D55074" w:rsidP="00711468">
      <w:pPr>
        <w:pStyle w:val="BodyText"/>
        <w:numPr>
          <w:ilvl w:val="0"/>
          <w:numId w:val="2"/>
        </w:numPr>
        <w:spacing w:before="97" w:line="244" w:lineRule="auto"/>
        <w:ind w:right="244"/>
        <w:rPr>
          <w:lang w:val="en-PH"/>
        </w:rPr>
      </w:pPr>
      <w:r w:rsidRPr="00C30899">
        <w:rPr>
          <w:lang w:val="en-PH"/>
        </w:rPr>
        <w:t xml:space="preserve">Chang, S. J., Yang, E., &amp; Yu, C. H. (2021). Digital health literacy and self-care behaviors among older adults. </w:t>
      </w:r>
      <w:r w:rsidRPr="00C30899">
        <w:rPr>
          <w:i/>
          <w:iCs/>
          <w:lang w:val="en-PH"/>
        </w:rPr>
        <w:t>Healthcare, 9</w:t>
      </w:r>
      <w:r w:rsidRPr="00C30899">
        <w:rPr>
          <w:lang w:val="en-PH"/>
        </w:rPr>
        <w:t xml:space="preserve">(7), 871. </w:t>
      </w:r>
      <w:hyperlink r:id="rId9" w:tgtFrame="_new" w:history="1">
        <w:r w:rsidRPr="00C30899">
          <w:rPr>
            <w:rStyle w:val="Hyperlink"/>
            <w:lang w:val="en-PH"/>
          </w:rPr>
          <w:t>https://doi.org/10.3390/healthcare9070871</w:t>
        </w:r>
      </w:hyperlink>
    </w:p>
    <w:p w14:paraId="2BC89FE0" w14:textId="77777777" w:rsidR="00D55074" w:rsidRPr="00C30899" w:rsidRDefault="00D55074" w:rsidP="00711468">
      <w:pPr>
        <w:pStyle w:val="BodyText"/>
        <w:numPr>
          <w:ilvl w:val="0"/>
          <w:numId w:val="2"/>
        </w:numPr>
        <w:spacing w:before="97" w:line="244" w:lineRule="auto"/>
        <w:ind w:right="244"/>
        <w:rPr>
          <w:lang w:val="en-PH"/>
        </w:rPr>
      </w:pPr>
      <w:r w:rsidRPr="00C30899">
        <w:rPr>
          <w:lang w:val="en-PH"/>
        </w:rPr>
        <w:t xml:space="preserve">Choi, N. G. (2020). Online health information use and health literacy among older adults: A longitudinal analysis. </w:t>
      </w:r>
      <w:r w:rsidRPr="00C30899">
        <w:rPr>
          <w:i/>
          <w:iCs/>
          <w:lang w:val="en-PH"/>
        </w:rPr>
        <w:t>The Gerontologist, 60</w:t>
      </w:r>
      <w:r w:rsidRPr="00C30899">
        <w:rPr>
          <w:lang w:val="en-PH"/>
        </w:rPr>
        <w:t xml:space="preserve">(6), 1036–1045. </w:t>
      </w:r>
      <w:hyperlink r:id="rId10" w:tgtFrame="_new" w:history="1">
        <w:r w:rsidRPr="00C30899">
          <w:rPr>
            <w:rStyle w:val="Hyperlink"/>
            <w:lang w:val="en-PH"/>
          </w:rPr>
          <w:t>https://doi.org/10.1093/geront/gnaa126</w:t>
        </w:r>
      </w:hyperlink>
    </w:p>
    <w:p w14:paraId="4AAA2DB0" w14:textId="77777777" w:rsidR="00D55074" w:rsidRPr="00C30899" w:rsidRDefault="00D55074" w:rsidP="00711468">
      <w:pPr>
        <w:pStyle w:val="BodyText"/>
        <w:numPr>
          <w:ilvl w:val="0"/>
          <w:numId w:val="2"/>
        </w:numPr>
        <w:spacing w:before="97" w:line="244" w:lineRule="auto"/>
        <w:ind w:right="244"/>
        <w:rPr>
          <w:lang w:val="en-PH"/>
        </w:rPr>
      </w:pPr>
      <w:proofErr w:type="spellStart"/>
      <w:r w:rsidRPr="00C30899">
        <w:rPr>
          <w:lang w:val="en-PH"/>
        </w:rPr>
        <w:t>Diviani</w:t>
      </w:r>
      <w:proofErr w:type="spellEnd"/>
      <w:r w:rsidRPr="00C30899">
        <w:rPr>
          <w:lang w:val="en-PH"/>
        </w:rPr>
        <w:t xml:space="preserve">, N., van den </w:t>
      </w:r>
      <w:proofErr w:type="spellStart"/>
      <w:r w:rsidRPr="00C30899">
        <w:rPr>
          <w:lang w:val="en-PH"/>
        </w:rPr>
        <w:t>Putte</w:t>
      </w:r>
      <w:proofErr w:type="spellEnd"/>
      <w:r w:rsidRPr="00C30899">
        <w:rPr>
          <w:lang w:val="en-PH"/>
        </w:rPr>
        <w:t xml:space="preserve">, B., </w:t>
      </w:r>
      <w:proofErr w:type="spellStart"/>
      <w:r w:rsidRPr="00C30899">
        <w:rPr>
          <w:lang w:val="en-PH"/>
        </w:rPr>
        <w:t>Giani</w:t>
      </w:r>
      <w:proofErr w:type="spellEnd"/>
      <w:r w:rsidRPr="00C30899">
        <w:rPr>
          <w:lang w:val="en-PH"/>
        </w:rPr>
        <w:t xml:space="preserve">, S., &amp; van </w:t>
      </w:r>
      <w:proofErr w:type="spellStart"/>
      <w:r w:rsidRPr="00C30899">
        <w:rPr>
          <w:lang w:val="en-PH"/>
        </w:rPr>
        <w:t>Weert</w:t>
      </w:r>
      <w:proofErr w:type="spellEnd"/>
      <w:r w:rsidRPr="00C30899">
        <w:rPr>
          <w:lang w:val="en-PH"/>
        </w:rPr>
        <w:t xml:space="preserve">, J. C. M. (2020). Low health literacy and evaluation of online health information: A systematic review. </w:t>
      </w:r>
      <w:r w:rsidRPr="00C30899">
        <w:rPr>
          <w:i/>
          <w:iCs/>
          <w:lang w:val="en-PH"/>
        </w:rPr>
        <w:t>Journal of Medical Internet Research, 22</w:t>
      </w:r>
      <w:r w:rsidRPr="00C30899">
        <w:rPr>
          <w:lang w:val="en-PH"/>
        </w:rPr>
        <w:t xml:space="preserve">(5), e17309. </w:t>
      </w:r>
      <w:hyperlink r:id="rId11" w:tgtFrame="_new" w:history="1">
        <w:r w:rsidRPr="00C30899">
          <w:rPr>
            <w:rStyle w:val="Hyperlink"/>
            <w:lang w:val="en-PH"/>
          </w:rPr>
          <w:t>https://doi.org/10.2196/17309</w:t>
        </w:r>
      </w:hyperlink>
    </w:p>
    <w:p w14:paraId="7DA7A68E" w14:textId="77777777" w:rsidR="00D55074" w:rsidRPr="00C30899" w:rsidRDefault="00D55074" w:rsidP="00711468">
      <w:pPr>
        <w:pStyle w:val="BodyText"/>
        <w:numPr>
          <w:ilvl w:val="0"/>
          <w:numId w:val="2"/>
        </w:numPr>
        <w:spacing w:before="97" w:line="244" w:lineRule="auto"/>
        <w:ind w:right="244"/>
        <w:rPr>
          <w:lang w:val="en-PH"/>
        </w:rPr>
      </w:pPr>
      <w:proofErr w:type="spellStart"/>
      <w:r w:rsidRPr="00C30899">
        <w:rPr>
          <w:lang w:val="en-PH"/>
        </w:rPr>
        <w:t>Gell</w:t>
      </w:r>
      <w:proofErr w:type="spellEnd"/>
      <w:r w:rsidRPr="00C30899">
        <w:rPr>
          <w:lang w:val="en-PH"/>
        </w:rPr>
        <w:t xml:space="preserve">, N. M., Rosenberg, D. E., </w:t>
      </w:r>
      <w:proofErr w:type="spellStart"/>
      <w:r w:rsidRPr="00C30899">
        <w:rPr>
          <w:lang w:val="en-PH"/>
        </w:rPr>
        <w:t>Demiris</w:t>
      </w:r>
      <w:proofErr w:type="spellEnd"/>
      <w:r w:rsidRPr="00C30899">
        <w:rPr>
          <w:lang w:val="en-PH"/>
        </w:rPr>
        <w:t xml:space="preserve">, G., LaCroix, A. Z., &amp; Patel, K. V. (2019). Patterns of technology use among older adults with chronic conditions. </w:t>
      </w:r>
      <w:r w:rsidRPr="00C30899">
        <w:rPr>
          <w:i/>
          <w:iCs/>
          <w:lang w:val="en-PH"/>
        </w:rPr>
        <w:t>Journal of Applied Gerontology, 38</w:t>
      </w:r>
      <w:r w:rsidRPr="00C30899">
        <w:rPr>
          <w:lang w:val="en-PH"/>
        </w:rPr>
        <w:t xml:space="preserve">(1), 34–55. </w:t>
      </w:r>
      <w:hyperlink r:id="rId12" w:tgtFrame="_new" w:history="1">
        <w:r w:rsidRPr="00C30899">
          <w:rPr>
            <w:rStyle w:val="Hyperlink"/>
            <w:lang w:val="en-PH"/>
          </w:rPr>
          <w:t>https://doi.org/10.1177/0733464816672040</w:t>
        </w:r>
      </w:hyperlink>
    </w:p>
    <w:p w14:paraId="23AD8BD3" w14:textId="77777777" w:rsidR="00D55074" w:rsidRDefault="00D55074" w:rsidP="00711468">
      <w:pPr>
        <w:pStyle w:val="BodyText"/>
        <w:numPr>
          <w:ilvl w:val="0"/>
          <w:numId w:val="2"/>
        </w:numPr>
        <w:spacing w:before="97" w:line="244" w:lineRule="auto"/>
        <w:ind w:right="244"/>
        <w:rPr>
          <w:lang w:val="en-PH"/>
        </w:rPr>
      </w:pPr>
      <w:r w:rsidRPr="00C30899">
        <w:rPr>
          <w:lang w:val="en-PH"/>
        </w:rPr>
        <w:t xml:space="preserve">Hsu, J., Chen, Y., &amp; Chan, C. (2022). Digital health literacy and trust in online medical information among older adults. </w:t>
      </w:r>
      <w:r w:rsidRPr="00C30899">
        <w:rPr>
          <w:i/>
          <w:iCs/>
          <w:lang w:val="en-PH"/>
        </w:rPr>
        <w:t>Journal of the American Medical Informatics Association, 29</w:t>
      </w:r>
      <w:r w:rsidRPr="00C30899">
        <w:rPr>
          <w:lang w:val="en-PH"/>
        </w:rPr>
        <w:t xml:space="preserve">(7), 1289–1299. </w:t>
      </w:r>
      <w:hyperlink r:id="rId13" w:tgtFrame="_new" w:history="1">
        <w:r w:rsidRPr="00C30899">
          <w:rPr>
            <w:rStyle w:val="Hyperlink"/>
            <w:lang w:val="en-PH"/>
          </w:rPr>
          <w:t>https://doi.org/10.1093/jamia/ocac054</w:t>
        </w:r>
      </w:hyperlink>
    </w:p>
    <w:p w14:paraId="0B391D55" w14:textId="27A17A51" w:rsidR="00506D81" w:rsidRDefault="00506D81" w:rsidP="00711468">
      <w:pPr>
        <w:pStyle w:val="BodyText"/>
        <w:numPr>
          <w:ilvl w:val="0"/>
          <w:numId w:val="2"/>
        </w:numPr>
        <w:spacing w:before="97" w:line="244" w:lineRule="auto"/>
        <w:ind w:right="244"/>
        <w:rPr>
          <w:lang w:val="en-PH"/>
        </w:rPr>
      </w:pPr>
      <w:proofErr w:type="spellStart"/>
      <w:r w:rsidRPr="00506D81">
        <w:rPr>
          <w:lang w:val="en-PH"/>
        </w:rPr>
        <w:t>Ishizuki</w:t>
      </w:r>
      <w:proofErr w:type="spellEnd"/>
      <w:r w:rsidRPr="00506D81">
        <w:rPr>
          <w:lang w:val="en-PH"/>
        </w:rPr>
        <w:t>, S., &amp; Hirano, M. (2024). Online health information searching and health literacy among middle-aged and older adults: A cross-sectional study. Nursing &amp; Health Sciences, 26(1), e13098. https://doi.org/10.1111/nhs.13098</w:t>
      </w:r>
    </w:p>
    <w:p w14:paraId="09C0FFCD" w14:textId="581B5A24" w:rsidR="009F498B" w:rsidRPr="00C30899" w:rsidRDefault="009F498B" w:rsidP="00711468">
      <w:pPr>
        <w:pStyle w:val="BodyText"/>
        <w:numPr>
          <w:ilvl w:val="0"/>
          <w:numId w:val="2"/>
        </w:numPr>
        <w:spacing w:before="97" w:line="244" w:lineRule="auto"/>
        <w:ind w:right="244"/>
        <w:rPr>
          <w:lang w:val="en-PH"/>
        </w:rPr>
      </w:pPr>
      <w:r w:rsidRPr="009F498B">
        <w:rPr>
          <w:lang w:val="en-PH"/>
        </w:rPr>
        <w:t>Lincoln, Y. S., &amp; Guba, E. G. (1985). Naturalistic inquiry. Sage Publications.</w:t>
      </w:r>
    </w:p>
    <w:p w14:paraId="53D9E967" w14:textId="77777777" w:rsidR="00D55074" w:rsidRPr="00C30899" w:rsidRDefault="00D55074" w:rsidP="00711468">
      <w:pPr>
        <w:pStyle w:val="BodyText"/>
        <w:numPr>
          <w:ilvl w:val="0"/>
          <w:numId w:val="2"/>
        </w:numPr>
        <w:spacing w:before="97" w:line="244" w:lineRule="auto"/>
        <w:ind w:right="244"/>
        <w:rPr>
          <w:lang w:val="en-PH"/>
        </w:rPr>
      </w:pPr>
      <w:proofErr w:type="spellStart"/>
      <w:r w:rsidRPr="00C30899">
        <w:rPr>
          <w:lang w:val="en-PH"/>
        </w:rPr>
        <w:t>Mitzner</w:t>
      </w:r>
      <w:proofErr w:type="spellEnd"/>
      <w:r w:rsidRPr="00C30899">
        <w:rPr>
          <w:lang w:val="en-PH"/>
        </w:rPr>
        <w:t xml:space="preserve">, T. L., </w:t>
      </w:r>
      <w:proofErr w:type="spellStart"/>
      <w:r w:rsidRPr="00C30899">
        <w:rPr>
          <w:lang w:val="en-PH"/>
        </w:rPr>
        <w:t>Savla</w:t>
      </w:r>
      <w:proofErr w:type="spellEnd"/>
      <w:r w:rsidRPr="00C30899">
        <w:rPr>
          <w:lang w:val="en-PH"/>
        </w:rPr>
        <w:t xml:space="preserve">, J., Boot, W. R., </w:t>
      </w:r>
      <w:proofErr w:type="spellStart"/>
      <w:r w:rsidRPr="00C30899">
        <w:rPr>
          <w:lang w:val="en-PH"/>
        </w:rPr>
        <w:t>Sharit</w:t>
      </w:r>
      <w:proofErr w:type="spellEnd"/>
      <w:r w:rsidRPr="00C30899">
        <w:rPr>
          <w:lang w:val="en-PH"/>
        </w:rPr>
        <w:t xml:space="preserve">, J., </w:t>
      </w:r>
      <w:proofErr w:type="spellStart"/>
      <w:r w:rsidRPr="00C30899">
        <w:rPr>
          <w:lang w:val="en-PH"/>
        </w:rPr>
        <w:t>Charness</w:t>
      </w:r>
      <w:proofErr w:type="spellEnd"/>
      <w:r w:rsidRPr="00C30899">
        <w:rPr>
          <w:lang w:val="en-PH"/>
        </w:rPr>
        <w:t xml:space="preserve">, N., </w:t>
      </w:r>
      <w:proofErr w:type="spellStart"/>
      <w:r w:rsidRPr="00C30899">
        <w:rPr>
          <w:lang w:val="en-PH"/>
        </w:rPr>
        <w:t>Czaja</w:t>
      </w:r>
      <w:proofErr w:type="spellEnd"/>
      <w:r w:rsidRPr="00C30899">
        <w:rPr>
          <w:lang w:val="en-PH"/>
        </w:rPr>
        <w:t xml:space="preserve">, S. J., &amp; Rogers, W. A. (2019). Technology adoption by older adults: Findings from the PRISM trial. </w:t>
      </w:r>
      <w:r w:rsidRPr="00C30899">
        <w:rPr>
          <w:i/>
          <w:iCs/>
          <w:lang w:val="en-PH"/>
        </w:rPr>
        <w:t>The Gerontologist, 59</w:t>
      </w:r>
      <w:r w:rsidRPr="00C30899">
        <w:rPr>
          <w:lang w:val="en-PH"/>
        </w:rPr>
        <w:t xml:space="preserve">(1), 34–44. </w:t>
      </w:r>
      <w:hyperlink r:id="rId14" w:tgtFrame="_new" w:history="1">
        <w:r w:rsidRPr="00C30899">
          <w:rPr>
            <w:rStyle w:val="Hyperlink"/>
            <w:lang w:val="en-PH"/>
          </w:rPr>
          <w:t>https://doi.org/10.1093/geront/gny113</w:t>
        </w:r>
      </w:hyperlink>
    </w:p>
    <w:p w14:paraId="69DC06C2" w14:textId="77777777" w:rsidR="00D55074" w:rsidRPr="00C30899" w:rsidRDefault="00D55074" w:rsidP="00711468">
      <w:pPr>
        <w:pStyle w:val="BodyText"/>
        <w:numPr>
          <w:ilvl w:val="0"/>
          <w:numId w:val="2"/>
        </w:numPr>
        <w:spacing w:before="97" w:line="244" w:lineRule="auto"/>
        <w:ind w:right="244"/>
        <w:rPr>
          <w:lang w:val="en-PH"/>
        </w:rPr>
      </w:pPr>
      <w:r w:rsidRPr="00C30899">
        <w:rPr>
          <w:lang w:val="en-PH"/>
        </w:rPr>
        <w:lastRenderedPageBreak/>
        <w:t xml:space="preserve">Murray, E., </w:t>
      </w:r>
      <w:proofErr w:type="spellStart"/>
      <w:r w:rsidRPr="00C30899">
        <w:rPr>
          <w:lang w:val="en-PH"/>
        </w:rPr>
        <w:t>Hekler</w:t>
      </w:r>
      <w:proofErr w:type="spellEnd"/>
      <w:r w:rsidRPr="00C30899">
        <w:rPr>
          <w:lang w:val="en-PH"/>
        </w:rPr>
        <w:t xml:space="preserve">, E. B., Andersson, G., Collins, L. M., Doherty, A., Hollis, C., Rivera, D. E., West, R., &amp; Wyatt, J. C. (2019). Evaluating digital health interventions: Key questions and approaches. </w:t>
      </w:r>
      <w:r w:rsidRPr="00C30899">
        <w:rPr>
          <w:i/>
          <w:iCs/>
          <w:lang w:val="en-PH"/>
        </w:rPr>
        <w:t>American Journal of Preventive Medicine, 51</w:t>
      </w:r>
      <w:r w:rsidRPr="00C30899">
        <w:rPr>
          <w:lang w:val="en-PH"/>
        </w:rPr>
        <w:t xml:space="preserve">(5), 843–851. </w:t>
      </w:r>
      <w:hyperlink r:id="rId15" w:tgtFrame="_new" w:history="1">
        <w:r w:rsidRPr="00C30899">
          <w:rPr>
            <w:rStyle w:val="Hyperlink"/>
            <w:lang w:val="en-PH"/>
          </w:rPr>
          <w:t>https://doi.org/10.1016/j.amepre.2016.06.008</w:t>
        </w:r>
      </w:hyperlink>
    </w:p>
    <w:p w14:paraId="38FC215C" w14:textId="77777777" w:rsidR="00D55074" w:rsidRPr="00C30899" w:rsidRDefault="00D55074" w:rsidP="00711468">
      <w:pPr>
        <w:pStyle w:val="BodyText"/>
        <w:numPr>
          <w:ilvl w:val="0"/>
          <w:numId w:val="2"/>
        </w:numPr>
        <w:spacing w:before="97" w:line="244" w:lineRule="auto"/>
        <w:ind w:right="244"/>
        <w:rPr>
          <w:lang w:val="en-PH"/>
        </w:rPr>
      </w:pPr>
      <w:proofErr w:type="spellStart"/>
      <w:r w:rsidRPr="00C30899">
        <w:rPr>
          <w:lang w:val="en-PH"/>
        </w:rPr>
        <w:t>Neter</w:t>
      </w:r>
      <w:proofErr w:type="spellEnd"/>
      <w:r w:rsidRPr="00C30899">
        <w:rPr>
          <w:lang w:val="en-PH"/>
        </w:rPr>
        <w:t xml:space="preserve">, E., &amp; </w:t>
      </w:r>
      <w:proofErr w:type="spellStart"/>
      <w:r w:rsidRPr="00C30899">
        <w:rPr>
          <w:lang w:val="en-PH"/>
        </w:rPr>
        <w:t>Brainin</w:t>
      </w:r>
      <w:proofErr w:type="spellEnd"/>
      <w:r w:rsidRPr="00C30899">
        <w:rPr>
          <w:lang w:val="en-PH"/>
        </w:rPr>
        <w:t xml:space="preserve">, E. (2019). eHealth literacy: Extending the digital divide to the realm of health information. </w:t>
      </w:r>
      <w:r w:rsidRPr="00C30899">
        <w:rPr>
          <w:i/>
          <w:iCs/>
          <w:lang w:val="en-PH"/>
        </w:rPr>
        <w:t>Journal of Medical Internet Research, 21</w:t>
      </w:r>
      <w:r w:rsidRPr="00C30899">
        <w:rPr>
          <w:lang w:val="en-PH"/>
        </w:rPr>
        <w:t xml:space="preserve">(1), e11274. </w:t>
      </w:r>
      <w:hyperlink r:id="rId16" w:tgtFrame="_new" w:history="1">
        <w:r w:rsidRPr="00C30899">
          <w:rPr>
            <w:rStyle w:val="Hyperlink"/>
            <w:lang w:val="en-PH"/>
          </w:rPr>
          <w:t>https://doi.org/10.2196/11274</w:t>
        </w:r>
      </w:hyperlink>
    </w:p>
    <w:p w14:paraId="687CE531" w14:textId="77777777" w:rsidR="00D55074" w:rsidRPr="00C30899" w:rsidRDefault="00D55074" w:rsidP="00711468">
      <w:pPr>
        <w:pStyle w:val="BodyText"/>
        <w:numPr>
          <w:ilvl w:val="0"/>
          <w:numId w:val="2"/>
        </w:numPr>
        <w:spacing w:before="97" w:line="244" w:lineRule="auto"/>
        <w:ind w:right="244"/>
        <w:rPr>
          <w:lang w:val="en-PH"/>
        </w:rPr>
      </w:pPr>
      <w:r w:rsidRPr="00C30899">
        <w:rPr>
          <w:lang w:val="en-PH"/>
        </w:rPr>
        <w:t xml:space="preserve">Pickles, K., </w:t>
      </w:r>
      <w:proofErr w:type="spellStart"/>
      <w:r w:rsidRPr="00C30899">
        <w:rPr>
          <w:lang w:val="en-PH"/>
        </w:rPr>
        <w:t>Cvejic</w:t>
      </w:r>
      <w:proofErr w:type="spellEnd"/>
      <w:r w:rsidRPr="00C30899">
        <w:rPr>
          <w:lang w:val="en-PH"/>
        </w:rPr>
        <w:t xml:space="preserve">, E., Nickel, B., </w:t>
      </w:r>
      <w:proofErr w:type="spellStart"/>
      <w:r w:rsidRPr="00C30899">
        <w:rPr>
          <w:lang w:val="en-PH"/>
        </w:rPr>
        <w:t>Copp</w:t>
      </w:r>
      <w:proofErr w:type="spellEnd"/>
      <w:r w:rsidRPr="00C30899">
        <w:rPr>
          <w:lang w:val="en-PH"/>
        </w:rPr>
        <w:t xml:space="preserve">, T., Bonner, C., Leask, J., </w:t>
      </w:r>
      <w:proofErr w:type="spellStart"/>
      <w:r w:rsidRPr="00C30899">
        <w:rPr>
          <w:lang w:val="en-PH"/>
        </w:rPr>
        <w:t>Ayre</w:t>
      </w:r>
      <w:proofErr w:type="spellEnd"/>
      <w:r w:rsidRPr="00C30899">
        <w:rPr>
          <w:lang w:val="en-PH"/>
        </w:rPr>
        <w:t xml:space="preserve">, J., </w:t>
      </w:r>
      <w:proofErr w:type="spellStart"/>
      <w:r w:rsidRPr="00C30899">
        <w:rPr>
          <w:lang w:val="en-PH"/>
        </w:rPr>
        <w:t>Batcup</w:t>
      </w:r>
      <w:proofErr w:type="spellEnd"/>
      <w:r w:rsidRPr="00C30899">
        <w:rPr>
          <w:lang w:val="en-PH"/>
        </w:rPr>
        <w:t xml:space="preserve">, C., Cornell, S., Dakin, T., Dodd, R. H., </w:t>
      </w:r>
      <w:proofErr w:type="spellStart"/>
      <w:r w:rsidRPr="00C30899">
        <w:rPr>
          <w:lang w:val="en-PH"/>
        </w:rPr>
        <w:t>Isautier</w:t>
      </w:r>
      <w:proofErr w:type="spellEnd"/>
      <w:r w:rsidRPr="00C30899">
        <w:rPr>
          <w:lang w:val="en-PH"/>
        </w:rPr>
        <w:t xml:space="preserve">, J. M. J., McCaffery, K. J., &amp; </w:t>
      </w:r>
      <w:proofErr w:type="spellStart"/>
      <w:r w:rsidRPr="00C30899">
        <w:rPr>
          <w:lang w:val="en-PH"/>
        </w:rPr>
        <w:t>Glasziou</w:t>
      </w:r>
      <w:proofErr w:type="spellEnd"/>
      <w:r w:rsidRPr="00C30899">
        <w:rPr>
          <w:lang w:val="en-PH"/>
        </w:rPr>
        <w:t xml:space="preserve">, P. (2021). COVID-19 misinformation trends in older adults. </w:t>
      </w:r>
      <w:r w:rsidRPr="00C30899">
        <w:rPr>
          <w:i/>
          <w:iCs/>
          <w:lang w:val="en-PH"/>
        </w:rPr>
        <w:t>BMJ Open, 11</w:t>
      </w:r>
      <w:r w:rsidRPr="00C30899">
        <w:rPr>
          <w:lang w:val="en-PH"/>
        </w:rPr>
        <w:t xml:space="preserve">(1), e045461. </w:t>
      </w:r>
      <w:hyperlink r:id="rId17" w:tgtFrame="_new" w:history="1">
        <w:r w:rsidRPr="00C30899">
          <w:rPr>
            <w:rStyle w:val="Hyperlink"/>
            <w:lang w:val="en-PH"/>
          </w:rPr>
          <w:t>https://doi.org/10.1136/bmjopen-2020-045461</w:t>
        </w:r>
      </w:hyperlink>
    </w:p>
    <w:p w14:paraId="1A717A3F" w14:textId="77777777" w:rsidR="00D55074" w:rsidRPr="00C30899" w:rsidRDefault="00D55074" w:rsidP="00711468">
      <w:pPr>
        <w:pStyle w:val="BodyText"/>
        <w:numPr>
          <w:ilvl w:val="0"/>
          <w:numId w:val="2"/>
        </w:numPr>
        <w:spacing w:before="97" w:line="244" w:lineRule="auto"/>
        <w:ind w:right="244"/>
        <w:rPr>
          <w:lang w:val="en-PH"/>
        </w:rPr>
      </w:pPr>
      <w:r w:rsidRPr="00C30899">
        <w:rPr>
          <w:lang w:val="en-PH"/>
        </w:rPr>
        <w:t xml:space="preserve">Seifert, A., &amp; </w:t>
      </w:r>
      <w:proofErr w:type="spellStart"/>
      <w:r w:rsidRPr="00C30899">
        <w:rPr>
          <w:lang w:val="en-PH"/>
        </w:rPr>
        <w:t>Cotten</w:t>
      </w:r>
      <w:proofErr w:type="spellEnd"/>
      <w:r w:rsidRPr="00C30899">
        <w:rPr>
          <w:lang w:val="en-PH"/>
        </w:rPr>
        <w:t xml:space="preserve">, S. R. (2020). Health information seeking among older adults: Exploring the digital divide. </w:t>
      </w:r>
      <w:r w:rsidRPr="00C30899">
        <w:rPr>
          <w:i/>
          <w:iCs/>
          <w:lang w:val="en-PH"/>
        </w:rPr>
        <w:t>Innovation in Aging, 4</w:t>
      </w:r>
      <w:r w:rsidRPr="00C30899">
        <w:rPr>
          <w:lang w:val="en-PH"/>
        </w:rPr>
        <w:t xml:space="preserve">(Supplement_1), igaa004. </w:t>
      </w:r>
      <w:hyperlink r:id="rId18" w:tgtFrame="_new" w:history="1">
        <w:r w:rsidRPr="00C30899">
          <w:rPr>
            <w:rStyle w:val="Hyperlink"/>
            <w:lang w:val="en-PH"/>
          </w:rPr>
          <w:t>https://doi.org/10.1093/geroni/igaa004</w:t>
        </w:r>
      </w:hyperlink>
    </w:p>
    <w:p w14:paraId="0E6B7684" w14:textId="77777777" w:rsidR="00D55074" w:rsidRPr="00C30899" w:rsidRDefault="00D55074" w:rsidP="00711468">
      <w:pPr>
        <w:pStyle w:val="BodyText"/>
        <w:numPr>
          <w:ilvl w:val="0"/>
          <w:numId w:val="2"/>
        </w:numPr>
        <w:spacing w:before="97" w:line="244" w:lineRule="auto"/>
        <w:ind w:right="244"/>
        <w:rPr>
          <w:lang w:val="en-PH"/>
        </w:rPr>
      </w:pPr>
      <w:proofErr w:type="spellStart"/>
      <w:r w:rsidRPr="00C30899">
        <w:rPr>
          <w:lang w:val="en-PH"/>
        </w:rPr>
        <w:t>Sillence</w:t>
      </w:r>
      <w:proofErr w:type="spellEnd"/>
      <w:r w:rsidRPr="00C30899">
        <w:rPr>
          <w:lang w:val="en-PH"/>
        </w:rPr>
        <w:t xml:space="preserve">, E., Briggs, P., Harris, P. R., &amp; Fishwick, L. (2021). How do patients evaluate online health information? Credibility, trust, and risk. </w:t>
      </w:r>
      <w:r w:rsidRPr="00C30899">
        <w:rPr>
          <w:i/>
          <w:iCs/>
          <w:lang w:val="en-PH"/>
        </w:rPr>
        <w:t>Applied Ergonomics, 95</w:t>
      </w:r>
      <w:r w:rsidRPr="00C30899">
        <w:rPr>
          <w:lang w:val="en-PH"/>
        </w:rPr>
        <w:t xml:space="preserve">, 103429. </w:t>
      </w:r>
      <w:hyperlink r:id="rId19" w:tgtFrame="_new" w:history="1">
        <w:r w:rsidRPr="00C30899">
          <w:rPr>
            <w:rStyle w:val="Hyperlink"/>
            <w:lang w:val="en-PH"/>
          </w:rPr>
          <w:t>https://doi.org/10.1016/j.apergo.2021.103429</w:t>
        </w:r>
      </w:hyperlink>
    </w:p>
    <w:p w14:paraId="4BAE5F33" w14:textId="77777777" w:rsidR="00D55074" w:rsidRPr="00C30899" w:rsidRDefault="00D55074" w:rsidP="00711468">
      <w:pPr>
        <w:pStyle w:val="BodyText"/>
        <w:numPr>
          <w:ilvl w:val="0"/>
          <w:numId w:val="2"/>
        </w:numPr>
        <w:spacing w:before="97" w:line="244" w:lineRule="auto"/>
        <w:ind w:right="244"/>
        <w:rPr>
          <w:lang w:val="en-PH"/>
        </w:rPr>
      </w:pPr>
      <w:r w:rsidRPr="00C30899">
        <w:rPr>
          <w:lang w:val="en-PH"/>
        </w:rPr>
        <w:t xml:space="preserve">Swire-Thompson, B., &amp; </w:t>
      </w:r>
      <w:proofErr w:type="spellStart"/>
      <w:r w:rsidRPr="00C30899">
        <w:rPr>
          <w:lang w:val="en-PH"/>
        </w:rPr>
        <w:t>Lazer</w:t>
      </w:r>
      <w:proofErr w:type="spellEnd"/>
      <w:r w:rsidRPr="00C30899">
        <w:rPr>
          <w:lang w:val="en-PH"/>
        </w:rPr>
        <w:t xml:space="preserve">, D. (2020). Public health and online misinformation: Challenges and recommendations. </w:t>
      </w:r>
      <w:r w:rsidRPr="00C30899">
        <w:rPr>
          <w:i/>
          <w:iCs/>
          <w:lang w:val="en-PH"/>
        </w:rPr>
        <w:t>Science Advances, 6</w:t>
      </w:r>
      <w:r w:rsidRPr="00C30899">
        <w:rPr>
          <w:lang w:val="en-PH"/>
        </w:rPr>
        <w:t xml:space="preserve">(14), eaba1149. </w:t>
      </w:r>
      <w:hyperlink r:id="rId20" w:tgtFrame="_new" w:history="1">
        <w:r w:rsidRPr="00C30899">
          <w:rPr>
            <w:rStyle w:val="Hyperlink"/>
            <w:lang w:val="en-PH"/>
          </w:rPr>
          <w:t>https://doi.org/10.1126/sciadv.aba1149</w:t>
        </w:r>
      </w:hyperlink>
    </w:p>
    <w:p w14:paraId="7B86F8AC" w14:textId="77777777" w:rsidR="00D55074" w:rsidRPr="00C30899" w:rsidRDefault="00D55074" w:rsidP="00711468">
      <w:pPr>
        <w:pStyle w:val="BodyText"/>
        <w:numPr>
          <w:ilvl w:val="0"/>
          <w:numId w:val="2"/>
        </w:numPr>
        <w:spacing w:before="97" w:line="244" w:lineRule="auto"/>
        <w:ind w:right="244"/>
        <w:rPr>
          <w:lang w:val="en-PH"/>
        </w:rPr>
      </w:pPr>
      <w:r w:rsidRPr="00C30899">
        <w:rPr>
          <w:lang w:val="en-PH"/>
        </w:rPr>
        <w:t xml:space="preserve">van der </w:t>
      </w:r>
      <w:proofErr w:type="spellStart"/>
      <w:r w:rsidRPr="00C30899">
        <w:rPr>
          <w:lang w:val="en-PH"/>
        </w:rPr>
        <w:t>Vaart</w:t>
      </w:r>
      <w:proofErr w:type="spellEnd"/>
      <w:r w:rsidRPr="00C30899">
        <w:rPr>
          <w:lang w:val="en-PH"/>
        </w:rPr>
        <w:t xml:space="preserve">, R., &amp; </w:t>
      </w:r>
      <w:proofErr w:type="spellStart"/>
      <w:r w:rsidRPr="00C30899">
        <w:rPr>
          <w:lang w:val="en-PH"/>
        </w:rPr>
        <w:t>Drossaert</w:t>
      </w:r>
      <w:proofErr w:type="spellEnd"/>
      <w:r w:rsidRPr="00C30899">
        <w:rPr>
          <w:lang w:val="en-PH"/>
        </w:rPr>
        <w:t xml:space="preserve">, C. H. C. (2017). Development of the digital health literacy instrument. </w:t>
      </w:r>
      <w:r w:rsidRPr="00C30899">
        <w:rPr>
          <w:i/>
          <w:iCs/>
          <w:lang w:val="en-PH"/>
        </w:rPr>
        <w:t>Journal of Medical Internet Research, 19</w:t>
      </w:r>
      <w:r w:rsidRPr="00C30899">
        <w:rPr>
          <w:lang w:val="en-PH"/>
        </w:rPr>
        <w:t xml:space="preserve">(1), e27. </w:t>
      </w:r>
      <w:hyperlink r:id="rId21" w:tgtFrame="_new" w:history="1">
        <w:r w:rsidRPr="00C30899">
          <w:rPr>
            <w:rStyle w:val="Hyperlink"/>
            <w:lang w:val="en-PH"/>
          </w:rPr>
          <w:t>https://doi.org/10.2196/jmir.6706</w:t>
        </w:r>
      </w:hyperlink>
    </w:p>
    <w:p w14:paraId="03FED3D3" w14:textId="77777777" w:rsidR="00D55074" w:rsidRPr="00C30899" w:rsidRDefault="00D55074" w:rsidP="00711468">
      <w:pPr>
        <w:pStyle w:val="BodyText"/>
        <w:numPr>
          <w:ilvl w:val="0"/>
          <w:numId w:val="2"/>
        </w:numPr>
        <w:spacing w:before="97" w:line="244" w:lineRule="auto"/>
        <w:ind w:right="244"/>
        <w:rPr>
          <w:lang w:val="en-PH"/>
        </w:rPr>
      </w:pPr>
      <w:proofErr w:type="spellStart"/>
      <w:r w:rsidRPr="00C30899">
        <w:rPr>
          <w:lang w:val="en-PH"/>
        </w:rPr>
        <w:t>Vraga</w:t>
      </w:r>
      <w:proofErr w:type="spellEnd"/>
      <w:r w:rsidRPr="00C30899">
        <w:rPr>
          <w:lang w:val="en-PH"/>
        </w:rPr>
        <w:t xml:space="preserve">, E. K., &amp; Bode, L. (2021). Addressing digital health misinformation among older adults. </w:t>
      </w:r>
      <w:r w:rsidRPr="00C30899">
        <w:rPr>
          <w:i/>
          <w:iCs/>
          <w:lang w:val="en-PH"/>
        </w:rPr>
        <w:t>New Media &amp; Society, 23</w:t>
      </w:r>
      <w:r w:rsidRPr="00C30899">
        <w:rPr>
          <w:lang w:val="en-PH"/>
        </w:rPr>
        <w:t xml:space="preserve">(11), 3400–3419. </w:t>
      </w:r>
      <w:hyperlink r:id="rId22" w:tgtFrame="_new" w:history="1">
        <w:r w:rsidRPr="00C30899">
          <w:rPr>
            <w:rStyle w:val="Hyperlink"/>
            <w:lang w:val="en-PH"/>
          </w:rPr>
          <w:t>https://doi.org/10.1177/14614448211011483</w:t>
        </w:r>
      </w:hyperlink>
    </w:p>
    <w:p w14:paraId="62110A82" w14:textId="77777777" w:rsidR="00D55074" w:rsidRPr="00C30899" w:rsidRDefault="00D55074" w:rsidP="00711468">
      <w:pPr>
        <w:pStyle w:val="BodyText"/>
        <w:numPr>
          <w:ilvl w:val="0"/>
          <w:numId w:val="2"/>
        </w:numPr>
        <w:spacing w:before="97" w:line="244" w:lineRule="auto"/>
        <w:ind w:right="244"/>
        <w:rPr>
          <w:lang w:val="en-PH"/>
        </w:rPr>
      </w:pPr>
      <w:proofErr w:type="spellStart"/>
      <w:r w:rsidRPr="00C30899">
        <w:rPr>
          <w:lang w:val="en-PH"/>
        </w:rPr>
        <w:t>Xie</w:t>
      </w:r>
      <w:proofErr w:type="spellEnd"/>
      <w:r w:rsidRPr="00C30899">
        <w:rPr>
          <w:lang w:val="en-PH"/>
        </w:rPr>
        <w:t xml:space="preserve">, B., Watkins, I., </w:t>
      </w:r>
      <w:proofErr w:type="spellStart"/>
      <w:r w:rsidRPr="00C30899">
        <w:rPr>
          <w:lang w:val="en-PH"/>
        </w:rPr>
        <w:t>Golbeck</w:t>
      </w:r>
      <w:proofErr w:type="spellEnd"/>
      <w:r w:rsidRPr="00C30899">
        <w:rPr>
          <w:lang w:val="en-PH"/>
        </w:rPr>
        <w:t xml:space="preserve">, J., &amp; Huang, M. (2020). Understanding online health information use among older adults. </w:t>
      </w:r>
      <w:r w:rsidRPr="00C30899">
        <w:rPr>
          <w:i/>
          <w:iCs/>
          <w:lang w:val="en-PH"/>
        </w:rPr>
        <w:t>The Gerontologist, 60</w:t>
      </w:r>
      <w:r w:rsidRPr="00C30899">
        <w:rPr>
          <w:lang w:val="en-PH"/>
        </w:rPr>
        <w:t xml:space="preserve">(3), 390–403. </w:t>
      </w:r>
      <w:hyperlink r:id="rId23" w:tgtFrame="_new" w:history="1">
        <w:r w:rsidRPr="00C30899">
          <w:rPr>
            <w:rStyle w:val="Hyperlink"/>
            <w:lang w:val="en-PH"/>
          </w:rPr>
          <w:t>https://doi.org/10.1093/geront/gnz173</w:t>
        </w:r>
      </w:hyperlink>
    </w:p>
    <w:p w14:paraId="42CD1AA8" w14:textId="77777777" w:rsidR="00D55074" w:rsidRPr="00C30899" w:rsidRDefault="00D55074" w:rsidP="00711468">
      <w:pPr>
        <w:pStyle w:val="BodyText"/>
        <w:numPr>
          <w:ilvl w:val="0"/>
          <w:numId w:val="2"/>
        </w:numPr>
        <w:spacing w:before="97" w:line="244" w:lineRule="auto"/>
        <w:ind w:right="244"/>
        <w:rPr>
          <w:lang w:val="en-PH"/>
        </w:rPr>
      </w:pPr>
      <w:r w:rsidRPr="00C30899">
        <w:rPr>
          <w:lang w:val="en-PH"/>
        </w:rPr>
        <w:t xml:space="preserve">Zhao, Y., </w:t>
      </w:r>
      <w:proofErr w:type="spellStart"/>
      <w:r w:rsidRPr="00C30899">
        <w:rPr>
          <w:lang w:val="en-PH"/>
        </w:rPr>
        <w:t>Zhai</w:t>
      </w:r>
      <w:proofErr w:type="spellEnd"/>
      <w:r w:rsidRPr="00C30899">
        <w:rPr>
          <w:lang w:val="en-PH"/>
        </w:rPr>
        <w:t xml:space="preserve">, S., Liu, X., &amp; Li, J. (2022). Digital health literacy and information-seeking behaviors among older adults: Implications for health policy. </w:t>
      </w:r>
      <w:r w:rsidRPr="00C30899">
        <w:rPr>
          <w:i/>
          <w:iCs/>
          <w:lang w:val="en-PH"/>
        </w:rPr>
        <w:t>Health Policy, 126</w:t>
      </w:r>
      <w:r w:rsidRPr="00C30899">
        <w:rPr>
          <w:lang w:val="en-PH"/>
        </w:rPr>
        <w:t xml:space="preserve">(5), 104755. </w:t>
      </w:r>
      <w:hyperlink r:id="rId24" w:tgtFrame="_new" w:history="1">
        <w:r w:rsidRPr="00C30899">
          <w:rPr>
            <w:rStyle w:val="Hyperlink"/>
            <w:lang w:val="en-PH"/>
          </w:rPr>
          <w:t>https://doi.org/10.1016/j.healthpol.2022.104755</w:t>
        </w:r>
      </w:hyperlink>
    </w:p>
    <w:p w14:paraId="211CB69C" w14:textId="77777777" w:rsidR="00D55074" w:rsidRPr="00C30899" w:rsidRDefault="00D55074" w:rsidP="00D55074">
      <w:pPr>
        <w:pStyle w:val="BodyText"/>
        <w:spacing w:before="97" w:line="244" w:lineRule="auto"/>
        <w:ind w:left="694" w:right="244" w:hanging="397"/>
      </w:pPr>
    </w:p>
    <w:sectPr w:rsidR="00D55074" w:rsidRPr="00C30899" w:rsidSect="00627470">
      <w:pgSz w:w="12240" w:h="15840"/>
      <w:pgMar w:top="1440" w:right="2070" w:bottom="2070" w:left="20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63FEB"/>
    <w:multiLevelType w:val="hybridMultilevel"/>
    <w:tmpl w:val="5E2ADABE"/>
    <w:lvl w:ilvl="0" w:tplc="39DAC5E8">
      <w:start w:val="1"/>
      <w:numFmt w:val="decimal"/>
      <w:lvlText w:val="%1."/>
      <w:lvlJc w:val="left"/>
      <w:pPr>
        <w:ind w:left="525" w:hanging="228"/>
      </w:pPr>
      <w:rPr>
        <w:rFonts w:ascii="Arial" w:eastAsia="Arial" w:hAnsi="Arial" w:cs="Arial" w:hint="default"/>
        <w:b/>
        <w:bCs/>
        <w:i w:val="0"/>
        <w:iCs w:val="0"/>
        <w:spacing w:val="-6"/>
        <w:w w:val="102"/>
        <w:sz w:val="20"/>
        <w:szCs w:val="20"/>
        <w:lang w:val="en-US" w:eastAsia="en-US" w:bidi="ar-SA"/>
      </w:rPr>
    </w:lvl>
    <w:lvl w:ilvl="1" w:tplc="F7CCF318">
      <w:numFmt w:val="bullet"/>
      <w:lvlText w:val="•"/>
      <w:lvlJc w:val="left"/>
      <w:pPr>
        <w:ind w:left="1348" w:hanging="228"/>
      </w:pPr>
      <w:rPr>
        <w:rFonts w:hint="default"/>
        <w:lang w:val="en-US" w:eastAsia="en-US" w:bidi="ar-SA"/>
      </w:rPr>
    </w:lvl>
    <w:lvl w:ilvl="2" w:tplc="8F5417E6">
      <w:numFmt w:val="bullet"/>
      <w:lvlText w:val="•"/>
      <w:lvlJc w:val="left"/>
      <w:pPr>
        <w:ind w:left="2176" w:hanging="228"/>
      </w:pPr>
      <w:rPr>
        <w:rFonts w:hint="default"/>
        <w:lang w:val="en-US" w:eastAsia="en-US" w:bidi="ar-SA"/>
      </w:rPr>
    </w:lvl>
    <w:lvl w:ilvl="3" w:tplc="533A2FCA">
      <w:numFmt w:val="bullet"/>
      <w:lvlText w:val="•"/>
      <w:lvlJc w:val="left"/>
      <w:pPr>
        <w:ind w:left="3004" w:hanging="228"/>
      </w:pPr>
      <w:rPr>
        <w:rFonts w:hint="default"/>
        <w:lang w:val="en-US" w:eastAsia="en-US" w:bidi="ar-SA"/>
      </w:rPr>
    </w:lvl>
    <w:lvl w:ilvl="4" w:tplc="E3586304">
      <w:numFmt w:val="bullet"/>
      <w:lvlText w:val="•"/>
      <w:lvlJc w:val="left"/>
      <w:pPr>
        <w:ind w:left="3832" w:hanging="228"/>
      </w:pPr>
      <w:rPr>
        <w:rFonts w:hint="default"/>
        <w:lang w:val="en-US" w:eastAsia="en-US" w:bidi="ar-SA"/>
      </w:rPr>
    </w:lvl>
    <w:lvl w:ilvl="5" w:tplc="EA1CD3A4">
      <w:numFmt w:val="bullet"/>
      <w:lvlText w:val="•"/>
      <w:lvlJc w:val="left"/>
      <w:pPr>
        <w:ind w:left="4660" w:hanging="228"/>
      </w:pPr>
      <w:rPr>
        <w:rFonts w:hint="default"/>
        <w:lang w:val="en-US" w:eastAsia="en-US" w:bidi="ar-SA"/>
      </w:rPr>
    </w:lvl>
    <w:lvl w:ilvl="6" w:tplc="E2D0E8B6">
      <w:numFmt w:val="bullet"/>
      <w:lvlText w:val="•"/>
      <w:lvlJc w:val="left"/>
      <w:pPr>
        <w:ind w:left="5488" w:hanging="228"/>
      </w:pPr>
      <w:rPr>
        <w:rFonts w:hint="default"/>
        <w:lang w:val="en-US" w:eastAsia="en-US" w:bidi="ar-SA"/>
      </w:rPr>
    </w:lvl>
    <w:lvl w:ilvl="7" w:tplc="18283242">
      <w:numFmt w:val="bullet"/>
      <w:lvlText w:val="•"/>
      <w:lvlJc w:val="left"/>
      <w:pPr>
        <w:ind w:left="6316" w:hanging="228"/>
      </w:pPr>
      <w:rPr>
        <w:rFonts w:hint="default"/>
        <w:lang w:val="en-US" w:eastAsia="en-US" w:bidi="ar-SA"/>
      </w:rPr>
    </w:lvl>
    <w:lvl w:ilvl="8" w:tplc="66D8DCE8">
      <w:numFmt w:val="bullet"/>
      <w:lvlText w:val="•"/>
      <w:lvlJc w:val="left"/>
      <w:pPr>
        <w:ind w:left="7144" w:hanging="228"/>
      </w:pPr>
      <w:rPr>
        <w:rFonts w:hint="default"/>
        <w:lang w:val="en-US" w:eastAsia="en-US" w:bidi="ar-SA"/>
      </w:rPr>
    </w:lvl>
  </w:abstractNum>
  <w:abstractNum w:abstractNumId="1" w15:restartNumberingAfterBreak="0">
    <w:nsid w:val="4E9C0096"/>
    <w:multiLevelType w:val="hybridMultilevel"/>
    <w:tmpl w:val="583A0BCA"/>
    <w:lvl w:ilvl="0" w:tplc="4009000F">
      <w:start w:val="1"/>
      <w:numFmt w:val="decimal"/>
      <w:lvlText w:val="%1."/>
      <w:lvlJc w:val="left"/>
      <w:pPr>
        <w:ind w:left="1017" w:hanging="360"/>
      </w:pPr>
    </w:lvl>
    <w:lvl w:ilvl="1" w:tplc="40090019" w:tentative="1">
      <w:start w:val="1"/>
      <w:numFmt w:val="lowerLetter"/>
      <w:lvlText w:val="%2."/>
      <w:lvlJc w:val="left"/>
      <w:pPr>
        <w:ind w:left="1737" w:hanging="360"/>
      </w:pPr>
    </w:lvl>
    <w:lvl w:ilvl="2" w:tplc="4009001B" w:tentative="1">
      <w:start w:val="1"/>
      <w:numFmt w:val="lowerRoman"/>
      <w:lvlText w:val="%3."/>
      <w:lvlJc w:val="right"/>
      <w:pPr>
        <w:ind w:left="2457" w:hanging="180"/>
      </w:pPr>
    </w:lvl>
    <w:lvl w:ilvl="3" w:tplc="4009000F" w:tentative="1">
      <w:start w:val="1"/>
      <w:numFmt w:val="decimal"/>
      <w:lvlText w:val="%4."/>
      <w:lvlJc w:val="left"/>
      <w:pPr>
        <w:ind w:left="3177" w:hanging="360"/>
      </w:pPr>
    </w:lvl>
    <w:lvl w:ilvl="4" w:tplc="40090019" w:tentative="1">
      <w:start w:val="1"/>
      <w:numFmt w:val="lowerLetter"/>
      <w:lvlText w:val="%5."/>
      <w:lvlJc w:val="left"/>
      <w:pPr>
        <w:ind w:left="3897" w:hanging="360"/>
      </w:pPr>
    </w:lvl>
    <w:lvl w:ilvl="5" w:tplc="4009001B" w:tentative="1">
      <w:start w:val="1"/>
      <w:numFmt w:val="lowerRoman"/>
      <w:lvlText w:val="%6."/>
      <w:lvlJc w:val="right"/>
      <w:pPr>
        <w:ind w:left="4617" w:hanging="180"/>
      </w:pPr>
    </w:lvl>
    <w:lvl w:ilvl="6" w:tplc="4009000F" w:tentative="1">
      <w:start w:val="1"/>
      <w:numFmt w:val="decimal"/>
      <w:lvlText w:val="%7."/>
      <w:lvlJc w:val="left"/>
      <w:pPr>
        <w:ind w:left="5337" w:hanging="360"/>
      </w:pPr>
    </w:lvl>
    <w:lvl w:ilvl="7" w:tplc="40090019" w:tentative="1">
      <w:start w:val="1"/>
      <w:numFmt w:val="lowerLetter"/>
      <w:lvlText w:val="%8."/>
      <w:lvlJc w:val="left"/>
      <w:pPr>
        <w:ind w:left="6057" w:hanging="360"/>
      </w:pPr>
    </w:lvl>
    <w:lvl w:ilvl="8" w:tplc="4009001B" w:tentative="1">
      <w:start w:val="1"/>
      <w:numFmt w:val="lowerRoman"/>
      <w:lvlText w:val="%9."/>
      <w:lvlJc w:val="right"/>
      <w:pPr>
        <w:ind w:left="677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80950"/>
    <w:rsid w:val="00280950"/>
    <w:rsid w:val="0029119A"/>
    <w:rsid w:val="004E31CD"/>
    <w:rsid w:val="00506D81"/>
    <w:rsid w:val="00601991"/>
    <w:rsid w:val="00627470"/>
    <w:rsid w:val="006853AB"/>
    <w:rsid w:val="006F17E2"/>
    <w:rsid w:val="00711468"/>
    <w:rsid w:val="009118D3"/>
    <w:rsid w:val="009C3E60"/>
    <w:rsid w:val="009F498B"/>
    <w:rsid w:val="00C0400B"/>
    <w:rsid w:val="00C30899"/>
    <w:rsid w:val="00CE3F20"/>
    <w:rsid w:val="00D5507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F428AE"/>
  <w15:docId w15:val="{0AD084B5-D6E2-42E6-851F-1CD51D69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98"/>
      <w:outlineLvl w:val="0"/>
    </w:pPr>
    <w:rPr>
      <w:b/>
      <w:bCs/>
      <w:sz w:val="20"/>
      <w:szCs w:val="20"/>
    </w:rPr>
  </w:style>
  <w:style w:type="paragraph" w:styleId="Heading2">
    <w:name w:val="heading 2"/>
    <w:basedOn w:val="Normal"/>
    <w:uiPriority w:val="9"/>
    <w:unhideWhenUsed/>
    <w:qFormat/>
    <w:pPr>
      <w:ind w:left="298"/>
      <w:outlineLvl w:val="1"/>
    </w:pPr>
    <w:rPr>
      <w:b/>
      <w:bCs/>
      <w:sz w:val="20"/>
      <w:szCs w:val="20"/>
    </w:rPr>
  </w:style>
  <w:style w:type="paragraph" w:styleId="Heading3">
    <w:name w:val="heading 3"/>
    <w:basedOn w:val="Normal"/>
    <w:next w:val="Normal"/>
    <w:link w:val="Heading3Char"/>
    <w:uiPriority w:val="9"/>
    <w:semiHidden/>
    <w:unhideWhenUsed/>
    <w:qFormat/>
    <w:rsid w:val="00D5507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
      <w:ind w:right="234"/>
      <w:jc w:val="right"/>
    </w:pPr>
    <w:rPr>
      <w:b/>
      <w:bCs/>
      <w:sz w:val="36"/>
      <w:szCs w:val="36"/>
    </w:rPr>
  </w:style>
  <w:style w:type="paragraph" w:styleId="ListParagraph">
    <w:name w:val="List Paragraph"/>
    <w:basedOn w:val="Normal"/>
    <w:uiPriority w:val="1"/>
    <w:qFormat/>
    <w:pPr>
      <w:spacing w:before="86"/>
      <w:ind w:left="525" w:hanging="2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01991"/>
    <w:rPr>
      <w:color w:val="0000FF" w:themeColor="hyperlink"/>
      <w:u w:val="single"/>
    </w:rPr>
  </w:style>
  <w:style w:type="character" w:styleId="UnresolvedMention">
    <w:name w:val="Unresolved Mention"/>
    <w:basedOn w:val="DefaultParagraphFont"/>
    <w:uiPriority w:val="99"/>
    <w:semiHidden/>
    <w:unhideWhenUsed/>
    <w:rsid w:val="00601991"/>
    <w:rPr>
      <w:color w:val="605E5C"/>
      <w:shd w:val="clear" w:color="auto" w:fill="E1DFDD"/>
    </w:rPr>
  </w:style>
  <w:style w:type="character" w:customStyle="1" w:styleId="Heading3Char">
    <w:name w:val="Heading 3 Char"/>
    <w:basedOn w:val="DefaultParagraphFont"/>
    <w:link w:val="Heading3"/>
    <w:uiPriority w:val="9"/>
    <w:semiHidden/>
    <w:rsid w:val="00D55074"/>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711468"/>
    <w:pPr>
      <w:widowControl/>
      <w:autoSpaceDE/>
      <w:autoSpaceDN/>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390/ijerph17238800" TargetMode="External"/><Relationship Id="rId13" Type="http://schemas.openxmlformats.org/officeDocument/2006/relationships/hyperlink" Target="https://doi.org/10.1093/jamia/ocac054" TargetMode="External"/><Relationship Id="rId18" Type="http://schemas.openxmlformats.org/officeDocument/2006/relationships/hyperlink" Target="https://doi.org/10.1093/geroni/igaa00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2196/jmir.6706" TargetMode="External"/><Relationship Id="rId7" Type="http://schemas.openxmlformats.org/officeDocument/2006/relationships/hyperlink" Target="https://doi.org/10.1016/j.ssmph.2021.100898" TargetMode="External"/><Relationship Id="rId12" Type="http://schemas.openxmlformats.org/officeDocument/2006/relationships/hyperlink" Target="https://doi.org/10.1177/0733464816672040" TargetMode="External"/><Relationship Id="rId17" Type="http://schemas.openxmlformats.org/officeDocument/2006/relationships/hyperlink" Target="https://doi.org/10.1136/bmjopen-2020-04546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196/11274" TargetMode="External"/><Relationship Id="rId20" Type="http://schemas.openxmlformats.org/officeDocument/2006/relationships/hyperlink" Target="https://doi.org/10.1126/sciadv.aba1149" TargetMode="External"/><Relationship Id="rId1" Type="http://schemas.openxmlformats.org/officeDocument/2006/relationships/numbering" Target="numbering.xml"/><Relationship Id="rId6" Type="http://schemas.openxmlformats.org/officeDocument/2006/relationships/hyperlink" Target="https://doi.org/10.3389/fpsyg.2020.00563" TargetMode="External"/><Relationship Id="rId11" Type="http://schemas.openxmlformats.org/officeDocument/2006/relationships/hyperlink" Target="https://doi.org/10.2196/17309" TargetMode="External"/><Relationship Id="rId24" Type="http://schemas.openxmlformats.org/officeDocument/2006/relationships/hyperlink" Target="https://doi.org/10.1016/j.healthpol.2022.104755" TargetMode="External"/><Relationship Id="rId5" Type="http://schemas.openxmlformats.org/officeDocument/2006/relationships/image" Target="media/image1.jpeg"/><Relationship Id="rId15" Type="http://schemas.openxmlformats.org/officeDocument/2006/relationships/hyperlink" Target="https://doi.org/10.1016/j.amepre.2016.06.008" TargetMode="External"/><Relationship Id="rId23" Type="http://schemas.openxmlformats.org/officeDocument/2006/relationships/hyperlink" Target="https://doi.org/10.1093/geront/gnz173" TargetMode="External"/><Relationship Id="rId10" Type="http://schemas.openxmlformats.org/officeDocument/2006/relationships/hyperlink" Target="https://doi.org/10.1093/geront/gnaa126" TargetMode="External"/><Relationship Id="rId19" Type="http://schemas.openxmlformats.org/officeDocument/2006/relationships/hyperlink" Target="https://doi.org/10.1016/j.apergo.2021.103429" TargetMode="External"/><Relationship Id="rId4" Type="http://schemas.openxmlformats.org/officeDocument/2006/relationships/webSettings" Target="webSettings.xml"/><Relationship Id="rId9" Type="http://schemas.openxmlformats.org/officeDocument/2006/relationships/hyperlink" Target="https://doi.org/10.3390/healthcare9070871" TargetMode="External"/><Relationship Id="rId14" Type="http://schemas.openxmlformats.org/officeDocument/2006/relationships/hyperlink" Target="https://doi.org/10.1093/geront/gny113" TargetMode="External"/><Relationship Id="rId22" Type="http://schemas.openxmlformats.org/officeDocument/2006/relationships/hyperlink" Target="https://doi.org/10.1177/14614448211011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9</Pages>
  <Words>3732</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12</cp:revision>
  <dcterms:created xsi:type="dcterms:W3CDTF">2026-02-04T14:35:00Z</dcterms:created>
  <dcterms:modified xsi:type="dcterms:W3CDTF">2026-02-09T08:32:00Z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Microsoft® Word for Microsoft 365</vt:lpwstr>
  </property>
  <property fmtid="{D5CDD505-2E9C-101B-9397-08002B2CF9AE}" pid="4" name="LastSaved">
    <vt:filetime>2026-02-04T00:00:00Z</vt:filetime>
  </property>
  <property fmtid="{D5CDD505-2E9C-101B-9397-08002B2CF9AE}" pid="5" name="Producer">
    <vt:lpwstr>Microsoft® Word for Microsoft 365</vt:lpwstr>
  </property>
</Properties>
</file>