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03FD" w14:textId="77777777" w:rsidR="008D4866" w:rsidRDefault="008D4866" w:rsidP="00B77846">
      <w:pPr>
        <w:spacing w:line="360" w:lineRule="auto"/>
        <w:ind w:right="-709"/>
        <w:jc w:val="both"/>
        <w:rPr>
          <w:lang w:val="en-GB"/>
        </w:rPr>
      </w:pPr>
    </w:p>
    <w:p w14:paraId="07ABC73A" w14:textId="110E30D5" w:rsidR="00B77846" w:rsidRPr="00743AD6" w:rsidRDefault="001F6004" w:rsidP="00743AD6">
      <w:pPr>
        <w:spacing w:line="360" w:lineRule="auto"/>
        <w:ind w:right="-709"/>
        <w:jc w:val="center"/>
        <w:rPr>
          <w:rFonts w:ascii="Arial" w:hAnsi="Arial" w:cs="Arial"/>
          <w:b/>
          <w:bCs/>
          <w:sz w:val="24"/>
          <w:szCs w:val="24"/>
        </w:rPr>
      </w:pPr>
      <w:r w:rsidRPr="00743AD6">
        <w:rPr>
          <w:b/>
          <w:bCs/>
          <w:sz w:val="24"/>
          <w:szCs w:val="24"/>
          <w:lang w:val="en-GB"/>
        </w:rPr>
        <w:t xml:space="preserve">Histopathological changes of different organs due to acute hypoxia in </w:t>
      </w:r>
      <w:r w:rsidRPr="00743AD6">
        <w:rPr>
          <w:b/>
          <w:bCs/>
          <w:sz w:val="24"/>
          <w:szCs w:val="24"/>
        </w:rPr>
        <w:t>zebrafish (</w:t>
      </w:r>
      <w:r w:rsidRPr="00743AD6">
        <w:rPr>
          <w:b/>
          <w:bCs/>
          <w:i/>
          <w:iCs/>
          <w:sz w:val="24"/>
          <w:szCs w:val="24"/>
        </w:rPr>
        <w:t>Danio rerio</w:t>
      </w:r>
      <w:r w:rsidRPr="00743AD6">
        <w:rPr>
          <w:b/>
          <w:bCs/>
          <w:sz w:val="24"/>
          <w:szCs w:val="24"/>
        </w:rPr>
        <w:t>)</w:t>
      </w:r>
    </w:p>
    <w:p w14:paraId="34548359" w14:textId="77777777" w:rsidR="00C05EFD" w:rsidRDefault="00C05EFD" w:rsidP="00285F3C">
      <w:pPr>
        <w:ind w:right="-709"/>
        <w:jc w:val="both"/>
        <w:rPr>
          <w:rFonts w:ascii="Arial" w:hAnsi="Arial" w:cs="Arial"/>
          <w:b/>
          <w:bCs/>
          <w:sz w:val="22"/>
          <w:szCs w:val="22"/>
        </w:rPr>
      </w:pPr>
    </w:p>
    <w:p w14:paraId="20F54194" w14:textId="34C1A90C" w:rsidR="00CF4AFF" w:rsidRDefault="00B30F84" w:rsidP="00285F3C">
      <w:pPr>
        <w:ind w:right="-709"/>
        <w:jc w:val="both"/>
        <w:rPr>
          <w:rFonts w:ascii="Arial" w:hAnsi="Arial" w:cs="Arial"/>
          <w:b/>
          <w:bCs/>
          <w:sz w:val="22"/>
          <w:szCs w:val="22"/>
        </w:rPr>
      </w:pPr>
      <w:r w:rsidRPr="00B30F84">
        <w:rPr>
          <w:rFonts w:ascii="Arial" w:hAnsi="Arial" w:cs="Arial"/>
          <w:b/>
          <w:bCs/>
          <w:sz w:val="22"/>
          <w:szCs w:val="22"/>
        </w:rPr>
        <w:t>ABSTRACT</w:t>
      </w:r>
    </w:p>
    <w:p w14:paraId="047EF6D2" w14:textId="77777777" w:rsidR="000219CB" w:rsidRPr="00B30F84" w:rsidRDefault="000219CB" w:rsidP="00285F3C">
      <w:pPr>
        <w:ind w:right="-709"/>
        <w:jc w:val="both"/>
        <w:rPr>
          <w:rFonts w:ascii="Arial" w:hAnsi="Arial" w:cs="Arial"/>
          <w:b/>
          <w:bCs/>
          <w:sz w:val="22"/>
          <w:szCs w:val="22"/>
        </w:rPr>
      </w:pPr>
    </w:p>
    <w:p w14:paraId="2BEFE2F2" w14:textId="0E161F40" w:rsidR="001502D1" w:rsidRDefault="001502D1" w:rsidP="00285F3C">
      <w:pPr>
        <w:ind w:right="-709"/>
        <w:jc w:val="both"/>
        <w:rPr>
          <w:rFonts w:ascii="Arial" w:hAnsi="Arial" w:cs="Arial"/>
          <w:sz w:val="22"/>
          <w:szCs w:val="22"/>
        </w:rPr>
      </w:pPr>
      <w:r w:rsidRPr="001502D1">
        <w:rPr>
          <w:rFonts w:ascii="Arial" w:hAnsi="Arial" w:cs="Arial"/>
          <w:sz w:val="22"/>
          <w:szCs w:val="22"/>
        </w:rPr>
        <w:t>The production of ornamental fish has increased in recent years. The zebrafish (</w:t>
      </w:r>
      <w:r w:rsidRPr="001502D1">
        <w:rPr>
          <w:rFonts w:ascii="Arial" w:hAnsi="Arial" w:cs="Arial"/>
          <w:i/>
          <w:iCs/>
          <w:sz w:val="22"/>
          <w:szCs w:val="22"/>
        </w:rPr>
        <w:t>Danio rerio</w:t>
      </w:r>
      <w:r w:rsidRPr="001502D1">
        <w:rPr>
          <w:rFonts w:ascii="Arial" w:hAnsi="Arial" w:cs="Arial"/>
          <w:sz w:val="22"/>
          <w:szCs w:val="22"/>
        </w:rPr>
        <w:t>) is a popular model organism used in scientific research across various fields. Hypoxia, or a reduction in the level of dissolved oxygen in water, is a critical condition that directly affects the survival and maintenance of many aquatic organisms, including fish. In this case report, we describe a zebrafish that experienced hypovolemic shock resulting from hypoxia caused by a sudden drop in dissolved oxygen levels. This case study describes a bioterium in which a power outage caused a drop in dissolved oxygen levels, resulting in a high mortality rate. Histopathology was used to evaluate the tissues, which were fixed in 10% formalin, processed in an automatic processor and embedded in paraplast. Tissue blocks were sectioned at a thickness of 3 µm and stained in haematoxylin and eosin for observation. Microscopically, the myocardium appeared slightly hypertrophic and the pericardium showed dense haemorrhages. The kidney tubular cells showed pronounced oedema with a whitish, foamy cytoplasm. Some tubular cells showed pronounced eosinophilia and necrotic cells were observed detaching from the tubular basement membrane in some tubules. The brain parenchyma showed pericellular oedema, increased Virchow-Robin spaces and mild glial proliferation. Therefore, we conclude that the underlying cause of death was a decrease in environmental oxygen levels combined with pre-existing branchial lesions, which generated hypoxia resulting in cardiac failure due to diffuse haemorrhages.</w:t>
      </w:r>
    </w:p>
    <w:p w14:paraId="01B98364" w14:textId="77777777" w:rsidR="002B5AFD" w:rsidRPr="00B30F84" w:rsidRDefault="002B5AFD" w:rsidP="00285F3C">
      <w:pPr>
        <w:ind w:right="-709"/>
        <w:jc w:val="both"/>
        <w:rPr>
          <w:rFonts w:ascii="Arial" w:hAnsi="Arial" w:cs="Arial"/>
          <w:sz w:val="22"/>
          <w:szCs w:val="22"/>
        </w:rPr>
      </w:pPr>
    </w:p>
    <w:p w14:paraId="0F423E69" w14:textId="675C1481" w:rsidR="00CF4AFF" w:rsidRPr="00B30F84" w:rsidRDefault="00CF4AFF" w:rsidP="00285F3C">
      <w:pPr>
        <w:ind w:right="-709"/>
        <w:jc w:val="both"/>
        <w:rPr>
          <w:rFonts w:ascii="Arial" w:hAnsi="Arial" w:cs="Arial"/>
          <w:b/>
          <w:bCs/>
          <w:sz w:val="22"/>
          <w:szCs w:val="22"/>
        </w:rPr>
      </w:pPr>
      <w:r w:rsidRPr="00B30F84">
        <w:rPr>
          <w:rFonts w:ascii="Arial" w:hAnsi="Arial" w:cs="Arial"/>
          <w:b/>
          <w:bCs/>
          <w:sz w:val="22"/>
          <w:szCs w:val="22"/>
        </w:rPr>
        <w:t xml:space="preserve">Keywords: </w:t>
      </w:r>
      <w:r w:rsidRPr="00B30F84">
        <w:rPr>
          <w:rFonts w:ascii="Arial" w:hAnsi="Arial" w:cs="Arial"/>
          <w:sz w:val="22"/>
          <w:szCs w:val="22"/>
        </w:rPr>
        <w:t>Ornamental fish</w:t>
      </w:r>
      <w:r w:rsidR="00C75FF9">
        <w:rPr>
          <w:rFonts w:ascii="Arial" w:hAnsi="Arial" w:cs="Arial"/>
          <w:sz w:val="22"/>
          <w:szCs w:val="22"/>
        </w:rPr>
        <w:t xml:space="preserve">, </w:t>
      </w:r>
      <w:r w:rsidRPr="00B30F84">
        <w:rPr>
          <w:rFonts w:ascii="Arial" w:hAnsi="Arial" w:cs="Arial"/>
          <w:sz w:val="22"/>
          <w:szCs w:val="22"/>
        </w:rPr>
        <w:t xml:space="preserve"> Oxygen</w:t>
      </w:r>
      <w:r w:rsidR="00C75FF9">
        <w:rPr>
          <w:rFonts w:ascii="Arial" w:hAnsi="Arial" w:cs="Arial"/>
          <w:sz w:val="22"/>
          <w:szCs w:val="22"/>
        </w:rPr>
        <w:t xml:space="preserve">, </w:t>
      </w:r>
      <w:r w:rsidRPr="00B30F84">
        <w:rPr>
          <w:rFonts w:ascii="Arial" w:hAnsi="Arial" w:cs="Arial"/>
          <w:sz w:val="22"/>
          <w:szCs w:val="22"/>
        </w:rPr>
        <w:t xml:space="preserve"> Hypovolemia</w:t>
      </w:r>
      <w:r w:rsidR="00C75FF9">
        <w:rPr>
          <w:rFonts w:ascii="Arial" w:hAnsi="Arial" w:cs="Arial"/>
          <w:sz w:val="22"/>
          <w:szCs w:val="22"/>
        </w:rPr>
        <w:t xml:space="preserve">, </w:t>
      </w:r>
      <w:r w:rsidRPr="00B30F84">
        <w:rPr>
          <w:rFonts w:ascii="Arial" w:hAnsi="Arial" w:cs="Arial"/>
          <w:sz w:val="22"/>
          <w:szCs w:val="22"/>
        </w:rPr>
        <w:t>Histopathology</w:t>
      </w:r>
    </w:p>
    <w:p w14:paraId="2C67940A" w14:textId="77777777" w:rsidR="003E5D46" w:rsidRPr="00B30F84" w:rsidRDefault="003E5D46" w:rsidP="00285F3C">
      <w:pPr>
        <w:ind w:right="-709"/>
        <w:jc w:val="both"/>
        <w:rPr>
          <w:rFonts w:ascii="Arial" w:hAnsi="Arial" w:cs="Arial"/>
          <w:b/>
          <w:bCs/>
          <w:sz w:val="22"/>
          <w:szCs w:val="22"/>
        </w:rPr>
      </w:pPr>
    </w:p>
    <w:p w14:paraId="5374F36D" w14:textId="77777777" w:rsidR="00BA3552" w:rsidRPr="00B30F84" w:rsidRDefault="00BA3552" w:rsidP="00285F3C">
      <w:pPr>
        <w:ind w:right="-709"/>
        <w:jc w:val="both"/>
        <w:rPr>
          <w:rFonts w:ascii="Arial" w:hAnsi="Arial" w:cs="Arial"/>
          <w:b/>
          <w:bCs/>
          <w:sz w:val="22"/>
          <w:szCs w:val="22"/>
        </w:rPr>
      </w:pPr>
    </w:p>
    <w:p w14:paraId="35F1ABC3" w14:textId="3E9A1A3C"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 xml:space="preserve">INTRODUCTION </w:t>
      </w:r>
    </w:p>
    <w:p w14:paraId="0E6F7FE8" w14:textId="77777777" w:rsidR="0002136E" w:rsidRPr="00684D1A" w:rsidRDefault="0002136E" w:rsidP="00285F3C">
      <w:pPr>
        <w:ind w:right="-709"/>
        <w:jc w:val="both"/>
        <w:rPr>
          <w:rFonts w:ascii="Arial" w:hAnsi="Arial" w:cs="Arial"/>
          <w:sz w:val="22"/>
          <w:szCs w:val="22"/>
        </w:rPr>
      </w:pPr>
      <w:r w:rsidRPr="00B30F84">
        <w:rPr>
          <w:rFonts w:ascii="Arial" w:hAnsi="Arial" w:cs="Arial"/>
          <w:sz w:val="22"/>
          <w:szCs w:val="22"/>
        </w:rPr>
        <w:t xml:space="preserve">The </w:t>
      </w:r>
      <w:r w:rsidRPr="00684D1A">
        <w:rPr>
          <w:rFonts w:ascii="Arial" w:hAnsi="Arial" w:cs="Arial"/>
          <w:sz w:val="22"/>
          <w:szCs w:val="22"/>
        </w:rPr>
        <w:t>production of ornamental fish has increased in recent years, particularly those intended for scientific research. Among these species, the most important is the zebrafish (</w:t>
      </w:r>
      <w:r w:rsidRPr="00684D1A">
        <w:rPr>
          <w:rFonts w:ascii="Arial" w:hAnsi="Arial" w:cs="Arial"/>
          <w:i/>
          <w:iCs/>
          <w:sz w:val="22"/>
          <w:szCs w:val="22"/>
        </w:rPr>
        <w:t>Danio rerio</w:t>
      </w:r>
      <w:r w:rsidRPr="00684D1A">
        <w:rPr>
          <w:rFonts w:ascii="Arial" w:hAnsi="Arial" w:cs="Arial"/>
          <w:sz w:val="22"/>
          <w:szCs w:val="22"/>
        </w:rPr>
        <w:t>).</w:t>
      </w:r>
    </w:p>
    <w:p w14:paraId="13572D09" w14:textId="23506459" w:rsidR="00F719C1" w:rsidRPr="00B30F84" w:rsidRDefault="0002136E" w:rsidP="00285F3C">
      <w:pPr>
        <w:ind w:right="-709"/>
        <w:jc w:val="both"/>
        <w:rPr>
          <w:rFonts w:ascii="Arial" w:hAnsi="Arial" w:cs="Arial"/>
          <w:sz w:val="22"/>
          <w:szCs w:val="22"/>
        </w:rPr>
      </w:pPr>
      <w:r w:rsidRPr="00B30F84">
        <w:rPr>
          <w:rFonts w:ascii="Arial" w:hAnsi="Arial" w:cs="Arial"/>
          <w:sz w:val="22"/>
          <w:szCs w:val="22"/>
        </w:rPr>
        <w:t>The zebrafish (</w:t>
      </w:r>
      <w:r w:rsidRPr="00B30F84">
        <w:rPr>
          <w:rFonts w:ascii="Arial" w:hAnsi="Arial" w:cs="Arial"/>
          <w:i/>
          <w:iCs/>
          <w:sz w:val="22"/>
          <w:szCs w:val="22"/>
        </w:rPr>
        <w:t>Danio rerio</w:t>
      </w:r>
      <w:r w:rsidRPr="00B30F84">
        <w:rPr>
          <w:rFonts w:ascii="Arial" w:hAnsi="Arial" w:cs="Arial"/>
          <w:sz w:val="22"/>
          <w:szCs w:val="22"/>
        </w:rPr>
        <w:t xml:space="preserve">) is a tropical freshwater teleost species belonging to the order </w:t>
      </w:r>
      <w:r w:rsidRPr="00B30F84">
        <w:rPr>
          <w:rFonts w:ascii="Arial" w:hAnsi="Arial" w:cs="Arial"/>
          <w:i/>
          <w:iCs/>
          <w:sz w:val="22"/>
          <w:szCs w:val="22"/>
        </w:rPr>
        <w:t>Cypriniformes</w:t>
      </w:r>
      <w:r w:rsidRPr="00B30F84">
        <w:rPr>
          <w:rFonts w:ascii="Arial" w:hAnsi="Arial" w:cs="Arial"/>
          <w:sz w:val="22"/>
          <w:szCs w:val="22"/>
        </w:rPr>
        <w:t xml:space="preserve"> and the subfamily </w:t>
      </w:r>
      <w:r w:rsidRPr="00B30F84">
        <w:rPr>
          <w:rFonts w:ascii="Arial" w:hAnsi="Arial" w:cs="Arial"/>
          <w:i/>
          <w:iCs/>
          <w:sz w:val="22"/>
          <w:szCs w:val="22"/>
        </w:rPr>
        <w:t>Danioninae</w:t>
      </w:r>
      <w:r w:rsidRPr="00B30F84">
        <w:rPr>
          <w:rFonts w:ascii="Arial" w:hAnsi="Arial" w:cs="Arial"/>
          <w:sz w:val="22"/>
          <w:szCs w:val="22"/>
        </w:rPr>
        <w:t xml:space="preserve">. It is native to freshwater habitats in South Asia, where it occurs in India, Pakistan, Bangladesh, Nepal, and Bhutan (Whiteley et al., 2011; Engeszer </w:t>
      </w:r>
      <w:r w:rsidRPr="003E72C7">
        <w:rPr>
          <w:rFonts w:ascii="Arial" w:hAnsi="Arial" w:cs="Arial"/>
          <w:i/>
          <w:iCs/>
          <w:sz w:val="22"/>
          <w:szCs w:val="22"/>
        </w:rPr>
        <w:t>et al</w:t>
      </w:r>
      <w:r w:rsidRPr="00B30F84">
        <w:rPr>
          <w:rFonts w:ascii="Arial" w:hAnsi="Arial" w:cs="Arial"/>
          <w:sz w:val="22"/>
          <w:szCs w:val="22"/>
        </w:rPr>
        <w:t xml:space="preserve">., 2007). It typically inhabits clear, shallow waters such as streams, ponds, canals, ditches, and rice fields </w:t>
      </w:r>
      <w:r w:rsidR="00403631" w:rsidRPr="00B30F84">
        <w:rPr>
          <w:rFonts w:ascii="Arial" w:hAnsi="Arial" w:cs="Arial"/>
          <w:sz w:val="22"/>
          <w:szCs w:val="22"/>
        </w:rPr>
        <w:t xml:space="preserve">(Spence </w:t>
      </w:r>
      <w:r w:rsidRPr="003E72C7">
        <w:rPr>
          <w:rFonts w:ascii="Arial" w:hAnsi="Arial" w:cs="Arial"/>
          <w:i/>
          <w:iCs/>
          <w:sz w:val="22"/>
          <w:szCs w:val="22"/>
        </w:rPr>
        <w:t>et al</w:t>
      </w:r>
      <w:r w:rsidRPr="00B30F84">
        <w:rPr>
          <w:rFonts w:ascii="Arial" w:hAnsi="Arial" w:cs="Arial"/>
          <w:sz w:val="22"/>
          <w:szCs w:val="22"/>
        </w:rPr>
        <w:t xml:space="preserve">., 2006). The water pH ranges from neutral to basic, and the optimal temperature lies between 16.5 and </w:t>
      </w:r>
      <w:r w:rsidRPr="00672D18">
        <w:rPr>
          <w:rFonts w:ascii="Arial" w:hAnsi="Arial" w:cs="Arial"/>
          <w:sz w:val="22"/>
          <w:szCs w:val="22"/>
        </w:rPr>
        <w:t xml:space="preserve">34 °C (MacClure </w:t>
      </w:r>
      <w:r w:rsidRPr="00672D18">
        <w:rPr>
          <w:rFonts w:ascii="Arial" w:hAnsi="Arial" w:cs="Arial"/>
          <w:i/>
          <w:iCs/>
          <w:sz w:val="22"/>
          <w:szCs w:val="22"/>
        </w:rPr>
        <w:t>et al</w:t>
      </w:r>
      <w:r w:rsidRPr="00672D18">
        <w:rPr>
          <w:rFonts w:ascii="Arial" w:hAnsi="Arial" w:cs="Arial"/>
          <w:sz w:val="22"/>
          <w:szCs w:val="22"/>
        </w:rPr>
        <w:t>., 2006). The zebrafish is widely used in scientific research as a model organism in various fields of science</w:t>
      </w:r>
      <w:r w:rsidR="00F719C1" w:rsidRPr="00403631">
        <w:rPr>
          <w:rFonts w:ascii="Arial" w:eastAsiaTheme="minorHAnsi" w:hAnsi="Arial" w:cs="Arial"/>
          <w:sz w:val="22"/>
          <w:szCs w:val="22"/>
        </w:rPr>
        <w:t>(Orger &amp; Polavieja, 2017).</w:t>
      </w:r>
      <w:r w:rsidR="00F719C1" w:rsidRPr="00B30F84">
        <w:rPr>
          <w:rFonts w:ascii="Arial" w:eastAsiaTheme="minorHAnsi" w:hAnsi="Arial" w:cs="Arial"/>
          <w:sz w:val="22"/>
          <w:szCs w:val="22"/>
        </w:rPr>
        <w:t xml:space="preserve">  </w:t>
      </w:r>
    </w:p>
    <w:p w14:paraId="202AE0BC" w14:textId="7937648D"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Most teleost fish breathe through their gills</w:t>
      </w:r>
      <w:r w:rsidRPr="00B30F84">
        <w:rPr>
          <w:rFonts w:ascii="Arial" w:hAnsi="Arial" w:cs="Arial"/>
          <w:b/>
          <w:bCs/>
          <w:sz w:val="22"/>
          <w:szCs w:val="22"/>
        </w:rPr>
        <w:t>.</w:t>
      </w:r>
      <w:r w:rsidRPr="00B30F84">
        <w:rPr>
          <w:rFonts w:ascii="Arial" w:hAnsi="Arial" w:cs="Arial"/>
          <w:sz w:val="22"/>
          <w:szCs w:val="22"/>
        </w:rPr>
        <w:t xml:space="preserve"> The functions of this organ are multiple and of great importance to fish, including osmoregulation, excretion of nitrogenous compounds, and ion regulation. For branchial respiration to be efficient, the gills require a highly specialized structure characterized by a thin epithelium and a large surface area that allows gas exchange between the blood and the surrounding environment, ensuring the transport of oxygen and nutrients to different tissues. Conversely, both external and internal factors can impair the efficiency of the gill apparatus, such as elevated levels of nitrogenous compounds, parasitic diseases, branchial hyperplasia, and gill necrosis, among others (</w:t>
      </w:r>
      <w:r w:rsidRPr="004E3152">
        <w:rPr>
          <w:rFonts w:ascii="Arial" w:hAnsi="Arial" w:cs="Arial"/>
          <w:sz w:val="22"/>
          <w:szCs w:val="22"/>
        </w:rPr>
        <w:t xml:space="preserve">Laurent &amp; Perry, 1991; Kim </w:t>
      </w:r>
      <w:r w:rsidRPr="004F2E59">
        <w:rPr>
          <w:rFonts w:ascii="Arial" w:hAnsi="Arial" w:cs="Arial"/>
          <w:i/>
          <w:iCs/>
          <w:sz w:val="22"/>
          <w:szCs w:val="22"/>
        </w:rPr>
        <w:t>et al</w:t>
      </w:r>
      <w:r w:rsidRPr="004E3152">
        <w:rPr>
          <w:rFonts w:ascii="Arial" w:hAnsi="Arial" w:cs="Arial"/>
          <w:sz w:val="22"/>
          <w:szCs w:val="22"/>
        </w:rPr>
        <w:t xml:space="preserve">., 2019; Ahmad </w:t>
      </w:r>
      <w:r w:rsidRPr="004F2E59">
        <w:rPr>
          <w:rFonts w:ascii="Arial" w:hAnsi="Arial" w:cs="Arial"/>
          <w:i/>
          <w:iCs/>
          <w:sz w:val="22"/>
          <w:szCs w:val="22"/>
        </w:rPr>
        <w:t>et al</w:t>
      </w:r>
      <w:r w:rsidRPr="004E3152">
        <w:rPr>
          <w:rFonts w:ascii="Arial" w:hAnsi="Arial" w:cs="Arial"/>
          <w:sz w:val="22"/>
          <w:szCs w:val="22"/>
        </w:rPr>
        <w:t>., 2021).</w:t>
      </w:r>
    </w:p>
    <w:p w14:paraId="27FC3F06" w14:textId="08DD2665"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 xml:space="preserve">Hypoxia, defined as a reduction in dissolved oxygen levels in water, is a critical condition that directly affects the maintenance and survival of various aquatic organisms, including fish (Wang </w:t>
      </w:r>
      <w:r w:rsidRPr="004F2E59">
        <w:rPr>
          <w:rFonts w:ascii="Arial" w:hAnsi="Arial" w:cs="Arial"/>
          <w:i/>
          <w:iCs/>
          <w:sz w:val="22"/>
          <w:szCs w:val="22"/>
        </w:rPr>
        <w:t>et al</w:t>
      </w:r>
      <w:r w:rsidRPr="00B30F84">
        <w:rPr>
          <w:rFonts w:ascii="Arial" w:hAnsi="Arial" w:cs="Arial"/>
          <w:sz w:val="22"/>
          <w:szCs w:val="22"/>
        </w:rPr>
        <w:t xml:space="preserve">., 2023). When dissolved oxygen (DO) concentrations fall below 1.5 mg/L, the respiratory capacity of fish may be compromised (Wannamaker &amp; Rice, </w:t>
      </w:r>
      <w:r w:rsidRPr="00DC0856">
        <w:rPr>
          <w:rFonts w:ascii="Arial" w:hAnsi="Arial" w:cs="Arial"/>
          <w:sz w:val="22"/>
          <w:szCs w:val="22"/>
        </w:rPr>
        <w:t>200). Several</w:t>
      </w:r>
      <w:r w:rsidRPr="00B30F84">
        <w:rPr>
          <w:rFonts w:ascii="Arial" w:hAnsi="Arial" w:cs="Arial"/>
          <w:sz w:val="22"/>
          <w:szCs w:val="22"/>
        </w:rPr>
        <w:t xml:space="preserve"> factors can cause this condition, such as water pollution, nutrient overload leading to algal blooms, overpopulation, </w:t>
      </w:r>
      <w:r w:rsidRPr="00B30F84">
        <w:rPr>
          <w:rFonts w:ascii="Arial" w:hAnsi="Arial" w:cs="Arial"/>
          <w:sz w:val="22"/>
          <w:szCs w:val="22"/>
        </w:rPr>
        <w:lastRenderedPageBreak/>
        <w:t xml:space="preserve">and inadequate water recirculation in aquariums and tanks, among others (Pollock </w:t>
      </w:r>
      <w:r w:rsidRPr="004F2E59">
        <w:rPr>
          <w:rFonts w:ascii="Arial" w:hAnsi="Arial" w:cs="Arial"/>
          <w:i/>
          <w:iCs/>
          <w:sz w:val="22"/>
          <w:szCs w:val="22"/>
        </w:rPr>
        <w:t>et al</w:t>
      </w:r>
      <w:r w:rsidRPr="00B30F84">
        <w:rPr>
          <w:rFonts w:ascii="Arial" w:hAnsi="Arial" w:cs="Arial"/>
          <w:sz w:val="22"/>
          <w:szCs w:val="22"/>
        </w:rPr>
        <w:t xml:space="preserve">., 2007). As oxygen levels decrease, fish tend to exhibit metabolic and physiological alterations, including difficulty performing gas exchange through the gills, lethargy, behavioral changes, and, in more severe cases, death (Wang et al., 2023). Thus, hypoxia is a condition in which an organism’s body does not receive sufficient oxygen, regardless of the underlying cause (Convertino </w:t>
      </w:r>
      <w:r w:rsidRPr="004F2E59">
        <w:rPr>
          <w:rFonts w:ascii="Arial" w:hAnsi="Arial" w:cs="Arial"/>
          <w:i/>
          <w:iCs/>
          <w:sz w:val="22"/>
          <w:szCs w:val="22"/>
        </w:rPr>
        <w:t>et al</w:t>
      </w:r>
      <w:r w:rsidRPr="00B30F84">
        <w:rPr>
          <w:rFonts w:ascii="Arial" w:hAnsi="Arial" w:cs="Arial"/>
          <w:sz w:val="22"/>
          <w:szCs w:val="22"/>
        </w:rPr>
        <w:t>., 2019).</w:t>
      </w:r>
    </w:p>
    <w:p w14:paraId="130AA1E6"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 xml:space="preserve">Hypovolemic shock, in turn, is characterized by a significant loss of intravascular volume, whether due to hemorrhagic mechanisms (external or internal bleeding) or non-hemorrhagic mechanisms (vomiting, diarrhea, extensive burns, among others) (Taghavi </w:t>
      </w:r>
      <w:r w:rsidRPr="004F2E59">
        <w:rPr>
          <w:rFonts w:ascii="Arial" w:hAnsi="Arial" w:cs="Arial"/>
          <w:i/>
          <w:iCs/>
          <w:sz w:val="22"/>
          <w:szCs w:val="22"/>
        </w:rPr>
        <w:t>et al</w:t>
      </w:r>
      <w:r w:rsidRPr="00B30F84">
        <w:rPr>
          <w:rFonts w:ascii="Arial" w:hAnsi="Arial" w:cs="Arial"/>
          <w:sz w:val="22"/>
          <w:szCs w:val="22"/>
        </w:rPr>
        <w:t xml:space="preserve">., 2023). This loss of volume leads to a reduction in venous return and, consequently, a decrease in cardiac output, resulting in tissue hypoperfusion and impaired delivery of oxygen and nutrients to vital organs. If not diagnosed and treated promptly, it can progress to progressive cellular dysfunction and multiple organ failure (Alencar </w:t>
      </w:r>
      <w:r w:rsidRPr="004F2E59">
        <w:rPr>
          <w:rFonts w:ascii="Arial" w:hAnsi="Arial" w:cs="Arial"/>
          <w:i/>
          <w:iCs/>
          <w:sz w:val="22"/>
          <w:szCs w:val="22"/>
        </w:rPr>
        <w:t>et al</w:t>
      </w:r>
      <w:r w:rsidRPr="00B30F84">
        <w:rPr>
          <w:rFonts w:ascii="Arial" w:hAnsi="Arial" w:cs="Arial"/>
          <w:sz w:val="22"/>
          <w:szCs w:val="22"/>
        </w:rPr>
        <w:t>., 2025).</w:t>
      </w:r>
    </w:p>
    <w:p w14:paraId="371086E4" w14:textId="524C2634" w:rsidR="00F719C1" w:rsidRPr="00B30F84" w:rsidRDefault="00D27653" w:rsidP="00285F3C">
      <w:pPr>
        <w:ind w:right="-709"/>
        <w:jc w:val="both"/>
        <w:rPr>
          <w:rFonts w:ascii="Arial" w:hAnsi="Arial" w:cs="Arial"/>
          <w:sz w:val="22"/>
          <w:szCs w:val="22"/>
        </w:rPr>
      </w:pPr>
      <w:r w:rsidRPr="00B30F84">
        <w:rPr>
          <w:rFonts w:ascii="Arial" w:hAnsi="Arial" w:cs="Arial"/>
          <w:sz w:val="22"/>
          <w:szCs w:val="22"/>
        </w:rPr>
        <w:t>Here, we report a case of hypovolemic shock in zebrafish (</w:t>
      </w:r>
      <w:r w:rsidRPr="00B30F84">
        <w:rPr>
          <w:rFonts w:ascii="Arial" w:hAnsi="Arial" w:cs="Arial"/>
          <w:i/>
          <w:iCs/>
          <w:sz w:val="22"/>
          <w:szCs w:val="22"/>
        </w:rPr>
        <w:t>Danio rerio</w:t>
      </w:r>
      <w:r w:rsidRPr="00B30F84">
        <w:rPr>
          <w:rFonts w:ascii="Arial" w:hAnsi="Arial" w:cs="Arial"/>
          <w:sz w:val="22"/>
          <w:szCs w:val="22"/>
        </w:rPr>
        <w:t>) resulting from hypoxia caused by a sudden drop in dissolved oxygen (DO) levels. Macroscopically, the fish exhibited gill pallor, skin lesions, and hemorrhages</w:t>
      </w:r>
      <w:r w:rsidR="0035291E" w:rsidRPr="00B30F84">
        <w:rPr>
          <w:rFonts w:ascii="Arial" w:hAnsi="Arial" w:cs="Arial"/>
          <w:sz w:val="22"/>
          <w:szCs w:val="22"/>
        </w:rPr>
        <w:t>.</w:t>
      </w:r>
    </w:p>
    <w:p w14:paraId="381EB1D2" w14:textId="77777777" w:rsidR="00253B19" w:rsidRPr="00B30F84" w:rsidRDefault="00253B19" w:rsidP="00285F3C">
      <w:pPr>
        <w:ind w:right="-709"/>
        <w:jc w:val="both"/>
        <w:rPr>
          <w:rFonts w:ascii="Arial" w:hAnsi="Arial" w:cs="Arial"/>
          <w:sz w:val="22"/>
          <w:szCs w:val="22"/>
          <w:highlight w:val="yellow"/>
        </w:rPr>
      </w:pPr>
    </w:p>
    <w:p w14:paraId="2888AE95" w14:textId="585531D0" w:rsidR="00C0004C" w:rsidRDefault="00C0004C" w:rsidP="000F22A0">
      <w:pPr>
        <w:ind w:right="-709"/>
        <w:jc w:val="both"/>
        <w:rPr>
          <w:rFonts w:ascii="Arial" w:hAnsi="Arial" w:cs="Arial"/>
          <w:b/>
          <w:bCs/>
          <w:sz w:val="22"/>
          <w:szCs w:val="22"/>
        </w:rPr>
      </w:pPr>
      <w:r>
        <w:rPr>
          <w:rFonts w:ascii="Arial" w:hAnsi="Arial" w:cs="Arial"/>
          <w:b/>
          <w:bCs/>
          <w:sz w:val="22"/>
          <w:szCs w:val="22"/>
        </w:rPr>
        <w:t>Case presentation</w:t>
      </w:r>
    </w:p>
    <w:p w14:paraId="0D69C55E" w14:textId="134065A9" w:rsidR="000F22A0" w:rsidRPr="000F22A0" w:rsidRDefault="000F22A0" w:rsidP="000F22A0">
      <w:pPr>
        <w:ind w:right="-709"/>
        <w:jc w:val="both"/>
        <w:rPr>
          <w:rFonts w:ascii="Arial" w:hAnsi="Arial" w:cs="Arial"/>
          <w:sz w:val="22"/>
          <w:szCs w:val="22"/>
        </w:rPr>
      </w:pPr>
      <w:r w:rsidRPr="000F22A0">
        <w:rPr>
          <w:rFonts w:ascii="Arial" w:hAnsi="Arial" w:cs="Arial"/>
          <w:sz w:val="22"/>
          <w:szCs w:val="22"/>
        </w:rPr>
        <w:t xml:space="preserve">The study was conducted in the Immunology and Pathology of Aquatic Organisms facilities at the Federal University of Rio Grande in Brazil. Eight Danio rerio specimens were studied. According to the background information, a high mortality rate was observed following a decrease in dissolved oxygen (DO) levels caused by a power outage. </w:t>
      </w:r>
    </w:p>
    <w:p w14:paraId="2DC551B6" w14:textId="77777777" w:rsidR="000F22A0" w:rsidRPr="000F22A0" w:rsidRDefault="000F22A0" w:rsidP="000F22A0">
      <w:pPr>
        <w:ind w:right="-709"/>
        <w:jc w:val="both"/>
        <w:rPr>
          <w:rFonts w:ascii="Arial" w:hAnsi="Arial" w:cs="Arial"/>
          <w:sz w:val="22"/>
          <w:szCs w:val="22"/>
        </w:rPr>
      </w:pPr>
      <w:r w:rsidRPr="000F22A0">
        <w:rPr>
          <w:rFonts w:ascii="Arial" w:hAnsi="Arial" w:cs="Arial"/>
          <w:sz w:val="22"/>
          <w:szCs w:val="22"/>
        </w:rPr>
        <w:t xml:space="preserve">The animals were euthanised by immersion in benzocaine (500 mg/L) and necropsies were performed in accordance with the Eiras </w:t>
      </w:r>
      <w:r w:rsidRPr="00E860F0">
        <w:rPr>
          <w:rFonts w:ascii="Arial" w:hAnsi="Arial" w:cs="Arial"/>
          <w:i/>
          <w:iCs/>
          <w:sz w:val="22"/>
          <w:szCs w:val="22"/>
        </w:rPr>
        <w:t>et al.</w:t>
      </w:r>
      <w:r w:rsidRPr="000F22A0">
        <w:rPr>
          <w:rFonts w:ascii="Arial" w:hAnsi="Arial" w:cs="Arial"/>
          <w:sz w:val="22"/>
          <w:szCs w:val="22"/>
        </w:rPr>
        <w:t xml:space="preserve"> (2000) protocol. Samples were collected from the kidney, brain, gut, heart, spleen, gills and liver for histopathological analysis.  </w:t>
      </w:r>
    </w:p>
    <w:p w14:paraId="085AA4B2" w14:textId="32D70DB7" w:rsidR="00980A9C" w:rsidRDefault="000F22A0" w:rsidP="000F22A0">
      <w:pPr>
        <w:ind w:right="-709"/>
        <w:jc w:val="both"/>
        <w:rPr>
          <w:rFonts w:ascii="Arial" w:hAnsi="Arial" w:cs="Arial"/>
          <w:sz w:val="22"/>
          <w:szCs w:val="22"/>
        </w:rPr>
      </w:pPr>
      <w:r w:rsidRPr="000F22A0">
        <w:rPr>
          <w:rFonts w:ascii="Arial" w:hAnsi="Arial" w:cs="Arial"/>
          <w:sz w:val="22"/>
          <w:szCs w:val="22"/>
        </w:rPr>
        <w:t xml:space="preserve">The tissues were fixed in 10% buffered formalin for 48 hours, then transferred to 70% alcohol. </w:t>
      </w:r>
    </w:p>
    <w:p w14:paraId="029521BC" w14:textId="517FE73E" w:rsidR="00662318" w:rsidRDefault="00980A9C" w:rsidP="000F22A0">
      <w:pPr>
        <w:ind w:right="-709"/>
        <w:jc w:val="both"/>
        <w:rPr>
          <w:rFonts w:ascii="Arial" w:hAnsi="Arial" w:cs="Arial"/>
          <w:sz w:val="22"/>
          <w:szCs w:val="22"/>
        </w:rPr>
      </w:pPr>
      <w:r w:rsidRPr="00980A9C">
        <w:rPr>
          <w:rFonts w:ascii="Arial" w:hAnsi="Arial" w:cs="Arial"/>
          <w:sz w:val="22"/>
          <w:szCs w:val="22"/>
        </w:rPr>
        <w:t>Tissue samples were subjected to routine histological processing</w:t>
      </w:r>
      <w:r w:rsidR="00662318" w:rsidRPr="00662318">
        <w:rPr>
          <w:rFonts w:ascii="Arial" w:hAnsi="Arial" w:cs="Arial"/>
          <w:sz w:val="22"/>
          <w:szCs w:val="22"/>
        </w:rPr>
        <w:t xml:space="preserve"> </w:t>
      </w:r>
      <w:r w:rsidR="00662318" w:rsidRPr="000F22A0">
        <w:rPr>
          <w:rFonts w:ascii="Arial" w:hAnsi="Arial" w:cs="Arial"/>
          <w:sz w:val="22"/>
          <w:szCs w:val="22"/>
        </w:rPr>
        <w:t>in a Leica TP1020 automatic tissue processor</w:t>
      </w:r>
      <w:r w:rsidR="00662318">
        <w:rPr>
          <w:rFonts w:ascii="Arial" w:hAnsi="Arial" w:cs="Arial"/>
          <w:sz w:val="22"/>
          <w:szCs w:val="22"/>
        </w:rPr>
        <w:t>,</w:t>
      </w:r>
      <w:r w:rsidRPr="00980A9C">
        <w:rPr>
          <w:rFonts w:ascii="Arial" w:hAnsi="Arial" w:cs="Arial"/>
          <w:sz w:val="22"/>
          <w:szCs w:val="22"/>
        </w:rPr>
        <w:t xml:space="preserve"> including dehydration, clearing, impregnation, and paraffin embedding. Dehydration was performed using graded ethanol solutions (70%, 80%, 90%, and two changes of absolute ethanol), with 1 h per step. Clearing was conducted in two successive xylene baths, each lasting 1 h, to ensure complete removal of ethanol prior to paraffin impregnation</w:t>
      </w:r>
      <w:r w:rsidR="000F22A0" w:rsidRPr="000F22A0">
        <w:rPr>
          <w:rFonts w:ascii="Arial" w:hAnsi="Arial" w:cs="Arial"/>
          <w:sz w:val="22"/>
          <w:szCs w:val="22"/>
        </w:rPr>
        <w:t xml:space="preserve">. </w:t>
      </w:r>
    </w:p>
    <w:p w14:paraId="2CFA6842" w14:textId="07F42BBC" w:rsidR="00253B19" w:rsidRDefault="000F22A0" w:rsidP="000F22A0">
      <w:pPr>
        <w:ind w:right="-709"/>
        <w:jc w:val="both"/>
        <w:rPr>
          <w:rFonts w:ascii="Arial" w:hAnsi="Arial" w:cs="Arial"/>
          <w:sz w:val="22"/>
          <w:szCs w:val="22"/>
        </w:rPr>
      </w:pPr>
      <w:r w:rsidRPr="000F22A0">
        <w:rPr>
          <w:rFonts w:ascii="Arial" w:hAnsi="Arial" w:cs="Arial"/>
          <w:sz w:val="22"/>
          <w:szCs w:val="22"/>
        </w:rPr>
        <w:t>Tissue blocks were sectioned at a thickness of 3 µm using a Leica RM2245 microtome</w:t>
      </w:r>
      <w:r w:rsidR="00E21928" w:rsidRPr="00E21928">
        <w:rPr>
          <w:rFonts w:ascii="Arial" w:hAnsi="Arial" w:cs="Arial"/>
          <w:sz w:val="22"/>
          <w:szCs w:val="22"/>
        </w:rPr>
        <w:t>, deparaffinised, and stained with haematoxylin and eosin for analysis under an optical microscope (Luna, 1968).</w:t>
      </w:r>
      <w:r w:rsidR="00B93AAB">
        <w:rPr>
          <w:rFonts w:ascii="Arial" w:hAnsi="Arial" w:cs="Arial"/>
          <w:sz w:val="22"/>
          <w:szCs w:val="22"/>
        </w:rPr>
        <w:t xml:space="preserve"> </w:t>
      </w:r>
      <w:r w:rsidRPr="000F22A0">
        <w:rPr>
          <w:rFonts w:ascii="Arial" w:hAnsi="Arial" w:cs="Arial"/>
          <w:sz w:val="22"/>
          <w:szCs w:val="22"/>
        </w:rPr>
        <w:t xml:space="preserve">Microphotographs were obtained using an </w:t>
      </w:r>
      <w:r w:rsidR="00030731" w:rsidRPr="00030731">
        <w:rPr>
          <w:rFonts w:ascii="Arial" w:hAnsi="Arial" w:cs="Arial"/>
          <w:sz w:val="22"/>
          <w:szCs w:val="22"/>
        </w:rPr>
        <w:t xml:space="preserve">Zeiss Primo Star optical microscope equipped with an Axiocam ERC5s AxioCam (LE) </w:t>
      </w:r>
      <w:r w:rsidR="00030731">
        <w:rPr>
          <w:rFonts w:ascii="Arial" w:hAnsi="Arial" w:cs="Arial"/>
          <w:sz w:val="22"/>
          <w:szCs w:val="22"/>
        </w:rPr>
        <w:t>câmera and</w:t>
      </w:r>
      <w:r w:rsidR="00854017">
        <w:rPr>
          <w:rFonts w:ascii="Arial" w:hAnsi="Arial" w:cs="Arial"/>
          <w:sz w:val="22"/>
          <w:szCs w:val="22"/>
        </w:rPr>
        <w:t xml:space="preserve"> Zen Lite</w:t>
      </w:r>
      <w:r w:rsidRPr="000F22A0">
        <w:rPr>
          <w:rFonts w:ascii="Arial" w:hAnsi="Arial" w:cs="Arial"/>
          <w:sz w:val="22"/>
          <w:szCs w:val="22"/>
        </w:rPr>
        <w:t xml:space="preserve"> system in order to evaluate the tissue architecture and presence of lesions.</w:t>
      </w:r>
    </w:p>
    <w:p w14:paraId="0611E28C" w14:textId="77777777" w:rsidR="00E860F0" w:rsidRPr="00B30F84" w:rsidRDefault="00E860F0" w:rsidP="000F22A0">
      <w:pPr>
        <w:ind w:right="-709"/>
        <w:jc w:val="both"/>
        <w:rPr>
          <w:rFonts w:ascii="Arial" w:hAnsi="Arial" w:cs="Arial"/>
          <w:sz w:val="22"/>
          <w:szCs w:val="22"/>
        </w:rPr>
      </w:pPr>
    </w:p>
    <w:p w14:paraId="75360D92" w14:textId="11D2CF0C" w:rsidR="00F719C1" w:rsidRPr="00B30F84" w:rsidRDefault="00B30F84" w:rsidP="00285F3C">
      <w:pPr>
        <w:ind w:right="-709"/>
        <w:jc w:val="both"/>
        <w:rPr>
          <w:rFonts w:ascii="Arial" w:hAnsi="Arial" w:cs="Arial"/>
          <w:sz w:val="22"/>
          <w:szCs w:val="22"/>
        </w:rPr>
      </w:pPr>
      <w:r w:rsidRPr="00B30F84">
        <w:rPr>
          <w:rFonts w:ascii="Arial" w:hAnsi="Arial" w:cs="Arial"/>
          <w:b/>
          <w:bCs/>
          <w:sz w:val="22"/>
          <w:szCs w:val="22"/>
        </w:rPr>
        <w:t>DISCUSSION</w:t>
      </w:r>
      <w:bookmarkStart w:id="0" w:name="_GoBack"/>
      <w:bookmarkEnd w:id="0"/>
    </w:p>
    <w:p w14:paraId="5FED7923" w14:textId="6BAD8C9C" w:rsidR="007875AE" w:rsidRPr="00B30F84" w:rsidRDefault="007875AE" w:rsidP="00285F3C">
      <w:pPr>
        <w:ind w:right="-709"/>
        <w:jc w:val="both"/>
        <w:rPr>
          <w:rFonts w:ascii="Arial" w:hAnsi="Arial" w:cs="Arial"/>
          <w:sz w:val="22"/>
          <w:szCs w:val="22"/>
        </w:rPr>
      </w:pPr>
      <w:r w:rsidRPr="00B30F84">
        <w:rPr>
          <w:rFonts w:ascii="Arial" w:hAnsi="Arial" w:cs="Arial"/>
          <w:sz w:val="22"/>
          <w:szCs w:val="22"/>
        </w:rPr>
        <w:t>At necropsy, cutaneous hemorrhagic lesions were observed during macroscopic examination. The microscopic examination revealed the following histological alterations: In the heart, the myocardium showed mild hypertrophy, the endocardium exhibited no lesions, and the pericardium presented dense hemorrhages occupying the entire pericardial cavity. In the abdominal cavity, the abdominal organs exhibited preserved architecture, with isolated foci of intrahepatic hemorrhages and massive hemorrhages throughout the cavity.</w:t>
      </w:r>
    </w:p>
    <w:p w14:paraId="30D4103C" w14:textId="7BE95C27" w:rsidR="001D762F" w:rsidRPr="00B30F84" w:rsidRDefault="007875AE" w:rsidP="00285F3C">
      <w:pPr>
        <w:ind w:right="-709"/>
        <w:jc w:val="both"/>
        <w:rPr>
          <w:rFonts w:ascii="Arial" w:hAnsi="Arial" w:cs="Arial"/>
          <w:sz w:val="22"/>
          <w:szCs w:val="22"/>
        </w:rPr>
      </w:pPr>
      <w:r w:rsidRPr="00B30F84">
        <w:rPr>
          <w:rFonts w:ascii="Arial" w:hAnsi="Arial" w:cs="Arial"/>
          <w:sz w:val="22"/>
          <w:szCs w:val="22"/>
        </w:rPr>
        <w:t>The renal parenchyma displayed preserved architecture. In the interstitium, lymphohematopoietic elements were observed. The renal glomeruli showed no significant alterations, whereas the tubular cells exhibited marked edema with whitish, foamy cytoplasm (hydropic degeneration). In other areas, tubular cells showed pronounced eosinophilia (cloudy swelling). Finally, in some tubules, necrotic cells were observed detaching from the tubular basement membrane and lying free within the tubular lumen</w:t>
      </w:r>
      <w:r w:rsidR="00F719C1" w:rsidRPr="00B30F84">
        <w:rPr>
          <w:rFonts w:ascii="Arial" w:hAnsi="Arial" w:cs="Arial"/>
          <w:sz w:val="22"/>
          <w:szCs w:val="22"/>
        </w:rPr>
        <w:t xml:space="preserve"> (Fig. </w:t>
      </w:r>
      <w:r w:rsidR="001E5497" w:rsidRPr="00B30F84">
        <w:rPr>
          <w:rFonts w:ascii="Arial" w:hAnsi="Arial" w:cs="Arial"/>
          <w:sz w:val="22"/>
          <w:szCs w:val="22"/>
        </w:rPr>
        <w:t>1</w:t>
      </w:r>
      <w:r w:rsidR="001D762F" w:rsidRPr="00B30F84">
        <w:rPr>
          <w:rFonts w:ascii="Arial" w:hAnsi="Arial" w:cs="Arial"/>
          <w:sz w:val="22"/>
          <w:szCs w:val="22"/>
        </w:rPr>
        <w:t>A</w:t>
      </w:r>
      <w:r w:rsidR="00F719C1" w:rsidRPr="00B30F84">
        <w:rPr>
          <w:rFonts w:ascii="Arial" w:hAnsi="Arial" w:cs="Arial"/>
          <w:sz w:val="22"/>
          <w:szCs w:val="22"/>
        </w:rPr>
        <w:t xml:space="preserve"> </w:t>
      </w:r>
      <w:r w:rsidR="00EA4A2F">
        <w:rPr>
          <w:rFonts w:ascii="Arial" w:hAnsi="Arial" w:cs="Arial"/>
          <w:sz w:val="22"/>
          <w:szCs w:val="22"/>
        </w:rPr>
        <w:t>and</w:t>
      </w:r>
      <w:r w:rsidR="00F719C1" w:rsidRPr="00B30F84">
        <w:rPr>
          <w:rFonts w:ascii="Arial" w:hAnsi="Arial" w:cs="Arial"/>
          <w:sz w:val="22"/>
          <w:szCs w:val="22"/>
        </w:rPr>
        <w:t xml:space="preserve"> </w:t>
      </w:r>
      <w:r w:rsidR="001E5497" w:rsidRPr="00B30F84">
        <w:rPr>
          <w:rFonts w:ascii="Arial" w:hAnsi="Arial" w:cs="Arial"/>
          <w:sz w:val="22"/>
          <w:szCs w:val="22"/>
        </w:rPr>
        <w:t>1</w:t>
      </w:r>
      <w:r w:rsidR="001D762F" w:rsidRPr="00B30F84">
        <w:rPr>
          <w:rFonts w:ascii="Arial" w:hAnsi="Arial" w:cs="Arial"/>
          <w:sz w:val="22"/>
          <w:szCs w:val="22"/>
        </w:rPr>
        <w:t>B</w:t>
      </w:r>
      <w:r w:rsidR="00F719C1" w:rsidRPr="00B30F84">
        <w:rPr>
          <w:rFonts w:ascii="Arial" w:hAnsi="Arial" w:cs="Arial"/>
          <w:sz w:val="22"/>
          <w:szCs w:val="22"/>
        </w:rPr>
        <w:t>).</w:t>
      </w:r>
    </w:p>
    <w:p w14:paraId="0FB9BB4C" w14:textId="4D8B5442" w:rsidR="00F719C1" w:rsidRPr="00216735" w:rsidRDefault="001D762F" w:rsidP="00285F3C">
      <w:pPr>
        <w:tabs>
          <w:tab w:val="right" w:pos="1134"/>
          <w:tab w:val="left" w:pos="5387"/>
        </w:tabs>
        <w:ind w:right="-1"/>
        <w:jc w:val="both"/>
        <w:rPr>
          <w:rFonts w:ascii="Arial" w:hAnsi="Arial" w:cs="Arial"/>
          <w:b/>
          <w:bCs/>
          <w:sz w:val="22"/>
          <w:szCs w:val="22"/>
        </w:rPr>
      </w:pPr>
      <w:r w:rsidRPr="00B30F84">
        <w:rPr>
          <w:rFonts w:ascii="Arial" w:hAnsi="Arial" w:cs="Arial"/>
          <w:noProof/>
          <w:sz w:val="22"/>
          <w:szCs w:val="22"/>
          <w:lang w:eastAsia="pt-BR"/>
        </w:rPr>
        <w:lastRenderedPageBreak/>
        <w:drawing>
          <wp:inline distT="0" distB="0" distL="0" distR="0" wp14:anchorId="311C0A11" wp14:editId="290B1DE4">
            <wp:extent cx="5652796" cy="6080760"/>
            <wp:effectExtent l="0" t="0" r="5080" b="0"/>
            <wp:docPr id="2018524395" name="Imagem 10"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24395" name="Imagem 10" descr="Imagem em preto e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9109" cy="6087551"/>
                    </a:xfrm>
                    <a:prstGeom prst="rect">
                      <a:avLst/>
                    </a:prstGeom>
                    <a:noFill/>
                    <a:ln>
                      <a:noFill/>
                    </a:ln>
                  </pic:spPr>
                </pic:pic>
              </a:graphicData>
            </a:graphic>
          </wp:inline>
        </w:drawing>
      </w:r>
      <w:r w:rsidR="00521F42" w:rsidRPr="00B30F84">
        <w:rPr>
          <w:rFonts w:ascii="Arial" w:hAnsi="Arial" w:cs="Arial"/>
          <w:b/>
          <w:bCs/>
          <w:noProof/>
          <w:sz w:val="22"/>
          <w:szCs w:val="22"/>
          <w:lang w:eastAsia="pt-BR"/>
        </w:rPr>
        <mc:AlternateContent>
          <mc:Choice Requires="wps">
            <w:drawing>
              <wp:anchor distT="0" distB="0" distL="114300" distR="114300" simplePos="0" relativeHeight="251659264" behindDoc="0" locked="0" layoutInCell="1" allowOverlap="1" wp14:anchorId="1AB42A14" wp14:editId="495D5BCE">
                <wp:simplePos x="0" y="0"/>
                <wp:positionH relativeFrom="column">
                  <wp:posOffset>1894205</wp:posOffset>
                </wp:positionH>
                <wp:positionV relativeFrom="paragraph">
                  <wp:posOffset>2651760</wp:posOffset>
                </wp:positionV>
                <wp:extent cx="457200" cy="342900"/>
                <wp:effectExtent l="0" t="0" r="0" b="0"/>
                <wp:wrapNone/>
                <wp:docPr id="9928884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9EEC" w14:textId="77777777" w:rsidR="00521F42" w:rsidRPr="005335E3" w:rsidRDefault="00521F42" w:rsidP="00521F42">
                            <w:pPr>
                              <w:rPr>
                                <w:b/>
                                <w:bCs/>
                                <w:sz w:val="28"/>
                                <w:szCs w:val="28"/>
                              </w:rPr>
                            </w:pPr>
                            <w:r w:rsidRPr="005335E3">
                              <w:rPr>
                                <w:b/>
                                <w:bCs/>
                                <w:sz w:val="28"/>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B42A14" id="_x0000_t202" coordsize="21600,21600" o:spt="202" path="m,l,21600r21600,l21600,xe">
                <v:stroke joinstyle="miter"/>
                <v:path gradientshapeok="t" o:connecttype="rect"/>
              </v:shapetype>
              <v:shape id="Caixa de Texto 2" o:spid="_x0000_s1026" type="#_x0000_t202" style="position:absolute;left:0;text-align:left;margin-left:149.15pt;margin-top:208.8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" filled="f" stroked="f">
                <v:textbox>
                  <w:txbxContent>
                    <w:p w14:paraId="161E9EEC" w14:textId="77777777" w:rsidR="00521F42" w:rsidRPr="005335E3" w:rsidRDefault="00521F42" w:rsidP="00521F42">
                      <w:pPr>
                        <w:rPr>
                          <w:b/>
                          <w:bCs/>
                          <w:sz w:val="28"/>
                          <w:szCs w:val="28"/>
                        </w:rPr>
                      </w:pPr>
                      <w:r w:rsidRPr="005335E3">
                        <w:rPr>
                          <w:b/>
                          <w:bCs/>
                          <w:sz w:val="28"/>
                          <w:szCs w:val="28"/>
                        </w:rPr>
                        <w:t>LT</w:t>
                      </w:r>
                    </w:p>
                  </w:txbxContent>
                </v:textbox>
              </v:shape>
            </w:pict>
          </mc:Fallback>
        </mc:AlternateContent>
      </w:r>
      <w:r w:rsidR="00F719C1" w:rsidRPr="00B30F84">
        <w:rPr>
          <w:rFonts w:ascii="Arial" w:hAnsi="Arial" w:cs="Arial"/>
          <w:b/>
          <w:bCs/>
          <w:sz w:val="22"/>
          <w:szCs w:val="22"/>
        </w:rPr>
        <w:t>Figur</w:t>
      </w:r>
      <w:r w:rsidR="00006040" w:rsidRPr="00B30F84">
        <w:rPr>
          <w:rFonts w:ascii="Arial" w:hAnsi="Arial" w:cs="Arial"/>
          <w:b/>
          <w:bCs/>
          <w:sz w:val="22"/>
          <w:szCs w:val="22"/>
        </w:rPr>
        <w:tab/>
        <w:t>e</w:t>
      </w:r>
      <w:r w:rsidR="00F719C1" w:rsidRPr="00B30F84">
        <w:rPr>
          <w:rFonts w:ascii="Arial" w:hAnsi="Arial" w:cs="Arial"/>
          <w:b/>
          <w:bCs/>
          <w:sz w:val="22"/>
          <w:szCs w:val="22"/>
        </w:rPr>
        <w:t xml:space="preserve"> </w:t>
      </w:r>
      <w:r w:rsidR="001E5497" w:rsidRPr="00B30F84">
        <w:rPr>
          <w:rFonts w:ascii="Arial" w:hAnsi="Arial" w:cs="Arial"/>
          <w:b/>
          <w:bCs/>
          <w:sz w:val="22"/>
          <w:szCs w:val="22"/>
        </w:rPr>
        <w:t>1</w:t>
      </w:r>
      <w:r w:rsidR="00F719C1" w:rsidRPr="00B30F84">
        <w:rPr>
          <w:rFonts w:ascii="Arial" w:hAnsi="Arial" w:cs="Arial"/>
          <w:b/>
          <w:bCs/>
          <w:sz w:val="22"/>
          <w:szCs w:val="22"/>
        </w:rPr>
        <w:t xml:space="preserve">: </w:t>
      </w:r>
      <w:r w:rsidR="00494029">
        <w:rPr>
          <w:rFonts w:ascii="Arial" w:hAnsi="Arial" w:cs="Arial"/>
          <w:b/>
          <w:bCs/>
          <w:sz w:val="22"/>
          <w:szCs w:val="22"/>
        </w:rPr>
        <w:t>Kidney</w:t>
      </w:r>
      <w:r w:rsidR="00203BA5">
        <w:rPr>
          <w:rFonts w:ascii="Arial" w:hAnsi="Arial" w:cs="Arial"/>
          <w:b/>
          <w:bCs/>
          <w:sz w:val="22"/>
          <w:szCs w:val="22"/>
        </w:rPr>
        <w:t xml:space="preserve">. </w:t>
      </w:r>
      <w:r w:rsidR="001E5497" w:rsidRPr="00B30F84">
        <w:rPr>
          <w:rFonts w:ascii="Arial" w:hAnsi="Arial" w:cs="Arial"/>
          <w:b/>
          <w:bCs/>
          <w:sz w:val="22"/>
          <w:szCs w:val="22"/>
        </w:rPr>
        <w:t>A:</w:t>
      </w:r>
      <w:r w:rsidR="001E5497" w:rsidRPr="00B30F84">
        <w:rPr>
          <w:rFonts w:ascii="Arial" w:hAnsi="Arial" w:cs="Arial"/>
          <w:sz w:val="22"/>
          <w:szCs w:val="22"/>
        </w:rPr>
        <w:t xml:space="preserve"> </w:t>
      </w:r>
      <w:r w:rsidR="00006040" w:rsidRPr="00216735">
        <w:rPr>
          <w:rFonts w:ascii="Arial" w:hAnsi="Arial" w:cs="Arial"/>
          <w:b/>
          <w:sz w:val="22"/>
          <w:szCs w:val="22"/>
        </w:rPr>
        <w:t>Tubules with thickened basement membranes (long arrow) and necrotic tubular cells detached from the tubular basement membrane (short arrow), occupying the tubular lumen (TL). 40× magnification.</w:t>
      </w:r>
      <w:r w:rsidR="0035291E" w:rsidRPr="00216735">
        <w:rPr>
          <w:rFonts w:ascii="Arial" w:hAnsi="Arial" w:cs="Arial"/>
          <w:b/>
          <w:sz w:val="22"/>
          <w:szCs w:val="22"/>
        </w:rPr>
        <w:t xml:space="preserve"> </w:t>
      </w:r>
      <w:r w:rsidR="00006040" w:rsidRPr="00216735">
        <w:rPr>
          <w:rFonts w:ascii="Arial" w:hAnsi="Arial" w:cs="Arial"/>
          <w:b/>
          <w:bCs/>
          <w:sz w:val="22"/>
          <w:szCs w:val="22"/>
        </w:rPr>
        <w:t>B:</w:t>
      </w:r>
      <w:r w:rsidR="00006040" w:rsidRPr="00216735">
        <w:rPr>
          <w:rFonts w:ascii="Arial" w:hAnsi="Arial" w:cs="Arial"/>
          <w:b/>
          <w:sz w:val="22"/>
          <w:szCs w:val="22"/>
        </w:rPr>
        <w:t xml:space="preserve"> Higher magnification of Figure A showing basement membranes (short arrow) and necrosis of tubular cells with detachment from the basement membrane and accumulation within the tubular lumen</w:t>
      </w:r>
      <w:r w:rsidR="00F719C1" w:rsidRPr="00216735">
        <w:rPr>
          <w:rFonts w:ascii="Arial" w:hAnsi="Arial" w:cs="Arial"/>
          <w:b/>
          <w:bCs/>
          <w:sz w:val="22"/>
          <w:szCs w:val="22"/>
        </w:rPr>
        <w:t>. H-E 100 X</w:t>
      </w:r>
      <w:r w:rsidR="0035291E" w:rsidRPr="00216735">
        <w:rPr>
          <w:rFonts w:ascii="Arial" w:hAnsi="Arial" w:cs="Arial"/>
          <w:b/>
          <w:bCs/>
          <w:sz w:val="22"/>
          <w:szCs w:val="22"/>
        </w:rPr>
        <w:t>.</w:t>
      </w:r>
    </w:p>
    <w:p w14:paraId="229ADA43" w14:textId="77777777" w:rsidR="001D762F" w:rsidRPr="00B30F84" w:rsidRDefault="001D762F" w:rsidP="00285F3C">
      <w:pPr>
        <w:tabs>
          <w:tab w:val="right" w:pos="1134"/>
          <w:tab w:val="left" w:pos="5387"/>
        </w:tabs>
        <w:ind w:left="851" w:right="-1"/>
        <w:jc w:val="both"/>
        <w:rPr>
          <w:rFonts w:ascii="Arial" w:hAnsi="Arial" w:cs="Arial"/>
          <w:bCs/>
          <w:sz w:val="22"/>
          <w:szCs w:val="22"/>
        </w:rPr>
      </w:pPr>
    </w:p>
    <w:p w14:paraId="6B8393E4" w14:textId="73886A97" w:rsidR="001D762F" w:rsidRPr="00B30F84" w:rsidRDefault="00B37DD2" w:rsidP="00285F3C">
      <w:pPr>
        <w:ind w:right="-709"/>
        <w:jc w:val="both"/>
        <w:rPr>
          <w:rFonts w:ascii="Arial" w:hAnsi="Arial" w:cs="Arial"/>
          <w:sz w:val="22"/>
          <w:szCs w:val="22"/>
        </w:rPr>
      </w:pPr>
      <w:r w:rsidRPr="00B30F84">
        <w:rPr>
          <w:rFonts w:ascii="Arial" w:hAnsi="Arial" w:cs="Arial"/>
          <w:sz w:val="22"/>
          <w:szCs w:val="22"/>
        </w:rPr>
        <w:t xml:space="preserve">The encephalic parenchyma exhibited preserved architecture. Pericellular edema, enlargement of the Virchow–Robin spaces, and mild glial proliferation were observed </w:t>
      </w:r>
      <w:r w:rsidR="001D762F" w:rsidRPr="00B30F84">
        <w:rPr>
          <w:rFonts w:ascii="Arial" w:hAnsi="Arial" w:cs="Arial"/>
          <w:sz w:val="22"/>
          <w:szCs w:val="22"/>
        </w:rPr>
        <w:t xml:space="preserve">(Fig. </w:t>
      </w:r>
      <w:r w:rsidR="001E5497" w:rsidRPr="00B30F84">
        <w:rPr>
          <w:rFonts w:ascii="Arial" w:hAnsi="Arial" w:cs="Arial"/>
          <w:sz w:val="22"/>
          <w:szCs w:val="22"/>
        </w:rPr>
        <w:t>2</w:t>
      </w:r>
      <w:r w:rsidR="006723B5" w:rsidRPr="00B30F84">
        <w:rPr>
          <w:rFonts w:ascii="Arial" w:hAnsi="Arial" w:cs="Arial"/>
          <w:sz w:val="22"/>
          <w:szCs w:val="22"/>
        </w:rPr>
        <w:t>A</w:t>
      </w:r>
      <w:r w:rsidR="001D762F" w:rsidRPr="00B30F84">
        <w:rPr>
          <w:rFonts w:ascii="Arial" w:hAnsi="Arial" w:cs="Arial"/>
          <w:sz w:val="22"/>
          <w:szCs w:val="22"/>
        </w:rPr>
        <w:t xml:space="preserve"> </w:t>
      </w:r>
      <w:r w:rsidR="00EA4A2F">
        <w:rPr>
          <w:rFonts w:ascii="Arial" w:hAnsi="Arial" w:cs="Arial"/>
          <w:sz w:val="22"/>
          <w:szCs w:val="22"/>
        </w:rPr>
        <w:t>and</w:t>
      </w:r>
      <w:r w:rsidR="001D762F" w:rsidRPr="00B30F84">
        <w:rPr>
          <w:rFonts w:ascii="Arial" w:hAnsi="Arial" w:cs="Arial"/>
          <w:sz w:val="22"/>
          <w:szCs w:val="22"/>
        </w:rPr>
        <w:t xml:space="preserve"> </w:t>
      </w:r>
      <w:r w:rsidR="001E5497" w:rsidRPr="00B30F84">
        <w:rPr>
          <w:rFonts w:ascii="Arial" w:hAnsi="Arial" w:cs="Arial"/>
          <w:sz w:val="22"/>
          <w:szCs w:val="22"/>
        </w:rPr>
        <w:t>2</w:t>
      </w:r>
      <w:r w:rsidR="006723B5" w:rsidRPr="00B30F84">
        <w:rPr>
          <w:rFonts w:ascii="Arial" w:hAnsi="Arial" w:cs="Arial"/>
          <w:sz w:val="22"/>
          <w:szCs w:val="22"/>
        </w:rPr>
        <w:t>B</w:t>
      </w:r>
      <w:r w:rsidR="001D762F" w:rsidRPr="00B30F84">
        <w:rPr>
          <w:rFonts w:ascii="Arial" w:hAnsi="Arial" w:cs="Arial"/>
          <w:sz w:val="22"/>
          <w:szCs w:val="22"/>
        </w:rPr>
        <w:t>).</w:t>
      </w:r>
    </w:p>
    <w:p w14:paraId="1EEC7368" w14:textId="166DF4D8" w:rsidR="006723B5" w:rsidRPr="00B30F84" w:rsidRDefault="006723B5" w:rsidP="00285F3C">
      <w:pPr>
        <w:ind w:right="-709"/>
        <w:jc w:val="both"/>
        <w:rPr>
          <w:rFonts w:ascii="Arial" w:hAnsi="Arial" w:cs="Arial"/>
          <w:sz w:val="22"/>
          <w:szCs w:val="22"/>
        </w:rPr>
      </w:pPr>
      <w:r w:rsidRPr="00B30F84">
        <w:rPr>
          <w:rFonts w:ascii="Arial" w:hAnsi="Arial" w:cs="Arial"/>
          <w:noProof/>
          <w:sz w:val="22"/>
          <w:szCs w:val="22"/>
          <w:lang w:eastAsia="pt-BR"/>
        </w:rPr>
        <w:lastRenderedPageBreak/>
        <w:drawing>
          <wp:inline distT="0" distB="0" distL="0" distR="0" wp14:anchorId="74D8095F" wp14:editId="05DF1733">
            <wp:extent cx="5783580" cy="6506528"/>
            <wp:effectExtent l="0" t="0" r="7620" b="8890"/>
            <wp:docPr id="34121305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678" cy="6515638"/>
                    </a:xfrm>
                    <a:prstGeom prst="rect">
                      <a:avLst/>
                    </a:prstGeom>
                    <a:noFill/>
                    <a:ln>
                      <a:noFill/>
                    </a:ln>
                  </pic:spPr>
                </pic:pic>
              </a:graphicData>
            </a:graphic>
          </wp:inline>
        </w:drawing>
      </w:r>
    </w:p>
    <w:p w14:paraId="2A682DDC" w14:textId="5BC633A7" w:rsidR="00F719C1" w:rsidRPr="00216735" w:rsidRDefault="00600E66" w:rsidP="00285F3C">
      <w:pPr>
        <w:tabs>
          <w:tab w:val="right" w:pos="1134"/>
          <w:tab w:val="left" w:pos="5387"/>
        </w:tabs>
        <w:ind w:right="-709"/>
        <w:jc w:val="both"/>
        <w:rPr>
          <w:rFonts w:ascii="Arial" w:hAnsi="Arial" w:cs="Arial"/>
          <w:b/>
          <w:sz w:val="22"/>
          <w:szCs w:val="22"/>
        </w:rPr>
      </w:pPr>
      <w:r w:rsidRPr="00B30F84">
        <w:rPr>
          <w:rFonts w:ascii="Arial" w:hAnsi="Arial" w:cs="Arial"/>
          <w:b/>
          <w:noProof/>
          <w:sz w:val="22"/>
          <w:szCs w:val="22"/>
          <w:lang w:eastAsia="pt-BR"/>
        </w:rPr>
        <mc:AlternateContent>
          <mc:Choice Requires="wps">
            <w:drawing>
              <wp:anchor distT="0" distB="0" distL="114300" distR="114300" simplePos="0" relativeHeight="251668480" behindDoc="0" locked="0" layoutInCell="1" allowOverlap="1" wp14:anchorId="39880378" wp14:editId="715DFBB4">
                <wp:simplePos x="0" y="0"/>
                <wp:positionH relativeFrom="column">
                  <wp:posOffset>3151505</wp:posOffset>
                </wp:positionH>
                <wp:positionV relativeFrom="paragraph">
                  <wp:posOffset>2609850</wp:posOffset>
                </wp:positionV>
                <wp:extent cx="457200" cy="457200"/>
                <wp:effectExtent l="0" t="0" r="0" b="0"/>
                <wp:wrapNone/>
                <wp:docPr id="306323121"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B48791F" w14:textId="0CC59F38" w:rsidR="00600E66" w:rsidRPr="00EB53A9" w:rsidRDefault="00600E66" w:rsidP="00600E66">
                            <w:pP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880378" id="Caixa de Texto 15" o:spid="_x0000_s1027" type="#_x0000_t202" style="position:absolute;left:0;text-align:left;margin-left:248.15pt;margin-top:205.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2I2QEAAKc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" filled="f" stroked="f" strokecolor="white">
                <v:textbox>
                  <w:txbxContent>
                    <w:p w14:paraId="6B48791F" w14:textId="0CC59F38" w:rsidR="00600E66" w:rsidRPr="00EB53A9" w:rsidRDefault="00600E66" w:rsidP="00600E66">
                      <w:pPr>
                        <w:rPr>
                          <w:b/>
                          <w:bCs/>
                          <w:sz w:val="28"/>
                          <w:szCs w:val="28"/>
                        </w:rPr>
                      </w:pPr>
                    </w:p>
                  </w:txbxContent>
                </v:textbox>
              </v:shape>
            </w:pict>
          </mc:Fallback>
        </mc:AlternateContent>
      </w:r>
      <w:r w:rsidR="00F719C1" w:rsidRPr="00B30F84">
        <w:rPr>
          <w:rFonts w:ascii="Arial" w:hAnsi="Arial" w:cs="Arial"/>
          <w:b/>
          <w:sz w:val="22"/>
          <w:szCs w:val="22"/>
        </w:rPr>
        <w:t>Figur</w:t>
      </w:r>
      <w:r w:rsidR="00B37DD2" w:rsidRPr="00B30F84">
        <w:rPr>
          <w:rFonts w:ascii="Arial" w:hAnsi="Arial" w:cs="Arial"/>
          <w:b/>
          <w:sz w:val="22"/>
          <w:szCs w:val="22"/>
        </w:rPr>
        <w:t>e</w:t>
      </w:r>
      <w:r w:rsidR="00F719C1" w:rsidRPr="00B30F84">
        <w:rPr>
          <w:rFonts w:ascii="Arial" w:hAnsi="Arial" w:cs="Arial"/>
          <w:b/>
          <w:sz w:val="22"/>
          <w:szCs w:val="22"/>
        </w:rPr>
        <w:t xml:space="preserve"> </w:t>
      </w:r>
      <w:r w:rsidR="001E5497" w:rsidRPr="00B30F84">
        <w:rPr>
          <w:rFonts w:ascii="Arial" w:hAnsi="Arial" w:cs="Arial"/>
          <w:b/>
          <w:sz w:val="22"/>
          <w:szCs w:val="22"/>
        </w:rPr>
        <w:t>2</w:t>
      </w:r>
      <w:r w:rsidR="00F719C1" w:rsidRPr="00B30F84">
        <w:rPr>
          <w:rFonts w:ascii="Arial" w:hAnsi="Arial" w:cs="Arial"/>
          <w:b/>
          <w:sz w:val="22"/>
          <w:szCs w:val="22"/>
        </w:rPr>
        <w:t xml:space="preserve">: </w:t>
      </w:r>
      <w:r w:rsidR="00206B67">
        <w:rPr>
          <w:rFonts w:ascii="Arial" w:hAnsi="Arial" w:cs="Arial"/>
          <w:b/>
          <w:sz w:val="22"/>
          <w:szCs w:val="22"/>
        </w:rPr>
        <w:t xml:space="preserve">Brain. </w:t>
      </w:r>
      <w:r w:rsidR="001E5497" w:rsidRPr="00B30F84">
        <w:rPr>
          <w:rFonts w:ascii="Arial" w:hAnsi="Arial" w:cs="Arial"/>
          <w:b/>
          <w:sz w:val="22"/>
          <w:szCs w:val="22"/>
        </w:rPr>
        <w:t>A:</w:t>
      </w:r>
      <w:r w:rsidR="001E5497" w:rsidRPr="00B30F84">
        <w:rPr>
          <w:rFonts w:ascii="Arial" w:hAnsi="Arial" w:cs="Arial"/>
          <w:sz w:val="22"/>
          <w:szCs w:val="22"/>
        </w:rPr>
        <w:t xml:space="preserve"> </w:t>
      </w:r>
      <w:r w:rsidR="00AC2490" w:rsidRPr="00216735">
        <w:rPr>
          <w:rFonts w:ascii="Arial" w:hAnsi="Arial" w:cs="Arial"/>
          <w:b/>
          <w:bCs/>
          <w:sz w:val="22"/>
          <w:szCs w:val="22"/>
        </w:rPr>
        <w:t>Cerebral parenchyma showing marked pericellular edema (arrows). H&amp;E, 40× magnification.</w:t>
      </w:r>
      <w:r w:rsidR="0035291E" w:rsidRPr="00216735">
        <w:rPr>
          <w:rFonts w:ascii="Arial" w:hAnsi="Arial" w:cs="Arial"/>
          <w:b/>
          <w:bCs/>
          <w:sz w:val="22"/>
          <w:szCs w:val="22"/>
        </w:rPr>
        <w:t xml:space="preserve"> </w:t>
      </w:r>
      <w:r w:rsidR="00AC2490" w:rsidRPr="00216735">
        <w:rPr>
          <w:rFonts w:ascii="Arial" w:hAnsi="Arial" w:cs="Arial"/>
          <w:b/>
          <w:bCs/>
          <w:sz w:val="22"/>
          <w:szCs w:val="22"/>
        </w:rPr>
        <w:t>B: Cerebral parenchyma with pronounced pericellular edema (arrow) and enlarged Virchow–Robin space (VR)</w:t>
      </w:r>
      <w:r w:rsidR="00F719C1" w:rsidRPr="00216735">
        <w:rPr>
          <w:rFonts w:ascii="Arial" w:hAnsi="Arial" w:cs="Arial"/>
          <w:b/>
          <w:bCs/>
          <w:sz w:val="22"/>
          <w:szCs w:val="22"/>
        </w:rPr>
        <w:t>. H-E 40 X</w:t>
      </w:r>
      <w:r w:rsidR="001E5497" w:rsidRPr="00216735">
        <w:rPr>
          <w:rFonts w:ascii="Arial" w:hAnsi="Arial" w:cs="Arial"/>
          <w:b/>
          <w:bCs/>
          <w:sz w:val="22"/>
          <w:szCs w:val="22"/>
        </w:rPr>
        <w:t>.</w:t>
      </w:r>
    </w:p>
    <w:p w14:paraId="00EB37F7" w14:textId="77777777" w:rsidR="009636F2" w:rsidRPr="00B30F84" w:rsidRDefault="009636F2" w:rsidP="00285F3C">
      <w:pPr>
        <w:jc w:val="both"/>
        <w:rPr>
          <w:rFonts w:ascii="Arial" w:hAnsi="Arial" w:cs="Arial"/>
          <w:sz w:val="22"/>
          <w:szCs w:val="22"/>
        </w:rPr>
      </w:pPr>
    </w:p>
    <w:p w14:paraId="2329308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The zebrafish is a species widely used as an experimental model for mammals, including humans, since fish have been increasingly recommended for experimental designs involving human diseases (Orger &amp; Polavieja, 2017).</w:t>
      </w:r>
    </w:p>
    <w:p w14:paraId="7E37C59E"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 xml:space="preserve">In aquaculture-related research, this species serves as an important model for understanding the effects of farming conditions on animal physiology (Kent </w:t>
      </w:r>
      <w:r w:rsidRPr="004D64EC">
        <w:rPr>
          <w:rFonts w:ascii="Arial" w:hAnsi="Arial" w:cs="Arial"/>
          <w:i/>
          <w:iCs/>
          <w:sz w:val="22"/>
          <w:szCs w:val="22"/>
        </w:rPr>
        <w:t>et al</w:t>
      </w:r>
      <w:r w:rsidRPr="00B30F84">
        <w:rPr>
          <w:rFonts w:ascii="Arial" w:hAnsi="Arial" w:cs="Arial"/>
          <w:sz w:val="22"/>
          <w:szCs w:val="22"/>
        </w:rPr>
        <w:t xml:space="preserve">., 2002; Spitsbergen et al., 2003; Spence </w:t>
      </w:r>
      <w:r w:rsidRPr="004D64EC">
        <w:rPr>
          <w:rFonts w:ascii="Arial" w:hAnsi="Arial" w:cs="Arial"/>
          <w:i/>
          <w:iCs/>
          <w:sz w:val="22"/>
          <w:szCs w:val="22"/>
        </w:rPr>
        <w:t>et al</w:t>
      </w:r>
      <w:r w:rsidRPr="00B30F84">
        <w:rPr>
          <w:rFonts w:ascii="Arial" w:hAnsi="Arial" w:cs="Arial"/>
          <w:sz w:val="22"/>
          <w:szCs w:val="22"/>
        </w:rPr>
        <w:t>., 2007). Hypoxia, a common condition affecting the production of ornamental fish, particularly impacts zebrafish, as this species is highly susceptible to decreased oxygen levels. Hypoxia affects the entire organism and can produce noticeable effects in virtually all fish organs.</w:t>
      </w:r>
    </w:p>
    <w:p w14:paraId="3CA53409" w14:textId="52C83FA8" w:rsidR="00E61A03" w:rsidRPr="00B30F84" w:rsidRDefault="00E61A03" w:rsidP="00285F3C">
      <w:pPr>
        <w:ind w:right="-709"/>
        <w:jc w:val="both"/>
        <w:rPr>
          <w:rFonts w:ascii="Arial" w:hAnsi="Arial" w:cs="Arial"/>
          <w:sz w:val="22"/>
          <w:szCs w:val="22"/>
        </w:rPr>
      </w:pPr>
      <w:r w:rsidRPr="00B30F84">
        <w:rPr>
          <w:rFonts w:ascii="Arial" w:hAnsi="Arial" w:cs="Arial"/>
          <w:sz w:val="22"/>
          <w:szCs w:val="22"/>
        </w:rPr>
        <w:lastRenderedPageBreak/>
        <w:t xml:space="preserve">Although hypoxia also causes gill lesions (Randall &amp; Daxboeck, 1994; Araújo-Luna et al., 2018; Abdel-Tawwab </w:t>
      </w:r>
      <w:r w:rsidRPr="004D64EC">
        <w:rPr>
          <w:rFonts w:ascii="Arial" w:hAnsi="Arial" w:cs="Arial"/>
          <w:i/>
          <w:iCs/>
          <w:sz w:val="22"/>
          <w:szCs w:val="22"/>
        </w:rPr>
        <w:t>et al</w:t>
      </w:r>
      <w:r w:rsidRPr="00B30F84">
        <w:rPr>
          <w:rFonts w:ascii="Arial" w:hAnsi="Arial" w:cs="Arial"/>
          <w:sz w:val="22"/>
          <w:szCs w:val="22"/>
        </w:rPr>
        <w:t>., 2019), in the case described here, the gill lesions appear to have been pre-existing. Therefore, pre-existing gill damage, combined with a decrease in dissolved oxygen, led to a reduced capacity for blood oxygenation and subsequent systemic effects on other organs.</w:t>
      </w:r>
    </w:p>
    <w:p w14:paraId="221C0A18" w14:textId="77777777" w:rsidR="00A179A0" w:rsidRDefault="00E61A03" w:rsidP="00285F3C">
      <w:pPr>
        <w:ind w:right="-709"/>
        <w:jc w:val="both"/>
        <w:rPr>
          <w:rFonts w:ascii="Arial" w:hAnsi="Arial" w:cs="Arial"/>
          <w:sz w:val="22"/>
          <w:szCs w:val="22"/>
        </w:rPr>
      </w:pPr>
      <w:r w:rsidRPr="00B30F84">
        <w:rPr>
          <w:rFonts w:ascii="Arial" w:hAnsi="Arial" w:cs="Arial"/>
          <w:sz w:val="22"/>
          <w:szCs w:val="22"/>
        </w:rPr>
        <w:t xml:space="preserve">Li </w:t>
      </w:r>
      <w:r w:rsidRPr="004D64EC">
        <w:rPr>
          <w:rFonts w:ascii="Arial" w:hAnsi="Arial" w:cs="Arial"/>
          <w:i/>
          <w:iCs/>
          <w:sz w:val="22"/>
          <w:szCs w:val="22"/>
        </w:rPr>
        <w:t>et al</w:t>
      </w:r>
      <w:r w:rsidRPr="00B30F84">
        <w:rPr>
          <w:rFonts w:ascii="Arial" w:hAnsi="Arial" w:cs="Arial"/>
          <w:sz w:val="22"/>
          <w:szCs w:val="22"/>
        </w:rPr>
        <w:t>. (2021) described physiological responses in cardiac tissue under hypoxic conditions, including effects on structure, enzymatic activity, and gene expression in the heart of silver carp (</w:t>
      </w:r>
      <w:r w:rsidRPr="00B30F84">
        <w:rPr>
          <w:rFonts w:ascii="Arial" w:hAnsi="Arial" w:cs="Arial"/>
          <w:i/>
          <w:iCs/>
          <w:sz w:val="22"/>
          <w:szCs w:val="22"/>
        </w:rPr>
        <w:t>Hypophthalmichthys molitrix</w:t>
      </w:r>
      <w:r w:rsidR="00F9376D">
        <w:rPr>
          <w:rFonts w:ascii="Arial" w:hAnsi="Arial" w:cs="Arial"/>
          <w:sz w:val="22"/>
          <w:szCs w:val="22"/>
        </w:rPr>
        <w:t>).</w:t>
      </w:r>
      <w:r w:rsidR="00A97E8C">
        <w:rPr>
          <w:rFonts w:ascii="Arial" w:hAnsi="Arial" w:cs="Arial"/>
          <w:sz w:val="22"/>
          <w:szCs w:val="22"/>
        </w:rPr>
        <w:t xml:space="preserve">  </w:t>
      </w:r>
      <w:r w:rsidRPr="00B30F84">
        <w:rPr>
          <w:rFonts w:ascii="Arial" w:hAnsi="Arial" w:cs="Arial"/>
          <w:sz w:val="22"/>
          <w:szCs w:val="22"/>
        </w:rPr>
        <w:t xml:space="preserve">Along with acute cardiac injury, renal lesions were also observed. These lesions are typical of hypovolemia, as indicated by the diffuse tubular necrosis found in the histopathological examination (Pacheco </w:t>
      </w:r>
      <w:r w:rsidRPr="004D64EC">
        <w:rPr>
          <w:rFonts w:ascii="Arial" w:hAnsi="Arial" w:cs="Arial"/>
          <w:i/>
          <w:iCs/>
          <w:sz w:val="22"/>
          <w:szCs w:val="22"/>
        </w:rPr>
        <w:t>et al</w:t>
      </w:r>
      <w:r w:rsidRPr="00B30F84">
        <w:rPr>
          <w:rFonts w:ascii="Arial" w:hAnsi="Arial" w:cs="Arial"/>
          <w:sz w:val="22"/>
          <w:szCs w:val="22"/>
        </w:rPr>
        <w:t xml:space="preserve">., 2022; Turgut </w:t>
      </w:r>
      <w:r w:rsidRPr="004D64EC">
        <w:rPr>
          <w:rFonts w:ascii="Arial" w:hAnsi="Arial" w:cs="Arial"/>
          <w:i/>
          <w:iCs/>
          <w:sz w:val="22"/>
          <w:szCs w:val="22"/>
        </w:rPr>
        <w:t>et al</w:t>
      </w:r>
      <w:r w:rsidRPr="00B30F84">
        <w:rPr>
          <w:rFonts w:ascii="Arial" w:hAnsi="Arial" w:cs="Arial"/>
          <w:sz w:val="22"/>
          <w:szCs w:val="22"/>
        </w:rPr>
        <w:t>., 2023)</w:t>
      </w:r>
      <w:r w:rsidR="00A97E8C">
        <w:rPr>
          <w:rFonts w:ascii="Arial" w:hAnsi="Arial" w:cs="Arial"/>
          <w:sz w:val="22"/>
          <w:szCs w:val="22"/>
        </w:rPr>
        <w:t>, wich were described in this study</w:t>
      </w:r>
      <w:r w:rsidRPr="00B30F84">
        <w:rPr>
          <w:rFonts w:ascii="Arial" w:hAnsi="Arial" w:cs="Arial"/>
          <w:sz w:val="22"/>
          <w:szCs w:val="22"/>
        </w:rPr>
        <w:t>.</w:t>
      </w:r>
      <w:r w:rsidR="00A179A0">
        <w:rPr>
          <w:rFonts w:ascii="Arial" w:hAnsi="Arial" w:cs="Arial"/>
          <w:sz w:val="22"/>
          <w:szCs w:val="22"/>
        </w:rPr>
        <w:t xml:space="preserve"> </w:t>
      </w:r>
    </w:p>
    <w:p w14:paraId="1B38902B" w14:textId="7EC8C50F" w:rsidR="004A4CF6" w:rsidRDefault="004A4CF6" w:rsidP="00285F3C">
      <w:pPr>
        <w:ind w:right="-709"/>
        <w:jc w:val="both"/>
        <w:rPr>
          <w:rFonts w:ascii="Arial" w:hAnsi="Arial" w:cs="Arial"/>
          <w:sz w:val="22"/>
          <w:szCs w:val="22"/>
        </w:rPr>
      </w:pPr>
      <w:r w:rsidRPr="004A4CF6">
        <w:rPr>
          <w:rFonts w:ascii="Arial" w:hAnsi="Arial" w:cs="Arial"/>
          <w:sz w:val="22"/>
          <w:szCs w:val="22"/>
        </w:rPr>
        <w:t>The physiology of hypovolemic shock consists of a significant loss of intravascular volume due to haemorrhage and a decrease in cardiac output. This results in tissue hypoperfusion, impaired oxygen and nutrient delivery to vital organs, progressive cellular dysfunction and multiple organ failure (Alencar et al., 2025).</w:t>
      </w:r>
    </w:p>
    <w:p w14:paraId="7AC26BCC" w14:textId="55C5AADC" w:rsidR="00E61A03" w:rsidRDefault="00E61A03" w:rsidP="00285F3C">
      <w:pPr>
        <w:ind w:right="-709"/>
        <w:jc w:val="both"/>
        <w:rPr>
          <w:rFonts w:ascii="Arial" w:hAnsi="Arial" w:cs="Arial"/>
          <w:sz w:val="22"/>
          <w:szCs w:val="22"/>
        </w:rPr>
      </w:pPr>
      <w:r w:rsidRPr="00B30F84">
        <w:rPr>
          <w:rFonts w:ascii="Arial" w:hAnsi="Arial" w:cs="Arial"/>
          <w:sz w:val="22"/>
          <w:szCs w:val="22"/>
        </w:rPr>
        <w:t xml:space="preserve">Another tissue affected by hypovolemia was the brain, where glial proliferation, signs of neuronal damage, and enlargement of the Virchow–Robin spaces were observed. Such alterations are systematically seen in cases of hypovolemia, since nervous tissue is highly susceptible to reduced oxygen levels (Sekhon </w:t>
      </w:r>
      <w:r w:rsidRPr="004D64EC">
        <w:rPr>
          <w:rFonts w:ascii="Arial" w:hAnsi="Arial" w:cs="Arial"/>
          <w:i/>
          <w:iCs/>
          <w:sz w:val="22"/>
          <w:szCs w:val="22"/>
        </w:rPr>
        <w:t>et al</w:t>
      </w:r>
      <w:r w:rsidRPr="00B30F84">
        <w:rPr>
          <w:rFonts w:ascii="Arial" w:hAnsi="Arial" w:cs="Arial"/>
          <w:sz w:val="22"/>
          <w:szCs w:val="22"/>
        </w:rPr>
        <w:t xml:space="preserve">., 2017; Ineichen </w:t>
      </w:r>
      <w:r w:rsidRPr="004D64EC">
        <w:rPr>
          <w:rFonts w:ascii="Arial" w:hAnsi="Arial" w:cs="Arial"/>
          <w:i/>
          <w:iCs/>
          <w:sz w:val="22"/>
          <w:szCs w:val="22"/>
        </w:rPr>
        <w:t>et al</w:t>
      </w:r>
      <w:r w:rsidRPr="00B30F84">
        <w:rPr>
          <w:rFonts w:ascii="Arial" w:hAnsi="Arial" w:cs="Arial"/>
          <w:sz w:val="22"/>
          <w:szCs w:val="22"/>
        </w:rPr>
        <w:t xml:space="preserve">., 2022; Lacerte </w:t>
      </w:r>
      <w:r w:rsidRPr="004D64EC">
        <w:rPr>
          <w:rFonts w:ascii="Arial" w:hAnsi="Arial" w:cs="Arial"/>
          <w:i/>
          <w:iCs/>
          <w:sz w:val="22"/>
          <w:szCs w:val="22"/>
        </w:rPr>
        <w:t>et al</w:t>
      </w:r>
      <w:r w:rsidRPr="00B30F84">
        <w:rPr>
          <w:rFonts w:ascii="Arial" w:hAnsi="Arial" w:cs="Arial"/>
          <w:sz w:val="22"/>
          <w:szCs w:val="22"/>
        </w:rPr>
        <w:t>., 2023).</w:t>
      </w:r>
    </w:p>
    <w:p w14:paraId="4EE71ABF" w14:textId="4D4242E4" w:rsidR="00B30F84" w:rsidRDefault="00B30F84" w:rsidP="00285F3C">
      <w:pPr>
        <w:ind w:right="-709"/>
        <w:jc w:val="both"/>
        <w:rPr>
          <w:rFonts w:ascii="Arial" w:hAnsi="Arial" w:cs="Arial"/>
          <w:sz w:val="22"/>
          <w:szCs w:val="22"/>
        </w:rPr>
      </w:pPr>
    </w:p>
    <w:p w14:paraId="020CFEF9" w14:textId="0C567C3B" w:rsidR="00B30F84" w:rsidRPr="00B30F84" w:rsidRDefault="00B30F84" w:rsidP="00285F3C">
      <w:pPr>
        <w:ind w:right="-709"/>
        <w:jc w:val="both"/>
        <w:rPr>
          <w:rFonts w:ascii="Arial" w:hAnsi="Arial" w:cs="Arial"/>
          <w:b/>
          <w:sz w:val="22"/>
          <w:szCs w:val="22"/>
        </w:rPr>
      </w:pPr>
      <w:r w:rsidRPr="00B30F84">
        <w:rPr>
          <w:rFonts w:ascii="Arial" w:hAnsi="Arial" w:cs="Arial"/>
          <w:b/>
          <w:sz w:val="22"/>
          <w:szCs w:val="22"/>
        </w:rPr>
        <w:t>CONCLUSION</w:t>
      </w:r>
    </w:p>
    <w:p w14:paraId="69F23726" w14:textId="0AA5B8E6" w:rsidR="00EE5192" w:rsidRDefault="00E61A03" w:rsidP="00285F3C">
      <w:pPr>
        <w:ind w:right="-709"/>
        <w:jc w:val="both"/>
        <w:rPr>
          <w:rFonts w:ascii="Arial" w:hAnsi="Arial" w:cs="Arial"/>
          <w:sz w:val="22"/>
          <w:szCs w:val="22"/>
        </w:rPr>
      </w:pPr>
      <w:r w:rsidRPr="00B30F84">
        <w:rPr>
          <w:rFonts w:ascii="Arial" w:hAnsi="Arial" w:cs="Arial"/>
          <w:sz w:val="22"/>
          <w:szCs w:val="22"/>
        </w:rPr>
        <w:t>Based on the findings discussed above, we conclude that the fundamental cause of mortality in zebrafish was a decrease in environmental oxygen which, combined with pre-existing gill lesions, led to hypoxia and diffuse hemorrhages</w:t>
      </w:r>
      <w:r w:rsidR="00EE5192" w:rsidRPr="00B30F84">
        <w:rPr>
          <w:rFonts w:ascii="Arial" w:hAnsi="Arial" w:cs="Arial"/>
          <w:sz w:val="22"/>
          <w:szCs w:val="22"/>
        </w:rPr>
        <w:t xml:space="preserve">. </w:t>
      </w:r>
    </w:p>
    <w:p w14:paraId="04E1F07C" w14:textId="6F53B37B" w:rsidR="00B1263D" w:rsidRDefault="00EE5192" w:rsidP="00285F3C">
      <w:pPr>
        <w:ind w:right="-709"/>
        <w:jc w:val="both"/>
        <w:rPr>
          <w:rFonts w:ascii="Arial" w:hAnsi="Arial" w:cs="Arial"/>
          <w:sz w:val="22"/>
          <w:szCs w:val="22"/>
        </w:rPr>
      </w:pPr>
      <w:r w:rsidRPr="00B30F84">
        <w:rPr>
          <w:rFonts w:ascii="Arial" w:hAnsi="Arial" w:cs="Arial"/>
          <w:sz w:val="22"/>
          <w:szCs w:val="22"/>
        </w:rPr>
        <w:t xml:space="preserve">  </w:t>
      </w:r>
    </w:p>
    <w:p w14:paraId="5D4B7F8F" w14:textId="77777777" w:rsidR="00B3721F" w:rsidRPr="00005ED1" w:rsidRDefault="00B3721F" w:rsidP="00B3721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3469852A" w14:textId="77777777" w:rsidR="00B3721F" w:rsidRPr="00005ED1" w:rsidRDefault="00B3721F" w:rsidP="00B3721F">
      <w:pPr>
        <w:pStyle w:val="NoSpacing"/>
        <w:rPr>
          <w:rFonts w:ascii="Arial" w:hAnsi="Arial" w:cs="Arial"/>
          <w:highlight w:val="yellow"/>
        </w:rPr>
      </w:pPr>
    </w:p>
    <w:p w14:paraId="4F266B88" w14:textId="77777777" w:rsidR="00B3721F" w:rsidRPr="00005ED1" w:rsidRDefault="00B3721F" w:rsidP="00B3721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FF820FE" w14:textId="77777777" w:rsidR="00B3721F" w:rsidRDefault="00B3721F" w:rsidP="00B3721F">
      <w:pPr>
        <w:pStyle w:val="NoSpacing"/>
        <w:rPr>
          <w:rFonts w:ascii="Arial" w:hAnsi="Arial" w:cs="Arial"/>
        </w:rPr>
      </w:pPr>
    </w:p>
    <w:p w14:paraId="3D1668EB" w14:textId="77777777" w:rsidR="00B3721F" w:rsidRDefault="00B3721F" w:rsidP="00B3721F">
      <w:pPr>
        <w:pStyle w:val="NoSpacing"/>
        <w:rPr>
          <w:rFonts w:ascii="Arial" w:hAnsi="Arial" w:cs="Arial"/>
        </w:rPr>
      </w:pPr>
    </w:p>
    <w:p w14:paraId="1FC3E580" w14:textId="77777777" w:rsidR="00B3721F" w:rsidRPr="00005ED1" w:rsidRDefault="00B3721F" w:rsidP="00B3721F">
      <w:pPr>
        <w:pStyle w:val="NoSpacing"/>
        <w:rPr>
          <w:rFonts w:ascii="Arial" w:hAnsi="Arial" w:cs="Arial"/>
        </w:rPr>
      </w:pPr>
    </w:p>
    <w:p w14:paraId="79195E81" w14:textId="77777777" w:rsidR="00B3721F" w:rsidRPr="00B30F84" w:rsidRDefault="00B3721F" w:rsidP="00285F3C">
      <w:pPr>
        <w:ind w:right="-709"/>
        <w:jc w:val="both"/>
        <w:rPr>
          <w:rFonts w:ascii="Arial" w:hAnsi="Arial" w:cs="Arial"/>
          <w:sz w:val="22"/>
          <w:szCs w:val="22"/>
        </w:rPr>
      </w:pPr>
    </w:p>
    <w:p w14:paraId="5D2FB4F2" w14:textId="778533C4" w:rsidR="006723B5" w:rsidRDefault="00B30F84" w:rsidP="00285F3C">
      <w:pPr>
        <w:ind w:right="-709"/>
        <w:jc w:val="both"/>
        <w:rPr>
          <w:rFonts w:ascii="Arial" w:hAnsi="Arial" w:cs="Arial"/>
          <w:b/>
          <w:bCs/>
          <w:sz w:val="22"/>
          <w:szCs w:val="22"/>
        </w:rPr>
      </w:pPr>
      <w:r w:rsidRPr="00B30F84">
        <w:rPr>
          <w:rFonts w:ascii="Arial" w:hAnsi="Arial" w:cs="Arial"/>
          <w:b/>
          <w:bCs/>
          <w:sz w:val="22"/>
          <w:szCs w:val="22"/>
        </w:rPr>
        <w:t>REFERENCES</w:t>
      </w:r>
    </w:p>
    <w:p w14:paraId="4D151DB3" w14:textId="77777777" w:rsidR="00687DB8" w:rsidRPr="00B30F84" w:rsidRDefault="00687DB8" w:rsidP="00285F3C">
      <w:pPr>
        <w:ind w:right="-709"/>
        <w:jc w:val="both"/>
        <w:rPr>
          <w:rFonts w:ascii="Arial" w:hAnsi="Arial" w:cs="Arial"/>
          <w:b/>
          <w:bCs/>
          <w:sz w:val="22"/>
          <w:szCs w:val="22"/>
        </w:rPr>
      </w:pPr>
    </w:p>
    <w:p w14:paraId="4A7D4870" w14:textId="1C59E270" w:rsidR="0035291E" w:rsidRPr="00CE3BA3" w:rsidRDefault="0035291E" w:rsidP="00CE3BA3">
      <w:pPr>
        <w:pStyle w:val="ListParagraph"/>
        <w:numPr>
          <w:ilvl w:val="0"/>
          <w:numId w:val="1"/>
        </w:numPr>
        <w:jc w:val="both"/>
        <w:rPr>
          <w:rFonts w:ascii="Arial" w:hAnsi="Arial" w:cs="Arial"/>
          <w:sz w:val="22"/>
          <w:szCs w:val="22"/>
        </w:rPr>
      </w:pPr>
      <w:r w:rsidRPr="00F2009A">
        <w:rPr>
          <w:rFonts w:ascii="Arial" w:hAnsi="Arial" w:cs="Arial"/>
          <w:sz w:val="22"/>
          <w:szCs w:val="22"/>
        </w:rPr>
        <w:fldChar w:fldCharType="begin"/>
      </w:r>
      <w:r w:rsidRPr="00CE3BA3">
        <w:rPr>
          <w:rFonts w:ascii="Arial" w:hAnsi="Arial" w:cs="Arial"/>
          <w:sz w:val="22"/>
          <w:szCs w:val="22"/>
        </w:rPr>
        <w:instrText xml:space="preserve"> ADDIN ZOTERO_BIBL {"uncited":[],"omitted":[],"custom":[]} CSL_BIBLIOGRAPHY </w:instrText>
      </w:r>
      <w:r w:rsidRPr="00F2009A">
        <w:rPr>
          <w:rFonts w:ascii="Arial" w:hAnsi="Arial" w:cs="Arial"/>
          <w:sz w:val="22"/>
          <w:szCs w:val="22"/>
        </w:rPr>
        <w:fldChar w:fldCharType="separate"/>
      </w:r>
      <w:r w:rsidRPr="00CE3BA3">
        <w:rPr>
          <w:rFonts w:ascii="Arial" w:hAnsi="Arial" w:cs="Arial"/>
          <w:sz w:val="22"/>
          <w:szCs w:val="22"/>
        </w:rPr>
        <w:t xml:space="preserve">Abdel-Tawwab, M., Monier, M.N., Hoseinifar, S.H., Faggio, C., </w:t>
      </w:r>
      <w:r w:rsidR="00DB04DE" w:rsidRPr="00CE3BA3">
        <w:rPr>
          <w:rFonts w:ascii="Arial" w:hAnsi="Arial" w:cs="Arial"/>
          <w:sz w:val="22"/>
          <w:szCs w:val="22"/>
        </w:rPr>
        <w:t>(</w:t>
      </w:r>
      <w:r w:rsidRPr="00CE3BA3">
        <w:rPr>
          <w:rFonts w:ascii="Arial" w:hAnsi="Arial" w:cs="Arial"/>
          <w:sz w:val="22"/>
          <w:szCs w:val="22"/>
        </w:rPr>
        <w:t>2019</w:t>
      </w:r>
      <w:r w:rsidR="00DB04DE" w:rsidRPr="00CE3BA3">
        <w:rPr>
          <w:rFonts w:ascii="Arial" w:hAnsi="Arial" w:cs="Arial"/>
          <w:sz w:val="22"/>
          <w:szCs w:val="22"/>
        </w:rPr>
        <w:t>)</w:t>
      </w:r>
      <w:r w:rsidRPr="00CE3BA3">
        <w:rPr>
          <w:rFonts w:ascii="Arial" w:hAnsi="Arial" w:cs="Arial"/>
          <w:sz w:val="22"/>
          <w:szCs w:val="22"/>
        </w:rPr>
        <w:t>. Fish response to hypoxia stress: growth, physiological, and immunological biomarkers. Fish Physiol Biochem 45, 997–1013. https://doi.org/10.1007/s10695-019-00614-9</w:t>
      </w:r>
    </w:p>
    <w:p w14:paraId="4350C176" w14:textId="3FB26A79"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Ahmad, I., Ahmed, I., Fatma, S., Peres, H., </w:t>
      </w:r>
      <w:r w:rsidR="00DB04DE" w:rsidRPr="00CE3BA3">
        <w:rPr>
          <w:rFonts w:ascii="Arial" w:hAnsi="Arial" w:cs="Arial"/>
          <w:sz w:val="22"/>
          <w:szCs w:val="22"/>
        </w:rPr>
        <w:t>(</w:t>
      </w:r>
      <w:r w:rsidRPr="00CE3BA3">
        <w:rPr>
          <w:rFonts w:ascii="Arial" w:hAnsi="Arial" w:cs="Arial"/>
          <w:sz w:val="22"/>
          <w:szCs w:val="22"/>
        </w:rPr>
        <w:t>2021</w:t>
      </w:r>
      <w:r w:rsidR="00DB04DE" w:rsidRPr="00CE3BA3">
        <w:rPr>
          <w:rFonts w:ascii="Arial" w:hAnsi="Arial" w:cs="Arial"/>
          <w:sz w:val="22"/>
          <w:szCs w:val="22"/>
        </w:rPr>
        <w:t>)</w:t>
      </w:r>
      <w:r w:rsidRPr="00CE3BA3">
        <w:rPr>
          <w:rFonts w:ascii="Arial" w:hAnsi="Arial" w:cs="Arial"/>
          <w:sz w:val="22"/>
          <w:szCs w:val="22"/>
        </w:rPr>
        <w:t>. Role of branched</w:t>
      </w:r>
      <w:r w:rsidRPr="00CE3BA3">
        <w:rPr>
          <w:rFonts w:ascii="Cambria Math" w:hAnsi="Cambria Math" w:cs="Cambria Math"/>
          <w:sz w:val="22"/>
          <w:szCs w:val="22"/>
        </w:rPr>
        <w:t>‐</w:t>
      </w:r>
      <w:r w:rsidRPr="00CE3BA3">
        <w:rPr>
          <w:rFonts w:ascii="Arial" w:hAnsi="Arial" w:cs="Arial"/>
          <w:sz w:val="22"/>
          <w:szCs w:val="22"/>
        </w:rPr>
        <w:t>chain amino acids on growth, physiology and metabolism of different fish species: A review. Aquacult Nutr 27, 1270–1289. https://doi.org/10.1111/anu.13267</w:t>
      </w:r>
    </w:p>
    <w:p w14:paraId="0C1A9E5E" w14:textId="469C9D07"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Alencar, W.D.S.D., Pinheiro, J.L., Barbosa, L.B.A., Souza, J.L.D.A.S., Narcizo, I.O., Nunes, L.G.D.S., Vigatti, T.P.P., Neves, A.D.C.D., Ferreira, L.G.N.M., Andrade, M.D.S.R., Couto, M.E.D.C., Machado, A.R.G., Pena, T.C., Pires, P.L., Tymniak, J.R., Lopes, D.A., </w:t>
      </w:r>
      <w:r w:rsidR="00DB04DE" w:rsidRPr="00CE3BA3">
        <w:rPr>
          <w:rFonts w:ascii="Arial" w:hAnsi="Arial" w:cs="Arial"/>
          <w:sz w:val="22"/>
          <w:szCs w:val="22"/>
        </w:rPr>
        <w:t>(</w:t>
      </w:r>
      <w:r w:rsidRPr="00CE3BA3">
        <w:rPr>
          <w:rFonts w:ascii="Arial" w:hAnsi="Arial" w:cs="Arial"/>
          <w:sz w:val="22"/>
          <w:szCs w:val="22"/>
        </w:rPr>
        <w:t>2025</w:t>
      </w:r>
      <w:r w:rsidR="00DB04DE" w:rsidRPr="00CE3BA3">
        <w:rPr>
          <w:rFonts w:ascii="Arial" w:hAnsi="Arial" w:cs="Arial"/>
          <w:sz w:val="22"/>
          <w:szCs w:val="22"/>
        </w:rPr>
        <w:t>)</w:t>
      </w:r>
      <w:r w:rsidRPr="00CE3BA3">
        <w:rPr>
          <w:rFonts w:ascii="Arial" w:hAnsi="Arial" w:cs="Arial"/>
          <w:sz w:val="22"/>
          <w:szCs w:val="22"/>
        </w:rPr>
        <w:t>. Abordagem integrada no choque hipovolêmico traumático: relato de caso. Revft 29, 45–46. https://doi.org/10.69849/revistaft/ni10202503231045</w:t>
      </w:r>
    </w:p>
    <w:p w14:paraId="743A2F19" w14:textId="643260C5"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Araújo-Luna, R., Ribeiro, L., Bergheim, A., Pousão-Ferreira, P., </w:t>
      </w:r>
      <w:r w:rsidR="00DB04DE" w:rsidRPr="00CE3BA3">
        <w:rPr>
          <w:rFonts w:ascii="Arial" w:hAnsi="Arial" w:cs="Arial"/>
          <w:sz w:val="22"/>
          <w:szCs w:val="22"/>
        </w:rPr>
        <w:t>(</w:t>
      </w:r>
      <w:r w:rsidRPr="00CE3BA3">
        <w:rPr>
          <w:rFonts w:ascii="Arial" w:hAnsi="Arial" w:cs="Arial"/>
          <w:sz w:val="22"/>
          <w:szCs w:val="22"/>
        </w:rPr>
        <w:t>2018</w:t>
      </w:r>
      <w:r w:rsidR="00DB04DE" w:rsidRPr="00CE3BA3">
        <w:rPr>
          <w:rFonts w:ascii="Arial" w:hAnsi="Arial" w:cs="Arial"/>
          <w:sz w:val="22"/>
          <w:szCs w:val="22"/>
        </w:rPr>
        <w:t>)</w:t>
      </w:r>
      <w:r w:rsidRPr="00CE3BA3">
        <w:rPr>
          <w:rFonts w:ascii="Arial" w:hAnsi="Arial" w:cs="Arial"/>
          <w:sz w:val="22"/>
          <w:szCs w:val="22"/>
        </w:rPr>
        <w:t xml:space="preserve">. The impact of different rearing condition on gilthead seabream welfare: Dissolved </w:t>
      </w:r>
      <w:r w:rsidRPr="00CE3BA3">
        <w:rPr>
          <w:rFonts w:ascii="Arial" w:hAnsi="Arial" w:cs="Arial"/>
          <w:sz w:val="22"/>
          <w:szCs w:val="22"/>
        </w:rPr>
        <w:lastRenderedPageBreak/>
        <w:t>oxygen levels and stocking densities. Aquac Res 49, 3845–3855. https://doi.org/10.1111/are.13851</w:t>
      </w:r>
    </w:p>
    <w:p w14:paraId="772DBFB3" w14:textId="6FDFFDE5"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Barton, B.A., Taylor, B.R., </w:t>
      </w:r>
      <w:r w:rsidR="00DB04DE" w:rsidRPr="00CE3BA3">
        <w:rPr>
          <w:rFonts w:ascii="Arial" w:hAnsi="Arial" w:cs="Arial"/>
          <w:sz w:val="22"/>
          <w:szCs w:val="22"/>
        </w:rPr>
        <w:t>(</w:t>
      </w:r>
      <w:r w:rsidRPr="00CE3BA3">
        <w:rPr>
          <w:rFonts w:ascii="Arial" w:hAnsi="Arial" w:cs="Arial"/>
          <w:sz w:val="22"/>
          <w:szCs w:val="22"/>
        </w:rPr>
        <w:t>1996</w:t>
      </w:r>
      <w:r w:rsidR="00DB04DE" w:rsidRPr="00CE3BA3">
        <w:rPr>
          <w:rFonts w:ascii="Arial" w:hAnsi="Arial" w:cs="Arial"/>
          <w:sz w:val="22"/>
          <w:szCs w:val="22"/>
        </w:rPr>
        <w:t>)</w:t>
      </w:r>
      <w:r w:rsidRPr="00CE3BA3">
        <w:rPr>
          <w:rFonts w:ascii="Arial" w:hAnsi="Arial" w:cs="Arial"/>
          <w:sz w:val="22"/>
          <w:szCs w:val="22"/>
        </w:rPr>
        <w:t>. Oxygen Requirements of Fishes in Northern Alberta Rivers with a General Review of the Adverse Effects of Low Dissolved Oxygen. Water Quality Research Journal 31, 361–410. https://doi.org/10.2166/wqrj.1996.022</w:t>
      </w:r>
    </w:p>
    <w:p w14:paraId="5F2673E6" w14:textId="0AF9A04C" w:rsidR="00146294" w:rsidRPr="00CE3BA3" w:rsidRDefault="00146294" w:rsidP="00CE3BA3">
      <w:pPr>
        <w:pStyle w:val="ListParagraph"/>
        <w:numPr>
          <w:ilvl w:val="0"/>
          <w:numId w:val="1"/>
        </w:numPr>
        <w:jc w:val="both"/>
        <w:rPr>
          <w:rFonts w:ascii="Arial" w:hAnsi="Arial" w:cs="Arial"/>
          <w:sz w:val="22"/>
          <w:szCs w:val="22"/>
        </w:rPr>
      </w:pPr>
      <w:r w:rsidRPr="00CE3BA3">
        <w:rPr>
          <w:rFonts w:ascii="Arial" w:hAnsi="Arial" w:cs="Arial"/>
          <w:sz w:val="22"/>
          <w:szCs w:val="22"/>
        </w:rPr>
        <w:t>Convertino, V. A., Lye, K. R., Koons, N. J., &amp; Joyner, M. J. (2019). Physiological comparison of hemorrhagic shock and V</w:t>
      </w:r>
      <w:r w:rsidR="00BE4A0E" w:rsidRPr="00CE3BA3">
        <w:rPr>
          <w:rFonts w:ascii="Arial" w:hAnsi="Arial" w:cs="Arial"/>
          <w:sz w:val="22"/>
          <w:szCs w:val="22"/>
        </w:rPr>
        <w:t xml:space="preserve"> </w:t>
      </w:r>
      <m:oMath>
        <m:sSub>
          <m:sSubPr>
            <m:ctrlPr>
              <w:rPr>
                <w:rFonts w:ascii="Cambria Math" w:hAnsi="Cambria Math" w:cs="Arial"/>
                <w:i/>
                <w:sz w:val="22"/>
                <w:szCs w:val="22"/>
              </w:rPr>
            </m:ctrlPr>
          </m:sSubPr>
          <m:e>
            <m:r>
              <m:rPr>
                <m:sty m:val="p"/>
              </m:rPr>
              <w:rPr>
                <w:rFonts w:ascii="Cambria Math" w:hAnsi="Cambria Math" w:cs="Arial"/>
                <w:sz w:val="22"/>
                <w:szCs w:val="22"/>
              </w:rPr>
              <m:t>O</m:t>
            </m:r>
          </m:e>
          <m:sub>
            <m:r>
              <m:rPr>
                <m:sty m:val="p"/>
              </m:rPr>
              <w:rPr>
                <w:rFonts w:ascii="Cambria Math" w:hAnsi="Cambria Math" w:cs="Arial"/>
                <w:sz w:val="22"/>
                <w:szCs w:val="22"/>
              </w:rPr>
              <m:t>2</m:t>
            </m:r>
          </m:sub>
        </m:sSub>
      </m:oMath>
      <w:r w:rsidR="00F2009A" w:rsidRPr="00CE3BA3">
        <w:rPr>
          <w:rFonts w:ascii="Arial" w:hAnsi="Arial" w:cs="Arial"/>
          <w:sz w:val="22"/>
          <w:szCs w:val="22"/>
        </w:rPr>
        <w:t>m</w:t>
      </w:r>
      <w:r w:rsidRPr="00CE3BA3">
        <w:rPr>
          <w:rFonts w:ascii="Arial" w:hAnsi="Arial" w:cs="Arial"/>
          <w:sz w:val="22"/>
          <w:szCs w:val="22"/>
        </w:rPr>
        <w:t>ax: A conceptual framework for defining the limitation of oxygen delivery. Experimental biology and medicine (Maywood, N.J.), 244(8), 690–701. https://doi.org/10.1177/1535370219846425</w:t>
      </w:r>
    </w:p>
    <w:p w14:paraId="55D26F72" w14:textId="50DC45F7" w:rsidR="00DE4431" w:rsidRPr="00CE3BA3" w:rsidRDefault="00DE4431" w:rsidP="00CE3BA3">
      <w:pPr>
        <w:pStyle w:val="ListParagraph"/>
        <w:numPr>
          <w:ilvl w:val="0"/>
          <w:numId w:val="1"/>
        </w:numPr>
        <w:jc w:val="both"/>
        <w:rPr>
          <w:rFonts w:ascii="Arial" w:hAnsi="Arial" w:cs="Arial"/>
          <w:sz w:val="22"/>
          <w:szCs w:val="22"/>
        </w:rPr>
      </w:pPr>
      <w:r w:rsidRPr="00CE3BA3">
        <w:rPr>
          <w:rFonts w:ascii="Arial" w:hAnsi="Arial" w:cs="Arial"/>
          <w:sz w:val="22"/>
          <w:szCs w:val="22"/>
        </w:rPr>
        <w:t>E</w:t>
      </w:r>
      <w:r w:rsidR="005C7A9A" w:rsidRPr="00CE3BA3">
        <w:rPr>
          <w:rFonts w:ascii="Arial" w:hAnsi="Arial" w:cs="Arial"/>
          <w:sz w:val="22"/>
          <w:szCs w:val="22"/>
        </w:rPr>
        <w:t>iras</w:t>
      </w:r>
      <w:r w:rsidRPr="00CE3BA3">
        <w:rPr>
          <w:rFonts w:ascii="Arial" w:hAnsi="Arial" w:cs="Arial"/>
          <w:sz w:val="22"/>
          <w:szCs w:val="22"/>
        </w:rPr>
        <w:t>, J. C.; T</w:t>
      </w:r>
      <w:r w:rsidR="005C7A9A" w:rsidRPr="00CE3BA3">
        <w:rPr>
          <w:rFonts w:ascii="Arial" w:hAnsi="Arial" w:cs="Arial"/>
          <w:sz w:val="22"/>
          <w:szCs w:val="22"/>
        </w:rPr>
        <w:t>akemoto</w:t>
      </w:r>
      <w:r w:rsidRPr="00CE3BA3">
        <w:rPr>
          <w:rFonts w:ascii="Arial" w:hAnsi="Arial" w:cs="Arial"/>
          <w:sz w:val="22"/>
          <w:szCs w:val="22"/>
        </w:rPr>
        <w:t>, R. M.; P</w:t>
      </w:r>
      <w:r w:rsidR="005C7A9A" w:rsidRPr="00CE3BA3">
        <w:rPr>
          <w:rFonts w:ascii="Arial" w:hAnsi="Arial" w:cs="Arial"/>
          <w:sz w:val="22"/>
          <w:szCs w:val="22"/>
        </w:rPr>
        <w:t>avanelli</w:t>
      </w:r>
      <w:r w:rsidRPr="00CE3BA3">
        <w:rPr>
          <w:rFonts w:ascii="Arial" w:hAnsi="Arial" w:cs="Arial"/>
          <w:sz w:val="22"/>
          <w:szCs w:val="22"/>
        </w:rPr>
        <w:t>, G. C. Métodos de estudo e técnicas laboratoriais em parasitologia de peixes. Maringá: EdUEM, 2000.</w:t>
      </w:r>
    </w:p>
    <w:p w14:paraId="3A51D841" w14:textId="5E35ED03"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Engeszer, R.E., Patterson, L.B., Rao, A.A., Parichy, D.M., </w:t>
      </w:r>
      <w:r w:rsidR="007154BB" w:rsidRPr="00CE3BA3">
        <w:rPr>
          <w:rFonts w:ascii="Arial" w:hAnsi="Arial" w:cs="Arial"/>
          <w:sz w:val="22"/>
          <w:szCs w:val="22"/>
        </w:rPr>
        <w:t>(</w:t>
      </w:r>
      <w:r w:rsidRPr="00CE3BA3">
        <w:rPr>
          <w:rFonts w:ascii="Arial" w:hAnsi="Arial" w:cs="Arial"/>
          <w:sz w:val="22"/>
          <w:szCs w:val="22"/>
        </w:rPr>
        <w:t>2007</w:t>
      </w:r>
      <w:r w:rsidR="007154BB" w:rsidRPr="00CE3BA3">
        <w:rPr>
          <w:rFonts w:ascii="Arial" w:hAnsi="Arial" w:cs="Arial"/>
          <w:sz w:val="22"/>
          <w:szCs w:val="22"/>
        </w:rPr>
        <w:t>)</w:t>
      </w:r>
      <w:r w:rsidRPr="00CE3BA3">
        <w:rPr>
          <w:rFonts w:ascii="Arial" w:hAnsi="Arial" w:cs="Arial"/>
          <w:sz w:val="22"/>
          <w:szCs w:val="22"/>
        </w:rPr>
        <w:t>. Zebrafish in The Wild: A Review of Natural History And New Notes from The Field. Zebrafish 4, 21–40. https://doi.org/10.1089/zeb.2006.9997</w:t>
      </w:r>
    </w:p>
    <w:p w14:paraId="27BA71E1" w14:textId="204254EB"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Ineichen, B.V., Okar, S.V., Proulx, S.T., Engelhardt, B., Lassmann, H., Reich, D.S., </w:t>
      </w:r>
      <w:r w:rsidR="000A2ECA" w:rsidRPr="00CE3BA3">
        <w:rPr>
          <w:rFonts w:ascii="Arial" w:hAnsi="Arial" w:cs="Arial"/>
          <w:sz w:val="22"/>
          <w:szCs w:val="22"/>
        </w:rPr>
        <w:t>(</w:t>
      </w:r>
      <w:r w:rsidRPr="00CE3BA3">
        <w:rPr>
          <w:rFonts w:ascii="Arial" w:hAnsi="Arial" w:cs="Arial"/>
          <w:sz w:val="22"/>
          <w:szCs w:val="22"/>
        </w:rPr>
        <w:t>2022</w:t>
      </w:r>
      <w:r w:rsidR="000A2ECA" w:rsidRPr="00CE3BA3">
        <w:rPr>
          <w:rFonts w:ascii="Arial" w:hAnsi="Arial" w:cs="Arial"/>
          <w:sz w:val="22"/>
          <w:szCs w:val="22"/>
        </w:rPr>
        <w:t>)</w:t>
      </w:r>
      <w:r w:rsidRPr="00CE3BA3">
        <w:rPr>
          <w:rFonts w:ascii="Arial" w:hAnsi="Arial" w:cs="Arial"/>
          <w:sz w:val="22"/>
          <w:szCs w:val="22"/>
        </w:rPr>
        <w:t>. Perivascular spaces and their role in neuroinflammation. Neuron 110, 3566–3581. https://doi.org/10.1016/j.neuron.2022.10.024</w:t>
      </w:r>
    </w:p>
    <w:p w14:paraId="36AF9570" w14:textId="6BE6B8FA"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Kent, M.L., Bishop-Stewart, J.K., Matthews, J.L., Spitsbergen, J.M., </w:t>
      </w:r>
      <w:r w:rsidR="000A2ECA" w:rsidRPr="00CE3BA3">
        <w:rPr>
          <w:rFonts w:ascii="Arial" w:hAnsi="Arial" w:cs="Arial"/>
          <w:sz w:val="22"/>
          <w:szCs w:val="22"/>
        </w:rPr>
        <w:t>(</w:t>
      </w:r>
      <w:r w:rsidRPr="00CE3BA3">
        <w:rPr>
          <w:rFonts w:ascii="Arial" w:hAnsi="Arial" w:cs="Arial"/>
          <w:sz w:val="22"/>
          <w:szCs w:val="22"/>
        </w:rPr>
        <w:t>2002</w:t>
      </w:r>
      <w:r w:rsidR="000A2ECA" w:rsidRPr="00CE3BA3">
        <w:rPr>
          <w:rFonts w:ascii="Arial" w:hAnsi="Arial" w:cs="Arial"/>
          <w:sz w:val="22"/>
          <w:szCs w:val="22"/>
        </w:rPr>
        <w:t>)</w:t>
      </w:r>
      <w:r w:rsidRPr="00CE3BA3">
        <w:rPr>
          <w:rFonts w:ascii="Arial" w:hAnsi="Arial" w:cs="Arial"/>
          <w:sz w:val="22"/>
          <w:szCs w:val="22"/>
        </w:rPr>
        <w:t>. Pseudocapillaria tomentosa, a nematode pathogen, and associated neoplasms of zebrafish (Danio rerio) kept in research colonies. Comp Med 52, 354–358.</w:t>
      </w:r>
    </w:p>
    <w:p w14:paraId="0904B538" w14:textId="2E764F72"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Kim, Jun-Hwan, Kang, Y.J., Kim, K.I., Kim, S.K., Kim, Jong-Hyun, </w:t>
      </w:r>
      <w:r w:rsidR="000A2ECA" w:rsidRPr="00CE3BA3">
        <w:rPr>
          <w:rFonts w:ascii="Arial" w:hAnsi="Arial" w:cs="Arial"/>
          <w:sz w:val="22"/>
          <w:szCs w:val="22"/>
        </w:rPr>
        <w:t>(</w:t>
      </w:r>
      <w:r w:rsidRPr="00CE3BA3">
        <w:rPr>
          <w:rFonts w:ascii="Arial" w:hAnsi="Arial" w:cs="Arial"/>
          <w:sz w:val="22"/>
          <w:szCs w:val="22"/>
        </w:rPr>
        <w:t>2019</w:t>
      </w:r>
      <w:r w:rsidR="000A2ECA" w:rsidRPr="00CE3BA3">
        <w:rPr>
          <w:rFonts w:ascii="Arial" w:hAnsi="Arial" w:cs="Arial"/>
          <w:sz w:val="22"/>
          <w:szCs w:val="22"/>
        </w:rPr>
        <w:t>)</w:t>
      </w:r>
      <w:r w:rsidRPr="00CE3BA3">
        <w:rPr>
          <w:rFonts w:ascii="Arial" w:hAnsi="Arial" w:cs="Arial"/>
          <w:sz w:val="22"/>
          <w:szCs w:val="22"/>
        </w:rPr>
        <w:t>. Toxic effects of nitrogenous compounds (ammonia, nitrite, and nitrate) on acute toxicity and antioxidant responses of juvenile olive flounder, Paralichthys olivaceus. Environmental Toxicology and Pharmacology 67, 73–78. https://doi.org/10.1016/j.etap.2019.02.001</w:t>
      </w:r>
    </w:p>
    <w:p w14:paraId="14A8DC6B" w14:textId="1168D23A"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Lacerte, M., Hays Shapshak, A., Mesfin, F.B., </w:t>
      </w:r>
      <w:r w:rsidR="000A2ECA" w:rsidRPr="00CE3BA3">
        <w:rPr>
          <w:rFonts w:ascii="Arial" w:hAnsi="Arial" w:cs="Arial"/>
          <w:sz w:val="22"/>
          <w:szCs w:val="22"/>
        </w:rPr>
        <w:t>(</w:t>
      </w:r>
      <w:r w:rsidRPr="00CE3BA3">
        <w:rPr>
          <w:rFonts w:ascii="Arial" w:hAnsi="Arial" w:cs="Arial"/>
          <w:sz w:val="22"/>
          <w:szCs w:val="22"/>
        </w:rPr>
        <w:t>2025</w:t>
      </w:r>
      <w:r w:rsidR="000A2ECA" w:rsidRPr="00CE3BA3">
        <w:rPr>
          <w:rFonts w:ascii="Arial" w:hAnsi="Arial" w:cs="Arial"/>
          <w:sz w:val="22"/>
          <w:szCs w:val="22"/>
        </w:rPr>
        <w:t>)</w:t>
      </w:r>
      <w:r w:rsidRPr="00CE3BA3">
        <w:rPr>
          <w:rFonts w:ascii="Arial" w:hAnsi="Arial" w:cs="Arial"/>
          <w:sz w:val="22"/>
          <w:szCs w:val="22"/>
        </w:rPr>
        <w:t>. Hypoxic Brain Injury, in: StatPearls. StatPearls Publishing, Treasure Island (FL).</w:t>
      </w:r>
    </w:p>
    <w:p w14:paraId="2D1CBBC1" w14:textId="75BCBC68"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Laurent, P., Perry, S.F., </w:t>
      </w:r>
      <w:r w:rsidR="000A2ECA" w:rsidRPr="00CE3BA3">
        <w:rPr>
          <w:rFonts w:ascii="Arial" w:hAnsi="Arial" w:cs="Arial"/>
          <w:sz w:val="22"/>
          <w:szCs w:val="22"/>
        </w:rPr>
        <w:t>(</w:t>
      </w:r>
      <w:r w:rsidRPr="00CE3BA3">
        <w:rPr>
          <w:rFonts w:ascii="Arial" w:hAnsi="Arial" w:cs="Arial"/>
          <w:sz w:val="22"/>
          <w:szCs w:val="22"/>
        </w:rPr>
        <w:t>1991</w:t>
      </w:r>
      <w:r w:rsidR="000A2ECA" w:rsidRPr="00CE3BA3">
        <w:rPr>
          <w:rFonts w:ascii="Arial" w:hAnsi="Arial" w:cs="Arial"/>
          <w:sz w:val="22"/>
          <w:szCs w:val="22"/>
        </w:rPr>
        <w:t>)</w:t>
      </w:r>
      <w:r w:rsidRPr="00CE3BA3">
        <w:rPr>
          <w:rFonts w:ascii="Arial" w:hAnsi="Arial" w:cs="Arial"/>
          <w:sz w:val="22"/>
          <w:szCs w:val="22"/>
        </w:rPr>
        <w:t>. Environmental Effects on Fish Gill Morphology. Physiological Zoology 64, 4–25. https://doi.org/10.1086/physzool.64.1.30158511</w:t>
      </w:r>
    </w:p>
    <w:p w14:paraId="425BAE82" w14:textId="4B0D7E5E"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Li, X., Li, F., Zou, G., Feng, C., Sha, H., Liu, S., Liang, H., </w:t>
      </w:r>
      <w:r w:rsidR="000A2ECA" w:rsidRPr="00CE3BA3">
        <w:rPr>
          <w:rFonts w:ascii="Arial" w:hAnsi="Arial" w:cs="Arial"/>
          <w:sz w:val="22"/>
          <w:szCs w:val="22"/>
        </w:rPr>
        <w:t>(</w:t>
      </w:r>
      <w:r w:rsidRPr="00CE3BA3">
        <w:rPr>
          <w:rFonts w:ascii="Arial" w:hAnsi="Arial" w:cs="Arial"/>
          <w:sz w:val="22"/>
          <w:szCs w:val="22"/>
        </w:rPr>
        <w:t>2021</w:t>
      </w:r>
      <w:r w:rsidR="000A2ECA" w:rsidRPr="00CE3BA3">
        <w:rPr>
          <w:rFonts w:ascii="Arial" w:hAnsi="Arial" w:cs="Arial"/>
          <w:sz w:val="22"/>
          <w:szCs w:val="22"/>
        </w:rPr>
        <w:t>)</w:t>
      </w:r>
      <w:r w:rsidRPr="00CE3BA3">
        <w:rPr>
          <w:rFonts w:ascii="Arial" w:hAnsi="Arial" w:cs="Arial"/>
          <w:sz w:val="22"/>
          <w:szCs w:val="22"/>
        </w:rPr>
        <w:t>. Physiological responses and molecular strategies in heart of silver carp (Hypophthalmichthys molitrix) under hypoxia and reoxygenation. Comparative Biochemistry and Physiology Part D: Genomics and Proteomics 40, 100908. https://doi.org/10.1016/j.cbd.2021.100908</w:t>
      </w:r>
    </w:p>
    <w:p w14:paraId="2E243BE3" w14:textId="7B4AE967" w:rsidR="00031691" w:rsidRPr="00CE3BA3" w:rsidRDefault="00031691" w:rsidP="00CE3BA3">
      <w:pPr>
        <w:pStyle w:val="ListParagraph"/>
        <w:numPr>
          <w:ilvl w:val="0"/>
          <w:numId w:val="1"/>
        </w:numPr>
        <w:jc w:val="both"/>
        <w:rPr>
          <w:rFonts w:ascii="Arial" w:hAnsi="Arial" w:cs="Arial"/>
          <w:sz w:val="22"/>
          <w:szCs w:val="22"/>
        </w:rPr>
      </w:pPr>
      <w:r w:rsidRPr="00CE3BA3">
        <w:rPr>
          <w:rFonts w:ascii="Arial" w:hAnsi="Arial" w:cs="Arial"/>
          <w:sz w:val="22"/>
          <w:szCs w:val="22"/>
        </w:rPr>
        <w:t>McClure, M. M., McIntyre, P. B., &amp; McCune, A. R. (2006). Notes on the natural diet and habitat of eight danionin fishes, including the zebrafish Danio rerio. </w:t>
      </w:r>
      <w:r w:rsidRPr="00CE3BA3">
        <w:rPr>
          <w:rFonts w:ascii="Arial" w:hAnsi="Arial" w:cs="Arial"/>
          <w:i/>
          <w:iCs/>
          <w:sz w:val="22"/>
          <w:szCs w:val="22"/>
        </w:rPr>
        <w:t>Journal of Fish Biology</w:t>
      </w:r>
      <w:r w:rsidRPr="00CE3BA3">
        <w:rPr>
          <w:rFonts w:ascii="Arial" w:hAnsi="Arial" w:cs="Arial"/>
          <w:sz w:val="22"/>
          <w:szCs w:val="22"/>
        </w:rPr>
        <w:t>, </w:t>
      </w:r>
      <w:r w:rsidRPr="00CE3BA3">
        <w:rPr>
          <w:rFonts w:ascii="Arial" w:hAnsi="Arial" w:cs="Arial"/>
          <w:i/>
          <w:iCs/>
          <w:sz w:val="22"/>
          <w:szCs w:val="22"/>
        </w:rPr>
        <w:t>69</w:t>
      </w:r>
      <w:r w:rsidRPr="00CE3BA3">
        <w:rPr>
          <w:rFonts w:ascii="Arial" w:hAnsi="Arial" w:cs="Arial"/>
          <w:sz w:val="22"/>
          <w:szCs w:val="22"/>
        </w:rPr>
        <w:t>(2), 553-570.</w:t>
      </w:r>
    </w:p>
    <w:p w14:paraId="5242916F" w14:textId="3F1A4AAF" w:rsidR="0035291E" w:rsidRPr="00CE3BA3" w:rsidRDefault="00031691" w:rsidP="00CE3BA3">
      <w:pPr>
        <w:pStyle w:val="ListParagraph"/>
        <w:numPr>
          <w:ilvl w:val="0"/>
          <w:numId w:val="1"/>
        </w:numPr>
        <w:jc w:val="both"/>
        <w:rPr>
          <w:rFonts w:ascii="Arial" w:hAnsi="Arial" w:cs="Arial"/>
          <w:sz w:val="22"/>
          <w:szCs w:val="22"/>
        </w:rPr>
      </w:pPr>
      <w:r w:rsidRPr="00CE3BA3">
        <w:rPr>
          <w:rFonts w:ascii="Arial" w:hAnsi="Arial" w:cs="Arial"/>
          <w:sz w:val="22"/>
          <w:szCs w:val="22"/>
        </w:rPr>
        <w:t>]</w:t>
      </w:r>
      <w:r w:rsidR="0035291E" w:rsidRPr="00CE3BA3">
        <w:rPr>
          <w:rFonts w:ascii="Arial" w:hAnsi="Arial" w:cs="Arial"/>
          <w:sz w:val="22"/>
          <w:szCs w:val="22"/>
        </w:rPr>
        <w:t xml:space="preserve">Orger, M.B., de Polavieja, G.G., </w:t>
      </w:r>
      <w:r w:rsidR="000A2ECA" w:rsidRPr="00CE3BA3">
        <w:rPr>
          <w:rFonts w:ascii="Arial" w:hAnsi="Arial" w:cs="Arial"/>
          <w:sz w:val="22"/>
          <w:szCs w:val="22"/>
        </w:rPr>
        <w:t>(</w:t>
      </w:r>
      <w:r w:rsidR="0035291E" w:rsidRPr="00CE3BA3">
        <w:rPr>
          <w:rFonts w:ascii="Arial" w:hAnsi="Arial" w:cs="Arial"/>
          <w:sz w:val="22"/>
          <w:szCs w:val="22"/>
        </w:rPr>
        <w:t>2017</w:t>
      </w:r>
      <w:r w:rsidR="000A2ECA" w:rsidRPr="00CE3BA3">
        <w:rPr>
          <w:rFonts w:ascii="Arial" w:hAnsi="Arial" w:cs="Arial"/>
          <w:sz w:val="22"/>
          <w:szCs w:val="22"/>
        </w:rPr>
        <w:t>)</w:t>
      </w:r>
      <w:r w:rsidR="0035291E" w:rsidRPr="00CE3BA3">
        <w:rPr>
          <w:rFonts w:ascii="Arial" w:hAnsi="Arial" w:cs="Arial"/>
          <w:sz w:val="22"/>
          <w:szCs w:val="22"/>
        </w:rPr>
        <w:t>. Zebrafish Behavior: Opportunities and Challenges. Annu Rev Neurosci 40, 125–147. https://doi.org/10.1146/annurev-neuro-071714-033857</w:t>
      </w:r>
    </w:p>
    <w:p w14:paraId="5ED231DA" w14:textId="366405CA"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Pacheco, L.P., Pereira, A.C.V., Silva, A.D.C.D., Brock, D.P.P., Abreu, F.M.D.S., Silva, L.E.D.A., Andrade, L.M.N., Tissi, L.S., Carneiro, Y.V., Miura, F.K., </w:t>
      </w:r>
      <w:r w:rsidR="000A2ECA" w:rsidRPr="00CE3BA3">
        <w:rPr>
          <w:rFonts w:ascii="Arial" w:hAnsi="Arial" w:cs="Arial"/>
          <w:sz w:val="22"/>
          <w:szCs w:val="22"/>
        </w:rPr>
        <w:t>(</w:t>
      </w:r>
      <w:r w:rsidRPr="00CE3BA3">
        <w:rPr>
          <w:rFonts w:ascii="Arial" w:hAnsi="Arial" w:cs="Arial"/>
          <w:sz w:val="22"/>
          <w:szCs w:val="22"/>
        </w:rPr>
        <w:t>2022</w:t>
      </w:r>
      <w:r w:rsidR="009D57F6" w:rsidRPr="00CE3BA3">
        <w:rPr>
          <w:rFonts w:ascii="Arial" w:hAnsi="Arial" w:cs="Arial"/>
          <w:sz w:val="22"/>
          <w:szCs w:val="22"/>
        </w:rPr>
        <w:t>)</w:t>
      </w:r>
      <w:r w:rsidRPr="00CE3BA3">
        <w:rPr>
          <w:rFonts w:ascii="Arial" w:hAnsi="Arial" w:cs="Arial"/>
          <w:sz w:val="22"/>
          <w:szCs w:val="22"/>
        </w:rPr>
        <w:t>. Abordagem atualizada da Lesão Renal Aguda (LRA): uma revisão narrativa. Acervo Médico 7, e10162. https://doi.org/10.25248/reamed.e10162.2022</w:t>
      </w:r>
    </w:p>
    <w:p w14:paraId="40CF72EE" w14:textId="617146B8"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lastRenderedPageBreak/>
        <w:t xml:space="preserve">Pollock, M.S., Clarke, L.M.J., Dubé, M.G., </w:t>
      </w:r>
      <w:r w:rsidR="009D57F6" w:rsidRPr="00CE3BA3">
        <w:rPr>
          <w:rFonts w:ascii="Arial" w:hAnsi="Arial" w:cs="Arial"/>
          <w:sz w:val="22"/>
          <w:szCs w:val="22"/>
        </w:rPr>
        <w:t>(</w:t>
      </w:r>
      <w:r w:rsidRPr="00CE3BA3">
        <w:rPr>
          <w:rFonts w:ascii="Arial" w:hAnsi="Arial" w:cs="Arial"/>
          <w:sz w:val="22"/>
          <w:szCs w:val="22"/>
        </w:rPr>
        <w:t>2007</w:t>
      </w:r>
      <w:r w:rsidR="009D57F6" w:rsidRPr="00CE3BA3">
        <w:rPr>
          <w:rFonts w:ascii="Arial" w:hAnsi="Arial" w:cs="Arial"/>
          <w:sz w:val="22"/>
          <w:szCs w:val="22"/>
        </w:rPr>
        <w:t>)</w:t>
      </w:r>
      <w:r w:rsidRPr="00CE3BA3">
        <w:rPr>
          <w:rFonts w:ascii="Arial" w:hAnsi="Arial" w:cs="Arial"/>
          <w:sz w:val="22"/>
          <w:szCs w:val="22"/>
        </w:rPr>
        <w:t>. The effects of hypoxia on fishes: from ecological relevance to physiological effects. Environ. Rev. 15, 1–14. https://doi.org/10.1139/a06-006</w:t>
      </w:r>
    </w:p>
    <w:p w14:paraId="7178DC2A" w14:textId="6E5914F2"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Randall, D., Daxboeck, C., </w:t>
      </w:r>
      <w:r w:rsidR="009D57F6" w:rsidRPr="00CE3BA3">
        <w:rPr>
          <w:rFonts w:ascii="Arial" w:hAnsi="Arial" w:cs="Arial"/>
          <w:sz w:val="22"/>
          <w:szCs w:val="22"/>
        </w:rPr>
        <w:t>(</w:t>
      </w:r>
      <w:r w:rsidRPr="00CE3BA3">
        <w:rPr>
          <w:rFonts w:ascii="Arial" w:hAnsi="Arial" w:cs="Arial"/>
          <w:sz w:val="22"/>
          <w:szCs w:val="22"/>
        </w:rPr>
        <w:t>1984</w:t>
      </w:r>
      <w:r w:rsidR="009D57F6" w:rsidRPr="00CE3BA3">
        <w:rPr>
          <w:rFonts w:ascii="Arial" w:hAnsi="Arial" w:cs="Arial"/>
          <w:sz w:val="22"/>
          <w:szCs w:val="22"/>
        </w:rPr>
        <w:t>)</w:t>
      </w:r>
      <w:r w:rsidRPr="00CE3BA3">
        <w:rPr>
          <w:rFonts w:ascii="Arial" w:hAnsi="Arial" w:cs="Arial"/>
          <w:sz w:val="22"/>
          <w:szCs w:val="22"/>
        </w:rPr>
        <w:t>. 5 Oxygen and Carbon Dioxide Transfer Across Fish Gills, in: Fish Physiology. Elsevier, pp. 263–314. https://doi.org/10.1016/S1546-5098(08)60321-0</w:t>
      </w:r>
    </w:p>
    <w:p w14:paraId="44A330F1" w14:textId="008CB7EA"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Sekhon, M.S., Ainslie, P.N., Griesdale, D.E., </w:t>
      </w:r>
      <w:r w:rsidR="00E56DF9" w:rsidRPr="00CE3BA3">
        <w:rPr>
          <w:rFonts w:ascii="Arial" w:hAnsi="Arial" w:cs="Arial"/>
          <w:sz w:val="22"/>
          <w:szCs w:val="22"/>
        </w:rPr>
        <w:t>(</w:t>
      </w:r>
      <w:r w:rsidRPr="00CE3BA3">
        <w:rPr>
          <w:rFonts w:ascii="Arial" w:hAnsi="Arial" w:cs="Arial"/>
          <w:sz w:val="22"/>
          <w:szCs w:val="22"/>
        </w:rPr>
        <w:t>2017</w:t>
      </w:r>
      <w:r w:rsidR="00E56DF9" w:rsidRPr="00CE3BA3">
        <w:rPr>
          <w:rFonts w:ascii="Arial" w:hAnsi="Arial" w:cs="Arial"/>
          <w:sz w:val="22"/>
          <w:szCs w:val="22"/>
        </w:rPr>
        <w:t>)</w:t>
      </w:r>
      <w:r w:rsidRPr="00CE3BA3">
        <w:rPr>
          <w:rFonts w:ascii="Arial" w:hAnsi="Arial" w:cs="Arial"/>
          <w:sz w:val="22"/>
          <w:szCs w:val="22"/>
        </w:rPr>
        <w:t>. Clinical pathophysiology of hypoxic ischemic brain injury after cardiac arrest: a “two-hit” model. Crit Care 21, 90. https://doi.org/10.1186/s13054-017-1670-9</w:t>
      </w:r>
    </w:p>
    <w:p w14:paraId="439966CA" w14:textId="12A31FCF"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Spence, R., Fatema, M.K., Reichard, M., Huq, K.A., Wahab, M.A., Ahmed, Z.F., Smith, C., </w:t>
      </w:r>
      <w:r w:rsidR="00E56DF9" w:rsidRPr="00CE3BA3">
        <w:rPr>
          <w:rFonts w:ascii="Arial" w:hAnsi="Arial" w:cs="Arial"/>
          <w:sz w:val="22"/>
          <w:szCs w:val="22"/>
        </w:rPr>
        <w:t>(</w:t>
      </w:r>
      <w:r w:rsidRPr="00CE3BA3">
        <w:rPr>
          <w:rFonts w:ascii="Arial" w:hAnsi="Arial" w:cs="Arial"/>
          <w:sz w:val="22"/>
          <w:szCs w:val="22"/>
        </w:rPr>
        <w:t>2006</w:t>
      </w:r>
      <w:r w:rsidR="00E56DF9" w:rsidRPr="00CE3BA3">
        <w:rPr>
          <w:rFonts w:ascii="Arial" w:hAnsi="Arial" w:cs="Arial"/>
          <w:sz w:val="22"/>
          <w:szCs w:val="22"/>
        </w:rPr>
        <w:t>)</w:t>
      </w:r>
      <w:r w:rsidRPr="00CE3BA3">
        <w:rPr>
          <w:rFonts w:ascii="Arial" w:hAnsi="Arial" w:cs="Arial"/>
          <w:sz w:val="22"/>
          <w:szCs w:val="22"/>
        </w:rPr>
        <w:t>. The distribution and habitat preferences of the zebrafish in Bangladesh. Journal of Fish Biology 69, 1435–1448. https://doi.org/10.1111/j.1095-8649.2006.01206.x</w:t>
      </w:r>
    </w:p>
    <w:p w14:paraId="6F093A08" w14:textId="4E78A303"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Spitsbergen, J.M., Kent, M.L., </w:t>
      </w:r>
      <w:r w:rsidR="00F25CC1" w:rsidRPr="00CE3BA3">
        <w:rPr>
          <w:rFonts w:ascii="Arial" w:hAnsi="Arial" w:cs="Arial"/>
          <w:sz w:val="22"/>
          <w:szCs w:val="22"/>
        </w:rPr>
        <w:t>(</w:t>
      </w:r>
      <w:r w:rsidRPr="00CE3BA3">
        <w:rPr>
          <w:rFonts w:ascii="Arial" w:hAnsi="Arial" w:cs="Arial"/>
          <w:sz w:val="22"/>
          <w:szCs w:val="22"/>
        </w:rPr>
        <w:t>2003</w:t>
      </w:r>
      <w:r w:rsidR="00F25CC1" w:rsidRPr="00CE3BA3">
        <w:rPr>
          <w:rFonts w:ascii="Arial" w:hAnsi="Arial" w:cs="Arial"/>
          <w:sz w:val="22"/>
          <w:szCs w:val="22"/>
        </w:rPr>
        <w:t>)</w:t>
      </w:r>
      <w:r w:rsidRPr="00CE3BA3">
        <w:rPr>
          <w:rFonts w:ascii="Arial" w:hAnsi="Arial" w:cs="Arial"/>
          <w:sz w:val="22"/>
          <w:szCs w:val="22"/>
        </w:rPr>
        <w:t>. The State of the Art of the Zebrafish Model for Toxicology and Toxicologic Pathology Research—Advantages and Current Limitations. Toxicol Pathol 31, 62–87. https://doi.org/10.1080/01926230390174959</w:t>
      </w:r>
    </w:p>
    <w:p w14:paraId="50043F43" w14:textId="405E239E"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Taghavi, S., Nassar, A.K., Askari, R., </w:t>
      </w:r>
      <w:r w:rsidR="00F25CC1" w:rsidRPr="00CE3BA3">
        <w:rPr>
          <w:rFonts w:ascii="Arial" w:hAnsi="Arial" w:cs="Arial"/>
          <w:sz w:val="22"/>
          <w:szCs w:val="22"/>
        </w:rPr>
        <w:t>(</w:t>
      </w:r>
      <w:r w:rsidRPr="00CE3BA3">
        <w:rPr>
          <w:rFonts w:ascii="Arial" w:hAnsi="Arial" w:cs="Arial"/>
          <w:sz w:val="22"/>
          <w:szCs w:val="22"/>
        </w:rPr>
        <w:t>2025</w:t>
      </w:r>
      <w:r w:rsidR="00F25CC1" w:rsidRPr="00CE3BA3">
        <w:rPr>
          <w:rFonts w:ascii="Arial" w:hAnsi="Arial" w:cs="Arial"/>
          <w:sz w:val="22"/>
          <w:szCs w:val="22"/>
        </w:rPr>
        <w:t>)</w:t>
      </w:r>
      <w:r w:rsidRPr="00CE3BA3">
        <w:rPr>
          <w:rFonts w:ascii="Arial" w:hAnsi="Arial" w:cs="Arial"/>
          <w:sz w:val="22"/>
          <w:szCs w:val="22"/>
        </w:rPr>
        <w:t>. Hypovolemia and Hypovolemic Shock, in: StatPearls. StatPearls Publishing, Treasure Island (FL).</w:t>
      </w:r>
    </w:p>
    <w:p w14:paraId="4DFBDF01" w14:textId="34BD3C8A"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Turgut, F., Awad, A., Abdel-Rahman, E., </w:t>
      </w:r>
      <w:r w:rsidR="00F25CC1" w:rsidRPr="00CE3BA3">
        <w:rPr>
          <w:rFonts w:ascii="Arial" w:hAnsi="Arial" w:cs="Arial"/>
          <w:sz w:val="22"/>
          <w:szCs w:val="22"/>
        </w:rPr>
        <w:t>(</w:t>
      </w:r>
      <w:r w:rsidRPr="00CE3BA3">
        <w:rPr>
          <w:rFonts w:ascii="Arial" w:hAnsi="Arial" w:cs="Arial"/>
          <w:sz w:val="22"/>
          <w:szCs w:val="22"/>
        </w:rPr>
        <w:t>2023</w:t>
      </w:r>
      <w:r w:rsidR="00F25CC1" w:rsidRPr="00CE3BA3">
        <w:rPr>
          <w:rFonts w:ascii="Arial" w:hAnsi="Arial" w:cs="Arial"/>
          <w:sz w:val="22"/>
          <w:szCs w:val="22"/>
        </w:rPr>
        <w:t>)</w:t>
      </w:r>
      <w:r w:rsidRPr="00CE3BA3">
        <w:rPr>
          <w:rFonts w:ascii="Arial" w:hAnsi="Arial" w:cs="Arial"/>
          <w:sz w:val="22"/>
          <w:szCs w:val="22"/>
        </w:rPr>
        <w:t>. Acute Kidney Injury: Medical Causes and Pathogenesis. JCM 12, 375. https://doi.org/10.3390/jcm12010375</w:t>
      </w:r>
    </w:p>
    <w:p w14:paraId="52A71842" w14:textId="06047D50"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Wang, S., Sun, M., Ning, Z., Chen, Y., Zhou, H., Mu, W., </w:t>
      </w:r>
      <w:r w:rsidR="00F25CC1" w:rsidRPr="00CE3BA3">
        <w:rPr>
          <w:rFonts w:ascii="Arial" w:hAnsi="Arial" w:cs="Arial"/>
          <w:sz w:val="22"/>
          <w:szCs w:val="22"/>
        </w:rPr>
        <w:t>(</w:t>
      </w:r>
      <w:r w:rsidRPr="00CE3BA3">
        <w:rPr>
          <w:rFonts w:ascii="Arial" w:hAnsi="Arial" w:cs="Arial"/>
          <w:sz w:val="22"/>
          <w:szCs w:val="22"/>
        </w:rPr>
        <w:t>2023</w:t>
      </w:r>
      <w:r w:rsidR="00F25CC1" w:rsidRPr="00CE3BA3">
        <w:rPr>
          <w:rFonts w:ascii="Arial" w:hAnsi="Arial" w:cs="Arial"/>
          <w:sz w:val="22"/>
          <w:szCs w:val="22"/>
        </w:rPr>
        <w:t>)</w:t>
      </w:r>
      <w:r w:rsidRPr="00CE3BA3">
        <w:rPr>
          <w:rFonts w:ascii="Arial" w:hAnsi="Arial" w:cs="Arial"/>
          <w:sz w:val="22"/>
          <w:szCs w:val="22"/>
        </w:rPr>
        <w:t>. The effects of sustained and diel-cycling hypoxia on high-latitude fish Phoxinus lagowskii. Comparative Biochemistry and Physiology Part D: Genomics and Proteomics 45, 101059. https://doi.org/10.1016/j.cbd.2023.101059</w:t>
      </w:r>
    </w:p>
    <w:p w14:paraId="6F5A6F38" w14:textId="32E1CCE3"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Wang, Z., Pu, D., Zheng, J., Li, P., Lü, H., Wei, X., Li, M., Li, D., Gao, L., </w:t>
      </w:r>
      <w:r w:rsidR="00F25CC1" w:rsidRPr="00CE3BA3">
        <w:rPr>
          <w:rFonts w:ascii="Arial" w:hAnsi="Arial" w:cs="Arial"/>
          <w:sz w:val="22"/>
          <w:szCs w:val="22"/>
        </w:rPr>
        <w:t>(</w:t>
      </w:r>
      <w:r w:rsidRPr="00CE3BA3">
        <w:rPr>
          <w:rFonts w:ascii="Arial" w:hAnsi="Arial" w:cs="Arial"/>
          <w:sz w:val="22"/>
          <w:szCs w:val="22"/>
        </w:rPr>
        <w:t>2023</w:t>
      </w:r>
      <w:r w:rsidR="00F25CC1" w:rsidRPr="00CE3BA3">
        <w:rPr>
          <w:rFonts w:ascii="Arial" w:hAnsi="Arial" w:cs="Arial"/>
          <w:sz w:val="22"/>
          <w:szCs w:val="22"/>
        </w:rPr>
        <w:t>)</w:t>
      </w:r>
      <w:r w:rsidRPr="00CE3BA3">
        <w:rPr>
          <w:rFonts w:ascii="Arial" w:hAnsi="Arial" w:cs="Arial"/>
          <w:sz w:val="22"/>
          <w:szCs w:val="22"/>
        </w:rPr>
        <w:t>. Hypoxia-induced physiological responses in fish: From organism to tissue to molecular levels. Ecotoxicology and Environmental Safety 267, 115609. https://doi.org/10.1016/j.ecoenv.2023.115609</w:t>
      </w:r>
    </w:p>
    <w:p w14:paraId="7B69AFFA" w14:textId="3FC858CE"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 xml:space="preserve">Wannamaker, C.M., Rice, J.A., </w:t>
      </w:r>
      <w:r w:rsidR="00F25CC1" w:rsidRPr="00CE3BA3">
        <w:rPr>
          <w:rFonts w:ascii="Arial" w:hAnsi="Arial" w:cs="Arial"/>
          <w:sz w:val="22"/>
          <w:szCs w:val="22"/>
        </w:rPr>
        <w:t>(</w:t>
      </w:r>
      <w:r w:rsidRPr="00CE3BA3">
        <w:rPr>
          <w:rFonts w:ascii="Arial" w:hAnsi="Arial" w:cs="Arial"/>
          <w:sz w:val="22"/>
          <w:szCs w:val="22"/>
        </w:rPr>
        <w:t>2000</w:t>
      </w:r>
      <w:r w:rsidR="00F25CC1" w:rsidRPr="00CE3BA3">
        <w:rPr>
          <w:rFonts w:ascii="Arial" w:hAnsi="Arial" w:cs="Arial"/>
          <w:sz w:val="22"/>
          <w:szCs w:val="22"/>
        </w:rPr>
        <w:t>)</w:t>
      </w:r>
      <w:r w:rsidRPr="00CE3BA3">
        <w:rPr>
          <w:rFonts w:ascii="Arial" w:hAnsi="Arial" w:cs="Arial"/>
          <w:sz w:val="22"/>
          <w:szCs w:val="22"/>
        </w:rPr>
        <w:t>. Effects of hypoxia on movements and behavior of selected estuarine organisms from the southeastern United States. Journal of Experimental Marine Biology and Ecology 249, 145–163. https://doi.org/10.1016/S0022-0981(00)00160-X</w:t>
      </w:r>
    </w:p>
    <w:p w14:paraId="2090F4BF" w14:textId="219163CE" w:rsidR="0035291E" w:rsidRPr="00CE3BA3" w:rsidRDefault="0035291E" w:rsidP="00CE3BA3">
      <w:pPr>
        <w:pStyle w:val="ListParagraph"/>
        <w:numPr>
          <w:ilvl w:val="0"/>
          <w:numId w:val="1"/>
        </w:numPr>
        <w:jc w:val="both"/>
        <w:rPr>
          <w:rFonts w:ascii="Arial" w:hAnsi="Arial" w:cs="Arial"/>
          <w:sz w:val="22"/>
          <w:szCs w:val="22"/>
        </w:rPr>
      </w:pPr>
      <w:r w:rsidRPr="00CE3BA3">
        <w:rPr>
          <w:rFonts w:ascii="Arial" w:hAnsi="Arial" w:cs="Arial"/>
          <w:sz w:val="22"/>
          <w:szCs w:val="22"/>
        </w:rPr>
        <w:t>Whiteley, A.R., Bhat, A., Martins, E.P., Mayden, R.L., Arunachalam, M., Uusi</w:t>
      </w:r>
      <w:r w:rsidRPr="00CE3BA3">
        <w:rPr>
          <w:rFonts w:ascii="Cambria Math" w:hAnsi="Cambria Math" w:cs="Cambria Math"/>
          <w:sz w:val="22"/>
          <w:szCs w:val="22"/>
        </w:rPr>
        <w:t>‐</w:t>
      </w:r>
      <w:r w:rsidRPr="00CE3BA3">
        <w:rPr>
          <w:rFonts w:ascii="Arial" w:hAnsi="Arial" w:cs="Arial"/>
          <w:sz w:val="22"/>
          <w:szCs w:val="22"/>
        </w:rPr>
        <w:t xml:space="preserve">Heikkilä, S., Ahmed, A.T.A., Shrestha, J., Clark, M., Stemple, D., Bernatchez, L., </w:t>
      </w:r>
      <w:r w:rsidR="00F25CC1" w:rsidRPr="00CE3BA3">
        <w:rPr>
          <w:rFonts w:ascii="Arial" w:hAnsi="Arial" w:cs="Arial"/>
          <w:sz w:val="22"/>
          <w:szCs w:val="22"/>
        </w:rPr>
        <w:t>(</w:t>
      </w:r>
      <w:r w:rsidRPr="00CE3BA3">
        <w:rPr>
          <w:rFonts w:ascii="Arial" w:hAnsi="Arial" w:cs="Arial"/>
          <w:sz w:val="22"/>
          <w:szCs w:val="22"/>
        </w:rPr>
        <w:t>2011</w:t>
      </w:r>
      <w:r w:rsidR="00F25CC1" w:rsidRPr="00CE3BA3">
        <w:rPr>
          <w:rFonts w:ascii="Arial" w:hAnsi="Arial" w:cs="Arial"/>
          <w:sz w:val="22"/>
          <w:szCs w:val="22"/>
        </w:rPr>
        <w:t>)</w:t>
      </w:r>
      <w:r w:rsidRPr="00CE3BA3">
        <w:rPr>
          <w:rFonts w:ascii="Arial" w:hAnsi="Arial" w:cs="Arial"/>
          <w:sz w:val="22"/>
          <w:szCs w:val="22"/>
        </w:rPr>
        <w:t xml:space="preserve">. Population genomics of wild and laboratory zebrafish ( </w:t>
      </w:r>
      <w:r w:rsidRPr="00CE3BA3">
        <w:rPr>
          <w:rFonts w:ascii="Arial" w:hAnsi="Arial" w:cs="Arial"/>
          <w:i/>
          <w:iCs/>
          <w:sz w:val="22"/>
          <w:szCs w:val="22"/>
        </w:rPr>
        <w:t>Danio rerio</w:t>
      </w:r>
      <w:r w:rsidRPr="00CE3BA3">
        <w:rPr>
          <w:rFonts w:ascii="Arial" w:hAnsi="Arial" w:cs="Arial"/>
          <w:sz w:val="22"/>
          <w:szCs w:val="22"/>
        </w:rPr>
        <w:t xml:space="preserve"> ). Molecular Ecology 20, 4259–4276. https://doi.org/10.1111/j.1365-294X.2011.05272.x</w:t>
      </w:r>
    </w:p>
    <w:p w14:paraId="3CB8244F" w14:textId="7409FEA7" w:rsidR="00BC6F6B" w:rsidRPr="00B30F84" w:rsidRDefault="0035291E" w:rsidP="00285F3C">
      <w:pPr>
        <w:ind w:right="-709"/>
        <w:jc w:val="both"/>
        <w:rPr>
          <w:rFonts w:ascii="Arial" w:hAnsi="Arial" w:cs="Arial"/>
          <w:sz w:val="22"/>
          <w:szCs w:val="22"/>
        </w:rPr>
      </w:pPr>
      <w:r w:rsidRPr="00F2009A">
        <w:rPr>
          <w:rFonts w:ascii="Arial" w:hAnsi="Arial" w:cs="Arial"/>
          <w:sz w:val="22"/>
          <w:szCs w:val="22"/>
        </w:rPr>
        <w:fldChar w:fldCharType="end"/>
      </w:r>
    </w:p>
    <w:sectPr w:rsidR="00BC6F6B" w:rsidRPr="00B30F84" w:rsidSect="00C05EF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6BABB" w14:textId="77777777" w:rsidR="00FD7FF4" w:rsidRDefault="00FD7FF4" w:rsidP="00DE4B99">
      <w:r>
        <w:separator/>
      </w:r>
    </w:p>
  </w:endnote>
  <w:endnote w:type="continuationSeparator" w:id="0">
    <w:p w14:paraId="7AE24116" w14:textId="77777777" w:rsidR="00FD7FF4" w:rsidRDefault="00FD7FF4" w:rsidP="00DE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48E2" w14:textId="77777777" w:rsidR="00C05EFD" w:rsidRDefault="00C0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245798"/>
      <w:docPartObj>
        <w:docPartGallery w:val="Page Numbers (Bottom of Page)"/>
        <w:docPartUnique/>
      </w:docPartObj>
    </w:sdtPr>
    <w:sdtEndPr/>
    <w:sdtContent>
      <w:p w14:paraId="6C2EDA45" w14:textId="403421B5" w:rsidR="00DE4B99" w:rsidRDefault="00DE4B99">
        <w:pPr>
          <w:pStyle w:val="Footer"/>
          <w:jc w:val="right"/>
        </w:pPr>
        <w:r>
          <w:fldChar w:fldCharType="begin"/>
        </w:r>
        <w:r>
          <w:instrText>PAGE   \* MERGEFORMAT</w:instrText>
        </w:r>
        <w:r>
          <w:fldChar w:fldCharType="separate"/>
        </w:r>
        <w:r w:rsidR="00216735">
          <w:rPr>
            <w:noProof/>
          </w:rPr>
          <w:t>6</w:t>
        </w:r>
        <w:r>
          <w:fldChar w:fldCharType="end"/>
        </w:r>
      </w:p>
    </w:sdtContent>
  </w:sdt>
  <w:p w14:paraId="70060C27" w14:textId="77777777" w:rsidR="00DE4B99" w:rsidRDefault="00DE4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C703" w14:textId="77777777" w:rsidR="00C05EFD" w:rsidRDefault="00C0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38BD5" w14:textId="77777777" w:rsidR="00FD7FF4" w:rsidRDefault="00FD7FF4" w:rsidP="00DE4B99">
      <w:r>
        <w:separator/>
      </w:r>
    </w:p>
  </w:footnote>
  <w:footnote w:type="continuationSeparator" w:id="0">
    <w:p w14:paraId="27E6985C" w14:textId="77777777" w:rsidR="00FD7FF4" w:rsidRDefault="00FD7FF4" w:rsidP="00DE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9BC6" w14:textId="5500F0AF" w:rsidR="00C05EFD" w:rsidRDefault="00FD7FF4">
    <w:pPr>
      <w:pStyle w:val="Header"/>
    </w:pPr>
    <w:r>
      <w:rPr>
        <w:noProof/>
      </w:rPr>
      <w:pict w14:anchorId="37731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3"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444E" w14:textId="55D1927E" w:rsidR="00C05EFD" w:rsidRDefault="00FD7FF4">
    <w:pPr>
      <w:pStyle w:val="Header"/>
    </w:pPr>
    <w:r>
      <w:rPr>
        <w:noProof/>
      </w:rPr>
      <w:pict w14:anchorId="3D8FE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4"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F13E" w14:textId="5210144A" w:rsidR="00C05EFD" w:rsidRDefault="00FD7FF4">
    <w:pPr>
      <w:pStyle w:val="Header"/>
    </w:pPr>
    <w:r>
      <w:rPr>
        <w:noProof/>
      </w:rPr>
      <w:pict w14:anchorId="513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2"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9496A"/>
    <w:multiLevelType w:val="hybridMultilevel"/>
    <w:tmpl w:val="5030BA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NDM3NTEwNzM0sTRV0lEKTi0uzszPAykwqgUAoq3URSwAAAA="/>
  </w:docVars>
  <w:rsids>
    <w:rsidRoot w:val="009636F2"/>
    <w:rsid w:val="000041DC"/>
    <w:rsid w:val="00006040"/>
    <w:rsid w:val="0002136E"/>
    <w:rsid w:val="000217FA"/>
    <w:rsid w:val="000219CB"/>
    <w:rsid w:val="00026908"/>
    <w:rsid w:val="00030731"/>
    <w:rsid w:val="00031691"/>
    <w:rsid w:val="00032DBA"/>
    <w:rsid w:val="0004148B"/>
    <w:rsid w:val="00056940"/>
    <w:rsid w:val="00056C32"/>
    <w:rsid w:val="0006087D"/>
    <w:rsid w:val="00060CF6"/>
    <w:rsid w:val="0006795E"/>
    <w:rsid w:val="00070DED"/>
    <w:rsid w:val="00072590"/>
    <w:rsid w:val="00076D36"/>
    <w:rsid w:val="00090723"/>
    <w:rsid w:val="00090C91"/>
    <w:rsid w:val="000A2ECA"/>
    <w:rsid w:val="000B10C0"/>
    <w:rsid w:val="000F22A0"/>
    <w:rsid w:val="00105072"/>
    <w:rsid w:val="0011635C"/>
    <w:rsid w:val="00132A75"/>
    <w:rsid w:val="001357B4"/>
    <w:rsid w:val="00146294"/>
    <w:rsid w:val="001502D1"/>
    <w:rsid w:val="001560FC"/>
    <w:rsid w:val="0019170C"/>
    <w:rsid w:val="00195AB1"/>
    <w:rsid w:val="001B64F1"/>
    <w:rsid w:val="001C3B1C"/>
    <w:rsid w:val="001D762F"/>
    <w:rsid w:val="001E0035"/>
    <w:rsid w:val="001E5497"/>
    <w:rsid w:val="001F51BA"/>
    <w:rsid w:val="001F6004"/>
    <w:rsid w:val="00200072"/>
    <w:rsid w:val="00203BA5"/>
    <w:rsid w:val="00206B67"/>
    <w:rsid w:val="00216735"/>
    <w:rsid w:val="0022167D"/>
    <w:rsid w:val="00231561"/>
    <w:rsid w:val="00253B19"/>
    <w:rsid w:val="00272116"/>
    <w:rsid w:val="00280967"/>
    <w:rsid w:val="00285F3C"/>
    <w:rsid w:val="00286ABA"/>
    <w:rsid w:val="002920AD"/>
    <w:rsid w:val="0029448C"/>
    <w:rsid w:val="002B5AFD"/>
    <w:rsid w:val="003048F7"/>
    <w:rsid w:val="00304EC6"/>
    <w:rsid w:val="0030688F"/>
    <w:rsid w:val="003076A0"/>
    <w:rsid w:val="00311015"/>
    <w:rsid w:val="0034108C"/>
    <w:rsid w:val="00342DB1"/>
    <w:rsid w:val="0035291E"/>
    <w:rsid w:val="00361AF0"/>
    <w:rsid w:val="00363FE7"/>
    <w:rsid w:val="00373281"/>
    <w:rsid w:val="00376B19"/>
    <w:rsid w:val="00396E2A"/>
    <w:rsid w:val="003B0FCD"/>
    <w:rsid w:val="003C3087"/>
    <w:rsid w:val="003E5D46"/>
    <w:rsid w:val="003E72C7"/>
    <w:rsid w:val="003F3322"/>
    <w:rsid w:val="003F406C"/>
    <w:rsid w:val="003F445E"/>
    <w:rsid w:val="004012E6"/>
    <w:rsid w:val="0040213E"/>
    <w:rsid w:val="00403631"/>
    <w:rsid w:val="00416160"/>
    <w:rsid w:val="004237AB"/>
    <w:rsid w:val="00433215"/>
    <w:rsid w:val="00445E87"/>
    <w:rsid w:val="00452970"/>
    <w:rsid w:val="004610FF"/>
    <w:rsid w:val="00477359"/>
    <w:rsid w:val="00492DCC"/>
    <w:rsid w:val="00494029"/>
    <w:rsid w:val="004A4CF6"/>
    <w:rsid w:val="004B1F42"/>
    <w:rsid w:val="004C06D8"/>
    <w:rsid w:val="004C1753"/>
    <w:rsid w:val="004C31AA"/>
    <w:rsid w:val="004D38DA"/>
    <w:rsid w:val="004D64EC"/>
    <w:rsid w:val="004E3152"/>
    <w:rsid w:val="004F2D85"/>
    <w:rsid w:val="004F2E59"/>
    <w:rsid w:val="005038CA"/>
    <w:rsid w:val="00506352"/>
    <w:rsid w:val="005103CD"/>
    <w:rsid w:val="00513206"/>
    <w:rsid w:val="00521F42"/>
    <w:rsid w:val="005225DB"/>
    <w:rsid w:val="00534FFF"/>
    <w:rsid w:val="00546135"/>
    <w:rsid w:val="00547582"/>
    <w:rsid w:val="005A20AB"/>
    <w:rsid w:val="005B0570"/>
    <w:rsid w:val="005B0EB0"/>
    <w:rsid w:val="005B4F9C"/>
    <w:rsid w:val="005C442A"/>
    <w:rsid w:val="005C54F7"/>
    <w:rsid w:val="005C7A9A"/>
    <w:rsid w:val="005D17C7"/>
    <w:rsid w:val="005D6A83"/>
    <w:rsid w:val="005E6BE7"/>
    <w:rsid w:val="005E72B0"/>
    <w:rsid w:val="005F0D6F"/>
    <w:rsid w:val="005F747E"/>
    <w:rsid w:val="00600E66"/>
    <w:rsid w:val="0063235D"/>
    <w:rsid w:val="00632561"/>
    <w:rsid w:val="00640C73"/>
    <w:rsid w:val="00642D8F"/>
    <w:rsid w:val="006520C7"/>
    <w:rsid w:val="006620FE"/>
    <w:rsid w:val="00662318"/>
    <w:rsid w:val="00663F73"/>
    <w:rsid w:val="006723B5"/>
    <w:rsid w:val="00672D18"/>
    <w:rsid w:val="00684D1A"/>
    <w:rsid w:val="00687DB8"/>
    <w:rsid w:val="006978E8"/>
    <w:rsid w:val="006B0B7C"/>
    <w:rsid w:val="006B16B7"/>
    <w:rsid w:val="006B4DD8"/>
    <w:rsid w:val="006B54A9"/>
    <w:rsid w:val="006C202C"/>
    <w:rsid w:val="006E0BDB"/>
    <w:rsid w:val="006F78B8"/>
    <w:rsid w:val="00714BB3"/>
    <w:rsid w:val="007154BB"/>
    <w:rsid w:val="0071672D"/>
    <w:rsid w:val="0072649B"/>
    <w:rsid w:val="0074322F"/>
    <w:rsid w:val="00743AD6"/>
    <w:rsid w:val="00745CED"/>
    <w:rsid w:val="0075397C"/>
    <w:rsid w:val="007773BA"/>
    <w:rsid w:val="007875AE"/>
    <w:rsid w:val="007B2EFE"/>
    <w:rsid w:val="007C5AC5"/>
    <w:rsid w:val="007C6DB2"/>
    <w:rsid w:val="007D6EBD"/>
    <w:rsid w:val="00822A51"/>
    <w:rsid w:val="008230D6"/>
    <w:rsid w:val="00831AE1"/>
    <w:rsid w:val="00844A15"/>
    <w:rsid w:val="008463FF"/>
    <w:rsid w:val="00852601"/>
    <w:rsid w:val="00854017"/>
    <w:rsid w:val="00864168"/>
    <w:rsid w:val="00877174"/>
    <w:rsid w:val="00885392"/>
    <w:rsid w:val="008A0959"/>
    <w:rsid w:val="008A4923"/>
    <w:rsid w:val="008A5B14"/>
    <w:rsid w:val="008C4472"/>
    <w:rsid w:val="008C6078"/>
    <w:rsid w:val="008D3814"/>
    <w:rsid w:val="008D4866"/>
    <w:rsid w:val="008F054A"/>
    <w:rsid w:val="008F2C8D"/>
    <w:rsid w:val="0091463C"/>
    <w:rsid w:val="00914898"/>
    <w:rsid w:val="00936177"/>
    <w:rsid w:val="00946E06"/>
    <w:rsid w:val="0095746F"/>
    <w:rsid w:val="00957DDF"/>
    <w:rsid w:val="00961FAA"/>
    <w:rsid w:val="009636F2"/>
    <w:rsid w:val="009710E3"/>
    <w:rsid w:val="00977A7A"/>
    <w:rsid w:val="009807A9"/>
    <w:rsid w:val="00980A9C"/>
    <w:rsid w:val="00996033"/>
    <w:rsid w:val="009A1A52"/>
    <w:rsid w:val="009A6669"/>
    <w:rsid w:val="009B101A"/>
    <w:rsid w:val="009B346B"/>
    <w:rsid w:val="009D57F6"/>
    <w:rsid w:val="009E28F2"/>
    <w:rsid w:val="009E3A36"/>
    <w:rsid w:val="009E46E0"/>
    <w:rsid w:val="00A071BE"/>
    <w:rsid w:val="00A15CEC"/>
    <w:rsid w:val="00A179A0"/>
    <w:rsid w:val="00A330EF"/>
    <w:rsid w:val="00A3486B"/>
    <w:rsid w:val="00A357E2"/>
    <w:rsid w:val="00A419AC"/>
    <w:rsid w:val="00A55596"/>
    <w:rsid w:val="00A573C8"/>
    <w:rsid w:val="00A639C0"/>
    <w:rsid w:val="00A713E4"/>
    <w:rsid w:val="00A770E9"/>
    <w:rsid w:val="00A87E6F"/>
    <w:rsid w:val="00A937E5"/>
    <w:rsid w:val="00A97B35"/>
    <w:rsid w:val="00A97E8C"/>
    <w:rsid w:val="00AB3843"/>
    <w:rsid w:val="00AC2490"/>
    <w:rsid w:val="00AD5938"/>
    <w:rsid w:val="00AE598F"/>
    <w:rsid w:val="00AE7603"/>
    <w:rsid w:val="00AF3553"/>
    <w:rsid w:val="00B0167E"/>
    <w:rsid w:val="00B04469"/>
    <w:rsid w:val="00B06A49"/>
    <w:rsid w:val="00B121A8"/>
    <w:rsid w:val="00B1263D"/>
    <w:rsid w:val="00B20C6A"/>
    <w:rsid w:val="00B223BE"/>
    <w:rsid w:val="00B30F84"/>
    <w:rsid w:val="00B35DBE"/>
    <w:rsid w:val="00B37145"/>
    <w:rsid w:val="00B3721F"/>
    <w:rsid w:val="00B37DD2"/>
    <w:rsid w:val="00B4507F"/>
    <w:rsid w:val="00B45609"/>
    <w:rsid w:val="00B75842"/>
    <w:rsid w:val="00B77846"/>
    <w:rsid w:val="00B93AAB"/>
    <w:rsid w:val="00BA3552"/>
    <w:rsid w:val="00BA4451"/>
    <w:rsid w:val="00BA466A"/>
    <w:rsid w:val="00BB2B7B"/>
    <w:rsid w:val="00BB4F93"/>
    <w:rsid w:val="00BB7BF8"/>
    <w:rsid w:val="00BC6F6B"/>
    <w:rsid w:val="00BD0FFE"/>
    <w:rsid w:val="00BD288E"/>
    <w:rsid w:val="00BD7E7D"/>
    <w:rsid w:val="00BE4A0E"/>
    <w:rsid w:val="00C0004C"/>
    <w:rsid w:val="00C02FAB"/>
    <w:rsid w:val="00C05EFD"/>
    <w:rsid w:val="00C3737E"/>
    <w:rsid w:val="00C407CD"/>
    <w:rsid w:val="00C57B47"/>
    <w:rsid w:val="00C63D96"/>
    <w:rsid w:val="00C700F6"/>
    <w:rsid w:val="00C75FF9"/>
    <w:rsid w:val="00CA0AE1"/>
    <w:rsid w:val="00CA1FCE"/>
    <w:rsid w:val="00CB49CE"/>
    <w:rsid w:val="00CC0148"/>
    <w:rsid w:val="00CE3BA3"/>
    <w:rsid w:val="00CF0F7D"/>
    <w:rsid w:val="00CF4AFF"/>
    <w:rsid w:val="00CF52B5"/>
    <w:rsid w:val="00D049D8"/>
    <w:rsid w:val="00D12DA8"/>
    <w:rsid w:val="00D23EBA"/>
    <w:rsid w:val="00D27653"/>
    <w:rsid w:val="00D349A5"/>
    <w:rsid w:val="00D43019"/>
    <w:rsid w:val="00D528EC"/>
    <w:rsid w:val="00D60B90"/>
    <w:rsid w:val="00D750FC"/>
    <w:rsid w:val="00D902BC"/>
    <w:rsid w:val="00D92273"/>
    <w:rsid w:val="00D97562"/>
    <w:rsid w:val="00DA5F25"/>
    <w:rsid w:val="00DB04DE"/>
    <w:rsid w:val="00DB3640"/>
    <w:rsid w:val="00DC0856"/>
    <w:rsid w:val="00DC0C42"/>
    <w:rsid w:val="00DC25EA"/>
    <w:rsid w:val="00DE212E"/>
    <w:rsid w:val="00DE4431"/>
    <w:rsid w:val="00DE4B99"/>
    <w:rsid w:val="00E05074"/>
    <w:rsid w:val="00E13C1E"/>
    <w:rsid w:val="00E207CB"/>
    <w:rsid w:val="00E21928"/>
    <w:rsid w:val="00E2444F"/>
    <w:rsid w:val="00E56DF9"/>
    <w:rsid w:val="00E61A03"/>
    <w:rsid w:val="00E675C3"/>
    <w:rsid w:val="00E84330"/>
    <w:rsid w:val="00E85962"/>
    <w:rsid w:val="00E860F0"/>
    <w:rsid w:val="00E873EB"/>
    <w:rsid w:val="00EA0A51"/>
    <w:rsid w:val="00EA2F9B"/>
    <w:rsid w:val="00EA4A2F"/>
    <w:rsid w:val="00EB5C69"/>
    <w:rsid w:val="00EB5CA0"/>
    <w:rsid w:val="00EB5D42"/>
    <w:rsid w:val="00EC602B"/>
    <w:rsid w:val="00EE2B79"/>
    <w:rsid w:val="00EE3725"/>
    <w:rsid w:val="00EE5192"/>
    <w:rsid w:val="00EE5478"/>
    <w:rsid w:val="00EE5488"/>
    <w:rsid w:val="00F157DC"/>
    <w:rsid w:val="00F1608A"/>
    <w:rsid w:val="00F2009A"/>
    <w:rsid w:val="00F254C5"/>
    <w:rsid w:val="00F25CC1"/>
    <w:rsid w:val="00F30558"/>
    <w:rsid w:val="00F62ED3"/>
    <w:rsid w:val="00F67074"/>
    <w:rsid w:val="00F719C1"/>
    <w:rsid w:val="00F71DFD"/>
    <w:rsid w:val="00F7784E"/>
    <w:rsid w:val="00F823D7"/>
    <w:rsid w:val="00F902E7"/>
    <w:rsid w:val="00F92BA9"/>
    <w:rsid w:val="00F9376D"/>
    <w:rsid w:val="00FA0A54"/>
    <w:rsid w:val="00FB17DA"/>
    <w:rsid w:val="00FB4645"/>
    <w:rsid w:val="00FC0579"/>
    <w:rsid w:val="00FC68C3"/>
    <w:rsid w:val="00FD7FF4"/>
    <w:rsid w:val="00FF7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76024"/>
  <w15:chartTrackingRefBased/>
  <w15:docId w15:val="{92CD313B-02AC-4F59-88AF-D6FC3DFE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9C1"/>
    <w:pPr>
      <w:spacing w:after="0" w:line="240" w:lineRule="auto"/>
    </w:pPr>
    <w:rPr>
      <w:rFonts w:ascii="Times New Roman" w:eastAsia="Times New Roman" w:hAnsi="Times New Roman" w:cs="Times New Roman"/>
      <w:kern w:val="0"/>
      <w:sz w:val="20"/>
      <w:szCs w:val="20"/>
      <w:lang w:eastAsia="es-ES"/>
      <w14:ligatures w14:val="none"/>
    </w:rPr>
  </w:style>
  <w:style w:type="paragraph" w:styleId="Heading1">
    <w:name w:val="heading 1"/>
    <w:basedOn w:val="Normal"/>
    <w:next w:val="Normal"/>
    <w:link w:val="Heading1Char"/>
    <w:uiPriority w:val="9"/>
    <w:qFormat/>
    <w:rsid w:val="00963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3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3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36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636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636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636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636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636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F2"/>
    <w:rPr>
      <w:rFonts w:eastAsiaTheme="majorEastAsia" w:cstheme="majorBidi"/>
      <w:color w:val="272727" w:themeColor="text1" w:themeTint="D8"/>
    </w:rPr>
  </w:style>
  <w:style w:type="paragraph" w:styleId="Title">
    <w:name w:val="Title"/>
    <w:basedOn w:val="Normal"/>
    <w:next w:val="Normal"/>
    <w:link w:val="TitleChar"/>
    <w:uiPriority w:val="10"/>
    <w:qFormat/>
    <w:rsid w:val="009636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636F2"/>
    <w:rPr>
      <w:i/>
      <w:iCs/>
      <w:color w:val="404040" w:themeColor="text1" w:themeTint="BF"/>
    </w:rPr>
  </w:style>
  <w:style w:type="paragraph" w:styleId="ListParagraph">
    <w:name w:val="List Paragraph"/>
    <w:basedOn w:val="Normal"/>
    <w:uiPriority w:val="34"/>
    <w:qFormat/>
    <w:rsid w:val="009636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636F2"/>
    <w:rPr>
      <w:i/>
      <w:iCs/>
      <w:color w:val="0F4761" w:themeColor="accent1" w:themeShade="BF"/>
    </w:rPr>
  </w:style>
  <w:style w:type="paragraph" w:styleId="IntenseQuote">
    <w:name w:val="Intense Quote"/>
    <w:basedOn w:val="Normal"/>
    <w:next w:val="Normal"/>
    <w:link w:val="IntenseQuoteChar"/>
    <w:uiPriority w:val="30"/>
    <w:qFormat/>
    <w:rsid w:val="00963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636F2"/>
    <w:rPr>
      <w:i/>
      <w:iCs/>
      <w:color w:val="0F4761" w:themeColor="accent1" w:themeShade="BF"/>
    </w:rPr>
  </w:style>
  <w:style w:type="character" w:styleId="IntenseReference">
    <w:name w:val="Intense Reference"/>
    <w:basedOn w:val="DefaultParagraphFont"/>
    <w:uiPriority w:val="32"/>
    <w:qFormat/>
    <w:rsid w:val="009636F2"/>
    <w:rPr>
      <w:b/>
      <w:bCs/>
      <w:smallCaps/>
      <w:color w:val="0F4761" w:themeColor="accent1" w:themeShade="BF"/>
      <w:spacing w:val="5"/>
    </w:rPr>
  </w:style>
  <w:style w:type="character" w:styleId="CommentReference">
    <w:name w:val="annotation reference"/>
    <w:basedOn w:val="DefaultParagraphFont"/>
    <w:uiPriority w:val="99"/>
    <w:semiHidden/>
    <w:unhideWhenUsed/>
    <w:rsid w:val="00F719C1"/>
    <w:rPr>
      <w:sz w:val="16"/>
      <w:szCs w:val="16"/>
    </w:rPr>
  </w:style>
  <w:style w:type="paragraph" w:styleId="CommentText">
    <w:name w:val="annotation text"/>
    <w:basedOn w:val="Normal"/>
    <w:link w:val="CommentTextChar"/>
    <w:uiPriority w:val="99"/>
    <w:unhideWhenUsed/>
    <w:rsid w:val="00F719C1"/>
  </w:style>
  <w:style w:type="character" w:customStyle="1" w:styleId="CommentTextChar">
    <w:name w:val="Comment Text Char"/>
    <w:basedOn w:val="DefaultParagraphFont"/>
    <w:link w:val="CommentText"/>
    <w:uiPriority w:val="99"/>
    <w:rsid w:val="00F719C1"/>
    <w:rPr>
      <w:rFonts w:ascii="Times New Roman" w:eastAsia="Times New Roman" w:hAnsi="Times New Roman" w:cs="Times New Roman"/>
      <w:kern w:val="0"/>
      <w:sz w:val="20"/>
      <w:szCs w:val="20"/>
      <w:lang w:eastAsia="es-ES"/>
      <w14:ligatures w14:val="none"/>
    </w:rPr>
  </w:style>
  <w:style w:type="paragraph" w:styleId="CommentSubject">
    <w:name w:val="annotation subject"/>
    <w:basedOn w:val="CommentText"/>
    <w:next w:val="CommentText"/>
    <w:link w:val="CommentSubjectChar"/>
    <w:uiPriority w:val="99"/>
    <w:semiHidden/>
    <w:unhideWhenUsed/>
    <w:rsid w:val="00F719C1"/>
    <w:rPr>
      <w:b/>
      <w:bCs/>
    </w:rPr>
  </w:style>
  <w:style w:type="character" w:customStyle="1" w:styleId="CommentSubjectChar">
    <w:name w:val="Comment Subject Char"/>
    <w:basedOn w:val="CommentTextChar"/>
    <w:link w:val="CommentSubject"/>
    <w:uiPriority w:val="99"/>
    <w:semiHidden/>
    <w:rsid w:val="00F719C1"/>
    <w:rPr>
      <w:rFonts w:ascii="Times New Roman" w:eastAsia="Times New Roman" w:hAnsi="Times New Roman" w:cs="Times New Roman"/>
      <w:b/>
      <w:bCs/>
      <w:kern w:val="0"/>
      <w:sz w:val="20"/>
      <w:szCs w:val="20"/>
      <w:lang w:eastAsia="es-ES"/>
      <w14:ligatures w14:val="none"/>
    </w:rPr>
  </w:style>
  <w:style w:type="paragraph" w:styleId="Revision">
    <w:name w:val="Revision"/>
    <w:hidden/>
    <w:uiPriority w:val="99"/>
    <w:semiHidden/>
    <w:rsid w:val="0022167D"/>
    <w:pPr>
      <w:spacing w:after="0" w:line="240" w:lineRule="auto"/>
    </w:pPr>
    <w:rPr>
      <w:rFonts w:ascii="Times New Roman" w:eastAsia="Times New Roman" w:hAnsi="Times New Roman" w:cs="Times New Roman"/>
      <w:kern w:val="0"/>
      <w:sz w:val="20"/>
      <w:szCs w:val="20"/>
      <w:lang w:eastAsia="es-ES"/>
      <w14:ligatures w14:val="none"/>
    </w:rPr>
  </w:style>
  <w:style w:type="character" w:styleId="Hyperlink">
    <w:name w:val="Hyperlink"/>
    <w:basedOn w:val="DefaultParagraphFont"/>
    <w:uiPriority w:val="99"/>
    <w:unhideWhenUsed/>
    <w:rsid w:val="00FC0579"/>
    <w:rPr>
      <w:color w:val="467886" w:themeColor="hyperlink"/>
      <w:u w:val="single"/>
    </w:rPr>
  </w:style>
  <w:style w:type="character" w:customStyle="1" w:styleId="MenoPendente1">
    <w:name w:val="Menção Pendente1"/>
    <w:basedOn w:val="DefaultParagraphFont"/>
    <w:uiPriority w:val="99"/>
    <w:semiHidden/>
    <w:unhideWhenUsed/>
    <w:rsid w:val="00FC0579"/>
    <w:rPr>
      <w:color w:val="605E5C"/>
      <w:shd w:val="clear" w:color="auto" w:fill="E1DFDD"/>
    </w:rPr>
  </w:style>
  <w:style w:type="paragraph" w:styleId="Bibliography">
    <w:name w:val="Bibliography"/>
    <w:basedOn w:val="Normal"/>
    <w:next w:val="Normal"/>
    <w:uiPriority w:val="37"/>
    <w:semiHidden/>
    <w:unhideWhenUsed/>
    <w:rsid w:val="0035291E"/>
  </w:style>
  <w:style w:type="character" w:styleId="LineNumber">
    <w:name w:val="line number"/>
    <w:basedOn w:val="DefaultParagraphFont"/>
    <w:uiPriority w:val="99"/>
    <w:semiHidden/>
    <w:unhideWhenUsed/>
    <w:rsid w:val="000041DC"/>
  </w:style>
  <w:style w:type="paragraph" w:styleId="Header">
    <w:name w:val="header"/>
    <w:basedOn w:val="Normal"/>
    <w:link w:val="HeaderChar"/>
    <w:uiPriority w:val="99"/>
    <w:unhideWhenUsed/>
    <w:rsid w:val="00DE4B99"/>
    <w:pPr>
      <w:tabs>
        <w:tab w:val="center" w:pos="4252"/>
        <w:tab w:val="right" w:pos="8504"/>
      </w:tabs>
    </w:pPr>
  </w:style>
  <w:style w:type="character" w:customStyle="1" w:styleId="HeaderChar">
    <w:name w:val="Header Char"/>
    <w:basedOn w:val="DefaultParagraphFont"/>
    <w:link w:val="Header"/>
    <w:uiPriority w:val="99"/>
    <w:rsid w:val="00DE4B99"/>
    <w:rPr>
      <w:rFonts w:ascii="Times New Roman" w:eastAsia="Times New Roman" w:hAnsi="Times New Roman" w:cs="Times New Roman"/>
      <w:kern w:val="0"/>
      <w:sz w:val="20"/>
      <w:szCs w:val="20"/>
      <w:lang w:eastAsia="es-ES"/>
      <w14:ligatures w14:val="none"/>
    </w:rPr>
  </w:style>
  <w:style w:type="paragraph" w:styleId="Footer">
    <w:name w:val="footer"/>
    <w:basedOn w:val="Normal"/>
    <w:link w:val="FooterChar"/>
    <w:uiPriority w:val="99"/>
    <w:unhideWhenUsed/>
    <w:rsid w:val="00DE4B99"/>
    <w:pPr>
      <w:tabs>
        <w:tab w:val="center" w:pos="4252"/>
        <w:tab w:val="right" w:pos="8504"/>
      </w:tabs>
    </w:pPr>
  </w:style>
  <w:style w:type="character" w:customStyle="1" w:styleId="FooterChar">
    <w:name w:val="Footer Char"/>
    <w:basedOn w:val="DefaultParagraphFont"/>
    <w:link w:val="Footer"/>
    <w:uiPriority w:val="99"/>
    <w:rsid w:val="00DE4B99"/>
    <w:rPr>
      <w:rFonts w:ascii="Times New Roman" w:eastAsia="Times New Roman" w:hAnsi="Times New Roman" w:cs="Times New Roman"/>
      <w:kern w:val="0"/>
      <w:sz w:val="20"/>
      <w:szCs w:val="20"/>
      <w:lang w:eastAsia="es-ES"/>
      <w14:ligatures w14:val="none"/>
    </w:rPr>
  </w:style>
  <w:style w:type="character" w:styleId="UnresolvedMention">
    <w:name w:val="Unresolved Mention"/>
    <w:basedOn w:val="DefaultParagraphFont"/>
    <w:uiPriority w:val="99"/>
    <w:semiHidden/>
    <w:unhideWhenUsed/>
    <w:rsid w:val="00EE5488"/>
    <w:rPr>
      <w:color w:val="605E5C"/>
      <w:shd w:val="clear" w:color="auto" w:fill="E1DFDD"/>
    </w:rPr>
  </w:style>
  <w:style w:type="character" w:styleId="PlaceholderText">
    <w:name w:val="Placeholder Text"/>
    <w:basedOn w:val="DefaultParagraphFont"/>
    <w:uiPriority w:val="99"/>
    <w:semiHidden/>
    <w:rsid w:val="00B4507F"/>
    <w:rPr>
      <w:color w:val="666666"/>
    </w:rPr>
  </w:style>
  <w:style w:type="paragraph" w:styleId="NoSpacing">
    <w:name w:val="No Spacing"/>
    <w:uiPriority w:val="1"/>
    <w:qFormat/>
    <w:rsid w:val="00B3721F"/>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3056-3D9D-4278-86E3-278C3C19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2718</Words>
  <Characters>15496</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Cesar Hoefling</dc:creator>
  <cp:keywords/>
  <dc:description/>
  <cp:lastModifiedBy>SDI 1020</cp:lastModifiedBy>
  <cp:revision>128</cp:revision>
  <dcterms:created xsi:type="dcterms:W3CDTF">2026-02-01T04:37:00Z</dcterms:created>
  <dcterms:modified xsi:type="dcterms:W3CDTF">2026-02-10T11:42:00Z</dcterms:modified>
</cp:coreProperties>
</file>