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D19BC" w14:textId="77777777" w:rsidR="00BB6A74" w:rsidRPr="00BB6A74" w:rsidRDefault="00BB6A74" w:rsidP="00027C4A">
      <w:pPr>
        <w:pStyle w:val="Heading1"/>
        <w:jc w:val="both"/>
        <w:rPr>
          <w:i/>
          <w:iCs/>
          <w:kern w:val="0"/>
          <w:u w:val="single"/>
        </w:rPr>
      </w:pPr>
      <w:r w:rsidRPr="00BB6A74">
        <w:rPr>
          <w:i/>
          <w:iCs/>
          <w:kern w:val="0"/>
          <w:u w:val="single"/>
        </w:rPr>
        <w:t>Review Article</w:t>
      </w:r>
    </w:p>
    <w:p w14:paraId="260BADFB" w14:textId="2D70E63A" w:rsidR="00E53D40" w:rsidRPr="00027C4A" w:rsidRDefault="00027C4A" w:rsidP="00027C4A">
      <w:pPr>
        <w:pStyle w:val="Heading1"/>
        <w:jc w:val="both"/>
        <w:rPr>
          <w:kern w:val="0"/>
          <w:sz w:val="96"/>
          <w:lang w:val="en-GB"/>
        </w:rPr>
      </w:pPr>
      <w:r w:rsidRPr="00027C4A">
        <w:rPr>
          <w:bCs w:val="0"/>
          <w:sz w:val="32"/>
          <w:szCs w:val="20"/>
          <w:highlight w:val="yellow"/>
          <w:lang w:val="en-IN"/>
        </w:rPr>
        <w:t>Prediction of Gastrointestinal Helminths in Cattle Using Machine Learning and Artificial Intelligence</w:t>
      </w:r>
      <w:r>
        <w:rPr>
          <w:bCs w:val="0"/>
          <w:sz w:val="32"/>
          <w:szCs w:val="20"/>
          <w:highlight w:val="yellow"/>
          <w:lang w:val="en-IN"/>
        </w:rPr>
        <w:t xml:space="preserve"> approach</w:t>
      </w:r>
      <w:r w:rsidRPr="00027C4A">
        <w:rPr>
          <w:bCs w:val="0"/>
          <w:sz w:val="32"/>
          <w:szCs w:val="20"/>
          <w:highlight w:val="yellow"/>
          <w:lang w:val="en-IN"/>
        </w:rPr>
        <w:t>: A Nigerian Perspective</w:t>
      </w:r>
    </w:p>
    <w:p w14:paraId="291E46CF"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Abstract</w:t>
      </w:r>
    </w:p>
    <w:p w14:paraId="098F37C3" w14:textId="2EB9C698"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Gastrointestinal helminths remain a persistent constraint to cattle health and productivity in Nigeria, shaped by diverse agro-ecological zones, seasonal grazing dynamics, and variable access to diagnostics and veterinary services. Conventional surveillance methods, while essential, are often limited by cost, </w:t>
      </w:r>
      <w:proofErr w:type="spellStart"/>
      <w:r w:rsidRPr="00E53D40">
        <w:rPr>
          <w:color w:val="auto"/>
          <w:kern w:val="0"/>
          <w:lang w:val="en-GB" w:eastAsia="en-US"/>
        </w:rPr>
        <w:t>labor</w:t>
      </w:r>
      <w:proofErr w:type="spellEnd"/>
      <w:r w:rsidRPr="00E53D40">
        <w:rPr>
          <w:color w:val="auto"/>
          <w:kern w:val="0"/>
          <w:lang w:val="en-GB" w:eastAsia="en-US"/>
        </w:rPr>
        <w:t>, and delayed feedback, reducing their utility for proactive control and rational anthelmintic use. Machine learning (ML) and artificial intelligence (AI) offer practical opportunities to shift helminth management from reactive treatment to prediction-oriented decision support. This review synthesizes advances in AI-enabled prediction of gastrointestinal helminths in cattle, emphasizing how Nigerian production realities influence data availability, model design, and deployment. We examine the Nigerian epidemiological context, core predictors at animal, herd, and environment levels, and the evolving landscape of diagnostic data streams</w:t>
      </w:r>
      <w:r w:rsidR="008C04E4">
        <w:rPr>
          <w:color w:val="auto"/>
          <w:kern w:val="0"/>
          <w:lang w:val="en-GB" w:eastAsia="en-US"/>
        </w:rPr>
        <w:t>,</w:t>
      </w:r>
      <w:r w:rsidRPr="00E53D40">
        <w:rPr>
          <w:color w:val="auto"/>
          <w:kern w:val="0"/>
          <w:lang w:val="en-GB" w:eastAsia="en-US"/>
        </w:rPr>
        <w:t xml:space="preserve"> including </w:t>
      </w:r>
      <w:proofErr w:type="spellStart"/>
      <w:r w:rsidRPr="00E53D40">
        <w:rPr>
          <w:color w:val="auto"/>
          <w:kern w:val="0"/>
          <w:lang w:val="en-GB" w:eastAsia="en-US"/>
        </w:rPr>
        <w:t>copromicroscopy</w:t>
      </w:r>
      <w:proofErr w:type="spellEnd"/>
      <w:r w:rsidRPr="00E53D40">
        <w:rPr>
          <w:color w:val="auto"/>
          <w:kern w:val="0"/>
          <w:lang w:val="en-GB" w:eastAsia="en-US"/>
        </w:rPr>
        <w:t xml:space="preserve"> workflows, digital egg counting, and molecular identification. We further discuss model development choices relevant to helminth prediction, including label quality, class imbalance, temporal validation, external generalizability, and explainability. Finally, we propose implementation pathways suitable for Nigeria, including mobile-enabled risk scoring, low-resource image-based diagnostics, climate-informed forecasting, and integration with targeted selective treatment strategies to slow anthelmintic resistance. The review concludes by outlining research and capacity priorities required to move from proof-of-concept </w:t>
      </w:r>
      <w:proofErr w:type="spellStart"/>
      <w:r w:rsidRPr="00E53D40">
        <w:rPr>
          <w:color w:val="auto"/>
          <w:kern w:val="0"/>
          <w:lang w:val="en-GB" w:eastAsia="en-US"/>
        </w:rPr>
        <w:t>modeling</w:t>
      </w:r>
      <w:proofErr w:type="spellEnd"/>
      <w:r w:rsidRPr="00E53D40">
        <w:rPr>
          <w:color w:val="auto"/>
          <w:kern w:val="0"/>
          <w:lang w:val="en-GB" w:eastAsia="en-US"/>
        </w:rPr>
        <w:t xml:space="preserve"> toward scalable, trustworthy, and field-ready helminth prediction systems.</w:t>
      </w:r>
    </w:p>
    <w:p w14:paraId="565AEF08"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71692A">
        <w:rPr>
          <w:b/>
          <w:bCs/>
          <w:color w:val="auto"/>
          <w:kern w:val="0"/>
          <w:lang w:val="en-GB" w:eastAsia="en-US"/>
        </w:rPr>
        <w:t>Keywords:</w:t>
      </w:r>
      <w:r w:rsidRPr="00E53D40">
        <w:rPr>
          <w:color w:val="auto"/>
          <w:kern w:val="0"/>
          <w:lang w:val="en-GB" w:eastAsia="en-US"/>
        </w:rPr>
        <w:t xml:space="preserve"> cattle; gastrointestinal helminths; faecal egg count; predictive </w:t>
      </w:r>
      <w:proofErr w:type="spellStart"/>
      <w:r w:rsidRPr="00E53D40">
        <w:rPr>
          <w:color w:val="auto"/>
          <w:kern w:val="0"/>
          <w:lang w:val="en-GB" w:eastAsia="en-US"/>
        </w:rPr>
        <w:t>modeling</w:t>
      </w:r>
      <w:proofErr w:type="spellEnd"/>
      <w:r w:rsidRPr="00E53D40">
        <w:rPr>
          <w:color w:val="auto"/>
          <w:kern w:val="0"/>
          <w:lang w:val="en-GB" w:eastAsia="en-US"/>
        </w:rPr>
        <w:t>; machine learning; artificial intelligence; Nigeria; digital parasitology; climate-driven risk</w:t>
      </w:r>
    </w:p>
    <w:p w14:paraId="7990F2C6" w14:textId="77777777" w:rsidR="00E53D40" w:rsidRPr="00E53D40" w:rsidRDefault="00E53D40" w:rsidP="00027C4A">
      <w:pPr>
        <w:spacing w:after="0" w:line="240" w:lineRule="auto"/>
        <w:ind w:left="0" w:right="0" w:firstLine="0"/>
        <w:rPr>
          <w:color w:val="auto"/>
          <w:kern w:val="0"/>
          <w:lang w:val="en-GB" w:eastAsia="en-US"/>
        </w:rPr>
      </w:pPr>
    </w:p>
    <w:p w14:paraId="48BE9336"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1. Introduction</w:t>
      </w:r>
    </w:p>
    <w:p w14:paraId="52224D11" w14:textId="28048193" w:rsidR="00E53D40" w:rsidRPr="00E53D40" w:rsidRDefault="000B1C8C" w:rsidP="00027C4A">
      <w:pPr>
        <w:spacing w:before="100" w:beforeAutospacing="1" w:after="100" w:afterAutospacing="1" w:line="240" w:lineRule="auto"/>
        <w:ind w:left="0" w:right="0" w:firstLine="0"/>
        <w:rPr>
          <w:color w:val="auto"/>
          <w:kern w:val="0"/>
          <w:lang w:val="en-GB" w:eastAsia="en-US"/>
        </w:rPr>
      </w:pPr>
      <w:r w:rsidRPr="0067641D">
        <w:rPr>
          <w:rFonts w:ascii="Cambria" w:hAnsi="Cambria"/>
          <w:color w:val="1B1B1B"/>
          <w:sz w:val="22"/>
          <w:szCs w:val="28"/>
          <w:highlight w:val="yellow"/>
          <w:shd w:val="clear" w:color="auto" w:fill="FFFFFF"/>
        </w:rPr>
        <w:t>Parasitic infections pose significant challenges to livestock health and agricultural productivity worldwide, often manifesting through subclinical symptoms that result in reduced growth rates, reduced milk production and carcass quality, and reduced fertility</w:t>
      </w:r>
      <w:r w:rsidRPr="0067641D">
        <w:rPr>
          <w:color w:val="auto"/>
          <w:kern w:val="0"/>
          <w:sz w:val="20"/>
          <w:highlight w:val="yellow"/>
          <w:lang w:val="en-GB" w:eastAsia="en-US"/>
        </w:rPr>
        <w:t xml:space="preserve">. </w:t>
      </w:r>
      <w:r w:rsidRPr="0067641D">
        <w:rPr>
          <w:rFonts w:ascii="Cambria" w:hAnsi="Cambria"/>
          <w:color w:val="1B1B1B"/>
          <w:sz w:val="22"/>
          <w:szCs w:val="28"/>
          <w:highlight w:val="yellow"/>
          <w:shd w:val="clear" w:color="auto" w:fill="FFFFFF"/>
        </w:rPr>
        <w:t>The resulting delays in parasite identification and treatment lead to substantial economic losses for farmers through decreased milk production, reduced meat yield, and</w:t>
      </w:r>
      <w:r w:rsidR="008C04E4">
        <w:rPr>
          <w:rFonts w:ascii="Cambria" w:hAnsi="Cambria"/>
          <w:color w:val="1B1B1B"/>
          <w:sz w:val="22"/>
          <w:szCs w:val="28"/>
          <w:highlight w:val="yellow"/>
          <w:shd w:val="clear" w:color="auto" w:fill="FFFFFF"/>
        </w:rPr>
        <w:t>,</w:t>
      </w:r>
      <w:r w:rsidRPr="0067641D">
        <w:rPr>
          <w:rFonts w:ascii="Cambria" w:hAnsi="Cambria"/>
          <w:color w:val="1B1B1B"/>
          <w:sz w:val="22"/>
          <w:szCs w:val="28"/>
          <w:highlight w:val="yellow"/>
          <w:shd w:val="clear" w:color="auto" w:fill="FFFFFF"/>
        </w:rPr>
        <w:t xml:space="preserve"> in severe cases, livestock mortality. This regional crisis necessitates an innovative approach to parasitic diagnosis that can overcome both geographical and resource constraints</w:t>
      </w:r>
      <w:r>
        <w:rPr>
          <w:rFonts w:ascii="Cambria" w:hAnsi="Cambria"/>
          <w:color w:val="1B1B1B"/>
          <w:sz w:val="22"/>
          <w:szCs w:val="28"/>
          <w:highlight w:val="yellow"/>
          <w:shd w:val="clear" w:color="auto" w:fill="FFFFFF"/>
        </w:rPr>
        <w:t xml:space="preserve"> (</w:t>
      </w:r>
      <w:proofErr w:type="spellStart"/>
      <w:r w:rsidRPr="0067641D">
        <w:rPr>
          <w:rFonts w:ascii="Consolas" w:hAnsi="Consolas"/>
          <w:color w:val="1B1B1B"/>
          <w:kern w:val="0"/>
          <w:sz w:val="20"/>
          <w:highlight w:val="yellow"/>
          <w:lang w:val="en-US" w:eastAsia="en-US"/>
        </w:rPr>
        <w:t>Chamuah</w:t>
      </w:r>
      <w:proofErr w:type="spellEnd"/>
      <w:r w:rsidRPr="0067641D">
        <w:rPr>
          <w:rFonts w:ascii="Consolas" w:hAnsi="Consolas"/>
          <w:color w:val="1B1B1B"/>
          <w:kern w:val="0"/>
          <w:sz w:val="20"/>
          <w:highlight w:val="yellow"/>
          <w:lang w:val="en-US" w:eastAsia="en-US"/>
        </w:rPr>
        <w:t xml:space="preserve"> et al., 2025; </w:t>
      </w:r>
      <w:r w:rsidRPr="00CF3E16">
        <w:rPr>
          <w:rFonts w:ascii="inherit" w:hAnsi="inherit" w:cs="Helvetica"/>
          <w:color w:val="222222"/>
          <w:kern w:val="0"/>
          <w:sz w:val="18"/>
          <w:szCs w:val="18"/>
          <w:highlight w:val="yellow"/>
          <w:lang w:val="en-US" w:eastAsia="en-US"/>
        </w:rPr>
        <w:t>Ahmed</w:t>
      </w:r>
      <w:r>
        <w:rPr>
          <w:rFonts w:ascii="inherit" w:hAnsi="inherit" w:cs="Helvetica"/>
          <w:color w:val="222222"/>
          <w:kern w:val="0"/>
          <w:sz w:val="18"/>
          <w:szCs w:val="18"/>
          <w:highlight w:val="yellow"/>
          <w:lang w:val="en-US" w:eastAsia="en-US"/>
        </w:rPr>
        <w:t xml:space="preserve"> et a</w:t>
      </w:r>
      <w:r w:rsidR="00D50FE1">
        <w:rPr>
          <w:rFonts w:ascii="inherit" w:hAnsi="inherit" w:cs="Helvetica"/>
          <w:color w:val="222222"/>
          <w:kern w:val="0"/>
          <w:sz w:val="18"/>
          <w:szCs w:val="18"/>
          <w:highlight w:val="yellow"/>
          <w:lang w:val="en-US" w:eastAsia="en-US"/>
        </w:rPr>
        <w:t>l.</w:t>
      </w:r>
      <w:r>
        <w:rPr>
          <w:rFonts w:ascii="inherit" w:hAnsi="inherit" w:cs="Helvetica"/>
          <w:color w:val="222222"/>
          <w:kern w:val="0"/>
          <w:sz w:val="18"/>
          <w:szCs w:val="18"/>
          <w:highlight w:val="yellow"/>
          <w:lang w:val="en-US" w:eastAsia="en-US"/>
        </w:rPr>
        <w:t>, 2025</w:t>
      </w:r>
      <w:r>
        <w:rPr>
          <w:rFonts w:ascii="Cambria" w:hAnsi="Cambria"/>
          <w:color w:val="1B1B1B"/>
          <w:sz w:val="22"/>
          <w:szCs w:val="28"/>
          <w:highlight w:val="yellow"/>
          <w:shd w:val="clear" w:color="auto" w:fill="FFFFFF"/>
        </w:rPr>
        <w:t>)</w:t>
      </w:r>
      <w:r w:rsidRPr="0067641D">
        <w:rPr>
          <w:rFonts w:ascii="Cambria" w:hAnsi="Cambria"/>
          <w:color w:val="1B1B1B"/>
          <w:sz w:val="22"/>
          <w:szCs w:val="28"/>
          <w:highlight w:val="yellow"/>
          <w:shd w:val="clear" w:color="auto" w:fill="FFFFFF"/>
        </w:rPr>
        <w:t>.</w:t>
      </w:r>
      <w:r w:rsidRPr="0067641D">
        <w:rPr>
          <w:color w:val="auto"/>
          <w:kern w:val="0"/>
          <w:sz w:val="20"/>
          <w:lang w:val="en-GB" w:eastAsia="en-US"/>
        </w:rPr>
        <w:t xml:space="preserve"> </w:t>
      </w:r>
      <w:r w:rsidR="00E53D40" w:rsidRPr="00E53D40">
        <w:rPr>
          <w:color w:val="auto"/>
          <w:kern w:val="0"/>
          <w:lang w:val="en-GB" w:eastAsia="en-US"/>
        </w:rPr>
        <w:t xml:space="preserve">Gastrointestinal helminth infections in cattle are sustained by a combination of parasite biology, environmental suitability for free-living stages, and management practices that shape exposure. In Nigeria, these drivers vary markedly across the Sahel, Sudan and Guinea savannahs, and humid forest-derived zones, creating predictable seasonal patterns in pasture contamination and infection pressure. Abattoir- and field-based studies consistently indicate </w:t>
      </w:r>
      <w:r w:rsidR="00E53D40" w:rsidRPr="00E53D40">
        <w:rPr>
          <w:color w:val="auto"/>
          <w:kern w:val="0"/>
          <w:lang w:val="en-GB" w:eastAsia="en-US"/>
        </w:rPr>
        <w:lastRenderedPageBreak/>
        <w:t>that helminth infections are common among cattle entering markets and slaughter channels, reflecting both on-farm transmission and the aggregation of animals from multiple origins through trade networks (</w:t>
      </w:r>
      <w:proofErr w:type="spellStart"/>
      <w:r w:rsidR="00E53D40" w:rsidRPr="00E53D40">
        <w:rPr>
          <w:color w:val="auto"/>
          <w:kern w:val="0"/>
          <w:lang w:val="en-GB" w:eastAsia="en-US"/>
        </w:rPr>
        <w:t>Adedipe</w:t>
      </w:r>
      <w:proofErr w:type="spellEnd"/>
      <w:r w:rsidR="00E53D40" w:rsidRPr="00E53D40">
        <w:rPr>
          <w:color w:val="auto"/>
          <w:kern w:val="0"/>
          <w:lang w:val="en-GB" w:eastAsia="en-US"/>
        </w:rPr>
        <w:t xml:space="preserve"> et al., 2014; Obi et al., 2020). </w:t>
      </w:r>
      <w:r w:rsidR="00D50FE1" w:rsidRPr="0067641D">
        <w:rPr>
          <w:color w:val="222222"/>
          <w:szCs w:val="27"/>
          <w:highlight w:val="yellow"/>
          <w:shd w:val="clear" w:color="auto" w:fill="FFFFFF"/>
        </w:rPr>
        <w:t>Diagnostics play an important role in reaching this objective; however, the success of a parasite control program is also linked to additional factors, such as parasitological history and husbandry practices of the farm. Monitoring epidemiology and weather conditions is also important, and when such data are not available at the farm level, regional data could be an option (</w:t>
      </w:r>
      <w:r w:rsidR="00D50FE1" w:rsidRPr="0067641D">
        <w:rPr>
          <w:rFonts w:ascii="Helvetica" w:hAnsi="Helvetica" w:cs="Helvetica"/>
          <w:color w:val="222222"/>
          <w:sz w:val="22"/>
          <w:highlight w:val="yellow"/>
        </w:rPr>
        <w:t>Sabatini et al., 2023</w:t>
      </w:r>
      <w:r w:rsidR="00D50FE1" w:rsidRPr="0067641D">
        <w:rPr>
          <w:color w:val="222222"/>
          <w:szCs w:val="27"/>
          <w:highlight w:val="yellow"/>
          <w:shd w:val="clear" w:color="auto" w:fill="FFFFFF"/>
        </w:rPr>
        <w:t>).</w:t>
      </w:r>
    </w:p>
    <w:p w14:paraId="08F365D6"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The practical consequences of gastrointestinal helminths extend beyond visible clinical disease. Subclinical infection can reduce feed conversion efficiency, weight gain, and reproductive performance, and can interact with nutrition and concurrent infections in ways that are difficult to disentangle under field conditions. These productivity impacts are particularly important for Nigeria, where cattle contribute to livelihoods, food security, and regional trade, while many production systems operate with narrow margins and limited access to timely diagnostic feedback. A central challenge is that helminth transmission is dynamic: infection pressure changes with rainfall, temperature, humidity, grazing intensity, pasture management, and movement patterns. As a result, “one-size-fits-all” treatment calendars can be inefficient and may unintentionally accelerate drug resistance when they promote frequent whole-herd dosing without adequate refugia. Targeted selective treatment (TST) and refugia-based control principles have been advanced to balance productivity and sustainability by treating animals most likely to benefit while leaving a proportion of parasites unexposed to drugs (Kenyon et al., 2009). </w:t>
      </w:r>
    </w:p>
    <w:p w14:paraId="7C96825A"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The accelerating problem of anthelmintic resistance increases the value of prediction. Resistance in cattle nematodes is recognized as a global issue, with practical implications for how treatments are timed, rotated, and evaluated (Sutherland &amp; </w:t>
      </w:r>
      <w:proofErr w:type="spellStart"/>
      <w:r w:rsidRPr="00E53D40">
        <w:rPr>
          <w:color w:val="auto"/>
          <w:kern w:val="0"/>
          <w:lang w:val="en-GB" w:eastAsia="en-US"/>
        </w:rPr>
        <w:t>Leathwick</w:t>
      </w:r>
      <w:proofErr w:type="spellEnd"/>
      <w:r w:rsidRPr="00E53D40">
        <w:rPr>
          <w:color w:val="auto"/>
          <w:kern w:val="0"/>
          <w:lang w:val="en-GB" w:eastAsia="en-US"/>
        </w:rPr>
        <w:t>, 2011). In this setting, prediction is not merely an academic exercise; it becomes a mechanism to prioritize scarce interventions, support TST decisions, and strengthen surveillance by forecasting when and where infection pressure is likely to rise.</w:t>
      </w:r>
    </w:p>
    <w:p w14:paraId="3513BF11"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Machine learning and AI are well suited to helminth prediction because helminth outcomes are influenced by interacting variables across biological scales: animal-level susceptibility, herd-level management, and landscape-level climate and ecology. ML methods can learn patterns from heterogeneous data, including structured farm records, climate data, and images from microscopy, enabling risk scoring, infection burden estimation, and decision support. In addition, AI-enabled diagnostics are transforming the feasibility of generating labels at scale, for example by automating egg detection or enabling remote reading workflows. Together, predictive </w:t>
      </w:r>
      <w:proofErr w:type="spellStart"/>
      <w:r w:rsidRPr="00E53D40">
        <w:rPr>
          <w:color w:val="auto"/>
          <w:kern w:val="0"/>
          <w:lang w:val="en-GB" w:eastAsia="en-US"/>
        </w:rPr>
        <w:t>modeling</w:t>
      </w:r>
      <w:proofErr w:type="spellEnd"/>
      <w:r w:rsidRPr="00E53D40">
        <w:rPr>
          <w:color w:val="auto"/>
          <w:kern w:val="0"/>
          <w:lang w:val="en-GB" w:eastAsia="en-US"/>
        </w:rPr>
        <w:t xml:space="preserve"> and AI diagnostics can create a feedback loop in which better data improves prediction and better prediction improves the efficiency of data collection.</w:t>
      </w:r>
    </w:p>
    <w:p w14:paraId="5195B921" w14:textId="77777777" w:rsidR="00E53D40" w:rsidRPr="00E53D40" w:rsidRDefault="00E53D40" w:rsidP="00027C4A">
      <w:pPr>
        <w:spacing w:before="100" w:beforeAutospacing="1" w:after="100" w:afterAutospacing="1" w:line="240" w:lineRule="auto"/>
        <w:ind w:left="0" w:right="0" w:firstLine="0"/>
        <w:outlineLvl w:val="2"/>
        <w:rPr>
          <w:b/>
          <w:bCs/>
          <w:color w:val="auto"/>
          <w:kern w:val="0"/>
          <w:sz w:val="27"/>
          <w:szCs w:val="27"/>
          <w:lang w:val="en-GB" w:eastAsia="en-US"/>
        </w:rPr>
      </w:pPr>
      <w:r w:rsidRPr="00E53D40">
        <w:rPr>
          <w:b/>
          <w:bCs/>
          <w:color w:val="auto"/>
          <w:kern w:val="0"/>
          <w:sz w:val="27"/>
          <w:szCs w:val="27"/>
          <w:lang w:val="en-GB" w:eastAsia="en-US"/>
        </w:rPr>
        <w:t>1.1. Scope and objectives</w:t>
      </w:r>
    </w:p>
    <w:p w14:paraId="77EC0B8A"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This review focuses on ML/AI approaches for predicting gastrointestinal helminth infection and infection pressure in cattle, with emphasis on Nigeria. The objectives are to (</w:t>
      </w:r>
      <w:proofErr w:type="spellStart"/>
      <w:r w:rsidRPr="00E53D40">
        <w:rPr>
          <w:color w:val="auto"/>
          <w:kern w:val="0"/>
          <w:lang w:val="en-GB" w:eastAsia="en-US"/>
        </w:rPr>
        <w:t>i</w:t>
      </w:r>
      <w:proofErr w:type="spellEnd"/>
      <w:r w:rsidRPr="00E53D40">
        <w:rPr>
          <w:color w:val="auto"/>
          <w:kern w:val="0"/>
          <w:lang w:val="en-GB" w:eastAsia="en-US"/>
        </w:rPr>
        <w:t xml:space="preserve">) summarize Nigeria-relevant epidemiology and why prediction is operationally valuable; (ii) describe data sources and predictors feasible in Nigerian settings; (iii) synthesize ML/AI approaches used for helminth-related prediction, including image-based and climate-driven </w:t>
      </w:r>
      <w:proofErr w:type="spellStart"/>
      <w:r w:rsidRPr="00E53D40">
        <w:rPr>
          <w:color w:val="auto"/>
          <w:kern w:val="0"/>
          <w:lang w:val="en-GB" w:eastAsia="en-US"/>
        </w:rPr>
        <w:t>modeling</w:t>
      </w:r>
      <w:proofErr w:type="spellEnd"/>
      <w:r w:rsidRPr="00E53D40">
        <w:rPr>
          <w:color w:val="auto"/>
          <w:kern w:val="0"/>
          <w:lang w:val="en-GB" w:eastAsia="en-US"/>
        </w:rPr>
        <w:t>; (iv) discuss methodological considerations for building trustworthy models under real-world constraints; and (v) propose deployment and research priorities for scalable, field-ready systems.</w:t>
      </w:r>
    </w:p>
    <w:p w14:paraId="3583A432" w14:textId="77777777" w:rsidR="00E53D40" w:rsidRPr="00E53D40" w:rsidRDefault="00E53D40" w:rsidP="00027C4A">
      <w:pPr>
        <w:spacing w:after="0" w:line="240" w:lineRule="auto"/>
        <w:ind w:left="0" w:right="0" w:firstLine="0"/>
        <w:rPr>
          <w:color w:val="auto"/>
          <w:kern w:val="0"/>
          <w:lang w:val="en-GB" w:eastAsia="en-US"/>
        </w:rPr>
      </w:pPr>
    </w:p>
    <w:p w14:paraId="163EDDC5"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2. Methods for literature selection</w:t>
      </w:r>
    </w:p>
    <w:p w14:paraId="04CE8C9C"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A structured literature search was conducted across Web of Science, Scopus, PubMed, CAB Abstracts, and Google Scholar for publications between January 2000 and December 2025. Searches combined terms for host, pathogen group, geography, and analytics. Representative search strings included: (“cattle” OR bovine) AND (“gastrointestinal nematode*” OR helminth* OR “faecal egg count” OR “</w:t>
      </w:r>
      <w:proofErr w:type="spellStart"/>
      <w:r w:rsidRPr="00E53D40">
        <w:rPr>
          <w:color w:val="auto"/>
          <w:kern w:val="0"/>
          <w:lang w:val="en-GB" w:eastAsia="en-US"/>
        </w:rPr>
        <w:t>fecal</w:t>
      </w:r>
      <w:proofErr w:type="spellEnd"/>
      <w:r w:rsidRPr="00E53D40">
        <w:rPr>
          <w:color w:val="auto"/>
          <w:kern w:val="0"/>
          <w:lang w:val="en-GB" w:eastAsia="en-US"/>
        </w:rPr>
        <w:t xml:space="preserve"> egg count”) AND (predict* OR forecast* OR “risk model” OR “spatiotemporal”) AND (“machine learning” OR “artificial intelligence” OR “deep learning” OR “computer vision”) and, for contextual epidemiology, (“Nigeria” OR “West Africa”) AND (cattle) AND (helminth* OR nematode* OR trematode*). Inclusion criteria prioritized peer-reviewed journal articles reporting (</w:t>
      </w:r>
      <w:proofErr w:type="spellStart"/>
      <w:r w:rsidRPr="00E53D40">
        <w:rPr>
          <w:color w:val="auto"/>
          <w:kern w:val="0"/>
          <w:lang w:val="en-GB" w:eastAsia="en-US"/>
        </w:rPr>
        <w:t>i</w:t>
      </w:r>
      <w:proofErr w:type="spellEnd"/>
      <w:r w:rsidRPr="00E53D40">
        <w:rPr>
          <w:color w:val="auto"/>
          <w:kern w:val="0"/>
          <w:lang w:val="en-GB" w:eastAsia="en-US"/>
        </w:rPr>
        <w:t xml:space="preserve">) helminth epidemiology or diagnostics in cattle relevant to Nigeria or comparable tropical systems, (ii) computational prediction of helminth outcomes or infection pressure, (iii) AI/ML methods applicable to veterinary epidemiology or diagnostic automation, and (iv) validated methodological resources for </w:t>
      </w:r>
      <w:proofErr w:type="spellStart"/>
      <w:r w:rsidRPr="00E53D40">
        <w:rPr>
          <w:color w:val="auto"/>
          <w:kern w:val="0"/>
          <w:lang w:val="en-GB" w:eastAsia="en-US"/>
        </w:rPr>
        <w:t>fecal</w:t>
      </w:r>
      <w:proofErr w:type="spellEnd"/>
      <w:r w:rsidRPr="00E53D40">
        <w:rPr>
          <w:color w:val="auto"/>
          <w:kern w:val="0"/>
          <w:lang w:val="en-GB" w:eastAsia="en-US"/>
        </w:rPr>
        <w:t xml:space="preserve"> egg count workflows and related sampling strategies. Exclusion criteria removed non-peer-reviewed items when a peer-reviewed counterpart was available, articles lacking sufficient methodological detail, and studies focused solely on non-helminth gastrointestinal pathogens unless they contributed directly to transferable ML methodology.</w:t>
      </w:r>
    </w:p>
    <w:p w14:paraId="02F4FF70" w14:textId="77777777" w:rsidR="00E53D40" w:rsidRPr="00E53D40" w:rsidRDefault="00E53D40" w:rsidP="00027C4A">
      <w:pPr>
        <w:spacing w:after="0" w:line="240" w:lineRule="auto"/>
        <w:ind w:left="0" w:right="0" w:firstLine="0"/>
        <w:rPr>
          <w:color w:val="auto"/>
          <w:kern w:val="0"/>
          <w:lang w:val="en-GB" w:eastAsia="en-US"/>
        </w:rPr>
      </w:pPr>
    </w:p>
    <w:p w14:paraId="0BF81919"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3. Nigerian context: transmission ecology, production systems, and data realities</w:t>
      </w:r>
    </w:p>
    <w:p w14:paraId="47E78A68"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Nigeria’s gastrointestinal helminth challenge in cattle is best understood as an interaction between parasite ecology and highly diverse production systems operating across sharp agro-ecological gradients. The country spans zones from semi-arid northern regions with pronounced dry seasons to humid southern areas with longer rainy periods. These climatic contrasts shape the survival and dispersal of free-living helminth stages on pasture, while local grazing patterns determine how quickly contamination accumulates and how frequently cattle are exposed. In practical terms, infection pressure is rarely constant. It fluctuates within and between years, often rising when moisture supports larval development and persistence and declining when heat and dryness shorten survival on herbage. For prediction systems, this means that “place” and “season” are not just background descriptors but primary determinants of risk, especially when combined with management patterns that decide whether cattle are on communal pasture, crop residues, roadside grazing, or more controlled paddocks.</w:t>
      </w:r>
    </w:p>
    <w:p w14:paraId="18B59CB4"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defining feature of many Nigerian cattle systems is extensive grazing with varying degrees of mobility. Pastoral and agro-pastoral herds may move in response to forage and water availability, sometimes following seasonal routes that change the ecological context of exposure across months. Such movement can alter both the timing and composition of helminth exposure, because animals may carry infections acquired in one zone into another, while also encountering parasite populations already established locally. These dynamics complicate inference about where infection was “picked up” and can weaken models that assume stable, farm-bound exposure. At the same time, movement patterns can be </w:t>
      </w:r>
      <w:r w:rsidRPr="00E53D40">
        <w:rPr>
          <w:color w:val="auto"/>
          <w:kern w:val="0"/>
          <w:lang w:val="en-GB" w:eastAsia="en-US"/>
        </w:rPr>
        <w:lastRenderedPageBreak/>
        <w:t>informative predictors when captured even crudely—for example, whether herds are sedentary versus mobile, the typical distance moved during dry months, or whether cattle are frequently mixed at shared watering points and grazing corridors</w:t>
      </w:r>
      <w:r w:rsidR="0071692A" w:rsidRPr="0071692A">
        <w:rPr>
          <w:color w:val="auto"/>
          <w:kern w:val="0"/>
          <w:lang w:val="en-GB" w:eastAsia="en-US"/>
        </w:rPr>
        <w:t xml:space="preserve"> (</w:t>
      </w:r>
      <w:r w:rsidR="0071692A" w:rsidRPr="005B1A15">
        <w:rPr>
          <w:lang w:val="en-GB"/>
        </w:rPr>
        <w:t>Ola-</w:t>
      </w:r>
      <w:proofErr w:type="spellStart"/>
      <w:r w:rsidR="0071692A" w:rsidRPr="005B1A15">
        <w:rPr>
          <w:lang w:val="en-GB"/>
        </w:rPr>
        <w:t>Fadunsin</w:t>
      </w:r>
      <w:proofErr w:type="spellEnd"/>
      <w:r w:rsidR="0071692A" w:rsidRPr="0071692A">
        <w:rPr>
          <w:lang w:val="en-GB"/>
        </w:rPr>
        <w:t xml:space="preserve"> et al., </w:t>
      </w:r>
      <w:r w:rsidR="0071692A" w:rsidRPr="005B1A15">
        <w:rPr>
          <w:lang w:val="en-GB"/>
        </w:rPr>
        <w:t>2020</w:t>
      </w:r>
      <w:r w:rsidR="0071692A" w:rsidRPr="0071692A">
        <w:rPr>
          <w:lang w:val="en-GB"/>
        </w:rPr>
        <w:t xml:space="preserve">; </w:t>
      </w:r>
      <w:proofErr w:type="spellStart"/>
      <w:r w:rsidR="0071692A" w:rsidRPr="005B1A15">
        <w:rPr>
          <w:lang w:val="en-GB"/>
        </w:rPr>
        <w:t>Karshima</w:t>
      </w:r>
      <w:proofErr w:type="spellEnd"/>
      <w:r w:rsidR="0071692A" w:rsidRPr="005B1A15">
        <w:rPr>
          <w:lang w:val="en-GB"/>
        </w:rPr>
        <w:t>, 2019</w:t>
      </w:r>
      <w:r w:rsidR="0071692A" w:rsidRPr="0071692A">
        <w:rPr>
          <w:color w:val="auto"/>
          <w:kern w:val="0"/>
          <w:lang w:val="en-GB" w:eastAsia="en-US"/>
        </w:rPr>
        <w:t>)</w:t>
      </w:r>
      <w:r w:rsidRPr="00E53D40">
        <w:rPr>
          <w:color w:val="auto"/>
          <w:kern w:val="0"/>
          <w:lang w:val="en-GB" w:eastAsia="en-US"/>
        </w:rPr>
        <w:t>.</w:t>
      </w:r>
    </w:p>
    <w:p w14:paraId="0A496349" w14:textId="79BC5A64"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Market and slaughter channels are particularly important in Nigeria because they aggregate cattle from multiple origins into high-contact nodes. Abattoir-based and trade-cattle investigations therefore</w:t>
      </w:r>
      <w:r w:rsidR="008C04E4">
        <w:rPr>
          <w:color w:val="auto"/>
          <w:kern w:val="0"/>
          <w:lang w:val="en-GB" w:eastAsia="en-US"/>
        </w:rPr>
        <w:t>,</w:t>
      </w:r>
      <w:r w:rsidRPr="00E53D40">
        <w:rPr>
          <w:color w:val="auto"/>
          <w:kern w:val="0"/>
          <w:lang w:val="en-GB" w:eastAsia="en-US"/>
        </w:rPr>
        <w:t xml:space="preserve"> provide a window into the background helminth burden present in animals circulating through the value chain. Evidence from slaughtered cattle in Ibadan, South-Western Nigeria</w:t>
      </w:r>
      <w:r w:rsidR="008C04E4">
        <w:rPr>
          <w:color w:val="auto"/>
          <w:kern w:val="0"/>
          <w:lang w:val="en-GB" w:eastAsia="en-US"/>
        </w:rPr>
        <w:t>,</w:t>
      </w:r>
      <w:r w:rsidRPr="00E53D40">
        <w:rPr>
          <w:color w:val="auto"/>
          <w:kern w:val="0"/>
          <w:lang w:val="en-GB" w:eastAsia="en-US"/>
        </w:rPr>
        <w:t xml:space="preserve"> highlights that gastrointestinal helminths are detectable in animals presented for slaughter, reinforcing the reality that infected cattle frequently enter market pipelines and urban consumption </w:t>
      </w:r>
      <w:proofErr w:type="spellStart"/>
      <w:r w:rsidRPr="00E53D40">
        <w:rPr>
          <w:color w:val="auto"/>
          <w:kern w:val="0"/>
          <w:lang w:val="en-GB" w:eastAsia="en-US"/>
        </w:rPr>
        <w:t>centers</w:t>
      </w:r>
      <w:proofErr w:type="spellEnd"/>
      <w:r w:rsidRPr="00E53D40">
        <w:rPr>
          <w:color w:val="auto"/>
          <w:kern w:val="0"/>
          <w:lang w:val="en-GB" w:eastAsia="en-US"/>
        </w:rPr>
        <w:t xml:space="preserve"> (</w:t>
      </w:r>
      <w:proofErr w:type="spellStart"/>
      <w:r w:rsidRPr="00E53D40">
        <w:rPr>
          <w:color w:val="auto"/>
          <w:kern w:val="0"/>
          <w:lang w:val="en-GB" w:eastAsia="en-US"/>
        </w:rPr>
        <w:t>Adedipe</w:t>
      </w:r>
      <w:proofErr w:type="spellEnd"/>
      <w:r w:rsidRPr="00E53D40">
        <w:rPr>
          <w:color w:val="auto"/>
          <w:kern w:val="0"/>
          <w:lang w:val="en-GB" w:eastAsia="en-US"/>
        </w:rPr>
        <w:t xml:space="preserve"> et al., 2014). Likewise, work on trade cattle in </w:t>
      </w:r>
      <w:proofErr w:type="spellStart"/>
      <w:r w:rsidRPr="00E53D40">
        <w:rPr>
          <w:color w:val="auto"/>
          <w:kern w:val="0"/>
          <w:lang w:val="en-GB" w:eastAsia="en-US"/>
        </w:rPr>
        <w:t>Aguata</w:t>
      </w:r>
      <w:proofErr w:type="spellEnd"/>
      <w:r w:rsidRPr="00E53D40">
        <w:rPr>
          <w:color w:val="auto"/>
          <w:kern w:val="0"/>
          <w:lang w:val="en-GB" w:eastAsia="en-US"/>
        </w:rPr>
        <w:t xml:space="preserve"> and </w:t>
      </w:r>
      <w:proofErr w:type="spellStart"/>
      <w:r w:rsidRPr="00E53D40">
        <w:rPr>
          <w:color w:val="auto"/>
          <w:kern w:val="0"/>
          <w:lang w:val="en-GB" w:eastAsia="en-US"/>
        </w:rPr>
        <w:t>Orumba</w:t>
      </w:r>
      <w:proofErr w:type="spellEnd"/>
      <w:r w:rsidRPr="00E53D40">
        <w:rPr>
          <w:color w:val="auto"/>
          <w:kern w:val="0"/>
          <w:lang w:val="en-GB" w:eastAsia="en-US"/>
        </w:rPr>
        <w:t xml:space="preserve"> South in Southeastern Nigeria reported substantial prevalence and a diversity of helminth eggs, emphasizing that marketed animals can carry mixed parasite communities and that infection is intertwined with body condition (Obi et al., 2020). Taken together, these findings support a Nigerian prediction perspective that looks beyond “farm-only” models: meaningful forecasting may require incorporating market flows and animal sourcing patterns, </w:t>
      </w:r>
      <w:r w:rsidRPr="008C04E4">
        <w:rPr>
          <w:color w:val="auto"/>
          <w:kern w:val="0"/>
          <w:highlight w:val="yellow"/>
          <w:lang w:val="en-GB" w:eastAsia="en-US"/>
        </w:rPr>
        <w:t>because trade</w:t>
      </w:r>
      <w:r w:rsidR="008C04E4" w:rsidRPr="008C04E4">
        <w:rPr>
          <w:color w:val="auto"/>
          <w:kern w:val="0"/>
          <w:highlight w:val="yellow"/>
          <w:lang w:val="en-GB" w:eastAsia="en-US"/>
        </w:rPr>
        <w:t>d</w:t>
      </w:r>
      <w:r w:rsidRPr="008C04E4">
        <w:rPr>
          <w:color w:val="auto"/>
          <w:kern w:val="0"/>
          <w:highlight w:val="yellow"/>
          <w:lang w:val="en-GB" w:eastAsia="en-US"/>
        </w:rPr>
        <w:t xml:space="preserve"> cattle represent</w:t>
      </w:r>
      <w:r w:rsidRPr="00E53D40">
        <w:rPr>
          <w:color w:val="auto"/>
          <w:kern w:val="0"/>
          <w:lang w:val="en-GB" w:eastAsia="en-US"/>
        </w:rPr>
        <w:t xml:space="preserve"> both surveillance opportunities and transmission links.</w:t>
      </w:r>
    </w:p>
    <w:p w14:paraId="3C729C58" w14:textId="77777777" w:rsidR="00E53D40" w:rsidRPr="00E53D40" w:rsidRDefault="00E53D40" w:rsidP="00027C4A">
      <w:pPr>
        <w:spacing w:after="0" w:line="240" w:lineRule="auto"/>
        <w:rPr>
          <w:color w:val="auto"/>
          <w:kern w:val="0"/>
          <w:lang w:val="en-GB" w:eastAsia="en-US"/>
        </w:rPr>
      </w:pPr>
      <w:r w:rsidRPr="00E53D40">
        <w:rPr>
          <w:color w:val="auto"/>
          <w:kern w:val="0"/>
          <w:lang w:val="en-GB" w:eastAsia="en-US"/>
        </w:rPr>
        <w:t>Production-system heterogeneity also shapes how helminths translate into economic loss and how feasible it is to measure outcomes. In extensive systems, animals often face nutritional stress during dry seasons, and that stress can magnify the productivity effects of parasitism even when overt clinical signs are limited. Conversely, in peri-urban fattening or semi-intensive operations, feed supplementation can partially mask production losses while still allowing pasture- or pen-associated transmission. This variability matters because labels such as “high burden” are not purely biological thresholds; they are context-dependent signals of when intervention is likely to improve performance. Prediction models intended for Nigeria therefore benefit from being explicitly tied to decision contexts: a model that forecasts high probability of elevated egg shedding may be most useful for targeting testing or treatment, while a model that predicts likely production impacts may be more relevant for fattening operations focused on growth rates</w:t>
      </w:r>
      <w:r w:rsidR="0071692A" w:rsidRPr="0071692A">
        <w:rPr>
          <w:color w:val="auto"/>
          <w:kern w:val="0"/>
          <w:lang w:val="en-GB" w:eastAsia="en-US"/>
        </w:rPr>
        <w:t xml:space="preserve"> (</w:t>
      </w:r>
      <w:proofErr w:type="spellStart"/>
      <w:r w:rsidR="0071692A" w:rsidRPr="005B1A15">
        <w:rPr>
          <w:lang w:val="en-GB"/>
        </w:rPr>
        <w:t>Elelu</w:t>
      </w:r>
      <w:proofErr w:type="spellEnd"/>
      <w:r w:rsidR="0071692A" w:rsidRPr="0071692A">
        <w:rPr>
          <w:lang w:val="en-GB"/>
        </w:rPr>
        <w:t xml:space="preserve"> et al., </w:t>
      </w:r>
      <w:r w:rsidR="0071692A" w:rsidRPr="005B1A15">
        <w:rPr>
          <w:lang w:val="en-GB"/>
        </w:rPr>
        <w:t>2016</w:t>
      </w:r>
      <w:r w:rsidR="0071692A" w:rsidRPr="0071692A">
        <w:rPr>
          <w:lang w:val="en-GB"/>
        </w:rPr>
        <w:t xml:space="preserve">; </w:t>
      </w:r>
      <w:r w:rsidR="0071692A" w:rsidRPr="00A6077A">
        <w:rPr>
          <w:lang w:val="en-GB"/>
        </w:rPr>
        <w:t>Ola-</w:t>
      </w:r>
      <w:proofErr w:type="spellStart"/>
      <w:r w:rsidR="0071692A" w:rsidRPr="00A6077A">
        <w:rPr>
          <w:lang w:val="en-GB"/>
        </w:rPr>
        <w:t>Fadunsin</w:t>
      </w:r>
      <w:proofErr w:type="spellEnd"/>
      <w:r w:rsidR="0071692A" w:rsidRPr="0071692A">
        <w:rPr>
          <w:lang w:val="en-GB"/>
        </w:rPr>
        <w:t xml:space="preserve"> et al., </w:t>
      </w:r>
      <w:r w:rsidR="0071692A" w:rsidRPr="00A6077A">
        <w:rPr>
          <w:lang w:val="en-GB"/>
        </w:rPr>
        <w:t>2020</w:t>
      </w:r>
      <w:r w:rsidR="0071692A" w:rsidRPr="0071692A">
        <w:rPr>
          <w:lang w:val="en-GB"/>
        </w:rPr>
        <w:t xml:space="preserve">; </w:t>
      </w:r>
      <w:proofErr w:type="spellStart"/>
      <w:r w:rsidR="0071692A" w:rsidRPr="000F5A93">
        <w:rPr>
          <w:lang w:val="en-GB"/>
        </w:rPr>
        <w:t>Fakae</w:t>
      </w:r>
      <w:proofErr w:type="spellEnd"/>
      <w:r w:rsidR="0071692A" w:rsidRPr="000F5A93">
        <w:rPr>
          <w:lang w:val="en-GB"/>
        </w:rPr>
        <w:t>, 1990</w:t>
      </w:r>
      <w:r w:rsidR="0071692A" w:rsidRPr="0071692A">
        <w:rPr>
          <w:color w:val="auto"/>
          <w:kern w:val="0"/>
          <w:lang w:val="en-GB" w:eastAsia="en-US"/>
        </w:rPr>
        <w:t>)</w:t>
      </w:r>
      <w:r w:rsidRPr="00E53D40">
        <w:rPr>
          <w:color w:val="auto"/>
          <w:kern w:val="0"/>
          <w:lang w:val="en-GB" w:eastAsia="en-US"/>
        </w:rPr>
        <w:t>.</w:t>
      </w:r>
    </w:p>
    <w:p w14:paraId="13E4B7FC"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From a data perspective, Nigeria presents a dual reality: strong drivers for prediction exist, but field data are often sparse, irregular, and noisy. Routine </w:t>
      </w:r>
      <w:proofErr w:type="spellStart"/>
      <w:r w:rsidRPr="00E53D40">
        <w:rPr>
          <w:color w:val="auto"/>
          <w:kern w:val="0"/>
          <w:lang w:val="en-GB" w:eastAsia="en-US"/>
        </w:rPr>
        <w:t>fecal</w:t>
      </w:r>
      <w:proofErr w:type="spellEnd"/>
      <w:r w:rsidRPr="00E53D40">
        <w:rPr>
          <w:color w:val="auto"/>
          <w:kern w:val="0"/>
          <w:lang w:val="en-GB" w:eastAsia="en-US"/>
        </w:rPr>
        <w:t xml:space="preserve"> egg count (FEC) testing is limited outside universities, research groups, and better-resourced diagnostic </w:t>
      </w:r>
      <w:proofErr w:type="spellStart"/>
      <w:r w:rsidRPr="00E53D40">
        <w:rPr>
          <w:color w:val="auto"/>
          <w:kern w:val="0"/>
          <w:lang w:val="en-GB" w:eastAsia="en-US"/>
        </w:rPr>
        <w:t>centers</w:t>
      </w:r>
      <w:proofErr w:type="spellEnd"/>
      <w:r w:rsidRPr="00E53D40">
        <w:rPr>
          <w:color w:val="auto"/>
          <w:kern w:val="0"/>
          <w:lang w:val="en-GB" w:eastAsia="en-US"/>
        </w:rPr>
        <w:t xml:space="preserve">. Where </w:t>
      </w:r>
      <w:proofErr w:type="spellStart"/>
      <w:r w:rsidRPr="00E53D40">
        <w:rPr>
          <w:color w:val="auto"/>
          <w:kern w:val="0"/>
          <w:lang w:val="en-GB" w:eastAsia="en-US"/>
        </w:rPr>
        <w:t>copromicroscopy</w:t>
      </w:r>
      <w:proofErr w:type="spellEnd"/>
      <w:r w:rsidRPr="00E53D40">
        <w:rPr>
          <w:color w:val="auto"/>
          <w:kern w:val="0"/>
          <w:lang w:val="en-GB" w:eastAsia="en-US"/>
        </w:rPr>
        <w:t xml:space="preserve"> is performed, differences in technique, personnel training, and sampling logistics can create variability that is large enough to distort model training if not managed. In addition, treatment histories are frequently incomplete or recalled from memory, and movement histories may be simplified or undocumented. These realities do not make prediction impossible; rather, they define what kinds of prediction are realistic in the near term. Models that rely on a small set of reliably captured predictors—such as location, season, age class, body condition, and broad management descriptors—may outperform more complex approaches that assume consistently available laboratory and record data</w:t>
      </w:r>
      <w:r w:rsidR="0007783F">
        <w:rPr>
          <w:color w:val="auto"/>
          <w:kern w:val="0"/>
          <w:lang w:val="en-GB" w:eastAsia="en-US"/>
        </w:rPr>
        <w:t xml:space="preserve"> (</w:t>
      </w:r>
      <w:proofErr w:type="spellStart"/>
      <w:r w:rsidR="0007783F" w:rsidRPr="005B1A15">
        <w:rPr>
          <w:lang w:val="en-GB"/>
        </w:rPr>
        <w:t>Elelu</w:t>
      </w:r>
      <w:proofErr w:type="spellEnd"/>
      <w:r w:rsidR="0007783F" w:rsidRPr="0071692A">
        <w:rPr>
          <w:lang w:val="en-GB"/>
        </w:rPr>
        <w:t xml:space="preserve"> et al., </w:t>
      </w:r>
      <w:r w:rsidR="0007783F" w:rsidRPr="005B1A15">
        <w:rPr>
          <w:lang w:val="en-GB"/>
        </w:rPr>
        <w:t>2016</w:t>
      </w:r>
      <w:r w:rsidR="0007783F" w:rsidRPr="0071692A">
        <w:rPr>
          <w:lang w:val="en-GB"/>
        </w:rPr>
        <w:t xml:space="preserve">; </w:t>
      </w:r>
      <w:r w:rsidR="0007783F" w:rsidRPr="00A6077A">
        <w:rPr>
          <w:lang w:val="en-GB"/>
        </w:rPr>
        <w:t>Ola-</w:t>
      </w:r>
      <w:proofErr w:type="spellStart"/>
      <w:r w:rsidR="0007783F" w:rsidRPr="00A6077A">
        <w:rPr>
          <w:lang w:val="en-GB"/>
        </w:rPr>
        <w:t>Fadunsin</w:t>
      </w:r>
      <w:proofErr w:type="spellEnd"/>
      <w:r w:rsidR="0007783F" w:rsidRPr="0071692A">
        <w:rPr>
          <w:lang w:val="en-GB"/>
        </w:rPr>
        <w:t xml:space="preserve"> et al., </w:t>
      </w:r>
      <w:r w:rsidR="0007783F" w:rsidRPr="00A6077A">
        <w:rPr>
          <w:lang w:val="en-GB"/>
        </w:rPr>
        <w:t>2020</w:t>
      </w:r>
      <w:r w:rsidR="0007783F">
        <w:rPr>
          <w:color w:val="auto"/>
          <w:kern w:val="0"/>
          <w:lang w:val="en-GB" w:eastAsia="en-US"/>
        </w:rPr>
        <w:t>)</w:t>
      </w:r>
      <w:r w:rsidRPr="00E53D40">
        <w:rPr>
          <w:color w:val="auto"/>
          <w:kern w:val="0"/>
          <w:lang w:val="en-GB" w:eastAsia="en-US"/>
        </w:rPr>
        <w:t>.</w:t>
      </w:r>
    </w:p>
    <w:p w14:paraId="4872F41F"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Abattoirs and livestock markets can partially offset farm-level data limitations by functioning as surveillance sentinels. Because animals presented for slaughter or trade have already passed through real production and movement systems, their parasite status can be interpreted </w:t>
      </w:r>
      <w:r w:rsidRPr="00E53D40">
        <w:rPr>
          <w:color w:val="auto"/>
          <w:kern w:val="0"/>
          <w:lang w:val="en-GB" w:eastAsia="en-US"/>
        </w:rPr>
        <w:lastRenderedPageBreak/>
        <w:t>as an outcome of those systems, providing valuable signals about where and when helminth burdens are high. The Ibadan slaughter context (</w:t>
      </w:r>
      <w:proofErr w:type="spellStart"/>
      <w:r w:rsidRPr="00E53D40">
        <w:rPr>
          <w:color w:val="auto"/>
          <w:kern w:val="0"/>
          <w:lang w:val="en-GB" w:eastAsia="en-US"/>
        </w:rPr>
        <w:t>Adedipe</w:t>
      </w:r>
      <w:proofErr w:type="spellEnd"/>
      <w:r w:rsidRPr="00E53D40">
        <w:rPr>
          <w:color w:val="auto"/>
          <w:kern w:val="0"/>
          <w:lang w:val="en-GB" w:eastAsia="en-US"/>
        </w:rPr>
        <w:t xml:space="preserve"> et al., 2014) and the Southeastern trade-cattle context (Obi et al., 2020) demonstrate how such surveillance can reveal ongoing infection across regions and management types. For ML, these nodes can supply comparatively standardized sampling points, enabling temporal monitoring and spatial inference when origin information is recorded with sufficient granularity. However, prediction designers must also handle selection effects: slaughter and market animals may not represent the full age/sex structure of herds, and their nutritional and treatment histories may differ from breeding stock retained on farms.</w:t>
      </w:r>
    </w:p>
    <w:p w14:paraId="7D0C1E3A"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Overall, Nigeria’s helminth prediction problem is not only a technical </w:t>
      </w:r>
      <w:proofErr w:type="spellStart"/>
      <w:r w:rsidRPr="00E53D40">
        <w:rPr>
          <w:color w:val="auto"/>
          <w:kern w:val="0"/>
          <w:lang w:val="en-GB" w:eastAsia="en-US"/>
        </w:rPr>
        <w:t>modeling</w:t>
      </w:r>
      <w:proofErr w:type="spellEnd"/>
      <w:r w:rsidRPr="00E53D40">
        <w:rPr>
          <w:color w:val="auto"/>
          <w:kern w:val="0"/>
          <w:lang w:val="en-GB" w:eastAsia="en-US"/>
        </w:rPr>
        <w:t xml:space="preserve"> task but also a system-design challenge: matching model inputs to what can be measured consistently, producing outputs aligned with field decisions, and ensuring that uncertainty is communicated in a way that supports rather than confuses action. The Nigerian context </w:t>
      </w:r>
      <w:proofErr w:type="spellStart"/>
      <w:r w:rsidRPr="00E53D40">
        <w:rPr>
          <w:color w:val="auto"/>
          <w:kern w:val="0"/>
          <w:lang w:val="en-GB" w:eastAsia="en-US"/>
        </w:rPr>
        <w:t>favors</w:t>
      </w:r>
      <w:proofErr w:type="spellEnd"/>
      <w:r w:rsidRPr="00E53D40">
        <w:rPr>
          <w:color w:val="auto"/>
          <w:kern w:val="0"/>
          <w:lang w:val="en-GB" w:eastAsia="en-US"/>
        </w:rPr>
        <w:t xml:space="preserve"> approaches that are robust to missingness, tolerant of noisy labels, and validated across seasons and ecological zones. It also </w:t>
      </w:r>
      <w:proofErr w:type="spellStart"/>
      <w:r w:rsidRPr="00E53D40">
        <w:rPr>
          <w:color w:val="auto"/>
          <w:kern w:val="0"/>
          <w:lang w:val="en-GB" w:eastAsia="en-US"/>
        </w:rPr>
        <w:t>favors</w:t>
      </w:r>
      <w:proofErr w:type="spellEnd"/>
      <w:r w:rsidRPr="00E53D40">
        <w:rPr>
          <w:color w:val="auto"/>
          <w:kern w:val="0"/>
          <w:lang w:val="en-GB" w:eastAsia="en-US"/>
        </w:rPr>
        <w:t xml:space="preserve"> incremental deployment—starting with coarse risk stratification and sentinel surveillance, then improving precision as diagnostics and digital data capture expand. Within this context, existing Nigerian evidence from slaughter and trade cattle provides a grounded starting point for both understanding transmission realities and designing practical prediction pipelines (</w:t>
      </w:r>
      <w:proofErr w:type="spellStart"/>
      <w:r w:rsidRPr="00E53D40">
        <w:rPr>
          <w:color w:val="auto"/>
          <w:kern w:val="0"/>
          <w:lang w:val="en-GB" w:eastAsia="en-US"/>
        </w:rPr>
        <w:t>Adedipe</w:t>
      </w:r>
      <w:proofErr w:type="spellEnd"/>
      <w:r w:rsidRPr="00E53D40">
        <w:rPr>
          <w:color w:val="auto"/>
          <w:kern w:val="0"/>
          <w:lang w:val="en-GB" w:eastAsia="en-US"/>
        </w:rPr>
        <w:t xml:space="preserve"> et al., 2014; Obi et al., 2020).</w:t>
      </w:r>
    </w:p>
    <w:p w14:paraId="54F09686" w14:textId="77777777" w:rsidR="00E53D40" w:rsidRPr="00E53D40" w:rsidRDefault="00E53D40" w:rsidP="00027C4A">
      <w:pPr>
        <w:spacing w:after="0" w:line="240" w:lineRule="auto"/>
        <w:ind w:left="0" w:right="0" w:firstLine="0"/>
        <w:rPr>
          <w:color w:val="auto"/>
          <w:kern w:val="0"/>
          <w:lang w:val="en-GB" w:eastAsia="en-US"/>
        </w:rPr>
      </w:pPr>
    </w:p>
    <w:p w14:paraId="2CCB6B79"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4. Outcomes, predictors, and feasible data streams for helminth prediction in cattle</w:t>
      </w:r>
    </w:p>
    <w:p w14:paraId="12E6BDCD"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Helminth prediction begins with a precise definition of the outcome to be predicted, because different outcomes imply different measurement burdens, different error structures, and different “actionability” in the field. In cattle, the most common operational outcome is infection intensity proxied by </w:t>
      </w:r>
      <w:proofErr w:type="spellStart"/>
      <w:r w:rsidRPr="00E53D40">
        <w:rPr>
          <w:color w:val="auto"/>
          <w:kern w:val="0"/>
          <w:lang w:val="en-GB" w:eastAsia="en-US"/>
        </w:rPr>
        <w:t>fecal</w:t>
      </w:r>
      <w:proofErr w:type="spellEnd"/>
      <w:r w:rsidRPr="00E53D40">
        <w:rPr>
          <w:color w:val="auto"/>
          <w:kern w:val="0"/>
          <w:lang w:val="en-GB" w:eastAsia="en-US"/>
        </w:rPr>
        <w:t xml:space="preserve"> egg count (FEC), either as a continuous value or as a categorical tier (for example, low, moderate, high). Continuous FEC preserves information that is critical for prioritizing animals most likely to contribute to pasture contamination or experience production impacts, but it is also sensitive to sampling timing, egg output variability, and technician-dependent counting error. Binary outcomes (infected vs. not detected) are easier to generate at scale and can be useful for broad surveillance, but they compress intensity differences that often drive management decisions. A middle-ground is to predict whether an animal exceeds a decision threshold for intervention, which aligns the model label directly with targeted selective treatment logic without forcing perfect quantification in every case. A further outcome class relevant to sustainable control is post-treatment dynamics, where the goal is to predict expected change in egg counts after deworming and to flag atypical patterns that may suggest suboptimal dosing, reinfection pressure, or emerging resistance. Even when such post-treatment prediction is not implemented immediately, designing datasets with repeated measures makes it feasible later.</w:t>
      </w:r>
    </w:p>
    <w:p w14:paraId="390C27D5"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The choice of outcome is inseparable from the diagnostic method used to produce labels. Traditional </w:t>
      </w:r>
      <w:proofErr w:type="spellStart"/>
      <w:r w:rsidRPr="00E53D40">
        <w:rPr>
          <w:color w:val="auto"/>
          <w:kern w:val="0"/>
          <w:lang w:val="en-GB" w:eastAsia="en-US"/>
        </w:rPr>
        <w:t>copromicroscopy</w:t>
      </w:r>
      <w:proofErr w:type="spellEnd"/>
      <w:r w:rsidRPr="00E53D40">
        <w:rPr>
          <w:color w:val="auto"/>
          <w:kern w:val="0"/>
          <w:lang w:val="en-GB" w:eastAsia="en-US"/>
        </w:rPr>
        <w:t xml:space="preserve"> underpins most FEC data streams, but method standardization is especially important for ML because models can inadvertently learn laboratory artifacts rather than biology if techniques vary across sites. Mini-FLOTAC is notable here because it provides a structured, protocolized approach to diagnosing helminth infections across humans </w:t>
      </w:r>
      <w:r w:rsidRPr="00E53D40">
        <w:rPr>
          <w:color w:val="auto"/>
          <w:kern w:val="0"/>
          <w:lang w:val="en-GB" w:eastAsia="en-US"/>
        </w:rPr>
        <w:lastRenderedPageBreak/>
        <w:t>and animals, with practical advantages for settings that need robust performance without highly specialized infrastructure (</w:t>
      </w:r>
      <w:proofErr w:type="spellStart"/>
      <w:r w:rsidRPr="00E53D40">
        <w:rPr>
          <w:color w:val="auto"/>
          <w:kern w:val="0"/>
          <w:lang w:val="en-GB" w:eastAsia="en-US"/>
        </w:rPr>
        <w:t>Cringoli</w:t>
      </w:r>
      <w:proofErr w:type="spellEnd"/>
      <w:r w:rsidRPr="00E53D40">
        <w:rPr>
          <w:color w:val="auto"/>
          <w:kern w:val="0"/>
          <w:lang w:val="en-GB" w:eastAsia="en-US"/>
        </w:rPr>
        <w:t xml:space="preserve"> et al., 2017). When a prediction pipeline depends on FEC labels, consistent use of a standardized method like this can reduce systematic differences between datasets collected by different teams, thereby improving model transferability across regions or time periods. Equally important, standardized workflows support clearer interpretation of uncertainty: when counts come from a consistent process, remaining noise is more likely to reflect biological and sampling variability that can be </w:t>
      </w:r>
      <w:proofErr w:type="spellStart"/>
      <w:r w:rsidRPr="00E53D40">
        <w:rPr>
          <w:color w:val="auto"/>
          <w:kern w:val="0"/>
          <w:lang w:val="en-GB" w:eastAsia="en-US"/>
        </w:rPr>
        <w:t>modeled</w:t>
      </w:r>
      <w:proofErr w:type="spellEnd"/>
      <w:r w:rsidRPr="00E53D40">
        <w:rPr>
          <w:color w:val="auto"/>
          <w:kern w:val="0"/>
          <w:lang w:val="en-GB" w:eastAsia="en-US"/>
        </w:rPr>
        <w:t xml:space="preserve"> explicitly.</w:t>
      </w:r>
    </w:p>
    <w:p w14:paraId="2260DF5C" w14:textId="49E4B486"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Predictors for helminth prediction must be framed around feasibility and stability in field conditions. At the animal level, routinely collectible predictors include age class, sex, breed type, and body condition score. These variables capture broad differences in exposure and immunity, and they are typically obtainable without laboratory equipment. Treatment history is also a powerful predictor because it influences current egg output, but it is often incompletely recorded; therefore, models should be designed to tolerate missingness or incorporate “time since last known treatment” where possible. At the herd level, predictors that reflect exposure pathways are often more informative than detailed but inconsistently measured descriptors. Grazing access (communal vs. managed pasture), stocking density proxies, watering point sharing, and mixing with other herds can meaningfully shift infection pressure. Movement-related predictors—whether cattle are sedentary, seasonally mobile, or frequently purchased/sold—also influence both exposure and the composition of parasite populations encountered. At the environmental level, rainfall and temperature patterns drive larval development and survival, but prediction systems should prefer practical, easily retrievable summaries (such as weekly or monthly rainfall indices) rather than requiring high-resolution meteorology. In many use cases, simple location and season indicators can </w:t>
      </w:r>
      <w:r w:rsidRPr="008C04E4">
        <w:rPr>
          <w:color w:val="auto"/>
          <w:kern w:val="0"/>
          <w:highlight w:val="yellow"/>
          <w:lang w:val="en-GB" w:eastAsia="en-US"/>
        </w:rPr>
        <w:t xml:space="preserve">carry </w:t>
      </w:r>
      <w:r w:rsidR="008C04E4" w:rsidRPr="008C04E4">
        <w:rPr>
          <w:color w:val="auto"/>
          <w:kern w:val="0"/>
          <w:highlight w:val="yellow"/>
          <w:lang w:val="en-GB" w:eastAsia="en-US"/>
        </w:rPr>
        <w:t>a</w:t>
      </w:r>
      <w:r w:rsidR="008C04E4">
        <w:rPr>
          <w:color w:val="auto"/>
          <w:kern w:val="0"/>
          <w:lang w:val="en-GB" w:eastAsia="en-US"/>
        </w:rPr>
        <w:t xml:space="preserve"> </w:t>
      </w:r>
      <w:r w:rsidRPr="00E53D40">
        <w:rPr>
          <w:color w:val="auto"/>
          <w:kern w:val="0"/>
          <w:lang w:val="en-GB" w:eastAsia="en-US"/>
        </w:rPr>
        <w:t>strong predictive signal when combined with minimal animal and herd data, especially in climates with marked seasonal transitions</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E53D40">
        <w:rPr>
          <w:color w:val="auto"/>
          <w:kern w:val="0"/>
          <w:lang w:val="en-GB" w:eastAsia="en-US"/>
        </w:rPr>
        <w:t>.</w:t>
      </w:r>
    </w:p>
    <w:p w14:paraId="7965A31C"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Feasible data streams for these predictors can be grouped into three complementary categories: routine field records, diagnostic-derived measurements, and digitally derived signals. Routine field records include farm- or household-level entries for animal demographics, body condition, and basic management. These data are often collected irregularly, so prediction systems should be built with sparse-data assumptions and emphasize predictors that can be measured consistently with minimal training. Diagnostic-derived measurements include FEC and related parasitology outputs. The central challenge is scaling diagnostic throughput. Here, digitization of parasitology can transform label availability by increasing both speed and standardization. Automated egg counting using smartphone image capture and computational image analysis has been demonstrated as a viable pathway to expand egg counting capacity while reducing manual workload (</w:t>
      </w:r>
      <w:proofErr w:type="spellStart"/>
      <w:r w:rsidRPr="00E53D40">
        <w:rPr>
          <w:color w:val="auto"/>
          <w:kern w:val="0"/>
          <w:lang w:val="en-GB" w:eastAsia="en-US"/>
        </w:rPr>
        <w:t>Slusarewicz</w:t>
      </w:r>
      <w:proofErr w:type="spellEnd"/>
      <w:r w:rsidRPr="00E53D40">
        <w:rPr>
          <w:color w:val="auto"/>
          <w:kern w:val="0"/>
          <w:lang w:val="en-GB" w:eastAsia="en-US"/>
        </w:rPr>
        <w:t xml:space="preserve"> et al., 2016). This type of pipeline also creates a natural bridge between diagnostics and prediction: the same images used to produce counts can be archived for quality control, model retraining, and adaptation to local parasite morphologies or slide preparation practices.</w:t>
      </w:r>
    </w:p>
    <w:p w14:paraId="4B2F6F71"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Recent deep-learning approaches push digitized parasitology further by improving robustness to image variability and enabling lightweight models that can operate under constrained computational resources. A lightweight deep-learning model for parasite egg detection illustrates how object-detection style approaches can be adapted for microscopy images, supporting faster, more scalable egg identification and counting (Xu et al., 2024). For </w:t>
      </w:r>
      <w:r w:rsidRPr="00E53D40">
        <w:rPr>
          <w:color w:val="auto"/>
          <w:kern w:val="0"/>
          <w:lang w:val="en-GB" w:eastAsia="en-US"/>
        </w:rPr>
        <w:lastRenderedPageBreak/>
        <w:t>helminth prediction in cattle, this matters not only because it accelerates label generation but also because it enables a broader range of deployment settings. A mobile-enabled workflow can support “test-and-predict” loops in which field teams produce rapid egg estimates, while the prediction model uses those estimates alongside animal and environmental predictors to forecast short-term risk trajectories, identify high-priority animals for confirmatory testing, or suggest optimal timing for monitoring.</w:t>
      </w:r>
    </w:p>
    <w:p w14:paraId="75D32F12"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third data stream category is molecular or sequence-informed identification that resolves species composition beyond what “strongyle-type egg” microscopy can provide. Species-aware outcomes are valuable because different gastrointestinal nematodes vary in pathogenicity, seasonality, and responsiveness to management interventions. Integrating digital egg counting platforms with </w:t>
      </w:r>
      <w:proofErr w:type="spellStart"/>
      <w:r w:rsidRPr="00E53D40">
        <w:rPr>
          <w:color w:val="auto"/>
          <w:kern w:val="0"/>
          <w:lang w:val="en-GB" w:eastAsia="en-US"/>
        </w:rPr>
        <w:t>nemabiome</w:t>
      </w:r>
      <w:proofErr w:type="spellEnd"/>
      <w:r w:rsidRPr="00E53D40">
        <w:rPr>
          <w:color w:val="auto"/>
          <w:kern w:val="0"/>
          <w:lang w:val="en-GB" w:eastAsia="en-US"/>
        </w:rPr>
        <w:t xml:space="preserve">-style metabarcoding enables scalable identification of gastrointestinal nematode communities from </w:t>
      </w:r>
      <w:proofErr w:type="spellStart"/>
      <w:r w:rsidRPr="00E53D40">
        <w:rPr>
          <w:color w:val="auto"/>
          <w:kern w:val="0"/>
          <w:lang w:val="en-GB" w:eastAsia="en-US"/>
        </w:rPr>
        <w:t>fecal</w:t>
      </w:r>
      <w:proofErr w:type="spellEnd"/>
      <w:r w:rsidRPr="00E53D40">
        <w:rPr>
          <w:color w:val="auto"/>
          <w:kern w:val="0"/>
          <w:lang w:val="en-GB" w:eastAsia="en-US"/>
        </w:rPr>
        <w:t xml:space="preserve"> samples, linking quantitative egg data to species composition (Francis &amp; </w:t>
      </w:r>
      <w:proofErr w:type="spellStart"/>
      <w:r w:rsidRPr="00E53D40">
        <w:rPr>
          <w:color w:val="auto"/>
          <w:kern w:val="0"/>
          <w:lang w:val="en-GB" w:eastAsia="en-US"/>
        </w:rPr>
        <w:t>Šlapeta</w:t>
      </w:r>
      <w:proofErr w:type="spellEnd"/>
      <w:r w:rsidRPr="00E53D40">
        <w:rPr>
          <w:color w:val="auto"/>
          <w:kern w:val="0"/>
          <w:lang w:val="en-GB" w:eastAsia="en-US"/>
        </w:rPr>
        <w:t>, 2022). Although such approaches may be best suited initially to sentinel sites rather than routine nationwide deployment, they provide high-quality reference labels that can strengthen model calibration and help avoid a common failure mode: a prediction model that performs well for “overall egg output” but fails to generalize when parasite communities shift across zones or seasons. Periodic molecular characterization can therefore act as an anchor, ensuring that prediction systems remain biologically grounded as they scale.</w:t>
      </w:r>
    </w:p>
    <w:p w14:paraId="41C1AA65" w14:textId="65EE5ECE"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In practical terms, the most field-ready helminth prediction designs are those that treat data streams as modular. A model can start with minimal predictors and coarse outcomes (for example, a risk tier) and then improve as diagnostics and digitized workflows expand. Standardized FEC protocols such as Mini-FLOTAC can improve comparability across sites (</w:t>
      </w:r>
      <w:proofErr w:type="spellStart"/>
      <w:r w:rsidRPr="00E53D40">
        <w:rPr>
          <w:color w:val="auto"/>
          <w:kern w:val="0"/>
          <w:lang w:val="en-GB" w:eastAsia="en-US"/>
        </w:rPr>
        <w:t>Cringoli</w:t>
      </w:r>
      <w:proofErr w:type="spellEnd"/>
      <w:r w:rsidRPr="00E53D40">
        <w:rPr>
          <w:color w:val="auto"/>
          <w:kern w:val="0"/>
          <w:lang w:val="en-GB" w:eastAsia="en-US"/>
        </w:rPr>
        <w:t xml:space="preserve"> et al., 2017), while smartphone- and deep-learning-based egg detection can increase throughput (</w:t>
      </w:r>
      <w:proofErr w:type="spellStart"/>
      <w:r w:rsidRPr="00E53D40">
        <w:rPr>
          <w:color w:val="auto"/>
          <w:kern w:val="0"/>
          <w:lang w:val="en-GB" w:eastAsia="en-US"/>
        </w:rPr>
        <w:t>Slusarewicz</w:t>
      </w:r>
      <w:proofErr w:type="spellEnd"/>
      <w:r w:rsidRPr="00E53D40">
        <w:rPr>
          <w:color w:val="auto"/>
          <w:kern w:val="0"/>
          <w:lang w:val="en-GB" w:eastAsia="en-US"/>
        </w:rPr>
        <w:t xml:space="preserve"> et al., 2016; Xu et al., 2024). When available, targeted metabarcoding can provide species resolution that strengthens ecological interpretation and long-term model robustness (Francis &amp; </w:t>
      </w:r>
      <w:proofErr w:type="spellStart"/>
      <w:r w:rsidRPr="00E53D40">
        <w:rPr>
          <w:color w:val="auto"/>
          <w:kern w:val="0"/>
          <w:lang w:val="en-GB" w:eastAsia="en-US"/>
        </w:rPr>
        <w:t>Šlapeta</w:t>
      </w:r>
      <w:proofErr w:type="spellEnd"/>
      <w:r w:rsidRPr="00E53D40">
        <w:rPr>
          <w:color w:val="auto"/>
          <w:kern w:val="0"/>
          <w:lang w:val="en-GB" w:eastAsia="en-US"/>
        </w:rPr>
        <w:t>, 2022). This staged, data-stream-aware approach is especially appropriate for settings where data availability is uneven</w:t>
      </w:r>
      <w:r w:rsidR="008C04E4">
        <w:rPr>
          <w:color w:val="auto"/>
          <w:kern w:val="0"/>
          <w:lang w:val="en-GB" w:eastAsia="en-US"/>
        </w:rPr>
        <w:t>,</w:t>
      </w:r>
      <w:r w:rsidRPr="00E53D40">
        <w:rPr>
          <w:color w:val="auto"/>
          <w:kern w:val="0"/>
          <w:lang w:val="en-GB" w:eastAsia="en-US"/>
        </w:rPr>
        <w:t xml:space="preserve"> but the value of prediction is high.</w:t>
      </w:r>
    </w:p>
    <w:p w14:paraId="3DB2AB0D" w14:textId="77777777" w:rsidR="00E53D40" w:rsidRPr="00E53D40" w:rsidRDefault="00E53D40" w:rsidP="00027C4A">
      <w:pPr>
        <w:spacing w:after="0" w:line="240" w:lineRule="auto"/>
        <w:ind w:left="0" w:right="0" w:firstLine="0"/>
        <w:rPr>
          <w:color w:val="auto"/>
          <w:kern w:val="0"/>
          <w:lang w:val="en-GB" w:eastAsia="en-US"/>
        </w:rPr>
      </w:pPr>
    </w:p>
    <w:p w14:paraId="0A58DAB5" w14:textId="77777777" w:rsidR="00DE6DEE" w:rsidRPr="00DE6DEE" w:rsidRDefault="00DE6DEE"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DE6DEE">
        <w:rPr>
          <w:b/>
          <w:bCs/>
          <w:color w:val="auto"/>
          <w:kern w:val="0"/>
          <w:sz w:val="36"/>
          <w:szCs w:val="36"/>
          <w:lang w:val="en-GB" w:eastAsia="en-US"/>
        </w:rPr>
        <w:t xml:space="preserve">5. </w:t>
      </w:r>
      <w:proofErr w:type="spellStart"/>
      <w:r w:rsidRPr="00DE6DEE">
        <w:rPr>
          <w:b/>
          <w:bCs/>
          <w:color w:val="auto"/>
          <w:kern w:val="0"/>
          <w:sz w:val="36"/>
          <w:szCs w:val="36"/>
          <w:lang w:val="en-GB" w:eastAsia="en-US"/>
        </w:rPr>
        <w:t>Modeling</w:t>
      </w:r>
      <w:proofErr w:type="spellEnd"/>
      <w:r w:rsidRPr="00DE6DEE">
        <w:rPr>
          <w:b/>
          <w:bCs/>
          <w:color w:val="auto"/>
          <w:kern w:val="0"/>
          <w:sz w:val="36"/>
          <w:szCs w:val="36"/>
          <w:lang w:val="en-GB" w:eastAsia="en-US"/>
        </w:rPr>
        <w:t xml:space="preserve"> paradigms for helminth prediction: from climate-driven simulation to data-driven ML</w:t>
      </w:r>
    </w:p>
    <w:p w14:paraId="0DCB0216" w14:textId="20365E5F"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Mode</w:t>
      </w:r>
      <w:r w:rsidR="008C04E4">
        <w:rPr>
          <w:color w:val="auto"/>
          <w:kern w:val="0"/>
          <w:lang w:val="en-GB" w:eastAsia="en-US"/>
        </w:rPr>
        <w:t>l</w:t>
      </w:r>
      <w:r w:rsidRPr="00DE6DEE">
        <w:rPr>
          <w:color w:val="auto"/>
          <w:kern w:val="0"/>
          <w:lang w:val="en-GB" w:eastAsia="en-US"/>
        </w:rPr>
        <w:t xml:space="preserve">ling gastrointestinal helminths for prediction requires aligning the </w:t>
      </w:r>
      <w:proofErr w:type="spellStart"/>
      <w:r w:rsidRPr="00DE6DEE">
        <w:rPr>
          <w:color w:val="auto"/>
          <w:kern w:val="0"/>
          <w:lang w:val="en-GB" w:eastAsia="en-US"/>
        </w:rPr>
        <w:t>modeling</w:t>
      </w:r>
      <w:proofErr w:type="spellEnd"/>
      <w:r w:rsidRPr="00DE6DEE">
        <w:rPr>
          <w:color w:val="auto"/>
          <w:kern w:val="0"/>
          <w:lang w:val="en-GB" w:eastAsia="en-US"/>
        </w:rPr>
        <w:t xml:space="preserve"> paradigm with what is being predicted, what data are realistically available, and what decisions the prediction is intended to support. In cattle, helminth outcomes and infection pressure emerge from interacting processes that span parasite development in the environment, cattle exposure on pasture, and host immunity and management. Because these processes are seasonal and nonlinear, there is no single “best” mode</w:t>
      </w:r>
      <w:r w:rsidR="008C04E4">
        <w:rPr>
          <w:color w:val="auto"/>
          <w:kern w:val="0"/>
          <w:lang w:val="en-GB" w:eastAsia="en-US"/>
        </w:rPr>
        <w:t>l</w:t>
      </w:r>
      <w:r w:rsidRPr="00DE6DEE">
        <w:rPr>
          <w:color w:val="auto"/>
          <w:kern w:val="0"/>
          <w:lang w:val="en-GB" w:eastAsia="en-US"/>
        </w:rPr>
        <w:t>ling approach for all settings. Instead, helminth prediction benefits from a portfolio of paradigms, ranging from climate-driven simulation models that embed biological assumptions to purely data-driven ML models that infer patterns directly from observations. In Nigeria, where ecological gradients are sharp and data streams can be uneven, the practical emphasis often falls on models that remain informative under sparse data and can generalize across seasons and zones</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DE6DEE">
        <w:rPr>
          <w:color w:val="auto"/>
          <w:kern w:val="0"/>
          <w:lang w:val="en-GB" w:eastAsia="en-US"/>
        </w:rPr>
        <w:t>.</w:t>
      </w:r>
    </w:p>
    <w:p w14:paraId="401BBF8A"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lastRenderedPageBreak/>
        <w:t>Climate-driven simulation provides a biologically grounded pathway to prediction by representing how temperature, moisture, and other climatic variables influence the free-living stages of helminths. This approach is valuable because environmental suitability for larval development and survival is a major driver of seasonal infection pressure. A prominent example is GLOWORM-FL, which simulates the effects of climate and climate change on the free-living stages of gastrointestinal nematode parasites of ruminants and generates time-varying indices of infection pressure (Rose et al., 2015). These mechanistic outputs are particularly useful when the operational question is not “which individual animal will have a high FEC today?” but rather “when will pasture-based infection risk rise in this region?” For Nigeria, such a framing matches many management realities: rainfall onset and duration shape grazing conditions, and strategic decisions—such as when to intensify monitoring, when to adjust grazing exposure, or when to schedule targeted treatments—are often seasonal in nature. Climate-driven simulation can also function as an early warning system where diagnostic coverage is limited, providing a structured expectation of risk dynamics that can be compared against sentinel observations.</w:t>
      </w:r>
    </w:p>
    <w:p w14:paraId="038FD7CB"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However, purely mechanistic models can be limited by parameter uncertainty and by the difficulty of capturing local management factors that strongly shape exposure. These limitations motivate data-driven ML, which can integrate multiple predictors across scales and learn nonlinear interactions without requiring explicit biological equations. Data-driven models may use environmental summaries, herd management descriptors, and animal-level indicators to predict outcomes such as FEC categories or herd-level risk tiers. Conceptually, the value of ML in helminth prediction is its ability to translate complex, interacting drivers into actionable risk estimates, even when the underlying causal pathways are only partially measured. At the same time, ML models are vulnerable to overfitting and to learning spurious correlations when data are sparse or biased. This makes the choice of validation strategy, feature design, and generalizability testing central to their usefulness in the field.</w:t>
      </w:r>
    </w:p>
    <w:p w14:paraId="4056453D"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A productive way to reconcile mechanistic and data-driven approaches is hybrid </w:t>
      </w:r>
      <w:proofErr w:type="spellStart"/>
      <w:r w:rsidRPr="00DE6DEE">
        <w:rPr>
          <w:color w:val="auto"/>
          <w:kern w:val="0"/>
          <w:lang w:val="en-GB" w:eastAsia="en-US"/>
        </w:rPr>
        <w:t>modeling</w:t>
      </w:r>
      <w:proofErr w:type="spellEnd"/>
      <w:r w:rsidRPr="00DE6DEE">
        <w:rPr>
          <w:color w:val="auto"/>
          <w:kern w:val="0"/>
          <w:lang w:val="en-GB" w:eastAsia="en-US"/>
        </w:rPr>
        <w:t xml:space="preserve">, where outputs from a climate-driven simulator are used as features within an ML model. In such designs, the simulation provides a biologically meaningful baseline, while the ML component learns local deviations driven by management, microclimate, and animal factors. For example, a GLOWORM-FL–like infection-pressure index could be fused with predictors such as stocking density proxies, grazing type, and animal demographics, enabling the model to adjust broad climate-driven expectations to local contexts (Rose et al., 2015). This fusion is particularly appealing in Nigeria because climate signals can be strong, but management heterogeneity and animal movement can cause local departures from climate-only forecasts. Hybrid </w:t>
      </w:r>
      <w:proofErr w:type="spellStart"/>
      <w:r w:rsidRPr="00DE6DEE">
        <w:rPr>
          <w:color w:val="auto"/>
          <w:kern w:val="0"/>
          <w:lang w:val="en-GB" w:eastAsia="en-US"/>
        </w:rPr>
        <w:t>modeling</w:t>
      </w:r>
      <w:proofErr w:type="spellEnd"/>
      <w:r w:rsidRPr="00DE6DEE">
        <w:rPr>
          <w:color w:val="auto"/>
          <w:kern w:val="0"/>
          <w:lang w:val="en-GB" w:eastAsia="en-US"/>
        </w:rPr>
        <w:t xml:space="preserve"> also offers a pragmatic advantage: where </w:t>
      </w:r>
      <w:proofErr w:type="spellStart"/>
      <w:r w:rsidRPr="00DE6DEE">
        <w:rPr>
          <w:color w:val="auto"/>
          <w:kern w:val="0"/>
          <w:lang w:val="en-GB" w:eastAsia="en-US"/>
        </w:rPr>
        <w:t>labeled</w:t>
      </w:r>
      <w:proofErr w:type="spellEnd"/>
      <w:r w:rsidRPr="00DE6DEE">
        <w:rPr>
          <w:color w:val="auto"/>
          <w:kern w:val="0"/>
          <w:lang w:val="en-GB" w:eastAsia="en-US"/>
        </w:rPr>
        <w:t xml:space="preserve"> data are limited, mechanistic features can supply informative structure that reduces the burden on purely data-driven learning</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color w:val="auto"/>
          <w:kern w:val="0"/>
          <w:lang w:val="en-GB" w:eastAsia="en-US"/>
        </w:rPr>
        <w:t>)</w:t>
      </w:r>
      <w:r w:rsidRPr="00DE6DEE">
        <w:rPr>
          <w:color w:val="auto"/>
          <w:kern w:val="0"/>
          <w:lang w:val="en-GB" w:eastAsia="en-US"/>
        </w:rPr>
        <w:t>.</w:t>
      </w:r>
    </w:p>
    <w:p w14:paraId="48AAFB5E"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Beyond standard supervised ML, probabilistic graphical models such as Bayesian networks offer a complementary paradigm that can support helminth prediction under uncertainty and missing data. Bayesian networks represent conditional dependencies among variables and can be designed to remain functional when some predictors are unavailable, which is often the case in low- and middle-resource settings. In environmental </w:t>
      </w:r>
      <w:proofErr w:type="spellStart"/>
      <w:r w:rsidRPr="00DE6DEE">
        <w:rPr>
          <w:color w:val="auto"/>
          <w:kern w:val="0"/>
          <w:lang w:val="en-GB" w:eastAsia="en-US"/>
        </w:rPr>
        <w:t>modeling</w:t>
      </w:r>
      <w:proofErr w:type="spellEnd"/>
      <w:r w:rsidRPr="00DE6DEE">
        <w:rPr>
          <w:color w:val="auto"/>
          <w:kern w:val="0"/>
          <w:lang w:val="en-GB" w:eastAsia="en-US"/>
        </w:rPr>
        <w:t xml:space="preserve">, Bayesian networks have been highlighted for their strengths in integrating heterogeneous evidence and supporting transparent reasoning, while also presenting challenges related to structure specification, data demands for parameterization, and validation (Uusitalo, 2007). These characteristics map well onto Nigerian helminth prediction needs. For instance, a Bayesian </w:t>
      </w:r>
      <w:r w:rsidRPr="00DE6DEE">
        <w:rPr>
          <w:color w:val="auto"/>
          <w:kern w:val="0"/>
          <w:lang w:val="en-GB" w:eastAsia="en-US"/>
        </w:rPr>
        <w:lastRenderedPageBreak/>
        <w:t>network could encode relationships among rainfall regime, grazing exposure, animal age, and infection risk, producing probabilistic outputs that can be interpreted as “likelihood of high burden” rather than deterministic classifications. Such probabilistic framing can be more aligned with field realities where uncertainty is unavoidable and decisions must often be made with incomplete information.</w:t>
      </w:r>
    </w:p>
    <w:p w14:paraId="627A268E"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Another important dimension is the model’s interpretability and how it supports decision-making. For helminth control, models are often adopted not because they maximize accuracy on a benchmark dataset, but because they provide outputs that practitioners understand and trust. This is where broader ML scholarship is relevant: the maturation of ML as a field has emphasized not only algorithmic performance but also how models are evaluated, deployed, and integrated into human workflows (Jordan &amp; Mitchell, 2015). For Nigerian helminth prediction, this translates into prioritizing models that can explain what is driving risk signals—such as seasonal rainfall patterns, animal age category, or recent treatment timing—and that can be updated as new data arrive. Interpretability also supports training and uptake among veterinary officers and extension staff, who may need to justify recommendations to farmers or to coordinate interventions across communities.</w:t>
      </w:r>
    </w:p>
    <w:p w14:paraId="0325F486"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Model selection should ultimately be aligned with the decision horizon. Short-horizon predictions (days to weeks) may benefit from time-series approaches and from incorporating recent diagnostic signals if available, while seasonal forecasts (months) may rely more heavily on climate indices and mechanistic infection-pressure outputs. Individual-animal triage for targeted selective treatment may require models that incorporate animal indicators and herd context, while regional planning may prioritize spatiotemporal risk mapping. Across these use cases, a recurring priority is robust validation. Models must be tested prospectively across seasons and, where possible, across regions not used in training, because helminth dynamics shift with ecological zone and management. In Nigeria, where movement and market aggregation blur local boundaries, validation that respects geography and time is not a luxury; it is essential to avoid deploying models that appear accurate in retrospective splits but fail in real-world application.</w:t>
      </w:r>
    </w:p>
    <w:p w14:paraId="62227179"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In summary, helminth prediction sits at the intersection of climate-driven biological realism and data-driven pattern learning. Climate-driven simulation provides interpretable seasonal structure (Rose et al., 2015), Bayesian networks provide transparent probabilistic reasoning under missingness (Uusitalo, 2007), and ML offers flexible integration of heterogeneous predictors and scalable risk scoring (Jordan &amp; Mitchell, 2015). A Nigerian perspective suggests that the most deployable solutions will often be hybrid: climate-informed baselines refined by locally measured predictors, implemented with validation designs that reflect actual use, and delivered through tools that communicate uncertainty and rationale rather than only a numerical score.</w:t>
      </w:r>
    </w:p>
    <w:p w14:paraId="5E682306" w14:textId="77777777" w:rsidR="00E53D40" w:rsidRPr="00E53D40" w:rsidRDefault="00E53D40" w:rsidP="00027C4A">
      <w:pPr>
        <w:spacing w:after="0" w:line="240" w:lineRule="auto"/>
        <w:ind w:left="0" w:right="0" w:firstLine="0"/>
        <w:rPr>
          <w:color w:val="auto"/>
          <w:kern w:val="0"/>
          <w:lang w:val="en-GB" w:eastAsia="en-US"/>
        </w:rPr>
      </w:pPr>
    </w:p>
    <w:p w14:paraId="5C147585" w14:textId="77777777" w:rsidR="00DE6DEE" w:rsidRPr="00DE6DEE" w:rsidRDefault="00DE6DEE"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DE6DEE">
        <w:rPr>
          <w:b/>
          <w:bCs/>
          <w:color w:val="auto"/>
          <w:kern w:val="0"/>
          <w:sz w:val="36"/>
          <w:szCs w:val="36"/>
          <w:lang w:val="en-GB" w:eastAsia="en-US"/>
        </w:rPr>
        <w:t>6. AI-enabled diagnostics as a foundation for scalable prediction</w:t>
      </w:r>
    </w:p>
    <w:p w14:paraId="17ED4F14"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AI-enabled diagnostics are pivotal to scalable helminth prediction because they address the core bottleneck in most cattle systems: the limited availability of timely, standardized outcome labels. Predictive models require reliable targets—such as </w:t>
      </w:r>
      <w:proofErr w:type="spellStart"/>
      <w:r w:rsidRPr="00DE6DEE">
        <w:rPr>
          <w:color w:val="auto"/>
          <w:kern w:val="0"/>
          <w:lang w:val="en-GB" w:eastAsia="en-US"/>
        </w:rPr>
        <w:t>fecal</w:t>
      </w:r>
      <w:proofErr w:type="spellEnd"/>
      <w:r w:rsidRPr="00DE6DEE">
        <w:rPr>
          <w:color w:val="auto"/>
          <w:kern w:val="0"/>
          <w:lang w:val="en-GB" w:eastAsia="en-US"/>
        </w:rPr>
        <w:t xml:space="preserve"> egg counts (FEC) or </w:t>
      </w:r>
      <w:r w:rsidRPr="00DE6DEE">
        <w:rPr>
          <w:color w:val="auto"/>
          <w:kern w:val="0"/>
          <w:lang w:val="en-GB" w:eastAsia="en-US"/>
        </w:rPr>
        <w:lastRenderedPageBreak/>
        <w:t xml:space="preserve">infection categories—collected repeatedly across seasons and locations. In many real-world settings, including much of Nigeria, laboratory throughput, technician time, and quality control constraints restrict how much </w:t>
      </w:r>
      <w:proofErr w:type="spellStart"/>
      <w:r w:rsidRPr="00DE6DEE">
        <w:rPr>
          <w:color w:val="auto"/>
          <w:kern w:val="0"/>
          <w:lang w:val="en-GB" w:eastAsia="en-US"/>
        </w:rPr>
        <w:t>labeled</w:t>
      </w:r>
      <w:proofErr w:type="spellEnd"/>
      <w:r w:rsidRPr="00DE6DEE">
        <w:rPr>
          <w:color w:val="auto"/>
          <w:kern w:val="0"/>
          <w:lang w:val="en-GB" w:eastAsia="en-US"/>
        </w:rPr>
        <w:t xml:space="preserve"> data can be produced and how consistent those labels are over time. AI does not replace parasitology; rather, it can make parasitology measurably more scalable by standardizing steps that are otherwise variable across laboratories and field teams, and by enabling rapid feedback loops between measurement and decision-making. This matters for prediction because the goal is not only to “fit a model” but to maintain a living system in which incoming diagnostic data continually refresh risk estimates and guide interventions.</w:t>
      </w:r>
    </w:p>
    <w:p w14:paraId="05FF6AFD" w14:textId="1F41F34C"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The quality and usefulness of AI-enabled prediction depend first on upstream diagnostic standardization. If labels drift because of inconsistent flotation methods, slide preparation, or reading thresholds, the model may learn laboratory </w:t>
      </w:r>
      <w:r w:rsidR="008C04E4" w:rsidRPr="00DE6DEE">
        <w:rPr>
          <w:color w:val="auto"/>
          <w:kern w:val="0"/>
          <w:lang w:val="en-GB" w:eastAsia="en-US"/>
        </w:rPr>
        <w:t>art</w:t>
      </w:r>
      <w:r w:rsidR="008C04E4">
        <w:rPr>
          <w:color w:val="auto"/>
          <w:kern w:val="0"/>
          <w:lang w:val="en-GB" w:eastAsia="en-US"/>
        </w:rPr>
        <w:t>e</w:t>
      </w:r>
      <w:r w:rsidR="008C04E4" w:rsidRPr="00DE6DEE">
        <w:rPr>
          <w:color w:val="auto"/>
          <w:kern w:val="0"/>
          <w:lang w:val="en-GB" w:eastAsia="en-US"/>
        </w:rPr>
        <w:t xml:space="preserve">facts </w:t>
      </w:r>
      <w:r w:rsidRPr="00DE6DEE">
        <w:rPr>
          <w:color w:val="auto"/>
          <w:kern w:val="0"/>
          <w:lang w:val="en-GB" w:eastAsia="en-US"/>
        </w:rPr>
        <w:t>rather than biological dynamics. Protocol-driven approaches such as Mini-FLOTAC are therefore strategically important as a foundation for both routine diagnosis and model training data. Mini-FLOTAC has been described as a practical, standardized technique for helminth and protozoan diagnosis in humans and animals, supporting consistent counting without highly specialized equipment in every setting (</w:t>
      </w:r>
      <w:proofErr w:type="spellStart"/>
      <w:r w:rsidRPr="00DE6DEE">
        <w:rPr>
          <w:color w:val="auto"/>
          <w:kern w:val="0"/>
          <w:lang w:val="en-GB" w:eastAsia="en-US"/>
        </w:rPr>
        <w:t>Cringoli</w:t>
      </w:r>
      <w:proofErr w:type="spellEnd"/>
      <w:r w:rsidRPr="00DE6DEE">
        <w:rPr>
          <w:color w:val="auto"/>
          <w:kern w:val="0"/>
          <w:lang w:val="en-GB" w:eastAsia="en-US"/>
        </w:rPr>
        <w:t xml:space="preserve"> et al., 2017). When a prediction pipeline is built on FEC labels, the most cost-effective “model improvement” may be improving the repeatability of those labels. In a Nigerian deployment context, this translates into focusing on repeatable sampling procedures, clear counting rules, routine calibration exercises across technicians, and consistent reporting formats. AI tools become more dependable when they are anchored to diagnostic workflows that already reduce variability.</w:t>
      </w:r>
    </w:p>
    <w:p w14:paraId="32B832A5"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Digital parasitology further strengthens scalability by transforming microscopy from a purely manual workflow into an image-based data stream. Once flotation chambers or counting slides are captured as images, those images can be archived, audited, and reanalyzed—capabilities that are difficult with purely manual counting. This archiving is particularly valuable for prediction because it supports retrospective quality control and model updates, allowing teams to revisit earlier data when improved algorithms become available or when new validation questions arise. A demonstrated pathway toward scalable egg counting is automated parasite FEC using smartphone image capture and computational image analysis (</w:t>
      </w:r>
      <w:proofErr w:type="spellStart"/>
      <w:r w:rsidRPr="00DE6DEE">
        <w:rPr>
          <w:color w:val="auto"/>
          <w:kern w:val="0"/>
          <w:lang w:val="en-GB" w:eastAsia="en-US"/>
        </w:rPr>
        <w:t>Slusarewicz</w:t>
      </w:r>
      <w:proofErr w:type="spellEnd"/>
      <w:r w:rsidRPr="00DE6DEE">
        <w:rPr>
          <w:color w:val="auto"/>
          <w:kern w:val="0"/>
          <w:lang w:val="en-GB" w:eastAsia="en-US"/>
        </w:rPr>
        <w:t xml:space="preserve"> et al., 2016). Beyond the immediate gain in throughput, such approaches create a consistent digital interface for label generation: the same imaging setup can be used across sites, and the same computational pipeline can produce standardized counts, reducing inter-reader variation. In Nigeria, where diagnostic capacity is unevenly distributed, smartphone-enabled imaging can also support “hub-and-spoke” systems in which peripheral sites capture images while regional hubs perform verification and oversight.</w:t>
      </w:r>
    </w:p>
    <w:p w14:paraId="5F7BA966"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Deep learning extends digital parasitology by improving robustness under variable imaging conditions and by reducing dependence on handcrafted image-processing rules. Microscopy images collected in real field environments can vary in illumination, focus, debris content, and background artifacts—conditions that often degrade classical image analysis. Lightweight deep-learning models for parasite egg detection illustrate how modern object detection approaches can be adapted to microscopy while keeping computational requirements low enough for practical deployment (Xu et al., 2024). The “lightweight” emphasis is especially relevant where internet connectivity is inconsistent or where devices need to run offline. For helminth prediction in cattle, such models can serve two complementary roles. First, they can generate quantitative labels more quickly (e.g., automated counts or count ranges), accelerating data accumulation. Second, they can provide </w:t>
      </w:r>
      <w:r w:rsidRPr="00DE6DEE">
        <w:rPr>
          <w:color w:val="auto"/>
          <w:kern w:val="0"/>
          <w:lang w:val="en-GB" w:eastAsia="en-US"/>
        </w:rPr>
        <w:lastRenderedPageBreak/>
        <w:t>near-real-time triage signals—flagging high-burden samples for confirmatory checks—thereby making limited expert time more impactful. Importantly, these benefits are maximized when the system is designed with human-in-the-loop safeguards, where uncertain detections are routed for review and the reviewed cases are used to improve the model iteratively.</w:t>
      </w:r>
    </w:p>
    <w:p w14:paraId="261E9682"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A major advantage of AI-enabled diagnostics for prediction is not only speed but also the ability to capture richer metadata. Image-based workflows can easily store time, location, device settings, and operator identifiers alongside diagnostic outputs. For Nigeria, this metadata can materially improve model performance and interpretability because it supports spatiotemporal </w:t>
      </w:r>
      <w:proofErr w:type="spellStart"/>
      <w:r w:rsidRPr="00DE6DEE">
        <w:rPr>
          <w:color w:val="auto"/>
          <w:kern w:val="0"/>
          <w:lang w:val="en-GB" w:eastAsia="en-US"/>
        </w:rPr>
        <w:t>modeling</w:t>
      </w:r>
      <w:proofErr w:type="spellEnd"/>
      <w:r w:rsidRPr="00DE6DEE">
        <w:rPr>
          <w:color w:val="auto"/>
          <w:kern w:val="0"/>
          <w:lang w:val="en-GB" w:eastAsia="en-US"/>
        </w:rPr>
        <w:t xml:space="preserve"> and helps detect systematic biases (for example, if one site consistently reports higher counts because of preparation differences). It also supports continuous monitoring of diagnostic drift, which is essential for maintaining predictive accuracy across years. When prediction models are updated with new data, these metadata can help distinguish real epidemiological change (such as seasonal shifts) from process change (such as a new technician or a new microscope).</w:t>
      </w:r>
    </w:p>
    <w:p w14:paraId="7E80B4A4"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 xml:space="preserve">While egg counting is central, species composition matters for biological interpretation and longer-term robustness. Traditional microscopy often aggregates multiple nematode species into “strongyle-type” eggs, limiting species-aware forecasting. Integrating digital egg counting platforms with metabarcoding can address this gap by linking quantitative egg outputs to nematode community composition. FECPAKG2 egg </w:t>
      </w:r>
      <w:proofErr w:type="spellStart"/>
      <w:r w:rsidRPr="00DE6DEE">
        <w:rPr>
          <w:color w:val="auto"/>
          <w:kern w:val="0"/>
          <w:lang w:val="en-GB" w:eastAsia="en-US"/>
        </w:rPr>
        <w:t>nemabiome</w:t>
      </w:r>
      <w:proofErr w:type="spellEnd"/>
      <w:r w:rsidRPr="00DE6DEE">
        <w:rPr>
          <w:color w:val="auto"/>
          <w:kern w:val="0"/>
          <w:lang w:val="en-GB" w:eastAsia="en-US"/>
        </w:rPr>
        <w:t xml:space="preserve"> metabarcoding has been described as an approach to fast-track and broaden access to gastrointestinal nematode identification from </w:t>
      </w:r>
      <w:proofErr w:type="spellStart"/>
      <w:r w:rsidRPr="00DE6DEE">
        <w:rPr>
          <w:color w:val="auto"/>
          <w:kern w:val="0"/>
          <w:lang w:val="en-GB" w:eastAsia="en-US"/>
        </w:rPr>
        <w:t>feces</w:t>
      </w:r>
      <w:proofErr w:type="spellEnd"/>
      <w:r w:rsidRPr="00DE6DEE">
        <w:rPr>
          <w:color w:val="auto"/>
          <w:kern w:val="0"/>
          <w:lang w:val="en-GB" w:eastAsia="en-US"/>
        </w:rPr>
        <w:t xml:space="preserve">, providing species-level information that microscopy alone may not resolve (Francis &amp; </w:t>
      </w:r>
      <w:proofErr w:type="spellStart"/>
      <w:r w:rsidRPr="00DE6DEE">
        <w:rPr>
          <w:color w:val="auto"/>
          <w:kern w:val="0"/>
          <w:lang w:val="en-GB" w:eastAsia="en-US"/>
        </w:rPr>
        <w:t>Šlapeta</w:t>
      </w:r>
      <w:proofErr w:type="spellEnd"/>
      <w:r w:rsidRPr="00DE6DEE">
        <w:rPr>
          <w:color w:val="auto"/>
          <w:kern w:val="0"/>
          <w:lang w:val="en-GB" w:eastAsia="en-US"/>
        </w:rPr>
        <w:t>, 2022). In a Nigerian scaling strategy, such molecular approaches can be deployed as periodic sentinel calibration rather than routine testing everywhere. For example, a subset of samples from different ecological zones and seasons can undergo metabarcoding to characterize species assemblages. Those results can then be used to interpret shifts in predictive performance, adjust risk models, and ensure that models trained on egg counts remain relevant when parasite communities vary across regions or change over time.</w:t>
      </w:r>
    </w:p>
    <w:p w14:paraId="2A9EF95B" w14:textId="77777777" w:rsidR="00DE6DEE" w:rsidRPr="00DE6DEE" w:rsidRDefault="00DE6DEE" w:rsidP="00027C4A">
      <w:pPr>
        <w:spacing w:before="100" w:beforeAutospacing="1" w:after="100" w:afterAutospacing="1" w:line="240" w:lineRule="auto"/>
        <w:ind w:left="0" w:right="0" w:firstLine="0"/>
        <w:rPr>
          <w:color w:val="auto"/>
          <w:kern w:val="0"/>
          <w:lang w:val="en-GB" w:eastAsia="en-US"/>
        </w:rPr>
      </w:pPr>
      <w:r w:rsidRPr="00DE6DEE">
        <w:rPr>
          <w:color w:val="auto"/>
          <w:kern w:val="0"/>
          <w:lang w:val="en-GB" w:eastAsia="en-US"/>
        </w:rPr>
        <w:t>Ultimately, AI-enabled diagnostics make scalable prediction feasible by enabling a closed-loop system: standardized counting (</w:t>
      </w:r>
      <w:proofErr w:type="spellStart"/>
      <w:r w:rsidRPr="00DE6DEE">
        <w:rPr>
          <w:color w:val="auto"/>
          <w:kern w:val="0"/>
          <w:lang w:val="en-GB" w:eastAsia="en-US"/>
        </w:rPr>
        <w:t>Cringoli</w:t>
      </w:r>
      <w:proofErr w:type="spellEnd"/>
      <w:r w:rsidRPr="00DE6DEE">
        <w:rPr>
          <w:color w:val="auto"/>
          <w:kern w:val="0"/>
          <w:lang w:val="en-GB" w:eastAsia="en-US"/>
        </w:rPr>
        <w:t xml:space="preserve"> et al., 2017), digitized and automated egg quantification (</w:t>
      </w:r>
      <w:proofErr w:type="spellStart"/>
      <w:r w:rsidRPr="00DE6DEE">
        <w:rPr>
          <w:color w:val="auto"/>
          <w:kern w:val="0"/>
          <w:lang w:val="en-GB" w:eastAsia="en-US"/>
        </w:rPr>
        <w:t>Slusarewicz</w:t>
      </w:r>
      <w:proofErr w:type="spellEnd"/>
      <w:r w:rsidRPr="00DE6DEE">
        <w:rPr>
          <w:color w:val="auto"/>
          <w:kern w:val="0"/>
          <w:lang w:val="en-GB" w:eastAsia="en-US"/>
        </w:rPr>
        <w:t xml:space="preserve"> et al., 2016), robust lightweight detection suited to constrained environments (Xu et al., 2024), and periodic species-resolution grounding through metabarcoding (Francis &amp; </w:t>
      </w:r>
      <w:proofErr w:type="spellStart"/>
      <w:r w:rsidRPr="00DE6DEE">
        <w:rPr>
          <w:color w:val="auto"/>
          <w:kern w:val="0"/>
          <w:lang w:val="en-GB" w:eastAsia="en-US"/>
        </w:rPr>
        <w:t>Šlapeta</w:t>
      </w:r>
      <w:proofErr w:type="spellEnd"/>
      <w:r w:rsidRPr="00DE6DEE">
        <w:rPr>
          <w:color w:val="auto"/>
          <w:kern w:val="0"/>
          <w:lang w:val="en-GB" w:eastAsia="en-US"/>
        </w:rPr>
        <w:t xml:space="preserve">, 2022). In operational terms, this foundation supports stepwise deployment in Nigeria—starting with digitization and standardized protocols at sentinel sites, expanding to mobile-enabled screening, and progressively strengthening model calibration as more high-quality </w:t>
      </w:r>
      <w:proofErr w:type="spellStart"/>
      <w:r w:rsidRPr="00DE6DEE">
        <w:rPr>
          <w:color w:val="auto"/>
          <w:kern w:val="0"/>
          <w:lang w:val="en-GB" w:eastAsia="en-US"/>
        </w:rPr>
        <w:t>labeled</w:t>
      </w:r>
      <w:proofErr w:type="spellEnd"/>
      <w:r w:rsidRPr="00DE6DEE">
        <w:rPr>
          <w:color w:val="auto"/>
          <w:kern w:val="0"/>
          <w:lang w:val="en-GB" w:eastAsia="en-US"/>
        </w:rPr>
        <w:t xml:space="preserve"> data accumulate across agro-ecological zones.</w:t>
      </w:r>
    </w:p>
    <w:p w14:paraId="2FD0E29D" w14:textId="77777777" w:rsidR="00E53D40" w:rsidRPr="00E53D40" w:rsidRDefault="00E53D40" w:rsidP="00027C4A">
      <w:pPr>
        <w:spacing w:after="0" w:line="240" w:lineRule="auto"/>
        <w:ind w:left="0" w:right="0" w:firstLine="0"/>
        <w:rPr>
          <w:color w:val="auto"/>
          <w:kern w:val="0"/>
          <w:lang w:val="en-GB" w:eastAsia="en-US"/>
        </w:rPr>
      </w:pPr>
    </w:p>
    <w:p w14:paraId="7B92709B"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7. Model development considerations for Nigerian helminth prediction systems</w:t>
      </w:r>
    </w:p>
    <w:p w14:paraId="3BF6E6C4"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Helminth prediction in cattle involves methodological pitfalls that can quietly undermine usefulness if not addressed. The first is label noise. FEC is influenced by egg output variability and technique-specific sensitivity. To mitigate this, models should be trained on </w:t>
      </w:r>
      <w:r w:rsidRPr="00E53D40">
        <w:rPr>
          <w:color w:val="auto"/>
          <w:kern w:val="0"/>
          <w:lang w:val="en-GB" w:eastAsia="en-US"/>
        </w:rPr>
        <w:lastRenderedPageBreak/>
        <w:t>repeated measures when possible, or incorporate uncertainty-aware approaches that treat observed FEC as an imperfect proxy rather than absolute truth. Standardization through protocols such as Mini-FLOTAC improves comparability and reduces systematic noise (</w:t>
      </w:r>
      <w:proofErr w:type="spellStart"/>
      <w:r w:rsidRPr="00E53D40">
        <w:rPr>
          <w:color w:val="auto"/>
          <w:kern w:val="0"/>
          <w:lang w:val="en-GB" w:eastAsia="en-US"/>
        </w:rPr>
        <w:t>Cringoli</w:t>
      </w:r>
      <w:proofErr w:type="spellEnd"/>
      <w:r w:rsidRPr="00E53D40">
        <w:rPr>
          <w:color w:val="auto"/>
          <w:kern w:val="0"/>
          <w:lang w:val="en-GB" w:eastAsia="en-US"/>
        </w:rPr>
        <w:t xml:space="preserve"> et al., 2017). </w:t>
      </w:r>
    </w:p>
    <w:p w14:paraId="09FFBBCE" w14:textId="232360B6"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The second pitfall is temporal and spatial leakage. If training and testing data are randomly split without regard to time, the model may learn short-term correlations that do not hold prospectively. For operational prediction, evaluation should include time-forward validation where models are trained on earlier periods and tested on later periods, and geographic validation</w:t>
      </w:r>
      <w:r w:rsidR="008C04E4">
        <w:rPr>
          <w:color w:val="auto"/>
          <w:kern w:val="0"/>
          <w:lang w:val="en-GB" w:eastAsia="en-US"/>
        </w:rPr>
        <w:t>,</w:t>
      </w:r>
      <w:r w:rsidRPr="00E53D40">
        <w:rPr>
          <w:color w:val="auto"/>
          <w:kern w:val="0"/>
          <w:lang w:val="en-GB" w:eastAsia="en-US"/>
        </w:rPr>
        <w:t xml:space="preserve"> where models are tested on regions not used in training. This is especially important in Nigeria</w:t>
      </w:r>
      <w:r w:rsidR="008C04E4">
        <w:rPr>
          <w:color w:val="auto"/>
          <w:kern w:val="0"/>
          <w:lang w:val="en-GB" w:eastAsia="en-US"/>
        </w:rPr>
        <w:t>,</w:t>
      </w:r>
      <w:r w:rsidRPr="00E53D40">
        <w:rPr>
          <w:color w:val="auto"/>
          <w:kern w:val="0"/>
          <w:lang w:val="en-GB" w:eastAsia="en-US"/>
        </w:rPr>
        <w:t xml:space="preserve"> where </w:t>
      </w:r>
      <w:proofErr w:type="spellStart"/>
      <w:r w:rsidRPr="00E53D40">
        <w:rPr>
          <w:color w:val="auto"/>
          <w:kern w:val="0"/>
          <w:lang w:val="en-GB" w:eastAsia="en-US"/>
        </w:rPr>
        <w:t>agro</w:t>
      </w:r>
      <w:proofErr w:type="spellEnd"/>
      <w:r w:rsidRPr="00E53D40">
        <w:rPr>
          <w:color w:val="auto"/>
          <w:kern w:val="0"/>
          <w:lang w:val="en-GB" w:eastAsia="en-US"/>
        </w:rPr>
        <w:t xml:space="preserve">-ecological differences are large and where </w:t>
      </w:r>
      <w:r w:rsidRPr="008C04E4">
        <w:rPr>
          <w:color w:val="auto"/>
          <w:kern w:val="0"/>
          <w:highlight w:val="yellow"/>
          <w:lang w:val="en-GB" w:eastAsia="en-US"/>
        </w:rPr>
        <w:t>trade</w:t>
      </w:r>
      <w:r w:rsidR="008C04E4" w:rsidRPr="008C04E4">
        <w:rPr>
          <w:color w:val="auto"/>
          <w:kern w:val="0"/>
          <w:highlight w:val="yellow"/>
          <w:lang w:val="en-GB" w:eastAsia="en-US"/>
        </w:rPr>
        <w:t>d</w:t>
      </w:r>
      <w:r w:rsidRPr="008C04E4">
        <w:rPr>
          <w:color w:val="auto"/>
          <w:kern w:val="0"/>
          <w:highlight w:val="yellow"/>
          <w:lang w:val="en-GB" w:eastAsia="en-US"/>
        </w:rPr>
        <w:t xml:space="preserve"> cattle ma</w:t>
      </w:r>
      <w:r w:rsidRPr="00E53D40">
        <w:rPr>
          <w:color w:val="auto"/>
          <w:kern w:val="0"/>
          <w:lang w:val="en-GB" w:eastAsia="en-US"/>
        </w:rPr>
        <w:t>y represent multiple origins.</w:t>
      </w:r>
    </w:p>
    <w:p w14:paraId="32D49611"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The third pitfall is imbalance and decision thresholds. Many herds may have moderate FEC most of the time, with spikes in a subset of animals or seasons. Models should therefore be evaluated not only with overall accuracy but also with metrics that reflect detection of high-burden cases relevant to treatment decisions. Threshold choice should be guided by the operational goal: minimizing missed high-burden animals for TST, or minimizing unnecessary treatments to slow resistance</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E53D40">
        <w:rPr>
          <w:color w:val="auto"/>
          <w:kern w:val="0"/>
          <w:lang w:val="en-GB" w:eastAsia="en-US"/>
        </w:rPr>
        <w:t>.</w:t>
      </w:r>
    </w:p>
    <w:p w14:paraId="208DE7EA"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The fourth issue is interpretability and trust. Adoption in Nigerian veterinary and extension contexts will depend on whether models produce actionable explanations, such as which predictors drove a high-risk flag. Interpretable frameworks—rule-based models, Bayesian networks, or post-hoc explanations for complex models—can support trust and facilitate training of practitioners. This matters because prediction is ultimately a </w:t>
      </w:r>
      <w:proofErr w:type="spellStart"/>
      <w:r w:rsidRPr="00E53D40">
        <w:rPr>
          <w:color w:val="auto"/>
          <w:kern w:val="0"/>
          <w:lang w:val="en-GB" w:eastAsia="en-US"/>
        </w:rPr>
        <w:t>behavioral</w:t>
      </w:r>
      <w:proofErr w:type="spellEnd"/>
      <w:r w:rsidRPr="00E53D40">
        <w:rPr>
          <w:color w:val="auto"/>
          <w:kern w:val="0"/>
          <w:lang w:val="en-GB" w:eastAsia="en-US"/>
        </w:rPr>
        <w:t xml:space="preserve"> intervention: it changes when treatments are given and how grazing decisions are made.</w:t>
      </w:r>
    </w:p>
    <w:p w14:paraId="7F06B866"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Finally, data integration is a practical challenge. Even outside helminth-specific work, ML studies in cattle demonstrate that integrating diverse data sources can improve disease risk prediction, provided careful feature harmonization and validation are performed (Lasser et al., 2021). For helminths, this suggests value in combining climate summaries with basic animal indicators and limited laboratory data, rather than relying on any single data source.</w:t>
      </w:r>
    </w:p>
    <w:p w14:paraId="3FDD0A54" w14:textId="77777777" w:rsidR="00E53D40" w:rsidRPr="00E53D40" w:rsidRDefault="00E53D40" w:rsidP="00027C4A">
      <w:pPr>
        <w:spacing w:after="0" w:line="240" w:lineRule="auto"/>
        <w:ind w:left="0" w:right="0" w:firstLine="0"/>
        <w:rPr>
          <w:color w:val="auto"/>
          <w:kern w:val="0"/>
          <w:lang w:val="en-GB" w:eastAsia="en-US"/>
        </w:rPr>
      </w:pPr>
    </w:p>
    <w:p w14:paraId="1DE21A4D"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8. Deployment pathways and decision support designs suited to Nigeria</w:t>
      </w:r>
    </w:p>
    <w:p w14:paraId="0617B107"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A Nigerian helminth prediction system should be designed around realistic workflows. One feasible approach is a mobile-enabled risk scoring tool that uses a small set of predictors: location, month or week of year, recent rainfall proxies (where accessible), age class, body condition, and last deworming date. The output can be a risk tier with recommended actions, such as “prioritize testing,” “consider TST,” or “monitor without treatment.” As diagnostic capacity grows, the system can incorporate FEC values and update risk calibration.</w:t>
      </w:r>
    </w:p>
    <w:p w14:paraId="55EEFDBB"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second pathway is an abattoir-anchored surveillance and forecasting loop. Abattoirs already concentrate animals from multiple origins. With standardized sampling, abattoir data can provide near-real-time signals of regional helminth burden in trade cattle, informing </w:t>
      </w:r>
      <w:r w:rsidRPr="00E53D40">
        <w:rPr>
          <w:color w:val="auto"/>
          <w:kern w:val="0"/>
          <w:lang w:val="en-GB" w:eastAsia="en-US"/>
        </w:rPr>
        <w:lastRenderedPageBreak/>
        <w:t>targeted extension messaging and guiding where to deploy limited diagnostic resources. Studies from Nigerian abattoir contexts illustrate both the feasibility and epidemiological value of such surveillance (</w:t>
      </w:r>
      <w:proofErr w:type="spellStart"/>
      <w:r w:rsidRPr="00E53D40">
        <w:rPr>
          <w:color w:val="auto"/>
          <w:kern w:val="0"/>
          <w:lang w:val="en-GB" w:eastAsia="en-US"/>
        </w:rPr>
        <w:t>Adedipe</w:t>
      </w:r>
      <w:proofErr w:type="spellEnd"/>
      <w:r w:rsidRPr="00E53D40">
        <w:rPr>
          <w:color w:val="auto"/>
          <w:kern w:val="0"/>
          <w:lang w:val="en-GB" w:eastAsia="en-US"/>
        </w:rPr>
        <w:t xml:space="preserve"> et al., 2014). </w:t>
      </w:r>
    </w:p>
    <w:p w14:paraId="4C88E4DF"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third pathway is climate-informed seasonal forecasting. In many Nigerian zones, rainfall onset and duration strongly shape pasture conditions. Mechanistic models such as GLOWORM-FL demonstrate how climate-driven </w:t>
      </w:r>
      <w:proofErr w:type="spellStart"/>
      <w:r w:rsidRPr="00E53D40">
        <w:rPr>
          <w:color w:val="auto"/>
          <w:kern w:val="0"/>
          <w:lang w:val="en-GB" w:eastAsia="en-US"/>
        </w:rPr>
        <w:t>modeling</w:t>
      </w:r>
      <w:proofErr w:type="spellEnd"/>
      <w:r w:rsidRPr="00E53D40">
        <w:rPr>
          <w:color w:val="auto"/>
          <w:kern w:val="0"/>
          <w:lang w:val="en-GB" w:eastAsia="en-US"/>
        </w:rPr>
        <w:t xml:space="preserve"> can generate seasonal infection-pressure forecasts (Rose et al., 2015). A practical Nigerian implementation could use publicly available climate summaries to produce district-level risk calendars that are updated monthly, paired with locally calibrated rules for when to intensify monitoring.</w:t>
      </w:r>
    </w:p>
    <w:p w14:paraId="3AC1151B"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fourth pathway is coupling prediction with TST principles to reduce drug pressure. TST frameworks emphasize treating individuals most likely to benefit while preserving refugia (Kenyon et al., 2009). Prediction models can operationalize this by identifying likely high shedders or high-risk animals, thereby linking AI to resistance-aware parasite control. Because anthelmintic resistance is a recognized global threat in cattle nematodes, reducing unnecessary treatments is a concrete sustainability outcome (Sutherland &amp; </w:t>
      </w:r>
      <w:proofErr w:type="spellStart"/>
      <w:r w:rsidRPr="00E53D40">
        <w:rPr>
          <w:color w:val="auto"/>
          <w:kern w:val="0"/>
          <w:lang w:val="en-GB" w:eastAsia="en-US"/>
        </w:rPr>
        <w:t>Leathwick</w:t>
      </w:r>
      <w:proofErr w:type="spellEnd"/>
      <w:r w:rsidRPr="00E53D40">
        <w:rPr>
          <w:color w:val="auto"/>
          <w:kern w:val="0"/>
          <w:lang w:val="en-GB" w:eastAsia="en-US"/>
        </w:rPr>
        <w:t xml:space="preserve">, 2011). </w:t>
      </w:r>
    </w:p>
    <w:p w14:paraId="1C537B56" w14:textId="77777777" w:rsidR="00E53D40" w:rsidRPr="00E53D40" w:rsidRDefault="00E53D40" w:rsidP="00027C4A">
      <w:pPr>
        <w:spacing w:after="0" w:line="240" w:lineRule="auto"/>
        <w:ind w:left="0" w:right="0" w:firstLine="0"/>
        <w:rPr>
          <w:color w:val="auto"/>
          <w:kern w:val="0"/>
          <w:lang w:val="en-GB" w:eastAsia="en-US"/>
        </w:rPr>
      </w:pPr>
    </w:p>
    <w:p w14:paraId="49AF5381"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9. Research priorities for Nigeria: building datasets, capacity, and governance</w:t>
      </w:r>
    </w:p>
    <w:p w14:paraId="66235DB8"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 primary research need is the creation of multi-site, multi-season reference datasets spanning Nigeria’s major agro-ecological zones. These datasets should include standardized FEC protocols, minimal animal metadata, and </w:t>
      </w:r>
      <w:proofErr w:type="spellStart"/>
      <w:r w:rsidRPr="00E53D40">
        <w:rPr>
          <w:color w:val="auto"/>
          <w:kern w:val="0"/>
          <w:lang w:val="en-GB" w:eastAsia="en-US"/>
        </w:rPr>
        <w:t>geotemporal</w:t>
      </w:r>
      <w:proofErr w:type="spellEnd"/>
      <w:r w:rsidRPr="00E53D40">
        <w:rPr>
          <w:color w:val="auto"/>
          <w:kern w:val="0"/>
          <w:lang w:val="en-GB" w:eastAsia="en-US"/>
        </w:rPr>
        <w:t xml:space="preserve"> tags, enabling both short-term forecasting and cross-regional validation. AI-assisted microscopy and digitized workflows can reduce the </w:t>
      </w:r>
      <w:proofErr w:type="spellStart"/>
      <w:r w:rsidRPr="00E53D40">
        <w:rPr>
          <w:color w:val="auto"/>
          <w:kern w:val="0"/>
          <w:lang w:val="en-GB" w:eastAsia="en-US"/>
        </w:rPr>
        <w:t>labor</w:t>
      </w:r>
      <w:proofErr w:type="spellEnd"/>
      <w:r w:rsidRPr="00E53D40">
        <w:rPr>
          <w:color w:val="auto"/>
          <w:kern w:val="0"/>
          <w:lang w:val="en-GB" w:eastAsia="en-US"/>
        </w:rPr>
        <w:t xml:space="preserve"> of generating labels, while sentinel molecular surveys can provide periodic species composition ground truth (Francis &amp; </w:t>
      </w:r>
      <w:proofErr w:type="spellStart"/>
      <w:r w:rsidRPr="00E53D40">
        <w:rPr>
          <w:color w:val="auto"/>
          <w:kern w:val="0"/>
          <w:lang w:val="en-GB" w:eastAsia="en-US"/>
        </w:rPr>
        <w:t>Šlapeta</w:t>
      </w:r>
      <w:proofErr w:type="spellEnd"/>
      <w:r w:rsidRPr="00E53D40">
        <w:rPr>
          <w:color w:val="auto"/>
          <w:kern w:val="0"/>
          <w:lang w:val="en-GB" w:eastAsia="en-US"/>
        </w:rPr>
        <w:t xml:space="preserve">, 2022). </w:t>
      </w:r>
    </w:p>
    <w:p w14:paraId="75CF3E39"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A second priority is model benchmarking under Nigerian constraints. Models should be compared using evaluation designs that reflect real deployment: forward-in-time testing, out-of-region testing, and robustness to missing inputs. Lightweight models that maintain reasonable performance with limited features may outperform complex models that are fragile in the field.</w:t>
      </w:r>
    </w:p>
    <w:p w14:paraId="2A92FD81"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A third priority is human-</w:t>
      </w:r>
      <w:proofErr w:type="spellStart"/>
      <w:r w:rsidRPr="00E53D40">
        <w:rPr>
          <w:color w:val="auto"/>
          <w:kern w:val="0"/>
          <w:lang w:val="en-GB" w:eastAsia="en-US"/>
        </w:rPr>
        <w:t>centered</w:t>
      </w:r>
      <w:proofErr w:type="spellEnd"/>
      <w:r w:rsidRPr="00E53D40">
        <w:rPr>
          <w:color w:val="auto"/>
          <w:kern w:val="0"/>
          <w:lang w:val="en-GB" w:eastAsia="en-US"/>
        </w:rPr>
        <w:t xml:space="preserve"> design and training. Tools must align with the skills and incentives of veterinary officers, paraprofessionals, extension agents, and farmers. Prediction outputs should be phrased as actionable decisions and accompanied by transparent rationale. Broader advances in AI for veterinary and animal science highlight both opportunities and challenges related to data quality, deployment, and responsible use, offering useful cross-domain lessons (Hossein-Zadeh, 2025). </w:t>
      </w:r>
    </w:p>
    <w:p w14:paraId="64140DCF"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A fourth priority is governance, privacy, and sustainability. Even when personal data are not central, livestock data can be economically sensitive. Data-sharing agreements and stewardship structures are needed so that researchers, government services, and producer organizations can collaborate without undermining trust. In addition, long-term sustainability requires plans for model updating, monitoring drift due to climate variability or changing drug practices, and maintaining diagnostic quality.</w:t>
      </w:r>
    </w:p>
    <w:p w14:paraId="7062B721" w14:textId="77777777" w:rsidR="00E53D40" w:rsidRPr="00E53D40" w:rsidRDefault="00E53D40" w:rsidP="00027C4A">
      <w:pPr>
        <w:spacing w:after="0" w:line="240" w:lineRule="auto"/>
        <w:ind w:left="0" w:right="0" w:firstLine="0"/>
        <w:rPr>
          <w:color w:val="auto"/>
          <w:kern w:val="0"/>
          <w:lang w:val="en-GB" w:eastAsia="en-US"/>
        </w:rPr>
      </w:pPr>
    </w:p>
    <w:p w14:paraId="161873A3"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10. Conclusions</w:t>
      </w:r>
    </w:p>
    <w:p w14:paraId="4318F76D"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AI and ML can enable a shift in Nigerian cattle helminth control from reactive deworming toward prediction-informed management, improving the timing and targeting of interventions. The strongest near-term opportunities lie in combining climate-informed seasonal forecasting with practical animal- and herd-level risk predictors, and in using AI-assisted diagnostics to expand the availability and standardization of </w:t>
      </w:r>
      <w:proofErr w:type="spellStart"/>
      <w:r w:rsidRPr="00E53D40">
        <w:rPr>
          <w:color w:val="auto"/>
          <w:kern w:val="0"/>
          <w:lang w:val="en-GB" w:eastAsia="en-US"/>
        </w:rPr>
        <w:t>fecal</w:t>
      </w:r>
      <w:proofErr w:type="spellEnd"/>
      <w:r w:rsidRPr="00E53D40">
        <w:rPr>
          <w:color w:val="auto"/>
          <w:kern w:val="0"/>
          <w:lang w:val="en-GB" w:eastAsia="en-US"/>
        </w:rPr>
        <w:t xml:space="preserve"> egg count data. Integrating prediction tools with targeted selective treatment principles can reduce unnecessary drug exposure and support more sustainable parasite control. Achieving scalable impact in Nigeria will require deliberate investment in multi-zone datasets, robust validation designs, field-friendly deployment pathways, and training and governance structures that promote trust and long-term maintenance.</w:t>
      </w:r>
    </w:p>
    <w:p w14:paraId="2FD8E7D1" w14:textId="77777777" w:rsidR="00E53D40" w:rsidRPr="00E53D40" w:rsidRDefault="00E53D40" w:rsidP="00027C4A">
      <w:pPr>
        <w:spacing w:after="0" w:line="240" w:lineRule="auto"/>
        <w:ind w:left="0" w:right="0" w:firstLine="0"/>
        <w:rPr>
          <w:color w:val="auto"/>
          <w:kern w:val="0"/>
          <w:lang w:val="en-GB" w:eastAsia="en-US"/>
        </w:rPr>
      </w:pPr>
    </w:p>
    <w:p w14:paraId="2F4200E3"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11. Limitations</w:t>
      </w:r>
    </w:p>
    <w:p w14:paraId="1228D4A4" w14:textId="77777777" w:rsidR="00E53D40" w:rsidRPr="00E53D40" w:rsidRDefault="00E53D40" w:rsidP="00027C4A">
      <w:pPr>
        <w:spacing w:before="100" w:beforeAutospacing="1" w:after="100" w:afterAutospacing="1" w:line="240" w:lineRule="auto"/>
        <w:ind w:left="0" w:right="0" w:firstLine="0"/>
        <w:rPr>
          <w:color w:val="auto"/>
          <w:kern w:val="0"/>
          <w:lang w:val="en-GB" w:eastAsia="en-US"/>
        </w:rPr>
      </w:pPr>
      <w:r w:rsidRPr="00E53D40">
        <w:rPr>
          <w:color w:val="auto"/>
          <w:kern w:val="0"/>
          <w:lang w:val="en-GB" w:eastAsia="en-US"/>
        </w:rPr>
        <w:t xml:space="preserve">This review synthesizes evidence across diverse </w:t>
      </w:r>
      <w:proofErr w:type="spellStart"/>
      <w:r w:rsidRPr="00E53D40">
        <w:rPr>
          <w:color w:val="auto"/>
          <w:kern w:val="0"/>
          <w:lang w:val="en-GB" w:eastAsia="en-US"/>
        </w:rPr>
        <w:t>modeling</w:t>
      </w:r>
      <w:proofErr w:type="spellEnd"/>
      <w:r w:rsidRPr="00E53D40">
        <w:rPr>
          <w:color w:val="auto"/>
          <w:kern w:val="0"/>
          <w:lang w:val="en-GB" w:eastAsia="en-US"/>
        </w:rPr>
        <w:t xml:space="preserve"> and diagnostic paradigms, but the availability of cattle-specific helminth prediction studies directly conducted in Nigeria remains limited relative to the scale of the problem. Consequently, some methodological recommendations are drawn from transferable AI and veterinary ML literature rather than Nigeria-only prediction trials. In addition, helminth outcomes are often measured using imperfect proxies such as </w:t>
      </w:r>
      <w:proofErr w:type="spellStart"/>
      <w:r w:rsidRPr="00E53D40">
        <w:rPr>
          <w:color w:val="auto"/>
          <w:kern w:val="0"/>
          <w:lang w:val="en-GB" w:eastAsia="en-US"/>
        </w:rPr>
        <w:t>fecal</w:t>
      </w:r>
      <w:proofErr w:type="spellEnd"/>
      <w:r w:rsidRPr="00E53D40">
        <w:rPr>
          <w:color w:val="auto"/>
          <w:kern w:val="0"/>
          <w:lang w:val="en-GB" w:eastAsia="en-US"/>
        </w:rPr>
        <w:t xml:space="preserve"> egg counts, which introduces uncertainty that must be explicitly managed in real-world deployments. Finally, successful translation of AI tools into Nigerian practice depends on infrastructure, incentives, and workforce capacity that extend beyond technical model performance.</w:t>
      </w:r>
    </w:p>
    <w:p w14:paraId="770FB35A" w14:textId="77777777" w:rsidR="000F7516" w:rsidRDefault="000F7516" w:rsidP="00027C4A">
      <w:pPr>
        <w:rPr>
          <w:rFonts w:ascii="Calibri" w:eastAsia="Calibri" w:hAnsi="Calibri"/>
          <w:highlight w:val="yellow"/>
          <w:lang w:val="en-US"/>
        </w:rPr>
      </w:pPr>
      <w:bookmarkStart w:id="0" w:name="_Hlk221270586"/>
    </w:p>
    <w:p w14:paraId="30607177" w14:textId="77777777" w:rsidR="000F7516" w:rsidRPr="00005ED1" w:rsidRDefault="000F7516" w:rsidP="00027C4A">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EEDC01D" w14:textId="77777777" w:rsidR="000F7516" w:rsidRPr="00005ED1" w:rsidRDefault="000F7516" w:rsidP="00027C4A">
      <w:pPr>
        <w:pStyle w:val="NoSpacing"/>
        <w:rPr>
          <w:rFonts w:ascii="Arial" w:hAnsi="Arial" w:cs="Arial"/>
          <w:highlight w:val="yellow"/>
        </w:rPr>
      </w:pPr>
    </w:p>
    <w:p w14:paraId="01F0093B" w14:textId="77777777" w:rsidR="000F7516" w:rsidRPr="00005ED1" w:rsidRDefault="000F7516" w:rsidP="00027C4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0"/>
    <w:bookmarkEnd w:id="2"/>
    <w:p w14:paraId="437258B1" w14:textId="77777777" w:rsidR="00E53D40" w:rsidRPr="00E53D40" w:rsidRDefault="00E53D40" w:rsidP="00027C4A">
      <w:pPr>
        <w:spacing w:after="0" w:line="240" w:lineRule="auto"/>
        <w:ind w:left="0" w:right="0" w:firstLine="0"/>
        <w:rPr>
          <w:color w:val="auto"/>
          <w:kern w:val="0"/>
          <w:lang w:val="en-GB" w:eastAsia="en-US"/>
        </w:rPr>
      </w:pPr>
    </w:p>
    <w:p w14:paraId="14C15239" w14:textId="77777777" w:rsidR="00E53D40" w:rsidRPr="00E53D40" w:rsidRDefault="00E53D40" w:rsidP="00027C4A">
      <w:pPr>
        <w:spacing w:before="100" w:beforeAutospacing="1" w:after="100" w:afterAutospacing="1" w:line="240" w:lineRule="auto"/>
        <w:ind w:left="0" w:right="0" w:firstLine="0"/>
        <w:outlineLvl w:val="1"/>
        <w:rPr>
          <w:b/>
          <w:bCs/>
          <w:color w:val="auto"/>
          <w:kern w:val="0"/>
          <w:sz w:val="36"/>
          <w:szCs w:val="36"/>
          <w:lang w:val="en-GB" w:eastAsia="en-US"/>
        </w:rPr>
      </w:pPr>
      <w:r w:rsidRPr="00E53D40">
        <w:rPr>
          <w:b/>
          <w:bCs/>
          <w:color w:val="auto"/>
          <w:kern w:val="0"/>
          <w:sz w:val="36"/>
          <w:szCs w:val="36"/>
          <w:lang w:val="en-GB" w:eastAsia="en-US"/>
        </w:rPr>
        <w:t xml:space="preserve">References </w:t>
      </w:r>
    </w:p>
    <w:p w14:paraId="577C18F7" w14:textId="77777777" w:rsidR="0007783F" w:rsidRDefault="0007783F" w:rsidP="00027C4A">
      <w:pPr>
        <w:spacing w:before="240" w:after="240" w:line="240" w:lineRule="auto"/>
        <w:ind w:left="0" w:right="0" w:firstLine="0"/>
        <w:rPr>
          <w:kern w:val="0"/>
          <w:lang w:val="en-GB"/>
        </w:rPr>
      </w:pPr>
      <w:proofErr w:type="spellStart"/>
      <w:r w:rsidRPr="005D1B5F">
        <w:rPr>
          <w:color w:val="auto"/>
          <w:kern w:val="0"/>
          <w:lang w:val="en-US" w:eastAsia="en-US"/>
        </w:rPr>
        <w:t>Adedipe</w:t>
      </w:r>
      <w:proofErr w:type="spellEnd"/>
      <w:r w:rsidRPr="005D1B5F">
        <w:rPr>
          <w:color w:val="auto"/>
          <w:kern w:val="0"/>
          <w:lang w:val="en-US" w:eastAsia="en-US"/>
        </w:rPr>
        <w:t xml:space="preserve">, O. D., </w:t>
      </w:r>
      <w:proofErr w:type="spellStart"/>
      <w:r w:rsidRPr="005D1B5F">
        <w:rPr>
          <w:color w:val="auto"/>
          <w:kern w:val="0"/>
          <w:lang w:val="en-US" w:eastAsia="en-US"/>
        </w:rPr>
        <w:t>Uwalaka</w:t>
      </w:r>
      <w:proofErr w:type="spellEnd"/>
      <w:r w:rsidRPr="005D1B5F">
        <w:rPr>
          <w:color w:val="auto"/>
          <w:kern w:val="0"/>
          <w:lang w:val="en-US" w:eastAsia="en-US"/>
        </w:rPr>
        <w:t xml:space="preserve">, E. C., </w:t>
      </w:r>
      <w:proofErr w:type="spellStart"/>
      <w:r w:rsidRPr="005D1B5F">
        <w:rPr>
          <w:color w:val="auto"/>
          <w:kern w:val="0"/>
          <w:lang w:val="en-US" w:eastAsia="en-US"/>
        </w:rPr>
        <w:t>Akinseye</w:t>
      </w:r>
      <w:proofErr w:type="spellEnd"/>
      <w:r w:rsidRPr="005D1B5F">
        <w:rPr>
          <w:color w:val="auto"/>
          <w:kern w:val="0"/>
          <w:lang w:val="en-US" w:eastAsia="en-US"/>
        </w:rPr>
        <w:t xml:space="preserve">, V. O., Adediran, O. A., &amp; Cadmus, S. I. B. (2014). Gastrointestinal helminths in slaughtered cattle in Ibadan, South‐Western Nigeria. </w:t>
      </w:r>
      <w:r w:rsidRPr="005D1B5F">
        <w:rPr>
          <w:i/>
          <w:iCs/>
          <w:color w:val="auto"/>
          <w:kern w:val="0"/>
          <w:lang w:val="en-US" w:eastAsia="en-US"/>
        </w:rPr>
        <w:t>Journal of veterinary medicine</w:t>
      </w:r>
      <w:r w:rsidRPr="005D1B5F">
        <w:rPr>
          <w:color w:val="auto"/>
          <w:kern w:val="0"/>
          <w:lang w:val="en-US" w:eastAsia="en-US"/>
        </w:rPr>
        <w:t xml:space="preserve">, </w:t>
      </w:r>
      <w:r w:rsidRPr="005D1B5F">
        <w:rPr>
          <w:i/>
          <w:iCs/>
          <w:color w:val="auto"/>
          <w:kern w:val="0"/>
          <w:lang w:val="en-US" w:eastAsia="en-US"/>
        </w:rPr>
        <w:t>2014</w:t>
      </w:r>
      <w:r w:rsidRPr="005D1B5F">
        <w:rPr>
          <w:color w:val="auto"/>
          <w:kern w:val="0"/>
          <w:lang w:val="en-US" w:eastAsia="en-US"/>
        </w:rPr>
        <w:t>(1), 923561.</w:t>
      </w:r>
      <w:r>
        <w:rPr>
          <w:color w:val="auto"/>
          <w:kern w:val="0"/>
          <w:lang w:val="en-US" w:eastAsia="en-US"/>
        </w:rPr>
        <w:t xml:space="preserve"> </w:t>
      </w:r>
      <w:hyperlink r:id="rId8" w:history="1">
        <w:r w:rsidRPr="008B4E83">
          <w:rPr>
            <w:rStyle w:val="Hyperlink"/>
            <w:kern w:val="0"/>
            <w:lang w:val="en-GB"/>
          </w:rPr>
          <w:t>https://doi.org/10.1155/2014/923561</w:t>
        </w:r>
      </w:hyperlink>
      <w:r>
        <w:rPr>
          <w:kern w:val="0"/>
          <w:lang w:val="en-GB"/>
        </w:rPr>
        <w:t xml:space="preserve"> </w:t>
      </w:r>
      <w:r w:rsidRPr="0071692A">
        <w:rPr>
          <w:kern w:val="0"/>
          <w:lang w:val="en-GB"/>
        </w:rPr>
        <w:t xml:space="preserve"> </w:t>
      </w:r>
    </w:p>
    <w:p w14:paraId="4ED6A7C7" w14:textId="77777777" w:rsidR="0007783F" w:rsidRDefault="0007783F" w:rsidP="00027C4A">
      <w:pPr>
        <w:spacing w:before="240" w:after="240" w:line="240" w:lineRule="auto"/>
        <w:ind w:left="0" w:right="0" w:firstLine="0"/>
        <w:rPr>
          <w:kern w:val="0"/>
          <w:lang w:val="en-GB"/>
        </w:rPr>
      </w:pPr>
      <w:proofErr w:type="spellStart"/>
      <w:r w:rsidRPr="005D1B5F">
        <w:rPr>
          <w:color w:val="auto"/>
          <w:kern w:val="0"/>
          <w:lang w:val="en-US" w:eastAsia="en-US"/>
        </w:rPr>
        <w:t>Cringoli</w:t>
      </w:r>
      <w:proofErr w:type="spellEnd"/>
      <w:r w:rsidRPr="005D1B5F">
        <w:rPr>
          <w:color w:val="auto"/>
          <w:kern w:val="0"/>
          <w:lang w:val="en-US" w:eastAsia="en-US"/>
        </w:rPr>
        <w:t xml:space="preserve">, G., Maurelli, M. P., Levecke, B., Bosco, A., Vercruysse, J., Utzinger, J., &amp; Rinaldi, L. (2017). The Mini-FLOTAC technique for the diagnosis of helminth and protozoan infections in humans and animals. </w:t>
      </w:r>
      <w:r w:rsidRPr="005D1B5F">
        <w:rPr>
          <w:i/>
          <w:iCs/>
          <w:color w:val="auto"/>
          <w:kern w:val="0"/>
          <w:lang w:val="en-US" w:eastAsia="en-US"/>
        </w:rPr>
        <w:t>Nature protocols</w:t>
      </w:r>
      <w:r w:rsidRPr="005D1B5F">
        <w:rPr>
          <w:color w:val="auto"/>
          <w:kern w:val="0"/>
          <w:lang w:val="en-US" w:eastAsia="en-US"/>
        </w:rPr>
        <w:t xml:space="preserve">, </w:t>
      </w:r>
      <w:r w:rsidRPr="005D1B5F">
        <w:rPr>
          <w:i/>
          <w:iCs/>
          <w:color w:val="auto"/>
          <w:kern w:val="0"/>
          <w:lang w:val="en-US" w:eastAsia="en-US"/>
        </w:rPr>
        <w:t>12</w:t>
      </w:r>
      <w:r w:rsidRPr="005D1B5F">
        <w:rPr>
          <w:color w:val="auto"/>
          <w:kern w:val="0"/>
          <w:lang w:val="en-US" w:eastAsia="en-US"/>
        </w:rPr>
        <w:t>(9), 1723-1732.</w:t>
      </w:r>
      <w:r>
        <w:rPr>
          <w:color w:val="auto"/>
          <w:kern w:val="0"/>
          <w:lang w:val="en-US" w:eastAsia="en-US"/>
        </w:rPr>
        <w:t xml:space="preserve"> </w:t>
      </w:r>
      <w:hyperlink r:id="rId9" w:history="1">
        <w:r w:rsidRPr="008B4E83">
          <w:rPr>
            <w:rStyle w:val="Hyperlink"/>
            <w:kern w:val="0"/>
            <w:lang w:val="en-GB"/>
          </w:rPr>
          <w:t>https://doi.org/10.1038/nprot.2017.067</w:t>
        </w:r>
      </w:hyperlink>
      <w:r>
        <w:rPr>
          <w:kern w:val="0"/>
          <w:lang w:val="en-GB"/>
        </w:rPr>
        <w:t xml:space="preserve"> </w:t>
      </w:r>
      <w:r w:rsidRPr="0071692A">
        <w:rPr>
          <w:kern w:val="0"/>
          <w:lang w:val="en-GB"/>
        </w:rPr>
        <w:t xml:space="preserve"> </w:t>
      </w:r>
    </w:p>
    <w:p w14:paraId="1BEF544A" w14:textId="77777777" w:rsidR="0007783F" w:rsidRDefault="0007783F" w:rsidP="00027C4A">
      <w:pPr>
        <w:spacing w:before="240" w:after="240" w:line="240" w:lineRule="auto"/>
      </w:pPr>
      <w:proofErr w:type="spellStart"/>
      <w:r w:rsidRPr="005B1A15">
        <w:rPr>
          <w:lang w:val="en-US"/>
        </w:rPr>
        <w:lastRenderedPageBreak/>
        <w:t>Elelu</w:t>
      </w:r>
      <w:proofErr w:type="spellEnd"/>
      <w:r w:rsidRPr="005B1A15">
        <w:rPr>
          <w:lang w:val="en-US"/>
        </w:rPr>
        <w:t xml:space="preserve">, N., Ambali, A., Coles, G. C., &amp; Eisler, M. C. (2016). Cross-sectional study of </w:t>
      </w:r>
      <w:proofErr w:type="spellStart"/>
      <w:r w:rsidRPr="005B1A15">
        <w:rPr>
          <w:lang w:val="en-US"/>
        </w:rPr>
        <w:t>Fasciola</w:t>
      </w:r>
      <w:proofErr w:type="spellEnd"/>
      <w:r w:rsidRPr="005B1A15">
        <w:rPr>
          <w:lang w:val="en-US"/>
        </w:rPr>
        <w:t xml:space="preserve"> </w:t>
      </w:r>
      <w:proofErr w:type="spellStart"/>
      <w:r w:rsidRPr="005B1A15">
        <w:rPr>
          <w:lang w:val="en-US"/>
        </w:rPr>
        <w:t>gigantica</w:t>
      </w:r>
      <w:proofErr w:type="spellEnd"/>
      <w:r w:rsidRPr="005B1A15">
        <w:rPr>
          <w:lang w:val="en-US"/>
        </w:rPr>
        <w:t xml:space="preserve"> and other trematode infections of cattle in Edu Local Government Area, Kwara State, north-central Nigeria. </w:t>
      </w:r>
      <w:r w:rsidRPr="005B1A15">
        <w:rPr>
          <w:i/>
          <w:iCs/>
          <w:lang w:val="en-US"/>
        </w:rPr>
        <w:t>Parasites &amp; Vectors</w:t>
      </w:r>
      <w:r w:rsidRPr="005B1A15">
        <w:rPr>
          <w:lang w:val="en-US"/>
        </w:rPr>
        <w:t xml:space="preserve">, </w:t>
      </w:r>
      <w:r w:rsidRPr="005B1A15">
        <w:rPr>
          <w:i/>
          <w:iCs/>
          <w:lang w:val="en-US"/>
        </w:rPr>
        <w:t>9</w:t>
      </w:r>
      <w:r w:rsidRPr="005B1A15">
        <w:rPr>
          <w:lang w:val="en-US"/>
        </w:rPr>
        <w:t>(1), 470.</w:t>
      </w:r>
      <w:r>
        <w:rPr>
          <w:lang w:val="en-US"/>
        </w:rPr>
        <w:t xml:space="preserve"> </w:t>
      </w:r>
      <w:hyperlink r:id="rId10" w:history="1">
        <w:r w:rsidRPr="008B4E83">
          <w:rPr>
            <w:rStyle w:val="Hyperlink"/>
          </w:rPr>
          <w:t>https://doi.org/10.1186/s13071-016-1737-5</w:t>
        </w:r>
      </w:hyperlink>
      <w:r>
        <w:t xml:space="preserve"> </w:t>
      </w:r>
    </w:p>
    <w:p w14:paraId="478149F0" w14:textId="77777777" w:rsidR="0007783F" w:rsidRPr="005B1A15" w:rsidRDefault="0007783F" w:rsidP="00027C4A">
      <w:pPr>
        <w:spacing w:before="240" w:after="240" w:line="240" w:lineRule="auto"/>
        <w:rPr>
          <w:lang w:val="en-US"/>
        </w:rPr>
      </w:pPr>
      <w:proofErr w:type="spellStart"/>
      <w:r w:rsidRPr="000F5A93">
        <w:rPr>
          <w:lang w:val="en-US"/>
        </w:rPr>
        <w:t>Fakae</w:t>
      </w:r>
      <w:proofErr w:type="spellEnd"/>
      <w:r w:rsidRPr="000F5A93">
        <w:rPr>
          <w:lang w:val="en-US"/>
        </w:rPr>
        <w:t xml:space="preserve">, B. B. (1990). The epidemiology of </w:t>
      </w:r>
      <w:proofErr w:type="spellStart"/>
      <w:r w:rsidRPr="000F5A93">
        <w:rPr>
          <w:lang w:val="en-US"/>
        </w:rPr>
        <w:t>helminthosis</w:t>
      </w:r>
      <w:proofErr w:type="spellEnd"/>
      <w:r w:rsidRPr="000F5A93">
        <w:rPr>
          <w:lang w:val="en-US"/>
        </w:rPr>
        <w:t xml:space="preserve"> in small ruminants under the traditional husbandry system in eastern Nigeria. </w:t>
      </w:r>
      <w:r w:rsidRPr="000F5A93">
        <w:rPr>
          <w:i/>
          <w:iCs/>
          <w:lang w:val="en-US"/>
        </w:rPr>
        <w:t>Veterinary research communications</w:t>
      </w:r>
      <w:r w:rsidRPr="000F5A93">
        <w:rPr>
          <w:lang w:val="en-US"/>
        </w:rPr>
        <w:t xml:space="preserve">, </w:t>
      </w:r>
      <w:r w:rsidRPr="000F5A93">
        <w:rPr>
          <w:i/>
          <w:iCs/>
          <w:lang w:val="en-US"/>
        </w:rPr>
        <w:t>14</w:t>
      </w:r>
      <w:r w:rsidRPr="000F5A93">
        <w:rPr>
          <w:lang w:val="en-US"/>
        </w:rPr>
        <w:t>(5), 381-391.</w:t>
      </w:r>
      <w:r>
        <w:rPr>
          <w:lang w:val="en-US"/>
        </w:rPr>
        <w:t xml:space="preserve"> </w:t>
      </w:r>
      <w:hyperlink r:id="rId11" w:history="1">
        <w:r w:rsidRPr="008B4E83">
          <w:rPr>
            <w:rStyle w:val="Hyperlink"/>
          </w:rPr>
          <w:t>https://doi.org/10.1007/BF00343216</w:t>
        </w:r>
      </w:hyperlink>
      <w:r>
        <w:rPr>
          <w:rStyle w:val="c-bibliographic-informationvalue"/>
        </w:rPr>
        <w:t xml:space="preserve"> </w:t>
      </w:r>
    </w:p>
    <w:p w14:paraId="45FE58B9" w14:textId="77777777" w:rsidR="0007783F" w:rsidRDefault="0007783F" w:rsidP="00027C4A">
      <w:pPr>
        <w:spacing w:before="240" w:after="240" w:line="240" w:lineRule="auto"/>
        <w:rPr>
          <w:lang w:val="en-US"/>
        </w:rPr>
      </w:pPr>
      <w:r w:rsidRPr="008735A7">
        <w:rPr>
          <w:lang w:val="en-US"/>
        </w:rPr>
        <w:t xml:space="preserve">Fox, N. J., Marion, G., Davidson, R. S., White, P. C. L., &amp; Hutchings, M. R. (2012). Livestock Helminths in a Changing Climate: Approaches and Restrictions to Meaningful Predictions. Animals, 2(1), 93-107. </w:t>
      </w:r>
      <w:hyperlink r:id="rId12" w:history="1">
        <w:r w:rsidRPr="008B4E83">
          <w:rPr>
            <w:rStyle w:val="Hyperlink"/>
            <w:lang w:val="en-US"/>
          </w:rPr>
          <w:t>https://doi.org/10.3390/ani2010093</w:t>
        </w:r>
      </w:hyperlink>
      <w:r>
        <w:rPr>
          <w:lang w:val="en-US"/>
        </w:rPr>
        <w:t xml:space="preserve"> </w:t>
      </w:r>
    </w:p>
    <w:p w14:paraId="499E978F" w14:textId="77777777" w:rsidR="0007783F" w:rsidRDefault="0007783F" w:rsidP="00027C4A">
      <w:pPr>
        <w:spacing w:before="240" w:after="240" w:line="240" w:lineRule="auto"/>
        <w:ind w:left="0" w:right="0" w:firstLine="0"/>
        <w:rPr>
          <w:kern w:val="0"/>
          <w:lang w:val="en-GB"/>
        </w:rPr>
      </w:pPr>
      <w:r w:rsidRPr="005D1B5F">
        <w:rPr>
          <w:color w:val="auto"/>
          <w:kern w:val="0"/>
          <w:lang w:val="en-US" w:eastAsia="en-US"/>
        </w:rPr>
        <w:t xml:space="preserve">Francis, E. K., &amp; </w:t>
      </w:r>
      <w:proofErr w:type="spellStart"/>
      <w:r w:rsidRPr="005D1B5F">
        <w:rPr>
          <w:color w:val="auto"/>
          <w:kern w:val="0"/>
          <w:lang w:val="en-US" w:eastAsia="en-US"/>
        </w:rPr>
        <w:t>Šlapeta</w:t>
      </w:r>
      <w:proofErr w:type="spellEnd"/>
      <w:r w:rsidRPr="005D1B5F">
        <w:rPr>
          <w:color w:val="auto"/>
          <w:kern w:val="0"/>
          <w:lang w:val="en-US" w:eastAsia="en-US"/>
        </w:rPr>
        <w:t xml:space="preserve">, J. (2022). A new diagnostic approach to fast-track and increase the accessibility of gastrointestinal nematode identification from </w:t>
      </w:r>
      <w:proofErr w:type="spellStart"/>
      <w:r w:rsidRPr="005D1B5F">
        <w:rPr>
          <w:color w:val="auto"/>
          <w:kern w:val="0"/>
          <w:lang w:val="en-US" w:eastAsia="en-US"/>
        </w:rPr>
        <w:t>faeces</w:t>
      </w:r>
      <w:proofErr w:type="spellEnd"/>
      <w:r w:rsidRPr="005D1B5F">
        <w:rPr>
          <w:color w:val="auto"/>
          <w:kern w:val="0"/>
          <w:lang w:val="en-US" w:eastAsia="en-US"/>
        </w:rPr>
        <w:t xml:space="preserve">: FECPAK G2 egg </w:t>
      </w:r>
      <w:proofErr w:type="spellStart"/>
      <w:r w:rsidRPr="005D1B5F">
        <w:rPr>
          <w:color w:val="auto"/>
          <w:kern w:val="0"/>
          <w:lang w:val="en-US" w:eastAsia="en-US"/>
        </w:rPr>
        <w:t>nemabiome</w:t>
      </w:r>
      <w:proofErr w:type="spellEnd"/>
      <w:r w:rsidRPr="005D1B5F">
        <w:rPr>
          <w:color w:val="auto"/>
          <w:kern w:val="0"/>
          <w:lang w:val="en-US" w:eastAsia="en-US"/>
        </w:rPr>
        <w:t xml:space="preserve"> metabarcoding. </w:t>
      </w:r>
      <w:r w:rsidRPr="005D1B5F">
        <w:rPr>
          <w:i/>
          <w:iCs/>
          <w:color w:val="auto"/>
          <w:kern w:val="0"/>
          <w:lang w:val="en-US" w:eastAsia="en-US"/>
        </w:rPr>
        <w:t>International journal for parasitology</w:t>
      </w:r>
      <w:r w:rsidRPr="005D1B5F">
        <w:rPr>
          <w:color w:val="auto"/>
          <w:kern w:val="0"/>
          <w:lang w:val="en-US" w:eastAsia="en-US"/>
        </w:rPr>
        <w:t xml:space="preserve">, </w:t>
      </w:r>
      <w:r w:rsidRPr="005D1B5F">
        <w:rPr>
          <w:i/>
          <w:iCs/>
          <w:color w:val="auto"/>
          <w:kern w:val="0"/>
          <w:lang w:val="en-US" w:eastAsia="en-US"/>
        </w:rPr>
        <w:t>52</w:t>
      </w:r>
      <w:r w:rsidRPr="005D1B5F">
        <w:rPr>
          <w:color w:val="auto"/>
          <w:kern w:val="0"/>
          <w:lang w:val="en-US" w:eastAsia="en-US"/>
        </w:rPr>
        <w:t>(6), 331-342.</w:t>
      </w:r>
      <w:r>
        <w:rPr>
          <w:color w:val="auto"/>
          <w:kern w:val="0"/>
          <w:lang w:val="en-US" w:eastAsia="en-US"/>
        </w:rPr>
        <w:t xml:space="preserve"> </w:t>
      </w:r>
      <w:hyperlink r:id="rId13" w:history="1">
        <w:r w:rsidRPr="008B4E83">
          <w:rPr>
            <w:rStyle w:val="Hyperlink"/>
            <w:kern w:val="0"/>
            <w:lang w:val="en-GB"/>
          </w:rPr>
          <w:t>https://doi.org/10.1016/j.ijpara.2022.01.002</w:t>
        </w:r>
      </w:hyperlink>
      <w:r w:rsidRPr="0071692A">
        <w:rPr>
          <w:kern w:val="0"/>
          <w:lang w:val="en-GB"/>
        </w:rPr>
        <w:t xml:space="preserve"> </w:t>
      </w:r>
    </w:p>
    <w:p w14:paraId="6429276F" w14:textId="77777777" w:rsidR="0007783F" w:rsidRDefault="0007783F" w:rsidP="00027C4A">
      <w:pPr>
        <w:spacing w:before="240" w:after="240" w:line="240" w:lineRule="auto"/>
        <w:ind w:left="0" w:right="0" w:firstLine="0"/>
        <w:rPr>
          <w:kern w:val="0"/>
          <w:lang w:val="en-GB"/>
        </w:rPr>
      </w:pPr>
      <w:r w:rsidRPr="004F7675">
        <w:rPr>
          <w:color w:val="auto"/>
          <w:kern w:val="0"/>
          <w:lang w:val="en-US" w:eastAsia="en-US"/>
        </w:rPr>
        <w:t xml:space="preserve">Hossein-Zadeh, N. G. (2025). Artificial intelligence in veterinary and animal science: applications, challenges, and future prospects. </w:t>
      </w:r>
      <w:r w:rsidRPr="004F7675">
        <w:rPr>
          <w:i/>
          <w:iCs/>
          <w:color w:val="auto"/>
          <w:kern w:val="0"/>
          <w:lang w:val="en-US" w:eastAsia="en-US"/>
        </w:rPr>
        <w:t>Computers and Electronics in Agriculture</w:t>
      </w:r>
      <w:r w:rsidRPr="004F7675">
        <w:rPr>
          <w:color w:val="auto"/>
          <w:kern w:val="0"/>
          <w:lang w:val="en-US" w:eastAsia="en-US"/>
        </w:rPr>
        <w:t xml:space="preserve">, </w:t>
      </w:r>
      <w:r w:rsidRPr="004F7675">
        <w:rPr>
          <w:i/>
          <w:iCs/>
          <w:color w:val="auto"/>
          <w:kern w:val="0"/>
          <w:lang w:val="en-US" w:eastAsia="en-US"/>
        </w:rPr>
        <w:t>235</w:t>
      </w:r>
      <w:r w:rsidRPr="004F7675">
        <w:rPr>
          <w:color w:val="auto"/>
          <w:kern w:val="0"/>
          <w:lang w:val="en-US" w:eastAsia="en-US"/>
        </w:rPr>
        <w:t>, 110395.</w:t>
      </w:r>
      <w:r>
        <w:rPr>
          <w:color w:val="auto"/>
          <w:kern w:val="0"/>
          <w:lang w:val="en-US" w:eastAsia="en-US"/>
        </w:rPr>
        <w:t xml:space="preserve"> </w:t>
      </w:r>
      <w:hyperlink r:id="rId14" w:history="1">
        <w:r w:rsidRPr="008B4E83">
          <w:rPr>
            <w:rStyle w:val="Hyperlink"/>
            <w:kern w:val="0"/>
            <w:lang w:val="en-GB"/>
          </w:rPr>
          <w:t>https://doi.org/10.1016/j.compag.2025.110395</w:t>
        </w:r>
      </w:hyperlink>
      <w:r>
        <w:rPr>
          <w:kern w:val="0"/>
          <w:lang w:val="en-GB"/>
        </w:rPr>
        <w:t xml:space="preserve"> </w:t>
      </w:r>
      <w:r w:rsidRPr="0071692A">
        <w:rPr>
          <w:kern w:val="0"/>
          <w:lang w:val="en-GB"/>
        </w:rPr>
        <w:t xml:space="preserve"> </w:t>
      </w:r>
    </w:p>
    <w:p w14:paraId="19DAA90A" w14:textId="77777777" w:rsidR="0007783F" w:rsidRDefault="0007783F" w:rsidP="00027C4A">
      <w:pPr>
        <w:spacing w:before="240" w:after="240" w:line="240" w:lineRule="auto"/>
        <w:ind w:left="0" w:right="0" w:firstLine="0"/>
        <w:rPr>
          <w:kern w:val="0"/>
          <w:lang w:val="en-GB"/>
        </w:rPr>
      </w:pPr>
      <w:r w:rsidRPr="004F7675">
        <w:rPr>
          <w:color w:val="auto"/>
          <w:kern w:val="0"/>
          <w:lang w:val="en-US" w:eastAsia="en-US"/>
        </w:rPr>
        <w:t xml:space="preserve">Jordan, M. I., &amp; Mitchell, T. M. (2015). Machine learning: Trends, perspectives, and prospects. </w:t>
      </w:r>
      <w:r w:rsidRPr="004F7675">
        <w:rPr>
          <w:i/>
          <w:iCs/>
          <w:color w:val="auto"/>
          <w:kern w:val="0"/>
          <w:lang w:val="en-US" w:eastAsia="en-US"/>
        </w:rPr>
        <w:t>Science</w:t>
      </w:r>
      <w:r w:rsidRPr="004F7675">
        <w:rPr>
          <w:color w:val="auto"/>
          <w:kern w:val="0"/>
          <w:lang w:val="en-US" w:eastAsia="en-US"/>
        </w:rPr>
        <w:t xml:space="preserve">, </w:t>
      </w:r>
      <w:r w:rsidRPr="004F7675">
        <w:rPr>
          <w:i/>
          <w:iCs/>
          <w:color w:val="auto"/>
          <w:kern w:val="0"/>
          <w:lang w:val="en-US" w:eastAsia="en-US"/>
        </w:rPr>
        <w:t>349</w:t>
      </w:r>
      <w:r w:rsidRPr="004F7675">
        <w:rPr>
          <w:color w:val="auto"/>
          <w:kern w:val="0"/>
          <w:lang w:val="en-US" w:eastAsia="en-US"/>
        </w:rPr>
        <w:t>(6245), 255-260.</w:t>
      </w:r>
      <w:r>
        <w:rPr>
          <w:color w:val="auto"/>
          <w:kern w:val="0"/>
          <w:lang w:val="en-US" w:eastAsia="en-US"/>
        </w:rPr>
        <w:t xml:space="preserve"> </w:t>
      </w:r>
      <w:hyperlink r:id="rId15" w:history="1">
        <w:r w:rsidRPr="008B4E83">
          <w:rPr>
            <w:rStyle w:val="Hyperlink"/>
            <w:kern w:val="0"/>
            <w:lang w:val="en-GB"/>
          </w:rPr>
          <w:t>https://doi.org/10.1126/science.aaa8415</w:t>
        </w:r>
      </w:hyperlink>
      <w:r>
        <w:rPr>
          <w:kern w:val="0"/>
          <w:lang w:val="en-GB"/>
        </w:rPr>
        <w:t xml:space="preserve"> </w:t>
      </w:r>
    </w:p>
    <w:p w14:paraId="7493A4B2" w14:textId="77777777" w:rsidR="0007783F" w:rsidRDefault="0007783F" w:rsidP="00027C4A">
      <w:pPr>
        <w:spacing w:before="240" w:after="240" w:line="240" w:lineRule="auto"/>
        <w:rPr>
          <w:lang w:val="en-US"/>
        </w:rPr>
      </w:pPr>
      <w:proofErr w:type="spellStart"/>
      <w:r w:rsidRPr="005B1A15">
        <w:rPr>
          <w:lang w:val="en-US"/>
        </w:rPr>
        <w:t>Karshima</w:t>
      </w:r>
      <w:proofErr w:type="spellEnd"/>
      <w:r w:rsidRPr="005B1A15">
        <w:rPr>
          <w:lang w:val="en-US"/>
        </w:rPr>
        <w:t xml:space="preserve">, S. N. (2019). Helminths of zoonotic importance in slaughtered food animals in Nigeria: a systematic review and meta-analysis. </w:t>
      </w:r>
      <w:r w:rsidRPr="005B1A15">
        <w:rPr>
          <w:i/>
          <w:iCs/>
          <w:lang w:val="en-US"/>
        </w:rPr>
        <w:t>Journal of helminthology</w:t>
      </w:r>
      <w:r w:rsidRPr="005B1A15">
        <w:rPr>
          <w:lang w:val="en-US"/>
        </w:rPr>
        <w:t xml:space="preserve">, </w:t>
      </w:r>
      <w:r w:rsidRPr="005B1A15">
        <w:rPr>
          <w:i/>
          <w:iCs/>
          <w:lang w:val="en-US"/>
        </w:rPr>
        <w:t>93</w:t>
      </w:r>
      <w:r w:rsidRPr="005B1A15">
        <w:rPr>
          <w:lang w:val="en-US"/>
        </w:rPr>
        <w:t>(3), 295-305.</w:t>
      </w:r>
      <w:r>
        <w:rPr>
          <w:lang w:val="en-US"/>
        </w:rPr>
        <w:t xml:space="preserve"> </w:t>
      </w:r>
      <w:hyperlink r:id="rId16" w:history="1">
        <w:r w:rsidRPr="008B4E83">
          <w:rPr>
            <w:rStyle w:val="Hyperlink"/>
            <w:lang w:val="en-US"/>
          </w:rPr>
          <w:t>https://doi.org/10.1017/S0022149X18000196</w:t>
        </w:r>
      </w:hyperlink>
    </w:p>
    <w:p w14:paraId="5F22261E" w14:textId="77777777" w:rsidR="0007783F" w:rsidRDefault="0007783F" w:rsidP="00027C4A">
      <w:pPr>
        <w:spacing w:before="240" w:after="240" w:line="240" w:lineRule="auto"/>
        <w:ind w:left="0" w:right="0" w:firstLine="0"/>
        <w:rPr>
          <w:kern w:val="0"/>
          <w:lang w:val="en-GB"/>
        </w:rPr>
      </w:pPr>
      <w:r w:rsidRPr="004F7675">
        <w:rPr>
          <w:color w:val="auto"/>
          <w:kern w:val="0"/>
          <w:lang w:val="en-US" w:eastAsia="en-US"/>
        </w:rPr>
        <w:t xml:space="preserve">Kenyon, F., Greer, A. W., Coles, G. C., </w:t>
      </w:r>
      <w:proofErr w:type="spellStart"/>
      <w:r w:rsidRPr="004F7675">
        <w:rPr>
          <w:color w:val="auto"/>
          <w:kern w:val="0"/>
          <w:lang w:val="en-US" w:eastAsia="en-US"/>
        </w:rPr>
        <w:t>Cringoli</w:t>
      </w:r>
      <w:proofErr w:type="spellEnd"/>
      <w:r w:rsidRPr="004F7675">
        <w:rPr>
          <w:color w:val="auto"/>
          <w:kern w:val="0"/>
          <w:lang w:val="en-US" w:eastAsia="en-US"/>
        </w:rPr>
        <w:t xml:space="preserve">, G., Papadopoulos, E., Cabaret, J., ... &amp; Jackson, F. (2009). The role of targeted selective treatments in the development of refugia-based approaches to the control of gastrointestinal nematodes of small ruminants. </w:t>
      </w:r>
      <w:r w:rsidRPr="004F7675">
        <w:rPr>
          <w:i/>
          <w:iCs/>
          <w:color w:val="auto"/>
          <w:kern w:val="0"/>
          <w:lang w:val="en-US" w:eastAsia="en-US"/>
        </w:rPr>
        <w:t>Veterinary parasitology</w:t>
      </w:r>
      <w:r w:rsidRPr="004F7675">
        <w:rPr>
          <w:color w:val="auto"/>
          <w:kern w:val="0"/>
          <w:lang w:val="en-US" w:eastAsia="en-US"/>
        </w:rPr>
        <w:t xml:space="preserve">, </w:t>
      </w:r>
      <w:r w:rsidRPr="004F7675">
        <w:rPr>
          <w:i/>
          <w:iCs/>
          <w:color w:val="auto"/>
          <w:kern w:val="0"/>
          <w:lang w:val="en-US" w:eastAsia="en-US"/>
        </w:rPr>
        <w:t>164</w:t>
      </w:r>
      <w:r w:rsidRPr="004F7675">
        <w:rPr>
          <w:color w:val="auto"/>
          <w:kern w:val="0"/>
          <w:lang w:val="en-US" w:eastAsia="en-US"/>
        </w:rPr>
        <w:t>(1), 3-11.</w:t>
      </w:r>
      <w:r>
        <w:rPr>
          <w:color w:val="auto"/>
          <w:kern w:val="0"/>
          <w:lang w:val="en-US" w:eastAsia="en-US"/>
        </w:rPr>
        <w:t xml:space="preserve"> </w:t>
      </w:r>
      <w:hyperlink r:id="rId17" w:history="1">
        <w:r w:rsidRPr="008B4E83">
          <w:rPr>
            <w:rStyle w:val="Hyperlink"/>
            <w:kern w:val="0"/>
            <w:lang w:val="en-GB"/>
          </w:rPr>
          <w:t>https://doi.org/10.1016/j.vetpar.2009.04.015</w:t>
        </w:r>
      </w:hyperlink>
      <w:r>
        <w:rPr>
          <w:kern w:val="0"/>
          <w:lang w:val="en-GB"/>
        </w:rPr>
        <w:t xml:space="preserve"> </w:t>
      </w:r>
    </w:p>
    <w:p w14:paraId="3C1D24A4" w14:textId="77777777" w:rsidR="0007783F" w:rsidRDefault="0007783F" w:rsidP="00027C4A">
      <w:pPr>
        <w:spacing w:before="240" w:after="240" w:line="240" w:lineRule="auto"/>
        <w:ind w:left="0" w:firstLine="0"/>
        <w:rPr>
          <w:kern w:val="0"/>
          <w:lang w:val="en-GB"/>
        </w:rPr>
      </w:pPr>
      <w:r w:rsidRPr="00B518F8">
        <w:rPr>
          <w:kern w:val="0"/>
          <w:lang w:val="en-GB"/>
        </w:rPr>
        <w:t xml:space="preserve">Lasser, J., </w:t>
      </w:r>
      <w:proofErr w:type="spellStart"/>
      <w:r w:rsidRPr="00B518F8">
        <w:rPr>
          <w:kern w:val="0"/>
          <w:lang w:val="en-GB"/>
        </w:rPr>
        <w:t>Matzhold</w:t>
      </w:r>
      <w:proofErr w:type="spellEnd"/>
      <w:r w:rsidRPr="00B518F8">
        <w:rPr>
          <w:kern w:val="0"/>
          <w:lang w:val="en-GB"/>
        </w:rPr>
        <w:t xml:space="preserve">, C., Egger-Danner, C., </w:t>
      </w:r>
      <w:proofErr w:type="spellStart"/>
      <w:r w:rsidRPr="00B518F8">
        <w:rPr>
          <w:kern w:val="0"/>
          <w:lang w:val="en-GB"/>
        </w:rPr>
        <w:t>Fuerst-Waltl</w:t>
      </w:r>
      <w:proofErr w:type="spellEnd"/>
      <w:r w:rsidRPr="00B518F8">
        <w:rPr>
          <w:kern w:val="0"/>
          <w:lang w:val="en-GB"/>
        </w:rPr>
        <w:t>, B., Steininger, F., Wittek, T., &amp; Klimek, P. (2021). Integrating diverse data sources to predict disease risk in dairy cattle—a machine learning approach. Journal of Animal Science, 99(11), skab294.</w:t>
      </w:r>
      <w:r>
        <w:rPr>
          <w:kern w:val="0"/>
          <w:lang w:val="en-GB"/>
        </w:rPr>
        <w:t xml:space="preserve"> </w:t>
      </w:r>
      <w:hyperlink r:id="rId18" w:history="1">
        <w:r w:rsidRPr="008B4E83">
          <w:rPr>
            <w:rStyle w:val="Hyperlink"/>
            <w:kern w:val="0"/>
            <w:lang w:val="en-GB"/>
          </w:rPr>
          <w:t>https://doi.org/10.1093/jas/skab294</w:t>
        </w:r>
      </w:hyperlink>
      <w:r>
        <w:rPr>
          <w:kern w:val="0"/>
          <w:lang w:val="en-GB"/>
        </w:rPr>
        <w:t xml:space="preserve"> </w:t>
      </w:r>
      <w:r w:rsidRPr="0071692A">
        <w:rPr>
          <w:kern w:val="0"/>
          <w:lang w:val="en-GB"/>
        </w:rPr>
        <w:t xml:space="preserve"> </w:t>
      </w:r>
    </w:p>
    <w:p w14:paraId="451375F4" w14:textId="77777777" w:rsidR="0007783F" w:rsidRDefault="0007783F" w:rsidP="00027C4A">
      <w:pPr>
        <w:spacing w:before="240" w:after="240" w:line="240" w:lineRule="auto"/>
        <w:ind w:left="0" w:right="0" w:firstLine="0"/>
        <w:rPr>
          <w:kern w:val="0"/>
          <w:lang w:val="en-GB"/>
        </w:rPr>
      </w:pPr>
      <w:r w:rsidRPr="00B518F8">
        <w:rPr>
          <w:color w:val="auto"/>
          <w:kern w:val="0"/>
          <w:lang w:val="en-US" w:eastAsia="en-US"/>
        </w:rPr>
        <w:t xml:space="preserve">Obi, C. F., </w:t>
      </w:r>
      <w:proofErr w:type="spellStart"/>
      <w:r w:rsidRPr="00B518F8">
        <w:rPr>
          <w:color w:val="auto"/>
          <w:kern w:val="0"/>
          <w:lang w:val="en-US" w:eastAsia="en-US"/>
        </w:rPr>
        <w:t>Akata</w:t>
      </w:r>
      <w:proofErr w:type="spellEnd"/>
      <w:r w:rsidRPr="00B518F8">
        <w:rPr>
          <w:color w:val="auto"/>
          <w:kern w:val="0"/>
          <w:lang w:val="en-US" w:eastAsia="en-US"/>
        </w:rPr>
        <w:t xml:space="preserve">, M. C., &amp; </w:t>
      </w:r>
      <w:proofErr w:type="spellStart"/>
      <w:r w:rsidRPr="00B518F8">
        <w:rPr>
          <w:color w:val="auto"/>
          <w:kern w:val="0"/>
          <w:lang w:val="en-US" w:eastAsia="en-US"/>
        </w:rPr>
        <w:t>Ezubelu</w:t>
      </w:r>
      <w:proofErr w:type="spellEnd"/>
      <w:r w:rsidRPr="00B518F8">
        <w:rPr>
          <w:color w:val="auto"/>
          <w:kern w:val="0"/>
          <w:lang w:val="en-US" w:eastAsia="en-US"/>
        </w:rPr>
        <w:t xml:space="preserve">, O. J. (2020). Prevalence of gastrointestinal helminth parasites of trade cattle in </w:t>
      </w:r>
      <w:proofErr w:type="spellStart"/>
      <w:r w:rsidRPr="00B518F8">
        <w:rPr>
          <w:color w:val="auto"/>
          <w:kern w:val="0"/>
          <w:lang w:val="en-US" w:eastAsia="en-US"/>
        </w:rPr>
        <w:t>Aguata</w:t>
      </w:r>
      <w:proofErr w:type="spellEnd"/>
      <w:r w:rsidRPr="00B518F8">
        <w:rPr>
          <w:color w:val="auto"/>
          <w:kern w:val="0"/>
          <w:lang w:val="en-US" w:eastAsia="en-US"/>
        </w:rPr>
        <w:t xml:space="preserve"> and </w:t>
      </w:r>
      <w:proofErr w:type="spellStart"/>
      <w:r w:rsidRPr="00B518F8">
        <w:rPr>
          <w:color w:val="auto"/>
          <w:kern w:val="0"/>
          <w:lang w:val="en-US" w:eastAsia="en-US"/>
        </w:rPr>
        <w:t>Orumba</w:t>
      </w:r>
      <w:proofErr w:type="spellEnd"/>
      <w:r w:rsidRPr="00B518F8">
        <w:rPr>
          <w:color w:val="auto"/>
          <w:kern w:val="0"/>
          <w:lang w:val="en-US" w:eastAsia="en-US"/>
        </w:rPr>
        <w:t xml:space="preserve"> South Local Government Areas, Southeastern Nigeria. </w:t>
      </w:r>
      <w:r w:rsidRPr="00B518F8">
        <w:rPr>
          <w:i/>
          <w:iCs/>
          <w:color w:val="auto"/>
          <w:kern w:val="0"/>
          <w:lang w:val="en-US" w:eastAsia="en-US"/>
        </w:rPr>
        <w:t>Journal of Parasitic Diseases</w:t>
      </w:r>
      <w:r w:rsidRPr="00B518F8">
        <w:rPr>
          <w:color w:val="auto"/>
          <w:kern w:val="0"/>
          <w:lang w:val="en-US" w:eastAsia="en-US"/>
        </w:rPr>
        <w:t xml:space="preserve">, </w:t>
      </w:r>
      <w:r w:rsidRPr="00B518F8">
        <w:rPr>
          <w:i/>
          <w:iCs/>
          <w:color w:val="auto"/>
          <w:kern w:val="0"/>
          <w:lang w:val="en-US" w:eastAsia="en-US"/>
        </w:rPr>
        <w:t>44</w:t>
      </w:r>
      <w:r w:rsidRPr="00B518F8">
        <w:rPr>
          <w:color w:val="auto"/>
          <w:kern w:val="0"/>
          <w:lang w:val="en-US" w:eastAsia="en-US"/>
        </w:rPr>
        <w:t>(3), 546-552.</w:t>
      </w:r>
      <w:r>
        <w:rPr>
          <w:color w:val="auto"/>
          <w:kern w:val="0"/>
          <w:lang w:val="en-US" w:eastAsia="en-US"/>
        </w:rPr>
        <w:t xml:space="preserve"> </w:t>
      </w:r>
      <w:hyperlink r:id="rId19" w:history="1">
        <w:r w:rsidRPr="008B4E83">
          <w:rPr>
            <w:rStyle w:val="Hyperlink"/>
            <w:kern w:val="0"/>
            <w:lang w:val="en-GB"/>
          </w:rPr>
          <w:t>https://doi.org/10.1007/s12639-020-01227-3</w:t>
        </w:r>
      </w:hyperlink>
      <w:r>
        <w:rPr>
          <w:kern w:val="0"/>
          <w:lang w:val="en-GB"/>
        </w:rPr>
        <w:t xml:space="preserve"> </w:t>
      </w:r>
    </w:p>
    <w:p w14:paraId="16A0EB55" w14:textId="77777777" w:rsidR="0007783F" w:rsidRPr="005B1A15" w:rsidRDefault="0007783F" w:rsidP="00027C4A">
      <w:pPr>
        <w:spacing w:before="240" w:after="240" w:line="240" w:lineRule="auto"/>
        <w:rPr>
          <w:lang w:val="en-US"/>
        </w:rPr>
      </w:pPr>
      <w:r w:rsidRPr="005B1A15">
        <w:rPr>
          <w:lang w:val="en-US"/>
        </w:rPr>
        <w:t xml:space="preserve">Ola-Fadunsin, S. D., Ganiyu, I. A., Rabiu, M., Hussain, K., Sanda, I. M., Baba, A. Y., Furo, N. A., &amp; Balogun, R. B. (2020). Helminth infections of great concern among cattle in Nigeria: Insight to its prevalence, species diversity, patterns of infections and risk factors. </w:t>
      </w:r>
      <w:r w:rsidRPr="005B1A15">
        <w:rPr>
          <w:i/>
          <w:iCs/>
          <w:lang w:val="en-US"/>
        </w:rPr>
        <w:t>Veterinary world</w:t>
      </w:r>
      <w:r w:rsidRPr="005B1A15">
        <w:rPr>
          <w:lang w:val="en-US"/>
        </w:rPr>
        <w:t xml:space="preserve">, </w:t>
      </w:r>
      <w:r w:rsidRPr="005B1A15">
        <w:rPr>
          <w:i/>
          <w:iCs/>
          <w:lang w:val="en-US"/>
        </w:rPr>
        <w:t>13</w:t>
      </w:r>
      <w:r w:rsidRPr="005B1A15">
        <w:rPr>
          <w:lang w:val="en-US"/>
        </w:rPr>
        <w:t xml:space="preserve">(2), 338–344. </w:t>
      </w:r>
      <w:hyperlink r:id="rId20" w:history="1">
        <w:r w:rsidRPr="008B4E83">
          <w:rPr>
            <w:rStyle w:val="Hyperlink"/>
            <w:lang w:val="en-US"/>
          </w:rPr>
          <w:t>https://doi.org/10.14202/vetworld.2020.338-344</w:t>
        </w:r>
      </w:hyperlink>
      <w:r>
        <w:rPr>
          <w:lang w:val="en-US"/>
        </w:rPr>
        <w:t xml:space="preserve"> </w:t>
      </w:r>
    </w:p>
    <w:p w14:paraId="3670DF9D" w14:textId="77777777" w:rsidR="0007783F" w:rsidRDefault="0007783F" w:rsidP="00027C4A">
      <w:pPr>
        <w:spacing w:before="240" w:after="240" w:line="240" w:lineRule="auto"/>
      </w:pPr>
      <w:r w:rsidRPr="00A6077A">
        <w:rPr>
          <w:lang w:val="en-US"/>
        </w:rPr>
        <w:t xml:space="preserve">Ola-Fadunsin, S. D., </w:t>
      </w:r>
      <w:proofErr w:type="spellStart"/>
      <w:r w:rsidRPr="00A6077A">
        <w:rPr>
          <w:lang w:val="en-US"/>
        </w:rPr>
        <w:t>Uwabujo</w:t>
      </w:r>
      <w:proofErr w:type="spellEnd"/>
      <w:r w:rsidRPr="00A6077A">
        <w:rPr>
          <w:lang w:val="en-US"/>
        </w:rPr>
        <w:t xml:space="preserve">, P. I., </w:t>
      </w:r>
      <w:proofErr w:type="spellStart"/>
      <w:r w:rsidRPr="00A6077A">
        <w:rPr>
          <w:lang w:val="en-US"/>
        </w:rPr>
        <w:t>Halleed</w:t>
      </w:r>
      <w:proofErr w:type="spellEnd"/>
      <w:r w:rsidRPr="00A6077A">
        <w:rPr>
          <w:lang w:val="en-US"/>
        </w:rPr>
        <w:t xml:space="preserve">, I. N., &amp; Richards, B. (2020). Prevalence and financial loss estimation of parasitic diseases detected in slaughtered cattle in Kwara State, </w:t>
      </w:r>
      <w:r w:rsidRPr="00A6077A">
        <w:rPr>
          <w:lang w:val="en-US"/>
        </w:rPr>
        <w:lastRenderedPageBreak/>
        <w:t xml:space="preserve">North-central Nigeria. </w:t>
      </w:r>
      <w:r w:rsidRPr="00A6077A">
        <w:rPr>
          <w:i/>
          <w:iCs/>
          <w:lang w:val="en-US"/>
        </w:rPr>
        <w:t>Journal of Parasitic Diseases</w:t>
      </w:r>
      <w:r w:rsidRPr="00A6077A">
        <w:rPr>
          <w:lang w:val="en-US"/>
        </w:rPr>
        <w:t xml:space="preserve">, </w:t>
      </w:r>
      <w:r w:rsidRPr="00A6077A">
        <w:rPr>
          <w:i/>
          <w:iCs/>
          <w:lang w:val="en-US"/>
        </w:rPr>
        <w:t>44</w:t>
      </w:r>
      <w:r w:rsidRPr="00A6077A">
        <w:rPr>
          <w:lang w:val="en-US"/>
        </w:rPr>
        <w:t>(1), 1-9.</w:t>
      </w:r>
      <w:r>
        <w:rPr>
          <w:lang w:val="en-US"/>
        </w:rPr>
        <w:t xml:space="preserve"> </w:t>
      </w:r>
      <w:hyperlink r:id="rId21" w:history="1">
        <w:r w:rsidRPr="008B4E83">
          <w:rPr>
            <w:rStyle w:val="Hyperlink"/>
          </w:rPr>
          <w:t>https://doi.org/10.1007/s12639-019-01154-y</w:t>
        </w:r>
      </w:hyperlink>
      <w:r>
        <w:t xml:space="preserve"> </w:t>
      </w:r>
    </w:p>
    <w:p w14:paraId="233F6BAB" w14:textId="77777777" w:rsidR="0007783F" w:rsidRDefault="0007783F" w:rsidP="00027C4A">
      <w:pPr>
        <w:spacing w:before="240" w:after="240" w:line="240" w:lineRule="auto"/>
        <w:rPr>
          <w:lang w:val="en-US"/>
        </w:rPr>
      </w:pPr>
      <w:r w:rsidRPr="008735A7">
        <w:rPr>
          <w:lang w:val="en-US"/>
        </w:rPr>
        <w:t xml:space="preserve">Pullan, R. L., Gething, P. W., Smith, J. L., </w:t>
      </w:r>
      <w:proofErr w:type="spellStart"/>
      <w:r w:rsidRPr="008735A7">
        <w:rPr>
          <w:lang w:val="en-US"/>
        </w:rPr>
        <w:t>Mwandawiro</w:t>
      </w:r>
      <w:proofErr w:type="spellEnd"/>
      <w:r w:rsidRPr="008735A7">
        <w:rPr>
          <w:lang w:val="en-US"/>
        </w:rPr>
        <w:t xml:space="preserve">, C. S., Sturrock, H. J., Gitonga, C. W., ... &amp; Brooker, S. (2011). Spatial modelling of soil-transmitted helminth infections in Kenya: a disease control planning tool. </w:t>
      </w:r>
      <w:proofErr w:type="spellStart"/>
      <w:r w:rsidRPr="008735A7">
        <w:rPr>
          <w:i/>
          <w:iCs/>
          <w:lang w:val="en-US"/>
        </w:rPr>
        <w:t>PLoS</w:t>
      </w:r>
      <w:proofErr w:type="spellEnd"/>
      <w:r w:rsidRPr="008735A7">
        <w:rPr>
          <w:i/>
          <w:iCs/>
          <w:lang w:val="en-US"/>
        </w:rPr>
        <w:t xml:space="preserve"> neglected tropical diseases</w:t>
      </w:r>
      <w:r w:rsidRPr="008735A7">
        <w:rPr>
          <w:lang w:val="en-US"/>
        </w:rPr>
        <w:t xml:space="preserve">, </w:t>
      </w:r>
      <w:r w:rsidRPr="008735A7">
        <w:rPr>
          <w:i/>
          <w:iCs/>
          <w:lang w:val="en-US"/>
        </w:rPr>
        <w:t>5</w:t>
      </w:r>
      <w:r w:rsidRPr="008735A7">
        <w:rPr>
          <w:lang w:val="en-US"/>
        </w:rPr>
        <w:t>(2), e958.</w:t>
      </w:r>
      <w:r>
        <w:rPr>
          <w:lang w:val="en-US"/>
        </w:rPr>
        <w:t xml:space="preserve"> </w:t>
      </w:r>
      <w:hyperlink r:id="rId22" w:history="1">
        <w:r w:rsidRPr="008B4E83">
          <w:rPr>
            <w:rStyle w:val="Hyperlink"/>
            <w:lang w:val="en-US"/>
          </w:rPr>
          <w:t>https://doi.org/10.1371/journal.pntd.0000958</w:t>
        </w:r>
      </w:hyperlink>
      <w:r>
        <w:rPr>
          <w:lang w:val="en-US"/>
        </w:rPr>
        <w:t xml:space="preserve"> </w:t>
      </w:r>
    </w:p>
    <w:p w14:paraId="53124C99" w14:textId="77777777" w:rsidR="0007783F" w:rsidRDefault="0007783F" w:rsidP="00027C4A">
      <w:pPr>
        <w:spacing w:before="240" w:after="240" w:line="240" w:lineRule="auto"/>
        <w:ind w:left="0" w:right="0" w:firstLine="0"/>
        <w:rPr>
          <w:kern w:val="0"/>
          <w:lang w:val="en-GB"/>
        </w:rPr>
      </w:pPr>
      <w:r w:rsidRPr="00CF41DE">
        <w:rPr>
          <w:color w:val="auto"/>
          <w:kern w:val="0"/>
          <w:lang w:val="en-US" w:eastAsia="en-US"/>
        </w:rPr>
        <w:t xml:space="preserve">Rinaldi, L., </w:t>
      </w:r>
      <w:proofErr w:type="spellStart"/>
      <w:r w:rsidRPr="00CF41DE">
        <w:rPr>
          <w:color w:val="auto"/>
          <w:kern w:val="0"/>
          <w:lang w:val="en-US" w:eastAsia="en-US"/>
        </w:rPr>
        <w:t>Amadesi</w:t>
      </w:r>
      <w:proofErr w:type="spellEnd"/>
      <w:r w:rsidRPr="00CF41DE">
        <w:rPr>
          <w:color w:val="auto"/>
          <w:kern w:val="0"/>
          <w:lang w:val="en-US" w:eastAsia="en-US"/>
        </w:rPr>
        <w:t xml:space="preserve">, A., Dufourd, E., Bosco, A., Gadanho, M., </w:t>
      </w:r>
      <w:proofErr w:type="spellStart"/>
      <w:r w:rsidRPr="00CF41DE">
        <w:rPr>
          <w:color w:val="auto"/>
          <w:kern w:val="0"/>
          <w:lang w:val="en-US" w:eastAsia="en-US"/>
        </w:rPr>
        <w:t>Lehebel</w:t>
      </w:r>
      <w:proofErr w:type="spellEnd"/>
      <w:r w:rsidRPr="00CF41DE">
        <w:rPr>
          <w:color w:val="auto"/>
          <w:kern w:val="0"/>
          <w:lang w:val="en-US" w:eastAsia="en-US"/>
        </w:rPr>
        <w:t xml:space="preserve">, A., ... &amp; Chartier, C. (2019). Rapid assessment of </w:t>
      </w:r>
      <w:proofErr w:type="spellStart"/>
      <w:r w:rsidRPr="00CF41DE">
        <w:rPr>
          <w:color w:val="auto"/>
          <w:kern w:val="0"/>
          <w:lang w:val="en-US" w:eastAsia="en-US"/>
        </w:rPr>
        <w:t>faecal</w:t>
      </w:r>
      <w:proofErr w:type="spellEnd"/>
      <w:r w:rsidRPr="00CF41DE">
        <w:rPr>
          <w:color w:val="auto"/>
          <w:kern w:val="0"/>
          <w:lang w:val="en-US" w:eastAsia="en-US"/>
        </w:rPr>
        <w:t xml:space="preserve"> egg count and </w:t>
      </w:r>
      <w:proofErr w:type="spellStart"/>
      <w:r w:rsidRPr="00CF41DE">
        <w:rPr>
          <w:color w:val="auto"/>
          <w:kern w:val="0"/>
          <w:lang w:val="en-US" w:eastAsia="en-US"/>
        </w:rPr>
        <w:t>faecal</w:t>
      </w:r>
      <w:proofErr w:type="spellEnd"/>
      <w:r w:rsidRPr="00CF41DE">
        <w:rPr>
          <w:color w:val="auto"/>
          <w:kern w:val="0"/>
          <w:lang w:val="en-US" w:eastAsia="en-US"/>
        </w:rPr>
        <w:t xml:space="preserve"> egg count reduction through composite sampling in cattle. </w:t>
      </w:r>
      <w:r w:rsidRPr="00CF41DE">
        <w:rPr>
          <w:i/>
          <w:iCs/>
          <w:color w:val="auto"/>
          <w:kern w:val="0"/>
          <w:lang w:val="en-US" w:eastAsia="en-US"/>
        </w:rPr>
        <w:t>Parasites &amp; Vectors</w:t>
      </w:r>
      <w:r w:rsidRPr="00CF41DE">
        <w:rPr>
          <w:color w:val="auto"/>
          <w:kern w:val="0"/>
          <w:lang w:val="en-US" w:eastAsia="en-US"/>
        </w:rPr>
        <w:t xml:space="preserve">, </w:t>
      </w:r>
      <w:r w:rsidRPr="00CF41DE">
        <w:rPr>
          <w:i/>
          <w:iCs/>
          <w:color w:val="auto"/>
          <w:kern w:val="0"/>
          <w:lang w:val="en-US" w:eastAsia="en-US"/>
        </w:rPr>
        <w:t>12</w:t>
      </w:r>
      <w:r w:rsidRPr="00CF41DE">
        <w:rPr>
          <w:color w:val="auto"/>
          <w:kern w:val="0"/>
          <w:lang w:val="en-US" w:eastAsia="en-US"/>
        </w:rPr>
        <w:t>(1), 353.</w:t>
      </w:r>
      <w:r>
        <w:rPr>
          <w:color w:val="auto"/>
          <w:kern w:val="0"/>
          <w:lang w:val="en-US" w:eastAsia="en-US"/>
        </w:rPr>
        <w:t xml:space="preserve"> </w:t>
      </w:r>
      <w:hyperlink r:id="rId23" w:history="1">
        <w:r w:rsidRPr="008B4E83">
          <w:rPr>
            <w:rStyle w:val="Hyperlink"/>
            <w:kern w:val="0"/>
            <w:lang w:val="en-GB"/>
          </w:rPr>
          <w:t>https://doi.org/10.1186/s13071-019-3601-x</w:t>
        </w:r>
      </w:hyperlink>
      <w:r>
        <w:rPr>
          <w:kern w:val="0"/>
          <w:lang w:val="en-GB"/>
        </w:rPr>
        <w:t xml:space="preserve"> </w:t>
      </w:r>
      <w:r w:rsidRPr="0071692A">
        <w:rPr>
          <w:kern w:val="0"/>
          <w:lang w:val="en-GB"/>
        </w:rPr>
        <w:t xml:space="preserve"> </w:t>
      </w:r>
    </w:p>
    <w:p w14:paraId="00115C62" w14:textId="77777777" w:rsidR="0007783F" w:rsidRDefault="0007783F" w:rsidP="00027C4A">
      <w:pPr>
        <w:spacing w:before="240" w:after="240" w:line="240" w:lineRule="auto"/>
        <w:ind w:left="0" w:right="0" w:firstLine="0"/>
        <w:rPr>
          <w:kern w:val="0"/>
          <w:lang w:val="en-GB"/>
        </w:rPr>
      </w:pPr>
      <w:r w:rsidRPr="00CF41DE">
        <w:rPr>
          <w:color w:val="auto"/>
          <w:kern w:val="0"/>
          <w:lang w:val="en-US" w:eastAsia="en-US"/>
        </w:rPr>
        <w:t xml:space="preserve">Rinaldi, L., Coles, G. C., Maurelli, M. P., Musella, V., &amp; </w:t>
      </w:r>
      <w:proofErr w:type="spellStart"/>
      <w:r w:rsidRPr="00CF41DE">
        <w:rPr>
          <w:color w:val="auto"/>
          <w:kern w:val="0"/>
          <w:lang w:val="en-US" w:eastAsia="en-US"/>
        </w:rPr>
        <w:t>Cringoli</w:t>
      </w:r>
      <w:proofErr w:type="spellEnd"/>
      <w:r w:rsidRPr="00CF41DE">
        <w:rPr>
          <w:color w:val="auto"/>
          <w:kern w:val="0"/>
          <w:lang w:val="en-US" w:eastAsia="en-US"/>
        </w:rPr>
        <w:t xml:space="preserve">, G. (2011). Calibration and diagnostic accuracy of simple flotation, McMaster and FLOTAC for parasite egg counts in sheep. </w:t>
      </w:r>
      <w:r w:rsidRPr="00CF41DE">
        <w:rPr>
          <w:i/>
          <w:iCs/>
          <w:color w:val="auto"/>
          <w:kern w:val="0"/>
          <w:lang w:val="en-US" w:eastAsia="en-US"/>
        </w:rPr>
        <w:t>Veterinary Parasitology</w:t>
      </w:r>
      <w:r w:rsidRPr="00CF41DE">
        <w:rPr>
          <w:color w:val="auto"/>
          <w:kern w:val="0"/>
          <w:lang w:val="en-US" w:eastAsia="en-US"/>
        </w:rPr>
        <w:t xml:space="preserve">, </w:t>
      </w:r>
      <w:r w:rsidRPr="00CF41DE">
        <w:rPr>
          <w:i/>
          <w:iCs/>
          <w:color w:val="auto"/>
          <w:kern w:val="0"/>
          <w:lang w:val="en-US" w:eastAsia="en-US"/>
        </w:rPr>
        <w:t>177</w:t>
      </w:r>
      <w:r w:rsidRPr="00CF41DE">
        <w:rPr>
          <w:color w:val="auto"/>
          <w:kern w:val="0"/>
          <w:lang w:val="en-US" w:eastAsia="en-US"/>
        </w:rPr>
        <w:t>(3-4), 345-352.</w:t>
      </w:r>
      <w:r>
        <w:rPr>
          <w:color w:val="auto"/>
          <w:kern w:val="0"/>
          <w:lang w:val="en-US" w:eastAsia="en-US"/>
        </w:rPr>
        <w:t xml:space="preserve"> </w:t>
      </w:r>
      <w:hyperlink r:id="rId24" w:history="1">
        <w:r w:rsidRPr="008B4E83">
          <w:rPr>
            <w:rStyle w:val="Hyperlink"/>
            <w:kern w:val="0"/>
            <w:lang w:val="en-GB"/>
          </w:rPr>
          <w:t>https://doi.org/10.1016/j.vetpar.2010.12.010</w:t>
        </w:r>
      </w:hyperlink>
      <w:r>
        <w:rPr>
          <w:kern w:val="0"/>
          <w:lang w:val="en-GB"/>
        </w:rPr>
        <w:t xml:space="preserve"> </w:t>
      </w:r>
      <w:r w:rsidRPr="0071692A">
        <w:rPr>
          <w:kern w:val="0"/>
          <w:lang w:val="en-GB"/>
        </w:rPr>
        <w:t xml:space="preserve"> </w:t>
      </w:r>
    </w:p>
    <w:p w14:paraId="3511C410" w14:textId="77777777" w:rsidR="0007783F" w:rsidRDefault="0007783F" w:rsidP="00027C4A">
      <w:pPr>
        <w:spacing w:before="240" w:after="240" w:line="240" w:lineRule="auto"/>
        <w:ind w:left="0" w:right="0" w:firstLine="0"/>
        <w:rPr>
          <w:kern w:val="0"/>
          <w:lang w:val="en-GB"/>
        </w:rPr>
      </w:pPr>
      <w:r w:rsidRPr="00B518F8">
        <w:rPr>
          <w:color w:val="auto"/>
          <w:kern w:val="0"/>
          <w:lang w:val="en-US" w:eastAsia="en-US"/>
        </w:rPr>
        <w:t xml:space="preserve">Rose, H., Wang, T., Van Dijk, J., &amp; Morgan, E. R. (2015). GLOWORM-FL: a simulation model of the effects of climate and climate change on the free-living stages of gastro-intestinal nematode parasites of ruminants. </w:t>
      </w:r>
      <w:r w:rsidRPr="00B518F8">
        <w:rPr>
          <w:i/>
          <w:iCs/>
          <w:color w:val="auto"/>
          <w:kern w:val="0"/>
          <w:lang w:val="en-US" w:eastAsia="en-US"/>
        </w:rPr>
        <w:t>Ecological Modelling</w:t>
      </w:r>
      <w:r w:rsidRPr="00B518F8">
        <w:rPr>
          <w:color w:val="auto"/>
          <w:kern w:val="0"/>
          <w:lang w:val="en-US" w:eastAsia="en-US"/>
        </w:rPr>
        <w:t xml:space="preserve">, </w:t>
      </w:r>
      <w:r w:rsidRPr="00B518F8">
        <w:rPr>
          <w:i/>
          <w:iCs/>
          <w:color w:val="auto"/>
          <w:kern w:val="0"/>
          <w:lang w:val="en-US" w:eastAsia="en-US"/>
        </w:rPr>
        <w:t>297</w:t>
      </w:r>
      <w:r w:rsidRPr="00B518F8">
        <w:rPr>
          <w:color w:val="auto"/>
          <w:kern w:val="0"/>
          <w:lang w:val="en-US" w:eastAsia="en-US"/>
        </w:rPr>
        <w:t>, 232-245.</w:t>
      </w:r>
      <w:r>
        <w:rPr>
          <w:color w:val="auto"/>
          <w:kern w:val="0"/>
          <w:lang w:val="en-US" w:eastAsia="en-US"/>
        </w:rPr>
        <w:t xml:space="preserve"> </w:t>
      </w:r>
      <w:hyperlink r:id="rId25" w:history="1">
        <w:r w:rsidRPr="008B4E83">
          <w:rPr>
            <w:rStyle w:val="Hyperlink"/>
            <w:kern w:val="0"/>
            <w:lang w:val="en-GB"/>
          </w:rPr>
          <w:t>https://doi.org/10.1016/j.ecolmodel.2014.11.033</w:t>
        </w:r>
      </w:hyperlink>
      <w:r>
        <w:rPr>
          <w:kern w:val="0"/>
          <w:lang w:val="en-GB"/>
        </w:rPr>
        <w:t xml:space="preserve"> </w:t>
      </w:r>
      <w:r w:rsidRPr="0071692A">
        <w:rPr>
          <w:kern w:val="0"/>
          <w:lang w:val="en-GB"/>
        </w:rPr>
        <w:t xml:space="preserve"> </w:t>
      </w:r>
    </w:p>
    <w:p w14:paraId="059B76F4" w14:textId="77777777" w:rsidR="0007783F" w:rsidRDefault="0007783F" w:rsidP="00027C4A">
      <w:pPr>
        <w:spacing w:before="240" w:after="240" w:line="240" w:lineRule="auto"/>
        <w:ind w:left="0" w:right="0" w:firstLine="0"/>
        <w:rPr>
          <w:kern w:val="0"/>
          <w:lang w:val="en-GB"/>
        </w:rPr>
      </w:pPr>
      <w:r w:rsidRPr="00B518F8">
        <w:rPr>
          <w:color w:val="auto"/>
          <w:kern w:val="0"/>
          <w:lang w:val="en-US" w:eastAsia="en-US"/>
        </w:rPr>
        <w:t xml:space="preserve">Slusarewicz, P., Pagano, S., Mills, C., Popa, G., Chow, K. M., Mendenhall, M., ... &amp; Nielsen, M. K. (2016). Automated parasite </w:t>
      </w:r>
      <w:proofErr w:type="spellStart"/>
      <w:r w:rsidRPr="00B518F8">
        <w:rPr>
          <w:color w:val="auto"/>
          <w:kern w:val="0"/>
          <w:lang w:val="en-US" w:eastAsia="en-US"/>
        </w:rPr>
        <w:t>faecal</w:t>
      </w:r>
      <w:proofErr w:type="spellEnd"/>
      <w:r w:rsidRPr="00B518F8">
        <w:rPr>
          <w:color w:val="auto"/>
          <w:kern w:val="0"/>
          <w:lang w:val="en-US" w:eastAsia="en-US"/>
        </w:rPr>
        <w:t xml:space="preserve"> egg counting using fluorescence labelling, smartphone image capture and computational image analysis. </w:t>
      </w:r>
      <w:r w:rsidRPr="00B518F8">
        <w:rPr>
          <w:i/>
          <w:iCs/>
          <w:color w:val="auto"/>
          <w:kern w:val="0"/>
          <w:lang w:val="en-US" w:eastAsia="en-US"/>
        </w:rPr>
        <w:t>International journal for parasitology</w:t>
      </w:r>
      <w:r w:rsidRPr="00B518F8">
        <w:rPr>
          <w:color w:val="auto"/>
          <w:kern w:val="0"/>
          <w:lang w:val="en-US" w:eastAsia="en-US"/>
        </w:rPr>
        <w:t xml:space="preserve">, </w:t>
      </w:r>
      <w:r w:rsidRPr="00B518F8">
        <w:rPr>
          <w:i/>
          <w:iCs/>
          <w:color w:val="auto"/>
          <w:kern w:val="0"/>
          <w:lang w:val="en-US" w:eastAsia="en-US"/>
        </w:rPr>
        <w:t>46</w:t>
      </w:r>
      <w:r w:rsidRPr="00B518F8">
        <w:rPr>
          <w:color w:val="auto"/>
          <w:kern w:val="0"/>
          <w:lang w:val="en-US" w:eastAsia="en-US"/>
        </w:rPr>
        <w:t>(8), 485-493.</w:t>
      </w:r>
      <w:r>
        <w:rPr>
          <w:color w:val="auto"/>
          <w:kern w:val="0"/>
          <w:lang w:val="en-US" w:eastAsia="en-US"/>
        </w:rPr>
        <w:t xml:space="preserve"> </w:t>
      </w:r>
      <w:hyperlink r:id="rId26" w:history="1">
        <w:r w:rsidRPr="008B4E83">
          <w:rPr>
            <w:rStyle w:val="Hyperlink"/>
            <w:kern w:val="0"/>
            <w:lang w:val="en-GB"/>
          </w:rPr>
          <w:t>https://doi.org/10.1016/j.ijpara.2016.02.004</w:t>
        </w:r>
      </w:hyperlink>
      <w:r>
        <w:rPr>
          <w:kern w:val="0"/>
          <w:lang w:val="en-GB"/>
        </w:rPr>
        <w:t xml:space="preserve"> </w:t>
      </w:r>
    </w:p>
    <w:p w14:paraId="382F274A" w14:textId="77777777" w:rsidR="0007783F" w:rsidRDefault="0007783F" w:rsidP="00027C4A">
      <w:pPr>
        <w:spacing w:before="240" w:after="240" w:line="240" w:lineRule="auto"/>
        <w:rPr>
          <w:lang w:val="en-US"/>
        </w:rPr>
      </w:pPr>
      <w:r w:rsidRPr="008735A7">
        <w:rPr>
          <w:lang w:val="en-US"/>
        </w:rPr>
        <w:t xml:space="preserve">Soares Magalhães, R. J., </w:t>
      </w:r>
      <w:proofErr w:type="spellStart"/>
      <w:r w:rsidRPr="008735A7">
        <w:rPr>
          <w:lang w:val="en-US"/>
        </w:rPr>
        <w:t>Biritwum</w:t>
      </w:r>
      <w:proofErr w:type="spellEnd"/>
      <w:r w:rsidRPr="008735A7">
        <w:rPr>
          <w:lang w:val="en-US"/>
        </w:rPr>
        <w:t xml:space="preserve">, N. K., </w:t>
      </w:r>
      <w:proofErr w:type="spellStart"/>
      <w:r w:rsidRPr="008735A7">
        <w:rPr>
          <w:lang w:val="en-US"/>
        </w:rPr>
        <w:t>Gyapong</w:t>
      </w:r>
      <w:proofErr w:type="spellEnd"/>
      <w:r w:rsidRPr="008735A7">
        <w:rPr>
          <w:lang w:val="en-US"/>
        </w:rPr>
        <w:t xml:space="preserve">, J. O., Brooker, S., Zhang, Y., Blair, L., ... &amp; Clements, A. C. (2011). Mapping helminth co-infection and co-intensity: geostatistical prediction in Ghana. </w:t>
      </w:r>
      <w:proofErr w:type="spellStart"/>
      <w:r w:rsidRPr="008735A7">
        <w:rPr>
          <w:i/>
          <w:iCs/>
          <w:lang w:val="en-US"/>
        </w:rPr>
        <w:t>PLoS</w:t>
      </w:r>
      <w:proofErr w:type="spellEnd"/>
      <w:r w:rsidRPr="008735A7">
        <w:rPr>
          <w:i/>
          <w:iCs/>
          <w:lang w:val="en-US"/>
        </w:rPr>
        <w:t xml:space="preserve"> neglected tropical diseases</w:t>
      </w:r>
      <w:r w:rsidRPr="008735A7">
        <w:rPr>
          <w:lang w:val="en-US"/>
        </w:rPr>
        <w:t xml:space="preserve">, </w:t>
      </w:r>
      <w:r w:rsidRPr="008735A7">
        <w:rPr>
          <w:i/>
          <w:iCs/>
          <w:lang w:val="en-US"/>
        </w:rPr>
        <w:t>5</w:t>
      </w:r>
      <w:r w:rsidRPr="008735A7">
        <w:rPr>
          <w:lang w:val="en-US"/>
        </w:rPr>
        <w:t>(6), e1200.</w:t>
      </w:r>
      <w:r>
        <w:rPr>
          <w:lang w:val="en-US"/>
        </w:rPr>
        <w:t xml:space="preserve"> </w:t>
      </w:r>
      <w:hyperlink r:id="rId27" w:history="1">
        <w:r w:rsidRPr="008B4E83">
          <w:rPr>
            <w:rStyle w:val="Hyperlink"/>
            <w:lang w:val="en-US"/>
          </w:rPr>
          <w:t>https://doi.org/10.1371/journal.pntd.0001200</w:t>
        </w:r>
      </w:hyperlink>
      <w:r>
        <w:rPr>
          <w:lang w:val="en-US"/>
        </w:rPr>
        <w:t xml:space="preserve"> </w:t>
      </w:r>
    </w:p>
    <w:p w14:paraId="040301A7" w14:textId="77777777" w:rsidR="0007783F" w:rsidRPr="00CF41DE" w:rsidRDefault="0007783F" w:rsidP="00027C4A">
      <w:pPr>
        <w:spacing w:before="240" w:after="240" w:line="240" w:lineRule="auto"/>
        <w:ind w:left="0" w:right="0" w:firstLine="0"/>
        <w:rPr>
          <w:color w:val="auto"/>
          <w:kern w:val="0"/>
          <w:lang w:val="en-US" w:eastAsia="en-US"/>
        </w:rPr>
      </w:pPr>
      <w:r w:rsidRPr="00CF41DE">
        <w:rPr>
          <w:color w:val="auto"/>
          <w:kern w:val="0"/>
          <w:lang w:val="en-US" w:eastAsia="en-US"/>
        </w:rPr>
        <w:t xml:space="preserve">Sutherland, I. A., &amp; </w:t>
      </w:r>
      <w:proofErr w:type="spellStart"/>
      <w:r w:rsidRPr="00CF41DE">
        <w:rPr>
          <w:color w:val="auto"/>
          <w:kern w:val="0"/>
          <w:lang w:val="en-US" w:eastAsia="en-US"/>
        </w:rPr>
        <w:t>Leathwick</w:t>
      </w:r>
      <w:proofErr w:type="spellEnd"/>
      <w:r w:rsidRPr="00CF41DE">
        <w:rPr>
          <w:color w:val="auto"/>
          <w:kern w:val="0"/>
          <w:lang w:val="en-US" w:eastAsia="en-US"/>
        </w:rPr>
        <w:t xml:space="preserve">, D. M. (2011). Anthelmintic resistance in nematode parasites of cattle: a global </w:t>
      </w:r>
      <w:proofErr w:type="gramStart"/>
      <w:r w:rsidRPr="00CF41DE">
        <w:rPr>
          <w:color w:val="auto"/>
          <w:kern w:val="0"/>
          <w:lang w:val="en-US" w:eastAsia="en-US"/>
        </w:rPr>
        <w:t>issue?.</w:t>
      </w:r>
      <w:proofErr w:type="gramEnd"/>
      <w:r w:rsidRPr="00CF41DE">
        <w:rPr>
          <w:color w:val="auto"/>
          <w:kern w:val="0"/>
          <w:lang w:val="en-US" w:eastAsia="en-US"/>
        </w:rPr>
        <w:t xml:space="preserve"> </w:t>
      </w:r>
      <w:r w:rsidRPr="00CF41DE">
        <w:rPr>
          <w:i/>
          <w:iCs/>
          <w:color w:val="auto"/>
          <w:kern w:val="0"/>
          <w:lang w:val="en-US" w:eastAsia="en-US"/>
        </w:rPr>
        <w:t>Trends in parasitology</w:t>
      </w:r>
      <w:r w:rsidRPr="00CF41DE">
        <w:rPr>
          <w:color w:val="auto"/>
          <w:kern w:val="0"/>
          <w:lang w:val="en-US" w:eastAsia="en-US"/>
        </w:rPr>
        <w:t xml:space="preserve">, </w:t>
      </w:r>
      <w:r w:rsidRPr="00CF41DE">
        <w:rPr>
          <w:i/>
          <w:iCs/>
          <w:color w:val="auto"/>
          <w:kern w:val="0"/>
          <w:lang w:val="en-US" w:eastAsia="en-US"/>
        </w:rPr>
        <w:t>27</w:t>
      </w:r>
      <w:r w:rsidRPr="00CF41DE">
        <w:rPr>
          <w:color w:val="auto"/>
          <w:kern w:val="0"/>
          <w:lang w:val="en-US" w:eastAsia="en-US"/>
        </w:rPr>
        <w:t xml:space="preserve">(4), 176–181. </w:t>
      </w:r>
      <w:hyperlink r:id="rId28" w:history="1">
        <w:r w:rsidRPr="008B4E83">
          <w:rPr>
            <w:rStyle w:val="Hyperlink"/>
            <w:kern w:val="0"/>
            <w:lang w:val="en-US" w:eastAsia="en-US"/>
          </w:rPr>
          <w:t>https://doi.org/10.1016/j.pt.2010.11.008</w:t>
        </w:r>
      </w:hyperlink>
      <w:r>
        <w:rPr>
          <w:color w:val="auto"/>
          <w:kern w:val="0"/>
          <w:lang w:val="en-US" w:eastAsia="en-US"/>
        </w:rPr>
        <w:t xml:space="preserve"> </w:t>
      </w:r>
    </w:p>
    <w:p w14:paraId="026306E3" w14:textId="77777777" w:rsidR="0007783F" w:rsidRDefault="0007783F" w:rsidP="00027C4A">
      <w:pPr>
        <w:spacing w:before="240" w:after="240" w:line="240" w:lineRule="auto"/>
        <w:ind w:left="0" w:right="0" w:firstLine="0"/>
        <w:rPr>
          <w:kern w:val="0"/>
          <w:lang w:val="en-GB"/>
        </w:rPr>
      </w:pPr>
      <w:r w:rsidRPr="00CF41DE">
        <w:rPr>
          <w:color w:val="auto"/>
          <w:kern w:val="0"/>
          <w:lang w:val="en-US" w:eastAsia="en-US"/>
        </w:rPr>
        <w:t xml:space="preserve">Uusitalo, L. (2007). Advantages and challenges of Bayesian networks in environmental modelling. </w:t>
      </w:r>
      <w:r w:rsidRPr="00CF41DE">
        <w:rPr>
          <w:i/>
          <w:iCs/>
          <w:color w:val="auto"/>
          <w:kern w:val="0"/>
          <w:lang w:val="en-US" w:eastAsia="en-US"/>
        </w:rPr>
        <w:t>Ecological modelling</w:t>
      </w:r>
      <w:r w:rsidRPr="00CF41DE">
        <w:rPr>
          <w:color w:val="auto"/>
          <w:kern w:val="0"/>
          <w:lang w:val="en-US" w:eastAsia="en-US"/>
        </w:rPr>
        <w:t xml:space="preserve">, </w:t>
      </w:r>
      <w:r w:rsidRPr="00CF41DE">
        <w:rPr>
          <w:i/>
          <w:iCs/>
          <w:color w:val="auto"/>
          <w:kern w:val="0"/>
          <w:lang w:val="en-US" w:eastAsia="en-US"/>
        </w:rPr>
        <w:t>203</w:t>
      </w:r>
      <w:r w:rsidRPr="00CF41DE">
        <w:rPr>
          <w:color w:val="auto"/>
          <w:kern w:val="0"/>
          <w:lang w:val="en-US" w:eastAsia="en-US"/>
        </w:rPr>
        <w:t>(3-4), 312-318.</w:t>
      </w:r>
      <w:r>
        <w:rPr>
          <w:color w:val="auto"/>
          <w:kern w:val="0"/>
          <w:lang w:val="en-US" w:eastAsia="en-US"/>
        </w:rPr>
        <w:t xml:space="preserve"> </w:t>
      </w:r>
      <w:hyperlink r:id="rId29" w:history="1">
        <w:r w:rsidRPr="008B4E83">
          <w:rPr>
            <w:rStyle w:val="Hyperlink"/>
            <w:kern w:val="0"/>
            <w:lang w:val="en-GB"/>
          </w:rPr>
          <w:t>https://doi.org/10.1016/j.ecolmodel.2006.11.033</w:t>
        </w:r>
      </w:hyperlink>
      <w:r>
        <w:rPr>
          <w:kern w:val="0"/>
          <w:lang w:val="en-GB"/>
        </w:rPr>
        <w:t xml:space="preserve"> </w:t>
      </w:r>
      <w:r w:rsidRPr="0071692A">
        <w:rPr>
          <w:kern w:val="0"/>
          <w:lang w:val="en-GB"/>
        </w:rPr>
        <w:t xml:space="preserve"> </w:t>
      </w:r>
    </w:p>
    <w:p w14:paraId="2C0BF42E" w14:textId="77777777" w:rsidR="0007783F" w:rsidRDefault="0007783F" w:rsidP="00027C4A">
      <w:pPr>
        <w:spacing w:before="240" w:after="240" w:line="240" w:lineRule="auto"/>
        <w:ind w:left="0" w:right="0" w:firstLine="0"/>
        <w:rPr>
          <w:kern w:val="0"/>
          <w:lang w:val="en-GB"/>
        </w:rPr>
      </w:pPr>
      <w:r w:rsidRPr="00CF41DE">
        <w:rPr>
          <w:color w:val="auto"/>
          <w:kern w:val="0"/>
          <w:lang w:val="en-US" w:eastAsia="en-US"/>
        </w:rPr>
        <w:t xml:space="preserve">Xu, W., Zhai, Q., Liu, J., Xu, X., &amp; Hua, J. (2024). A lightweight deep-learning model for parasite egg detection in microscopy images. </w:t>
      </w:r>
      <w:r w:rsidRPr="00CF41DE">
        <w:rPr>
          <w:i/>
          <w:iCs/>
          <w:color w:val="auto"/>
          <w:kern w:val="0"/>
          <w:lang w:val="en-US" w:eastAsia="en-US"/>
        </w:rPr>
        <w:t>Parasites &amp; Vectors</w:t>
      </w:r>
      <w:r w:rsidRPr="00CF41DE">
        <w:rPr>
          <w:color w:val="auto"/>
          <w:kern w:val="0"/>
          <w:lang w:val="en-US" w:eastAsia="en-US"/>
        </w:rPr>
        <w:t xml:space="preserve">, </w:t>
      </w:r>
      <w:r w:rsidRPr="00CF41DE">
        <w:rPr>
          <w:i/>
          <w:iCs/>
          <w:color w:val="auto"/>
          <w:kern w:val="0"/>
          <w:lang w:val="en-US" w:eastAsia="en-US"/>
        </w:rPr>
        <w:t>17</w:t>
      </w:r>
      <w:r w:rsidRPr="00CF41DE">
        <w:rPr>
          <w:color w:val="auto"/>
          <w:kern w:val="0"/>
          <w:lang w:val="en-US" w:eastAsia="en-US"/>
        </w:rPr>
        <w:t>(1), 454.</w:t>
      </w:r>
      <w:r>
        <w:rPr>
          <w:color w:val="auto"/>
          <w:kern w:val="0"/>
          <w:lang w:val="en-US" w:eastAsia="en-US"/>
        </w:rPr>
        <w:t xml:space="preserve"> </w:t>
      </w:r>
      <w:hyperlink r:id="rId30" w:history="1">
        <w:r w:rsidRPr="008B4E83">
          <w:rPr>
            <w:rStyle w:val="Hyperlink"/>
            <w:kern w:val="0"/>
            <w:lang w:val="en-GB"/>
          </w:rPr>
          <w:t>https://doi.org/10.1186/s13071-024-06503-2</w:t>
        </w:r>
      </w:hyperlink>
      <w:r>
        <w:rPr>
          <w:kern w:val="0"/>
          <w:lang w:val="en-GB"/>
        </w:rPr>
        <w:t xml:space="preserve"> </w:t>
      </w:r>
    </w:p>
    <w:p w14:paraId="09844AB5" w14:textId="52FF019C" w:rsidR="000B1C8C" w:rsidRDefault="0007783F" w:rsidP="000B1C8C">
      <w:pPr>
        <w:shd w:val="clear" w:color="auto" w:fill="FFFFFF"/>
        <w:spacing w:after="0" w:line="240" w:lineRule="auto"/>
        <w:ind w:left="0" w:right="0" w:firstLine="0"/>
        <w:jc w:val="left"/>
        <w:rPr>
          <w:rFonts w:ascii="Consolas" w:hAnsi="Consolas"/>
          <w:color w:val="1B1B1B"/>
          <w:kern w:val="0"/>
          <w:highlight w:val="yellow"/>
          <w:lang w:val="en-US" w:eastAsia="en-US"/>
        </w:rPr>
      </w:pPr>
      <w:r>
        <w:rPr>
          <w:lang w:val="en-US"/>
        </w:rPr>
        <w:t xml:space="preserve"> </w:t>
      </w:r>
      <w:proofErr w:type="spellStart"/>
      <w:r w:rsidR="000B1C8C" w:rsidRPr="0067641D">
        <w:rPr>
          <w:rFonts w:ascii="Consolas" w:hAnsi="Consolas"/>
          <w:color w:val="1B1B1B"/>
          <w:kern w:val="0"/>
          <w:highlight w:val="yellow"/>
          <w:lang w:val="en-US" w:eastAsia="en-US"/>
        </w:rPr>
        <w:t>Chamuah</w:t>
      </w:r>
      <w:proofErr w:type="spellEnd"/>
      <w:r w:rsidR="000B1C8C" w:rsidRPr="0067641D">
        <w:rPr>
          <w:rFonts w:ascii="Consolas" w:hAnsi="Consolas"/>
          <w:color w:val="1B1B1B"/>
          <w:kern w:val="0"/>
          <w:highlight w:val="yellow"/>
          <w:lang w:val="en-US" w:eastAsia="en-US"/>
        </w:rPr>
        <w:t xml:space="preserve"> JK, </w:t>
      </w:r>
      <w:proofErr w:type="spellStart"/>
      <w:r w:rsidR="000B1C8C" w:rsidRPr="0067641D">
        <w:rPr>
          <w:rFonts w:ascii="Consolas" w:hAnsi="Consolas"/>
          <w:color w:val="1B1B1B"/>
          <w:kern w:val="0"/>
          <w:highlight w:val="yellow"/>
          <w:lang w:val="en-US" w:eastAsia="en-US"/>
        </w:rPr>
        <w:t>Sarma</w:t>
      </w:r>
      <w:proofErr w:type="spellEnd"/>
      <w:r w:rsidR="000B1C8C" w:rsidRPr="0067641D">
        <w:rPr>
          <w:rFonts w:ascii="Consolas" w:hAnsi="Consolas"/>
          <w:color w:val="1B1B1B"/>
          <w:kern w:val="0"/>
          <w:highlight w:val="yellow"/>
          <w:lang w:val="en-US" w:eastAsia="en-US"/>
        </w:rPr>
        <w:t xml:space="preserve"> B, Sumi AA, Singh M, Kumar H, </w:t>
      </w:r>
      <w:proofErr w:type="spellStart"/>
      <w:r w:rsidR="000B1C8C" w:rsidRPr="0067641D">
        <w:rPr>
          <w:rFonts w:ascii="Consolas" w:hAnsi="Consolas"/>
          <w:color w:val="1B1B1B"/>
          <w:kern w:val="0"/>
          <w:highlight w:val="yellow"/>
          <w:lang w:val="en-US" w:eastAsia="en-US"/>
        </w:rPr>
        <w:t>Valan</w:t>
      </w:r>
      <w:proofErr w:type="spellEnd"/>
      <w:r w:rsidR="000B1C8C" w:rsidRPr="0067641D">
        <w:rPr>
          <w:rFonts w:ascii="Consolas" w:hAnsi="Consolas"/>
          <w:color w:val="1B1B1B"/>
          <w:kern w:val="0"/>
          <w:highlight w:val="yellow"/>
          <w:lang w:val="en-US" w:eastAsia="en-US"/>
        </w:rPr>
        <w:t xml:space="preserve"> JA, Patil SG. An artificial intelligence-based diagnosis system for the identification of helminth parasitic infections in </w:t>
      </w:r>
      <w:proofErr w:type="spellStart"/>
      <w:r w:rsidR="000B1C8C" w:rsidRPr="0067641D">
        <w:rPr>
          <w:rFonts w:ascii="Consolas" w:hAnsi="Consolas"/>
          <w:color w:val="1B1B1B"/>
          <w:kern w:val="0"/>
          <w:highlight w:val="yellow"/>
          <w:lang w:val="en-US" w:eastAsia="en-US"/>
        </w:rPr>
        <w:t>mithun</w:t>
      </w:r>
      <w:proofErr w:type="spellEnd"/>
      <w:r w:rsidR="000B1C8C" w:rsidRPr="0067641D">
        <w:rPr>
          <w:rFonts w:ascii="Consolas" w:hAnsi="Consolas"/>
          <w:color w:val="1B1B1B"/>
          <w:kern w:val="0"/>
          <w:highlight w:val="yellow"/>
          <w:lang w:val="en-US" w:eastAsia="en-US"/>
        </w:rPr>
        <w:t xml:space="preserve"> and allied bovines. Sci Rep. 2025 Dec 17;16(1):2932. </w:t>
      </w:r>
      <w:proofErr w:type="spellStart"/>
      <w:r w:rsidR="000B1C8C" w:rsidRPr="0067641D">
        <w:rPr>
          <w:rFonts w:ascii="Consolas" w:hAnsi="Consolas"/>
          <w:color w:val="1B1B1B"/>
          <w:kern w:val="0"/>
          <w:highlight w:val="yellow"/>
          <w:lang w:val="en-US" w:eastAsia="en-US"/>
        </w:rPr>
        <w:t>doi</w:t>
      </w:r>
      <w:proofErr w:type="spellEnd"/>
      <w:r w:rsidR="000B1C8C" w:rsidRPr="0067641D">
        <w:rPr>
          <w:rFonts w:ascii="Consolas" w:hAnsi="Consolas"/>
          <w:color w:val="1B1B1B"/>
          <w:kern w:val="0"/>
          <w:highlight w:val="yellow"/>
          <w:lang w:val="en-US" w:eastAsia="en-US"/>
        </w:rPr>
        <w:t>: 10.1038/s41598-025-32775-4. PMID: 41407824; PMCID: PMC12828036.</w:t>
      </w:r>
    </w:p>
    <w:p w14:paraId="1BED8DEC" w14:textId="036A5ED2" w:rsidR="000B1C8C" w:rsidRDefault="000B1C8C" w:rsidP="000B1C8C">
      <w:pPr>
        <w:shd w:val="clear" w:color="auto" w:fill="FFFFFF"/>
        <w:spacing w:after="0" w:line="240" w:lineRule="auto"/>
        <w:ind w:left="0" w:right="0" w:firstLine="0"/>
        <w:jc w:val="left"/>
        <w:rPr>
          <w:rFonts w:ascii="Consolas" w:hAnsi="Consolas"/>
          <w:color w:val="1B1B1B"/>
          <w:kern w:val="0"/>
          <w:lang w:val="en-US" w:eastAsia="en-US"/>
        </w:rPr>
      </w:pPr>
    </w:p>
    <w:p w14:paraId="1D5712BF" w14:textId="77777777" w:rsidR="000B1C8C" w:rsidRPr="000B1C8C" w:rsidRDefault="000B1C8C" w:rsidP="000B1C8C">
      <w:pPr>
        <w:spacing w:after="150" w:line="240" w:lineRule="auto"/>
        <w:ind w:left="0" w:right="0" w:firstLine="0"/>
        <w:jc w:val="left"/>
        <w:rPr>
          <w:rFonts w:ascii="inherit" w:hAnsi="inherit" w:cs="Helvetica"/>
          <w:color w:val="222222"/>
          <w:kern w:val="0"/>
          <w:sz w:val="18"/>
          <w:szCs w:val="18"/>
          <w:lang w:val="en-US" w:eastAsia="en-US"/>
        </w:rPr>
      </w:pPr>
      <w:r w:rsidRPr="0067641D">
        <w:rPr>
          <w:rFonts w:ascii="inherit" w:hAnsi="inherit" w:cs="Helvetica"/>
          <w:color w:val="222222"/>
          <w:kern w:val="0"/>
          <w:sz w:val="18"/>
          <w:szCs w:val="18"/>
          <w:highlight w:val="yellow"/>
          <w:lang w:val="en-US" w:eastAsia="en-US"/>
        </w:rPr>
        <w:lastRenderedPageBreak/>
        <w:t xml:space="preserve">Ahmed, M., </w:t>
      </w:r>
      <w:proofErr w:type="spellStart"/>
      <w:r w:rsidRPr="0067641D">
        <w:rPr>
          <w:rFonts w:ascii="inherit" w:hAnsi="inherit" w:cs="Helvetica"/>
          <w:color w:val="222222"/>
          <w:kern w:val="0"/>
          <w:sz w:val="18"/>
          <w:szCs w:val="18"/>
          <w:highlight w:val="yellow"/>
          <w:lang w:val="en-US" w:eastAsia="en-US"/>
        </w:rPr>
        <w:t>Javaid</w:t>
      </w:r>
      <w:proofErr w:type="spellEnd"/>
      <w:r w:rsidRPr="0067641D">
        <w:rPr>
          <w:rFonts w:ascii="inherit" w:hAnsi="inherit" w:cs="Helvetica"/>
          <w:color w:val="222222"/>
          <w:kern w:val="0"/>
          <w:sz w:val="18"/>
          <w:szCs w:val="18"/>
          <w:highlight w:val="yellow"/>
          <w:lang w:val="en-US" w:eastAsia="en-US"/>
        </w:rPr>
        <w:t xml:space="preserve">, S., &amp; </w:t>
      </w:r>
      <w:proofErr w:type="spellStart"/>
      <w:r w:rsidRPr="0067641D">
        <w:rPr>
          <w:rFonts w:ascii="inherit" w:hAnsi="inherit" w:cs="Helvetica"/>
          <w:color w:val="222222"/>
          <w:kern w:val="0"/>
          <w:sz w:val="18"/>
          <w:szCs w:val="18"/>
          <w:highlight w:val="yellow"/>
          <w:lang w:val="en-US" w:eastAsia="en-US"/>
        </w:rPr>
        <w:t>Saepudin</w:t>
      </w:r>
      <w:proofErr w:type="spellEnd"/>
      <w:r w:rsidRPr="0067641D">
        <w:rPr>
          <w:rFonts w:ascii="inherit" w:hAnsi="inherit" w:cs="Helvetica"/>
          <w:color w:val="222222"/>
          <w:kern w:val="0"/>
          <w:sz w:val="18"/>
          <w:szCs w:val="18"/>
          <w:highlight w:val="yellow"/>
          <w:lang w:val="en-US" w:eastAsia="en-US"/>
        </w:rPr>
        <w:t>, S. (2025). Cattle Disease Prediction Using Machine Learning Algorithms. </w:t>
      </w:r>
      <w:r w:rsidRPr="0067641D">
        <w:rPr>
          <w:rFonts w:ascii="inherit" w:hAnsi="inherit" w:cs="Helvetica"/>
          <w:i/>
          <w:iCs/>
          <w:color w:val="222222"/>
          <w:kern w:val="0"/>
          <w:sz w:val="18"/>
          <w:szCs w:val="18"/>
          <w:highlight w:val="yellow"/>
          <w:lang w:val="en-US" w:eastAsia="en-US"/>
        </w:rPr>
        <w:t>Engineering Proceedings</w:t>
      </w:r>
      <w:r w:rsidRPr="0067641D">
        <w:rPr>
          <w:rFonts w:ascii="inherit" w:hAnsi="inherit" w:cs="Helvetica"/>
          <w:color w:val="222222"/>
          <w:kern w:val="0"/>
          <w:sz w:val="18"/>
          <w:szCs w:val="18"/>
          <w:highlight w:val="yellow"/>
          <w:lang w:val="en-US" w:eastAsia="en-US"/>
        </w:rPr>
        <w:t>, </w:t>
      </w:r>
      <w:r w:rsidRPr="0067641D">
        <w:rPr>
          <w:rFonts w:ascii="inherit" w:hAnsi="inherit" w:cs="Helvetica"/>
          <w:i/>
          <w:iCs/>
          <w:color w:val="222222"/>
          <w:kern w:val="0"/>
          <w:sz w:val="18"/>
          <w:szCs w:val="18"/>
          <w:highlight w:val="yellow"/>
          <w:lang w:val="en-US" w:eastAsia="en-US"/>
        </w:rPr>
        <w:t>107</w:t>
      </w:r>
      <w:r w:rsidRPr="0067641D">
        <w:rPr>
          <w:rFonts w:ascii="inherit" w:hAnsi="inherit" w:cs="Helvetica"/>
          <w:color w:val="222222"/>
          <w:kern w:val="0"/>
          <w:sz w:val="18"/>
          <w:szCs w:val="18"/>
          <w:highlight w:val="yellow"/>
          <w:lang w:val="en-US" w:eastAsia="en-US"/>
        </w:rPr>
        <w:t>(1), 85. https://doi.org/10.3390/engproc2025107085</w:t>
      </w:r>
    </w:p>
    <w:p w14:paraId="1B15445E" w14:textId="77777777" w:rsidR="00D50FE1" w:rsidRPr="0067641D" w:rsidRDefault="00D50FE1" w:rsidP="00D50FE1">
      <w:pPr>
        <w:pStyle w:val="c-bibliographic-informationcitation"/>
        <w:shd w:val="clear" w:color="auto" w:fill="FFFFFF"/>
        <w:spacing w:before="0" w:beforeAutospacing="0" w:after="240" w:afterAutospacing="0"/>
        <w:rPr>
          <w:rFonts w:ascii="Helvetica" w:hAnsi="Helvetica" w:cs="Helvetica"/>
          <w:color w:val="222222"/>
          <w:sz w:val="22"/>
        </w:rPr>
      </w:pPr>
      <w:r w:rsidRPr="0067641D">
        <w:rPr>
          <w:rFonts w:ascii="Helvetica" w:hAnsi="Helvetica" w:cs="Helvetica"/>
          <w:color w:val="222222"/>
          <w:sz w:val="22"/>
          <w:highlight w:val="yellow"/>
        </w:rPr>
        <w:t xml:space="preserve">Sabatini, G.A., de Almeida Borges, F., </w:t>
      </w:r>
      <w:proofErr w:type="spellStart"/>
      <w:r w:rsidRPr="0067641D">
        <w:rPr>
          <w:rFonts w:ascii="Helvetica" w:hAnsi="Helvetica" w:cs="Helvetica"/>
          <w:color w:val="222222"/>
          <w:sz w:val="22"/>
          <w:highlight w:val="yellow"/>
        </w:rPr>
        <w:t>Claerebout</w:t>
      </w:r>
      <w:proofErr w:type="spellEnd"/>
      <w:r w:rsidRPr="0067641D">
        <w:rPr>
          <w:rFonts w:ascii="Helvetica" w:hAnsi="Helvetica" w:cs="Helvetica"/>
          <w:color w:val="222222"/>
          <w:sz w:val="22"/>
          <w:highlight w:val="yellow"/>
        </w:rPr>
        <w:t>, E. </w:t>
      </w:r>
      <w:r w:rsidRPr="0067641D">
        <w:rPr>
          <w:rFonts w:ascii="Helvetica" w:hAnsi="Helvetica" w:cs="Helvetica"/>
          <w:i/>
          <w:iCs/>
          <w:color w:val="222222"/>
          <w:sz w:val="22"/>
          <w:highlight w:val="yellow"/>
        </w:rPr>
        <w:t>et al.</w:t>
      </w:r>
      <w:r w:rsidRPr="0067641D">
        <w:rPr>
          <w:rFonts w:ascii="Helvetica" w:hAnsi="Helvetica" w:cs="Helvetica"/>
          <w:color w:val="222222"/>
          <w:sz w:val="22"/>
          <w:highlight w:val="yellow"/>
        </w:rPr>
        <w:t> Practical guide to the diagnostics of ruminant gastrointestinal nematodes, liver fluke and lungworm infection: interpretation and usability of results. </w:t>
      </w:r>
      <w:r w:rsidRPr="0067641D">
        <w:rPr>
          <w:rFonts w:ascii="Helvetica" w:hAnsi="Helvetica" w:cs="Helvetica"/>
          <w:i/>
          <w:iCs/>
          <w:color w:val="222222"/>
          <w:sz w:val="22"/>
          <w:highlight w:val="yellow"/>
        </w:rPr>
        <w:t>Parasites Vectors</w:t>
      </w:r>
      <w:r w:rsidRPr="0067641D">
        <w:rPr>
          <w:rFonts w:ascii="Helvetica" w:hAnsi="Helvetica" w:cs="Helvetica"/>
          <w:color w:val="222222"/>
          <w:sz w:val="22"/>
          <w:highlight w:val="yellow"/>
        </w:rPr>
        <w:t> </w:t>
      </w:r>
      <w:r w:rsidRPr="0067641D">
        <w:rPr>
          <w:rFonts w:ascii="Helvetica" w:hAnsi="Helvetica" w:cs="Helvetica"/>
          <w:b/>
          <w:bCs/>
          <w:color w:val="222222"/>
          <w:sz w:val="22"/>
          <w:highlight w:val="yellow"/>
        </w:rPr>
        <w:t>16</w:t>
      </w:r>
      <w:r w:rsidRPr="0067641D">
        <w:rPr>
          <w:rFonts w:ascii="Helvetica" w:hAnsi="Helvetica" w:cs="Helvetica"/>
          <w:color w:val="222222"/>
          <w:sz w:val="22"/>
          <w:highlight w:val="yellow"/>
        </w:rPr>
        <w:t>, 58 (2023). https://doi.org/10.1186/s13071-023-05680-w</w:t>
      </w:r>
    </w:p>
    <w:p w14:paraId="22C447BA" w14:textId="77777777" w:rsidR="000B1C8C" w:rsidRPr="000B1C8C" w:rsidRDefault="000B1C8C" w:rsidP="000B1C8C">
      <w:pPr>
        <w:shd w:val="clear" w:color="auto" w:fill="FFFFFF"/>
        <w:spacing w:after="0" w:line="240" w:lineRule="auto"/>
        <w:ind w:left="0" w:right="0" w:firstLine="0"/>
        <w:jc w:val="left"/>
        <w:rPr>
          <w:rFonts w:ascii="Consolas" w:hAnsi="Consolas"/>
          <w:color w:val="1B1B1B"/>
          <w:kern w:val="0"/>
          <w:lang w:val="en-US" w:eastAsia="en-US"/>
        </w:rPr>
      </w:pPr>
    </w:p>
    <w:p w14:paraId="3332C604" w14:textId="77777777" w:rsidR="000B1C8C" w:rsidRPr="000B1C8C" w:rsidRDefault="000B1C8C" w:rsidP="0067641D">
      <w:pPr>
        <w:shd w:val="clear" w:color="auto" w:fill="FFFFFF"/>
        <w:spacing w:before="100" w:beforeAutospacing="1" w:after="0" w:line="240" w:lineRule="auto"/>
        <w:ind w:left="720" w:right="0" w:firstLine="0"/>
        <w:jc w:val="left"/>
        <w:rPr>
          <w:rFonts w:ascii="Helvetica" w:hAnsi="Helvetica" w:cs="Helvetica"/>
          <w:color w:val="1B1B1B"/>
          <w:kern w:val="0"/>
          <w:lang w:val="en-US" w:eastAsia="en-US"/>
        </w:rPr>
      </w:pPr>
    </w:p>
    <w:p w14:paraId="61A347A7" w14:textId="77777777" w:rsidR="0007783F" w:rsidRDefault="0007783F" w:rsidP="00027C4A">
      <w:pPr>
        <w:spacing w:after="0" w:line="240" w:lineRule="auto"/>
        <w:rPr>
          <w:lang w:val="en-US"/>
        </w:rPr>
      </w:pPr>
    </w:p>
    <w:p w14:paraId="5000B253" w14:textId="77777777" w:rsidR="0007783F" w:rsidRPr="0071692A" w:rsidRDefault="0007783F" w:rsidP="00027C4A">
      <w:pPr>
        <w:spacing w:after="0" w:line="240" w:lineRule="auto"/>
        <w:ind w:left="0" w:right="0" w:firstLine="0"/>
        <w:rPr>
          <w:kern w:val="0"/>
          <w:lang w:val="en-GB"/>
        </w:rPr>
      </w:pPr>
    </w:p>
    <w:p w14:paraId="45C60021" w14:textId="77777777" w:rsidR="000C411D" w:rsidRPr="0071692A" w:rsidRDefault="000C411D" w:rsidP="00027C4A">
      <w:pPr>
        <w:rPr>
          <w:lang w:val="en-GB"/>
        </w:rPr>
      </w:pPr>
      <w:bookmarkStart w:id="3" w:name="_GoBack"/>
      <w:bookmarkEnd w:id="3"/>
    </w:p>
    <w:sectPr w:rsidR="000C411D" w:rsidRPr="0071692A"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69612" w14:textId="77777777" w:rsidR="00714ED1" w:rsidRDefault="00714ED1" w:rsidP="0041173E">
      <w:pPr>
        <w:spacing w:after="0" w:line="240" w:lineRule="auto"/>
      </w:pPr>
      <w:r>
        <w:separator/>
      </w:r>
    </w:p>
  </w:endnote>
  <w:endnote w:type="continuationSeparator" w:id="0">
    <w:p w14:paraId="0B00E44A" w14:textId="77777777" w:rsidR="00714ED1" w:rsidRDefault="00714ED1" w:rsidP="0041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C432" w14:textId="77777777" w:rsidR="0041173E" w:rsidRDefault="00411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ECEB" w14:textId="77777777" w:rsidR="0041173E" w:rsidRDefault="00411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ADC9" w14:textId="77777777" w:rsidR="0041173E" w:rsidRDefault="0041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9F7F" w14:textId="77777777" w:rsidR="00714ED1" w:rsidRDefault="00714ED1" w:rsidP="0041173E">
      <w:pPr>
        <w:spacing w:after="0" w:line="240" w:lineRule="auto"/>
      </w:pPr>
      <w:r>
        <w:separator/>
      </w:r>
    </w:p>
  </w:footnote>
  <w:footnote w:type="continuationSeparator" w:id="0">
    <w:p w14:paraId="797ECB1B" w14:textId="77777777" w:rsidR="00714ED1" w:rsidRDefault="00714ED1" w:rsidP="00411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496E" w14:textId="75E0E12A" w:rsidR="0041173E" w:rsidRDefault="00714ED1">
    <w:pPr>
      <w:pStyle w:val="Header"/>
    </w:pPr>
    <w:r>
      <w:rPr>
        <w:noProof/>
      </w:rPr>
      <w:pict w14:anchorId="33E51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C8C0" w14:textId="7AD549B2" w:rsidR="0041173E" w:rsidRDefault="00714ED1">
    <w:pPr>
      <w:pStyle w:val="Header"/>
    </w:pPr>
    <w:r>
      <w:rPr>
        <w:noProof/>
      </w:rPr>
      <w:pict w14:anchorId="31F7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FAC6" w14:textId="2A26C931" w:rsidR="0041173E" w:rsidRDefault="00714ED1">
    <w:pPr>
      <w:pStyle w:val="Header"/>
    </w:pPr>
    <w:r>
      <w:rPr>
        <w:noProof/>
      </w:rPr>
      <w:pict w14:anchorId="75CF3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28E"/>
    <w:multiLevelType w:val="multilevel"/>
    <w:tmpl w:val="1A1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WzNDIxMjI0MzQ0NTZR0lEKTi0uzszPAykwqgUAggq0/SwAAAA="/>
  </w:docVars>
  <w:rsids>
    <w:rsidRoot w:val="00761CB6"/>
    <w:rsid w:val="00004A77"/>
    <w:rsid w:val="000078F4"/>
    <w:rsid w:val="00007AAB"/>
    <w:rsid w:val="00027C4A"/>
    <w:rsid w:val="000425DD"/>
    <w:rsid w:val="00053D7A"/>
    <w:rsid w:val="0005616C"/>
    <w:rsid w:val="0006037D"/>
    <w:rsid w:val="000607E4"/>
    <w:rsid w:val="0006413B"/>
    <w:rsid w:val="000643E7"/>
    <w:rsid w:val="0006527C"/>
    <w:rsid w:val="000652AA"/>
    <w:rsid w:val="000656B9"/>
    <w:rsid w:val="0007783F"/>
    <w:rsid w:val="000814C4"/>
    <w:rsid w:val="00086EDD"/>
    <w:rsid w:val="000A0EB4"/>
    <w:rsid w:val="000A2A54"/>
    <w:rsid w:val="000A79B2"/>
    <w:rsid w:val="000B1C8C"/>
    <w:rsid w:val="000B75EF"/>
    <w:rsid w:val="000C411D"/>
    <w:rsid w:val="000C4F0E"/>
    <w:rsid w:val="000D461E"/>
    <w:rsid w:val="000D6AAA"/>
    <w:rsid w:val="000D7028"/>
    <w:rsid w:val="000D7DCE"/>
    <w:rsid w:val="000E67D1"/>
    <w:rsid w:val="000E709D"/>
    <w:rsid w:val="000F14D5"/>
    <w:rsid w:val="000F27AA"/>
    <w:rsid w:val="000F7516"/>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49E6"/>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D17AF"/>
    <w:rsid w:val="003E35A3"/>
    <w:rsid w:val="003E61B2"/>
    <w:rsid w:val="003F02C5"/>
    <w:rsid w:val="003F6E91"/>
    <w:rsid w:val="00400005"/>
    <w:rsid w:val="00405181"/>
    <w:rsid w:val="0041173E"/>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5898"/>
    <w:rsid w:val="004A7955"/>
    <w:rsid w:val="004B02DF"/>
    <w:rsid w:val="004C1A63"/>
    <w:rsid w:val="004C421D"/>
    <w:rsid w:val="004C6306"/>
    <w:rsid w:val="004C7547"/>
    <w:rsid w:val="004E1999"/>
    <w:rsid w:val="004E7311"/>
    <w:rsid w:val="004F07D5"/>
    <w:rsid w:val="004F2BB5"/>
    <w:rsid w:val="004F5E1D"/>
    <w:rsid w:val="004F7675"/>
    <w:rsid w:val="00516AA1"/>
    <w:rsid w:val="00523936"/>
    <w:rsid w:val="0052448D"/>
    <w:rsid w:val="0054487D"/>
    <w:rsid w:val="00554C7D"/>
    <w:rsid w:val="005577C6"/>
    <w:rsid w:val="0056389E"/>
    <w:rsid w:val="00564FB4"/>
    <w:rsid w:val="00565C3C"/>
    <w:rsid w:val="00571246"/>
    <w:rsid w:val="005A2AA6"/>
    <w:rsid w:val="005A4BDB"/>
    <w:rsid w:val="005A5DEC"/>
    <w:rsid w:val="005B22C5"/>
    <w:rsid w:val="005B4ADB"/>
    <w:rsid w:val="005D1B5F"/>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41D"/>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02CF2"/>
    <w:rsid w:val="00711B14"/>
    <w:rsid w:val="00713825"/>
    <w:rsid w:val="00714ED1"/>
    <w:rsid w:val="0071692A"/>
    <w:rsid w:val="00720F41"/>
    <w:rsid w:val="00721966"/>
    <w:rsid w:val="00737A32"/>
    <w:rsid w:val="00755BDC"/>
    <w:rsid w:val="00761CB6"/>
    <w:rsid w:val="00773599"/>
    <w:rsid w:val="00774395"/>
    <w:rsid w:val="0078275D"/>
    <w:rsid w:val="00783E9E"/>
    <w:rsid w:val="00786C67"/>
    <w:rsid w:val="00796571"/>
    <w:rsid w:val="007A73E9"/>
    <w:rsid w:val="007B0E74"/>
    <w:rsid w:val="007B437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C04E4"/>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2C3D"/>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B3E76"/>
    <w:rsid w:val="00AD7B8B"/>
    <w:rsid w:val="00AE651D"/>
    <w:rsid w:val="00AE79C2"/>
    <w:rsid w:val="00AF279A"/>
    <w:rsid w:val="00AF7425"/>
    <w:rsid w:val="00B06888"/>
    <w:rsid w:val="00B1065D"/>
    <w:rsid w:val="00B451DB"/>
    <w:rsid w:val="00B518F8"/>
    <w:rsid w:val="00B567DD"/>
    <w:rsid w:val="00B6043D"/>
    <w:rsid w:val="00B6070B"/>
    <w:rsid w:val="00B74506"/>
    <w:rsid w:val="00B84C19"/>
    <w:rsid w:val="00B928B4"/>
    <w:rsid w:val="00BA3C57"/>
    <w:rsid w:val="00BB0BE1"/>
    <w:rsid w:val="00BB6828"/>
    <w:rsid w:val="00BB6A74"/>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1E1E"/>
    <w:rsid w:val="00CE5BFA"/>
    <w:rsid w:val="00CF3244"/>
    <w:rsid w:val="00CF41DE"/>
    <w:rsid w:val="00D055EE"/>
    <w:rsid w:val="00D07932"/>
    <w:rsid w:val="00D2322A"/>
    <w:rsid w:val="00D370EF"/>
    <w:rsid w:val="00D40796"/>
    <w:rsid w:val="00D50FE1"/>
    <w:rsid w:val="00D63323"/>
    <w:rsid w:val="00D71250"/>
    <w:rsid w:val="00D75C9D"/>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E6DEE"/>
    <w:rsid w:val="00DF20BB"/>
    <w:rsid w:val="00DF5AB4"/>
    <w:rsid w:val="00E125DA"/>
    <w:rsid w:val="00E16C81"/>
    <w:rsid w:val="00E20962"/>
    <w:rsid w:val="00E22310"/>
    <w:rsid w:val="00E3113F"/>
    <w:rsid w:val="00E40B47"/>
    <w:rsid w:val="00E52157"/>
    <w:rsid w:val="00E53D40"/>
    <w:rsid w:val="00E61E16"/>
    <w:rsid w:val="00E6358B"/>
    <w:rsid w:val="00E643E8"/>
    <w:rsid w:val="00E6564A"/>
    <w:rsid w:val="00E7044C"/>
    <w:rsid w:val="00E76785"/>
    <w:rsid w:val="00E84B62"/>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A3FCD8"/>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07783F"/>
  </w:style>
  <w:style w:type="paragraph" w:styleId="Header">
    <w:name w:val="header"/>
    <w:basedOn w:val="Normal"/>
    <w:link w:val="HeaderChar"/>
    <w:uiPriority w:val="99"/>
    <w:unhideWhenUsed/>
    <w:rsid w:val="0041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E"/>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11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E"/>
    <w:rPr>
      <w:rFonts w:ascii="Times New Roman" w:eastAsia="Times New Roman" w:hAnsi="Times New Roman" w:cs="Times New Roman"/>
      <w:color w:val="000000"/>
      <w:kern w:val="2"/>
      <w:sz w:val="24"/>
      <w:szCs w:val="24"/>
      <w:lang w:val="en-IN" w:eastAsia="en-IN"/>
    </w:rPr>
  </w:style>
  <w:style w:type="paragraph" w:customStyle="1" w:styleId="c-bibliographic-informationcitation">
    <w:name w:val="c-bibliographic-information__citation"/>
    <w:basedOn w:val="Normal"/>
    <w:rsid w:val="00D50FE1"/>
    <w:pPr>
      <w:spacing w:before="100" w:beforeAutospacing="1" w:after="100" w:afterAutospacing="1" w:line="240" w:lineRule="auto"/>
      <w:ind w:left="0" w:right="0" w:firstLine="0"/>
      <w:jc w:val="left"/>
    </w:pPr>
    <w:rPr>
      <w:color w:val="auto"/>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5152">
      <w:bodyDiv w:val="1"/>
      <w:marLeft w:val="0"/>
      <w:marRight w:val="0"/>
      <w:marTop w:val="0"/>
      <w:marBottom w:val="0"/>
      <w:divBdr>
        <w:top w:val="none" w:sz="0" w:space="0" w:color="auto"/>
        <w:left w:val="none" w:sz="0" w:space="0" w:color="auto"/>
        <w:bottom w:val="none" w:sz="0" w:space="0" w:color="auto"/>
        <w:right w:val="none" w:sz="0" w:space="0" w:color="auto"/>
      </w:divBdr>
      <w:divsChild>
        <w:div w:id="2146311020">
          <w:marLeft w:val="0"/>
          <w:marRight w:val="0"/>
          <w:marTop w:val="0"/>
          <w:marBottom w:val="0"/>
          <w:divBdr>
            <w:top w:val="none" w:sz="0" w:space="0" w:color="auto"/>
            <w:left w:val="none" w:sz="0" w:space="0" w:color="auto"/>
            <w:bottom w:val="none" w:sz="0" w:space="0" w:color="auto"/>
            <w:right w:val="none" w:sz="0" w:space="0" w:color="auto"/>
          </w:divBdr>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78136236">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008383">
      <w:bodyDiv w:val="1"/>
      <w:marLeft w:val="0"/>
      <w:marRight w:val="0"/>
      <w:marTop w:val="0"/>
      <w:marBottom w:val="0"/>
      <w:divBdr>
        <w:top w:val="none" w:sz="0" w:space="0" w:color="auto"/>
        <w:left w:val="none" w:sz="0" w:space="0" w:color="auto"/>
        <w:bottom w:val="none" w:sz="0" w:space="0" w:color="auto"/>
        <w:right w:val="none" w:sz="0" w:space="0" w:color="auto"/>
      </w:divBdr>
      <w:divsChild>
        <w:div w:id="863901201">
          <w:marLeft w:val="0"/>
          <w:marRight w:val="0"/>
          <w:marTop w:val="0"/>
          <w:marBottom w:val="0"/>
          <w:divBdr>
            <w:top w:val="none" w:sz="0" w:space="0" w:color="auto"/>
            <w:left w:val="none" w:sz="0" w:space="0" w:color="auto"/>
            <w:bottom w:val="none" w:sz="0" w:space="0" w:color="auto"/>
            <w:right w:val="none" w:sz="0" w:space="0" w:color="auto"/>
          </w:divBdr>
        </w:div>
      </w:divsChild>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5799367">
      <w:bodyDiv w:val="1"/>
      <w:marLeft w:val="0"/>
      <w:marRight w:val="0"/>
      <w:marTop w:val="0"/>
      <w:marBottom w:val="0"/>
      <w:divBdr>
        <w:top w:val="none" w:sz="0" w:space="0" w:color="auto"/>
        <w:left w:val="none" w:sz="0" w:space="0" w:color="auto"/>
        <w:bottom w:val="none" w:sz="0" w:space="0" w:color="auto"/>
        <w:right w:val="none" w:sz="0" w:space="0" w:color="auto"/>
      </w:divBdr>
      <w:divsChild>
        <w:div w:id="1003168230">
          <w:marLeft w:val="0"/>
          <w:marRight w:val="0"/>
          <w:marTop w:val="0"/>
          <w:marBottom w:val="0"/>
          <w:divBdr>
            <w:top w:val="none" w:sz="0" w:space="0" w:color="auto"/>
            <w:left w:val="none" w:sz="0" w:space="0" w:color="auto"/>
            <w:bottom w:val="none" w:sz="0" w:space="0" w:color="auto"/>
            <w:right w:val="none" w:sz="0" w:space="0" w:color="auto"/>
          </w:divBdr>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33316687">
      <w:bodyDiv w:val="1"/>
      <w:marLeft w:val="0"/>
      <w:marRight w:val="0"/>
      <w:marTop w:val="0"/>
      <w:marBottom w:val="0"/>
      <w:divBdr>
        <w:top w:val="none" w:sz="0" w:space="0" w:color="auto"/>
        <w:left w:val="none" w:sz="0" w:space="0" w:color="auto"/>
        <w:bottom w:val="none" w:sz="0" w:space="0" w:color="auto"/>
        <w:right w:val="none" w:sz="0" w:space="0" w:color="auto"/>
      </w:divBdr>
      <w:divsChild>
        <w:div w:id="254092407">
          <w:marLeft w:val="0"/>
          <w:marRight w:val="0"/>
          <w:marTop w:val="0"/>
          <w:marBottom w:val="0"/>
          <w:divBdr>
            <w:top w:val="none" w:sz="0" w:space="0" w:color="auto"/>
            <w:left w:val="none" w:sz="0" w:space="0" w:color="auto"/>
            <w:bottom w:val="none" w:sz="0" w:space="0" w:color="auto"/>
            <w:right w:val="none" w:sz="0" w:space="0" w:color="auto"/>
          </w:divBdr>
        </w:div>
      </w:divsChild>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45834035">
      <w:bodyDiv w:val="1"/>
      <w:marLeft w:val="0"/>
      <w:marRight w:val="0"/>
      <w:marTop w:val="0"/>
      <w:marBottom w:val="0"/>
      <w:divBdr>
        <w:top w:val="none" w:sz="0" w:space="0" w:color="auto"/>
        <w:left w:val="none" w:sz="0" w:space="0" w:color="auto"/>
        <w:bottom w:val="none" w:sz="0" w:space="0" w:color="auto"/>
        <w:right w:val="none" w:sz="0" w:space="0" w:color="auto"/>
      </w:divBdr>
      <w:divsChild>
        <w:div w:id="1290160797">
          <w:marLeft w:val="0"/>
          <w:marRight w:val="0"/>
          <w:marTop w:val="0"/>
          <w:marBottom w:val="0"/>
          <w:divBdr>
            <w:top w:val="none" w:sz="0" w:space="0" w:color="auto"/>
            <w:left w:val="none" w:sz="0" w:space="0" w:color="auto"/>
            <w:bottom w:val="none" w:sz="0" w:space="0" w:color="auto"/>
            <w:right w:val="none" w:sz="0" w:space="0" w:color="auto"/>
          </w:divBdr>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0952693">
      <w:bodyDiv w:val="1"/>
      <w:marLeft w:val="0"/>
      <w:marRight w:val="0"/>
      <w:marTop w:val="0"/>
      <w:marBottom w:val="0"/>
      <w:divBdr>
        <w:top w:val="none" w:sz="0" w:space="0" w:color="auto"/>
        <w:left w:val="none" w:sz="0" w:space="0" w:color="auto"/>
        <w:bottom w:val="none" w:sz="0" w:space="0" w:color="auto"/>
        <w:right w:val="none" w:sz="0" w:space="0" w:color="auto"/>
      </w:divBdr>
      <w:divsChild>
        <w:div w:id="545991357">
          <w:marLeft w:val="0"/>
          <w:marRight w:val="0"/>
          <w:marTop w:val="0"/>
          <w:marBottom w:val="0"/>
          <w:divBdr>
            <w:top w:val="none" w:sz="0" w:space="0" w:color="auto"/>
            <w:left w:val="none" w:sz="0" w:space="0" w:color="auto"/>
            <w:bottom w:val="none" w:sz="0" w:space="0" w:color="auto"/>
            <w:right w:val="none" w:sz="0" w:space="0" w:color="auto"/>
          </w:divBdr>
        </w:div>
      </w:divsChild>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69716176">
      <w:bodyDiv w:val="1"/>
      <w:marLeft w:val="0"/>
      <w:marRight w:val="0"/>
      <w:marTop w:val="0"/>
      <w:marBottom w:val="0"/>
      <w:divBdr>
        <w:top w:val="none" w:sz="0" w:space="0" w:color="auto"/>
        <w:left w:val="none" w:sz="0" w:space="0" w:color="auto"/>
        <w:bottom w:val="none" w:sz="0" w:space="0" w:color="auto"/>
        <w:right w:val="none" w:sz="0" w:space="0" w:color="auto"/>
      </w:divBdr>
      <w:divsChild>
        <w:div w:id="743837898">
          <w:marLeft w:val="0"/>
          <w:marRight w:val="0"/>
          <w:marTop w:val="0"/>
          <w:marBottom w:val="0"/>
          <w:divBdr>
            <w:top w:val="none" w:sz="0" w:space="0" w:color="auto"/>
            <w:left w:val="none" w:sz="0" w:space="0" w:color="auto"/>
            <w:bottom w:val="none" w:sz="0" w:space="0" w:color="auto"/>
            <w:right w:val="none" w:sz="0" w:space="0" w:color="auto"/>
          </w:divBdr>
          <w:divsChild>
            <w:div w:id="1158765686">
              <w:marLeft w:val="0"/>
              <w:marRight w:val="0"/>
              <w:marTop w:val="150"/>
              <w:marBottom w:val="0"/>
              <w:divBdr>
                <w:top w:val="none" w:sz="0" w:space="0" w:color="auto"/>
                <w:left w:val="none" w:sz="0" w:space="0" w:color="auto"/>
                <w:bottom w:val="none" w:sz="0" w:space="0" w:color="auto"/>
                <w:right w:val="none" w:sz="0" w:space="0" w:color="auto"/>
              </w:divBdr>
              <w:divsChild>
                <w:div w:id="718819686">
                  <w:marLeft w:val="0"/>
                  <w:marRight w:val="0"/>
                  <w:marTop w:val="0"/>
                  <w:marBottom w:val="0"/>
                  <w:divBdr>
                    <w:top w:val="none" w:sz="0" w:space="0" w:color="auto"/>
                    <w:left w:val="none" w:sz="0" w:space="0" w:color="auto"/>
                    <w:bottom w:val="none" w:sz="0" w:space="0" w:color="auto"/>
                    <w:right w:val="none" w:sz="0" w:space="0" w:color="auto"/>
                  </w:divBdr>
                  <w:divsChild>
                    <w:div w:id="10483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9248">
      <w:bodyDiv w:val="1"/>
      <w:marLeft w:val="0"/>
      <w:marRight w:val="0"/>
      <w:marTop w:val="0"/>
      <w:marBottom w:val="0"/>
      <w:divBdr>
        <w:top w:val="none" w:sz="0" w:space="0" w:color="auto"/>
        <w:left w:val="none" w:sz="0" w:space="0" w:color="auto"/>
        <w:bottom w:val="none" w:sz="0" w:space="0" w:color="auto"/>
        <w:right w:val="none" w:sz="0" w:space="0" w:color="auto"/>
      </w:divBdr>
      <w:divsChild>
        <w:div w:id="2006854710">
          <w:marLeft w:val="0"/>
          <w:marRight w:val="0"/>
          <w:marTop w:val="0"/>
          <w:marBottom w:val="0"/>
          <w:divBdr>
            <w:top w:val="none" w:sz="0" w:space="0" w:color="auto"/>
            <w:left w:val="none" w:sz="0" w:space="0" w:color="auto"/>
            <w:bottom w:val="none" w:sz="0" w:space="0" w:color="auto"/>
            <w:right w:val="none" w:sz="0" w:space="0" w:color="auto"/>
          </w:divBdr>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819392">
      <w:bodyDiv w:val="1"/>
      <w:marLeft w:val="0"/>
      <w:marRight w:val="0"/>
      <w:marTop w:val="0"/>
      <w:marBottom w:val="0"/>
      <w:divBdr>
        <w:top w:val="none" w:sz="0" w:space="0" w:color="auto"/>
        <w:left w:val="none" w:sz="0" w:space="0" w:color="auto"/>
        <w:bottom w:val="none" w:sz="0" w:space="0" w:color="auto"/>
        <w:right w:val="none" w:sz="0" w:space="0" w:color="auto"/>
      </w:divBdr>
      <w:divsChild>
        <w:div w:id="461651153">
          <w:marLeft w:val="0"/>
          <w:marRight w:val="0"/>
          <w:marTop w:val="0"/>
          <w:marBottom w:val="0"/>
          <w:divBdr>
            <w:top w:val="none" w:sz="0" w:space="0" w:color="auto"/>
            <w:left w:val="none" w:sz="0" w:space="0" w:color="auto"/>
            <w:bottom w:val="none" w:sz="0" w:space="0" w:color="auto"/>
            <w:right w:val="none" w:sz="0" w:space="0" w:color="auto"/>
          </w:divBdr>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2646">
      <w:bodyDiv w:val="1"/>
      <w:marLeft w:val="0"/>
      <w:marRight w:val="0"/>
      <w:marTop w:val="0"/>
      <w:marBottom w:val="0"/>
      <w:divBdr>
        <w:top w:val="none" w:sz="0" w:space="0" w:color="auto"/>
        <w:left w:val="none" w:sz="0" w:space="0" w:color="auto"/>
        <w:bottom w:val="none" w:sz="0" w:space="0" w:color="auto"/>
        <w:right w:val="none" w:sz="0" w:space="0" w:color="auto"/>
      </w:divBdr>
      <w:divsChild>
        <w:div w:id="240452076">
          <w:marLeft w:val="0"/>
          <w:marRight w:val="0"/>
          <w:marTop w:val="0"/>
          <w:marBottom w:val="0"/>
          <w:divBdr>
            <w:top w:val="none" w:sz="0" w:space="0" w:color="auto"/>
            <w:left w:val="none" w:sz="0" w:space="0" w:color="auto"/>
            <w:bottom w:val="none" w:sz="0" w:space="0" w:color="auto"/>
            <w:right w:val="none" w:sz="0" w:space="0" w:color="auto"/>
          </w:divBdr>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5095701">
      <w:bodyDiv w:val="1"/>
      <w:marLeft w:val="0"/>
      <w:marRight w:val="0"/>
      <w:marTop w:val="0"/>
      <w:marBottom w:val="0"/>
      <w:divBdr>
        <w:top w:val="none" w:sz="0" w:space="0" w:color="auto"/>
        <w:left w:val="none" w:sz="0" w:space="0" w:color="auto"/>
        <w:bottom w:val="none" w:sz="0" w:space="0" w:color="auto"/>
        <w:right w:val="none" w:sz="0" w:space="0" w:color="auto"/>
      </w:divBdr>
      <w:divsChild>
        <w:div w:id="477260028">
          <w:marLeft w:val="0"/>
          <w:marRight w:val="0"/>
          <w:marTop w:val="0"/>
          <w:marBottom w:val="0"/>
          <w:divBdr>
            <w:top w:val="none" w:sz="0" w:space="0" w:color="auto"/>
            <w:left w:val="none" w:sz="0" w:space="0" w:color="auto"/>
            <w:bottom w:val="none" w:sz="0" w:space="0" w:color="auto"/>
            <w:right w:val="none" w:sz="0" w:space="0" w:color="auto"/>
          </w:divBdr>
        </w:div>
      </w:divsChild>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39682760">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392651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068729">
      <w:bodyDiv w:val="1"/>
      <w:marLeft w:val="0"/>
      <w:marRight w:val="0"/>
      <w:marTop w:val="0"/>
      <w:marBottom w:val="0"/>
      <w:divBdr>
        <w:top w:val="none" w:sz="0" w:space="0" w:color="auto"/>
        <w:left w:val="none" w:sz="0" w:space="0" w:color="auto"/>
        <w:bottom w:val="none" w:sz="0" w:space="0" w:color="auto"/>
        <w:right w:val="none" w:sz="0" w:space="0" w:color="auto"/>
      </w:divBdr>
      <w:divsChild>
        <w:div w:id="613362596">
          <w:marLeft w:val="0"/>
          <w:marRight w:val="0"/>
          <w:marTop w:val="0"/>
          <w:marBottom w:val="0"/>
          <w:divBdr>
            <w:top w:val="none" w:sz="0" w:space="0" w:color="auto"/>
            <w:left w:val="none" w:sz="0" w:space="0" w:color="auto"/>
            <w:bottom w:val="none" w:sz="0" w:space="0" w:color="auto"/>
            <w:right w:val="none" w:sz="0" w:space="0" w:color="auto"/>
          </w:divBdr>
        </w:div>
      </w:divsChild>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3724255">
      <w:bodyDiv w:val="1"/>
      <w:marLeft w:val="0"/>
      <w:marRight w:val="0"/>
      <w:marTop w:val="0"/>
      <w:marBottom w:val="0"/>
      <w:divBdr>
        <w:top w:val="none" w:sz="0" w:space="0" w:color="auto"/>
        <w:left w:val="none" w:sz="0" w:space="0" w:color="auto"/>
        <w:bottom w:val="none" w:sz="0" w:space="0" w:color="auto"/>
        <w:right w:val="none" w:sz="0" w:space="0" w:color="auto"/>
      </w:divBdr>
      <w:divsChild>
        <w:div w:id="546912905">
          <w:marLeft w:val="0"/>
          <w:marRight w:val="0"/>
          <w:marTop w:val="0"/>
          <w:marBottom w:val="0"/>
          <w:divBdr>
            <w:top w:val="none" w:sz="0" w:space="0" w:color="auto"/>
            <w:left w:val="none" w:sz="0" w:space="0" w:color="auto"/>
            <w:bottom w:val="none" w:sz="0" w:space="0" w:color="auto"/>
            <w:right w:val="none" w:sz="0" w:space="0" w:color="auto"/>
          </w:divBdr>
        </w:div>
      </w:divsChild>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76190">
      <w:bodyDiv w:val="1"/>
      <w:marLeft w:val="0"/>
      <w:marRight w:val="0"/>
      <w:marTop w:val="0"/>
      <w:marBottom w:val="0"/>
      <w:divBdr>
        <w:top w:val="none" w:sz="0" w:space="0" w:color="auto"/>
        <w:left w:val="none" w:sz="0" w:space="0" w:color="auto"/>
        <w:bottom w:val="none" w:sz="0" w:space="0" w:color="auto"/>
        <w:right w:val="none" w:sz="0" w:space="0" w:color="auto"/>
      </w:divBdr>
      <w:divsChild>
        <w:div w:id="536772125">
          <w:marLeft w:val="0"/>
          <w:marRight w:val="0"/>
          <w:marTop w:val="0"/>
          <w:marBottom w:val="0"/>
          <w:divBdr>
            <w:top w:val="none" w:sz="0" w:space="0" w:color="auto"/>
            <w:left w:val="none" w:sz="0" w:space="0" w:color="auto"/>
            <w:bottom w:val="none" w:sz="0" w:space="0" w:color="auto"/>
            <w:right w:val="none" w:sz="0" w:space="0" w:color="auto"/>
          </w:divBdr>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37190236">
      <w:bodyDiv w:val="1"/>
      <w:marLeft w:val="0"/>
      <w:marRight w:val="0"/>
      <w:marTop w:val="0"/>
      <w:marBottom w:val="0"/>
      <w:divBdr>
        <w:top w:val="none" w:sz="0" w:space="0" w:color="auto"/>
        <w:left w:val="none" w:sz="0" w:space="0" w:color="auto"/>
        <w:bottom w:val="none" w:sz="0" w:space="0" w:color="auto"/>
        <w:right w:val="none" w:sz="0" w:space="0" w:color="auto"/>
      </w:divBdr>
      <w:divsChild>
        <w:div w:id="730274369">
          <w:marLeft w:val="0"/>
          <w:marRight w:val="0"/>
          <w:marTop w:val="0"/>
          <w:marBottom w:val="0"/>
          <w:divBdr>
            <w:top w:val="none" w:sz="0" w:space="0" w:color="auto"/>
            <w:left w:val="none" w:sz="0" w:space="0" w:color="auto"/>
            <w:bottom w:val="none" w:sz="0" w:space="0" w:color="auto"/>
            <w:right w:val="none" w:sz="0" w:space="0" w:color="auto"/>
          </w:divBdr>
        </w:div>
      </w:divsChild>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616358">
      <w:bodyDiv w:val="1"/>
      <w:marLeft w:val="0"/>
      <w:marRight w:val="0"/>
      <w:marTop w:val="0"/>
      <w:marBottom w:val="0"/>
      <w:divBdr>
        <w:top w:val="none" w:sz="0" w:space="0" w:color="auto"/>
        <w:left w:val="none" w:sz="0" w:space="0" w:color="auto"/>
        <w:bottom w:val="none" w:sz="0" w:space="0" w:color="auto"/>
        <w:right w:val="none" w:sz="0" w:space="0" w:color="auto"/>
      </w:divBdr>
      <w:divsChild>
        <w:div w:id="322441779">
          <w:marLeft w:val="0"/>
          <w:marRight w:val="0"/>
          <w:marTop w:val="0"/>
          <w:marBottom w:val="0"/>
          <w:divBdr>
            <w:top w:val="none" w:sz="0" w:space="0" w:color="auto"/>
            <w:left w:val="none" w:sz="0" w:space="0" w:color="auto"/>
            <w:bottom w:val="none" w:sz="0" w:space="0" w:color="auto"/>
            <w:right w:val="none" w:sz="0" w:space="0" w:color="auto"/>
          </w:divBdr>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90880">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76670804">
      <w:bodyDiv w:val="1"/>
      <w:marLeft w:val="0"/>
      <w:marRight w:val="0"/>
      <w:marTop w:val="0"/>
      <w:marBottom w:val="0"/>
      <w:divBdr>
        <w:top w:val="none" w:sz="0" w:space="0" w:color="auto"/>
        <w:left w:val="none" w:sz="0" w:space="0" w:color="auto"/>
        <w:bottom w:val="none" w:sz="0" w:space="0" w:color="auto"/>
        <w:right w:val="none" w:sz="0" w:space="0" w:color="auto"/>
      </w:divBdr>
      <w:divsChild>
        <w:div w:id="1332948297">
          <w:marLeft w:val="0"/>
          <w:marRight w:val="0"/>
          <w:marTop w:val="0"/>
          <w:marBottom w:val="0"/>
          <w:divBdr>
            <w:top w:val="none" w:sz="0" w:space="0" w:color="auto"/>
            <w:left w:val="none" w:sz="0" w:space="0" w:color="auto"/>
            <w:bottom w:val="none" w:sz="0" w:space="0" w:color="auto"/>
            <w:right w:val="none" w:sz="0" w:space="0" w:color="auto"/>
          </w:divBdr>
        </w:div>
      </w:divsChild>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57284059">
      <w:bodyDiv w:val="1"/>
      <w:marLeft w:val="0"/>
      <w:marRight w:val="0"/>
      <w:marTop w:val="0"/>
      <w:marBottom w:val="0"/>
      <w:divBdr>
        <w:top w:val="none" w:sz="0" w:space="0" w:color="auto"/>
        <w:left w:val="none" w:sz="0" w:space="0" w:color="auto"/>
        <w:bottom w:val="none" w:sz="0" w:space="0" w:color="auto"/>
        <w:right w:val="none" w:sz="0" w:space="0" w:color="auto"/>
      </w:divBdr>
      <w:divsChild>
        <w:div w:id="10257870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729632">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44398260">
      <w:bodyDiv w:val="1"/>
      <w:marLeft w:val="0"/>
      <w:marRight w:val="0"/>
      <w:marTop w:val="0"/>
      <w:marBottom w:val="0"/>
      <w:divBdr>
        <w:top w:val="none" w:sz="0" w:space="0" w:color="auto"/>
        <w:left w:val="none" w:sz="0" w:space="0" w:color="auto"/>
        <w:bottom w:val="none" w:sz="0" w:space="0" w:color="auto"/>
        <w:right w:val="none" w:sz="0" w:space="0" w:color="auto"/>
      </w:divBdr>
      <w:divsChild>
        <w:div w:id="1655335359">
          <w:marLeft w:val="0"/>
          <w:marRight w:val="0"/>
          <w:marTop w:val="0"/>
          <w:marBottom w:val="0"/>
          <w:divBdr>
            <w:top w:val="none" w:sz="0" w:space="0" w:color="auto"/>
            <w:left w:val="none" w:sz="0" w:space="0" w:color="auto"/>
            <w:bottom w:val="none" w:sz="0" w:space="0" w:color="auto"/>
            <w:right w:val="none" w:sz="0" w:space="0" w:color="auto"/>
          </w:divBdr>
        </w:div>
      </w:divsChild>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01281930">
      <w:bodyDiv w:val="1"/>
      <w:marLeft w:val="0"/>
      <w:marRight w:val="0"/>
      <w:marTop w:val="0"/>
      <w:marBottom w:val="0"/>
      <w:divBdr>
        <w:top w:val="none" w:sz="0" w:space="0" w:color="auto"/>
        <w:left w:val="none" w:sz="0" w:space="0" w:color="auto"/>
        <w:bottom w:val="none" w:sz="0" w:space="0" w:color="auto"/>
        <w:right w:val="none" w:sz="0" w:space="0" w:color="auto"/>
      </w:divBdr>
      <w:divsChild>
        <w:div w:id="389623043">
          <w:marLeft w:val="0"/>
          <w:marRight w:val="0"/>
          <w:marTop w:val="0"/>
          <w:marBottom w:val="0"/>
          <w:divBdr>
            <w:top w:val="none" w:sz="0" w:space="0" w:color="auto"/>
            <w:left w:val="none" w:sz="0" w:space="0" w:color="auto"/>
            <w:bottom w:val="none" w:sz="0" w:space="0" w:color="auto"/>
            <w:right w:val="none" w:sz="0" w:space="0" w:color="auto"/>
          </w:divBdr>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187382">
      <w:bodyDiv w:val="1"/>
      <w:marLeft w:val="0"/>
      <w:marRight w:val="0"/>
      <w:marTop w:val="0"/>
      <w:marBottom w:val="0"/>
      <w:divBdr>
        <w:top w:val="none" w:sz="0" w:space="0" w:color="auto"/>
        <w:left w:val="none" w:sz="0" w:space="0" w:color="auto"/>
        <w:bottom w:val="none" w:sz="0" w:space="0" w:color="auto"/>
        <w:right w:val="none" w:sz="0" w:space="0" w:color="auto"/>
      </w:divBdr>
      <w:divsChild>
        <w:div w:id="1640767977">
          <w:marLeft w:val="0"/>
          <w:marRight w:val="0"/>
          <w:marTop w:val="0"/>
          <w:marBottom w:val="0"/>
          <w:divBdr>
            <w:top w:val="none" w:sz="0" w:space="0" w:color="auto"/>
            <w:left w:val="none" w:sz="0" w:space="0" w:color="auto"/>
            <w:bottom w:val="none" w:sz="0" w:space="0" w:color="auto"/>
            <w:right w:val="none" w:sz="0" w:space="0" w:color="auto"/>
          </w:divBdr>
        </w:div>
      </w:divsChild>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78601656">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para.2022.01.002" TargetMode="External"/><Relationship Id="rId18" Type="http://schemas.openxmlformats.org/officeDocument/2006/relationships/hyperlink" Target="https://doi.org/10.1093/jas/skab294" TargetMode="External"/><Relationship Id="rId26" Type="http://schemas.openxmlformats.org/officeDocument/2006/relationships/hyperlink" Target="https://doi.org/10.1016/j.ijpara.2016.02.004" TargetMode="External"/><Relationship Id="rId21" Type="http://schemas.openxmlformats.org/officeDocument/2006/relationships/hyperlink" Target="https://doi.org/10.1007/s12639-019-01154-y"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ani2010093" TargetMode="External"/><Relationship Id="rId17" Type="http://schemas.openxmlformats.org/officeDocument/2006/relationships/hyperlink" Target="https://doi.org/10.1016/j.vetpar.2009.04.015" TargetMode="External"/><Relationship Id="rId25" Type="http://schemas.openxmlformats.org/officeDocument/2006/relationships/hyperlink" Target="https://doi.org/10.1016/j.ecolmodel.2014.11.03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022149X18000196" TargetMode="External"/><Relationship Id="rId20" Type="http://schemas.openxmlformats.org/officeDocument/2006/relationships/hyperlink" Target="https://doi.org/10.14202/vetworld.2020.338-344" TargetMode="External"/><Relationship Id="rId29" Type="http://schemas.openxmlformats.org/officeDocument/2006/relationships/hyperlink" Target="https://doi.org/10.1016/j.ecolmodel.2006.11.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0343216" TargetMode="External"/><Relationship Id="rId24" Type="http://schemas.openxmlformats.org/officeDocument/2006/relationships/hyperlink" Target="https://doi.org/10.1016/j.vetpar.2010.12.01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26/science.aaa8415" TargetMode="External"/><Relationship Id="rId23" Type="http://schemas.openxmlformats.org/officeDocument/2006/relationships/hyperlink" Target="https://doi.org/10.1186/s13071-019-3601-x" TargetMode="External"/><Relationship Id="rId28" Type="http://schemas.openxmlformats.org/officeDocument/2006/relationships/hyperlink" Target="https://doi.org/10.1016/j.pt.2010.11.008" TargetMode="External"/><Relationship Id="rId36" Type="http://schemas.openxmlformats.org/officeDocument/2006/relationships/footer" Target="footer3.xml"/><Relationship Id="rId10" Type="http://schemas.openxmlformats.org/officeDocument/2006/relationships/hyperlink" Target="https://doi.org/10.1186/s13071-016-1737-5" TargetMode="External"/><Relationship Id="rId19" Type="http://schemas.openxmlformats.org/officeDocument/2006/relationships/hyperlink" Target="https://doi.org/10.1007/s12639-020-01227-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8/nprot.2017.067" TargetMode="External"/><Relationship Id="rId14" Type="http://schemas.openxmlformats.org/officeDocument/2006/relationships/hyperlink" Target="https://doi.org/10.1016/j.compag.2025.110395" TargetMode="External"/><Relationship Id="rId22" Type="http://schemas.openxmlformats.org/officeDocument/2006/relationships/hyperlink" Target="https://doi.org/10.1371/journal.pntd.0000958" TargetMode="External"/><Relationship Id="rId27" Type="http://schemas.openxmlformats.org/officeDocument/2006/relationships/hyperlink" Target="https://doi.org/10.1371/journal.pntd.0001200" TargetMode="External"/><Relationship Id="rId30" Type="http://schemas.openxmlformats.org/officeDocument/2006/relationships/hyperlink" Target="https://doi.org/10.1186/s13071-024-06503-2" TargetMode="External"/><Relationship Id="rId35" Type="http://schemas.openxmlformats.org/officeDocument/2006/relationships/header" Target="header3.xml"/><Relationship Id="rId8" Type="http://schemas.openxmlformats.org/officeDocument/2006/relationships/hyperlink" Target="https://doi.org/10.1155/2014/9235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6152A-2F7F-4F72-99EE-A72D433F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9230</TotalTime>
  <Pages>1</Pages>
  <Words>8579</Words>
  <Characters>48904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115</cp:revision>
  <cp:lastPrinted>2025-12-13T07:14:00Z</cp:lastPrinted>
  <dcterms:created xsi:type="dcterms:W3CDTF">2025-09-24T12:44:00Z</dcterms:created>
  <dcterms:modified xsi:type="dcterms:W3CDTF">2026-02-16T05:46:00Z</dcterms:modified>
</cp:coreProperties>
</file>