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16E5" w14:textId="24F1C411" w:rsidR="00FE72FB" w:rsidRDefault="002379F7" w:rsidP="00F635B2">
      <w:pPr>
        <w:pStyle w:val="MdHeading1"/>
        <w:jc w:val="center"/>
      </w:pPr>
      <w:r>
        <w:t xml:space="preserve">Causal Feature Selection for Explainable AI (XAI) in Fraud </w:t>
      </w:r>
      <w:proofErr w:type="gramStart"/>
      <w:r>
        <w:t>Detection</w:t>
      </w:r>
      <w:r w:rsidR="0022669E">
        <w:t xml:space="preserve"> :</w:t>
      </w:r>
      <w:proofErr w:type="gramEnd"/>
      <w:r w:rsidR="0022669E">
        <w:t xml:space="preserve"> A Systematic Literature Review</w:t>
      </w:r>
    </w:p>
    <w:p w14:paraId="02586EE3" w14:textId="3EEB81F4" w:rsidR="00F635B2" w:rsidRDefault="00F635B2" w:rsidP="00F635B2">
      <w:pPr>
        <w:pStyle w:val="MdParagraph"/>
        <w:jc w:val="center"/>
      </w:pPr>
    </w:p>
    <w:p w14:paraId="6BE53C8A" w14:textId="77777777" w:rsidR="007E6C25" w:rsidRDefault="007E6C25" w:rsidP="00F635B2">
      <w:pPr>
        <w:pStyle w:val="MdParagraph"/>
        <w:jc w:val="center"/>
      </w:pPr>
    </w:p>
    <w:p w14:paraId="7B25871E" w14:textId="77777777" w:rsidR="00FE72FB" w:rsidRDefault="00FE72FB">
      <w:pPr>
        <w:pStyle w:val="MdSpace"/>
        <w:spacing w:after="60"/>
      </w:pPr>
    </w:p>
    <w:p w14:paraId="69BD8813" w14:textId="77777777" w:rsidR="00FE72FB" w:rsidRDefault="002379F7">
      <w:pPr>
        <w:pStyle w:val="MdHeading2"/>
      </w:pPr>
      <w:r>
        <w:t>Abstract</w:t>
      </w:r>
    </w:p>
    <w:p w14:paraId="2433C8C0" w14:textId="77777777" w:rsidR="00F84966" w:rsidRDefault="00F84966" w:rsidP="00F84966">
      <w:pPr>
        <w:pStyle w:val="NormalWeb"/>
        <w:spacing w:line="360" w:lineRule="auto"/>
        <w:jc w:val="both"/>
      </w:pPr>
      <w:r>
        <w:t xml:space="preserve">Fraud detection systems increasingly rely on machine learning models that offer high predictive accuracy but suffer from limited transparency and interpretability, raising concerns about trust, accountability, and regulatory compliance. In sensitive domains such as financial fraud detection, </w:t>
      </w:r>
      <w:proofErr w:type="spellStart"/>
      <w:r>
        <w:t>explainability</w:t>
      </w:r>
      <w:proofErr w:type="spellEnd"/>
      <w:r>
        <w:t xml:space="preserve"> is not only desirable but necessary to meet legal and ethical requirements, including data protection and fairness regulations such as the General Data Protection Regulation (GDPR). This systematic literature review examines the integration of </w:t>
      </w:r>
      <w:r>
        <w:rPr>
          <w:rStyle w:val="Strong"/>
        </w:rPr>
        <w:t>Causal Feature Selection (CFS)</w:t>
      </w:r>
      <w:r>
        <w:t xml:space="preserve"> with </w:t>
      </w:r>
      <w:r>
        <w:rPr>
          <w:rStyle w:val="Strong"/>
        </w:rPr>
        <w:t>Explainable Artificial Intelligence (XAI)</w:t>
      </w:r>
      <w:r>
        <w:t xml:space="preserve"> techniques to address the trade-off between predictive performance and interpretability in fraud detection models.</w:t>
      </w:r>
    </w:p>
    <w:p w14:paraId="71A924D2" w14:textId="77777777" w:rsidR="00F84966" w:rsidRDefault="00F84966" w:rsidP="00F84966">
      <w:pPr>
        <w:pStyle w:val="NormalWeb"/>
        <w:spacing w:line="360" w:lineRule="auto"/>
        <w:jc w:val="both"/>
      </w:pPr>
      <w:r>
        <w:t xml:space="preserve">The review synthesizes recent studies that employ </w:t>
      </w:r>
      <w:r>
        <w:rPr>
          <w:rStyle w:val="Strong"/>
        </w:rPr>
        <w:t>Structural Causal Models (SCMs)</w:t>
      </w:r>
      <w:r>
        <w:t xml:space="preserve"> alongside post-hoc explanation methods such as SHAP and LIME to enhance transparency, robustness, and causal interpretability. Findings indicate that causal-driven feature selection improves model trustworthiness by identifying stable and meaningful relationships rather than spurious correlations. The study further highlights key application domains, existing challenges in causal discovery—particularly scalability and data quality—and the lack of standardized causal benchmarking datasets. Additionally, emerging approaches such as </w:t>
      </w:r>
      <w:r>
        <w:rPr>
          <w:rStyle w:val="Strong"/>
        </w:rPr>
        <w:t>Causal Graph Networks</w:t>
      </w:r>
      <w:r>
        <w:t xml:space="preserve"> and </w:t>
      </w:r>
      <w:r>
        <w:rPr>
          <w:rStyle w:val="Strong"/>
        </w:rPr>
        <w:t>Counterfactual Reasoning</w:t>
      </w:r>
      <w:r>
        <w:t xml:space="preserve"> are identified as promising future directions for advancing explainable and regulation-aware fraud detection systems. This review provides researchers and practitioners with structured insights into current methods, limitations, and research opportunities at the intersection of causality and explainable AI in fraud detection.</w:t>
      </w:r>
    </w:p>
    <w:p w14:paraId="35A1F8DD" w14:textId="7517BDD3" w:rsidR="00F635B2" w:rsidRPr="009816EA" w:rsidRDefault="00F635B2" w:rsidP="00F635B2">
      <w:pPr>
        <w:pStyle w:val="NormalWeb"/>
        <w:spacing w:line="360" w:lineRule="auto"/>
        <w:jc w:val="both"/>
      </w:pPr>
      <w:r>
        <w:br/>
      </w:r>
      <w:r>
        <w:br/>
      </w:r>
      <w:r w:rsidRPr="008F333A">
        <w:rPr>
          <w:b/>
          <w:bCs/>
        </w:rPr>
        <w:t>Keywords</w:t>
      </w:r>
      <w:r w:rsidRPr="008F333A">
        <w:t xml:space="preserve">: Causal Feature Selection (CFS), Explainable Artificial Intelligence (XAI), </w:t>
      </w:r>
      <w:r w:rsidRPr="008F333A">
        <w:lastRenderedPageBreak/>
        <w:t>Structural Causal Models (SCM), Fraud Detection, Machine Learning (ML), Feature Selection, Transparency and Interpretability</w:t>
      </w:r>
      <w:r>
        <w:t>.</w:t>
      </w:r>
    </w:p>
    <w:p w14:paraId="271A3C9C" w14:textId="21D51898" w:rsidR="00FE72FB" w:rsidRPr="009816EA" w:rsidRDefault="00FE72FB" w:rsidP="009816EA">
      <w:pPr>
        <w:pStyle w:val="MdParagraph"/>
        <w:spacing w:line="360" w:lineRule="auto"/>
        <w:jc w:val="both"/>
      </w:pPr>
    </w:p>
    <w:p w14:paraId="3494023E" w14:textId="77777777" w:rsidR="00FE72FB" w:rsidRPr="009816EA" w:rsidRDefault="00FE72FB" w:rsidP="009816EA">
      <w:pPr>
        <w:pStyle w:val="MdSpace"/>
        <w:spacing w:after="60" w:line="360" w:lineRule="auto"/>
        <w:jc w:val="both"/>
      </w:pPr>
    </w:p>
    <w:p w14:paraId="2D26C8A2" w14:textId="77777777" w:rsidR="00FE72FB" w:rsidRPr="009816EA" w:rsidRDefault="002379F7" w:rsidP="009816EA">
      <w:pPr>
        <w:pStyle w:val="MdHeading2"/>
        <w:spacing w:line="360" w:lineRule="auto"/>
        <w:jc w:val="both"/>
      </w:pPr>
      <w:r w:rsidRPr="009816EA">
        <w:t>1. Introduction</w:t>
      </w:r>
    </w:p>
    <w:p w14:paraId="60805182" w14:textId="77777777" w:rsidR="008531D7" w:rsidRDefault="008531D7" w:rsidP="008531D7">
      <w:pPr>
        <w:spacing w:line="360" w:lineRule="auto"/>
        <w:jc w:val="both"/>
      </w:pPr>
      <w:r>
        <w:t>The rapid growth of digital finance has resulted in an increase in fraudulent activities, necessitating the use of Machine Learning (ML) and Artificial Intelligence (AI) for automated fraud detection [1, 2]. While these models have excellent predictive accuracy, their lack of transparency—also known as the "black-box" problem—poses significant hurdles to accountability and trust [3], [4]. Recent research highlights the need of combining Explainable AI (XAI) with Causal Feature Selection (CFS) to identify true cause-and-effect links rather than misleading correlations [5-7]. This combination improves the interpretability, robustness, and compliance of AI-based fraud detection systems.</w:t>
      </w:r>
    </w:p>
    <w:p w14:paraId="43EBCCF6" w14:textId="547DD8D7" w:rsidR="00FE72FB" w:rsidRPr="009816EA" w:rsidRDefault="008531D7" w:rsidP="008531D7">
      <w:pPr>
        <w:spacing w:line="360" w:lineRule="auto"/>
        <w:jc w:val="both"/>
      </w:pPr>
      <w:r>
        <w:t xml:space="preserve">Again, </w:t>
      </w:r>
      <w:proofErr w:type="gramStart"/>
      <w:r w:rsidR="002379F7" w:rsidRPr="009816EA">
        <w:t>The</w:t>
      </w:r>
      <w:proofErr w:type="gramEnd"/>
      <w:r w:rsidR="002379F7" w:rsidRPr="009816EA">
        <w:t xml:space="preserve"> global financial system faces an ever-increasing threat from evolving fraudulent activities, spurring the adoption of advanced AI-driven detection systems [8]. While deep learning and complex ensemble models have achieved unprecedented predictive accuracy [9], their "black-box" nature introduces significant challenges related to regulatory compliance [10], auditability, and user trust. Stakeholders, including compliance officers, regulators, and affected customers, demand justifiable, transparent, and actionable reasons for automated decisions [11]. The inability of traditional XAI methods to distinguish between </w:t>
      </w:r>
      <w:r w:rsidR="002379F7" w:rsidRPr="009816EA">
        <w:rPr>
          <w:rStyle w:val="MdStrong"/>
        </w:rPr>
        <w:t>causation and correlation</w:t>
      </w:r>
      <w:r w:rsidR="002379F7" w:rsidRPr="009816EA">
        <w:t xml:space="preserve"> often leads to brittle, misleading, and non-actionable explanations [12], undermining the utility of these systems.</w:t>
      </w:r>
    </w:p>
    <w:p w14:paraId="4822D89A" w14:textId="77777777" w:rsidR="00FE72FB" w:rsidRPr="009816EA" w:rsidRDefault="00FE72FB" w:rsidP="009816EA">
      <w:pPr>
        <w:pStyle w:val="MdSpace"/>
        <w:spacing w:after="60" w:line="360" w:lineRule="auto"/>
        <w:jc w:val="both"/>
      </w:pPr>
    </w:p>
    <w:p w14:paraId="7BDC609C" w14:textId="77777777" w:rsidR="00FE72FB" w:rsidRPr="009816EA" w:rsidRDefault="002379F7" w:rsidP="009816EA">
      <w:pPr>
        <w:pStyle w:val="MdParagraph"/>
        <w:spacing w:line="360" w:lineRule="auto"/>
        <w:jc w:val="both"/>
      </w:pPr>
      <w:r w:rsidRPr="009816EA">
        <w:t xml:space="preserve">This Systematic Literature Review addresses this critical gap by focusing on the synergistic role of </w:t>
      </w:r>
      <w:r w:rsidRPr="009816EA">
        <w:rPr>
          <w:rStyle w:val="MdStrong"/>
        </w:rPr>
        <w:t>Causal Feature Selection (CFS)</w:t>
      </w:r>
      <w:r w:rsidRPr="009816EA">
        <w:t xml:space="preserve"> in advancing </w:t>
      </w:r>
      <w:r w:rsidRPr="009816EA">
        <w:rPr>
          <w:rStyle w:val="MdStrong"/>
        </w:rPr>
        <w:t>Explainable AI (XAI)</w:t>
      </w:r>
      <w:r w:rsidRPr="009816EA">
        <w:t xml:space="preserve"> within the context of fraud detection. CFS, rooted in the principles of Causal Inference [13], aims to identify the true underlying causes of fraudulent </w:t>
      </w:r>
      <w:proofErr w:type="spellStart"/>
      <w:r w:rsidRPr="009816EA">
        <w:t>behavior</w:t>
      </w:r>
      <w:proofErr w:type="spellEnd"/>
      <w:r w:rsidRPr="009816EA">
        <w:t>, providing a robust foundation for subsequent XAI methods. The integration of causal reasoning with explainability represents a paradigm shift in how we approach fraud detection [14], moving beyond correlation-based explanations to causal reasoning grounded in Directed Acyclic Graphs (DAGs) and Structural Causal Models (SCMs).</w:t>
      </w:r>
    </w:p>
    <w:p w14:paraId="50734A9D" w14:textId="77777777" w:rsidR="00FE72FB" w:rsidRPr="009816EA" w:rsidRDefault="00FE72FB" w:rsidP="009816EA">
      <w:pPr>
        <w:pStyle w:val="MdSpace"/>
        <w:spacing w:after="60" w:line="360" w:lineRule="auto"/>
        <w:jc w:val="both"/>
      </w:pPr>
    </w:p>
    <w:p w14:paraId="7202524F" w14:textId="42A06906" w:rsidR="00FE72FB" w:rsidRDefault="002379F7" w:rsidP="009816EA">
      <w:pPr>
        <w:pStyle w:val="MdParagraph"/>
        <w:spacing w:line="360" w:lineRule="auto"/>
        <w:jc w:val="both"/>
      </w:pPr>
      <w:r w:rsidRPr="009816EA">
        <w:lastRenderedPageBreak/>
        <w:t>The motivation for this review is further strengthened by recent regulatory developments. The European Union's General Data Protection Regulation (GDPR) [15] and emerging Fair Lending Laws increasingly require explainability and fairness in automated decision-making systems. Causal reasoning provides a principled framework for addressing these regulatory requirements [16], as it enables systematic bias mitigation and auditable decision-making. Furthermore, the growing sophistication of fraud schemes necessitates more robust feature selection methods that can maintain performance across different populations and time periods—a capability that causal approaches uniquely provide through causal invariance [17].</w:t>
      </w:r>
    </w:p>
    <w:p w14:paraId="1EE9EFD0" w14:textId="0FA1AFDE" w:rsidR="00F635B2" w:rsidRDefault="00F635B2" w:rsidP="009816EA">
      <w:pPr>
        <w:pStyle w:val="MdParagraph"/>
        <w:spacing w:line="360" w:lineRule="auto"/>
        <w:jc w:val="both"/>
      </w:pPr>
    </w:p>
    <w:p w14:paraId="48E49F0E" w14:textId="77777777" w:rsidR="00F635B2" w:rsidRDefault="00F635B2" w:rsidP="009816EA">
      <w:pPr>
        <w:pStyle w:val="MdParagraph"/>
        <w:spacing w:line="360" w:lineRule="auto"/>
        <w:jc w:val="both"/>
      </w:pPr>
    </w:p>
    <w:p w14:paraId="06C3A43B" w14:textId="77777777" w:rsidR="00FE72FB" w:rsidRPr="009816EA" w:rsidRDefault="002379F7" w:rsidP="009816EA">
      <w:pPr>
        <w:pStyle w:val="MdHeading2"/>
        <w:spacing w:line="360" w:lineRule="auto"/>
        <w:jc w:val="both"/>
      </w:pPr>
      <w:r w:rsidRPr="009816EA">
        <w:t>2. Research Objectives (RO) and Questions (RQ)</w:t>
      </w:r>
    </w:p>
    <w:p w14:paraId="1A8013BF" w14:textId="77777777" w:rsidR="00FE72FB" w:rsidRPr="009816EA" w:rsidRDefault="002379F7" w:rsidP="009816EA">
      <w:pPr>
        <w:pStyle w:val="MdParagraph"/>
        <w:spacing w:line="360" w:lineRule="auto"/>
        <w:jc w:val="both"/>
      </w:pPr>
      <w:r w:rsidRPr="009816EA">
        <w:t>This SLR is guided by the following objectives and research questions, designed to provide a comprehensive and critical synthesis of the current state of the art.</w:t>
      </w:r>
    </w:p>
    <w:p w14:paraId="3E825596" w14:textId="77777777" w:rsidR="00FE72FB" w:rsidRPr="009816EA" w:rsidRDefault="00FE72FB" w:rsidP="009816EA">
      <w:pPr>
        <w:pStyle w:val="MdSpace"/>
        <w:spacing w:after="60" w:line="360" w:lineRule="auto"/>
        <w:jc w:val="both"/>
      </w:pPr>
    </w:p>
    <w:p w14:paraId="291A351C" w14:textId="77777777" w:rsidR="00FE72FB" w:rsidRPr="009816EA" w:rsidRDefault="002379F7" w:rsidP="009816EA">
      <w:pPr>
        <w:pStyle w:val="MdHeading3"/>
        <w:spacing w:line="360" w:lineRule="auto"/>
        <w:jc w:val="both"/>
      </w:pPr>
      <w:r w:rsidRPr="009816EA">
        <w:t>2.1. Research Objectives</w:t>
      </w:r>
    </w:p>
    <w:p w14:paraId="6D742FF0" w14:textId="77777777" w:rsidR="00FE72FB" w:rsidRPr="009816EA" w:rsidRDefault="002379F7" w:rsidP="009816EA">
      <w:pPr>
        <w:pStyle w:val="MdParagraph"/>
        <w:spacing w:line="360" w:lineRule="auto"/>
        <w:jc w:val="both"/>
      </w:pPr>
      <w:r w:rsidRPr="009816EA">
        <w:t>The primary objectives of this SLR are to:</w:t>
      </w:r>
    </w:p>
    <w:p w14:paraId="1D5FEFF1" w14:textId="77777777" w:rsidR="00FE72FB" w:rsidRPr="009816EA" w:rsidRDefault="00FE72FB" w:rsidP="009816EA">
      <w:pPr>
        <w:pStyle w:val="MdSpace"/>
        <w:spacing w:after="60" w:line="360" w:lineRule="auto"/>
        <w:jc w:val="both"/>
      </w:pPr>
    </w:p>
    <w:p w14:paraId="0484BDCE" w14:textId="77777777" w:rsidR="00FE72FB" w:rsidRPr="009816EA" w:rsidRDefault="002379F7" w:rsidP="009816EA">
      <w:pPr>
        <w:pStyle w:val="MdParagraph"/>
        <w:spacing w:line="360" w:lineRule="auto"/>
        <w:jc w:val="both"/>
      </w:pPr>
      <w:r w:rsidRPr="009816EA">
        <w:rPr>
          <w:rStyle w:val="MdStrong"/>
        </w:rPr>
        <w:t>RO1:</w:t>
      </w:r>
      <w:r w:rsidRPr="009816EA">
        <w:t xml:space="preserve"> Systematically identify and classify the dominant Causal Feature Selection and Causal Inference techniques applied in fraud detection research from 2020 to 2025, including Structural Causal Models, Causal Discovery algorithms, and Causal Intervention methods.</w:t>
      </w:r>
    </w:p>
    <w:p w14:paraId="737245B9" w14:textId="77777777" w:rsidR="00FE72FB" w:rsidRPr="009816EA" w:rsidRDefault="00FE72FB" w:rsidP="009816EA">
      <w:pPr>
        <w:pStyle w:val="MdSpace"/>
        <w:spacing w:after="60" w:line="360" w:lineRule="auto"/>
        <w:jc w:val="both"/>
      </w:pPr>
    </w:p>
    <w:p w14:paraId="01E9CBC3" w14:textId="77777777" w:rsidR="00FE72FB" w:rsidRPr="009816EA" w:rsidRDefault="002379F7" w:rsidP="009816EA">
      <w:pPr>
        <w:pStyle w:val="MdParagraph"/>
        <w:spacing w:line="360" w:lineRule="auto"/>
        <w:jc w:val="both"/>
      </w:pPr>
      <w:r w:rsidRPr="009816EA">
        <w:rPr>
          <w:rStyle w:val="MdStrong"/>
        </w:rPr>
        <w:t>RO2:</w:t>
      </w:r>
      <w:r w:rsidRPr="009816EA">
        <w:t xml:space="preserve"> </w:t>
      </w:r>
      <w:proofErr w:type="spellStart"/>
      <w:r w:rsidRPr="009816EA">
        <w:t>Analyze</w:t>
      </w:r>
      <w:proofErr w:type="spellEnd"/>
      <w:r w:rsidRPr="009816EA">
        <w:t xml:space="preserve"> how these causal techniques are integrated with existing Explainable AI models (XAI) to generate robust and plausible explanations, particularly examining the integration with LIME, SHAP, and Counterfactual Explanation methods.</w:t>
      </w:r>
    </w:p>
    <w:p w14:paraId="013AAD91" w14:textId="77777777" w:rsidR="00FE72FB" w:rsidRPr="009816EA" w:rsidRDefault="00FE72FB" w:rsidP="009816EA">
      <w:pPr>
        <w:pStyle w:val="MdSpace"/>
        <w:spacing w:after="60" w:line="360" w:lineRule="auto"/>
        <w:jc w:val="both"/>
      </w:pPr>
    </w:p>
    <w:p w14:paraId="43215038" w14:textId="77777777" w:rsidR="00FE72FB" w:rsidRPr="009816EA" w:rsidRDefault="002379F7" w:rsidP="009816EA">
      <w:pPr>
        <w:pStyle w:val="MdParagraph"/>
        <w:spacing w:line="360" w:lineRule="auto"/>
        <w:jc w:val="both"/>
      </w:pPr>
      <w:r w:rsidRPr="009816EA">
        <w:rPr>
          <w:rStyle w:val="MdStrong"/>
        </w:rPr>
        <w:t>RO3:</w:t>
      </w:r>
      <w:r w:rsidRPr="009816EA">
        <w:t xml:space="preserve"> Critically evaluate the methodologies, datasets, and evaluation metrics employed in the identified studies, including performance metrics (AUC, F1-score) and causal-specific metrics (Causal Fidelity, Plausibility, Actionability).</w:t>
      </w:r>
    </w:p>
    <w:p w14:paraId="700F5C30" w14:textId="77777777" w:rsidR="00FE72FB" w:rsidRPr="009816EA" w:rsidRDefault="00FE72FB" w:rsidP="009816EA">
      <w:pPr>
        <w:pStyle w:val="MdSpace"/>
        <w:spacing w:after="60" w:line="360" w:lineRule="auto"/>
        <w:jc w:val="both"/>
      </w:pPr>
    </w:p>
    <w:p w14:paraId="18508118" w14:textId="77777777" w:rsidR="00FE72FB" w:rsidRPr="009816EA" w:rsidRDefault="002379F7" w:rsidP="009816EA">
      <w:pPr>
        <w:pStyle w:val="MdParagraph"/>
        <w:spacing w:line="360" w:lineRule="auto"/>
        <w:jc w:val="both"/>
      </w:pPr>
      <w:r w:rsidRPr="009816EA">
        <w:rPr>
          <w:rStyle w:val="MdStrong"/>
        </w:rPr>
        <w:lastRenderedPageBreak/>
        <w:t>RO4:</w:t>
      </w:r>
      <w:r w:rsidRPr="009816EA">
        <w:t xml:space="preserve"> Synthesize the analytical findings to determine how causal inference fundamentally improves model transparency, explainability, and trust in AI-based fraud systems, particularly through the lens of stakeholder confidence and regulatory compliance.</w:t>
      </w:r>
    </w:p>
    <w:p w14:paraId="63753FAC" w14:textId="77777777" w:rsidR="00FE72FB" w:rsidRPr="009816EA" w:rsidRDefault="00FE72FB" w:rsidP="009816EA">
      <w:pPr>
        <w:pStyle w:val="MdSpace"/>
        <w:spacing w:after="60" w:line="360" w:lineRule="auto"/>
        <w:jc w:val="both"/>
      </w:pPr>
    </w:p>
    <w:p w14:paraId="24188E0A" w14:textId="77777777" w:rsidR="00FE72FB" w:rsidRPr="009816EA" w:rsidRDefault="002379F7" w:rsidP="009816EA">
      <w:pPr>
        <w:pStyle w:val="MdParagraph"/>
        <w:spacing w:line="360" w:lineRule="auto"/>
        <w:jc w:val="both"/>
      </w:pPr>
      <w:r w:rsidRPr="009816EA">
        <w:rPr>
          <w:rStyle w:val="MdStrong"/>
        </w:rPr>
        <w:t>RO5:</w:t>
      </w:r>
      <w:r w:rsidRPr="009816EA">
        <w:t xml:space="preserve"> Identify key trends, persistent challenges, and propose concrete recommendations for future research directions that combine causal reasoning and XAI to improve fraud detection systems.</w:t>
      </w:r>
    </w:p>
    <w:p w14:paraId="5D0DE654" w14:textId="77777777" w:rsidR="00FE72FB" w:rsidRPr="009816EA" w:rsidRDefault="00FE72FB" w:rsidP="009816EA">
      <w:pPr>
        <w:pStyle w:val="MdSpace"/>
        <w:spacing w:after="60" w:line="360" w:lineRule="auto"/>
        <w:jc w:val="both"/>
      </w:pPr>
    </w:p>
    <w:p w14:paraId="794A1667" w14:textId="77777777" w:rsidR="00FE72FB" w:rsidRPr="009816EA" w:rsidRDefault="002379F7" w:rsidP="009816EA">
      <w:pPr>
        <w:pStyle w:val="MdHeading3"/>
        <w:spacing w:line="360" w:lineRule="auto"/>
        <w:jc w:val="both"/>
      </w:pPr>
      <w:r w:rsidRPr="009816EA">
        <w:t>2.2. Research Questions</w:t>
      </w:r>
    </w:p>
    <w:p w14:paraId="2A4A7138" w14:textId="77777777" w:rsidR="00FE72FB" w:rsidRPr="009816EA" w:rsidRDefault="002379F7" w:rsidP="009816EA">
      <w:pPr>
        <w:pStyle w:val="MdParagraph"/>
        <w:spacing w:line="360" w:lineRule="auto"/>
        <w:jc w:val="both"/>
      </w:pPr>
      <w:r w:rsidRPr="009816EA">
        <w:t>The objectives translate into the following specific research questions:</w:t>
      </w:r>
    </w:p>
    <w:p w14:paraId="04E6384E" w14:textId="77777777" w:rsidR="00FE72FB" w:rsidRPr="009816EA" w:rsidRDefault="00FE72FB" w:rsidP="009816EA">
      <w:pPr>
        <w:pStyle w:val="MdSpace"/>
        <w:spacing w:after="60" w:line="360" w:lineRule="auto"/>
        <w:jc w:val="both"/>
      </w:pPr>
    </w:p>
    <w:p w14:paraId="0F0ABC57" w14:textId="77777777" w:rsidR="00FE72FB" w:rsidRPr="009816EA" w:rsidRDefault="002379F7" w:rsidP="009816EA">
      <w:pPr>
        <w:pStyle w:val="MdParagraph"/>
        <w:spacing w:line="360" w:lineRule="auto"/>
        <w:jc w:val="both"/>
      </w:pPr>
      <w:r w:rsidRPr="009816EA">
        <w:rPr>
          <w:rStyle w:val="MdStrong"/>
        </w:rPr>
        <w:t>RQ1:</w:t>
      </w:r>
      <w:r w:rsidRPr="009816EA">
        <w:t xml:space="preserve"> What are the most frequently utilized Causal Feature Selection and Causal Inference techniques in recent fraud detection literature (2020-2025)? Which methods dominate the field, and what are their relative advantages and limitations?</w:t>
      </w:r>
    </w:p>
    <w:p w14:paraId="29E80B55" w14:textId="77777777" w:rsidR="00FE72FB" w:rsidRPr="009816EA" w:rsidRDefault="00FE72FB" w:rsidP="009816EA">
      <w:pPr>
        <w:pStyle w:val="MdSpace"/>
        <w:spacing w:after="60" w:line="360" w:lineRule="auto"/>
        <w:jc w:val="both"/>
      </w:pPr>
    </w:p>
    <w:p w14:paraId="4607786C" w14:textId="77777777" w:rsidR="00FE72FB" w:rsidRPr="009816EA" w:rsidRDefault="002379F7" w:rsidP="009816EA">
      <w:pPr>
        <w:pStyle w:val="MdParagraph"/>
        <w:spacing w:line="360" w:lineRule="auto"/>
        <w:jc w:val="both"/>
      </w:pPr>
      <w:r w:rsidRPr="009816EA">
        <w:rPr>
          <w:rStyle w:val="MdStrong"/>
        </w:rPr>
        <w:t>RQ2:</w:t>
      </w:r>
      <w:r w:rsidRPr="009816EA">
        <w:t xml:space="preserve"> How are Causal Feature Selection methods integrated with Explainable AI models (e.g., LIME, SHAP, Counterfactuals) to provide explanations for fraud detection decisions? What is the nature of this integration, and how does it enhance explanation quality?</w:t>
      </w:r>
    </w:p>
    <w:p w14:paraId="27A39815" w14:textId="77777777" w:rsidR="00FE72FB" w:rsidRPr="009816EA" w:rsidRDefault="00FE72FB" w:rsidP="009816EA">
      <w:pPr>
        <w:pStyle w:val="MdSpace"/>
        <w:spacing w:after="60" w:line="360" w:lineRule="auto"/>
        <w:jc w:val="both"/>
      </w:pPr>
    </w:p>
    <w:p w14:paraId="4A0E3718" w14:textId="77777777" w:rsidR="00FE72FB" w:rsidRPr="009816EA" w:rsidRDefault="002379F7" w:rsidP="009816EA">
      <w:pPr>
        <w:pStyle w:val="MdParagraph"/>
        <w:spacing w:line="360" w:lineRule="auto"/>
        <w:jc w:val="both"/>
      </w:pPr>
      <w:r w:rsidRPr="009816EA">
        <w:rPr>
          <w:rStyle w:val="MdStrong"/>
        </w:rPr>
        <w:t>RQ3:</w:t>
      </w:r>
      <w:r w:rsidRPr="009816EA">
        <w:t xml:space="preserve"> What are the primary application domains and datasets used to evaluate Causal Feature Selection and XAI methods in fraud detection? How do domain characteristics influence the choice of causal and XAI techniques?</w:t>
      </w:r>
    </w:p>
    <w:p w14:paraId="1E6468EA" w14:textId="77777777" w:rsidR="00FE72FB" w:rsidRPr="009816EA" w:rsidRDefault="00FE72FB" w:rsidP="009816EA">
      <w:pPr>
        <w:pStyle w:val="MdSpace"/>
        <w:spacing w:after="60" w:line="360" w:lineRule="auto"/>
        <w:jc w:val="both"/>
      </w:pPr>
    </w:p>
    <w:p w14:paraId="0D19A0A5" w14:textId="77777777" w:rsidR="00FE72FB" w:rsidRPr="009816EA" w:rsidRDefault="002379F7" w:rsidP="009816EA">
      <w:pPr>
        <w:pStyle w:val="MdParagraph"/>
        <w:spacing w:line="360" w:lineRule="auto"/>
        <w:jc w:val="both"/>
      </w:pPr>
      <w:r w:rsidRPr="009816EA">
        <w:rPr>
          <w:rStyle w:val="MdStrong"/>
        </w:rPr>
        <w:t>RQ4:</w:t>
      </w:r>
      <w:r w:rsidRPr="009816EA">
        <w:t xml:space="preserve"> What is the nature of the trade-off between predictive performance and causal interpretability in the reviewed studies? Can this trade-off be mitigated through principled feature selection?</w:t>
      </w:r>
    </w:p>
    <w:p w14:paraId="2B347FEF" w14:textId="77777777" w:rsidR="00FE72FB" w:rsidRPr="009816EA" w:rsidRDefault="00FE72FB" w:rsidP="009816EA">
      <w:pPr>
        <w:pStyle w:val="MdSpace"/>
        <w:spacing w:after="60" w:line="360" w:lineRule="auto"/>
        <w:jc w:val="both"/>
      </w:pPr>
    </w:p>
    <w:p w14:paraId="181CAAD3" w14:textId="77777777" w:rsidR="00FE72FB" w:rsidRPr="009816EA" w:rsidRDefault="002379F7" w:rsidP="009816EA">
      <w:pPr>
        <w:pStyle w:val="MdParagraph"/>
        <w:spacing w:line="360" w:lineRule="auto"/>
        <w:jc w:val="both"/>
      </w:pPr>
      <w:r w:rsidRPr="009816EA">
        <w:rPr>
          <w:rStyle w:val="MdStrong"/>
        </w:rPr>
        <w:t>RQ5:</w:t>
      </w:r>
      <w:r w:rsidRPr="009816EA">
        <w:t xml:space="preserve"> How does the adoption of Causal Inference fundamentally improve model transparency and build trust in AI-based fraud detection systems? What mechanisms enable causal reasoning to enhance stakeholder confidence?</w:t>
      </w:r>
    </w:p>
    <w:p w14:paraId="1ED22092" w14:textId="77777777" w:rsidR="00FE72FB" w:rsidRPr="009816EA" w:rsidRDefault="00FE72FB" w:rsidP="009816EA">
      <w:pPr>
        <w:pStyle w:val="MdSpace"/>
        <w:spacing w:after="60" w:line="360" w:lineRule="auto"/>
        <w:jc w:val="both"/>
      </w:pPr>
    </w:p>
    <w:p w14:paraId="7E383230" w14:textId="77777777" w:rsidR="00FE72FB" w:rsidRPr="009816EA" w:rsidRDefault="002379F7" w:rsidP="009816EA">
      <w:pPr>
        <w:pStyle w:val="MdParagraph"/>
        <w:spacing w:line="360" w:lineRule="auto"/>
        <w:jc w:val="both"/>
      </w:pPr>
      <w:r w:rsidRPr="009816EA">
        <w:rPr>
          <w:rStyle w:val="MdStrong"/>
        </w:rPr>
        <w:lastRenderedPageBreak/>
        <w:t>RQ6:</w:t>
      </w:r>
      <w:r w:rsidRPr="009816EA">
        <w:t xml:space="preserve"> What are the major gaps, challenges, and future research directions combining causal reasoning and XAI for improved fraud detection? What are the barriers to widespread adoption, and how can they be overcome?</w:t>
      </w:r>
    </w:p>
    <w:p w14:paraId="4CEA61A2" w14:textId="77777777" w:rsidR="00FE72FB" w:rsidRPr="009816EA" w:rsidRDefault="00FE72FB" w:rsidP="009816EA">
      <w:pPr>
        <w:pStyle w:val="MdSpace"/>
        <w:spacing w:after="60" w:line="360" w:lineRule="auto"/>
        <w:jc w:val="both"/>
      </w:pPr>
    </w:p>
    <w:p w14:paraId="56B069FA" w14:textId="77777777" w:rsidR="00FE72FB" w:rsidRPr="009816EA" w:rsidRDefault="002379F7" w:rsidP="009816EA">
      <w:pPr>
        <w:pStyle w:val="MdHeading2"/>
        <w:spacing w:line="360" w:lineRule="auto"/>
        <w:jc w:val="both"/>
      </w:pPr>
      <w:r w:rsidRPr="009816EA">
        <w:t>3. Methodology</w:t>
      </w:r>
    </w:p>
    <w:p w14:paraId="48DE8BC3" w14:textId="77777777" w:rsidR="00FE72FB" w:rsidRPr="009816EA" w:rsidRDefault="002379F7" w:rsidP="009816EA">
      <w:pPr>
        <w:pStyle w:val="MdParagraph"/>
        <w:spacing w:line="360" w:lineRule="auto"/>
        <w:jc w:val="both"/>
      </w:pPr>
      <w:r w:rsidRPr="009816EA">
        <w:t xml:space="preserve">This SLR strictly adheres to the guidelines of the </w:t>
      </w:r>
      <w:r w:rsidRPr="009816EA">
        <w:rPr>
          <w:rStyle w:val="MdStrong"/>
        </w:rPr>
        <w:t>Preferred Reporting Items for Systematic Reviews and Meta-Analyses (PRISMA 2020)</w:t>
      </w:r>
      <w:r w:rsidRPr="009816EA">
        <w:t xml:space="preserve"> statement [3], ensuring a transparent and reproducible review process. The PRISMA guidelines have become the gold standard for systematic reviews in healthcare and are increasingly adopted in computer science [18].</w:t>
      </w:r>
    </w:p>
    <w:p w14:paraId="1CA49FEB" w14:textId="77777777" w:rsidR="00FE72FB" w:rsidRPr="009816EA" w:rsidRDefault="00FE72FB" w:rsidP="009816EA">
      <w:pPr>
        <w:pStyle w:val="MdSpace"/>
        <w:spacing w:after="60" w:line="360" w:lineRule="auto"/>
        <w:jc w:val="both"/>
      </w:pPr>
    </w:p>
    <w:p w14:paraId="7297B94F" w14:textId="77777777" w:rsidR="00FE72FB" w:rsidRPr="009816EA" w:rsidRDefault="002379F7" w:rsidP="009816EA">
      <w:pPr>
        <w:pStyle w:val="MdHeading3"/>
        <w:spacing w:line="360" w:lineRule="auto"/>
        <w:jc w:val="both"/>
      </w:pPr>
      <w:r w:rsidRPr="009816EA">
        <w:t>3.1. Search Strategy and Databases</w:t>
      </w:r>
    </w:p>
    <w:p w14:paraId="06ABF2AF" w14:textId="77777777" w:rsidR="008F333A" w:rsidRDefault="008F333A" w:rsidP="008F333A">
      <w:pPr>
        <w:spacing w:line="360" w:lineRule="auto"/>
        <w:jc w:val="both"/>
      </w:pPr>
      <w:r>
        <w:t>The literature search was carried out systematically across five major academic databases—IEEE Xplore, Scopus, SpringerLink, ACM Digital Library, and ScienceDirect—chosen for their extensive and authoritative coverage of peer-reviewed research in computer science, artificial intelligence, and information security. These databases combine to give a complete and representative corpus of contemporary studies, guaranteeing that the review includes the most relevant and high-quality information on causal feature selection and explainable AI in fraud detection. By leveraging various databases, the search technique reduced the possibility of publication bias while increasing the breadth and depth of the systematic review, hence boosting the study's scientific rigor and reproducibility.</w:t>
      </w:r>
    </w:p>
    <w:p w14:paraId="5366EF7D" w14:textId="77777777" w:rsidR="00432D15" w:rsidRPr="009816EA" w:rsidRDefault="00432D15" w:rsidP="009816EA">
      <w:pPr>
        <w:pStyle w:val="MdParagraph"/>
        <w:spacing w:line="360" w:lineRule="auto"/>
        <w:jc w:val="both"/>
      </w:pPr>
    </w:p>
    <w:p w14:paraId="24418A9A" w14:textId="77777777" w:rsidR="00FE72FB" w:rsidRPr="009816EA" w:rsidRDefault="00FE72FB" w:rsidP="009816EA">
      <w:pPr>
        <w:pStyle w:val="MdSpace"/>
        <w:spacing w:after="60" w:line="360" w:lineRule="auto"/>
        <w:jc w:val="both"/>
      </w:pPr>
    </w:p>
    <w:p w14:paraId="016EF7BD" w14:textId="77777777" w:rsidR="00FE72FB" w:rsidRPr="009816EA" w:rsidRDefault="002379F7" w:rsidP="009816EA">
      <w:pPr>
        <w:pStyle w:val="MdParagraph"/>
        <w:spacing w:line="360" w:lineRule="auto"/>
        <w:jc w:val="both"/>
      </w:pPr>
      <w:r w:rsidRPr="009816EA">
        <w:t>The Boolean search string was designed to maximize coverage of the three core concepts:</w:t>
      </w:r>
    </w:p>
    <w:p w14:paraId="1922AD35" w14:textId="77777777" w:rsidR="00FE72FB" w:rsidRPr="009816EA" w:rsidRDefault="00FE72FB" w:rsidP="009816EA">
      <w:pPr>
        <w:pStyle w:val="MdSpace"/>
        <w:spacing w:after="60" w:line="360" w:lineRule="auto"/>
        <w:jc w:val="both"/>
      </w:pPr>
    </w:p>
    <w:p w14:paraId="625B8FC9" w14:textId="77777777" w:rsidR="00FE72FB" w:rsidRPr="009816EA" w:rsidRDefault="002379F7" w:rsidP="009816EA">
      <w:pPr>
        <w:pStyle w:val="MdCode"/>
        <w:pBdr>
          <w:top w:val="single" w:sz="1" w:space="8" w:color="E1E4E8"/>
          <w:left w:val="single" w:sz="1" w:space="8" w:color="E1E4E8"/>
          <w:right w:val="single" w:sz="1" w:space="8" w:color="E1E4E8"/>
        </w:pBdr>
        <w:shd w:val="clear" w:color="auto" w:fill="F6F8FA"/>
        <w:spacing w:before="120" w:after="0" w:line="360" w:lineRule="auto"/>
        <w:ind w:left="360"/>
        <w:jc w:val="both"/>
        <w:rPr>
          <w:rFonts w:ascii="Times New Roman" w:hAnsi="Times New Roman" w:cs="Times New Roman"/>
        </w:rPr>
      </w:pPr>
      <w:r w:rsidRPr="009816EA">
        <w:rPr>
          <w:rFonts w:ascii="Times New Roman" w:hAnsi="Times New Roman" w:cs="Times New Roman"/>
          <w:color w:val="24292E"/>
          <w:sz w:val="20"/>
          <w:szCs w:val="20"/>
        </w:rPr>
        <w:t>("causal feature selection" OR "causal inference" OR "causality" OR "causal discovery" OR "causal machine learning")</w:t>
      </w:r>
    </w:p>
    <w:p w14:paraId="6DA80CF0" w14:textId="77777777" w:rsidR="00FE72FB" w:rsidRPr="009816EA" w:rsidRDefault="002379F7" w:rsidP="009816EA">
      <w:pPr>
        <w:pStyle w:val="MdCode"/>
        <w:pBdr>
          <w:left w:val="single" w:sz="1" w:space="8" w:color="E1E4E8"/>
          <w:right w:val="single" w:sz="1" w:space="8" w:color="E1E4E8"/>
        </w:pBdr>
        <w:shd w:val="clear" w:color="auto" w:fill="F6F8FA"/>
        <w:spacing w:before="0" w:after="0" w:line="360" w:lineRule="auto"/>
        <w:ind w:left="360"/>
        <w:jc w:val="both"/>
        <w:rPr>
          <w:rFonts w:ascii="Times New Roman" w:hAnsi="Times New Roman" w:cs="Times New Roman"/>
        </w:rPr>
      </w:pPr>
      <w:r w:rsidRPr="009816EA">
        <w:rPr>
          <w:rFonts w:ascii="Times New Roman" w:hAnsi="Times New Roman" w:cs="Times New Roman"/>
          <w:color w:val="24292E"/>
          <w:sz w:val="20"/>
          <w:szCs w:val="20"/>
        </w:rPr>
        <w:t>AND</w:t>
      </w:r>
    </w:p>
    <w:p w14:paraId="63053F88" w14:textId="77777777" w:rsidR="00FE72FB" w:rsidRPr="009816EA" w:rsidRDefault="002379F7" w:rsidP="009816EA">
      <w:pPr>
        <w:pStyle w:val="MdCode"/>
        <w:pBdr>
          <w:left w:val="single" w:sz="1" w:space="8" w:color="E1E4E8"/>
          <w:right w:val="single" w:sz="1" w:space="8" w:color="E1E4E8"/>
        </w:pBdr>
        <w:shd w:val="clear" w:color="auto" w:fill="F6F8FA"/>
        <w:spacing w:before="0" w:after="0" w:line="360" w:lineRule="auto"/>
        <w:ind w:left="360"/>
        <w:jc w:val="both"/>
        <w:rPr>
          <w:rFonts w:ascii="Times New Roman" w:hAnsi="Times New Roman" w:cs="Times New Roman"/>
        </w:rPr>
      </w:pPr>
      <w:r w:rsidRPr="009816EA">
        <w:rPr>
          <w:rFonts w:ascii="Times New Roman" w:hAnsi="Times New Roman" w:cs="Times New Roman"/>
          <w:color w:val="24292E"/>
          <w:sz w:val="20"/>
          <w:szCs w:val="20"/>
        </w:rPr>
        <w:t>("explainable AI" OR "XAI" OR "interpretability" OR "transparency" OR "model explanation")</w:t>
      </w:r>
    </w:p>
    <w:p w14:paraId="5B63376B" w14:textId="77777777" w:rsidR="00FE72FB" w:rsidRPr="009816EA" w:rsidRDefault="002379F7" w:rsidP="009816EA">
      <w:pPr>
        <w:pStyle w:val="MdCode"/>
        <w:pBdr>
          <w:left w:val="single" w:sz="1" w:space="8" w:color="E1E4E8"/>
          <w:right w:val="single" w:sz="1" w:space="8" w:color="E1E4E8"/>
        </w:pBdr>
        <w:shd w:val="clear" w:color="auto" w:fill="F6F8FA"/>
        <w:spacing w:before="0" w:after="0" w:line="360" w:lineRule="auto"/>
        <w:ind w:left="360"/>
        <w:jc w:val="both"/>
        <w:rPr>
          <w:rFonts w:ascii="Times New Roman" w:hAnsi="Times New Roman" w:cs="Times New Roman"/>
        </w:rPr>
      </w:pPr>
      <w:r w:rsidRPr="009816EA">
        <w:rPr>
          <w:rFonts w:ascii="Times New Roman" w:hAnsi="Times New Roman" w:cs="Times New Roman"/>
          <w:color w:val="24292E"/>
          <w:sz w:val="20"/>
          <w:szCs w:val="20"/>
        </w:rPr>
        <w:t>AND</w:t>
      </w:r>
    </w:p>
    <w:p w14:paraId="0851FD1C" w14:textId="77777777" w:rsidR="00FE72FB" w:rsidRPr="009816EA" w:rsidRDefault="002379F7" w:rsidP="009816EA">
      <w:pPr>
        <w:pStyle w:val="MdCode"/>
        <w:pBdr>
          <w:left w:val="single" w:sz="1" w:space="8" w:color="E1E4E8"/>
          <w:bottom w:val="single" w:sz="1" w:space="8" w:color="E1E4E8"/>
          <w:right w:val="single" w:sz="1" w:space="8" w:color="E1E4E8"/>
        </w:pBdr>
        <w:shd w:val="clear" w:color="auto" w:fill="F6F8FA"/>
        <w:spacing w:before="0" w:after="120" w:line="360" w:lineRule="auto"/>
        <w:ind w:left="360"/>
        <w:jc w:val="both"/>
        <w:rPr>
          <w:rFonts w:ascii="Times New Roman" w:hAnsi="Times New Roman" w:cs="Times New Roman"/>
        </w:rPr>
      </w:pPr>
      <w:r w:rsidRPr="009816EA">
        <w:rPr>
          <w:rFonts w:ascii="Times New Roman" w:hAnsi="Times New Roman" w:cs="Times New Roman"/>
          <w:color w:val="24292E"/>
          <w:sz w:val="20"/>
          <w:szCs w:val="20"/>
        </w:rPr>
        <w:lastRenderedPageBreak/>
        <w:t>("fraud detection" OR "financial fraud" OR "anomaly detection" OR "outlier detection")</w:t>
      </w:r>
    </w:p>
    <w:p w14:paraId="4C67CA9A" w14:textId="77777777" w:rsidR="00FE72FB" w:rsidRPr="009816EA" w:rsidRDefault="00FE72FB" w:rsidP="009816EA">
      <w:pPr>
        <w:pStyle w:val="MdSpace"/>
        <w:spacing w:after="60" w:line="360" w:lineRule="auto"/>
        <w:jc w:val="both"/>
      </w:pPr>
    </w:p>
    <w:p w14:paraId="44D44EF6" w14:textId="77777777" w:rsidR="00FE72FB" w:rsidRPr="009816EA" w:rsidRDefault="002379F7" w:rsidP="009816EA">
      <w:pPr>
        <w:pStyle w:val="MdParagraph"/>
        <w:spacing w:line="360" w:lineRule="auto"/>
        <w:jc w:val="both"/>
      </w:pPr>
      <w:r w:rsidRPr="009816EA">
        <w:t>This search strategy was iteratively refined through pilot searches to balance sensitivity (recall) and specificity (precision). The final search string was executed in each database between September 1, 2025, and October 15, 2025.</w:t>
      </w:r>
    </w:p>
    <w:p w14:paraId="1FE6051E" w14:textId="77777777" w:rsidR="00FE72FB" w:rsidRPr="009816EA" w:rsidRDefault="00FE72FB" w:rsidP="009816EA">
      <w:pPr>
        <w:pStyle w:val="MdSpace"/>
        <w:spacing w:after="60" w:line="360" w:lineRule="auto"/>
        <w:jc w:val="both"/>
      </w:pPr>
    </w:p>
    <w:p w14:paraId="565F09E4" w14:textId="77777777" w:rsidR="00FE72FB" w:rsidRPr="009816EA" w:rsidRDefault="002379F7" w:rsidP="009816EA">
      <w:pPr>
        <w:pStyle w:val="MdHeading3"/>
        <w:spacing w:line="360" w:lineRule="auto"/>
        <w:jc w:val="both"/>
      </w:pPr>
      <w:r w:rsidRPr="009816EA">
        <w:t>3.2. Inclusion and Exclusion Criteria</w:t>
      </w:r>
    </w:p>
    <w:p w14:paraId="170B604C" w14:textId="77777777" w:rsidR="00FE72FB" w:rsidRDefault="002379F7" w:rsidP="009816EA">
      <w:pPr>
        <w:pStyle w:val="MdParagraph"/>
        <w:spacing w:line="360" w:lineRule="auto"/>
        <w:jc w:val="both"/>
      </w:pPr>
      <w:r w:rsidRPr="009816EA">
        <w:t>The criteria were applied rigorously during the screening phases, following best practices in systematic review methodology:</w:t>
      </w:r>
    </w:p>
    <w:p w14:paraId="399FD03B" w14:textId="77777777" w:rsidR="00406DAF" w:rsidRDefault="00406DAF" w:rsidP="009816EA">
      <w:pPr>
        <w:pStyle w:val="MdParagraph"/>
        <w:spacing w:line="360" w:lineRule="auto"/>
        <w:jc w:val="both"/>
      </w:pPr>
    </w:p>
    <w:p w14:paraId="14BEF250" w14:textId="1C54239B" w:rsidR="00406DAF" w:rsidRPr="007B68A5" w:rsidRDefault="00406DAF" w:rsidP="009816EA">
      <w:pPr>
        <w:pStyle w:val="MdParagraph"/>
        <w:spacing w:line="360" w:lineRule="auto"/>
        <w:jc w:val="both"/>
        <w:rPr>
          <w:b/>
          <w:bCs/>
        </w:rPr>
      </w:pPr>
      <w:r w:rsidRPr="007B68A5">
        <w:rPr>
          <w:b/>
          <w:bCs/>
        </w:rPr>
        <w:t xml:space="preserve">TABLE 1. </w:t>
      </w:r>
      <w:r w:rsidR="007B68A5" w:rsidRPr="007B68A5">
        <w:rPr>
          <w:b/>
          <w:bCs/>
        </w:rPr>
        <w:t xml:space="preserve">Types of </w:t>
      </w:r>
      <w:r w:rsidR="007B68A5">
        <w:rPr>
          <w:b/>
          <w:bCs/>
        </w:rPr>
        <w:t>C</w:t>
      </w:r>
      <w:r w:rsidR="007B68A5" w:rsidRPr="007B68A5">
        <w:rPr>
          <w:b/>
          <w:bCs/>
        </w:rPr>
        <w:t>riteria applied during the screening phases</w:t>
      </w:r>
    </w:p>
    <w:p w14:paraId="2A7A0FBD" w14:textId="77777777" w:rsidR="00FE72FB" w:rsidRPr="009816EA" w:rsidRDefault="00FE72FB" w:rsidP="009816EA">
      <w:pPr>
        <w:pStyle w:val="MdSpace"/>
        <w:spacing w:after="60" w:line="360" w:lineRule="auto"/>
        <w:jc w:val="both"/>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847"/>
        <w:gridCol w:w="1040"/>
        <w:gridCol w:w="6139"/>
      </w:tblGrid>
      <w:tr w:rsidR="00FE72FB" w:rsidRPr="009816EA" w14:paraId="62C5AA0E" w14:textId="77777777">
        <w:trPr>
          <w:cantSplit/>
          <w:trHeight w:val="720"/>
          <w:tblHeader/>
        </w:trPr>
        <w:tc>
          <w:tcPr>
            <w:tcW w:w="0" w:type="auto"/>
            <w:tcMar>
              <w:top w:w="100" w:type="dxa"/>
              <w:left w:w="120" w:type="dxa"/>
              <w:bottom w:w="100" w:type="dxa"/>
              <w:right w:w="120" w:type="dxa"/>
            </w:tcMar>
            <w:vAlign w:val="center"/>
          </w:tcPr>
          <w:p w14:paraId="27BA8E1E" w14:textId="77777777" w:rsidR="00FE72FB" w:rsidRPr="009816EA" w:rsidRDefault="002379F7" w:rsidP="009816EA">
            <w:pPr>
              <w:pStyle w:val="MdTableHeader"/>
              <w:spacing w:line="360" w:lineRule="auto"/>
              <w:jc w:val="both"/>
            </w:pPr>
            <w:r w:rsidRPr="009816EA">
              <w:t>Criterion</w:t>
            </w:r>
          </w:p>
        </w:tc>
        <w:tc>
          <w:tcPr>
            <w:tcW w:w="0" w:type="auto"/>
            <w:tcMar>
              <w:top w:w="100" w:type="dxa"/>
              <w:left w:w="120" w:type="dxa"/>
              <w:bottom w:w="100" w:type="dxa"/>
              <w:right w:w="120" w:type="dxa"/>
            </w:tcMar>
            <w:vAlign w:val="center"/>
          </w:tcPr>
          <w:p w14:paraId="3AEAE12D" w14:textId="77777777" w:rsidR="00FE72FB" w:rsidRPr="009816EA" w:rsidRDefault="002379F7" w:rsidP="009816EA">
            <w:pPr>
              <w:pStyle w:val="MdTableHeader"/>
              <w:spacing w:line="360" w:lineRule="auto"/>
              <w:jc w:val="both"/>
            </w:pPr>
            <w:r w:rsidRPr="009816EA">
              <w:t>Type</w:t>
            </w:r>
          </w:p>
        </w:tc>
        <w:tc>
          <w:tcPr>
            <w:tcW w:w="0" w:type="auto"/>
            <w:tcMar>
              <w:top w:w="100" w:type="dxa"/>
              <w:left w:w="120" w:type="dxa"/>
              <w:bottom w:w="100" w:type="dxa"/>
              <w:right w:w="120" w:type="dxa"/>
            </w:tcMar>
            <w:vAlign w:val="center"/>
          </w:tcPr>
          <w:p w14:paraId="5FCD51BD" w14:textId="77777777" w:rsidR="00FE72FB" w:rsidRPr="009816EA" w:rsidRDefault="002379F7" w:rsidP="009816EA">
            <w:pPr>
              <w:pStyle w:val="MdTableHeader"/>
              <w:spacing w:line="360" w:lineRule="auto"/>
              <w:jc w:val="both"/>
            </w:pPr>
            <w:r w:rsidRPr="009816EA">
              <w:t>Description</w:t>
            </w:r>
          </w:p>
        </w:tc>
      </w:tr>
      <w:tr w:rsidR="00FE72FB" w:rsidRPr="009816EA" w14:paraId="6D430CD1" w14:textId="77777777">
        <w:trPr>
          <w:cantSplit/>
          <w:trHeight w:val="576"/>
        </w:trPr>
        <w:tc>
          <w:tcPr>
            <w:tcW w:w="0" w:type="auto"/>
            <w:tcMar>
              <w:top w:w="80" w:type="dxa"/>
              <w:left w:w="120" w:type="dxa"/>
              <w:bottom w:w="80" w:type="dxa"/>
              <w:right w:w="120" w:type="dxa"/>
            </w:tcMar>
            <w:vAlign w:val="center"/>
          </w:tcPr>
          <w:p w14:paraId="5419D897" w14:textId="77777777" w:rsidR="00FE72FB" w:rsidRPr="009816EA" w:rsidRDefault="002379F7" w:rsidP="009816EA">
            <w:pPr>
              <w:pStyle w:val="MdTableCell"/>
              <w:spacing w:line="360" w:lineRule="auto"/>
              <w:jc w:val="both"/>
            </w:pPr>
            <w:r w:rsidRPr="009816EA">
              <w:rPr>
                <w:rStyle w:val="MdStrong"/>
              </w:rPr>
              <w:t>Timeframe</w:t>
            </w:r>
          </w:p>
        </w:tc>
        <w:tc>
          <w:tcPr>
            <w:tcW w:w="0" w:type="auto"/>
            <w:tcMar>
              <w:top w:w="80" w:type="dxa"/>
              <w:left w:w="120" w:type="dxa"/>
              <w:bottom w:w="80" w:type="dxa"/>
              <w:right w:w="120" w:type="dxa"/>
            </w:tcMar>
            <w:vAlign w:val="center"/>
          </w:tcPr>
          <w:p w14:paraId="7E96FC35" w14:textId="77777777" w:rsidR="00FE72FB" w:rsidRPr="009816EA" w:rsidRDefault="002379F7" w:rsidP="009816EA">
            <w:pPr>
              <w:pStyle w:val="MdTableCell"/>
              <w:spacing w:line="360" w:lineRule="auto"/>
              <w:jc w:val="both"/>
            </w:pPr>
            <w:r w:rsidRPr="009816EA">
              <w:t>Inclusion</w:t>
            </w:r>
          </w:p>
        </w:tc>
        <w:tc>
          <w:tcPr>
            <w:tcW w:w="0" w:type="auto"/>
            <w:tcMar>
              <w:top w:w="80" w:type="dxa"/>
              <w:left w:w="120" w:type="dxa"/>
              <w:bottom w:w="80" w:type="dxa"/>
              <w:right w:w="120" w:type="dxa"/>
            </w:tcMar>
            <w:vAlign w:val="center"/>
          </w:tcPr>
          <w:p w14:paraId="015677EA" w14:textId="77777777" w:rsidR="00FE72FB" w:rsidRPr="009816EA" w:rsidRDefault="002379F7" w:rsidP="009816EA">
            <w:pPr>
              <w:pStyle w:val="MdTableCell"/>
              <w:spacing w:line="360" w:lineRule="auto"/>
              <w:jc w:val="both"/>
            </w:pPr>
            <w:r w:rsidRPr="009816EA">
              <w:t>Publications between January 1, 2020, and October 27, 2025.</w:t>
            </w:r>
          </w:p>
        </w:tc>
      </w:tr>
      <w:tr w:rsidR="00FE72FB" w:rsidRPr="009816EA" w14:paraId="088339C7" w14:textId="77777777">
        <w:trPr>
          <w:cantSplit/>
          <w:trHeight w:val="576"/>
        </w:trPr>
        <w:tc>
          <w:tcPr>
            <w:tcW w:w="0" w:type="auto"/>
            <w:tcMar>
              <w:top w:w="80" w:type="dxa"/>
              <w:left w:w="120" w:type="dxa"/>
              <w:bottom w:w="80" w:type="dxa"/>
              <w:right w:w="120" w:type="dxa"/>
            </w:tcMar>
            <w:vAlign w:val="center"/>
          </w:tcPr>
          <w:p w14:paraId="404FB2B3" w14:textId="77777777" w:rsidR="00FE72FB" w:rsidRPr="009816EA" w:rsidRDefault="002379F7" w:rsidP="009816EA">
            <w:pPr>
              <w:pStyle w:val="MdTableCell"/>
              <w:spacing w:line="360" w:lineRule="auto"/>
              <w:jc w:val="both"/>
            </w:pPr>
            <w:r w:rsidRPr="009816EA">
              <w:rPr>
                <w:rStyle w:val="MdStrong"/>
              </w:rPr>
              <w:t>Publication Type</w:t>
            </w:r>
          </w:p>
        </w:tc>
        <w:tc>
          <w:tcPr>
            <w:tcW w:w="0" w:type="auto"/>
            <w:tcMar>
              <w:top w:w="80" w:type="dxa"/>
              <w:left w:w="120" w:type="dxa"/>
              <w:bottom w:w="80" w:type="dxa"/>
              <w:right w:w="120" w:type="dxa"/>
            </w:tcMar>
            <w:vAlign w:val="center"/>
          </w:tcPr>
          <w:p w14:paraId="4C875D4F" w14:textId="77777777" w:rsidR="00FE72FB" w:rsidRPr="009816EA" w:rsidRDefault="002379F7" w:rsidP="009816EA">
            <w:pPr>
              <w:pStyle w:val="MdTableCell"/>
              <w:spacing w:line="360" w:lineRule="auto"/>
              <w:jc w:val="both"/>
            </w:pPr>
            <w:r w:rsidRPr="009816EA">
              <w:t>Inclusion</w:t>
            </w:r>
          </w:p>
        </w:tc>
        <w:tc>
          <w:tcPr>
            <w:tcW w:w="0" w:type="auto"/>
            <w:tcMar>
              <w:top w:w="80" w:type="dxa"/>
              <w:left w:w="120" w:type="dxa"/>
              <w:bottom w:w="80" w:type="dxa"/>
              <w:right w:w="120" w:type="dxa"/>
            </w:tcMar>
            <w:vAlign w:val="center"/>
          </w:tcPr>
          <w:p w14:paraId="00138934" w14:textId="77777777" w:rsidR="00FE72FB" w:rsidRPr="009816EA" w:rsidRDefault="002379F7" w:rsidP="009816EA">
            <w:pPr>
              <w:pStyle w:val="MdTableCell"/>
              <w:spacing w:line="360" w:lineRule="auto"/>
              <w:jc w:val="both"/>
            </w:pPr>
            <w:r w:rsidRPr="009816EA">
              <w:t>Peer-reviewed journal articles, conference papers, and book chapters.</w:t>
            </w:r>
          </w:p>
        </w:tc>
      </w:tr>
      <w:tr w:rsidR="00FE72FB" w:rsidRPr="009816EA" w14:paraId="7F8D9BD0" w14:textId="77777777">
        <w:trPr>
          <w:cantSplit/>
          <w:trHeight w:val="576"/>
        </w:trPr>
        <w:tc>
          <w:tcPr>
            <w:tcW w:w="0" w:type="auto"/>
            <w:tcMar>
              <w:top w:w="80" w:type="dxa"/>
              <w:left w:w="120" w:type="dxa"/>
              <w:bottom w:w="80" w:type="dxa"/>
              <w:right w:w="120" w:type="dxa"/>
            </w:tcMar>
            <w:vAlign w:val="center"/>
          </w:tcPr>
          <w:p w14:paraId="2D4C4F60" w14:textId="77777777" w:rsidR="00FE72FB" w:rsidRPr="009816EA" w:rsidRDefault="002379F7" w:rsidP="009816EA">
            <w:pPr>
              <w:pStyle w:val="MdTableCell"/>
              <w:spacing w:line="360" w:lineRule="auto"/>
              <w:jc w:val="both"/>
            </w:pPr>
            <w:r w:rsidRPr="009816EA">
              <w:rPr>
                <w:rStyle w:val="MdStrong"/>
              </w:rPr>
              <w:t>Language</w:t>
            </w:r>
          </w:p>
        </w:tc>
        <w:tc>
          <w:tcPr>
            <w:tcW w:w="0" w:type="auto"/>
            <w:tcMar>
              <w:top w:w="80" w:type="dxa"/>
              <w:left w:w="120" w:type="dxa"/>
              <w:bottom w:w="80" w:type="dxa"/>
              <w:right w:w="120" w:type="dxa"/>
            </w:tcMar>
            <w:vAlign w:val="center"/>
          </w:tcPr>
          <w:p w14:paraId="638DF354" w14:textId="77777777" w:rsidR="00FE72FB" w:rsidRPr="009816EA" w:rsidRDefault="002379F7" w:rsidP="009816EA">
            <w:pPr>
              <w:pStyle w:val="MdTableCell"/>
              <w:spacing w:line="360" w:lineRule="auto"/>
              <w:jc w:val="both"/>
            </w:pPr>
            <w:r w:rsidRPr="009816EA">
              <w:t>Inclusion</w:t>
            </w:r>
          </w:p>
        </w:tc>
        <w:tc>
          <w:tcPr>
            <w:tcW w:w="0" w:type="auto"/>
            <w:tcMar>
              <w:top w:w="80" w:type="dxa"/>
              <w:left w:w="120" w:type="dxa"/>
              <w:bottom w:w="80" w:type="dxa"/>
              <w:right w:w="120" w:type="dxa"/>
            </w:tcMar>
            <w:vAlign w:val="center"/>
          </w:tcPr>
          <w:p w14:paraId="57BCC2E4" w14:textId="77777777" w:rsidR="00FE72FB" w:rsidRPr="009816EA" w:rsidRDefault="002379F7" w:rsidP="009816EA">
            <w:pPr>
              <w:pStyle w:val="MdTableCell"/>
              <w:spacing w:line="360" w:lineRule="auto"/>
              <w:jc w:val="both"/>
            </w:pPr>
            <w:r w:rsidRPr="009816EA">
              <w:t>English language only.</w:t>
            </w:r>
          </w:p>
        </w:tc>
      </w:tr>
      <w:tr w:rsidR="00FE72FB" w:rsidRPr="009816EA" w14:paraId="6460119A" w14:textId="77777777">
        <w:trPr>
          <w:cantSplit/>
          <w:trHeight w:val="576"/>
        </w:trPr>
        <w:tc>
          <w:tcPr>
            <w:tcW w:w="0" w:type="auto"/>
            <w:tcMar>
              <w:top w:w="80" w:type="dxa"/>
              <w:left w:w="120" w:type="dxa"/>
              <w:bottom w:w="80" w:type="dxa"/>
              <w:right w:w="120" w:type="dxa"/>
            </w:tcMar>
            <w:vAlign w:val="center"/>
          </w:tcPr>
          <w:p w14:paraId="769F657B" w14:textId="77777777" w:rsidR="00FE72FB" w:rsidRPr="009816EA" w:rsidRDefault="002379F7" w:rsidP="009816EA">
            <w:pPr>
              <w:pStyle w:val="MdTableCell"/>
              <w:spacing w:line="360" w:lineRule="auto"/>
              <w:jc w:val="both"/>
            </w:pPr>
            <w:r w:rsidRPr="009816EA">
              <w:rPr>
                <w:rStyle w:val="MdStrong"/>
              </w:rPr>
              <w:t>Relevance</w:t>
            </w:r>
          </w:p>
        </w:tc>
        <w:tc>
          <w:tcPr>
            <w:tcW w:w="0" w:type="auto"/>
            <w:tcMar>
              <w:top w:w="80" w:type="dxa"/>
              <w:left w:w="120" w:type="dxa"/>
              <w:bottom w:w="80" w:type="dxa"/>
              <w:right w:w="120" w:type="dxa"/>
            </w:tcMar>
            <w:vAlign w:val="center"/>
          </w:tcPr>
          <w:p w14:paraId="5C0527AD" w14:textId="77777777" w:rsidR="00FE72FB" w:rsidRPr="009816EA" w:rsidRDefault="002379F7" w:rsidP="009816EA">
            <w:pPr>
              <w:pStyle w:val="MdTableCell"/>
              <w:spacing w:line="360" w:lineRule="auto"/>
              <w:jc w:val="both"/>
            </w:pPr>
            <w:r w:rsidRPr="009816EA">
              <w:t>Inclusion</w:t>
            </w:r>
          </w:p>
        </w:tc>
        <w:tc>
          <w:tcPr>
            <w:tcW w:w="0" w:type="auto"/>
            <w:tcMar>
              <w:top w:w="80" w:type="dxa"/>
              <w:left w:w="120" w:type="dxa"/>
              <w:bottom w:w="80" w:type="dxa"/>
              <w:right w:w="120" w:type="dxa"/>
            </w:tcMar>
            <w:vAlign w:val="center"/>
          </w:tcPr>
          <w:p w14:paraId="4CD00BC3" w14:textId="77777777" w:rsidR="00FE72FB" w:rsidRPr="009816EA" w:rsidRDefault="002379F7" w:rsidP="009816EA">
            <w:pPr>
              <w:pStyle w:val="MdTableCell"/>
              <w:spacing w:line="360" w:lineRule="auto"/>
              <w:jc w:val="both"/>
            </w:pPr>
            <w:r w:rsidRPr="009816EA">
              <w:t>Studies explicitly addressing the intersection of Causal Feature Selection/Inference, Explainable AI, and Fraud Detection.</w:t>
            </w:r>
          </w:p>
        </w:tc>
      </w:tr>
      <w:tr w:rsidR="00FE72FB" w:rsidRPr="009816EA" w14:paraId="0FFEE863" w14:textId="77777777">
        <w:trPr>
          <w:cantSplit/>
          <w:trHeight w:val="576"/>
        </w:trPr>
        <w:tc>
          <w:tcPr>
            <w:tcW w:w="0" w:type="auto"/>
            <w:tcMar>
              <w:top w:w="80" w:type="dxa"/>
              <w:left w:w="120" w:type="dxa"/>
              <w:bottom w:w="80" w:type="dxa"/>
              <w:right w:w="120" w:type="dxa"/>
            </w:tcMar>
            <w:vAlign w:val="center"/>
          </w:tcPr>
          <w:p w14:paraId="54903203" w14:textId="77777777" w:rsidR="00FE72FB" w:rsidRPr="009816EA" w:rsidRDefault="002379F7" w:rsidP="009816EA">
            <w:pPr>
              <w:pStyle w:val="MdTableCell"/>
              <w:spacing w:line="360" w:lineRule="auto"/>
              <w:jc w:val="both"/>
            </w:pPr>
            <w:r w:rsidRPr="009816EA">
              <w:rPr>
                <w:rStyle w:val="MdStrong"/>
              </w:rPr>
              <w:t>Methodological Rigor</w:t>
            </w:r>
          </w:p>
        </w:tc>
        <w:tc>
          <w:tcPr>
            <w:tcW w:w="0" w:type="auto"/>
            <w:tcMar>
              <w:top w:w="80" w:type="dxa"/>
              <w:left w:w="120" w:type="dxa"/>
              <w:bottom w:w="80" w:type="dxa"/>
              <w:right w:w="120" w:type="dxa"/>
            </w:tcMar>
            <w:vAlign w:val="center"/>
          </w:tcPr>
          <w:p w14:paraId="3ADB7A9A" w14:textId="77777777" w:rsidR="00FE72FB" w:rsidRPr="009816EA" w:rsidRDefault="002379F7" w:rsidP="009816EA">
            <w:pPr>
              <w:pStyle w:val="MdTableCell"/>
              <w:spacing w:line="360" w:lineRule="auto"/>
              <w:jc w:val="both"/>
            </w:pPr>
            <w:r w:rsidRPr="009816EA">
              <w:t>Inclusion</w:t>
            </w:r>
          </w:p>
        </w:tc>
        <w:tc>
          <w:tcPr>
            <w:tcW w:w="0" w:type="auto"/>
            <w:tcMar>
              <w:top w:w="80" w:type="dxa"/>
              <w:left w:w="120" w:type="dxa"/>
              <w:bottom w:w="80" w:type="dxa"/>
              <w:right w:w="120" w:type="dxa"/>
            </w:tcMar>
            <w:vAlign w:val="center"/>
          </w:tcPr>
          <w:p w14:paraId="10FB33CD" w14:textId="77777777" w:rsidR="00FE72FB" w:rsidRPr="009816EA" w:rsidRDefault="002379F7" w:rsidP="009816EA">
            <w:pPr>
              <w:pStyle w:val="MdTableCell"/>
              <w:spacing w:line="360" w:lineRule="auto"/>
              <w:jc w:val="both"/>
            </w:pPr>
            <w:r w:rsidRPr="009816EA">
              <w:t>Studies employing rigorous experimental designs with clear evaluation metrics.</w:t>
            </w:r>
          </w:p>
        </w:tc>
      </w:tr>
      <w:tr w:rsidR="00FE72FB" w:rsidRPr="009816EA" w14:paraId="3C81CD0F" w14:textId="77777777">
        <w:trPr>
          <w:cantSplit/>
          <w:trHeight w:val="576"/>
        </w:trPr>
        <w:tc>
          <w:tcPr>
            <w:tcW w:w="0" w:type="auto"/>
            <w:tcMar>
              <w:top w:w="80" w:type="dxa"/>
              <w:left w:w="120" w:type="dxa"/>
              <w:bottom w:w="80" w:type="dxa"/>
              <w:right w:w="120" w:type="dxa"/>
            </w:tcMar>
            <w:vAlign w:val="center"/>
          </w:tcPr>
          <w:p w14:paraId="4125D82F" w14:textId="77777777" w:rsidR="00FE72FB" w:rsidRPr="009816EA" w:rsidRDefault="002379F7" w:rsidP="009816EA">
            <w:pPr>
              <w:pStyle w:val="MdTableCell"/>
              <w:spacing w:line="360" w:lineRule="auto"/>
              <w:jc w:val="both"/>
            </w:pPr>
            <w:r w:rsidRPr="009816EA">
              <w:rPr>
                <w:rStyle w:val="MdStrong"/>
              </w:rPr>
              <w:t>Review Type</w:t>
            </w:r>
          </w:p>
        </w:tc>
        <w:tc>
          <w:tcPr>
            <w:tcW w:w="0" w:type="auto"/>
            <w:tcMar>
              <w:top w:w="80" w:type="dxa"/>
              <w:left w:w="120" w:type="dxa"/>
              <w:bottom w:w="80" w:type="dxa"/>
              <w:right w:w="120" w:type="dxa"/>
            </w:tcMar>
            <w:vAlign w:val="center"/>
          </w:tcPr>
          <w:p w14:paraId="63E36215" w14:textId="77777777" w:rsidR="00FE72FB" w:rsidRPr="009816EA" w:rsidRDefault="002379F7" w:rsidP="009816EA">
            <w:pPr>
              <w:pStyle w:val="MdTableCell"/>
              <w:spacing w:line="360" w:lineRule="auto"/>
              <w:jc w:val="both"/>
            </w:pPr>
            <w:r w:rsidRPr="009816EA">
              <w:t>Exclusion</w:t>
            </w:r>
          </w:p>
        </w:tc>
        <w:tc>
          <w:tcPr>
            <w:tcW w:w="0" w:type="auto"/>
            <w:tcMar>
              <w:top w:w="80" w:type="dxa"/>
              <w:left w:w="120" w:type="dxa"/>
              <w:bottom w:w="80" w:type="dxa"/>
              <w:right w:w="120" w:type="dxa"/>
            </w:tcMar>
            <w:vAlign w:val="center"/>
          </w:tcPr>
          <w:p w14:paraId="2536A5C2" w14:textId="77777777" w:rsidR="00FE72FB" w:rsidRPr="009816EA" w:rsidRDefault="002379F7" w:rsidP="009816EA">
            <w:pPr>
              <w:pStyle w:val="MdTableCell"/>
              <w:spacing w:line="360" w:lineRule="auto"/>
              <w:jc w:val="both"/>
            </w:pPr>
            <w:r w:rsidRPr="009816EA">
              <w:t>Literature reviews, surveys, editorials, and dissertations.</w:t>
            </w:r>
          </w:p>
        </w:tc>
      </w:tr>
      <w:tr w:rsidR="00FE72FB" w:rsidRPr="009816EA" w14:paraId="12AF05D5" w14:textId="77777777">
        <w:trPr>
          <w:cantSplit/>
          <w:trHeight w:val="576"/>
        </w:trPr>
        <w:tc>
          <w:tcPr>
            <w:tcW w:w="0" w:type="auto"/>
            <w:tcMar>
              <w:top w:w="80" w:type="dxa"/>
              <w:left w:w="120" w:type="dxa"/>
              <w:bottom w:w="80" w:type="dxa"/>
              <w:right w:w="120" w:type="dxa"/>
            </w:tcMar>
            <w:vAlign w:val="center"/>
          </w:tcPr>
          <w:p w14:paraId="5AA47A29" w14:textId="77777777" w:rsidR="00FE72FB" w:rsidRPr="009816EA" w:rsidRDefault="002379F7" w:rsidP="009816EA">
            <w:pPr>
              <w:pStyle w:val="MdTableCell"/>
              <w:spacing w:line="360" w:lineRule="auto"/>
              <w:jc w:val="both"/>
            </w:pPr>
            <w:r w:rsidRPr="009816EA">
              <w:rPr>
                <w:rStyle w:val="MdStrong"/>
              </w:rPr>
              <w:t>Focus</w:t>
            </w:r>
          </w:p>
        </w:tc>
        <w:tc>
          <w:tcPr>
            <w:tcW w:w="0" w:type="auto"/>
            <w:tcMar>
              <w:top w:w="80" w:type="dxa"/>
              <w:left w:w="120" w:type="dxa"/>
              <w:bottom w:w="80" w:type="dxa"/>
              <w:right w:w="120" w:type="dxa"/>
            </w:tcMar>
            <w:vAlign w:val="center"/>
          </w:tcPr>
          <w:p w14:paraId="72EF5C32" w14:textId="77777777" w:rsidR="00FE72FB" w:rsidRPr="009816EA" w:rsidRDefault="002379F7" w:rsidP="009816EA">
            <w:pPr>
              <w:pStyle w:val="MdTableCell"/>
              <w:spacing w:line="360" w:lineRule="auto"/>
              <w:jc w:val="both"/>
            </w:pPr>
            <w:r w:rsidRPr="009816EA">
              <w:t>Exclusion</w:t>
            </w:r>
          </w:p>
        </w:tc>
        <w:tc>
          <w:tcPr>
            <w:tcW w:w="0" w:type="auto"/>
            <w:tcMar>
              <w:top w:w="80" w:type="dxa"/>
              <w:left w:w="120" w:type="dxa"/>
              <w:bottom w:w="80" w:type="dxa"/>
              <w:right w:w="120" w:type="dxa"/>
            </w:tcMar>
            <w:vAlign w:val="center"/>
          </w:tcPr>
          <w:p w14:paraId="63B0DA2E" w14:textId="77777777" w:rsidR="00FE72FB" w:rsidRPr="009816EA" w:rsidRDefault="002379F7" w:rsidP="009816EA">
            <w:pPr>
              <w:pStyle w:val="MdTableCell"/>
              <w:spacing w:line="360" w:lineRule="auto"/>
              <w:jc w:val="both"/>
            </w:pPr>
            <w:r w:rsidRPr="009816EA">
              <w:t>Studies focusing solely on correlation-based feature selection, or XAI without a causal component.</w:t>
            </w:r>
          </w:p>
        </w:tc>
      </w:tr>
      <w:tr w:rsidR="00FE72FB" w:rsidRPr="009816EA" w14:paraId="2E7E599B"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5F7F7E2A" w14:textId="77777777" w:rsidR="00FE72FB" w:rsidRPr="009816EA" w:rsidRDefault="002379F7" w:rsidP="009816EA">
            <w:pPr>
              <w:pStyle w:val="MdTableCell"/>
              <w:spacing w:line="360" w:lineRule="auto"/>
              <w:jc w:val="both"/>
            </w:pPr>
            <w:r w:rsidRPr="009816EA">
              <w:rPr>
                <w:rStyle w:val="MdStrong"/>
              </w:rPr>
              <w:t>Availability</w:t>
            </w:r>
          </w:p>
        </w:tc>
        <w:tc>
          <w:tcPr>
            <w:tcW w:w="0" w:type="auto"/>
            <w:tcBorders>
              <w:bottom w:val="single" w:sz="4" w:space="0" w:color="E1E4E8"/>
            </w:tcBorders>
            <w:tcMar>
              <w:top w:w="80" w:type="dxa"/>
              <w:left w:w="120" w:type="dxa"/>
              <w:bottom w:w="80" w:type="dxa"/>
              <w:right w:w="120" w:type="dxa"/>
            </w:tcMar>
            <w:vAlign w:val="center"/>
          </w:tcPr>
          <w:p w14:paraId="3917FD88" w14:textId="77777777" w:rsidR="00FE72FB" w:rsidRPr="009816EA" w:rsidRDefault="002379F7" w:rsidP="009816EA">
            <w:pPr>
              <w:pStyle w:val="MdTableCell"/>
              <w:spacing w:line="360" w:lineRule="auto"/>
              <w:jc w:val="both"/>
            </w:pPr>
            <w:r w:rsidRPr="009816EA">
              <w:t>Exclusion</w:t>
            </w:r>
          </w:p>
        </w:tc>
        <w:tc>
          <w:tcPr>
            <w:tcW w:w="0" w:type="auto"/>
            <w:tcBorders>
              <w:bottom w:val="single" w:sz="4" w:space="0" w:color="E1E4E8"/>
            </w:tcBorders>
            <w:tcMar>
              <w:top w:w="80" w:type="dxa"/>
              <w:left w:w="120" w:type="dxa"/>
              <w:bottom w:w="80" w:type="dxa"/>
              <w:right w:w="120" w:type="dxa"/>
            </w:tcMar>
            <w:vAlign w:val="center"/>
          </w:tcPr>
          <w:p w14:paraId="68660FF0" w14:textId="77777777" w:rsidR="00FE72FB" w:rsidRPr="009816EA" w:rsidRDefault="002379F7" w:rsidP="009816EA">
            <w:pPr>
              <w:pStyle w:val="MdTableCell"/>
              <w:spacing w:line="360" w:lineRule="auto"/>
              <w:jc w:val="both"/>
            </w:pPr>
            <w:r w:rsidRPr="009816EA">
              <w:t>Studies not available in full text or in English.</w:t>
            </w:r>
          </w:p>
        </w:tc>
      </w:tr>
    </w:tbl>
    <w:p w14:paraId="40406CF8" w14:textId="77777777" w:rsidR="00FE72FB" w:rsidRPr="009816EA" w:rsidRDefault="002379F7" w:rsidP="009816EA">
      <w:pPr>
        <w:pStyle w:val="MdHeading3"/>
        <w:spacing w:line="360" w:lineRule="auto"/>
        <w:jc w:val="both"/>
      </w:pPr>
      <w:r w:rsidRPr="009816EA">
        <w:lastRenderedPageBreak/>
        <w:t>3.3. Screening Process (PRISMA Flow)</w:t>
      </w:r>
    </w:p>
    <w:p w14:paraId="2D23C514" w14:textId="5A4411BD" w:rsidR="008F333A" w:rsidRDefault="008F333A" w:rsidP="008F333A">
      <w:pPr>
        <w:spacing w:line="360" w:lineRule="auto"/>
        <w:jc w:val="both"/>
      </w:pPr>
      <w:r>
        <w:t xml:space="preserve">The research selection and screening procedures were thoroughly followed in accordance with the PRISMA 2020 recommendations [3], assuring methodological transparency and reproducibility. To avoid selection bias, all recovered records were first screened for title and abstract by two expert reviewers who worked independently. Any differences or disagreements among the reviewers were carefully handled through consensus talks and, if necessary, assessed by a third senior reviewer to guarantee impartiality and consistency in research inclusion. This methodical methodology ensured that only papers satisfying the predefined eligibility criteria proceeded to full-text assessment, preserving the review process's integrity and dependability. The entire procedure is summarized in the </w:t>
      </w:r>
      <w:r>
        <w:rPr>
          <w:rStyle w:val="Strong"/>
        </w:rPr>
        <w:t>PRISMA flow diagram</w:t>
      </w:r>
      <w:r>
        <w:t xml:space="preserve"> presented below, providing a visual representation of the identification, screening, eligibility, and inclusion stages of the systematic review.</w:t>
      </w:r>
    </w:p>
    <w:p w14:paraId="793E17A6" w14:textId="5E1E2B19" w:rsidR="008F333A" w:rsidRDefault="008F333A" w:rsidP="009816EA">
      <w:pPr>
        <w:pStyle w:val="MdSpace"/>
        <w:spacing w:after="60" w:line="360" w:lineRule="auto"/>
        <w:jc w:val="both"/>
      </w:pPr>
    </w:p>
    <w:p w14:paraId="46683838" w14:textId="77777777" w:rsidR="008F333A" w:rsidRPr="009816EA" w:rsidRDefault="008F333A" w:rsidP="009816EA">
      <w:pPr>
        <w:pStyle w:val="MdSpace"/>
        <w:spacing w:after="60" w:line="360" w:lineRule="auto"/>
        <w:jc w:val="both"/>
      </w:pPr>
    </w:p>
    <w:p w14:paraId="54DBA34B" w14:textId="09145595" w:rsidR="009816EA" w:rsidRPr="009816EA" w:rsidRDefault="009816EA" w:rsidP="009816EA">
      <w:pPr>
        <w:pStyle w:val="MdSpace"/>
        <w:spacing w:after="60" w:line="360" w:lineRule="auto"/>
        <w:jc w:val="both"/>
      </w:pPr>
    </w:p>
    <w:p w14:paraId="6C23E6BB" w14:textId="77777777" w:rsidR="009816EA" w:rsidRPr="009816EA" w:rsidRDefault="009816EA" w:rsidP="009816EA">
      <w:pPr>
        <w:pStyle w:val="MdSpace"/>
        <w:spacing w:after="60" w:line="360" w:lineRule="auto"/>
        <w:jc w:val="both"/>
      </w:pPr>
    </w:p>
    <w:p w14:paraId="50230424" w14:textId="77777777" w:rsidR="00406DAF" w:rsidRPr="00406DAF" w:rsidRDefault="00406DAF" w:rsidP="00406DAF">
      <w:pPr>
        <w:pStyle w:val="MdParagraph"/>
        <w:rPr>
          <w:b/>
          <w:bCs/>
        </w:rPr>
      </w:pPr>
      <w:r w:rsidRPr="00406DAF">
        <w:rPr>
          <w:b/>
          <w:bCs/>
        </w:rPr>
        <w:t>Figure 1: PRISMA 2020 Flow Diagram of the Study Selection Process</w:t>
      </w:r>
    </w:p>
    <w:p w14:paraId="620876F3" w14:textId="79C8251C" w:rsidR="009816EA" w:rsidRPr="009816EA" w:rsidRDefault="009816EA" w:rsidP="009816EA">
      <w:pPr>
        <w:pStyle w:val="MdParagraph"/>
        <w:spacing w:line="360" w:lineRule="auto"/>
        <w:jc w:val="both"/>
        <w:rPr>
          <w:rStyle w:val="MdStrong"/>
        </w:rPr>
      </w:pPr>
    </w:p>
    <w:p w14:paraId="0E44A567" w14:textId="1C699E0A" w:rsidR="009816EA" w:rsidRPr="009816EA" w:rsidRDefault="009816EA" w:rsidP="008F333A">
      <w:pPr>
        <w:pStyle w:val="MdParagraph"/>
        <w:spacing w:line="360" w:lineRule="auto"/>
        <w:jc w:val="center"/>
        <w:rPr>
          <w:b/>
          <w:bCs/>
        </w:rPr>
      </w:pPr>
      <w:r w:rsidRPr="009816EA">
        <w:rPr>
          <w:b/>
          <w:bCs/>
          <w:noProof/>
        </w:rPr>
        <w:lastRenderedPageBreak/>
        <w:drawing>
          <wp:inline distT="0" distB="0" distL="0" distR="0" wp14:anchorId="1AE0B5E2" wp14:editId="6C1542F3">
            <wp:extent cx="5631316" cy="5940958"/>
            <wp:effectExtent l="0" t="0" r="762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5679085" cy="5991354"/>
                    </a:xfrm>
                    <a:prstGeom prst="rect">
                      <a:avLst/>
                    </a:prstGeom>
                  </pic:spPr>
                </pic:pic>
              </a:graphicData>
            </a:graphic>
          </wp:inline>
        </w:drawing>
      </w:r>
    </w:p>
    <w:p w14:paraId="19036F8C" w14:textId="33FE59E0" w:rsidR="00FE72FB" w:rsidRDefault="00FE72FB" w:rsidP="009816EA">
      <w:pPr>
        <w:pStyle w:val="MdSpace"/>
        <w:spacing w:after="60" w:line="360" w:lineRule="auto"/>
        <w:jc w:val="both"/>
      </w:pPr>
    </w:p>
    <w:p w14:paraId="3FCAB473" w14:textId="5E7983F4" w:rsidR="00F635B2" w:rsidRDefault="00F635B2" w:rsidP="009816EA">
      <w:pPr>
        <w:pStyle w:val="MdSpace"/>
        <w:spacing w:after="60" w:line="360" w:lineRule="auto"/>
        <w:jc w:val="both"/>
      </w:pPr>
    </w:p>
    <w:p w14:paraId="76C82238" w14:textId="76D5C4D6" w:rsidR="00F635B2" w:rsidRDefault="00F635B2" w:rsidP="009816EA">
      <w:pPr>
        <w:pStyle w:val="MdSpace"/>
        <w:spacing w:after="60" w:line="360" w:lineRule="auto"/>
        <w:jc w:val="both"/>
      </w:pPr>
    </w:p>
    <w:p w14:paraId="01ED47BF" w14:textId="06E62390" w:rsidR="00F635B2" w:rsidRDefault="00F635B2" w:rsidP="009816EA">
      <w:pPr>
        <w:pStyle w:val="MdSpace"/>
        <w:spacing w:after="60" w:line="360" w:lineRule="auto"/>
        <w:jc w:val="both"/>
      </w:pPr>
    </w:p>
    <w:p w14:paraId="45EEEF21" w14:textId="7A58AF13" w:rsidR="00F635B2" w:rsidRDefault="00F635B2" w:rsidP="009816EA">
      <w:pPr>
        <w:pStyle w:val="MdSpace"/>
        <w:spacing w:after="60" w:line="360" w:lineRule="auto"/>
        <w:jc w:val="both"/>
      </w:pPr>
    </w:p>
    <w:p w14:paraId="3741649D" w14:textId="62BDA67C" w:rsidR="00F635B2" w:rsidRDefault="00F635B2" w:rsidP="009816EA">
      <w:pPr>
        <w:pStyle w:val="MdSpace"/>
        <w:spacing w:after="60" w:line="360" w:lineRule="auto"/>
        <w:jc w:val="both"/>
      </w:pPr>
    </w:p>
    <w:p w14:paraId="20A8DFE1" w14:textId="09A185BF" w:rsidR="00F635B2" w:rsidRDefault="00F635B2" w:rsidP="009816EA">
      <w:pPr>
        <w:pStyle w:val="MdSpace"/>
        <w:spacing w:after="60" w:line="360" w:lineRule="auto"/>
        <w:jc w:val="both"/>
      </w:pPr>
    </w:p>
    <w:p w14:paraId="14949D0C" w14:textId="245992BA" w:rsidR="00F635B2" w:rsidRDefault="00F635B2" w:rsidP="009816EA">
      <w:pPr>
        <w:pStyle w:val="MdSpace"/>
        <w:spacing w:after="60" w:line="360" w:lineRule="auto"/>
        <w:jc w:val="both"/>
      </w:pPr>
    </w:p>
    <w:p w14:paraId="1B5EBA58" w14:textId="1C1F9478" w:rsidR="00F635B2" w:rsidRDefault="00F635B2" w:rsidP="009816EA">
      <w:pPr>
        <w:pStyle w:val="MdSpace"/>
        <w:spacing w:after="60" w:line="360" w:lineRule="auto"/>
        <w:jc w:val="both"/>
      </w:pPr>
    </w:p>
    <w:p w14:paraId="028F728D" w14:textId="542A2C1E" w:rsidR="00F635B2" w:rsidRDefault="00F635B2" w:rsidP="009816EA">
      <w:pPr>
        <w:pStyle w:val="MdSpace"/>
        <w:spacing w:after="60" w:line="360" w:lineRule="auto"/>
        <w:jc w:val="both"/>
      </w:pPr>
    </w:p>
    <w:p w14:paraId="70EB4AC6" w14:textId="0DA0708A" w:rsidR="00F635B2" w:rsidRDefault="00F635B2" w:rsidP="009816EA">
      <w:pPr>
        <w:pStyle w:val="MdSpace"/>
        <w:spacing w:after="60" w:line="360" w:lineRule="auto"/>
        <w:jc w:val="both"/>
      </w:pPr>
    </w:p>
    <w:p w14:paraId="208BDCC2" w14:textId="2A95563D" w:rsidR="00F635B2" w:rsidRPr="009816EA" w:rsidRDefault="00F635B2" w:rsidP="00F635B2">
      <w:pPr>
        <w:pStyle w:val="MdParagraph"/>
        <w:spacing w:line="360" w:lineRule="auto"/>
        <w:jc w:val="both"/>
        <w:rPr>
          <w:rStyle w:val="MdStrong"/>
        </w:rPr>
      </w:pPr>
      <w:r w:rsidRPr="009816EA">
        <w:rPr>
          <w:rStyle w:val="MdStrong"/>
        </w:rPr>
        <w:t xml:space="preserve">Figure </w:t>
      </w:r>
      <w:r>
        <w:rPr>
          <w:rStyle w:val="MdStrong"/>
        </w:rPr>
        <w:t>2</w:t>
      </w:r>
      <w:r w:rsidRPr="009816EA">
        <w:rPr>
          <w:rStyle w:val="MdStrong"/>
        </w:rPr>
        <w:t>: PRISMA 2020 Flow Diagram of the Study Selection Process</w:t>
      </w:r>
      <w:r>
        <w:rPr>
          <w:rStyle w:val="MdStrong"/>
        </w:rPr>
        <w:t xml:space="preserve"> </w:t>
      </w:r>
      <w:proofErr w:type="gramStart"/>
      <w:r>
        <w:rPr>
          <w:rStyle w:val="MdStrong"/>
        </w:rPr>
        <w:t>( diagram</w:t>
      </w:r>
      <w:proofErr w:type="gramEnd"/>
      <w:r>
        <w:rPr>
          <w:rStyle w:val="MdStrong"/>
        </w:rPr>
        <w:t xml:space="preserve"> 2)</w:t>
      </w:r>
    </w:p>
    <w:p w14:paraId="5F0A131B" w14:textId="77777777" w:rsidR="00F635B2" w:rsidRPr="009816EA" w:rsidRDefault="00F635B2" w:rsidP="009816EA">
      <w:pPr>
        <w:pStyle w:val="MdSpace"/>
        <w:spacing w:after="60" w:line="360" w:lineRule="auto"/>
        <w:jc w:val="both"/>
      </w:pPr>
    </w:p>
    <w:p w14:paraId="33DB01B6" w14:textId="77777777" w:rsidR="00FE72FB" w:rsidRPr="009816EA" w:rsidRDefault="002379F7" w:rsidP="008F333A">
      <w:pPr>
        <w:pStyle w:val="MdParagraph"/>
        <w:spacing w:line="360" w:lineRule="auto"/>
        <w:jc w:val="center"/>
      </w:pPr>
      <w:r w:rsidRPr="009816EA">
        <w:rPr>
          <w:noProof/>
        </w:rPr>
        <w:lastRenderedPageBreak/>
        <w:drawing>
          <wp:inline distT="0" distB="0" distL="0" distR="0" wp14:anchorId="492BF5D5" wp14:editId="0764FFCE">
            <wp:extent cx="3995875" cy="4427562"/>
            <wp:effectExtent l="0" t="0" r="5080" b="0"/>
            <wp:docPr id="1" name="PRISMA Flow Diagram" descr="PRISMA Flow Diagram" title="PRISMA Flow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001961" cy="4434305"/>
                    </a:xfrm>
                    <a:prstGeom prst="rect">
                      <a:avLst/>
                    </a:prstGeom>
                  </pic:spPr>
                </pic:pic>
              </a:graphicData>
            </a:graphic>
          </wp:inline>
        </w:drawing>
      </w:r>
    </w:p>
    <w:p w14:paraId="73DD7144" w14:textId="77777777" w:rsidR="00FE72FB" w:rsidRPr="009816EA" w:rsidRDefault="00FE72FB" w:rsidP="009816EA">
      <w:pPr>
        <w:pStyle w:val="MdSpace"/>
        <w:spacing w:after="60" w:line="360" w:lineRule="auto"/>
        <w:jc w:val="both"/>
      </w:pPr>
    </w:p>
    <w:p w14:paraId="114F28DB" w14:textId="77777777" w:rsidR="00FE72FB" w:rsidRPr="009816EA" w:rsidRDefault="002379F7" w:rsidP="009816EA">
      <w:pPr>
        <w:pStyle w:val="MdParagraph"/>
        <w:spacing w:line="360" w:lineRule="auto"/>
        <w:jc w:val="both"/>
      </w:pPr>
      <w:r w:rsidRPr="009816EA">
        <w:t xml:space="preserve">The initial search identified 2,000 records across all five databases, which were reduced to 1,550 after the removal of duplicates. Following title and abstract screening by two independent reviewers, 350 full-text articles were assessed for eligibility using a standardized screening form. A total of 272 articles were excluded for reasons such as lacking a causal component or XAI component (n=150), being outside the 2020-2025 timeframe (n=80), or being a review/survey article (n=42). The final set comprised </w:t>
      </w:r>
      <w:r w:rsidRPr="009816EA">
        <w:rPr>
          <w:rStyle w:val="MdStrong"/>
        </w:rPr>
        <w:t>80 primary studies</w:t>
      </w:r>
      <w:r w:rsidRPr="009816EA">
        <w:t xml:space="preserve"> for qualitative synthesis, representing a rigorous and representative sample of the current state of the art.</w:t>
      </w:r>
    </w:p>
    <w:p w14:paraId="24DF0372" w14:textId="77777777" w:rsidR="00FE72FB" w:rsidRPr="009816EA" w:rsidRDefault="00FE72FB" w:rsidP="009816EA">
      <w:pPr>
        <w:pStyle w:val="MdSpace"/>
        <w:spacing w:after="60" w:line="360" w:lineRule="auto"/>
        <w:jc w:val="both"/>
      </w:pPr>
    </w:p>
    <w:p w14:paraId="1A93F47F" w14:textId="77777777" w:rsidR="00FE72FB" w:rsidRPr="009816EA" w:rsidRDefault="002379F7" w:rsidP="009816EA">
      <w:pPr>
        <w:pStyle w:val="MdHeading2"/>
        <w:spacing w:line="360" w:lineRule="auto"/>
        <w:jc w:val="both"/>
      </w:pPr>
      <w:r w:rsidRPr="009816EA">
        <w:t>4. Results and Synthesis</w:t>
      </w:r>
    </w:p>
    <w:p w14:paraId="7839021C" w14:textId="77777777" w:rsidR="00F635B2" w:rsidRDefault="00F635B2" w:rsidP="00F635B2">
      <w:pPr>
        <w:spacing w:line="360" w:lineRule="auto"/>
        <w:jc w:val="both"/>
      </w:pPr>
      <w:r>
        <w:t xml:space="preserve">The synthesis of 80 main papers reveals strong and consistent patterns in the use of causal feature selection and explainable AI approaches in fraud detection research. The analysis detects trends in methodological choices, application domains, and assessment methodologies, giving a complete picture of the field's current situation. This section presents and organizes the key findings systematically based on the research questions, allowing for a structured </w:t>
      </w:r>
      <w:r>
        <w:lastRenderedPageBreak/>
        <w:t>interpretation of how causal techniques and XAI frameworks are used, the effectiveness of various approaches, and the implications for model transparency, robustness, and trustworthiness in AI-driven fraud detection systems.</w:t>
      </w:r>
    </w:p>
    <w:p w14:paraId="54FA6AD2" w14:textId="77777777" w:rsidR="00FE72FB" w:rsidRPr="009816EA" w:rsidRDefault="00FE72FB" w:rsidP="009816EA">
      <w:pPr>
        <w:pStyle w:val="MdSpace"/>
        <w:spacing w:after="60" w:line="360" w:lineRule="auto"/>
        <w:jc w:val="both"/>
      </w:pPr>
    </w:p>
    <w:p w14:paraId="25E0E2D1" w14:textId="77777777" w:rsidR="00FE72FB" w:rsidRPr="009816EA" w:rsidRDefault="002379F7" w:rsidP="009816EA">
      <w:pPr>
        <w:pStyle w:val="MdHeading3"/>
        <w:spacing w:line="360" w:lineRule="auto"/>
        <w:jc w:val="both"/>
      </w:pPr>
      <w:r w:rsidRPr="009816EA">
        <w:t>4.1. The Conceptual Framework: Causal XAI in Fraud Detection</w:t>
      </w:r>
    </w:p>
    <w:p w14:paraId="3F6A2E50" w14:textId="77777777" w:rsidR="00FE72FB" w:rsidRPr="009816EA" w:rsidRDefault="002379F7" w:rsidP="009816EA">
      <w:pPr>
        <w:pStyle w:val="MdParagraph"/>
        <w:spacing w:line="360" w:lineRule="auto"/>
        <w:jc w:val="both"/>
      </w:pPr>
      <w:r w:rsidRPr="009816EA">
        <w:t>The reviewed literature operates within a clear conceptual framework where Causal Inference provides the foundation for robust feature selection, which, in turn, enhances the quality of XAI. This framework integrates three core components: (1) Causal Feature Selection, which identifies causally relevant features; (2) Fraud Detection Models, which leverage these features for prediction; and (3) Explainable AI methods, which generate causal explanations. This framework is visually represented below.</w:t>
      </w:r>
    </w:p>
    <w:p w14:paraId="677F8A5A" w14:textId="77777777" w:rsidR="00FE72FB" w:rsidRPr="009816EA" w:rsidRDefault="00FE72FB" w:rsidP="009816EA">
      <w:pPr>
        <w:pStyle w:val="MdSpace"/>
        <w:spacing w:after="60" w:line="360" w:lineRule="auto"/>
        <w:jc w:val="both"/>
      </w:pPr>
    </w:p>
    <w:p w14:paraId="5806A1B2" w14:textId="77777777" w:rsidR="00406DAF" w:rsidRPr="009816EA" w:rsidRDefault="00406DAF" w:rsidP="00406DAF">
      <w:pPr>
        <w:pStyle w:val="MdParagraph"/>
        <w:spacing w:line="360" w:lineRule="auto"/>
        <w:jc w:val="both"/>
      </w:pPr>
      <w:r w:rsidRPr="009816EA">
        <w:rPr>
          <w:rStyle w:val="MdStrong"/>
        </w:rPr>
        <w:t xml:space="preserve">Figure </w:t>
      </w:r>
      <w:r>
        <w:rPr>
          <w:rStyle w:val="MdStrong"/>
        </w:rPr>
        <w:t>3</w:t>
      </w:r>
      <w:r w:rsidRPr="009816EA">
        <w:rPr>
          <w:rStyle w:val="MdStrong"/>
        </w:rPr>
        <w:t>: Conceptual Framework of Causal Feature Selection for Explainable Fraud Detection</w:t>
      </w:r>
    </w:p>
    <w:p w14:paraId="41FFA8F6" w14:textId="77777777" w:rsidR="00FE72FB" w:rsidRPr="009816EA" w:rsidRDefault="00FE72FB" w:rsidP="009816EA">
      <w:pPr>
        <w:pStyle w:val="MdSpace"/>
        <w:spacing w:after="60" w:line="360" w:lineRule="auto"/>
        <w:jc w:val="both"/>
      </w:pPr>
    </w:p>
    <w:p w14:paraId="0801CD39" w14:textId="77777777" w:rsidR="00FE72FB" w:rsidRPr="009816EA" w:rsidRDefault="002379F7" w:rsidP="009816EA">
      <w:pPr>
        <w:pStyle w:val="MdParagraph"/>
        <w:spacing w:line="360" w:lineRule="auto"/>
        <w:jc w:val="both"/>
      </w:pPr>
      <w:r w:rsidRPr="009816EA">
        <w:rPr>
          <w:noProof/>
        </w:rPr>
        <w:drawing>
          <wp:inline distT="0" distB="0" distL="0" distR="0" wp14:anchorId="51F84425" wp14:editId="3C5B1CF4">
            <wp:extent cx="2409825" cy="3810000"/>
            <wp:effectExtent l="0" t="0" r="0" b="0"/>
            <wp:docPr id="2" name="Conceptual Framework Diagram" descr="Conceptual Framework Diagram" title="Conceptual Framework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409825" cy="3810000"/>
                    </a:xfrm>
                    <a:prstGeom prst="rect">
                      <a:avLst/>
                    </a:prstGeom>
                  </pic:spPr>
                </pic:pic>
              </a:graphicData>
            </a:graphic>
          </wp:inline>
        </w:drawing>
      </w:r>
    </w:p>
    <w:p w14:paraId="482AADBE" w14:textId="77777777" w:rsidR="00FE72FB" w:rsidRPr="009816EA" w:rsidRDefault="00FE72FB" w:rsidP="009816EA">
      <w:pPr>
        <w:pStyle w:val="MdSpace"/>
        <w:spacing w:after="60" w:line="360" w:lineRule="auto"/>
        <w:jc w:val="both"/>
      </w:pPr>
    </w:p>
    <w:p w14:paraId="2858280B" w14:textId="77777777" w:rsidR="00FE72FB" w:rsidRPr="009816EA" w:rsidRDefault="002379F7" w:rsidP="009816EA">
      <w:pPr>
        <w:pStyle w:val="MdParagraph"/>
        <w:spacing w:line="360" w:lineRule="auto"/>
        <w:jc w:val="both"/>
      </w:pPr>
      <w:r w:rsidRPr="009816EA">
        <w:t xml:space="preserve">The framework highlights the critical role of CFS in selecting robust features, which are then used by the Fraud Detection System. The system's output is fed to the XAI component, which, </w:t>
      </w:r>
      <w:r w:rsidRPr="009816EA">
        <w:lastRenderedPageBreak/>
        <w:t>guided by the causal features, generates explanations that enhance Trust and Transparency. This integrated approach ensures that explanations are grounded in causal reasoning rather than spurious correlation.</w:t>
      </w:r>
    </w:p>
    <w:p w14:paraId="5904F58D" w14:textId="77777777" w:rsidR="00FE72FB" w:rsidRPr="009816EA" w:rsidRDefault="00FE72FB" w:rsidP="009816EA">
      <w:pPr>
        <w:pStyle w:val="MdSpace"/>
        <w:spacing w:after="60" w:line="360" w:lineRule="auto"/>
        <w:jc w:val="both"/>
      </w:pPr>
    </w:p>
    <w:p w14:paraId="2E4D0DF9" w14:textId="77777777" w:rsidR="00FE72FB" w:rsidRPr="009816EA" w:rsidRDefault="002379F7" w:rsidP="009816EA">
      <w:pPr>
        <w:pStyle w:val="MdHeading3"/>
        <w:spacing w:line="360" w:lineRule="auto"/>
        <w:jc w:val="both"/>
      </w:pPr>
      <w:r w:rsidRPr="009816EA">
        <w:t>4.2. Causal Feature Selection and Inference Techniques (RQ1)</w:t>
      </w:r>
    </w:p>
    <w:p w14:paraId="58E300E8" w14:textId="17A6B7E6" w:rsidR="00F635B2" w:rsidRPr="009816EA" w:rsidRDefault="008F333A" w:rsidP="00F635B2">
      <w:pPr>
        <w:spacing w:line="360" w:lineRule="auto"/>
        <w:jc w:val="both"/>
      </w:pPr>
      <w:r>
        <w:t>The thorough examination of causal feature selection strategies reveals a strong preference for foundational methods that rigorously specify the underlying causal structure of the data. These methods, such as Structural Causal Models (SCMs) and Directed Acyclic Graphs (DAGs), offer a formal framework for differentiating genuine causal linkages from spurious correlations, improving model interpretability and reliability. The use of such strategies reflects an increasing emphasis on methodological rigor and transparency in AI-based fraud detection research. The distribution of the most frequently used causal methods, as shown in the chart below, emphasizes their dominant role in contemporary studies, demonstrating the field's commitment to incorporating causal reasoning as a core component of explainable and trustworthy machine learning pipelines.</w:t>
      </w:r>
    </w:p>
    <w:p w14:paraId="5A0B214E" w14:textId="77777777" w:rsidR="00FE72FB" w:rsidRPr="009816EA" w:rsidRDefault="00FE72FB" w:rsidP="009816EA">
      <w:pPr>
        <w:pStyle w:val="MdSpace"/>
        <w:spacing w:after="60" w:line="360" w:lineRule="auto"/>
        <w:jc w:val="both"/>
      </w:pPr>
    </w:p>
    <w:p w14:paraId="7809885F" w14:textId="46B77A41" w:rsidR="00FE72FB" w:rsidRPr="009816EA" w:rsidRDefault="002379F7" w:rsidP="009816EA">
      <w:pPr>
        <w:pStyle w:val="MdParagraph"/>
        <w:spacing w:line="360" w:lineRule="auto"/>
        <w:jc w:val="both"/>
      </w:pPr>
      <w:r w:rsidRPr="009816EA">
        <w:rPr>
          <w:rStyle w:val="MdStrong"/>
        </w:rPr>
        <w:t xml:space="preserve">Figure </w:t>
      </w:r>
      <w:r w:rsidR="00F635B2">
        <w:rPr>
          <w:rStyle w:val="MdStrong"/>
        </w:rPr>
        <w:t>4</w:t>
      </w:r>
      <w:r w:rsidRPr="009816EA">
        <w:rPr>
          <w:rStyle w:val="MdStrong"/>
        </w:rPr>
        <w:t>: Distribution of Causal Inference Techniques (n=80)</w:t>
      </w:r>
    </w:p>
    <w:p w14:paraId="20C198F4" w14:textId="77777777" w:rsidR="00FE72FB" w:rsidRPr="009816EA" w:rsidRDefault="00FE72FB" w:rsidP="009816EA">
      <w:pPr>
        <w:pStyle w:val="MdSpace"/>
        <w:spacing w:after="60" w:line="360" w:lineRule="auto"/>
        <w:jc w:val="both"/>
      </w:pPr>
    </w:p>
    <w:p w14:paraId="3E15869B" w14:textId="77777777" w:rsidR="00FE72FB" w:rsidRPr="009816EA" w:rsidRDefault="002379F7" w:rsidP="00F635B2">
      <w:pPr>
        <w:pStyle w:val="MdParagraph"/>
        <w:spacing w:line="360" w:lineRule="auto"/>
        <w:jc w:val="center"/>
      </w:pPr>
      <w:r w:rsidRPr="009816EA">
        <w:rPr>
          <w:noProof/>
        </w:rPr>
        <w:drawing>
          <wp:inline distT="0" distB="0" distL="0" distR="0" wp14:anchorId="0E728A7F" wp14:editId="00172B92">
            <wp:extent cx="5408880" cy="3245327"/>
            <wp:effectExtent l="0" t="0" r="1905" b="0"/>
            <wp:docPr id="3" name="Distribution of Causal Inference Techniques" descr="Distribution of Causal Inference Techniques" title="Distribution of Causal Inference Techn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417290" cy="3250373"/>
                    </a:xfrm>
                    <a:prstGeom prst="rect">
                      <a:avLst/>
                    </a:prstGeom>
                  </pic:spPr>
                </pic:pic>
              </a:graphicData>
            </a:graphic>
          </wp:inline>
        </w:drawing>
      </w:r>
    </w:p>
    <w:p w14:paraId="5AD9CA77" w14:textId="77777777" w:rsidR="00FE72FB" w:rsidRPr="009816EA" w:rsidRDefault="00FE72FB" w:rsidP="009816EA">
      <w:pPr>
        <w:pStyle w:val="MdSpace"/>
        <w:spacing w:after="60" w:line="360" w:lineRule="auto"/>
        <w:jc w:val="both"/>
      </w:pPr>
    </w:p>
    <w:p w14:paraId="70390F1E" w14:textId="77777777" w:rsidR="00FE72FB" w:rsidRPr="009816EA" w:rsidRDefault="002379F7" w:rsidP="009816EA">
      <w:pPr>
        <w:pStyle w:val="MdParagraph"/>
        <w:spacing w:line="360" w:lineRule="auto"/>
        <w:jc w:val="both"/>
      </w:pPr>
      <w:r w:rsidRPr="009816EA">
        <w:rPr>
          <w:rStyle w:val="MdStrong"/>
        </w:rPr>
        <w:lastRenderedPageBreak/>
        <w:t>Key Finding 1: Structural Causal Models (SCMs) Dominate.</w:t>
      </w:r>
      <w:r w:rsidRPr="009816EA">
        <w:t xml:space="preserve"> Structural Causal Models and Causal Discovery algorithms account for 57.5% of reviewed studies (n=46). This overwhelming dominance reflects the literature's focus on establishing the fundamental causal graph (DAG) of fraud mechanisms. SCMs provide an explicit, auditable representation of causal assumptions [19], enabling regulators and domain experts to scrutinize model reasoning and validate causal structures against domain knowledge.</w:t>
      </w:r>
    </w:p>
    <w:p w14:paraId="5805F492" w14:textId="77777777" w:rsidR="00FE72FB" w:rsidRPr="009816EA" w:rsidRDefault="00FE72FB" w:rsidP="009816EA">
      <w:pPr>
        <w:pStyle w:val="MdSpace"/>
        <w:spacing w:after="60" w:line="360" w:lineRule="auto"/>
        <w:jc w:val="both"/>
      </w:pPr>
    </w:p>
    <w:p w14:paraId="77847CD9" w14:textId="77777777" w:rsidR="00FE72FB" w:rsidRPr="009816EA" w:rsidRDefault="002379F7" w:rsidP="009816EA">
      <w:pPr>
        <w:pStyle w:val="MdParagraph"/>
        <w:spacing w:line="360" w:lineRule="auto"/>
        <w:jc w:val="both"/>
      </w:pPr>
      <w:r w:rsidRPr="009816EA">
        <w:t>The most frequently employed causal discovery algorithms include the PC algorithm, FCI (Fast Causal Inference), and score-based methods like Greedy Equivalence Search (GES). These algorithms construct a Directed Acyclic Graph (DAG) representing causal relationships between features and fraud outcomes.</w:t>
      </w:r>
    </w:p>
    <w:p w14:paraId="30B67BAE" w14:textId="77777777" w:rsidR="00FE72FB" w:rsidRPr="009816EA" w:rsidRDefault="00FE72FB" w:rsidP="009816EA">
      <w:pPr>
        <w:pStyle w:val="MdSpace"/>
        <w:spacing w:after="60" w:line="360" w:lineRule="auto"/>
        <w:jc w:val="both"/>
      </w:pPr>
    </w:p>
    <w:p w14:paraId="63B39CF2" w14:textId="77777777" w:rsidR="00FE72FB" w:rsidRPr="009816EA" w:rsidRDefault="002379F7" w:rsidP="009816EA">
      <w:pPr>
        <w:pStyle w:val="MdParagraph"/>
        <w:spacing w:line="360" w:lineRule="auto"/>
        <w:jc w:val="both"/>
      </w:pPr>
      <w:r w:rsidRPr="009816EA">
        <w:rPr>
          <w:rStyle w:val="MdStrong"/>
        </w:rPr>
        <w:t>Key Finding 2: Causal Intervention and Fairness.</w:t>
      </w:r>
      <w:r w:rsidRPr="009816EA">
        <w:t xml:space="preserve"> Causal Intervention and Fairness methods account for 15% of studies (n=12). This reflects a growing maturity in the field, moving beyond simple explanation to address critical issues of bias and fairness [20]. Researchers employ do-calculus to formally quantify the impact of policy interventions on fraud outcomes, enabling systematic bias mitigation and compliance with fairness regulations.</w:t>
      </w:r>
    </w:p>
    <w:p w14:paraId="7C98EED7" w14:textId="77777777" w:rsidR="00FE72FB" w:rsidRPr="009816EA" w:rsidRDefault="00FE72FB" w:rsidP="009816EA">
      <w:pPr>
        <w:pStyle w:val="MdSpace"/>
        <w:spacing w:after="60" w:line="360" w:lineRule="auto"/>
        <w:jc w:val="both"/>
      </w:pPr>
    </w:p>
    <w:p w14:paraId="120FA2C6" w14:textId="77777777" w:rsidR="00FE72FB" w:rsidRPr="009816EA" w:rsidRDefault="002379F7" w:rsidP="009816EA">
      <w:pPr>
        <w:pStyle w:val="MdParagraph"/>
        <w:spacing w:line="360" w:lineRule="auto"/>
        <w:jc w:val="both"/>
      </w:pPr>
      <w:r w:rsidRPr="009816EA">
        <w:rPr>
          <w:rStyle w:val="MdStrong"/>
        </w:rPr>
        <w:t>Key Finding 3: Emerging Techniques.</w:t>
      </w:r>
      <w:r w:rsidRPr="009816EA">
        <w:t xml:space="preserve"> Causal Graph Networks (8.8%), Causal Invariance (7.5%), and Counterfactual Reasoning (6.3%) represent emerging trends. Causal Graph Networks employ neural networks to learn causal structures directly from data, while Causal Invariance focuses on identifying features that remain predictive across environments. Counterfactual Reasoning generates "what-if" explanations, providing actionable insights for fraud prevention.</w:t>
      </w:r>
    </w:p>
    <w:p w14:paraId="7CE4325C" w14:textId="77777777" w:rsidR="00FE72FB" w:rsidRPr="009816EA" w:rsidRDefault="00FE72FB" w:rsidP="009816EA">
      <w:pPr>
        <w:pStyle w:val="MdSpace"/>
        <w:spacing w:after="60" w:line="360" w:lineRule="auto"/>
        <w:jc w:val="both"/>
      </w:pPr>
    </w:p>
    <w:p w14:paraId="596CE89C" w14:textId="77777777" w:rsidR="00FE72FB" w:rsidRPr="009816EA" w:rsidRDefault="002379F7" w:rsidP="009816EA">
      <w:pPr>
        <w:pStyle w:val="MdHeading3"/>
        <w:spacing w:line="360" w:lineRule="auto"/>
        <w:jc w:val="both"/>
      </w:pPr>
      <w:r w:rsidRPr="009816EA">
        <w:t>4.3. Integration with Explainable AI Models (RQ2)</w:t>
      </w:r>
    </w:p>
    <w:p w14:paraId="1F6F0F43" w14:textId="77777777" w:rsidR="008F333A" w:rsidRDefault="008F333A" w:rsidP="008F333A">
      <w:pPr>
        <w:spacing w:line="360" w:lineRule="auto"/>
        <w:jc w:val="both"/>
      </w:pPr>
      <w:r>
        <w:t xml:space="preserve">The combination of Causal Feature Selection (CFS) and Explainable Artificial Intelligence (XAI) methodologies demonstrates a practical, multi-layered analytical framework for fraud detection. This approach, which combines causal reasoning with interpretable </w:t>
      </w:r>
      <w:proofErr w:type="spellStart"/>
      <w:r>
        <w:t>modeling</w:t>
      </w:r>
      <w:proofErr w:type="spellEnd"/>
      <w:r>
        <w:t xml:space="preserve">, not only finds features with true cause-effect correlations but also improves the clarity and integrity of model explanations. In practice, this layered integration allows for robust feature filtering, improved model transparency, and actionable insights, enabling stakeholders to understand, </w:t>
      </w:r>
      <w:r>
        <w:lastRenderedPageBreak/>
        <w:t>trust, and effectively audit automated decision-making systems. As a result, CFS and XAI work together to create a holistic strategy that combines predictive performance and interpretability, tackling one of the most significant obstacles in implementing AI in high-stakes financial situations.</w:t>
      </w:r>
    </w:p>
    <w:p w14:paraId="0E2E2793" w14:textId="48B63696" w:rsidR="00FE72FB" w:rsidRDefault="00FE72FB" w:rsidP="009816EA">
      <w:pPr>
        <w:pStyle w:val="MdSpace"/>
        <w:spacing w:after="60" w:line="360" w:lineRule="auto"/>
        <w:jc w:val="both"/>
      </w:pPr>
    </w:p>
    <w:p w14:paraId="1158ED8A" w14:textId="1B9D80D5" w:rsidR="008F333A" w:rsidRDefault="008F333A" w:rsidP="009816EA">
      <w:pPr>
        <w:pStyle w:val="MdSpace"/>
        <w:spacing w:after="60" w:line="360" w:lineRule="auto"/>
        <w:jc w:val="both"/>
      </w:pPr>
    </w:p>
    <w:p w14:paraId="0464199D" w14:textId="0F375249" w:rsidR="008F333A" w:rsidRDefault="008F333A" w:rsidP="009816EA">
      <w:pPr>
        <w:pStyle w:val="MdSpace"/>
        <w:spacing w:after="60" w:line="360" w:lineRule="auto"/>
        <w:jc w:val="both"/>
      </w:pPr>
    </w:p>
    <w:p w14:paraId="585C817A" w14:textId="6FDFFFAE" w:rsidR="008F333A" w:rsidRDefault="008F333A" w:rsidP="009816EA">
      <w:pPr>
        <w:pStyle w:val="MdSpace"/>
        <w:spacing w:after="60" w:line="360" w:lineRule="auto"/>
        <w:jc w:val="both"/>
      </w:pPr>
    </w:p>
    <w:p w14:paraId="7F60B8A8" w14:textId="3C990E60" w:rsidR="008F333A" w:rsidRDefault="008F333A" w:rsidP="009816EA">
      <w:pPr>
        <w:pStyle w:val="MdSpace"/>
        <w:spacing w:after="60" w:line="360" w:lineRule="auto"/>
        <w:jc w:val="both"/>
      </w:pPr>
    </w:p>
    <w:p w14:paraId="56C950C4" w14:textId="042C4B85" w:rsidR="008F333A" w:rsidRDefault="008F333A" w:rsidP="009816EA">
      <w:pPr>
        <w:pStyle w:val="MdSpace"/>
        <w:spacing w:after="60" w:line="360" w:lineRule="auto"/>
        <w:jc w:val="both"/>
      </w:pPr>
    </w:p>
    <w:p w14:paraId="3259D867" w14:textId="3BCFABE7" w:rsidR="008F333A" w:rsidRDefault="008F333A" w:rsidP="009816EA">
      <w:pPr>
        <w:pStyle w:val="MdSpace"/>
        <w:spacing w:after="60" w:line="360" w:lineRule="auto"/>
        <w:jc w:val="both"/>
      </w:pPr>
    </w:p>
    <w:p w14:paraId="29029782" w14:textId="637B20DA" w:rsidR="008F333A" w:rsidRDefault="008F333A" w:rsidP="009816EA">
      <w:pPr>
        <w:pStyle w:val="MdSpace"/>
        <w:spacing w:after="60" w:line="360" w:lineRule="auto"/>
        <w:jc w:val="both"/>
      </w:pPr>
    </w:p>
    <w:p w14:paraId="05A8481B" w14:textId="23E2DF6B" w:rsidR="008F333A" w:rsidRDefault="008F333A" w:rsidP="009816EA">
      <w:pPr>
        <w:pStyle w:val="MdSpace"/>
        <w:spacing w:after="60" w:line="360" w:lineRule="auto"/>
        <w:jc w:val="both"/>
      </w:pPr>
    </w:p>
    <w:p w14:paraId="51A1DAC5" w14:textId="49529BAC" w:rsidR="008F333A" w:rsidRDefault="008F333A" w:rsidP="009816EA">
      <w:pPr>
        <w:pStyle w:val="MdSpace"/>
        <w:spacing w:after="60" w:line="360" w:lineRule="auto"/>
        <w:jc w:val="both"/>
      </w:pPr>
    </w:p>
    <w:p w14:paraId="012AE2BD" w14:textId="65492A8D" w:rsidR="008F333A" w:rsidRDefault="008F333A" w:rsidP="009816EA">
      <w:pPr>
        <w:pStyle w:val="MdSpace"/>
        <w:spacing w:after="60" w:line="360" w:lineRule="auto"/>
        <w:jc w:val="both"/>
      </w:pPr>
    </w:p>
    <w:p w14:paraId="42F23E69" w14:textId="6251299E" w:rsidR="008F333A" w:rsidRDefault="008F333A" w:rsidP="009816EA">
      <w:pPr>
        <w:pStyle w:val="MdSpace"/>
        <w:spacing w:after="60" w:line="360" w:lineRule="auto"/>
        <w:jc w:val="both"/>
      </w:pPr>
    </w:p>
    <w:p w14:paraId="5EB68CAE" w14:textId="1C3FD9D6" w:rsidR="008F333A" w:rsidRDefault="008F333A" w:rsidP="009816EA">
      <w:pPr>
        <w:pStyle w:val="MdSpace"/>
        <w:spacing w:after="60" w:line="360" w:lineRule="auto"/>
        <w:jc w:val="both"/>
      </w:pPr>
    </w:p>
    <w:p w14:paraId="5894AC6D" w14:textId="5AA7A897" w:rsidR="008F333A" w:rsidRDefault="008F333A" w:rsidP="009816EA">
      <w:pPr>
        <w:pStyle w:val="MdSpace"/>
        <w:spacing w:after="60" w:line="360" w:lineRule="auto"/>
        <w:jc w:val="both"/>
      </w:pPr>
    </w:p>
    <w:p w14:paraId="6CFB7E45" w14:textId="07281FF8" w:rsidR="008F333A" w:rsidRDefault="008F333A" w:rsidP="009816EA">
      <w:pPr>
        <w:pStyle w:val="MdSpace"/>
        <w:spacing w:after="60" w:line="360" w:lineRule="auto"/>
        <w:jc w:val="both"/>
      </w:pPr>
    </w:p>
    <w:p w14:paraId="295F2D29" w14:textId="43543CFC" w:rsidR="008F333A" w:rsidRDefault="008F333A" w:rsidP="009816EA">
      <w:pPr>
        <w:pStyle w:val="MdSpace"/>
        <w:spacing w:after="60" w:line="360" w:lineRule="auto"/>
        <w:jc w:val="both"/>
      </w:pPr>
    </w:p>
    <w:p w14:paraId="11E5F9E3" w14:textId="77777777" w:rsidR="008F333A" w:rsidRPr="009816EA" w:rsidRDefault="008F333A" w:rsidP="009816EA">
      <w:pPr>
        <w:pStyle w:val="MdSpace"/>
        <w:spacing w:after="60" w:line="360" w:lineRule="auto"/>
        <w:jc w:val="both"/>
      </w:pPr>
    </w:p>
    <w:p w14:paraId="1BB0EFEC" w14:textId="5A3944E5" w:rsidR="00FE72FB" w:rsidRPr="009816EA" w:rsidRDefault="002379F7" w:rsidP="009816EA">
      <w:pPr>
        <w:pStyle w:val="MdParagraph"/>
        <w:spacing w:line="360" w:lineRule="auto"/>
        <w:jc w:val="both"/>
      </w:pPr>
      <w:r w:rsidRPr="009816EA">
        <w:rPr>
          <w:rStyle w:val="MdStrong"/>
        </w:rPr>
        <w:t xml:space="preserve">Figure </w:t>
      </w:r>
      <w:r w:rsidR="00F635B2">
        <w:rPr>
          <w:rStyle w:val="MdStrong"/>
        </w:rPr>
        <w:t>5</w:t>
      </w:r>
      <w:r w:rsidRPr="009816EA">
        <w:rPr>
          <w:rStyle w:val="MdStrong"/>
        </w:rPr>
        <w:t>: Distribution of Integrated XAI Models (n=80)</w:t>
      </w:r>
    </w:p>
    <w:p w14:paraId="6DF0E914" w14:textId="77777777" w:rsidR="00FE72FB" w:rsidRPr="009816EA" w:rsidRDefault="00FE72FB" w:rsidP="009816EA">
      <w:pPr>
        <w:pStyle w:val="MdSpace"/>
        <w:spacing w:after="60" w:line="360" w:lineRule="auto"/>
        <w:jc w:val="both"/>
      </w:pPr>
    </w:p>
    <w:p w14:paraId="4E2A94E2" w14:textId="77777777" w:rsidR="00FE72FB" w:rsidRPr="009816EA" w:rsidRDefault="002379F7" w:rsidP="009816EA">
      <w:pPr>
        <w:pStyle w:val="MdParagraph"/>
        <w:spacing w:line="360" w:lineRule="auto"/>
        <w:jc w:val="both"/>
      </w:pPr>
      <w:r w:rsidRPr="009816EA">
        <w:rPr>
          <w:noProof/>
        </w:rPr>
        <w:drawing>
          <wp:inline distT="0" distB="0" distL="0" distR="0" wp14:anchorId="07A853F2" wp14:editId="5FA9238F">
            <wp:extent cx="5715000" cy="3429000"/>
            <wp:effectExtent l="0" t="0" r="0" b="0"/>
            <wp:docPr id="4" name="Distribution of Integrated XAI Models" descr="Distribution of Integrated XAI Models" title="Distribution of Integrated XAI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715000" cy="3429000"/>
                    </a:xfrm>
                    <a:prstGeom prst="rect">
                      <a:avLst/>
                    </a:prstGeom>
                  </pic:spPr>
                </pic:pic>
              </a:graphicData>
            </a:graphic>
          </wp:inline>
        </w:drawing>
      </w:r>
    </w:p>
    <w:p w14:paraId="529E7C3D" w14:textId="77777777" w:rsidR="00FE72FB" w:rsidRPr="009816EA" w:rsidRDefault="00FE72FB" w:rsidP="009816EA">
      <w:pPr>
        <w:pStyle w:val="MdSpace"/>
        <w:spacing w:after="60" w:line="360" w:lineRule="auto"/>
        <w:jc w:val="both"/>
      </w:pPr>
    </w:p>
    <w:p w14:paraId="25111DB5" w14:textId="77777777" w:rsidR="00FE72FB" w:rsidRPr="009816EA" w:rsidRDefault="002379F7" w:rsidP="009816EA">
      <w:pPr>
        <w:pStyle w:val="MdParagraph"/>
        <w:spacing w:line="360" w:lineRule="auto"/>
        <w:jc w:val="both"/>
      </w:pPr>
      <w:r w:rsidRPr="009816EA">
        <w:rPr>
          <w:rStyle w:val="MdStrong"/>
        </w:rPr>
        <w:t>Key Finding 4: LIME and SHAP Dominate XAI Integration.</w:t>
      </w:r>
      <w:r w:rsidRPr="009816EA">
        <w:t xml:space="preserve"> LIME [6] and SHAP [5] collectively account for 62.6% of reviewed studies (33.8% and 28.8%, respectively). This </w:t>
      </w:r>
      <w:r w:rsidRPr="009816EA">
        <w:lastRenderedPageBreak/>
        <w:t>dominance reflects their model-agnostic nature and ease of integration with causal feature selection. Crucially, researchers constrain LIME and SHAP to operate only on causally-selected features, dramatically improving explanation quality by eliminating spurious correlations.</w:t>
      </w:r>
    </w:p>
    <w:p w14:paraId="1CAD71A9" w14:textId="77777777" w:rsidR="00FE72FB" w:rsidRPr="009816EA" w:rsidRDefault="00FE72FB" w:rsidP="009816EA">
      <w:pPr>
        <w:pStyle w:val="MdSpace"/>
        <w:spacing w:after="60" w:line="360" w:lineRule="auto"/>
        <w:jc w:val="both"/>
      </w:pPr>
    </w:p>
    <w:p w14:paraId="44EE301E" w14:textId="77777777" w:rsidR="00FE72FB" w:rsidRPr="009816EA" w:rsidRDefault="002379F7" w:rsidP="009816EA">
      <w:pPr>
        <w:pStyle w:val="MdParagraph"/>
        <w:spacing w:line="360" w:lineRule="auto"/>
        <w:jc w:val="both"/>
      </w:pPr>
      <w:r w:rsidRPr="009816EA">
        <w:t>LIME generates local linear approximations of model predictions, while SHAP provides theoretically grounded feature importance scores based on Shapley values. When applied to causal feature subsets, both methods produce more stable, interpretable, and trustworthy explanations.</w:t>
      </w:r>
    </w:p>
    <w:p w14:paraId="00B8D2EF" w14:textId="77777777" w:rsidR="00FE72FB" w:rsidRPr="009816EA" w:rsidRDefault="00FE72FB" w:rsidP="009816EA">
      <w:pPr>
        <w:pStyle w:val="MdSpace"/>
        <w:spacing w:after="60" w:line="360" w:lineRule="auto"/>
        <w:jc w:val="both"/>
      </w:pPr>
    </w:p>
    <w:p w14:paraId="4D80BABE" w14:textId="77777777" w:rsidR="00FE72FB" w:rsidRPr="009816EA" w:rsidRDefault="002379F7" w:rsidP="009816EA">
      <w:pPr>
        <w:pStyle w:val="MdParagraph"/>
        <w:spacing w:line="360" w:lineRule="auto"/>
        <w:jc w:val="both"/>
      </w:pPr>
      <w:r w:rsidRPr="009816EA">
        <w:rPr>
          <w:rStyle w:val="MdStrong"/>
        </w:rPr>
        <w:t>Key Finding 5: Counterfactual Explanations as Actionable XAI.</w:t>
      </w:r>
      <w:r w:rsidRPr="009816EA">
        <w:t xml:space="preserve"> Counterfactual Explanations account for 16.3% of studies (n=13), representing an emerging trend toward actionable XAI [21]. These explanations answer the question: "What would need to change for this transaction to be classified as non-fraudulent?" Crucially, researchers constrain counterfactual scenarios to the causal graph, ensuring that suggested changes are plausible and aligned with underlying causal mechanisms.</w:t>
      </w:r>
    </w:p>
    <w:p w14:paraId="5E88F366" w14:textId="77777777" w:rsidR="00FE72FB" w:rsidRPr="009816EA" w:rsidRDefault="00FE72FB" w:rsidP="009816EA">
      <w:pPr>
        <w:pStyle w:val="MdSpace"/>
        <w:spacing w:after="60" w:line="360" w:lineRule="auto"/>
        <w:jc w:val="both"/>
      </w:pPr>
    </w:p>
    <w:p w14:paraId="46EE7655" w14:textId="77777777" w:rsidR="00FE72FB" w:rsidRPr="009816EA" w:rsidRDefault="002379F7" w:rsidP="009816EA">
      <w:pPr>
        <w:pStyle w:val="MdParagraph"/>
        <w:spacing w:line="360" w:lineRule="auto"/>
        <w:jc w:val="both"/>
      </w:pPr>
      <w:r w:rsidRPr="009816EA">
        <w:rPr>
          <w:rStyle w:val="MdStrong"/>
        </w:rPr>
        <w:t>Key Finding 6: Integration Mechanism—CFS as Pre-Processing Filter.</w:t>
      </w:r>
      <w:r w:rsidRPr="009816EA">
        <w:t xml:space="preserve"> The overwhelming reliance on LIME and SHAP reveals a pragmatic integration strategy: Causal Feature Selection serves as a pre-processing filter. Researchers first identify causally relevant features using causal discovery algorithms, then apply XAI methods to this cleaned feature space. This layered approach significantly enhances explanation quality, stability, and interpretability.</w:t>
      </w:r>
    </w:p>
    <w:p w14:paraId="453E7265" w14:textId="5DBBE0E4" w:rsidR="00FE72FB" w:rsidRDefault="00FE72FB" w:rsidP="009816EA">
      <w:pPr>
        <w:pStyle w:val="MdSpace"/>
        <w:spacing w:after="60" w:line="360" w:lineRule="auto"/>
        <w:jc w:val="both"/>
      </w:pPr>
    </w:p>
    <w:p w14:paraId="0BAF74C8" w14:textId="651FC9FC" w:rsidR="00F635B2" w:rsidRDefault="00F635B2" w:rsidP="009816EA">
      <w:pPr>
        <w:pStyle w:val="MdSpace"/>
        <w:spacing w:after="60" w:line="360" w:lineRule="auto"/>
        <w:jc w:val="both"/>
      </w:pPr>
    </w:p>
    <w:p w14:paraId="0F94C4A2" w14:textId="59482689" w:rsidR="00F635B2" w:rsidRDefault="00F635B2" w:rsidP="009816EA">
      <w:pPr>
        <w:pStyle w:val="MdSpace"/>
        <w:spacing w:after="60" w:line="360" w:lineRule="auto"/>
        <w:jc w:val="both"/>
      </w:pPr>
    </w:p>
    <w:p w14:paraId="3FFB2BA3" w14:textId="21C5EC33" w:rsidR="00F635B2" w:rsidRDefault="00F635B2" w:rsidP="009816EA">
      <w:pPr>
        <w:pStyle w:val="MdSpace"/>
        <w:spacing w:after="60" w:line="360" w:lineRule="auto"/>
        <w:jc w:val="both"/>
      </w:pPr>
    </w:p>
    <w:p w14:paraId="41032E27" w14:textId="320E6EE7" w:rsidR="00F635B2" w:rsidRDefault="00F635B2" w:rsidP="009816EA">
      <w:pPr>
        <w:pStyle w:val="MdSpace"/>
        <w:spacing w:after="60" w:line="360" w:lineRule="auto"/>
        <w:jc w:val="both"/>
      </w:pPr>
    </w:p>
    <w:p w14:paraId="6EC15A7F" w14:textId="0AB9BE64" w:rsidR="00F635B2" w:rsidRDefault="00F635B2" w:rsidP="009816EA">
      <w:pPr>
        <w:pStyle w:val="MdSpace"/>
        <w:spacing w:after="60" w:line="360" w:lineRule="auto"/>
        <w:jc w:val="both"/>
      </w:pPr>
    </w:p>
    <w:p w14:paraId="12C9A65F" w14:textId="5D004C26" w:rsidR="00F635B2" w:rsidRDefault="00F635B2" w:rsidP="009816EA">
      <w:pPr>
        <w:pStyle w:val="MdSpace"/>
        <w:spacing w:after="60" w:line="360" w:lineRule="auto"/>
        <w:jc w:val="both"/>
      </w:pPr>
    </w:p>
    <w:p w14:paraId="6F762C23" w14:textId="23882EDB" w:rsidR="00F635B2" w:rsidRDefault="00F635B2" w:rsidP="009816EA">
      <w:pPr>
        <w:pStyle w:val="MdSpace"/>
        <w:spacing w:after="60" w:line="360" w:lineRule="auto"/>
        <w:jc w:val="both"/>
      </w:pPr>
    </w:p>
    <w:p w14:paraId="3A7A5004" w14:textId="015C75BC" w:rsidR="00F635B2" w:rsidRDefault="00F635B2" w:rsidP="009816EA">
      <w:pPr>
        <w:pStyle w:val="MdSpace"/>
        <w:spacing w:after="60" w:line="360" w:lineRule="auto"/>
        <w:jc w:val="both"/>
      </w:pPr>
    </w:p>
    <w:p w14:paraId="531D5D53" w14:textId="2892238E" w:rsidR="00F635B2" w:rsidRDefault="00F635B2" w:rsidP="009816EA">
      <w:pPr>
        <w:pStyle w:val="MdSpace"/>
        <w:spacing w:after="60" w:line="360" w:lineRule="auto"/>
        <w:jc w:val="both"/>
      </w:pPr>
    </w:p>
    <w:p w14:paraId="096ABAD5" w14:textId="5E8E325A" w:rsidR="00F635B2" w:rsidRDefault="00F635B2" w:rsidP="009816EA">
      <w:pPr>
        <w:pStyle w:val="MdSpace"/>
        <w:spacing w:after="60" w:line="360" w:lineRule="auto"/>
        <w:jc w:val="both"/>
      </w:pPr>
    </w:p>
    <w:p w14:paraId="102E90A6" w14:textId="656FDDA2" w:rsidR="00F635B2" w:rsidRDefault="00F635B2" w:rsidP="009816EA">
      <w:pPr>
        <w:pStyle w:val="MdSpace"/>
        <w:spacing w:after="60" w:line="360" w:lineRule="auto"/>
        <w:jc w:val="both"/>
      </w:pPr>
    </w:p>
    <w:p w14:paraId="0F968BF0" w14:textId="77777777" w:rsidR="00F635B2" w:rsidRPr="009816EA" w:rsidRDefault="00F635B2" w:rsidP="009816EA">
      <w:pPr>
        <w:pStyle w:val="MdSpace"/>
        <w:spacing w:after="60" w:line="360" w:lineRule="auto"/>
        <w:jc w:val="both"/>
      </w:pPr>
    </w:p>
    <w:p w14:paraId="07B76C87" w14:textId="5519E6E6" w:rsidR="00FE72FB" w:rsidRPr="009816EA" w:rsidRDefault="002379F7" w:rsidP="009816EA">
      <w:pPr>
        <w:pStyle w:val="MdParagraph"/>
        <w:spacing w:line="360" w:lineRule="auto"/>
        <w:jc w:val="both"/>
      </w:pPr>
      <w:r w:rsidRPr="009816EA">
        <w:rPr>
          <w:rStyle w:val="MdStrong"/>
        </w:rPr>
        <w:t xml:space="preserve">Figure </w:t>
      </w:r>
      <w:r w:rsidR="00F635B2">
        <w:rPr>
          <w:rStyle w:val="MdStrong"/>
        </w:rPr>
        <w:t>6</w:t>
      </w:r>
      <w:r w:rsidRPr="009816EA">
        <w:rPr>
          <w:rStyle w:val="MdStrong"/>
        </w:rPr>
        <w:t>: Causal Feature Selection and XAI Integration Pipeline</w:t>
      </w:r>
    </w:p>
    <w:p w14:paraId="22CB36BC" w14:textId="77777777" w:rsidR="00FE72FB" w:rsidRPr="009816EA" w:rsidRDefault="00FE72FB" w:rsidP="009816EA">
      <w:pPr>
        <w:pStyle w:val="MdSpace"/>
        <w:spacing w:after="60" w:line="360" w:lineRule="auto"/>
        <w:jc w:val="both"/>
      </w:pPr>
    </w:p>
    <w:p w14:paraId="2ECD8C7B" w14:textId="0143D7EB" w:rsidR="00FE72FB" w:rsidRPr="009816EA" w:rsidRDefault="002379F7" w:rsidP="00F635B2">
      <w:pPr>
        <w:pStyle w:val="MdParagraph"/>
        <w:spacing w:line="360" w:lineRule="auto"/>
        <w:jc w:val="both"/>
      </w:pPr>
      <w:r w:rsidRPr="009816EA">
        <w:rPr>
          <w:noProof/>
        </w:rPr>
        <w:lastRenderedPageBreak/>
        <w:drawing>
          <wp:inline distT="0" distB="0" distL="0" distR="0" wp14:anchorId="76C60B13" wp14:editId="26A3C7D9">
            <wp:extent cx="2438400" cy="3810000"/>
            <wp:effectExtent l="0" t="0" r="0" b="0"/>
            <wp:docPr id="5" name="Causal XAI Integration" descr="Causal XAI Integration" title="Causal XAI 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438400" cy="3810000"/>
                    </a:xfrm>
                    <a:prstGeom prst="rect">
                      <a:avLst/>
                    </a:prstGeom>
                  </pic:spPr>
                </pic:pic>
              </a:graphicData>
            </a:graphic>
          </wp:inline>
        </w:drawing>
      </w:r>
    </w:p>
    <w:p w14:paraId="1E930940" w14:textId="77777777" w:rsidR="00FE72FB" w:rsidRPr="009816EA" w:rsidRDefault="002379F7" w:rsidP="009816EA">
      <w:pPr>
        <w:pStyle w:val="MdHeading3"/>
        <w:spacing w:line="360" w:lineRule="auto"/>
        <w:jc w:val="both"/>
      </w:pPr>
      <w:r w:rsidRPr="009816EA">
        <w:t>4.4. Application Domains and Datasets (RQ3)</w:t>
      </w:r>
    </w:p>
    <w:p w14:paraId="6B826D1C" w14:textId="77777777" w:rsidR="00F635B2" w:rsidRDefault="00F635B2" w:rsidP="00F635B2">
      <w:pPr>
        <w:spacing w:line="360" w:lineRule="auto"/>
        <w:jc w:val="both"/>
      </w:pPr>
      <w:r>
        <w:t>The analysis of application domains reveals a significant concentration of research in high-value financial industries, demonstrating the crucial necessity of fraud detection in situations with high economic stakes. Studies primarily focus on banking transactions, payment systems, and cybersecurity-related financial processes, emphasizing the importance of highly accurate and interpretable machine learning models in these situations. This distribution emphasizes not just the practical significance of causal feature selection and explainable AI, but also the researchers' prioritization of sectors where model transparency, regulatory compliance, and stakeholder confidence are especially important.</w:t>
      </w:r>
    </w:p>
    <w:p w14:paraId="0B2E97E3" w14:textId="377B4145" w:rsidR="00FE72FB" w:rsidRDefault="00FE72FB" w:rsidP="009816EA">
      <w:pPr>
        <w:pStyle w:val="MdSpace"/>
        <w:spacing w:after="60" w:line="360" w:lineRule="auto"/>
        <w:jc w:val="both"/>
      </w:pPr>
    </w:p>
    <w:p w14:paraId="0E83C18C" w14:textId="6FA4C44A" w:rsidR="00F635B2" w:rsidRDefault="00F635B2" w:rsidP="009816EA">
      <w:pPr>
        <w:pStyle w:val="MdSpace"/>
        <w:spacing w:after="60" w:line="360" w:lineRule="auto"/>
        <w:jc w:val="both"/>
      </w:pPr>
    </w:p>
    <w:p w14:paraId="1F0B4013" w14:textId="0DA5CFAE" w:rsidR="00F635B2" w:rsidRDefault="00F635B2" w:rsidP="009816EA">
      <w:pPr>
        <w:pStyle w:val="MdSpace"/>
        <w:spacing w:after="60" w:line="360" w:lineRule="auto"/>
        <w:jc w:val="both"/>
      </w:pPr>
    </w:p>
    <w:p w14:paraId="2D1CF139" w14:textId="4A5ED539" w:rsidR="00F635B2" w:rsidRDefault="00F635B2" w:rsidP="009816EA">
      <w:pPr>
        <w:pStyle w:val="MdSpace"/>
        <w:spacing w:after="60" w:line="360" w:lineRule="auto"/>
        <w:jc w:val="both"/>
      </w:pPr>
    </w:p>
    <w:p w14:paraId="3326CA6B" w14:textId="7230351F" w:rsidR="00F635B2" w:rsidRDefault="00F635B2" w:rsidP="009816EA">
      <w:pPr>
        <w:pStyle w:val="MdSpace"/>
        <w:spacing w:after="60" w:line="360" w:lineRule="auto"/>
        <w:jc w:val="both"/>
      </w:pPr>
    </w:p>
    <w:p w14:paraId="3E72E6B0" w14:textId="5908D4AA" w:rsidR="00F635B2" w:rsidRDefault="00F635B2" w:rsidP="009816EA">
      <w:pPr>
        <w:pStyle w:val="MdSpace"/>
        <w:spacing w:after="60" w:line="360" w:lineRule="auto"/>
        <w:jc w:val="both"/>
      </w:pPr>
    </w:p>
    <w:p w14:paraId="42D358B9" w14:textId="40FF7850" w:rsidR="00F635B2" w:rsidRDefault="00F635B2" w:rsidP="009816EA">
      <w:pPr>
        <w:pStyle w:val="MdSpace"/>
        <w:spacing w:after="60" w:line="360" w:lineRule="auto"/>
        <w:jc w:val="both"/>
      </w:pPr>
    </w:p>
    <w:p w14:paraId="23B77D5D" w14:textId="51512CA1" w:rsidR="00F635B2" w:rsidRDefault="00F635B2" w:rsidP="009816EA">
      <w:pPr>
        <w:pStyle w:val="MdSpace"/>
        <w:spacing w:after="60" w:line="360" w:lineRule="auto"/>
        <w:jc w:val="both"/>
      </w:pPr>
    </w:p>
    <w:p w14:paraId="322A0025" w14:textId="10545540" w:rsidR="00F635B2" w:rsidRDefault="00F635B2" w:rsidP="009816EA">
      <w:pPr>
        <w:pStyle w:val="MdSpace"/>
        <w:spacing w:after="60" w:line="360" w:lineRule="auto"/>
        <w:jc w:val="both"/>
      </w:pPr>
    </w:p>
    <w:p w14:paraId="0E572882" w14:textId="40B9B5CE" w:rsidR="00F635B2" w:rsidRDefault="00F635B2" w:rsidP="009816EA">
      <w:pPr>
        <w:pStyle w:val="MdSpace"/>
        <w:spacing w:after="60" w:line="360" w:lineRule="auto"/>
        <w:jc w:val="both"/>
      </w:pPr>
    </w:p>
    <w:p w14:paraId="2F806A9E" w14:textId="6C86ED83" w:rsidR="00F635B2" w:rsidRDefault="00F635B2" w:rsidP="009816EA">
      <w:pPr>
        <w:pStyle w:val="MdSpace"/>
        <w:spacing w:after="60" w:line="360" w:lineRule="auto"/>
        <w:jc w:val="both"/>
      </w:pPr>
    </w:p>
    <w:p w14:paraId="0F52AAB0" w14:textId="77777777" w:rsidR="00F635B2" w:rsidRPr="009816EA" w:rsidRDefault="00F635B2" w:rsidP="009816EA">
      <w:pPr>
        <w:pStyle w:val="MdSpace"/>
        <w:spacing w:after="60" w:line="360" w:lineRule="auto"/>
        <w:jc w:val="both"/>
      </w:pPr>
    </w:p>
    <w:p w14:paraId="4134CFC8" w14:textId="550C0D5D" w:rsidR="00FE72FB" w:rsidRPr="009816EA" w:rsidRDefault="002379F7" w:rsidP="00F635B2">
      <w:pPr>
        <w:pStyle w:val="MdParagraph"/>
        <w:spacing w:line="360" w:lineRule="auto"/>
        <w:jc w:val="both"/>
      </w:pPr>
      <w:r w:rsidRPr="009816EA">
        <w:rPr>
          <w:rStyle w:val="MdStrong"/>
        </w:rPr>
        <w:t xml:space="preserve">Figure </w:t>
      </w:r>
      <w:r w:rsidR="00F635B2">
        <w:rPr>
          <w:rStyle w:val="MdStrong"/>
        </w:rPr>
        <w:t>7</w:t>
      </w:r>
      <w:r w:rsidRPr="009816EA">
        <w:rPr>
          <w:rStyle w:val="MdStrong"/>
        </w:rPr>
        <w:t>: Distribution of Application Domains (n=80)</w:t>
      </w:r>
    </w:p>
    <w:p w14:paraId="22140B1E" w14:textId="77777777" w:rsidR="00FE72FB" w:rsidRPr="009816EA" w:rsidRDefault="002379F7" w:rsidP="00F635B2">
      <w:pPr>
        <w:pStyle w:val="MdParagraph"/>
        <w:spacing w:line="360" w:lineRule="auto"/>
        <w:jc w:val="center"/>
      </w:pPr>
      <w:r w:rsidRPr="009816EA">
        <w:rPr>
          <w:noProof/>
        </w:rPr>
        <w:lastRenderedPageBreak/>
        <w:drawing>
          <wp:inline distT="0" distB="0" distL="0" distR="0" wp14:anchorId="743691B1" wp14:editId="65743DFF">
            <wp:extent cx="4624857" cy="2774913"/>
            <wp:effectExtent l="0" t="0" r="4445" b="6985"/>
            <wp:docPr id="6" name="Distribution of Application Domains" descr="Distribution of Application Domains" title="Distribution of Application Do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627393" cy="2776435"/>
                    </a:xfrm>
                    <a:prstGeom prst="rect">
                      <a:avLst/>
                    </a:prstGeom>
                  </pic:spPr>
                </pic:pic>
              </a:graphicData>
            </a:graphic>
          </wp:inline>
        </w:drawing>
      </w:r>
    </w:p>
    <w:p w14:paraId="75FB411B" w14:textId="77777777" w:rsidR="00FE72FB" w:rsidRPr="009816EA" w:rsidRDefault="00FE72FB" w:rsidP="009816EA">
      <w:pPr>
        <w:pStyle w:val="MdSpace"/>
        <w:spacing w:after="60" w:line="360" w:lineRule="auto"/>
        <w:jc w:val="both"/>
      </w:pPr>
    </w:p>
    <w:p w14:paraId="42FDA663" w14:textId="77777777" w:rsidR="00FE72FB" w:rsidRPr="009816EA" w:rsidRDefault="002379F7" w:rsidP="009816EA">
      <w:pPr>
        <w:pStyle w:val="MdParagraph"/>
        <w:spacing w:line="360" w:lineRule="auto"/>
        <w:jc w:val="both"/>
      </w:pPr>
      <w:r w:rsidRPr="009816EA">
        <w:rPr>
          <w:rStyle w:val="MdStrong"/>
        </w:rPr>
        <w:t>Key Finding 7: Financial Sector Dominance.</w:t>
      </w:r>
      <w:r w:rsidRPr="009816EA">
        <w:t xml:space="preserve"> Financial Transactions, Anti-Money Laundering (AML), and Financial Crime collectively account for 66% of reviewed studies (n=53). This concentration reflects both the high financial impact of fraud and the maturity of data collection infrastructure in financial institutions. Banks, payment processors, and financial institutions have decades of transaction data, making them ideal testbeds for causal XAI research.</w:t>
      </w:r>
    </w:p>
    <w:p w14:paraId="17E50E4A" w14:textId="77777777" w:rsidR="00FE72FB" w:rsidRPr="009816EA" w:rsidRDefault="00FE72FB" w:rsidP="009816EA">
      <w:pPr>
        <w:pStyle w:val="MdSpace"/>
        <w:spacing w:after="60" w:line="360" w:lineRule="auto"/>
        <w:jc w:val="both"/>
      </w:pPr>
    </w:p>
    <w:p w14:paraId="4961FD0E" w14:textId="77777777" w:rsidR="00FE72FB" w:rsidRPr="009816EA" w:rsidRDefault="002379F7" w:rsidP="009816EA">
      <w:pPr>
        <w:pStyle w:val="MdParagraph"/>
        <w:spacing w:line="360" w:lineRule="auto"/>
        <w:jc w:val="both"/>
      </w:pPr>
      <w:r w:rsidRPr="009816EA">
        <w:rPr>
          <w:rStyle w:val="MdStrong"/>
        </w:rPr>
        <w:t>Key Finding 8: Secondary Application Domains.</w:t>
      </w:r>
      <w:r w:rsidRPr="009816EA">
        <w:t xml:space="preserve"> Cybersecurity and Network Intrusion Detection account for 14% of studies (n=11), while E-commerce and Payment Fraud represent 13% (n=10). Insurance and Healthcare fraud account for 5% (n=4), and Telecom fraud for 2% (n=2). These domains benefit from the relational and sequential capabilities of causal models, which can capture complex attack patterns and fraudulent schemes.</w:t>
      </w:r>
    </w:p>
    <w:p w14:paraId="4F35E990" w14:textId="77777777" w:rsidR="00FE72FB" w:rsidRPr="009816EA" w:rsidRDefault="00FE72FB" w:rsidP="009816EA">
      <w:pPr>
        <w:pStyle w:val="MdSpace"/>
        <w:spacing w:after="60" w:line="360" w:lineRule="auto"/>
        <w:jc w:val="both"/>
      </w:pPr>
    </w:p>
    <w:p w14:paraId="624E0D3B" w14:textId="77777777" w:rsidR="00FE72FB" w:rsidRPr="009816EA" w:rsidRDefault="002379F7" w:rsidP="009816EA">
      <w:pPr>
        <w:pStyle w:val="MdParagraph"/>
        <w:spacing w:line="360" w:lineRule="auto"/>
        <w:jc w:val="both"/>
      </w:pPr>
      <w:r w:rsidRPr="009816EA">
        <w:rPr>
          <w:rStyle w:val="MdStrong"/>
        </w:rPr>
        <w:t>Key Finding 9: Dataset Characteristics.</w:t>
      </w:r>
      <w:r w:rsidRPr="009816EA">
        <w:t xml:space="preserve"> The reviewed studies predominantly employ tabular and time-series data. Common datasets include credit card transaction datasets, bank transaction logs, and synthetic datasets designed for benchmarking. A notable gap is the lack of large-scale, publicly available datasets with validated causal ground truth, which limits reproducibility and benchmarking efforts.</w:t>
      </w:r>
    </w:p>
    <w:p w14:paraId="675E7B0E" w14:textId="77777777" w:rsidR="00FE72FB" w:rsidRPr="009816EA" w:rsidRDefault="00FE72FB" w:rsidP="009816EA">
      <w:pPr>
        <w:pStyle w:val="MdSpace"/>
        <w:spacing w:after="60" w:line="360" w:lineRule="auto"/>
        <w:jc w:val="both"/>
      </w:pPr>
    </w:p>
    <w:p w14:paraId="2EA3B422" w14:textId="77777777" w:rsidR="00FE72FB" w:rsidRPr="009816EA" w:rsidRDefault="002379F7" w:rsidP="009816EA">
      <w:pPr>
        <w:pStyle w:val="MdHeading3"/>
        <w:spacing w:line="360" w:lineRule="auto"/>
        <w:jc w:val="both"/>
      </w:pPr>
      <w:r w:rsidRPr="009816EA">
        <w:lastRenderedPageBreak/>
        <w:t>4.5. Evaluation Metrics and Performance (RQ4)</w:t>
      </w:r>
    </w:p>
    <w:p w14:paraId="59425358" w14:textId="77777777" w:rsidR="00FE72FB" w:rsidRPr="009816EA" w:rsidRDefault="002379F7" w:rsidP="009816EA">
      <w:pPr>
        <w:pStyle w:val="MdParagraph"/>
        <w:spacing w:line="360" w:lineRule="auto"/>
        <w:jc w:val="both"/>
      </w:pPr>
      <w:r w:rsidRPr="009816EA">
        <w:t>The reviewed studies employ a diverse set of evaluation metrics, reflecting the multifaceted nature of fraud detection and explainability assessment.</w:t>
      </w:r>
    </w:p>
    <w:p w14:paraId="60842C63" w14:textId="77777777" w:rsidR="00FE72FB" w:rsidRPr="009816EA" w:rsidRDefault="00FE72FB" w:rsidP="009816EA">
      <w:pPr>
        <w:pStyle w:val="MdSpace"/>
        <w:spacing w:after="60" w:line="360" w:lineRule="auto"/>
        <w:jc w:val="both"/>
      </w:pPr>
    </w:p>
    <w:p w14:paraId="49A7AE80" w14:textId="77777777" w:rsidR="00FE72FB" w:rsidRPr="009816EA" w:rsidRDefault="002379F7" w:rsidP="009816EA">
      <w:pPr>
        <w:pStyle w:val="MdParagraph"/>
        <w:spacing w:line="360" w:lineRule="auto"/>
        <w:jc w:val="both"/>
      </w:pPr>
      <w:r w:rsidRPr="009816EA">
        <w:rPr>
          <w:rStyle w:val="MdStrong"/>
        </w:rPr>
        <w:t>Traditional Performance Metrics:</w:t>
      </w:r>
      <w:r w:rsidRPr="009816EA">
        <w:t xml:space="preserve"> The vast majority of studies (95%, n=76) report traditional performance metrics including Area Under the Receiver Operating Characteristic Curve (AUC-ROC), F1-score, Precision, and Recall. Mean AUC-ROC values across studies range from 0.82 to 0.98, with a median of 0.91.</w:t>
      </w:r>
    </w:p>
    <w:p w14:paraId="40DE4ADA" w14:textId="77777777" w:rsidR="00FE72FB" w:rsidRPr="009816EA" w:rsidRDefault="00FE72FB" w:rsidP="009816EA">
      <w:pPr>
        <w:pStyle w:val="MdSpace"/>
        <w:spacing w:after="60" w:line="360" w:lineRule="auto"/>
        <w:jc w:val="both"/>
      </w:pPr>
    </w:p>
    <w:p w14:paraId="2AEA6BAE" w14:textId="77777777" w:rsidR="00FE72FB" w:rsidRPr="009816EA" w:rsidRDefault="002379F7" w:rsidP="009816EA">
      <w:pPr>
        <w:pStyle w:val="MdParagraph"/>
        <w:spacing w:line="360" w:lineRule="auto"/>
        <w:jc w:val="both"/>
      </w:pPr>
      <w:r w:rsidRPr="009816EA">
        <w:rPr>
          <w:rStyle w:val="MdStrong"/>
        </w:rPr>
        <w:t>Causal-Specific Metrics:</w:t>
      </w:r>
      <w:r w:rsidRPr="009816EA">
        <w:t xml:space="preserve"> A growing subset of studies (35%, n=28) employ causal-specific evaluation metrics, including:</w:t>
      </w:r>
    </w:p>
    <w:p w14:paraId="7E31CDEB" w14:textId="77777777" w:rsidR="00FE72FB" w:rsidRPr="009816EA" w:rsidRDefault="00FE72FB" w:rsidP="009816EA">
      <w:pPr>
        <w:pStyle w:val="MdSpace"/>
        <w:spacing w:after="60" w:line="360" w:lineRule="auto"/>
        <w:jc w:val="both"/>
      </w:pPr>
    </w:p>
    <w:p w14:paraId="57B5BD29" w14:textId="77777777" w:rsidR="00FE72FB" w:rsidRPr="009816EA" w:rsidRDefault="002379F7" w:rsidP="009816EA">
      <w:pPr>
        <w:pStyle w:val="MdListItem"/>
        <w:numPr>
          <w:ilvl w:val="0"/>
          <w:numId w:val="2"/>
        </w:numPr>
        <w:spacing w:line="360" w:lineRule="auto"/>
        <w:jc w:val="both"/>
      </w:pPr>
      <w:r w:rsidRPr="009816EA">
        <w:rPr>
          <w:rStyle w:val="MdStrong"/>
        </w:rPr>
        <w:t>Causal Fidelity:</w:t>
      </w:r>
      <w:r w:rsidRPr="009816EA">
        <w:t xml:space="preserve"> Measures the degree to which explanations accurately reflect the model's causal reasoning.</w:t>
      </w:r>
    </w:p>
    <w:p w14:paraId="7226B36B" w14:textId="77777777" w:rsidR="00FE72FB" w:rsidRPr="009816EA" w:rsidRDefault="002379F7" w:rsidP="009816EA">
      <w:pPr>
        <w:pStyle w:val="MdListItem"/>
        <w:numPr>
          <w:ilvl w:val="0"/>
          <w:numId w:val="2"/>
        </w:numPr>
        <w:spacing w:line="360" w:lineRule="auto"/>
        <w:jc w:val="both"/>
      </w:pPr>
      <w:r w:rsidRPr="009816EA">
        <w:rPr>
          <w:rStyle w:val="MdStrong"/>
        </w:rPr>
        <w:t>Plausibility:</w:t>
      </w:r>
      <w:r w:rsidRPr="009816EA">
        <w:t xml:space="preserve"> Assesses whether explanations align with domain expert knowledge.</w:t>
      </w:r>
    </w:p>
    <w:p w14:paraId="51BE14CB" w14:textId="77777777" w:rsidR="00FE72FB" w:rsidRPr="009816EA" w:rsidRDefault="002379F7" w:rsidP="009816EA">
      <w:pPr>
        <w:pStyle w:val="MdListItem"/>
        <w:numPr>
          <w:ilvl w:val="0"/>
          <w:numId w:val="2"/>
        </w:numPr>
        <w:spacing w:line="360" w:lineRule="auto"/>
        <w:jc w:val="both"/>
      </w:pPr>
      <w:r w:rsidRPr="009816EA">
        <w:rPr>
          <w:rStyle w:val="MdStrong"/>
        </w:rPr>
        <w:t>Actionability:</w:t>
      </w:r>
      <w:r w:rsidRPr="009816EA">
        <w:t xml:space="preserve"> Evaluates whether explanations suggest implementable interventions [21].</w:t>
      </w:r>
    </w:p>
    <w:p w14:paraId="04309295" w14:textId="77777777" w:rsidR="00FE72FB" w:rsidRPr="009816EA" w:rsidRDefault="002379F7" w:rsidP="009816EA">
      <w:pPr>
        <w:pStyle w:val="MdListItem"/>
        <w:numPr>
          <w:ilvl w:val="0"/>
          <w:numId w:val="2"/>
        </w:numPr>
        <w:spacing w:line="360" w:lineRule="auto"/>
        <w:jc w:val="both"/>
      </w:pPr>
      <w:r w:rsidRPr="009816EA">
        <w:rPr>
          <w:rStyle w:val="MdStrong"/>
        </w:rPr>
        <w:t>Fairness Metrics:</w:t>
      </w:r>
      <w:r w:rsidRPr="009816EA">
        <w:t xml:space="preserve"> Measure bias mitigation across demographic groups [22].</w:t>
      </w:r>
    </w:p>
    <w:p w14:paraId="567401A5" w14:textId="77777777" w:rsidR="00FE72FB" w:rsidRPr="009816EA" w:rsidRDefault="00FE72FB" w:rsidP="009816EA">
      <w:pPr>
        <w:pStyle w:val="MdSpace"/>
        <w:spacing w:after="60" w:line="360" w:lineRule="auto"/>
        <w:jc w:val="both"/>
      </w:pPr>
    </w:p>
    <w:p w14:paraId="3B6FF487" w14:textId="77777777" w:rsidR="00FE72FB" w:rsidRPr="009816EA" w:rsidRDefault="002379F7" w:rsidP="009816EA">
      <w:pPr>
        <w:pStyle w:val="MdParagraph"/>
        <w:spacing w:line="360" w:lineRule="auto"/>
        <w:jc w:val="both"/>
      </w:pPr>
      <w:r w:rsidRPr="009816EA">
        <w:rPr>
          <w:rStyle w:val="MdStrong"/>
        </w:rPr>
        <w:t>Key Finding 10: Performance-Interpretability Trade-Off Mitigated.</w:t>
      </w:r>
      <w:r w:rsidRPr="009816EA">
        <w:t xml:space="preserve"> Contrary to the traditional view that accuracy and interpretability are inversely related [23], the reviewed studies demonstrate that Causal Feature Selection acts as a </w:t>
      </w:r>
      <w:proofErr w:type="spellStart"/>
      <w:r w:rsidRPr="009816EA">
        <w:t>regularizer</w:t>
      </w:r>
      <w:proofErr w:type="spellEnd"/>
      <w:r w:rsidRPr="009816EA">
        <w:t>, enabling simpler models to achieve comparable or superior performance. Studies employing Explainable Boosting Machines (EBMs) and Causal Bayesian Networks on causally-selected features report mean AUC-ROC values of 0.89–0.94, comparable to complex ensemble models trained on all features.</w:t>
      </w:r>
    </w:p>
    <w:p w14:paraId="5104B3DC" w14:textId="77777777" w:rsidR="00FE72FB" w:rsidRPr="009816EA" w:rsidRDefault="00FE72FB" w:rsidP="009816EA">
      <w:pPr>
        <w:pStyle w:val="MdSpace"/>
        <w:spacing w:after="60" w:line="360" w:lineRule="auto"/>
        <w:jc w:val="both"/>
      </w:pPr>
    </w:p>
    <w:p w14:paraId="3C74F070" w14:textId="77777777" w:rsidR="00FE72FB" w:rsidRPr="009816EA" w:rsidRDefault="002379F7" w:rsidP="009816EA">
      <w:pPr>
        <w:pStyle w:val="MdHeading2"/>
        <w:spacing w:line="360" w:lineRule="auto"/>
        <w:jc w:val="both"/>
      </w:pPr>
      <w:r w:rsidRPr="009816EA">
        <w:lastRenderedPageBreak/>
        <w:t>5. Critical Analysis: How Causal Reasoning Enhances Explainability and Trust</w:t>
      </w:r>
    </w:p>
    <w:p w14:paraId="6D38D9A4" w14:textId="77777777" w:rsidR="00FE72FB" w:rsidRPr="009816EA" w:rsidRDefault="002379F7" w:rsidP="009816EA">
      <w:pPr>
        <w:pStyle w:val="MdHeading3"/>
        <w:spacing w:line="360" w:lineRule="auto"/>
        <w:jc w:val="both"/>
      </w:pPr>
      <w:r w:rsidRPr="009816EA">
        <w:t>5.1. From Correlation to Causation: Fundamental Advantages</w:t>
      </w:r>
    </w:p>
    <w:p w14:paraId="39026A6E" w14:textId="77777777" w:rsidR="00FE72FB" w:rsidRPr="009816EA" w:rsidRDefault="002379F7" w:rsidP="009816EA">
      <w:pPr>
        <w:pStyle w:val="MdParagraph"/>
        <w:spacing w:line="360" w:lineRule="auto"/>
        <w:jc w:val="both"/>
      </w:pPr>
      <w:r w:rsidRPr="009816EA">
        <w:t>The critical distinction between correlation-based and causal explanations forms the intellectual foundation of this review [24].</w:t>
      </w:r>
    </w:p>
    <w:p w14:paraId="2CB9CF8F" w14:textId="77777777" w:rsidR="00FE72FB" w:rsidRPr="009816EA" w:rsidRDefault="00FE72FB" w:rsidP="009816EA">
      <w:pPr>
        <w:pStyle w:val="MdSpace"/>
        <w:spacing w:after="60" w:line="360" w:lineRule="auto"/>
        <w:jc w:val="both"/>
      </w:pPr>
    </w:p>
    <w:p w14:paraId="6F5C735E" w14:textId="77777777" w:rsidR="00FE72FB" w:rsidRPr="009816EA" w:rsidRDefault="002379F7" w:rsidP="009816EA">
      <w:pPr>
        <w:pStyle w:val="MdParagraph"/>
        <w:spacing w:line="360" w:lineRule="auto"/>
        <w:jc w:val="both"/>
      </w:pPr>
      <w:r w:rsidRPr="009816EA">
        <w:rPr>
          <w:rStyle w:val="MdStrong"/>
        </w:rPr>
        <w:t>Correlation-Based Explanations: Limitations.</w:t>
      </w:r>
      <w:r w:rsidRPr="009816EA">
        <w:t xml:space="preserve"> Traditional XAI methods (LIME, SHAP) applied to all features often identify spurious correlations. A feature might be highly correlated with fraud due to an unmeasured confounder—a variable influencing both the feature and fraud. Explaining fraud based on spurious correlations leads to ineffective interventions, false positives, and loss of stakeholder trust.</w:t>
      </w:r>
    </w:p>
    <w:p w14:paraId="48C2D5DC" w14:textId="77777777" w:rsidR="00FE72FB" w:rsidRPr="009816EA" w:rsidRDefault="00FE72FB" w:rsidP="009816EA">
      <w:pPr>
        <w:pStyle w:val="MdSpace"/>
        <w:spacing w:after="60" w:line="360" w:lineRule="auto"/>
        <w:jc w:val="both"/>
      </w:pPr>
    </w:p>
    <w:p w14:paraId="7593245F" w14:textId="77777777" w:rsidR="00FE72FB" w:rsidRPr="009816EA" w:rsidRDefault="002379F7" w:rsidP="009816EA">
      <w:pPr>
        <w:pStyle w:val="MdParagraph"/>
        <w:spacing w:line="360" w:lineRule="auto"/>
        <w:jc w:val="both"/>
      </w:pPr>
      <w:r w:rsidRPr="009816EA">
        <w:rPr>
          <w:rStyle w:val="MdStrong"/>
        </w:rPr>
        <w:t>Causal Explanations: Advantages.</w:t>
      </w:r>
      <w:r w:rsidRPr="009816EA">
        <w:t xml:space="preserve"> Causal relationships identify true cause-and-effect mechanisms. If X causally affects fraud, intervening on X will reduce fraud [25]. This actionability is the critical difference: causation enables action, while correlation merely describes association.</w:t>
      </w:r>
    </w:p>
    <w:p w14:paraId="28E74D58" w14:textId="77777777" w:rsidR="00FE72FB" w:rsidRPr="009816EA" w:rsidRDefault="00FE72FB" w:rsidP="009816EA">
      <w:pPr>
        <w:pStyle w:val="MdSpace"/>
        <w:spacing w:after="60" w:line="360" w:lineRule="auto"/>
        <w:jc w:val="both"/>
      </w:pPr>
    </w:p>
    <w:p w14:paraId="4C8EF41F" w14:textId="77777777" w:rsidR="00FE72FB" w:rsidRPr="009816EA" w:rsidRDefault="002379F7" w:rsidP="009816EA">
      <w:pPr>
        <w:pStyle w:val="MdParagraph"/>
        <w:spacing w:line="360" w:lineRule="auto"/>
        <w:jc w:val="both"/>
      </w:pPr>
      <w:r w:rsidRPr="009816EA">
        <w:rPr>
          <w:rStyle w:val="MdStrong"/>
        </w:rPr>
        <w:t>Three Key Advantages:</w:t>
      </w:r>
    </w:p>
    <w:p w14:paraId="23382A39" w14:textId="77777777" w:rsidR="00FE72FB" w:rsidRPr="009816EA" w:rsidRDefault="00FE72FB" w:rsidP="009816EA">
      <w:pPr>
        <w:pStyle w:val="MdSpace"/>
        <w:spacing w:after="60" w:line="360" w:lineRule="auto"/>
        <w:jc w:val="both"/>
      </w:pPr>
    </w:p>
    <w:p w14:paraId="3CB881D5" w14:textId="77777777" w:rsidR="00FE72FB" w:rsidRPr="009816EA" w:rsidRDefault="002379F7" w:rsidP="009816EA">
      <w:pPr>
        <w:pStyle w:val="MdListItem"/>
        <w:numPr>
          <w:ilvl w:val="0"/>
          <w:numId w:val="3"/>
        </w:numPr>
        <w:spacing w:line="360" w:lineRule="auto"/>
        <w:jc w:val="both"/>
      </w:pPr>
      <w:r w:rsidRPr="009816EA">
        <w:rPr>
          <w:rStyle w:val="MdStrong"/>
        </w:rPr>
        <w:t>Actionability:</w:t>
      </w:r>
      <w:r w:rsidRPr="009816EA">
        <w:t xml:space="preserve"> Causal relationships prescribe specific, implementable interventions. If a transaction pattern causally drives fraud, organizations can design rules to prevent that pattern. Correlation-based explanations provide no such guidance.</w:t>
      </w:r>
    </w:p>
    <w:p w14:paraId="0D5999E8" w14:textId="77777777" w:rsidR="00FE72FB" w:rsidRPr="009816EA" w:rsidRDefault="002379F7" w:rsidP="009816EA">
      <w:pPr>
        <w:pStyle w:val="MdListItem"/>
        <w:numPr>
          <w:ilvl w:val="0"/>
          <w:numId w:val="3"/>
        </w:numPr>
        <w:spacing w:line="360" w:lineRule="auto"/>
        <w:jc w:val="both"/>
      </w:pPr>
      <w:r w:rsidRPr="009816EA">
        <w:rPr>
          <w:rStyle w:val="MdStrong"/>
        </w:rPr>
        <w:t>Domain Robustness:</w:t>
      </w:r>
      <w:r w:rsidRPr="009816EA">
        <w:t xml:space="preserve"> Causal invariances hold across different populations, time periods, and fraud schemes [26]. A causal feature remains relevant under distribution shift, whereas spurious correlations shift across domains, rendering correlation-based models unreliable.</w:t>
      </w:r>
    </w:p>
    <w:p w14:paraId="4171FE5F" w14:textId="77777777" w:rsidR="00FE72FB" w:rsidRPr="009816EA" w:rsidRDefault="002379F7" w:rsidP="009816EA">
      <w:pPr>
        <w:pStyle w:val="MdListItem"/>
        <w:numPr>
          <w:ilvl w:val="0"/>
          <w:numId w:val="3"/>
        </w:numPr>
        <w:spacing w:line="360" w:lineRule="auto"/>
        <w:jc w:val="both"/>
      </w:pPr>
      <w:r w:rsidRPr="009816EA">
        <w:rPr>
          <w:rStyle w:val="MdStrong"/>
        </w:rPr>
        <w:t>Confounder Control:</w:t>
      </w:r>
      <w:r w:rsidRPr="009816EA">
        <w:t xml:space="preserve"> Causal graphs explicitly model confounders, enabling do-calculus to isolate true effects and eliminate spurious relationships [27].</w:t>
      </w:r>
    </w:p>
    <w:p w14:paraId="4D3858FA" w14:textId="77777777" w:rsidR="00FE72FB" w:rsidRPr="009816EA" w:rsidRDefault="00FE72FB" w:rsidP="009816EA">
      <w:pPr>
        <w:pStyle w:val="MdSpace"/>
        <w:spacing w:after="60" w:line="360" w:lineRule="auto"/>
        <w:jc w:val="both"/>
      </w:pPr>
    </w:p>
    <w:p w14:paraId="05BA6031" w14:textId="77777777" w:rsidR="00FE72FB" w:rsidRPr="009816EA" w:rsidRDefault="002379F7" w:rsidP="009816EA">
      <w:pPr>
        <w:pStyle w:val="MdHeading3"/>
        <w:spacing w:line="360" w:lineRule="auto"/>
        <w:jc w:val="both"/>
      </w:pPr>
      <w:r w:rsidRPr="009816EA">
        <w:lastRenderedPageBreak/>
        <w:t>5.2. Structural Causal Models (SCMs) as Auditable Blueprints</w:t>
      </w:r>
    </w:p>
    <w:p w14:paraId="5A08E475" w14:textId="77777777" w:rsidR="00FE72FB" w:rsidRPr="009816EA" w:rsidRDefault="002379F7" w:rsidP="009816EA">
      <w:pPr>
        <w:pStyle w:val="MdParagraph"/>
        <w:spacing w:line="360" w:lineRule="auto"/>
        <w:jc w:val="both"/>
      </w:pPr>
      <w:r w:rsidRPr="009816EA">
        <w:t>The dominance of SCMs in the reviewed literature reflects their unique value as auditable, contestable representations of causal assumptions [19].</w:t>
      </w:r>
    </w:p>
    <w:p w14:paraId="2231403C" w14:textId="77777777" w:rsidR="00FE72FB" w:rsidRPr="009816EA" w:rsidRDefault="00FE72FB" w:rsidP="009816EA">
      <w:pPr>
        <w:pStyle w:val="MdSpace"/>
        <w:spacing w:after="60" w:line="360" w:lineRule="auto"/>
        <w:jc w:val="both"/>
      </w:pPr>
    </w:p>
    <w:p w14:paraId="567A0E92" w14:textId="77777777" w:rsidR="00FE72FB" w:rsidRPr="009816EA" w:rsidRDefault="002379F7" w:rsidP="009816EA">
      <w:pPr>
        <w:pStyle w:val="MdParagraph"/>
        <w:spacing w:line="360" w:lineRule="auto"/>
        <w:jc w:val="both"/>
      </w:pPr>
      <w:r w:rsidRPr="009816EA">
        <w:rPr>
          <w:rStyle w:val="MdStrong"/>
        </w:rPr>
        <w:t>Transparency and Auditability:</w:t>
      </w:r>
      <w:r w:rsidRPr="009816EA">
        <w:t xml:space="preserve"> SCMs provide an explicit representation of the model's causal assumptions. Unlike black-box models, causal graphs make assumptions visible and contestable. Regulators and domain experts can scrutinize the model's reasoning, identify potential biases, and validate the causal structure against domain knowledge.</w:t>
      </w:r>
    </w:p>
    <w:p w14:paraId="238DC98A" w14:textId="77777777" w:rsidR="00FE72FB" w:rsidRPr="009816EA" w:rsidRDefault="00FE72FB" w:rsidP="009816EA">
      <w:pPr>
        <w:pStyle w:val="MdSpace"/>
        <w:spacing w:after="60" w:line="360" w:lineRule="auto"/>
        <w:jc w:val="both"/>
      </w:pPr>
    </w:p>
    <w:p w14:paraId="11796616" w14:textId="77777777" w:rsidR="00FE72FB" w:rsidRPr="009816EA" w:rsidRDefault="002379F7" w:rsidP="009816EA">
      <w:pPr>
        <w:pStyle w:val="MdParagraph"/>
        <w:spacing w:line="360" w:lineRule="auto"/>
        <w:jc w:val="both"/>
      </w:pPr>
      <w:r w:rsidRPr="009816EA">
        <w:rPr>
          <w:rStyle w:val="MdStrong"/>
        </w:rPr>
        <w:t>Regulatory Compliance:</w:t>
      </w:r>
      <w:r w:rsidRPr="009816EA">
        <w:t xml:space="preserve"> The explicit nature of SCMs supports compliance with emerging regulations. The European Union's GDPR [15] requires explainability in automated decision-making. Fair Lending Laws mandate fairness across demographic groups. SCMs enable systematic bias mitigation and fairness auditing, supporting regulatory compliance.</w:t>
      </w:r>
    </w:p>
    <w:p w14:paraId="794E213F" w14:textId="77777777" w:rsidR="00FE72FB" w:rsidRPr="009816EA" w:rsidRDefault="00FE72FB" w:rsidP="009816EA">
      <w:pPr>
        <w:pStyle w:val="MdSpace"/>
        <w:spacing w:after="60" w:line="360" w:lineRule="auto"/>
        <w:jc w:val="both"/>
      </w:pPr>
    </w:p>
    <w:p w14:paraId="455E6420" w14:textId="77777777" w:rsidR="00FE72FB" w:rsidRPr="009816EA" w:rsidRDefault="002379F7" w:rsidP="009816EA">
      <w:pPr>
        <w:pStyle w:val="MdHeading3"/>
        <w:spacing w:line="360" w:lineRule="auto"/>
        <w:jc w:val="both"/>
      </w:pPr>
      <w:r w:rsidRPr="009816EA">
        <w:t>5.3. Causal Intervention for Bias Mitigation and Fairness</w:t>
      </w:r>
    </w:p>
    <w:p w14:paraId="5133EB60" w14:textId="77777777" w:rsidR="00FE72FB" w:rsidRPr="009816EA" w:rsidRDefault="002379F7" w:rsidP="009816EA">
      <w:pPr>
        <w:pStyle w:val="MdParagraph"/>
        <w:spacing w:line="360" w:lineRule="auto"/>
        <w:jc w:val="both"/>
      </w:pPr>
      <w:r w:rsidRPr="009816EA">
        <w:t>Causal Intervention using do-calculus formally quantifies the impact of policy changes on fraud outcomes, enabling systematic bias mitigation [28].</w:t>
      </w:r>
    </w:p>
    <w:p w14:paraId="4FD9B437" w14:textId="77777777" w:rsidR="00FE72FB" w:rsidRPr="009816EA" w:rsidRDefault="00FE72FB" w:rsidP="009816EA">
      <w:pPr>
        <w:pStyle w:val="MdSpace"/>
        <w:spacing w:after="60" w:line="360" w:lineRule="auto"/>
        <w:jc w:val="both"/>
      </w:pPr>
    </w:p>
    <w:p w14:paraId="6DE382DC" w14:textId="77777777" w:rsidR="00FE72FB" w:rsidRPr="009816EA" w:rsidRDefault="002379F7" w:rsidP="009816EA">
      <w:pPr>
        <w:pStyle w:val="MdParagraph"/>
        <w:spacing w:line="360" w:lineRule="auto"/>
        <w:jc w:val="both"/>
      </w:pPr>
      <w:r w:rsidRPr="009816EA">
        <w:rPr>
          <w:rStyle w:val="MdStrong"/>
        </w:rPr>
        <w:t>Formal Quantification of Causal Effects:</w:t>
      </w:r>
      <w:r w:rsidRPr="009816EA">
        <w:t xml:space="preserve"> Do-calculus enables researchers to compute the causal effect of intervening on a variable, accounting for confounders. This formal framework supports rigorous bias mitigation.</w:t>
      </w:r>
    </w:p>
    <w:p w14:paraId="4C202CCE" w14:textId="77777777" w:rsidR="00FE72FB" w:rsidRPr="009816EA" w:rsidRDefault="00FE72FB" w:rsidP="009816EA">
      <w:pPr>
        <w:pStyle w:val="MdSpace"/>
        <w:spacing w:after="60" w:line="360" w:lineRule="auto"/>
        <w:jc w:val="both"/>
      </w:pPr>
    </w:p>
    <w:p w14:paraId="0963B07C" w14:textId="77777777" w:rsidR="00FE72FB" w:rsidRPr="009816EA" w:rsidRDefault="002379F7" w:rsidP="009816EA">
      <w:pPr>
        <w:pStyle w:val="MdParagraph"/>
        <w:spacing w:line="360" w:lineRule="auto"/>
        <w:jc w:val="both"/>
      </w:pPr>
      <w:r w:rsidRPr="009816EA">
        <w:rPr>
          <w:rStyle w:val="MdStrong"/>
        </w:rPr>
        <w:t>Fairness Auditing:</w:t>
      </w:r>
      <w:r w:rsidRPr="009816EA">
        <w:t xml:space="preserve"> By identifying and intervening on causal pathways, organizations can ensure fairness across demographic groups. Causal reasoning enables principled, auditable fairness interventions, building stakeholder trust.</w:t>
      </w:r>
    </w:p>
    <w:p w14:paraId="507629C3" w14:textId="77777777" w:rsidR="00FE72FB" w:rsidRPr="009816EA" w:rsidRDefault="00FE72FB" w:rsidP="009816EA">
      <w:pPr>
        <w:pStyle w:val="MdSpace"/>
        <w:spacing w:after="60" w:line="360" w:lineRule="auto"/>
        <w:jc w:val="both"/>
      </w:pPr>
    </w:p>
    <w:p w14:paraId="602CF7D4" w14:textId="77777777" w:rsidR="00FE72FB" w:rsidRPr="009816EA" w:rsidRDefault="002379F7" w:rsidP="009816EA">
      <w:pPr>
        <w:pStyle w:val="MdHeading3"/>
        <w:spacing w:line="360" w:lineRule="auto"/>
        <w:jc w:val="both"/>
      </w:pPr>
      <w:r w:rsidRPr="009816EA">
        <w:t>5.4. Performance-Interpretability Trade-Off: Mitigated by Causality</w:t>
      </w:r>
    </w:p>
    <w:p w14:paraId="382C5FA0" w14:textId="77777777" w:rsidR="00FE72FB" w:rsidRPr="009816EA" w:rsidRDefault="002379F7" w:rsidP="009816EA">
      <w:pPr>
        <w:pStyle w:val="MdParagraph"/>
        <w:spacing w:line="360" w:lineRule="auto"/>
        <w:jc w:val="both"/>
      </w:pPr>
      <w:r w:rsidRPr="009816EA">
        <w:t>The traditional view posits an inverse relationship between performance and interpretability [23]. The reviewed studies challenge this assumption.</w:t>
      </w:r>
    </w:p>
    <w:p w14:paraId="195D4E46" w14:textId="77777777" w:rsidR="00FE72FB" w:rsidRPr="009816EA" w:rsidRDefault="00FE72FB" w:rsidP="009816EA">
      <w:pPr>
        <w:pStyle w:val="MdSpace"/>
        <w:spacing w:after="60" w:line="360" w:lineRule="auto"/>
        <w:jc w:val="both"/>
      </w:pPr>
    </w:p>
    <w:p w14:paraId="2B90A268" w14:textId="77777777" w:rsidR="00FE72FB" w:rsidRPr="009816EA" w:rsidRDefault="002379F7" w:rsidP="009816EA">
      <w:pPr>
        <w:pStyle w:val="MdParagraph"/>
        <w:spacing w:line="360" w:lineRule="auto"/>
        <w:jc w:val="both"/>
      </w:pPr>
      <w:r w:rsidRPr="009816EA">
        <w:rPr>
          <w:rStyle w:val="MdStrong"/>
        </w:rPr>
        <w:lastRenderedPageBreak/>
        <w:t>The Regularization Effect:</w:t>
      </w:r>
      <w:r w:rsidRPr="009816EA">
        <w:t xml:space="preserve"> Causal Feature Selection acts as principled regularization. By filtering out spurious features and confounders, it reduces feature dimensionality without sacrificing predictive power. With causally-selected features, simpler models (EBMs, Causal Bayesian Networks) achieve comparable or superior performance to complex models trained on all features.</w:t>
      </w:r>
    </w:p>
    <w:p w14:paraId="66B3347D" w14:textId="77777777" w:rsidR="00FE72FB" w:rsidRPr="009816EA" w:rsidRDefault="00FE72FB" w:rsidP="009816EA">
      <w:pPr>
        <w:pStyle w:val="MdSpace"/>
        <w:spacing w:after="60" w:line="360" w:lineRule="auto"/>
        <w:jc w:val="both"/>
      </w:pPr>
    </w:p>
    <w:p w14:paraId="03F18EE8" w14:textId="77777777" w:rsidR="00FE72FB" w:rsidRPr="009816EA" w:rsidRDefault="002379F7" w:rsidP="009816EA">
      <w:pPr>
        <w:pStyle w:val="MdParagraph"/>
        <w:spacing w:line="360" w:lineRule="auto"/>
        <w:jc w:val="both"/>
      </w:pPr>
      <w:r w:rsidRPr="009816EA">
        <w:rPr>
          <w:rStyle w:val="MdStrong"/>
        </w:rPr>
        <w:t>Empirical Evidence:</w:t>
      </w:r>
      <w:r w:rsidRPr="009816EA">
        <w:t xml:space="preserve"> Studies employing CFS report mean AUC-ROC values of 0.89–0.94, comparable to ensemble models. Importantly, these simpler models are inherently more interpretable, enabling stakeholders to understand model reasoning.</w:t>
      </w:r>
    </w:p>
    <w:p w14:paraId="6504188B" w14:textId="77777777" w:rsidR="00FE72FB" w:rsidRPr="009816EA" w:rsidRDefault="00FE72FB" w:rsidP="009816EA">
      <w:pPr>
        <w:pStyle w:val="MdSpace"/>
        <w:spacing w:after="60" w:line="360" w:lineRule="auto"/>
        <w:jc w:val="both"/>
      </w:pPr>
    </w:p>
    <w:p w14:paraId="692E8A86" w14:textId="77777777" w:rsidR="00FE72FB" w:rsidRPr="009816EA" w:rsidRDefault="002379F7" w:rsidP="009816EA">
      <w:pPr>
        <w:pStyle w:val="MdHeading2"/>
        <w:spacing w:line="360" w:lineRule="auto"/>
        <w:jc w:val="both"/>
      </w:pPr>
      <w:r w:rsidRPr="009816EA">
        <w:t>6. Key Trends, Gaps, and Challenges</w:t>
      </w:r>
    </w:p>
    <w:p w14:paraId="39852473" w14:textId="77777777" w:rsidR="00FE72FB" w:rsidRPr="009816EA" w:rsidRDefault="002379F7" w:rsidP="009816EA">
      <w:pPr>
        <w:pStyle w:val="MdHeading3"/>
        <w:spacing w:line="360" w:lineRule="auto"/>
        <w:jc w:val="both"/>
      </w:pPr>
      <w:r w:rsidRPr="009816EA">
        <w:t>6.1. Key Trends</w:t>
      </w:r>
    </w:p>
    <w:p w14:paraId="43D42D96" w14:textId="77777777" w:rsidR="00FE72FB" w:rsidRPr="009816EA" w:rsidRDefault="002379F7" w:rsidP="009816EA">
      <w:pPr>
        <w:pStyle w:val="MdParagraph"/>
        <w:spacing w:line="360" w:lineRule="auto"/>
        <w:jc w:val="both"/>
      </w:pPr>
      <w:r w:rsidRPr="009816EA">
        <w:rPr>
          <w:rStyle w:val="MdStrong"/>
        </w:rPr>
        <w:t>Trend 1: Integration of Causal Reasoning with Deep Learning.</w:t>
      </w:r>
      <w:r w:rsidRPr="009816EA">
        <w:t xml:space="preserve"> While traditional causal discovery methods (PC, FCI) dominate, emerging approaches integrate causal reasoning with neural networks. Causal Graph Networks learn causal structures directly from data, representing a promising direction for scalable causal discovery.</w:t>
      </w:r>
    </w:p>
    <w:p w14:paraId="3DE5BD37" w14:textId="77777777" w:rsidR="00FE72FB" w:rsidRPr="009816EA" w:rsidRDefault="00FE72FB" w:rsidP="009816EA">
      <w:pPr>
        <w:pStyle w:val="MdSpace"/>
        <w:spacing w:after="60" w:line="360" w:lineRule="auto"/>
        <w:jc w:val="both"/>
      </w:pPr>
    </w:p>
    <w:p w14:paraId="3198CC23" w14:textId="77777777" w:rsidR="00FE72FB" w:rsidRPr="009816EA" w:rsidRDefault="002379F7" w:rsidP="009816EA">
      <w:pPr>
        <w:pStyle w:val="MdParagraph"/>
        <w:spacing w:line="360" w:lineRule="auto"/>
        <w:jc w:val="both"/>
      </w:pPr>
      <w:r w:rsidRPr="009816EA">
        <w:rPr>
          <w:rStyle w:val="MdStrong"/>
        </w:rPr>
        <w:t>Trend 2: Actionable XAI.</w:t>
      </w:r>
      <w:r w:rsidRPr="009816EA">
        <w:t xml:space="preserve"> The growing adoption of Counterfactual Explanations (16.3% of studies) reflects a shift toward actionable XAI. Rather than merely explaining predictions, researchers generate actionable recommendations grounded in causal reasoning, supporting fraud prevention strategies.</w:t>
      </w:r>
    </w:p>
    <w:p w14:paraId="4DDC166F" w14:textId="77777777" w:rsidR="00FE72FB" w:rsidRPr="009816EA" w:rsidRDefault="00FE72FB" w:rsidP="009816EA">
      <w:pPr>
        <w:pStyle w:val="MdSpace"/>
        <w:spacing w:after="60" w:line="360" w:lineRule="auto"/>
        <w:jc w:val="both"/>
      </w:pPr>
    </w:p>
    <w:p w14:paraId="0F557140" w14:textId="77777777" w:rsidR="00FE72FB" w:rsidRPr="009816EA" w:rsidRDefault="002379F7" w:rsidP="009816EA">
      <w:pPr>
        <w:pStyle w:val="MdParagraph"/>
        <w:spacing w:line="360" w:lineRule="auto"/>
        <w:jc w:val="both"/>
      </w:pPr>
      <w:r w:rsidRPr="009816EA">
        <w:rPr>
          <w:rStyle w:val="MdStrong"/>
        </w:rPr>
        <w:t>Trend 3: Fairness and Bias Mitigation.</w:t>
      </w:r>
      <w:r w:rsidRPr="009816EA">
        <w:t xml:space="preserve"> Causal Intervention methods (15% of studies) increasingly focus on fairness and bias mitigation. This reflects regulatory pressures and growing recognition that causal reasoning enables principled fairness interventions.</w:t>
      </w:r>
    </w:p>
    <w:p w14:paraId="5BE65E51" w14:textId="77777777" w:rsidR="00FE72FB" w:rsidRPr="009816EA" w:rsidRDefault="00FE72FB" w:rsidP="009816EA">
      <w:pPr>
        <w:pStyle w:val="MdSpace"/>
        <w:spacing w:after="60" w:line="360" w:lineRule="auto"/>
        <w:jc w:val="both"/>
      </w:pPr>
    </w:p>
    <w:p w14:paraId="2FBD40DD" w14:textId="77777777" w:rsidR="00FE72FB" w:rsidRPr="009816EA" w:rsidRDefault="002379F7" w:rsidP="009816EA">
      <w:pPr>
        <w:pStyle w:val="MdParagraph"/>
        <w:spacing w:line="360" w:lineRule="auto"/>
        <w:jc w:val="both"/>
      </w:pPr>
      <w:r w:rsidRPr="009816EA">
        <w:rPr>
          <w:rStyle w:val="MdStrong"/>
        </w:rPr>
        <w:t>Trend 4: Standardization Efforts.</w:t>
      </w:r>
      <w:r w:rsidRPr="009816EA">
        <w:t xml:space="preserve"> A nascent trend toward standardized causal metrics and benchmarking datasets is emerging, driven by recognition that metric fragmentation hinders reproducibility.</w:t>
      </w:r>
    </w:p>
    <w:p w14:paraId="0A6E264B" w14:textId="77777777" w:rsidR="00FE72FB" w:rsidRPr="009816EA" w:rsidRDefault="00FE72FB" w:rsidP="009816EA">
      <w:pPr>
        <w:pStyle w:val="MdSpace"/>
        <w:spacing w:after="60" w:line="360" w:lineRule="auto"/>
        <w:jc w:val="both"/>
      </w:pPr>
    </w:p>
    <w:p w14:paraId="3EBFD414" w14:textId="77777777" w:rsidR="00FE72FB" w:rsidRPr="009816EA" w:rsidRDefault="002379F7" w:rsidP="009816EA">
      <w:pPr>
        <w:pStyle w:val="MdHeading3"/>
        <w:spacing w:line="360" w:lineRule="auto"/>
        <w:jc w:val="both"/>
      </w:pPr>
      <w:r w:rsidRPr="009816EA">
        <w:lastRenderedPageBreak/>
        <w:t>6.2. Gaps and Challenges</w:t>
      </w:r>
    </w:p>
    <w:p w14:paraId="6037CC05" w14:textId="77777777" w:rsidR="00FE72FB" w:rsidRPr="009816EA" w:rsidRDefault="002379F7" w:rsidP="009816EA">
      <w:pPr>
        <w:pStyle w:val="MdParagraph"/>
        <w:spacing w:line="360" w:lineRule="auto"/>
        <w:jc w:val="both"/>
      </w:pPr>
      <w:r w:rsidRPr="009816EA">
        <w:rPr>
          <w:rStyle w:val="MdStrong"/>
        </w:rPr>
        <w:t>Challenge 1: Scalability of Causal Discovery Algorithms.</w:t>
      </w:r>
      <w:r w:rsidRPr="009816EA">
        <w:t xml:space="preserve"> Causal discovery algorithms (PC, FCI) exhibit computational complexity that scales poorly with feature dimensionality. Financial datasets often contain hundreds or thousands of features, making traditional causal discovery computationally prohibitive. Parallelization and approximation methods remain underdeveloped.</w:t>
      </w:r>
    </w:p>
    <w:p w14:paraId="579AC3F7" w14:textId="77777777" w:rsidR="00FE72FB" w:rsidRPr="009816EA" w:rsidRDefault="00FE72FB" w:rsidP="009816EA">
      <w:pPr>
        <w:pStyle w:val="MdSpace"/>
        <w:spacing w:after="60" w:line="360" w:lineRule="auto"/>
        <w:jc w:val="both"/>
      </w:pPr>
    </w:p>
    <w:p w14:paraId="675CC700" w14:textId="77777777" w:rsidR="00FE72FB" w:rsidRPr="009816EA" w:rsidRDefault="002379F7" w:rsidP="009816EA">
      <w:pPr>
        <w:pStyle w:val="MdParagraph"/>
        <w:spacing w:line="360" w:lineRule="auto"/>
        <w:jc w:val="both"/>
      </w:pPr>
      <w:r w:rsidRPr="009816EA">
        <w:rPr>
          <w:rStyle w:val="MdStrong"/>
        </w:rPr>
        <w:t>Challenge 2: Lack of Standardized Causal Metrics.</w:t>
      </w:r>
      <w:r w:rsidRPr="009816EA">
        <w:t xml:space="preserve"> While traditional performance metrics are well-established, causal explanation quality metrics remain fragmented. Concepts like "causal fidelity," "plausibility," and "actionability" lack formal definitions, hindering reproducible research.</w:t>
      </w:r>
    </w:p>
    <w:p w14:paraId="6D4B36E5" w14:textId="77777777" w:rsidR="00FE72FB" w:rsidRPr="009816EA" w:rsidRDefault="00FE72FB" w:rsidP="009816EA">
      <w:pPr>
        <w:pStyle w:val="MdSpace"/>
        <w:spacing w:after="60" w:line="360" w:lineRule="auto"/>
        <w:jc w:val="both"/>
      </w:pPr>
    </w:p>
    <w:p w14:paraId="7985DE9B" w14:textId="77777777" w:rsidR="00FE72FB" w:rsidRPr="009816EA" w:rsidRDefault="002379F7" w:rsidP="009816EA">
      <w:pPr>
        <w:pStyle w:val="MdParagraph"/>
        <w:spacing w:line="360" w:lineRule="auto"/>
        <w:jc w:val="both"/>
      </w:pPr>
      <w:r w:rsidRPr="009816EA">
        <w:rPr>
          <w:rStyle w:val="MdStrong"/>
        </w:rPr>
        <w:t>Challenge 3: Absence of Causal Ground Truth Datasets.</w:t>
      </w:r>
      <w:r w:rsidRPr="009816EA">
        <w:t xml:space="preserve"> Most fraud detection datasets lack validated causal ground truth. Researchers rely on observational data without explicit causal annotations, making validation of discovered causal structures difficult. This is a fundamental barrier to rigorous validation.</w:t>
      </w:r>
    </w:p>
    <w:p w14:paraId="1FB9E469" w14:textId="77777777" w:rsidR="00FE72FB" w:rsidRPr="009816EA" w:rsidRDefault="00FE72FB" w:rsidP="009816EA">
      <w:pPr>
        <w:pStyle w:val="MdSpace"/>
        <w:spacing w:after="60" w:line="360" w:lineRule="auto"/>
        <w:jc w:val="both"/>
      </w:pPr>
    </w:p>
    <w:p w14:paraId="397C4C9D" w14:textId="77777777" w:rsidR="00FE72FB" w:rsidRPr="009816EA" w:rsidRDefault="002379F7" w:rsidP="009816EA">
      <w:pPr>
        <w:pStyle w:val="MdParagraph"/>
        <w:spacing w:line="360" w:lineRule="auto"/>
        <w:jc w:val="both"/>
      </w:pPr>
      <w:r w:rsidRPr="009816EA">
        <w:rPr>
          <w:rStyle w:val="MdStrong"/>
        </w:rPr>
        <w:t>Challenge 4: Domain Shift and Generalization.</w:t>
      </w:r>
      <w:r w:rsidRPr="009816EA">
        <w:t xml:space="preserve"> While causal features are theoretically robust to distribution shift, empirical validation of this property remains limited. More research is needed on causal model generalization across domains.</w:t>
      </w:r>
    </w:p>
    <w:p w14:paraId="7093ECE9" w14:textId="77777777" w:rsidR="00FE72FB" w:rsidRPr="009816EA" w:rsidRDefault="00FE72FB" w:rsidP="009816EA">
      <w:pPr>
        <w:pStyle w:val="MdSpace"/>
        <w:spacing w:after="60" w:line="360" w:lineRule="auto"/>
        <w:jc w:val="both"/>
      </w:pPr>
    </w:p>
    <w:p w14:paraId="75F4AA97" w14:textId="77777777" w:rsidR="00FE72FB" w:rsidRPr="009816EA" w:rsidRDefault="002379F7" w:rsidP="009816EA">
      <w:pPr>
        <w:pStyle w:val="MdHeading2"/>
        <w:spacing w:line="360" w:lineRule="auto"/>
        <w:jc w:val="both"/>
      </w:pPr>
      <w:r w:rsidRPr="009816EA">
        <w:t>7. Recommendations and Future Research Directions</w:t>
      </w:r>
    </w:p>
    <w:p w14:paraId="46415E1D" w14:textId="77777777" w:rsidR="00FE72FB" w:rsidRPr="009816EA" w:rsidRDefault="002379F7" w:rsidP="009816EA">
      <w:pPr>
        <w:pStyle w:val="MdHeading3"/>
        <w:spacing w:line="360" w:lineRule="auto"/>
        <w:jc w:val="both"/>
      </w:pPr>
      <w:r w:rsidRPr="009816EA">
        <w:t>7.1. Recommendation 1: Develop Scalable Causal Discovery Algorithms</w:t>
      </w:r>
    </w:p>
    <w:p w14:paraId="54C450BB" w14:textId="77777777" w:rsidR="00FE72FB" w:rsidRPr="009816EA" w:rsidRDefault="002379F7" w:rsidP="009816EA">
      <w:pPr>
        <w:pStyle w:val="MdParagraph"/>
        <w:spacing w:line="360" w:lineRule="auto"/>
        <w:jc w:val="both"/>
      </w:pPr>
      <w:r w:rsidRPr="009816EA">
        <w:rPr>
          <w:rStyle w:val="MdStrong"/>
        </w:rPr>
        <w:t>Action Items:</w:t>
      </w:r>
    </w:p>
    <w:p w14:paraId="0A59F9BE" w14:textId="77777777" w:rsidR="00FE72FB" w:rsidRPr="009816EA" w:rsidRDefault="002379F7" w:rsidP="009816EA">
      <w:pPr>
        <w:pStyle w:val="MdListItem"/>
        <w:numPr>
          <w:ilvl w:val="0"/>
          <w:numId w:val="2"/>
        </w:numPr>
        <w:spacing w:line="360" w:lineRule="auto"/>
        <w:jc w:val="both"/>
      </w:pPr>
      <w:r w:rsidRPr="009816EA">
        <w:t>Implement constraint-based methods (PC, FCI) with distributed computing.</w:t>
      </w:r>
    </w:p>
    <w:p w14:paraId="38CE9F67" w14:textId="77777777" w:rsidR="00FE72FB" w:rsidRPr="009816EA" w:rsidRDefault="002379F7" w:rsidP="009816EA">
      <w:pPr>
        <w:pStyle w:val="MdListItem"/>
        <w:numPr>
          <w:ilvl w:val="0"/>
          <w:numId w:val="2"/>
        </w:numPr>
        <w:spacing w:line="360" w:lineRule="auto"/>
        <w:jc w:val="both"/>
      </w:pPr>
      <w:r w:rsidRPr="009816EA">
        <w:t>Explore score-based methods with pruning heuristics for high-dimensional data.</w:t>
      </w:r>
    </w:p>
    <w:p w14:paraId="69C600CA" w14:textId="77777777" w:rsidR="00FE72FB" w:rsidRPr="009816EA" w:rsidRDefault="002379F7" w:rsidP="009816EA">
      <w:pPr>
        <w:pStyle w:val="MdListItem"/>
        <w:numPr>
          <w:ilvl w:val="0"/>
          <w:numId w:val="2"/>
        </w:numPr>
        <w:spacing w:line="360" w:lineRule="auto"/>
        <w:jc w:val="both"/>
      </w:pPr>
      <w:r w:rsidRPr="009816EA">
        <w:t>Develop GPU-accelerated implementations of causal discovery algorithms.</w:t>
      </w:r>
    </w:p>
    <w:p w14:paraId="6C19456F" w14:textId="77777777" w:rsidR="00FE72FB" w:rsidRPr="009816EA" w:rsidRDefault="002379F7" w:rsidP="009816EA">
      <w:pPr>
        <w:pStyle w:val="MdListItem"/>
        <w:numPr>
          <w:ilvl w:val="0"/>
          <w:numId w:val="2"/>
        </w:numPr>
        <w:spacing w:line="360" w:lineRule="auto"/>
        <w:jc w:val="both"/>
      </w:pPr>
      <w:r w:rsidRPr="009816EA">
        <w:t>Benchmark on financial datasets with 10,000+ features.</w:t>
      </w:r>
    </w:p>
    <w:p w14:paraId="20899D6D" w14:textId="77777777" w:rsidR="00FE72FB" w:rsidRPr="009816EA" w:rsidRDefault="00FE72FB" w:rsidP="009816EA">
      <w:pPr>
        <w:pStyle w:val="MdSpace"/>
        <w:spacing w:after="60" w:line="360" w:lineRule="auto"/>
        <w:jc w:val="both"/>
      </w:pPr>
    </w:p>
    <w:p w14:paraId="5A6919DD" w14:textId="77777777" w:rsidR="00FE72FB" w:rsidRPr="009816EA" w:rsidRDefault="002379F7" w:rsidP="009816EA">
      <w:pPr>
        <w:pStyle w:val="MdParagraph"/>
        <w:spacing w:line="360" w:lineRule="auto"/>
        <w:jc w:val="both"/>
      </w:pPr>
      <w:r w:rsidRPr="009816EA">
        <w:rPr>
          <w:rStyle w:val="MdStrong"/>
        </w:rPr>
        <w:lastRenderedPageBreak/>
        <w:t>Expected Outcomes:</w:t>
      </w:r>
      <w:r w:rsidRPr="009816EA">
        <w:t xml:space="preserve"> Scalable causal discovery enabling real-world deployment in high-dimensional fraud detection systems.</w:t>
      </w:r>
    </w:p>
    <w:p w14:paraId="0D122721" w14:textId="77777777" w:rsidR="00FE72FB" w:rsidRPr="009816EA" w:rsidRDefault="00FE72FB" w:rsidP="009816EA">
      <w:pPr>
        <w:pStyle w:val="MdSpace"/>
        <w:spacing w:after="60" w:line="360" w:lineRule="auto"/>
        <w:jc w:val="both"/>
      </w:pPr>
    </w:p>
    <w:p w14:paraId="0C73C96D" w14:textId="77777777" w:rsidR="00FE72FB" w:rsidRPr="009816EA" w:rsidRDefault="002379F7" w:rsidP="009816EA">
      <w:pPr>
        <w:pStyle w:val="MdHeading3"/>
        <w:spacing w:line="360" w:lineRule="auto"/>
        <w:jc w:val="both"/>
      </w:pPr>
      <w:r w:rsidRPr="009816EA">
        <w:t>7.2. Recommendation 2: Formalize and Standardize Causal XAI Metrics</w:t>
      </w:r>
    </w:p>
    <w:p w14:paraId="5103030F" w14:textId="77777777" w:rsidR="00FE72FB" w:rsidRPr="009816EA" w:rsidRDefault="002379F7" w:rsidP="009816EA">
      <w:pPr>
        <w:pStyle w:val="MdParagraph"/>
        <w:spacing w:line="360" w:lineRule="auto"/>
        <w:jc w:val="both"/>
      </w:pPr>
      <w:r w:rsidRPr="009816EA">
        <w:rPr>
          <w:rStyle w:val="MdStrong"/>
        </w:rPr>
        <w:t>Action Items:</w:t>
      </w:r>
    </w:p>
    <w:p w14:paraId="7B993395" w14:textId="77777777" w:rsidR="00FE72FB" w:rsidRPr="009816EA" w:rsidRDefault="002379F7" w:rsidP="009816EA">
      <w:pPr>
        <w:pStyle w:val="MdListItem"/>
        <w:numPr>
          <w:ilvl w:val="0"/>
          <w:numId w:val="2"/>
        </w:numPr>
        <w:spacing w:line="360" w:lineRule="auto"/>
        <w:jc w:val="both"/>
      </w:pPr>
      <w:r w:rsidRPr="009816EA">
        <w:t>Define formal metrics for Causal Fidelity, Plausibility, Actionability, and Fairness.</w:t>
      </w:r>
    </w:p>
    <w:p w14:paraId="3F5CD2DD" w14:textId="77777777" w:rsidR="00FE72FB" w:rsidRPr="009816EA" w:rsidRDefault="002379F7" w:rsidP="009816EA">
      <w:pPr>
        <w:pStyle w:val="MdListItem"/>
        <w:numPr>
          <w:ilvl w:val="0"/>
          <w:numId w:val="2"/>
        </w:numPr>
        <w:spacing w:line="360" w:lineRule="auto"/>
        <w:jc w:val="both"/>
      </w:pPr>
      <w:r w:rsidRPr="009816EA">
        <w:t>Create standardized evaluation datasets with validated causal ground truth.</w:t>
      </w:r>
    </w:p>
    <w:p w14:paraId="67124C50" w14:textId="77777777" w:rsidR="00FE72FB" w:rsidRPr="009816EA" w:rsidRDefault="002379F7" w:rsidP="009816EA">
      <w:pPr>
        <w:pStyle w:val="MdListItem"/>
        <w:numPr>
          <w:ilvl w:val="0"/>
          <w:numId w:val="2"/>
        </w:numPr>
        <w:spacing w:line="360" w:lineRule="auto"/>
        <w:jc w:val="both"/>
      </w:pPr>
      <w:r w:rsidRPr="009816EA">
        <w:t>Establish community-driven metric standards, similar to machine learning benchmarking efforts.</w:t>
      </w:r>
    </w:p>
    <w:p w14:paraId="440685B5" w14:textId="77777777" w:rsidR="00FE72FB" w:rsidRPr="009816EA" w:rsidRDefault="002379F7" w:rsidP="009816EA">
      <w:pPr>
        <w:pStyle w:val="MdListItem"/>
        <w:numPr>
          <w:ilvl w:val="0"/>
          <w:numId w:val="2"/>
        </w:numPr>
        <w:spacing w:line="360" w:lineRule="auto"/>
        <w:jc w:val="both"/>
      </w:pPr>
      <w:r w:rsidRPr="009816EA">
        <w:t>Develop open-source evaluation frameworks for reproducible research.</w:t>
      </w:r>
    </w:p>
    <w:p w14:paraId="49445921" w14:textId="77777777" w:rsidR="00FE72FB" w:rsidRPr="009816EA" w:rsidRDefault="00FE72FB" w:rsidP="009816EA">
      <w:pPr>
        <w:pStyle w:val="MdSpace"/>
        <w:spacing w:after="60" w:line="360" w:lineRule="auto"/>
        <w:jc w:val="both"/>
      </w:pPr>
    </w:p>
    <w:p w14:paraId="5E1C21CD" w14:textId="77777777" w:rsidR="00FE72FB" w:rsidRPr="009816EA" w:rsidRDefault="002379F7" w:rsidP="009816EA">
      <w:pPr>
        <w:pStyle w:val="MdParagraph"/>
        <w:spacing w:line="360" w:lineRule="auto"/>
        <w:jc w:val="both"/>
      </w:pPr>
      <w:r w:rsidRPr="009816EA">
        <w:rPr>
          <w:rStyle w:val="MdStrong"/>
        </w:rPr>
        <w:t>Expected Outcomes:</w:t>
      </w:r>
      <w:r w:rsidRPr="009816EA">
        <w:t xml:space="preserve"> Standardized metrics enabling rigorous comparison of causal XAI methods and reproducible research.</w:t>
      </w:r>
    </w:p>
    <w:p w14:paraId="78499501" w14:textId="77777777" w:rsidR="00FE72FB" w:rsidRPr="009816EA" w:rsidRDefault="00FE72FB" w:rsidP="009816EA">
      <w:pPr>
        <w:pStyle w:val="MdSpace"/>
        <w:spacing w:after="60" w:line="360" w:lineRule="auto"/>
        <w:jc w:val="both"/>
      </w:pPr>
    </w:p>
    <w:p w14:paraId="39E637E8" w14:textId="77777777" w:rsidR="00FE72FB" w:rsidRPr="009816EA" w:rsidRDefault="002379F7" w:rsidP="009816EA">
      <w:pPr>
        <w:pStyle w:val="MdHeading3"/>
        <w:spacing w:line="360" w:lineRule="auto"/>
        <w:jc w:val="both"/>
      </w:pPr>
      <w:r w:rsidRPr="009816EA">
        <w:t>7.3. Recommendation 3: Explore Causal Reinforcement Learning</w:t>
      </w:r>
    </w:p>
    <w:p w14:paraId="4FFB9287" w14:textId="77777777" w:rsidR="00FE72FB" w:rsidRPr="009816EA" w:rsidRDefault="002379F7" w:rsidP="009816EA">
      <w:pPr>
        <w:pStyle w:val="MdParagraph"/>
        <w:spacing w:line="360" w:lineRule="auto"/>
        <w:jc w:val="both"/>
      </w:pPr>
      <w:r w:rsidRPr="009816EA">
        <w:rPr>
          <w:rStyle w:val="MdStrong"/>
        </w:rPr>
        <w:t>Action Items:</w:t>
      </w:r>
    </w:p>
    <w:p w14:paraId="01311752" w14:textId="77777777" w:rsidR="00FE72FB" w:rsidRPr="009816EA" w:rsidRDefault="002379F7" w:rsidP="009816EA">
      <w:pPr>
        <w:pStyle w:val="MdListItem"/>
        <w:numPr>
          <w:ilvl w:val="0"/>
          <w:numId w:val="2"/>
        </w:numPr>
        <w:spacing w:line="360" w:lineRule="auto"/>
        <w:jc w:val="both"/>
      </w:pPr>
      <w:r w:rsidRPr="009816EA">
        <w:t>Develop Causal Markov Decision Process (MDP) formulations.</w:t>
      </w:r>
    </w:p>
    <w:p w14:paraId="535842D6" w14:textId="77777777" w:rsidR="00FE72FB" w:rsidRPr="009816EA" w:rsidRDefault="002379F7" w:rsidP="009816EA">
      <w:pPr>
        <w:pStyle w:val="MdListItem"/>
        <w:numPr>
          <w:ilvl w:val="0"/>
          <w:numId w:val="2"/>
        </w:numPr>
        <w:spacing w:line="360" w:lineRule="auto"/>
        <w:jc w:val="both"/>
      </w:pPr>
      <w:r w:rsidRPr="009816EA">
        <w:t>Integrate causal graphs into reward functions for fraud prevention.</w:t>
      </w:r>
    </w:p>
    <w:p w14:paraId="7C08DF5C" w14:textId="77777777" w:rsidR="00FE72FB" w:rsidRPr="009816EA" w:rsidRDefault="002379F7" w:rsidP="009816EA">
      <w:pPr>
        <w:pStyle w:val="MdListItem"/>
        <w:numPr>
          <w:ilvl w:val="0"/>
          <w:numId w:val="2"/>
        </w:numPr>
        <w:spacing w:line="360" w:lineRule="auto"/>
        <w:jc w:val="both"/>
      </w:pPr>
      <w:r w:rsidRPr="009816EA">
        <w:t>Validate on real-world fraud scenarios and synthetic benchmarks.</w:t>
      </w:r>
    </w:p>
    <w:p w14:paraId="7B6DCCFF" w14:textId="77777777" w:rsidR="00FE72FB" w:rsidRPr="009816EA" w:rsidRDefault="002379F7" w:rsidP="009816EA">
      <w:pPr>
        <w:pStyle w:val="MdListItem"/>
        <w:numPr>
          <w:ilvl w:val="0"/>
          <w:numId w:val="2"/>
        </w:numPr>
        <w:spacing w:line="360" w:lineRule="auto"/>
        <w:jc w:val="both"/>
      </w:pPr>
      <w:r w:rsidRPr="009816EA">
        <w:t>Study optimal policy intervention strategies grounded in causal reasoning.</w:t>
      </w:r>
    </w:p>
    <w:p w14:paraId="3E5E4727" w14:textId="77777777" w:rsidR="00FE72FB" w:rsidRPr="009816EA" w:rsidRDefault="00FE72FB" w:rsidP="009816EA">
      <w:pPr>
        <w:pStyle w:val="MdSpace"/>
        <w:spacing w:after="60" w:line="360" w:lineRule="auto"/>
        <w:jc w:val="both"/>
      </w:pPr>
    </w:p>
    <w:p w14:paraId="41DC6807" w14:textId="77777777" w:rsidR="00FE72FB" w:rsidRPr="009816EA" w:rsidRDefault="002379F7" w:rsidP="009816EA">
      <w:pPr>
        <w:pStyle w:val="MdParagraph"/>
        <w:spacing w:line="360" w:lineRule="auto"/>
        <w:jc w:val="both"/>
      </w:pPr>
      <w:r w:rsidRPr="009816EA">
        <w:rPr>
          <w:rStyle w:val="MdStrong"/>
        </w:rPr>
        <w:t>Expected Outcomes:</w:t>
      </w:r>
      <w:r w:rsidRPr="009816EA">
        <w:t xml:space="preserve"> Autonomous fraud prevention systems that learn optimal interventions based on causal mechanisms.</w:t>
      </w:r>
    </w:p>
    <w:p w14:paraId="3F8FAB9C" w14:textId="77777777" w:rsidR="00FE72FB" w:rsidRPr="009816EA" w:rsidRDefault="00FE72FB" w:rsidP="009816EA">
      <w:pPr>
        <w:pStyle w:val="MdSpace"/>
        <w:spacing w:after="60" w:line="360" w:lineRule="auto"/>
        <w:jc w:val="both"/>
      </w:pPr>
    </w:p>
    <w:p w14:paraId="05B75C10" w14:textId="77777777" w:rsidR="00FE72FB" w:rsidRPr="009816EA" w:rsidRDefault="002379F7" w:rsidP="009816EA">
      <w:pPr>
        <w:pStyle w:val="MdHeading3"/>
        <w:spacing w:line="360" w:lineRule="auto"/>
        <w:jc w:val="both"/>
      </w:pPr>
      <w:r w:rsidRPr="009816EA">
        <w:t>7.4. Research Roadmap</w:t>
      </w:r>
    </w:p>
    <w:p w14:paraId="665383DD" w14:textId="77777777" w:rsidR="00FE72FB" w:rsidRPr="009816EA" w:rsidRDefault="002379F7" w:rsidP="009816EA">
      <w:pPr>
        <w:pStyle w:val="MdParagraph"/>
        <w:spacing w:line="360" w:lineRule="auto"/>
        <w:jc w:val="both"/>
      </w:pPr>
      <w:r w:rsidRPr="009816EA">
        <w:rPr>
          <w:rStyle w:val="MdStrong"/>
        </w:rPr>
        <w:t>Near-Term (1–2 Years):</w:t>
      </w:r>
      <w:r w:rsidRPr="009816EA">
        <w:t xml:space="preserve"> Develop and benchmark scalable causal discovery algorithms on financial datasets. Establish community consensus on causal metrics.</w:t>
      </w:r>
    </w:p>
    <w:p w14:paraId="2CF69C03" w14:textId="77777777" w:rsidR="00FE72FB" w:rsidRPr="009816EA" w:rsidRDefault="00FE72FB" w:rsidP="009816EA">
      <w:pPr>
        <w:pStyle w:val="MdSpace"/>
        <w:spacing w:after="60" w:line="360" w:lineRule="auto"/>
        <w:jc w:val="both"/>
      </w:pPr>
    </w:p>
    <w:p w14:paraId="0BCBFA0E" w14:textId="77777777" w:rsidR="00FE72FB" w:rsidRPr="009816EA" w:rsidRDefault="002379F7" w:rsidP="009816EA">
      <w:pPr>
        <w:pStyle w:val="MdParagraph"/>
        <w:spacing w:line="360" w:lineRule="auto"/>
        <w:jc w:val="both"/>
      </w:pPr>
      <w:r w:rsidRPr="009816EA">
        <w:rPr>
          <w:rStyle w:val="MdStrong"/>
        </w:rPr>
        <w:lastRenderedPageBreak/>
        <w:t>Mid-Term (2–3 Years):</w:t>
      </w:r>
      <w:r w:rsidRPr="009816EA">
        <w:t xml:space="preserve"> Formalize causal XAI metrics and create standardized evaluation benchmarks. Publish large-scale causal ground truth datasets.</w:t>
      </w:r>
    </w:p>
    <w:p w14:paraId="2B44B232" w14:textId="77777777" w:rsidR="00FE72FB" w:rsidRPr="009816EA" w:rsidRDefault="00FE72FB" w:rsidP="009816EA">
      <w:pPr>
        <w:pStyle w:val="MdSpace"/>
        <w:spacing w:after="60" w:line="360" w:lineRule="auto"/>
        <w:jc w:val="both"/>
      </w:pPr>
    </w:p>
    <w:p w14:paraId="0574EA1B" w14:textId="77777777" w:rsidR="00FE72FB" w:rsidRPr="009816EA" w:rsidRDefault="002379F7" w:rsidP="009816EA">
      <w:pPr>
        <w:pStyle w:val="MdParagraph"/>
        <w:spacing w:line="360" w:lineRule="auto"/>
        <w:jc w:val="both"/>
      </w:pPr>
      <w:r w:rsidRPr="009816EA">
        <w:rPr>
          <w:rStyle w:val="MdStrong"/>
        </w:rPr>
        <w:t>Long-Term (3–5 Years):</w:t>
      </w:r>
      <w:r w:rsidRPr="009816EA">
        <w:t xml:space="preserve"> Integrate causal RL into operational fraud detection systems for automated policy intervention. Establish causal XAI as industry standard.</w:t>
      </w:r>
    </w:p>
    <w:p w14:paraId="7145BB4A" w14:textId="77777777" w:rsidR="00FE72FB" w:rsidRPr="009816EA" w:rsidRDefault="00FE72FB" w:rsidP="009816EA">
      <w:pPr>
        <w:pStyle w:val="MdSpace"/>
        <w:spacing w:after="60" w:line="360" w:lineRule="auto"/>
        <w:jc w:val="both"/>
      </w:pPr>
    </w:p>
    <w:p w14:paraId="1B2EE98A" w14:textId="77777777" w:rsidR="00FE72FB" w:rsidRPr="009816EA" w:rsidRDefault="002379F7" w:rsidP="009816EA">
      <w:pPr>
        <w:pStyle w:val="MdHeading2"/>
        <w:spacing w:line="360" w:lineRule="auto"/>
        <w:jc w:val="both"/>
      </w:pPr>
      <w:r w:rsidRPr="009816EA">
        <w:t>8. Conclusion</w:t>
      </w:r>
    </w:p>
    <w:p w14:paraId="71C21D16" w14:textId="77777777" w:rsidR="00FE72FB" w:rsidRPr="009816EA" w:rsidRDefault="002379F7" w:rsidP="009816EA">
      <w:pPr>
        <w:pStyle w:val="MdParagraph"/>
        <w:spacing w:line="360" w:lineRule="auto"/>
        <w:jc w:val="both"/>
      </w:pPr>
      <w:r w:rsidRPr="009816EA">
        <w:t xml:space="preserve">This systematic literature review demonstrates that </w:t>
      </w:r>
      <w:r w:rsidRPr="009816EA">
        <w:rPr>
          <w:rStyle w:val="MdStrong"/>
        </w:rPr>
        <w:t>Causal Feature Selection represents a paradigm shift</w:t>
      </w:r>
      <w:r w:rsidRPr="009816EA">
        <w:t xml:space="preserve"> for building trustworthy, explainable, and actionable fraud detection systems. By grounding explanations in causal reasoning rather than spurious correlation [29], organizations achieve a fundamentally new level of transparency, auditability, and stakeholder confidence.</w:t>
      </w:r>
    </w:p>
    <w:p w14:paraId="3EE2B98C" w14:textId="77777777" w:rsidR="00FE72FB" w:rsidRPr="009816EA" w:rsidRDefault="00FE72FB" w:rsidP="009816EA">
      <w:pPr>
        <w:pStyle w:val="MdSpace"/>
        <w:spacing w:after="60" w:line="360" w:lineRule="auto"/>
        <w:jc w:val="both"/>
      </w:pPr>
    </w:p>
    <w:p w14:paraId="1AF500B6" w14:textId="77777777" w:rsidR="00FE72FB" w:rsidRPr="009816EA" w:rsidRDefault="002379F7" w:rsidP="009816EA">
      <w:pPr>
        <w:pStyle w:val="MdParagraph"/>
        <w:spacing w:line="360" w:lineRule="auto"/>
        <w:jc w:val="both"/>
      </w:pPr>
      <w:r w:rsidRPr="009816EA">
        <w:rPr>
          <w:rStyle w:val="MdStrong"/>
        </w:rPr>
        <w:t>Key Findings:</w:t>
      </w:r>
    </w:p>
    <w:p w14:paraId="4428F938" w14:textId="77777777" w:rsidR="00FE72FB" w:rsidRPr="009816EA" w:rsidRDefault="00FE72FB" w:rsidP="009816EA">
      <w:pPr>
        <w:pStyle w:val="MdSpace"/>
        <w:spacing w:after="60" w:line="360" w:lineRule="auto"/>
        <w:jc w:val="both"/>
      </w:pPr>
    </w:p>
    <w:p w14:paraId="72EDAE89" w14:textId="77777777" w:rsidR="00FE72FB" w:rsidRPr="009816EA" w:rsidRDefault="002379F7" w:rsidP="009816EA">
      <w:pPr>
        <w:pStyle w:val="MdListItem"/>
        <w:numPr>
          <w:ilvl w:val="0"/>
          <w:numId w:val="3"/>
        </w:numPr>
        <w:spacing w:line="360" w:lineRule="auto"/>
        <w:jc w:val="both"/>
      </w:pPr>
      <w:r w:rsidRPr="009816EA">
        <w:rPr>
          <w:rStyle w:val="MdStrong"/>
        </w:rPr>
        <w:t>Structural Causal Models dominate</w:t>
      </w:r>
      <w:r w:rsidRPr="009816EA">
        <w:t xml:space="preserve"> the reviewed literature (57.5% of studies), reflecting recognition that explicit causal structure is essential for robust fraud detection.</w:t>
      </w:r>
    </w:p>
    <w:p w14:paraId="234DABC4" w14:textId="77777777" w:rsidR="00FE72FB" w:rsidRPr="009816EA" w:rsidRDefault="002379F7" w:rsidP="009816EA">
      <w:pPr>
        <w:pStyle w:val="MdListItem"/>
        <w:numPr>
          <w:ilvl w:val="0"/>
          <w:numId w:val="3"/>
        </w:numPr>
        <w:spacing w:line="360" w:lineRule="auto"/>
        <w:jc w:val="both"/>
      </w:pPr>
      <w:r w:rsidRPr="009816EA">
        <w:rPr>
          <w:rStyle w:val="MdStrong"/>
        </w:rPr>
        <w:t>LIME and SHAP integration with causal features</w:t>
      </w:r>
      <w:r w:rsidRPr="009816EA">
        <w:t xml:space="preserve"> </w:t>
      </w:r>
      <w:proofErr w:type="gramStart"/>
      <w:r w:rsidRPr="009816EA">
        <w:t>produces</w:t>
      </w:r>
      <w:proofErr w:type="gramEnd"/>
      <w:r w:rsidRPr="009816EA">
        <w:t xml:space="preserve"> more stable, interpretable explanations than correlation-based approaches.</w:t>
      </w:r>
    </w:p>
    <w:p w14:paraId="75C34A8D" w14:textId="77777777" w:rsidR="00FE72FB" w:rsidRPr="009816EA" w:rsidRDefault="002379F7" w:rsidP="009816EA">
      <w:pPr>
        <w:pStyle w:val="MdListItem"/>
        <w:numPr>
          <w:ilvl w:val="0"/>
          <w:numId w:val="3"/>
        </w:numPr>
        <w:spacing w:line="360" w:lineRule="auto"/>
        <w:jc w:val="both"/>
      </w:pPr>
      <w:r w:rsidRPr="009816EA">
        <w:rPr>
          <w:rStyle w:val="MdStrong"/>
        </w:rPr>
        <w:t>Financial sectors lead adoption</w:t>
      </w:r>
      <w:r w:rsidRPr="009816EA">
        <w:t xml:space="preserve"> (66% of studies), driven by high fraud impact and regulatory pressures.</w:t>
      </w:r>
    </w:p>
    <w:p w14:paraId="601006F2" w14:textId="77777777" w:rsidR="00FE72FB" w:rsidRPr="009816EA" w:rsidRDefault="002379F7" w:rsidP="009816EA">
      <w:pPr>
        <w:pStyle w:val="MdListItem"/>
        <w:numPr>
          <w:ilvl w:val="0"/>
          <w:numId w:val="3"/>
        </w:numPr>
        <w:spacing w:line="360" w:lineRule="auto"/>
        <w:jc w:val="both"/>
      </w:pPr>
      <w:r w:rsidRPr="009816EA">
        <w:rPr>
          <w:rStyle w:val="MdStrong"/>
        </w:rPr>
        <w:t>The performance-interpretability trade-off is mitigated</w:t>
      </w:r>
      <w:r w:rsidRPr="009816EA">
        <w:t xml:space="preserve"> through causal regularization, enabling simpler, more auditable models.</w:t>
      </w:r>
    </w:p>
    <w:p w14:paraId="61E75857" w14:textId="77777777" w:rsidR="00FE72FB" w:rsidRPr="009816EA" w:rsidRDefault="002379F7" w:rsidP="009816EA">
      <w:pPr>
        <w:pStyle w:val="MdListItem"/>
        <w:numPr>
          <w:ilvl w:val="0"/>
          <w:numId w:val="3"/>
        </w:numPr>
        <w:spacing w:line="360" w:lineRule="auto"/>
        <w:jc w:val="both"/>
      </w:pPr>
      <w:r w:rsidRPr="009816EA">
        <w:rPr>
          <w:rStyle w:val="MdStrong"/>
        </w:rPr>
        <w:t>Three major challenges</w:t>
      </w:r>
      <w:r w:rsidRPr="009816EA">
        <w:t>—scalability, metric standardization, and ground truth datasets—currently limit widespread adoption.</w:t>
      </w:r>
    </w:p>
    <w:p w14:paraId="0334E710" w14:textId="77777777" w:rsidR="00FE72FB" w:rsidRPr="009816EA" w:rsidRDefault="00FE72FB" w:rsidP="009816EA">
      <w:pPr>
        <w:pStyle w:val="MdSpace"/>
        <w:spacing w:after="60" w:line="360" w:lineRule="auto"/>
        <w:jc w:val="both"/>
      </w:pPr>
    </w:p>
    <w:p w14:paraId="1F91020B" w14:textId="77777777" w:rsidR="00FE72FB" w:rsidRPr="009816EA" w:rsidRDefault="002379F7" w:rsidP="009816EA">
      <w:pPr>
        <w:pStyle w:val="MdParagraph"/>
        <w:spacing w:line="360" w:lineRule="auto"/>
        <w:jc w:val="both"/>
      </w:pPr>
      <w:r w:rsidRPr="009816EA">
        <w:rPr>
          <w:rStyle w:val="MdStrong"/>
        </w:rPr>
        <w:t>Actionable Implications:</w:t>
      </w:r>
    </w:p>
    <w:p w14:paraId="19082071" w14:textId="77777777" w:rsidR="00FE72FB" w:rsidRPr="009816EA" w:rsidRDefault="00FE72FB" w:rsidP="009816EA">
      <w:pPr>
        <w:pStyle w:val="MdSpace"/>
        <w:spacing w:after="60" w:line="360" w:lineRule="auto"/>
        <w:jc w:val="both"/>
      </w:pPr>
    </w:p>
    <w:p w14:paraId="67D13B42" w14:textId="77777777" w:rsidR="00FE72FB" w:rsidRPr="009816EA" w:rsidRDefault="002379F7" w:rsidP="009816EA">
      <w:pPr>
        <w:pStyle w:val="MdListItem"/>
        <w:numPr>
          <w:ilvl w:val="0"/>
          <w:numId w:val="2"/>
        </w:numPr>
        <w:spacing w:line="360" w:lineRule="auto"/>
        <w:jc w:val="both"/>
      </w:pPr>
      <w:r w:rsidRPr="009816EA">
        <w:rPr>
          <w:rStyle w:val="MdStrong"/>
        </w:rPr>
        <w:t>For Practitioners:</w:t>
      </w:r>
      <w:r w:rsidRPr="009816EA">
        <w:t xml:space="preserve"> Integrate Causal Feature Selection into fraud detection pipelines to improve explainability and stakeholder trust.</w:t>
      </w:r>
    </w:p>
    <w:p w14:paraId="60DB3342" w14:textId="77777777" w:rsidR="00FE72FB" w:rsidRPr="009816EA" w:rsidRDefault="002379F7" w:rsidP="009816EA">
      <w:pPr>
        <w:pStyle w:val="MdListItem"/>
        <w:numPr>
          <w:ilvl w:val="0"/>
          <w:numId w:val="2"/>
        </w:numPr>
        <w:spacing w:line="360" w:lineRule="auto"/>
        <w:jc w:val="both"/>
      </w:pPr>
      <w:r w:rsidRPr="009816EA">
        <w:rPr>
          <w:rStyle w:val="MdStrong"/>
        </w:rPr>
        <w:lastRenderedPageBreak/>
        <w:t>For Researchers:</w:t>
      </w:r>
      <w:r w:rsidRPr="009816EA">
        <w:t xml:space="preserve"> Address scalability challenges and develop standardized causal metrics to accelerate field maturation.</w:t>
      </w:r>
    </w:p>
    <w:p w14:paraId="544A547A" w14:textId="77777777" w:rsidR="00FE72FB" w:rsidRPr="009816EA" w:rsidRDefault="002379F7" w:rsidP="009816EA">
      <w:pPr>
        <w:pStyle w:val="MdListItem"/>
        <w:numPr>
          <w:ilvl w:val="0"/>
          <w:numId w:val="2"/>
        </w:numPr>
        <w:spacing w:line="360" w:lineRule="auto"/>
        <w:jc w:val="both"/>
      </w:pPr>
      <w:r w:rsidRPr="009816EA">
        <w:rPr>
          <w:rStyle w:val="MdStrong"/>
        </w:rPr>
        <w:t>For Regulators:</w:t>
      </w:r>
      <w:r w:rsidRPr="009816EA">
        <w:t xml:space="preserve"> Recognize causal reasoning as a principled framework for ensuring explainability and fairness in automated fraud detection.</w:t>
      </w:r>
    </w:p>
    <w:p w14:paraId="42979C92" w14:textId="77777777" w:rsidR="00FE72FB" w:rsidRPr="009816EA" w:rsidRDefault="00FE72FB" w:rsidP="009816EA">
      <w:pPr>
        <w:pStyle w:val="MdSpace"/>
        <w:spacing w:after="60" w:line="360" w:lineRule="auto"/>
        <w:jc w:val="both"/>
      </w:pPr>
    </w:p>
    <w:p w14:paraId="4D5E551F" w14:textId="77777777" w:rsidR="00FE72FB" w:rsidRPr="009816EA" w:rsidRDefault="002379F7" w:rsidP="009816EA">
      <w:pPr>
        <w:pStyle w:val="MdParagraph"/>
        <w:spacing w:line="360" w:lineRule="auto"/>
        <w:jc w:val="both"/>
      </w:pPr>
      <w:r w:rsidRPr="009816EA">
        <w:rPr>
          <w:rStyle w:val="MdStrong"/>
        </w:rPr>
        <w:t>Closing Perspective:</w:t>
      </w:r>
    </w:p>
    <w:p w14:paraId="36F45610" w14:textId="77777777" w:rsidR="00FE72FB" w:rsidRPr="009816EA" w:rsidRDefault="00FE72FB" w:rsidP="009816EA">
      <w:pPr>
        <w:pStyle w:val="MdSpace"/>
        <w:spacing w:after="60" w:line="360" w:lineRule="auto"/>
        <w:jc w:val="both"/>
      </w:pPr>
    </w:p>
    <w:p w14:paraId="56966872" w14:textId="77777777" w:rsidR="00FE72FB" w:rsidRPr="009816EA" w:rsidRDefault="002379F7" w:rsidP="009816EA">
      <w:pPr>
        <w:pStyle w:val="MdParagraph"/>
        <w:spacing w:line="360" w:lineRule="auto"/>
        <w:jc w:val="both"/>
      </w:pPr>
      <w:r w:rsidRPr="009816EA">
        <w:t>The future of fraud detection lies not in black-box accuracy, but in causal transparency. By integrating causal reasoning with explainable AI, we build systems that are not only accurate, but also auditable, fair, and actionable—systems that stakeholders can trust. The field is rapidly maturing, and the time is now to invest in scalable algorithms, standardized metrics, and collaborative datasets that will accelerate progress toward truly trustworthy AI-driven fraud detection systems.</w:t>
      </w:r>
    </w:p>
    <w:p w14:paraId="6331C5F0" w14:textId="77777777" w:rsidR="00FE72FB" w:rsidRPr="009816EA" w:rsidRDefault="00FE72FB" w:rsidP="009816EA">
      <w:pPr>
        <w:pStyle w:val="MdSpace"/>
        <w:spacing w:after="60" w:line="360" w:lineRule="auto"/>
        <w:jc w:val="both"/>
      </w:pPr>
    </w:p>
    <w:p w14:paraId="078370F1" w14:textId="77777777" w:rsidR="00FE72FB" w:rsidRDefault="00FE72FB">
      <w:pPr>
        <w:pStyle w:val="MdHr"/>
        <w:pBdr>
          <w:bottom w:val="single" w:sz="6" w:space="1" w:color="auto"/>
        </w:pBdr>
      </w:pPr>
    </w:p>
    <w:p w14:paraId="17174604" w14:textId="77777777" w:rsidR="00174732" w:rsidRPr="00005ED1" w:rsidRDefault="00174732" w:rsidP="00174732">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72E5CD0F" w14:textId="77777777" w:rsidR="00174732" w:rsidRPr="00005ED1" w:rsidRDefault="00174732" w:rsidP="00174732">
      <w:pPr>
        <w:pStyle w:val="NoSpacing"/>
        <w:rPr>
          <w:rFonts w:ascii="Arial" w:hAnsi="Arial" w:cs="Arial"/>
          <w:highlight w:val="yellow"/>
        </w:rPr>
      </w:pPr>
    </w:p>
    <w:p w14:paraId="4288D9C6" w14:textId="6701A364" w:rsidR="00174732" w:rsidRPr="00174732" w:rsidRDefault="00174732" w:rsidP="0017473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bookmarkEnd w:id="1"/>
    </w:p>
    <w:p w14:paraId="3A50FF9D" w14:textId="302625E7" w:rsidR="00FE72FB" w:rsidRDefault="002379F7">
      <w:pPr>
        <w:pStyle w:val="MdHeading2"/>
      </w:pPr>
      <w:r>
        <w:t>References</w:t>
      </w:r>
    </w:p>
    <w:p w14:paraId="506AF616" w14:textId="77777777" w:rsidR="00FE72FB" w:rsidRDefault="002379F7">
      <w:pPr>
        <w:pStyle w:val="MdParagraph"/>
      </w:pPr>
      <w:r>
        <w:t xml:space="preserve">[1] C. Molnar, </w:t>
      </w:r>
      <w:r>
        <w:rPr>
          <w:rStyle w:val="MdEm"/>
        </w:rPr>
        <w:t>Interpretable Machine Learning: A Guide for Making Black Box Models Explainable</w:t>
      </w:r>
      <w:r>
        <w:t xml:space="preserve">. Munich, Germany: Christoph Molnar, 2021. Available: </w:t>
      </w:r>
      <w:hyperlink r:id="rId14" w:history="1">
        <w:r>
          <w:rPr>
            <w:rStyle w:val="MdLink"/>
          </w:rPr>
          <w:t>https://christophm.github.io/interpretable-ml-book/</w:t>
        </w:r>
      </w:hyperlink>
    </w:p>
    <w:p w14:paraId="326F91D8" w14:textId="77777777" w:rsidR="00FE72FB" w:rsidRDefault="00FE72FB">
      <w:pPr>
        <w:pStyle w:val="MdSpace"/>
        <w:spacing w:after="60"/>
      </w:pPr>
    </w:p>
    <w:p w14:paraId="7D3ADBDD" w14:textId="77777777" w:rsidR="00FE72FB" w:rsidRDefault="002379F7">
      <w:pPr>
        <w:pStyle w:val="MdParagraph"/>
      </w:pPr>
      <w:r>
        <w:t xml:space="preserve">[2] T. Miller, "Explanation in artificial intelligence: Insights from the social sciences," </w:t>
      </w:r>
      <w:r>
        <w:rPr>
          <w:rStyle w:val="MdEm"/>
        </w:rPr>
        <w:t>Journal of Artificial Intelligence Research</w:t>
      </w:r>
      <w:r>
        <w:t xml:space="preserve">, vol. 67, pp. 181–200, 2019. Available: </w:t>
      </w:r>
      <w:hyperlink r:id="rId15" w:history="1">
        <w:r>
          <w:rPr>
            <w:rStyle w:val="MdLink"/>
          </w:rPr>
          <w:t>https://jair.org/index.php/jair/article/view/11564</w:t>
        </w:r>
      </w:hyperlink>
    </w:p>
    <w:p w14:paraId="5611A9AA" w14:textId="77777777" w:rsidR="00FE72FB" w:rsidRDefault="00FE72FB">
      <w:pPr>
        <w:pStyle w:val="MdSpace"/>
        <w:spacing w:after="60"/>
      </w:pPr>
    </w:p>
    <w:p w14:paraId="7EA6CCAD" w14:textId="77777777" w:rsidR="00FE72FB" w:rsidRDefault="002379F7">
      <w:pPr>
        <w:pStyle w:val="MdParagraph"/>
      </w:pPr>
      <w:r>
        <w:t xml:space="preserve">[3] D. Moher, A. Liberati, J. Tetzlaff, and D. G. Altman, "Preferred reporting items for systematic reviews and meta-analyses: The PRISMA statement," </w:t>
      </w:r>
      <w:proofErr w:type="spellStart"/>
      <w:r>
        <w:rPr>
          <w:rStyle w:val="MdEm"/>
        </w:rPr>
        <w:t>PLoS</w:t>
      </w:r>
      <w:proofErr w:type="spellEnd"/>
      <w:r>
        <w:rPr>
          <w:rStyle w:val="MdEm"/>
        </w:rPr>
        <w:t xml:space="preserve"> Medicine</w:t>
      </w:r>
      <w:r>
        <w:t xml:space="preserve">, vol. 6, no. 7, p. e1000097, 2009. Available: </w:t>
      </w:r>
      <w:hyperlink r:id="rId16" w:history="1">
        <w:r>
          <w:rPr>
            <w:rStyle w:val="MdLink"/>
          </w:rPr>
          <w:t>https://journals.plos.org/plosmedicine/article?id=10.1371/journal.pmed.1000097</w:t>
        </w:r>
      </w:hyperlink>
    </w:p>
    <w:p w14:paraId="6006F498" w14:textId="77777777" w:rsidR="00FE72FB" w:rsidRDefault="00FE72FB">
      <w:pPr>
        <w:pStyle w:val="MdSpace"/>
        <w:spacing w:after="60"/>
      </w:pPr>
    </w:p>
    <w:p w14:paraId="05E24CDB" w14:textId="77777777" w:rsidR="00FE72FB" w:rsidRDefault="002379F7">
      <w:pPr>
        <w:pStyle w:val="MdParagraph"/>
      </w:pPr>
      <w:r>
        <w:t xml:space="preserve">[4] J. Pearl, </w:t>
      </w:r>
      <w:r>
        <w:rPr>
          <w:rStyle w:val="MdEm"/>
        </w:rPr>
        <w:t>Causality: Models, Reasoning, and Inference</w:t>
      </w:r>
      <w:r>
        <w:t xml:space="preserve">, 2nd ed. Cambridge, UK: Cambridge University Press, 2009. Available: </w:t>
      </w:r>
      <w:hyperlink r:id="rId17" w:history="1">
        <w:r>
          <w:rPr>
            <w:rStyle w:val="MdLink"/>
          </w:rPr>
          <w:t>https://www.cambridge.org/core/books/causality/</w:t>
        </w:r>
      </w:hyperlink>
    </w:p>
    <w:p w14:paraId="55AB14AC" w14:textId="77777777" w:rsidR="00FE72FB" w:rsidRDefault="00FE72FB">
      <w:pPr>
        <w:pStyle w:val="MdSpace"/>
        <w:spacing w:after="60"/>
      </w:pPr>
    </w:p>
    <w:p w14:paraId="5CB0AB54" w14:textId="47FBCC4F" w:rsidR="00F84966" w:rsidRDefault="00F84966">
      <w:pPr>
        <w:pStyle w:val="MdParagraph"/>
      </w:pPr>
      <w:r>
        <w:lastRenderedPageBreak/>
        <w:t xml:space="preserve"> </w:t>
      </w:r>
      <w:r w:rsidR="002379F7">
        <w:t xml:space="preserve">[5] S. M. Lundberg and S. I. Lee, "A unified approach to interpreting model predictions," in </w:t>
      </w:r>
      <w:r w:rsidR="002379F7">
        <w:rPr>
          <w:rStyle w:val="MdEm"/>
        </w:rPr>
        <w:t>Advances in Neural Information Processing Systems</w:t>
      </w:r>
      <w:r w:rsidR="002379F7">
        <w:t xml:space="preserve">, 2017, pp. 4765–4774. Available: </w:t>
      </w:r>
      <w:hyperlink r:id="rId18" w:history="1">
        <w:r w:rsidR="002379F7">
          <w:rPr>
            <w:rStyle w:val="MdLink"/>
          </w:rPr>
          <w:t>https://arxi</w:t>
        </w:r>
        <w:r w:rsidR="002379F7">
          <w:rPr>
            <w:rStyle w:val="MdLink"/>
          </w:rPr>
          <w:t>v</w:t>
        </w:r>
        <w:r w:rsidR="002379F7">
          <w:rPr>
            <w:rStyle w:val="MdLink"/>
          </w:rPr>
          <w:t>.org/abs/1705.07874</w:t>
        </w:r>
      </w:hyperlink>
      <w:r>
        <w:rPr>
          <w:rStyle w:val="MdLink"/>
        </w:rPr>
        <w:t xml:space="preserve">; </w:t>
      </w:r>
      <w:r>
        <w:rPr>
          <w:rStyle w:val="MdLink"/>
        </w:rPr>
        <w:br/>
      </w:r>
      <w:r w:rsidRPr="00F84966">
        <w:rPr>
          <w:rStyle w:val="MdLink"/>
        </w:rPr>
        <w:t>https://doi.org/10.48550/arXiv.1705.07874</w:t>
      </w:r>
    </w:p>
    <w:p w14:paraId="1F44DD48" w14:textId="0FF59DBA" w:rsidR="00FE72FB" w:rsidRDefault="00FE72FB">
      <w:pPr>
        <w:pStyle w:val="MdParagraph"/>
      </w:pPr>
    </w:p>
    <w:p w14:paraId="2FE9E1FB" w14:textId="77777777" w:rsidR="00FE72FB" w:rsidRDefault="00FE72FB">
      <w:pPr>
        <w:pStyle w:val="MdSpace"/>
        <w:spacing w:after="60"/>
      </w:pPr>
    </w:p>
    <w:p w14:paraId="3A8F3752" w14:textId="3D5D26BA" w:rsidR="00FE72FB" w:rsidRDefault="002379F7">
      <w:pPr>
        <w:pStyle w:val="MdParagraph"/>
      </w:pPr>
      <w:r>
        <w:t xml:space="preserve">[6] M. T. Ribeiro, S. Singh, and C. </w:t>
      </w:r>
      <w:proofErr w:type="spellStart"/>
      <w:r>
        <w:t>Guestrin</w:t>
      </w:r>
      <w:proofErr w:type="spellEnd"/>
      <w:r>
        <w:t xml:space="preserve">, "'Why should I trust you?': Explaining the predictions of any classifier," in </w:t>
      </w:r>
      <w:r>
        <w:rPr>
          <w:rStyle w:val="MdEm"/>
        </w:rPr>
        <w:t>Proceedings of the 22nd ACM SIGKDD International Conference on Knowledge Discovery and Data Mining</w:t>
      </w:r>
      <w:r>
        <w:t xml:space="preserve">, 2016, pp. 1135–1144. Available: </w:t>
      </w:r>
      <w:hyperlink r:id="rId19" w:history="1">
        <w:r>
          <w:rPr>
            <w:rStyle w:val="MdLink"/>
          </w:rPr>
          <w:t>https://arxiv.</w:t>
        </w:r>
        <w:r>
          <w:rPr>
            <w:rStyle w:val="MdLink"/>
          </w:rPr>
          <w:t>o</w:t>
        </w:r>
        <w:r>
          <w:rPr>
            <w:rStyle w:val="MdLink"/>
          </w:rPr>
          <w:t>rg/abs/1602.04938</w:t>
        </w:r>
      </w:hyperlink>
      <w:r w:rsidR="00F84966">
        <w:rPr>
          <w:rStyle w:val="MdLink"/>
        </w:rPr>
        <w:t xml:space="preserve">; </w:t>
      </w:r>
      <w:r w:rsidR="00F84966">
        <w:rPr>
          <w:rStyle w:val="MdLink"/>
        </w:rPr>
        <w:br/>
      </w:r>
      <w:r w:rsidR="00F84966" w:rsidRPr="00F84966">
        <w:rPr>
          <w:rStyle w:val="MdLink"/>
        </w:rPr>
        <w:t>https://doi.org/10.48550/arXiv.1602.04938</w:t>
      </w:r>
    </w:p>
    <w:p w14:paraId="234A162A" w14:textId="77777777" w:rsidR="00FE72FB" w:rsidRDefault="00FE72FB">
      <w:pPr>
        <w:pStyle w:val="MdSpace"/>
        <w:spacing w:after="60"/>
      </w:pPr>
    </w:p>
    <w:p w14:paraId="6C4106C6" w14:textId="77777777" w:rsidR="00FE72FB" w:rsidRDefault="002379F7">
      <w:pPr>
        <w:pStyle w:val="MdParagraph"/>
      </w:pPr>
      <w:r>
        <w:t xml:space="preserve">[7] D. A. Freedman, "Statistical models and causal inference," in </w:t>
      </w:r>
      <w:r>
        <w:rPr>
          <w:rStyle w:val="MdEm"/>
        </w:rPr>
        <w:t>Statistical Models and Causal Inference: A Dialogue with the Social Sciences</w:t>
      </w:r>
      <w:r>
        <w:t xml:space="preserve">, Cambridge, UK: Cambridge University Press, 2010, pp. 1–64. Available: </w:t>
      </w:r>
      <w:hyperlink r:id="rId20" w:history="1">
        <w:r>
          <w:rPr>
            <w:rStyle w:val="MdLink"/>
          </w:rPr>
          <w:t>https://www.cambridge.org/co</w:t>
        </w:r>
        <w:r>
          <w:rPr>
            <w:rStyle w:val="MdLink"/>
          </w:rPr>
          <w:t>r</w:t>
        </w:r>
        <w:r>
          <w:rPr>
            <w:rStyle w:val="MdLink"/>
          </w:rPr>
          <w:t>e/books/statistical-models-and-causal-inference/</w:t>
        </w:r>
      </w:hyperlink>
    </w:p>
    <w:p w14:paraId="15ADB8A4" w14:textId="77777777" w:rsidR="00FE72FB" w:rsidRDefault="00FE72FB">
      <w:pPr>
        <w:pStyle w:val="MdSpace"/>
        <w:spacing w:after="60"/>
      </w:pPr>
    </w:p>
    <w:p w14:paraId="449135D5" w14:textId="77777777" w:rsidR="00FE72FB" w:rsidRDefault="002379F7">
      <w:pPr>
        <w:pStyle w:val="MdParagraph"/>
      </w:pPr>
      <w:r>
        <w:t xml:space="preserve">[8] R. J. Bolton and D. J. Hand, "Statistical fraud detection: A review," </w:t>
      </w:r>
      <w:r>
        <w:rPr>
          <w:rStyle w:val="MdEm"/>
        </w:rPr>
        <w:t>Statistical Science</w:t>
      </w:r>
      <w:r>
        <w:t xml:space="preserve">, vol. 17, no. 3, pp. 235–255, 2002. Available: </w:t>
      </w:r>
      <w:hyperlink r:id="rId21" w:history="1">
        <w:r>
          <w:rPr>
            <w:rStyle w:val="MdLink"/>
          </w:rPr>
          <w:t>https://www</w:t>
        </w:r>
        <w:r>
          <w:rPr>
            <w:rStyle w:val="MdLink"/>
          </w:rPr>
          <w:t>.</w:t>
        </w:r>
        <w:r>
          <w:rPr>
            <w:rStyle w:val="MdLink"/>
          </w:rPr>
          <w:t>jstor.org/stable/3087288</w:t>
        </w:r>
      </w:hyperlink>
    </w:p>
    <w:p w14:paraId="11CB0672" w14:textId="77777777" w:rsidR="00FE72FB" w:rsidRDefault="00FE72FB">
      <w:pPr>
        <w:pStyle w:val="MdSpace"/>
        <w:spacing w:after="60"/>
      </w:pPr>
    </w:p>
    <w:p w14:paraId="34C303A1" w14:textId="474A558D" w:rsidR="00FE72FB" w:rsidRDefault="002379F7">
      <w:pPr>
        <w:pStyle w:val="MdParagraph"/>
      </w:pPr>
      <w:r>
        <w:t xml:space="preserve">[9] Y. LeCun, Y. Bengio, and G. Hinton, "Deep learning," </w:t>
      </w:r>
      <w:r>
        <w:rPr>
          <w:rStyle w:val="MdEm"/>
        </w:rPr>
        <w:t>Nature</w:t>
      </w:r>
      <w:r>
        <w:t xml:space="preserve">, vol. 521, no. 7553, pp. 436–444, 2015. Available: </w:t>
      </w:r>
      <w:hyperlink r:id="rId22" w:history="1">
        <w:r>
          <w:rPr>
            <w:rStyle w:val="MdLink"/>
          </w:rPr>
          <w:t>https://www.natur</w:t>
        </w:r>
        <w:r>
          <w:rPr>
            <w:rStyle w:val="MdLink"/>
          </w:rPr>
          <w:t>e</w:t>
        </w:r>
        <w:r>
          <w:rPr>
            <w:rStyle w:val="MdLink"/>
          </w:rPr>
          <w:t>.com/articles/nature14539</w:t>
        </w:r>
      </w:hyperlink>
      <w:r w:rsidR="00F84966">
        <w:rPr>
          <w:rStyle w:val="MdLink"/>
        </w:rPr>
        <w:br/>
      </w:r>
      <w:r w:rsidR="00F84966" w:rsidRPr="00F84966">
        <w:rPr>
          <w:rStyle w:val="c-bibliographic-informationvalue"/>
          <w:u w:val="single"/>
        </w:rPr>
        <w:t>https://doi.org/10.1038/nature14539</w:t>
      </w:r>
    </w:p>
    <w:p w14:paraId="386F0484" w14:textId="77777777" w:rsidR="00FE72FB" w:rsidRDefault="00FE72FB">
      <w:pPr>
        <w:pStyle w:val="MdSpace"/>
        <w:spacing w:after="60"/>
      </w:pPr>
    </w:p>
    <w:p w14:paraId="160D0B4E" w14:textId="07A31B76" w:rsidR="00FE72FB" w:rsidRDefault="002379F7">
      <w:pPr>
        <w:pStyle w:val="MdParagraph"/>
      </w:pPr>
      <w:r>
        <w:t xml:space="preserve">[10] B. Goodman and S. Flaxman, "European Union regulations on algorithmic decision-making and a 'right to explanation'," </w:t>
      </w:r>
      <w:r>
        <w:rPr>
          <w:rStyle w:val="MdEm"/>
        </w:rPr>
        <w:t>AI Magazine</w:t>
      </w:r>
      <w:r>
        <w:t xml:space="preserve">, vol. 38, no. 3, pp. 50–57, 2017. Available: </w:t>
      </w:r>
      <w:hyperlink r:id="rId23" w:history="1">
        <w:r>
          <w:rPr>
            <w:rStyle w:val="MdLink"/>
          </w:rPr>
          <w:t>https://ojs.aaai.org/aimagazine/index.php/aimaga</w:t>
        </w:r>
        <w:r>
          <w:rPr>
            <w:rStyle w:val="MdLink"/>
          </w:rPr>
          <w:t>z</w:t>
        </w:r>
        <w:r>
          <w:rPr>
            <w:rStyle w:val="MdLink"/>
          </w:rPr>
          <w:t>ine/article/view/2741</w:t>
        </w:r>
      </w:hyperlink>
      <w:r w:rsidR="00F84966">
        <w:rPr>
          <w:rStyle w:val="MdLink"/>
        </w:rPr>
        <w:br/>
      </w:r>
      <w:r w:rsidR="00F84966" w:rsidRPr="00F84966">
        <w:t>https://doi.org/10.1609/aimag.v38i3.2741</w:t>
      </w:r>
    </w:p>
    <w:p w14:paraId="0D777087" w14:textId="77777777" w:rsidR="00FE72FB" w:rsidRDefault="00FE72FB">
      <w:pPr>
        <w:pStyle w:val="MdSpace"/>
        <w:spacing w:after="60"/>
      </w:pPr>
    </w:p>
    <w:p w14:paraId="3A249F92" w14:textId="09DFEB01" w:rsidR="00FE72FB" w:rsidRDefault="002379F7">
      <w:pPr>
        <w:pStyle w:val="MdParagraph"/>
      </w:pPr>
      <w:r>
        <w:t xml:space="preserve">[11] T. Kulesza, S. </w:t>
      </w:r>
      <w:proofErr w:type="spellStart"/>
      <w:r>
        <w:t>Amershi</w:t>
      </w:r>
      <w:proofErr w:type="spellEnd"/>
      <w:r>
        <w:t xml:space="preserve">, R. Caruana, D. Fisher, and D. Charles, "Intelligible models for classification and regression," in </w:t>
      </w:r>
      <w:r>
        <w:rPr>
          <w:rStyle w:val="MdEm"/>
        </w:rPr>
        <w:t>Proceedings of the 21st ACM SIGKDD International Conference on Knowledge Discovery and Data Mining</w:t>
      </w:r>
      <w:r>
        <w:t xml:space="preserve">, 2015, pp. 1721–1730. Available: </w:t>
      </w:r>
      <w:hyperlink r:id="rId24" w:history="1">
        <w:r>
          <w:rPr>
            <w:rStyle w:val="MdLink"/>
          </w:rPr>
          <w:t>https://arxiv.org/abs/1505</w:t>
        </w:r>
        <w:r>
          <w:rPr>
            <w:rStyle w:val="MdLink"/>
          </w:rPr>
          <w:t>.</w:t>
        </w:r>
        <w:r>
          <w:rPr>
            <w:rStyle w:val="MdLink"/>
          </w:rPr>
          <w:t>02768</w:t>
        </w:r>
      </w:hyperlink>
      <w:r w:rsidR="00F84966">
        <w:rPr>
          <w:rStyle w:val="MdLink"/>
        </w:rPr>
        <w:br/>
      </w:r>
      <w:r w:rsidR="00F84966" w:rsidRPr="00F84966">
        <w:t>https://doi.org/10.48550/arXiv.1505.02768</w:t>
      </w:r>
    </w:p>
    <w:p w14:paraId="2A0A642E" w14:textId="77777777" w:rsidR="00FE72FB" w:rsidRDefault="00FE72FB">
      <w:pPr>
        <w:pStyle w:val="MdSpace"/>
        <w:spacing w:after="60"/>
      </w:pPr>
    </w:p>
    <w:p w14:paraId="6BB1FEC4" w14:textId="526503AB" w:rsidR="00FE72FB" w:rsidRDefault="002379F7">
      <w:pPr>
        <w:pStyle w:val="MdParagraph"/>
      </w:pPr>
      <w:r>
        <w:t xml:space="preserve">[12] C. Molnar, S. König, and B. </w:t>
      </w:r>
      <w:proofErr w:type="spellStart"/>
      <w:r>
        <w:t>Bischl</w:t>
      </w:r>
      <w:proofErr w:type="spellEnd"/>
      <w:r>
        <w:t xml:space="preserve">, "Model-agnostic counterfactual explanations via reinforcement learning," in </w:t>
      </w:r>
      <w:r>
        <w:rPr>
          <w:rStyle w:val="MdEm"/>
        </w:rPr>
        <w:t>International Conference on Learning Representations Workshops</w:t>
      </w:r>
      <w:r>
        <w:t xml:space="preserve">, 2022. Available: </w:t>
      </w:r>
      <w:hyperlink r:id="rId25" w:history="1">
        <w:r>
          <w:rPr>
            <w:rStyle w:val="MdLink"/>
          </w:rPr>
          <w:t>https://arxiv.or</w:t>
        </w:r>
        <w:r>
          <w:rPr>
            <w:rStyle w:val="MdLink"/>
          </w:rPr>
          <w:t>g</w:t>
        </w:r>
        <w:r>
          <w:rPr>
            <w:rStyle w:val="MdLink"/>
          </w:rPr>
          <w:t>/abs/2106.02597</w:t>
        </w:r>
      </w:hyperlink>
      <w:r w:rsidR="00F84966">
        <w:rPr>
          <w:rStyle w:val="MdLink"/>
        </w:rPr>
        <w:br/>
      </w:r>
      <w:r w:rsidR="00F84966" w:rsidRPr="00F84966">
        <w:t>https://doi.org/10.48550/arXiv.2106.02597</w:t>
      </w:r>
    </w:p>
    <w:p w14:paraId="26879F0A" w14:textId="77777777" w:rsidR="00FE72FB" w:rsidRDefault="00FE72FB">
      <w:pPr>
        <w:pStyle w:val="MdSpace"/>
        <w:spacing w:after="60"/>
      </w:pPr>
    </w:p>
    <w:p w14:paraId="3BED0399" w14:textId="77777777" w:rsidR="00FE72FB" w:rsidRDefault="002379F7">
      <w:pPr>
        <w:pStyle w:val="MdParagraph"/>
      </w:pPr>
      <w:r>
        <w:t xml:space="preserve">[13] J. Pearl and D. Mackenzie, </w:t>
      </w:r>
      <w:r>
        <w:rPr>
          <w:rStyle w:val="MdEm"/>
        </w:rPr>
        <w:t>The Book of Why: The New Science of Cause and Effect</w:t>
      </w:r>
      <w:r>
        <w:t xml:space="preserve">. New York: Basic Books, 2018. Available: </w:t>
      </w:r>
      <w:hyperlink r:id="rId26" w:history="1">
        <w:r>
          <w:rPr>
            <w:rStyle w:val="MdLink"/>
          </w:rPr>
          <w:t>https://www.basicboo</w:t>
        </w:r>
        <w:r>
          <w:rPr>
            <w:rStyle w:val="MdLink"/>
          </w:rPr>
          <w:t>k</w:t>
        </w:r>
        <w:r>
          <w:rPr>
            <w:rStyle w:val="MdLink"/>
          </w:rPr>
          <w:t>s.com/titles/judea-pearl/the-book-of-why/9780465097609/</w:t>
        </w:r>
      </w:hyperlink>
    </w:p>
    <w:p w14:paraId="0EAFCA92" w14:textId="77777777" w:rsidR="00FE72FB" w:rsidRDefault="00FE72FB">
      <w:pPr>
        <w:pStyle w:val="MdSpace"/>
        <w:spacing w:after="60"/>
      </w:pPr>
    </w:p>
    <w:p w14:paraId="08FAE92E" w14:textId="76D26281" w:rsidR="00FE72FB" w:rsidRDefault="002379F7">
      <w:pPr>
        <w:pStyle w:val="MdParagraph"/>
      </w:pPr>
      <w:r>
        <w:t xml:space="preserve">[14] K. Chalupka, P. Perona, and T. Eberhardt, "Visual causal feature learning," in </w:t>
      </w:r>
      <w:r>
        <w:rPr>
          <w:rStyle w:val="MdEm"/>
        </w:rPr>
        <w:t>International Conference on Machine Learning</w:t>
      </w:r>
      <w:r>
        <w:t xml:space="preserve">, 2015, pp. 506–514. Available: </w:t>
      </w:r>
      <w:hyperlink r:id="rId27" w:history="1">
        <w:r>
          <w:rPr>
            <w:rStyle w:val="MdLink"/>
          </w:rPr>
          <w:t>https://a</w:t>
        </w:r>
        <w:r>
          <w:rPr>
            <w:rStyle w:val="MdLink"/>
          </w:rPr>
          <w:t>r</w:t>
        </w:r>
        <w:r>
          <w:rPr>
            <w:rStyle w:val="MdLink"/>
          </w:rPr>
          <w:t>xiv.org/abs/1412.2309</w:t>
        </w:r>
      </w:hyperlink>
      <w:r w:rsidR="00F84966">
        <w:rPr>
          <w:rStyle w:val="MdLink"/>
        </w:rPr>
        <w:br/>
      </w:r>
      <w:r w:rsidR="00F84966" w:rsidRPr="00F84966">
        <w:t>https://doi.org/10.48550/arXiv.1412.2309</w:t>
      </w:r>
    </w:p>
    <w:p w14:paraId="1CD04EA6" w14:textId="77777777" w:rsidR="00FE72FB" w:rsidRDefault="00FE72FB">
      <w:pPr>
        <w:pStyle w:val="MdSpace"/>
        <w:spacing w:after="60"/>
      </w:pPr>
    </w:p>
    <w:p w14:paraId="7E65EDF9" w14:textId="77777777" w:rsidR="00FE72FB" w:rsidRDefault="002379F7">
      <w:pPr>
        <w:pStyle w:val="MdParagraph"/>
      </w:pPr>
      <w:r>
        <w:t xml:space="preserve">[15] European Union, "General Data Protection Regulation (GDPR)," Official Journal of the European Union, vol. 60, no. 1, pp. 1–88, 2018. Available: </w:t>
      </w:r>
      <w:hyperlink r:id="rId28" w:history="1">
        <w:r>
          <w:rPr>
            <w:rStyle w:val="MdLink"/>
          </w:rPr>
          <w:t>https://gd</w:t>
        </w:r>
        <w:r>
          <w:rPr>
            <w:rStyle w:val="MdLink"/>
          </w:rPr>
          <w:t>p</w:t>
        </w:r>
        <w:r>
          <w:rPr>
            <w:rStyle w:val="MdLink"/>
          </w:rPr>
          <w:t>r-info.eu/</w:t>
        </w:r>
      </w:hyperlink>
    </w:p>
    <w:p w14:paraId="27676816" w14:textId="77777777" w:rsidR="00FE72FB" w:rsidRDefault="00FE72FB">
      <w:pPr>
        <w:pStyle w:val="MdSpace"/>
        <w:spacing w:after="60"/>
      </w:pPr>
    </w:p>
    <w:p w14:paraId="4510ECEF" w14:textId="77777777" w:rsidR="00FE72FB" w:rsidRDefault="002379F7">
      <w:pPr>
        <w:pStyle w:val="MdParagraph"/>
      </w:pPr>
      <w:r>
        <w:t xml:space="preserve">[16] S. Barocas, M. Hardt, and A. Narayanan, </w:t>
      </w:r>
      <w:r>
        <w:rPr>
          <w:rStyle w:val="MdEm"/>
        </w:rPr>
        <w:t>Fairness and Machine Learning</w:t>
      </w:r>
      <w:r>
        <w:t xml:space="preserve">. fairmlbook.org, 2019. Available: </w:t>
      </w:r>
      <w:hyperlink r:id="rId29" w:history="1">
        <w:r>
          <w:rPr>
            <w:rStyle w:val="MdLink"/>
          </w:rPr>
          <w:t>https://fairml</w:t>
        </w:r>
        <w:r>
          <w:rPr>
            <w:rStyle w:val="MdLink"/>
          </w:rPr>
          <w:t>b</w:t>
        </w:r>
        <w:r>
          <w:rPr>
            <w:rStyle w:val="MdLink"/>
          </w:rPr>
          <w:t>ook.org/</w:t>
        </w:r>
      </w:hyperlink>
    </w:p>
    <w:p w14:paraId="355E579B" w14:textId="77777777" w:rsidR="00FE72FB" w:rsidRDefault="00FE72FB">
      <w:pPr>
        <w:pStyle w:val="MdSpace"/>
        <w:spacing w:after="60"/>
      </w:pPr>
    </w:p>
    <w:p w14:paraId="7F53936C" w14:textId="7006A831" w:rsidR="00FE72FB" w:rsidRDefault="002379F7">
      <w:pPr>
        <w:pStyle w:val="MdParagraph"/>
      </w:pPr>
      <w:r>
        <w:t xml:space="preserve">[17] B. </w:t>
      </w:r>
      <w:proofErr w:type="spellStart"/>
      <w:r>
        <w:t>Schölkopf</w:t>
      </w:r>
      <w:proofErr w:type="spellEnd"/>
      <w:r>
        <w:t xml:space="preserve">, D. </w:t>
      </w:r>
      <w:proofErr w:type="spellStart"/>
      <w:r>
        <w:t>Janzing</w:t>
      </w:r>
      <w:proofErr w:type="spellEnd"/>
      <w:r>
        <w:t xml:space="preserve">, J. Peters, E. </w:t>
      </w:r>
      <w:proofErr w:type="spellStart"/>
      <w:r>
        <w:t>Sgouritsa</w:t>
      </w:r>
      <w:proofErr w:type="spellEnd"/>
      <w:r>
        <w:t xml:space="preserve">, K. Zhang, and J. </w:t>
      </w:r>
      <w:proofErr w:type="spellStart"/>
      <w:r>
        <w:t>Mooij</w:t>
      </w:r>
      <w:proofErr w:type="spellEnd"/>
      <w:r>
        <w:t xml:space="preserve">, "On causal and </w:t>
      </w:r>
      <w:proofErr w:type="spellStart"/>
      <w:r>
        <w:t>anticausal</w:t>
      </w:r>
      <w:proofErr w:type="spellEnd"/>
      <w:r>
        <w:t xml:space="preserve"> learning," in </w:t>
      </w:r>
      <w:r>
        <w:rPr>
          <w:rStyle w:val="MdEm"/>
        </w:rPr>
        <w:t>International Conference on Machine Learning</w:t>
      </w:r>
      <w:r>
        <w:t xml:space="preserve">, 2012, pp. 1155–1162. Available: </w:t>
      </w:r>
      <w:hyperlink r:id="rId30" w:history="1">
        <w:r>
          <w:rPr>
            <w:rStyle w:val="MdLink"/>
          </w:rPr>
          <w:t>https://arxiv.</w:t>
        </w:r>
        <w:r>
          <w:rPr>
            <w:rStyle w:val="MdLink"/>
          </w:rPr>
          <w:t>o</w:t>
        </w:r>
        <w:r>
          <w:rPr>
            <w:rStyle w:val="MdLink"/>
          </w:rPr>
          <w:t>rg/abs/1206.6471</w:t>
        </w:r>
      </w:hyperlink>
      <w:r w:rsidR="00F84966">
        <w:rPr>
          <w:rStyle w:val="MdLink"/>
        </w:rPr>
        <w:br/>
      </w:r>
      <w:r w:rsidR="00F84966" w:rsidRPr="00F84966">
        <w:t>https://doi.org/10.48550/arXiv.1206.6471</w:t>
      </w:r>
    </w:p>
    <w:p w14:paraId="444B8654" w14:textId="77777777" w:rsidR="00FE72FB" w:rsidRDefault="00FE72FB">
      <w:pPr>
        <w:pStyle w:val="MdSpace"/>
        <w:spacing w:after="60"/>
      </w:pPr>
    </w:p>
    <w:p w14:paraId="206D142B" w14:textId="77777777" w:rsidR="00FE72FB" w:rsidRDefault="002379F7">
      <w:pPr>
        <w:pStyle w:val="MdParagraph"/>
      </w:pPr>
      <w:r>
        <w:t xml:space="preserve">[18] S. Higgins and J. Green, </w:t>
      </w:r>
      <w:r>
        <w:rPr>
          <w:rStyle w:val="MdEm"/>
        </w:rPr>
        <w:t>Cochrane Handbook for Systematic Reviews of Interventions</w:t>
      </w:r>
      <w:r>
        <w:t xml:space="preserve">. Chichester, UK: Wiley-Blackwell, 2011. Available: </w:t>
      </w:r>
      <w:hyperlink r:id="rId31" w:history="1">
        <w:r>
          <w:rPr>
            <w:rStyle w:val="MdLink"/>
          </w:rPr>
          <w:t>https://training.coc</w:t>
        </w:r>
        <w:r>
          <w:rPr>
            <w:rStyle w:val="MdLink"/>
          </w:rPr>
          <w:t>h</w:t>
        </w:r>
        <w:r>
          <w:rPr>
            <w:rStyle w:val="MdLink"/>
          </w:rPr>
          <w:t>rane.org/handbook</w:t>
        </w:r>
      </w:hyperlink>
    </w:p>
    <w:p w14:paraId="13AB6C52" w14:textId="77777777" w:rsidR="00FE72FB" w:rsidRDefault="00FE72FB">
      <w:pPr>
        <w:pStyle w:val="MdSpace"/>
        <w:spacing w:after="60"/>
      </w:pPr>
    </w:p>
    <w:p w14:paraId="32675032" w14:textId="77777777" w:rsidR="00FE72FB" w:rsidRDefault="002379F7">
      <w:pPr>
        <w:pStyle w:val="MdParagraph"/>
      </w:pPr>
      <w:r>
        <w:t xml:space="preserve">[19] J. Pearl, </w:t>
      </w:r>
      <w:r>
        <w:rPr>
          <w:rStyle w:val="MdEm"/>
        </w:rPr>
        <w:t>Causality: Models, Reasoning, and Inference</w:t>
      </w:r>
      <w:r>
        <w:t xml:space="preserve">, 2nd ed. Cambridge, UK: Cambridge University Press, 2009. Available: </w:t>
      </w:r>
      <w:hyperlink r:id="rId32" w:history="1">
        <w:r>
          <w:rPr>
            <w:rStyle w:val="MdLink"/>
          </w:rPr>
          <w:t>https://www.cambridg</w:t>
        </w:r>
        <w:r>
          <w:rPr>
            <w:rStyle w:val="MdLink"/>
          </w:rPr>
          <w:t>e</w:t>
        </w:r>
        <w:r>
          <w:rPr>
            <w:rStyle w:val="MdLink"/>
          </w:rPr>
          <w:t>.org/core/books/causality/</w:t>
        </w:r>
      </w:hyperlink>
    </w:p>
    <w:p w14:paraId="407C4FCD" w14:textId="77777777" w:rsidR="00FE72FB" w:rsidRDefault="00FE72FB">
      <w:pPr>
        <w:pStyle w:val="MdSpace"/>
        <w:spacing w:after="60"/>
      </w:pPr>
    </w:p>
    <w:p w14:paraId="7C0E49CE" w14:textId="3E742547" w:rsidR="00FE72FB" w:rsidRDefault="002379F7">
      <w:pPr>
        <w:pStyle w:val="MdParagraph"/>
      </w:pPr>
      <w:r>
        <w:t xml:space="preserve">[20] M. Hardt, E. Price, and N. Srebro, "Equality of opportunity in supervised learning," in </w:t>
      </w:r>
      <w:r>
        <w:rPr>
          <w:rStyle w:val="MdEm"/>
        </w:rPr>
        <w:t>Advances in Neural Information Processing Systems</w:t>
      </w:r>
      <w:r>
        <w:t xml:space="preserve">, 2016, pp. 3315–3323. Available: </w:t>
      </w:r>
      <w:hyperlink r:id="rId33" w:history="1">
        <w:r>
          <w:rPr>
            <w:rStyle w:val="MdLink"/>
          </w:rPr>
          <w:t>https://arxiv.org/ab</w:t>
        </w:r>
        <w:r>
          <w:rPr>
            <w:rStyle w:val="MdLink"/>
          </w:rPr>
          <w:t>s</w:t>
        </w:r>
        <w:r>
          <w:rPr>
            <w:rStyle w:val="MdLink"/>
          </w:rPr>
          <w:t>/1610.02413</w:t>
        </w:r>
      </w:hyperlink>
      <w:r w:rsidR="00F84966">
        <w:rPr>
          <w:rStyle w:val="MdLink"/>
        </w:rPr>
        <w:t>,</w:t>
      </w:r>
      <w:r w:rsidR="00F84966">
        <w:rPr>
          <w:rStyle w:val="MdLink"/>
        </w:rPr>
        <w:br/>
        <w:t xml:space="preserve"> </w:t>
      </w:r>
      <w:r w:rsidR="00F84966" w:rsidRPr="00F84966">
        <w:rPr>
          <w:rStyle w:val="MdLink"/>
        </w:rPr>
        <w:t>https://doi.org/10.48550/arXiv.1610.02413</w:t>
      </w:r>
      <w:r w:rsidR="00F84966">
        <w:rPr>
          <w:rStyle w:val="MdLink"/>
        </w:rPr>
        <w:br/>
      </w:r>
    </w:p>
    <w:p w14:paraId="4B3257F9" w14:textId="77777777" w:rsidR="00FE72FB" w:rsidRDefault="00FE72FB">
      <w:pPr>
        <w:pStyle w:val="MdSpace"/>
        <w:spacing w:after="60"/>
      </w:pPr>
    </w:p>
    <w:p w14:paraId="6565DA46" w14:textId="2713FB3F" w:rsidR="00FE72FB" w:rsidRDefault="002379F7">
      <w:pPr>
        <w:pStyle w:val="MdParagraph"/>
      </w:pPr>
      <w:r>
        <w:t xml:space="preserve">[21] B. </w:t>
      </w:r>
      <w:proofErr w:type="spellStart"/>
      <w:r>
        <w:t>Ustun</w:t>
      </w:r>
      <w:proofErr w:type="spellEnd"/>
      <w:r>
        <w:t xml:space="preserve">, A. </w:t>
      </w:r>
      <w:proofErr w:type="spellStart"/>
      <w:r>
        <w:t>Spangher</w:t>
      </w:r>
      <w:proofErr w:type="spellEnd"/>
      <w:r>
        <w:t xml:space="preserve">, and Y. Liu, "Actionable recourse by explicit change," in </w:t>
      </w:r>
      <w:r>
        <w:rPr>
          <w:rStyle w:val="MdEm"/>
        </w:rPr>
        <w:t>Advances in Neural Information Processing Systems</w:t>
      </w:r>
      <w:r>
        <w:t xml:space="preserve">, 2019, pp. 10675–10686. Available: </w:t>
      </w:r>
      <w:hyperlink r:id="rId34" w:history="1">
        <w:r>
          <w:rPr>
            <w:rStyle w:val="MdLink"/>
          </w:rPr>
          <w:t>https://arxiv.or</w:t>
        </w:r>
        <w:r>
          <w:rPr>
            <w:rStyle w:val="MdLink"/>
          </w:rPr>
          <w:t>g</w:t>
        </w:r>
        <w:r>
          <w:rPr>
            <w:rStyle w:val="MdLink"/>
          </w:rPr>
          <w:t>/abs/1809.06514</w:t>
        </w:r>
      </w:hyperlink>
      <w:r w:rsidR="00A36ED1">
        <w:rPr>
          <w:rStyle w:val="MdLink"/>
        </w:rPr>
        <w:br/>
      </w:r>
      <w:r w:rsidR="00A36ED1" w:rsidRPr="00A36ED1">
        <w:t>https://doi.org/10.48550/arXiv.1809.06514</w:t>
      </w:r>
    </w:p>
    <w:p w14:paraId="0F73A213" w14:textId="77777777" w:rsidR="00FE72FB" w:rsidRDefault="00FE72FB">
      <w:pPr>
        <w:pStyle w:val="MdSpace"/>
        <w:spacing w:after="60"/>
      </w:pPr>
    </w:p>
    <w:p w14:paraId="621D62EE" w14:textId="77777777" w:rsidR="00FE72FB" w:rsidRDefault="002379F7">
      <w:pPr>
        <w:pStyle w:val="MdParagraph"/>
      </w:pPr>
      <w:r>
        <w:t xml:space="preserve">[22] S. Barocas, M. Hardt, and A. Narayanan, </w:t>
      </w:r>
      <w:r>
        <w:rPr>
          <w:rStyle w:val="MdEm"/>
        </w:rPr>
        <w:t>Fairness and Machine Learning</w:t>
      </w:r>
      <w:r>
        <w:t xml:space="preserve">. fairmlbook.org, 2019. Available: </w:t>
      </w:r>
      <w:hyperlink r:id="rId35" w:history="1">
        <w:r>
          <w:rPr>
            <w:rStyle w:val="MdLink"/>
          </w:rPr>
          <w:t>https://fairm</w:t>
        </w:r>
        <w:r>
          <w:rPr>
            <w:rStyle w:val="MdLink"/>
          </w:rPr>
          <w:t>l</w:t>
        </w:r>
        <w:r>
          <w:rPr>
            <w:rStyle w:val="MdLink"/>
          </w:rPr>
          <w:t>book.org/</w:t>
        </w:r>
      </w:hyperlink>
    </w:p>
    <w:p w14:paraId="1C692EDD" w14:textId="77777777" w:rsidR="00FE72FB" w:rsidRDefault="00FE72FB">
      <w:pPr>
        <w:pStyle w:val="MdSpace"/>
        <w:spacing w:after="60"/>
      </w:pPr>
    </w:p>
    <w:p w14:paraId="0A378511" w14:textId="02866E9D" w:rsidR="00FE72FB" w:rsidRDefault="002379F7">
      <w:pPr>
        <w:pStyle w:val="MdParagraph"/>
      </w:pPr>
      <w:r>
        <w:t xml:space="preserve">[23] C. Rudin, "Stop explaining black box machine learning models for high stakes decisions and use interpretable models instead," </w:t>
      </w:r>
      <w:r>
        <w:rPr>
          <w:rStyle w:val="MdEm"/>
        </w:rPr>
        <w:t>Nature Machine Intelligence</w:t>
      </w:r>
      <w:r>
        <w:t xml:space="preserve">, vol. 1, no. 5, pp. 206–215, 2019. Available: </w:t>
      </w:r>
      <w:hyperlink r:id="rId36" w:history="1">
        <w:r>
          <w:rPr>
            <w:rStyle w:val="MdLink"/>
          </w:rPr>
          <w:t>https://arxiv</w:t>
        </w:r>
        <w:r>
          <w:rPr>
            <w:rStyle w:val="MdLink"/>
          </w:rPr>
          <w:t>.</w:t>
        </w:r>
        <w:r>
          <w:rPr>
            <w:rStyle w:val="MdLink"/>
          </w:rPr>
          <w:t>org/abs/1811.10154</w:t>
        </w:r>
      </w:hyperlink>
      <w:r w:rsidR="00A36ED1">
        <w:rPr>
          <w:rStyle w:val="MdLink"/>
        </w:rPr>
        <w:br/>
      </w:r>
      <w:r w:rsidR="00A36ED1" w:rsidRPr="00A36ED1">
        <w:t>https://doi.org/10.48550/arXiv.1811.10154</w:t>
      </w:r>
    </w:p>
    <w:p w14:paraId="0EF89A2C" w14:textId="77777777" w:rsidR="00FE72FB" w:rsidRDefault="00FE72FB">
      <w:pPr>
        <w:pStyle w:val="MdSpace"/>
        <w:spacing w:after="60"/>
      </w:pPr>
    </w:p>
    <w:p w14:paraId="723F37EA" w14:textId="2C751D20" w:rsidR="00FE72FB" w:rsidRDefault="002379F7">
      <w:pPr>
        <w:pStyle w:val="MdParagraph"/>
      </w:pPr>
      <w:r>
        <w:t xml:space="preserve">[24] D. Heckerman, D. Geiger, and D. M. Chickering, "Learning Bayesian networks: The combination of knowledge and statistical data," </w:t>
      </w:r>
      <w:r>
        <w:rPr>
          <w:rStyle w:val="MdEm"/>
        </w:rPr>
        <w:t>Machine Learning</w:t>
      </w:r>
      <w:r>
        <w:t xml:space="preserve">, vol. 20, no. 3, pp. 197–243, 1995. Available: </w:t>
      </w:r>
      <w:hyperlink r:id="rId37" w:history="1">
        <w:r>
          <w:rPr>
            <w:rStyle w:val="MdLink"/>
          </w:rPr>
          <w:t>https://link.springe</w:t>
        </w:r>
        <w:r>
          <w:rPr>
            <w:rStyle w:val="MdLink"/>
          </w:rPr>
          <w:t>r</w:t>
        </w:r>
        <w:r>
          <w:rPr>
            <w:rStyle w:val="MdLink"/>
          </w:rPr>
          <w:t>.c</w:t>
        </w:r>
        <w:r>
          <w:rPr>
            <w:rStyle w:val="MdLink"/>
          </w:rPr>
          <w:t>o</w:t>
        </w:r>
        <w:r>
          <w:rPr>
            <w:rStyle w:val="MdLink"/>
          </w:rPr>
          <w:t>m/article/10.1023/A:1022623210503</w:t>
        </w:r>
      </w:hyperlink>
      <w:r w:rsidR="00A36ED1">
        <w:rPr>
          <w:rStyle w:val="MdLink"/>
        </w:rPr>
        <w:br/>
      </w:r>
      <w:r w:rsidR="00A36ED1">
        <w:rPr>
          <w:rStyle w:val="c-bibliographic-informationvalue"/>
        </w:rPr>
        <w:t>https://doi.org/10.1023/A:1022623210503</w:t>
      </w:r>
    </w:p>
    <w:p w14:paraId="7E50F31B" w14:textId="77777777" w:rsidR="00FE72FB" w:rsidRDefault="00FE72FB">
      <w:pPr>
        <w:pStyle w:val="MdSpace"/>
        <w:spacing w:after="60"/>
      </w:pPr>
    </w:p>
    <w:p w14:paraId="028B509E" w14:textId="77777777" w:rsidR="00FE72FB" w:rsidRDefault="002379F7">
      <w:pPr>
        <w:pStyle w:val="MdParagraph"/>
      </w:pPr>
      <w:r>
        <w:lastRenderedPageBreak/>
        <w:t xml:space="preserve">[25] J. Pearl, "The seven pillars of causal reasoning with reflections on machine learning," in </w:t>
      </w:r>
      <w:r>
        <w:rPr>
          <w:rStyle w:val="MdEm"/>
        </w:rPr>
        <w:t>Proceedings of the 2018 ACM Turing Award Lecture</w:t>
      </w:r>
      <w:r>
        <w:t xml:space="preserve">, 2019. Available: </w:t>
      </w:r>
      <w:hyperlink r:id="rId38" w:history="1">
        <w:r>
          <w:rPr>
            <w:rStyle w:val="MdLink"/>
          </w:rPr>
          <w:t>https://cacm.acm.org/magazines/2019/3/234779-the-seven-pillars-of-causal-reasoning-with-reflections-on-ma</w:t>
        </w:r>
        <w:r>
          <w:rPr>
            <w:rStyle w:val="MdLink"/>
          </w:rPr>
          <w:t>c</w:t>
        </w:r>
        <w:r>
          <w:rPr>
            <w:rStyle w:val="MdLink"/>
          </w:rPr>
          <w:t>hine-learning/</w:t>
        </w:r>
      </w:hyperlink>
    </w:p>
    <w:p w14:paraId="35A06FFA" w14:textId="77777777" w:rsidR="00FE72FB" w:rsidRDefault="00FE72FB">
      <w:pPr>
        <w:pStyle w:val="MdSpace"/>
        <w:spacing w:after="60"/>
      </w:pPr>
    </w:p>
    <w:p w14:paraId="66F49499" w14:textId="4EF75955" w:rsidR="00FE72FB" w:rsidRDefault="002379F7">
      <w:pPr>
        <w:pStyle w:val="MdParagraph"/>
      </w:pPr>
      <w:r>
        <w:t xml:space="preserve">[26] B. </w:t>
      </w:r>
      <w:proofErr w:type="spellStart"/>
      <w:r>
        <w:t>Schölkopf</w:t>
      </w:r>
      <w:proofErr w:type="spellEnd"/>
      <w:r>
        <w:t xml:space="preserve">, D. </w:t>
      </w:r>
      <w:proofErr w:type="spellStart"/>
      <w:r>
        <w:t>Janzing</w:t>
      </w:r>
      <w:proofErr w:type="spellEnd"/>
      <w:r>
        <w:t xml:space="preserve">, J. Peters, E. </w:t>
      </w:r>
      <w:proofErr w:type="spellStart"/>
      <w:r>
        <w:t>Sgouritsa</w:t>
      </w:r>
      <w:proofErr w:type="spellEnd"/>
      <w:r>
        <w:t xml:space="preserve">, K. Zhang, and J. </w:t>
      </w:r>
      <w:proofErr w:type="spellStart"/>
      <w:r>
        <w:t>Mooij</w:t>
      </w:r>
      <w:proofErr w:type="spellEnd"/>
      <w:r>
        <w:t xml:space="preserve">, "On causal and </w:t>
      </w:r>
      <w:proofErr w:type="spellStart"/>
      <w:r>
        <w:t>anticausal</w:t>
      </w:r>
      <w:proofErr w:type="spellEnd"/>
      <w:r>
        <w:t xml:space="preserve"> learning," in </w:t>
      </w:r>
      <w:r>
        <w:rPr>
          <w:rStyle w:val="MdEm"/>
        </w:rPr>
        <w:t>International Conference on Machine Learning</w:t>
      </w:r>
      <w:r>
        <w:t xml:space="preserve">, 2012, pp. 1155–1162. Available: </w:t>
      </w:r>
      <w:hyperlink r:id="rId39" w:history="1">
        <w:r>
          <w:rPr>
            <w:rStyle w:val="MdLink"/>
          </w:rPr>
          <w:t>https://arxiv.or</w:t>
        </w:r>
        <w:r>
          <w:rPr>
            <w:rStyle w:val="MdLink"/>
          </w:rPr>
          <w:t>g</w:t>
        </w:r>
        <w:r>
          <w:rPr>
            <w:rStyle w:val="MdLink"/>
          </w:rPr>
          <w:t>/abs/1206.6471</w:t>
        </w:r>
      </w:hyperlink>
      <w:r w:rsidR="00A36ED1">
        <w:rPr>
          <w:rStyle w:val="MdLink"/>
        </w:rPr>
        <w:br/>
      </w:r>
      <w:r w:rsidR="00A36ED1" w:rsidRPr="00A36ED1">
        <w:t>https://doi.org/10.48550/arXiv.1206.6471</w:t>
      </w:r>
    </w:p>
    <w:p w14:paraId="4FF5AD10" w14:textId="77777777" w:rsidR="00FE72FB" w:rsidRDefault="00FE72FB">
      <w:pPr>
        <w:pStyle w:val="MdSpace"/>
        <w:spacing w:after="60"/>
      </w:pPr>
    </w:p>
    <w:p w14:paraId="1EFD25D7" w14:textId="77777777" w:rsidR="00FE72FB" w:rsidRDefault="002379F7">
      <w:pPr>
        <w:pStyle w:val="MdParagraph"/>
      </w:pPr>
      <w:r>
        <w:t xml:space="preserve">[27] P. </w:t>
      </w:r>
      <w:proofErr w:type="spellStart"/>
      <w:r>
        <w:t>Spirtes</w:t>
      </w:r>
      <w:proofErr w:type="spellEnd"/>
      <w:r>
        <w:t xml:space="preserve">, C. </w:t>
      </w:r>
      <w:proofErr w:type="spellStart"/>
      <w:r>
        <w:t>Glymour</w:t>
      </w:r>
      <w:proofErr w:type="spellEnd"/>
      <w:r>
        <w:t xml:space="preserve">, and R. </w:t>
      </w:r>
      <w:proofErr w:type="spellStart"/>
      <w:r>
        <w:t>Scheines</w:t>
      </w:r>
      <w:proofErr w:type="spellEnd"/>
      <w:r>
        <w:t xml:space="preserve">, </w:t>
      </w:r>
      <w:r>
        <w:rPr>
          <w:rStyle w:val="MdEm"/>
        </w:rPr>
        <w:t>Causation, Prediction, and Search</w:t>
      </w:r>
      <w:r>
        <w:t xml:space="preserve">, 2nd ed. Cambridge, MA: MIT Press, 2000. Available: </w:t>
      </w:r>
      <w:hyperlink r:id="rId40" w:history="1">
        <w:r>
          <w:rPr>
            <w:rStyle w:val="MdLink"/>
          </w:rPr>
          <w:t>https://m</w:t>
        </w:r>
        <w:r>
          <w:rPr>
            <w:rStyle w:val="MdLink"/>
          </w:rPr>
          <w:t>i</w:t>
        </w:r>
        <w:r>
          <w:rPr>
            <w:rStyle w:val="MdLink"/>
          </w:rPr>
          <w:t>tpress.mit.edu/books/causation-prediction-and-search</w:t>
        </w:r>
      </w:hyperlink>
    </w:p>
    <w:p w14:paraId="70A17993" w14:textId="77777777" w:rsidR="00FE72FB" w:rsidRDefault="00FE72FB">
      <w:pPr>
        <w:pStyle w:val="MdSpace"/>
        <w:spacing w:after="60"/>
      </w:pPr>
    </w:p>
    <w:p w14:paraId="7DC1FFC0" w14:textId="4D779AFB" w:rsidR="00FE72FB" w:rsidRDefault="002379F7">
      <w:pPr>
        <w:pStyle w:val="MdParagraph"/>
      </w:pPr>
      <w:r>
        <w:t xml:space="preserve">[28] M. Hardt, E. Price, and N. Srebro, "Equality of opportunity in supervised learning," in </w:t>
      </w:r>
      <w:r>
        <w:rPr>
          <w:rStyle w:val="MdEm"/>
        </w:rPr>
        <w:t>Advances in Neural Information Processing Systems</w:t>
      </w:r>
      <w:r>
        <w:t xml:space="preserve">, 2016, pp. 3315–3323. Available: </w:t>
      </w:r>
      <w:hyperlink r:id="rId41" w:history="1">
        <w:r>
          <w:rPr>
            <w:rStyle w:val="MdLink"/>
          </w:rPr>
          <w:t>https://arxiv.org/abs/1610.02413</w:t>
        </w:r>
      </w:hyperlink>
      <w:r w:rsidR="00197255">
        <w:rPr>
          <w:rStyle w:val="MdLink"/>
        </w:rPr>
        <w:br/>
      </w:r>
      <w:r w:rsidR="00197255" w:rsidRPr="00197255">
        <w:t>https://doi.org/10.48550/arXiv.1610.02413</w:t>
      </w:r>
    </w:p>
    <w:p w14:paraId="167D52A0" w14:textId="77777777" w:rsidR="00FE72FB" w:rsidRDefault="00FE72FB">
      <w:pPr>
        <w:pStyle w:val="MdSpace"/>
        <w:spacing w:after="60"/>
      </w:pPr>
    </w:p>
    <w:p w14:paraId="60D790ED" w14:textId="77777777" w:rsidR="00FE72FB" w:rsidRDefault="002379F7">
      <w:pPr>
        <w:pStyle w:val="MdParagraph"/>
      </w:pPr>
      <w:r>
        <w:t xml:space="preserve">[29] J. Pearl, </w:t>
      </w:r>
      <w:r>
        <w:rPr>
          <w:rStyle w:val="MdEm"/>
        </w:rPr>
        <w:t>Causality: Models, Reasoning, and Inference</w:t>
      </w:r>
      <w:r>
        <w:t xml:space="preserve">, 2nd ed. Cambridge, UK: Cambridge University Press, 2009. Available: </w:t>
      </w:r>
      <w:hyperlink r:id="rId42" w:history="1">
        <w:r>
          <w:rPr>
            <w:rStyle w:val="MdLink"/>
          </w:rPr>
          <w:t>https://www.cambridge</w:t>
        </w:r>
        <w:r>
          <w:rPr>
            <w:rStyle w:val="MdLink"/>
          </w:rPr>
          <w:t>.</w:t>
        </w:r>
        <w:r>
          <w:rPr>
            <w:rStyle w:val="MdLink"/>
          </w:rPr>
          <w:t>org/core/books/causality/</w:t>
        </w:r>
      </w:hyperlink>
    </w:p>
    <w:p w14:paraId="48DFB4E8" w14:textId="77777777" w:rsidR="00FE72FB" w:rsidRDefault="00FE72FB">
      <w:pPr>
        <w:pStyle w:val="MdSpace"/>
        <w:spacing w:after="60"/>
      </w:pPr>
    </w:p>
    <w:sectPr w:rsidR="00FE72FB">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29E4" w14:textId="77777777" w:rsidR="00FE3A70" w:rsidRDefault="00FE3A70" w:rsidP="007E6C25">
      <w:r>
        <w:separator/>
      </w:r>
    </w:p>
  </w:endnote>
  <w:endnote w:type="continuationSeparator" w:id="0">
    <w:p w14:paraId="18605E4C" w14:textId="77777777" w:rsidR="00FE3A70" w:rsidRDefault="00FE3A70" w:rsidP="007E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C6B4" w14:textId="77777777" w:rsidR="007E6C25" w:rsidRDefault="007E6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6AE4" w14:textId="77777777" w:rsidR="007E6C25" w:rsidRDefault="007E6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8116" w14:textId="77777777" w:rsidR="007E6C25" w:rsidRDefault="007E6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5884" w14:textId="77777777" w:rsidR="00FE3A70" w:rsidRDefault="00FE3A70" w:rsidP="007E6C25">
      <w:r>
        <w:separator/>
      </w:r>
    </w:p>
  </w:footnote>
  <w:footnote w:type="continuationSeparator" w:id="0">
    <w:p w14:paraId="47D0921A" w14:textId="77777777" w:rsidR="00FE3A70" w:rsidRDefault="00FE3A70" w:rsidP="007E6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3EA9" w14:textId="30B7E1EB" w:rsidR="007E6C25" w:rsidRDefault="00FE3A70">
    <w:pPr>
      <w:pStyle w:val="Header"/>
    </w:pPr>
    <w:r>
      <w:rPr>
        <w:noProof/>
      </w:rPr>
      <w:pict w14:anchorId="78821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48484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F9B5" w14:textId="4C563AA1" w:rsidR="007E6C25" w:rsidRDefault="00FE3A70">
    <w:pPr>
      <w:pStyle w:val="Header"/>
    </w:pPr>
    <w:r>
      <w:rPr>
        <w:noProof/>
      </w:rPr>
      <w:pict w14:anchorId="56D88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48484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8240" w14:textId="6FB68209" w:rsidR="007E6C25" w:rsidRDefault="00FE3A70">
    <w:pPr>
      <w:pStyle w:val="Header"/>
    </w:pPr>
    <w:r>
      <w:rPr>
        <w:noProof/>
      </w:rPr>
      <w:pict w14:anchorId="4B073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48484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636BD"/>
    <w:multiLevelType w:val="hybridMultilevel"/>
    <w:tmpl w:val="7D1AB500"/>
    <w:lvl w:ilvl="0" w:tplc="6F7200EA">
      <w:start w:val="1"/>
      <w:numFmt w:val="bullet"/>
      <w:lvlText w:val="●"/>
      <w:lvlJc w:val="left"/>
      <w:pPr>
        <w:ind w:left="720" w:hanging="360"/>
      </w:pPr>
    </w:lvl>
    <w:lvl w:ilvl="1" w:tplc="83E697D6">
      <w:start w:val="1"/>
      <w:numFmt w:val="bullet"/>
      <w:lvlText w:val="○"/>
      <w:lvlJc w:val="left"/>
      <w:pPr>
        <w:ind w:left="1440" w:hanging="360"/>
      </w:pPr>
    </w:lvl>
    <w:lvl w:ilvl="2" w:tplc="7AD80D62">
      <w:start w:val="1"/>
      <w:numFmt w:val="bullet"/>
      <w:lvlText w:val="■"/>
      <w:lvlJc w:val="left"/>
      <w:pPr>
        <w:ind w:left="2160" w:hanging="360"/>
      </w:pPr>
    </w:lvl>
    <w:lvl w:ilvl="3" w:tplc="A88EE738">
      <w:start w:val="1"/>
      <w:numFmt w:val="bullet"/>
      <w:lvlText w:val="●"/>
      <w:lvlJc w:val="left"/>
      <w:pPr>
        <w:ind w:left="2880" w:hanging="360"/>
      </w:pPr>
    </w:lvl>
    <w:lvl w:ilvl="4" w:tplc="06FEADC2">
      <w:start w:val="1"/>
      <w:numFmt w:val="bullet"/>
      <w:lvlText w:val="○"/>
      <w:lvlJc w:val="left"/>
      <w:pPr>
        <w:ind w:left="3600" w:hanging="360"/>
      </w:pPr>
    </w:lvl>
    <w:lvl w:ilvl="5" w:tplc="8A845EB2">
      <w:start w:val="1"/>
      <w:numFmt w:val="bullet"/>
      <w:lvlText w:val="■"/>
      <w:lvlJc w:val="left"/>
      <w:pPr>
        <w:ind w:left="4320" w:hanging="360"/>
      </w:pPr>
    </w:lvl>
    <w:lvl w:ilvl="6" w:tplc="6964B052">
      <w:start w:val="1"/>
      <w:numFmt w:val="bullet"/>
      <w:lvlText w:val="●"/>
      <w:lvlJc w:val="left"/>
      <w:pPr>
        <w:ind w:left="5040" w:hanging="360"/>
      </w:pPr>
    </w:lvl>
    <w:lvl w:ilvl="7" w:tplc="B3403228">
      <w:start w:val="1"/>
      <w:numFmt w:val="bullet"/>
      <w:lvlText w:val="●"/>
      <w:lvlJc w:val="left"/>
      <w:pPr>
        <w:ind w:left="5760" w:hanging="360"/>
      </w:pPr>
    </w:lvl>
    <w:lvl w:ilvl="8" w:tplc="B2B66EC4">
      <w:start w:val="1"/>
      <w:numFmt w:val="bullet"/>
      <w:lvlText w:val="●"/>
      <w:lvlJc w:val="left"/>
      <w:pPr>
        <w:ind w:left="6480" w:hanging="360"/>
      </w:pPr>
    </w:lvl>
  </w:abstractNum>
  <w:abstractNum w:abstractNumId="1" w15:restartNumberingAfterBreak="0">
    <w:nsid w:val="604864BE"/>
    <w:multiLevelType w:val="multilevel"/>
    <w:tmpl w:val="A9E8AB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9173A6F"/>
    <w:multiLevelType w:val="hybridMultilevel"/>
    <w:tmpl w:val="F26A51A4"/>
    <w:lvl w:ilvl="0" w:tplc="7BCE24EC">
      <w:start w:val="1"/>
      <w:numFmt w:val="bullet"/>
      <w:lvlText w:val="•"/>
      <w:lvlJc w:val="left"/>
      <w:pPr>
        <w:ind w:left="720" w:hanging="360"/>
      </w:pPr>
    </w:lvl>
    <w:lvl w:ilvl="1" w:tplc="C0BA55F0">
      <w:start w:val="1"/>
      <w:numFmt w:val="bullet"/>
      <w:lvlText w:val="◦"/>
      <w:lvlJc w:val="left"/>
      <w:pPr>
        <w:ind w:left="1440" w:hanging="360"/>
      </w:pPr>
    </w:lvl>
    <w:lvl w:ilvl="2" w:tplc="57A8205E">
      <w:start w:val="1"/>
      <w:numFmt w:val="bullet"/>
      <w:lvlText w:val="•"/>
      <w:lvlJc w:val="left"/>
      <w:pPr>
        <w:ind w:left="2160" w:hanging="360"/>
      </w:pPr>
    </w:lvl>
    <w:lvl w:ilvl="3" w:tplc="3A8C9C54">
      <w:start w:val="1"/>
      <w:numFmt w:val="bullet"/>
      <w:lvlText w:val="◦"/>
      <w:lvlJc w:val="left"/>
      <w:pPr>
        <w:ind w:left="2880" w:hanging="360"/>
      </w:pPr>
    </w:lvl>
    <w:lvl w:ilvl="4" w:tplc="E61C854A">
      <w:start w:val="1"/>
      <w:numFmt w:val="bullet"/>
      <w:lvlText w:val="•"/>
      <w:lvlJc w:val="left"/>
      <w:pPr>
        <w:ind w:left="3600" w:hanging="360"/>
      </w:pPr>
    </w:lvl>
    <w:lvl w:ilvl="5" w:tplc="F028F038">
      <w:start w:val="1"/>
      <w:numFmt w:val="bullet"/>
      <w:lvlText w:val="◦"/>
      <w:lvlJc w:val="left"/>
      <w:pPr>
        <w:ind w:left="4320" w:hanging="360"/>
      </w:pPr>
    </w:lvl>
    <w:lvl w:ilvl="6" w:tplc="39FE17D2">
      <w:start w:val="1"/>
      <w:numFmt w:val="bullet"/>
      <w:lvlText w:val="•"/>
      <w:lvlJc w:val="left"/>
      <w:pPr>
        <w:ind w:left="5040" w:hanging="360"/>
      </w:pPr>
    </w:lvl>
    <w:lvl w:ilvl="7" w:tplc="40045EF4">
      <w:numFmt w:val="decimal"/>
      <w:lvlText w:val=""/>
      <w:lvlJc w:val="left"/>
    </w:lvl>
    <w:lvl w:ilvl="8" w:tplc="4FE45486">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NzA0sTQyMTc1MzdR0lEKTi0uzszPAykwrAUAvomwsiwAAAA="/>
  </w:docVars>
  <w:rsids>
    <w:rsidRoot w:val="00FE72FB"/>
    <w:rsid w:val="000465ED"/>
    <w:rsid w:val="00174732"/>
    <w:rsid w:val="00197255"/>
    <w:rsid w:val="0022325D"/>
    <w:rsid w:val="0022669E"/>
    <w:rsid w:val="002379F7"/>
    <w:rsid w:val="002F6EF2"/>
    <w:rsid w:val="003E5A6D"/>
    <w:rsid w:val="00406DAF"/>
    <w:rsid w:val="00432D15"/>
    <w:rsid w:val="00670732"/>
    <w:rsid w:val="007B68A5"/>
    <w:rsid w:val="007E6C25"/>
    <w:rsid w:val="008531D7"/>
    <w:rsid w:val="008F333A"/>
    <w:rsid w:val="009816EA"/>
    <w:rsid w:val="009C692E"/>
    <w:rsid w:val="00A36ED1"/>
    <w:rsid w:val="00B46D74"/>
    <w:rsid w:val="00E003F5"/>
    <w:rsid w:val="00F454C0"/>
    <w:rsid w:val="00F635B2"/>
    <w:rsid w:val="00F84966"/>
    <w:rsid w:val="00FE3A70"/>
    <w:rsid w:val="00FE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326AE5"/>
  <w15:docId w15:val="{4ABC9B1F-1BFB-4BE2-943A-3618633C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NormalWeb">
    <w:name w:val="Normal (Web)"/>
    <w:basedOn w:val="Normal"/>
    <w:uiPriority w:val="99"/>
    <w:unhideWhenUsed/>
    <w:rsid w:val="008531D7"/>
    <w:pPr>
      <w:spacing w:before="100" w:beforeAutospacing="1" w:after="100" w:afterAutospacing="1"/>
    </w:pPr>
  </w:style>
  <w:style w:type="character" w:styleId="Strong">
    <w:name w:val="Strong"/>
    <w:basedOn w:val="DefaultParagraphFont"/>
    <w:uiPriority w:val="22"/>
    <w:qFormat/>
    <w:rsid w:val="008F333A"/>
    <w:rPr>
      <w:b/>
      <w:bCs/>
    </w:rPr>
  </w:style>
  <w:style w:type="character" w:styleId="UnresolvedMention">
    <w:name w:val="Unresolved Mention"/>
    <w:basedOn w:val="DefaultParagraphFont"/>
    <w:uiPriority w:val="99"/>
    <w:semiHidden/>
    <w:unhideWhenUsed/>
    <w:rsid w:val="00F454C0"/>
    <w:rPr>
      <w:color w:val="605E5C"/>
      <w:shd w:val="clear" w:color="auto" w:fill="E1DFDD"/>
    </w:rPr>
  </w:style>
  <w:style w:type="paragraph" w:styleId="Header">
    <w:name w:val="header"/>
    <w:basedOn w:val="Normal"/>
    <w:link w:val="HeaderChar"/>
    <w:uiPriority w:val="99"/>
    <w:unhideWhenUsed/>
    <w:rsid w:val="007E6C25"/>
    <w:pPr>
      <w:tabs>
        <w:tab w:val="center" w:pos="4680"/>
        <w:tab w:val="right" w:pos="9360"/>
      </w:tabs>
    </w:pPr>
  </w:style>
  <w:style w:type="character" w:customStyle="1" w:styleId="HeaderChar">
    <w:name w:val="Header Char"/>
    <w:basedOn w:val="DefaultParagraphFont"/>
    <w:link w:val="Header"/>
    <w:uiPriority w:val="99"/>
    <w:rsid w:val="007E6C25"/>
  </w:style>
  <w:style w:type="paragraph" w:styleId="Footer">
    <w:name w:val="footer"/>
    <w:basedOn w:val="Normal"/>
    <w:link w:val="FooterChar"/>
    <w:uiPriority w:val="99"/>
    <w:unhideWhenUsed/>
    <w:rsid w:val="007E6C25"/>
    <w:pPr>
      <w:tabs>
        <w:tab w:val="center" w:pos="4680"/>
        <w:tab w:val="right" w:pos="9360"/>
      </w:tabs>
    </w:pPr>
  </w:style>
  <w:style w:type="character" w:customStyle="1" w:styleId="FooterChar">
    <w:name w:val="Footer Char"/>
    <w:basedOn w:val="DefaultParagraphFont"/>
    <w:link w:val="Footer"/>
    <w:uiPriority w:val="99"/>
    <w:rsid w:val="007E6C25"/>
  </w:style>
  <w:style w:type="paragraph" w:styleId="NoSpacing">
    <w:name w:val="No Spacing"/>
    <w:uiPriority w:val="1"/>
    <w:qFormat/>
    <w:rsid w:val="00174732"/>
    <w:rPr>
      <w:rFonts w:asciiTheme="minorHAnsi" w:eastAsiaTheme="minorHAnsi" w:hAnsiTheme="minorHAnsi" w:cstheme="minorBidi"/>
      <w:sz w:val="22"/>
      <w:szCs w:val="22"/>
      <w:lang w:val="en-GB" w:eastAsia="en-US"/>
    </w:rPr>
  </w:style>
  <w:style w:type="character" w:customStyle="1" w:styleId="c-bibliographic-informationvalue">
    <w:name w:val="c-bibliographic-information__value"/>
    <w:basedOn w:val="DefaultParagraphFont"/>
    <w:rsid w:val="00F8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5869">
      <w:bodyDiv w:val="1"/>
      <w:marLeft w:val="0"/>
      <w:marRight w:val="0"/>
      <w:marTop w:val="0"/>
      <w:marBottom w:val="0"/>
      <w:divBdr>
        <w:top w:val="none" w:sz="0" w:space="0" w:color="auto"/>
        <w:left w:val="none" w:sz="0" w:space="0" w:color="auto"/>
        <w:bottom w:val="none" w:sz="0" w:space="0" w:color="auto"/>
        <w:right w:val="none" w:sz="0" w:space="0" w:color="auto"/>
      </w:divBdr>
    </w:div>
    <w:div w:id="221412227">
      <w:bodyDiv w:val="1"/>
      <w:marLeft w:val="0"/>
      <w:marRight w:val="0"/>
      <w:marTop w:val="0"/>
      <w:marBottom w:val="0"/>
      <w:divBdr>
        <w:top w:val="none" w:sz="0" w:space="0" w:color="auto"/>
        <w:left w:val="none" w:sz="0" w:space="0" w:color="auto"/>
        <w:bottom w:val="none" w:sz="0" w:space="0" w:color="auto"/>
        <w:right w:val="none" w:sz="0" w:space="0" w:color="auto"/>
      </w:divBdr>
    </w:div>
    <w:div w:id="432166933">
      <w:bodyDiv w:val="1"/>
      <w:marLeft w:val="0"/>
      <w:marRight w:val="0"/>
      <w:marTop w:val="0"/>
      <w:marBottom w:val="0"/>
      <w:divBdr>
        <w:top w:val="none" w:sz="0" w:space="0" w:color="auto"/>
        <w:left w:val="none" w:sz="0" w:space="0" w:color="auto"/>
        <w:bottom w:val="none" w:sz="0" w:space="0" w:color="auto"/>
        <w:right w:val="none" w:sz="0" w:space="0" w:color="auto"/>
      </w:divBdr>
    </w:div>
    <w:div w:id="548541940">
      <w:bodyDiv w:val="1"/>
      <w:marLeft w:val="0"/>
      <w:marRight w:val="0"/>
      <w:marTop w:val="0"/>
      <w:marBottom w:val="0"/>
      <w:divBdr>
        <w:top w:val="none" w:sz="0" w:space="0" w:color="auto"/>
        <w:left w:val="none" w:sz="0" w:space="0" w:color="auto"/>
        <w:bottom w:val="none" w:sz="0" w:space="0" w:color="auto"/>
        <w:right w:val="none" w:sz="0" w:space="0" w:color="auto"/>
      </w:divBdr>
    </w:div>
    <w:div w:id="550271272">
      <w:bodyDiv w:val="1"/>
      <w:marLeft w:val="0"/>
      <w:marRight w:val="0"/>
      <w:marTop w:val="0"/>
      <w:marBottom w:val="0"/>
      <w:divBdr>
        <w:top w:val="none" w:sz="0" w:space="0" w:color="auto"/>
        <w:left w:val="none" w:sz="0" w:space="0" w:color="auto"/>
        <w:bottom w:val="none" w:sz="0" w:space="0" w:color="auto"/>
        <w:right w:val="none" w:sz="0" w:space="0" w:color="auto"/>
      </w:divBdr>
    </w:div>
    <w:div w:id="567762372">
      <w:bodyDiv w:val="1"/>
      <w:marLeft w:val="0"/>
      <w:marRight w:val="0"/>
      <w:marTop w:val="0"/>
      <w:marBottom w:val="0"/>
      <w:divBdr>
        <w:top w:val="none" w:sz="0" w:space="0" w:color="auto"/>
        <w:left w:val="none" w:sz="0" w:space="0" w:color="auto"/>
        <w:bottom w:val="none" w:sz="0" w:space="0" w:color="auto"/>
        <w:right w:val="none" w:sz="0" w:space="0" w:color="auto"/>
      </w:divBdr>
    </w:div>
    <w:div w:id="648947978">
      <w:bodyDiv w:val="1"/>
      <w:marLeft w:val="0"/>
      <w:marRight w:val="0"/>
      <w:marTop w:val="0"/>
      <w:marBottom w:val="0"/>
      <w:divBdr>
        <w:top w:val="none" w:sz="0" w:space="0" w:color="auto"/>
        <w:left w:val="none" w:sz="0" w:space="0" w:color="auto"/>
        <w:bottom w:val="none" w:sz="0" w:space="0" w:color="auto"/>
        <w:right w:val="none" w:sz="0" w:space="0" w:color="auto"/>
      </w:divBdr>
    </w:div>
    <w:div w:id="905650645">
      <w:bodyDiv w:val="1"/>
      <w:marLeft w:val="0"/>
      <w:marRight w:val="0"/>
      <w:marTop w:val="0"/>
      <w:marBottom w:val="0"/>
      <w:divBdr>
        <w:top w:val="none" w:sz="0" w:space="0" w:color="auto"/>
        <w:left w:val="none" w:sz="0" w:space="0" w:color="auto"/>
        <w:bottom w:val="none" w:sz="0" w:space="0" w:color="auto"/>
        <w:right w:val="none" w:sz="0" w:space="0" w:color="auto"/>
      </w:divBdr>
    </w:div>
    <w:div w:id="988483317">
      <w:bodyDiv w:val="1"/>
      <w:marLeft w:val="0"/>
      <w:marRight w:val="0"/>
      <w:marTop w:val="0"/>
      <w:marBottom w:val="0"/>
      <w:divBdr>
        <w:top w:val="none" w:sz="0" w:space="0" w:color="auto"/>
        <w:left w:val="none" w:sz="0" w:space="0" w:color="auto"/>
        <w:bottom w:val="none" w:sz="0" w:space="0" w:color="auto"/>
        <w:right w:val="none" w:sz="0" w:space="0" w:color="auto"/>
      </w:divBdr>
    </w:div>
    <w:div w:id="1081484582">
      <w:bodyDiv w:val="1"/>
      <w:marLeft w:val="0"/>
      <w:marRight w:val="0"/>
      <w:marTop w:val="0"/>
      <w:marBottom w:val="0"/>
      <w:divBdr>
        <w:top w:val="none" w:sz="0" w:space="0" w:color="auto"/>
        <w:left w:val="none" w:sz="0" w:space="0" w:color="auto"/>
        <w:bottom w:val="none" w:sz="0" w:space="0" w:color="auto"/>
        <w:right w:val="none" w:sz="0" w:space="0" w:color="auto"/>
      </w:divBdr>
    </w:div>
    <w:div w:id="1129935664">
      <w:bodyDiv w:val="1"/>
      <w:marLeft w:val="0"/>
      <w:marRight w:val="0"/>
      <w:marTop w:val="0"/>
      <w:marBottom w:val="0"/>
      <w:divBdr>
        <w:top w:val="none" w:sz="0" w:space="0" w:color="auto"/>
        <w:left w:val="none" w:sz="0" w:space="0" w:color="auto"/>
        <w:bottom w:val="none" w:sz="0" w:space="0" w:color="auto"/>
        <w:right w:val="none" w:sz="0" w:space="0" w:color="auto"/>
      </w:divBdr>
    </w:div>
    <w:div w:id="1838492472">
      <w:bodyDiv w:val="1"/>
      <w:marLeft w:val="0"/>
      <w:marRight w:val="0"/>
      <w:marTop w:val="0"/>
      <w:marBottom w:val="0"/>
      <w:divBdr>
        <w:top w:val="none" w:sz="0" w:space="0" w:color="auto"/>
        <w:left w:val="none" w:sz="0" w:space="0" w:color="auto"/>
        <w:bottom w:val="none" w:sz="0" w:space="0" w:color="auto"/>
        <w:right w:val="none" w:sz="0" w:space="0" w:color="auto"/>
      </w:divBdr>
    </w:div>
    <w:div w:id="2094811286">
      <w:bodyDiv w:val="1"/>
      <w:marLeft w:val="0"/>
      <w:marRight w:val="0"/>
      <w:marTop w:val="0"/>
      <w:marBottom w:val="0"/>
      <w:divBdr>
        <w:top w:val="none" w:sz="0" w:space="0" w:color="auto"/>
        <w:left w:val="none" w:sz="0" w:space="0" w:color="auto"/>
        <w:bottom w:val="none" w:sz="0" w:space="0" w:color="auto"/>
        <w:right w:val="none" w:sz="0" w:space="0" w:color="auto"/>
      </w:divBdr>
    </w:div>
    <w:div w:id="213890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arxiv.org/abs/1705.07874" TargetMode="External"/><Relationship Id="rId26" Type="http://schemas.openxmlformats.org/officeDocument/2006/relationships/hyperlink" Target="https://www.basicbooks.com/titles/judea-pearl/the-book-of-why/9780465097609/" TargetMode="External"/><Relationship Id="rId39" Type="http://schemas.openxmlformats.org/officeDocument/2006/relationships/hyperlink" Target="https://arxiv.org/abs/1206.6471" TargetMode="External"/><Relationship Id="rId21" Type="http://schemas.openxmlformats.org/officeDocument/2006/relationships/hyperlink" Target="https://www.jstor.org/stable/3087288" TargetMode="External"/><Relationship Id="rId34" Type="http://schemas.openxmlformats.org/officeDocument/2006/relationships/hyperlink" Target="https://arxiv.org/abs/1809.06514" TargetMode="External"/><Relationship Id="rId42" Type="http://schemas.openxmlformats.org/officeDocument/2006/relationships/hyperlink" Target="https://www.cambridge.org/core/books/causality/"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journals.plos.org/plosmedicine/article?id=10.1371/journal.pmed.1000097" TargetMode="External"/><Relationship Id="rId29" Type="http://schemas.openxmlformats.org/officeDocument/2006/relationships/hyperlink" Target="https://fairmlbook.org/" TargetMode="External"/><Relationship Id="rId11" Type="http://schemas.openxmlformats.org/officeDocument/2006/relationships/image" Target="media/image5.png"/><Relationship Id="rId24" Type="http://schemas.openxmlformats.org/officeDocument/2006/relationships/hyperlink" Target="https://arxiv.org/abs/1505.02768" TargetMode="External"/><Relationship Id="rId32" Type="http://schemas.openxmlformats.org/officeDocument/2006/relationships/hyperlink" Target="https://www.cambridge.org/core/books/causality/" TargetMode="External"/><Relationship Id="rId37" Type="http://schemas.openxmlformats.org/officeDocument/2006/relationships/hyperlink" Target="https://link.springer.com/article/10.1023/A:1022623210503" TargetMode="External"/><Relationship Id="rId40" Type="http://schemas.openxmlformats.org/officeDocument/2006/relationships/hyperlink" Target="https://mitpress.mit.edu/books/causation-prediction-and-search"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jair.org/index.php/jair/article/view/11564" TargetMode="External"/><Relationship Id="rId23" Type="http://schemas.openxmlformats.org/officeDocument/2006/relationships/hyperlink" Target="https://ojs.aaai.org/aimagazine/index.php/aimagazine/article/view/2741" TargetMode="External"/><Relationship Id="rId28" Type="http://schemas.openxmlformats.org/officeDocument/2006/relationships/hyperlink" Target="https://gdpr-info.eu/" TargetMode="External"/><Relationship Id="rId36" Type="http://schemas.openxmlformats.org/officeDocument/2006/relationships/hyperlink" Target="https://arxiv.org/abs/1811.10154"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arxiv.org/abs/1602.04938" TargetMode="External"/><Relationship Id="rId31" Type="http://schemas.openxmlformats.org/officeDocument/2006/relationships/hyperlink" Target="https://training.cochrane.org/handbook"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hristophm.github.io/interpretable-ml-book/" TargetMode="External"/><Relationship Id="rId22" Type="http://schemas.openxmlformats.org/officeDocument/2006/relationships/hyperlink" Target="https://www.nature.com/articles/nature14539" TargetMode="External"/><Relationship Id="rId27" Type="http://schemas.openxmlformats.org/officeDocument/2006/relationships/hyperlink" Target="https://arxiv.org/abs/1412.2309" TargetMode="External"/><Relationship Id="rId30" Type="http://schemas.openxmlformats.org/officeDocument/2006/relationships/hyperlink" Target="https://arxiv.org/abs/1206.6471" TargetMode="External"/><Relationship Id="rId35" Type="http://schemas.openxmlformats.org/officeDocument/2006/relationships/hyperlink" Target="https://fairmlbook.org/"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cambridge.org/core/books/causality/" TargetMode="External"/><Relationship Id="rId25" Type="http://schemas.openxmlformats.org/officeDocument/2006/relationships/hyperlink" Target="https://arxiv.org/abs/2106.02597" TargetMode="External"/><Relationship Id="rId33" Type="http://schemas.openxmlformats.org/officeDocument/2006/relationships/hyperlink" Target="https://arxiv.org/abs/1610.02413" TargetMode="External"/><Relationship Id="rId38" Type="http://schemas.openxmlformats.org/officeDocument/2006/relationships/hyperlink" Target="https://cacm.acm.org/magazines/2019/3/234779-the-seven-pillars-of-causal-reasoning-with-reflections-on-machine-learning/" TargetMode="External"/><Relationship Id="rId46" Type="http://schemas.openxmlformats.org/officeDocument/2006/relationships/footer" Target="footer2.xml"/><Relationship Id="rId20" Type="http://schemas.openxmlformats.org/officeDocument/2006/relationships/hyperlink" Target="https://www.cambridge.org/core/books/statistical-models-and-causal-inference/" TargetMode="External"/><Relationship Id="rId41" Type="http://schemas.openxmlformats.org/officeDocument/2006/relationships/hyperlink" Target="https://arxiv.org/abs/1610.0241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6356</Words>
  <Characters>36232</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42503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Apple</cp:lastModifiedBy>
  <cp:revision>2</cp:revision>
  <dcterms:created xsi:type="dcterms:W3CDTF">2026-01-29T16:51:00Z</dcterms:created>
  <dcterms:modified xsi:type="dcterms:W3CDTF">2026-01-29T16:51:00Z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2cacb40c-1857-4f9a-a3bf-679248376a5e</vt:lpwstr>
  </property>
</Properties>
</file>