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DC8" w:rsidRDefault="000E3EF8">
      <w:pPr>
        <w:pStyle w:val="NormalWeb"/>
        <w:rPr>
          <w:rStyle w:val="Strong"/>
          <w:b w:val="0"/>
          <w:bCs w:val="0"/>
          <w:color w:val="BF0000"/>
        </w:rPr>
      </w:pPr>
      <w:r>
        <w:rPr>
          <w:rStyle w:val="Strong"/>
          <w:b w:val="0"/>
          <w:bCs w:val="0"/>
          <w:color w:val="BF0000"/>
        </w:rPr>
        <w:t>Modern Strategies and Innovations in the Reperfusion Therapy of Acute Myocardial Infarction: A Narrative Review</w:t>
      </w:r>
    </w:p>
    <w:p w:rsidR="00F90DC8" w:rsidRDefault="00F90DC8">
      <w:pPr>
        <w:pStyle w:val="NormalWeb"/>
        <w:rPr>
          <w:rStyle w:val="Strong"/>
        </w:rPr>
      </w:pPr>
    </w:p>
    <w:p w:rsidR="00F90DC8" w:rsidRDefault="000E3EF8">
      <w:pPr>
        <w:pStyle w:val="NormalWeb"/>
      </w:pPr>
      <w:r>
        <w:rPr>
          <w:rStyle w:val="Strong"/>
        </w:rPr>
        <w:t>Abstract</w:t>
      </w:r>
    </w:p>
    <w:p w:rsidR="00F90DC8" w:rsidRDefault="000E3EF8">
      <w:pPr>
        <w:pStyle w:val="NormalWeb"/>
        <w:rPr>
          <w:color w:val="BF0000"/>
        </w:rPr>
      </w:pPr>
      <w:r>
        <w:rPr>
          <w:color w:val="BF0000"/>
        </w:rPr>
        <w:t>Acute myocardial infarction (AMI) remains a leading cause of global morbidity and mortality, with timely reperfusion therapy forming the cornerstone of contemporary management. Primary percutaneous coronary intervention (PCI) is the preferred reperfusion s</w:t>
      </w:r>
      <w:r>
        <w:rPr>
          <w:color w:val="BF0000"/>
        </w:rPr>
        <w:t xml:space="preserve">trategy for ST-segment elevation myocardial infarction (STEMI), demonstrating relative reductions in short-term mortality, reinfarction, and stroke of approximately 20–30% compared with fibrinolysis when performed promptly in high-volume centers. Over the </w:t>
      </w:r>
      <w:r>
        <w:rPr>
          <w:color w:val="BF0000"/>
        </w:rPr>
        <w:t>past two decades, system-level initiatives aimed at reducing door-to-balloon (D2B) time have successfully decreased median treatment delays to below 90 minutes in many regions; however, contemporary registry and trial data indicate that incremental reducti</w:t>
      </w:r>
      <w:r>
        <w:rPr>
          <w:color w:val="BF0000"/>
        </w:rPr>
        <w:t>ons in D2B time beyond this threshold are not consistently associated with proportional improvements in survival. Instead, total ischemic time—particularly pre-hospital delay—has emerged as a stronger determinant of infarct size, left ventricular dysfuncti</w:t>
      </w:r>
      <w:r>
        <w:rPr>
          <w:color w:val="BF0000"/>
        </w:rPr>
        <w:t>on, and long-term outcomes. Evolving reperfusion strategies now emphasize complete revascularization in multivessel disease, intravascular imaging–guided PCI, and selective use of mechanical circulatory support in high-risk presentations, each associated w</w:t>
      </w:r>
      <w:r>
        <w:rPr>
          <w:color w:val="BF0000"/>
        </w:rPr>
        <w:t>ith reductions in recurrent ischemic events and heart failure hospitalization in recent randomized trials. Advances in adjunctive pharmacotherapy, including potent P2Y12 inhibitors, optimized anticoagulation strategies, and targeted intracoronary therapies</w:t>
      </w:r>
      <w:r>
        <w:rPr>
          <w:color w:val="BF0000"/>
        </w:rPr>
        <w:t>, have further improved thrombus resolution and microvascular perfusion. In parallel, regional STEMI networks and digital health technologies have demonstrated meaningful reductions in first medical contact–to-device time and treatment delays. This narrati</w:t>
      </w:r>
      <w:r>
        <w:rPr>
          <w:color w:val="BF0000"/>
        </w:rPr>
        <w:t>ve review synthesizes contemporary quantitative evidence on modern reperfusion strategies, re-examines the clinical relevance of D2B metrics in the current era, and highlights emerging pharmacologic and system-based innovations aimed at optimizing reperfus</w:t>
      </w:r>
      <w:r>
        <w:rPr>
          <w:color w:val="BF0000"/>
        </w:rPr>
        <w:t>ion efficacy and improving both short- and long-term outcomes in patients with AMI.</w:t>
      </w:r>
    </w:p>
    <w:p w:rsidR="00F90DC8" w:rsidRDefault="000E3EF8">
      <w:pPr>
        <w:pStyle w:val="NormalWeb"/>
        <w:rPr>
          <w:rStyle w:val="Strong"/>
        </w:rPr>
      </w:pPr>
      <w:r>
        <w:rPr>
          <w:rStyle w:val="Strong"/>
        </w:rPr>
        <w:t xml:space="preserve">Keywords: </w:t>
      </w:r>
      <w:r>
        <w:rPr>
          <w:rStyle w:val="Strong"/>
          <w:b w:val="0"/>
          <w:bCs w:val="0"/>
        </w:rPr>
        <w:t>acute myocardial infarction, primary percutaneous coronary intervention, door-to-balloon time, reperfusion therapy, adjunctive pharmacologic therapy</w:t>
      </w:r>
    </w:p>
    <w:p w:rsidR="00F90DC8" w:rsidRDefault="00F90DC8">
      <w:pPr>
        <w:pStyle w:val="NormalWeb"/>
        <w:rPr>
          <w:rStyle w:val="Strong"/>
        </w:rPr>
      </w:pPr>
    </w:p>
    <w:p w:rsidR="00F90DC8" w:rsidRDefault="000E3EF8">
      <w:pPr>
        <w:pStyle w:val="NormalWeb"/>
      </w:pPr>
      <w:r>
        <w:rPr>
          <w:rStyle w:val="Strong"/>
        </w:rPr>
        <w:t>Introduction</w:t>
      </w:r>
    </w:p>
    <w:p w:rsidR="00F90DC8" w:rsidRDefault="000E3EF8">
      <w:pPr>
        <w:pStyle w:val="NormalWeb"/>
      </w:pPr>
      <w:r>
        <w:t>Acute myocardial infarction (AMI), particularly ST-segment elevation myocardial infarction (STEMI), remains a leading cause of global morbidity and mortality despite significant advances in cardiovascular medicine. The cornerstone of STEMI management is r</w:t>
      </w:r>
      <w:r>
        <w:t>apid restoration of coronary blood flow to salvage ischemic myocardium, prevent adverse ventricular remodeling, and reduce mortality. Over the past several decades, reperfusion strategies have evolved from fibrinolytic therapy to primary percutaneous coron</w:t>
      </w:r>
      <w:r>
        <w:t xml:space="preserve">ary intervention (PCI), which is now regarded as the preferred reperfusion modality when performed in a timely and experienced center (Akbar et al., 2024; Ibanez et al., 2025). Nevertheless, ongoing challenges related to treatment delays, </w:t>
      </w:r>
      <w:r>
        <w:lastRenderedPageBreak/>
        <w:t>procedural optimi</w:t>
      </w:r>
      <w:r>
        <w:t>zation, and adjunctive pharmacologic therapies continue to drive research and clinical innovation in this field.</w:t>
      </w:r>
    </w:p>
    <w:p w:rsidR="00F90DC8" w:rsidRDefault="000E3EF8">
      <w:pPr>
        <w:pStyle w:val="NormalWeb"/>
      </w:pPr>
      <w:r>
        <w:t>Primary PCI has demonstrated superior outcomes compared with thrombolytic therapy, including improved survival, reduced reinfarction rates, and</w:t>
      </w:r>
      <w:r>
        <w:t xml:space="preserve"> lower incidence of intracranial hemorrhage. Current international guidelines from the European Society of Cardiology (ESC) and the American College of Cardiology/American Heart Association (ACC/AHA) strongly recommend primary PCI as the first-line reperfu</w:t>
      </w:r>
      <w:r>
        <w:t>sion strategy when it can be performed within guideline-recommended timeframes (Collet et al., 2023; O’Gara et al., 2023). Despite these recommendations, disparities in access to PCI-capable centers, logistical barriers, and system-level inefficiencies rem</w:t>
      </w:r>
      <w:r>
        <w:t>ain significant contributors to treatment delays, particularly in low- and middle-income countries. These challenges underscore the importance of revisiting and optimizing primary PCI strategies in contemporary practice.</w:t>
      </w:r>
    </w:p>
    <w:p w:rsidR="00F90DC8" w:rsidRDefault="000E3EF8">
      <w:pPr>
        <w:pStyle w:val="NormalWeb"/>
      </w:pPr>
      <w:r>
        <w:t>Door-to-balloon (D2B) time, defined</w:t>
      </w:r>
      <w:r>
        <w:t xml:space="preserve"> as the interval between hospital arrival and balloon inflation during PCI, has emerged as a critical performance metric and quality indicator in STEMI care. Numerous studies have demonstrated a strong association between shorter D2B times and improved cli</w:t>
      </w:r>
      <w:r>
        <w:t>nical outcomes, including reduced mortality and complications. Menees et al. (2023) reported a continuous relationship between shorter D2B times and decreased mortality among patients undergoing primary PCI, reinforcing the concept that “time is myocardium</w:t>
      </w:r>
      <w:r>
        <w:t>.” Similarly, Butt et al. (2020) and Champasri et al. (2023) highlighted the prognostic significance of rapid door-to-device times in STEMI management. Efforts to reduce system delays, including prehospital electrocardiogram transmission, catheterization l</w:t>
      </w:r>
      <w:r>
        <w:t>aboratory activation protocols, and regional STEMI networks, have been shown to improve reperfusion times and clinical outcomes (Terkelsen et al., 2024; Wilson et al., 2023). However, recent data suggest that further reductions in D2B time may yield dimini</w:t>
      </w:r>
      <w:r>
        <w:t>shing returns, prompting renewed interest in total ischemic time and prehospital delays as more comprehensive targets for quality improvement.</w:t>
      </w:r>
    </w:p>
    <w:p w:rsidR="00F90DC8" w:rsidRDefault="000E3EF8">
      <w:pPr>
        <w:pStyle w:val="NormalWeb"/>
      </w:pPr>
      <w:r>
        <w:t>Beyond mechanical reperfusion, adjunctive pharmacologic therapies play a pivotal role in optimizing outcomes in p</w:t>
      </w:r>
      <w:r>
        <w:t>atients undergoing primary PCI. Antiplatelet agents, anticoagulants, glycoprotein IIb/IIIa inhibitors, and novel antithrombotic strategies have been extensively investigated to enhance microvascular perfusion and prevent thrombotic complications. Routine u</w:t>
      </w:r>
      <w:r>
        <w:t>se of glycoprotein IIb/IIIa inhibitors has been associated with improved angiographic and clinical outcomes in selected high-risk patients, although their role in contemporary practice has evolved with the advent of potent oral P2Y12 inhibitors (Karathanos</w:t>
      </w:r>
      <w:r>
        <w:t xml:space="preserve"> et al., 2019). Comparative studies of anticoagulation strategies, including bivalirudin versus heparin-based regimens, have further refined procedural pharmacotherapy during primary PCI (Schoos et al., 2014). Additionally, mechanical adjuncts such as aspi</w:t>
      </w:r>
      <w:r>
        <w:t>ration thrombectomy have been evaluated for their potential to improve myocardial reperfusion, although results have been mixed and remain controversial (Mongeon et al., 2024; Niu et al., 2022).</w:t>
      </w:r>
    </w:p>
    <w:p w:rsidR="00F90DC8" w:rsidRDefault="000E3EF8">
      <w:pPr>
        <w:pStyle w:val="NormalWeb"/>
      </w:pPr>
      <w:r>
        <w:t>Emerging paradigms in reperfusion therapy increasingly emphas</w:t>
      </w:r>
      <w:r>
        <w:t>ize a systems-based and technology-driven approach to reducing ischemic time and improving patient outcomes. Digital health innovations, including smartphone-based applications and telemedicine platforms, have demonstrated promising potential to streamline</w:t>
      </w:r>
      <w:r>
        <w:t xml:space="preserve"> STEMI triage, enhance inter-hospital communication, and reduce reperfusion delays (Piazza et al., 2025). These innovations represent </w:t>
      </w:r>
      <w:r>
        <w:lastRenderedPageBreak/>
        <w:t xml:space="preserve">a shift toward integrated STEMI networks that leverage real-time data sharing and artificial intelligence-driven decision </w:t>
      </w:r>
      <w:r>
        <w:t>support to optimize clinical workflows.</w:t>
      </w:r>
    </w:p>
    <w:p w:rsidR="00F90DC8" w:rsidRDefault="000E3EF8">
      <w:pPr>
        <w:pStyle w:val="NormalWeb"/>
      </w:pPr>
      <w:r>
        <w:t>Despite significant progress, several knowledge gaps remain in the optimal management of STEMI. The relative importance of procedural strategies versus pharmacologic adjuncts, the evolving role of thrombectomy and po</w:t>
      </w:r>
      <w:r>
        <w:t>tent antithrombotic therapies, and the clinical relevance of increasingly stringent time-based metrics continue to be debated. Furthermore, real-world implementation of guideline-recommended practices varies widely across regions and healthcare systems, hi</w:t>
      </w:r>
      <w:r>
        <w:t>ghlighting the need for contextualized strategies tailored to resource availability and patient populations.</w:t>
      </w:r>
    </w:p>
    <w:p w:rsidR="00F90DC8" w:rsidRDefault="000E3EF8">
      <w:pPr>
        <w:pStyle w:val="NormalWeb"/>
      </w:pPr>
      <w:r>
        <w:t>In this context, revisiting contemporary primary PCI strategies, re-evaluating the clinical relevance of door-to-balloon metrics, and exploring adj</w:t>
      </w:r>
      <w:r>
        <w:t>unctive pharmacologic innovations are essential for advancing STEMI care. This review aims to synthesize current evidence on emerging paradigms in AMI reperfusion therapy, focusing on evolving mechanical and pharmacologic strategies, system-level intervent</w:t>
      </w:r>
      <w:r>
        <w:t>ions to reduce reperfusion delays, and novel technological innovations that may shape the future of acute coronary syndrome management.</w:t>
      </w:r>
    </w:p>
    <w:p w:rsidR="00F90DC8" w:rsidRDefault="00F90DC8"/>
    <w:p w:rsidR="00F90DC8" w:rsidRDefault="000E3EF8">
      <w:pPr>
        <w:pStyle w:val="Heading2"/>
        <w:rPr>
          <w:rFonts w:eastAsia="Times New Roman"/>
          <w:b/>
          <w:bCs/>
          <w:kern w:val="0"/>
          <w:sz w:val="36"/>
          <w:szCs w:val="36"/>
          <w14:ligatures w14:val="none"/>
        </w:rPr>
      </w:pPr>
      <w:r>
        <w:rPr>
          <w:rFonts w:eastAsia="Times New Roman"/>
          <w:b/>
          <w:bCs/>
        </w:rPr>
        <w:t>Methods</w:t>
      </w:r>
    </w:p>
    <w:p w:rsidR="00F90DC8" w:rsidRDefault="000E3EF8">
      <w:pPr>
        <w:pStyle w:val="NormalWeb"/>
        <w:rPr>
          <w:color w:val="BF0000"/>
        </w:rPr>
      </w:pPr>
      <w:r>
        <w:rPr>
          <w:color w:val="BF0000"/>
        </w:rPr>
        <w:t>This narrative review was conducted to critically synthesize contemporary evidence on reperfusion therapy in ac</w:t>
      </w:r>
      <w:r>
        <w:rPr>
          <w:color w:val="BF0000"/>
        </w:rPr>
        <w:t>ute myocardial infarction (AMI), with emphasis on evolving primary percutaneous coronary intervention (PCI) strategies, system-level delays including total ischemia time, and adjunctive pharmacologic and device-based innovations. The methodological approac</w:t>
      </w:r>
      <w:r>
        <w:rPr>
          <w:color w:val="BF0000"/>
        </w:rPr>
        <w:t>h followed established best-practice recommendations for narrative clinical reviews, with predefined objectives, transparent search strategies, and structured evidence synthesis.</w:t>
      </w:r>
    </w:p>
    <w:p w:rsidR="00F90DC8" w:rsidRDefault="000E3EF8">
      <w:pPr>
        <w:pStyle w:val="Heading3"/>
        <w:rPr>
          <w:rFonts w:eastAsia="Times New Roman"/>
          <w:color w:val="BF0000"/>
        </w:rPr>
      </w:pPr>
      <w:r>
        <w:rPr>
          <w:rFonts w:eastAsia="Times New Roman"/>
          <w:color w:val="BF0000"/>
        </w:rPr>
        <w:t>Literature Search Strategy</w:t>
      </w:r>
    </w:p>
    <w:p w:rsidR="00F90DC8" w:rsidRDefault="000E3EF8">
      <w:pPr>
        <w:pStyle w:val="NormalWeb"/>
        <w:rPr>
          <w:color w:val="BF0000"/>
        </w:rPr>
      </w:pPr>
      <w:r>
        <w:rPr>
          <w:color w:val="BF0000"/>
        </w:rPr>
        <w:t>A comprehensive literature search was performed ac</w:t>
      </w:r>
      <w:r>
        <w:rPr>
          <w:color w:val="BF0000"/>
        </w:rPr>
        <w:t>ross four electronic databases: PubMed/MEDLINE, Scopus, Web of Science, and Google Scholar. The search covered publications from January 2000 through December 2025, enabling inclusion of both foundational trials and recent studies that have influenced cont</w:t>
      </w:r>
      <w:r>
        <w:rPr>
          <w:color w:val="BF0000"/>
        </w:rPr>
        <w:t>emporary clinical guidelines and practice patterns.</w:t>
      </w:r>
    </w:p>
    <w:p w:rsidR="00F90DC8" w:rsidRDefault="000E3EF8">
      <w:pPr>
        <w:pStyle w:val="NormalWeb"/>
        <w:rPr>
          <w:color w:val="BF0000"/>
        </w:rPr>
      </w:pPr>
      <w:r>
        <w:rPr>
          <w:color w:val="BF0000"/>
        </w:rPr>
        <w:t>Search terms were developed using a combination of Medical Subject Headings (MeSH) and free-text keywords. Core concepts included:</w:t>
      </w:r>
    </w:p>
    <w:p w:rsidR="00F90DC8" w:rsidRDefault="000E3EF8">
      <w:pPr>
        <w:pStyle w:val="NormalWeb"/>
        <w:numPr>
          <w:ilvl w:val="0"/>
          <w:numId w:val="1"/>
        </w:numPr>
        <w:rPr>
          <w:color w:val="BF0000"/>
        </w:rPr>
      </w:pPr>
      <w:r>
        <w:rPr>
          <w:color w:val="BF0000"/>
        </w:rPr>
        <w:t>“acute myocardial infarction”</w:t>
      </w:r>
    </w:p>
    <w:p w:rsidR="00F90DC8" w:rsidRDefault="000E3EF8">
      <w:pPr>
        <w:pStyle w:val="NormalWeb"/>
        <w:numPr>
          <w:ilvl w:val="0"/>
          <w:numId w:val="1"/>
        </w:numPr>
        <w:rPr>
          <w:color w:val="BF0000"/>
        </w:rPr>
      </w:pPr>
      <w:r>
        <w:rPr>
          <w:color w:val="BF0000"/>
        </w:rPr>
        <w:t>“ST-elevation myocardial infarction”</w:t>
      </w:r>
    </w:p>
    <w:p w:rsidR="00F90DC8" w:rsidRDefault="000E3EF8">
      <w:pPr>
        <w:pStyle w:val="NormalWeb"/>
        <w:numPr>
          <w:ilvl w:val="0"/>
          <w:numId w:val="1"/>
        </w:numPr>
        <w:rPr>
          <w:color w:val="BF0000"/>
        </w:rPr>
      </w:pPr>
      <w:r>
        <w:rPr>
          <w:color w:val="BF0000"/>
        </w:rPr>
        <w:t>“prima</w:t>
      </w:r>
      <w:r>
        <w:rPr>
          <w:color w:val="BF0000"/>
        </w:rPr>
        <w:t>ry percutaneous coronary intervention”</w:t>
      </w:r>
    </w:p>
    <w:p w:rsidR="00F90DC8" w:rsidRDefault="000E3EF8">
      <w:pPr>
        <w:pStyle w:val="NormalWeb"/>
        <w:numPr>
          <w:ilvl w:val="0"/>
          <w:numId w:val="1"/>
        </w:numPr>
        <w:rPr>
          <w:color w:val="BF0000"/>
        </w:rPr>
      </w:pPr>
      <w:r>
        <w:rPr>
          <w:color w:val="BF0000"/>
        </w:rPr>
        <w:t>“reperfusion therapy”</w:t>
      </w:r>
    </w:p>
    <w:p w:rsidR="00F90DC8" w:rsidRDefault="000E3EF8">
      <w:pPr>
        <w:pStyle w:val="NormalWeb"/>
        <w:numPr>
          <w:ilvl w:val="0"/>
          <w:numId w:val="1"/>
        </w:numPr>
        <w:rPr>
          <w:color w:val="BF0000"/>
        </w:rPr>
      </w:pPr>
      <w:r>
        <w:rPr>
          <w:color w:val="BF0000"/>
        </w:rPr>
        <w:t>“system delay” and “total ischemia time”</w:t>
      </w:r>
    </w:p>
    <w:p w:rsidR="00F90DC8" w:rsidRDefault="000E3EF8">
      <w:pPr>
        <w:pStyle w:val="NormalWeb"/>
        <w:numPr>
          <w:ilvl w:val="0"/>
          <w:numId w:val="1"/>
        </w:numPr>
        <w:rPr>
          <w:color w:val="BF0000"/>
        </w:rPr>
      </w:pPr>
      <w:r>
        <w:rPr>
          <w:color w:val="BF0000"/>
        </w:rPr>
        <w:lastRenderedPageBreak/>
        <w:t>“door-to-balloon time”</w:t>
      </w:r>
    </w:p>
    <w:p w:rsidR="00F90DC8" w:rsidRDefault="000E3EF8">
      <w:pPr>
        <w:pStyle w:val="NormalWeb"/>
        <w:numPr>
          <w:ilvl w:val="0"/>
          <w:numId w:val="1"/>
        </w:numPr>
        <w:rPr>
          <w:color w:val="BF0000"/>
        </w:rPr>
      </w:pPr>
      <w:r>
        <w:rPr>
          <w:color w:val="BF0000"/>
        </w:rPr>
        <w:t>“aspiration thrombectomy” and “manual thrombectomy”</w:t>
      </w:r>
    </w:p>
    <w:p w:rsidR="00F90DC8" w:rsidRDefault="000E3EF8">
      <w:pPr>
        <w:pStyle w:val="NormalWeb"/>
        <w:numPr>
          <w:ilvl w:val="0"/>
          <w:numId w:val="1"/>
        </w:numPr>
        <w:rPr>
          <w:color w:val="BF0000"/>
        </w:rPr>
      </w:pPr>
      <w:r>
        <w:rPr>
          <w:color w:val="BF0000"/>
        </w:rPr>
        <w:t>“adjunctive pharmacologic therapy”</w:t>
      </w:r>
    </w:p>
    <w:p w:rsidR="00F90DC8" w:rsidRDefault="000E3EF8">
      <w:pPr>
        <w:pStyle w:val="NormalWeb"/>
        <w:rPr>
          <w:color w:val="BF0000"/>
        </w:rPr>
      </w:pPr>
      <w:r>
        <w:rPr>
          <w:color w:val="BF0000"/>
        </w:rPr>
        <w:t xml:space="preserve">Boolean operators were used to refine </w:t>
      </w:r>
      <w:r>
        <w:rPr>
          <w:color w:val="BF0000"/>
        </w:rPr>
        <w:t>searches, and reference lists of key articles and guidelines were manually screened to identify additional relevant studies.</w:t>
      </w:r>
    </w:p>
    <w:p w:rsidR="00F90DC8" w:rsidRDefault="000E3EF8">
      <w:pPr>
        <w:pStyle w:val="Heading3"/>
        <w:rPr>
          <w:rFonts w:eastAsia="Times New Roman"/>
          <w:color w:val="BF0000"/>
        </w:rPr>
      </w:pPr>
      <w:r>
        <w:rPr>
          <w:rFonts w:eastAsia="Times New Roman"/>
          <w:color w:val="BF0000"/>
        </w:rPr>
        <w:t>Eligibility Criteria</w:t>
      </w:r>
    </w:p>
    <w:p w:rsidR="00F90DC8" w:rsidRDefault="000E3EF8">
      <w:pPr>
        <w:pStyle w:val="NormalWeb"/>
        <w:rPr>
          <w:color w:val="BF0000"/>
        </w:rPr>
      </w:pPr>
      <w:r>
        <w:rPr>
          <w:color w:val="BF0000"/>
        </w:rPr>
        <w:t>Eligible sources included randomized controlled trials, observational cohort studies, registry analyses, syste</w:t>
      </w:r>
      <w:r>
        <w:rPr>
          <w:color w:val="BF0000"/>
        </w:rPr>
        <w:t>matic reviews, meta-analyses, and international clinical practice guidelines that evaluated reperfusion strategies in adult patients with AMI, particularly ST-elevation myocardial infarction (STEMI).</w:t>
      </w:r>
    </w:p>
    <w:p w:rsidR="00F90DC8" w:rsidRDefault="000E3EF8">
      <w:pPr>
        <w:pStyle w:val="NormalWeb"/>
        <w:rPr>
          <w:color w:val="BF0000"/>
        </w:rPr>
      </w:pPr>
      <w:r>
        <w:rPr>
          <w:color w:val="BF0000"/>
        </w:rPr>
        <w:t>Studies were excluded if they:</w:t>
      </w:r>
    </w:p>
    <w:p w:rsidR="00F90DC8" w:rsidRDefault="000E3EF8">
      <w:pPr>
        <w:pStyle w:val="NormalWeb"/>
        <w:numPr>
          <w:ilvl w:val="0"/>
          <w:numId w:val="5"/>
        </w:numPr>
        <w:rPr>
          <w:color w:val="BF0000"/>
        </w:rPr>
      </w:pPr>
      <w:r>
        <w:rPr>
          <w:color w:val="BF0000"/>
        </w:rPr>
        <w:t>Focused on pediatric popu</w:t>
      </w:r>
      <w:r>
        <w:rPr>
          <w:color w:val="BF0000"/>
        </w:rPr>
        <w:t>lations or non-human models</w:t>
      </w:r>
    </w:p>
    <w:p w:rsidR="00F90DC8" w:rsidRDefault="000E3EF8">
      <w:pPr>
        <w:pStyle w:val="NormalWeb"/>
        <w:numPr>
          <w:ilvl w:val="0"/>
          <w:numId w:val="5"/>
        </w:numPr>
        <w:rPr>
          <w:color w:val="BF0000"/>
        </w:rPr>
      </w:pPr>
      <w:r>
        <w:rPr>
          <w:color w:val="BF0000"/>
        </w:rPr>
        <w:t>Addressed non-ischemic cardiac conditions</w:t>
      </w:r>
    </w:p>
    <w:p w:rsidR="00F90DC8" w:rsidRDefault="000E3EF8">
      <w:pPr>
        <w:pStyle w:val="NormalWeb"/>
        <w:numPr>
          <w:ilvl w:val="0"/>
          <w:numId w:val="5"/>
        </w:numPr>
        <w:rPr>
          <w:color w:val="BF0000"/>
        </w:rPr>
      </w:pPr>
      <w:r>
        <w:rPr>
          <w:color w:val="BF0000"/>
        </w:rPr>
        <w:t>Lacked full-text availability</w:t>
      </w:r>
    </w:p>
    <w:p w:rsidR="00F90DC8" w:rsidRDefault="000E3EF8">
      <w:pPr>
        <w:pStyle w:val="NormalWeb"/>
        <w:numPr>
          <w:ilvl w:val="0"/>
          <w:numId w:val="5"/>
        </w:numPr>
        <w:rPr>
          <w:color w:val="BF0000"/>
        </w:rPr>
      </w:pPr>
      <w:r>
        <w:rPr>
          <w:color w:val="BF0000"/>
        </w:rPr>
        <w:t>Were published in languages other than English</w:t>
      </w:r>
    </w:p>
    <w:p w:rsidR="00F90DC8" w:rsidRDefault="000E3EF8">
      <w:pPr>
        <w:pStyle w:val="NormalWeb"/>
        <w:rPr>
          <w:color w:val="BF0000"/>
        </w:rPr>
      </w:pPr>
      <w:r>
        <w:rPr>
          <w:color w:val="BF0000"/>
        </w:rPr>
        <w:t xml:space="preserve">No restrictions were placed on geographic region or healthcare setting to ensure broad applicability of </w:t>
      </w:r>
      <w:r>
        <w:rPr>
          <w:color w:val="BF0000"/>
        </w:rPr>
        <w:t>findings.</w:t>
      </w:r>
    </w:p>
    <w:p w:rsidR="00F90DC8" w:rsidRDefault="000E3EF8">
      <w:pPr>
        <w:pStyle w:val="Heading3"/>
        <w:rPr>
          <w:rFonts w:eastAsia="Times New Roman"/>
          <w:color w:val="BF0000"/>
        </w:rPr>
      </w:pPr>
      <w:r>
        <w:rPr>
          <w:rFonts w:eastAsia="Times New Roman"/>
          <w:color w:val="BF0000"/>
        </w:rPr>
        <w:t>Study Selection and Data Extraction</w:t>
      </w:r>
    </w:p>
    <w:p w:rsidR="00F90DC8" w:rsidRDefault="000E3EF8">
      <w:pPr>
        <w:pStyle w:val="NormalWeb"/>
        <w:rPr>
          <w:color w:val="BF0000"/>
        </w:rPr>
      </w:pPr>
      <w:r>
        <w:rPr>
          <w:color w:val="BF0000"/>
        </w:rPr>
        <w:t>Study selection was performed through title and abstract screening, followed by full-text review of potentially eligible articles. Data extraction was conducted using a predefined framework to enhance consisten</w:t>
      </w:r>
      <w:r>
        <w:rPr>
          <w:color w:val="BF0000"/>
        </w:rPr>
        <w:t>cy and reproducibility.</w:t>
      </w:r>
    </w:p>
    <w:p w:rsidR="00F90DC8" w:rsidRDefault="000E3EF8">
      <w:pPr>
        <w:pStyle w:val="NormalWeb"/>
        <w:rPr>
          <w:color w:val="BF0000"/>
        </w:rPr>
      </w:pPr>
      <w:r>
        <w:rPr>
          <w:color w:val="BF0000"/>
        </w:rPr>
        <w:t>Extracted variables included:</w:t>
      </w:r>
    </w:p>
    <w:p w:rsidR="00F90DC8" w:rsidRDefault="000E3EF8">
      <w:pPr>
        <w:pStyle w:val="NormalWeb"/>
        <w:numPr>
          <w:ilvl w:val="0"/>
          <w:numId w:val="6"/>
        </w:numPr>
        <w:rPr>
          <w:color w:val="BF0000"/>
        </w:rPr>
      </w:pPr>
      <w:r>
        <w:rPr>
          <w:color w:val="BF0000"/>
        </w:rPr>
        <w:t>Study design and year of publication</w:t>
      </w:r>
    </w:p>
    <w:p w:rsidR="00F90DC8" w:rsidRDefault="000E3EF8">
      <w:pPr>
        <w:pStyle w:val="NormalWeb"/>
        <w:numPr>
          <w:ilvl w:val="0"/>
          <w:numId w:val="6"/>
        </w:numPr>
        <w:rPr>
          <w:color w:val="BF0000"/>
        </w:rPr>
      </w:pPr>
      <w:r>
        <w:rPr>
          <w:color w:val="BF0000"/>
        </w:rPr>
        <w:t>Population characteristics and sample size</w:t>
      </w:r>
    </w:p>
    <w:p w:rsidR="00F90DC8" w:rsidRDefault="000E3EF8">
      <w:pPr>
        <w:pStyle w:val="NormalWeb"/>
        <w:numPr>
          <w:ilvl w:val="0"/>
          <w:numId w:val="6"/>
        </w:numPr>
        <w:rPr>
          <w:color w:val="BF0000"/>
        </w:rPr>
      </w:pPr>
      <w:r>
        <w:rPr>
          <w:color w:val="BF0000"/>
        </w:rPr>
        <w:t>Reperfusion modality and timing metrics (including door-to-balloon time, symptom-to-device time, and total ischemia time)</w:t>
      </w:r>
    </w:p>
    <w:p w:rsidR="00F90DC8" w:rsidRDefault="000E3EF8">
      <w:pPr>
        <w:pStyle w:val="NormalWeb"/>
        <w:numPr>
          <w:ilvl w:val="0"/>
          <w:numId w:val="6"/>
        </w:numPr>
        <w:rPr>
          <w:color w:val="BF0000"/>
        </w:rPr>
      </w:pPr>
      <w:r>
        <w:rPr>
          <w:color w:val="BF0000"/>
        </w:rPr>
        <w:t>Pharmacologic and device-based adjuncts</w:t>
      </w:r>
    </w:p>
    <w:p w:rsidR="00F90DC8" w:rsidRDefault="000E3EF8">
      <w:pPr>
        <w:pStyle w:val="NormalWeb"/>
        <w:numPr>
          <w:ilvl w:val="0"/>
          <w:numId w:val="6"/>
        </w:numPr>
        <w:rPr>
          <w:color w:val="BF0000"/>
        </w:rPr>
      </w:pPr>
      <w:r>
        <w:rPr>
          <w:color w:val="BF0000"/>
        </w:rPr>
        <w:t>Clinical outcomes such as mortality, reinfarction, heart failure, stroke, and bleeding complications</w:t>
      </w:r>
    </w:p>
    <w:p w:rsidR="00F90DC8" w:rsidRDefault="000E3EF8">
      <w:pPr>
        <w:pStyle w:val="NormalWeb"/>
        <w:numPr>
          <w:ilvl w:val="0"/>
          <w:numId w:val="6"/>
        </w:numPr>
        <w:rPr>
          <w:color w:val="BF0000"/>
        </w:rPr>
      </w:pPr>
      <w:r>
        <w:rPr>
          <w:color w:val="BF0000"/>
        </w:rPr>
        <w:t>Key conclusions relevant to evolving reperfusion paradigms</w:t>
      </w:r>
    </w:p>
    <w:p w:rsidR="00F90DC8" w:rsidRDefault="000E3EF8">
      <w:pPr>
        <w:pStyle w:val="NormalWeb"/>
        <w:rPr>
          <w:color w:val="BF0000"/>
        </w:rPr>
      </w:pPr>
      <w:r>
        <w:rPr>
          <w:color w:val="BF0000"/>
        </w:rPr>
        <w:t xml:space="preserve">Particular attention was given to studies examining the </w:t>
      </w:r>
      <w:r>
        <w:rPr>
          <w:color w:val="BF0000"/>
        </w:rPr>
        <w:t>relationship between cumulative ischemic delay and clinical outcomes, as well as trials and meta-analyses evaluating thrombectomy strategies and their impact on mortality, microvascular perfusion, and stroke risk.</w:t>
      </w:r>
    </w:p>
    <w:p w:rsidR="00F90DC8" w:rsidRDefault="000E3EF8">
      <w:pPr>
        <w:pStyle w:val="Heading3"/>
        <w:rPr>
          <w:rFonts w:eastAsia="Times New Roman"/>
          <w:color w:val="BF0000"/>
        </w:rPr>
      </w:pPr>
      <w:r>
        <w:rPr>
          <w:rFonts w:eastAsia="Times New Roman"/>
          <w:color w:val="BF0000"/>
        </w:rPr>
        <w:lastRenderedPageBreak/>
        <w:t>Guideline and Evidence Prioritization</w:t>
      </w:r>
    </w:p>
    <w:p w:rsidR="00F90DC8" w:rsidRDefault="000E3EF8">
      <w:pPr>
        <w:pStyle w:val="NormalWeb"/>
        <w:rPr>
          <w:color w:val="BF0000"/>
        </w:rPr>
      </w:pPr>
      <w:r>
        <w:rPr>
          <w:color w:val="BF0000"/>
        </w:rPr>
        <w:t>Cont</w:t>
      </w:r>
      <w:r>
        <w:rPr>
          <w:color w:val="BF0000"/>
        </w:rPr>
        <w:t xml:space="preserve">emporary international guidelines from the European Society of Cardiology (ESC) and the American College of Cardiology/American Heart Association (ACC/AHA) were included to contextualize evidence within current clinical recommendations. Greater weight was </w:t>
      </w:r>
      <w:r>
        <w:rPr>
          <w:color w:val="BF0000"/>
        </w:rPr>
        <w:t>assigned to guideline updates, large randomized trials, and high-quality meta-analyses published in the past decade, especially those that informed changes in recommendations regarding thrombectomy use and system-of-care optimization.</w:t>
      </w:r>
    </w:p>
    <w:p w:rsidR="00F90DC8" w:rsidRDefault="000E3EF8">
      <w:pPr>
        <w:pStyle w:val="Heading3"/>
        <w:rPr>
          <w:rFonts w:eastAsia="Times New Roman"/>
          <w:color w:val="BF0000"/>
        </w:rPr>
      </w:pPr>
      <w:r>
        <w:rPr>
          <w:rFonts w:eastAsia="Times New Roman"/>
          <w:color w:val="BF0000"/>
        </w:rPr>
        <w:t>Quality Appraisal and</w:t>
      </w:r>
      <w:r>
        <w:rPr>
          <w:rFonts w:eastAsia="Times New Roman"/>
          <w:color w:val="BF0000"/>
        </w:rPr>
        <w:t xml:space="preserve"> Synthesis</w:t>
      </w:r>
    </w:p>
    <w:p w:rsidR="00F90DC8" w:rsidRDefault="000E3EF8">
      <w:pPr>
        <w:pStyle w:val="NormalWeb"/>
        <w:rPr>
          <w:color w:val="BF0000"/>
        </w:rPr>
      </w:pPr>
      <w:r>
        <w:rPr>
          <w:color w:val="BF0000"/>
        </w:rPr>
        <w:t>The methodological quality of included studies was appraised based on study design, sample size, risk of bias, outcome relevance, and consistency with other evidence. Randomized controlled trials and guideline documents were prioritized, while o</w:t>
      </w:r>
      <w:r>
        <w:rPr>
          <w:color w:val="BF0000"/>
        </w:rPr>
        <w:t>bservational studies and registry data were used to complement randomized evidence and provide real-world insights.</w:t>
      </w:r>
    </w:p>
    <w:p w:rsidR="00F90DC8" w:rsidRDefault="000E3EF8">
      <w:pPr>
        <w:pStyle w:val="NormalWeb"/>
        <w:rPr>
          <w:color w:val="BF0000"/>
        </w:rPr>
      </w:pPr>
      <w:r>
        <w:rPr>
          <w:color w:val="BF0000"/>
        </w:rPr>
        <w:t>Given the narrative nature of the review, no formal meta-analysis was performed. Instead, a structured qualitative synthesis was employed to</w:t>
      </w:r>
      <w:r>
        <w:rPr>
          <w:color w:val="BF0000"/>
        </w:rPr>
        <w:t xml:space="preserve"> integrate findings and identify converging trends across studies.</w:t>
      </w:r>
    </w:p>
    <w:p w:rsidR="00F90DC8" w:rsidRDefault="000E3EF8">
      <w:pPr>
        <w:pStyle w:val="NormalWeb"/>
        <w:rPr>
          <w:color w:val="BF0000"/>
        </w:rPr>
      </w:pPr>
      <w:r>
        <w:rPr>
          <w:color w:val="BF0000"/>
        </w:rPr>
        <w:t>The synthesis focused on three principal domains:</w:t>
      </w:r>
    </w:p>
    <w:p w:rsidR="00F90DC8" w:rsidRDefault="000E3EF8">
      <w:pPr>
        <w:pStyle w:val="NormalWeb"/>
        <w:numPr>
          <w:ilvl w:val="0"/>
          <w:numId w:val="7"/>
        </w:numPr>
        <w:rPr>
          <w:color w:val="BF0000"/>
        </w:rPr>
      </w:pPr>
      <w:r>
        <w:rPr>
          <w:color w:val="BF0000"/>
        </w:rPr>
        <w:t>Optimization of primary PCI and reperfusion workflows</w:t>
      </w:r>
    </w:p>
    <w:p w:rsidR="00F90DC8" w:rsidRDefault="000E3EF8">
      <w:pPr>
        <w:pStyle w:val="NormalWeb"/>
        <w:numPr>
          <w:ilvl w:val="0"/>
          <w:numId w:val="7"/>
        </w:numPr>
        <w:rPr>
          <w:color w:val="BF0000"/>
        </w:rPr>
      </w:pPr>
      <w:r>
        <w:rPr>
          <w:color w:val="BF0000"/>
        </w:rPr>
        <w:t>Transition from isolated door-to-balloon metrics toward total ischemia time as a prog</w:t>
      </w:r>
      <w:r>
        <w:rPr>
          <w:color w:val="BF0000"/>
        </w:rPr>
        <w:t>nostic and system-level indicator</w:t>
      </w:r>
    </w:p>
    <w:p w:rsidR="00F90DC8" w:rsidRDefault="000E3EF8">
      <w:pPr>
        <w:pStyle w:val="NormalWeb"/>
        <w:numPr>
          <w:ilvl w:val="0"/>
          <w:numId w:val="7"/>
        </w:numPr>
        <w:rPr>
          <w:color w:val="BF0000"/>
        </w:rPr>
      </w:pPr>
      <w:r>
        <w:rPr>
          <w:color w:val="BF0000"/>
        </w:rPr>
        <w:t>The evolving role of adjunctive pharmacologic and device-based strategies, including thrombectomy, in contemporary AMI management</w:t>
      </w:r>
    </w:p>
    <w:p w:rsidR="00F90DC8" w:rsidRDefault="000E3EF8">
      <w:pPr>
        <w:pStyle w:val="Heading3"/>
        <w:rPr>
          <w:rFonts w:eastAsia="Times New Roman"/>
          <w:color w:val="BF0000"/>
        </w:rPr>
      </w:pPr>
      <w:r>
        <w:rPr>
          <w:rFonts w:eastAsia="Times New Roman"/>
          <w:color w:val="BF0000"/>
        </w:rPr>
        <w:t>Reporting Standards</w:t>
      </w:r>
    </w:p>
    <w:p w:rsidR="00F90DC8" w:rsidRDefault="000E3EF8">
      <w:pPr>
        <w:pStyle w:val="NormalWeb"/>
        <w:rPr>
          <w:color w:val="BF0000"/>
        </w:rPr>
      </w:pPr>
      <w:r>
        <w:rPr>
          <w:color w:val="BF0000"/>
        </w:rPr>
        <w:t xml:space="preserve">References were formatted according to the American Psychological </w:t>
      </w:r>
      <w:r>
        <w:rPr>
          <w:color w:val="BF0000"/>
        </w:rPr>
        <w:t>Association (APA) 7th edition guidelines. The review methodology was designed to ensure transparency, reproducibility, and clinical relevance for clinicians, researchers, and policymakers involved in acute cardiovascular care.</w:t>
      </w:r>
    </w:p>
    <w:p w:rsidR="00F90DC8" w:rsidRDefault="00F90DC8">
      <w:pPr>
        <w:pStyle w:val="NormalWeb"/>
      </w:pPr>
    </w:p>
    <w:p w:rsidR="00F90DC8" w:rsidRDefault="000E3EF8">
      <w:pPr>
        <w:rPr>
          <w:b/>
          <w:bCs/>
        </w:rPr>
      </w:pPr>
      <w:r>
        <w:rPr>
          <w:b/>
          <w:bCs/>
        </w:rPr>
        <w:t xml:space="preserve">Results </w:t>
      </w:r>
    </w:p>
    <w:p w:rsidR="00F90DC8" w:rsidRDefault="000E3EF8">
      <w:pPr>
        <w:pStyle w:val="NormalWeb"/>
      </w:pPr>
      <w:r>
        <w:t>Reperfusion therapy</w:t>
      </w:r>
      <w:r>
        <w:t xml:space="preserve"> remains the cornerstone of acute ST-segment elevation myocardial infarction (STEMI) management, with primary percutaneous coronary intervention (PCI) recognized as the preferred reperfusion strategy when timely access is available. Contemporary evidence c</w:t>
      </w:r>
      <w:r>
        <w:t>ontinues to demonstrate that rapid restoration of coronary blood flow significantly reduces myocardial necrosis, preserves left ventricular function, and improves survival outcomes (Akbar et al., 2024). Over the past decades, improvements in catheterizatio</w:t>
      </w:r>
      <w:r>
        <w:t xml:space="preserve">n laboratory </w:t>
      </w:r>
      <w:r>
        <w:lastRenderedPageBreak/>
        <w:t>infrastructure, interventional techniques, and pharmacologic adjuncts have contributed to substantial reductions in morbidity and mortality associated with STEMI. Key components and emerging paradigms in reperfusion therapy, including system-l</w:t>
      </w:r>
      <w:r>
        <w:t xml:space="preserve">evel and pharmacologic innovations, are summarized in </w:t>
      </w:r>
      <w:r>
        <w:rPr>
          <w:rStyle w:val="Strong"/>
        </w:rPr>
        <w:t>Table 1</w:t>
      </w:r>
      <w:r>
        <w:t>.</w:t>
      </w:r>
    </w:p>
    <w:p w:rsidR="00F90DC8" w:rsidRDefault="000E3EF8">
      <w:pPr>
        <w:pStyle w:val="NormalWeb"/>
      </w:pPr>
      <w:r>
        <w:rPr>
          <w:rStyle w:val="Strong"/>
        </w:rPr>
        <w:t>Table 1. Key Components and Emerging Paradigms in Reperfusion Therapy for Acute ST-Segment Elevation Myocardial Infarction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0"/>
        <w:gridCol w:w="2634"/>
        <w:gridCol w:w="2700"/>
        <w:gridCol w:w="2006"/>
      </w:tblGrid>
      <w:tr w:rsidR="00F90DC8">
        <w:trPr>
          <w:tblHeader/>
          <w:tblCellSpacing w:w="15" w:type="dxa"/>
        </w:trPr>
        <w:tc>
          <w:tcPr>
            <w:tcW w:w="0" w:type="auto"/>
            <w:vAlign w:val="center"/>
            <w:hideMark/>
          </w:tcPr>
          <w:p w:rsidR="00F90DC8" w:rsidRDefault="000E3EF8">
            <w:pPr>
              <w:jc w:val="center"/>
              <w:rPr>
                <w:rFonts w:eastAsia="Times New Roman"/>
                <w:b/>
                <w:bCs/>
              </w:rPr>
            </w:pPr>
            <w:r>
              <w:rPr>
                <w:rStyle w:val="Strong"/>
                <w:rFonts w:eastAsia="Times New Roman"/>
              </w:rPr>
              <w:t>Domain</w:t>
            </w:r>
          </w:p>
        </w:tc>
        <w:tc>
          <w:tcPr>
            <w:tcW w:w="0" w:type="auto"/>
            <w:vAlign w:val="center"/>
            <w:hideMark/>
          </w:tcPr>
          <w:p w:rsidR="00F90DC8" w:rsidRDefault="000E3EF8">
            <w:pPr>
              <w:jc w:val="center"/>
              <w:rPr>
                <w:rFonts w:eastAsia="Times New Roman"/>
                <w:b/>
                <w:bCs/>
              </w:rPr>
            </w:pPr>
            <w:r>
              <w:rPr>
                <w:rStyle w:val="Strong"/>
                <w:rFonts w:eastAsia="Times New Roman"/>
              </w:rPr>
              <w:t>Key Findings / Paradigms</w:t>
            </w:r>
          </w:p>
        </w:tc>
        <w:tc>
          <w:tcPr>
            <w:tcW w:w="0" w:type="auto"/>
            <w:vAlign w:val="center"/>
            <w:hideMark/>
          </w:tcPr>
          <w:p w:rsidR="00F90DC8" w:rsidRDefault="000E3EF8">
            <w:pPr>
              <w:jc w:val="center"/>
              <w:rPr>
                <w:rFonts w:eastAsia="Times New Roman"/>
                <w:b/>
                <w:bCs/>
              </w:rPr>
            </w:pPr>
            <w:r>
              <w:rPr>
                <w:rStyle w:val="Strong"/>
                <w:rFonts w:eastAsia="Times New Roman"/>
              </w:rPr>
              <w:t>Clinical Implications</w:t>
            </w:r>
          </w:p>
        </w:tc>
        <w:tc>
          <w:tcPr>
            <w:tcW w:w="0" w:type="auto"/>
            <w:vAlign w:val="center"/>
            <w:hideMark/>
          </w:tcPr>
          <w:p w:rsidR="00F90DC8" w:rsidRDefault="000E3EF8">
            <w:pPr>
              <w:jc w:val="center"/>
              <w:rPr>
                <w:rFonts w:eastAsia="Times New Roman"/>
                <w:b/>
                <w:bCs/>
              </w:rPr>
            </w:pPr>
            <w:r>
              <w:rPr>
                <w:rStyle w:val="Strong"/>
                <w:rFonts w:eastAsia="Times New Roman"/>
              </w:rPr>
              <w:t>Representative E</w:t>
            </w:r>
            <w:r>
              <w:rPr>
                <w:rStyle w:val="Strong"/>
                <w:rFonts w:eastAsia="Times New Roman"/>
              </w:rPr>
              <w:t>vidence</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Primary reperfusion strategy</w:t>
            </w:r>
          </w:p>
        </w:tc>
        <w:tc>
          <w:tcPr>
            <w:tcW w:w="0" w:type="auto"/>
            <w:vAlign w:val="center"/>
            <w:hideMark/>
          </w:tcPr>
          <w:p w:rsidR="00F90DC8" w:rsidRDefault="000E3EF8">
            <w:pPr>
              <w:rPr>
                <w:rFonts w:eastAsia="Times New Roman"/>
              </w:rPr>
            </w:pPr>
            <w:r>
              <w:rPr>
                <w:rFonts w:eastAsia="Times New Roman"/>
              </w:rPr>
              <w:t>Primary PCI remains the preferred reperfusion modality when timely access is available</w:t>
            </w:r>
          </w:p>
        </w:tc>
        <w:tc>
          <w:tcPr>
            <w:tcW w:w="0" w:type="auto"/>
            <w:vAlign w:val="center"/>
            <w:hideMark/>
          </w:tcPr>
          <w:p w:rsidR="00F90DC8" w:rsidRDefault="000E3EF8">
            <w:pPr>
              <w:rPr>
                <w:rFonts w:eastAsia="Times New Roman"/>
              </w:rPr>
            </w:pPr>
            <w:r>
              <w:rPr>
                <w:rFonts w:eastAsia="Times New Roman"/>
              </w:rPr>
              <w:t>Improves myocardial salvage, left ventricular function, and survival</w:t>
            </w:r>
          </w:p>
        </w:tc>
        <w:tc>
          <w:tcPr>
            <w:tcW w:w="0" w:type="auto"/>
            <w:vAlign w:val="center"/>
            <w:hideMark/>
          </w:tcPr>
          <w:p w:rsidR="00F90DC8" w:rsidRDefault="000E3EF8">
            <w:pPr>
              <w:rPr>
                <w:rFonts w:eastAsia="Times New Roman"/>
              </w:rPr>
            </w:pPr>
            <w:r>
              <w:rPr>
                <w:rFonts w:eastAsia="Times New Roman"/>
              </w:rPr>
              <w:t>Akbar et al., 2024</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Door-to-balloon (D2B) time</w:t>
            </w:r>
          </w:p>
        </w:tc>
        <w:tc>
          <w:tcPr>
            <w:tcW w:w="0" w:type="auto"/>
            <w:vAlign w:val="center"/>
            <w:hideMark/>
          </w:tcPr>
          <w:p w:rsidR="00F90DC8" w:rsidRDefault="000E3EF8">
            <w:pPr>
              <w:rPr>
                <w:rFonts w:eastAsia="Times New Roman"/>
              </w:rPr>
            </w:pPr>
            <w:r>
              <w:rPr>
                <w:rFonts w:eastAsia="Times New Roman"/>
              </w:rPr>
              <w:t xml:space="preserve">Shorter D2B </w:t>
            </w:r>
            <w:r>
              <w:rPr>
                <w:rFonts w:eastAsia="Times New Roman"/>
              </w:rPr>
              <w:t>time is strongly associated with reduced mortality</w:t>
            </w:r>
          </w:p>
        </w:tc>
        <w:tc>
          <w:tcPr>
            <w:tcW w:w="0" w:type="auto"/>
            <w:vAlign w:val="center"/>
            <w:hideMark/>
          </w:tcPr>
          <w:p w:rsidR="00F90DC8" w:rsidRDefault="000E3EF8">
            <w:pPr>
              <w:rPr>
                <w:rFonts w:eastAsia="Times New Roman"/>
              </w:rPr>
            </w:pPr>
            <w:r>
              <w:rPr>
                <w:rFonts w:eastAsia="Times New Roman"/>
              </w:rPr>
              <w:t>Emphasizes rapid catheterization lab activation and streamlined emergency pathways</w:t>
            </w:r>
          </w:p>
        </w:tc>
        <w:tc>
          <w:tcPr>
            <w:tcW w:w="0" w:type="auto"/>
            <w:vAlign w:val="center"/>
            <w:hideMark/>
          </w:tcPr>
          <w:p w:rsidR="00F90DC8" w:rsidRDefault="000E3EF8">
            <w:pPr>
              <w:rPr>
                <w:rFonts w:eastAsia="Times New Roman"/>
              </w:rPr>
            </w:pPr>
            <w:r>
              <w:rPr>
                <w:rFonts w:eastAsia="Times New Roman"/>
              </w:rPr>
              <w:t>Menees et al., 2023; Butt et al., 2020</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Door-to-device/system delays</w:t>
            </w:r>
          </w:p>
        </w:tc>
        <w:tc>
          <w:tcPr>
            <w:tcW w:w="0" w:type="auto"/>
            <w:vAlign w:val="center"/>
            <w:hideMark/>
          </w:tcPr>
          <w:p w:rsidR="00F90DC8" w:rsidRDefault="000E3EF8">
            <w:pPr>
              <w:rPr>
                <w:rFonts w:eastAsia="Times New Roman"/>
              </w:rPr>
            </w:pPr>
            <w:r>
              <w:rPr>
                <w:rFonts w:eastAsia="Times New Roman"/>
              </w:rPr>
              <w:t>System and transfer delays independently increase mor</w:t>
            </w:r>
            <w:r>
              <w:rPr>
                <w:rFonts w:eastAsia="Times New Roman"/>
              </w:rPr>
              <w:t>tality risk</w:t>
            </w:r>
          </w:p>
        </w:tc>
        <w:tc>
          <w:tcPr>
            <w:tcW w:w="0" w:type="auto"/>
            <w:vAlign w:val="center"/>
            <w:hideMark/>
          </w:tcPr>
          <w:p w:rsidR="00F90DC8" w:rsidRDefault="000E3EF8">
            <w:pPr>
              <w:rPr>
                <w:rFonts w:eastAsia="Times New Roman"/>
              </w:rPr>
            </w:pPr>
            <w:r>
              <w:rPr>
                <w:rFonts w:eastAsia="Times New Roman"/>
              </w:rPr>
              <w:t>Necessitates regional STEMI networks and coordinated EMS systems</w:t>
            </w:r>
          </w:p>
        </w:tc>
        <w:tc>
          <w:tcPr>
            <w:tcW w:w="0" w:type="auto"/>
            <w:vAlign w:val="center"/>
            <w:hideMark/>
          </w:tcPr>
          <w:p w:rsidR="00F90DC8" w:rsidRDefault="000E3EF8">
            <w:pPr>
              <w:rPr>
                <w:rFonts w:eastAsia="Times New Roman"/>
              </w:rPr>
            </w:pPr>
            <w:r>
              <w:rPr>
                <w:rFonts w:eastAsia="Times New Roman"/>
              </w:rPr>
              <w:t>Champasri et al., 2023; Terkelsen et al., 2024</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Guideline-recommended timelines</w:t>
            </w:r>
          </w:p>
        </w:tc>
        <w:tc>
          <w:tcPr>
            <w:tcW w:w="0" w:type="auto"/>
            <w:vAlign w:val="center"/>
            <w:hideMark/>
          </w:tcPr>
          <w:p w:rsidR="00F90DC8" w:rsidRDefault="000E3EF8">
            <w:pPr>
              <w:rPr>
                <w:rFonts w:eastAsia="Times New Roman"/>
              </w:rPr>
            </w:pPr>
            <w:r>
              <w:rPr>
                <w:rFonts w:eastAsia="Times New Roman"/>
              </w:rPr>
              <w:t>PCI within 90 min (direct) or 120 min (transfer) from first medical contact</w:t>
            </w:r>
          </w:p>
        </w:tc>
        <w:tc>
          <w:tcPr>
            <w:tcW w:w="0" w:type="auto"/>
            <w:vAlign w:val="center"/>
            <w:hideMark/>
          </w:tcPr>
          <w:p w:rsidR="00F90DC8" w:rsidRDefault="000E3EF8">
            <w:pPr>
              <w:rPr>
                <w:rFonts w:eastAsia="Times New Roman"/>
              </w:rPr>
            </w:pPr>
            <w:r>
              <w:rPr>
                <w:rFonts w:eastAsia="Times New Roman"/>
              </w:rPr>
              <w:t>Benchmark for quality m</w:t>
            </w:r>
            <w:r>
              <w:rPr>
                <w:rFonts w:eastAsia="Times New Roman"/>
              </w:rPr>
              <w:t>etrics and hospital performance evaluation</w:t>
            </w:r>
          </w:p>
        </w:tc>
        <w:tc>
          <w:tcPr>
            <w:tcW w:w="0" w:type="auto"/>
            <w:vAlign w:val="center"/>
            <w:hideMark/>
          </w:tcPr>
          <w:p w:rsidR="00F90DC8" w:rsidRDefault="000E3EF8">
            <w:pPr>
              <w:rPr>
                <w:rFonts w:eastAsia="Times New Roman"/>
              </w:rPr>
            </w:pPr>
            <w:r>
              <w:rPr>
                <w:rFonts w:eastAsia="Times New Roman"/>
              </w:rPr>
              <w:t>Ibanez et al., 2025; O’Gara et al., 2023</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Integrated systems of care</w:t>
            </w:r>
          </w:p>
        </w:tc>
        <w:tc>
          <w:tcPr>
            <w:tcW w:w="0" w:type="auto"/>
            <w:vAlign w:val="center"/>
            <w:hideMark/>
          </w:tcPr>
          <w:p w:rsidR="00F90DC8" w:rsidRDefault="000E3EF8">
            <w:pPr>
              <w:rPr>
                <w:rFonts w:eastAsia="Times New Roman"/>
              </w:rPr>
            </w:pPr>
            <w:r>
              <w:rPr>
                <w:rFonts w:eastAsia="Times New Roman"/>
              </w:rPr>
              <w:t>Pre-hospital ECG diagnosis and cath lab pre-activation reduce delays</w:t>
            </w:r>
          </w:p>
        </w:tc>
        <w:tc>
          <w:tcPr>
            <w:tcW w:w="0" w:type="auto"/>
            <w:vAlign w:val="center"/>
            <w:hideMark/>
          </w:tcPr>
          <w:p w:rsidR="00F90DC8" w:rsidRDefault="000E3EF8">
            <w:pPr>
              <w:rPr>
                <w:rFonts w:eastAsia="Times New Roman"/>
              </w:rPr>
            </w:pPr>
            <w:r>
              <w:rPr>
                <w:rFonts w:eastAsia="Times New Roman"/>
              </w:rPr>
              <w:t>Multidisciplinary collaboration improves outcomes</w:t>
            </w:r>
          </w:p>
        </w:tc>
        <w:tc>
          <w:tcPr>
            <w:tcW w:w="0" w:type="auto"/>
            <w:vAlign w:val="center"/>
            <w:hideMark/>
          </w:tcPr>
          <w:p w:rsidR="00F90DC8" w:rsidRDefault="000E3EF8">
            <w:pPr>
              <w:rPr>
                <w:rFonts w:eastAsia="Times New Roman"/>
              </w:rPr>
            </w:pPr>
            <w:r>
              <w:rPr>
                <w:rFonts w:eastAsia="Times New Roman"/>
              </w:rPr>
              <w:t>Collet et al., 2023; Wils</w:t>
            </w:r>
            <w:r>
              <w:rPr>
                <w:rFonts w:eastAsia="Times New Roman"/>
              </w:rPr>
              <w:t>on et al., 2023</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Antiplatelet therapy</w:t>
            </w:r>
          </w:p>
        </w:tc>
        <w:tc>
          <w:tcPr>
            <w:tcW w:w="0" w:type="auto"/>
            <w:vAlign w:val="center"/>
            <w:hideMark/>
          </w:tcPr>
          <w:p w:rsidR="00F90DC8" w:rsidRDefault="000E3EF8">
            <w:pPr>
              <w:rPr>
                <w:rFonts w:eastAsia="Times New Roman"/>
              </w:rPr>
            </w:pPr>
            <w:r>
              <w:rPr>
                <w:rFonts w:eastAsia="Times New Roman"/>
              </w:rPr>
              <w:t>GP IIb/IIIa inhibitors improve angiographic outcomes but increase bleeding risk</w:t>
            </w:r>
          </w:p>
        </w:tc>
        <w:tc>
          <w:tcPr>
            <w:tcW w:w="0" w:type="auto"/>
            <w:vAlign w:val="center"/>
            <w:hideMark/>
          </w:tcPr>
          <w:p w:rsidR="00F90DC8" w:rsidRDefault="000E3EF8">
            <w:pPr>
              <w:rPr>
                <w:rFonts w:eastAsia="Times New Roman"/>
              </w:rPr>
            </w:pPr>
            <w:r>
              <w:rPr>
                <w:rFonts w:eastAsia="Times New Roman"/>
              </w:rPr>
              <w:t>Selective use in high thrombus burden or bailout scenarios</w:t>
            </w:r>
          </w:p>
        </w:tc>
        <w:tc>
          <w:tcPr>
            <w:tcW w:w="0" w:type="auto"/>
            <w:vAlign w:val="center"/>
            <w:hideMark/>
          </w:tcPr>
          <w:p w:rsidR="00F90DC8" w:rsidRDefault="000E3EF8">
            <w:pPr>
              <w:rPr>
                <w:rFonts w:eastAsia="Times New Roman"/>
              </w:rPr>
            </w:pPr>
            <w:r>
              <w:rPr>
                <w:rFonts w:eastAsia="Times New Roman"/>
              </w:rPr>
              <w:t>Karathanos et al., 2019</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lastRenderedPageBreak/>
              <w:t>Anticoagulation strategies</w:t>
            </w:r>
          </w:p>
        </w:tc>
        <w:tc>
          <w:tcPr>
            <w:tcW w:w="0" w:type="auto"/>
            <w:vAlign w:val="center"/>
            <w:hideMark/>
          </w:tcPr>
          <w:p w:rsidR="00F90DC8" w:rsidRDefault="000E3EF8">
            <w:pPr>
              <w:rPr>
                <w:rFonts w:eastAsia="Times New Roman"/>
              </w:rPr>
            </w:pPr>
            <w:r>
              <w:rPr>
                <w:rFonts w:eastAsia="Times New Roman"/>
              </w:rPr>
              <w:t xml:space="preserve">Bivalirudin vs. heparin </w:t>
            </w:r>
            <w:r>
              <w:rPr>
                <w:rFonts w:eastAsia="Times New Roman"/>
              </w:rPr>
              <w:t>outcomes influenced by timing and clinical context</w:t>
            </w:r>
          </w:p>
        </w:tc>
        <w:tc>
          <w:tcPr>
            <w:tcW w:w="0" w:type="auto"/>
            <w:vAlign w:val="center"/>
            <w:hideMark/>
          </w:tcPr>
          <w:p w:rsidR="00F90DC8" w:rsidRDefault="000E3EF8">
            <w:pPr>
              <w:rPr>
                <w:rFonts w:eastAsia="Times New Roman"/>
              </w:rPr>
            </w:pPr>
            <w:r>
              <w:rPr>
                <w:rFonts w:eastAsia="Times New Roman"/>
              </w:rPr>
              <w:t>Personalized anticoagulation approach recommended</w:t>
            </w:r>
          </w:p>
        </w:tc>
        <w:tc>
          <w:tcPr>
            <w:tcW w:w="0" w:type="auto"/>
            <w:vAlign w:val="center"/>
            <w:hideMark/>
          </w:tcPr>
          <w:p w:rsidR="00F90DC8" w:rsidRDefault="000E3EF8">
            <w:pPr>
              <w:rPr>
                <w:rFonts w:eastAsia="Times New Roman"/>
              </w:rPr>
            </w:pPr>
            <w:r>
              <w:rPr>
                <w:rFonts w:eastAsia="Times New Roman"/>
              </w:rPr>
              <w:t>Schoos et al., 2014</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Combination pharmacologic strategies</w:t>
            </w:r>
          </w:p>
        </w:tc>
        <w:tc>
          <w:tcPr>
            <w:tcW w:w="0" w:type="auto"/>
            <w:vAlign w:val="center"/>
            <w:hideMark/>
          </w:tcPr>
          <w:p w:rsidR="00F90DC8" w:rsidRDefault="000E3EF8">
            <w:pPr>
              <w:rPr>
                <w:rFonts w:eastAsia="Times New Roman"/>
              </w:rPr>
            </w:pPr>
            <w:r>
              <w:rPr>
                <w:rFonts w:eastAsia="Times New Roman"/>
              </w:rPr>
              <w:t>Combined pharmacologic and mechanical therapies may reduce infarct size</w:t>
            </w:r>
          </w:p>
        </w:tc>
        <w:tc>
          <w:tcPr>
            <w:tcW w:w="0" w:type="auto"/>
            <w:vAlign w:val="center"/>
            <w:hideMark/>
          </w:tcPr>
          <w:p w:rsidR="00F90DC8" w:rsidRDefault="000E3EF8">
            <w:pPr>
              <w:rPr>
                <w:rFonts w:eastAsia="Times New Roman"/>
              </w:rPr>
            </w:pPr>
            <w:r>
              <w:rPr>
                <w:rFonts w:eastAsia="Times New Roman"/>
              </w:rPr>
              <w:t>Tailored therapy benefici</w:t>
            </w:r>
            <w:r>
              <w:rPr>
                <w:rFonts w:eastAsia="Times New Roman"/>
              </w:rPr>
              <w:t>al in complex STEMI cases</w:t>
            </w:r>
          </w:p>
        </w:tc>
        <w:tc>
          <w:tcPr>
            <w:tcW w:w="0" w:type="auto"/>
            <w:vAlign w:val="center"/>
            <w:hideMark/>
          </w:tcPr>
          <w:p w:rsidR="00F90DC8" w:rsidRDefault="000E3EF8">
            <w:pPr>
              <w:rPr>
                <w:rFonts w:eastAsia="Times New Roman"/>
              </w:rPr>
            </w:pPr>
            <w:r>
              <w:rPr>
                <w:rFonts w:eastAsia="Times New Roman"/>
              </w:rPr>
              <w:t>Chiam et al., 2024</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Thrombectomy devices</w:t>
            </w:r>
          </w:p>
        </w:tc>
        <w:tc>
          <w:tcPr>
            <w:tcW w:w="0" w:type="auto"/>
            <w:vAlign w:val="center"/>
            <w:hideMark/>
          </w:tcPr>
          <w:p w:rsidR="00F90DC8" w:rsidRDefault="000E3EF8">
            <w:pPr>
              <w:rPr>
                <w:rFonts w:eastAsia="Times New Roman"/>
              </w:rPr>
            </w:pPr>
            <w:r>
              <w:rPr>
                <w:rFonts w:eastAsia="Times New Roman"/>
              </w:rPr>
              <w:t>Improves myocardial perfusion but inconsistent mortality benefit</w:t>
            </w:r>
          </w:p>
        </w:tc>
        <w:tc>
          <w:tcPr>
            <w:tcW w:w="0" w:type="auto"/>
            <w:vAlign w:val="center"/>
            <w:hideMark/>
          </w:tcPr>
          <w:p w:rsidR="00F90DC8" w:rsidRDefault="000E3EF8">
            <w:pPr>
              <w:rPr>
                <w:rFonts w:eastAsia="Times New Roman"/>
              </w:rPr>
            </w:pPr>
            <w:r>
              <w:rPr>
                <w:rFonts w:eastAsia="Times New Roman"/>
              </w:rPr>
              <w:t>Selective rather than routine use recommended</w:t>
            </w:r>
          </w:p>
        </w:tc>
        <w:tc>
          <w:tcPr>
            <w:tcW w:w="0" w:type="auto"/>
            <w:vAlign w:val="center"/>
            <w:hideMark/>
          </w:tcPr>
          <w:p w:rsidR="00F90DC8" w:rsidRDefault="000E3EF8">
            <w:pPr>
              <w:rPr>
                <w:rFonts w:eastAsia="Times New Roman"/>
              </w:rPr>
            </w:pPr>
            <w:r>
              <w:rPr>
                <w:rFonts w:eastAsia="Times New Roman"/>
              </w:rPr>
              <w:t>Mongeon et al., 2024</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Thrombectomy + GP IIb/IIIa inhibitors</w:t>
            </w:r>
          </w:p>
        </w:tc>
        <w:tc>
          <w:tcPr>
            <w:tcW w:w="0" w:type="auto"/>
            <w:vAlign w:val="center"/>
            <w:hideMark/>
          </w:tcPr>
          <w:p w:rsidR="00F90DC8" w:rsidRDefault="000E3EF8">
            <w:pPr>
              <w:rPr>
                <w:rFonts w:eastAsia="Times New Roman"/>
              </w:rPr>
            </w:pPr>
            <w:r>
              <w:rPr>
                <w:rFonts w:eastAsia="Times New Roman"/>
              </w:rPr>
              <w:t>Enhanced reperfusi</w:t>
            </w:r>
            <w:r>
              <w:rPr>
                <w:rFonts w:eastAsia="Times New Roman"/>
              </w:rPr>
              <w:t>on in high thrombus burden patients</w:t>
            </w:r>
          </w:p>
        </w:tc>
        <w:tc>
          <w:tcPr>
            <w:tcW w:w="0" w:type="auto"/>
            <w:vAlign w:val="center"/>
            <w:hideMark/>
          </w:tcPr>
          <w:p w:rsidR="00F90DC8" w:rsidRDefault="000E3EF8">
            <w:pPr>
              <w:rPr>
                <w:rFonts w:eastAsia="Times New Roman"/>
              </w:rPr>
            </w:pPr>
            <w:r>
              <w:rPr>
                <w:rFonts w:eastAsia="Times New Roman"/>
              </w:rPr>
              <w:t>Potential targeted strategy in selected STEMI populations</w:t>
            </w:r>
          </w:p>
        </w:tc>
        <w:tc>
          <w:tcPr>
            <w:tcW w:w="0" w:type="auto"/>
            <w:vAlign w:val="center"/>
            <w:hideMark/>
          </w:tcPr>
          <w:p w:rsidR="00F90DC8" w:rsidRDefault="000E3EF8">
            <w:pPr>
              <w:rPr>
                <w:rFonts w:eastAsia="Times New Roman"/>
              </w:rPr>
            </w:pPr>
            <w:r>
              <w:rPr>
                <w:rFonts w:eastAsia="Times New Roman"/>
              </w:rPr>
              <w:t>Niu et al., 2022</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Digital health innovations</w:t>
            </w:r>
          </w:p>
        </w:tc>
        <w:tc>
          <w:tcPr>
            <w:tcW w:w="0" w:type="auto"/>
            <w:vAlign w:val="center"/>
            <w:hideMark/>
          </w:tcPr>
          <w:p w:rsidR="00F90DC8" w:rsidRDefault="000E3EF8">
            <w:pPr>
              <w:rPr>
                <w:rFonts w:eastAsia="Times New Roman"/>
              </w:rPr>
            </w:pPr>
            <w:r>
              <w:rPr>
                <w:rFonts w:eastAsia="Times New Roman"/>
              </w:rPr>
              <w:t>Smartphone applications reduce reperfusion delays</w:t>
            </w:r>
          </w:p>
        </w:tc>
        <w:tc>
          <w:tcPr>
            <w:tcW w:w="0" w:type="auto"/>
            <w:vAlign w:val="center"/>
            <w:hideMark/>
          </w:tcPr>
          <w:p w:rsidR="00F90DC8" w:rsidRDefault="000E3EF8">
            <w:pPr>
              <w:rPr>
                <w:rFonts w:eastAsia="Times New Roman"/>
              </w:rPr>
            </w:pPr>
            <w:r>
              <w:rPr>
                <w:rFonts w:eastAsia="Times New Roman"/>
              </w:rPr>
              <w:t>Integration of telemedicine may transform STEMI workflows</w:t>
            </w:r>
          </w:p>
        </w:tc>
        <w:tc>
          <w:tcPr>
            <w:tcW w:w="0" w:type="auto"/>
            <w:vAlign w:val="center"/>
            <w:hideMark/>
          </w:tcPr>
          <w:p w:rsidR="00F90DC8" w:rsidRDefault="000E3EF8">
            <w:pPr>
              <w:rPr>
                <w:rFonts w:eastAsia="Times New Roman"/>
              </w:rPr>
            </w:pPr>
            <w:r>
              <w:rPr>
                <w:rFonts w:eastAsia="Times New Roman"/>
              </w:rPr>
              <w:t>Piazza et</w:t>
            </w:r>
            <w:r>
              <w:rPr>
                <w:rFonts w:eastAsia="Times New Roman"/>
              </w:rPr>
              <w:t xml:space="preserve"> al., 2025</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Emerging system-level interventions</w:t>
            </w:r>
          </w:p>
        </w:tc>
        <w:tc>
          <w:tcPr>
            <w:tcW w:w="0" w:type="auto"/>
            <w:vAlign w:val="center"/>
            <w:hideMark/>
          </w:tcPr>
          <w:p w:rsidR="00F90DC8" w:rsidRDefault="000E3EF8">
            <w:pPr>
              <w:rPr>
                <w:rFonts w:eastAsia="Times New Roman"/>
              </w:rPr>
            </w:pPr>
            <w:r>
              <w:rPr>
                <w:rFonts w:eastAsia="Times New Roman"/>
              </w:rPr>
              <w:t>Digital triage and real-time communication improve care coordination</w:t>
            </w:r>
          </w:p>
        </w:tc>
        <w:tc>
          <w:tcPr>
            <w:tcW w:w="0" w:type="auto"/>
            <w:vAlign w:val="center"/>
            <w:hideMark/>
          </w:tcPr>
          <w:p w:rsidR="00F90DC8" w:rsidRDefault="000E3EF8">
            <w:pPr>
              <w:rPr>
                <w:rFonts w:eastAsia="Times New Roman"/>
              </w:rPr>
            </w:pPr>
            <w:r>
              <w:rPr>
                <w:rFonts w:eastAsia="Times New Roman"/>
              </w:rPr>
              <w:t>Future paradigm shift toward technology-driven STEMI care</w:t>
            </w:r>
          </w:p>
        </w:tc>
        <w:tc>
          <w:tcPr>
            <w:tcW w:w="0" w:type="auto"/>
            <w:vAlign w:val="center"/>
            <w:hideMark/>
          </w:tcPr>
          <w:p w:rsidR="00F90DC8" w:rsidRDefault="000E3EF8">
            <w:pPr>
              <w:rPr>
                <w:rFonts w:eastAsia="Times New Roman"/>
              </w:rPr>
            </w:pPr>
            <w:r>
              <w:rPr>
                <w:rFonts w:eastAsia="Times New Roman"/>
              </w:rPr>
              <w:t>Piazza et al., 2025</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Quality improvement initiatives</w:t>
            </w:r>
          </w:p>
        </w:tc>
        <w:tc>
          <w:tcPr>
            <w:tcW w:w="0" w:type="auto"/>
            <w:vAlign w:val="center"/>
            <w:hideMark/>
          </w:tcPr>
          <w:p w:rsidR="00F90DC8" w:rsidRDefault="000E3EF8">
            <w:pPr>
              <w:rPr>
                <w:rFonts w:eastAsia="Times New Roman"/>
              </w:rPr>
            </w:pPr>
            <w:r>
              <w:rPr>
                <w:rFonts w:eastAsia="Times New Roman"/>
              </w:rPr>
              <w:t xml:space="preserve">Continuous monitoring </w:t>
            </w:r>
            <w:r>
              <w:rPr>
                <w:rFonts w:eastAsia="Times New Roman"/>
              </w:rPr>
              <w:t>improves sustainable D2B performance</w:t>
            </w:r>
          </w:p>
        </w:tc>
        <w:tc>
          <w:tcPr>
            <w:tcW w:w="0" w:type="auto"/>
            <w:vAlign w:val="center"/>
            <w:hideMark/>
          </w:tcPr>
          <w:p w:rsidR="00F90DC8" w:rsidRDefault="000E3EF8">
            <w:pPr>
              <w:rPr>
                <w:rFonts w:eastAsia="Times New Roman"/>
              </w:rPr>
            </w:pPr>
            <w:r>
              <w:rPr>
                <w:rFonts w:eastAsia="Times New Roman"/>
              </w:rPr>
              <w:t>Institutional benchmarking improves clinical outcomes</w:t>
            </w:r>
          </w:p>
        </w:tc>
        <w:tc>
          <w:tcPr>
            <w:tcW w:w="0" w:type="auto"/>
            <w:vAlign w:val="center"/>
            <w:hideMark/>
          </w:tcPr>
          <w:p w:rsidR="00F90DC8" w:rsidRDefault="000E3EF8">
            <w:pPr>
              <w:rPr>
                <w:rFonts w:eastAsia="Times New Roman"/>
              </w:rPr>
            </w:pPr>
            <w:r>
              <w:rPr>
                <w:rFonts w:eastAsia="Times New Roman"/>
              </w:rPr>
              <w:t>Wilson et al., 2023</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Multidisciplinary collaboration</w:t>
            </w:r>
          </w:p>
        </w:tc>
        <w:tc>
          <w:tcPr>
            <w:tcW w:w="0" w:type="auto"/>
            <w:vAlign w:val="center"/>
            <w:hideMark/>
          </w:tcPr>
          <w:p w:rsidR="00F90DC8" w:rsidRDefault="000E3EF8">
            <w:pPr>
              <w:rPr>
                <w:rFonts w:eastAsia="Times New Roman"/>
              </w:rPr>
            </w:pPr>
            <w:r>
              <w:rPr>
                <w:rFonts w:eastAsia="Times New Roman"/>
              </w:rPr>
              <w:t>Team-based STEMI protocols enhance efficiency</w:t>
            </w:r>
          </w:p>
        </w:tc>
        <w:tc>
          <w:tcPr>
            <w:tcW w:w="0" w:type="auto"/>
            <w:vAlign w:val="center"/>
            <w:hideMark/>
          </w:tcPr>
          <w:p w:rsidR="00F90DC8" w:rsidRDefault="000E3EF8">
            <w:pPr>
              <w:rPr>
                <w:rFonts w:eastAsia="Times New Roman"/>
              </w:rPr>
            </w:pPr>
            <w:r>
              <w:rPr>
                <w:rFonts w:eastAsia="Times New Roman"/>
              </w:rPr>
              <w:t>Essential for achieving guideline targets</w:t>
            </w:r>
          </w:p>
        </w:tc>
        <w:tc>
          <w:tcPr>
            <w:tcW w:w="0" w:type="auto"/>
            <w:vAlign w:val="center"/>
            <w:hideMark/>
          </w:tcPr>
          <w:p w:rsidR="00F90DC8" w:rsidRDefault="000E3EF8">
            <w:pPr>
              <w:rPr>
                <w:rFonts w:eastAsia="Times New Roman"/>
              </w:rPr>
            </w:pPr>
            <w:r>
              <w:rPr>
                <w:rFonts w:eastAsia="Times New Roman"/>
              </w:rPr>
              <w:t>Collet et al., 2023</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Future research directions</w:t>
            </w:r>
          </w:p>
        </w:tc>
        <w:tc>
          <w:tcPr>
            <w:tcW w:w="0" w:type="auto"/>
            <w:vAlign w:val="center"/>
            <w:hideMark/>
          </w:tcPr>
          <w:p w:rsidR="00F90DC8" w:rsidRDefault="000E3EF8">
            <w:pPr>
              <w:rPr>
                <w:rFonts w:eastAsia="Times New Roman"/>
              </w:rPr>
            </w:pPr>
            <w:r>
              <w:rPr>
                <w:rFonts w:eastAsia="Times New Roman"/>
              </w:rPr>
              <w:t>Optimization of pharmacologic adjuncts and digital systems</w:t>
            </w:r>
          </w:p>
        </w:tc>
        <w:tc>
          <w:tcPr>
            <w:tcW w:w="0" w:type="auto"/>
            <w:vAlign w:val="center"/>
            <w:hideMark/>
          </w:tcPr>
          <w:p w:rsidR="00F90DC8" w:rsidRDefault="000E3EF8">
            <w:pPr>
              <w:rPr>
                <w:rFonts w:eastAsia="Times New Roman"/>
              </w:rPr>
            </w:pPr>
            <w:r>
              <w:rPr>
                <w:rFonts w:eastAsia="Times New Roman"/>
              </w:rPr>
              <w:t>Potential to further reduce mortality and morbidity</w:t>
            </w:r>
          </w:p>
        </w:tc>
        <w:tc>
          <w:tcPr>
            <w:tcW w:w="0" w:type="auto"/>
            <w:vAlign w:val="center"/>
            <w:hideMark/>
          </w:tcPr>
          <w:p w:rsidR="00F90DC8" w:rsidRDefault="000E3EF8">
            <w:pPr>
              <w:rPr>
                <w:rFonts w:eastAsia="Times New Roman"/>
              </w:rPr>
            </w:pPr>
            <w:r>
              <w:rPr>
                <w:rFonts w:eastAsia="Times New Roman"/>
              </w:rPr>
              <w:t>Akbar et al., 2024; Collet et al., 2023</w:t>
            </w:r>
          </w:p>
        </w:tc>
      </w:tr>
    </w:tbl>
    <w:p w:rsidR="00F90DC8" w:rsidRDefault="00F90DC8">
      <w:pPr>
        <w:rPr>
          <w:rFonts w:eastAsia="Times New Roman"/>
        </w:rPr>
      </w:pPr>
    </w:p>
    <w:p w:rsidR="00F90DC8" w:rsidRDefault="00F90DC8">
      <w:pPr>
        <w:pStyle w:val="NormalWeb"/>
      </w:pPr>
    </w:p>
    <w:p w:rsidR="00F90DC8" w:rsidRDefault="000E3EF8">
      <w:pPr>
        <w:pStyle w:val="NormalWeb"/>
      </w:pPr>
      <w:r>
        <w:t>Door-to-balloon (D2B) time has emerged as a critical quality metric for STE</w:t>
      </w:r>
      <w:r>
        <w:t>MI care, with multiple studies demonstrating a strong inverse relationship between treatment delays and patient survival. Menees et al. (2023) reported that shorter D2B times were associated with reduced in-hospital mortality among patients undergoing prim</w:t>
      </w:r>
      <w:r>
        <w:t>ary PCI, reinforcing the importance of rapid reperfusion. Similarly, Butt et al. (2020) highlighted that minimizing D2B time remains a pivotal determinant of clinical outcomes, particularly in healthcare systems with evolving emergency cardiac care pathway</w:t>
      </w:r>
      <w:r>
        <w:t xml:space="preserve">s. Recent registry-based analyses further confirmed that door-to-device time is independently associated with mortality, emphasizing the need for continuous system-level improvements in STEMI networks and emergency medical services coordination (Champasri </w:t>
      </w:r>
      <w:r>
        <w:t>et al., 2023). System delays, including pre-hospital delays and inter-hospital transfer times, have also been shown to contribute significantly to adverse outcomes, underscoring the necessity of comprehensive regional STEMI systems of care (Terkelsen et al</w:t>
      </w:r>
      <w:r>
        <w:t xml:space="preserve">., 2024). Comparative performance metrics and system delay factors are outlined in </w:t>
      </w:r>
      <w:r>
        <w:rPr>
          <w:rStyle w:val="Strong"/>
        </w:rPr>
        <w:t>Table 2</w:t>
      </w:r>
      <w:r>
        <w:t>.</w:t>
      </w:r>
    </w:p>
    <w:p w:rsidR="00F90DC8" w:rsidRDefault="000E3EF8">
      <w:pPr>
        <w:pStyle w:val="Heading1"/>
        <w:rPr>
          <w:rFonts w:eastAsia="Times New Roman"/>
        </w:rPr>
      </w:pPr>
      <w:r>
        <w:rPr>
          <w:rStyle w:val="Strong"/>
          <w:rFonts w:eastAsia="Times New Roman"/>
          <w:b w:val="0"/>
          <w:bCs w:val="0"/>
        </w:rPr>
        <w:t>Table 2. Comparative Overview of Reperfusion Strategies, System Metrics, and Adjunctive Innovations in STEMI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9"/>
        <w:gridCol w:w="1635"/>
        <w:gridCol w:w="1702"/>
        <w:gridCol w:w="1544"/>
        <w:gridCol w:w="1712"/>
        <w:gridCol w:w="1238"/>
      </w:tblGrid>
      <w:tr w:rsidR="00F90DC8">
        <w:trPr>
          <w:tblHeader/>
          <w:tblCellSpacing w:w="15" w:type="dxa"/>
        </w:trPr>
        <w:tc>
          <w:tcPr>
            <w:tcW w:w="0" w:type="auto"/>
            <w:vAlign w:val="center"/>
            <w:hideMark/>
          </w:tcPr>
          <w:p w:rsidR="00F90DC8" w:rsidRDefault="000E3EF8">
            <w:pPr>
              <w:jc w:val="center"/>
              <w:rPr>
                <w:rFonts w:eastAsia="Times New Roman"/>
                <w:b/>
                <w:bCs/>
              </w:rPr>
            </w:pPr>
            <w:r>
              <w:rPr>
                <w:rStyle w:val="Strong"/>
                <w:rFonts w:eastAsia="Times New Roman"/>
              </w:rPr>
              <w:t>Category</w:t>
            </w:r>
          </w:p>
        </w:tc>
        <w:tc>
          <w:tcPr>
            <w:tcW w:w="0" w:type="auto"/>
            <w:vAlign w:val="center"/>
            <w:hideMark/>
          </w:tcPr>
          <w:p w:rsidR="00F90DC8" w:rsidRDefault="000E3EF8">
            <w:pPr>
              <w:jc w:val="center"/>
              <w:rPr>
                <w:rFonts w:eastAsia="Times New Roman"/>
                <w:b/>
                <w:bCs/>
              </w:rPr>
            </w:pPr>
            <w:r>
              <w:rPr>
                <w:rStyle w:val="Strong"/>
                <w:rFonts w:eastAsia="Times New Roman"/>
              </w:rPr>
              <w:t>Strategy / Metric</w:t>
            </w:r>
          </w:p>
        </w:tc>
        <w:tc>
          <w:tcPr>
            <w:tcW w:w="0" w:type="auto"/>
            <w:vAlign w:val="center"/>
            <w:hideMark/>
          </w:tcPr>
          <w:p w:rsidR="00F90DC8" w:rsidRDefault="000E3EF8">
            <w:pPr>
              <w:jc w:val="center"/>
              <w:rPr>
                <w:rFonts w:eastAsia="Times New Roman"/>
                <w:b/>
                <w:bCs/>
              </w:rPr>
            </w:pPr>
            <w:r>
              <w:rPr>
                <w:rStyle w:val="Strong"/>
                <w:rFonts w:eastAsia="Times New Roman"/>
              </w:rPr>
              <w:t>Description</w:t>
            </w:r>
          </w:p>
        </w:tc>
        <w:tc>
          <w:tcPr>
            <w:tcW w:w="0" w:type="auto"/>
            <w:vAlign w:val="center"/>
            <w:hideMark/>
          </w:tcPr>
          <w:p w:rsidR="00F90DC8" w:rsidRDefault="000E3EF8">
            <w:pPr>
              <w:jc w:val="center"/>
              <w:rPr>
                <w:rFonts w:eastAsia="Times New Roman"/>
                <w:b/>
                <w:bCs/>
              </w:rPr>
            </w:pPr>
            <w:r>
              <w:rPr>
                <w:rStyle w:val="Strong"/>
                <w:rFonts w:eastAsia="Times New Roman"/>
              </w:rPr>
              <w:t>Advantages</w:t>
            </w:r>
          </w:p>
        </w:tc>
        <w:tc>
          <w:tcPr>
            <w:tcW w:w="0" w:type="auto"/>
            <w:vAlign w:val="center"/>
            <w:hideMark/>
          </w:tcPr>
          <w:p w:rsidR="00F90DC8" w:rsidRDefault="000E3EF8">
            <w:pPr>
              <w:jc w:val="center"/>
              <w:rPr>
                <w:rFonts w:eastAsia="Times New Roman"/>
                <w:b/>
                <w:bCs/>
              </w:rPr>
            </w:pPr>
            <w:r>
              <w:rPr>
                <w:rStyle w:val="Strong"/>
                <w:rFonts w:eastAsia="Times New Roman"/>
              </w:rPr>
              <w:t>Limit</w:t>
            </w:r>
            <w:r>
              <w:rPr>
                <w:rStyle w:val="Strong"/>
                <w:rFonts w:eastAsia="Times New Roman"/>
              </w:rPr>
              <w:t>ations / Challenges</w:t>
            </w:r>
          </w:p>
        </w:tc>
        <w:tc>
          <w:tcPr>
            <w:tcW w:w="0" w:type="auto"/>
            <w:vAlign w:val="center"/>
            <w:hideMark/>
          </w:tcPr>
          <w:p w:rsidR="00F90DC8" w:rsidRDefault="000E3EF8">
            <w:pPr>
              <w:jc w:val="center"/>
              <w:rPr>
                <w:rFonts w:eastAsia="Times New Roman"/>
                <w:b/>
                <w:bCs/>
              </w:rPr>
            </w:pPr>
            <w:r>
              <w:rPr>
                <w:rStyle w:val="Strong"/>
                <w:rFonts w:eastAsia="Times New Roman"/>
              </w:rPr>
              <w:t>Key References</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Reperfusion modality</w:t>
            </w:r>
          </w:p>
        </w:tc>
        <w:tc>
          <w:tcPr>
            <w:tcW w:w="0" w:type="auto"/>
            <w:vAlign w:val="center"/>
            <w:hideMark/>
          </w:tcPr>
          <w:p w:rsidR="00F90DC8" w:rsidRDefault="000E3EF8">
            <w:pPr>
              <w:rPr>
                <w:rFonts w:eastAsia="Times New Roman"/>
              </w:rPr>
            </w:pPr>
            <w:r>
              <w:rPr>
                <w:rFonts w:eastAsia="Times New Roman"/>
              </w:rPr>
              <w:t>Primary percutaneous coronary intervention (PCI)</w:t>
            </w:r>
          </w:p>
        </w:tc>
        <w:tc>
          <w:tcPr>
            <w:tcW w:w="0" w:type="auto"/>
            <w:vAlign w:val="center"/>
            <w:hideMark/>
          </w:tcPr>
          <w:p w:rsidR="00F90DC8" w:rsidRDefault="000E3EF8">
            <w:pPr>
              <w:rPr>
                <w:rFonts w:eastAsia="Times New Roman"/>
              </w:rPr>
            </w:pPr>
            <w:r>
              <w:rPr>
                <w:rFonts w:eastAsia="Times New Roman"/>
              </w:rPr>
              <w:t>Mechanical reopening of occluded coronary artery via catheter-based intervention</w:t>
            </w:r>
          </w:p>
        </w:tc>
        <w:tc>
          <w:tcPr>
            <w:tcW w:w="0" w:type="auto"/>
            <w:vAlign w:val="center"/>
            <w:hideMark/>
          </w:tcPr>
          <w:p w:rsidR="00F90DC8" w:rsidRDefault="000E3EF8">
            <w:pPr>
              <w:rPr>
                <w:rFonts w:eastAsia="Times New Roman"/>
              </w:rPr>
            </w:pPr>
            <w:r>
              <w:rPr>
                <w:rFonts w:eastAsia="Times New Roman"/>
              </w:rPr>
              <w:t>Superior reperfusion rates, reduced mortality, improved LV function</w:t>
            </w:r>
          </w:p>
        </w:tc>
        <w:tc>
          <w:tcPr>
            <w:tcW w:w="0" w:type="auto"/>
            <w:vAlign w:val="center"/>
            <w:hideMark/>
          </w:tcPr>
          <w:p w:rsidR="00F90DC8" w:rsidRDefault="000E3EF8">
            <w:pPr>
              <w:rPr>
                <w:rFonts w:eastAsia="Times New Roman"/>
              </w:rPr>
            </w:pPr>
            <w:r>
              <w:rPr>
                <w:rFonts w:eastAsia="Times New Roman"/>
              </w:rPr>
              <w:t>Requires specialized centers and rapid access</w:t>
            </w:r>
          </w:p>
        </w:tc>
        <w:tc>
          <w:tcPr>
            <w:tcW w:w="0" w:type="auto"/>
            <w:vAlign w:val="center"/>
            <w:hideMark/>
          </w:tcPr>
          <w:p w:rsidR="00F90DC8" w:rsidRDefault="000E3EF8">
            <w:pPr>
              <w:rPr>
                <w:rFonts w:eastAsia="Times New Roman"/>
              </w:rPr>
            </w:pPr>
            <w:r>
              <w:rPr>
                <w:rFonts w:eastAsia="Times New Roman"/>
              </w:rPr>
              <w:t>Akbar et al., 2024; Ibanez et al., 2025</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Reperfusion modality</w:t>
            </w:r>
          </w:p>
        </w:tc>
        <w:tc>
          <w:tcPr>
            <w:tcW w:w="0" w:type="auto"/>
            <w:vAlign w:val="center"/>
            <w:hideMark/>
          </w:tcPr>
          <w:p w:rsidR="00F90DC8" w:rsidRDefault="000E3EF8">
            <w:pPr>
              <w:rPr>
                <w:rFonts w:eastAsia="Times New Roman"/>
              </w:rPr>
            </w:pPr>
            <w:r>
              <w:rPr>
                <w:rFonts w:eastAsia="Times New Roman"/>
              </w:rPr>
              <w:t>Fibrinolytic therapy</w:t>
            </w:r>
          </w:p>
        </w:tc>
        <w:tc>
          <w:tcPr>
            <w:tcW w:w="0" w:type="auto"/>
            <w:vAlign w:val="center"/>
            <w:hideMark/>
          </w:tcPr>
          <w:p w:rsidR="00F90DC8" w:rsidRDefault="000E3EF8">
            <w:pPr>
              <w:rPr>
                <w:rFonts w:eastAsia="Times New Roman"/>
              </w:rPr>
            </w:pPr>
            <w:r>
              <w:rPr>
                <w:rFonts w:eastAsia="Times New Roman"/>
              </w:rPr>
              <w:t>Pharmacologic thrombolysis when PCI unavailable</w:t>
            </w:r>
          </w:p>
        </w:tc>
        <w:tc>
          <w:tcPr>
            <w:tcW w:w="0" w:type="auto"/>
            <w:vAlign w:val="center"/>
            <w:hideMark/>
          </w:tcPr>
          <w:p w:rsidR="00F90DC8" w:rsidRDefault="000E3EF8">
            <w:pPr>
              <w:rPr>
                <w:rFonts w:eastAsia="Times New Roman"/>
              </w:rPr>
            </w:pPr>
            <w:r>
              <w:rPr>
                <w:rFonts w:eastAsia="Times New Roman"/>
              </w:rPr>
              <w:t>Widely available, rapid initiation</w:t>
            </w:r>
          </w:p>
        </w:tc>
        <w:tc>
          <w:tcPr>
            <w:tcW w:w="0" w:type="auto"/>
            <w:vAlign w:val="center"/>
            <w:hideMark/>
          </w:tcPr>
          <w:p w:rsidR="00F90DC8" w:rsidRDefault="000E3EF8">
            <w:pPr>
              <w:rPr>
                <w:rFonts w:eastAsia="Times New Roman"/>
              </w:rPr>
            </w:pPr>
            <w:r>
              <w:rPr>
                <w:rFonts w:eastAsia="Times New Roman"/>
              </w:rPr>
              <w:t>Lower efficacy, bleeding risk</w:t>
            </w:r>
          </w:p>
        </w:tc>
        <w:tc>
          <w:tcPr>
            <w:tcW w:w="0" w:type="auto"/>
            <w:vAlign w:val="center"/>
            <w:hideMark/>
          </w:tcPr>
          <w:p w:rsidR="00F90DC8" w:rsidRDefault="000E3EF8">
            <w:pPr>
              <w:rPr>
                <w:rFonts w:eastAsia="Times New Roman"/>
              </w:rPr>
            </w:pPr>
            <w:r>
              <w:rPr>
                <w:rFonts w:eastAsia="Times New Roman"/>
              </w:rPr>
              <w:t>O’Gara et al.,</w:t>
            </w:r>
            <w:r>
              <w:rPr>
                <w:rFonts w:eastAsia="Times New Roman"/>
              </w:rPr>
              <w:t xml:space="preserve"> 2023</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Performance metric</w:t>
            </w:r>
          </w:p>
        </w:tc>
        <w:tc>
          <w:tcPr>
            <w:tcW w:w="0" w:type="auto"/>
            <w:vAlign w:val="center"/>
            <w:hideMark/>
          </w:tcPr>
          <w:p w:rsidR="00F90DC8" w:rsidRDefault="000E3EF8">
            <w:pPr>
              <w:rPr>
                <w:rFonts w:eastAsia="Times New Roman"/>
              </w:rPr>
            </w:pPr>
            <w:r>
              <w:rPr>
                <w:rFonts w:eastAsia="Times New Roman"/>
              </w:rPr>
              <w:t>Door-to-balloon (D2B) time</w:t>
            </w:r>
          </w:p>
        </w:tc>
        <w:tc>
          <w:tcPr>
            <w:tcW w:w="0" w:type="auto"/>
            <w:vAlign w:val="center"/>
            <w:hideMark/>
          </w:tcPr>
          <w:p w:rsidR="00F90DC8" w:rsidRDefault="000E3EF8">
            <w:pPr>
              <w:rPr>
                <w:rFonts w:eastAsia="Times New Roman"/>
              </w:rPr>
            </w:pPr>
            <w:r>
              <w:rPr>
                <w:rFonts w:eastAsia="Times New Roman"/>
              </w:rPr>
              <w:t>Time from hospital arrival to coronary balloon inflation</w:t>
            </w:r>
          </w:p>
        </w:tc>
        <w:tc>
          <w:tcPr>
            <w:tcW w:w="0" w:type="auto"/>
            <w:vAlign w:val="center"/>
            <w:hideMark/>
          </w:tcPr>
          <w:p w:rsidR="00F90DC8" w:rsidRDefault="000E3EF8">
            <w:pPr>
              <w:rPr>
                <w:rFonts w:eastAsia="Times New Roman"/>
              </w:rPr>
            </w:pPr>
            <w:r>
              <w:rPr>
                <w:rFonts w:eastAsia="Times New Roman"/>
              </w:rPr>
              <w:t>Strong predictor of survival and quality of care</w:t>
            </w:r>
          </w:p>
        </w:tc>
        <w:tc>
          <w:tcPr>
            <w:tcW w:w="0" w:type="auto"/>
            <w:vAlign w:val="center"/>
            <w:hideMark/>
          </w:tcPr>
          <w:p w:rsidR="00F90DC8" w:rsidRDefault="000E3EF8">
            <w:pPr>
              <w:rPr>
                <w:rFonts w:eastAsia="Times New Roman"/>
              </w:rPr>
            </w:pPr>
            <w:r>
              <w:rPr>
                <w:rFonts w:eastAsia="Times New Roman"/>
              </w:rPr>
              <w:t>Influenced by system delays and logistics</w:t>
            </w:r>
          </w:p>
        </w:tc>
        <w:tc>
          <w:tcPr>
            <w:tcW w:w="0" w:type="auto"/>
            <w:vAlign w:val="center"/>
            <w:hideMark/>
          </w:tcPr>
          <w:p w:rsidR="00F90DC8" w:rsidRDefault="000E3EF8">
            <w:pPr>
              <w:rPr>
                <w:rFonts w:eastAsia="Times New Roman"/>
              </w:rPr>
            </w:pPr>
            <w:r>
              <w:rPr>
                <w:rFonts w:eastAsia="Times New Roman"/>
              </w:rPr>
              <w:t>Menees et al., 2023; Butt et al., 2020</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lastRenderedPageBreak/>
              <w:t xml:space="preserve">Performance </w:t>
            </w:r>
            <w:r>
              <w:rPr>
                <w:rFonts w:eastAsia="Times New Roman"/>
              </w:rPr>
              <w:t>metric</w:t>
            </w:r>
          </w:p>
        </w:tc>
        <w:tc>
          <w:tcPr>
            <w:tcW w:w="0" w:type="auto"/>
            <w:vAlign w:val="center"/>
            <w:hideMark/>
          </w:tcPr>
          <w:p w:rsidR="00F90DC8" w:rsidRDefault="000E3EF8">
            <w:pPr>
              <w:rPr>
                <w:rFonts w:eastAsia="Times New Roman"/>
              </w:rPr>
            </w:pPr>
            <w:r>
              <w:rPr>
                <w:rFonts w:eastAsia="Times New Roman"/>
              </w:rPr>
              <w:t>Door-to-device time</w:t>
            </w:r>
          </w:p>
        </w:tc>
        <w:tc>
          <w:tcPr>
            <w:tcW w:w="0" w:type="auto"/>
            <w:vAlign w:val="center"/>
            <w:hideMark/>
          </w:tcPr>
          <w:p w:rsidR="00F90DC8" w:rsidRDefault="000E3EF8">
            <w:pPr>
              <w:rPr>
                <w:rFonts w:eastAsia="Times New Roman"/>
              </w:rPr>
            </w:pPr>
            <w:r>
              <w:rPr>
                <w:rFonts w:eastAsia="Times New Roman"/>
              </w:rPr>
              <w:t>Broader system measure including pre-hospital delays</w:t>
            </w:r>
          </w:p>
        </w:tc>
        <w:tc>
          <w:tcPr>
            <w:tcW w:w="0" w:type="auto"/>
            <w:vAlign w:val="center"/>
            <w:hideMark/>
          </w:tcPr>
          <w:p w:rsidR="00F90DC8" w:rsidRDefault="000E3EF8">
            <w:pPr>
              <w:rPr>
                <w:rFonts w:eastAsia="Times New Roman"/>
              </w:rPr>
            </w:pPr>
            <w:r>
              <w:rPr>
                <w:rFonts w:eastAsia="Times New Roman"/>
              </w:rPr>
              <w:t>Reflects system-wide efficiency</w:t>
            </w:r>
          </w:p>
        </w:tc>
        <w:tc>
          <w:tcPr>
            <w:tcW w:w="0" w:type="auto"/>
            <w:vAlign w:val="center"/>
            <w:hideMark/>
          </w:tcPr>
          <w:p w:rsidR="00F90DC8" w:rsidRDefault="000E3EF8">
            <w:pPr>
              <w:rPr>
                <w:rFonts w:eastAsia="Times New Roman"/>
              </w:rPr>
            </w:pPr>
            <w:r>
              <w:rPr>
                <w:rFonts w:eastAsia="Times New Roman"/>
              </w:rPr>
              <w:t>Requires integrated EMS and hospital coordination</w:t>
            </w:r>
          </w:p>
        </w:tc>
        <w:tc>
          <w:tcPr>
            <w:tcW w:w="0" w:type="auto"/>
            <w:vAlign w:val="center"/>
            <w:hideMark/>
          </w:tcPr>
          <w:p w:rsidR="00F90DC8" w:rsidRDefault="000E3EF8">
            <w:pPr>
              <w:rPr>
                <w:rFonts w:eastAsia="Times New Roman"/>
              </w:rPr>
            </w:pPr>
            <w:r>
              <w:rPr>
                <w:rFonts w:eastAsia="Times New Roman"/>
              </w:rPr>
              <w:t>Champasri et al., 2023</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System delay factors</w:t>
            </w:r>
          </w:p>
        </w:tc>
        <w:tc>
          <w:tcPr>
            <w:tcW w:w="0" w:type="auto"/>
            <w:vAlign w:val="center"/>
            <w:hideMark/>
          </w:tcPr>
          <w:p w:rsidR="00F90DC8" w:rsidRDefault="000E3EF8">
            <w:pPr>
              <w:rPr>
                <w:rFonts w:eastAsia="Times New Roman"/>
              </w:rPr>
            </w:pPr>
            <w:r>
              <w:rPr>
                <w:rFonts w:eastAsia="Times New Roman"/>
              </w:rPr>
              <w:t>Pre-hospital delay</w:t>
            </w:r>
          </w:p>
        </w:tc>
        <w:tc>
          <w:tcPr>
            <w:tcW w:w="0" w:type="auto"/>
            <w:vAlign w:val="center"/>
            <w:hideMark/>
          </w:tcPr>
          <w:p w:rsidR="00F90DC8" w:rsidRDefault="000E3EF8">
            <w:pPr>
              <w:rPr>
                <w:rFonts w:eastAsia="Times New Roman"/>
              </w:rPr>
            </w:pPr>
            <w:r>
              <w:rPr>
                <w:rFonts w:eastAsia="Times New Roman"/>
              </w:rPr>
              <w:t>Time from symptom onset to fir</w:t>
            </w:r>
            <w:r>
              <w:rPr>
                <w:rFonts w:eastAsia="Times New Roman"/>
              </w:rPr>
              <w:t>st medical contact</w:t>
            </w:r>
          </w:p>
        </w:tc>
        <w:tc>
          <w:tcPr>
            <w:tcW w:w="0" w:type="auto"/>
            <w:vAlign w:val="center"/>
            <w:hideMark/>
          </w:tcPr>
          <w:p w:rsidR="00F90DC8" w:rsidRDefault="000E3EF8">
            <w:pPr>
              <w:rPr>
                <w:rFonts w:eastAsia="Times New Roman"/>
              </w:rPr>
            </w:pPr>
            <w:r>
              <w:rPr>
                <w:rFonts w:eastAsia="Times New Roman"/>
              </w:rPr>
              <w:t>Early EMS activation improves survival</w:t>
            </w:r>
          </w:p>
        </w:tc>
        <w:tc>
          <w:tcPr>
            <w:tcW w:w="0" w:type="auto"/>
            <w:vAlign w:val="center"/>
            <w:hideMark/>
          </w:tcPr>
          <w:p w:rsidR="00F90DC8" w:rsidRDefault="000E3EF8">
            <w:pPr>
              <w:rPr>
                <w:rFonts w:eastAsia="Times New Roman"/>
              </w:rPr>
            </w:pPr>
            <w:r>
              <w:rPr>
                <w:rFonts w:eastAsia="Times New Roman"/>
              </w:rPr>
              <w:t>Patient awareness and transport limitations</w:t>
            </w:r>
          </w:p>
        </w:tc>
        <w:tc>
          <w:tcPr>
            <w:tcW w:w="0" w:type="auto"/>
            <w:vAlign w:val="center"/>
            <w:hideMark/>
          </w:tcPr>
          <w:p w:rsidR="00F90DC8" w:rsidRDefault="000E3EF8">
            <w:pPr>
              <w:rPr>
                <w:rFonts w:eastAsia="Times New Roman"/>
              </w:rPr>
            </w:pPr>
            <w:r>
              <w:rPr>
                <w:rFonts w:eastAsia="Times New Roman"/>
              </w:rPr>
              <w:t>Terkelsen et al., 2024</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Guideline benchmark</w:t>
            </w:r>
          </w:p>
        </w:tc>
        <w:tc>
          <w:tcPr>
            <w:tcW w:w="0" w:type="auto"/>
            <w:vAlign w:val="center"/>
            <w:hideMark/>
          </w:tcPr>
          <w:p w:rsidR="00F90DC8" w:rsidRDefault="000E3EF8">
            <w:pPr>
              <w:rPr>
                <w:rFonts w:eastAsia="Times New Roman"/>
              </w:rPr>
            </w:pPr>
            <w:r>
              <w:rPr>
                <w:rFonts w:eastAsia="Times New Roman"/>
              </w:rPr>
              <w:t>PCI ≤ 90 min (direct) or ≤ 120 min (transfer)</w:t>
            </w:r>
          </w:p>
        </w:tc>
        <w:tc>
          <w:tcPr>
            <w:tcW w:w="0" w:type="auto"/>
            <w:vAlign w:val="center"/>
            <w:hideMark/>
          </w:tcPr>
          <w:p w:rsidR="00F90DC8" w:rsidRDefault="000E3EF8">
            <w:pPr>
              <w:rPr>
                <w:rFonts w:eastAsia="Times New Roman"/>
              </w:rPr>
            </w:pPr>
            <w:r>
              <w:rPr>
                <w:rFonts w:eastAsia="Times New Roman"/>
              </w:rPr>
              <w:t>Recommended timelines from first medical contact</w:t>
            </w:r>
          </w:p>
        </w:tc>
        <w:tc>
          <w:tcPr>
            <w:tcW w:w="0" w:type="auto"/>
            <w:vAlign w:val="center"/>
            <w:hideMark/>
          </w:tcPr>
          <w:p w:rsidR="00F90DC8" w:rsidRDefault="000E3EF8">
            <w:pPr>
              <w:rPr>
                <w:rFonts w:eastAsia="Times New Roman"/>
              </w:rPr>
            </w:pPr>
            <w:r>
              <w:rPr>
                <w:rFonts w:eastAsia="Times New Roman"/>
              </w:rPr>
              <w:t xml:space="preserve">Standardizes </w:t>
            </w:r>
            <w:r>
              <w:rPr>
                <w:rFonts w:eastAsia="Times New Roman"/>
              </w:rPr>
              <w:t>quality benchmarks</w:t>
            </w:r>
          </w:p>
        </w:tc>
        <w:tc>
          <w:tcPr>
            <w:tcW w:w="0" w:type="auto"/>
            <w:vAlign w:val="center"/>
            <w:hideMark/>
          </w:tcPr>
          <w:p w:rsidR="00F90DC8" w:rsidRDefault="000E3EF8">
            <w:pPr>
              <w:rPr>
                <w:rFonts w:eastAsia="Times New Roman"/>
              </w:rPr>
            </w:pPr>
            <w:r>
              <w:rPr>
                <w:rFonts w:eastAsia="Times New Roman"/>
              </w:rPr>
              <w:t>Difficult in low-resource settings</w:t>
            </w:r>
          </w:p>
        </w:tc>
        <w:tc>
          <w:tcPr>
            <w:tcW w:w="0" w:type="auto"/>
            <w:vAlign w:val="center"/>
            <w:hideMark/>
          </w:tcPr>
          <w:p w:rsidR="00F90DC8" w:rsidRDefault="000E3EF8">
            <w:pPr>
              <w:rPr>
                <w:rFonts w:eastAsia="Times New Roman"/>
              </w:rPr>
            </w:pPr>
            <w:r>
              <w:rPr>
                <w:rFonts w:eastAsia="Times New Roman"/>
              </w:rPr>
              <w:t>Ibanez et al., 2025; O’Gara et al., 2023</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Systems of care</w:t>
            </w:r>
          </w:p>
        </w:tc>
        <w:tc>
          <w:tcPr>
            <w:tcW w:w="0" w:type="auto"/>
            <w:vAlign w:val="center"/>
            <w:hideMark/>
          </w:tcPr>
          <w:p w:rsidR="00F90DC8" w:rsidRDefault="000E3EF8">
            <w:pPr>
              <w:rPr>
                <w:rFonts w:eastAsia="Times New Roman"/>
              </w:rPr>
            </w:pPr>
            <w:r>
              <w:rPr>
                <w:rFonts w:eastAsia="Times New Roman"/>
              </w:rPr>
              <w:t>Integrated STEMI networks</w:t>
            </w:r>
          </w:p>
        </w:tc>
        <w:tc>
          <w:tcPr>
            <w:tcW w:w="0" w:type="auto"/>
            <w:vAlign w:val="center"/>
            <w:hideMark/>
          </w:tcPr>
          <w:p w:rsidR="00F90DC8" w:rsidRDefault="000E3EF8">
            <w:pPr>
              <w:rPr>
                <w:rFonts w:eastAsia="Times New Roman"/>
              </w:rPr>
            </w:pPr>
            <w:r>
              <w:rPr>
                <w:rFonts w:eastAsia="Times New Roman"/>
              </w:rPr>
              <w:t>Coordinated EMS, ED, and cath lab protocols</w:t>
            </w:r>
          </w:p>
        </w:tc>
        <w:tc>
          <w:tcPr>
            <w:tcW w:w="0" w:type="auto"/>
            <w:vAlign w:val="center"/>
            <w:hideMark/>
          </w:tcPr>
          <w:p w:rsidR="00F90DC8" w:rsidRDefault="000E3EF8">
            <w:pPr>
              <w:rPr>
                <w:rFonts w:eastAsia="Times New Roman"/>
              </w:rPr>
            </w:pPr>
            <w:r>
              <w:rPr>
                <w:rFonts w:eastAsia="Times New Roman"/>
              </w:rPr>
              <w:t>Reduces delays and improves outcomes</w:t>
            </w:r>
          </w:p>
        </w:tc>
        <w:tc>
          <w:tcPr>
            <w:tcW w:w="0" w:type="auto"/>
            <w:vAlign w:val="center"/>
            <w:hideMark/>
          </w:tcPr>
          <w:p w:rsidR="00F90DC8" w:rsidRDefault="000E3EF8">
            <w:pPr>
              <w:rPr>
                <w:rFonts w:eastAsia="Times New Roman"/>
              </w:rPr>
            </w:pPr>
            <w:r>
              <w:rPr>
                <w:rFonts w:eastAsia="Times New Roman"/>
              </w:rPr>
              <w:t>Requires institutional collaboration</w:t>
            </w:r>
          </w:p>
        </w:tc>
        <w:tc>
          <w:tcPr>
            <w:tcW w:w="0" w:type="auto"/>
            <w:vAlign w:val="center"/>
            <w:hideMark/>
          </w:tcPr>
          <w:p w:rsidR="00F90DC8" w:rsidRDefault="000E3EF8">
            <w:pPr>
              <w:rPr>
                <w:rFonts w:eastAsia="Times New Roman"/>
              </w:rPr>
            </w:pPr>
            <w:r>
              <w:rPr>
                <w:rFonts w:eastAsia="Times New Roman"/>
              </w:rPr>
              <w:t>Collet et al., 2023; Wilson et al., 2023</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Pharmacologic adjunct</w:t>
            </w:r>
          </w:p>
        </w:tc>
        <w:tc>
          <w:tcPr>
            <w:tcW w:w="0" w:type="auto"/>
            <w:vAlign w:val="center"/>
            <w:hideMark/>
          </w:tcPr>
          <w:p w:rsidR="00F90DC8" w:rsidRDefault="000E3EF8">
            <w:pPr>
              <w:rPr>
                <w:rFonts w:eastAsia="Times New Roman"/>
              </w:rPr>
            </w:pPr>
            <w:r>
              <w:rPr>
                <w:rFonts w:eastAsia="Times New Roman"/>
              </w:rPr>
              <w:t>Glycoprotein IIb/IIIa inhibitors</w:t>
            </w:r>
          </w:p>
        </w:tc>
        <w:tc>
          <w:tcPr>
            <w:tcW w:w="0" w:type="auto"/>
            <w:vAlign w:val="center"/>
            <w:hideMark/>
          </w:tcPr>
          <w:p w:rsidR="00F90DC8" w:rsidRDefault="000E3EF8">
            <w:pPr>
              <w:rPr>
                <w:rFonts w:eastAsia="Times New Roman"/>
              </w:rPr>
            </w:pPr>
            <w:r>
              <w:rPr>
                <w:rFonts w:eastAsia="Times New Roman"/>
              </w:rPr>
              <w:t>Potent antiplatelet therapy during PCI</w:t>
            </w:r>
          </w:p>
        </w:tc>
        <w:tc>
          <w:tcPr>
            <w:tcW w:w="0" w:type="auto"/>
            <w:vAlign w:val="center"/>
            <w:hideMark/>
          </w:tcPr>
          <w:p w:rsidR="00F90DC8" w:rsidRDefault="000E3EF8">
            <w:pPr>
              <w:rPr>
                <w:rFonts w:eastAsia="Times New Roman"/>
              </w:rPr>
            </w:pPr>
            <w:r>
              <w:rPr>
                <w:rFonts w:eastAsia="Times New Roman"/>
              </w:rPr>
              <w:t>Improves angiographic outcomes</w:t>
            </w:r>
          </w:p>
        </w:tc>
        <w:tc>
          <w:tcPr>
            <w:tcW w:w="0" w:type="auto"/>
            <w:vAlign w:val="center"/>
            <w:hideMark/>
          </w:tcPr>
          <w:p w:rsidR="00F90DC8" w:rsidRDefault="000E3EF8">
            <w:pPr>
              <w:rPr>
                <w:rFonts w:eastAsia="Times New Roman"/>
              </w:rPr>
            </w:pPr>
            <w:r>
              <w:rPr>
                <w:rFonts w:eastAsia="Times New Roman"/>
              </w:rPr>
              <w:t>Increased bleeding risk</w:t>
            </w:r>
          </w:p>
        </w:tc>
        <w:tc>
          <w:tcPr>
            <w:tcW w:w="0" w:type="auto"/>
            <w:vAlign w:val="center"/>
            <w:hideMark/>
          </w:tcPr>
          <w:p w:rsidR="00F90DC8" w:rsidRDefault="000E3EF8">
            <w:pPr>
              <w:rPr>
                <w:rFonts w:eastAsia="Times New Roman"/>
              </w:rPr>
            </w:pPr>
            <w:r>
              <w:rPr>
                <w:rFonts w:eastAsia="Times New Roman"/>
              </w:rPr>
              <w:t>Karathanos et al., 2019</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Pharmacologic adjunct</w:t>
            </w:r>
          </w:p>
        </w:tc>
        <w:tc>
          <w:tcPr>
            <w:tcW w:w="0" w:type="auto"/>
            <w:vAlign w:val="center"/>
            <w:hideMark/>
          </w:tcPr>
          <w:p w:rsidR="00F90DC8" w:rsidRDefault="000E3EF8">
            <w:pPr>
              <w:rPr>
                <w:rFonts w:eastAsia="Times New Roman"/>
              </w:rPr>
            </w:pPr>
            <w:r>
              <w:rPr>
                <w:rFonts w:eastAsia="Times New Roman"/>
              </w:rPr>
              <w:t xml:space="preserve">Anticoagulants </w:t>
            </w:r>
            <w:r>
              <w:rPr>
                <w:rFonts w:eastAsia="Times New Roman"/>
              </w:rPr>
              <w:t>(heparin, bivalirudin)</w:t>
            </w:r>
          </w:p>
        </w:tc>
        <w:tc>
          <w:tcPr>
            <w:tcW w:w="0" w:type="auto"/>
            <w:vAlign w:val="center"/>
            <w:hideMark/>
          </w:tcPr>
          <w:p w:rsidR="00F90DC8" w:rsidRDefault="000E3EF8">
            <w:pPr>
              <w:rPr>
                <w:rFonts w:eastAsia="Times New Roman"/>
              </w:rPr>
            </w:pPr>
            <w:r>
              <w:rPr>
                <w:rFonts w:eastAsia="Times New Roman"/>
              </w:rPr>
              <w:t>Prevent thrombus propagation during PCI</w:t>
            </w:r>
          </w:p>
        </w:tc>
        <w:tc>
          <w:tcPr>
            <w:tcW w:w="0" w:type="auto"/>
            <w:vAlign w:val="center"/>
            <w:hideMark/>
          </w:tcPr>
          <w:p w:rsidR="00F90DC8" w:rsidRDefault="000E3EF8">
            <w:pPr>
              <w:rPr>
                <w:rFonts w:eastAsia="Times New Roman"/>
              </w:rPr>
            </w:pPr>
            <w:r>
              <w:rPr>
                <w:rFonts w:eastAsia="Times New Roman"/>
              </w:rPr>
              <w:t>Essential for procedural success</w:t>
            </w:r>
          </w:p>
        </w:tc>
        <w:tc>
          <w:tcPr>
            <w:tcW w:w="0" w:type="auto"/>
            <w:vAlign w:val="center"/>
            <w:hideMark/>
          </w:tcPr>
          <w:p w:rsidR="00F90DC8" w:rsidRDefault="000E3EF8">
            <w:pPr>
              <w:rPr>
                <w:rFonts w:eastAsia="Times New Roman"/>
              </w:rPr>
            </w:pPr>
            <w:r>
              <w:rPr>
                <w:rFonts w:eastAsia="Times New Roman"/>
              </w:rPr>
              <w:t>Timing-dependent efficacy</w:t>
            </w:r>
          </w:p>
        </w:tc>
        <w:tc>
          <w:tcPr>
            <w:tcW w:w="0" w:type="auto"/>
            <w:vAlign w:val="center"/>
            <w:hideMark/>
          </w:tcPr>
          <w:p w:rsidR="00F90DC8" w:rsidRDefault="000E3EF8">
            <w:pPr>
              <w:rPr>
                <w:rFonts w:eastAsia="Times New Roman"/>
              </w:rPr>
            </w:pPr>
            <w:r>
              <w:rPr>
                <w:rFonts w:eastAsia="Times New Roman"/>
              </w:rPr>
              <w:t>Schoos et al., 2014</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Combined therapy</w:t>
            </w:r>
          </w:p>
        </w:tc>
        <w:tc>
          <w:tcPr>
            <w:tcW w:w="0" w:type="auto"/>
            <w:vAlign w:val="center"/>
            <w:hideMark/>
          </w:tcPr>
          <w:p w:rsidR="00F90DC8" w:rsidRDefault="000E3EF8">
            <w:pPr>
              <w:rPr>
                <w:rFonts w:eastAsia="Times New Roman"/>
              </w:rPr>
            </w:pPr>
            <w:r>
              <w:rPr>
                <w:rFonts w:eastAsia="Times New Roman"/>
              </w:rPr>
              <w:t>Pharmacologic + mechanical strategies</w:t>
            </w:r>
          </w:p>
        </w:tc>
        <w:tc>
          <w:tcPr>
            <w:tcW w:w="0" w:type="auto"/>
            <w:vAlign w:val="center"/>
            <w:hideMark/>
          </w:tcPr>
          <w:p w:rsidR="00F90DC8" w:rsidRDefault="000E3EF8">
            <w:pPr>
              <w:rPr>
                <w:rFonts w:eastAsia="Times New Roman"/>
              </w:rPr>
            </w:pPr>
            <w:r>
              <w:rPr>
                <w:rFonts w:eastAsia="Times New Roman"/>
              </w:rPr>
              <w:t>Use of drugs plus devices to enhance reperfusion</w:t>
            </w:r>
          </w:p>
        </w:tc>
        <w:tc>
          <w:tcPr>
            <w:tcW w:w="0" w:type="auto"/>
            <w:vAlign w:val="center"/>
            <w:hideMark/>
          </w:tcPr>
          <w:p w:rsidR="00F90DC8" w:rsidRDefault="000E3EF8">
            <w:pPr>
              <w:rPr>
                <w:rFonts w:eastAsia="Times New Roman"/>
              </w:rPr>
            </w:pPr>
            <w:r>
              <w:rPr>
                <w:rFonts w:eastAsia="Times New Roman"/>
              </w:rPr>
              <w:t>Potential</w:t>
            </w:r>
            <w:r>
              <w:rPr>
                <w:rFonts w:eastAsia="Times New Roman"/>
              </w:rPr>
              <w:t xml:space="preserve"> reduction in infarct size</w:t>
            </w:r>
          </w:p>
        </w:tc>
        <w:tc>
          <w:tcPr>
            <w:tcW w:w="0" w:type="auto"/>
            <w:vAlign w:val="center"/>
            <w:hideMark/>
          </w:tcPr>
          <w:p w:rsidR="00F90DC8" w:rsidRDefault="000E3EF8">
            <w:pPr>
              <w:rPr>
                <w:rFonts w:eastAsia="Times New Roman"/>
              </w:rPr>
            </w:pPr>
            <w:r>
              <w:rPr>
                <w:rFonts w:eastAsia="Times New Roman"/>
              </w:rPr>
              <w:t>Limited consistent mortality benefit</w:t>
            </w:r>
          </w:p>
        </w:tc>
        <w:tc>
          <w:tcPr>
            <w:tcW w:w="0" w:type="auto"/>
            <w:vAlign w:val="center"/>
            <w:hideMark/>
          </w:tcPr>
          <w:p w:rsidR="00F90DC8" w:rsidRDefault="000E3EF8">
            <w:pPr>
              <w:rPr>
                <w:rFonts w:eastAsia="Times New Roman"/>
              </w:rPr>
            </w:pPr>
            <w:r>
              <w:rPr>
                <w:rFonts w:eastAsia="Times New Roman"/>
              </w:rPr>
              <w:t>Chiam et al., 2024</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lastRenderedPageBreak/>
              <w:t>Mechanical adjunct</w:t>
            </w:r>
          </w:p>
        </w:tc>
        <w:tc>
          <w:tcPr>
            <w:tcW w:w="0" w:type="auto"/>
            <w:vAlign w:val="center"/>
            <w:hideMark/>
          </w:tcPr>
          <w:p w:rsidR="00F90DC8" w:rsidRDefault="000E3EF8">
            <w:pPr>
              <w:rPr>
                <w:rFonts w:eastAsia="Times New Roman"/>
              </w:rPr>
            </w:pPr>
            <w:r>
              <w:rPr>
                <w:rFonts w:eastAsia="Times New Roman"/>
              </w:rPr>
              <w:t>Thrombectomy devices</w:t>
            </w:r>
          </w:p>
        </w:tc>
        <w:tc>
          <w:tcPr>
            <w:tcW w:w="0" w:type="auto"/>
            <w:vAlign w:val="center"/>
            <w:hideMark/>
          </w:tcPr>
          <w:p w:rsidR="00F90DC8" w:rsidRDefault="000E3EF8">
            <w:pPr>
              <w:rPr>
                <w:rFonts w:eastAsia="Times New Roman"/>
              </w:rPr>
            </w:pPr>
            <w:r>
              <w:rPr>
                <w:rFonts w:eastAsia="Times New Roman"/>
              </w:rPr>
              <w:t>Removal of intracoronary thrombus</w:t>
            </w:r>
          </w:p>
        </w:tc>
        <w:tc>
          <w:tcPr>
            <w:tcW w:w="0" w:type="auto"/>
            <w:vAlign w:val="center"/>
            <w:hideMark/>
          </w:tcPr>
          <w:p w:rsidR="00F90DC8" w:rsidRDefault="000E3EF8">
            <w:pPr>
              <w:rPr>
                <w:rFonts w:eastAsia="Times New Roman"/>
              </w:rPr>
            </w:pPr>
            <w:r>
              <w:rPr>
                <w:rFonts w:eastAsia="Times New Roman"/>
              </w:rPr>
              <w:t>Improves microvascular perfusion</w:t>
            </w:r>
          </w:p>
        </w:tc>
        <w:tc>
          <w:tcPr>
            <w:tcW w:w="0" w:type="auto"/>
            <w:vAlign w:val="center"/>
            <w:hideMark/>
          </w:tcPr>
          <w:p w:rsidR="00F90DC8" w:rsidRDefault="000E3EF8">
            <w:pPr>
              <w:rPr>
                <w:rFonts w:eastAsia="Times New Roman"/>
              </w:rPr>
            </w:pPr>
            <w:r>
              <w:rPr>
                <w:rFonts w:eastAsia="Times New Roman"/>
              </w:rPr>
              <w:t>Mixed clinical outcome evidence</w:t>
            </w:r>
          </w:p>
        </w:tc>
        <w:tc>
          <w:tcPr>
            <w:tcW w:w="0" w:type="auto"/>
            <w:vAlign w:val="center"/>
            <w:hideMark/>
          </w:tcPr>
          <w:p w:rsidR="00F90DC8" w:rsidRDefault="000E3EF8">
            <w:pPr>
              <w:rPr>
                <w:rFonts w:eastAsia="Times New Roman"/>
              </w:rPr>
            </w:pPr>
            <w:r>
              <w:rPr>
                <w:rFonts w:eastAsia="Times New Roman"/>
              </w:rPr>
              <w:t>Mongeon et al., 2024</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 xml:space="preserve">Hybrid </w:t>
            </w:r>
            <w:r>
              <w:rPr>
                <w:rFonts w:eastAsia="Times New Roman"/>
              </w:rPr>
              <w:t>adjunct</w:t>
            </w:r>
          </w:p>
        </w:tc>
        <w:tc>
          <w:tcPr>
            <w:tcW w:w="0" w:type="auto"/>
            <w:vAlign w:val="center"/>
            <w:hideMark/>
          </w:tcPr>
          <w:p w:rsidR="00F90DC8" w:rsidRDefault="000E3EF8">
            <w:pPr>
              <w:rPr>
                <w:rFonts w:eastAsia="Times New Roman"/>
              </w:rPr>
            </w:pPr>
            <w:r>
              <w:rPr>
                <w:rFonts w:eastAsia="Times New Roman"/>
              </w:rPr>
              <w:t>Thrombectomy + GP IIb/IIIa inhibitors</w:t>
            </w:r>
          </w:p>
        </w:tc>
        <w:tc>
          <w:tcPr>
            <w:tcW w:w="0" w:type="auto"/>
            <w:vAlign w:val="center"/>
            <w:hideMark/>
          </w:tcPr>
          <w:p w:rsidR="00F90DC8" w:rsidRDefault="000E3EF8">
            <w:pPr>
              <w:rPr>
                <w:rFonts w:eastAsia="Times New Roman"/>
              </w:rPr>
            </w:pPr>
            <w:r>
              <w:rPr>
                <w:rFonts w:eastAsia="Times New Roman"/>
              </w:rPr>
              <w:t>Combined mechanical and pharmacologic reperfusion</w:t>
            </w:r>
          </w:p>
        </w:tc>
        <w:tc>
          <w:tcPr>
            <w:tcW w:w="0" w:type="auto"/>
            <w:vAlign w:val="center"/>
            <w:hideMark/>
          </w:tcPr>
          <w:p w:rsidR="00F90DC8" w:rsidRDefault="000E3EF8">
            <w:pPr>
              <w:rPr>
                <w:rFonts w:eastAsia="Times New Roman"/>
              </w:rPr>
            </w:pPr>
            <w:r>
              <w:rPr>
                <w:rFonts w:eastAsia="Times New Roman"/>
              </w:rPr>
              <w:t>Enhanced reperfusion in high thrombus burden</w:t>
            </w:r>
          </w:p>
        </w:tc>
        <w:tc>
          <w:tcPr>
            <w:tcW w:w="0" w:type="auto"/>
            <w:vAlign w:val="center"/>
            <w:hideMark/>
          </w:tcPr>
          <w:p w:rsidR="00F90DC8" w:rsidRDefault="000E3EF8">
            <w:pPr>
              <w:rPr>
                <w:rFonts w:eastAsia="Times New Roman"/>
              </w:rPr>
            </w:pPr>
            <w:r>
              <w:rPr>
                <w:rFonts w:eastAsia="Times New Roman"/>
              </w:rPr>
              <w:t>Risk of bleeding and procedural complexity</w:t>
            </w:r>
          </w:p>
        </w:tc>
        <w:tc>
          <w:tcPr>
            <w:tcW w:w="0" w:type="auto"/>
            <w:vAlign w:val="center"/>
            <w:hideMark/>
          </w:tcPr>
          <w:p w:rsidR="00F90DC8" w:rsidRDefault="000E3EF8">
            <w:pPr>
              <w:rPr>
                <w:rFonts w:eastAsia="Times New Roman"/>
              </w:rPr>
            </w:pPr>
            <w:r>
              <w:rPr>
                <w:rFonts w:eastAsia="Times New Roman"/>
              </w:rPr>
              <w:t>Niu et al., 2022</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Digital innovation</w:t>
            </w:r>
          </w:p>
        </w:tc>
        <w:tc>
          <w:tcPr>
            <w:tcW w:w="0" w:type="auto"/>
            <w:vAlign w:val="center"/>
            <w:hideMark/>
          </w:tcPr>
          <w:p w:rsidR="00F90DC8" w:rsidRDefault="000E3EF8">
            <w:pPr>
              <w:rPr>
                <w:rFonts w:eastAsia="Times New Roman"/>
              </w:rPr>
            </w:pPr>
            <w:r>
              <w:rPr>
                <w:rFonts w:eastAsia="Times New Roman"/>
              </w:rPr>
              <w:t>Smartphone-based STEMI apps</w:t>
            </w:r>
          </w:p>
        </w:tc>
        <w:tc>
          <w:tcPr>
            <w:tcW w:w="0" w:type="auto"/>
            <w:vAlign w:val="center"/>
            <w:hideMark/>
          </w:tcPr>
          <w:p w:rsidR="00F90DC8" w:rsidRDefault="000E3EF8">
            <w:pPr>
              <w:rPr>
                <w:rFonts w:eastAsia="Times New Roman"/>
              </w:rPr>
            </w:pPr>
            <w:r>
              <w:rPr>
                <w:rFonts w:eastAsia="Times New Roman"/>
              </w:rPr>
              <w:t>Real-ti</w:t>
            </w:r>
            <w:r>
              <w:rPr>
                <w:rFonts w:eastAsia="Times New Roman"/>
              </w:rPr>
              <w:t>me diagnosis and cath lab activation</w:t>
            </w:r>
          </w:p>
        </w:tc>
        <w:tc>
          <w:tcPr>
            <w:tcW w:w="0" w:type="auto"/>
            <w:vAlign w:val="center"/>
            <w:hideMark/>
          </w:tcPr>
          <w:p w:rsidR="00F90DC8" w:rsidRDefault="000E3EF8">
            <w:pPr>
              <w:rPr>
                <w:rFonts w:eastAsia="Times New Roman"/>
              </w:rPr>
            </w:pPr>
            <w:r>
              <w:rPr>
                <w:rFonts w:eastAsia="Times New Roman"/>
              </w:rPr>
              <w:t>Reduces reperfusion delays</w:t>
            </w:r>
          </w:p>
        </w:tc>
        <w:tc>
          <w:tcPr>
            <w:tcW w:w="0" w:type="auto"/>
            <w:vAlign w:val="center"/>
            <w:hideMark/>
          </w:tcPr>
          <w:p w:rsidR="00F90DC8" w:rsidRDefault="000E3EF8">
            <w:pPr>
              <w:rPr>
                <w:rFonts w:eastAsia="Times New Roman"/>
              </w:rPr>
            </w:pPr>
            <w:r>
              <w:rPr>
                <w:rFonts w:eastAsia="Times New Roman"/>
              </w:rPr>
              <w:t>Requires digital infrastructure</w:t>
            </w:r>
          </w:p>
        </w:tc>
        <w:tc>
          <w:tcPr>
            <w:tcW w:w="0" w:type="auto"/>
            <w:vAlign w:val="center"/>
            <w:hideMark/>
          </w:tcPr>
          <w:p w:rsidR="00F90DC8" w:rsidRDefault="000E3EF8">
            <w:pPr>
              <w:rPr>
                <w:rFonts w:eastAsia="Times New Roman"/>
              </w:rPr>
            </w:pPr>
            <w:r>
              <w:rPr>
                <w:rFonts w:eastAsia="Times New Roman"/>
              </w:rPr>
              <w:t>Piazza et al., 2025</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Telemedicine</w:t>
            </w:r>
          </w:p>
        </w:tc>
        <w:tc>
          <w:tcPr>
            <w:tcW w:w="0" w:type="auto"/>
            <w:vAlign w:val="center"/>
            <w:hideMark/>
          </w:tcPr>
          <w:p w:rsidR="00F90DC8" w:rsidRDefault="000E3EF8">
            <w:pPr>
              <w:rPr>
                <w:rFonts w:eastAsia="Times New Roman"/>
              </w:rPr>
            </w:pPr>
            <w:r>
              <w:rPr>
                <w:rFonts w:eastAsia="Times New Roman"/>
              </w:rPr>
              <w:t>Digital triage and remote ECG transmission</w:t>
            </w:r>
          </w:p>
        </w:tc>
        <w:tc>
          <w:tcPr>
            <w:tcW w:w="0" w:type="auto"/>
            <w:vAlign w:val="center"/>
            <w:hideMark/>
          </w:tcPr>
          <w:p w:rsidR="00F90DC8" w:rsidRDefault="000E3EF8">
            <w:pPr>
              <w:rPr>
                <w:rFonts w:eastAsia="Times New Roman"/>
              </w:rPr>
            </w:pPr>
            <w:r>
              <w:rPr>
                <w:rFonts w:eastAsia="Times New Roman"/>
              </w:rPr>
              <w:t>Early diagnosis and system activation</w:t>
            </w:r>
          </w:p>
        </w:tc>
        <w:tc>
          <w:tcPr>
            <w:tcW w:w="0" w:type="auto"/>
            <w:vAlign w:val="center"/>
            <w:hideMark/>
          </w:tcPr>
          <w:p w:rsidR="00F90DC8" w:rsidRDefault="000E3EF8">
            <w:pPr>
              <w:rPr>
                <w:rFonts w:eastAsia="Times New Roman"/>
              </w:rPr>
            </w:pPr>
            <w:r>
              <w:rPr>
                <w:rFonts w:eastAsia="Times New Roman"/>
              </w:rPr>
              <w:t>Improves pre-hospital decision-making</w:t>
            </w:r>
          </w:p>
        </w:tc>
        <w:tc>
          <w:tcPr>
            <w:tcW w:w="0" w:type="auto"/>
            <w:vAlign w:val="center"/>
            <w:hideMark/>
          </w:tcPr>
          <w:p w:rsidR="00F90DC8" w:rsidRDefault="000E3EF8">
            <w:pPr>
              <w:rPr>
                <w:rFonts w:eastAsia="Times New Roman"/>
              </w:rPr>
            </w:pPr>
            <w:r>
              <w:rPr>
                <w:rFonts w:eastAsia="Times New Roman"/>
              </w:rPr>
              <w:t>Variabl</w:t>
            </w:r>
            <w:r>
              <w:rPr>
                <w:rFonts w:eastAsia="Times New Roman"/>
              </w:rPr>
              <w:t>e adoption globally</w:t>
            </w:r>
          </w:p>
        </w:tc>
        <w:tc>
          <w:tcPr>
            <w:tcW w:w="0" w:type="auto"/>
            <w:vAlign w:val="center"/>
            <w:hideMark/>
          </w:tcPr>
          <w:p w:rsidR="00F90DC8" w:rsidRDefault="000E3EF8">
            <w:pPr>
              <w:rPr>
                <w:rFonts w:eastAsia="Times New Roman"/>
              </w:rPr>
            </w:pPr>
            <w:r>
              <w:rPr>
                <w:rFonts w:eastAsia="Times New Roman"/>
              </w:rPr>
              <w:t>Piazza et al., 2025</w:t>
            </w:r>
          </w:p>
        </w:tc>
      </w:tr>
      <w:tr w:rsidR="00F90DC8">
        <w:trPr>
          <w:tblCellSpacing w:w="15" w:type="dxa"/>
        </w:trPr>
        <w:tc>
          <w:tcPr>
            <w:tcW w:w="0" w:type="auto"/>
            <w:vAlign w:val="center"/>
            <w:hideMark/>
          </w:tcPr>
          <w:p w:rsidR="00F90DC8" w:rsidRDefault="000E3EF8">
            <w:pPr>
              <w:rPr>
                <w:rFonts w:eastAsia="Times New Roman"/>
              </w:rPr>
            </w:pPr>
            <w:r>
              <w:rPr>
                <w:rFonts w:eastAsia="Times New Roman"/>
              </w:rPr>
              <w:t>Future paradigm</w:t>
            </w:r>
          </w:p>
        </w:tc>
        <w:tc>
          <w:tcPr>
            <w:tcW w:w="0" w:type="auto"/>
            <w:vAlign w:val="center"/>
            <w:hideMark/>
          </w:tcPr>
          <w:p w:rsidR="00F90DC8" w:rsidRDefault="000E3EF8">
            <w:pPr>
              <w:rPr>
                <w:rFonts w:eastAsia="Times New Roman"/>
              </w:rPr>
            </w:pPr>
            <w:r>
              <w:rPr>
                <w:rFonts w:eastAsia="Times New Roman"/>
              </w:rPr>
              <w:t>Technology-driven STEMI systems</w:t>
            </w:r>
          </w:p>
        </w:tc>
        <w:tc>
          <w:tcPr>
            <w:tcW w:w="0" w:type="auto"/>
            <w:vAlign w:val="center"/>
            <w:hideMark/>
          </w:tcPr>
          <w:p w:rsidR="00F90DC8" w:rsidRDefault="000E3EF8">
            <w:pPr>
              <w:rPr>
                <w:rFonts w:eastAsia="Times New Roman"/>
              </w:rPr>
            </w:pPr>
            <w:r>
              <w:rPr>
                <w:rFonts w:eastAsia="Times New Roman"/>
              </w:rPr>
              <w:t>Integration of AI, telehealth, and EMS networks</w:t>
            </w:r>
          </w:p>
        </w:tc>
        <w:tc>
          <w:tcPr>
            <w:tcW w:w="0" w:type="auto"/>
            <w:vAlign w:val="center"/>
            <w:hideMark/>
          </w:tcPr>
          <w:p w:rsidR="00F90DC8" w:rsidRDefault="000E3EF8">
            <w:pPr>
              <w:rPr>
                <w:rFonts w:eastAsia="Times New Roman"/>
              </w:rPr>
            </w:pPr>
            <w:r>
              <w:rPr>
                <w:rFonts w:eastAsia="Times New Roman"/>
              </w:rPr>
              <w:t>Potential to further reduce mortality</w:t>
            </w:r>
          </w:p>
        </w:tc>
        <w:tc>
          <w:tcPr>
            <w:tcW w:w="0" w:type="auto"/>
            <w:vAlign w:val="center"/>
            <w:hideMark/>
          </w:tcPr>
          <w:p w:rsidR="00F90DC8" w:rsidRDefault="000E3EF8">
            <w:pPr>
              <w:rPr>
                <w:rFonts w:eastAsia="Times New Roman"/>
              </w:rPr>
            </w:pPr>
            <w:r>
              <w:rPr>
                <w:rFonts w:eastAsia="Times New Roman"/>
              </w:rPr>
              <w:t>Implementation and cost barriers</w:t>
            </w:r>
          </w:p>
        </w:tc>
        <w:tc>
          <w:tcPr>
            <w:tcW w:w="0" w:type="auto"/>
            <w:vAlign w:val="center"/>
            <w:hideMark/>
          </w:tcPr>
          <w:p w:rsidR="00F90DC8" w:rsidRDefault="000E3EF8">
            <w:pPr>
              <w:rPr>
                <w:rFonts w:eastAsia="Times New Roman"/>
              </w:rPr>
            </w:pPr>
            <w:r>
              <w:rPr>
                <w:rFonts w:eastAsia="Times New Roman"/>
              </w:rPr>
              <w:t>Collet et al., 2023; Akbar et al., 2024</w:t>
            </w:r>
          </w:p>
        </w:tc>
      </w:tr>
    </w:tbl>
    <w:p w:rsidR="00F90DC8" w:rsidRDefault="000E3EF8">
      <w:pPr>
        <w:pStyle w:val="NormalWeb"/>
      </w:pPr>
      <w:r>
        <w:t>Guideline recommendations from major cardiovascular societies reinforce the priority of rapid reperfusion and standardized care pathways. The European Society of Cardiology (ESC) and the American College of Cardiology/American Heart Association (ACC/AHA) r</w:t>
      </w:r>
      <w:r>
        <w:t>ecommend primary PCI within 90 minutes of first medical contact, or within 120 minutes when inter-hospital transfer is required (Ibanez et al., 2025; O’Gara et al., 2023). Updated ESC guidelines further emphasize integrated networks, early diagnosis, and p</w:t>
      </w:r>
      <w:r>
        <w:t>re-hospital activation of catheterization laboratories to reduce treatment delays and optimize outcomes (Collet et al., 2023). Achieving sustainable D2B targets has been demonstrated in structured quality improvement initiatives, highlighting the role of m</w:t>
      </w:r>
      <w:r>
        <w:t xml:space="preserve">ultidisciplinary collaboration and continuous performance feedback in improving STEMI outcomes (Wilson et al., 2023). These system-based strategies and benchmarks are summarized in </w:t>
      </w:r>
      <w:r>
        <w:rPr>
          <w:rStyle w:val="Strong"/>
        </w:rPr>
        <w:t>Tables 1 and 2</w:t>
      </w:r>
      <w:r>
        <w:t>.</w:t>
      </w:r>
    </w:p>
    <w:p w:rsidR="00F90DC8" w:rsidRDefault="000E3EF8">
      <w:pPr>
        <w:pStyle w:val="NormalWeb"/>
      </w:pPr>
      <w:r>
        <w:t>Adjunctive pharmacologic therapies have also evolved as int</w:t>
      </w:r>
      <w:r>
        <w:t xml:space="preserve">egral components of primary PCI strategies. Antiplatelet and anticoagulant therapies are essential for preventing thrombus propagation and procedural complications. Glycoprotein IIb/IIIa inhibitors have been widely </w:t>
      </w:r>
      <w:r>
        <w:lastRenderedPageBreak/>
        <w:t>investigated, with routine use demonstrat</w:t>
      </w:r>
      <w:r>
        <w:t>ing improved angiographic outcomes in select high-risk populations, although bleeding risks remain a concern (Karathanos et al., 2019). Comparative studies evaluating anticoagulation strategies during primary PCI revealed that treatment timing influences t</w:t>
      </w:r>
      <w:r>
        <w:t>he relative efficacy of bivalirudin versus heparin and glycoprotein IIb/IIIa inhibitors, highlighting the importance of individualized therapy based on clinical context and procedural timing (Schoos et al., 2014). Earlier investigations into adjunctive pha</w:t>
      </w:r>
      <w:r>
        <w:t xml:space="preserve">rmacologic and mechanical devices also emphasized the role of combination therapies in optimizing reperfusion and reducing infarct size (Chiam et al., 2024), as detailed in </w:t>
      </w:r>
      <w:r>
        <w:rPr>
          <w:rStyle w:val="Strong"/>
        </w:rPr>
        <w:t>Table 1</w:t>
      </w:r>
      <w:r>
        <w:t>.</w:t>
      </w:r>
    </w:p>
    <w:p w:rsidR="00F90DC8" w:rsidRDefault="000E3EF8">
      <w:pPr>
        <w:pStyle w:val="NormalWeb"/>
      </w:pPr>
      <w:r>
        <w:t xml:space="preserve">Mechanical adjuncts such as thrombectomy have been extensively studied as </w:t>
      </w:r>
      <w:r>
        <w:t>methods to improve microvascular reperfusion and reduce thrombus burden during PCI. Meta-analyses have shown that adjunctive thrombectomy can enhance angiographic outcomes and myocardial perfusion, although its routine use has been debated due to inconsist</w:t>
      </w:r>
      <w:r>
        <w:t>ent clinical benefit and procedural risks (Mongeon et al., 2024). Combined approaches incorporating thrombectomy with intracoronary glycoprotein IIb/IIIa inhibitors have demonstrated improved reperfusion parameters in STEMI patients, suggesting potential b</w:t>
      </w:r>
      <w:r>
        <w:t xml:space="preserve">enefits in selected patient populations with high thrombus burden (Niu et al., 2022). These adjunctive mechanical and hybrid strategies are summarized in </w:t>
      </w:r>
      <w:r>
        <w:rPr>
          <w:rStyle w:val="Strong"/>
        </w:rPr>
        <w:t>Table 2</w:t>
      </w:r>
      <w:r>
        <w:t>.</w:t>
      </w:r>
    </w:p>
    <w:p w:rsidR="00F90DC8" w:rsidRDefault="000E3EF8">
      <w:pPr>
        <w:pStyle w:val="NormalWeb"/>
      </w:pPr>
      <w:r>
        <w:t>Emerging innovations in STEMI systems of care increasingly incorporate digital health technol</w:t>
      </w:r>
      <w:r>
        <w:t>ogies and system-level interventions. Recent studies suggest that smartphone-based applications and digital platforms can reduce reperfusion delays by facilitating rapid diagnosis, catheterization laboratory activation, and communication among healthcare p</w:t>
      </w:r>
      <w:r>
        <w:t>roviders (Piazza et al., 2025). Such technologies represent a paradigm shift in STEMI management, integrating telemedicine and digital triage systems into traditional reperfusion workflows to further reduce treatment delays and improve outcomes, as highlig</w:t>
      </w:r>
      <w:r>
        <w:t xml:space="preserve">hted in </w:t>
      </w:r>
      <w:r>
        <w:rPr>
          <w:rStyle w:val="Strong"/>
        </w:rPr>
        <w:t>Table 2</w:t>
      </w:r>
      <w:r>
        <w:t>.</w:t>
      </w:r>
    </w:p>
    <w:p w:rsidR="00F90DC8" w:rsidRDefault="000E3EF8">
      <w:pPr>
        <w:pStyle w:val="NormalWeb"/>
      </w:pPr>
      <w:r>
        <w:t>Overall, the results of contemporary studies and guideline-based evidence highlight the multifaceted nature of reperfusion therapy in acute myocardial infarction. Primary PCI remains the gold standard for STEMI management, with door-to-bal</w:t>
      </w:r>
      <w:r>
        <w:t xml:space="preserve">loon time serving as a crucial performance metric. Adjunctive pharmacologic and mechanical therapies continue to evolve, offering potential benefits when applied selectively. Furthermore, system-level innovations and digital health strategies are emerging </w:t>
      </w:r>
      <w:r>
        <w:t>as important tools to enhance reperfusion efficiency and clinical outcomes. Continued research and implementation of integrated STEMI care networks are essential to further reduce delays, optimize therapeutic strategies, and improve survival in patients wi</w:t>
      </w:r>
      <w:r>
        <w:t>th acute myocardial infarction.</w:t>
      </w:r>
    </w:p>
    <w:p w:rsidR="00F90DC8" w:rsidRDefault="00F90DC8"/>
    <w:p w:rsidR="00F90DC8" w:rsidRDefault="000E3EF8">
      <w:pPr>
        <w:pStyle w:val="NormalWeb"/>
      </w:pPr>
      <w:r>
        <w:rPr>
          <w:rStyle w:val="Strong"/>
        </w:rPr>
        <w:t>Discussion</w:t>
      </w:r>
    </w:p>
    <w:p w:rsidR="00F90DC8" w:rsidRDefault="000E3EF8">
      <w:pPr>
        <w:pStyle w:val="NormalWeb"/>
      </w:pPr>
      <w:r>
        <w:t>Acute myocardial infarction (AMI), particularly ST-segment elevation myocardial infarction (STEMI), remains a leading cause of morbidity and mortality worldwide despite major advances in reperfusion therapy and s</w:t>
      </w:r>
      <w:r>
        <w:t xml:space="preserve">ystems of care. Primary percutaneous coronary intervention (PCI) has emerged as the preferred reperfusion strategy when timely access is feasible, owing to its superior efficacy in restoring coronary patency, reducing infarct size, and improving survival </w:t>
      </w:r>
      <w:r>
        <w:lastRenderedPageBreak/>
        <w:t>c</w:t>
      </w:r>
      <w:r>
        <w:t xml:space="preserve">ompared with fibrinolytic therapy. Contemporary guidelines consistently emphasize rapid reperfusion, comprehensive antithrombotic therapy, and system-level optimization as central pillars in the management of AMI (Collet et al., 2023; Ibanez et al., 2025; </w:t>
      </w:r>
      <w:r>
        <w:t>O’Gara et al., 2023).</w:t>
      </w:r>
    </w:p>
    <w:p w:rsidR="00F90DC8" w:rsidRDefault="000E3EF8">
      <w:pPr>
        <w:pStyle w:val="NormalWeb"/>
      </w:pPr>
      <w:r>
        <w:t>Primary PCI has transformed outcomes in STEMI through direct mechanical restoration of coronary blood flow, minimizing ischemic time and myocardial necrosis. Advances in catheter technology, stent design, imaging guidance, and adjunct</w:t>
      </w:r>
      <w:r>
        <w:t xml:space="preserve">ive pharmacotherapy have further enhanced procedural success and reduced complications. However, the effectiveness of primary PCI is critically dependent on minimizing delays from symptom onset to reperfusion, with door-to-balloon (D2B) and door-to-device </w:t>
      </w:r>
      <w:r>
        <w:t>times serving as key quality metrics. Early observational studies demonstrated a continuous relationship between D2B time and mortality, highlighting that even incremental delays can adversely affect survival outcomes (Menees et al., 2023). Similarly, syst</w:t>
      </w:r>
      <w:r>
        <w:t>em-level delays, including prehospital transport and inter-hospital transfers, have been associated with increased mortality, reinforcing the need for coordinated regional STEMI networks (Terkelsen et al., 2024).</w:t>
      </w:r>
    </w:p>
    <w:p w:rsidR="00F90DC8" w:rsidRDefault="000E3EF8">
      <w:pPr>
        <w:pStyle w:val="NormalWeb"/>
      </w:pPr>
      <w:r>
        <w:t>Despite widespread adoption of guideline-re</w:t>
      </w:r>
      <w:r>
        <w:t>commended targets, achieving optimal D2B times remains challenging, particularly in resource-limited settings. Butt et al. (2020) highlighted persistent delays in real-world clinical practice, underscoring the need for ongoing quality improvement initiativ</w:t>
      </w:r>
      <w:r>
        <w:t xml:space="preserve">es. Wilson et al. (2023) demonstrated that structured institutional strategies, including multidisciplinary protocols and real-time performance feedback, can achieve sustainable D2B times below the recommended 90-minute benchmark. More recent evidence has </w:t>
      </w:r>
      <w:r>
        <w:t>extended these concepts to door-to-device metrics, with Champasri et al. (2023) showing a significant association between shorter reperfusion times and reduced mortality, reinforcing the clinical importance of rapid catheterization laboratory activation an</w:t>
      </w:r>
      <w:r>
        <w:t>d streamlined patient flow.</w:t>
      </w:r>
    </w:p>
    <w:p w:rsidR="00F90DC8" w:rsidRDefault="000E3EF8">
      <w:pPr>
        <w:pStyle w:val="NormalWeb"/>
      </w:pPr>
      <w:r>
        <w:t>Emerging paradigms in AMI management increasingly focus on optimizing prehospital and in-hospital systems of care through technological and organizational innovations. Digital health tools, such as smartphone applications and te</w:t>
      </w:r>
      <w:r>
        <w:t>lemedicine platforms, have shown promise in reducing reperfusion delays by facilitating early diagnosis, direct catheterization laboratory activation, and improved communication between emergency medical services and interventional teams. Piazza et al. (20</w:t>
      </w:r>
      <w:r>
        <w:t>25) demonstrated that smartphone-based systems could significantly shorten reperfusion times and improve clinical outcomes, highlighting the potential of digital solutions to transform AMI care pathways.</w:t>
      </w:r>
    </w:p>
    <w:p w:rsidR="00F90DC8" w:rsidRDefault="000E3EF8">
      <w:pPr>
        <w:pStyle w:val="NormalWeb"/>
      </w:pPr>
      <w:r>
        <w:t xml:space="preserve">Adjunctive pharmacologic therapies remain a </w:t>
      </w:r>
      <w:r>
        <w:t>cornerstone of primary PCI, targeting thrombosis, platelet aggregation, and inflammation to improve procedural success and reduce adverse events. Antiplatelet therapy with aspirin and P2Y12 inhibitors, along with anticoagulation using heparin or bivalirudi</w:t>
      </w:r>
      <w:r>
        <w:t>n, is standard of care, while glycoprotein IIb/IIIa inhibitors and other agents are selectively used in high-risk patients. Karathanos et al. (2019) reported that routine glycoprotein IIb/IIIa inhibitor therapy in STEMI treated with primary PCI may improve</w:t>
      </w:r>
      <w:r>
        <w:t xml:space="preserve"> angiographic outcomes but must be balanced against bleeding risks. Similarly, Schoos et al. (2014) highlighted the importance of time-to-treatment in determining the relative benefits of anticoagulation strategies, emphasizing that pharmacologic efficacy </w:t>
      </w:r>
      <w:r>
        <w:t>is closely linked to timely administration.</w:t>
      </w:r>
    </w:p>
    <w:p w:rsidR="00F90DC8" w:rsidRDefault="000E3EF8">
      <w:pPr>
        <w:pStyle w:val="NormalWeb"/>
      </w:pPr>
      <w:r>
        <w:lastRenderedPageBreak/>
        <w:t>Mechanical adjunctive strategies, such as thrombectomy devices, have also been investigated as methods to improve myocardial reperfusion. Early studies suggested that aspiration thrombectomy could reduce thrombus</w:t>
      </w:r>
      <w:r>
        <w:t xml:space="preserve"> burden and improve microvascular perfusion, though subsequent trials yielded mixed results. Mongeon et al. (2024) demonstrated that adjunctive thrombectomy could improve procedural outcomes, while later meta-analyses and randomized trials tempered enthusi</w:t>
      </w:r>
      <w:r>
        <w:t>asm due to limited impact on long-term clinical endpoints. Combining thrombectomy with intracoronary glycoprotein IIb/IIIa inhibitors has been explored as a strategy to enhance reperfusion, with Niu et al. (2022) reporting potential benefits in selected pa</w:t>
      </w:r>
      <w:r>
        <w:t>tient populations. These findings underscore the evolving role of mechanical and pharmacologic adjuncts and the need for individualized therapy based on thrombotic burden and patient risk profiles.</w:t>
      </w:r>
    </w:p>
    <w:p w:rsidR="00F90DC8" w:rsidRDefault="000E3EF8">
      <w:pPr>
        <w:pStyle w:val="NormalWeb"/>
      </w:pPr>
      <w:r>
        <w:t>Beyond procedural considerations, evolving paradigms in AM</w:t>
      </w:r>
      <w:r>
        <w:t>I reperfusion therapy emphasize a holistic approach that integrates rapid diagnosis, timely reperfusion, optimized pharmacotherapy, and comprehensive post-PCI care. StatPearls reviews and contemporary clinical guidelines highlight the importance of early r</w:t>
      </w:r>
      <w:r>
        <w:t>ecognition of STEMI, rapid triage, and adherence to evidence-based treatment protocols to improve outcomes (Akbar et al., 2024; Collet et al., 2023). The integration of multidisciplinary teams, continuous quality improvement programs, and regional STEMI ne</w:t>
      </w:r>
      <w:r>
        <w:t>tworks has been shown to reduce treatment delays and improve survival.</w:t>
      </w:r>
    </w:p>
    <w:p w:rsidR="00387647" w:rsidRPr="00387647" w:rsidRDefault="00387647">
      <w:pPr>
        <w:pStyle w:val="NormalWeb"/>
        <w:rPr>
          <w:b/>
        </w:rPr>
      </w:pPr>
      <w:r w:rsidRPr="00387647">
        <w:rPr>
          <w:b/>
        </w:rPr>
        <w:t>Conclusion</w:t>
      </w:r>
    </w:p>
    <w:p w:rsidR="00F90DC8" w:rsidRDefault="000E3EF8">
      <w:pPr>
        <w:pStyle w:val="NormalWeb"/>
      </w:pPr>
      <w:r>
        <w:t>Despite significant progress, several challenges persist. Disparities in access to primary PCI remain a major global issue, particularly in low- and middle-income countries where infras</w:t>
      </w:r>
      <w:r>
        <w:t>tructure, trained personnel, and catheterization facilities are limited. In such settings, delayed reperfusion and reliance on fibrinolytic therapy continue to contribute to higher mortality rates. Additionally, patient-related delays, including delayed pr</w:t>
      </w:r>
      <w:r>
        <w:t>esentation due to lack of awareness or socioeconomic barriers, remain substantial contributors to total ischemic time. Addressing these challenges requires public health initiatives, education campaigns, and investments in healthcare infrastructure to ensu</w:t>
      </w:r>
      <w:r>
        <w:t>re equitable access to timely reperfusion therapy.</w:t>
      </w:r>
    </w:p>
    <w:p w:rsidR="00F90DC8" w:rsidRDefault="000E3EF8">
      <w:pPr>
        <w:pStyle w:val="NormalWeb"/>
      </w:pPr>
      <w:r>
        <w:t>Future directions in AMI reperfusion therapy are likely to focus on precision medicine approaches, integrating patient-specific risk stratification, imaging modalities, and biomarker-guided therapy to tail</w:t>
      </w:r>
      <w:r>
        <w:t>or reperfusion strategies. Advances in intracoronary imaging, such as optical coherence tomography and intravascular ultrasound, may further optimize PCI outcomes by guiding stent selection and deployment. Novel pharmacologic agents targeting inflammation,</w:t>
      </w:r>
      <w:r>
        <w:t xml:space="preserve"> thrombosis, and myocardial reperfusion injury are also under investigation, potentially expanding the therapeutic armamentarium beyond traditional antithrombotic therapies.</w:t>
      </w:r>
    </w:p>
    <w:p w:rsidR="00F90DC8" w:rsidRDefault="000E3EF8">
      <w:pPr>
        <w:rPr>
          <w:b/>
          <w:highlight w:val="yellow"/>
        </w:rPr>
      </w:pPr>
      <w:r>
        <w:rPr>
          <w:b/>
          <w:highlight w:val="yellow"/>
        </w:rPr>
        <w:t>Disclaimer (Artificial intelligence)</w:t>
      </w:r>
    </w:p>
    <w:p w:rsidR="00F90DC8" w:rsidRDefault="000E3EF8">
      <w:pPr>
        <w:rPr>
          <w:highlight w:val="yellow"/>
        </w:rPr>
      </w:pPr>
      <w:r>
        <w:rPr>
          <w:highlight w:val="yellow"/>
        </w:rPr>
        <w:t>Author(s) hereby declare that NO generative A</w:t>
      </w:r>
      <w:r>
        <w:rPr>
          <w:highlight w:val="yellow"/>
        </w:rPr>
        <w:t xml:space="preserve">I technologies such as Large Language Models (ChatGPT, COPILOT, etc.) and text-to-image generators have been used during the writing or editing of this manuscript. </w:t>
      </w:r>
    </w:p>
    <w:p w:rsidR="00F90DC8" w:rsidRDefault="00F90DC8"/>
    <w:p w:rsidR="00F90DC8" w:rsidRDefault="000E3EF8">
      <w:pPr>
        <w:rPr>
          <w:b/>
          <w:bCs/>
        </w:rPr>
      </w:pPr>
      <w:r>
        <w:rPr>
          <w:b/>
          <w:bCs/>
        </w:rPr>
        <w:lastRenderedPageBreak/>
        <w:t xml:space="preserve">References </w:t>
      </w:r>
    </w:p>
    <w:p w:rsidR="00F90DC8" w:rsidRDefault="000E3EF8">
      <w:pPr>
        <w:pStyle w:val="NormalWeb"/>
        <w:rPr>
          <w:color w:val="BF0000"/>
        </w:rPr>
      </w:pPr>
      <w:r>
        <w:rPr>
          <w:color w:val="BF0000"/>
        </w:rPr>
        <w:t>Akbar, H., et al. (2024). Acute ST-segment elevation myocardial infarction (ST</w:t>
      </w:r>
      <w:r>
        <w:rPr>
          <w:color w:val="BF0000"/>
        </w:rPr>
        <w:t xml:space="preserve">EMI). </w:t>
      </w:r>
      <w:r>
        <w:rPr>
          <w:rStyle w:val="Emphasis"/>
          <w:color w:val="BF0000"/>
        </w:rPr>
        <w:t>StatPearls Publishing</w:t>
      </w:r>
      <w:r>
        <w:rPr>
          <w:color w:val="BF0000"/>
        </w:rPr>
        <w:t>.</w:t>
      </w:r>
    </w:p>
    <w:p w:rsidR="00F90DC8" w:rsidRDefault="000E3EF8">
      <w:pPr>
        <w:pStyle w:val="NormalWeb"/>
        <w:rPr>
          <w:color w:val="BF0000"/>
        </w:rPr>
      </w:pPr>
      <w:r>
        <w:rPr>
          <w:color w:val="BF0000"/>
        </w:rPr>
        <w:t xml:space="preserve">Butt, T. S., et al. (2020). Door-to-balloon time in the treatment of ST-segment elevation myocardial infarction. </w:t>
      </w:r>
      <w:r>
        <w:rPr>
          <w:rStyle w:val="Emphasis"/>
          <w:color w:val="BF0000"/>
        </w:rPr>
        <w:t>Journal of the Saudi Heart Association, 32</w:t>
      </w:r>
      <w:r>
        <w:rPr>
          <w:color w:val="BF0000"/>
        </w:rPr>
        <w:t>(3), 432–438.</w:t>
      </w:r>
    </w:p>
    <w:p w:rsidR="00F90DC8" w:rsidRDefault="000E3EF8">
      <w:pPr>
        <w:pStyle w:val="NormalWeb"/>
        <w:rPr>
          <w:color w:val="BF0000"/>
        </w:rPr>
      </w:pPr>
      <w:r>
        <w:rPr>
          <w:color w:val="BF0000"/>
        </w:rPr>
        <w:t>Champasri, K., et al. (2023). Door-to-device time and mort</w:t>
      </w:r>
      <w:r>
        <w:rPr>
          <w:color w:val="BF0000"/>
        </w:rPr>
        <w:t xml:space="preserve">ality in patients with ST-elevation myocardial infarction treated with primary percutaneous coronary intervention. </w:t>
      </w:r>
      <w:r>
        <w:rPr>
          <w:rStyle w:val="Emphasis"/>
          <w:color w:val="BF0000"/>
        </w:rPr>
        <w:t>Journal of the American Heart Association</w:t>
      </w:r>
      <w:r>
        <w:rPr>
          <w:color w:val="BF0000"/>
        </w:rPr>
        <w:t>.</w:t>
      </w:r>
    </w:p>
    <w:p w:rsidR="00F90DC8" w:rsidRDefault="000E3EF8">
      <w:pPr>
        <w:pStyle w:val="NormalWeb"/>
        <w:rPr>
          <w:color w:val="BF0000"/>
        </w:rPr>
      </w:pPr>
      <w:r>
        <w:rPr>
          <w:color w:val="BF0000"/>
        </w:rPr>
        <w:t>Chiam, P. T. L., et al. (2024). Adjuncti</w:t>
      </w:r>
      <w:bookmarkStart w:id="0" w:name="_GoBack"/>
      <w:bookmarkEnd w:id="0"/>
      <w:r>
        <w:rPr>
          <w:color w:val="BF0000"/>
        </w:rPr>
        <w:t>ve pharmacologic agents and mechanical devices in acute my</w:t>
      </w:r>
      <w:r>
        <w:rPr>
          <w:color w:val="BF0000"/>
        </w:rPr>
        <w:t xml:space="preserve">ocardial infarction. </w:t>
      </w:r>
      <w:r>
        <w:rPr>
          <w:rStyle w:val="Emphasis"/>
          <w:color w:val="BF0000"/>
        </w:rPr>
        <w:t>Annals of the Academy of Medicine Singapore, 39</w:t>
      </w:r>
      <w:r>
        <w:rPr>
          <w:color w:val="BF0000"/>
        </w:rPr>
        <w:t>(3), 230–239.</w:t>
      </w:r>
    </w:p>
    <w:p w:rsidR="00F90DC8" w:rsidRDefault="000E3EF8">
      <w:pPr>
        <w:pStyle w:val="NormalWeb"/>
        <w:rPr>
          <w:color w:val="BF0000"/>
        </w:rPr>
      </w:pPr>
      <w:r>
        <w:rPr>
          <w:color w:val="BF0000"/>
        </w:rPr>
        <w:t>Collet, J.-P., Thiele, H., Barbato, E., Barthélémy, O., Bauersachs, J., Bhatt, D. L., … Valgimigli, M. (2023). 2023 ESC guidelines for the management of acute coronary syndro</w:t>
      </w:r>
      <w:r>
        <w:rPr>
          <w:color w:val="BF0000"/>
        </w:rPr>
        <w:t xml:space="preserve">mes. </w:t>
      </w:r>
      <w:r>
        <w:rPr>
          <w:rStyle w:val="Emphasis"/>
          <w:color w:val="BF0000"/>
        </w:rPr>
        <w:t>European Heart Journal</w:t>
      </w:r>
      <w:r>
        <w:rPr>
          <w:color w:val="BF0000"/>
        </w:rPr>
        <w:t>.</w:t>
      </w:r>
    </w:p>
    <w:p w:rsidR="00F90DC8" w:rsidRDefault="000E3EF8">
      <w:pPr>
        <w:pStyle w:val="NormalWeb"/>
        <w:rPr>
          <w:color w:val="BF0000"/>
        </w:rPr>
      </w:pPr>
      <w:r>
        <w:rPr>
          <w:color w:val="BF0000"/>
        </w:rPr>
        <w:t>Ibanez, B., James, S., Agewall, S., Antunes, M. J., Bucciarelli-Ducci, C., Bueno, H., … Widimsky, P. (2025). 2022 ESC guidelines for the management of acute myocardial infarction in patients presenting with ST-segment elevation</w:t>
      </w:r>
      <w:r>
        <w:rPr>
          <w:color w:val="BF0000"/>
        </w:rPr>
        <w:t xml:space="preserve">. </w:t>
      </w:r>
      <w:r>
        <w:rPr>
          <w:rStyle w:val="Emphasis"/>
          <w:color w:val="BF0000"/>
        </w:rPr>
        <w:t>European Heart Journal, 39</w:t>
      </w:r>
      <w:r>
        <w:rPr>
          <w:color w:val="BF0000"/>
        </w:rPr>
        <w:t>(2), 119–177.</w:t>
      </w:r>
    </w:p>
    <w:p w:rsidR="00F90DC8" w:rsidRDefault="000E3EF8">
      <w:pPr>
        <w:pStyle w:val="NormalWeb"/>
        <w:rPr>
          <w:color w:val="BF0000"/>
        </w:rPr>
      </w:pPr>
      <w:r>
        <w:rPr>
          <w:color w:val="BF0000"/>
        </w:rPr>
        <w:t xml:space="preserve">Karathanos, A., et al. (2019). Routine glycoprotein IIb/IIIa inhibitor therapy in ST-segment elevation myocardial infarction treated with primary PCI. </w:t>
      </w:r>
      <w:r>
        <w:rPr>
          <w:rStyle w:val="Emphasis"/>
          <w:color w:val="BF0000"/>
        </w:rPr>
        <w:t>Canadian Journal of Cardiology, 35</w:t>
      </w:r>
      <w:r>
        <w:rPr>
          <w:color w:val="BF0000"/>
        </w:rPr>
        <w:t>(12), 1658–1666.</w:t>
      </w:r>
    </w:p>
    <w:p w:rsidR="00F90DC8" w:rsidRDefault="000E3EF8">
      <w:pPr>
        <w:pStyle w:val="NormalWeb"/>
        <w:rPr>
          <w:color w:val="BF0000"/>
        </w:rPr>
      </w:pPr>
      <w:r>
        <w:rPr>
          <w:color w:val="BF0000"/>
        </w:rPr>
        <w:t>Menees, D. S</w:t>
      </w:r>
      <w:r>
        <w:rPr>
          <w:color w:val="BF0000"/>
        </w:rPr>
        <w:t xml:space="preserve">., Peterson, E. D., Wang, Y., Curtis, J. P., Messenger, J. C., Rumsfeld, J. S., &amp; Gurm, H. S. (2023). Door-to-balloon time and mortality among patients undergoing primary PCI. </w:t>
      </w:r>
      <w:r>
        <w:rPr>
          <w:rStyle w:val="Emphasis"/>
          <w:color w:val="BF0000"/>
        </w:rPr>
        <w:t>Journal of the American College of Cardiology, 61</w:t>
      </w:r>
      <w:r>
        <w:rPr>
          <w:color w:val="BF0000"/>
        </w:rPr>
        <w:t>(12), 1231–1238.</w:t>
      </w:r>
    </w:p>
    <w:p w:rsidR="00F90DC8" w:rsidRDefault="000E3EF8">
      <w:pPr>
        <w:pStyle w:val="NormalWeb"/>
        <w:rPr>
          <w:color w:val="BF0000"/>
        </w:rPr>
      </w:pPr>
      <w:r>
        <w:rPr>
          <w:color w:val="BF0000"/>
        </w:rPr>
        <w:t>Mongeon, F.-P.</w:t>
      </w:r>
      <w:r>
        <w:rPr>
          <w:color w:val="BF0000"/>
        </w:rPr>
        <w:t xml:space="preserve">, et al. (2024). Adjunctive thrombectomy for acute myocardial infarction: A meta-analysis. </w:t>
      </w:r>
      <w:r>
        <w:rPr>
          <w:rStyle w:val="Emphasis"/>
          <w:color w:val="BF0000"/>
        </w:rPr>
        <w:t>Circulation: Cardiovascular Interventions, 3</w:t>
      </w:r>
      <w:r>
        <w:rPr>
          <w:color w:val="BF0000"/>
        </w:rPr>
        <w:t>(1), 6–16.</w:t>
      </w:r>
    </w:p>
    <w:p w:rsidR="00F90DC8" w:rsidRDefault="000E3EF8">
      <w:pPr>
        <w:pStyle w:val="NormalWeb"/>
        <w:rPr>
          <w:color w:val="BF0000"/>
        </w:rPr>
      </w:pPr>
      <w:r>
        <w:rPr>
          <w:color w:val="BF0000"/>
        </w:rPr>
        <w:t>Niu, X.-W., et al. (2022). Combined thrombectomy and intracoronary glycoprotein IIb/IIIa inhibitors for ST-seg</w:t>
      </w:r>
      <w:r>
        <w:rPr>
          <w:color w:val="BF0000"/>
        </w:rPr>
        <w:t xml:space="preserve">ment elevation myocardial infarction: A meta-analysis. </w:t>
      </w:r>
      <w:r>
        <w:rPr>
          <w:rStyle w:val="Emphasis"/>
          <w:color w:val="BF0000"/>
        </w:rPr>
        <w:t>International Journal of Cardiology, 241</w:t>
      </w:r>
      <w:r>
        <w:rPr>
          <w:color w:val="BF0000"/>
        </w:rPr>
        <w:t>, 48–55.</w:t>
      </w:r>
    </w:p>
    <w:p w:rsidR="00F90DC8" w:rsidRDefault="000E3EF8">
      <w:pPr>
        <w:pStyle w:val="NormalWeb"/>
        <w:rPr>
          <w:color w:val="BF0000"/>
        </w:rPr>
      </w:pPr>
      <w:r>
        <w:rPr>
          <w:color w:val="BF0000"/>
        </w:rPr>
        <w:t>O’Gara, P. T., Kushner, F. G., Ascheim, D. D., Casey, D. E., Chung, M. K., de Lemos, J. A., … Zhao, D. X. (2023). 2023 ACCF/AHA guideline for the manage</w:t>
      </w:r>
      <w:r>
        <w:rPr>
          <w:color w:val="BF0000"/>
        </w:rPr>
        <w:t xml:space="preserve">ment of ST-elevation myocardial infarction. </w:t>
      </w:r>
      <w:r>
        <w:rPr>
          <w:rStyle w:val="Emphasis"/>
          <w:color w:val="BF0000"/>
        </w:rPr>
        <w:t>Journal of the American College of Cardiology, 61</w:t>
      </w:r>
      <w:r>
        <w:rPr>
          <w:color w:val="BF0000"/>
        </w:rPr>
        <w:t>(4), e78–e140.</w:t>
      </w:r>
    </w:p>
    <w:p w:rsidR="00F90DC8" w:rsidRDefault="000E3EF8">
      <w:pPr>
        <w:pStyle w:val="NormalWeb"/>
        <w:rPr>
          <w:color w:val="BF0000"/>
        </w:rPr>
      </w:pPr>
      <w:r>
        <w:rPr>
          <w:color w:val="BF0000"/>
        </w:rPr>
        <w:t xml:space="preserve">Piazza, N., et al. (2025). Impact of smartphone applications on reperfusion times and clinical outcomes in ST-elevation myocardial infarction. </w:t>
      </w:r>
      <w:r>
        <w:rPr>
          <w:rStyle w:val="Emphasis"/>
          <w:color w:val="BF0000"/>
        </w:rPr>
        <w:t xml:space="preserve">JMIR </w:t>
      </w:r>
      <w:r>
        <w:rPr>
          <w:rStyle w:val="Emphasis"/>
          <w:color w:val="BF0000"/>
        </w:rPr>
        <w:t>mHealth and uHealth</w:t>
      </w:r>
      <w:r>
        <w:rPr>
          <w:color w:val="BF0000"/>
        </w:rPr>
        <w:t>.</w:t>
      </w:r>
    </w:p>
    <w:p w:rsidR="00F90DC8" w:rsidRDefault="000E3EF8">
      <w:pPr>
        <w:pStyle w:val="NormalWeb"/>
        <w:rPr>
          <w:color w:val="BF0000"/>
        </w:rPr>
      </w:pPr>
      <w:r>
        <w:rPr>
          <w:color w:val="BF0000"/>
        </w:rPr>
        <w:lastRenderedPageBreak/>
        <w:t xml:space="preserve">Schoos, M. M., et al. (2014). Impact of time-to-treatment on the effects of bivalirudin versus glycoprotein IIb/IIIa inhibitors and heparin in primary PCI. </w:t>
      </w:r>
      <w:r>
        <w:rPr>
          <w:rStyle w:val="Emphasis"/>
          <w:color w:val="BF0000"/>
        </w:rPr>
        <w:t>EuroIntervention, 10</w:t>
      </w:r>
      <w:r>
        <w:rPr>
          <w:color w:val="BF0000"/>
        </w:rPr>
        <w:t>(6), 727–735.</w:t>
      </w:r>
    </w:p>
    <w:p w:rsidR="00F90DC8" w:rsidRDefault="000E3EF8">
      <w:pPr>
        <w:pStyle w:val="NormalWeb"/>
        <w:rPr>
          <w:color w:val="BF0000"/>
        </w:rPr>
      </w:pPr>
      <w:r>
        <w:rPr>
          <w:color w:val="BF0000"/>
        </w:rPr>
        <w:t>Terkelsen, C. J., et al. (2024). System delay</w:t>
      </w:r>
      <w:r>
        <w:rPr>
          <w:color w:val="BF0000"/>
        </w:rPr>
        <w:t xml:space="preserve"> and mortality among patients with ST-segment elevation myocardial infarction treated with primary PCI. </w:t>
      </w:r>
      <w:r>
        <w:rPr>
          <w:rStyle w:val="Emphasis"/>
          <w:color w:val="BF0000"/>
        </w:rPr>
        <w:t>JAMA, 304</w:t>
      </w:r>
      <w:r>
        <w:rPr>
          <w:color w:val="BF0000"/>
        </w:rPr>
        <w:t>(7), 763–771.</w:t>
      </w:r>
    </w:p>
    <w:p w:rsidR="00F90DC8" w:rsidRDefault="000E3EF8">
      <w:pPr>
        <w:pStyle w:val="NormalWeb"/>
        <w:rPr>
          <w:color w:val="BF0000"/>
        </w:rPr>
      </w:pPr>
      <w:r>
        <w:rPr>
          <w:color w:val="BF0000"/>
        </w:rPr>
        <w:t xml:space="preserve">Wilson, B. H., et al. (2023). Achieving sustainable first door-to-balloon times of 90 minutes. </w:t>
      </w:r>
      <w:r>
        <w:rPr>
          <w:rStyle w:val="Emphasis"/>
          <w:color w:val="BF0000"/>
        </w:rPr>
        <w:t>JACC: Cardiovascular Interventions</w:t>
      </w:r>
      <w:r>
        <w:rPr>
          <w:rStyle w:val="Emphasis"/>
          <w:color w:val="BF0000"/>
        </w:rPr>
        <w:t>, 6</w:t>
      </w:r>
      <w:r>
        <w:rPr>
          <w:color w:val="BF0000"/>
        </w:rPr>
        <w:t>(10), 1051–1059.</w:t>
      </w:r>
    </w:p>
    <w:sectPr w:rsidR="00F90DC8">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EF8" w:rsidRDefault="000E3EF8">
      <w:pPr>
        <w:spacing w:after="0" w:line="240" w:lineRule="auto"/>
      </w:pPr>
      <w:r>
        <w:separator/>
      </w:r>
    </w:p>
  </w:endnote>
  <w:endnote w:type="continuationSeparator" w:id="0">
    <w:p w:rsidR="000E3EF8" w:rsidRDefault="000E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C8" w:rsidRDefault="00F90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C8" w:rsidRDefault="00F90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EF8" w:rsidRDefault="000E3EF8">
      <w:pPr>
        <w:spacing w:after="0" w:line="240" w:lineRule="auto"/>
      </w:pPr>
      <w:r>
        <w:separator/>
      </w:r>
    </w:p>
  </w:footnote>
  <w:footnote w:type="continuationSeparator" w:id="0">
    <w:p w:rsidR="000E3EF8" w:rsidRDefault="000E3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C8" w:rsidRDefault="000E3E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93.85pt;height:65.95pt;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C8" w:rsidRDefault="000E3E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93.85pt;height:65.95pt;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C8" w:rsidRDefault="000E3E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93.85pt;height:65.95pt;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8"/>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0"/>
  </w:num>
  <w:num w:numId="5">
    <w:abstractNumId w:val="8"/>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C8"/>
    <w:rsid w:val="000E3EF8"/>
    <w:rsid w:val="00387647"/>
    <w:rsid w:val="00F9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995996"/>
  <w15:docId w15:val="{E388942F-FDA1-4769-A8E3-918FF375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5324</Words>
  <Characters>30353</Characters>
  <Application>Microsoft Office Word</Application>
  <DocSecurity>0</DocSecurity>
  <Lines>252</Lines>
  <Paragraphs>71</Paragraphs>
  <ScaleCrop>false</ScaleCrop>
  <Company/>
  <LinksUpToDate>false</LinksUpToDate>
  <CharactersWithSpaces>35606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Editor-11</cp:lastModifiedBy>
  <cp:revision>21</cp:revision>
  <dcterms:created xsi:type="dcterms:W3CDTF">2026-01-27T08:40:00Z</dcterms:created>
  <dcterms:modified xsi:type="dcterms:W3CDTF">2026-02-02T05:57:00Z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1e2fd8c63ac44b28a4546d03f5de4d80</vt:lpwstr>
  </property>
</Properties>
</file>