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7AF" w:rsidRPr="00CB14C3" w:rsidRDefault="00CB07AF" w:rsidP="00CB07AF">
      <w:pPr>
        <w:jc w:val="right"/>
        <w:rPr>
          <w:rFonts w:ascii="Arial" w:hAnsi="Arial" w:cs="Arial"/>
          <w:b/>
          <w:i/>
          <w:sz w:val="32"/>
          <w:u w:val="single"/>
          <w:lang w:val="en-GB"/>
        </w:rPr>
      </w:pPr>
      <w:r w:rsidRPr="00CB14C3">
        <w:rPr>
          <w:rFonts w:ascii="Arial" w:hAnsi="Arial" w:cs="Arial"/>
          <w:b/>
          <w:i/>
          <w:sz w:val="32"/>
          <w:u w:val="single"/>
          <w:lang w:val="en-GB"/>
        </w:rPr>
        <w:t>Original Research Article</w:t>
      </w:r>
    </w:p>
    <w:p w:rsidR="006C62AE" w:rsidRPr="00CB14C3" w:rsidRDefault="00073786" w:rsidP="006C3AAB">
      <w:pPr>
        <w:jc w:val="both"/>
        <w:rPr>
          <w:rFonts w:ascii="Arial" w:hAnsi="Arial" w:cs="Arial"/>
          <w:b/>
          <w:lang w:val="en-GB"/>
        </w:rPr>
      </w:pPr>
      <w:r w:rsidRPr="00CB14C3">
        <w:rPr>
          <w:rFonts w:ascii="Arial" w:hAnsi="Arial" w:cs="Arial"/>
          <w:b/>
          <w:lang w:val="en-GB"/>
        </w:rPr>
        <w:t xml:space="preserve">HEPATOPROTECTIVE EFFECTS OF </w:t>
      </w:r>
      <w:r w:rsidRPr="00CB14C3">
        <w:rPr>
          <w:rFonts w:ascii="Arial" w:hAnsi="Arial" w:cs="Arial"/>
          <w:b/>
          <w:i/>
          <w:lang w:val="en-GB"/>
        </w:rPr>
        <w:t xml:space="preserve">AMARANTHUS </w:t>
      </w:r>
      <w:r w:rsidR="00046D2D" w:rsidRPr="00CB14C3">
        <w:rPr>
          <w:rFonts w:ascii="Arial" w:hAnsi="Arial" w:cs="Arial"/>
          <w:b/>
          <w:i/>
          <w:lang w:val="en-GB"/>
        </w:rPr>
        <w:t>SPINOSUS</w:t>
      </w:r>
      <w:r w:rsidRPr="00CB14C3">
        <w:rPr>
          <w:rFonts w:ascii="Arial" w:hAnsi="Arial" w:cs="Arial"/>
          <w:b/>
          <w:lang w:val="en-GB"/>
        </w:rPr>
        <w:t xml:space="preserve"> EXTRACT</w:t>
      </w:r>
      <w:r w:rsidR="007E3FF5" w:rsidRPr="00CB14C3">
        <w:rPr>
          <w:rFonts w:ascii="Arial" w:hAnsi="Arial" w:cs="Arial"/>
          <w:b/>
          <w:lang w:val="en-GB"/>
        </w:rPr>
        <w:t xml:space="preserve"> </w:t>
      </w:r>
      <w:r w:rsidR="00822A15" w:rsidRPr="00CB14C3">
        <w:rPr>
          <w:rFonts w:ascii="Arial" w:hAnsi="Arial" w:cs="Arial"/>
          <w:b/>
          <w:lang w:val="en-GB"/>
        </w:rPr>
        <w:t>AGAINST</w:t>
      </w:r>
      <w:r w:rsidR="007E3FF5" w:rsidRPr="00CB14C3">
        <w:rPr>
          <w:rFonts w:ascii="Arial" w:hAnsi="Arial" w:cs="Arial"/>
          <w:b/>
          <w:lang w:val="en-GB"/>
        </w:rPr>
        <w:t xml:space="preserve"> ALCOHOL-INDUCED </w:t>
      </w:r>
      <w:r w:rsidR="00906015" w:rsidRPr="00CB14C3">
        <w:rPr>
          <w:rFonts w:ascii="Arial" w:hAnsi="Arial" w:cs="Arial"/>
          <w:b/>
          <w:lang w:val="en-GB"/>
        </w:rPr>
        <w:t>LIVER INJURY</w:t>
      </w:r>
      <w:r w:rsidR="00FE49F7" w:rsidRPr="00CB14C3">
        <w:rPr>
          <w:rFonts w:ascii="Arial" w:hAnsi="Arial" w:cs="Arial"/>
          <w:b/>
          <w:lang w:val="en-GB"/>
        </w:rPr>
        <w:t xml:space="preserve"> </w:t>
      </w:r>
      <w:r w:rsidR="00822A15" w:rsidRPr="00CB14C3">
        <w:rPr>
          <w:rFonts w:ascii="Arial" w:hAnsi="Arial" w:cs="Arial"/>
          <w:b/>
          <w:lang w:val="en-GB"/>
        </w:rPr>
        <w:t>IN</w:t>
      </w:r>
      <w:r w:rsidR="00FE49F7" w:rsidRPr="00CB14C3">
        <w:rPr>
          <w:rFonts w:ascii="Arial" w:hAnsi="Arial" w:cs="Arial"/>
          <w:b/>
          <w:lang w:val="en-GB"/>
        </w:rPr>
        <w:t xml:space="preserve"> WIST</w:t>
      </w:r>
      <w:r w:rsidR="00822A15" w:rsidRPr="00CB14C3">
        <w:rPr>
          <w:rFonts w:ascii="Arial" w:hAnsi="Arial" w:cs="Arial"/>
          <w:b/>
          <w:lang w:val="en-GB"/>
        </w:rPr>
        <w:t>A</w:t>
      </w:r>
      <w:r w:rsidR="00FE49F7" w:rsidRPr="00CB14C3">
        <w:rPr>
          <w:rFonts w:ascii="Arial" w:hAnsi="Arial" w:cs="Arial"/>
          <w:b/>
          <w:lang w:val="en-GB"/>
        </w:rPr>
        <w:t>R RATS</w:t>
      </w:r>
      <w:r w:rsidRPr="00CB14C3">
        <w:rPr>
          <w:rFonts w:ascii="Arial" w:hAnsi="Arial" w:cs="Arial"/>
          <w:b/>
          <w:lang w:val="en-GB"/>
        </w:rPr>
        <w:t>: MODULATION OF LIPID PRO</w:t>
      </w:r>
      <w:r w:rsidR="007C6DE2" w:rsidRPr="00CB14C3">
        <w:rPr>
          <w:rFonts w:ascii="Arial" w:hAnsi="Arial" w:cs="Arial"/>
          <w:b/>
          <w:lang w:val="en-GB"/>
        </w:rPr>
        <w:t>FILE AND LIVER FUNCTION MARKERS</w:t>
      </w:r>
    </w:p>
    <w:p w:rsidR="00C75E82" w:rsidRPr="00CB14C3" w:rsidRDefault="00C75E82" w:rsidP="006C3AAB">
      <w:pPr>
        <w:jc w:val="both"/>
        <w:rPr>
          <w:rFonts w:ascii="Times New Roman" w:hAnsi="Times New Roman" w:cs="Times New Roman"/>
          <w:sz w:val="24"/>
          <w:szCs w:val="24"/>
          <w:lang w:val="en-GB"/>
        </w:rPr>
      </w:pPr>
    </w:p>
    <w:p w:rsidR="00C75E82" w:rsidRPr="00CB14C3" w:rsidRDefault="00C75E82" w:rsidP="006C3AAB">
      <w:pPr>
        <w:jc w:val="both"/>
        <w:rPr>
          <w:rFonts w:ascii="Times New Roman" w:hAnsi="Times New Roman" w:cs="Times New Roman"/>
          <w:sz w:val="24"/>
          <w:szCs w:val="24"/>
          <w:lang w:val="en-GB"/>
        </w:rPr>
      </w:pPr>
    </w:p>
    <w:p w:rsidR="00C75E82" w:rsidRPr="00CB14C3" w:rsidRDefault="00C75E82" w:rsidP="006C3AAB">
      <w:pPr>
        <w:jc w:val="both"/>
        <w:rPr>
          <w:rFonts w:ascii="Arial" w:hAnsi="Arial" w:cs="Arial"/>
          <w:b/>
          <w:lang w:val="en-GB"/>
        </w:rPr>
      </w:pPr>
      <w:r w:rsidRPr="00CB14C3">
        <w:rPr>
          <w:rFonts w:ascii="Arial" w:hAnsi="Arial" w:cs="Arial"/>
          <w:b/>
          <w:lang w:val="en-GB"/>
        </w:rPr>
        <w:t>ABSTRACT</w:t>
      </w:r>
    </w:p>
    <w:p w:rsidR="00D13103" w:rsidRPr="00CB14C3" w:rsidRDefault="00D471F1" w:rsidP="00B65A5C">
      <w:pPr>
        <w:jc w:val="both"/>
        <w:rPr>
          <w:rFonts w:ascii="Arial" w:hAnsi="Arial" w:cs="Arial"/>
          <w:lang w:val="en-GB"/>
        </w:rPr>
      </w:pPr>
      <w:r w:rsidRPr="00CB14C3">
        <w:rPr>
          <w:rFonts w:ascii="Arial" w:hAnsi="Arial" w:cs="Arial"/>
          <w:b/>
          <w:lang w:val="en-GB"/>
        </w:rPr>
        <w:t>Background:</w:t>
      </w:r>
      <w:r w:rsidRPr="00CB14C3">
        <w:rPr>
          <w:rFonts w:ascii="Arial" w:hAnsi="Arial" w:cs="Arial"/>
          <w:lang w:val="en-GB"/>
        </w:rPr>
        <w:t xml:space="preserve"> </w:t>
      </w:r>
      <w:r w:rsidR="000D1FF1" w:rsidRPr="00CB14C3">
        <w:rPr>
          <w:rFonts w:ascii="Arial" w:hAnsi="Arial" w:cs="Arial"/>
          <w:lang w:val="en-GB"/>
        </w:rPr>
        <w:t>Alcohol-induced live</w:t>
      </w:r>
      <w:r w:rsidR="00631F97" w:rsidRPr="00CB14C3">
        <w:rPr>
          <w:rFonts w:ascii="Arial" w:hAnsi="Arial" w:cs="Arial"/>
          <w:lang w:val="en-GB"/>
        </w:rPr>
        <w:t>r injury</w:t>
      </w:r>
      <w:r w:rsidR="00B65A5C" w:rsidRPr="00CB14C3">
        <w:rPr>
          <w:rFonts w:ascii="Arial" w:hAnsi="Arial" w:cs="Arial"/>
          <w:lang w:val="en-GB"/>
        </w:rPr>
        <w:t xml:space="preserve"> is a major global health concern, characterized by oxidative stress, </w:t>
      </w:r>
      <w:proofErr w:type="spellStart"/>
      <w:r w:rsidR="00B65A5C" w:rsidRPr="00CB14C3">
        <w:rPr>
          <w:rFonts w:ascii="Arial" w:hAnsi="Arial" w:cs="Arial"/>
          <w:lang w:val="en-GB"/>
        </w:rPr>
        <w:t>dys</w:t>
      </w:r>
      <w:r w:rsidR="00631F97" w:rsidRPr="00CB14C3">
        <w:rPr>
          <w:rFonts w:ascii="Arial" w:hAnsi="Arial" w:cs="Arial"/>
          <w:lang w:val="en-GB"/>
        </w:rPr>
        <w:t>lipidem</w:t>
      </w:r>
      <w:bookmarkStart w:id="0" w:name="_GoBack"/>
      <w:bookmarkEnd w:id="0"/>
      <w:r w:rsidR="00631F97" w:rsidRPr="00CB14C3">
        <w:rPr>
          <w:rFonts w:ascii="Arial" w:hAnsi="Arial" w:cs="Arial"/>
          <w:lang w:val="en-GB"/>
        </w:rPr>
        <w:t>ia</w:t>
      </w:r>
      <w:proofErr w:type="spellEnd"/>
      <w:r w:rsidR="00631F97" w:rsidRPr="00CB14C3">
        <w:rPr>
          <w:rFonts w:ascii="Arial" w:hAnsi="Arial" w:cs="Arial"/>
          <w:lang w:val="en-GB"/>
        </w:rPr>
        <w:t>, hepatocellular injury</w:t>
      </w:r>
      <w:r w:rsidR="00B65A5C" w:rsidRPr="00CB14C3">
        <w:rPr>
          <w:rFonts w:ascii="Arial" w:hAnsi="Arial" w:cs="Arial"/>
          <w:lang w:val="en-GB"/>
        </w:rPr>
        <w:t xml:space="preserve">, and altered liver function. The present study evaluated the hepatoprotective and lipid-modulating effects of </w:t>
      </w:r>
      <w:r w:rsidR="00B65A5C" w:rsidRPr="00CB14C3">
        <w:rPr>
          <w:rFonts w:ascii="Arial" w:hAnsi="Arial" w:cs="Arial"/>
          <w:i/>
          <w:lang w:val="en-GB"/>
        </w:rPr>
        <w:t xml:space="preserve">Amaranthus </w:t>
      </w:r>
      <w:proofErr w:type="spellStart"/>
      <w:r w:rsidR="00B65A5C" w:rsidRPr="00CB14C3">
        <w:rPr>
          <w:rFonts w:ascii="Arial" w:hAnsi="Arial" w:cs="Arial"/>
          <w:i/>
          <w:lang w:val="en-GB"/>
        </w:rPr>
        <w:t>spinosus</w:t>
      </w:r>
      <w:proofErr w:type="spellEnd"/>
      <w:r w:rsidR="00B65A5C" w:rsidRPr="00CB14C3">
        <w:rPr>
          <w:rFonts w:ascii="Arial" w:hAnsi="Arial" w:cs="Arial"/>
          <w:lang w:val="en-GB"/>
        </w:rPr>
        <w:t xml:space="preserve"> aqueous extract against ethanol-induced li</w:t>
      </w:r>
      <w:r w:rsidR="00F05D05" w:rsidRPr="00CB14C3">
        <w:rPr>
          <w:rFonts w:ascii="Arial" w:hAnsi="Arial" w:cs="Arial"/>
          <w:lang w:val="en-GB"/>
        </w:rPr>
        <w:t>ver injury</w:t>
      </w:r>
      <w:r w:rsidR="00AD2E4F" w:rsidRPr="00CB14C3">
        <w:rPr>
          <w:rFonts w:ascii="Arial" w:hAnsi="Arial" w:cs="Arial"/>
          <w:lang w:val="en-GB"/>
        </w:rPr>
        <w:t xml:space="preserve"> in Wistar rats. </w:t>
      </w:r>
    </w:p>
    <w:p w:rsidR="00B65A5C" w:rsidRPr="00CB14C3" w:rsidRDefault="00D13103" w:rsidP="00B65A5C">
      <w:pPr>
        <w:jc w:val="both"/>
        <w:rPr>
          <w:rFonts w:ascii="Arial" w:hAnsi="Arial" w:cs="Arial"/>
          <w:lang w:val="en-GB"/>
        </w:rPr>
      </w:pPr>
      <w:r w:rsidRPr="00CB14C3">
        <w:rPr>
          <w:rFonts w:ascii="Arial" w:hAnsi="Arial" w:cs="Arial"/>
          <w:b/>
          <w:lang w:val="en-GB"/>
        </w:rPr>
        <w:t>Materials and Method:</w:t>
      </w:r>
      <w:r w:rsidRPr="00CB14C3">
        <w:rPr>
          <w:rFonts w:ascii="Arial" w:hAnsi="Arial" w:cs="Arial"/>
          <w:lang w:val="en-GB"/>
        </w:rPr>
        <w:t xml:space="preserve"> Forty-nine</w:t>
      </w:r>
      <w:r w:rsidR="000607D3" w:rsidRPr="00CB14C3">
        <w:rPr>
          <w:rFonts w:ascii="Arial" w:hAnsi="Arial" w:cs="Arial"/>
          <w:lang w:val="en-GB"/>
        </w:rPr>
        <w:t xml:space="preserve"> (49)</w:t>
      </w:r>
      <w:r w:rsidR="00B65A5C" w:rsidRPr="00CB14C3">
        <w:rPr>
          <w:rFonts w:ascii="Arial" w:hAnsi="Arial" w:cs="Arial"/>
          <w:lang w:val="en-GB"/>
        </w:rPr>
        <w:t xml:space="preserve"> rats were </w:t>
      </w:r>
      <w:r w:rsidR="001D77B3" w:rsidRPr="00CB14C3">
        <w:rPr>
          <w:rFonts w:ascii="Arial" w:hAnsi="Arial" w:cs="Arial"/>
          <w:lang w:val="en-GB"/>
        </w:rPr>
        <w:t xml:space="preserve">divided into </w:t>
      </w:r>
      <w:r w:rsidR="00FE49F7" w:rsidRPr="00CB14C3">
        <w:rPr>
          <w:rFonts w:ascii="Arial" w:hAnsi="Arial" w:cs="Arial"/>
          <w:lang w:val="en-GB"/>
        </w:rPr>
        <w:t xml:space="preserve">groups; normal </w:t>
      </w:r>
      <w:r w:rsidR="001D77B3" w:rsidRPr="00CB14C3">
        <w:rPr>
          <w:rFonts w:ascii="Arial" w:hAnsi="Arial" w:cs="Arial"/>
          <w:lang w:val="en-GB"/>
        </w:rPr>
        <w:t>control</w:t>
      </w:r>
      <w:r w:rsidR="00FE49F7" w:rsidRPr="00CB14C3">
        <w:rPr>
          <w:rFonts w:ascii="Arial" w:hAnsi="Arial" w:cs="Arial"/>
          <w:lang w:val="en-GB"/>
        </w:rPr>
        <w:t>, standard control (silymarin 50mg/kg),</w:t>
      </w:r>
      <w:r w:rsidR="001D77B3" w:rsidRPr="00CB14C3">
        <w:rPr>
          <w:rFonts w:ascii="Arial" w:hAnsi="Arial" w:cs="Arial"/>
          <w:lang w:val="en-GB"/>
        </w:rPr>
        <w:t xml:space="preserve"> alcohol</w:t>
      </w:r>
      <w:r w:rsidR="00B65A5C" w:rsidRPr="00CB14C3">
        <w:rPr>
          <w:rFonts w:ascii="Arial" w:hAnsi="Arial" w:cs="Arial"/>
          <w:lang w:val="en-GB"/>
        </w:rPr>
        <w:t xml:space="preserve">-exposed groups, </w:t>
      </w:r>
      <w:r w:rsidR="000377C0" w:rsidRPr="00CB14C3">
        <w:rPr>
          <w:rFonts w:ascii="Arial" w:hAnsi="Arial" w:cs="Arial"/>
          <w:lang w:val="en-GB"/>
        </w:rPr>
        <w:t>and</w:t>
      </w:r>
      <w:r w:rsidR="00B65A5C" w:rsidRPr="00CB14C3">
        <w:rPr>
          <w:rFonts w:ascii="Arial" w:hAnsi="Arial" w:cs="Arial"/>
          <w:lang w:val="en-GB"/>
        </w:rPr>
        <w:t xml:space="preserve"> treatment </w:t>
      </w:r>
      <w:r w:rsidR="000377C0" w:rsidRPr="00CB14C3">
        <w:rPr>
          <w:rFonts w:ascii="Arial" w:hAnsi="Arial" w:cs="Arial"/>
          <w:lang w:val="en-GB"/>
        </w:rPr>
        <w:t xml:space="preserve">group at </w:t>
      </w:r>
      <w:r w:rsidR="00B65A5C" w:rsidRPr="00CB14C3">
        <w:rPr>
          <w:rFonts w:ascii="Arial" w:hAnsi="Arial" w:cs="Arial"/>
          <w:lang w:val="en-GB"/>
        </w:rPr>
        <w:t>250 mg/kg and 500 mg/kg doses of the extract, with or without continued alcohol administration, over 42 days. Liver function markers (ALT, AST, total protein, albumin, bilirubin), lipid profiles (total cholesterol, triglycerides, HDL-C, LDL-C, VLDL-C), and oxidative stress indicators (SOD, GSH, MDA, LDH) were assessed. Histopathological analysis was conducted to evaluate structural liver changes.</w:t>
      </w:r>
    </w:p>
    <w:p w:rsidR="00B65A5C" w:rsidRPr="00CB14C3" w:rsidRDefault="00D13103" w:rsidP="00B65A5C">
      <w:pPr>
        <w:jc w:val="both"/>
        <w:rPr>
          <w:rFonts w:ascii="Arial" w:hAnsi="Arial" w:cs="Arial"/>
          <w:lang w:val="en-GB"/>
        </w:rPr>
      </w:pPr>
      <w:r w:rsidRPr="00CB14C3">
        <w:rPr>
          <w:rFonts w:ascii="Arial" w:hAnsi="Arial" w:cs="Arial"/>
          <w:b/>
          <w:lang w:val="en-GB"/>
        </w:rPr>
        <w:t>Results:</w:t>
      </w:r>
      <w:r w:rsidRPr="00CB14C3">
        <w:rPr>
          <w:rFonts w:ascii="Arial" w:hAnsi="Arial" w:cs="Arial"/>
          <w:lang w:val="en-GB"/>
        </w:rPr>
        <w:t xml:space="preserve"> </w:t>
      </w:r>
      <w:r w:rsidR="00B65A5C" w:rsidRPr="00CB14C3">
        <w:rPr>
          <w:rFonts w:ascii="Arial" w:hAnsi="Arial" w:cs="Arial"/>
          <w:lang w:val="en-GB"/>
        </w:rPr>
        <w:t xml:space="preserve">Alcohol administration significantly elevated serum ALT, AST, bilirubin, total cholesterol, triglycerides, LDL-C, and VLDL-C, while reducing HDL-C, total protein, albumin, SOD, and GSH, alongside increased MDA and LDH levels, indicating hepatocellular injury, oxidative stress, and </w:t>
      </w:r>
      <w:proofErr w:type="spellStart"/>
      <w:r w:rsidR="00B65A5C" w:rsidRPr="00CB14C3">
        <w:rPr>
          <w:rFonts w:ascii="Arial" w:hAnsi="Arial" w:cs="Arial"/>
          <w:lang w:val="en-GB"/>
        </w:rPr>
        <w:t>dyslipidemia</w:t>
      </w:r>
      <w:proofErr w:type="spellEnd"/>
      <w:r w:rsidR="00B65A5C" w:rsidRPr="00CB14C3">
        <w:rPr>
          <w:rFonts w:ascii="Arial" w:hAnsi="Arial" w:cs="Arial"/>
          <w:lang w:val="en-GB"/>
        </w:rPr>
        <w:t xml:space="preserve">. Treatment with </w:t>
      </w:r>
      <w:r w:rsidR="00B65A5C" w:rsidRPr="00CB14C3">
        <w:rPr>
          <w:rFonts w:ascii="Arial" w:hAnsi="Arial" w:cs="Arial"/>
          <w:i/>
          <w:lang w:val="en-GB"/>
        </w:rPr>
        <w:t xml:space="preserve">A. </w:t>
      </w:r>
      <w:proofErr w:type="spellStart"/>
      <w:r w:rsidR="00B65A5C" w:rsidRPr="00CB14C3">
        <w:rPr>
          <w:rFonts w:ascii="Arial" w:hAnsi="Arial" w:cs="Arial"/>
          <w:i/>
          <w:lang w:val="en-GB"/>
        </w:rPr>
        <w:t>spinosus</w:t>
      </w:r>
      <w:proofErr w:type="spellEnd"/>
      <w:r w:rsidR="00B65A5C" w:rsidRPr="00CB14C3">
        <w:rPr>
          <w:rFonts w:ascii="Arial" w:hAnsi="Arial" w:cs="Arial"/>
          <w:lang w:val="en-GB"/>
        </w:rPr>
        <w:t xml:space="preserve"> extract ameliorated these biochemical alterations in a dose- and treatment-dependent manner, restoring antioxidant enzyme activity, reducing lipid peroxidation, normalizing lipid profiles, and improving hepatic synthetic function. Histopathological examination confirmed attenuation of alcohol-induced steatosis, necrosis, and architectural distortion, particularly in rats receiving high-dose extract.</w:t>
      </w:r>
    </w:p>
    <w:p w:rsidR="00B65A5C" w:rsidRPr="00CB14C3" w:rsidRDefault="00D13103" w:rsidP="00B65A5C">
      <w:pPr>
        <w:jc w:val="both"/>
        <w:rPr>
          <w:rFonts w:ascii="Arial" w:hAnsi="Arial" w:cs="Arial"/>
          <w:lang w:val="en-GB"/>
        </w:rPr>
      </w:pPr>
      <w:r w:rsidRPr="00CB14C3">
        <w:rPr>
          <w:rFonts w:ascii="Arial" w:hAnsi="Arial" w:cs="Arial"/>
          <w:b/>
          <w:lang w:val="en-GB"/>
        </w:rPr>
        <w:t>Conclusion:</w:t>
      </w:r>
      <w:r w:rsidRPr="00CB14C3">
        <w:rPr>
          <w:rFonts w:ascii="Arial" w:hAnsi="Arial" w:cs="Arial"/>
          <w:lang w:val="en-GB"/>
        </w:rPr>
        <w:t xml:space="preserve"> </w:t>
      </w:r>
      <w:r w:rsidR="00B65A5C" w:rsidRPr="00CB14C3">
        <w:rPr>
          <w:rFonts w:ascii="Arial" w:hAnsi="Arial" w:cs="Arial"/>
          <w:lang w:val="en-GB"/>
        </w:rPr>
        <w:t xml:space="preserve">These findings suggest that </w:t>
      </w:r>
      <w:r w:rsidR="00B65A5C" w:rsidRPr="00CB14C3">
        <w:rPr>
          <w:rFonts w:ascii="Arial" w:hAnsi="Arial" w:cs="Arial"/>
          <w:i/>
          <w:lang w:val="en-GB"/>
        </w:rPr>
        <w:t xml:space="preserve">Amaranthus </w:t>
      </w:r>
      <w:proofErr w:type="spellStart"/>
      <w:r w:rsidR="00B65A5C" w:rsidRPr="00CB14C3">
        <w:rPr>
          <w:rFonts w:ascii="Arial" w:hAnsi="Arial" w:cs="Arial"/>
          <w:i/>
          <w:lang w:val="en-GB"/>
        </w:rPr>
        <w:t>spinosus</w:t>
      </w:r>
      <w:proofErr w:type="spellEnd"/>
      <w:r w:rsidR="00B65A5C" w:rsidRPr="00CB14C3">
        <w:rPr>
          <w:rFonts w:ascii="Arial" w:hAnsi="Arial" w:cs="Arial"/>
          <w:lang w:val="en-GB"/>
        </w:rPr>
        <w:t xml:space="preserve"> exerts significant hepatoprotective, antioxidant, and lipid-modulating effects, highlighting its potential as a natural therapeutic agent agai</w:t>
      </w:r>
      <w:r w:rsidR="00145A43" w:rsidRPr="00CB14C3">
        <w:rPr>
          <w:rFonts w:ascii="Arial" w:hAnsi="Arial" w:cs="Arial"/>
          <w:lang w:val="en-GB"/>
        </w:rPr>
        <w:t>nst alcohol-induced liver injury</w:t>
      </w:r>
      <w:r w:rsidR="00B65A5C" w:rsidRPr="00CB14C3">
        <w:rPr>
          <w:rFonts w:ascii="Arial" w:hAnsi="Arial" w:cs="Arial"/>
          <w:lang w:val="en-GB"/>
        </w:rPr>
        <w:t>. Further studies are warranted to elucidate the molecular mechanisms underlying these protective effects.</w:t>
      </w:r>
    </w:p>
    <w:p w:rsidR="00C75E82" w:rsidRPr="00CB14C3" w:rsidRDefault="00D8053A" w:rsidP="00B65A5C">
      <w:pPr>
        <w:jc w:val="both"/>
        <w:rPr>
          <w:rFonts w:ascii="Arial" w:hAnsi="Arial" w:cs="Arial"/>
          <w:lang w:val="en-GB"/>
        </w:rPr>
      </w:pPr>
      <w:r w:rsidRPr="00CB14C3">
        <w:rPr>
          <w:rFonts w:ascii="Arial" w:hAnsi="Arial" w:cs="Arial"/>
          <w:b/>
          <w:lang w:val="en-GB"/>
        </w:rPr>
        <w:t>Keywords:</w:t>
      </w:r>
      <w:r w:rsidR="00365B05" w:rsidRPr="00CB14C3">
        <w:rPr>
          <w:rFonts w:ascii="Arial" w:hAnsi="Arial" w:cs="Arial"/>
          <w:b/>
          <w:lang w:val="en-GB"/>
        </w:rPr>
        <w:t xml:space="preserve"> </w:t>
      </w:r>
      <w:r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Pr="00CB14C3">
        <w:rPr>
          <w:rFonts w:ascii="Arial" w:hAnsi="Arial" w:cs="Arial"/>
          <w:sz w:val="20"/>
          <w:szCs w:val="20"/>
          <w:lang w:val="en-GB"/>
        </w:rPr>
        <w:t>, hepatopro</w:t>
      </w:r>
      <w:r w:rsidR="00081EA2" w:rsidRPr="00CB14C3">
        <w:rPr>
          <w:rFonts w:ascii="Arial" w:hAnsi="Arial" w:cs="Arial"/>
          <w:sz w:val="20"/>
          <w:szCs w:val="20"/>
          <w:lang w:val="en-GB"/>
        </w:rPr>
        <w:t>tecti</w:t>
      </w:r>
      <w:r w:rsidR="00D60475" w:rsidRPr="00CB14C3">
        <w:rPr>
          <w:rFonts w:ascii="Arial" w:hAnsi="Arial" w:cs="Arial"/>
          <w:sz w:val="20"/>
          <w:szCs w:val="20"/>
          <w:lang w:val="en-GB"/>
        </w:rPr>
        <w:t>ve, alcohol-induced liver injury</w:t>
      </w:r>
      <w:r w:rsidR="009946A3" w:rsidRPr="00CB14C3">
        <w:rPr>
          <w:rFonts w:ascii="Arial" w:hAnsi="Arial" w:cs="Arial"/>
          <w:sz w:val="20"/>
          <w:szCs w:val="20"/>
          <w:lang w:val="en-GB"/>
        </w:rPr>
        <w:t xml:space="preserve">, lipid profile, ALT, AST, </w:t>
      </w:r>
      <w:r w:rsidRPr="00CB14C3">
        <w:rPr>
          <w:rFonts w:ascii="Arial" w:hAnsi="Arial" w:cs="Arial"/>
          <w:sz w:val="20"/>
          <w:szCs w:val="20"/>
          <w:lang w:val="en-GB"/>
        </w:rPr>
        <w:t>oxidative stress, non-HDL cholesterol, histopathology</w:t>
      </w:r>
    </w:p>
    <w:p w:rsidR="00C75E82" w:rsidRPr="00CB14C3" w:rsidRDefault="00C75E82" w:rsidP="006C3AAB">
      <w:pPr>
        <w:jc w:val="both"/>
        <w:rPr>
          <w:rFonts w:ascii="Arial" w:hAnsi="Arial" w:cs="Arial"/>
          <w:lang w:val="en-GB"/>
        </w:rPr>
      </w:pPr>
    </w:p>
    <w:p w:rsidR="00C75E82" w:rsidRPr="00CB14C3" w:rsidRDefault="00C75E82" w:rsidP="006C3AAB">
      <w:pPr>
        <w:jc w:val="both"/>
        <w:rPr>
          <w:rFonts w:ascii="Times New Roman" w:hAnsi="Times New Roman" w:cs="Times New Roman"/>
          <w:sz w:val="24"/>
          <w:szCs w:val="24"/>
          <w:lang w:val="en-GB"/>
        </w:rPr>
      </w:pPr>
    </w:p>
    <w:p w:rsidR="00C75E82" w:rsidRPr="00CB14C3" w:rsidRDefault="00C75E82" w:rsidP="006C3AAB">
      <w:pPr>
        <w:jc w:val="both"/>
        <w:rPr>
          <w:rFonts w:ascii="Times New Roman" w:hAnsi="Times New Roman" w:cs="Times New Roman"/>
          <w:sz w:val="24"/>
          <w:szCs w:val="24"/>
          <w:lang w:val="en-GB"/>
        </w:rPr>
      </w:pPr>
    </w:p>
    <w:p w:rsidR="00C75E82" w:rsidRPr="00CB14C3" w:rsidRDefault="00C75E82" w:rsidP="006C3AAB">
      <w:pPr>
        <w:jc w:val="both"/>
        <w:rPr>
          <w:rFonts w:ascii="Times New Roman" w:hAnsi="Times New Roman" w:cs="Times New Roman"/>
          <w:sz w:val="24"/>
          <w:szCs w:val="24"/>
          <w:lang w:val="en-GB"/>
        </w:rPr>
      </w:pPr>
    </w:p>
    <w:p w:rsidR="00C75E82" w:rsidRPr="00CB14C3" w:rsidRDefault="00C75E82" w:rsidP="006C3AAB">
      <w:pPr>
        <w:jc w:val="both"/>
        <w:rPr>
          <w:rFonts w:ascii="Times New Roman" w:hAnsi="Times New Roman" w:cs="Times New Roman"/>
          <w:sz w:val="24"/>
          <w:szCs w:val="24"/>
          <w:lang w:val="en-GB"/>
        </w:rPr>
      </w:pPr>
    </w:p>
    <w:p w:rsidR="00C75E82" w:rsidRPr="00CB14C3" w:rsidRDefault="00C75E82" w:rsidP="006C3AAB">
      <w:pPr>
        <w:jc w:val="both"/>
        <w:rPr>
          <w:rFonts w:ascii="Times New Roman" w:hAnsi="Times New Roman" w:cs="Times New Roman"/>
          <w:sz w:val="24"/>
          <w:szCs w:val="24"/>
          <w:lang w:val="en-GB"/>
        </w:rPr>
      </w:pPr>
    </w:p>
    <w:p w:rsidR="00C75E82" w:rsidRPr="00CB14C3" w:rsidRDefault="00C75E82" w:rsidP="006C3AAB">
      <w:pPr>
        <w:jc w:val="both"/>
        <w:rPr>
          <w:rFonts w:ascii="Arial" w:hAnsi="Arial" w:cs="Arial"/>
          <w:b/>
          <w:lang w:val="en-GB"/>
        </w:rPr>
      </w:pPr>
      <w:r w:rsidRPr="00CB14C3">
        <w:rPr>
          <w:rFonts w:ascii="Arial" w:hAnsi="Arial" w:cs="Arial"/>
          <w:b/>
          <w:lang w:val="en-GB"/>
        </w:rPr>
        <w:t>INTRODUCTION</w:t>
      </w:r>
    </w:p>
    <w:p w:rsidR="00CF18BE" w:rsidRPr="00CB14C3" w:rsidRDefault="00CF18BE" w:rsidP="006C3AAB">
      <w:pPr>
        <w:spacing w:line="360" w:lineRule="auto"/>
        <w:jc w:val="both"/>
        <w:rPr>
          <w:rFonts w:ascii="Times New Roman" w:hAnsi="Times New Roman" w:cs="Times New Roman"/>
          <w:sz w:val="24"/>
          <w:szCs w:val="24"/>
          <w:lang w:val="en-GB"/>
        </w:rPr>
        <w:sectPr w:rsidR="00CF18BE" w:rsidRPr="00CB14C3" w:rsidSect="006C3AAB">
          <w:headerReference w:type="even" r:id="rId7"/>
          <w:headerReference w:type="default" r:id="rId8"/>
          <w:headerReference w:type="first" r:id="rId9"/>
          <w:pgSz w:w="12240" w:h="15840"/>
          <w:pgMar w:top="1440" w:right="1440" w:bottom="1440" w:left="1440" w:header="720" w:footer="720" w:gutter="0"/>
          <w:cols w:space="720"/>
          <w:docGrid w:linePitch="360"/>
        </w:sectPr>
      </w:pPr>
    </w:p>
    <w:p w:rsidR="004E3AE8" w:rsidRPr="00CB14C3" w:rsidRDefault="008752EA" w:rsidP="006C3AAB">
      <w:pPr>
        <w:spacing w:line="360" w:lineRule="auto"/>
        <w:jc w:val="both"/>
        <w:rPr>
          <w:rFonts w:ascii="Arial" w:hAnsi="Arial" w:cs="Arial"/>
          <w:sz w:val="20"/>
          <w:szCs w:val="20"/>
          <w:lang w:val="en-GB"/>
        </w:rPr>
      </w:pPr>
      <w:r w:rsidRPr="00CB14C3">
        <w:rPr>
          <w:rFonts w:ascii="Arial" w:hAnsi="Arial" w:cs="Arial"/>
          <w:sz w:val="20"/>
          <w:szCs w:val="20"/>
          <w:lang w:val="en-GB"/>
        </w:rPr>
        <w:t>Regulatory organs, such as the liver, are responsible for various metabolic processes, including the excretion of toxic substances by breaking them down into simpler waste products and regulating the body's homeostasis (</w:t>
      </w:r>
      <w:proofErr w:type="spellStart"/>
      <w:r w:rsidRPr="00CB14C3">
        <w:rPr>
          <w:rFonts w:ascii="Arial" w:hAnsi="Arial" w:cs="Arial"/>
          <w:sz w:val="20"/>
          <w:szCs w:val="20"/>
          <w:lang w:val="en-GB"/>
        </w:rPr>
        <w:t>Rouf</w:t>
      </w:r>
      <w:proofErr w:type="spellEnd"/>
      <w:r w:rsidRPr="00CB14C3">
        <w:rPr>
          <w:rFonts w:ascii="Arial" w:hAnsi="Arial" w:cs="Arial"/>
          <w:sz w:val="20"/>
          <w:szCs w:val="20"/>
          <w:lang w:val="en-GB"/>
        </w:rPr>
        <w:t xml:space="preserve"> et al., 2021). These processes occur simultaneously, making the liver the largest and most active organ in the body. During metabolism, its hepatocytes are primary targets for toxins, drugs, alcohol, and other chemicals. Alcohol metabolism is a significant process that occurs in the liver, facilitated by the enzyme ADH (Alcohol dehydrogenase), which breaks down alcohol into a known carcinogen called acetaldehyde (CH3CHO), that covalently bonds to proteins, lipids, and nucleic acids, disrupting biological functions (</w:t>
      </w:r>
      <w:proofErr w:type="spellStart"/>
      <w:r w:rsidRPr="00CB14C3">
        <w:rPr>
          <w:rFonts w:ascii="Arial" w:hAnsi="Arial" w:cs="Arial"/>
          <w:sz w:val="20"/>
          <w:szCs w:val="20"/>
          <w:lang w:val="en-GB"/>
        </w:rPr>
        <w:t>Osna</w:t>
      </w:r>
      <w:proofErr w:type="spellEnd"/>
      <w:r w:rsidRPr="00CB14C3">
        <w:rPr>
          <w:rFonts w:ascii="Arial" w:hAnsi="Arial" w:cs="Arial"/>
          <w:sz w:val="20"/>
          <w:szCs w:val="20"/>
          <w:lang w:val="en-GB"/>
        </w:rPr>
        <w:t xml:space="preserve"> et al., 2017). This toxin often accumulates in habitual alcohol consumers, leading to alcohol-induced injury attributed to the alcohol concentration in the portal blood and the metabolic process effects (Massey &amp; </w:t>
      </w:r>
      <w:proofErr w:type="spellStart"/>
      <w:r w:rsidRPr="00CB14C3">
        <w:rPr>
          <w:rFonts w:ascii="Arial" w:hAnsi="Arial" w:cs="Arial"/>
          <w:sz w:val="20"/>
          <w:szCs w:val="20"/>
          <w:lang w:val="en-GB"/>
        </w:rPr>
        <w:t>Arteel</w:t>
      </w:r>
      <w:proofErr w:type="spellEnd"/>
      <w:r w:rsidRPr="00CB14C3">
        <w:rPr>
          <w:rFonts w:ascii="Arial" w:hAnsi="Arial" w:cs="Arial"/>
          <w:sz w:val="20"/>
          <w:szCs w:val="20"/>
          <w:lang w:val="en-GB"/>
        </w:rPr>
        <w:t xml:space="preserve"> 2012)</w:t>
      </w:r>
      <w:r w:rsidR="00AE0E5F" w:rsidRPr="00CB14C3">
        <w:rPr>
          <w:rFonts w:ascii="Arial" w:hAnsi="Arial" w:cs="Arial"/>
          <w:sz w:val="20"/>
          <w:szCs w:val="20"/>
          <w:lang w:val="en-GB"/>
        </w:rPr>
        <w:t>.</w:t>
      </w:r>
    </w:p>
    <w:p w:rsidR="003D4885" w:rsidRPr="00CB14C3" w:rsidRDefault="00CC0764" w:rsidP="006C3AAB">
      <w:pPr>
        <w:spacing w:after="0" w:line="360" w:lineRule="auto"/>
        <w:jc w:val="both"/>
        <w:rPr>
          <w:rFonts w:ascii="Arial" w:hAnsi="Arial" w:cs="Arial"/>
          <w:sz w:val="20"/>
          <w:szCs w:val="20"/>
          <w:lang w:val="en-GB"/>
        </w:rPr>
      </w:pPr>
      <w:r w:rsidRPr="00CB14C3">
        <w:rPr>
          <w:rFonts w:ascii="Arial" w:eastAsia="Times New Roman" w:hAnsi="Arial" w:cs="Arial"/>
          <w:sz w:val="20"/>
          <w:szCs w:val="20"/>
          <w:lang w:val="en-GB"/>
        </w:rPr>
        <w:t>Alcohol-induced liver injury can cause high mortality to an outrageous degree, usually manifesting as steatosis before it progresses to alcoholic hepatitis, then fibrosis and cirrhosis</w:t>
      </w:r>
      <w:r w:rsidR="000F2BA4" w:rsidRPr="00CB14C3">
        <w:rPr>
          <w:rFonts w:ascii="Arial" w:eastAsia="Times New Roman" w:hAnsi="Arial" w:cs="Arial"/>
          <w:sz w:val="20"/>
          <w:szCs w:val="20"/>
          <w:lang w:val="en-GB"/>
        </w:rPr>
        <w:t xml:space="preserve">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{"citationItems":[{"id":"ITEM-1","itemData":{"DOI":"10.1016/S0140-6736(21)01374-X","ISSN":"1474547X","PMID":"34543610","abstract":"Cirrhosis is widely prevalent worldwide and can be a consequence of different causes, such as obesity, non-alcoholic fatty liver disease, high alcohol consumption, hepatitis B or C infection, autoimmune diseases, cholestatic diseases, and iron or copper overload. Cirrhosis develops after a long period of inflammation that results in replacement of the healthy liver parenchyma with fibrotic tissue and regenerative nodules, leading to portal hypertension. The disease evolves from an asymptomatic phase (compensated cirrhosis) to a symptomatic phase (decompensated cirrhosis), the complications of which often result in hospitalisation, impaired quality of life, and high mortality. Progressive portal hypertension, systemic inflammation, and liver failure drive disease outcomes. The management of liver cirrhosis is centred on the treatment of the causes and complications, and liver transplantation can be required in some cases. In this Seminar, we discuss the disease burden, pathophysiology, and recommendations for the diagnosis and management of cirrhosis and its complications. Future challenges include better screening for early fibrosis or cirrhosis, early identification and reversal of causative factors, and prevention of complications.","author":[{"dropping-particle":"","family":"Ginès","given":"Pere","non-dropping-particle":"","parse-names":false,"suffix":""},{"dropping-particle":"","family":"Krag","given":"Aleksander","non-dropping-particle":"","parse-names":false,"suffix":""},{"dropping-particle":"","family":"Abraldes","given":"Juan G.","non-dropping-particle":"","parse-names":false,"suffix":""},{"dropping-particle":"","family":"Solà","given":"Elsa","non-dropping-particle":"","parse-names":false,"suffix":""},{"dropping-particle":"","family":"Fabrellas","given":"Núria","non-dropping-particle":"","parse-names":false,"suffix":""},{"dropping-particle":"","family":"Kamath","given":"Patrick S.","non-dropping-particle":"","parse-names":false,"suffix":""}],"container-title":"The Lancet","id":"ITEM-1","issued":{"date-parts":[["2021","10"]]},"page":"1359-1376","publisher":"Elsevier B.V.","title":"Liver cirrhosis","type":"article","volume":"398"},"uris":["http://www.mendeley.com/documents/?uuid=d821f5d8-e40f-3b85-abc1-9f1e55e4ef0d"]},{"id":"ITEM-2","itemData":{"DOI":"10.4132/jptm.2023.05.24","ISSN":"23837845","abstract":"Cirrhosis has traditionally been considered an irreversible process of end-stage liver disease. With new treatments for chronic liver disease, there is regression of fibrosis and cirrhosis, improvement in clinical parameters (i.e. liver function and hemodynamic markers, hepatic venous pressure gradient), and survival rates, demonstrating that fibrosis and fibrolysis are a dynamic process moving in two directions. Microscopically, hepatocytes push into thinning fibrous septa with eventual perforation leaving behind delicate periportal spikes in the portal tracts and loss of portal veins. Obliterated portal veins during progressive fibrosis and cirrhosis due to parenchymal extinction, vascular remodeling and thrombosis often leave behind a bile duct and hepatic artery within the portal tract. Traditional staging classification systems focused on a linear, progressive process; however, the Beijing classification system incorporates both the bidirectional nature for the progression and regression of fibrosis. However, even with regression, vascular lesions/remodeling, parenchymal extinction and a cumulative mutational burden place patients at an increased risk for developing hepatocellular carcinoma and should continue to undergo active clinical surveillance. It is more appropriate to consider cirrhosis as another stage in the evolution of chronic liver disease as a bidirectional process rather than an end-stage, irreversible state.","author":[{"dropping-particle":"","family":"Lee","given":"Michael J.","non-dropping-particle":"","parse-names":false,"suffix":""}],"container-title":"Journal of Pathology and Translational Medicine","id":"ITEM-2","issued":{"date-parts":[["2023","7"]]},"page":"189-195","publisher":"Seoul National University","title":"A review of liver fibrosis and cirrhosis regression","type":"article","volume":"57"},"uris":["http://www.mendeley.com/documents/?uuid=d084e695-e85f-36ee-b2ae-645ad97d0ba4"]}],"mendeley":{"formattedCitation":"(Ginès et al., 2021; Lee, 2023)","plainTextFormattedCitation":"(Ginès et al., 2021; Lee, 2023)","previouslyFormattedCitation":"(Ginès et al., 2021; Lee, 2023)"},"properties":{"noteIndex":0},"schema":"https://github.com/citation-style-language/schema/raw/master/csl-citation.json"}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(Ginès et al., 2021; Lee, 2023)</w:t>
      </w:r>
      <w:r w:rsidR="003D02DB" w:rsidRPr="00CB14C3">
        <w:rPr>
          <w:rStyle w:val="FootnoteReference"/>
          <w:rFonts w:ascii="Arial" w:hAnsi="Arial" w:cs="Arial"/>
          <w:sz w:val="20"/>
          <w:szCs w:val="20"/>
          <w:lang w:val="en-GB"/>
        </w:rPr>
        <w:fldChar w:fldCharType="end"/>
      </w:r>
      <w:r w:rsidR="00691D10" w:rsidRPr="00CB14C3">
        <w:rPr>
          <w:rFonts w:ascii="Arial" w:hAnsi="Arial" w:cs="Arial"/>
          <w:sz w:val="20"/>
          <w:szCs w:val="20"/>
          <w:lang w:val="en-GB"/>
        </w:rPr>
        <w:t xml:space="preserve">. </w:t>
      </w:r>
      <w:r w:rsidRPr="00CB14C3">
        <w:rPr>
          <w:rFonts w:ascii="Arial" w:hAnsi="Arial" w:cs="Arial"/>
          <w:sz w:val="20"/>
          <w:szCs w:val="20"/>
          <w:lang w:val="en-GB"/>
        </w:rPr>
        <w:t>The liver also suffers from an alcohol-induced lipid metabolism, inflammation, and oxidative stress, which are important in the pathogenesis of liver diseases, whose progression is from cell to cell and organ to very complex organ interaction</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{"citationItems":[{"id":"ITEM-1","itemData":{"ISSN":"21694796","PMID":"28988570","abstract":"Excessive alcohol consumption is a global healthcare problem. The liver sustains the greatest degree of tissue injury by heavy drinking because it is the primary site of ethanol metabolism. Chronic and excessive alcohol consumption produces a wide spectrum of hepatic lesions, the most characteristic of which are steatosis, hepatitis, and fibrosis/cirrhosis. Steatosis is the earliest response to heavy drinking and is characterized by the deposition of fat in hepatocytes. Steatosis can progress to steatohepatitis, which is a more severe, inflammatory type of liver injury. This stage of liver disease can lead to the development of fibrosis, during which there is excessive deposition of extracellular matrix proteins. The fibrotic response begins with active pericellular fibrosis, which may progress to cirrhosis, characterized by excessive liver scarring, vascular alterations, and eventual liver failure. Among problem drinkers, about 35 percent develop advanced liver disease because a number of disease modifiers exacerbate, slow, or prevent alcoholic liver disease progression. There are still no FDA-approved pharmacological or nutritional therapies for treating patients with alcoholic liver disease. Cessation of drinking (i.e., abstinence) is an integral part of therapy. Liver transplantation remains the life-saving strategy for patients with end-stage alcoholic liver disease.","author":[{"dropping-particle":"","family":"Osna","given":"Natalia A.","non-dropping-particle":"","parse-names":false,"suffix":""},{"dropping-particle":"","family":"Donohue","given":"Terrence M.","non-dropping-particle":"","parse-names":false,"suffix":""},{"dropping-particle":"","family":"Kharbanda","given":"Kusum K.","non-dropping-particle":"","parse-names":false,"suffix":""}],"container-title":"Alcohol research : current reviews","id":"ITEM-1","issued":{"date-parts":[["2017"]]},"page":"147-161","title":"Alcoholic Liver Disease: Pathogenesis and Current Management","type":"article","volume":"38"},"uris":["http://www.mendeley.com/documents/?uuid=bd8a2555-9dc9-3d04-9bc5-e5bab44e5a47"]},{"id":"ITEM-2","itemData":{"DOI":"10.3748/wjg.v20.i47.17756","ISSN":"22192840","PMID":"25548474","abstract":"Alcohol consumption is a predominant etiological factor in the pathogenesis of chronic liver diseases, resulting in fatty liver, alcoholic hepatitis, fibrosis/cirrhosis, and hepatocellular carcinoma (HCC). Although the pathogenesis of alcoholic liver disease (ALD) involves complex and still unclear biological processes, the oxidative metabolites of ethanol such as acetaldehyde and reactive oxygen species (ROS) play a preeminent role in the clinical and pathological spectrum of ALD. Ethanol oxidative metabolism influences intracellular signaling pathways and deranges the transcriptional control of several genes, leading to fat accumulation, fibrogenesis and activation of innate and adaptive immunity. Acetaldehyde is known to be toxic to the liver and alters lipid homeostasis, decreasing peroxisome proliferator-activated receptors and increasing sterol regulatory element binding protein activity via an AMP-activated protein kinase (AMPK)-dependent mechanism. AMPK activation by ROS modulates autophagy, which has an important role in removing lipid droplets. Acetaldehyde and aldehydes generated from lipid peroxidation induce collagen synthesis by their ability to form protein adducts that activate transforming-growth-factor-β-dependent and independent profibrogenic pathways in activated hepatic stellate cells (HSCs). Furthermore, activation of innate and adaptive immunity in response to ethanol metabolism plays a key role in the development and progression of ALD. Acetaldehyde alters the intestinal barrier and promote lipopolysaccharide (LPS) translocation by disrupting tight and adherent junctions in human colonic mucosa. Acetaldehyde and LPS induce Kupffer cells to release ROS and proinflammatory cytokines and chemokines that contribute to neutrophils infiltration. In addition, alcohol consumption inhibits natural killer cells that are cytotoxic to HSCs and thus have an important antifibrotic function in the liver. Ethanol metabolism may also interfere with cell-mediated adaptive immunity by impairing proteasome function in macrophages and dendritic cells, and consequently alters allogenic antigen presentation. Finally, acetaldehyde and ROS have a role in alcohol-related carcinogenesis because they can form DNA adducts that are prone to mutagenesis, and they interfere with methylation, synthesis and repair of DNA, thereby increasing HCC susceptibility.","author":[{"dropping-particle":"","family":"Ceni","given":"Elisabetta","non-dropping-particle":"","parse-names":false,"suffix":""},{"dropping-particle":"","family":"Mello","given":"Tommaso","non-dropping-particle":"","parse-names":false,"suffix":""},{"dropping-particle":"","family":"Galli","given":"Andrea","non-dropping-particle":"","parse-names":false,"suffix":""}],"container-title":"World Journal of Gastroenterology","id":"ITEM-2","issued":{"date-parts":[["2014","12"]]},"page":"17756-17772","publisher":"WJG Press","title":"Pathogenesis of alcoholic liver disease: Role of oxidative metabolism","type":"article-journal","volume":"20"},"uris":["http://www.mendeley.com/documents/?uuid=f5eefa9e-be09-371b-8586-85362c95d9e5"]}],"mendeley":{"formattedCitation":"(Ceni et al., 2014; Osna et al., 2017)","plainTextFormattedCitation":"(Ceni et al., 2014; Osna et al., 2017)","previouslyFormattedCitation":"(Ceni et al., 2014; Osna et al., 2017)"},"properties":{"noteIndex":0},"schema":"https://github.com/citation-style-language/schema/raw/master/csl-citation.json"}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(Ceni et al., 2014; Osna et al., 2017)</w:t>
      </w:r>
      <w:r w:rsidR="003D02DB" w:rsidRPr="00CB14C3">
        <w:rPr>
          <w:rStyle w:val="FootnoteReference"/>
          <w:rFonts w:ascii="Arial" w:hAnsi="Arial" w:cs="Arial"/>
          <w:sz w:val="20"/>
          <w:szCs w:val="20"/>
          <w:lang w:val="en-GB"/>
        </w:rPr>
        <w:fldChar w:fldCharType="end"/>
      </w:r>
      <w:r w:rsidRPr="00CB14C3">
        <w:rPr>
          <w:rFonts w:ascii="Arial" w:hAnsi="Arial" w:cs="Arial"/>
          <w:sz w:val="20"/>
          <w:szCs w:val="20"/>
          <w:lang w:val="en-GB"/>
        </w:rPr>
        <w:t>, leading to toxic metabolites of ethanol, particularly acetaldehyde and reactive oxygen species. The hepatic free uptake of fatty acids (FA), causing upregulation of exogenous FA</w:t>
      </w:r>
      <w:r w:rsidR="00333882" w:rsidRPr="00CB14C3">
        <w:rPr>
          <w:rFonts w:ascii="Arial" w:hAnsi="Arial" w:cs="Arial"/>
          <w:sz w:val="20"/>
          <w:szCs w:val="20"/>
          <w:lang w:val="en-GB"/>
        </w:rPr>
        <w:t xml:space="preserve">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{"citationItems":[{"id":"ITEM-1","itemData":{"DOI":"10.1016/j.plipres.2013.12.001","ISSN":"01637827","PMID":"24362249","abstract":"In mammals, excess energy is stored primarily as triglycerides, which are mobilized when energy demands arise. This review mainly focuses on the role of long chain fatty acids (LCFAs) in regulating energy metabolism as ligands of peroxisome proliferator-activated receptors (PPARs). PPAR-alpha expressed primarily in liver is essential for metabolic adaptation to starvation by inducing genes for beta-oxidation and ketogenesis and by downregulating energy expenditure through fibroblast growth factor 21. PPAR-delta is highly expressed in skeletal muscle and induces genes for LCFA oxidation during fasting and endurance exercise. PPAR-delta also regulates glucose metabolism and mitochondrial biogenesis by inducing FOXO1 and PGC1-alpha. Genes targeted by PPAR-gamma in adipocytes suggest that PPAR-gamma senses incoming non-esterified LCFAs and induces the pathways to store LCFAs as triglycerides. Adiponectin, another important target of PPAR-gamma may act as a spacer between adipocytes to maintain their metabolic activity and insulin sensitivity. Another topic of this review is effects of skin LCFAs on energy metabolism. Specific LCFAs are required for the synthesis of skin lipids, which are essential for water barrier and thermal insulation functions of the skin. Disturbance of skin lipid metabolism often causes apparent resistance to developing obesity at the expense of normal skin function. © 2013 Elsevier Ltd. All rights reserved.","author":[{"dropping-particle":"","family":"Nakamura","given":"Manabu T.","non-dropping-particle":"","parse-names":false,"suffix":""},{"dropping-particle":"","family":"Yudell","given":"Barbara E.","non-dropping-particle":"","parse-names":false,"suffix":""},{"dropping-particle":"","family":"Loor","given":"Juan J.","non-dropping-particle":"","parse-names":false,"suffix":""}],"container-title":"Progress in Lipid Research","id":"ITEM-1","issued":{"date-parts":[["2014","1"]]},"page":"124-144","title":"Regulation of energy metabolism by long-chain fatty acids","type":"article","volume":"53"},"uris":["http://www.mendeley.com/documents/?uuid=847c872b-278e-31c0-832d-3e3abd6b1dc8"]}],"mendeley":{"formattedCitation":"(Nakamura et al., 2014)","plainTextFormattedCitation":"(Nakamura et al., 2014)","previouslyFormattedCitation":"(Nakamura et al., 2014)"},"properties":{"noteIndex":0},"schema":"https://github.com/citation-style-language/schema/raw/master/csl-citation.json"}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(Nakamura et al., 2014)</w:t>
      </w:r>
      <w:r w:rsidR="003D02DB" w:rsidRPr="00CB14C3">
        <w:rPr>
          <w:rStyle w:val="FootnoteReference"/>
          <w:rFonts w:ascii="Arial" w:hAnsi="Arial" w:cs="Arial"/>
          <w:sz w:val="20"/>
          <w:szCs w:val="20"/>
          <w:lang w:val="en-GB"/>
        </w:rPr>
        <w:fldChar w:fldCharType="end"/>
      </w:r>
      <w:r w:rsidR="006A0CED" w:rsidRPr="00CB14C3">
        <w:rPr>
          <w:rFonts w:ascii="Arial" w:hAnsi="Arial" w:cs="Arial"/>
          <w:sz w:val="20"/>
          <w:szCs w:val="20"/>
          <w:lang w:val="en-GB"/>
        </w:rPr>
        <w:t xml:space="preserve">, stimulation of HGF (hepatocyte growth factor) for VLDL </w:t>
      </w:r>
      <w:r w:rsidR="003F6DF7" w:rsidRPr="00CB14C3">
        <w:rPr>
          <w:rFonts w:ascii="Arial" w:hAnsi="Arial" w:cs="Arial"/>
          <w:sz w:val="20"/>
          <w:szCs w:val="20"/>
          <w:lang w:val="en-GB"/>
        </w:rPr>
        <w:t>synthesis</w:t>
      </w:r>
      <w:r w:rsidR="00BA3309" w:rsidRPr="00CB14C3">
        <w:rPr>
          <w:rFonts w:ascii="Arial" w:hAnsi="Arial" w:cs="Arial"/>
          <w:sz w:val="20"/>
          <w:szCs w:val="20"/>
          <w:lang w:val="en-GB"/>
        </w:rPr>
        <w:t xml:space="preserve"> </w:t>
      </w:r>
      <w:r w:rsidR="003648D4" w:rsidRPr="00CB14C3">
        <w:rPr>
          <w:rFonts w:ascii="Arial" w:hAnsi="Arial" w:cs="Arial"/>
          <w:sz w:val="20"/>
          <w:szCs w:val="20"/>
          <w:lang w:val="en-GB"/>
        </w:rPr>
        <w:fldChar w:fldCharType="begin" w:fldLock="1"/>
      </w:r>
      <w:r w:rsidR="007202E3" w:rsidRPr="00CB14C3">
        <w:rPr>
          <w:rFonts w:ascii="Arial" w:hAnsi="Arial" w:cs="Arial"/>
          <w:sz w:val="20"/>
          <w:szCs w:val="20"/>
          <w:lang w:val="en-GB"/>
        </w:rPr>
        <w:instrText>ADDIN CSL_CITATION {"citationItems":[{"id":"ITEM-1","itemData":{"DOI":"10.1016/j.isci.2024.110426","ISSN":"25890042","abstract":"The regenerative functions associated with cytokines and growth factors have immense therapeutic potential; however, their poor pharmacokinetics, resulting from structural features, hinder their effectiveness. In this study, we aimed to enhance the pharmacokinetics of growth factors by designing receptor-binding macrocyclic peptides through in vitro mRNA display and grafting them into loops of immunoglobulin's crystallizable region (Fc). As a model, we developed peptide-grafted Fc proteins with hepatocyte growth factor (HGF) functionality that exhibited a prolonged circulation half-life and could be administered subcutaneously. The Fc-based HGF mimetic alleviated liver fibrosis in a mouse model fed a choline-deficient high-fat diet, which induces hepatic features of non-alcoholic steatohepatitis, including fibrosis, showcasing its potential as a therapeutic intervention. This study provides a basis for developing growth factor and cytokine mimetics with improved pharmacokinetics, expanding their therapeutic applications.","author":[{"dropping-particle":"","family":"Rojas-Chaverra","given":"Nichole Marcela","non-dropping-particle":"","parse-names":false,"suffix":""},{"dropping-particle":"","family":"Imamura","given":"Ryu","non-dropping-particle":"","parse-names":false,"suffix":""},{"dropping-particle":"","family":"Sato","given":"Hiroki","non-dropping-particle":"","parse-names":false,"suffix":""},{"dropping-particle":"","family":"Passioura","given":"Toby","non-dropping-particle":"","parse-names":false,"suffix":""},{"dropping-particle":"","family":"Mihara","given":"Emiko","non-dropping-particle":"","parse-names":false,"suffix":""},{"dropping-particle":"","family":"Nishimura","given":"Tatsunori","non-dropping-particle":"","parse-names":false,"suffix":""},{"dropping-particle":"","family":"Takagi","given":"Junichi","non-dropping-particle":"","parse-names":false,"suffix":""},{"dropping-particle":"","family":"Suga","given":"Hiroaki","non-dropping-particle":"","parse-names":false,"suffix":""},{"dropping-particle":"","family":"Matsumoto","given":"Kunio","non-dropping-particle":"","parse-names":false,"suffix":""},{"dropping-particle":"","family":"Sakai","given":"Katsuya","non-dropping-particle":"","parse-names":false,"suffix":""}],"container-title":"iScience","id":"ITEM-1","issue":"8","issued":{"date-parts":[["2024","8","16"]]},"publisher":"Elsevier Inc.","title":"A cyclic peptide-grafted Fc with hepatocyte growth factor functionality ameliorates hepatic fibrosis in a non-alcoholic steatohepatitis mouse model","type":"article-journal","volume":"27"},"uris":["http://www.mendeley.com/documents/?uuid=de3325e7-e547-30f3-9342-39917b21bf5e"]}],"mendeley":{"formattedCitation":"(Rojas-Chaverra et al., 2024)","plainTextFormattedCitation":"(Rojas-Chaverra et al., 2024)","previouslyFormattedCitation":"(Rojas-Chaverra et al., 2024)"},"properties":{"noteIndex":0},"schema":"https://github.com/citation-style-language/schema/raw/master/csl-citation.json"}</w:instrText>
      </w:r>
      <w:r w:rsidR="003648D4" w:rsidRPr="00CB14C3">
        <w:rPr>
          <w:rFonts w:ascii="Arial" w:hAnsi="Arial" w:cs="Arial"/>
          <w:sz w:val="20"/>
          <w:szCs w:val="20"/>
          <w:lang w:val="en-GB"/>
        </w:rPr>
        <w:fldChar w:fldCharType="separate"/>
      </w:r>
      <w:r w:rsidR="003648D4" w:rsidRPr="00CB14C3">
        <w:rPr>
          <w:rFonts w:ascii="Arial" w:hAnsi="Arial" w:cs="Arial"/>
          <w:sz w:val="20"/>
          <w:szCs w:val="20"/>
          <w:lang w:val="en-GB"/>
        </w:rPr>
        <w:t>(Rojas-Chaverra et al., 2024)</w:t>
      </w:r>
      <w:r w:rsidR="003648D4" w:rsidRPr="00CB14C3">
        <w:rPr>
          <w:rFonts w:ascii="Arial" w:hAnsi="Arial" w:cs="Arial"/>
          <w:sz w:val="20"/>
          <w:szCs w:val="20"/>
          <w:lang w:val="en-GB"/>
        </w:rPr>
        <w:fldChar w:fldCharType="end"/>
      </w:r>
      <w:r w:rsidR="003648D4" w:rsidRPr="00CB14C3">
        <w:rPr>
          <w:rFonts w:ascii="Arial" w:hAnsi="Arial" w:cs="Arial"/>
          <w:sz w:val="20"/>
          <w:szCs w:val="20"/>
          <w:lang w:val="en-GB"/>
        </w:rPr>
        <w:t xml:space="preserve"> </w:t>
      </w:r>
      <w:r w:rsidR="00CF0F10" w:rsidRPr="00CB14C3">
        <w:rPr>
          <w:rFonts w:ascii="Arial" w:hAnsi="Arial" w:cs="Arial"/>
          <w:sz w:val="20"/>
          <w:szCs w:val="20"/>
          <w:lang w:val="en-GB"/>
        </w:rPr>
        <w:t xml:space="preserve">are all entangled in complex hepatic lipid flux. </w:t>
      </w:r>
      <w:r w:rsidR="00B27C38" w:rsidRPr="00CB14C3">
        <w:rPr>
          <w:rFonts w:ascii="Arial" w:hAnsi="Arial" w:cs="Arial"/>
          <w:sz w:val="20"/>
          <w:szCs w:val="20"/>
          <w:lang w:val="en-GB"/>
        </w:rPr>
        <w:t>The</w:t>
      </w:r>
      <w:r w:rsidR="00CF0F10" w:rsidRPr="00CB14C3">
        <w:rPr>
          <w:rFonts w:ascii="Arial" w:hAnsi="Arial" w:cs="Arial"/>
          <w:sz w:val="20"/>
          <w:szCs w:val="20"/>
          <w:lang w:val="en-GB"/>
        </w:rPr>
        <w:t>se</w:t>
      </w:r>
      <w:r w:rsidR="003F6DF7" w:rsidRPr="00CB14C3">
        <w:rPr>
          <w:rFonts w:ascii="Arial" w:hAnsi="Arial" w:cs="Arial"/>
          <w:sz w:val="20"/>
          <w:szCs w:val="20"/>
          <w:lang w:val="en-GB"/>
        </w:rPr>
        <w:t xml:space="preserve"> </w:t>
      </w:r>
      <w:r w:rsidR="00CF0F10" w:rsidRPr="00CB14C3">
        <w:rPr>
          <w:rFonts w:ascii="Arial" w:hAnsi="Arial" w:cs="Arial"/>
          <w:sz w:val="20"/>
          <w:szCs w:val="20"/>
          <w:lang w:val="en-GB"/>
        </w:rPr>
        <w:t xml:space="preserve">interactions </w:t>
      </w:r>
      <w:r w:rsidR="0083621D" w:rsidRPr="00CB14C3">
        <w:rPr>
          <w:rFonts w:ascii="Arial" w:hAnsi="Arial" w:cs="Arial"/>
          <w:sz w:val="20"/>
          <w:szCs w:val="20"/>
          <w:lang w:val="en-GB"/>
        </w:rPr>
        <w:t xml:space="preserve">disrupt intracellular </w:t>
      </w:r>
      <w:proofErr w:type="spellStart"/>
      <w:r w:rsidR="0083621D" w:rsidRPr="00CB14C3">
        <w:rPr>
          <w:rFonts w:ascii="Arial" w:hAnsi="Arial" w:cs="Arial"/>
          <w:sz w:val="20"/>
          <w:szCs w:val="20"/>
          <w:lang w:val="en-GB"/>
        </w:rPr>
        <w:t>signaling</w:t>
      </w:r>
      <w:proofErr w:type="spellEnd"/>
      <w:r w:rsidR="0083621D" w:rsidRPr="00CB14C3">
        <w:rPr>
          <w:rFonts w:ascii="Arial" w:hAnsi="Arial" w:cs="Arial"/>
          <w:sz w:val="20"/>
          <w:szCs w:val="20"/>
          <w:lang w:val="en-GB"/>
        </w:rPr>
        <w:t xml:space="preserve"> and gene expression, leading to lipid accumulation, fibrogenesis, and immune activation</w:t>
      </w:r>
      <w:r w:rsidR="000F2BA4" w:rsidRPr="00CB14C3">
        <w:rPr>
          <w:rFonts w:ascii="Arial" w:hAnsi="Arial" w:cs="Arial"/>
          <w:sz w:val="20"/>
          <w:szCs w:val="20"/>
          <w:lang w:val="en-GB"/>
        </w:rPr>
        <w:t xml:space="preserve">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{"citationItems":[{"id":"ITEM-1","itemData":{"DOI":"10.1038/s41573-019-0040-5","ISSN":"14741784","PMID":"31548636","abstract":"Fibrosis is the abnormal deposition of extracellular matrix, which can lead to organ dysfunction, morbidity, and death. The disease burden caused by fibrosis is substantial, and there are currently no therapies that can prevent or reverse fibrosis. Metabolic alterations are increasingly recognized as an important pathogenic process that underlies fibrosis across many organ types. As a result, metabolically targeted therapies could become important strategies for fibrosis reduction. Indeed, some of the pathways targeted by antifibrotic drugs in development — such as the activation of transforming growth factor-β and the deposition of extracellular matrix — have metabolic implications. This Review summarizes the evidence to date and describes novel opportunities for the discovery and development of drugs for metabolic reprogramming, their associated challenges, and their utility in reducing fibrosis. Fibrotic therapies are potentially relevant to numerous common diseases such as cirrhosis, non-alcoholic steatohepatitis, chronic renal disease, heart failure, diabetes, idiopathic pulmonary fibrosis, and scleroderma.","author":[{"dropping-particle":"","family":"Zhao","given":"Xiao","non-dropping-particle":"","parse-names":false,"suffix":""},{"dropping-particle":"","family":"Kwan","given":"Jennifer Yin Yee","non-dropping-particle":"","parse-names":false,"suffix":""},{"dropping-particle":"","family":"Yip","given":"Kenneth","non-dropping-particle":"","parse-names":false,"suffix":""},{"dropping-particle":"","family":"Liu","given":"Peter P.","non-dropping-particle":"","parse-names":false,"suffix":""},{"dropping-particle":"","family":"Liu","given":"Fei Fei","non-dropping-particle":"","parse-names":false,"suffix":""}],"container-title":"Nature Reviews Drug Discovery","id":"ITEM-1","issued":{"date-parts":[["2020","1"]]},"page":"57-75","publisher":"Nature Research","title":"Targeting metabolic dysregulation for fibrosis therapy","type":"article","volume":"19"},"uris":["http://www.mendeley.com/documents/?uuid=b3d79156-7615-37dd-bf5b-f8161581a31e"]}],"mendeley":{"formattedCitation":"(Zhao et al., 2020)","plainTextFormattedCitation":"(Zhao et al., 2020)","previouslyFormattedCitation":"(Zhao et al., 2020)"},"properties":{"noteIndex":0},"schema":"https://github.com/citation-style-language/schema/raw/master/csl-citation.json"}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bCs/>
          <w:sz w:val="20"/>
          <w:szCs w:val="20"/>
          <w:lang w:val="en-GB"/>
        </w:rPr>
        <w:t>(Zhao et al., 2020)</w:t>
      </w:r>
      <w:r w:rsidR="003D02DB" w:rsidRPr="00CB14C3">
        <w:rPr>
          <w:rStyle w:val="FootnoteReference"/>
          <w:rFonts w:ascii="Arial" w:hAnsi="Arial" w:cs="Arial"/>
          <w:sz w:val="20"/>
          <w:szCs w:val="20"/>
          <w:lang w:val="en-GB"/>
        </w:rPr>
        <w:fldChar w:fldCharType="end"/>
      </w:r>
      <w:r w:rsidR="00C2133D" w:rsidRPr="00CB14C3">
        <w:rPr>
          <w:rFonts w:ascii="Arial" w:hAnsi="Arial" w:cs="Arial"/>
          <w:sz w:val="20"/>
          <w:szCs w:val="20"/>
          <w:lang w:val="en-GB"/>
        </w:rPr>
        <w:t>. Acetaldehyde impairs lipid homeostasis by interfering with AMPK-regulated pathways and stimulates collagen production via activation of hepatic stellate cells</w:t>
      </w:r>
      <w:r w:rsidR="000F2BA4" w:rsidRPr="00CB14C3">
        <w:rPr>
          <w:rFonts w:ascii="Arial" w:hAnsi="Arial" w:cs="Arial"/>
          <w:sz w:val="20"/>
          <w:szCs w:val="20"/>
          <w:lang w:val="en-GB"/>
        </w:rPr>
        <w:t xml:space="preserve">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{"citationItems":[{"id":"ITEM-1","itemData":{"DOI":"10.3390/ANTIOX12111922","ISSN":"2076-3921","abstract":"Coumarin derivates have been proposed as a potential treatment for metabolic-dysfunction-associated fatty liver disease (MAFLD). However, the mechanisms underlying their beneficial effects remain unclear. In the present study, we explored the potential of the coumarin derivate esculetin in MAFLD, focusing on hepatocyte lipotoxicity and lipid accumulation. Primary cultures of rat hepatocytes were exposed to palmitic acid (PA) and palmitic acid plus oleic acid (OA/PA) as models of lipotoxicity and lipid accumulation, respectively. Esculetin significantly reduced oxidative stress in PA-treated hepatocytes, as shown by decreased total reactive oxygen species (ROS) and mitochondrial superoxide production and elevated expression of antioxidant genes, including Nrf2 and Gpx1. In addition, esculetin protects against PA-induced necrosis. Esculetin also improved lipid metabolism in primary hepatocytes exposed to nonlipotoxic OA/PA by decreasing the expression of the lipogenesis-related gene Srebp1c and increasing the expression of the fatty acid β-oxidation-related gene Ppar-α. Moreover, esculetin attenuated lipid accumulation in OA/PA-treated hepatocytes. The protective effects of esculetin against lipotoxicity and lipid accumulation were shown to be dependent on the inhibition of JNK and the activation of AMPK, respectively. We conclude that esculetin is a promising compound to target lipotoxicity and lipid accumulation in the treatment of MAFLD.","author":[{"dropping-particle":"","family":"Xia","given":"Mengmeng","non-dropping-particle":"","parse-names":false,"suffix":""},{"dropping-particle":"","family":"Wu","given":"Zongmei","non-dropping-particle":"","parse-names":false,"suffix":""},{"dropping-particle":"","family":"Wang","given":"Junyu","non-dropping-particle":"","parse-names":false,"suffix":""},{"dropping-particle":"","family":"Buist-Homan","given":"Manon","non-dropping-particle":"","parse-names":false,"suffix":""},{"dropping-particle":"","family":"Moshage","given":"Han","non-dropping-particle":"","parse-names":false,"suffix":""}],"container-title":"Antioxidants ","id":"ITEM-1","issue":"11","issued":{"date-parts":[["2023","10","27"]]},"page":"1922","publisher":"Multidisciplinary Digital Publishing Institute","title":"The Coumarin-Derivative Esculetin Protects against Lipotoxicity in Primary Rat Hepatocytes via Attenuating JNK-Mediated Oxidative Stress and Attenuates Free Fatty Acid-Induced Lipid Accumulation","type":"article-journal","volume":"12"},"uris":["http://www.mendeley.com/documents/?uuid=7e99f7c0-86cd-351f-b5ff-366a939613d2"]}],"mendeley":{"formattedCitation":"(Xia et al., 2023)","plainTextFormattedCitation":"(Xia et al., 2023)","previouslyFormattedCitation":"(Xia et al., 2023)"},"properties":{"noteIndex":0},"schema":"https://github.com/citation-style-language/schema/raw/master/csl-citation.json"}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bCs/>
          <w:sz w:val="20"/>
          <w:szCs w:val="20"/>
          <w:lang w:val="en-GB"/>
        </w:rPr>
        <w:t>(Xia et al., 2023)</w:t>
      </w:r>
      <w:r w:rsidR="003D02DB" w:rsidRPr="00CB14C3">
        <w:rPr>
          <w:rStyle w:val="FootnoteReference"/>
          <w:rFonts w:ascii="Arial" w:hAnsi="Arial" w:cs="Arial"/>
          <w:sz w:val="20"/>
          <w:szCs w:val="20"/>
          <w:lang w:val="en-GB"/>
        </w:rPr>
        <w:fldChar w:fldCharType="end"/>
      </w:r>
      <w:r w:rsidR="00C2133D" w:rsidRPr="00CB14C3">
        <w:rPr>
          <w:rFonts w:ascii="Arial" w:hAnsi="Arial" w:cs="Arial"/>
          <w:sz w:val="20"/>
          <w:szCs w:val="20"/>
          <w:lang w:val="en-GB"/>
        </w:rPr>
        <w:t xml:space="preserve">. </w:t>
      </w:r>
      <w:r w:rsidR="006C5AED" w:rsidRPr="00CB14C3">
        <w:rPr>
          <w:rFonts w:ascii="Arial" w:hAnsi="Arial" w:cs="Arial"/>
          <w:sz w:val="20"/>
          <w:szCs w:val="20"/>
          <w:lang w:val="en-GB"/>
        </w:rPr>
        <w:t xml:space="preserve">Ethanol also compromises the integrity of the intestinal barrier, allowing lipopolysaccharide (LPS) translocation, which triggers inflammatory responses via Kupffer cells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{"citationItems":[{"id":"ITEM-1","itemData":{"DOI":"10.1016/j.ajpath.2020.08.014","ISSN":"15252191","PMID":"32919978","abstract":"Chronic alcohol consumption is linked to the development of alcohol-associated liver disease (ALD). This disease is characterized by a clinical spectrum ranging from steatosis to hepatocellular carcinoma. Several cell types are involved in ALD progression, including hepatic macrophages. Kupffer cells (KCs) are the resident macrophages of the liver involved in the progression of ALD by activating pathways that lead to the production of cytokines and chemokines. In addition, KCs are involved in the production of reactive oxygen species. Reactive oxygen species are linked to the induction of oxidative stress and inflammation in the liver. These events are activated by the bacterial endotoxin, lipopolysaccharide, that is released from the gastrointestinal tract through the portal vein to the liver. Lipopolysaccharide is recognized by receptors on KCs that are responsible for triggering several pathways that activate proinflammatory cytokines involved in alcohol-induced liver injury. In addition, KCs activate hepatic stellate cells that are involved in liver fibrosis. Novel strategies to treat ALD aim at targeting Kupffer cells. These interventions modulate Kupffer cell activation or macrophage polarization. Evidence from mouse models and early clinical studies in patients with ALD injury supports the notion that pathogenic macrophage subsets can be successfully translated into novel treatment options for patients with this disease.","author":[{"dropping-particle":"","family":"Slevin","given":"Elise","non-dropping-particle":"","parse-names":false,"suffix":""},{"dropping-particle":"","family":"Baiocchi","given":"Leonardo","non-dropping-particle":"","parse-names":false,"suffix":""},{"dropping-particle":"","family":"Wu","given":"Nan","non-dropping-particle":"","parse-names":false,"suffix":""},{"dropping-particle":"","family":"Ekser","given":"Burcin","non-dropping-particle":"","parse-names":false,"suffix":""},{"dropping-particle":"","family":"Sato","given":"Keisaku","non-dropping-particle":"","parse-names":false,"suffix":""},{"dropping-particle":"","family":"Lin","given":"Emily","non-dropping-particle":"","parse-names":false,"suffix":""},{"dropping-particle":"","family":"Ceci","given":"Ludovica","non-dropping-particle":"","parse-names":false,"suffix":""},{"dropping-particle":"","family":"Chen","given":"Lixian","non-dropping-particle":"","parse-names":false,"suffix":""},{"dropping-particle":"","family":"Lorenzo","given":"Sugeily R.","non-dropping-particle":"","parse-names":false,"suffix":""},{"dropping-particle":"","family":"Xu","given":"Wenjuan","non-dropping-particle":"","parse-names":false,"suffix":""},{"dropping-particle":"","family":"Kyritsi","given":"Konstantina","non-dropping-particle":"","parse-names":false,"suffix":""},{"dropping-particle":"","family":"Meadows","given":"Victoria","non-dropping-particle":"","parse-names":false,"suffix":""},{"dropping-particle":"","family":"Zhou","given":"Tianhao","non-dropping-particle":"","parse-names":false,"suffix":""},{"dropping-particle":"","family":"Kundu","given":"Debiyoti","non-dropping-particle":"","parse-names":false,"suffix":""},{"dropping-particle":"","family":"Han","given":"Yuyan","non-dropping-particle":"","parse-names":false,"suffix":""},{"dropping-particle":"","family":"Kennedy","given":"Lindsey","non-dropping-particle":"","parse-names":false,"suffix":""},{"dropping-particle":"","family":"Glaser","given":"Shannon","non-dropping-particle":"","parse-names":false,"suffix":""},{"dropping-particle":"","family":"Francis","given":"Heather","non-dropping-particle":"","parse-names":false,"suffix":""},{"dropping-particle":"","family":"Alpini","given":"Gianfranco","non-dropping-particle":"","parse-names":false,"suffix":""},{"dropping-particle":"","family":"Meng","given":"Fanyin","non-dropping-particle":"","parse-names":false,"suffix":""}],"container-title":"American Journal of Pathology","id":"ITEM-1","issued":{"date-parts":[["2020","11"]]},"page":"2185-2193","publisher":"Elsevier Inc.","title":"Kupffer Cells: Inflammation Pathways and Cell-Cell Interactions in Alcohol-Associated Liver Disease","type":"article","volume":"190"},"uris":["http://www.mendeley.com/documents/?uuid=28548ffa-6cdd-3b1c-bf7d-d9e2d90613de"]}],"mendeley":{"formattedCitation":"(Slevin et al., 2020)","plainTextFormattedCitation":"(Slevin et al., 2020)","previouslyFormattedCitation":"(Slevin et al., 2020)"},"properties":{"noteIndex":0},"schema":"https://github.com/citation-style-language/schema/raw/master/csl-citation.json"}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(Slevin et al., 2020)</w:t>
      </w:r>
      <w:r w:rsidR="003D02DB" w:rsidRPr="00CB14C3">
        <w:rPr>
          <w:rStyle w:val="FootnoteReference"/>
          <w:rFonts w:ascii="Arial" w:hAnsi="Arial" w:cs="Arial"/>
          <w:sz w:val="20"/>
          <w:szCs w:val="20"/>
          <w:lang w:val="en-GB"/>
        </w:rPr>
        <w:fldChar w:fldCharType="end"/>
      </w:r>
      <w:r w:rsidR="00C2133D" w:rsidRPr="00CB14C3">
        <w:rPr>
          <w:rFonts w:ascii="Arial" w:hAnsi="Arial" w:cs="Arial"/>
          <w:sz w:val="20"/>
          <w:szCs w:val="20"/>
          <w:lang w:val="en-GB"/>
        </w:rPr>
        <w:t>. Moreover, alcohol suppresses antifibrotic immune functions, such as natural killer (NK) cell activity, and alters adaptive immunity by impairi</w:t>
      </w:r>
      <w:r w:rsidR="00B27C38" w:rsidRPr="00CB14C3">
        <w:rPr>
          <w:rFonts w:ascii="Arial" w:hAnsi="Arial" w:cs="Arial"/>
          <w:sz w:val="20"/>
          <w:szCs w:val="20"/>
          <w:lang w:val="en-GB"/>
        </w:rPr>
        <w:t>ng antigen presentation</w:t>
      </w:r>
      <w:r w:rsidR="00E75C99" w:rsidRPr="00CB14C3">
        <w:rPr>
          <w:rFonts w:ascii="Arial" w:hAnsi="Arial" w:cs="Arial"/>
          <w:sz w:val="20"/>
          <w:szCs w:val="20"/>
          <w:lang w:val="en-GB"/>
        </w:rPr>
        <w:t xml:space="preserve">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{"citationItems":[{"id":"ITEM-1","itemData":{"DOI":"10.1053/j.gastro.2007.09.034","ISSN":"00165085","PMID":"18166357","abstract":"Background &amp; Aims: Chronic alcohol drinking accelerates liver fibrosis in patients with viral hepatitis that cannot be fully explained by ethanol-enhanced liver damage. Here, we identified a novel mechanism by which alcohol accelerates liver fibrosis: inhibition of the antifibrotic effects of natural killer (NK) cells and interferon-γ (IFN-γ). Methods: Alcohol administration was achieved by feeding mice with a liquid diet containing 5% ethanol for 8 weeks. Liver fibrosis was induced by administration of carbon tetrachloride (CCl4) for 2 weeks. Hepatic stellate cells (HSCs) were also isolated and cultured for in vitro studies. Results: CCl4 treatment induced greater fibrosis and less apoptosis of HSCs in ethanol-fed mice compared with pair-fed mice. Polyinosinic-polycytidylic acid (Poly I:C) or IFN-γ treatment inhibited liver fibrosis in pair-fed but not in ethanol-fed mice. Poly I:C activation of NK cell cytotoxicity against HSCs was attenuated in ethanol-fed mice compared with pair-fed mice, which was due to reduced natural killer group 2 member D (NKG2D), tumor necrosis factor-related apoptosis-inducing ligand, and IFN-γ expression on NK cells from ethanol-fed mice. In vitro, HSCs from ethanol-fed mice were resistant to IFN-γ-induced cell cycle arrest and apoptosis compared with pair-fed mice. Such resistance was due to diminished IFN-γ activation of signal transducer and activator of transcription 1 (STAT1) in HSCs from ethanol-fed mice caused by the induction of suppressors of cytokine signaling proteins and the production of oxidative stress. Finally, HSCs from ethanol-fed mice were resistant to NK cell killing, which can be reversed by transforming growth factor-β1 (TGF-β1) neutralizing antibody. Conclusions: Chronic ethanol consumption attenuates the antifibrotic effects of NK/IFN-γ/STAT1 in the liver, representing new and different therapeutic targets with which to treat alcoholic liver fibrosis. © 2008 AGA Institute.","author":[{"dropping-particle":"Il","family":"Jeong","given":"Won","non-dropping-particle":"","parse-names":false,"suffix":""},{"dropping-particle":"","family":"Park","given":"Ogyi","non-dropping-particle":"","parse-names":false,"suffix":""},{"dropping-particle":"","family":"Gao","given":"Bin","non-dropping-particle":"","parse-names":false,"suffix":""}],"container-title":"Gastroenterology","id":"ITEM-1","issued":{"date-parts":[["2008"]]},"page":"248-258","publisher":"W.B. Saunders","title":"Abrogation of the Antifibrotic Effects of Natural Killer Cells/Interferon-γ Contributes to Alcohol Acceleration of Liver Fibrosis","type":"article-journal","volume":"134"},"uris":["http://www.mendeley.com/documents/?uuid=7a1de42d-bc32-3c86-9627-45f3dcd30e9d"]}],"mendeley":{"formattedCitation":"(Jeong et al., 2008)","plainTextFormattedCitation":"(Jeong et al., 2008)","previouslyFormattedCitation":"(Jeong et al., 2008)"},"properties":{"noteIndex":0},"schema":"https://github.com/citation-style-language/schema/raw/master/csl-citation.json"}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(Jeong et al., 2008)</w:t>
      </w:r>
      <w:r w:rsidR="003D02DB" w:rsidRPr="00CB14C3">
        <w:rPr>
          <w:rStyle w:val="FootnoteReference"/>
          <w:rFonts w:ascii="Arial" w:hAnsi="Arial" w:cs="Arial"/>
          <w:sz w:val="20"/>
          <w:szCs w:val="20"/>
          <w:lang w:val="en-GB"/>
        </w:rPr>
        <w:fldChar w:fldCharType="end"/>
      </w:r>
      <w:r w:rsidR="00B27C38" w:rsidRPr="00CB14C3">
        <w:rPr>
          <w:rFonts w:ascii="Arial" w:hAnsi="Arial" w:cs="Arial"/>
          <w:sz w:val="20"/>
          <w:szCs w:val="20"/>
          <w:lang w:val="en-GB"/>
        </w:rPr>
        <w:t>. Also</w:t>
      </w:r>
      <w:r w:rsidR="00C2133D" w:rsidRPr="00CB14C3">
        <w:rPr>
          <w:rFonts w:ascii="Arial" w:hAnsi="Arial" w:cs="Arial"/>
          <w:sz w:val="20"/>
          <w:szCs w:val="20"/>
          <w:lang w:val="en-GB"/>
        </w:rPr>
        <w:t xml:space="preserve">, acetaldehyde and ROS contribute to liver carcinogenesis by forming DNA adducts and disrupting DNA methylation and repair mechanisms, thereby increasing the risk of </w:t>
      </w:r>
      <w:r w:rsidR="007861A3" w:rsidRPr="00CB14C3">
        <w:rPr>
          <w:rFonts w:ascii="Arial" w:hAnsi="Arial" w:cs="Arial"/>
          <w:sz w:val="20"/>
          <w:szCs w:val="20"/>
          <w:lang w:val="en-GB"/>
        </w:rPr>
        <w:t xml:space="preserve">Hepatocellular carcinoma </w:t>
      </w:r>
      <w:r w:rsidR="00EE7F5A" w:rsidRPr="00CB14C3">
        <w:rPr>
          <w:rFonts w:ascii="Arial" w:hAnsi="Arial" w:cs="Arial"/>
          <w:sz w:val="20"/>
          <w:szCs w:val="20"/>
          <w:lang w:val="en-GB"/>
        </w:rPr>
        <w:t>(</w:t>
      </w:r>
      <w:r w:rsidR="00C2133D" w:rsidRPr="00CB14C3">
        <w:rPr>
          <w:rFonts w:ascii="Arial" w:hAnsi="Arial" w:cs="Arial"/>
          <w:sz w:val="20"/>
          <w:szCs w:val="20"/>
          <w:lang w:val="en-GB"/>
        </w:rPr>
        <w:t>HCC</w:t>
      </w:r>
      <w:r w:rsidR="00EE7F5A" w:rsidRPr="00CB14C3">
        <w:rPr>
          <w:rFonts w:ascii="Arial" w:hAnsi="Arial" w:cs="Arial"/>
          <w:sz w:val="20"/>
          <w:szCs w:val="20"/>
          <w:lang w:val="en-GB"/>
        </w:rPr>
        <w:t>)</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{"citationItems":[{"id":"ITEM-1","itemData":{"DOI":"10.1515/BC.2006.047","ISSN":"14316730","PMID":"16606331","abstract":"Hepatocellular cancer is the fifth most frequent cancer in men and the eighth in women worldwide. Established risk factors are chronic hepatitis B and C infection, chronic heavy alcohol consumption, obesity and type 2 diabetes, tobacco use, use of oral contraceptives, and aflatoxin-contaminated food. Almost 90% of all hepatocellular carcinomas develop in cirrhotic livers. In Western countries, attributable risks are highest for cirrhosis due to chronic alcohol abuse and viral hepatitis B and C infection. Among those with alcoholic cirrhosis, the annual incidence of hepatocellular cancer is 1-2%. An important mechanism implicated in alcohol-related hepatocarcinogenesis is oxidative stress from alcohol metabolism, inflammation, and increased iron storage. Ethanol-induced cytochrome P-450 2E1 produces various reactive oxygen species, leading to the formation of lipid peroxides such as 4-hydroxy-nonenal. Furthermore, alcohol impairs the antioxidant defense system, resulting in mitochondrial damage and apoptosis. Chronic alcohol exposure elicits hepatocyte hyperregeneration due to the activation of survival factors and interference with retinoid metabolism. Direct DNA damage results from acetaldehyde, which can bind to DNA, inhibit DNA repair systems, and lead to the formation of carcinogenic exocyclic DNA etheno adducts. Finally, chronic alcohol abuse interferes with methyl group transfer and may thereby alter gene expression.","author":[{"dropping-particle":"","family":"Seitz","given":"Helmut K.","non-dropping-particle":"","parse-names":false,"suffix":""},{"dropping-particle":"","family":"Stickel","given":"Felix","non-dropping-particle":"","parse-names":false,"suffix":""}],"container-title":"Biological chemistry","id":"ITEM-1","issued":{"date-parts":[["2006"]]},"page":"349-360","title":"Risk factors and mechanisms of hepatocarcinogenesis with special emphasis on alcohol and oxidative stress.","type":"article","volume":"387"},"uris":["http://www.mendeley.com/documents/?uuid=eb2389dd-e5f6-36a4-b05f-0686d3d9bd0c"]}],"mendeley":{"formattedCitation":"(Seitz &amp; Stickel, 2006)","plainTextFormattedCitation":"(Seitz &amp; Stickel, 2006)","previouslyFormattedCitation":"(Seitz &amp; Stickel, 2006)"},"properties":{"noteIndex":0},"schema":"https://github.com/citation-style-language/schema/raw/master/csl-citation.json"}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(Seitz &amp; Stickel, 2006)</w:t>
      </w:r>
      <w:r w:rsidR="003D02DB" w:rsidRPr="00CB14C3">
        <w:rPr>
          <w:rStyle w:val="FootnoteReference"/>
          <w:rFonts w:ascii="Arial" w:hAnsi="Arial" w:cs="Arial"/>
          <w:sz w:val="20"/>
          <w:szCs w:val="20"/>
          <w:lang w:val="en-GB"/>
        </w:rPr>
        <w:fldChar w:fldCharType="end"/>
      </w:r>
      <w:r w:rsidR="00C2133D" w:rsidRPr="00CB14C3">
        <w:rPr>
          <w:rFonts w:ascii="Arial" w:hAnsi="Arial" w:cs="Arial"/>
          <w:sz w:val="20"/>
          <w:szCs w:val="20"/>
          <w:lang w:val="en-GB"/>
        </w:rPr>
        <w:t>.</w:t>
      </w:r>
    </w:p>
    <w:p w:rsidR="00763B71" w:rsidRPr="00CB14C3" w:rsidRDefault="00763B71" w:rsidP="006C3AAB">
      <w:pPr>
        <w:spacing w:after="0" w:line="360" w:lineRule="auto"/>
        <w:jc w:val="both"/>
        <w:rPr>
          <w:rFonts w:ascii="Arial" w:eastAsia="Times New Roman" w:hAnsi="Arial" w:cs="Arial"/>
          <w:sz w:val="20"/>
          <w:szCs w:val="20"/>
          <w:lang w:val="en-GB"/>
        </w:rPr>
      </w:pPr>
    </w:p>
    <w:p w:rsidR="006C5AED" w:rsidRPr="00CB14C3" w:rsidRDefault="00A54C8C" w:rsidP="006C3AAB">
      <w:pPr>
        <w:spacing w:line="360" w:lineRule="auto"/>
        <w:jc w:val="both"/>
        <w:rPr>
          <w:rFonts w:ascii="Arial" w:hAnsi="Arial" w:cs="Arial"/>
          <w:sz w:val="20"/>
          <w:szCs w:val="20"/>
          <w:lang w:val="en-GB"/>
        </w:rPr>
      </w:pPr>
      <w:r w:rsidRPr="00CB14C3">
        <w:rPr>
          <w:rFonts w:ascii="Arial" w:hAnsi="Arial" w:cs="Arial"/>
          <w:sz w:val="20"/>
          <w:szCs w:val="20"/>
          <w:lang w:val="en-GB"/>
        </w:rPr>
        <w:t>Over the years, alcohol consumption has become excessive, leading to alcohol-induced liver injury, and previous studies have focused on pharmacological management of alcohol induced injury such as the use of benzodiazepine</w:t>
      </w:r>
      <w:r w:rsidR="009200C6" w:rsidRPr="00CB14C3">
        <w:rPr>
          <w:rFonts w:ascii="Arial" w:hAnsi="Arial" w:cs="Arial"/>
          <w:sz w:val="20"/>
          <w:szCs w:val="20"/>
          <w:lang w:val="en-GB"/>
        </w:rPr>
        <w:fldChar w:fldCharType="begin" w:fldLock="1"/>
      </w:r>
      <w:r w:rsidR="009200C6" w:rsidRPr="00CB14C3">
        <w:rPr>
          <w:rFonts w:ascii="Arial" w:hAnsi="Arial" w:cs="Arial"/>
          <w:sz w:val="20"/>
          <w:szCs w:val="20"/>
          <w:lang w:val="en-GB"/>
        </w:rPr>
        <w:instrText>ADDIN CSL_CITATION {"citationItems":[{"id":"ITEM-1","itemData":{"DOI":"10.1097/TA.0000000000004116","ISSN":"21630763","PMID":"37599414","abstract":"BACKGROUND Alcohol withdrawal syndrome (AWS) is associated with increased morbidity and mortality in the trauma population. Benzodiazepines (BZDs) are standard of care for AWS; however, given the risk of delirium with BZDs and reports of BZD-refractory withdrawal, phenobarbital (PHB) has emerged as an alternative therapy for AWS. Safety and efficacy studies of PHB for AWS in trauma patients are lacking. Our aim was to compare a BZD versus PHB protocol in the management of AWS in trauma patients. METHODS We performed a retrospective cohort study at a level 1 trauma center of patients at risk for AWS managed with either a BZD or a low-dose oral PHB regimen. Patients were excluded if they were taking BZDs or barbiturates before admission, received propofol or dexmedetomidine before initiation of the study drug, presented with delirium tremens or seizures, or died or discharged within 24 hours of presentation. The primary outcome was complicated AWS (seizures or alcohol withdrawal delirium/delirium tremens). Secondary outcomes included uncomplicated AWS; therapy escalation; oversedation; delirium-, intensive care unit-, and ventilator-free days; and length of stay. RESULTS A total of 411 patients were identified; 118 received BZD, and 293 received PHB. The odds of developing complicated AWS with PHB versus BZD-based therapy were not statistically significant (odds ratio [OR], 0.52; 95% confidence interval [CI], 0.21-1.39); however, patients receiving PHB were less likely to develop uncomplicated AWS (OR, 0.08; 95% CI, 0.04-0.14) and less likely to require escalation of therapy (OR, 0.45; 95% CI, 0.24-0.84). The PHB group had a length of stay 3.1 days shorter than the BZD group (p = 0.002). There was no difference in intensive care unit-, ventilator-, or delirium-free days. CONCLUSION A PHB-based protocol for the management of AWS is a safe and effective alternative to BZD-based regimens in trauma patients. LEVEL OF EVIDENCE Therapeutic/Care Management; Level IV.","author":[{"dropping-particle":"","family":"Fleenor","given":"Lori Montana","non-dropping-particle":"","parse-names":false,"suffix":""},{"dropping-particle":"","family":"Beavers","given":"Jennifer R.","non-dropping-particle":"","parse-names":false,"suffix":""},{"dropping-particle":"","family":"Tidwell","given":"William P.","non-dropping-particle":"","parse-names":false,"suffix":""},{"dropping-particle":"","family":"Atchison","given":"Leanne","non-dropping-particle":"","parse-names":false,"suffix":""},{"dropping-particle":"","family":"Woo","given":"Edward","non-dropping-particle":"","parse-names":false,"suffix":""},{"dropping-particle":"","family":"Medvecz","given":"Andrew J.","non-dropping-particle":"","parse-names":false,"suffix":""},{"dropping-particle":"","family":"Beyene","given":"Robel T.","non-dropping-particle":"","parse-names":false,"suffix":""},{"dropping-particle":"","family":"Kast","given":"Kristopher","non-dropping-particle":"","parse-names":false,"suffix":""},{"dropping-particle":"","family":"Marcovitz","given":"David","non-dropping-particle":"","parse-names":false,"suffix":""},{"dropping-particle":"","family":"Dennis","given":"Bradley M.","non-dropping-particle":"","parse-names":false,"suffix":""},{"dropping-particle":"","family":"Guillamondegui","given":"Oscar D.","non-dropping-particle":"","parse-names":false,"suffix":""},{"dropping-particle":"","family":"Smith","given":"Michael C.","non-dropping-particle":"","parse-names":false,"suffix":""}],"container-title":"Journal of Trauma and Acute Care Surgery","id":"ITEM-1","issued":{"date-parts":[["2024","3"]]},"page":"493-498","publisher":"Lippincott Williams and Wilkins","title":"Comparison of phenobarbital monotherapy to a benzodiazepine-based regimen for management of alcohol withdrawal syndrome in trauma patients","type":"paper-conference","volume":"96"},"uris":["http://www.mendeley.com/documents/?uuid=5a487313-f271-3dfa-977b-154eddb38e31"]}],"mendeley":{"formattedCitation":"(Fleenor et al., 2024)","plainTextFormattedCitation":"(Fleenor et al., 2024)","previouslyFormattedCitation":"(Fleenor et al., 2024)"},"properties":{"noteIndex":0},"schema":"https://github.com/citation-style-language/schema/raw/master/csl-citation.json"}</w:instrText>
      </w:r>
      <w:r w:rsidR="009200C6" w:rsidRPr="00CB14C3">
        <w:rPr>
          <w:rFonts w:ascii="Arial" w:hAnsi="Arial" w:cs="Arial"/>
          <w:sz w:val="20"/>
          <w:szCs w:val="20"/>
          <w:lang w:val="en-GB"/>
        </w:rPr>
        <w:fldChar w:fldCharType="separate"/>
      </w:r>
      <w:r w:rsidR="009200C6" w:rsidRPr="00CB14C3">
        <w:rPr>
          <w:rFonts w:ascii="Arial" w:hAnsi="Arial" w:cs="Arial"/>
          <w:sz w:val="20"/>
          <w:szCs w:val="20"/>
          <w:lang w:val="en-GB"/>
        </w:rPr>
        <w:t>(Fleenor et al., 2024)</w:t>
      </w:r>
      <w:r w:rsidR="009200C6" w:rsidRPr="00CB14C3">
        <w:rPr>
          <w:rFonts w:ascii="Arial" w:hAnsi="Arial" w:cs="Arial"/>
          <w:sz w:val="20"/>
          <w:szCs w:val="20"/>
          <w:lang w:val="en-GB"/>
        </w:rPr>
        <w:fldChar w:fldCharType="end"/>
      </w:r>
      <w:r w:rsidR="005D77BE" w:rsidRPr="00CB14C3">
        <w:rPr>
          <w:rFonts w:ascii="Arial" w:hAnsi="Arial" w:cs="Arial"/>
          <w:sz w:val="20"/>
          <w:szCs w:val="20"/>
          <w:lang w:val="en-GB"/>
        </w:rPr>
        <w:t>,naltrexone and acamprosate</w:t>
      </w:r>
      <w:r w:rsidR="009200C6" w:rsidRPr="00CB14C3">
        <w:rPr>
          <w:rStyle w:val="FootnoteReference"/>
          <w:rFonts w:ascii="Arial" w:hAnsi="Arial" w:cs="Arial"/>
          <w:sz w:val="20"/>
          <w:szCs w:val="20"/>
          <w:lang w:val="en-GB"/>
        </w:rPr>
        <w:fldChar w:fldCharType="begin" w:fldLock="1"/>
      </w:r>
      <w:r w:rsidR="003648D4" w:rsidRPr="00CB14C3">
        <w:rPr>
          <w:rFonts w:ascii="Arial" w:hAnsi="Arial" w:cs="Arial"/>
          <w:sz w:val="20"/>
          <w:szCs w:val="20"/>
          <w:lang w:val="en-GB"/>
        </w:rPr>
        <w:instrText>ADDIN CSL_CITATION {"citationItems":[{"id":"ITEM-1","itemData":{"DOI":"10.1001/jama.2023.19761","ISSN":"15383598","PMID":"37934220","abstract":"Importance: Alcohol use disorder affects more than 28.3 million people in the United States and is associated with increased rates of morbidity and mortality. Objective: To compare efficacy and comparative efficacy of therapies for alcohol use disorder. Data Sources: PubMed, the Cochrane Library, the Cochrane Central Trials Registry, PsycINFO, CINAHL, and EMBASE were searched from November 2012 to September 9, 2022 Literature was subsequently systematically monitored to identify relevant articles up to August 14, 2023, and the PubMed search was updated on August 14, 2023. Study Selection: For efficacy outcomes, randomized clinical trials of at least 12 weeks' duration were included. For adverse effects, randomized clinical trials and prospective cohort studies that compared drug therapies and reported health outcomes or harms were included. Data Extraction and Synthesis: Two reviewers evaluated each study, assessed risk of bias, and graded strength of evidence. Meta-analyses used random-effects models. Numbers needed to treat were calculated for medications with at least moderate strength of evidence for benefit. Main Outcomes and Measures: The primary outcome was alcohol consumption. Secondary outcomes were motor vehicle crashes, injuries, quality of life, function, mortality, and harms. Results: Data from 118 clinical trials and 20976 participants were included. The numbers needed to treat to prevent 1 person from returning to any drinking were 11 (95% CI, 1-32) for acamprosate and 18 (95% CI, 4-32) for oral naltrexone at a dose of 50 mg/d. Compared with placebo, oral naltrexone (50 mg/d) was associated with lower rates of return to heavy drinking, with a number needed to treat of 11 (95% CI, 5-41). Injectable naltrexone was associated with fewer drinking days over the 30-day treatment period (weighted mean difference, -4.99 days; 95% CI, -9.49 to -0.49 days) Adverse effects included higher gastrointestinal distress for acamprosate (diarrhea: risk ratio, 1.58; 95% CI, 1.27-1.97) and naltrexone (nausea: risk ratio, 1.73; 95% CI, 1.51-1.98; vomiting: risk ratio, 1.53; 95% CI, 1.23-1.91) compared with placebo. Conclusions and Relevance: In conjunction with psychosocial interventions, these findings support the use of oral naltrexone at 50 mg/d and acamprosate as first-line pharmacotherapies for alcohol use disorder.","author":[{"dropping-particle":"","family":"McPheeters","given":"Melissa","non-dropping-particle":"","parse-names":false,"suffix":""},{"dropping-particle":"","family":"O'Connor","given":"Elizabeth A.","non-dropping-particle":"","parse-names":false,"suffix":""},{"dropping-particle":"","family":"Riley","given":"Sean","non-dropping-particle":"","parse-names":false,"suffix":""},{"dropping-particle":"","family":"Kennedy","given":"Sara M.","non-dropping-particle":"","parse-names":false,"suffix":""},{"dropping-particle":"","family":"Voisin","given":"Christiane","non-dropping-particle":"","parse-names":false,"suffix":""},{"dropping-particle":"","family":"Kuznacic","given":"Kaitlin","non-dropping-particle":"","parse-names":false,"suffix":""},{"dropping-particle":"","family":"Coffey","given":"Cory P.","non-dropping-particle":"","parse-names":false,"suffix":""},{"dropping-particle":"","family":"Edlund","given":"Mark D.","non-dropping-particle":"","parse-names":false,"suffix":""},{"dropping-particle":"","family":"Bobashev","given":"Georgiy","non-dropping-particle":"","parse-names":false,"suffix":""},{"dropping-particle":"","family":"Jonas","given":"Daniel E.","non-dropping-particle":"","parse-names":false,"suffix":""}],"container-title":"JAMA","id":"ITEM-1","issued":{"date-parts":[["2023","11"]]},"page":"1653-1665","publisher":"American Medical Association","title":"Pharmacotherapy for Alcohol Use Disorder: A Systematic Review and Meta-Analysis","type":"article-journal","volume":"330"},"uris":["http://www.mendeley.com/documents/?uuid=2ff7bc44-10b7-34b2-9437-df06f46818db"]}],"mendeley":{"formattedCitation":"(McPheeters et al., 2023)","plainTextFormattedCitation":"(McPheeters et al., 2023)","previouslyFormattedCitation":"(McPheeters et al., 2023)"},"properties":{"noteIndex":0},"schema":"https://github.com/citation-style-language/schema/raw/master/csl-citation.json"}</w:instrText>
      </w:r>
      <w:r w:rsidR="009200C6" w:rsidRPr="00CB14C3">
        <w:rPr>
          <w:rStyle w:val="FootnoteReference"/>
          <w:rFonts w:ascii="Arial" w:hAnsi="Arial" w:cs="Arial"/>
          <w:sz w:val="20"/>
          <w:szCs w:val="20"/>
          <w:lang w:val="en-GB"/>
        </w:rPr>
        <w:fldChar w:fldCharType="separate"/>
      </w:r>
      <w:r w:rsidR="009200C6" w:rsidRPr="00CB14C3">
        <w:rPr>
          <w:rFonts w:ascii="Arial" w:hAnsi="Arial" w:cs="Arial"/>
          <w:sz w:val="20"/>
          <w:szCs w:val="20"/>
          <w:lang w:val="en-GB"/>
        </w:rPr>
        <w:t>(McPheeters et al., 2023)</w:t>
      </w:r>
      <w:r w:rsidR="009200C6" w:rsidRPr="00CB14C3">
        <w:rPr>
          <w:rStyle w:val="FootnoteReference"/>
          <w:rFonts w:ascii="Arial" w:hAnsi="Arial" w:cs="Arial"/>
          <w:sz w:val="20"/>
          <w:szCs w:val="20"/>
          <w:lang w:val="en-GB"/>
        </w:rPr>
        <w:fldChar w:fldCharType="end"/>
      </w:r>
      <w:r w:rsidR="005D77BE" w:rsidRPr="00CB14C3">
        <w:rPr>
          <w:rFonts w:ascii="Arial" w:hAnsi="Arial" w:cs="Arial"/>
          <w:sz w:val="20"/>
          <w:szCs w:val="20"/>
          <w:lang w:val="en-GB"/>
        </w:rPr>
        <w:t>,</w:t>
      </w:r>
      <w:r w:rsidR="00DF5649" w:rsidRPr="00CB14C3">
        <w:rPr>
          <w:rFonts w:ascii="Arial" w:hAnsi="Arial" w:cs="Arial"/>
          <w:sz w:val="20"/>
          <w:szCs w:val="20"/>
          <w:lang w:val="en-GB"/>
        </w:rPr>
        <w:t xml:space="preserve"> </w:t>
      </w:r>
      <w:proofErr w:type="spellStart"/>
      <w:r w:rsidR="005D77BE" w:rsidRPr="00CB14C3">
        <w:rPr>
          <w:rFonts w:ascii="Arial" w:hAnsi="Arial" w:cs="Arial"/>
          <w:sz w:val="20"/>
          <w:szCs w:val="20"/>
          <w:lang w:val="en-GB"/>
        </w:rPr>
        <w:t>nalmefene</w:t>
      </w:r>
      <w:proofErr w:type="spellEnd"/>
      <w:r w:rsidR="005D77BE" w:rsidRPr="00CB14C3">
        <w:rPr>
          <w:rFonts w:ascii="Arial" w:hAnsi="Arial" w:cs="Arial"/>
          <w:sz w:val="20"/>
          <w:szCs w:val="20"/>
          <w:lang w:val="en-GB"/>
        </w:rPr>
        <w:t xml:space="preserve">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{"citationItems":[{"id":"ITEM-1","itemData":{"DOI":"10.1517/14656566.2014.876008","ISSN":"14656566","PMID":"24456374","abstract":"Introduction: At present, the substances acamprosate, naltrexone and disulfiram are available for pharmacotherapy in alcohol dependence, but clinical studies found only modest effect sizes of these treatment options. Areas covered: This article focuses on current pharmacological treatment approaches for alcohol dependence, which have been evaluated in randomized, placebo-controlled trials (RCTs). Expert opinion: Besides the opioid system modulator nalmefene, which has recently been approved as a medication for the reduction of alcohol consumption, several compounds have been investigated in patients with alcohol dependence using a randomized, placebo-controlled design. In these studies, the antiepileptic drugs topiramate and gabapentin were found to be effective in improving several drinking-related outcomes, whereas levetiracetam failed to show efficacy in the treatment of alcohol dependence. Clinical studies using (low-dose) baclofen, a selective GABA-B receptor agonist, produced conflicting results, so that results of further trials are needed. Varenicline has also shown mixed results in two RCTs, but might possibly be useful in patients with comorbid nicotine dependence. The α1 adrenergic antagonist prazosin is currently under investigation in alcohol dependence with and without comorbid posttraumatic stress disorder (PTSD). Finally, first clinical evidence suggests that the 5-HT3 antagonist ondansetron might possibly be used in future within a pharmacogenetic treatment approach in alcohol dependence. © 2014 Informa UK, Ltd.","author":[{"dropping-particle":"","family":"Müller","given":"Christian A.","non-dropping-particle":"","parse-names":false,"suffix":""},{"dropping-particle":"","family":"Geisel","given":"Olga","non-dropping-particle":"","parse-names":false,"suffix":""},{"dropping-particle":"","family":"Banas","given":"Roman","non-dropping-particle":"","parse-names":false,"suffix":""},{"dropping-particle":"","family":"Heinz","given":"Andreas","non-dropping-particle":"","parse-names":false,"suffix":""}],"container-title":"Expert Opinion on Pharmacotherapy","id":"ITEM-1","issued":{"date-parts":[["2014","3"]]},"page":"471-481","title":"Current pharmacological treatment approaches for alcohol Dependence","type":"article","volume":"15"},"uris":["http://www.mendeley.com/documents/?uuid=e2cd29c5-07ea-3fad-8f9c-f2258be630bd"]}],"mendeley":{"formattedCitation":"(Müller et al., 2014)","plainTextFormattedCitation":"(Müller et al., 2014)","previouslyFormattedCitation":"(Müller et al., 2014)"},"properties":{"noteIndex":0},"schema":"https://github.com/citation-style-language/schema/raw/master/csl-citation.json"}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(Müller et al., 2014)</w:t>
      </w:r>
      <w:r w:rsidR="003D02DB" w:rsidRPr="00CB14C3">
        <w:rPr>
          <w:rStyle w:val="FootnoteReference"/>
          <w:rFonts w:ascii="Arial" w:hAnsi="Arial" w:cs="Arial"/>
          <w:sz w:val="20"/>
          <w:szCs w:val="20"/>
          <w:lang w:val="en-GB"/>
        </w:rPr>
        <w:fldChar w:fldCharType="end"/>
      </w:r>
      <w:r w:rsidR="00CB30B1" w:rsidRPr="00CB14C3">
        <w:rPr>
          <w:rFonts w:ascii="Arial" w:hAnsi="Arial" w:cs="Arial"/>
          <w:sz w:val="20"/>
          <w:szCs w:val="20"/>
          <w:lang w:val="en-GB"/>
        </w:rPr>
        <w:t xml:space="preserve">,propylthiouracil and </w:t>
      </w:r>
      <w:proofErr w:type="spellStart"/>
      <w:r w:rsidR="00CB30B1" w:rsidRPr="00CB14C3">
        <w:rPr>
          <w:rFonts w:ascii="Arial" w:hAnsi="Arial" w:cs="Arial"/>
          <w:sz w:val="20"/>
          <w:szCs w:val="20"/>
          <w:lang w:val="en-GB"/>
        </w:rPr>
        <w:t>ursodeoxycholic</w:t>
      </w:r>
      <w:proofErr w:type="spellEnd"/>
      <w:r w:rsidR="00CB30B1" w:rsidRPr="00CB14C3">
        <w:rPr>
          <w:rFonts w:ascii="Arial" w:hAnsi="Arial" w:cs="Arial"/>
          <w:sz w:val="20"/>
          <w:szCs w:val="20"/>
          <w:lang w:val="en-GB"/>
        </w:rPr>
        <w:t xml:space="preserve"> acid</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{"citationItems":[{"id":"ITEM-1","itemData":{"DOI":"10.1002/14651858.CD011646.pub2","ISSN":"14651858","PMID":"28368093","abstract":"Background: Alcohol-related liver disease is due to excessive alcohol consumption. It includes a spectrum of liver diseases such as alcohol-related fatty liver, alcoholic hepatitis, and alcoholic cirrhosis. Mortality associated with alcoholic hepatitis is high. The optimal pharmacological treatment of alcoholic hepatitis and other alcohol-related liver disease remains controversial. Objectives: To assess the comparative benefits and harms of different pharmacological interventions in the management of alcohol-related liver disease through a network meta-analysis and to generate rankings of the available pharmacological interventions according to their safety and efficacy in order to identify potential treatments. However, even in the subgroup of participants when the potential effect modifiers appeared reasonably similar across comparisons, there was evidence of inconsistency by one or more methods of assessment of inconsistency. Therefore, we did not report the results of the network meta-analysis and reported the comparative benefits and harms of different interventions using standard Cochrane methodology. Search methods: We searched the Cochrane Central Register of Controlled Trials (CENTRAL), MEDLINE, Embase, Science Citation Index Expanded, World Health Organization International Clinical Trials Registry Platform and randomised controlled trials registers until February 2017 to identify randomised clinical trials on pharmacological treatments for alcohol-related liver diseases. Selection criteria: Randomised clinical trials (irrespective of language, blinding, or publication status) including participants with alcohol-related liver disease. We excluded trials that included participants who had previously undergone liver transplantation and those with co-existing chronic viral diseases. We considered any of the various pharmacological interventions compared with each other or with placebo or no intervention. Data collection and analysis: Two review authors independently identified trials and independently extracted data. We calculated the odds ratio (OR) and rate ratio with 95% confidence intervals (CIs) using both fixed-effect and random-effects models based on available-participant analysis with Review Manager. We assessed risk of bias according to Cochrane, controlled risk of random errors with Trial Sequential Analysis, and assessed the quality of the evidence using GRADE. Main results: We identified a total of 81 randomised clinical trials. All…","author":[{"dropping-particle":"","family":"Buzzetti","given":"Elena","non-dropping-particle":"","parse-names":false,"suffix":""},{"dropping-particle":"","family":"Kalafateli","given":"Maria","non-dropping-particle":"","parse-names":false,"suffix":""},{"dropping-particle":"","family":"Thorburn","given":"Douglas","non-dropping-particle":"","parse-names":false,"suffix":""},{"dropping-particle":"","family":"Davidson","given":"Brian R.","non-dropping-particle":"","parse-names":false,"suffix":""},{"dropping-particle":"","family":"Thiele","given":"Maja","non-dropping-particle":"","parse-names":false,"suffix":""},{"dropping-particle":"","family":"Gluud","given":"Lise Lotte","non-dropping-particle":"","parse-names":false,"suffix":""},{"dropping-particle":"","family":"Giovane","given":"Cinzia","non-dropping-particle":"Del","parse-names":false,"suffix":""},{"dropping-particle":"","family":"Askgaard","given":"Gro","non-dropping-particle":"","parse-names":false,"suffix":""},{"dropping-particle":"","family":"Krag","given":"Aleksander","non-dropping-particle":"","parse-names":false,"suffix":""},{"dropping-particle":"","family":"Tsochatzis","given":"Emmanuel","non-dropping-particle":"","parse-names":false,"suffix":""},{"dropping-particle":"","family":"Gurusamy","given":"Kurinchi Selvan","non-dropping-particle":"","parse-names":false,"suffix":""}],"container-title":"Cochrane Database of Systematic Reviews","id":"ITEM-1","issued":{"date-parts":[["2017","3"]]},"publisher":"John Wiley and Sons Ltd","title":"Pharmacological interventions for alcoholic liver disease (alcohol-related liver disease): An attempted network meta-analysis","type":"article","volume":"2017"},"uris":["http://www.mendeley.com/documents/?uuid=b8762a1c-8d03-35dd-818b-37d83b3af3c7"]}],"mendeley":{"formattedCitation":"(Buzzetti et al., 2017)","plainTextFormattedCitation":"(Buzzetti et al., 2017)","previouslyFormattedCitation":"(Buzzetti et al., 2017)"},"properties":{"noteIndex":0},"schema":"https://github.com/citation-style-language/schema/raw/master/csl-citation.json"}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(Buzzetti et al., 2017)</w:t>
      </w:r>
      <w:r w:rsidR="003D02DB" w:rsidRPr="00CB14C3">
        <w:rPr>
          <w:rStyle w:val="FootnoteReference"/>
          <w:rFonts w:ascii="Arial" w:hAnsi="Arial" w:cs="Arial"/>
          <w:sz w:val="20"/>
          <w:szCs w:val="20"/>
          <w:lang w:val="en-GB"/>
        </w:rPr>
        <w:fldChar w:fldCharType="end"/>
      </w:r>
      <w:r w:rsidR="00CB30B1" w:rsidRPr="00CB14C3">
        <w:rPr>
          <w:rFonts w:ascii="Arial" w:hAnsi="Arial" w:cs="Arial"/>
          <w:sz w:val="20"/>
          <w:szCs w:val="20"/>
          <w:lang w:val="en-GB"/>
        </w:rPr>
        <w:t xml:space="preserve">. </w:t>
      </w:r>
      <w:r w:rsidRPr="00CB14C3">
        <w:rPr>
          <w:rFonts w:ascii="Arial" w:hAnsi="Arial" w:cs="Arial"/>
          <w:sz w:val="20"/>
          <w:szCs w:val="20"/>
          <w:lang w:val="en-GB"/>
        </w:rPr>
        <w:t xml:space="preserve">The development of these drugs and their therapeutic effects has been a controversial topic of discussion as it </w:t>
      </w:r>
      <w:r w:rsidRPr="00CB14C3">
        <w:rPr>
          <w:rFonts w:ascii="Arial" w:hAnsi="Arial" w:cs="Arial"/>
          <w:sz w:val="20"/>
          <w:szCs w:val="20"/>
          <w:lang w:val="en-GB"/>
        </w:rPr>
        <w:lastRenderedPageBreak/>
        <w:t>pertains to patients' liver safety</w:t>
      </w:r>
      <w:r w:rsidR="00E75C99" w:rsidRPr="00CB14C3">
        <w:rPr>
          <w:rFonts w:ascii="Arial" w:hAnsi="Arial" w:cs="Arial"/>
          <w:sz w:val="20"/>
          <w:szCs w:val="20"/>
          <w:lang w:val="en-GB"/>
        </w:rPr>
        <w:t xml:space="preserve">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{"citationItems":[{"id":"ITEM-1","itemData":{"DOI":"10.1055/a-1798-2872","ISSN":"10988971","PMID":"35292951","abstract":"Alcohol use disorder (AUD) is one of themain causes of global death and disability. The liver represents themain target of alcohol damage, and alcohol-associated liver disease (ALD) represents the first cause of liver cirrhosis in Western countries. Alcohol abstinence is the main goal of treatment in AUD patients with ALD, as treatments for ALD are less effective when drinking continues. Moreover, the persistence of alcohol consumption is associated with higher mortality, increased need for liver transplantation, and graft loss. The most effective treatment for AUD is the combination of psychosocial interventions, pharmacological therapy, and medical management. However, the effectiveness of these treatments in patients with ALD is doubtful even because AUD patients with ALD are usually excluded from pharmacological trials due to concerns on liver safety. This narrative review will discuss the treatment options for AUD-ALD patients focusing on controversies in pharmacological therapy.","author":[{"dropping-particle":"","family":"Tarli","given":"Claudia","non-dropping-particle":"","parse-names":false,"suffix":""},{"dropping-particle":"","family":"Mirijello","given":"Antonio","non-dropping-particle":"","parse-names":false,"suffix":""},{"dropping-particle":"","family":"Addolorato","given":"Giovanni","non-dropping-particle":"","parse-names":false,"suffix":""}],"container-title":"Seminars in Liver Disease","id":"ITEM-1","issued":{"date-parts":[["2022","5"]]},"page":"138-150","publisher":"Thieme Medical Publishers, Inc.","title":"Treating Alcohol Use Disorder in Patients with Alcohol-Associated Liver Disease: Controversies in Pharmacological Therapy","type":"article-journal","volume":"42"},"uris":["http://www.mendeley.com/documents/?uuid=f4adfdb0-b98f-3178-ba29-9558f643ebdf"]}],"mendeley":{"formattedCitation":"(Tarli et al., 2022)","plainTextFormattedCitation":"(Tarli et al., 2022)","previouslyFormattedCitation":"(Tarli et al., 2022)"},"properties":{"noteIndex":0},"schema":"https://github.com/citation-style-language/schema/raw/master/csl-citation.json"}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(Tarli et al., 2022)</w:t>
      </w:r>
      <w:r w:rsidR="003D02DB" w:rsidRPr="00CB14C3">
        <w:rPr>
          <w:rStyle w:val="FootnoteReference"/>
          <w:rFonts w:ascii="Arial" w:hAnsi="Arial" w:cs="Arial"/>
          <w:sz w:val="20"/>
          <w:szCs w:val="20"/>
          <w:lang w:val="en-GB"/>
        </w:rPr>
        <w:fldChar w:fldCharType="end"/>
      </w:r>
      <w:r w:rsidR="00E95434" w:rsidRPr="00CB14C3">
        <w:rPr>
          <w:rFonts w:ascii="Arial" w:hAnsi="Arial" w:cs="Arial"/>
          <w:sz w:val="20"/>
          <w:szCs w:val="20"/>
          <w:lang w:val="en-GB"/>
        </w:rPr>
        <w:t>.</w:t>
      </w:r>
      <w:r w:rsidR="00D27E03" w:rsidRPr="00CB14C3">
        <w:rPr>
          <w:rFonts w:ascii="Arial" w:hAnsi="Arial" w:cs="Arial"/>
          <w:sz w:val="20"/>
          <w:szCs w:val="20"/>
          <w:lang w:val="en-GB"/>
        </w:rPr>
        <w:t>Consequentially</w:t>
      </w:r>
      <w:r w:rsidR="006C5AED" w:rsidRPr="00CB14C3">
        <w:rPr>
          <w:rFonts w:ascii="Arial" w:hAnsi="Arial" w:cs="Arial"/>
          <w:sz w:val="20"/>
          <w:szCs w:val="20"/>
          <w:lang w:val="en-GB"/>
        </w:rPr>
        <w:t xml:space="preserve">, the pharmacological management with these medications is not </w:t>
      </w:r>
      <w:r w:rsidR="00CB14C3" w:rsidRPr="00CB14C3">
        <w:rPr>
          <w:rFonts w:ascii="Arial" w:hAnsi="Arial" w:cs="Arial"/>
          <w:sz w:val="20"/>
          <w:szCs w:val="20"/>
          <w:lang w:val="en-GB"/>
        </w:rPr>
        <w:t>favourable</w:t>
      </w:r>
      <w:r w:rsidR="006C5AED" w:rsidRPr="00CB14C3">
        <w:rPr>
          <w:rFonts w:ascii="Arial" w:hAnsi="Arial" w:cs="Arial"/>
          <w:sz w:val="20"/>
          <w:szCs w:val="20"/>
          <w:lang w:val="en-GB"/>
        </w:rPr>
        <w:t xml:space="preserve"> for reconstructing the biologically active liver and is, on the other hand, not sustainable due to the costs, potential side effects, and accessibility.</w:t>
      </w:r>
    </w:p>
    <w:p w:rsidR="00A4420D" w:rsidRPr="00CB14C3" w:rsidRDefault="006D38ED" w:rsidP="006C3AAB">
      <w:pPr>
        <w:spacing w:line="360" w:lineRule="auto"/>
        <w:jc w:val="both"/>
        <w:rPr>
          <w:rFonts w:ascii="Arial" w:hAnsi="Arial" w:cs="Arial"/>
          <w:sz w:val="20"/>
          <w:szCs w:val="20"/>
          <w:lang w:val="en-GB"/>
        </w:rPr>
      </w:pPr>
      <w:r w:rsidRPr="00CB14C3">
        <w:rPr>
          <w:rFonts w:ascii="Arial" w:hAnsi="Arial" w:cs="Arial"/>
          <w:sz w:val="20"/>
          <w:szCs w:val="20"/>
          <w:lang w:val="en-GB"/>
        </w:rPr>
        <w:t>There is a growing shift</w:t>
      </w:r>
      <w:r w:rsidR="00D35FB2" w:rsidRPr="00CB14C3">
        <w:rPr>
          <w:rFonts w:ascii="Arial" w:hAnsi="Arial" w:cs="Arial"/>
          <w:sz w:val="20"/>
          <w:szCs w:val="20"/>
          <w:lang w:val="en-GB"/>
        </w:rPr>
        <w:t xml:space="preserve"> in alternative liver-protective agents derived from medicinal plants, which contain bioactive compounds capable of modulating oxidative stress, inflammation, and lipid metabolism. Any medicinal plant's distinct nature lies in its strong </w:t>
      </w:r>
      <w:r w:rsidR="00CB14C3" w:rsidRPr="00CB14C3">
        <w:rPr>
          <w:rFonts w:ascii="Arial" w:hAnsi="Arial" w:cs="Arial"/>
          <w:sz w:val="20"/>
          <w:szCs w:val="20"/>
          <w:lang w:val="en-GB"/>
        </w:rPr>
        <w:t>hepatoprotective</w:t>
      </w:r>
      <w:r w:rsidR="00D35FB2" w:rsidRPr="00CB14C3">
        <w:rPr>
          <w:rFonts w:ascii="Arial" w:hAnsi="Arial" w:cs="Arial"/>
          <w:sz w:val="20"/>
          <w:szCs w:val="20"/>
          <w:lang w:val="en-GB"/>
        </w:rPr>
        <w:t xml:space="preserve"> activity, and numerous studies on such plants have been recorded</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{"citationItems":[{"id":"ITEM-1","itemData":{"DOI":"10.1016/j.biopha.2019.109128","ISSN":"19506007","PMID":"31234023","abstract":"Liver diseases are clinically common and present a substantial public health issue. Many of the currently available drugs for the treatment of liver diseases suffer from limitations that include low hepatic distribution, lack of target effects, poor in vivo stability and adverse effects on other organs. Consequently, conventional treatment of hepatic diseases is ineffective. TCM is commonly used in the treatment of liver diseases worldwide, particularly in China, and has advantages over conventional therapy. HTDDS can be designed to enhance clinical efficacy in the treatment of liver diseases. We have conducted an extensive review of 335 studies reported since 1964. These included about 166 references involving the treatment of liver diseases with TCM (covering active components of TCM, single TCM and Chinese medicine formulas), 169 reports on HTDDS and background studies on liver-related diseases. Here we review the long history of TCM in the treatment of liver diseases.We have also reviewed the status of studies on active components of TCM using nanotechnology-based targeted delivery systems to provide support for further research and development of TCM-based targeted preparations for the treatment of liver disease.","author":[{"dropping-particle":"","family":"Ma","given":"Zhe","non-dropping-particle":"","parse-names":false,"suffix":""},{"dropping-particle":"","family":"Zhang","given":"Bing","non-dropping-particle":"","parse-names":false,"suffix":""},{"dropping-particle":"","family":"Fan","given":"Yuqi","non-dropping-particle":"","parse-names":false,"suffix":""},{"dropping-particle":"","family":"Wang","given":"Meng","non-dropping-particle":"","parse-names":false,"suffix":""},{"dropping-particle":"","family":"Kebebe","given":"Dereje","non-dropping-particle":"","parse-names":false,"suffix":""},{"dropping-particle":"","family":"Li","given":"Jiawei","non-dropping-particle":"","parse-names":false,"suffix":""},{"dropping-particle":"","family":"Liu","given":"Zhidong","non-dropping-particle":"","parse-names":false,"suffix":""}],"container-title":"Biomedicine and Pharmacotherapy","id":"ITEM-1","issued":{"date-parts":[["2019","9"]]},"publisher":"Elsevier Masson SAS","title":"Traditional Chinese medicine combined with hepatic targeted drug delivery systems: A new strategy for the treatment of liver diseases","type":"article","volume":"117"},"uris":["http://www.mendeley.com/documents/?uuid=82b5d66c-ef70-30f4-8f03-85f39acab342"]},{"id":"ITEM-2","itemData":{"DOI":"10.1155/2019/2196315","ISSN":"17414288","abstract":"Background. Liver disorders are common in Sudan and elsewhere. These are traditionally treated by medicinal plants especially in rural areas where they are widely available. Methods. This review was based on scientific research in hepatoprotective plants performed in Sudan for the period between 2001 and 2016 AD. Data collection was done through scientific evidence of local and international published data, theses, and publications from some libraries in Sudanese universities. Internet was also used to collect published data in different international scientific journals. Results. In this study, 21 plants from different families were reviewed for the hepatoprotective activity in Sudan. These plants are widely used in traditional medicine for their availability and cheap prices. All of these plants have been scientifically investigated through experimental animal models which confirmed their hepatoprotective activities. This was evaluated by measuring several parameters including liver markers (AST, ALT, ALP, total protein, albumin, and bilirubin) and histopathological investigation. Nineteen (90.5%) of the herbal plants were found to possess significant hepatoprotective activity in animal models. Two (9.5%) of the plants were devoid of this activity. The action of these plants is largely attributed to their phytoconstituents such as flavonoids, antioxidant, and anti-inflammatory effects. Conclusion. Sudanese herbs may offer novel alternatives to treat liver disorders. Yet determination of the active principle responsible for hepatoprotection needs to be investigated. Further studies on these plants are necessary to establish the efficacy, safety, and exact mechanism of action as a moral alternative in the treatment of liver disorders.","author":[{"dropping-particle":"","family":"Ali","given":"Sumaia A.","non-dropping-particle":"","parse-names":false,"suffix":""},{"dropping-particle":"","family":"Sharief","given":"Noha H.","non-dropping-particle":"","parse-names":false,"suffix":""},{"dropping-particle":"","family":"Mohamed","given":"Yahya S.","non-dropping-particle":"","parse-names":false,"suffix":""}],"container-title":"Evidence-based Complementary and Alternative Medicine","id":"ITEM-2","issued":{"date-parts":[["2019"]]},"publisher":"Hindawi Limited","title":"Hepatoprotective Activity of Some Medicinal Plants in Sudan","type":"article","volume":"2019"},"uris":["http://www.mendeley.com/documents/?uuid=bb3172a4-428b-35a2-8c15-1836ab61c8cd"]},{"id":"ITEM-3","itemData":{"DOI":"10.1016/S2221-1691(15)30159-3","ISSN":"22211691","abstract":"There are a number of medicinal combinations in the Iranian traditional medicine which are commonly used as tonic for liver. In this review, we have introduced some medicinal plants that are used mainly for the treatment of liver disorders in Iranian folk medicine, with focus on their hepatoprotective effects particularly against CC14 agent. In this study, online databases including Web of Science, PubMed, Scopus, and Science Direct were searched for papers published from January 1970 to December 2013. Search terms consisted of medicinal plants, traditional medicine, folk medicine, hepatoprotective, Iran, liver, therapeutic uses, compounds, antioxidant, CC14, anti-inflammatory, and antihepatotoxic, hepatitis, alone or in combination. Allium hirtifolium Boiss., Apium graveolens L., Cynara scolymus, Berberis vulgaris L., Calendula officinalis, Nigella sativa L., Taraxacum officinale, Tragopogon porrifolius, Prangos ferulacea L., Allium sativum, Marrubium vulgare, Ammi majus L., Citrullus lanatus Thunb, Agrimonia eupatoria L. and Prunus armeniaca L. are some of the medicinal plants that have been used for the treatment of liver disorders in Iranian folk medicine. Out of several leads obtained from plants containing potential hepatoprotective agents, silymarin, β-sitosterol, betalain, neoandrographolide, phyllanthin, andrographolide, curcumin, picroside, hypophyllanthin, kutkoside, and glycyrrhizin have been demonstrated to have potent hepatoprotective properties. Despite encouraging data on possibility of new discoveries in the near future, the evidence on treating viral hepatitis or other chronic liver diseases by herbal medications is not adequate.","author":[{"dropping-particle":"","family":"Asadi-Samani","given":"Majid","non-dropping-particle":"","parse-names":false,"suffix":""},{"dropping-particle":"","family":"Kafash-Farkhad","given":"Najme","non-dropping-particle":"","parse-names":false,"suffix":""},{"dropping-particle":"","family":"Azimi","given":"Nafiseh","non-dropping-particle":"","parse-names":false,"suffix":""},{"dropping-particle":"","family":"Fasihi","given":"Ali","non-dropping-particle":"","parse-names":false,"suffix":""},{"dropping-particle":"","family":"Alinia-Ahandani","given":"Ebrahim","non-dropping-particle":"","parse-names":false,"suffix":""},{"dropping-particle":"","family":"Rafieian-Kopaei","given":"Mahmoud","non-dropping-particle":"","parse-names":false,"suffix":""}],"container-title":"Asian Pacific Journal of Tropical Biomedicine","id":"ITEM-3","issued":{"date-parts":[["2015"]]},"page":"146-157","publisher":"Asian Pacific Tropical Biomedicine Press","title":"Medicinal plants with hepatoprotective activity in Iranian folk medicine","type":"article","volume":"5"},"uris":["http://www.mendeley.com/documents/?uuid=1bb32de7-5ca1-3911-bfaf-a2d433bb36ba"]}],"mendeley":{"formattedCitation":"(Ali et al., 2019; Asadi-Samani et al., 2015; Ma et al., 2019)","plainTextFormattedCitation":"(Ali et al., 2019; Asadi-Samani et al., 2015; Ma et al., 2019)","previouslyFormattedCitation":"(Ali et al., 2019; Asadi-Samani et al., 2015; Ma et al., 2019)"},"properties":{"noteIndex":0},"schema":"https://github.com/citation-style-language/schema/raw/master/csl-citation.json"}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(Ali et al., 2019; Asadi-Samani et al., 2015; Ma et al., 2019)</w:t>
      </w:r>
      <w:r w:rsidR="003D02DB" w:rsidRPr="00CB14C3">
        <w:rPr>
          <w:rStyle w:val="FootnoteReference"/>
          <w:rFonts w:ascii="Arial" w:hAnsi="Arial" w:cs="Arial"/>
          <w:sz w:val="20"/>
          <w:szCs w:val="20"/>
          <w:lang w:val="en-GB"/>
        </w:rPr>
        <w:fldChar w:fldCharType="end"/>
      </w:r>
      <w:r w:rsidR="004019B6" w:rsidRPr="00CB14C3">
        <w:rPr>
          <w:rFonts w:ascii="Arial" w:hAnsi="Arial" w:cs="Arial"/>
          <w:sz w:val="20"/>
          <w:szCs w:val="20"/>
          <w:lang w:val="en-GB"/>
        </w:rPr>
        <w:t xml:space="preserve">. </w:t>
      </w:r>
      <w:r w:rsidR="00A77D9E" w:rsidRPr="00CB14C3">
        <w:rPr>
          <w:rFonts w:ascii="Arial" w:hAnsi="Arial" w:cs="Arial"/>
          <w:sz w:val="20"/>
          <w:szCs w:val="20"/>
          <w:lang w:val="en-GB"/>
        </w:rPr>
        <w:t>Various plant extracts with antioxidant, anti-inflammatory, and lipid-lowering effects have shown promising results in both clinical and preclinical models of liver disease</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{"citationItems":[{"id":"ITEM-1","itemData":{"DOI":"10.1080/13813455.2021.1939387","ISSN":"17444160","PMID":"34153200","abstract":"Imbalance in hepatic lipid metabolism can lead to an abnormal triglycerides deposition in the hepatocytes which can cause non-alcoholic fatty liver disease (NAFLD). Four main mechanisms responsible for regulating hepatic lipid metabolism are fatty acid uptake, de novo lipogenesis, lipolysis and fatty acid oxidation. Controlling the expression of transcription factors at molecular level plays a crucial role in NAFLD management. This paper reviews various medicinal plants and their bioactive compounds emphasising mechanisms involved in hepatic lipid metabolism, other important NAFLD pathological features, and their promising roles in managing NAFLD through regulating key transcription factors. Although there are many medicinal plants popularly investigated for NAFLD treatment, there is still little information and scientific evidence available and there has been no research on clinical trials scrutinised on this matter. This review also aims to provide molecular information of medicinal plants in NALFD treatment that might have potentials for future scientifically controlled studies.","author":[{"dropping-particle":"","family":"Zakaria","given":"Zaida","non-dropping-particle":"","parse-names":false,"suffix":""},{"dropping-particle":"","family":"Othman","given":"Zaidatul Akmal","non-dropping-particle":"","parse-names":false,"suffix":""},{"dropping-particle":"","family":"Nna","given":"Victor Udo","non-dropping-particle":"","parse-names":false,"suffix":""},{"dropping-particle":"","family":"Mohamed","given":"Mahaneem","non-dropping-particle":"","parse-names":false,"suffix":""}],"container-title":"Archives of Physiology and Biochemistry","id":"ITEM-1","issued":{"date-parts":[["2023"]]},"page":"1262-1278","publisher":"Taylor and Francis Ltd.","title":"The promising roles of medicinal plants and bioactive compounds on hepatic lipid metabolism in the treatment of non-alcoholic fatty liver disease in animal models: molecular targets","type":"article","volume":"129"},"uris":["http://www.mendeley.com/documents/?uuid=9202d80e-51d4-340e-9d13-4837df8281bf"]}],"mendeley":{"formattedCitation":"(Zakaria et al., 2023)","plainTextFormattedCitation":"(Zakaria et al., 2023)","previouslyFormattedCitation":"(Zakaria et al., 2023)"},"properties":{"noteIndex":0},"schema":"https://github.com/citation-style-language/schema/raw/master/csl-citation.json"}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(Zakaria et al., 2023)</w:t>
      </w:r>
      <w:r w:rsidR="003D02DB" w:rsidRPr="00CB14C3">
        <w:rPr>
          <w:rStyle w:val="FootnoteReference"/>
          <w:rFonts w:ascii="Arial" w:hAnsi="Arial" w:cs="Arial"/>
          <w:sz w:val="20"/>
          <w:szCs w:val="20"/>
          <w:lang w:val="en-GB"/>
        </w:rPr>
        <w:fldChar w:fldCharType="end"/>
      </w:r>
      <w:r w:rsidR="00661232" w:rsidRPr="00CB14C3">
        <w:rPr>
          <w:rFonts w:ascii="Arial" w:hAnsi="Arial" w:cs="Arial"/>
          <w:sz w:val="20"/>
          <w:szCs w:val="20"/>
          <w:lang w:val="en-GB"/>
        </w:rPr>
        <w:t xml:space="preserve">. According to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{"citationItems":[{"id":"ITEM-1","itemData":{"DOI":"10.1007/978-3-319-43806-1_2","abstract":"Herbal medicine, or “phyto-medicine,” refers to the practice of using plant material for medicinal purposes. Herbal medicine has a long tradition of use outside of conventional medicine, its earliest evidence of human use being recorded during excavations of Neanderthal sites, such as the Shanidar caves in northern Iraq. Many herbal medicines have evolved through traditional use within a specific cultural context. For some cultures, the traditional use is documented in written texts, and for others the traditional knowledge and its use have been passed down orally from one generation to the next. Several herbal drugs have yielded important modern therapeutic agents e.g., aspirin (Salix spp L.), taxol (Taxus baccata L.), and the Vinca alkaloids (Catharanthus roseus (L.) G.Don). Herbal medicines also play a significant and increasingly important role in global healthcare, where they are finding new and expanding markets as health foods and preventative medicines. The sources of the supply of medicinal plants are wild harvested and cultivated materials, and there are increasing demands for a sustainable supply of quality material. The worldwide annual market for herbal products approaches US $60 billion. The global “functional food” and dietary supplement markets are growing at a significant pace and have requirements for increasing quantities of high quality herbal materials.","author":[{"dropping-particle":"","family":"Sendker","given":"Jandirk","non-dropping-particle":"","parse-names":false,"suffix":""},{"dropping-particle":"","family":"Sheridan","given":"Helen","non-dropping-particle":"","parse-names":false,"suffix":""}],"container-title":"Toxicology of Herbal Products","id":"ITEM-1","issued":{"date-parts":[["2017","1"]]},"page":"11-27","publisher":"Springer International Publishing","title":"History and current status of herbal medicines","type":"chapter"},"uris":["http://www.mendeley.com/documents/?uuid=ac9539a6-5166-306f-9903-12e8eea91a19"]}],"mendeley":{"formattedCitation":"(Sendker &amp; Sheridan, 2017)","manualFormatting":"Sendker &amp; Sheridan, (2017)","plainTextFormattedCitation":"(Sendker &amp; Sheridan, 2017)","previouslyFormattedCitation":"(Sendker &amp; Sheridan, 2017)"},"properties":{"noteIndex":0},"schema":"https://github.com/citation-style-language/schema/raw/master/csl-citation.json"}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Sendker &amp; Sheridan, (2017)</w:t>
      </w:r>
      <w:r w:rsidR="003D02DB" w:rsidRPr="00CB14C3">
        <w:rPr>
          <w:rStyle w:val="FootnoteReference"/>
          <w:rFonts w:ascii="Arial" w:hAnsi="Arial" w:cs="Arial"/>
          <w:sz w:val="20"/>
          <w:szCs w:val="20"/>
          <w:lang w:val="en-GB"/>
        </w:rPr>
        <w:fldChar w:fldCharType="end"/>
      </w:r>
      <w:r w:rsidR="000246F2" w:rsidRPr="00CB14C3">
        <w:rPr>
          <w:rFonts w:ascii="Arial" w:hAnsi="Arial" w:cs="Arial"/>
          <w:sz w:val="20"/>
          <w:szCs w:val="20"/>
          <w:lang w:val="en-GB"/>
        </w:rPr>
        <w:t xml:space="preserve"> </w:t>
      </w:r>
      <w:r w:rsidR="00661232" w:rsidRPr="00CB14C3">
        <w:rPr>
          <w:rFonts w:ascii="Arial" w:hAnsi="Arial" w:cs="Arial"/>
          <w:sz w:val="20"/>
          <w:szCs w:val="20"/>
          <w:lang w:val="en-GB"/>
        </w:rPr>
        <w:t>many herbal remedies have evolved through traditional use within a specific cultural context. For some cultures, the traditional use is documented in written texts, and for others, the knowledge and traditional use are passed down orally from generation to generation</w:t>
      </w:r>
      <w:r w:rsidR="000246F2" w:rsidRPr="00CB14C3">
        <w:rPr>
          <w:rFonts w:ascii="Arial" w:hAnsi="Arial" w:cs="Arial"/>
          <w:sz w:val="20"/>
          <w:szCs w:val="20"/>
          <w:lang w:val="en-GB"/>
        </w:rPr>
        <w:t xml:space="preserve">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{"citationItems":[{"id":"ITEM-1","itemData":{"DOI":"10.1007/978-3-319-43806-1_2","abstract":"Herbal medicine, or “phyto-medicine,” refers to the practice of using plant material for medicinal purposes. Herbal medicine has a long tradition of use outside of conventional medicine, its earliest evidence of human use being recorded during excavations of Neanderthal sites, such as the Shanidar caves in northern Iraq. Many herbal medicines have evolved through traditional use within a specific cultural context. For some cultures, the traditional use is documented in written texts, and for others the traditional knowledge and its use have been passed down orally from one generation to the next. Several herbal drugs have yielded important modern therapeutic agents e.g., aspirin (Salix spp L.), taxol (Taxus baccata L.), and the Vinca alkaloids (Catharanthus roseus (L.) G.Don). Herbal medicines also play a significant and increasingly important role in global healthcare, where they are finding new and expanding markets as health foods and preventative medicines. The sources of the supply of medicinal plants are wild harvested and cultivated materials, and there are increasing demands for a sustainable supply of quality material. The worldwide annual market for herbal products approaches US $60 billion. The global “functional food” and dietary supplement markets are growing at a significant pace and have requirements for increasing quantities of high quality herbal materials.","author":[{"dropping-particle":"","family":"Sendker","given":"Jandirk","non-dropping-particle":"","parse-names":false,"suffix":""},{"dropping-particle":"","family":"Sheridan","given":"Helen","non-dropping-particle":"","parse-names":false,"suffix":""}],"container-title":"Toxicology of Herbal Products","id":"ITEM-1","issued":{"date-parts":[["2017","1"]]},"page":"11-27","publisher":"Springer International Publishing","title":"History and current status of herbal medicines","type":"chapter"},"uris":["http://www.mendeley.com/documents/?uuid=ac9539a6-5166-306f-9903-12e8eea91a19"]}],"mendeley":{"formattedCitation":"(Sendker &amp; Sheridan, 2017)","plainTextFormattedCitation":"(Sendker &amp; Sheridan, 2017)","previouslyFormattedCitation":"(Sendker &amp; Sheridan, 2017)"},"properties":{"noteIndex":0},"schema":"https://github.com/citation-style-language/schema/raw/master/csl-citation.json"}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(Sendker &amp; Sheridan, 2017)</w:t>
      </w:r>
      <w:r w:rsidR="003D02DB" w:rsidRPr="00CB14C3">
        <w:rPr>
          <w:rStyle w:val="FootnoteReference"/>
          <w:rFonts w:ascii="Arial" w:hAnsi="Arial" w:cs="Arial"/>
          <w:sz w:val="20"/>
          <w:szCs w:val="20"/>
          <w:lang w:val="en-GB"/>
        </w:rPr>
        <w:fldChar w:fldCharType="end"/>
      </w:r>
      <w:r w:rsidR="00661232" w:rsidRPr="00CB14C3">
        <w:rPr>
          <w:rFonts w:ascii="Arial" w:hAnsi="Arial" w:cs="Arial"/>
          <w:sz w:val="20"/>
          <w:szCs w:val="20"/>
          <w:lang w:val="en-GB"/>
        </w:rPr>
        <w:t xml:space="preserve">. </w:t>
      </w:r>
      <w:r w:rsidR="00CE55B0"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00CE55B0" w:rsidRPr="00CB14C3">
        <w:rPr>
          <w:rFonts w:ascii="Arial" w:hAnsi="Arial" w:cs="Arial"/>
          <w:i/>
          <w:sz w:val="20"/>
          <w:szCs w:val="20"/>
          <w:lang w:val="en-GB"/>
        </w:rPr>
        <w:t>,</w:t>
      </w:r>
      <w:r w:rsidR="009B2B50" w:rsidRPr="00CB14C3">
        <w:rPr>
          <w:rFonts w:ascii="Arial" w:hAnsi="Arial" w:cs="Arial"/>
          <w:sz w:val="20"/>
          <w:szCs w:val="20"/>
          <w:lang w:val="en-GB"/>
        </w:rPr>
        <w:t xml:space="preserve"> also known as s</w:t>
      </w:r>
      <w:r w:rsidR="00CE55B0" w:rsidRPr="00CB14C3">
        <w:rPr>
          <w:rFonts w:ascii="Arial" w:hAnsi="Arial" w:cs="Arial"/>
          <w:sz w:val="20"/>
          <w:szCs w:val="20"/>
          <w:lang w:val="en-GB"/>
        </w:rPr>
        <w:t>piny amaranth,</w:t>
      </w:r>
      <w:r w:rsidR="009B2B50" w:rsidRPr="00CB14C3">
        <w:rPr>
          <w:rFonts w:ascii="Arial" w:hAnsi="Arial" w:cs="Arial"/>
          <w:sz w:val="20"/>
          <w:szCs w:val="20"/>
          <w:lang w:val="en-GB"/>
        </w:rPr>
        <w:t xml:space="preserve"> has </w:t>
      </w:r>
      <w:r w:rsidR="00CE55B0" w:rsidRPr="00CB14C3">
        <w:rPr>
          <w:rFonts w:ascii="Arial" w:hAnsi="Arial" w:cs="Arial"/>
          <w:sz w:val="20"/>
          <w:szCs w:val="20"/>
          <w:lang w:val="en-GB"/>
        </w:rPr>
        <w:t>a wide distribution in tropical and subtropical zones. It has been employed in ethnomedicine for the treatment of many ailments, viz.</w:t>
      </w:r>
      <w:r w:rsidR="009B2B50" w:rsidRPr="00CB14C3">
        <w:rPr>
          <w:rFonts w:ascii="Arial" w:hAnsi="Arial" w:cs="Arial"/>
          <w:sz w:val="20"/>
          <w:szCs w:val="20"/>
          <w:lang w:val="en-GB"/>
        </w:rPr>
        <w:t>,</w:t>
      </w:r>
      <w:r w:rsidR="00CE55B0" w:rsidRPr="00CB14C3">
        <w:rPr>
          <w:rFonts w:ascii="Arial" w:hAnsi="Arial" w:cs="Arial"/>
          <w:sz w:val="20"/>
          <w:szCs w:val="20"/>
          <w:lang w:val="en-GB"/>
        </w:rPr>
        <w:t xml:space="preserve"> gastrointestinal problems, inflammation, and liver disease. </w:t>
      </w:r>
      <w:r w:rsidR="002C6EDF" w:rsidRPr="00CB14C3">
        <w:rPr>
          <w:rFonts w:ascii="Arial" w:hAnsi="Arial" w:cs="Arial"/>
          <w:sz w:val="20"/>
          <w:szCs w:val="20"/>
          <w:lang w:val="en-GB"/>
        </w:rPr>
        <w:t xml:space="preserve">According to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{"citationItems":[{"id":"ITEM-1","itemData":{"ISSN":"2278-4136","abstract":"This review deals with the nutritional and medicinal value of plant Amaranthus spinosus. Amaranthus species are highly popular group of vegetables to which leaves, shoots, tender stems and grains are eaten as potential herb in sauces or soups, cooked with other vegetables, with a main dish or by itself. The plants are used as feed for farm animals. Traditionally, the boiled leaves and roots are used as laxative, diuretic, anti-diabetic, antipyretic, anti-snake venom, antileprotic, anti-gonorrheal, expectorant and to relieve breathing in acute bronchitis. It also has anti-inflammatory, immunomodulatory, anti-androgenic and anthelmintic properties. The main phytoconstitutents is 7-p coumaroyl apigenin, 4-O-beta-D-glucopyranoside, spinosidexylofuranosyl uracil, beta-D-ribofuranosyl uracil, beta–D-ribofuranosyladenine, beta sistosterol glucoside, hydroxycinnamates, quercetin and kaempferol glycosides, betalains, betaxanthin, betacyanine and isoamaranthine gomphrenin, betanin, b-sistosterol, stigmasteron, linolic acid, 0.15% rutin and beta carotene. Apart from these important phytoconstituents it contains carbohydrates, proteins, fats, fibres, minerals such as iron, calcium, manganese, copper and zinc revealing its nutritional potential. As the plant possess such nutritional values and therapeutic potential it should be included as food supplement.","author":[{"dropping-particle":"","family":"Ganjare","given":"Anjali","non-dropping-particle":"","parse-names":false,"suffix":""},{"dropping-particle":"","family":"Raut","given":"Nishikant","non-dropping-particle":"","parse-names":false,"suffix":""}],"container-title":"Journal of Pharmacognosy and Phytochemistry","id":"ITEM-1","issue":"3","issued":{"date-parts":[["2019"]]},"page":"3149-3156","title":"Nutritional and medicinal potential of Amaranthus spinosus","type":"article-journal","volume":"8"},"uris":["http://www.mendeley.com/documents/?uuid=a41dbb59-4133-4ad6-9b86-4237ebbc5888"]}],"mendeley":{"formattedCitation":"(Ganjare &amp; Raut, 2019)","manualFormatting":"Ganjare &amp; Raut, (2019)","plainTextFormattedCitation":"(Ganjare &amp; Raut, 2019)","previouslyFormattedCitation":"(Ganjare &amp; Raut, 2019)"},"properties":{"noteIndex":0},"schema":"https://github.com/citation-style-language/schema/raw/master/csl-citation.json"}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Ganjare &amp; Raut, (2019)</w:t>
      </w:r>
      <w:r w:rsidR="003D02DB" w:rsidRPr="00CB14C3">
        <w:rPr>
          <w:rStyle w:val="FootnoteReference"/>
          <w:rFonts w:ascii="Arial" w:hAnsi="Arial" w:cs="Arial"/>
          <w:sz w:val="20"/>
          <w:szCs w:val="20"/>
          <w:lang w:val="en-GB"/>
        </w:rPr>
        <w:fldChar w:fldCharType="end"/>
      </w:r>
      <w:r w:rsidR="00D27E03" w:rsidRPr="00CB14C3">
        <w:rPr>
          <w:rFonts w:ascii="Arial" w:hAnsi="Arial" w:cs="Arial"/>
          <w:sz w:val="20"/>
          <w:szCs w:val="20"/>
          <w:lang w:val="en-GB"/>
        </w:rPr>
        <w:t xml:space="preserve">, traditionally, the leaves and roots are boiled and used for their laxative, diuretic, antidiabetic, antipyretic, and expectorant activities, as well as in the treatment of snake bites, leprosy, </w:t>
      </w:r>
      <w:r w:rsidR="00131744" w:rsidRPr="00CB14C3">
        <w:rPr>
          <w:rFonts w:ascii="Arial" w:hAnsi="Arial" w:cs="Arial"/>
          <w:sz w:val="20"/>
          <w:szCs w:val="20"/>
          <w:lang w:val="en-GB"/>
        </w:rPr>
        <w:t>gonorrhoea</w:t>
      </w:r>
      <w:r w:rsidR="00D27E03" w:rsidRPr="00CB14C3">
        <w:rPr>
          <w:rFonts w:ascii="Arial" w:hAnsi="Arial" w:cs="Arial"/>
          <w:sz w:val="20"/>
          <w:szCs w:val="20"/>
          <w:lang w:val="en-GB"/>
        </w:rPr>
        <w:t xml:space="preserve">, and acute bronchitis. The plant reportedly possesses anti-inflammatory, immunomodulatory, anti-androgenic, and anthelmintic activities. These pharmacological actions are thought to be due to its high content of amino acids, flavonoids, and phenolic acids, which are largely responsible for its hepatoprotective and antioxidant activities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{"citationItems":[{"id":"ITEM-1","itemData":{"ISSN":"2278-4136","abstract":"This review deals with the nutritional and medicinal value of plant Amaranthus spinosus. Amaranthus species are highly popular group of vegetables to which leaves, shoots, tender stems and grains are eaten as potential herb in sauces or soups, cooked with other vegetables, with a main dish or by itself. The plants are used as feed for farm animals. Traditionally, the boiled leaves and roots are used as laxative, diuretic, anti-diabetic, antipyretic, anti-snake venom, antileprotic, anti-gonorrheal, expectorant and to relieve breathing in acute bronchitis. It also has anti-inflammatory, immunomodulatory, anti-androgenic and anthelmintic properties. The main phytoconstitutents is 7-p coumaroyl apigenin, 4-O-beta-D-glucopyranoside, spinosidexylofuranosyl uracil, beta-D-ribofuranosyl uracil, beta–D-ribofuranosyladenine, beta sistosterol glucoside, hydroxycinnamates, quercetin and kaempferol glycosides, betalains, betaxanthin, betacyanine and isoamaranthine gomphrenin, betanin, b-sistosterol, stigmasteron, linolic acid, 0.15% rutin and beta carotene. Apart from these important phytoconstituents it contains carbohydrates, proteins, fats, fibres, minerals such as iron, calcium, manganese, copper and zinc revealing its nutritional potential. As the plant possess such nutritional values and therapeutic potential it should be included as food supplement.","author":[{"dropping-particle":"","family":"Ganjare","given":"Anjali","non-dropping-particle":"","parse-names":false,"suffix":""},{"dropping-particle":"","family":"Raut","given":"Nishikant","non-dropping-particle":"","parse-names":false,"suffix":""}],"container-title":"Journal of Pharmacognosy and Phytochemistry","id":"ITEM-1","issue":"3","issued":{"date-parts":[["2019"]]},"page":"3149-3156","title":"Nutritional and medicinal potential of Amaranthus spinosus","type":"article-journal","volume":"8"},"uris":["http://www.mendeley.com/documents/?uuid=a41dbb59-4133-4ad6-9b86-4237ebbc5888"]}],"mendeley":{"formattedCitation":"(Ganjare &amp; Raut, 2019)","plainTextFormattedCitation":"(Ganjare &amp; Raut, 2019)","previouslyFormattedCitation":"(Ganjare &amp; Raut, 2019)"},"properties":{"noteIndex":0},"schema":"https://github.com/citation-style-language/schema/raw/master/csl-citation.json"}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(Ganjare &amp; Raut, 2019)</w:t>
      </w:r>
      <w:r w:rsidR="003D02DB" w:rsidRPr="00CB14C3">
        <w:rPr>
          <w:rStyle w:val="FootnoteReference"/>
          <w:rFonts w:ascii="Arial" w:hAnsi="Arial" w:cs="Arial"/>
          <w:sz w:val="20"/>
          <w:szCs w:val="20"/>
          <w:lang w:val="en-GB"/>
        </w:rPr>
        <w:fldChar w:fldCharType="end"/>
      </w:r>
      <w:r w:rsidR="00CE55B0" w:rsidRPr="00CB14C3">
        <w:rPr>
          <w:rFonts w:ascii="Arial" w:hAnsi="Arial" w:cs="Arial"/>
          <w:sz w:val="20"/>
          <w:szCs w:val="20"/>
          <w:lang w:val="en-GB"/>
        </w:rPr>
        <w:t xml:space="preserve">. </w:t>
      </w:r>
      <w:r w:rsidR="002C6EDF" w:rsidRPr="00CB14C3">
        <w:rPr>
          <w:rFonts w:ascii="Arial" w:hAnsi="Arial" w:cs="Arial"/>
          <w:sz w:val="20"/>
          <w:szCs w:val="20"/>
          <w:lang w:val="en-GB"/>
        </w:rPr>
        <w:t xml:space="preserve">In phytochemical studies by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{"citationItems":[{"id":"ITEM-1","itemData":{"ISSN":"09754873","abstract":"This work presents a brief overview of the morphological, phytochemical and pharmacological properties of Amaranthus spinosus Linn. The available information on the ethnopharmacological uses in traditional medicine, phytochemistry, pharmacology and clinical practice of Amaranthus spinosus were collected via a library and electronic search (PubMed, ScienceDirect, Google Scholar and Spingerlink). Phytochemical investigation of this plant has resulted in the identification of more than 20 active chemical constituents, among which betalains, hydroxycinnamates, saponins, steroids and flavonoids are the predominant ones. The plant has desirable effects like cooling, digestible, alexiteric, laxative, diuretic, stomachic, antipyretic, improves the appetite, useful in kapha and biliousness, blood disease, burning sensation, hallucination, leprosy, bronchitis, rat bite, piles and leucorrhoea. This article enumerates an overview of phytochemical and pharmacological aspects that is useful to researchers for further exploration necessary for the development of this potential herb.","author":[{"dropping-particle":"","family":"Tanmoy","given":"Guria","non-dropping-particle":"","parse-names":false,"suffix":""},{"dropping-particle":"","family":"Arijit","given":"Mondal","non-dropping-particle":"","parse-names":false,"suffix":""},{"dropping-particle":"","family":"Tanushree","given":"Singha","non-dropping-particle":"","parse-names":false,"suffix":""},{"dropping-particle":"","family":"Jagadish","given":"Singh","non-dropping-particle":"","parse-names":false,"suffix":""},{"dropping-particle":"","family":"Kumar","given":"Maity Tapan","non-dropping-particle":"","parse-names":false,"suffix":""}],"container-title":"International Journal of Pharmacognosy and Phytochemical Research","id":"ITEM-1","issue":"2","issued":{"date-parts":[["2014"]]},"page":"405-413","title":"Pharmacological actions and phytoconstituents of Amaranthus spinosus Linn: A review","type":"article-journal","volume":"6"},"uris":["http://www.mendeley.com/documents/?uuid=42d43204-7dce-429a-bc8e-7a26220aa098"]}],"mendeley":{"formattedCitation":"(Tanmoy et al., 2014)","manualFormatting":"Tanmoy et al., (2014)","plainTextFormattedCitation":"(Tanmoy et al., 2014)","previouslyFormattedCitation":"(Tanmoy et al., 2014)"},"properties":{"noteIndex":0},"schema":"https://github.com/citation-style-language/schema/raw/master/csl-citation.json"}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Tanmoy et al., (2014)</w:t>
      </w:r>
      <w:r w:rsidR="003D02DB" w:rsidRPr="00CB14C3">
        <w:rPr>
          <w:rStyle w:val="FootnoteReference"/>
          <w:rFonts w:ascii="Arial" w:hAnsi="Arial" w:cs="Arial"/>
          <w:sz w:val="20"/>
          <w:szCs w:val="20"/>
          <w:lang w:val="en-GB"/>
        </w:rPr>
        <w:fldChar w:fldCharType="end"/>
      </w:r>
      <w:r w:rsidR="00CE55B0" w:rsidRPr="00CB14C3">
        <w:rPr>
          <w:rFonts w:ascii="Arial" w:hAnsi="Arial" w:cs="Arial"/>
          <w:sz w:val="20"/>
          <w:szCs w:val="20"/>
          <w:lang w:val="en-GB"/>
        </w:rPr>
        <w:t xml:space="preserve"> major phytoconstituents found in its methanolic extracts are 7-coumaroyl apigenin, 4-O-β-D-glucopyranoside, </w:t>
      </w:r>
      <w:proofErr w:type="spellStart"/>
      <w:r w:rsidR="00CE55B0" w:rsidRPr="00CB14C3">
        <w:rPr>
          <w:rFonts w:ascii="Arial" w:hAnsi="Arial" w:cs="Arial"/>
          <w:sz w:val="20"/>
          <w:szCs w:val="20"/>
          <w:lang w:val="en-GB"/>
        </w:rPr>
        <w:t>spinosidexylofuranosyl</w:t>
      </w:r>
      <w:proofErr w:type="spellEnd"/>
      <w:r w:rsidR="00CE55B0" w:rsidRPr="00CB14C3">
        <w:rPr>
          <w:rFonts w:ascii="Arial" w:hAnsi="Arial" w:cs="Arial"/>
          <w:sz w:val="20"/>
          <w:szCs w:val="20"/>
          <w:lang w:val="en-GB"/>
        </w:rPr>
        <w:t xml:space="preserve"> uracil, β-D-</w:t>
      </w:r>
      <w:proofErr w:type="spellStart"/>
      <w:r w:rsidR="00CE55B0" w:rsidRPr="00CB14C3">
        <w:rPr>
          <w:rFonts w:ascii="Arial" w:hAnsi="Arial" w:cs="Arial"/>
          <w:sz w:val="20"/>
          <w:szCs w:val="20"/>
          <w:lang w:val="en-GB"/>
        </w:rPr>
        <w:t>ribofuranosyl</w:t>
      </w:r>
      <w:proofErr w:type="spellEnd"/>
      <w:r w:rsidR="00CE55B0" w:rsidRPr="00CB14C3">
        <w:rPr>
          <w:rFonts w:ascii="Arial" w:hAnsi="Arial" w:cs="Arial"/>
          <w:sz w:val="20"/>
          <w:szCs w:val="20"/>
          <w:lang w:val="en-GB"/>
        </w:rPr>
        <w:t xml:space="preserve"> uracil, β-D-</w:t>
      </w:r>
      <w:proofErr w:type="spellStart"/>
      <w:r w:rsidR="00CE55B0" w:rsidRPr="00CB14C3">
        <w:rPr>
          <w:rFonts w:ascii="Arial" w:hAnsi="Arial" w:cs="Arial"/>
          <w:sz w:val="20"/>
          <w:szCs w:val="20"/>
          <w:lang w:val="en-GB"/>
        </w:rPr>
        <w:t>ribofuranosyladenine</w:t>
      </w:r>
      <w:proofErr w:type="spellEnd"/>
      <w:r w:rsidR="00CE55B0" w:rsidRPr="00CB14C3">
        <w:rPr>
          <w:rFonts w:ascii="Arial" w:hAnsi="Arial" w:cs="Arial"/>
          <w:sz w:val="20"/>
          <w:szCs w:val="20"/>
          <w:lang w:val="en-GB"/>
        </w:rPr>
        <w:t xml:space="preserve">, β-sitosterol glucoside, hydroxycinnamates, quercetin and kaempferol glycosides, and a variety of </w:t>
      </w:r>
      <w:proofErr w:type="spellStart"/>
      <w:r w:rsidR="00CE55B0" w:rsidRPr="00CB14C3">
        <w:rPr>
          <w:rFonts w:ascii="Arial" w:hAnsi="Arial" w:cs="Arial"/>
          <w:sz w:val="20"/>
          <w:szCs w:val="20"/>
          <w:lang w:val="en-GB"/>
        </w:rPr>
        <w:t>betalains</w:t>
      </w:r>
      <w:proofErr w:type="spellEnd"/>
      <w:r w:rsidR="00CE55B0" w:rsidRPr="00CB14C3">
        <w:rPr>
          <w:rFonts w:ascii="Arial" w:hAnsi="Arial" w:cs="Arial"/>
          <w:sz w:val="20"/>
          <w:szCs w:val="20"/>
          <w:lang w:val="en-GB"/>
        </w:rPr>
        <w:t xml:space="preserve"> including betaxanthins, </w:t>
      </w:r>
      <w:proofErr w:type="spellStart"/>
      <w:r w:rsidR="00CE55B0" w:rsidRPr="00CB14C3">
        <w:rPr>
          <w:rFonts w:ascii="Arial" w:hAnsi="Arial" w:cs="Arial"/>
          <w:sz w:val="20"/>
          <w:szCs w:val="20"/>
          <w:lang w:val="en-GB"/>
        </w:rPr>
        <w:t>betacyanins</w:t>
      </w:r>
      <w:proofErr w:type="spellEnd"/>
      <w:r w:rsidR="00CE55B0" w:rsidRPr="00CB14C3">
        <w:rPr>
          <w:rFonts w:ascii="Arial" w:hAnsi="Arial" w:cs="Arial"/>
          <w:sz w:val="20"/>
          <w:szCs w:val="20"/>
          <w:lang w:val="en-GB"/>
        </w:rPr>
        <w:t xml:space="preserve">, </w:t>
      </w:r>
      <w:proofErr w:type="spellStart"/>
      <w:r w:rsidR="00CE55B0" w:rsidRPr="00CB14C3">
        <w:rPr>
          <w:rFonts w:ascii="Arial" w:hAnsi="Arial" w:cs="Arial"/>
          <w:sz w:val="20"/>
          <w:szCs w:val="20"/>
          <w:lang w:val="en-GB"/>
        </w:rPr>
        <w:t>isoamaranthine</w:t>
      </w:r>
      <w:proofErr w:type="spellEnd"/>
      <w:r w:rsidR="00CE55B0" w:rsidRPr="00CB14C3">
        <w:rPr>
          <w:rFonts w:ascii="Arial" w:hAnsi="Arial" w:cs="Arial"/>
          <w:sz w:val="20"/>
          <w:szCs w:val="20"/>
          <w:lang w:val="en-GB"/>
        </w:rPr>
        <w:t xml:space="preserve">, </w:t>
      </w:r>
      <w:proofErr w:type="spellStart"/>
      <w:r w:rsidR="00CE55B0" w:rsidRPr="00CB14C3">
        <w:rPr>
          <w:rFonts w:ascii="Arial" w:hAnsi="Arial" w:cs="Arial"/>
          <w:sz w:val="20"/>
          <w:szCs w:val="20"/>
          <w:lang w:val="en-GB"/>
        </w:rPr>
        <w:t>gomphrenin</w:t>
      </w:r>
      <w:proofErr w:type="spellEnd"/>
      <w:r w:rsidR="00CE55B0" w:rsidRPr="00CB14C3">
        <w:rPr>
          <w:rFonts w:ascii="Arial" w:hAnsi="Arial" w:cs="Arial"/>
          <w:sz w:val="20"/>
          <w:szCs w:val="20"/>
          <w:lang w:val="en-GB"/>
        </w:rPr>
        <w:t xml:space="preserve">, and betanin. Other interesting compounds are β-sitosterol, stigmasterol, linoleic acid, about 0.15% </w:t>
      </w:r>
      <w:proofErr w:type="spellStart"/>
      <w:r w:rsidR="00CE55B0" w:rsidRPr="00CB14C3">
        <w:rPr>
          <w:rFonts w:ascii="Arial" w:hAnsi="Arial" w:cs="Arial"/>
          <w:sz w:val="20"/>
          <w:szCs w:val="20"/>
          <w:lang w:val="en-GB"/>
        </w:rPr>
        <w:t>rutin</w:t>
      </w:r>
      <w:proofErr w:type="spellEnd"/>
      <w:r w:rsidR="00CE55B0" w:rsidRPr="00CB14C3">
        <w:rPr>
          <w:rFonts w:ascii="Arial" w:hAnsi="Arial" w:cs="Arial"/>
          <w:sz w:val="20"/>
          <w:szCs w:val="20"/>
          <w:lang w:val="en-GB"/>
        </w:rPr>
        <w:t>, and beta-carotene, which together are responsible for the plant's wide range of therapeutic applications.</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{"citationItems":[{"id":"ITEM-1","itemData":{"DOI":"10.1155/2021/1633231","ISSN":"17414288","abstract":"Liver diseases are quite prevalant in many densely populated countries, including Bangladesh. The liver and its hepatocytes are targeted by virus and microbes, as well as by chemical environmental toxicants, causing wide-spread disruption of metabolic fuctions of the human body, leading to death from end-stage liver diseases. The aim of this review is to systematically explore and record the potential of Bangladeshi ethnopharmacological plants to treat liver diseases with focus on their sources, constituents, and therapeutic uses, including mechanisms of actions (MoA). A literature survey was carried out using Pubmed, Google Scholar, ScienceDirect, and Scopus databases with articles reported until July, 2020. A total of 88 Bangladeshi hepatoprotective plants (BHPs) belonging to 47 families were listed in this review, including Euphorbiaceae, Cucurbitaceae, and Compositae families contained 20% of plants, while herbs were the most cited (51%) and leaves were the most consumed parts (23%) as surveyed. The effect of BHPs against different hepatotoxins was observed via upregulation of antioxidant systems and inhibition of lipid peroxidation which subsequently reduced the elevated liver biomarkers. Different active constituents, including phenolics, curcuminoids, cucurbitanes, terpenoids, fatty acids, carotenoids, and polysaccharides, have been reported from these plants. The hepatoameliorative effect of these constituents was mainly involved in the reduction of hepatic oxidative stress and inflammation through activation of Nrf2/HO-1 and inhibition of NF-B signaling pathways. In summary, BHPs represent a valuable resource for hepatoprotective lead therapeutics which may offer new alternatives to treat liver diseases.","author":[{"dropping-particle":"","family":"Rouf","given":"Razina","non-dropping-particle":"","parse-names":false,"suffix":""},{"dropping-particle":"","family":"Ghosh","given":"Puja","non-dropping-particle":"","parse-names":false,"suffix":""},{"dropping-particle":"","family":"Uzzaman","given":"Md Raihan","non-dropping-particle":"","parse-names":false,"suffix":""},{"dropping-particle":"","family":"Sarker","given":"Dipto Kumer","non-dropping-particle":"","parse-names":false,"suffix":""},{"dropping-particle":"","family":"Zahura","given":"Fatima Tuz","non-dropping-particle":"","parse-names":false,"suffix":""},{"dropping-particle":"","family":"Uddin","given":"Shaikh Jamal","non-dropping-particle":"","parse-names":false,"suffix":""},{"dropping-particle":"","family":"Muhammad","given":"Ilias","non-dropping-particle":"","parse-names":false,"suffix":""}],"container-title":"Evidence-based Complementary and Alternative Medicine","id":"ITEM-1","issued":{"date-parts":[["2021"]]},"publisher":"Hindawi Limited","title":"Hepatoprotective Plants from Bangladesh: A Biophytochemical Review and Future Prospect","type":"article","volume":"2021"},"uris":["http://www.mendeley.com/documents/?uuid=419d9c30-94bc-3e76-af39-ee27a4c24a8f"]}],"mendeley":{"formattedCitation":"(Rouf et al., 2021)","plainTextFormattedCitation":"(Rouf et al., 2021)","previouslyFormattedCitation":"(Rouf et al., 2021)"},"properties":{"noteIndex":0},"schema":"https://github.com/citation-style-language/schema/raw/master/csl-citation.json"}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(Rouf et al., 2021)</w:t>
      </w:r>
      <w:r w:rsidR="003D02DB" w:rsidRPr="00CB14C3">
        <w:rPr>
          <w:rStyle w:val="FootnoteReference"/>
          <w:rFonts w:ascii="Arial" w:hAnsi="Arial" w:cs="Arial"/>
          <w:sz w:val="20"/>
          <w:szCs w:val="20"/>
          <w:lang w:val="en-GB"/>
        </w:rPr>
        <w:fldChar w:fldCharType="end"/>
      </w:r>
      <w:r w:rsidR="00661232" w:rsidRPr="00CB14C3">
        <w:rPr>
          <w:rFonts w:ascii="Arial" w:hAnsi="Arial" w:cs="Arial"/>
          <w:sz w:val="20"/>
          <w:szCs w:val="20"/>
          <w:lang w:val="en-GB"/>
        </w:rPr>
        <w:t>.</w:t>
      </w:r>
    </w:p>
    <w:p w:rsidR="008752EA" w:rsidRPr="00CB14C3" w:rsidRDefault="008752EA" w:rsidP="006C3AAB">
      <w:pPr>
        <w:spacing w:line="360" w:lineRule="auto"/>
        <w:jc w:val="both"/>
        <w:rPr>
          <w:rFonts w:ascii="Arial" w:hAnsi="Arial" w:cs="Arial"/>
          <w:sz w:val="20"/>
          <w:szCs w:val="20"/>
          <w:lang w:val="en-GB"/>
        </w:rPr>
      </w:pPr>
      <w:r w:rsidRPr="00CB14C3">
        <w:rPr>
          <w:rFonts w:ascii="Arial" w:hAnsi="Arial" w:cs="Arial"/>
          <w:sz w:val="20"/>
          <w:szCs w:val="20"/>
          <w:lang w:val="en-GB"/>
        </w:rPr>
        <w:t>The use of phototherapy has proven to protect against liver injury both in vivo and in vitro settings (</w:t>
      </w:r>
      <w:proofErr w:type="spellStart"/>
      <w:r w:rsidRPr="00CB14C3">
        <w:rPr>
          <w:rFonts w:ascii="Arial" w:hAnsi="Arial" w:cs="Arial"/>
          <w:sz w:val="20"/>
          <w:szCs w:val="20"/>
          <w:lang w:val="en-GB"/>
        </w:rPr>
        <w:t>Farghali</w:t>
      </w:r>
      <w:proofErr w:type="spellEnd"/>
      <w:r w:rsidRPr="00CB14C3">
        <w:rPr>
          <w:rFonts w:ascii="Arial" w:hAnsi="Arial" w:cs="Arial"/>
          <w:sz w:val="20"/>
          <w:szCs w:val="20"/>
          <w:lang w:val="en-GB"/>
        </w:rPr>
        <w:t xml:space="preserve"> et al., 2015), and it is affordable, available, has diverse pharmacological activities, and has fewer side effects (Levy et al., 2004; Ma et al., 2019). This study aims to evaluate the hepatoprotective effects of </w:t>
      </w:r>
      <w:r w:rsidRPr="00131744">
        <w:rPr>
          <w:rFonts w:ascii="Arial" w:hAnsi="Arial" w:cs="Arial"/>
          <w:i/>
          <w:sz w:val="20"/>
          <w:szCs w:val="20"/>
          <w:lang w:val="en-GB"/>
        </w:rPr>
        <w:t xml:space="preserve">Amaranthus </w:t>
      </w:r>
      <w:proofErr w:type="spellStart"/>
      <w:r w:rsidRPr="00131744">
        <w:rPr>
          <w:rFonts w:ascii="Arial" w:hAnsi="Arial" w:cs="Arial"/>
          <w:i/>
          <w:sz w:val="20"/>
          <w:szCs w:val="20"/>
          <w:lang w:val="en-GB"/>
        </w:rPr>
        <w:t>spinosus</w:t>
      </w:r>
      <w:proofErr w:type="spellEnd"/>
      <w:r w:rsidRPr="00CB14C3">
        <w:rPr>
          <w:rFonts w:ascii="Arial" w:hAnsi="Arial" w:cs="Arial"/>
          <w:sz w:val="20"/>
          <w:szCs w:val="20"/>
          <w:lang w:val="en-GB"/>
        </w:rPr>
        <w:t xml:space="preserve"> extract on ethanol-induced liver damage in Wistar rats. Specifically, the study investigates the modulation of liver function markers and lipid profile parameters to determine the protective potential of the plant extract against alcohol-mediated hepatotoxicity.</w:t>
      </w:r>
    </w:p>
    <w:p w:rsidR="00CF18BE" w:rsidRPr="00CB14C3" w:rsidRDefault="008752EA" w:rsidP="006C3AAB">
      <w:pPr>
        <w:spacing w:line="360" w:lineRule="auto"/>
        <w:jc w:val="both"/>
        <w:rPr>
          <w:rFonts w:ascii="Times New Roman" w:hAnsi="Times New Roman" w:cs="Times New Roman"/>
          <w:sz w:val="24"/>
          <w:szCs w:val="24"/>
          <w:lang w:val="en-GB"/>
        </w:rPr>
        <w:sectPr w:rsidR="00CF18BE" w:rsidRPr="00CB14C3" w:rsidSect="006C3AAB">
          <w:type w:val="continuous"/>
          <w:pgSz w:w="12240" w:h="15840"/>
          <w:pgMar w:top="1440" w:right="1440" w:bottom="1440" w:left="1440" w:header="720" w:footer="720" w:gutter="0"/>
          <w:cols w:space="720"/>
          <w:docGrid w:linePitch="360"/>
        </w:sectPr>
      </w:pPr>
      <w:r w:rsidRPr="00CB14C3">
        <w:rPr>
          <w:rFonts w:ascii="Times New Roman" w:hAnsi="Times New Roman" w:cs="Times New Roman"/>
          <w:sz w:val="24"/>
          <w:szCs w:val="24"/>
          <w:lang w:val="en-GB"/>
        </w:rPr>
        <w:br w:type="page"/>
      </w:r>
    </w:p>
    <w:p w:rsidR="001A5023" w:rsidRPr="00CB14C3" w:rsidRDefault="008A03DA" w:rsidP="006C3AAB">
      <w:pPr>
        <w:tabs>
          <w:tab w:val="left" w:pos="1665"/>
        </w:tabs>
        <w:spacing w:line="360" w:lineRule="auto"/>
        <w:jc w:val="both"/>
        <w:rPr>
          <w:rFonts w:ascii="Arial" w:hAnsi="Arial" w:cs="Arial"/>
          <w:b/>
          <w:lang w:val="en-GB"/>
        </w:rPr>
      </w:pPr>
      <w:r w:rsidRPr="00CB14C3">
        <w:rPr>
          <w:rFonts w:ascii="Arial" w:hAnsi="Arial" w:cs="Arial"/>
          <w:b/>
          <w:lang w:val="en-GB"/>
        </w:rPr>
        <w:lastRenderedPageBreak/>
        <w:t>METHODO</w:t>
      </w:r>
      <w:r w:rsidR="001A5023" w:rsidRPr="00CB14C3">
        <w:rPr>
          <w:rFonts w:ascii="Arial" w:hAnsi="Arial" w:cs="Arial"/>
          <w:b/>
          <w:lang w:val="en-GB"/>
        </w:rPr>
        <w:t>LOGY</w:t>
      </w:r>
    </w:p>
    <w:p w:rsidR="001A5023" w:rsidRPr="00CB14C3" w:rsidRDefault="001A5023" w:rsidP="006C3AAB">
      <w:pPr>
        <w:spacing w:line="360" w:lineRule="auto"/>
        <w:jc w:val="both"/>
        <w:rPr>
          <w:rFonts w:ascii="Arial" w:hAnsi="Arial" w:cs="Arial"/>
          <w:b/>
          <w:lang w:val="en-GB"/>
        </w:rPr>
      </w:pPr>
      <w:r w:rsidRPr="00CB14C3">
        <w:rPr>
          <w:rFonts w:ascii="Arial" w:hAnsi="Arial" w:cs="Arial"/>
          <w:b/>
          <w:lang w:val="en-GB"/>
        </w:rPr>
        <w:t>CHEMICALS AND REAGENT</w:t>
      </w:r>
    </w:p>
    <w:p w:rsidR="001A5023" w:rsidRPr="00CB14C3" w:rsidRDefault="007C6DE2" w:rsidP="006C3AAB">
      <w:pPr>
        <w:spacing w:line="360" w:lineRule="auto"/>
        <w:jc w:val="both"/>
        <w:rPr>
          <w:rFonts w:ascii="Arial" w:hAnsi="Arial" w:cs="Arial"/>
          <w:sz w:val="20"/>
          <w:szCs w:val="20"/>
          <w:lang w:val="en-GB"/>
        </w:rPr>
      </w:pPr>
      <w:r w:rsidRPr="00CB14C3">
        <w:rPr>
          <w:rFonts w:ascii="Arial" w:hAnsi="Arial" w:cs="Arial"/>
          <w:sz w:val="20"/>
          <w:szCs w:val="20"/>
          <w:lang w:val="en-GB"/>
        </w:rPr>
        <w:t>Distilled water, ethanol</w:t>
      </w:r>
      <w:r w:rsidR="00EE0859" w:rsidRPr="00CB14C3">
        <w:rPr>
          <w:rFonts w:ascii="Arial" w:hAnsi="Arial" w:cs="Arial"/>
          <w:sz w:val="20"/>
          <w:szCs w:val="20"/>
          <w:lang w:val="en-GB"/>
        </w:rPr>
        <w:t>(40%v/v)</w:t>
      </w:r>
      <w:r w:rsidRPr="00CB14C3">
        <w:rPr>
          <w:rFonts w:ascii="Arial" w:hAnsi="Arial" w:cs="Arial"/>
          <w:sz w:val="20"/>
          <w:szCs w:val="20"/>
          <w:lang w:val="en-GB"/>
        </w:rPr>
        <w:t>, omeprazole, indomethacin, normal saline, ketamine, potassium c</w:t>
      </w:r>
      <w:r w:rsidR="009451AE" w:rsidRPr="00CB14C3">
        <w:rPr>
          <w:rFonts w:ascii="Arial" w:hAnsi="Arial" w:cs="Arial"/>
          <w:sz w:val="20"/>
          <w:szCs w:val="20"/>
          <w:lang w:val="en-GB"/>
        </w:rPr>
        <w:t>hloride, 10% formalin,</w:t>
      </w:r>
      <w:r w:rsidRPr="00CB14C3">
        <w:rPr>
          <w:rFonts w:ascii="Arial" w:hAnsi="Arial" w:cs="Arial"/>
          <w:sz w:val="20"/>
          <w:szCs w:val="20"/>
          <w:lang w:val="en-GB"/>
        </w:rPr>
        <w:t xml:space="preserve"> 1% hydrochloric acid, ammonium hydroxide, acetic </w:t>
      </w:r>
      <w:proofErr w:type="spellStart"/>
      <w:r w:rsidRPr="00CB14C3">
        <w:rPr>
          <w:rFonts w:ascii="Arial" w:hAnsi="Arial" w:cs="Arial"/>
          <w:sz w:val="20"/>
          <w:szCs w:val="20"/>
          <w:lang w:val="en-GB"/>
        </w:rPr>
        <w:t>anhydrid</w:t>
      </w:r>
      <w:proofErr w:type="spellEnd"/>
      <w:r w:rsidRPr="00CB14C3">
        <w:rPr>
          <w:rFonts w:ascii="Arial" w:hAnsi="Arial" w:cs="Arial"/>
          <w:sz w:val="20"/>
          <w:szCs w:val="20"/>
          <w:lang w:val="en-GB"/>
        </w:rPr>
        <w:t xml:space="preserve">, dilute </w:t>
      </w:r>
      <w:proofErr w:type="spellStart"/>
      <w:r w:rsidRPr="00CB14C3">
        <w:rPr>
          <w:rFonts w:ascii="Arial" w:hAnsi="Arial" w:cs="Arial"/>
          <w:sz w:val="20"/>
          <w:szCs w:val="20"/>
          <w:lang w:val="en-GB"/>
        </w:rPr>
        <w:t>sulphiric</w:t>
      </w:r>
      <w:proofErr w:type="spellEnd"/>
      <w:r w:rsidRPr="00CB14C3">
        <w:rPr>
          <w:rFonts w:ascii="Arial" w:hAnsi="Arial" w:cs="Arial"/>
          <w:sz w:val="20"/>
          <w:szCs w:val="20"/>
          <w:lang w:val="en-GB"/>
        </w:rPr>
        <w:t xml:space="preserve"> acid, Wagner reagent, 2% sodium bicarbonate, 10% zinc sulphide, </w:t>
      </w:r>
      <w:proofErr w:type="spellStart"/>
      <w:r w:rsidRPr="00CB14C3">
        <w:rPr>
          <w:rFonts w:ascii="Arial" w:hAnsi="Arial" w:cs="Arial"/>
          <w:sz w:val="20"/>
          <w:szCs w:val="20"/>
          <w:lang w:val="en-GB"/>
        </w:rPr>
        <w:t>Dragendorffs</w:t>
      </w:r>
      <w:proofErr w:type="spellEnd"/>
      <w:r w:rsidRPr="00CB14C3">
        <w:rPr>
          <w:rFonts w:ascii="Arial" w:hAnsi="Arial" w:cs="Arial"/>
          <w:sz w:val="20"/>
          <w:szCs w:val="20"/>
          <w:lang w:val="en-GB"/>
        </w:rPr>
        <w:t xml:space="preserve"> reagent, </w:t>
      </w:r>
      <w:proofErr w:type="spellStart"/>
      <w:r w:rsidRPr="00CB14C3">
        <w:rPr>
          <w:rFonts w:ascii="Arial" w:hAnsi="Arial" w:cs="Arial"/>
          <w:sz w:val="20"/>
          <w:szCs w:val="20"/>
          <w:lang w:val="en-GB"/>
        </w:rPr>
        <w:t>Glacia</w:t>
      </w:r>
      <w:proofErr w:type="spellEnd"/>
      <w:r w:rsidRPr="00CB14C3">
        <w:rPr>
          <w:rFonts w:ascii="Arial" w:hAnsi="Arial" w:cs="Arial"/>
          <w:sz w:val="20"/>
          <w:szCs w:val="20"/>
          <w:lang w:val="en-GB"/>
        </w:rPr>
        <w:t xml:space="preserve"> acetic acid, 1,1-Diphenyl-2-Picryl-Hydrazyl (DPPH), Absolute Alcohol, Paraffin wax, </w:t>
      </w:r>
      <w:r w:rsidR="003303D6" w:rsidRPr="00CB14C3">
        <w:rPr>
          <w:rFonts w:ascii="Arial" w:hAnsi="Arial" w:cs="Arial"/>
          <w:sz w:val="20"/>
          <w:szCs w:val="20"/>
          <w:lang w:val="en-GB"/>
        </w:rPr>
        <w:t>Xylene, Standard 50 mg/kg Silymarin</w:t>
      </w:r>
      <w:r w:rsidR="00B35A6D" w:rsidRPr="00CB14C3">
        <w:rPr>
          <w:rFonts w:ascii="Arial" w:hAnsi="Arial" w:cs="Arial"/>
          <w:sz w:val="20"/>
          <w:szCs w:val="20"/>
          <w:lang w:val="en-GB"/>
        </w:rPr>
        <w:t xml:space="preserve">, </w:t>
      </w:r>
      <w:proofErr w:type="gramStart"/>
      <w:r w:rsidR="00B35A6D" w:rsidRPr="00CB14C3">
        <w:rPr>
          <w:rFonts w:ascii="Arial" w:hAnsi="Arial" w:cs="Arial"/>
          <w:sz w:val="20"/>
          <w:szCs w:val="20"/>
          <w:lang w:val="en-GB"/>
        </w:rPr>
        <w:t>EDTA ,</w:t>
      </w:r>
      <w:proofErr w:type="gramEnd"/>
      <w:r w:rsidR="00B35A6D" w:rsidRPr="00CB14C3">
        <w:rPr>
          <w:rFonts w:ascii="Arial" w:hAnsi="Arial" w:cs="Arial"/>
          <w:sz w:val="20"/>
          <w:szCs w:val="20"/>
          <w:lang w:val="en-GB"/>
        </w:rPr>
        <w:t xml:space="preserve"> 0.1 M-phosphate buffer, pH 7.4</w:t>
      </w:r>
      <w:r w:rsidR="00D13103" w:rsidRPr="00CB14C3">
        <w:rPr>
          <w:rFonts w:ascii="Arial" w:hAnsi="Arial" w:cs="Arial"/>
          <w:sz w:val="20"/>
          <w:szCs w:val="20"/>
          <w:lang w:val="en-GB"/>
        </w:rPr>
        <w:t>,</w:t>
      </w:r>
      <w:r w:rsidR="00FF17D3" w:rsidRPr="00CB14C3">
        <w:rPr>
          <w:rFonts w:ascii="Arial" w:hAnsi="Arial" w:cs="Arial"/>
          <w:sz w:val="20"/>
          <w:szCs w:val="20"/>
          <w:lang w:val="en-GB"/>
        </w:rPr>
        <w:t xml:space="preserve"> haematoxylin eosin dye.</w:t>
      </w:r>
    </w:p>
    <w:p w:rsidR="00BA4202" w:rsidRPr="00CB14C3" w:rsidRDefault="001A5023" w:rsidP="006C3AAB">
      <w:pPr>
        <w:spacing w:line="360" w:lineRule="auto"/>
        <w:jc w:val="both"/>
        <w:rPr>
          <w:rFonts w:ascii="Arial" w:hAnsi="Arial" w:cs="Arial"/>
          <w:b/>
          <w:lang w:val="en-GB"/>
        </w:rPr>
      </w:pPr>
      <w:r w:rsidRPr="00CB14C3">
        <w:rPr>
          <w:rFonts w:ascii="Arial" w:hAnsi="Arial" w:cs="Arial"/>
          <w:b/>
          <w:lang w:val="en-GB"/>
        </w:rPr>
        <w:t>PREPARATION OF PLANT EXTRACT</w:t>
      </w:r>
    </w:p>
    <w:p w:rsidR="009451AE" w:rsidRPr="00CB14C3" w:rsidRDefault="009451AE" w:rsidP="006C3AAB">
      <w:pPr>
        <w:spacing w:line="360" w:lineRule="auto"/>
        <w:jc w:val="both"/>
        <w:rPr>
          <w:rFonts w:ascii="Times New Roman" w:hAnsi="Times New Roman" w:cs="Times New Roman"/>
          <w:sz w:val="24"/>
          <w:szCs w:val="24"/>
          <w:lang w:val="en-GB"/>
        </w:rPr>
        <w:sectPr w:rsidR="009451AE" w:rsidRPr="00CB14C3" w:rsidSect="006C3AAB">
          <w:type w:val="continuous"/>
          <w:pgSz w:w="12240" w:h="15840"/>
          <w:pgMar w:top="1440" w:right="1440" w:bottom="1440" w:left="1440" w:header="720" w:footer="720" w:gutter="0"/>
          <w:cols w:space="720"/>
          <w:docGrid w:linePitch="360"/>
        </w:sectPr>
      </w:pPr>
    </w:p>
    <w:p w:rsidR="00BA4202" w:rsidRPr="00CB14C3" w:rsidRDefault="00BA4202" w:rsidP="006C3AAB">
      <w:pPr>
        <w:spacing w:line="360" w:lineRule="auto"/>
        <w:jc w:val="both"/>
        <w:rPr>
          <w:rFonts w:ascii="Arial" w:hAnsi="Arial" w:cs="Arial"/>
          <w:sz w:val="20"/>
          <w:szCs w:val="20"/>
          <w:lang w:val="en-GB"/>
        </w:rPr>
      </w:pPr>
      <w:r w:rsidRPr="00CB14C3">
        <w:rPr>
          <w:rFonts w:ascii="Arial" w:hAnsi="Arial" w:cs="Arial"/>
          <w:sz w:val="20"/>
          <w:szCs w:val="20"/>
          <w:lang w:val="en-GB"/>
        </w:rPr>
        <w:t xml:space="preserve">Fresh leaves of </w:t>
      </w:r>
      <w:r w:rsidRPr="00CB14C3">
        <w:rPr>
          <w:rFonts w:ascii="Arial" w:hAnsi="Arial" w:cs="Arial"/>
          <w:i/>
          <w:sz w:val="20"/>
          <w:szCs w:val="20"/>
          <w:lang w:val="en-GB"/>
        </w:rPr>
        <w:t xml:space="preserve">Amaranthus </w:t>
      </w:r>
      <w:proofErr w:type="spellStart"/>
      <w:r w:rsidR="00046D2D" w:rsidRPr="00CB14C3">
        <w:rPr>
          <w:rFonts w:ascii="Arial" w:hAnsi="Arial" w:cs="Arial"/>
          <w:i/>
          <w:sz w:val="20"/>
          <w:szCs w:val="20"/>
          <w:lang w:val="en-GB"/>
        </w:rPr>
        <w:t>spinosus</w:t>
      </w:r>
      <w:proofErr w:type="spellEnd"/>
      <w:r w:rsidRPr="00CB14C3">
        <w:rPr>
          <w:rFonts w:ascii="Arial" w:hAnsi="Arial" w:cs="Arial"/>
          <w:sz w:val="20"/>
          <w:szCs w:val="20"/>
          <w:lang w:val="en-GB"/>
        </w:rPr>
        <w:t xml:space="preserve"> were collected and washed with distilled water and thoroughly dried under shade</w:t>
      </w:r>
      <w:r w:rsidR="00D75C04" w:rsidRPr="00CB14C3">
        <w:rPr>
          <w:rFonts w:ascii="Arial" w:hAnsi="Arial" w:cs="Arial"/>
          <w:sz w:val="20"/>
          <w:szCs w:val="20"/>
          <w:lang w:val="en-GB"/>
        </w:rPr>
        <w:t xml:space="preserve">. </w:t>
      </w:r>
      <w:r w:rsidRPr="00CB14C3">
        <w:rPr>
          <w:rFonts w:ascii="Arial" w:hAnsi="Arial" w:cs="Arial"/>
          <w:sz w:val="20"/>
          <w:szCs w:val="20"/>
          <w:lang w:val="en-GB"/>
        </w:rPr>
        <w:t>Thereafter, the dried leaves were pulverized to fine powder using a</w:t>
      </w:r>
      <w:r w:rsidR="00D75C04" w:rsidRPr="00CB14C3">
        <w:rPr>
          <w:rFonts w:ascii="Arial" w:hAnsi="Arial" w:cs="Arial"/>
          <w:sz w:val="20"/>
          <w:szCs w:val="20"/>
          <w:lang w:val="en-GB"/>
        </w:rPr>
        <w:t>n electric blender</w:t>
      </w:r>
      <w:r w:rsidRPr="00CB14C3">
        <w:rPr>
          <w:rFonts w:ascii="Arial" w:hAnsi="Arial" w:cs="Arial"/>
          <w:sz w:val="20"/>
          <w:szCs w:val="20"/>
          <w:lang w:val="en-GB"/>
        </w:rPr>
        <w:t xml:space="preserve">. </w:t>
      </w:r>
    </w:p>
    <w:p w:rsidR="0095004E" w:rsidRPr="00CB14C3" w:rsidRDefault="00AE4483" w:rsidP="006C3AAB">
      <w:pPr>
        <w:spacing w:line="360" w:lineRule="auto"/>
        <w:jc w:val="both"/>
        <w:rPr>
          <w:rFonts w:ascii="Arial" w:hAnsi="Arial" w:cs="Arial"/>
          <w:sz w:val="20"/>
          <w:szCs w:val="20"/>
          <w:lang w:val="en-GB"/>
        </w:rPr>
      </w:pPr>
      <w:r w:rsidRPr="00CB14C3">
        <w:rPr>
          <w:rFonts w:ascii="Arial" w:hAnsi="Arial" w:cs="Arial"/>
          <w:sz w:val="20"/>
          <w:szCs w:val="20"/>
          <w:lang w:val="en-GB"/>
        </w:rPr>
        <w:t>Then, 300</w:t>
      </w:r>
      <w:r w:rsidR="00141EFE" w:rsidRPr="00CB14C3">
        <w:rPr>
          <w:rFonts w:ascii="Arial" w:hAnsi="Arial" w:cs="Arial"/>
          <w:sz w:val="20"/>
          <w:szCs w:val="20"/>
          <w:lang w:val="en-GB"/>
        </w:rPr>
        <w:t xml:space="preserve"> </w:t>
      </w:r>
      <w:r w:rsidRPr="00CB14C3">
        <w:rPr>
          <w:rFonts w:ascii="Arial" w:hAnsi="Arial" w:cs="Arial"/>
          <w:sz w:val="20"/>
          <w:szCs w:val="20"/>
          <w:lang w:val="en-GB"/>
        </w:rPr>
        <w:t>g of plant powder was weighed using an electronic weighing balance and soaked in 2</w:t>
      </w:r>
      <w:r w:rsidR="00141EFE" w:rsidRPr="00CB14C3">
        <w:rPr>
          <w:rFonts w:ascii="Arial" w:hAnsi="Arial" w:cs="Arial"/>
          <w:sz w:val="20"/>
          <w:szCs w:val="20"/>
          <w:lang w:val="en-GB"/>
        </w:rPr>
        <w:t>,</w:t>
      </w:r>
      <w:r w:rsidRPr="00CB14C3">
        <w:rPr>
          <w:rFonts w:ascii="Arial" w:hAnsi="Arial" w:cs="Arial"/>
          <w:sz w:val="20"/>
          <w:szCs w:val="20"/>
          <w:lang w:val="en-GB"/>
        </w:rPr>
        <w:t xml:space="preserve">000 ml of </w:t>
      </w:r>
      <w:r w:rsidR="00BA4202" w:rsidRPr="00CB14C3">
        <w:rPr>
          <w:rFonts w:ascii="Arial" w:hAnsi="Arial" w:cs="Arial"/>
          <w:sz w:val="20"/>
          <w:szCs w:val="20"/>
          <w:lang w:val="en-GB"/>
        </w:rPr>
        <w:t>distilled water suspension and stored magnetica</w:t>
      </w:r>
      <w:r w:rsidRPr="00CB14C3">
        <w:rPr>
          <w:rFonts w:ascii="Arial" w:hAnsi="Arial" w:cs="Arial"/>
          <w:sz w:val="20"/>
          <w:szCs w:val="20"/>
          <w:lang w:val="en-GB"/>
        </w:rPr>
        <w:t xml:space="preserve">lly overnight at room temperature. This </w:t>
      </w:r>
      <w:r w:rsidR="00AF69BE" w:rsidRPr="00CB14C3">
        <w:rPr>
          <w:rFonts w:ascii="Arial" w:hAnsi="Arial" w:cs="Arial"/>
          <w:sz w:val="20"/>
          <w:szCs w:val="20"/>
          <w:lang w:val="en-GB"/>
        </w:rPr>
        <w:t>was then</w:t>
      </w:r>
      <w:r w:rsidR="00BA4202" w:rsidRPr="00CB14C3">
        <w:rPr>
          <w:rFonts w:ascii="Arial" w:hAnsi="Arial" w:cs="Arial"/>
          <w:sz w:val="20"/>
          <w:szCs w:val="20"/>
          <w:lang w:val="en-GB"/>
        </w:rPr>
        <w:t xml:space="preserve"> filtered out wi</w:t>
      </w:r>
      <w:r w:rsidR="00AF69BE" w:rsidRPr="00CB14C3">
        <w:rPr>
          <w:rFonts w:ascii="Arial" w:hAnsi="Arial" w:cs="Arial"/>
          <w:sz w:val="20"/>
          <w:szCs w:val="20"/>
          <w:lang w:val="en-GB"/>
        </w:rPr>
        <w:t xml:space="preserve">th a </w:t>
      </w:r>
      <w:proofErr w:type="spellStart"/>
      <w:r w:rsidR="00AF69BE" w:rsidRPr="00CB14C3">
        <w:rPr>
          <w:rFonts w:ascii="Arial" w:hAnsi="Arial" w:cs="Arial"/>
          <w:sz w:val="20"/>
          <w:szCs w:val="20"/>
          <w:lang w:val="en-GB"/>
        </w:rPr>
        <w:t>whatman</w:t>
      </w:r>
      <w:proofErr w:type="spellEnd"/>
      <w:r w:rsidR="00AF69BE" w:rsidRPr="00CB14C3">
        <w:rPr>
          <w:rFonts w:ascii="Arial" w:hAnsi="Arial" w:cs="Arial"/>
          <w:sz w:val="20"/>
          <w:szCs w:val="20"/>
          <w:lang w:val="en-GB"/>
        </w:rPr>
        <w:t xml:space="preserve"> filter paper No. 1. T</w:t>
      </w:r>
      <w:r w:rsidR="00BA4202" w:rsidRPr="00CB14C3">
        <w:rPr>
          <w:rFonts w:ascii="Arial" w:hAnsi="Arial" w:cs="Arial"/>
          <w:sz w:val="20"/>
          <w:szCs w:val="20"/>
          <w:lang w:val="en-GB"/>
        </w:rPr>
        <w:t xml:space="preserve">he </w:t>
      </w:r>
      <w:r w:rsidR="00AF69BE" w:rsidRPr="00CB14C3">
        <w:rPr>
          <w:rFonts w:ascii="Arial" w:hAnsi="Arial" w:cs="Arial"/>
          <w:sz w:val="20"/>
          <w:szCs w:val="20"/>
          <w:lang w:val="en-GB"/>
        </w:rPr>
        <w:t>filtrate was concentrated using rotatory</w:t>
      </w:r>
      <w:r w:rsidR="00BA4202" w:rsidRPr="00CB14C3">
        <w:rPr>
          <w:rFonts w:ascii="Arial" w:hAnsi="Arial" w:cs="Arial"/>
          <w:sz w:val="20"/>
          <w:szCs w:val="20"/>
          <w:lang w:val="en-GB"/>
        </w:rPr>
        <w:t xml:space="preserve"> rotary evaporator </w:t>
      </w:r>
      <w:r w:rsidR="00FF55DC" w:rsidRPr="00CB14C3">
        <w:rPr>
          <w:rFonts w:ascii="Arial" w:hAnsi="Arial" w:cs="Arial"/>
          <w:sz w:val="20"/>
          <w:szCs w:val="20"/>
          <w:lang w:val="en-GB"/>
        </w:rPr>
        <w:t>at 50 </w:t>
      </w:r>
      <w:r w:rsidR="00D13103" w:rsidRPr="00CB14C3">
        <w:rPr>
          <w:rFonts w:ascii="Arial" w:hAnsi="Arial" w:cs="Arial"/>
          <w:sz w:val="20"/>
          <w:szCs w:val="20"/>
          <w:lang w:val="en-GB"/>
        </w:rPr>
        <w:t>°</w:t>
      </w:r>
      <w:r w:rsidR="00AF69BE" w:rsidRPr="00CB14C3">
        <w:rPr>
          <w:rFonts w:ascii="Arial" w:hAnsi="Arial" w:cs="Arial"/>
          <w:sz w:val="20"/>
          <w:szCs w:val="20"/>
          <w:lang w:val="en-GB"/>
        </w:rPr>
        <w:t>C to obtain a crude extract</w:t>
      </w:r>
      <w:r w:rsidR="00790A64" w:rsidRPr="00CB14C3">
        <w:rPr>
          <w:rFonts w:ascii="Arial" w:hAnsi="Arial" w:cs="Arial"/>
          <w:sz w:val="20"/>
          <w:szCs w:val="20"/>
          <w:lang w:val="en-GB"/>
        </w:rPr>
        <w:t>.</w:t>
      </w:r>
    </w:p>
    <w:p w:rsidR="00CC4C03" w:rsidRPr="00CB14C3" w:rsidRDefault="001A5023" w:rsidP="006C3AAB">
      <w:pPr>
        <w:jc w:val="both"/>
        <w:rPr>
          <w:rFonts w:ascii="Arial" w:hAnsi="Arial" w:cs="Arial"/>
          <w:b/>
          <w:lang w:val="en-GB"/>
        </w:rPr>
      </w:pPr>
      <w:r w:rsidRPr="00CB14C3">
        <w:rPr>
          <w:rFonts w:ascii="Arial" w:hAnsi="Arial" w:cs="Arial"/>
          <w:b/>
          <w:lang w:val="en-GB"/>
        </w:rPr>
        <w:t xml:space="preserve">EXPERIMENTAL ANIMALS </w:t>
      </w:r>
    </w:p>
    <w:p w:rsidR="00417B96" w:rsidRPr="00CB14C3" w:rsidRDefault="00CE6721" w:rsidP="006C3AAB">
      <w:pPr>
        <w:spacing w:line="360" w:lineRule="auto"/>
        <w:jc w:val="both"/>
        <w:rPr>
          <w:rFonts w:ascii="Arial" w:hAnsi="Arial" w:cs="Arial"/>
          <w:sz w:val="20"/>
          <w:szCs w:val="20"/>
          <w:lang w:val="en-GB"/>
        </w:rPr>
      </w:pPr>
      <w:r w:rsidRPr="00CB14C3">
        <w:rPr>
          <w:rFonts w:ascii="Arial" w:hAnsi="Arial" w:cs="Arial"/>
          <w:sz w:val="20"/>
          <w:szCs w:val="20"/>
          <w:lang w:val="en-GB"/>
        </w:rPr>
        <w:t xml:space="preserve">A total of </w:t>
      </w:r>
      <w:proofErr w:type="gramStart"/>
      <w:r w:rsidR="00F5374E" w:rsidRPr="00CB14C3">
        <w:rPr>
          <w:rFonts w:ascii="Arial" w:hAnsi="Arial" w:cs="Arial"/>
          <w:sz w:val="20"/>
          <w:szCs w:val="20"/>
          <w:lang w:val="en-GB"/>
        </w:rPr>
        <w:t>forty nine</w:t>
      </w:r>
      <w:proofErr w:type="gramEnd"/>
      <w:r w:rsidR="00F5374E" w:rsidRPr="00CB14C3">
        <w:rPr>
          <w:rFonts w:ascii="Arial" w:hAnsi="Arial" w:cs="Arial"/>
          <w:sz w:val="20"/>
          <w:szCs w:val="20"/>
          <w:lang w:val="en-GB"/>
        </w:rPr>
        <w:t xml:space="preserve"> (49</w:t>
      </w:r>
      <w:r w:rsidR="00BA4202" w:rsidRPr="00CB14C3">
        <w:rPr>
          <w:rFonts w:ascii="Arial" w:hAnsi="Arial" w:cs="Arial"/>
          <w:sz w:val="20"/>
          <w:szCs w:val="20"/>
          <w:lang w:val="en-GB"/>
        </w:rPr>
        <w:t xml:space="preserve">) adult </w:t>
      </w:r>
      <w:proofErr w:type="spellStart"/>
      <w:r w:rsidR="00BA4202" w:rsidRPr="00CB14C3">
        <w:rPr>
          <w:rFonts w:ascii="Arial" w:hAnsi="Arial" w:cs="Arial"/>
          <w:sz w:val="20"/>
          <w:szCs w:val="20"/>
          <w:lang w:val="en-GB"/>
        </w:rPr>
        <w:t>w</w:t>
      </w:r>
      <w:r w:rsidR="00C51C14" w:rsidRPr="00CB14C3">
        <w:rPr>
          <w:rFonts w:ascii="Arial" w:hAnsi="Arial" w:cs="Arial"/>
          <w:sz w:val="20"/>
          <w:szCs w:val="20"/>
          <w:lang w:val="en-GB"/>
        </w:rPr>
        <w:t>istar</w:t>
      </w:r>
      <w:proofErr w:type="spellEnd"/>
      <w:r w:rsidR="00C51C14" w:rsidRPr="00CB14C3">
        <w:rPr>
          <w:rFonts w:ascii="Arial" w:hAnsi="Arial" w:cs="Arial"/>
          <w:sz w:val="20"/>
          <w:szCs w:val="20"/>
          <w:lang w:val="en-GB"/>
        </w:rPr>
        <w:t xml:space="preserve"> rats</w:t>
      </w:r>
      <w:r w:rsidRPr="00CB14C3">
        <w:rPr>
          <w:rFonts w:ascii="Arial" w:hAnsi="Arial" w:cs="Arial"/>
          <w:sz w:val="20"/>
          <w:szCs w:val="20"/>
          <w:lang w:val="en-GB"/>
        </w:rPr>
        <w:t xml:space="preserve"> of weight 160-180</w:t>
      </w:r>
      <w:r w:rsidR="001A2A4D" w:rsidRPr="00CB14C3">
        <w:rPr>
          <w:rFonts w:ascii="Arial" w:hAnsi="Arial" w:cs="Arial"/>
          <w:sz w:val="20"/>
          <w:szCs w:val="20"/>
          <w:lang w:val="en-GB"/>
        </w:rPr>
        <w:t xml:space="preserve"> </w:t>
      </w:r>
      <w:r w:rsidRPr="00CB14C3">
        <w:rPr>
          <w:rFonts w:ascii="Arial" w:hAnsi="Arial" w:cs="Arial"/>
          <w:sz w:val="20"/>
          <w:szCs w:val="20"/>
          <w:lang w:val="en-GB"/>
        </w:rPr>
        <w:t>g body</w:t>
      </w:r>
      <w:r w:rsidR="00BA4202" w:rsidRPr="00CB14C3">
        <w:rPr>
          <w:rFonts w:ascii="Arial" w:hAnsi="Arial" w:cs="Arial"/>
          <w:sz w:val="20"/>
          <w:szCs w:val="20"/>
          <w:lang w:val="en-GB"/>
        </w:rPr>
        <w:t>w</w:t>
      </w:r>
      <w:r w:rsidRPr="00CB14C3">
        <w:rPr>
          <w:rFonts w:ascii="Arial" w:hAnsi="Arial" w:cs="Arial"/>
          <w:sz w:val="20"/>
          <w:szCs w:val="20"/>
          <w:lang w:val="en-GB"/>
        </w:rPr>
        <w:t>eigh</w:t>
      </w:r>
      <w:r w:rsidR="00BA4202" w:rsidRPr="00CB14C3">
        <w:rPr>
          <w:rFonts w:ascii="Arial" w:hAnsi="Arial" w:cs="Arial"/>
          <w:sz w:val="20"/>
          <w:szCs w:val="20"/>
          <w:lang w:val="en-GB"/>
        </w:rPr>
        <w:t xml:space="preserve">t were supplied by the breeding animal house of the Faculty of Veterinary Medicine, University of Nigeria Nsukka. They were housed in individual cages and allowed to acclimatize under laboratory conditions at room temperature for one week prior to commencement of the experiment. The animals </w:t>
      </w:r>
      <w:r w:rsidR="00A70847" w:rsidRPr="00CB14C3">
        <w:rPr>
          <w:rFonts w:ascii="Arial" w:hAnsi="Arial" w:cs="Arial"/>
          <w:sz w:val="20"/>
          <w:szCs w:val="20"/>
          <w:lang w:val="en-GB"/>
        </w:rPr>
        <w:t>were kept</w:t>
      </w:r>
      <w:r w:rsidR="00BA4202" w:rsidRPr="00CB14C3">
        <w:rPr>
          <w:rFonts w:ascii="Arial" w:hAnsi="Arial" w:cs="Arial"/>
          <w:sz w:val="20"/>
          <w:szCs w:val="20"/>
          <w:lang w:val="en-GB"/>
        </w:rPr>
        <w:t xml:space="preserve"> under hygienic and favourable conditions, maintained under a </w:t>
      </w:r>
      <w:proofErr w:type="gramStart"/>
      <w:r w:rsidR="00A70847" w:rsidRPr="00CB14C3">
        <w:rPr>
          <w:rFonts w:ascii="Arial" w:hAnsi="Arial" w:cs="Arial"/>
          <w:sz w:val="20"/>
          <w:szCs w:val="20"/>
          <w:lang w:val="en-GB"/>
        </w:rPr>
        <w:t>12 hour</w:t>
      </w:r>
      <w:proofErr w:type="gramEnd"/>
      <w:r w:rsidR="00BA4202" w:rsidRPr="00CB14C3">
        <w:rPr>
          <w:rFonts w:ascii="Arial" w:hAnsi="Arial" w:cs="Arial"/>
          <w:sz w:val="20"/>
          <w:szCs w:val="20"/>
          <w:lang w:val="en-GB"/>
        </w:rPr>
        <w:t xml:space="preserve"> light/ 12 hour dark cycle, with pelletized rat feeds and water available ad </w:t>
      </w:r>
      <w:r w:rsidR="00BA4202" w:rsidRPr="00CB14C3">
        <w:rPr>
          <w:rFonts w:ascii="Arial" w:hAnsi="Arial" w:cs="Arial"/>
          <w:i/>
          <w:sz w:val="20"/>
          <w:szCs w:val="20"/>
          <w:lang w:val="en-GB"/>
        </w:rPr>
        <w:t>libitum</w:t>
      </w:r>
      <w:r w:rsidR="00BA4202" w:rsidRPr="00CB14C3">
        <w:rPr>
          <w:rFonts w:ascii="Arial" w:hAnsi="Arial" w:cs="Arial"/>
          <w:sz w:val="20"/>
          <w:szCs w:val="20"/>
          <w:lang w:val="en-GB"/>
        </w:rPr>
        <w:t>.</w:t>
      </w:r>
    </w:p>
    <w:p w:rsidR="007E3132" w:rsidRPr="00CB14C3" w:rsidRDefault="00E60234" w:rsidP="007E3132">
      <w:pPr>
        <w:spacing w:after="0" w:line="480" w:lineRule="auto"/>
        <w:jc w:val="both"/>
        <w:rPr>
          <w:rFonts w:ascii="Arial" w:hAnsi="Arial" w:cs="Arial"/>
          <w:b/>
          <w:lang w:val="en-GB"/>
        </w:rPr>
      </w:pPr>
      <w:r w:rsidRPr="00CB14C3">
        <w:rPr>
          <w:rFonts w:ascii="Arial" w:hAnsi="Arial" w:cs="Arial"/>
          <w:b/>
          <w:lang w:val="en-GB"/>
        </w:rPr>
        <w:t>ALCOHOL-IN INDUCED LIVER</w:t>
      </w:r>
    </w:p>
    <w:p w:rsidR="007E3132" w:rsidRPr="00CB14C3" w:rsidRDefault="007E3132" w:rsidP="007E3132">
      <w:pPr>
        <w:spacing w:line="360" w:lineRule="auto"/>
        <w:jc w:val="both"/>
        <w:rPr>
          <w:rFonts w:ascii="Arial" w:eastAsiaTheme="minorEastAsia" w:hAnsi="Arial" w:cs="Arial"/>
          <w:b/>
          <w:lang w:val="en-GB"/>
        </w:rPr>
      </w:pPr>
      <w:r w:rsidRPr="00CB14C3">
        <w:rPr>
          <w:rFonts w:ascii="Arial" w:eastAsiaTheme="minorEastAsia" w:hAnsi="Arial" w:cs="Arial"/>
          <w:b/>
          <w:lang w:val="en-GB"/>
        </w:rPr>
        <w:t>Acute Toxicity (LD</w:t>
      </w:r>
      <w:r w:rsidRPr="00CB14C3">
        <w:rPr>
          <w:rFonts w:ascii="Arial" w:eastAsiaTheme="minorEastAsia" w:hAnsi="Arial" w:cs="Arial"/>
          <w:b/>
          <w:vertAlign w:val="subscript"/>
          <w:lang w:val="en-GB"/>
        </w:rPr>
        <w:t>50</w:t>
      </w:r>
      <w:r w:rsidRPr="00CB14C3">
        <w:rPr>
          <w:rFonts w:ascii="Arial" w:eastAsiaTheme="minorEastAsia" w:hAnsi="Arial" w:cs="Arial"/>
          <w:b/>
          <w:lang w:val="en-GB"/>
        </w:rPr>
        <w:t xml:space="preserve"> Determination)</w:t>
      </w:r>
    </w:p>
    <w:p w:rsidR="007E3132" w:rsidRPr="00CB14C3" w:rsidRDefault="007E3132" w:rsidP="007E3132">
      <w:pPr>
        <w:spacing w:line="360" w:lineRule="auto"/>
        <w:jc w:val="both"/>
        <w:rPr>
          <w:rFonts w:ascii="Arial" w:eastAsiaTheme="minorEastAsia" w:hAnsi="Arial" w:cs="Arial"/>
          <w:b/>
          <w:sz w:val="20"/>
          <w:szCs w:val="20"/>
          <w:lang w:val="en-GB"/>
        </w:rPr>
      </w:pPr>
      <w:r w:rsidRPr="00CB14C3">
        <w:rPr>
          <w:rFonts w:ascii="Arial" w:hAnsi="Arial" w:cs="Arial"/>
          <w:sz w:val="20"/>
          <w:szCs w:val="20"/>
          <w:lang w:val="en-GB"/>
        </w:rPr>
        <w:t>The index of acute toxicity is the LD</w:t>
      </w:r>
      <w:r w:rsidRPr="00CB14C3">
        <w:rPr>
          <w:rFonts w:ascii="Arial" w:hAnsi="Arial" w:cs="Arial"/>
          <w:sz w:val="20"/>
          <w:szCs w:val="20"/>
          <w:vertAlign w:val="subscript"/>
          <w:lang w:val="en-GB"/>
        </w:rPr>
        <w:t>50</w:t>
      </w:r>
      <w:r w:rsidRPr="00CB14C3">
        <w:rPr>
          <w:rFonts w:ascii="Arial" w:hAnsi="Arial" w:cs="Arial"/>
          <w:sz w:val="20"/>
          <w:szCs w:val="20"/>
          <w:lang w:val="en-GB"/>
        </w:rPr>
        <w:t xml:space="preserve">. It is the dose of a substance capable of producing death in 50% of the population of animal exposed to the substance. </w:t>
      </w:r>
      <w:proofErr w:type="spellStart"/>
      <w:r w:rsidRPr="00CB14C3">
        <w:rPr>
          <w:rFonts w:ascii="Arial" w:hAnsi="Arial" w:cs="Arial"/>
          <w:sz w:val="20"/>
          <w:szCs w:val="20"/>
          <w:lang w:val="en-GB"/>
        </w:rPr>
        <w:t>Lorke’s</w:t>
      </w:r>
      <w:proofErr w:type="spellEnd"/>
      <w:r w:rsidRPr="00CB14C3">
        <w:rPr>
          <w:rFonts w:ascii="Arial" w:hAnsi="Arial" w:cs="Arial"/>
          <w:sz w:val="20"/>
          <w:szCs w:val="20"/>
          <w:lang w:val="en-GB"/>
        </w:rPr>
        <w:t xml:space="preserve"> (1983) method was used with slight modification</w:t>
      </w:r>
      <w:r w:rsidR="007202E3" w:rsidRPr="00CB14C3">
        <w:rPr>
          <w:rFonts w:ascii="Arial" w:hAnsi="Arial" w:cs="Arial"/>
          <w:sz w:val="20"/>
          <w:szCs w:val="20"/>
          <w:lang w:val="en-GB"/>
        </w:rPr>
        <w:t xml:space="preserve"> as  cited by </w:t>
      </w:r>
      <w:r w:rsidR="007202E3" w:rsidRPr="00CB14C3">
        <w:rPr>
          <w:rFonts w:ascii="Arial" w:hAnsi="Arial" w:cs="Arial"/>
          <w:sz w:val="20"/>
          <w:szCs w:val="20"/>
          <w:lang w:val="en-GB"/>
        </w:rPr>
        <w:fldChar w:fldCharType="begin" w:fldLock="1"/>
      </w:r>
      <w:r w:rsidR="007202E3" w:rsidRPr="00CB14C3">
        <w:rPr>
          <w:rFonts w:ascii="Arial" w:hAnsi="Arial" w:cs="Arial"/>
          <w:sz w:val="20"/>
          <w:szCs w:val="20"/>
          <w:lang w:val="en-GB"/>
        </w:rPr>
        <w:instrText>ADDIN CSL_CITATION {"citationItems":[{"id":"ITEM-1","itemData":{"DOI":"10.5530/pres.14.2.15","ISSN":"09764836","abstract":"&lt;p class=\"rtejustify\"&gt;&lt;strong&gt;Background:&lt;/strong&gt; Since ancient times natural herbs were extensively used for the treatment and prevention of various ailments and in past few decades, due to an extensive research in traditional system of medicine various herbal medicines have been developed for the prevention and treatment of diseases, which are environmentally, organically safe and inexpensive. Indian sub-continent has a good capability to tackle the task of meeting the worldwide demand for such products due to its rich wealth in case of herbal medicine. Historically, Indian people conventionally played a vital role in the development and management of these biological sources and also preserve their pertinent data that were accumulated via trial and error over centuries. &lt;strong&gt;Objectives: &lt;/strong&gt;Due to tremendous global resurgence in traditional and alternative healthcare systems, the market for herbal medicines has grown at an impressive rate and therefore has great economic importance. However, the primary barriers to the expansion of herbal medicine include biodiversity loss, over-exploitation and improper use of medicinal plants, industrialization, biopiracy, and a lack of regulation and infrastructure. For the expansion of herbal medicine usage in the twenty-first century, conservation, proper research based on traditional knowledge, quality control of herbal medicine, and correct documentation are required.&lt;strong&gt; Methods&lt;/strong&gt;: The desired and encouraging testifying items for systematically evaluated reviews and meta-analysis (PRISMA) standards were opted. A literature exploration was accomplished utilizing SCIENCE DIRECT, SCOPUS and GOOGLE SCHOLAR to locate articles for the present scenario about traditional and herbal medicines. &lt;strong&gt;Conclusion: &lt;/strong&gt;The availability and type of conventional medicine safety and effectiveness data are far from sufficient to fulfil the requirements required to support its use globally. This review paper examines the restrictions and issues associated with conservation, science and technology, regulatory constraints, potential usage of herbal medicines, the drug production industry, safety and efficacy, and the prospects for traditional remedies on a nationally and internationally scale.&lt;/p&gt;\r\n\r\n&lt;p class=\"rtejustify\"&gt;&lt;strong&gt;Key words:&lt;/strong&gt; Traditional medicines, Herbal medicines, Healthcare system, Regulatory constraints, Traditional Knowledge, Quality control.&lt;/p&gt;\r\n","author":[{"dropping-particle":"","family":"Saggar","given":"Sachin","non-dropping-particle":"","parse-names":false,"suffix":""},{"dropping-particle":"","family":"Mir","given":"Prince Ahad","non-dropping-particle":"","parse-names":false,"suffix":""},{"dropping-particle":"","family":"Kumar","given":"Nishant","non-dropping-particle":"","parse-names":false,"suffix":""},{"dropping-particle":"","family":"Chawla","given":"Apporva","non-dropping-particle":"","parse-names":false,"suffix":""},{"dropping-particle":"","family":"Uppal","given":"Jasreen","non-dropping-particle":"","parse-names":false,"suffix":""},{"dropping-particle":"","family":"Shilpa","given":"Shilpa","non-dropping-particle":"","parse-names":false,"suffix":""},{"dropping-particle":"","family":"Kaur","given":"Anmoldeep","non-dropping-particle":"","parse-names":false,"suffix":""}],"container-title":"Pharmacognosy Research","id":"ITEM-1","issue":"2","issued":{"date-parts":[["2022"]]},"page":"107-114","title":"Traditional and Herbal Medicines: Opportunities and Challenges","type":"article-journal","volume":"14"},"uris":["http://www.mendeley.com/documents/?uuid=cb675712-4cba-46fa-9cc8-89522b031520"]}],"mendeley":{"formattedCitation":"(Saggar et al., 2022)","plainTextFormattedCitation":"(Saggar et al., 2022)","previouslyFormattedCitation":"(Saggar et al., 2022)"},"properties":{"noteIndex":0},"schema":"https://github.com/citation-style-language/schema/raw/master/csl-citation.json"}</w:instrText>
      </w:r>
      <w:r w:rsidR="007202E3" w:rsidRPr="00CB14C3">
        <w:rPr>
          <w:rFonts w:ascii="Arial" w:hAnsi="Arial" w:cs="Arial"/>
          <w:sz w:val="20"/>
          <w:szCs w:val="20"/>
          <w:lang w:val="en-GB"/>
        </w:rPr>
        <w:fldChar w:fldCharType="separate"/>
      </w:r>
      <w:r w:rsidR="007202E3" w:rsidRPr="00CB14C3">
        <w:rPr>
          <w:rFonts w:ascii="Arial" w:hAnsi="Arial" w:cs="Arial"/>
          <w:sz w:val="20"/>
          <w:szCs w:val="20"/>
          <w:lang w:val="en-GB"/>
        </w:rPr>
        <w:t>(Saggar et al., 2022)</w:t>
      </w:r>
      <w:r w:rsidR="007202E3" w:rsidRPr="00CB14C3">
        <w:rPr>
          <w:rFonts w:ascii="Arial" w:hAnsi="Arial" w:cs="Arial"/>
          <w:sz w:val="20"/>
          <w:szCs w:val="20"/>
          <w:lang w:val="en-GB"/>
        </w:rPr>
        <w:fldChar w:fldCharType="end"/>
      </w:r>
      <w:r w:rsidRPr="00CB14C3">
        <w:rPr>
          <w:rFonts w:ascii="Arial" w:hAnsi="Arial" w:cs="Arial"/>
          <w:sz w:val="20"/>
          <w:szCs w:val="20"/>
          <w:lang w:val="en-GB"/>
        </w:rPr>
        <w:t xml:space="preserve">. This method has two different phases.       </w:t>
      </w:r>
    </w:p>
    <w:p w:rsidR="007E3132" w:rsidRPr="00CB14C3" w:rsidRDefault="007E3132" w:rsidP="007E3132">
      <w:pPr>
        <w:spacing w:line="360" w:lineRule="auto"/>
        <w:jc w:val="both"/>
        <w:rPr>
          <w:rFonts w:ascii="Arial" w:hAnsi="Arial" w:cs="Arial"/>
          <w:b/>
          <w:lang w:val="en-GB"/>
        </w:rPr>
      </w:pPr>
      <w:r w:rsidRPr="00CB14C3">
        <w:rPr>
          <w:rFonts w:ascii="Arial" w:hAnsi="Arial" w:cs="Arial"/>
          <w:b/>
          <w:lang w:val="en-GB"/>
        </w:rPr>
        <w:t>Phase I</w:t>
      </w:r>
    </w:p>
    <w:p w:rsidR="007E3132" w:rsidRPr="00CB14C3" w:rsidRDefault="007E3132" w:rsidP="007E3132">
      <w:pPr>
        <w:spacing w:line="360" w:lineRule="auto"/>
        <w:jc w:val="both"/>
        <w:rPr>
          <w:rFonts w:ascii="Arial" w:hAnsi="Arial" w:cs="Arial"/>
          <w:b/>
          <w:sz w:val="20"/>
          <w:szCs w:val="20"/>
          <w:lang w:val="en-GB"/>
        </w:rPr>
      </w:pPr>
      <w:r w:rsidRPr="00CB14C3">
        <w:rPr>
          <w:rFonts w:ascii="Arial" w:hAnsi="Arial" w:cs="Arial"/>
          <w:sz w:val="20"/>
          <w:szCs w:val="20"/>
          <w:lang w:val="en-GB"/>
        </w:rPr>
        <w:t xml:space="preserve">Three groups containing three mice each were used. The </w:t>
      </w:r>
      <w:r w:rsidRPr="00CB14C3">
        <w:rPr>
          <w:rFonts w:ascii="Arial" w:hAnsi="Arial" w:cs="Arial"/>
          <w:i/>
          <w:sz w:val="20"/>
          <w:szCs w:val="20"/>
          <w:lang w:val="en-GB"/>
        </w:rPr>
        <w:t xml:space="preserve">Amaranthus </w:t>
      </w:r>
      <w:proofErr w:type="spellStart"/>
      <w:r w:rsidRPr="00CB14C3">
        <w:rPr>
          <w:rFonts w:ascii="Arial" w:hAnsi="Arial" w:cs="Arial"/>
          <w:i/>
          <w:sz w:val="20"/>
          <w:szCs w:val="20"/>
          <w:lang w:val="en-GB"/>
        </w:rPr>
        <w:t>spinosus</w:t>
      </w:r>
      <w:proofErr w:type="spellEnd"/>
      <w:r w:rsidRPr="00CB14C3">
        <w:rPr>
          <w:rFonts w:ascii="Arial" w:hAnsi="Arial" w:cs="Arial"/>
          <w:i/>
          <w:sz w:val="20"/>
          <w:szCs w:val="20"/>
          <w:lang w:val="en-GB"/>
        </w:rPr>
        <w:t xml:space="preserve"> </w:t>
      </w:r>
      <w:r w:rsidRPr="00CB14C3">
        <w:rPr>
          <w:rFonts w:ascii="Arial" w:hAnsi="Arial" w:cs="Arial"/>
          <w:sz w:val="20"/>
          <w:szCs w:val="20"/>
          <w:lang w:val="en-GB"/>
        </w:rPr>
        <w:t>aqueous extract was administered at concentrations of 10 mg/kg body weight (</w:t>
      </w:r>
      <w:proofErr w:type="spellStart"/>
      <w:r w:rsidRPr="00CB14C3">
        <w:rPr>
          <w:rFonts w:ascii="Arial" w:hAnsi="Arial" w:cs="Arial"/>
          <w:sz w:val="20"/>
          <w:szCs w:val="20"/>
          <w:lang w:val="en-GB"/>
        </w:rPr>
        <w:t>b.w</w:t>
      </w:r>
      <w:proofErr w:type="spellEnd"/>
      <w:r w:rsidRPr="00CB14C3">
        <w:rPr>
          <w:rFonts w:ascii="Arial" w:hAnsi="Arial" w:cs="Arial"/>
          <w:sz w:val="20"/>
          <w:szCs w:val="20"/>
          <w:lang w:val="en-GB"/>
        </w:rPr>
        <w:t xml:space="preserve">) to group I mice, 100 mg/kg </w:t>
      </w:r>
      <w:proofErr w:type="spellStart"/>
      <w:r w:rsidRPr="00CB14C3">
        <w:rPr>
          <w:rFonts w:ascii="Arial" w:hAnsi="Arial" w:cs="Arial"/>
          <w:sz w:val="20"/>
          <w:szCs w:val="20"/>
          <w:lang w:val="en-GB"/>
        </w:rPr>
        <w:t>b.w</w:t>
      </w:r>
      <w:proofErr w:type="spellEnd"/>
      <w:r w:rsidRPr="00CB14C3">
        <w:rPr>
          <w:rFonts w:ascii="Arial" w:hAnsi="Arial" w:cs="Arial"/>
          <w:sz w:val="20"/>
          <w:szCs w:val="20"/>
          <w:lang w:val="en-GB"/>
        </w:rPr>
        <w:t xml:space="preserve"> to group II mice, and 1,000 mg/kg </w:t>
      </w:r>
      <w:proofErr w:type="spellStart"/>
      <w:r w:rsidRPr="00CB14C3">
        <w:rPr>
          <w:rFonts w:ascii="Arial" w:hAnsi="Arial" w:cs="Arial"/>
          <w:sz w:val="20"/>
          <w:szCs w:val="20"/>
          <w:lang w:val="en-GB"/>
        </w:rPr>
        <w:t>b.w</w:t>
      </w:r>
      <w:proofErr w:type="spellEnd"/>
      <w:r w:rsidRPr="00CB14C3">
        <w:rPr>
          <w:rFonts w:ascii="Arial" w:hAnsi="Arial" w:cs="Arial"/>
          <w:sz w:val="20"/>
          <w:szCs w:val="20"/>
          <w:lang w:val="en-GB"/>
        </w:rPr>
        <w:t xml:space="preserve"> to group III mice that formed the LD</w:t>
      </w:r>
      <w:r w:rsidRPr="00CB14C3">
        <w:rPr>
          <w:rFonts w:ascii="Arial" w:hAnsi="Arial" w:cs="Arial"/>
          <w:sz w:val="20"/>
          <w:szCs w:val="20"/>
          <w:vertAlign w:val="subscript"/>
          <w:lang w:val="en-GB"/>
        </w:rPr>
        <w:t xml:space="preserve">50 </w:t>
      </w:r>
      <w:r w:rsidRPr="00CB14C3">
        <w:rPr>
          <w:rFonts w:ascii="Arial" w:hAnsi="Arial" w:cs="Arial"/>
          <w:sz w:val="20"/>
          <w:szCs w:val="20"/>
          <w:lang w:val="en-GB"/>
        </w:rPr>
        <w:t>phase one groups. Administration of extract was done orally. The animals were monitored for 24 hours for abnormal reaction or mortality.</w:t>
      </w:r>
    </w:p>
    <w:p w:rsidR="007E3132" w:rsidRPr="00CB14C3" w:rsidRDefault="007E3132" w:rsidP="007E3132">
      <w:pPr>
        <w:spacing w:line="360" w:lineRule="auto"/>
        <w:jc w:val="both"/>
        <w:rPr>
          <w:rFonts w:ascii="Arial" w:hAnsi="Arial" w:cs="Arial"/>
          <w:lang w:val="en-GB"/>
        </w:rPr>
      </w:pPr>
      <w:r w:rsidRPr="00CB14C3">
        <w:rPr>
          <w:rFonts w:ascii="Arial" w:hAnsi="Arial" w:cs="Arial"/>
          <w:b/>
          <w:lang w:val="en-GB"/>
        </w:rPr>
        <w:lastRenderedPageBreak/>
        <w:t>Phase II</w:t>
      </w:r>
    </w:p>
    <w:p w:rsidR="007202E3" w:rsidRPr="00CB14C3" w:rsidRDefault="007E3132" w:rsidP="007202E3">
      <w:pPr>
        <w:autoSpaceDE w:val="0"/>
        <w:autoSpaceDN w:val="0"/>
        <w:adjustRightInd w:val="0"/>
        <w:spacing w:after="0" w:line="360" w:lineRule="auto"/>
        <w:jc w:val="both"/>
        <w:rPr>
          <w:rFonts w:ascii="Arial" w:hAnsi="Arial" w:cs="Arial"/>
          <w:sz w:val="20"/>
          <w:szCs w:val="20"/>
          <w:lang w:val="en-GB"/>
        </w:rPr>
      </w:pPr>
      <w:r w:rsidRPr="00CB14C3">
        <w:rPr>
          <w:rFonts w:ascii="Arial" w:hAnsi="Arial" w:cs="Arial"/>
          <w:sz w:val="20"/>
          <w:szCs w:val="20"/>
          <w:lang w:val="en-GB"/>
        </w:rPr>
        <w:t xml:space="preserve">In this phase, three groups of mice were used with the </w:t>
      </w:r>
      <w:r w:rsidRPr="00CB14C3">
        <w:rPr>
          <w:rFonts w:ascii="Arial" w:hAnsi="Arial" w:cs="Arial"/>
          <w:i/>
          <w:sz w:val="20"/>
          <w:szCs w:val="20"/>
          <w:lang w:val="en-GB"/>
        </w:rPr>
        <w:t xml:space="preserve">Amaranthus </w:t>
      </w:r>
      <w:proofErr w:type="spellStart"/>
      <w:r w:rsidRPr="00CB14C3">
        <w:rPr>
          <w:rFonts w:ascii="Arial" w:hAnsi="Arial" w:cs="Arial"/>
          <w:i/>
          <w:sz w:val="20"/>
          <w:szCs w:val="20"/>
          <w:lang w:val="en-GB"/>
        </w:rPr>
        <w:t>spinosus</w:t>
      </w:r>
      <w:proofErr w:type="spellEnd"/>
      <w:r w:rsidRPr="00CB14C3">
        <w:rPr>
          <w:rFonts w:ascii="Arial" w:hAnsi="Arial" w:cs="Arial"/>
          <w:i/>
          <w:sz w:val="20"/>
          <w:szCs w:val="20"/>
          <w:lang w:val="en-GB"/>
        </w:rPr>
        <w:t xml:space="preserve"> </w:t>
      </w:r>
      <w:r w:rsidRPr="00CB14C3">
        <w:rPr>
          <w:rFonts w:ascii="Arial" w:hAnsi="Arial" w:cs="Arial"/>
          <w:sz w:val="20"/>
          <w:szCs w:val="20"/>
          <w:lang w:val="en-GB"/>
        </w:rPr>
        <w:t xml:space="preserve">aqueous extract in the concentration of 1,600 mg/kg </w:t>
      </w:r>
      <w:proofErr w:type="spellStart"/>
      <w:r w:rsidRPr="00CB14C3">
        <w:rPr>
          <w:rFonts w:ascii="Arial" w:hAnsi="Arial" w:cs="Arial"/>
          <w:sz w:val="20"/>
          <w:szCs w:val="20"/>
          <w:lang w:val="en-GB"/>
        </w:rPr>
        <w:t>b.w.</w:t>
      </w:r>
      <w:proofErr w:type="spellEnd"/>
      <w:r w:rsidRPr="00CB14C3">
        <w:rPr>
          <w:rFonts w:ascii="Arial" w:hAnsi="Arial" w:cs="Arial"/>
          <w:sz w:val="20"/>
          <w:szCs w:val="20"/>
          <w:lang w:val="en-GB"/>
        </w:rPr>
        <w:t xml:space="preserve">, 2,900 mg/kg </w:t>
      </w:r>
      <w:proofErr w:type="spellStart"/>
      <w:r w:rsidRPr="00CB14C3">
        <w:rPr>
          <w:rFonts w:ascii="Arial" w:hAnsi="Arial" w:cs="Arial"/>
          <w:sz w:val="20"/>
          <w:szCs w:val="20"/>
          <w:lang w:val="en-GB"/>
        </w:rPr>
        <w:t>b.w.</w:t>
      </w:r>
      <w:proofErr w:type="spellEnd"/>
      <w:r w:rsidRPr="00CB14C3">
        <w:rPr>
          <w:rFonts w:ascii="Arial" w:hAnsi="Arial" w:cs="Arial"/>
          <w:sz w:val="20"/>
          <w:szCs w:val="20"/>
          <w:lang w:val="en-GB"/>
        </w:rPr>
        <w:t xml:space="preserve">, and 5,000mg/kg </w:t>
      </w:r>
      <w:proofErr w:type="spellStart"/>
      <w:r w:rsidRPr="00CB14C3">
        <w:rPr>
          <w:rFonts w:ascii="Arial" w:hAnsi="Arial" w:cs="Arial"/>
          <w:sz w:val="20"/>
          <w:szCs w:val="20"/>
          <w:lang w:val="en-GB"/>
        </w:rPr>
        <w:t>b.w.</w:t>
      </w:r>
      <w:proofErr w:type="spellEnd"/>
      <w:r w:rsidRPr="00CB14C3">
        <w:rPr>
          <w:rFonts w:ascii="Arial" w:hAnsi="Arial" w:cs="Arial"/>
          <w:sz w:val="20"/>
          <w:szCs w:val="20"/>
          <w:lang w:val="en-GB"/>
        </w:rPr>
        <w:t xml:space="preserve"> to groups 1, group 2 and group 3 mice respectively that formed the phase two groups. They were monitored for 24 hours and the observations were recorded. Lethal dose LD50 of the extract was estimated by calculating the geometric mean of the maximum dose with 0% mortality and the minimum dose with mortality</w:t>
      </w:r>
    </w:p>
    <w:p w:rsidR="007E3132" w:rsidRPr="00CB14C3" w:rsidRDefault="007E3132" w:rsidP="007202E3">
      <w:pPr>
        <w:autoSpaceDE w:val="0"/>
        <w:autoSpaceDN w:val="0"/>
        <w:adjustRightInd w:val="0"/>
        <w:spacing w:after="0" w:line="360" w:lineRule="auto"/>
        <w:jc w:val="both"/>
        <w:rPr>
          <w:rFonts w:ascii="Arial" w:hAnsi="Arial" w:cs="Arial"/>
          <w:sz w:val="20"/>
          <w:szCs w:val="20"/>
          <w:lang w:val="en-GB"/>
        </w:rPr>
      </w:pPr>
      <w:r w:rsidRPr="00CB14C3">
        <w:rPr>
          <w:rFonts w:ascii="Arial" w:hAnsi="Arial" w:cs="Arial"/>
          <w:sz w:val="20"/>
          <w:szCs w:val="20"/>
          <w:lang w:val="en-GB"/>
        </w:rPr>
        <w:t>(</w:t>
      </w:r>
      <w:proofErr w:type="spellStart"/>
      <w:r w:rsidRPr="00CB14C3">
        <w:rPr>
          <w:rFonts w:ascii="Arial" w:hAnsi="Arial" w:cs="Arial"/>
          <w:sz w:val="20"/>
          <w:szCs w:val="20"/>
          <w:lang w:val="en-GB"/>
        </w:rPr>
        <w:t>Lorke</w:t>
      </w:r>
      <w:proofErr w:type="spellEnd"/>
      <w:r w:rsidRPr="00CB14C3">
        <w:rPr>
          <w:rFonts w:ascii="Arial" w:hAnsi="Arial" w:cs="Arial"/>
          <w:sz w:val="20"/>
          <w:szCs w:val="20"/>
          <w:lang w:val="en-GB"/>
        </w:rPr>
        <w:t>, 1983)</w:t>
      </w:r>
      <w:r w:rsidR="007202E3" w:rsidRPr="00CB14C3">
        <w:rPr>
          <w:rFonts w:ascii="Arial" w:hAnsi="Arial" w:cs="Arial"/>
          <w:sz w:val="20"/>
          <w:szCs w:val="20"/>
          <w:lang w:val="en-GB"/>
        </w:rPr>
        <w:t xml:space="preserve"> Cited by </w:t>
      </w:r>
      <w:r w:rsidR="007202E3" w:rsidRPr="00CB14C3">
        <w:rPr>
          <w:rFonts w:ascii="Arial" w:hAnsi="Arial" w:cs="Arial"/>
          <w:sz w:val="20"/>
          <w:szCs w:val="20"/>
          <w:lang w:val="en-GB"/>
        </w:rPr>
        <w:fldChar w:fldCharType="begin" w:fldLock="1"/>
      </w:r>
      <w:r w:rsidR="00382093" w:rsidRPr="00CB14C3">
        <w:rPr>
          <w:rFonts w:ascii="Arial" w:hAnsi="Arial" w:cs="Arial"/>
          <w:sz w:val="20"/>
          <w:szCs w:val="20"/>
          <w:lang w:val="en-GB"/>
        </w:rPr>
        <w:instrText>ADDIN CSL_CITATION {"citationItems":[{"id":"ITEM-1","itemData":{"DOI":"10.5530/pres.14.2.15","ISSN":"09764836","abstract":"&lt;p class=\"rtejustify\"&gt;&lt;strong&gt;Background:&lt;/strong&gt; Since ancient times natural herbs were extensively used for the treatment and prevention of various ailments and in past few decades, due to an extensive research in traditional system of medicine various herbal medicines have been developed for the prevention and treatment of diseases, which are environmentally, organically safe and inexpensive. Indian sub-continent has a good capability to tackle the task of meeting the worldwide demand for such products due to its rich wealth in case of herbal medicine. Historically, Indian people conventionally played a vital role in the development and management of these biological sources and also preserve their pertinent data that were accumulated via trial and error over centuries. &lt;strong&gt;Objectives: &lt;/strong&gt;Due to tremendous global resurgence in traditional and alternative healthcare systems, the market for herbal medicines has grown at an impressive rate and therefore has great economic importance. However, the primary barriers to the expansion of herbal medicine include biodiversity loss, over-exploitation and improper use of medicinal plants, industrialization, biopiracy, and a lack of regulation and infrastructure. For the expansion of herbal medicine usage in the twenty-first century, conservation, proper research based on traditional knowledge, quality control of herbal medicine, and correct documentation are required.&lt;strong&gt; Methods&lt;/strong&gt;: The desired and encouraging testifying items for systematically evaluated reviews and meta-analysis (PRISMA) standards were opted. A literature exploration was accomplished utilizing SCIENCE DIRECT, SCOPUS and GOOGLE SCHOLAR to locate articles for the present scenario about traditional and herbal medicines. &lt;strong&gt;Conclusion: &lt;/strong&gt;The availability and type of conventional medicine safety and effectiveness data are far from sufficient to fulfil the requirements required to support its use globally. This review paper examines the restrictions and issues associated with conservation, science and technology, regulatory constraints, potential usage of herbal medicines, the drug production industry, safety and efficacy, and the prospects for traditional remedies on a nationally and internationally scale.&lt;/p&gt;\r\n\r\n&lt;p class=\"rtejustify\"&gt;&lt;strong&gt;Key words:&lt;/strong&gt; Traditional medicines, Herbal medicines, Healthcare system, Regulatory constraints, Traditional Knowledge, Quality control.&lt;/p&gt;\r\n","author":[{"dropping-particle":"","family":"Saggar","given":"Sachin","non-dropping-particle":"","parse-names":false,"suffix":""},{"dropping-particle":"","family":"Mir","given":"Prince Ahad","non-dropping-particle":"","parse-names":false,"suffix":""},{"dropping-particle":"","family":"Kumar","given":"Nishant","non-dropping-particle":"","parse-names":false,"suffix":""},{"dropping-particle":"","family":"Chawla","given":"Apporva","non-dropping-particle":"","parse-names":false,"suffix":""},{"dropping-particle":"","family":"Uppal","given":"Jasreen","non-dropping-particle":"","parse-names":false,"suffix":""},{"dropping-particle":"","family":"Shilpa","given":"Shilpa","non-dropping-particle":"","parse-names":false,"suffix":""},{"dropping-particle":"","family":"Kaur","given":"Anmoldeep","non-dropping-particle":"","parse-names":false,"suffix":""}],"container-title":"Pharmacognosy Research","id":"ITEM-1","issue":"2","issued":{"date-parts":[["2022"]]},"page":"107-114","title":"Traditional and Herbal Medicines: Opportunities and Challenges","type":"article-journal","volume":"14"},"uris":["http://www.mendeley.com/documents/?uuid=cb675712-4cba-46fa-9cc8-89522b031520"]}],"mendeley":{"formattedCitation":"(Saggar et al., 2022)","plainTextFormattedCitation":"(Saggar et al., 2022)","previouslyFormattedCitation":"(Saggar et al., 2022)"},"properties":{"noteIndex":0},"schema":"https://github.com/citation-style-language/schema/raw/master/csl-citation.json"}</w:instrText>
      </w:r>
      <w:r w:rsidR="007202E3" w:rsidRPr="00CB14C3">
        <w:rPr>
          <w:rFonts w:ascii="Arial" w:hAnsi="Arial" w:cs="Arial"/>
          <w:sz w:val="20"/>
          <w:szCs w:val="20"/>
          <w:lang w:val="en-GB"/>
        </w:rPr>
        <w:fldChar w:fldCharType="separate"/>
      </w:r>
      <w:r w:rsidR="007202E3" w:rsidRPr="00CB14C3">
        <w:rPr>
          <w:rFonts w:ascii="Arial" w:hAnsi="Arial" w:cs="Arial"/>
          <w:sz w:val="20"/>
          <w:szCs w:val="20"/>
          <w:lang w:val="en-GB"/>
        </w:rPr>
        <w:t>(Saggar et al., 2022)</w:t>
      </w:r>
      <w:r w:rsidR="007202E3" w:rsidRPr="00CB14C3">
        <w:rPr>
          <w:rFonts w:ascii="Arial" w:hAnsi="Arial" w:cs="Arial"/>
          <w:sz w:val="20"/>
          <w:szCs w:val="20"/>
          <w:lang w:val="en-GB"/>
        </w:rPr>
        <w:fldChar w:fldCharType="end"/>
      </w:r>
      <w:r w:rsidRPr="00CB14C3">
        <w:rPr>
          <w:rFonts w:ascii="Arial" w:hAnsi="Arial" w:cs="Arial"/>
          <w:sz w:val="20"/>
          <w:szCs w:val="20"/>
          <w:lang w:val="en-GB"/>
        </w:rPr>
        <w:t>.</w:t>
      </w:r>
    </w:p>
    <w:p w:rsidR="008752EA" w:rsidRPr="00CB14C3" w:rsidRDefault="007E3132" w:rsidP="00D13103">
      <w:pPr>
        <w:spacing w:line="360" w:lineRule="auto"/>
        <w:jc w:val="both"/>
        <w:rPr>
          <w:rFonts w:ascii="Arial" w:hAnsi="Arial" w:cs="Arial"/>
          <w:sz w:val="20"/>
          <w:szCs w:val="20"/>
          <w:lang w:val="en-GB"/>
        </w:rPr>
      </w:pPr>
      <w:r w:rsidRPr="00CB14C3">
        <w:rPr>
          <w:rFonts w:ascii="Arial" w:hAnsi="Arial" w:cs="Arial"/>
          <w:sz w:val="20"/>
          <w:szCs w:val="20"/>
          <w:lang w:val="en-GB"/>
        </w:rPr>
        <w:t>LD</w:t>
      </w:r>
      <w:r w:rsidRPr="00CB14C3">
        <w:rPr>
          <w:rFonts w:ascii="Arial" w:hAnsi="Arial" w:cs="Arial"/>
          <w:sz w:val="20"/>
          <w:szCs w:val="20"/>
          <w:vertAlign w:val="subscript"/>
          <w:lang w:val="en-GB"/>
        </w:rPr>
        <w:t>50</w:t>
      </w:r>
      <w:r w:rsidRPr="00CB14C3">
        <w:rPr>
          <w:rFonts w:ascii="Arial" w:hAnsi="Arial" w:cs="Arial"/>
          <w:sz w:val="20"/>
          <w:szCs w:val="20"/>
          <w:lang w:val="en-GB"/>
        </w:rPr>
        <w:t xml:space="preserve"> = </w:t>
      </w:r>
      <m:oMath>
        <m:rad>
          <m:radPr>
            <m:degHide m:val="1"/>
            <m:ctrlPr>
              <w:rPr>
                <w:rFonts w:ascii="Cambria Math" w:hAnsi="Cambria Math" w:cs="Arial"/>
                <w:i/>
                <w:sz w:val="20"/>
                <w:szCs w:val="20"/>
                <w:lang w:val="en-GB"/>
              </w:rPr>
            </m:ctrlPr>
          </m:radPr>
          <m:deg/>
          <m:e>
            <m:eqArr>
              <m:eqArrPr>
                <m:ctrlPr>
                  <w:rPr>
                    <w:rFonts w:ascii="Cambria Math" w:hAnsi="Cambria Math" w:cs="Arial"/>
                    <w:i/>
                    <w:sz w:val="20"/>
                    <w:szCs w:val="20"/>
                    <w:lang w:val="en-GB"/>
                  </w:rPr>
                </m:ctrlPr>
              </m:eqArrPr>
              <m:e>
                <m:r>
                  <w:rPr>
                    <w:rFonts w:ascii="Cambria Math" w:hAnsi="Cambria Math" w:cs="Arial"/>
                    <w:sz w:val="20"/>
                    <w:szCs w:val="20"/>
                    <w:lang w:val="en-GB"/>
                  </w:rPr>
                  <m:t>maximium dose with 0% mortality×</m:t>
                </m:r>
              </m:e>
              <m:e>
                <m:r>
                  <w:rPr>
                    <w:rFonts w:ascii="Cambria Math" w:hAnsi="Cambria Math" w:cs="Arial"/>
                    <w:sz w:val="20"/>
                    <w:szCs w:val="20"/>
                    <w:lang w:val="en-GB"/>
                  </w:rPr>
                  <m:t>minimium dose with mortality</m:t>
                </m:r>
              </m:e>
            </m:eqArr>
          </m:e>
        </m:rad>
      </m:oMath>
    </w:p>
    <w:p w:rsidR="008752EA" w:rsidRPr="00CB14C3" w:rsidRDefault="008752EA" w:rsidP="007E3132">
      <w:pPr>
        <w:spacing w:after="0" w:line="480" w:lineRule="auto"/>
        <w:jc w:val="both"/>
        <w:rPr>
          <w:rFonts w:ascii="Times New Roman" w:eastAsiaTheme="minorEastAsia" w:hAnsi="Times New Roman" w:cs="Times New Roman"/>
          <w:sz w:val="24"/>
          <w:szCs w:val="24"/>
          <w:lang w:val="en-GB"/>
        </w:rPr>
      </w:pPr>
    </w:p>
    <w:p w:rsidR="007E3132" w:rsidRPr="00CB14C3" w:rsidRDefault="007E3132" w:rsidP="007E3132">
      <w:pPr>
        <w:spacing w:after="0" w:line="480" w:lineRule="auto"/>
        <w:jc w:val="both"/>
        <w:rPr>
          <w:rFonts w:ascii="Arial" w:eastAsiaTheme="minorEastAsia" w:hAnsi="Arial" w:cs="Arial"/>
          <w:b/>
          <w:lang w:val="en-GB"/>
        </w:rPr>
      </w:pPr>
      <w:r w:rsidRPr="00CB14C3">
        <w:rPr>
          <w:rFonts w:ascii="Times New Roman" w:eastAsiaTheme="minorEastAsia" w:hAnsi="Times New Roman" w:cs="Times New Roman"/>
          <w:b/>
          <w:sz w:val="24"/>
          <w:szCs w:val="24"/>
          <w:lang w:val="en-GB"/>
        </w:rPr>
        <w:t xml:space="preserve"> </w:t>
      </w:r>
      <w:r w:rsidRPr="00CB14C3">
        <w:rPr>
          <w:rFonts w:ascii="Arial" w:eastAsiaTheme="minorEastAsia" w:hAnsi="Arial" w:cs="Arial"/>
          <w:b/>
          <w:lang w:val="en-GB"/>
        </w:rPr>
        <w:t>EXPERIMENTAL DESIGN</w:t>
      </w:r>
    </w:p>
    <w:p w:rsidR="007E3132" w:rsidRPr="00CB14C3" w:rsidRDefault="007E3132" w:rsidP="007E3132">
      <w:pPr>
        <w:spacing w:after="0" w:line="480" w:lineRule="auto"/>
        <w:jc w:val="both"/>
        <w:rPr>
          <w:rFonts w:ascii="Arial" w:eastAsiaTheme="minorEastAsia" w:hAnsi="Arial" w:cs="Arial"/>
          <w:sz w:val="20"/>
          <w:szCs w:val="20"/>
          <w:lang w:val="en-GB"/>
        </w:rPr>
      </w:pPr>
      <w:r w:rsidRPr="00CB14C3">
        <w:rPr>
          <w:rFonts w:ascii="Arial" w:eastAsiaTheme="minorEastAsia" w:hAnsi="Arial" w:cs="Arial"/>
          <w:sz w:val="20"/>
          <w:szCs w:val="20"/>
          <w:lang w:val="en-GB"/>
        </w:rPr>
        <w:t>The research was in</w:t>
      </w:r>
      <w:r w:rsidR="00A25A29" w:rsidRPr="00CB14C3">
        <w:rPr>
          <w:rFonts w:ascii="Arial" w:eastAsiaTheme="minorEastAsia" w:hAnsi="Arial" w:cs="Arial"/>
          <w:sz w:val="20"/>
          <w:szCs w:val="20"/>
          <w:lang w:val="en-GB"/>
        </w:rPr>
        <w:t xml:space="preserve"> two phases: Phase I – Exposure</w:t>
      </w:r>
      <w:r w:rsidRPr="00CB14C3">
        <w:rPr>
          <w:rFonts w:ascii="Arial" w:eastAsiaTheme="minorEastAsia" w:hAnsi="Arial" w:cs="Arial"/>
          <w:sz w:val="20"/>
          <w:szCs w:val="20"/>
          <w:lang w:val="en-GB"/>
        </w:rPr>
        <w:t xml:space="preserve"> phase while Phase II was the treatment phase with the </w:t>
      </w:r>
      <w:r w:rsidRPr="00CB14C3">
        <w:rPr>
          <w:rFonts w:ascii="Arial" w:eastAsiaTheme="minorEastAsia" w:hAnsi="Arial" w:cs="Arial"/>
          <w:i/>
          <w:sz w:val="20"/>
          <w:szCs w:val="20"/>
          <w:lang w:val="en-GB"/>
        </w:rPr>
        <w:t xml:space="preserve">Amaranthus </w:t>
      </w:r>
      <w:proofErr w:type="spellStart"/>
      <w:r w:rsidRPr="00CB14C3">
        <w:rPr>
          <w:rFonts w:ascii="Arial" w:eastAsiaTheme="minorEastAsia" w:hAnsi="Arial" w:cs="Arial"/>
          <w:i/>
          <w:sz w:val="20"/>
          <w:szCs w:val="20"/>
          <w:lang w:val="en-GB"/>
        </w:rPr>
        <w:t>spinosus</w:t>
      </w:r>
      <w:proofErr w:type="spellEnd"/>
      <w:r w:rsidRPr="00CB14C3">
        <w:rPr>
          <w:rFonts w:ascii="Arial" w:eastAsiaTheme="minorEastAsia" w:hAnsi="Arial" w:cs="Arial"/>
          <w:i/>
          <w:sz w:val="20"/>
          <w:szCs w:val="20"/>
          <w:lang w:val="en-GB"/>
        </w:rPr>
        <w:t xml:space="preserve"> </w:t>
      </w:r>
      <w:r w:rsidRPr="00CB14C3">
        <w:rPr>
          <w:rFonts w:ascii="Arial" w:eastAsiaTheme="minorEastAsia" w:hAnsi="Arial" w:cs="Arial"/>
          <w:sz w:val="20"/>
          <w:szCs w:val="20"/>
          <w:lang w:val="en-GB"/>
        </w:rPr>
        <w:t>leaves extract and the standard drug – Silymarin.</w:t>
      </w:r>
    </w:p>
    <w:p w:rsidR="007E3132" w:rsidRPr="00CB14C3" w:rsidRDefault="007E3132" w:rsidP="007E3132">
      <w:pPr>
        <w:spacing w:after="0" w:line="480" w:lineRule="auto"/>
        <w:jc w:val="both"/>
        <w:rPr>
          <w:rFonts w:ascii="Times New Roman" w:eastAsiaTheme="minorEastAsia" w:hAnsi="Times New Roman" w:cs="Times New Roman"/>
          <w:sz w:val="24"/>
          <w:szCs w:val="24"/>
          <w:lang w:val="en-GB"/>
        </w:rPr>
      </w:pPr>
    </w:p>
    <w:p w:rsidR="007E3132" w:rsidRPr="00CB14C3" w:rsidRDefault="007E3132" w:rsidP="007E3132">
      <w:pPr>
        <w:spacing w:after="0" w:line="480" w:lineRule="auto"/>
        <w:jc w:val="both"/>
        <w:rPr>
          <w:rFonts w:ascii="Arial" w:eastAsiaTheme="minorEastAsia" w:hAnsi="Arial" w:cs="Arial"/>
          <w:lang w:val="en-GB"/>
        </w:rPr>
      </w:pPr>
      <w:r w:rsidRPr="00CB14C3">
        <w:rPr>
          <w:rFonts w:ascii="Times New Roman" w:eastAsiaTheme="minorEastAsia" w:hAnsi="Times New Roman" w:cs="Times New Roman"/>
          <w:sz w:val="24"/>
          <w:szCs w:val="24"/>
          <w:lang w:val="en-GB"/>
        </w:rPr>
        <w:t xml:space="preserve"> </w:t>
      </w:r>
      <w:r w:rsidR="00A25A29" w:rsidRPr="00CB14C3">
        <w:rPr>
          <w:rFonts w:ascii="Arial" w:eastAsiaTheme="minorEastAsia" w:hAnsi="Arial" w:cs="Arial"/>
          <w:b/>
          <w:lang w:val="en-GB"/>
        </w:rPr>
        <w:t xml:space="preserve">PHASE 1: </w:t>
      </w:r>
      <w:r w:rsidR="00952BEF" w:rsidRPr="00CB14C3">
        <w:rPr>
          <w:rFonts w:ascii="Arial" w:eastAsiaTheme="minorEastAsia" w:hAnsi="Arial" w:cs="Arial"/>
          <w:b/>
          <w:lang w:val="en-GB"/>
        </w:rPr>
        <w:t>EXPOSURE PHASE</w:t>
      </w:r>
    </w:p>
    <w:p w:rsidR="007E3132" w:rsidRPr="00CB14C3" w:rsidRDefault="007E3132" w:rsidP="007E3132">
      <w:pPr>
        <w:spacing w:after="0" w:line="480" w:lineRule="auto"/>
        <w:jc w:val="both"/>
        <w:rPr>
          <w:rFonts w:ascii="Arial" w:eastAsiaTheme="minorEastAsia" w:hAnsi="Arial" w:cs="Arial"/>
          <w:sz w:val="20"/>
          <w:szCs w:val="20"/>
          <w:lang w:val="en-GB"/>
        </w:rPr>
      </w:pPr>
      <w:r w:rsidRPr="00CB14C3">
        <w:rPr>
          <w:rFonts w:ascii="Arial" w:eastAsiaTheme="minorEastAsia" w:hAnsi="Arial" w:cs="Arial"/>
          <w:sz w:val="20"/>
          <w:szCs w:val="20"/>
          <w:lang w:val="en-GB"/>
        </w:rPr>
        <w:t xml:space="preserve">The animals </w:t>
      </w:r>
      <w:r w:rsidR="00FF438D" w:rsidRPr="00CB14C3">
        <w:rPr>
          <w:rFonts w:ascii="Arial" w:eastAsiaTheme="minorEastAsia" w:hAnsi="Arial" w:cs="Arial"/>
          <w:sz w:val="20"/>
          <w:szCs w:val="20"/>
          <w:lang w:val="en-GB"/>
        </w:rPr>
        <w:t>were d</w:t>
      </w:r>
      <w:r w:rsidR="002201DB" w:rsidRPr="00CB14C3">
        <w:rPr>
          <w:rFonts w:ascii="Arial" w:eastAsiaTheme="minorEastAsia" w:hAnsi="Arial" w:cs="Arial"/>
          <w:sz w:val="20"/>
          <w:szCs w:val="20"/>
          <w:lang w:val="en-GB"/>
        </w:rPr>
        <w:t>ivided into 2 groups of 7 and 42</w:t>
      </w:r>
      <w:r w:rsidRPr="00CB14C3">
        <w:rPr>
          <w:rFonts w:ascii="Arial" w:eastAsiaTheme="minorEastAsia" w:hAnsi="Arial" w:cs="Arial"/>
          <w:sz w:val="20"/>
          <w:szCs w:val="20"/>
          <w:lang w:val="en-GB"/>
        </w:rPr>
        <w:t xml:space="preserve"> animals each in the normal control group and raw alcohol group respectively.</w:t>
      </w:r>
    </w:p>
    <w:p w:rsidR="007E3132" w:rsidRPr="00CB14C3" w:rsidRDefault="007E3132" w:rsidP="007E3132">
      <w:pPr>
        <w:spacing w:after="0" w:line="480" w:lineRule="auto"/>
        <w:jc w:val="both"/>
        <w:rPr>
          <w:rFonts w:ascii="Arial" w:eastAsiaTheme="minorEastAsia" w:hAnsi="Arial" w:cs="Arial"/>
          <w:sz w:val="20"/>
          <w:szCs w:val="20"/>
          <w:lang w:val="en-GB"/>
        </w:rPr>
      </w:pPr>
      <w:r w:rsidRPr="00CB14C3">
        <w:rPr>
          <w:rFonts w:ascii="Arial" w:eastAsiaTheme="minorEastAsia" w:hAnsi="Arial" w:cs="Arial"/>
          <w:sz w:val="20"/>
          <w:szCs w:val="20"/>
          <w:lang w:val="en-GB"/>
        </w:rPr>
        <w:t xml:space="preserve">Group 1 </w:t>
      </w:r>
      <w:r w:rsidRPr="00CB14C3">
        <w:rPr>
          <w:rFonts w:ascii="Arial" w:eastAsiaTheme="minorEastAsia" w:hAnsi="Arial" w:cs="Arial"/>
          <w:sz w:val="20"/>
          <w:szCs w:val="20"/>
          <w:lang w:val="en-GB"/>
        </w:rPr>
        <w:tab/>
        <w:t>Normal Control</w:t>
      </w:r>
    </w:p>
    <w:p w:rsidR="007E3132" w:rsidRPr="00CB14C3" w:rsidRDefault="007E3132" w:rsidP="007E3132">
      <w:pPr>
        <w:spacing w:after="0" w:line="480" w:lineRule="auto"/>
        <w:jc w:val="both"/>
        <w:rPr>
          <w:rFonts w:ascii="Arial" w:eastAsiaTheme="minorEastAsia" w:hAnsi="Arial" w:cs="Arial"/>
          <w:sz w:val="20"/>
          <w:szCs w:val="20"/>
          <w:lang w:val="en-GB"/>
        </w:rPr>
      </w:pPr>
      <w:r w:rsidRPr="00CB14C3">
        <w:rPr>
          <w:rFonts w:ascii="Arial" w:eastAsiaTheme="minorEastAsia" w:hAnsi="Arial" w:cs="Arial"/>
          <w:sz w:val="20"/>
          <w:szCs w:val="20"/>
          <w:lang w:val="en-GB"/>
        </w:rPr>
        <w:t>Group 2</w:t>
      </w:r>
      <w:r w:rsidRPr="00CB14C3">
        <w:rPr>
          <w:rFonts w:ascii="Arial" w:eastAsiaTheme="minorEastAsia" w:hAnsi="Arial" w:cs="Arial"/>
          <w:sz w:val="20"/>
          <w:szCs w:val="20"/>
          <w:lang w:val="en-GB"/>
        </w:rPr>
        <w:tab/>
        <w:t xml:space="preserve"> Raw Alcohol (Ogogoro)</w:t>
      </w:r>
      <w:r w:rsidR="00EE0859" w:rsidRPr="00CB14C3">
        <w:rPr>
          <w:rFonts w:ascii="Arial" w:eastAsiaTheme="minorEastAsia" w:hAnsi="Arial" w:cs="Arial"/>
          <w:sz w:val="20"/>
          <w:szCs w:val="20"/>
          <w:lang w:val="en-GB"/>
        </w:rPr>
        <w:t>(40%v/v)</w:t>
      </w:r>
    </w:p>
    <w:p w:rsidR="00B81B50" w:rsidRPr="00CB14C3" w:rsidRDefault="00B81B50" w:rsidP="007E3132">
      <w:pPr>
        <w:spacing w:after="0" w:line="480" w:lineRule="auto"/>
        <w:jc w:val="both"/>
        <w:rPr>
          <w:rFonts w:ascii="Arial" w:eastAsiaTheme="minorEastAsia" w:hAnsi="Arial" w:cs="Arial"/>
          <w:sz w:val="20"/>
          <w:szCs w:val="20"/>
          <w:lang w:val="en-GB"/>
        </w:rPr>
      </w:pPr>
    </w:p>
    <w:p w:rsidR="007E3132" w:rsidRPr="00CB14C3" w:rsidRDefault="007E3132" w:rsidP="007E3132">
      <w:pPr>
        <w:spacing w:after="0" w:line="480" w:lineRule="auto"/>
        <w:jc w:val="both"/>
        <w:rPr>
          <w:rFonts w:ascii="Arial" w:eastAsiaTheme="minorEastAsia" w:hAnsi="Arial" w:cs="Arial"/>
          <w:sz w:val="20"/>
          <w:szCs w:val="20"/>
          <w:lang w:val="en-GB"/>
        </w:rPr>
      </w:pPr>
      <w:r w:rsidRPr="00CB14C3">
        <w:rPr>
          <w:rFonts w:ascii="Arial" w:eastAsiaTheme="minorEastAsia" w:hAnsi="Arial" w:cs="Arial"/>
          <w:sz w:val="20"/>
          <w:szCs w:val="20"/>
          <w:lang w:val="en-GB"/>
        </w:rPr>
        <w:t xml:space="preserve">Those in control group 1 received food and distilled water only while those in group 2 received 10 ml/kg body weight alcohol which was administered through oral gavage. The experimental animals were offered normal diet and water </w:t>
      </w:r>
      <w:r w:rsidRPr="00CB14C3">
        <w:rPr>
          <w:rFonts w:ascii="Arial" w:eastAsiaTheme="minorEastAsia" w:hAnsi="Arial" w:cs="Arial"/>
          <w:i/>
          <w:sz w:val="20"/>
          <w:szCs w:val="20"/>
          <w:lang w:val="en-GB"/>
        </w:rPr>
        <w:t>ad libitum</w:t>
      </w:r>
      <w:r w:rsidRPr="00CB14C3">
        <w:rPr>
          <w:rFonts w:ascii="Arial" w:eastAsiaTheme="minorEastAsia" w:hAnsi="Arial" w:cs="Arial"/>
          <w:sz w:val="20"/>
          <w:szCs w:val="20"/>
          <w:lang w:val="en-GB"/>
        </w:rPr>
        <w:t xml:space="preserve"> throughout the 21 days period of Phase I, during this period; all animals were observed for clinical signs and mortality patterns daily. At the end of this phase, the animals were selected randomly from the groups and blood samples were collected through ocular puncture for various biochemical analysis.</w:t>
      </w:r>
    </w:p>
    <w:p w:rsidR="00F0742B" w:rsidRPr="00CB14C3" w:rsidRDefault="00F0742B" w:rsidP="007E3132">
      <w:pPr>
        <w:spacing w:after="0" w:line="480" w:lineRule="auto"/>
        <w:jc w:val="both"/>
        <w:rPr>
          <w:rFonts w:ascii="Arial" w:eastAsiaTheme="minorEastAsia" w:hAnsi="Arial" w:cs="Arial"/>
          <w:sz w:val="20"/>
          <w:szCs w:val="20"/>
          <w:lang w:val="en-GB"/>
        </w:rPr>
      </w:pPr>
    </w:p>
    <w:p w:rsidR="00B81B50" w:rsidRPr="00CB14C3" w:rsidRDefault="00B81B50" w:rsidP="007E3132">
      <w:pPr>
        <w:spacing w:after="0" w:line="480" w:lineRule="auto"/>
        <w:jc w:val="both"/>
        <w:rPr>
          <w:rFonts w:ascii="Arial" w:eastAsiaTheme="minorEastAsia" w:hAnsi="Arial" w:cs="Arial"/>
          <w:sz w:val="20"/>
          <w:szCs w:val="20"/>
          <w:lang w:val="en-GB"/>
        </w:rPr>
      </w:pPr>
    </w:p>
    <w:p w:rsidR="00722A7D" w:rsidRPr="00CB14C3" w:rsidRDefault="00722A7D" w:rsidP="007E3132">
      <w:pPr>
        <w:spacing w:after="0" w:line="480" w:lineRule="auto"/>
        <w:jc w:val="both"/>
        <w:rPr>
          <w:rFonts w:ascii="Arial" w:eastAsiaTheme="minorEastAsia" w:hAnsi="Arial" w:cs="Arial"/>
          <w:sz w:val="20"/>
          <w:szCs w:val="20"/>
          <w:lang w:val="en-GB"/>
        </w:rPr>
      </w:pPr>
    </w:p>
    <w:p w:rsidR="007E3132" w:rsidRPr="00CB14C3" w:rsidRDefault="00952BEF" w:rsidP="007E3132">
      <w:pPr>
        <w:spacing w:after="0" w:line="480" w:lineRule="auto"/>
        <w:jc w:val="both"/>
        <w:rPr>
          <w:rFonts w:ascii="Arial" w:eastAsiaTheme="minorEastAsia" w:hAnsi="Arial" w:cs="Arial"/>
          <w:b/>
          <w:lang w:val="en-GB"/>
        </w:rPr>
      </w:pPr>
      <w:r w:rsidRPr="00CB14C3">
        <w:rPr>
          <w:rFonts w:ascii="Arial" w:eastAsiaTheme="minorEastAsia" w:hAnsi="Arial" w:cs="Arial"/>
          <w:b/>
          <w:lang w:val="en-GB"/>
        </w:rPr>
        <w:lastRenderedPageBreak/>
        <w:t xml:space="preserve">PHASE </w:t>
      </w:r>
      <w:r w:rsidR="00F0742B" w:rsidRPr="00CB14C3">
        <w:rPr>
          <w:rFonts w:ascii="Arial" w:eastAsiaTheme="minorEastAsia" w:hAnsi="Arial" w:cs="Arial"/>
          <w:b/>
          <w:lang w:val="en-GB"/>
        </w:rPr>
        <w:t>II</w:t>
      </w:r>
      <w:r w:rsidRPr="00CB14C3">
        <w:rPr>
          <w:rFonts w:ascii="Arial" w:eastAsiaTheme="minorEastAsia" w:hAnsi="Arial" w:cs="Arial"/>
          <w:b/>
          <w:lang w:val="en-GB"/>
        </w:rPr>
        <w:t>: TREATMENT PHASE</w:t>
      </w:r>
    </w:p>
    <w:p w:rsidR="007E3132" w:rsidRPr="00CB14C3" w:rsidRDefault="007E3132" w:rsidP="007E3132">
      <w:pPr>
        <w:spacing w:after="0" w:line="480" w:lineRule="auto"/>
        <w:jc w:val="both"/>
        <w:rPr>
          <w:rFonts w:ascii="Arial" w:eastAsiaTheme="minorEastAsia" w:hAnsi="Arial" w:cs="Arial"/>
          <w:sz w:val="20"/>
          <w:szCs w:val="20"/>
          <w:lang w:val="en-GB"/>
        </w:rPr>
      </w:pPr>
      <w:r w:rsidRPr="00CB14C3">
        <w:rPr>
          <w:rFonts w:ascii="Arial" w:eastAsiaTheme="minorEastAsia" w:hAnsi="Arial" w:cs="Arial"/>
          <w:sz w:val="20"/>
          <w:szCs w:val="20"/>
          <w:lang w:val="en-GB"/>
        </w:rPr>
        <w:t>These experimental animals were fu</w:t>
      </w:r>
      <w:r w:rsidR="00543F5B" w:rsidRPr="00CB14C3">
        <w:rPr>
          <w:rFonts w:ascii="Arial" w:eastAsiaTheme="minorEastAsia" w:hAnsi="Arial" w:cs="Arial"/>
          <w:sz w:val="20"/>
          <w:szCs w:val="20"/>
          <w:lang w:val="en-GB"/>
        </w:rPr>
        <w:t>rther divided into 7 groups of 7</w:t>
      </w:r>
      <w:r w:rsidRPr="00CB14C3">
        <w:rPr>
          <w:rFonts w:ascii="Arial" w:eastAsiaTheme="minorEastAsia" w:hAnsi="Arial" w:cs="Arial"/>
          <w:sz w:val="20"/>
          <w:szCs w:val="20"/>
          <w:lang w:val="en-GB"/>
        </w:rPr>
        <w:t xml:space="preserve"> animals each; treatments were for 21 days which are summarized below</w:t>
      </w:r>
    </w:p>
    <w:p w:rsidR="007E3132" w:rsidRPr="00CB14C3" w:rsidRDefault="007E3132" w:rsidP="007E3132">
      <w:pPr>
        <w:spacing w:after="0" w:line="480" w:lineRule="auto"/>
        <w:jc w:val="both"/>
        <w:rPr>
          <w:rFonts w:ascii="Arial" w:eastAsiaTheme="minorEastAsia" w:hAnsi="Arial" w:cs="Arial"/>
          <w:b/>
          <w:lang w:val="en-GB"/>
        </w:rPr>
      </w:pPr>
      <w:r w:rsidRPr="00CB14C3">
        <w:rPr>
          <w:rFonts w:ascii="Arial" w:eastAsiaTheme="minorEastAsia" w:hAnsi="Arial" w:cs="Arial"/>
          <w:b/>
          <w:lang w:val="en-GB"/>
        </w:rPr>
        <w:t xml:space="preserve">PHASE </w:t>
      </w:r>
      <w:r w:rsidR="00F0742B" w:rsidRPr="00CB14C3">
        <w:rPr>
          <w:rFonts w:ascii="Arial" w:eastAsiaTheme="minorEastAsia" w:hAnsi="Arial" w:cs="Arial"/>
          <w:b/>
          <w:lang w:val="en-GB"/>
        </w:rPr>
        <w:t>II</w:t>
      </w:r>
      <w:r w:rsidRPr="00CB14C3">
        <w:rPr>
          <w:rFonts w:ascii="Arial" w:eastAsiaTheme="minorEastAsia" w:hAnsi="Arial" w:cs="Arial"/>
          <w:b/>
          <w:lang w:val="en-GB"/>
        </w:rPr>
        <w:t>: TREATMENT PHASE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7051"/>
      </w:tblGrid>
      <w:tr w:rsidR="00B81B50" w:rsidRPr="00CB14C3" w:rsidTr="00363060">
        <w:trPr>
          <w:trHeight w:val="470"/>
        </w:trPr>
        <w:tc>
          <w:tcPr>
            <w:tcW w:w="0" w:type="auto"/>
            <w:tcBorders>
              <w:top w:val="single" w:sz="4" w:space="0" w:color="auto"/>
            </w:tcBorders>
          </w:tcPr>
          <w:p w:rsidR="00B81B50" w:rsidRPr="00CB14C3" w:rsidRDefault="00B81B50" w:rsidP="00B81B50">
            <w:pPr>
              <w:jc w:val="both"/>
              <w:rPr>
                <w:rFonts w:ascii="Arial" w:eastAsiaTheme="minorEastAsia" w:hAnsi="Arial" w:cs="Arial"/>
                <w:lang w:val="en-GB"/>
              </w:rPr>
            </w:pPr>
            <w:r w:rsidRPr="00CB14C3">
              <w:rPr>
                <w:rFonts w:ascii="Arial" w:eastAsiaTheme="minorEastAsia" w:hAnsi="Arial" w:cs="Arial"/>
                <w:lang w:val="en-GB"/>
              </w:rPr>
              <w:t>Group 1</w:t>
            </w:r>
          </w:p>
        </w:tc>
        <w:tc>
          <w:tcPr>
            <w:tcW w:w="0" w:type="auto"/>
            <w:tcBorders>
              <w:top w:val="single" w:sz="4" w:space="0" w:color="auto"/>
            </w:tcBorders>
          </w:tcPr>
          <w:p w:rsidR="00B81B50" w:rsidRPr="00CB14C3" w:rsidRDefault="00B81B50" w:rsidP="00B81B50">
            <w:pPr>
              <w:jc w:val="both"/>
              <w:rPr>
                <w:rFonts w:ascii="Arial" w:eastAsiaTheme="minorEastAsia" w:hAnsi="Arial" w:cs="Arial"/>
                <w:lang w:val="en-GB"/>
              </w:rPr>
            </w:pPr>
            <w:r w:rsidRPr="00CB14C3">
              <w:rPr>
                <w:rFonts w:ascii="Arial" w:eastAsiaTheme="minorEastAsia" w:hAnsi="Arial" w:cs="Arial"/>
                <w:lang w:val="en-GB"/>
              </w:rPr>
              <w:t>Normal control</w:t>
            </w:r>
          </w:p>
        </w:tc>
      </w:tr>
      <w:tr w:rsidR="00B81B50" w:rsidRPr="00CB14C3" w:rsidTr="00363060">
        <w:trPr>
          <w:trHeight w:val="357"/>
        </w:trPr>
        <w:tc>
          <w:tcPr>
            <w:tcW w:w="0" w:type="auto"/>
          </w:tcPr>
          <w:p w:rsidR="00B81B50" w:rsidRPr="00CB14C3" w:rsidRDefault="00B81B50" w:rsidP="00B81B50">
            <w:pPr>
              <w:jc w:val="both"/>
              <w:rPr>
                <w:rFonts w:ascii="Arial" w:eastAsiaTheme="minorEastAsia" w:hAnsi="Arial" w:cs="Arial"/>
                <w:lang w:val="en-GB"/>
              </w:rPr>
            </w:pPr>
            <w:r w:rsidRPr="00CB14C3">
              <w:rPr>
                <w:rFonts w:ascii="Arial" w:eastAsiaTheme="minorEastAsia" w:hAnsi="Arial" w:cs="Arial"/>
                <w:lang w:val="en-GB"/>
              </w:rPr>
              <w:t>Group 2</w:t>
            </w:r>
          </w:p>
        </w:tc>
        <w:tc>
          <w:tcPr>
            <w:tcW w:w="0" w:type="auto"/>
          </w:tcPr>
          <w:p w:rsidR="00B81B50" w:rsidRPr="00CB14C3" w:rsidRDefault="00B81B50" w:rsidP="00B81B50">
            <w:pPr>
              <w:jc w:val="both"/>
              <w:rPr>
                <w:rFonts w:ascii="Arial" w:eastAsiaTheme="minorEastAsia" w:hAnsi="Arial" w:cs="Arial"/>
                <w:lang w:val="en-GB"/>
              </w:rPr>
            </w:pPr>
            <w:r w:rsidRPr="00CB14C3">
              <w:rPr>
                <w:rFonts w:ascii="Arial" w:eastAsiaTheme="minorEastAsia" w:hAnsi="Arial" w:cs="Arial"/>
                <w:lang w:val="en-GB"/>
              </w:rPr>
              <w:t>10 ml/kg of Alcohol + 50 mg/kg Silymarin (Standard control)</w:t>
            </w:r>
          </w:p>
        </w:tc>
      </w:tr>
      <w:tr w:rsidR="00B81B50" w:rsidRPr="00CB14C3" w:rsidTr="00363060">
        <w:trPr>
          <w:trHeight w:val="371"/>
        </w:trPr>
        <w:tc>
          <w:tcPr>
            <w:tcW w:w="0" w:type="auto"/>
          </w:tcPr>
          <w:p w:rsidR="00B81B50" w:rsidRPr="00CB14C3" w:rsidRDefault="00B81B50" w:rsidP="00B81B50">
            <w:pPr>
              <w:jc w:val="both"/>
              <w:rPr>
                <w:rFonts w:ascii="Arial" w:eastAsiaTheme="minorEastAsia" w:hAnsi="Arial" w:cs="Arial"/>
                <w:lang w:val="en-GB"/>
              </w:rPr>
            </w:pPr>
            <w:r w:rsidRPr="00CB14C3">
              <w:rPr>
                <w:rFonts w:ascii="Arial" w:eastAsiaTheme="minorEastAsia" w:hAnsi="Arial" w:cs="Arial"/>
                <w:lang w:val="en-GB"/>
              </w:rPr>
              <w:t>Group 3</w:t>
            </w:r>
          </w:p>
        </w:tc>
        <w:tc>
          <w:tcPr>
            <w:tcW w:w="0" w:type="auto"/>
          </w:tcPr>
          <w:p w:rsidR="00B81B50" w:rsidRPr="00CB14C3" w:rsidRDefault="00B81B50" w:rsidP="00B81B50">
            <w:pPr>
              <w:jc w:val="both"/>
              <w:rPr>
                <w:rFonts w:ascii="Arial" w:eastAsiaTheme="minorEastAsia" w:hAnsi="Arial" w:cs="Arial"/>
                <w:lang w:val="en-GB"/>
              </w:rPr>
            </w:pPr>
            <w:r w:rsidRPr="00CB14C3">
              <w:rPr>
                <w:rFonts w:ascii="Arial" w:eastAsiaTheme="minorEastAsia" w:hAnsi="Arial" w:cs="Arial"/>
                <w:lang w:val="en-GB"/>
              </w:rPr>
              <w:t>10 ml/kg Alcohol only (No treatment)</w:t>
            </w:r>
          </w:p>
        </w:tc>
      </w:tr>
      <w:tr w:rsidR="00B81B50" w:rsidRPr="00CB14C3" w:rsidTr="00363060">
        <w:trPr>
          <w:trHeight w:val="271"/>
        </w:trPr>
        <w:tc>
          <w:tcPr>
            <w:tcW w:w="0" w:type="auto"/>
          </w:tcPr>
          <w:p w:rsidR="00B81B50" w:rsidRPr="00CB14C3" w:rsidRDefault="00B81B50" w:rsidP="00B81B50">
            <w:pPr>
              <w:jc w:val="both"/>
              <w:rPr>
                <w:rFonts w:ascii="Arial" w:eastAsiaTheme="minorEastAsia" w:hAnsi="Arial" w:cs="Arial"/>
                <w:lang w:val="en-GB"/>
              </w:rPr>
            </w:pPr>
            <w:bookmarkStart w:id="1" w:name="_Hlk220161756"/>
            <w:r w:rsidRPr="00CB14C3">
              <w:rPr>
                <w:rFonts w:ascii="Arial" w:eastAsiaTheme="minorEastAsia" w:hAnsi="Arial" w:cs="Arial"/>
                <w:lang w:val="en-GB"/>
              </w:rPr>
              <w:t>Group 4</w:t>
            </w:r>
          </w:p>
        </w:tc>
        <w:tc>
          <w:tcPr>
            <w:tcW w:w="0" w:type="auto"/>
          </w:tcPr>
          <w:p w:rsidR="00B81B50" w:rsidRPr="00CB14C3" w:rsidRDefault="00B81B50" w:rsidP="00B81B50">
            <w:pPr>
              <w:ind w:left="91"/>
              <w:jc w:val="both"/>
              <w:rPr>
                <w:rFonts w:ascii="Arial" w:eastAsiaTheme="minorEastAsia" w:hAnsi="Arial" w:cs="Arial"/>
                <w:lang w:val="en-GB"/>
              </w:rPr>
            </w:pPr>
            <w:r w:rsidRPr="00CB14C3">
              <w:rPr>
                <w:rFonts w:ascii="Arial" w:eastAsiaTheme="minorEastAsia" w:hAnsi="Arial" w:cs="Arial"/>
                <w:lang w:val="en-GB"/>
              </w:rPr>
              <w:t>10 ml/kg Alcohol + extract 250 mg/kg</w:t>
            </w:r>
            <w:r w:rsidR="0074348C" w:rsidRPr="00CB14C3">
              <w:rPr>
                <w:rFonts w:ascii="Arial" w:eastAsiaTheme="minorEastAsia" w:hAnsi="Arial" w:cs="Arial"/>
                <w:lang w:val="en-GB"/>
              </w:rPr>
              <w:t xml:space="preserve"> </w:t>
            </w:r>
            <w:proofErr w:type="spellStart"/>
            <w:r w:rsidR="0074348C" w:rsidRPr="00CB14C3">
              <w:rPr>
                <w:rFonts w:ascii="Arial" w:eastAsiaTheme="minorEastAsia" w:hAnsi="Arial" w:cs="Arial"/>
                <w:lang w:val="en-GB"/>
              </w:rPr>
              <w:t>b.w</w:t>
            </w:r>
            <w:proofErr w:type="spellEnd"/>
            <w:r w:rsidRPr="00CB14C3">
              <w:rPr>
                <w:rFonts w:ascii="Arial" w:eastAsiaTheme="minorEastAsia" w:hAnsi="Arial" w:cs="Arial"/>
                <w:lang w:val="en-GB"/>
              </w:rPr>
              <w:t xml:space="preserve"> + discontinued induction.</w:t>
            </w:r>
          </w:p>
        </w:tc>
      </w:tr>
      <w:tr w:rsidR="00B81B50" w:rsidRPr="00CB14C3" w:rsidTr="00363060">
        <w:trPr>
          <w:trHeight w:val="440"/>
        </w:trPr>
        <w:tc>
          <w:tcPr>
            <w:tcW w:w="0" w:type="auto"/>
          </w:tcPr>
          <w:p w:rsidR="00B81B50" w:rsidRPr="00CB14C3" w:rsidRDefault="00B81B50" w:rsidP="00B81B50">
            <w:pPr>
              <w:jc w:val="both"/>
              <w:rPr>
                <w:rFonts w:ascii="Arial" w:eastAsiaTheme="minorEastAsia" w:hAnsi="Arial" w:cs="Arial"/>
                <w:lang w:val="en-GB"/>
              </w:rPr>
            </w:pPr>
            <w:r w:rsidRPr="00CB14C3">
              <w:rPr>
                <w:rFonts w:ascii="Arial" w:eastAsiaTheme="minorEastAsia" w:hAnsi="Arial" w:cs="Arial"/>
                <w:lang w:val="en-GB"/>
              </w:rPr>
              <w:t>Group 5</w:t>
            </w:r>
          </w:p>
        </w:tc>
        <w:tc>
          <w:tcPr>
            <w:tcW w:w="0" w:type="auto"/>
          </w:tcPr>
          <w:p w:rsidR="00B81B50" w:rsidRPr="00CB14C3" w:rsidRDefault="00B81B50" w:rsidP="00B81B50">
            <w:pPr>
              <w:ind w:left="91"/>
              <w:jc w:val="both"/>
              <w:rPr>
                <w:rFonts w:ascii="Arial" w:eastAsiaTheme="minorEastAsia" w:hAnsi="Arial" w:cs="Arial"/>
                <w:lang w:val="en-GB"/>
              </w:rPr>
            </w:pPr>
            <w:r w:rsidRPr="00CB14C3">
              <w:rPr>
                <w:rFonts w:ascii="Arial" w:eastAsiaTheme="minorEastAsia" w:hAnsi="Arial" w:cs="Arial"/>
                <w:lang w:val="en-GB"/>
              </w:rPr>
              <w:t>10 ml/kg Alcohol + extract 500 mg/kg</w:t>
            </w:r>
            <w:r w:rsidR="0074348C" w:rsidRPr="00CB14C3">
              <w:rPr>
                <w:rFonts w:ascii="Arial" w:eastAsiaTheme="minorEastAsia" w:hAnsi="Arial" w:cs="Arial"/>
                <w:lang w:val="en-GB"/>
              </w:rPr>
              <w:t xml:space="preserve"> </w:t>
            </w:r>
            <w:proofErr w:type="spellStart"/>
            <w:r w:rsidR="0074348C" w:rsidRPr="00CB14C3">
              <w:rPr>
                <w:rFonts w:ascii="Arial" w:eastAsiaTheme="minorEastAsia" w:hAnsi="Arial" w:cs="Arial"/>
                <w:lang w:val="en-GB"/>
              </w:rPr>
              <w:t>b.w</w:t>
            </w:r>
            <w:proofErr w:type="spellEnd"/>
            <w:r w:rsidRPr="00CB14C3">
              <w:rPr>
                <w:rFonts w:ascii="Arial" w:eastAsiaTheme="minorEastAsia" w:hAnsi="Arial" w:cs="Arial"/>
                <w:lang w:val="en-GB"/>
              </w:rPr>
              <w:t xml:space="preserve"> + discontinued induction</w:t>
            </w:r>
          </w:p>
        </w:tc>
      </w:tr>
      <w:tr w:rsidR="00B81B50" w:rsidRPr="00CB14C3" w:rsidTr="00363060">
        <w:trPr>
          <w:trHeight w:val="327"/>
        </w:trPr>
        <w:tc>
          <w:tcPr>
            <w:tcW w:w="0" w:type="auto"/>
          </w:tcPr>
          <w:p w:rsidR="00B81B50" w:rsidRPr="00CB14C3" w:rsidRDefault="00B81B50" w:rsidP="00B81B50">
            <w:pPr>
              <w:jc w:val="both"/>
              <w:rPr>
                <w:rFonts w:ascii="Arial" w:eastAsiaTheme="minorEastAsia" w:hAnsi="Arial" w:cs="Arial"/>
                <w:lang w:val="en-GB"/>
              </w:rPr>
            </w:pPr>
            <w:r w:rsidRPr="00CB14C3">
              <w:rPr>
                <w:rFonts w:ascii="Arial" w:eastAsiaTheme="minorEastAsia" w:hAnsi="Arial" w:cs="Arial"/>
                <w:lang w:val="en-GB"/>
              </w:rPr>
              <w:t>Group 6</w:t>
            </w:r>
          </w:p>
        </w:tc>
        <w:tc>
          <w:tcPr>
            <w:tcW w:w="0" w:type="auto"/>
          </w:tcPr>
          <w:p w:rsidR="00B81B50" w:rsidRPr="00CB14C3" w:rsidRDefault="00B81B50" w:rsidP="00B81B50">
            <w:pPr>
              <w:ind w:left="158"/>
              <w:jc w:val="both"/>
              <w:rPr>
                <w:rFonts w:ascii="Arial" w:eastAsiaTheme="minorEastAsia" w:hAnsi="Arial" w:cs="Arial"/>
                <w:lang w:val="en-GB"/>
              </w:rPr>
            </w:pPr>
            <w:r w:rsidRPr="00CB14C3">
              <w:rPr>
                <w:rFonts w:ascii="Arial" w:eastAsiaTheme="minorEastAsia" w:hAnsi="Arial" w:cs="Arial"/>
                <w:lang w:val="en-GB"/>
              </w:rPr>
              <w:t xml:space="preserve">10 ml/kg Alcohol </w:t>
            </w:r>
            <w:proofErr w:type="gramStart"/>
            <w:r w:rsidRPr="00CB14C3">
              <w:rPr>
                <w:rFonts w:ascii="Arial" w:eastAsiaTheme="minorEastAsia" w:hAnsi="Arial" w:cs="Arial"/>
                <w:lang w:val="en-GB"/>
              </w:rPr>
              <w:t>+  extract</w:t>
            </w:r>
            <w:proofErr w:type="gramEnd"/>
            <w:r w:rsidRPr="00CB14C3">
              <w:rPr>
                <w:rFonts w:ascii="Arial" w:eastAsiaTheme="minorEastAsia" w:hAnsi="Arial" w:cs="Arial"/>
                <w:lang w:val="en-GB"/>
              </w:rPr>
              <w:t xml:space="preserve"> 250 mg/kg</w:t>
            </w:r>
            <w:r w:rsidR="0074348C" w:rsidRPr="00CB14C3">
              <w:rPr>
                <w:rFonts w:ascii="Arial" w:eastAsiaTheme="minorEastAsia" w:hAnsi="Arial" w:cs="Arial"/>
                <w:lang w:val="en-GB"/>
              </w:rPr>
              <w:t xml:space="preserve"> </w:t>
            </w:r>
            <w:proofErr w:type="spellStart"/>
            <w:r w:rsidR="0074348C" w:rsidRPr="00CB14C3">
              <w:rPr>
                <w:rFonts w:ascii="Arial" w:eastAsiaTheme="minorEastAsia" w:hAnsi="Arial" w:cs="Arial"/>
                <w:lang w:val="en-GB"/>
              </w:rPr>
              <w:t>b.w</w:t>
            </w:r>
            <w:proofErr w:type="spellEnd"/>
            <w:r w:rsidRPr="00CB14C3">
              <w:rPr>
                <w:rFonts w:ascii="Arial" w:eastAsiaTheme="minorEastAsia" w:hAnsi="Arial" w:cs="Arial"/>
                <w:lang w:val="en-GB"/>
              </w:rPr>
              <w:t xml:space="preserve"> + induction cum treatment</w:t>
            </w:r>
          </w:p>
        </w:tc>
      </w:tr>
      <w:tr w:rsidR="00B81B50" w:rsidRPr="00CB14C3" w:rsidTr="00363060">
        <w:trPr>
          <w:trHeight w:val="355"/>
        </w:trPr>
        <w:tc>
          <w:tcPr>
            <w:tcW w:w="0" w:type="auto"/>
            <w:tcBorders>
              <w:bottom w:val="single" w:sz="4" w:space="0" w:color="auto"/>
            </w:tcBorders>
          </w:tcPr>
          <w:p w:rsidR="00B81B50" w:rsidRPr="00CB14C3" w:rsidRDefault="00B81B50" w:rsidP="00B81B50">
            <w:pPr>
              <w:jc w:val="both"/>
              <w:rPr>
                <w:rFonts w:ascii="Arial" w:eastAsiaTheme="minorEastAsia" w:hAnsi="Arial" w:cs="Arial"/>
                <w:lang w:val="en-GB"/>
              </w:rPr>
            </w:pPr>
            <w:r w:rsidRPr="00CB14C3">
              <w:rPr>
                <w:rFonts w:ascii="Arial" w:eastAsiaTheme="minorEastAsia" w:hAnsi="Arial" w:cs="Arial"/>
                <w:lang w:val="en-GB"/>
              </w:rPr>
              <w:t>Group 7</w:t>
            </w:r>
          </w:p>
        </w:tc>
        <w:tc>
          <w:tcPr>
            <w:tcW w:w="0" w:type="auto"/>
            <w:tcBorders>
              <w:bottom w:val="single" w:sz="4" w:space="0" w:color="auto"/>
            </w:tcBorders>
          </w:tcPr>
          <w:p w:rsidR="00B81B50" w:rsidRPr="00CB14C3" w:rsidRDefault="00B81B50" w:rsidP="00B81B50">
            <w:pPr>
              <w:ind w:left="158"/>
              <w:jc w:val="both"/>
              <w:rPr>
                <w:rFonts w:ascii="Arial" w:eastAsiaTheme="minorEastAsia" w:hAnsi="Arial" w:cs="Arial"/>
                <w:lang w:val="en-GB"/>
              </w:rPr>
            </w:pPr>
            <w:r w:rsidRPr="00CB14C3">
              <w:rPr>
                <w:rFonts w:ascii="Arial" w:eastAsiaTheme="minorEastAsia" w:hAnsi="Arial" w:cs="Arial"/>
                <w:lang w:val="en-GB"/>
              </w:rPr>
              <w:t>10 ml/kg Alcohol + extract 500 mg/kg</w:t>
            </w:r>
            <w:r w:rsidR="0074348C" w:rsidRPr="00CB14C3">
              <w:rPr>
                <w:rFonts w:ascii="Arial" w:eastAsiaTheme="minorEastAsia" w:hAnsi="Arial" w:cs="Arial"/>
                <w:lang w:val="en-GB"/>
              </w:rPr>
              <w:t xml:space="preserve"> </w:t>
            </w:r>
            <w:proofErr w:type="spellStart"/>
            <w:r w:rsidR="0074348C" w:rsidRPr="00CB14C3">
              <w:rPr>
                <w:rFonts w:ascii="Arial" w:eastAsiaTheme="minorEastAsia" w:hAnsi="Arial" w:cs="Arial"/>
                <w:lang w:val="en-GB"/>
              </w:rPr>
              <w:t>b.w</w:t>
            </w:r>
            <w:proofErr w:type="spellEnd"/>
            <w:r w:rsidR="0074348C" w:rsidRPr="00CB14C3">
              <w:rPr>
                <w:rFonts w:ascii="Arial" w:eastAsiaTheme="minorEastAsia" w:hAnsi="Arial" w:cs="Arial"/>
                <w:lang w:val="en-GB"/>
              </w:rPr>
              <w:t xml:space="preserve"> </w:t>
            </w:r>
            <w:r w:rsidRPr="00CB14C3">
              <w:rPr>
                <w:rFonts w:ascii="Arial" w:eastAsiaTheme="minorEastAsia" w:hAnsi="Arial" w:cs="Arial"/>
                <w:lang w:val="en-GB"/>
              </w:rPr>
              <w:t>+ induction cum treatment</w:t>
            </w:r>
          </w:p>
        </w:tc>
      </w:tr>
      <w:bookmarkEnd w:id="1"/>
    </w:tbl>
    <w:p w:rsidR="007E3132" w:rsidRPr="00CB14C3" w:rsidRDefault="007E3132" w:rsidP="007E3132">
      <w:pPr>
        <w:spacing w:after="0" w:line="480" w:lineRule="auto"/>
        <w:jc w:val="both"/>
        <w:rPr>
          <w:rFonts w:ascii="Arial" w:eastAsiaTheme="minorEastAsia" w:hAnsi="Arial" w:cs="Arial"/>
          <w:lang w:val="en-GB"/>
        </w:rPr>
      </w:pPr>
    </w:p>
    <w:p w:rsidR="007E3132" w:rsidRPr="00CB14C3" w:rsidRDefault="007E3132" w:rsidP="007E3132">
      <w:pPr>
        <w:spacing w:after="0" w:line="480" w:lineRule="auto"/>
        <w:jc w:val="both"/>
        <w:rPr>
          <w:rFonts w:ascii="Arial" w:eastAsiaTheme="minorEastAsia" w:hAnsi="Arial" w:cs="Arial"/>
          <w:lang w:val="en-GB"/>
        </w:rPr>
      </w:pPr>
      <w:r w:rsidRPr="00CB14C3">
        <w:rPr>
          <w:rFonts w:ascii="Arial" w:eastAsiaTheme="minorEastAsia" w:hAnsi="Arial" w:cs="Arial"/>
          <w:lang w:val="en-GB"/>
        </w:rPr>
        <w:t xml:space="preserve">At the end of the </w:t>
      </w:r>
      <w:r w:rsidR="00F0742B" w:rsidRPr="00CB14C3">
        <w:rPr>
          <w:rFonts w:ascii="Arial" w:eastAsiaTheme="minorEastAsia" w:hAnsi="Arial" w:cs="Arial"/>
          <w:lang w:val="en-GB"/>
        </w:rPr>
        <w:t>42-day</w:t>
      </w:r>
      <w:r w:rsidRPr="00CB14C3">
        <w:rPr>
          <w:rFonts w:ascii="Arial" w:eastAsiaTheme="minorEastAsia" w:hAnsi="Arial" w:cs="Arial"/>
          <w:lang w:val="en-GB"/>
        </w:rPr>
        <w:t xml:space="preserve"> induction and treatment period in all, an overnight fast was imposed on the animals and the final weights taken to obtain the final body weights of the rats.</w:t>
      </w:r>
    </w:p>
    <w:p w:rsidR="007E3132" w:rsidRPr="00CB14C3" w:rsidRDefault="007E3132" w:rsidP="007E3132">
      <w:pPr>
        <w:spacing w:after="0" w:line="480" w:lineRule="auto"/>
        <w:jc w:val="both"/>
        <w:rPr>
          <w:rFonts w:ascii="Arial" w:eastAsiaTheme="minorEastAsia" w:hAnsi="Arial" w:cs="Arial"/>
          <w:b/>
          <w:lang w:val="en-GB"/>
        </w:rPr>
      </w:pPr>
    </w:p>
    <w:p w:rsidR="007E3132" w:rsidRPr="00CB14C3" w:rsidRDefault="007E3132" w:rsidP="007E3132">
      <w:pPr>
        <w:spacing w:after="0" w:line="480" w:lineRule="auto"/>
        <w:jc w:val="both"/>
        <w:rPr>
          <w:rFonts w:ascii="Arial" w:eastAsiaTheme="minorEastAsia" w:hAnsi="Arial" w:cs="Arial"/>
          <w:b/>
          <w:lang w:val="en-GB"/>
        </w:rPr>
      </w:pPr>
      <w:r w:rsidRPr="00CB14C3">
        <w:rPr>
          <w:rFonts w:ascii="Arial" w:eastAsiaTheme="minorEastAsia" w:hAnsi="Arial" w:cs="Arial"/>
          <w:b/>
          <w:lang w:val="en-GB"/>
        </w:rPr>
        <w:t>Blood and Tissue Sampling</w:t>
      </w:r>
    </w:p>
    <w:p w:rsidR="00E15BAE" w:rsidRPr="00CB14C3" w:rsidRDefault="007E3132" w:rsidP="00E15BAE">
      <w:pPr>
        <w:spacing w:after="0" w:line="480" w:lineRule="auto"/>
        <w:jc w:val="both"/>
        <w:rPr>
          <w:rFonts w:ascii="Arial" w:eastAsiaTheme="minorEastAsia" w:hAnsi="Arial" w:cs="Arial"/>
          <w:sz w:val="20"/>
          <w:szCs w:val="20"/>
          <w:lang w:val="en-GB"/>
        </w:rPr>
      </w:pPr>
      <w:r w:rsidRPr="00CB14C3">
        <w:rPr>
          <w:rFonts w:ascii="Arial" w:eastAsiaTheme="minorEastAsia" w:hAnsi="Arial" w:cs="Arial"/>
          <w:sz w:val="20"/>
          <w:szCs w:val="20"/>
          <w:lang w:val="en-GB"/>
        </w:rPr>
        <w:t xml:space="preserve">At the end of the post feeding fast, they were subjected to light diethyl ether to induce </w:t>
      </w:r>
      <w:proofErr w:type="spellStart"/>
      <w:r w:rsidRPr="00CB14C3">
        <w:rPr>
          <w:rFonts w:ascii="Arial" w:eastAsiaTheme="minorEastAsia" w:hAnsi="Arial" w:cs="Arial"/>
          <w:sz w:val="20"/>
          <w:szCs w:val="20"/>
          <w:lang w:val="en-GB"/>
        </w:rPr>
        <w:t>anesthesia</w:t>
      </w:r>
      <w:proofErr w:type="spellEnd"/>
      <w:r w:rsidRPr="00CB14C3">
        <w:rPr>
          <w:rFonts w:ascii="Arial" w:eastAsiaTheme="minorEastAsia" w:hAnsi="Arial" w:cs="Arial"/>
          <w:sz w:val="20"/>
          <w:szCs w:val="20"/>
          <w:lang w:val="en-GB"/>
        </w:rPr>
        <w:t xml:space="preserve">. Blood were collected by </w:t>
      </w:r>
      <w:r w:rsidR="00DD63EC" w:rsidRPr="00CB14C3">
        <w:rPr>
          <w:rFonts w:ascii="Arial" w:eastAsiaTheme="minorEastAsia" w:hAnsi="Arial" w:cs="Arial"/>
          <w:sz w:val="20"/>
          <w:szCs w:val="20"/>
          <w:lang w:val="en-GB"/>
        </w:rPr>
        <w:t>cardiac</w:t>
      </w:r>
      <w:r w:rsidRPr="00CB14C3">
        <w:rPr>
          <w:rFonts w:ascii="Arial" w:eastAsiaTheme="minorEastAsia" w:hAnsi="Arial" w:cs="Arial"/>
          <w:sz w:val="20"/>
          <w:szCs w:val="20"/>
          <w:lang w:val="en-GB"/>
        </w:rPr>
        <w:t xml:space="preserve"> puncture into clean and dry test-tubes without anticoagulant, allowed to stand to separate serum and then preserved in a refrigerator until used for analyses. Similarly, some quantity of the blood was collected into EDTA containers for </w:t>
      </w:r>
      <w:proofErr w:type="spellStart"/>
      <w:r w:rsidRPr="00CB14C3">
        <w:rPr>
          <w:rFonts w:ascii="Arial" w:eastAsiaTheme="minorEastAsia" w:hAnsi="Arial" w:cs="Arial"/>
          <w:sz w:val="20"/>
          <w:szCs w:val="20"/>
          <w:lang w:val="en-GB"/>
        </w:rPr>
        <w:t>hematological</w:t>
      </w:r>
      <w:proofErr w:type="spellEnd"/>
      <w:r w:rsidRPr="00CB14C3">
        <w:rPr>
          <w:rFonts w:ascii="Arial" w:eastAsiaTheme="minorEastAsia" w:hAnsi="Arial" w:cs="Arial"/>
          <w:sz w:val="20"/>
          <w:szCs w:val="20"/>
          <w:lang w:val="en-GB"/>
        </w:rPr>
        <w:t xml:space="preserve"> studies. The liver was harvested, cleaned and weighed (absolute weight) and separately homogenized in 5 ml cold buffer (0.1 M-phosphate buffer, pH 7.4) per gram tissue. The homogenate </w:t>
      </w:r>
      <w:proofErr w:type="gramStart"/>
      <w:r w:rsidRPr="00CB14C3">
        <w:rPr>
          <w:rFonts w:ascii="Arial" w:eastAsiaTheme="minorEastAsia" w:hAnsi="Arial" w:cs="Arial"/>
          <w:sz w:val="20"/>
          <w:szCs w:val="20"/>
          <w:lang w:val="en-GB"/>
        </w:rPr>
        <w:t>were</w:t>
      </w:r>
      <w:proofErr w:type="gramEnd"/>
      <w:r w:rsidRPr="00CB14C3">
        <w:rPr>
          <w:rFonts w:ascii="Arial" w:eastAsiaTheme="minorEastAsia" w:hAnsi="Arial" w:cs="Arial"/>
          <w:sz w:val="20"/>
          <w:szCs w:val="20"/>
          <w:lang w:val="en-GB"/>
        </w:rPr>
        <w:t xml:space="preserve"> be further vortexed for 15 minutes and allowed to s</w:t>
      </w:r>
      <w:r w:rsidR="00E15BAE" w:rsidRPr="00CB14C3">
        <w:rPr>
          <w:rFonts w:ascii="Arial" w:eastAsiaTheme="minorEastAsia" w:hAnsi="Arial" w:cs="Arial"/>
          <w:sz w:val="20"/>
          <w:szCs w:val="20"/>
          <w:lang w:val="en-GB"/>
        </w:rPr>
        <w:t>tand and the supernatant were collected into sterile tubes and preserved in a refrigerator until used for biochemical analysis.</w:t>
      </w:r>
    </w:p>
    <w:p w:rsidR="00861428" w:rsidRPr="00CB14C3" w:rsidRDefault="00861428" w:rsidP="00E15BAE">
      <w:pPr>
        <w:jc w:val="both"/>
        <w:rPr>
          <w:rFonts w:ascii="Arial" w:hAnsi="Arial" w:cs="Arial"/>
          <w:b/>
          <w:lang w:val="en-GB"/>
        </w:rPr>
        <w:sectPr w:rsidR="00861428" w:rsidRPr="00CB14C3" w:rsidSect="006C3AAB">
          <w:type w:val="continuous"/>
          <w:pgSz w:w="12240" w:h="15840"/>
          <w:pgMar w:top="1440" w:right="1440" w:bottom="1440" w:left="1440" w:header="720" w:footer="720" w:gutter="0"/>
          <w:cols w:space="720"/>
          <w:docGrid w:linePitch="360"/>
        </w:sectPr>
      </w:pPr>
    </w:p>
    <w:p w:rsidR="006C3AAB" w:rsidRPr="00CB14C3" w:rsidRDefault="00CF2A92" w:rsidP="006C3AAB">
      <w:pPr>
        <w:spacing w:line="360" w:lineRule="auto"/>
        <w:rPr>
          <w:rFonts w:ascii="Arial" w:hAnsi="Arial" w:cs="Arial"/>
          <w:lang w:val="en-GB"/>
        </w:rPr>
      </w:pPr>
      <w:r w:rsidRPr="00CB14C3">
        <w:rPr>
          <w:rFonts w:ascii="Arial" w:hAnsi="Arial" w:cs="Arial"/>
          <w:b/>
          <w:lang w:val="en-GB"/>
        </w:rPr>
        <w:t>HISTOPATHOLOGY</w:t>
      </w:r>
    </w:p>
    <w:p w:rsidR="00D1692E" w:rsidRPr="00CB14C3" w:rsidRDefault="00D1692E" w:rsidP="006C3AAB">
      <w:pPr>
        <w:spacing w:line="360" w:lineRule="auto"/>
        <w:jc w:val="both"/>
        <w:rPr>
          <w:rFonts w:ascii="Arial" w:hAnsi="Arial" w:cs="Arial"/>
          <w:sz w:val="20"/>
          <w:szCs w:val="20"/>
          <w:lang w:val="en-GB"/>
        </w:rPr>
      </w:pPr>
      <w:r w:rsidRPr="00CB14C3">
        <w:rPr>
          <w:rFonts w:ascii="Arial" w:hAnsi="Arial" w:cs="Arial"/>
          <w:sz w:val="20"/>
          <w:szCs w:val="20"/>
          <w:lang w:val="en-GB"/>
        </w:rPr>
        <w:t xml:space="preserve">Tissues of the liver were fixed in 10% neutral buffered formalin, dehydrated in graded alcohol series, and embedded in paraffin. Sections of 5 µm thickness were stained with </w:t>
      </w:r>
      <w:proofErr w:type="spellStart"/>
      <w:r w:rsidRPr="00CB14C3">
        <w:rPr>
          <w:rFonts w:ascii="Arial" w:hAnsi="Arial" w:cs="Arial"/>
          <w:sz w:val="20"/>
          <w:szCs w:val="20"/>
          <w:lang w:val="en-GB"/>
        </w:rPr>
        <w:t>hematoxylin</w:t>
      </w:r>
      <w:proofErr w:type="spellEnd"/>
      <w:r w:rsidRPr="00CB14C3">
        <w:rPr>
          <w:rFonts w:ascii="Arial" w:hAnsi="Arial" w:cs="Arial"/>
          <w:sz w:val="20"/>
          <w:szCs w:val="20"/>
          <w:lang w:val="en-GB"/>
        </w:rPr>
        <w:t xml:space="preserve"> and eosin (H&amp;E) and microscopically evaluated for pathological changes such as necrosis, fatty degeneration, hepatocyte ballooning, and inflammatory infiltration.</w:t>
      </w:r>
    </w:p>
    <w:p w:rsidR="006C3AAB" w:rsidRPr="00CB14C3" w:rsidRDefault="00D1692E" w:rsidP="006C3AAB">
      <w:pPr>
        <w:spacing w:line="360" w:lineRule="auto"/>
        <w:jc w:val="both"/>
        <w:rPr>
          <w:rFonts w:ascii="Arial" w:hAnsi="Arial" w:cs="Arial"/>
          <w:b/>
          <w:lang w:val="en-GB"/>
        </w:rPr>
      </w:pPr>
      <w:r w:rsidRPr="00CB14C3">
        <w:rPr>
          <w:rFonts w:ascii="Arial" w:hAnsi="Arial" w:cs="Arial"/>
          <w:b/>
          <w:lang w:val="en-GB"/>
        </w:rPr>
        <w:lastRenderedPageBreak/>
        <w:t>LIVER FUNCTION TESTS (LFTS)</w:t>
      </w:r>
    </w:p>
    <w:p w:rsidR="006C3AAB" w:rsidRPr="00CB14C3" w:rsidRDefault="002256CA" w:rsidP="006C3AAB">
      <w:pPr>
        <w:spacing w:line="360" w:lineRule="auto"/>
        <w:jc w:val="both"/>
        <w:rPr>
          <w:rFonts w:ascii="Arial" w:hAnsi="Arial" w:cs="Arial"/>
          <w:sz w:val="20"/>
          <w:szCs w:val="20"/>
          <w:lang w:val="en-GB"/>
        </w:rPr>
      </w:pPr>
      <w:r w:rsidRPr="00CB14C3">
        <w:rPr>
          <w:rFonts w:ascii="Arial" w:hAnsi="Arial" w:cs="Arial"/>
          <w:sz w:val="20"/>
          <w:szCs w:val="20"/>
          <w:lang w:val="en-GB"/>
        </w:rPr>
        <w:t>Serum levels of alanine aminotransferase (ALT), aspartate aminotransferase (AST), total bilirubin, direct bilirubin, albumin, and total protein were measured using standard colorimetric kits according to the manufacturer's instructions. The tests were performed to evaluate liver enzyme leakage, hepatocellular damage, and synthetic function</w:t>
      </w:r>
      <w:r w:rsidR="00865CF8" w:rsidRPr="00CB14C3">
        <w:rPr>
          <w:rFonts w:ascii="Arial" w:hAnsi="Arial" w:cs="Arial"/>
          <w:sz w:val="20"/>
          <w:szCs w:val="20"/>
          <w:lang w:val="en-GB"/>
        </w:rPr>
        <w:t>.</w:t>
      </w:r>
    </w:p>
    <w:p w:rsidR="00865CF8" w:rsidRPr="00CB14C3" w:rsidRDefault="00D1692E" w:rsidP="006C3AAB">
      <w:pPr>
        <w:spacing w:line="360" w:lineRule="auto"/>
        <w:jc w:val="both"/>
        <w:rPr>
          <w:rFonts w:ascii="Arial" w:hAnsi="Arial" w:cs="Arial"/>
          <w:b/>
          <w:lang w:val="en-GB"/>
        </w:rPr>
      </w:pPr>
      <w:r w:rsidRPr="00CB14C3">
        <w:rPr>
          <w:rFonts w:ascii="Arial" w:hAnsi="Arial" w:cs="Arial"/>
          <w:b/>
          <w:lang w:val="en-GB"/>
        </w:rPr>
        <w:t>LIPID PROFILING</w:t>
      </w:r>
    </w:p>
    <w:p w:rsidR="006C3AAB" w:rsidRPr="00CB14C3" w:rsidRDefault="00865CF8" w:rsidP="006C3AAB">
      <w:pPr>
        <w:spacing w:line="360" w:lineRule="auto"/>
        <w:jc w:val="both"/>
        <w:rPr>
          <w:rFonts w:ascii="Arial" w:hAnsi="Arial" w:cs="Arial"/>
          <w:sz w:val="20"/>
          <w:szCs w:val="20"/>
          <w:lang w:val="en-GB"/>
        </w:rPr>
      </w:pPr>
      <w:r w:rsidRPr="00CB14C3">
        <w:rPr>
          <w:rFonts w:ascii="Arial" w:hAnsi="Arial" w:cs="Arial"/>
          <w:sz w:val="20"/>
          <w:szCs w:val="20"/>
          <w:lang w:val="en-GB"/>
        </w:rPr>
        <w:t>Total cholesterol, triglycerides, high-density lipoprotein (HDL), and low-density lipoprotein (LDL) were measured using enzym</w:t>
      </w:r>
      <w:r w:rsidR="00B70F84" w:rsidRPr="00CB14C3">
        <w:rPr>
          <w:rFonts w:ascii="Arial" w:hAnsi="Arial" w:cs="Arial"/>
          <w:sz w:val="20"/>
          <w:szCs w:val="20"/>
          <w:lang w:val="en-GB"/>
        </w:rPr>
        <w:t>atic colorimetric methods. Low-density lipoprotein (</w:t>
      </w:r>
      <w:r w:rsidRPr="00CB14C3">
        <w:rPr>
          <w:rFonts w:ascii="Arial" w:hAnsi="Arial" w:cs="Arial"/>
          <w:sz w:val="20"/>
          <w:szCs w:val="20"/>
          <w:lang w:val="en-GB"/>
        </w:rPr>
        <w:t xml:space="preserve">LDL) was calculated using </w:t>
      </w:r>
      <w:proofErr w:type="spellStart"/>
      <w:r w:rsidRPr="00CB14C3">
        <w:rPr>
          <w:rFonts w:ascii="Arial" w:hAnsi="Arial" w:cs="Arial"/>
          <w:sz w:val="20"/>
          <w:szCs w:val="20"/>
          <w:lang w:val="en-GB"/>
        </w:rPr>
        <w:t>Friedewald’s</w:t>
      </w:r>
      <w:proofErr w:type="spellEnd"/>
      <w:r w:rsidRPr="00CB14C3">
        <w:rPr>
          <w:rFonts w:ascii="Arial" w:hAnsi="Arial" w:cs="Arial"/>
          <w:sz w:val="20"/>
          <w:szCs w:val="20"/>
          <w:lang w:val="en-GB"/>
        </w:rPr>
        <w:t xml:space="preserve"> formula adopted from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{"citationItems":[{"id":"ITEM-1","itemData":{"DOI":"10.7860/JCDR/2015/16850.6870","ISSN":"2249-782X","PMID":"26816879","abstract":"INTRODUCTION An important aspect of the assessment of cardiovascular risk for a dyslipidemic subject is the estimation of serum Low-Density Lipoprotein Cholesterol (LDL-C). There are many homogenous assays currently available for the estimation of serum LDL-C. Most clinical laboratories determine LDL-C (mg/dL) by Friedewald's formula (FF), LDL-C = (TC) - (HDL-C) - (TG/5). Recently Anandaraja and colleagues have derived a new formula for calculating LDL-C, AR-LDL-C = 0.9 TC- (0.9 TG/5)-28. AIM &amp; OBJECTIVES The aim of the study was: a) to determine if, and to what extent, LDL-C level was underestimated/overestimated when it was calculated using the formulae compared with direct measurement of LDL-C, and b) to determine which of the calculated formulae show maximum correlation with direct LDL cholesterol method at different TG levels. SETTING &amp; DESIGN A cross-sectional study. MATERIALS AND METHODS Record analysis was done from the 370 (TG &lt;400mg/dl) lipid profile reports of patients above 18 years. LDL-C estimation was done by homogenous assay and also calculated using the Friedewald's Formula and Anandaraja's Formula. RESULTS The mean LDL-C levels were 105.17± 43.4, 102.98 ±42.5, and 98.20 ±43.7 mg/dl for D-LDL-C, F-LDL-C and AR-LDL-C, respectively. A good correlation was found between the calculated LDL-C methods and Direct Low-Density Lipoprotein Cholesterol method (D-LDL-C) assay, that is, F-LDL-C versus D-LDL-C (r = 0.937) and AR-LDL-C versus D-LDL-C (r= 0.918). Bland-Altman plot for FF-LDL-C &amp; AR-LDL-C showed minimal negative bias. CONCLUSION FF-LDL-C correlated maximally with D-LDL-C estimation at all levels of triglycerides except at TG &lt; 100mg/dl. At TG &lt; 100mg/dl, Anandaraja's Formula works better. FF-LDL-C can be used in place of D-LDL-C when the direct method cannot be afforded.","author":[{"dropping-particle":"","family":"Krishnaveni","given":"P","non-dropping-particle":"","parse-names":false,"suffix":""},{"dropping-particle":"","family":"Gowda","given":"Vanitha Mn","non-dropping-particle":"","parse-names":false,"suffix":""}],"container-title":"Journal of clinical and diagnostic research : JCDR","id":"ITEM-1","issued":{"date-parts":[["2015","12"]]},"page":"BC01-4","title":"Assessing the Validity of Friedewald's Formula and Anandraja's Formula For Serum LDL-Cholesterol Calculation.","type":"article-journal","volume":"9"},"uris":["http://www.mendeley.com/documents/?uuid=f0e5823e-081b-3b73-b9e8-ebf00141f92e"]}],"mendeley":{"formattedCitation":"(Krishnaveni &amp; Gowda, 2015)","plainTextFormattedCitation":"(Krishnaveni &amp; Gowda, 2015)","previouslyFormattedCitation":"(Krishnaveni &amp; Gowda, 2015)"},"properties":{"noteIndex":0},"schema":"https://github.com/citation-style-language/schema/raw/master/csl-citation.json"}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sz w:val="20"/>
          <w:szCs w:val="20"/>
          <w:lang w:val="en-GB"/>
        </w:rPr>
        <w:t>(Krishnaveni &amp; Gowda, 2015)</w:t>
      </w:r>
      <w:r w:rsidR="003D02DB" w:rsidRPr="00CB14C3">
        <w:rPr>
          <w:rStyle w:val="FootnoteReference"/>
          <w:rFonts w:ascii="Arial" w:hAnsi="Arial" w:cs="Arial"/>
          <w:sz w:val="20"/>
          <w:szCs w:val="20"/>
          <w:lang w:val="en-GB"/>
        </w:rPr>
        <w:fldChar w:fldCharType="end"/>
      </w:r>
      <w:r w:rsidRPr="00CB14C3">
        <w:rPr>
          <w:rFonts w:ascii="Arial" w:hAnsi="Arial" w:cs="Arial"/>
          <w:sz w:val="20"/>
          <w:szCs w:val="20"/>
          <w:lang w:val="en-GB"/>
        </w:rPr>
        <w:t xml:space="preserve">. These parameters were assessed to determine alcohol-induced </w:t>
      </w:r>
      <w:proofErr w:type="spellStart"/>
      <w:r w:rsidRPr="00CB14C3">
        <w:rPr>
          <w:rFonts w:ascii="Arial" w:hAnsi="Arial" w:cs="Arial"/>
          <w:sz w:val="20"/>
          <w:szCs w:val="20"/>
          <w:lang w:val="en-GB"/>
        </w:rPr>
        <w:t>dyslipidemia</w:t>
      </w:r>
      <w:proofErr w:type="spellEnd"/>
      <w:r w:rsidRPr="00CB14C3">
        <w:rPr>
          <w:rFonts w:ascii="Arial" w:hAnsi="Arial" w:cs="Arial"/>
          <w:sz w:val="20"/>
          <w:szCs w:val="20"/>
          <w:lang w:val="en-GB"/>
        </w:rPr>
        <w:t xml:space="preserve"> and the lipid-lowering effects of </w:t>
      </w:r>
      <w:r w:rsidRPr="00CB14C3">
        <w:rPr>
          <w:rFonts w:ascii="Arial" w:hAnsi="Arial" w:cs="Arial"/>
          <w:i/>
          <w:sz w:val="20"/>
          <w:szCs w:val="20"/>
          <w:lang w:val="en-GB"/>
        </w:rPr>
        <w:t xml:space="preserve">Amaranthus </w:t>
      </w:r>
      <w:proofErr w:type="spellStart"/>
      <w:r w:rsidR="00046D2D" w:rsidRPr="00CB14C3">
        <w:rPr>
          <w:rFonts w:ascii="Arial" w:hAnsi="Arial" w:cs="Arial"/>
          <w:i/>
          <w:sz w:val="20"/>
          <w:szCs w:val="20"/>
          <w:lang w:val="en-GB"/>
        </w:rPr>
        <w:t>spinosus</w:t>
      </w:r>
      <w:proofErr w:type="spellEnd"/>
      <w:r w:rsidRPr="00CB14C3">
        <w:rPr>
          <w:rFonts w:ascii="Arial" w:hAnsi="Arial" w:cs="Arial"/>
          <w:sz w:val="20"/>
          <w:szCs w:val="20"/>
          <w:lang w:val="en-GB"/>
        </w:rPr>
        <w:t xml:space="preserve"> extract</w:t>
      </w:r>
    </w:p>
    <w:p w:rsidR="00CC4C03" w:rsidRPr="00CB14C3" w:rsidRDefault="003730AB" w:rsidP="006C3AAB">
      <w:pPr>
        <w:jc w:val="both"/>
        <w:rPr>
          <w:rFonts w:ascii="Arial" w:hAnsi="Arial" w:cs="Arial"/>
          <w:b/>
          <w:lang w:val="en-GB"/>
        </w:rPr>
      </w:pPr>
      <w:r w:rsidRPr="00CB14C3">
        <w:rPr>
          <w:rFonts w:ascii="Arial" w:hAnsi="Arial" w:cs="Arial"/>
          <w:b/>
          <w:lang w:val="en-GB"/>
        </w:rPr>
        <w:t xml:space="preserve">STATISTICAL ANALYSIS </w:t>
      </w:r>
    </w:p>
    <w:p w:rsidR="003A3FD4" w:rsidRPr="00CB14C3" w:rsidRDefault="008E770B" w:rsidP="006C3AAB">
      <w:pPr>
        <w:spacing w:line="360" w:lineRule="auto"/>
        <w:jc w:val="both"/>
        <w:rPr>
          <w:rFonts w:ascii="Arial" w:hAnsi="Arial" w:cs="Arial"/>
          <w:sz w:val="20"/>
          <w:szCs w:val="20"/>
          <w:lang w:val="en-GB"/>
        </w:rPr>
      </w:pPr>
      <w:r w:rsidRPr="00CB14C3">
        <w:rPr>
          <w:rFonts w:ascii="Arial" w:hAnsi="Arial" w:cs="Arial"/>
          <w:sz w:val="20"/>
          <w:szCs w:val="20"/>
          <w:lang w:val="en-GB"/>
        </w:rPr>
        <w:t xml:space="preserve">All the values were expressed as Mean ± SEM, the results were </w:t>
      </w:r>
      <w:proofErr w:type="spellStart"/>
      <w:r w:rsidRPr="00CB14C3">
        <w:rPr>
          <w:rFonts w:ascii="Arial" w:hAnsi="Arial" w:cs="Arial"/>
          <w:sz w:val="20"/>
          <w:szCs w:val="20"/>
          <w:lang w:val="en-GB"/>
        </w:rPr>
        <w:t>analyzed</w:t>
      </w:r>
      <w:proofErr w:type="spellEnd"/>
      <w:r w:rsidRPr="00CB14C3">
        <w:rPr>
          <w:rFonts w:ascii="Arial" w:hAnsi="Arial" w:cs="Arial"/>
          <w:sz w:val="20"/>
          <w:szCs w:val="20"/>
          <w:lang w:val="en-GB"/>
        </w:rPr>
        <w:t xml:space="preserve"> statistically by one-way ANOVA followed by Tukey’s post-test, P&lt;0.05 were considered significant.</w:t>
      </w:r>
    </w:p>
    <w:p w:rsidR="00247E85" w:rsidRPr="00CB14C3" w:rsidRDefault="00247E85" w:rsidP="006C3AAB">
      <w:pPr>
        <w:jc w:val="both"/>
        <w:rPr>
          <w:rFonts w:ascii="Arial" w:hAnsi="Arial" w:cs="Arial"/>
          <w:b/>
          <w:sz w:val="20"/>
          <w:szCs w:val="20"/>
          <w:lang w:val="en-GB"/>
        </w:rPr>
      </w:pPr>
    </w:p>
    <w:p w:rsidR="00A25A29" w:rsidRPr="00CB14C3" w:rsidRDefault="00A25A29" w:rsidP="006C3AAB">
      <w:pPr>
        <w:jc w:val="both"/>
        <w:rPr>
          <w:rFonts w:ascii="Arial" w:hAnsi="Arial" w:cs="Arial"/>
          <w:b/>
          <w:lang w:val="en-GB"/>
        </w:rPr>
      </w:pPr>
    </w:p>
    <w:p w:rsidR="00A25A29" w:rsidRPr="00CB14C3" w:rsidRDefault="00A25A29" w:rsidP="006C3AAB">
      <w:pPr>
        <w:jc w:val="both"/>
        <w:rPr>
          <w:rFonts w:ascii="Arial" w:hAnsi="Arial" w:cs="Arial"/>
          <w:b/>
          <w:lang w:val="en-GB"/>
        </w:rPr>
      </w:pPr>
    </w:p>
    <w:p w:rsidR="00247E85" w:rsidRPr="00CB14C3" w:rsidRDefault="00247E85" w:rsidP="006C3AAB">
      <w:pPr>
        <w:jc w:val="both"/>
        <w:rPr>
          <w:rFonts w:ascii="Arial" w:hAnsi="Arial" w:cs="Arial"/>
          <w:b/>
          <w:lang w:val="en-GB"/>
        </w:rPr>
      </w:pPr>
    </w:p>
    <w:p w:rsidR="00247E85" w:rsidRPr="00CB14C3" w:rsidRDefault="00247E85" w:rsidP="006C3AAB">
      <w:pPr>
        <w:jc w:val="both"/>
        <w:rPr>
          <w:rFonts w:ascii="Arial" w:hAnsi="Arial" w:cs="Arial"/>
          <w:b/>
          <w:lang w:val="en-GB"/>
        </w:rPr>
      </w:pPr>
    </w:p>
    <w:p w:rsidR="00247E85" w:rsidRPr="00CB14C3" w:rsidRDefault="00247E85" w:rsidP="006C3AAB">
      <w:pPr>
        <w:jc w:val="both"/>
        <w:rPr>
          <w:rFonts w:ascii="Arial" w:hAnsi="Arial" w:cs="Arial"/>
          <w:b/>
          <w:lang w:val="en-GB"/>
        </w:rPr>
      </w:pPr>
    </w:p>
    <w:p w:rsidR="00247E85" w:rsidRPr="00CB14C3" w:rsidRDefault="00247E85" w:rsidP="006C3AAB">
      <w:pPr>
        <w:jc w:val="both"/>
        <w:rPr>
          <w:rFonts w:ascii="Arial" w:hAnsi="Arial" w:cs="Arial"/>
          <w:b/>
          <w:lang w:val="en-GB"/>
        </w:rPr>
      </w:pPr>
    </w:p>
    <w:p w:rsidR="00363060" w:rsidRPr="00CB14C3" w:rsidRDefault="00363060" w:rsidP="006C3AAB">
      <w:pPr>
        <w:jc w:val="both"/>
        <w:rPr>
          <w:rFonts w:ascii="Arial" w:hAnsi="Arial" w:cs="Arial"/>
          <w:b/>
          <w:lang w:val="en-GB"/>
        </w:rPr>
      </w:pPr>
    </w:p>
    <w:p w:rsidR="00363060" w:rsidRPr="00CB14C3" w:rsidRDefault="00363060" w:rsidP="006C3AAB">
      <w:pPr>
        <w:jc w:val="both"/>
        <w:rPr>
          <w:rFonts w:ascii="Arial" w:hAnsi="Arial" w:cs="Arial"/>
          <w:b/>
          <w:lang w:val="en-GB"/>
        </w:rPr>
      </w:pPr>
    </w:p>
    <w:p w:rsidR="00363060" w:rsidRPr="00CB14C3" w:rsidRDefault="00363060" w:rsidP="006C3AAB">
      <w:pPr>
        <w:jc w:val="both"/>
        <w:rPr>
          <w:rFonts w:ascii="Arial" w:hAnsi="Arial" w:cs="Arial"/>
          <w:b/>
          <w:lang w:val="en-GB"/>
        </w:rPr>
      </w:pPr>
    </w:p>
    <w:p w:rsidR="00363060" w:rsidRPr="00CB14C3" w:rsidRDefault="00363060" w:rsidP="006C3AAB">
      <w:pPr>
        <w:jc w:val="both"/>
        <w:rPr>
          <w:rFonts w:ascii="Arial" w:hAnsi="Arial" w:cs="Arial"/>
          <w:b/>
          <w:lang w:val="en-GB"/>
        </w:rPr>
      </w:pPr>
    </w:p>
    <w:p w:rsidR="00363060" w:rsidRPr="00CB14C3" w:rsidRDefault="00363060" w:rsidP="006C3AAB">
      <w:pPr>
        <w:jc w:val="both"/>
        <w:rPr>
          <w:rFonts w:ascii="Arial" w:hAnsi="Arial" w:cs="Arial"/>
          <w:b/>
          <w:lang w:val="en-GB"/>
        </w:rPr>
      </w:pPr>
    </w:p>
    <w:p w:rsidR="00363060" w:rsidRPr="00CB14C3" w:rsidRDefault="00363060" w:rsidP="006C3AAB">
      <w:pPr>
        <w:jc w:val="both"/>
        <w:rPr>
          <w:rFonts w:ascii="Arial" w:hAnsi="Arial" w:cs="Arial"/>
          <w:b/>
          <w:lang w:val="en-GB"/>
        </w:rPr>
      </w:pPr>
    </w:p>
    <w:p w:rsidR="00363060" w:rsidRPr="00CB14C3" w:rsidRDefault="00363060" w:rsidP="006C3AAB">
      <w:pPr>
        <w:jc w:val="both"/>
        <w:rPr>
          <w:rFonts w:ascii="Arial" w:hAnsi="Arial" w:cs="Arial"/>
          <w:b/>
          <w:lang w:val="en-GB"/>
        </w:rPr>
      </w:pPr>
    </w:p>
    <w:p w:rsidR="00363060" w:rsidRPr="00CB14C3" w:rsidRDefault="00363060" w:rsidP="006C3AAB">
      <w:pPr>
        <w:jc w:val="both"/>
        <w:rPr>
          <w:rFonts w:ascii="Arial" w:hAnsi="Arial" w:cs="Arial"/>
          <w:b/>
          <w:lang w:val="en-GB"/>
        </w:rPr>
      </w:pPr>
    </w:p>
    <w:p w:rsidR="00363060" w:rsidRPr="00CB14C3" w:rsidRDefault="00363060" w:rsidP="006C3AAB">
      <w:pPr>
        <w:jc w:val="both"/>
        <w:rPr>
          <w:rFonts w:ascii="Arial" w:hAnsi="Arial" w:cs="Arial"/>
          <w:b/>
          <w:lang w:val="en-GB"/>
        </w:rPr>
      </w:pPr>
    </w:p>
    <w:p w:rsidR="00703583" w:rsidRPr="00CB14C3" w:rsidRDefault="00703583" w:rsidP="006C3AAB">
      <w:pPr>
        <w:jc w:val="both"/>
        <w:rPr>
          <w:rFonts w:ascii="Arial" w:hAnsi="Arial" w:cs="Arial"/>
          <w:b/>
          <w:lang w:val="en-GB"/>
        </w:rPr>
      </w:pPr>
    </w:p>
    <w:p w:rsidR="00234004" w:rsidRPr="00CB14C3" w:rsidRDefault="008E770B" w:rsidP="00234004">
      <w:pPr>
        <w:jc w:val="both"/>
        <w:rPr>
          <w:rFonts w:ascii="Arial" w:hAnsi="Arial" w:cs="Arial"/>
          <w:b/>
          <w:lang w:val="en-GB"/>
        </w:rPr>
      </w:pPr>
      <w:r w:rsidRPr="00CB14C3">
        <w:rPr>
          <w:rFonts w:ascii="Arial" w:hAnsi="Arial" w:cs="Arial"/>
          <w:b/>
          <w:lang w:val="en-GB"/>
        </w:rPr>
        <w:lastRenderedPageBreak/>
        <w:t>RESULTS</w:t>
      </w:r>
      <w:r w:rsidR="00B65A5C" w:rsidRPr="00CB14C3">
        <w:rPr>
          <w:rFonts w:ascii="Arial" w:hAnsi="Arial" w:cs="Arial"/>
          <w:b/>
          <w:lang w:val="en-GB"/>
        </w:rPr>
        <w:t xml:space="preserve"> AND</w:t>
      </w:r>
      <w:r w:rsidR="00234004" w:rsidRPr="00CB14C3">
        <w:rPr>
          <w:rFonts w:ascii="Arial" w:hAnsi="Arial" w:cs="Arial"/>
          <w:b/>
          <w:lang w:val="en-GB"/>
        </w:rPr>
        <w:t xml:space="preserve"> DISCUSSION</w:t>
      </w:r>
    </w:p>
    <w:p w:rsidR="00E857FD" w:rsidRPr="00CB14C3" w:rsidRDefault="00E857FD" w:rsidP="00F7310E">
      <w:pPr>
        <w:jc w:val="both"/>
        <w:rPr>
          <w:rFonts w:ascii="Arial" w:hAnsi="Arial" w:cs="Arial"/>
          <w:lang w:val="en-GB"/>
        </w:rPr>
      </w:pPr>
    </w:p>
    <w:p w:rsidR="00F7310E" w:rsidRPr="00CB14C3" w:rsidRDefault="00F7310E" w:rsidP="00E96ED3">
      <w:pPr>
        <w:spacing w:line="360" w:lineRule="auto"/>
        <w:jc w:val="both"/>
        <w:rPr>
          <w:rFonts w:ascii="Arial" w:hAnsi="Arial" w:cs="Arial"/>
          <w:lang w:val="en-GB"/>
        </w:rPr>
      </w:pPr>
    </w:p>
    <w:p w:rsidR="00FD246C" w:rsidRPr="00CB14C3" w:rsidRDefault="00FD246C" w:rsidP="00E96ED3">
      <w:pPr>
        <w:spacing w:line="360" w:lineRule="auto"/>
        <w:jc w:val="both"/>
        <w:rPr>
          <w:rFonts w:ascii="Arial" w:hAnsi="Arial" w:cs="Arial"/>
          <w:lang w:val="en-GB"/>
        </w:rPr>
      </w:pPr>
    </w:p>
    <w:p w:rsidR="00FD246C" w:rsidRPr="00CB14C3" w:rsidRDefault="00FD246C" w:rsidP="00E96ED3">
      <w:pPr>
        <w:spacing w:line="360" w:lineRule="auto"/>
        <w:jc w:val="both"/>
        <w:rPr>
          <w:rFonts w:ascii="Arial" w:hAnsi="Arial" w:cs="Arial"/>
          <w:lang w:val="en-GB"/>
        </w:rPr>
      </w:pPr>
      <w:r w:rsidRPr="00CB14C3">
        <w:rPr>
          <w:rFonts w:ascii="Arial" w:hAnsi="Arial" w:cs="Arial"/>
          <w:noProof/>
          <w:lang w:val="en-GB"/>
        </w:rPr>
        <w:drawing>
          <wp:anchor distT="0" distB="0" distL="114300" distR="114300" simplePos="0" relativeHeight="251621888" behindDoc="0" locked="0" layoutInCell="1" allowOverlap="1" wp14:anchorId="69879D2B">
            <wp:simplePos x="0" y="0"/>
            <wp:positionH relativeFrom="margin">
              <wp:align>center</wp:align>
            </wp:positionH>
            <wp:positionV relativeFrom="paragraph">
              <wp:posOffset>128634</wp:posOffset>
            </wp:positionV>
            <wp:extent cx="3783724" cy="2871416"/>
            <wp:effectExtent l="0" t="0" r="762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3724" cy="2871416"/>
                    </a:xfrm>
                    <a:prstGeom prst="rect">
                      <a:avLst/>
                    </a:prstGeom>
                    <a:noFill/>
                  </pic:spPr>
                </pic:pic>
              </a:graphicData>
            </a:graphic>
            <wp14:sizeRelH relativeFrom="margin">
              <wp14:pctWidth>0</wp14:pctWidth>
            </wp14:sizeRelH>
            <wp14:sizeRelV relativeFrom="margin">
              <wp14:pctHeight>0</wp14:pctHeight>
            </wp14:sizeRelV>
          </wp:anchor>
        </w:drawing>
      </w:r>
    </w:p>
    <w:p w:rsidR="00FD246C" w:rsidRPr="00CB14C3" w:rsidRDefault="00FD246C" w:rsidP="00E96ED3">
      <w:pPr>
        <w:spacing w:line="360" w:lineRule="auto"/>
        <w:jc w:val="both"/>
        <w:rPr>
          <w:rFonts w:ascii="Arial" w:hAnsi="Arial" w:cs="Arial"/>
          <w:lang w:val="en-GB"/>
        </w:rPr>
      </w:pPr>
    </w:p>
    <w:p w:rsidR="00FD246C" w:rsidRPr="00CB14C3" w:rsidRDefault="00FD246C" w:rsidP="00E96ED3">
      <w:pPr>
        <w:spacing w:line="360" w:lineRule="auto"/>
        <w:jc w:val="both"/>
        <w:rPr>
          <w:rFonts w:ascii="Arial" w:hAnsi="Arial" w:cs="Arial"/>
          <w:lang w:val="en-GB"/>
        </w:rPr>
      </w:pPr>
    </w:p>
    <w:p w:rsidR="00FD246C" w:rsidRPr="00CB14C3" w:rsidRDefault="00FD246C" w:rsidP="00E96ED3">
      <w:pPr>
        <w:spacing w:line="360" w:lineRule="auto"/>
        <w:jc w:val="both"/>
        <w:rPr>
          <w:rFonts w:ascii="Arial" w:hAnsi="Arial" w:cs="Arial"/>
          <w:lang w:val="en-GB"/>
        </w:rPr>
      </w:pPr>
    </w:p>
    <w:p w:rsidR="00FD246C" w:rsidRPr="00CB14C3" w:rsidRDefault="00FD246C" w:rsidP="00E96ED3">
      <w:pPr>
        <w:spacing w:line="360" w:lineRule="auto"/>
        <w:jc w:val="both"/>
        <w:rPr>
          <w:rFonts w:ascii="Arial" w:hAnsi="Arial" w:cs="Arial"/>
          <w:lang w:val="en-GB"/>
        </w:rPr>
      </w:pPr>
    </w:p>
    <w:p w:rsidR="00FD246C" w:rsidRPr="00CB14C3" w:rsidRDefault="00FD246C" w:rsidP="00E96ED3">
      <w:pPr>
        <w:spacing w:line="360" w:lineRule="auto"/>
        <w:jc w:val="both"/>
        <w:rPr>
          <w:rFonts w:ascii="Arial" w:hAnsi="Arial" w:cs="Arial"/>
          <w:lang w:val="en-GB"/>
        </w:rPr>
      </w:pPr>
    </w:p>
    <w:p w:rsidR="00FD246C" w:rsidRPr="00CB14C3" w:rsidRDefault="00FD246C" w:rsidP="00E96ED3">
      <w:pPr>
        <w:spacing w:line="360" w:lineRule="auto"/>
        <w:jc w:val="both"/>
        <w:rPr>
          <w:rFonts w:ascii="Arial" w:hAnsi="Arial" w:cs="Arial"/>
          <w:lang w:val="en-GB"/>
        </w:rPr>
      </w:pPr>
    </w:p>
    <w:p w:rsidR="00FD246C" w:rsidRPr="00CB14C3" w:rsidRDefault="00FD246C" w:rsidP="00E96ED3">
      <w:pPr>
        <w:spacing w:line="360" w:lineRule="auto"/>
        <w:jc w:val="both"/>
        <w:rPr>
          <w:rFonts w:ascii="Arial" w:hAnsi="Arial" w:cs="Arial"/>
          <w:lang w:val="en-GB"/>
        </w:rPr>
      </w:pPr>
    </w:p>
    <w:p w:rsidR="00FD246C" w:rsidRPr="00CB14C3" w:rsidRDefault="00FD246C" w:rsidP="00E96ED3">
      <w:pPr>
        <w:spacing w:line="360" w:lineRule="auto"/>
        <w:jc w:val="both"/>
        <w:rPr>
          <w:rFonts w:ascii="Arial" w:hAnsi="Arial" w:cs="Arial"/>
          <w:lang w:val="en-GB"/>
        </w:rPr>
      </w:pPr>
    </w:p>
    <w:p w:rsidR="00FD246C" w:rsidRPr="00CB14C3" w:rsidRDefault="00FD246C" w:rsidP="00E96ED3">
      <w:pPr>
        <w:spacing w:line="360" w:lineRule="auto"/>
        <w:jc w:val="both"/>
        <w:rPr>
          <w:rFonts w:ascii="Arial" w:hAnsi="Arial" w:cs="Arial"/>
          <w:lang w:val="en-GB"/>
        </w:rPr>
      </w:pPr>
    </w:p>
    <w:p w:rsidR="00F7310E" w:rsidRPr="00CB14C3" w:rsidRDefault="00F7310E" w:rsidP="00E96ED3">
      <w:pPr>
        <w:spacing w:line="360" w:lineRule="auto"/>
        <w:jc w:val="both"/>
        <w:rPr>
          <w:rFonts w:ascii="Arial" w:hAnsi="Arial" w:cs="Arial"/>
          <w:sz w:val="20"/>
          <w:szCs w:val="20"/>
          <w:lang w:val="en-GB"/>
        </w:rPr>
      </w:pPr>
      <w:r w:rsidRPr="00CB14C3">
        <w:rPr>
          <w:rFonts w:ascii="Arial" w:hAnsi="Arial" w:cs="Arial"/>
          <w:b/>
          <w:sz w:val="20"/>
          <w:szCs w:val="20"/>
          <w:lang w:val="en-GB"/>
        </w:rPr>
        <w:t>Figure 1:</w:t>
      </w:r>
      <w:r w:rsidR="00FD246C" w:rsidRPr="00CB14C3">
        <w:rPr>
          <w:rFonts w:ascii="Arial" w:hAnsi="Arial" w:cs="Arial"/>
          <w:sz w:val="20"/>
          <w:szCs w:val="20"/>
          <w:lang w:val="en-GB"/>
        </w:rPr>
        <w:t xml:space="preserve"> Effect of </w:t>
      </w:r>
      <w:r w:rsidR="00FD246C" w:rsidRPr="00CB14C3">
        <w:rPr>
          <w:rFonts w:ascii="Arial" w:hAnsi="Arial" w:cs="Arial"/>
          <w:i/>
          <w:sz w:val="20"/>
          <w:szCs w:val="20"/>
          <w:lang w:val="en-GB"/>
        </w:rPr>
        <w:t xml:space="preserve">Amaranthus </w:t>
      </w:r>
      <w:r w:rsidR="00CD517D" w:rsidRPr="00CB14C3">
        <w:rPr>
          <w:rFonts w:ascii="Arial" w:hAnsi="Arial" w:cs="Arial"/>
          <w:i/>
          <w:sz w:val="20"/>
          <w:szCs w:val="20"/>
          <w:lang w:val="en-GB"/>
        </w:rPr>
        <w:t>spinous</w:t>
      </w:r>
      <w:r w:rsidR="00F93DFF" w:rsidRPr="00CB14C3">
        <w:rPr>
          <w:rFonts w:ascii="Arial" w:hAnsi="Arial" w:cs="Arial"/>
          <w:sz w:val="20"/>
          <w:szCs w:val="20"/>
          <w:lang w:val="en-GB"/>
        </w:rPr>
        <w:t xml:space="preserve"> e</w:t>
      </w:r>
      <w:r w:rsidR="00243C47" w:rsidRPr="00CB14C3">
        <w:rPr>
          <w:rFonts w:ascii="Arial" w:hAnsi="Arial" w:cs="Arial"/>
          <w:sz w:val="20"/>
          <w:szCs w:val="20"/>
          <w:lang w:val="en-GB"/>
        </w:rPr>
        <w:t>xtract on lipid profile m</w:t>
      </w:r>
      <w:r w:rsidR="00716309" w:rsidRPr="00CB14C3">
        <w:rPr>
          <w:rFonts w:ascii="Arial" w:hAnsi="Arial" w:cs="Arial"/>
          <w:sz w:val="20"/>
          <w:szCs w:val="20"/>
          <w:lang w:val="en-GB"/>
        </w:rPr>
        <w:t>arkers in a</w:t>
      </w:r>
      <w:r w:rsidR="00FD246C" w:rsidRPr="00CB14C3">
        <w:rPr>
          <w:rFonts w:ascii="Arial" w:hAnsi="Arial" w:cs="Arial"/>
          <w:sz w:val="20"/>
          <w:szCs w:val="20"/>
          <w:lang w:val="en-GB"/>
        </w:rPr>
        <w:t xml:space="preserve">lcohol-Induced </w:t>
      </w:r>
      <w:r w:rsidR="00716309" w:rsidRPr="00CB14C3">
        <w:rPr>
          <w:rFonts w:ascii="Arial" w:hAnsi="Arial" w:cs="Arial"/>
          <w:sz w:val="20"/>
          <w:szCs w:val="20"/>
          <w:lang w:val="en-GB"/>
        </w:rPr>
        <w:t>r</w:t>
      </w:r>
      <w:r w:rsidR="00CD517D" w:rsidRPr="00CB14C3">
        <w:rPr>
          <w:rFonts w:ascii="Arial" w:hAnsi="Arial" w:cs="Arial"/>
          <w:sz w:val="20"/>
          <w:szCs w:val="20"/>
          <w:lang w:val="en-GB"/>
        </w:rPr>
        <w:t>ats. This</w:t>
      </w:r>
      <w:r w:rsidR="00FD246C" w:rsidRPr="00CB14C3">
        <w:rPr>
          <w:rFonts w:ascii="Arial" w:hAnsi="Arial" w:cs="Arial"/>
          <w:sz w:val="20"/>
          <w:szCs w:val="20"/>
          <w:lang w:val="en-GB"/>
        </w:rPr>
        <w:t xml:space="preserve"> graph displays the total cholesterol (mg/dl) concentration across different experimental groups.</w:t>
      </w:r>
    </w:p>
    <w:p w:rsidR="00FA3003" w:rsidRPr="00CB14C3" w:rsidRDefault="00572048" w:rsidP="00572048">
      <w:pPr>
        <w:spacing w:line="360" w:lineRule="auto"/>
        <w:jc w:val="center"/>
        <w:rPr>
          <w:rFonts w:ascii="Arial" w:hAnsi="Arial" w:cs="Arial"/>
          <w:sz w:val="20"/>
          <w:szCs w:val="20"/>
          <w:lang w:val="en-GB"/>
        </w:rPr>
      </w:pPr>
      <w:r w:rsidRPr="00CB14C3">
        <w:rPr>
          <w:rFonts w:ascii="Arial" w:hAnsi="Arial" w:cs="Arial"/>
          <w:sz w:val="20"/>
          <w:szCs w:val="20"/>
          <w:lang w:val="en-GB"/>
        </w:rPr>
        <w:t>Bars represent mean ± standard deviation of triplicate determinations and bars with different alphabets indicate significant difference at p ≤ 0.05. Group 1 = normal control, group 2 =10 ml/kg of Alcohol + 50 mg/kg Silymarin (Standard control), group3= 10 ml/kg Alcohol only (No treatment), 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572048" w:rsidRPr="00CB14C3" w:rsidRDefault="00572048" w:rsidP="00F7310E">
      <w:pPr>
        <w:jc w:val="both"/>
        <w:rPr>
          <w:rFonts w:ascii="Arial" w:hAnsi="Arial" w:cs="Arial"/>
          <w:lang w:val="en-GB"/>
        </w:rPr>
      </w:pPr>
    </w:p>
    <w:p w:rsidR="00FA3003" w:rsidRPr="00CB14C3" w:rsidRDefault="00FA3003" w:rsidP="00F7310E">
      <w:pPr>
        <w:jc w:val="both"/>
        <w:rPr>
          <w:rFonts w:ascii="Arial" w:hAnsi="Arial" w:cs="Arial"/>
          <w:lang w:val="en-GB"/>
        </w:rPr>
      </w:pPr>
    </w:p>
    <w:p w:rsidR="00363060" w:rsidRPr="00CB14C3" w:rsidRDefault="00363060" w:rsidP="00F7310E">
      <w:pPr>
        <w:jc w:val="both"/>
        <w:rPr>
          <w:rFonts w:ascii="Arial" w:hAnsi="Arial" w:cs="Arial"/>
          <w:lang w:val="en-GB"/>
        </w:rPr>
      </w:pPr>
    </w:p>
    <w:p w:rsidR="00363060" w:rsidRPr="00CB14C3" w:rsidRDefault="00363060" w:rsidP="00F7310E">
      <w:pPr>
        <w:jc w:val="both"/>
        <w:rPr>
          <w:rFonts w:ascii="Arial" w:hAnsi="Arial" w:cs="Arial"/>
          <w:lang w:val="en-GB"/>
        </w:rPr>
      </w:pPr>
    </w:p>
    <w:p w:rsidR="00F26D81" w:rsidRPr="00CB14C3" w:rsidRDefault="00F26D81" w:rsidP="00F7310E">
      <w:pPr>
        <w:jc w:val="both"/>
        <w:rPr>
          <w:rFonts w:ascii="Arial" w:hAnsi="Arial" w:cs="Arial"/>
          <w:lang w:val="en-GB"/>
        </w:rPr>
      </w:pPr>
    </w:p>
    <w:p w:rsidR="00F26D81" w:rsidRPr="00CB14C3" w:rsidRDefault="00F26D81" w:rsidP="00F7310E">
      <w:pPr>
        <w:jc w:val="both"/>
        <w:rPr>
          <w:rFonts w:ascii="Arial" w:hAnsi="Arial" w:cs="Arial"/>
          <w:lang w:val="en-GB"/>
        </w:rPr>
      </w:pPr>
    </w:p>
    <w:p w:rsidR="00F26D81" w:rsidRPr="00CB14C3" w:rsidRDefault="00F26D81" w:rsidP="00F7310E">
      <w:pPr>
        <w:jc w:val="both"/>
        <w:rPr>
          <w:rFonts w:ascii="Arial" w:hAnsi="Arial" w:cs="Arial"/>
          <w:lang w:val="en-GB"/>
        </w:rPr>
      </w:pPr>
    </w:p>
    <w:p w:rsidR="00363060" w:rsidRPr="00CB14C3" w:rsidRDefault="00363060" w:rsidP="00F7310E">
      <w:pPr>
        <w:jc w:val="both"/>
        <w:rPr>
          <w:rFonts w:ascii="Arial" w:hAnsi="Arial" w:cs="Arial"/>
          <w:lang w:val="en-GB"/>
        </w:rPr>
      </w:pPr>
    </w:p>
    <w:p w:rsidR="00FD246C" w:rsidRPr="00CB14C3" w:rsidRDefault="00FD246C" w:rsidP="00F7310E">
      <w:pPr>
        <w:jc w:val="both"/>
        <w:rPr>
          <w:rFonts w:ascii="Arial" w:hAnsi="Arial" w:cs="Arial"/>
          <w:lang w:val="en-GB"/>
        </w:rPr>
      </w:pPr>
      <w:r w:rsidRPr="00CB14C3">
        <w:rPr>
          <w:rFonts w:ascii="Arial" w:hAnsi="Arial" w:cs="Arial"/>
          <w:noProof/>
          <w:lang w:val="en-GB"/>
        </w:rPr>
        <w:drawing>
          <wp:anchor distT="0" distB="0" distL="114300" distR="114300" simplePos="0" relativeHeight="251635200" behindDoc="0" locked="0" layoutInCell="1" allowOverlap="1" wp14:anchorId="67BD4EC6">
            <wp:simplePos x="0" y="0"/>
            <wp:positionH relativeFrom="margin">
              <wp:align>center</wp:align>
            </wp:positionH>
            <wp:positionV relativeFrom="paragraph">
              <wp:posOffset>70649</wp:posOffset>
            </wp:positionV>
            <wp:extent cx="3708000" cy="2850270"/>
            <wp:effectExtent l="0" t="0" r="698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8000" cy="2850270"/>
                    </a:xfrm>
                    <a:prstGeom prst="rect">
                      <a:avLst/>
                    </a:prstGeom>
                    <a:noFill/>
                  </pic:spPr>
                </pic:pic>
              </a:graphicData>
            </a:graphic>
            <wp14:sizeRelH relativeFrom="margin">
              <wp14:pctWidth>0</wp14:pctWidth>
            </wp14:sizeRelH>
            <wp14:sizeRelV relativeFrom="margin">
              <wp14:pctHeight>0</wp14:pctHeight>
            </wp14:sizeRelV>
          </wp:anchor>
        </w:drawing>
      </w:r>
    </w:p>
    <w:p w:rsidR="00FD246C" w:rsidRPr="00CB14C3" w:rsidRDefault="00FD246C" w:rsidP="00F7310E">
      <w:pPr>
        <w:jc w:val="both"/>
        <w:rPr>
          <w:rFonts w:ascii="Arial" w:hAnsi="Arial" w:cs="Arial"/>
          <w:lang w:val="en-GB"/>
        </w:rPr>
      </w:pPr>
    </w:p>
    <w:p w:rsidR="00FD246C" w:rsidRPr="00CB14C3" w:rsidRDefault="00FD246C" w:rsidP="00F7310E">
      <w:pPr>
        <w:jc w:val="both"/>
        <w:rPr>
          <w:rFonts w:ascii="Arial" w:hAnsi="Arial" w:cs="Arial"/>
          <w:lang w:val="en-GB"/>
        </w:rPr>
      </w:pPr>
    </w:p>
    <w:p w:rsidR="00FD246C" w:rsidRPr="00CB14C3" w:rsidRDefault="00FD246C" w:rsidP="00F7310E">
      <w:pPr>
        <w:jc w:val="both"/>
        <w:rPr>
          <w:rFonts w:ascii="Arial" w:hAnsi="Arial" w:cs="Arial"/>
          <w:lang w:val="en-GB"/>
        </w:rPr>
      </w:pPr>
    </w:p>
    <w:p w:rsidR="00FD246C" w:rsidRPr="00CB14C3" w:rsidRDefault="00FD246C" w:rsidP="00F7310E">
      <w:pPr>
        <w:jc w:val="both"/>
        <w:rPr>
          <w:rFonts w:ascii="Arial" w:hAnsi="Arial" w:cs="Arial"/>
          <w:lang w:val="en-GB"/>
        </w:rPr>
      </w:pPr>
    </w:p>
    <w:p w:rsidR="00FD246C" w:rsidRPr="00CB14C3" w:rsidRDefault="00FD246C" w:rsidP="00F7310E">
      <w:pPr>
        <w:jc w:val="both"/>
        <w:rPr>
          <w:rFonts w:ascii="Arial" w:hAnsi="Arial" w:cs="Arial"/>
          <w:lang w:val="en-GB"/>
        </w:rPr>
      </w:pPr>
    </w:p>
    <w:p w:rsidR="00FA3003" w:rsidRPr="00CB14C3" w:rsidRDefault="00FA3003" w:rsidP="00F7310E">
      <w:pPr>
        <w:jc w:val="both"/>
        <w:rPr>
          <w:rFonts w:ascii="Arial" w:hAnsi="Arial" w:cs="Arial"/>
          <w:lang w:val="en-GB"/>
        </w:rPr>
      </w:pPr>
    </w:p>
    <w:p w:rsidR="00FA3003" w:rsidRPr="00CB14C3" w:rsidRDefault="00FA3003" w:rsidP="00F7310E">
      <w:pPr>
        <w:jc w:val="both"/>
        <w:rPr>
          <w:rFonts w:ascii="Arial" w:hAnsi="Arial" w:cs="Arial"/>
          <w:lang w:val="en-GB"/>
        </w:rPr>
      </w:pPr>
    </w:p>
    <w:p w:rsidR="00FA3003" w:rsidRPr="00CB14C3" w:rsidRDefault="00FA3003" w:rsidP="00F7310E">
      <w:pPr>
        <w:jc w:val="both"/>
        <w:rPr>
          <w:rFonts w:ascii="Arial" w:hAnsi="Arial" w:cs="Arial"/>
          <w:lang w:val="en-GB"/>
        </w:rPr>
      </w:pPr>
    </w:p>
    <w:p w:rsidR="00CC4C03" w:rsidRPr="00CB14C3" w:rsidRDefault="00CC4C03" w:rsidP="006C3AAB">
      <w:pPr>
        <w:jc w:val="both"/>
        <w:rPr>
          <w:rFonts w:ascii="Arial" w:hAnsi="Arial" w:cs="Arial"/>
          <w:lang w:val="en-GB"/>
        </w:rPr>
      </w:pPr>
    </w:p>
    <w:p w:rsidR="00CC4C03" w:rsidRPr="00CB14C3" w:rsidRDefault="00CC4C03" w:rsidP="006C3AAB">
      <w:pPr>
        <w:jc w:val="both"/>
        <w:rPr>
          <w:rFonts w:ascii="Arial" w:hAnsi="Arial" w:cs="Arial"/>
          <w:lang w:val="en-GB"/>
        </w:rPr>
      </w:pPr>
    </w:p>
    <w:p w:rsidR="00CC4C03" w:rsidRPr="00CB14C3" w:rsidRDefault="00CC4C03" w:rsidP="006C3AAB">
      <w:pPr>
        <w:jc w:val="both"/>
        <w:rPr>
          <w:rFonts w:ascii="Arial" w:hAnsi="Arial" w:cs="Arial"/>
          <w:lang w:val="en-GB"/>
        </w:rPr>
      </w:pPr>
    </w:p>
    <w:p w:rsidR="00FD246C" w:rsidRPr="00CB14C3" w:rsidRDefault="00D22EE7" w:rsidP="00FD246C">
      <w:pPr>
        <w:jc w:val="both"/>
        <w:rPr>
          <w:rFonts w:ascii="Arial" w:hAnsi="Arial" w:cs="Arial"/>
          <w:sz w:val="20"/>
          <w:szCs w:val="20"/>
          <w:lang w:val="en-GB"/>
        </w:rPr>
      </w:pPr>
      <w:r w:rsidRPr="00CB14C3">
        <w:rPr>
          <w:rFonts w:ascii="Arial" w:hAnsi="Arial" w:cs="Arial"/>
          <w:b/>
          <w:sz w:val="20"/>
          <w:szCs w:val="20"/>
          <w:lang w:val="en-GB"/>
        </w:rPr>
        <w:t>Figure 2</w:t>
      </w:r>
      <w:r w:rsidRPr="00CB14C3">
        <w:rPr>
          <w:rFonts w:ascii="Arial" w:hAnsi="Arial" w:cs="Arial"/>
          <w:sz w:val="20"/>
          <w:szCs w:val="20"/>
          <w:lang w:val="en-GB"/>
        </w:rPr>
        <w:t xml:space="preserve">; </w:t>
      </w:r>
      <w:r w:rsidR="00FD246C" w:rsidRPr="00CB14C3">
        <w:rPr>
          <w:rFonts w:ascii="Arial" w:hAnsi="Arial" w:cs="Arial"/>
          <w:sz w:val="20"/>
          <w:szCs w:val="20"/>
          <w:lang w:val="en-GB"/>
        </w:rPr>
        <w:t xml:space="preserve">Effect of </w:t>
      </w:r>
      <w:r w:rsidR="00FD246C"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00DF21AE" w:rsidRPr="00CB14C3">
        <w:rPr>
          <w:rFonts w:ascii="Arial" w:hAnsi="Arial" w:cs="Arial"/>
          <w:sz w:val="20"/>
          <w:szCs w:val="20"/>
          <w:lang w:val="en-GB"/>
        </w:rPr>
        <w:t xml:space="preserve"> extract on li</w:t>
      </w:r>
      <w:r w:rsidR="0025322A" w:rsidRPr="00CB14C3">
        <w:rPr>
          <w:rFonts w:ascii="Arial" w:hAnsi="Arial" w:cs="Arial"/>
          <w:sz w:val="20"/>
          <w:szCs w:val="20"/>
          <w:lang w:val="en-GB"/>
        </w:rPr>
        <w:t>pid profile markers in alcohol-i</w:t>
      </w:r>
      <w:r w:rsidR="00DF21AE" w:rsidRPr="00CB14C3">
        <w:rPr>
          <w:rFonts w:ascii="Arial" w:hAnsi="Arial" w:cs="Arial"/>
          <w:sz w:val="20"/>
          <w:szCs w:val="20"/>
          <w:lang w:val="en-GB"/>
        </w:rPr>
        <w:t>nduced r</w:t>
      </w:r>
      <w:r w:rsidR="00FD246C" w:rsidRPr="00CB14C3">
        <w:rPr>
          <w:rFonts w:ascii="Arial" w:hAnsi="Arial" w:cs="Arial"/>
          <w:sz w:val="20"/>
          <w:szCs w:val="20"/>
          <w:lang w:val="en-GB"/>
        </w:rPr>
        <w:t>ats. This bar graph presents the effect of various treatments on TGL (mg/dl) in experimental groups 1-7.</w:t>
      </w:r>
    </w:p>
    <w:p w:rsidR="00804CF9" w:rsidRPr="00CB14C3" w:rsidRDefault="00703583" w:rsidP="00572048">
      <w:pPr>
        <w:jc w:val="center"/>
        <w:rPr>
          <w:rFonts w:ascii="Arial" w:hAnsi="Arial" w:cs="Arial"/>
          <w:sz w:val="20"/>
          <w:szCs w:val="20"/>
          <w:lang w:val="en-GB"/>
        </w:rPr>
      </w:pPr>
      <w:bookmarkStart w:id="2" w:name="_Hlk220161840"/>
      <w:r w:rsidRPr="00CB14C3">
        <w:rPr>
          <w:rFonts w:ascii="Arial" w:hAnsi="Arial" w:cs="Arial"/>
          <w:sz w:val="20"/>
          <w:szCs w:val="20"/>
          <w:lang w:val="en-GB"/>
        </w:rPr>
        <w:t>Bars represent mean ± standard deviation of triplicate determinations and bars with different alphabets indicate significant difference at p ≤ 0.05. Group 1 = normal control, group 2 =</w:t>
      </w:r>
      <w:r w:rsidRPr="00CB14C3">
        <w:rPr>
          <w:rFonts w:ascii="Arial" w:eastAsiaTheme="minorEastAsia" w:hAnsi="Arial" w:cs="Arial"/>
          <w:sz w:val="20"/>
          <w:szCs w:val="20"/>
          <w:lang w:val="en-GB"/>
        </w:rPr>
        <w:t>10 ml/kg of Alcohol + 50 mg/kg Silymarin (Standard control)</w:t>
      </w:r>
      <w:r w:rsidRPr="00CB14C3">
        <w:rPr>
          <w:rFonts w:ascii="Arial" w:hAnsi="Arial" w:cs="Arial"/>
          <w:sz w:val="20"/>
          <w:szCs w:val="20"/>
          <w:lang w:val="en-GB"/>
        </w:rPr>
        <w:t xml:space="preserve">, group3= </w:t>
      </w:r>
      <w:r w:rsidR="00572048" w:rsidRPr="00CB14C3">
        <w:rPr>
          <w:rFonts w:ascii="Arial" w:eastAsiaTheme="minorEastAsia" w:hAnsi="Arial" w:cs="Arial"/>
          <w:sz w:val="20"/>
          <w:szCs w:val="20"/>
          <w:lang w:val="en-GB"/>
        </w:rPr>
        <w:t xml:space="preserve">10 ml/kg Alcohol only (No treatment), </w:t>
      </w:r>
      <w:r w:rsidR="00572048" w:rsidRPr="00CB14C3">
        <w:rPr>
          <w:rFonts w:ascii="Arial" w:hAnsi="Arial" w:cs="Arial"/>
          <w:sz w:val="20"/>
          <w:szCs w:val="20"/>
          <w:lang w:val="en-GB"/>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bookmarkEnd w:id="2"/>
    <w:p w:rsidR="00804CF9" w:rsidRPr="00CB14C3" w:rsidRDefault="00804CF9" w:rsidP="00455E00">
      <w:pPr>
        <w:jc w:val="both"/>
        <w:rPr>
          <w:rFonts w:ascii="Arial" w:hAnsi="Arial" w:cs="Arial"/>
          <w:lang w:val="en-GB"/>
        </w:rPr>
      </w:pPr>
    </w:p>
    <w:p w:rsidR="00CC4C03" w:rsidRPr="00CB14C3" w:rsidRDefault="00CC4C03" w:rsidP="006C3AAB">
      <w:pPr>
        <w:jc w:val="both"/>
        <w:rPr>
          <w:rFonts w:ascii="Arial" w:eastAsia="Calibri" w:hAnsi="Arial" w:cs="Arial"/>
          <w:lang w:val="en-GB"/>
        </w:rPr>
      </w:pPr>
    </w:p>
    <w:p w:rsidR="00FD246C" w:rsidRPr="00CB14C3" w:rsidRDefault="00FD246C" w:rsidP="006C3AAB">
      <w:pPr>
        <w:jc w:val="both"/>
        <w:rPr>
          <w:rFonts w:ascii="Arial" w:hAnsi="Arial" w:cs="Arial"/>
          <w:lang w:val="en-GB"/>
        </w:rPr>
      </w:pPr>
    </w:p>
    <w:p w:rsidR="00FD246C" w:rsidRPr="00CB14C3" w:rsidRDefault="00FD246C" w:rsidP="006C3AAB">
      <w:pPr>
        <w:jc w:val="both"/>
        <w:rPr>
          <w:rFonts w:ascii="Arial" w:hAnsi="Arial" w:cs="Arial"/>
          <w:lang w:val="en-GB"/>
        </w:rPr>
      </w:pPr>
    </w:p>
    <w:p w:rsidR="00FD246C" w:rsidRPr="00CB14C3" w:rsidRDefault="00FD246C" w:rsidP="006C3AAB">
      <w:pPr>
        <w:jc w:val="both"/>
        <w:rPr>
          <w:rFonts w:ascii="Arial" w:hAnsi="Arial" w:cs="Arial"/>
          <w:lang w:val="en-GB"/>
        </w:rPr>
      </w:pPr>
    </w:p>
    <w:p w:rsidR="007D6BB2" w:rsidRPr="00CB14C3" w:rsidRDefault="007D6BB2"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7D6BB2" w:rsidRPr="00CB14C3" w:rsidRDefault="007D6BB2" w:rsidP="006C3AAB">
      <w:pPr>
        <w:jc w:val="both"/>
        <w:rPr>
          <w:rFonts w:ascii="Arial" w:hAnsi="Arial" w:cs="Arial"/>
          <w:lang w:val="en-GB"/>
        </w:rPr>
      </w:pPr>
    </w:p>
    <w:p w:rsidR="00FD246C" w:rsidRPr="00CB14C3" w:rsidRDefault="00247E85" w:rsidP="006C3AAB">
      <w:pPr>
        <w:jc w:val="both"/>
        <w:rPr>
          <w:rFonts w:ascii="Arial" w:hAnsi="Arial" w:cs="Arial"/>
          <w:lang w:val="en-GB"/>
        </w:rPr>
      </w:pPr>
      <w:r w:rsidRPr="00CB14C3">
        <w:rPr>
          <w:rFonts w:ascii="Arial" w:hAnsi="Arial" w:cs="Arial"/>
          <w:noProof/>
          <w:lang w:val="en-GB"/>
        </w:rPr>
        <w:drawing>
          <wp:anchor distT="0" distB="0" distL="114300" distR="114300" simplePos="0" relativeHeight="251650560" behindDoc="0" locked="0" layoutInCell="1" allowOverlap="1" wp14:anchorId="2CDD050E">
            <wp:simplePos x="0" y="0"/>
            <wp:positionH relativeFrom="margin">
              <wp:align>center</wp:align>
            </wp:positionH>
            <wp:positionV relativeFrom="paragraph">
              <wp:posOffset>62230</wp:posOffset>
            </wp:positionV>
            <wp:extent cx="3856012" cy="287280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56012" cy="2872800"/>
                    </a:xfrm>
                    <a:prstGeom prst="rect">
                      <a:avLst/>
                    </a:prstGeom>
                    <a:noFill/>
                  </pic:spPr>
                </pic:pic>
              </a:graphicData>
            </a:graphic>
            <wp14:sizeRelH relativeFrom="margin">
              <wp14:pctWidth>0</wp14:pctWidth>
            </wp14:sizeRelH>
            <wp14:sizeRelV relativeFrom="margin">
              <wp14:pctHeight>0</wp14:pctHeight>
            </wp14:sizeRelV>
          </wp:anchor>
        </w:drawing>
      </w:r>
    </w:p>
    <w:p w:rsidR="00FD246C" w:rsidRPr="00CB14C3" w:rsidRDefault="00FD246C" w:rsidP="006C3AAB">
      <w:pPr>
        <w:jc w:val="both"/>
        <w:rPr>
          <w:rFonts w:ascii="Arial" w:hAnsi="Arial" w:cs="Arial"/>
          <w:lang w:val="en-GB"/>
        </w:rPr>
      </w:pPr>
    </w:p>
    <w:p w:rsidR="00FD246C" w:rsidRPr="00CB14C3" w:rsidRDefault="00FD246C" w:rsidP="006C3AAB">
      <w:pPr>
        <w:jc w:val="both"/>
        <w:rPr>
          <w:rFonts w:ascii="Arial" w:hAnsi="Arial" w:cs="Arial"/>
          <w:lang w:val="en-GB"/>
        </w:rPr>
      </w:pPr>
    </w:p>
    <w:p w:rsidR="00FD246C" w:rsidRPr="00CB14C3" w:rsidRDefault="00FD246C" w:rsidP="006C3AAB">
      <w:pPr>
        <w:jc w:val="both"/>
        <w:rPr>
          <w:rFonts w:ascii="Arial" w:hAnsi="Arial" w:cs="Arial"/>
          <w:lang w:val="en-GB"/>
        </w:rPr>
      </w:pPr>
    </w:p>
    <w:p w:rsidR="00FD246C" w:rsidRPr="00CB14C3" w:rsidRDefault="00FD246C" w:rsidP="006C3AAB">
      <w:pPr>
        <w:jc w:val="both"/>
        <w:rPr>
          <w:rFonts w:ascii="Arial" w:hAnsi="Arial" w:cs="Arial"/>
          <w:lang w:val="en-GB"/>
        </w:rPr>
      </w:pPr>
    </w:p>
    <w:p w:rsidR="00FD246C" w:rsidRPr="00CB14C3" w:rsidRDefault="00FD246C" w:rsidP="006C3AAB">
      <w:pPr>
        <w:jc w:val="both"/>
        <w:rPr>
          <w:rFonts w:ascii="Arial" w:hAnsi="Arial" w:cs="Arial"/>
          <w:lang w:val="en-GB"/>
        </w:rPr>
      </w:pPr>
    </w:p>
    <w:p w:rsidR="00FD246C" w:rsidRPr="00CB14C3" w:rsidRDefault="00FD246C" w:rsidP="006C3AAB">
      <w:pPr>
        <w:jc w:val="both"/>
        <w:rPr>
          <w:rFonts w:ascii="Arial" w:hAnsi="Arial" w:cs="Arial"/>
          <w:lang w:val="en-GB"/>
        </w:rPr>
      </w:pPr>
    </w:p>
    <w:p w:rsidR="00FD246C" w:rsidRPr="00CB14C3" w:rsidRDefault="00FD246C" w:rsidP="006C3AAB">
      <w:pPr>
        <w:jc w:val="both"/>
        <w:rPr>
          <w:rFonts w:ascii="Arial" w:hAnsi="Arial" w:cs="Arial"/>
          <w:lang w:val="en-GB"/>
        </w:rPr>
      </w:pPr>
    </w:p>
    <w:p w:rsidR="00FD246C" w:rsidRPr="00CB14C3" w:rsidRDefault="00FD246C" w:rsidP="006C3AAB">
      <w:pPr>
        <w:jc w:val="both"/>
        <w:rPr>
          <w:rFonts w:ascii="Arial" w:hAnsi="Arial" w:cs="Arial"/>
          <w:lang w:val="en-GB"/>
        </w:rPr>
      </w:pPr>
    </w:p>
    <w:p w:rsidR="00FD246C" w:rsidRPr="00CB14C3" w:rsidRDefault="00FD246C" w:rsidP="006C3AAB">
      <w:pPr>
        <w:jc w:val="both"/>
        <w:rPr>
          <w:rFonts w:ascii="Arial" w:hAnsi="Arial" w:cs="Arial"/>
          <w:lang w:val="en-GB"/>
        </w:rPr>
      </w:pPr>
    </w:p>
    <w:p w:rsidR="00CC4C03" w:rsidRPr="00CB14C3" w:rsidRDefault="00CC4C03" w:rsidP="006C3AAB">
      <w:pPr>
        <w:jc w:val="both"/>
        <w:rPr>
          <w:rFonts w:ascii="Arial" w:hAnsi="Arial" w:cs="Arial"/>
          <w:lang w:val="en-GB"/>
        </w:rPr>
      </w:pPr>
    </w:p>
    <w:p w:rsidR="00C57C22" w:rsidRPr="00CB14C3" w:rsidRDefault="00324073" w:rsidP="00C57C22">
      <w:pPr>
        <w:spacing w:line="360" w:lineRule="auto"/>
        <w:jc w:val="both"/>
        <w:rPr>
          <w:rFonts w:ascii="Arial" w:hAnsi="Arial" w:cs="Arial"/>
          <w:sz w:val="20"/>
          <w:szCs w:val="20"/>
          <w:lang w:val="en-GB"/>
        </w:rPr>
      </w:pPr>
      <w:r w:rsidRPr="00CB14C3">
        <w:rPr>
          <w:rFonts w:ascii="Arial" w:hAnsi="Arial" w:cs="Arial"/>
          <w:b/>
          <w:sz w:val="20"/>
          <w:szCs w:val="20"/>
          <w:lang w:val="en-GB"/>
        </w:rPr>
        <w:t>Figure 3;</w:t>
      </w:r>
      <w:r w:rsidR="008752EA" w:rsidRPr="00CB14C3">
        <w:rPr>
          <w:rFonts w:ascii="Arial" w:hAnsi="Arial" w:cs="Arial"/>
          <w:b/>
          <w:sz w:val="20"/>
          <w:szCs w:val="20"/>
          <w:lang w:val="en-GB"/>
        </w:rPr>
        <w:t xml:space="preserve"> </w:t>
      </w:r>
      <w:r w:rsidR="00C57C22" w:rsidRPr="00CB14C3">
        <w:rPr>
          <w:rFonts w:ascii="Arial" w:hAnsi="Arial" w:cs="Arial"/>
          <w:sz w:val="20"/>
          <w:szCs w:val="20"/>
          <w:lang w:val="en-GB"/>
        </w:rPr>
        <w:t xml:space="preserve">Effect of </w:t>
      </w:r>
      <w:r w:rsidR="00C57C22"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00324959" w:rsidRPr="00CB14C3">
        <w:rPr>
          <w:rFonts w:ascii="Arial" w:hAnsi="Arial" w:cs="Arial"/>
          <w:sz w:val="20"/>
          <w:szCs w:val="20"/>
          <w:lang w:val="en-GB"/>
        </w:rPr>
        <w:t xml:space="preserve"> extract on lipid p</w:t>
      </w:r>
      <w:r w:rsidR="006920C8" w:rsidRPr="00CB14C3">
        <w:rPr>
          <w:rFonts w:ascii="Arial" w:hAnsi="Arial" w:cs="Arial"/>
          <w:sz w:val="20"/>
          <w:szCs w:val="20"/>
          <w:lang w:val="en-GB"/>
        </w:rPr>
        <w:t>rofile m</w:t>
      </w:r>
      <w:r w:rsidR="00C86091" w:rsidRPr="00CB14C3">
        <w:rPr>
          <w:rFonts w:ascii="Arial" w:hAnsi="Arial" w:cs="Arial"/>
          <w:sz w:val="20"/>
          <w:szCs w:val="20"/>
          <w:lang w:val="en-GB"/>
        </w:rPr>
        <w:t>arkers in alcohol-induced r</w:t>
      </w:r>
      <w:r w:rsidR="00C57C22" w:rsidRPr="00CB14C3">
        <w:rPr>
          <w:rFonts w:ascii="Arial" w:hAnsi="Arial" w:cs="Arial"/>
          <w:sz w:val="20"/>
          <w:szCs w:val="20"/>
          <w:lang w:val="en-GB"/>
        </w:rPr>
        <w:t>ats. This bar graph presents the effect of various treatments on VLDL-cholesterol (mg/dl) experimental groups 1-7.</w:t>
      </w:r>
    </w:p>
    <w:p w:rsidR="00324073" w:rsidRPr="00CB14C3" w:rsidRDefault="00572048" w:rsidP="00572048">
      <w:pPr>
        <w:jc w:val="center"/>
        <w:rPr>
          <w:rFonts w:ascii="Arial" w:hAnsi="Arial" w:cs="Arial"/>
          <w:sz w:val="20"/>
          <w:szCs w:val="20"/>
          <w:lang w:val="en-GB"/>
        </w:rPr>
      </w:pPr>
      <w:r w:rsidRPr="00CB14C3">
        <w:rPr>
          <w:rFonts w:ascii="Arial" w:hAnsi="Arial" w:cs="Arial"/>
          <w:sz w:val="20"/>
          <w:szCs w:val="20"/>
          <w:lang w:val="en-GB"/>
        </w:rPr>
        <w:t>Bars represent mean ± standard deviation of triplicate determinations and bars with different alphabets indicate significant difference at p ≤ 0.05. Group 1 = normal control, group 2 =10 ml/kg of Alcohol + 50 mg/kg Silymarin (Standard control), group3= 10 ml/kg Alcohol only (No treatment), 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CB14C3" w:rsidRDefault="00EA0F8B"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247E85" w:rsidP="006C3AAB">
      <w:pPr>
        <w:jc w:val="both"/>
        <w:rPr>
          <w:rFonts w:ascii="Arial" w:hAnsi="Arial" w:cs="Arial"/>
          <w:lang w:val="en-GB"/>
        </w:rPr>
      </w:pPr>
      <w:r w:rsidRPr="00CB14C3">
        <w:rPr>
          <w:rFonts w:ascii="Arial" w:hAnsi="Arial" w:cs="Arial"/>
          <w:noProof/>
          <w:lang w:val="en-GB"/>
        </w:rPr>
        <w:drawing>
          <wp:anchor distT="0" distB="0" distL="114300" distR="114300" simplePos="0" relativeHeight="251664896" behindDoc="0" locked="0" layoutInCell="1" allowOverlap="1" wp14:anchorId="0E8A021C">
            <wp:simplePos x="0" y="0"/>
            <wp:positionH relativeFrom="margin">
              <wp:align>center</wp:align>
            </wp:positionH>
            <wp:positionV relativeFrom="paragraph">
              <wp:posOffset>5407</wp:posOffset>
            </wp:positionV>
            <wp:extent cx="3841160" cy="2872800"/>
            <wp:effectExtent l="0" t="0" r="698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1160" cy="2872800"/>
                    </a:xfrm>
                    <a:prstGeom prst="rect">
                      <a:avLst/>
                    </a:prstGeom>
                    <a:noFill/>
                  </pic:spPr>
                </pic:pic>
              </a:graphicData>
            </a:graphic>
          </wp:anchor>
        </w:drawing>
      </w: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C4C03" w:rsidRPr="00CB14C3" w:rsidRDefault="00CC4C03" w:rsidP="006C3AAB">
      <w:pPr>
        <w:jc w:val="both"/>
        <w:rPr>
          <w:rFonts w:ascii="Arial" w:hAnsi="Arial" w:cs="Arial"/>
          <w:lang w:val="en-GB"/>
        </w:rPr>
      </w:pPr>
    </w:p>
    <w:p w:rsidR="00C57C22" w:rsidRPr="00CB14C3" w:rsidRDefault="00CD0658" w:rsidP="00C57C22">
      <w:pPr>
        <w:spacing w:line="360" w:lineRule="auto"/>
        <w:jc w:val="both"/>
        <w:rPr>
          <w:rFonts w:ascii="Arial" w:hAnsi="Arial" w:cs="Arial"/>
          <w:sz w:val="20"/>
          <w:szCs w:val="20"/>
          <w:lang w:val="en-GB"/>
        </w:rPr>
      </w:pPr>
      <w:r w:rsidRPr="00CB14C3">
        <w:rPr>
          <w:rFonts w:ascii="Arial" w:hAnsi="Arial" w:cs="Arial"/>
          <w:b/>
          <w:sz w:val="20"/>
          <w:szCs w:val="20"/>
          <w:lang w:val="en-GB"/>
        </w:rPr>
        <w:t>Figure 4:</w:t>
      </w:r>
      <w:r w:rsidR="00C57C22" w:rsidRPr="00CB14C3">
        <w:rPr>
          <w:rFonts w:ascii="Arial" w:hAnsi="Arial" w:cs="Arial"/>
          <w:sz w:val="20"/>
          <w:szCs w:val="20"/>
          <w:lang w:val="en-GB"/>
        </w:rPr>
        <w:t xml:space="preserve"> Effect of </w:t>
      </w:r>
      <w:r w:rsidR="00C57C22"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004B4D8D" w:rsidRPr="00CB14C3">
        <w:rPr>
          <w:rFonts w:ascii="Arial" w:hAnsi="Arial" w:cs="Arial"/>
          <w:sz w:val="20"/>
          <w:szCs w:val="20"/>
          <w:lang w:val="en-GB"/>
        </w:rPr>
        <w:t xml:space="preserve"> extract on lipid profile markers in alcohol-induced </w:t>
      </w:r>
      <w:proofErr w:type="spellStart"/>
      <w:r w:rsidR="004B4D8D" w:rsidRPr="00CB14C3">
        <w:rPr>
          <w:rFonts w:ascii="Arial" w:hAnsi="Arial" w:cs="Arial"/>
          <w:sz w:val="20"/>
          <w:szCs w:val="20"/>
          <w:lang w:val="en-GB"/>
        </w:rPr>
        <w:t>wistar</w:t>
      </w:r>
      <w:proofErr w:type="spellEnd"/>
      <w:r w:rsidR="004B4D8D" w:rsidRPr="00CB14C3">
        <w:rPr>
          <w:rFonts w:ascii="Arial" w:hAnsi="Arial" w:cs="Arial"/>
          <w:sz w:val="20"/>
          <w:szCs w:val="20"/>
          <w:lang w:val="en-GB"/>
        </w:rPr>
        <w:t xml:space="preserve"> r</w:t>
      </w:r>
      <w:r w:rsidR="00C57C22" w:rsidRPr="00CB14C3">
        <w:rPr>
          <w:rFonts w:ascii="Arial" w:hAnsi="Arial" w:cs="Arial"/>
          <w:sz w:val="20"/>
          <w:szCs w:val="20"/>
          <w:lang w:val="en-GB"/>
        </w:rPr>
        <w:t>ats. The bar chart illustrates the effect of various treatments on HDL-cholesterol (mg/dl) levels in experimental groups 1-7.</w:t>
      </w:r>
    </w:p>
    <w:p w:rsidR="00572048" w:rsidRPr="00CB14C3" w:rsidRDefault="00572048" w:rsidP="00572048">
      <w:pPr>
        <w:jc w:val="center"/>
        <w:rPr>
          <w:rFonts w:ascii="Arial" w:hAnsi="Arial" w:cs="Arial"/>
          <w:sz w:val="20"/>
          <w:szCs w:val="20"/>
          <w:lang w:val="en-GB"/>
        </w:rPr>
      </w:pPr>
      <w:r w:rsidRPr="00CB14C3">
        <w:rPr>
          <w:rFonts w:ascii="Arial" w:hAnsi="Arial" w:cs="Arial"/>
          <w:sz w:val="20"/>
          <w:szCs w:val="20"/>
          <w:lang w:val="en-GB"/>
        </w:rPr>
        <w:t>Bars represent mean ± standard deviation of triplicate determinations and bars with different alphabets indicate significant difference at p ≤ 0.05. Group 1 = normal control, group 2 =</w:t>
      </w:r>
      <w:r w:rsidRPr="00CB14C3">
        <w:rPr>
          <w:rFonts w:ascii="Arial" w:eastAsiaTheme="minorEastAsia" w:hAnsi="Arial" w:cs="Arial"/>
          <w:sz w:val="20"/>
          <w:szCs w:val="20"/>
          <w:lang w:val="en-GB"/>
        </w:rPr>
        <w:t>10 ml/kg of Alcohol + 50 mg/kg Silymarin (Standard control)</w:t>
      </w:r>
      <w:r w:rsidRPr="00CB14C3">
        <w:rPr>
          <w:rFonts w:ascii="Arial" w:hAnsi="Arial" w:cs="Arial"/>
          <w:sz w:val="20"/>
          <w:szCs w:val="20"/>
          <w:lang w:val="en-GB"/>
        </w:rPr>
        <w:t xml:space="preserve">, group3= </w:t>
      </w:r>
      <w:r w:rsidRPr="00CB14C3">
        <w:rPr>
          <w:rFonts w:ascii="Arial" w:eastAsiaTheme="minorEastAsia" w:hAnsi="Arial" w:cs="Arial"/>
          <w:sz w:val="20"/>
          <w:szCs w:val="20"/>
          <w:lang w:val="en-GB"/>
        </w:rPr>
        <w:t xml:space="preserve">10 ml/kg Alcohol only (No treatment), </w:t>
      </w:r>
      <w:r w:rsidRPr="00CB14C3">
        <w:rPr>
          <w:rFonts w:ascii="Arial" w:hAnsi="Arial" w:cs="Arial"/>
          <w:sz w:val="20"/>
          <w:szCs w:val="20"/>
          <w:lang w:val="en-GB"/>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CB14C3" w:rsidRDefault="00EA0F8B" w:rsidP="006C3AAB">
      <w:pPr>
        <w:jc w:val="both"/>
        <w:rPr>
          <w:rFonts w:ascii="Arial" w:hAnsi="Arial" w:cs="Arial"/>
          <w:lang w:val="en-GB"/>
        </w:rPr>
      </w:pPr>
    </w:p>
    <w:p w:rsidR="00EA0F8B" w:rsidRPr="00CB14C3" w:rsidRDefault="00EA0F8B"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7D6BB2" w:rsidRPr="00CB14C3" w:rsidRDefault="007D6BB2" w:rsidP="006C3AAB">
      <w:pPr>
        <w:jc w:val="both"/>
        <w:rPr>
          <w:rFonts w:ascii="Arial" w:hAnsi="Arial" w:cs="Arial"/>
          <w:lang w:val="en-GB"/>
        </w:rPr>
      </w:pPr>
    </w:p>
    <w:p w:rsidR="007D6BB2" w:rsidRPr="00CB14C3" w:rsidRDefault="007D6BB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247E85" w:rsidP="006C3AAB">
      <w:pPr>
        <w:jc w:val="both"/>
        <w:rPr>
          <w:rFonts w:ascii="Arial" w:hAnsi="Arial" w:cs="Arial"/>
          <w:lang w:val="en-GB"/>
        </w:rPr>
      </w:pPr>
      <w:r w:rsidRPr="00CB14C3">
        <w:rPr>
          <w:rFonts w:ascii="Arial" w:hAnsi="Arial" w:cs="Arial"/>
          <w:noProof/>
          <w:lang w:val="en-GB"/>
        </w:rPr>
        <w:drawing>
          <wp:anchor distT="0" distB="0" distL="114300" distR="114300" simplePos="0" relativeHeight="251679232" behindDoc="0" locked="0" layoutInCell="1" allowOverlap="1" wp14:anchorId="26913AE4">
            <wp:simplePos x="0" y="0"/>
            <wp:positionH relativeFrom="margin">
              <wp:align>center</wp:align>
            </wp:positionH>
            <wp:positionV relativeFrom="paragraph">
              <wp:posOffset>4445</wp:posOffset>
            </wp:positionV>
            <wp:extent cx="3783600" cy="2697860"/>
            <wp:effectExtent l="0" t="0" r="762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3600" cy="2697860"/>
                    </a:xfrm>
                    <a:prstGeom prst="rect">
                      <a:avLst/>
                    </a:prstGeom>
                    <a:noFill/>
                  </pic:spPr>
                </pic:pic>
              </a:graphicData>
            </a:graphic>
          </wp:anchor>
        </w:drawing>
      </w: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EA0F8B" w:rsidRPr="00CB14C3" w:rsidRDefault="00EA0F8B"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1C3CF6" w:rsidP="00C57C22">
      <w:pPr>
        <w:spacing w:line="360" w:lineRule="auto"/>
        <w:jc w:val="both"/>
        <w:rPr>
          <w:rFonts w:ascii="Arial" w:hAnsi="Arial" w:cs="Arial"/>
          <w:sz w:val="20"/>
          <w:szCs w:val="20"/>
          <w:lang w:val="en-GB"/>
        </w:rPr>
      </w:pPr>
      <w:r w:rsidRPr="00CB14C3">
        <w:rPr>
          <w:rFonts w:ascii="Arial" w:hAnsi="Arial" w:cs="Arial"/>
          <w:b/>
          <w:sz w:val="20"/>
          <w:szCs w:val="20"/>
          <w:lang w:val="en-GB"/>
        </w:rPr>
        <w:t>Figure 5:</w:t>
      </w:r>
      <w:r w:rsidR="00C57C22" w:rsidRPr="00CB14C3">
        <w:rPr>
          <w:rFonts w:ascii="Arial" w:hAnsi="Arial" w:cs="Arial"/>
          <w:sz w:val="20"/>
          <w:szCs w:val="20"/>
          <w:lang w:val="en-GB"/>
        </w:rPr>
        <w:t xml:space="preserve"> Effect of Amaranthus </w:t>
      </w:r>
      <w:r w:rsidR="00EB4069" w:rsidRPr="00CB14C3">
        <w:rPr>
          <w:rFonts w:ascii="Arial" w:hAnsi="Arial" w:cs="Arial"/>
          <w:sz w:val="20"/>
          <w:szCs w:val="20"/>
          <w:lang w:val="en-GB"/>
        </w:rPr>
        <w:t>spinous</w:t>
      </w:r>
      <w:r w:rsidR="00A73733" w:rsidRPr="00CB14C3">
        <w:rPr>
          <w:rFonts w:ascii="Arial" w:hAnsi="Arial" w:cs="Arial"/>
          <w:sz w:val="20"/>
          <w:szCs w:val="20"/>
          <w:lang w:val="en-GB"/>
        </w:rPr>
        <w:t xml:space="preserve"> extract on lipid profile markers in alcohol-i</w:t>
      </w:r>
      <w:r w:rsidR="00C57C22" w:rsidRPr="00CB14C3">
        <w:rPr>
          <w:rFonts w:ascii="Arial" w:hAnsi="Arial" w:cs="Arial"/>
          <w:sz w:val="20"/>
          <w:szCs w:val="20"/>
          <w:lang w:val="en-GB"/>
        </w:rPr>
        <w:t>nduced Rats. This bar graph presents the effect of various treatments on LDL-cholesterol (mg/dl) experimental groups 1-7.</w:t>
      </w:r>
    </w:p>
    <w:p w:rsidR="00572048" w:rsidRPr="00CB14C3" w:rsidRDefault="00572048" w:rsidP="00572048">
      <w:pPr>
        <w:jc w:val="center"/>
        <w:rPr>
          <w:rFonts w:ascii="Arial" w:hAnsi="Arial" w:cs="Arial"/>
          <w:sz w:val="20"/>
          <w:szCs w:val="20"/>
          <w:lang w:val="en-GB"/>
        </w:rPr>
      </w:pPr>
      <w:r w:rsidRPr="00CB14C3">
        <w:rPr>
          <w:rFonts w:ascii="Arial" w:hAnsi="Arial" w:cs="Arial"/>
          <w:sz w:val="20"/>
          <w:szCs w:val="20"/>
          <w:lang w:val="en-GB"/>
        </w:rPr>
        <w:t>Bars represent mean ± standard deviation of triplicate determinations and bars with different alphabets indicate significant difference at p ≤ 0.05. Group 1 = normal control, group 2 =</w:t>
      </w:r>
      <w:r w:rsidRPr="00CB14C3">
        <w:rPr>
          <w:rFonts w:ascii="Arial" w:eastAsiaTheme="minorEastAsia" w:hAnsi="Arial" w:cs="Arial"/>
          <w:sz w:val="20"/>
          <w:szCs w:val="20"/>
          <w:lang w:val="en-GB"/>
        </w:rPr>
        <w:t>10 ml/kg of Alcohol + 50 mg/kg Silymarin (Standard control)</w:t>
      </w:r>
      <w:r w:rsidRPr="00CB14C3">
        <w:rPr>
          <w:rFonts w:ascii="Arial" w:hAnsi="Arial" w:cs="Arial"/>
          <w:sz w:val="20"/>
          <w:szCs w:val="20"/>
          <w:lang w:val="en-GB"/>
        </w:rPr>
        <w:t xml:space="preserve">, group3= </w:t>
      </w:r>
      <w:r w:rsidRPr="00CB14C3">
        <w:rPr>
          <w:rFonts w:ascii="Arial" w:eastAsiaTheme="minorEastAsia" w:hAnsi="Arial" w:cs="Arial"/>
          <w:sz w:val="20"/>
          <w:szCs w:val="20"/>
          <w:lang w:val="en-GB"/>
        </w:rPr>
        <w:t xml:space="preserve">10 ml/kg Alcohol only (No treatment), </w:t>
      </w:r>
      <w:r w:rsidRPr="00CB14C3">
        <w:rPr>
          <w:rFonts w:ascii="Arial" w:hAnsi="Arial" w:cs="Arial"/>
          <w:sz w:val="20"/>
          <w:szCs w:val="20"/>
          <w:lang w:val="en-GB"/>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CB14C3" w:rsidRDefault="00EA0F8B" w:rsidP="00E96ED3">
      <w:pPr>
        <w:spacing w:line="360" w:lineRule="auto"/>
        <w:jc w:val="both"/>
        <w:rPr>
          <w:rFonts w:ascii="Arial" w:hAnsi="Arial" w:cs="Arial"/>
          <w:lang w:val="en-GB"/>
        </w:rPr>
      </w:pPr>
    </w:p>
    <w:p w:rsidR="00C57C22" w:rsidRPr="00CB14C3" w:rsidRDefault="00C57C22" w:rsidP="00E96ED3">
      <w:pPr>
        <w:spacing w:line="360" w:lineRule="auto"/>
        <w:jc w:val="both"/>
        <w:rPr>
          <w:rFonts w:ascii="Arial" w:hAnsi="Arial" w:cs="Arial"/>
          <w:lang w:val="en-GB"/>
        </w:rPr>
      </w:pPr>
    </w:p>
    <w:p w:rsidR="00C57C22" w:rsidRPr="00CB14C3" w:rsidRDefault="00C57C22" w:rsidP="00E96ED3">
      <w:pPr>
        <w:spacing w:line="360" w:lineRule="auto"/>
        <w:jc w:val="both"/>
        <w:rPr>
          <w:rFonts w:ascii="Arial" w:hAnsi="Arial" w:cs="Arial"/>
          <w:lang w:val="en-GB"/>
        </w:rPr>
      </w:pPr>
    </w:p>
    <w:p w:rsidR="00C57C22" w:rsidRPr="00CB14C3" w:rsidRDefault="00C57C22" w:rsidP="00E96ED3">
      <w:pPr>
        <w:spacing w:line="360" w:lineRule="auto"/>
        <w:jc w:val="both"/>
        <w:rPr>
          <w:rFonts w:ascii="Arial" w:hAnsi="Arial" w:cs="Arial"/>
          <w:lang w:val="en-GB"/>
        </w:rPr>
      </w:pPr>
    </w:p>
    <w:p w:rsidR="00572048" w:rsidRPr="00CB14C3" w:rsidRDefault="00572048" w:rsidP="00E96ED3">
      <w:pPr>
        <w:spacing w:line="360" w:lineRule="auto"/>
        <w:jc w:val="both"/>
        <w:rPr>
          <w:rFonts w:ascii="Arial" w:hAnsi="Arial" w:cs="Arial"/>
          <w:lang w:val="en-GB"/>
        </w:rPr>
      </w:pPr>
    </w:p>
    <w:p w:rsidR="00C57C22" w:rsidRPr="00CB14C3" w:rsidRDefault="00C57C22" w:rsidP="00E96ED3">
      <w:pPr>
        <w:spacing w:line="360" w:lineRule="auto"/>
        <w:jc w:val="both"/>
        <w:rPr>
          <w:rFonts w:ascii="Arial" w:hAnsi="Arial" w:cs="Arial"/>
          <w:lang w:val="en-GB"/>
        </w:rPr>
      </w:pPr>
    </w:p>
    <w:p w:rsidR="00363060" w:rsidRPr="00CB14C3" w:rsidRDefault="00363060" w:rsidP="00E96ED3">
      <w:pPr>
        <w:spacing w:line="360" w:lineRule="auto"/>
        <w:jc w:val="both"/>
        <w:rPr>
          <w:rFonts w:ascii="Arial" w:hAnsi="Arial" w:cs="Arial"/>
          <w:lang w:val="en-GB"/>
        </w:rPr>
      </w:pPr>
    </w:p>
    <w:p w:rsidR="00363060" w:rsidRPr="00CB14C3" w:rsidRDefault="00363060" w:rsidP="00E96ED3">
      <w:pPr>
        <w:spacing w:line="360" w:lineRule="auto"/>
        <w:jc w:val="both"/>
        <w:rPr>
          <w:rFonts w:ascii="Arial" w:hAnsi="Arial" w:cs="Arial"/>
          <w:lang w:val="en-GB"/>
        </w:rPr>
      </w:pPr>
    </w:p>
    <w:p w:rsidR="00363060" w:rsidRPr="00CB14C3" w:rsidRDefault="00363060" w:rsidP="00E96ED3">
      <w:pPr>
        <w:spacing w:line="360" w:lineRule="auto"/>
        <w:jc w:val="both"/>
        <w:rPr>
          <w:rFonts w:ascii="Arial" w:hAnsi="Arial" w:cs="Arial"/>
          <w:lang w:val="en-GB"/>
        </w:rPr>
      </w:pPr>
    </w:p>
    <w:p w:rsidR="00C57C22" w:rsidRPr="00CB14C3" w:rsidRDefault="00C57C22" w:rsidP="00E96ED3">
      <w:pPr>
        <w:spacing w:line="360" w:lineRule="auto"/>
        <w:jc w:val="both"/>
        <w:rPr>
          <w:rFonts w:ascii="Arial" w:hAnsi="Arial" w:cs="Arial"/>
          <w:lang w:val="en-GB"/>
        </w:rPr>
      </w:pPr>
    </w:p>
    <w:p w:rsidR="00C57C22" w:rsidRPr="00CB14C3" w:rsidRDefault="00C57C22" w:rsidP="00E96ED3">
      <w:pPr>
        <w:spacing w:line="360" w:lineRule="auto"/>
        <w:jc w:val="both"/>
        <w:rPr>
          <w:rFonts w:ascii="Arial" w:hAnsi="Arial" w:cs="Arial"/>
          <w:lang w:val="en-GB"/>
        </w:rPr>
      </w:pPr>
      <w:r w:rsidRPr="00CB14C3">
        <w:rPr>
          <w:rFonts w:ascii="Arial" w:hAnsi="Arial" w:cs="Arial"/>
          <w:noProof/>
          <w:lang w:val="en-GB"/>
        </w:rPr>
        <w:drawing>
          <wp:anchor distT="0" distB="0" distL="114300" distR="114300" simplePos="0" relativeHeight="251693568" behindDoc="0" locked="0" layoutInCell="1" allowOverlap="1" wp14:anchorId="78FFF198">
            <wp:simplePos x="0" y="0"/>
            <wp:positionH relativeFrom="margin">
              <wp:align>center</wp:align>
            </wp:positionH>
            <wp:positionV relativeFrom="paragraph">
              <wp:posOffset>-213360</wp:posOffset>
            </wp:positionV>
            <wp:extent cx="3783600" cy="2816784"/>
            <wp:effectExtent l="0" t="0" r="762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3600" cy="2816784"/>
                    </a:xfrm>
                    <a:prstGeom prst="rect">
                      <a:avLst/>
                    </a:prstGeom>
                    <a:noFill/>
                  </pic:spPr>
                </pic:pic>
              </a:graphicData>
            </a:graphic>
          </wp:anchor>
        </w:drawing>
      </w:r>
    </w:p>
    <w:p w:rsidR="00C57C22" w:rsidRPr="00CB14C3" w:rsidRDefault="00C57C22" w:rsidP="00E96ED3">
      <w:pPr>
        <w:spacing w:line="360" w:lineRule="auto"/>
        <w:jc w:val="both"/>
        <w:rPr>
          <w:rFonts w:ascii="Arial" w:hAnsi="Arial" w:cs="Arial"/>
          <w:lang w:val="en-GB"/>
        </w:rPr>
      </w:pPr>
    </w:p>
    <w:p w:rsidR="00C57C22" w:rsidRPr="00CB14C3" w:rsidRDefault="00C57C22" w:rsidP="00E96ED3">
      <w:pPr>
        <w:spacing w:line="360" w:lineRule="auto"/>
        <w:jc w:val="both"/>
        <w:rPr>
          <w:rFonts w:ascii="Arial" w:hAnsi="Arial" w:cs="Arial"/>
          <w:lang w:val="en-GB"/>
        </w:rPr>
      </w:pPr>
    </w:p>
    <w:p w:rsidR="00C57C22" w:rsidRPr="00CB14C3" w:rsidRDefault="00C57C22" w:rsidP="00E96ED3">
      <w:pPr>
        <w:spacing w:line="360" w:lineRule="auto"/>
        <w:jc w:val="both"/>
        <w:rPr>
          <w:rFonts w:ascii="Arial" w:hAnsi="Arial" w:cs="Arial"/>
          <w:lang w:val="en-GB"/>
        </w:rPr>
      </w:pPr>
    </w:p>
    <w:p w:rsidR="00C57C22" w:rsidRPr="00CB14C3" w:rsidRDefault="00C57C22" w:rsidP="00E96ED3">
      <w:pPr>
        <w:spacing w:line="360" w:lineRule="auto"/>
        <w:jc w:val="both"/>
        <w:rPr>
          <w:rFonts w:ascii="Arial" w:hAnsi="Arial" w:cs="Arial"/>
          <w:lang w:val="en-GB"/>
        </w:rPr>
      </w:pPr>
    </w:p>
    <w:p w:rsidR="00C57C22" w:rsidRPr="00CB14C3" w:rsidRDefault="00C57C22" w:rsidP="00E96ED3">
      <w:pPr>
        <w:spacing w:line="360" w:lineRule="auto"/>
        <w:jc w:val="both"/>
        <w:rPr>
          <w:rFonts w:ascii="Arial" w:hAnsi="Arial" w:cs="Arial"/>
          <w:lang w:val="en-GB"/>
        </w:rPr>
      </w:pPr>
    </w:p>
    <w:p w:rsidR="00C57C22" w:rsidRPr="00CB14C3" w:rsidRDefault="00C57C22" w:rsidP="00E96ED3">
      <w:pPr>
        <w:spacing w:line="360" w:lineRule="auto"/>
        <w:jc w:val="both"/>
        <w:rPr>
          <w:rFonts w:ascii="Arial" w:hAnsi="Arial" w:cs="Arial"/>
          <w:lang w:val="en-GB"/>
        </w:rPr>
      </w:pPr>
    </w:p>
    <w:p w:rsidR="00EA0F8B" w:rsidRPr="00CB14C3" w:rsidRDefault="00EA0F8B" w:rsidP="00E96ED3">
      <w:pPr>
        <w:spacing w:line="360" w:lineRule="auto"/>
        <w:jc w:val="both"/>
        <w:rPr>
          <w:rFonts w:ascii="Arial" w:hAnsi="Arial" w:cs="Arial"/>
          <w:lang w:val="en-GB"/>
        </w:rPr>
      </w:pPr>
    </w:p>
    <w:p w:rsidR="00C57C22" w:rsidRPr="00CB14C3" w:rsidRDefault="00DA517D" w:rsidP="00C57C22">
      <w:pPr>
        <w:spacing w:line="360" w:lineRule="auto"/>
        <w:jc w:val="both"/>
        <w:rPr>
          <w:rFonts w:ascii="Arial" w:hAnsi="Arial" w:cs="Arial"/>
          <w:sz w:val="20"/>
          <w:szCs w:val="20"/>
          <w:lang w:val="en-GB"/>
        </w:rPr>
      </w:pPr>
      <w:r w:rsidRPr="00CB14C3">
        <w:rPr>
          <w:rFonts w:ascii="Arial" w:hAnsi="Arial" w:cs="Arial"/>
          <w:b/>
          <w:sz w:val="20"/>
          <w:szCs w:val="20"/>
          <w:lang w:val="en-GB"/>
        </w:rPr>
        <w:t>Figure 6</w:t>
      </w:r>
      <w:r w:rsidRPr="00CB14C3">
        <w:rPr>
          <w:rFonts w:ascii="Arial" w:hAnsi="Arial" w:cs="Arial"/>
          <w:sz w:val="20"/>
          <w:szCs w:val="20"/>
          <w:lang w:val="en-GB"/>
        </w:rPr>
        <w:t xml:space="preserve">: </w:t>
      </w:r>
      <w:r w:rsidR="00C57C22" w:rsidRPr="00CB14C3">
        <w:rPr>
          <w:rFonts w:ascii="Arial" w:hAnsi="Arial" w:cs="Arial"/>
          <w:sz w:val="20"/>
          <w:szCs w:val="20"/>
          <w:lang w:val="en-GB"/>
        </w:rPr>
        <w:t xml:space="preserve">Effect of </w:t>
      </w:r>
      <w:r w:rsidR="00C57C22"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009C317A" w:rsidRPr="00CB14C3">
        <w:rPr>
          <w:rFonts w:ascii="Arial" w:hAnsi="Arial" w:cs="Arial"/>
          <w:sz w:val="20"/>
          <w:szCs w:val="20"/>
          <w:lang w:val="en-GB"/>
        </w:rPr>
        <w:t xml:space="preserve"> extract on AST in alcohol-induced r</w:t>
      </w:r>
      <w:r w:rsidR="00C57C22" w:rsidRPr="00CB14C3">
        <w:rPr>
          <w:rFonts w:ascii="Arial" w:hAnsi="Arial" w:cs="Arial"/>
          <w:sz w:val="20"/>
          <w:szCs w:val="20"/>
          <w:lang w:val="en-GB"/>
        </w:rPr>
        <w:t>ats</w:t>
      </w:r>
    </w:p>
    <w:p w:rsidR="00572048" w:rsidRPr="00CB14C3" w:rsidRDefault="00572048" w:rsidP="00572048">
      <w:pPr>
        <w:jc w:val="center"/>
        <w:rPr>
          <w:rFonts w:ascii="Arial" w:hAnsi="Arial" w:cs="Arial"/>
          <w:sz w:val="20"/>
          <w:szCs w:val="20"/>
          <w:lang w:val="en-GB"/>
        </w:rPr>
      </w:pPr>
      <w:r w:rsidRPr="00CB14C3">
        <w:rPr>
          <w:rFonts w:ascii="Arial" w:hAnsi="Arial" w:cs="Arial"/>
          <w:sz w:val="20"/>
          <w:szCs w:val="20"/>
          <w:lang w:val="en-GB"/>
        </w:rPr>
        <w:t>Bars represent mean ± standard deviation of triplicate determinations and bars with different alphabets indicate significant difference at p ≤ 0.05. Group 1 = normal control, group 2 =</w:t>
      </w:r>
      <w:r w:rsidRPr="00CB14C3">
        <w:rPr>
          <w:rFonts w:ascii="Arial" w:eastAsiaTheme="minorEastAsia" w:hAnsi="Arial" w:cs="Arial"/>
          <w:sz w:val="20"/>
          <w:szCs w:val="20"/>
          <w:lang w:val="en-GB"/>
        </w:rPr>
        <w:t>10 ml/kg of Alcohol + 50 mg/kg Silymarin (Standard control)</w:t>
      </w:r>
      <w:r w:rsidRPr="00CB14C3">
        <w:rPr>
          <w:rFonts w:ascii="Arial" w:hAnsi="Arial" w:cs="Arial"/>
          <w:sz w:val="20"/>
          <w:szCs w:val="20"/>
          <w:lang w:val="en-GB"/>
        </w:rPr>
        <w:t xml:space="preserve">, group3= </w:t>
      </w:r>
      <w:r w:rsidRPr="00CB14C3">
        <w:rPr>
          <w:rFonts w:ascii="Arial" w:eastAsiaTheme="minorEastAsia" w:hAnsi="Arial" w:cs="Arial"/>
          <w:sz w:val="20"/>
          <w:szCs w:val="20"/>
          <w:lang w:val="en-GB"/>
        </w:rPr>
        <w:t xml:space="preserve">10 ml/kg Alcohol only (No treatment), </w:t>
      </w:r>
      <w:r w:rsidRPr="00CB14C3">
        <w:rPr>
          <w:rFonts w:ascii="Arial" w:hAnsi="Arial" w:cs="Arial"/>
          <w:sz w:val="20"/>
          <w:szCs w:val="20"/>
          <w:lang w:val="en-GB"/>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CB14C3" w:rsidRDefault="00EA0F8B" w:rsidP="00E96ED3">
      <w:pPr>
        <w:spacing w:line="360" w:lineRule="auto"/>
        <w:jc w:val="both"/>
        <w:rPr>
          <w:rFonts w:ascii="Arial" w:hAnsi="Arial" w:cs="Arial"/>
          <w:lang w:val="en-GB"/>
        </w:rPr>
      </w:pPr>
    </w:p>
    <w:p w:rsidR="00EA0F8B" w:rsidRPr="00CB14C3" w:rsidRDefault="00EA0F8B"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247E85" w:rsidP="006C3AAB">
      <w:pPr>
        <w:jc w:val="both"/>
        <w:rPr>
          <w:rFonts w:ascii="Arial" w:hAnsi="Arial" w:cs="Arial"/>
          <w:lang w:val="en-GB"/>
        </w:rPr>
      </w:pPr>
      <w:r w:rsidRPr="00CB14C3">
        <w:rPr>
          <w:rFonts w:ascii="Arial" w:hAnsi="Arial" w:cs="Arial"/>
          <w:noProof/>
          <w:lang w:val="en-GB"/>
        </w:rPr>
        <w:drawing>
          <wp:anchor distT="0" distB="0" distL="114300" distR="114300" simplePos="0" relativeHeight="251707904" behindDoc="0" locked="0" layoutInCell="1" allowOverlap="1" wp14:anchorId="1CAC958A">
            <wp:simplePos x="0" y="0"/>
            <wp:positionH relativeFrom="margin">
              <wp:align>center</wp:align>
            </wp:positionH>
            <wp:positionV relativeFrom="paragraph">
              <wp:posOffset>122247</wp:posOffset>
            </wp:positionV>
            <wp:extent cx="3745380" cy="2840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5380" cy="2840400"/>
                    </a:xfrm>
                    <a:prstGeom prst="rect">
                      <a:avLst/>
                    </a:prstGeom>
                    <a:noFill/>
                  </pic:spPr>
                </pic:pic>
              </a:graphicData>
            </a:graphic>
          </wp:anchor>
        </w:drawing>
      </w: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EA0F8B" w:rsidRPr="00CB14C3" w:rsidRDefault="00EA0F8B" w:rsidP="006C3AAB">
      <w:pPr>
        <w:jc w:val="both"/>
        <w:rPr>
          <w:rFonts w:ascii="Arial" w:hAnsi="Arial" w:cs="Arial"/>
          <w:lang w:val="en-GB"/>
        </w:rPr>
      </w:pPr>
    </w:p>
    <w:p w:rsidR="00EA0F8B" w:rsidRPr="00CB14C3" w:rsidRDefault="00EA0F8B" w:rsidP="006C3AAB">
      <w:pPr>
        <w:jc w:val="both"/>
        <w:rPr>
          <w:rFonts w:ascii="Arial" w:hAnsi="Arial" w:cs="Arial"/>
          <w:lang w:val="en-GB"/>
        </w:rPr>
      </w:pPr>
    </w:p>
    <w:p w:rsidR="00C57C22" w:rsidRPr="00CB14C3" w:rsidRDefault="001B498C" w:rsidP="00C57C22">
      <w:pPr>
        <w:jc w:val="both"/>
        <w:rPr>
          <w:rFonts w:ascii="Arial" w:hAnsi="Arial" w:cs="Arial"/>
          <w:sz w:val="20"/>
          <w:szCs w:val="20"/>
          <w:lang w:val="en-GB"/>
        </w:rPr>
      </w:pPr>
      <w:r w:rsidRPr="00CB14C3">
        <w:rPr>
          <w:rFonts w:ascii="Arial" w:hAnsi="Arial" w:cs="Arial"/>
          <w:b/>
          <w:sz w:val="20"/>
          <w:szCs w:val="20"/>
          <w:lang w:val="en-GB"/>
        </w:rPr>
        <w:t>Figure 7:</w:t>
      </w:r>
      <w:r w:rsidRPr="00CB14C3">
        <w:rPr>
          <w:rFonts w:ascii="Arial" w:hAnsi="Arial" w:cs="Arial"/>
          <w:sz w:val="20"/>
          <w:szCs w:val="20"/>
          <w:lang w:val="en-GB"/>
        </w:rPr>
        <w:t xml:space="preserve"> </w:t>
      </w:r>
      <w:r w:rsidR="00C57C22" w:rsidRPr="00CB14C3">
        <w:rPr>
          <w:rFonts w:ascii="Arial" w:hAnsi="Arial" w:cs="Arial"/>
          <w:sz w:val="20"/>
          <w:szCs w:val="20"/>
          <w:lang w:val="en-GB"/>
        </w:rPr>
        <w:t xml:space="preserve">Effect of </w:t>
      </w:r>
      <w:r w:rsidR="00C57C22"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00562DF5" w:rsidRPr="00CB14C3">
        <w:rPr>
          <w:rFonts w:ascii="Arial" w:hAnsi="Arial" w:cs="Arial"/>
          <w:sz w:val="20"/>
          <w:szCs w:val="20"/>
          <w:lang w:val="en-GB"/>
        </w:rPr>
        <w:t xml:space="preserve"> e</w:t>
      </w:r>
      <w:r w:rsidR="00C57C22" w:rsidRPr="00CB14C3">
        <w:rPr>
          <w:rFonts w:ascii="Arial" w:hAnsi="Arial" w:cs="Arial"/>
          <w:sz w:val="20"/>
          <w:szCs w:val="20"/>
          <w:lang w:val="en-GB"/>
        </w:rPr>
        <w:t>xt</w:t>
      </w:r>
      <w:r w:rsidR="00562DF5" w:rsidRPr="00CB14C3">
        <w:rPr>
          <w:rFonts w:ascii="Arial" w:hAnsi="Arial" w:cs="Arial"/>
          <w:sz w:val="20"/>
          <w:szCs w:val="20"/>
          <w:lang w:val="en-GB"/>
        </w:rPr>
        <w:t>ract on ALT in alcohol-induced r</w:t>
      </w:r>
      <w:r w:rsidR="00C57C22" w:rsidRPr="00CB14C3">
        <w:rPr>
          <w:rFonts w:ascii="Arial" w:hAnsi="Arial" w:cs="Arial"/>
          <w:sz w:val="20"/>
          <w:szCs w:val="20"/>
          <w:lang w:val="en-GB"/>
        </w:rPr>
        <w:t>ats</w:t>
      </w:r>
    </w:p>
    <w:p w:rsidR="00572048" w:rsidRPr="00CB14C3" w:rsidRDefault="00572048" w:rsidP="00572048">
      <w:pPr>
        <w:jc w:val="center"/>
        <w:rPr>
          <w:rFonts w:ascii="Arial" w:hAnsi="Arial" w:cs="Arial"/>
          <w:sz w:val="20"/>
          <w:szCs w:val="20"/>
          <w:lang w:val="en-GB"/>
        </w:rPr>
      </w:pPr>
      <w:r w:rsidRPr="00CB14C3">
        <w:rPr>
          <w:rFonts w:ascii="Arial" w:hAnsi="Arial" w:cs="Arial"/>
          <w:sz w:val="20"/>
          <w:szCs w:val="20"/>
          <w:lang w:val="en-GB"/>
        </w:rPr>
        <w:t>Bars represent mean ± standard deviation of triplicate determinations and bars with different alphabets indicate significant difference at p ≤ 0.05. Group 1 = normal control, group 2 =</w:t>
      </w:r>
      <w:r w:rsidRPr="00CB14C3">
        <w:rPr>
          <w:rFonts w:ascii="Arial" w:eastAsiaTheme="minorEastAsia" w:hAnsi="Arial" w:cs="Arial"/>
          <w:sz w:val="20"/>
          <w:szCs w:val="20"/>
          <w:lang w:val="en-GB"/>
        </w:rPr>
        <w:t>10 ml/kg of Alcohol + 50 mg/kg Silymarin (Standard control)</w:t>
      </w:r>
      <w:r w:rsidRPr="00CB14C3">
        <w:rPr>
          <w:rFonts w:ascii="Arial" w:hAnsi="Arial" w:cs="Arial"/>
          <w:sz w:val="20"/>
          <w:szCs w:val="20"/>
          <w:lang w:val="en-GB"/>
        </w:rPr>
        <w:t xml:space="preserve">, group3= </w:t>
      </w:r>
      <w:r w:rsidRPr="00CB14C3">
        <w:rPr>
          <w:rFonts w:ascii="Arial" w:eastAsiaTheme="minorEastAsia" w:hAnsi="Arial" w:cs="Arial"/>
          <w:sz w:val="20"/>
          <w:szCs w:val="20"/>
          <w:lang w:val="en-GB"/>
        </w:rPr>
        <w:t xml:space="preserve">10 ml/kg Alcohol only (No treatment), </w:t>
      </w:r>
      <w:r w:rsidRPr="00CB14C3">
        <w:rPr>
          <w:rFonts w:ascii="Arial" w:hAnsi="Arial" w:cs="Arial"/>
          <w:sz w:val="20"/>
          <w:szCs w:val="20"/>
          <w:lang w:val="en-GB"/>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CB14C3" w:rsidRDefault="00EA0F8B"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247E85" w:rsidRPr="00CB14C3" w:rsidRDefault="00247E85"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824BD6" w:rsidRPr="00CB14C3" w:rsidRDefault="00824BD6"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C57C22" w:rsidRPr="00CB14C3" w:rsidRDefault="00247E85" w:rsidP="006C3AAB">
      <w:pPr>
        <w:jc w:val="both"/>
        <w:rPr>
          <w:rFonts w:ascii="Arial" w:hAnsi="Arial" w:cs="Arial"/>
          <w:lang w:val="en-GB"/>
        </w:rPr>
      </w:pPr>
      <w:r w:rsidRPr="00CB14C3">
        <w:rPr>
          <w:rFonts w:ascii="Arial" w:hAnsi="Arial" w:cs="Arial"/>
          <w:noProof/>
          <w:lang w:val="en-GB"/>
        </w:rPr>
        <w:drawing>
          <wp:anchor distT="0" distB="0" distL="114300" distR="114300" simplePos="0" relativeHeight="251722240" behindDoc="0" locked="0" layoutInCell="1" allowOverlap="1" wp14:anchorId="71D8166E">
            <wp:simplePos x="0" y="0"/>
            <wp:positionH relativeFrom="margin">
              <wp:align>center</wp:align>
            </wp:positionH>
            <wp:positionV relativeFrom="paragraph">
              <wp:posOffset>96577</wp:posOffset>
            </wp:positionV>
            <wp:extent cx="3812523" cy="2840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2523" cy="2840400"/>
                    </a:xfrm>
                    <a:prstGeom prst="rect">
                      <a:avLst/>
                    </a:prstGeom>
                    <a:noFill/>
                  </pic:spPr>
                </pic:pic>
              </a:graphicData>
            </a:graphic>
          </wp:anchor>
        </w:drawing>
      </w: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824BD6" w:rsidRPr="00CB14C3" w:rsidRDefault="00824BD6" w:rsidP="006C3AAB">
      <w:pPr>
        <w:jc w:val="both"/>
        <w:rPr>
          <w:rFonts w:ascii="Arial" w:hAnsi="Arial" w:cs="Arial"/>
          <w:lang w:val="en-GB"/>
        </w:rPr>
      </w:pPr>
    </w:p>
    <w:p w:rsidR="00EA0F8B" w:rsidRPr="00CB14C3" w:rsidRDefault="00EA0F8B" w:rsidP="006C3AAB">
      <w:pPr>
        <w:jc w:val="both"/>
        <w:rPr>
          <w:rFonts w:ascii="Arial" w:hAnsi="Arial" w:cs="Arial"/>
          <w:lang w:val="en-GB"/>
        </w:rPr>
      </w:pPr>
    </w:p>
    <w:p w:rsidR="00C57C22" w:rsidRPr="00CB14C3" w:rsidRDefault="00237F19" w:rsidP="00C57C22">
      <w:pPr>
        <w:jc w:val="both"/>
        <w:rPr>
          <w:rFonts w:ascii="Arial" w:hAnsi="Arial" w:cs="Arial"/>
          <w:sz w:val="20"/>
          <w:szCs w:val="20"/>
          <w:lang w:val="en-GB"/>
        </w:rPr>
      </w:pPr>
      <w:r w:rsidRPr="00CB14C3">
        <w:rPr>
          <w:rFonts w:ascii="Arial" w:hAnsi="Arial" w:cs="Arial"/>
          <w:b/>
          <w:sz w:val="20"/>
          <w:szCs w:val="20"/>
          <w:lang w:val="en-GB"/>
        </w:rPr>
        <w:t>Figure 8</w:t>
      </w:r>
      <w:r w:rsidR="001B498C" w:rsidRPr="00CB14C3">
        <w:rPr>
          <w:rFonts w:ascii="Arial" w:hAnsi="Arial" w:cs="Arial"/>
          <w:sz w:val="20"/>
          <w:szCs w:val="20"/>
          <w:lang w:val="en-GB"/>
        </w:rPr>
        <w:t xml:space="preserve">: </w:t>
      </w:r>
      <w:r w:rsidR="00824BD6" w:rsidRPr="00CB14C3">
        <w:rPr>
          <w:rFonts w:ascii="Arial" w:hAnsi="Arial" w:cs="Arial"/>
          <w:sz w:val="20"/>
          <w:szCs w:val="20"/>
          <w:lang w:val="en-GB"/>
        </w:rPr>
        <w:t>P</w:t>
      </w:r>
      <w:r w:rsidR="00C57C22" w:rsidRPr="00CB14C3">
        <w:rPr>
          <w:rFonts w:ascii="Arial" w:hAnsi="Arial" w:cs="Arial"/>
          <w:sz w:val="20"/>
          <w:szCs w:val="20"/>
          <w:lang w:val="en-GB"/>
        </w:rPr>
        <w:t xml:space="preserve">rotective effect of </w:t>
      </w:r>
      <w:r w:rsidR="00C57C22"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00824BD6" w:rsidRPr="00CB14C3">
        <w:rPr>
          <w:rFonts w:ascii="Arial" w:hAnsi="Arial" w:cs="Arial"/>
          <w:sz w:val="20"/>
          <w:szCs w:val="20"/>
          <w:lang w:val="en-GB"/>
        </w:rPr>
        <w:t xml:space="preserve"> extract on Protein serum in alcohol-induced r</w:t>
      </w:r>
      <w:r w:rsidR="00C57C22" w:rsidRPr="00CB14C3">
        <w:rPr>
          <w:rFonts w:ascii="Arial" w:hAnsi="Arial" w:cs="Arial"/>
          <w:sz w:val="20"/>
          <w:szCs w:val="20"/>
          <w:lang w:val="en-GB"/>
        </w:rPr>
        <w:t>ats</w:t>
      </w:r>
    </w:p>
    <w:p w:rsidR="00572048" w:rsidRPr="00CB14C3" w:rsidRDefault="00572048" w:rsidP="00572048">
      <w:pPr>
        <w:jc w:val="center"/>
        <w:rPr>
          <w:rFonts w:ascii="Arial" w:hAnsi="Arial" w:cs="Arial"/>
          <w:sz w:val="20"/>
          <w:szCs w:val="20"/>
          <w:lang w:val="en-GB"/>
        </w:rPr>
      </w:pPr>
      <w:r w:rsidRPr="00CB14C3">
        <w:rPr>
          <w:rFonts w:ascii="Arial" w:hAnsi="Arial" w:cs="Arial"/>
          <w:sz w:val="20"/>
          <w:szCs w:val="20"/>
          <w:lang w:val="en-GB"/>
        </w:rPr>
        <w:t>Bars represent mean ± standard deviation of triplicate determinations and bars with different alphabets indicate significant difference at p ≤ 0.05. Group 1 = normal control, group 2 =</w:t>
      </w:r>
      <w:r w:rsidRPr="00CB14C3">
        <w:rPr>
          <w:rFonts w:ascii="Arial" w:eastAsiaTheme="minorEastAsia" w:hAnsi="Arial" w:cs="Arial"/>
          <w:sz w:val="20"/>
          <w:szCs w:val="20"/>
          <w:lang w:val="en-GB"/>
        </w:rPr>
        <w:t>10 ml/kg of Alcohol + 50 mg/kg Silymarin (Standard control)</w:t>
      </w:r>
      <w:r w:rsidRPr="00CB14C3">
        <w:rPr>
          <w:rFonts w:ascii="Arial" w:hAnsi="Arial" w:cs="Arial"/>
          <w:sz w:val="20"/>
          <w:szCs w:val="20"/>
          <w:lang w:val="en-GB"/>
        </w:rPr>
        <w:t xml:space="preserve">, group3= </w:t>
      </w:r>
      <w:r w:rsidRPr="00CB14C3">
        <w:rPr>
          <w:rFonts w:ascii="Arial" w:eastAsiaTheme="minorEastAsia" w:hAnsi="Arial" w:cs="Arial"/>
          <w:sz w:val="20"/>
          <w:szCs w:val="20"/>
          <w:lang w:val="en-GB"/>
        </w:rPr>
        <w:t xml:space="preserve">10 ml/kg Alcohol only (No treatment), </w:t>
      </w:r>
      <w:r w:rsidRPr="00CB14C3">
        <w:rPr>
          <w:rFonts w:ascii="Arial" w:hAnsi="Arial" w:cs="Arial"/>
          <w:sz w:val="20"/>
          <w:szCs w:val="20"/>
          <w:lang w:val="en-GB"/>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CB14C3" w:rsidRDefault="00EA0F8B" w:rsidP="006C3AAB">
      <w:pPr>
        <w:jc w:val="both"/>
        <w:rPr>
          <w:rFonts w:ascii="Arial" w:hAnsi="Arial" w:cs="Arial"/>
          <w:lang w:val="en-GB"/>
        </w:rPr>
      </w:pPr>
    </w:p>
    <w:p w:rsidR="00EA0F8B" w:rsidRPr="00CB14C3" w:rsidRDefault="00EA0F8B" w:rsidP="006C3AAB">
      <w:pPr>
        <w:jc w:val="both"/>
        <w:rPr>
          <w:rFonts w:ascii="Arial" w:hAnsi="Arial" w:cs="Arial"/>
          <w:lang w:val="en-GB"/>
        </w:rPr>
      </w:pPr>
    </w:p>
    <w:p w:rsidR="00EA0F8B" w:rsidRPr="00CB14C3" w:rsidRDefault="00EA0F8B" w:rsidP="006C3AAB">
      <w:pPr>
        <w:jc w:val="both"/>
        <w:rPr>
          <w:rFonts w:ascii="Arial" w:hAnsi="Arial" w:cs="Arial"/>
          <w:lang w:val="en-GB"/>
        </w:rPr>
      </w:pPr>
    </w:p>
    <w:p w:rsidR="00EA0F8B" w:rsidRPr="00CB14C3" w:rsidRDefault="00EA0F8B"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19501D" w:rsidRPr="00CB14C3" w:rsidRDefault="0019501D"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247E85" w:rsidP="006C3AAB">
      <w:pPr>
        <w:jc w:val="both"/>
        <w:rPr>
          <w:rFonts w:ascii="Arial" w:hAnsi="Arial" w:cs="Arial"/>
          <w:lang w:val="en-GB"/>
        </w:rPr>
      </w:pPr>
      <w:r w:rsidRPr="00CB14C3">
        <w:rPr>
          <w:rFonts w:ascii="Arial" w:hAnsi="Arial" w:cs="Arial"/>
          <w:noProof/>
          <w:lang w:val="en-GB"/>
        </w:rPr>
        <w:drawing>
          <wp:anchor distT="0" distB="0" distL="114300" distR="114300" simplePos="0" relativeHeight="251736576" behindDoc="0" locked="0" layoutInCell="1" allowOverlap="1" wp14:anchorId="04966E6D">
            <wp:simplePos x="0" y="0"/>
            <wp:positionH relativeFrom="margin">
              <wp:align>center</wp:align>
            </wp:positionH>
            <wp:positionV relativeFrom="paragraph">
              <wp:posOffset>7387</wp:posOffset>
            </wp:positionV>
            <wp:extent cx="3841160" cy="2872800"/>
            <wp:effectExtent l="0" t="0" r="6985"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41160" cy="2872800"/>
                    </a:xfrm>
                    <a:prstGeom prst="rect">
                      <a:avLst/>
                    </a:prstGeom>
                    <a:noFill/>
                  </pic:spPr>
                </pic:pic>
              </a:graphicData>
            </a:graphic>
          </wp:anchor>
        </w:drawing>
      </w: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EA0F8B" w:rsidRPr="00CB14C3" w:rsidRDefault="00EA0F8B" w:rsidP="006C3AAB">
      <w:pPr>
        <w:jc w:val="both"/>
        <w:rPr>
          <w:rFonts w:ascii="Arial" w:hAnsi="Arial" w:cs="Arial"/>
          <w:lang w:val="en-GB"/>
        </w:rPr>
      </w:pPr>
    </w:p>
    <w:p w:rsidR="00572048" w:rsidRPr="00CB14C3" w:rsidRDefault="004A40F3" w:rsidP="00572048">
      <w:pPr>
        <w:jc w:val="center"/>
        <w:rPr>
          <w:rFonts w:ascii="Arial" w:hAnsi="Arial" w:cs="Arial"/>
          <w:sz w:val="20"/>
          <w:szCs w:val="20"/>
          <w:lang w:val="en-GB"/>
        </w:rPr>
      </w:pPr>
      <w:r w:rsidRPr="00CB14C3">
        <w:rPr>
          <w:rFonts w:ascii="Arial" w:hAnsi="Arial" w:cs="Arial"/>
          <w:b/>
          <w:sz w:val="20"/>
          <w:szCs w:val="20"/>
          <w:lang w:val="en-GB"/>
        </w:rPr>
        <w:t>Figure 9</w:t>
      </w:r>
      <w:r w:rsidR="006061E5" w:rsidRPr="00CB14C3">
        <w:rPr>
          <w:rFonts w:ascii="Arial" w:hAnsi="Arial" w:cs="Arial"/>
          <w:b/>
          <w:sz w:val="20"/>
          <w:szCs w:val="20"/>
          <w:lang w:val="en-GB"/>
        </w:rPr>
        <w:t>:</w:t>
      </w:r>
      <w:r w:rsidR="006061E5" w:rsidRPr="00CB14C3">
        <w:rPr>
          <w:rFonts w:ascii="Arial" w:hAnsi="Arial" w:cs="Arial"/>
          <w:sz w:val="20"/>
          <w:szCs w:val="20"/>
          <w:lang w:val="en-GB"/>
        </w:rPr>
        <w:t xml:space="preserve"> </w:t>
      </w:r>
      <w:r w:rsidR="00C57C22" w:rsidRPr="00CB14C3">
        <w:rPr>
          <w:rFonts w:ascii="Arial" w:hAnsi="Arial" w:cs="Arial"/>
          <w:sz w:val="20"/>
          <w:szCs w:val="20"/>
          <w:lang w:val="en-GB"/>
        </w:rPr>
        <w:t xml:space="preserve">Protective effect of </w:t>
      </w:r>
      <w:r w:rsidR="00C57C22"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00044A38" w:rsidRPr="00CB14C3">
        <w:rPr>
          <w:rFonts w:ascii="Arial" w:hAnsi="Arial" w:cs="Arial"/>
          <w:sz w:val="20"/>
          <w:szCs w:val="20"/>
          <w:lang w:val="en-GB"/>
        </w:rPr>
        <w:t xml:space="preserve"> extract on albumin serum in alcohol-induced r</w:t>
      </w:r>
      <w:r w:rsidR="00C57C22" w:rsidRPr="00CB14C3">
        <w:rPr>
          <w:rFonts w:ascii="Arial" w:hAnsi="Arial" w:cs="Arial"/>
          <w:sz w:val="20"/>
          <w:szCs w:val="20"/>
          <w:lang w:val="en-GB"/>
        </w:rPr>
        <w:t xml:space="preserve">ats. </w:t>
      </w:r>
    </w:p>
    <w:p w:rsidR="00572048" w:rsidRPr="00CB14C3" w:rsidRDefault="00572048" w:rsidP="00572048">
      <w:pPr>
        <w:jc w:val="center"/>
        <w:rPr>
          <w:rFonts w:ascii="Arial" w:hAnsi="Arial" w:cs="Arial"/>
          <w:sz w:val="20"/>
          <w:szCs w:val="20"/>
          <w:lang w:val="en-GB"/>
        </w:rPr>
      </w:pPr>
      <w:r w:rsidRPr="00CB14C3">
        <w:rPr>
          <w:rFonts w:ascii="Arial" w:hAnsi="Arial" w:cs="Arial"/>
          <w:sz w:val="20"/>
          <w:szCs w:val="20"/>
          <w:lang w:val="en-GB"/>
        </w:rPr>
        <w:t>Bars represent mean ± standard deviation of triplicate determinations and bars with different alphabets indicate significant difference at p ≤ 0.05. Group 1 = normal control, group 2 =</w:t>
      </w:r>
      <w:r w:rsidRPr="00CB14C3">
        <w:rPr>
          <w:rFonts w:ascii="Arial" w:eastAsiaTheme="minorEastAsia" w:hAnsi="Arial" w:cs="Arial"/>
          <w:sz w:val="20"/>
          <w:szCs w:val="20"/>
          <w:lang w:val="en-GB"/>
        </w:rPr>
        <w:t>10 ml/kg of Alcohol + 50 mg/kg Silymarin (Standard control)</w:t>
      </w:r>
      <w:r w:rsidRPr="00CB14C3">
        <w:rPr>
          <w:rFonts w:ascii="Arial" w:hAnsi="Arial" w:cs="Arial"/>
          <w:sz w:val="20"/>
          <w:szCs w:val="20"/>
          <w:lang w:val="en-GB"/>
        </w:rPr>
        <w:t xml:space="preserve">, group3= </w:t>
      </w:r>
      <w:r w:rsidRPr="00CB14C3">
        <w:rPr>
          <w:rFonts w:ascii="Arial" w:eastAsiaTheme="minorEastAsia" w:hAnsi="Arial" w:cs="Arial"/>
          <w:sz w:val="20"/>
          <w:szCs w:val="20"/>
          <w:lang w:val="en-GB"/>
        </w:rPr>
        <w:t xml:space="preserve">10 ml/kg Alcohol only (No treatment), </w:t>
      </w:r>
      <w:r w:rsidRPr="00CB14C3">
        <w:rPr>
          <w:rFonts w:ascii="Arial" w:hAnsi="Arial" w:cs="Arial"/>
          <w:sz w:val="20"/>
          <w:szCs w:val="20"/>
          <w:lang w:val="en-GB"/>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CB14C3" w:rsidRDefault="00EA0F8B" w:rsidP="00C57C22">
      <w:pPr>
        <w:jc w:val="both"/>
        <w:rPr>
          <w:rFonts w:ascii="Arial" w:hAnsi="Arial" w:cs="Arial"/>
          <w:lang w:val="en-GB"/>
        </w:rPr>
      </w:pPr>
    </w:p>
    <w:p w:rsidR="00EA0F8B" w:rsidRPr="00CB14C3" w:rsidRDefault="00EA0F8B"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247E85" w:rsidP="006C3AAB">
      <w:pPr>
        <w:jc w:val="both"/>
        <w:rPr>
          <w:rFonts w:ascii="Arial" w:hAnsi="Arial" w:cs="Arial"/>
          <w:lang w:val="en-GB"/>
        </w:rPr>
      </w:pPr>
      <w:r w:rsidRPr="00CB14C3">
        <w:rPr>
          <w:rFonts w:ascii="Arial" w:hAnsi="Arial" w:cs="Arial"/>
          <w:noProof/>
          <w:lang w:val="en-GB"/>
        </w:rPr>
        <w:drawing>
          <wp:anchor distT="0" distB="0" distL="114300" distR="114300" simplePos="0" relativeHeight="251750912" behindDoc="0" locked="0" layoutInCell="1" allowOverlap="1" wp14:anchorId="2262D339">
            <wp:simplePos x="0" y="0"/>
            <wp:positionH relativeFrom="margin">
              <wp:align>center</wp:align>
            </wp:positionH>
            <wp:positionV relativeFrom="paragraph">
              <wp:posOffset>117167</wp:posOffset>
            </wp:positionV>
            <wp:extent cx="4019372" cy="2872800"/>
            <wp:effectExtent l="0" t="0" r="63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19372" cy="2872800"/>
                    </a:xfrm>
                    <a:prstGeom prst="rect">
                      <a:avLst/>
                    </a:prstGeom>
                    <a:noFill/>
                  </pic:spPr>
                </pic:pic>
              </a:graphicData>
            </a:graphic>
          </wp:anchor>
        </w:drawing>
      </w: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C57C22" w:rsidRPr="00CB14C3" w:rsidRDefault="00C57C22" w:rsidP="006C3AAB">
      <w:pPr>
        <w:jc w:val="both"/>
        <w:rPr>
          <w:rFonts w:ascii="Arial" w:hAnsi="Arial" w:cs="Arial"/>
          <w:lang w:val="en-GB"/>
        </w:rPr>
      </w:pPr>
    </w:p>
    <w:p w:rsidR="00810B99" w:rsidRPr="00CB14C3" w:rsidRDefault="00810B99" w:rsidP="006C3AAB">
      <w:pPr>
        <w:jc w:val="both"/>
        <w:rPr>
          <w:rFonts w:ascii="Arial" w:hAnsi="Arial" w:cs="Arial"/>
          <w:lang w:val="en-GB"/>
        </w:rPr>
      </w:pPr>
    </w:p>
    <w:p w:rsidR="00EA0F8B" w:rsidRPr="00CB14C3" w:rsidRDefault="00EA0F8B" w:rsidP="006C3AAB">
      <w:pPr>
        <w:jc w:val="both"/>
        <w:rPr>
          <w:rFonts w:ascii="Arial" w:hAnsi="Arial" w:cs="Arial"/>
          <w:lang w:val="en-GB"/>
        </w:rPr>
      </w:pPr>
    </w:p>
    <w:p w:rsidR="000068FC" w:rsidRPr="00CB14C3" w:rsidRDefault="004A40F3" w:rsidP="000068FC">
      <w:pPr>
        <w:jc w:val="both"/>
        <w:rPr>
          <w:rFonts w:ascii="Arial" w:hAnsi="Arial" w:cs="Arial"/>
          <w:sz w:val="20"/>
          <w:szCs w:val="20"/>
          <w:lang w:val="en-GB"/>
        </w:rPr>
      </w:pPr>
      <w:r w:rsidRPr="00CB14C3">
        <w:rPr>
          <w:rFonts w:ascii="Arial" w:hAnsi="Arial" w:cs="Arial"/>
          <w:b/>
          <w:sz w:val="20"/>
          <w:szCs w:val="20"/>
          <w:lang w:val="en-GB"/>
        </w:rPr>
        <w:t>Figure 10</w:t>
      </w:r>
      <w:r w:rsidR="00B10165" w:rsidRPr="00CB14C3">
        <w:rPr>
          <w:rFonts w:ascii="Arial" w:hAnsi="Arial" w:cs="Arial"/>
          <w:sz w:val="20"/>
          <w:szCs w:val="20"/>
          <w:lang w:val="en-GB"/>
        </w:rPr>
        <w:t xml:space="preserve">: </w:t>
      </w:r>
      <w:r w:rsidR="000068FC" w:rsidRPr="00CB14C3">
        <w:rPr>
          <w:rFonts w:ascii="Arial" w:hAnsi="Arial" w:cs="Arial"/>
          <w:sz w:val="20"/>
          <w:szCs w:val="20"/>
          <w:lang w:val="en-GB"/>
        </w:rPr>
        <w:t xml:space="preserve">Protective effect of </w:t>
      </w:r>
      <w:r w:rsidR="000068FC"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00810B99" w:rsidRPr="00CB14C3">
        <w:rPr>
          <w:rFonts w:ascii="Arial" w:hAnsi="Arial" w:cs="Arial"/>
          <w:sz w:val="20"/>
          <w:szCs w:val="20"/>
          <w:lang w:val="en-GB"/>
        </w:rPr>
        <w:t xml:space="preserve"> extract on bilirubin in alcohol-induced r</w:t>
      </w:r>
      <w:r w:rsidR="000068FC" w:rsidRPr="00CB14C3">
        <w:rPr>
          <w:rFonts w:ascii="Arial" w:hAnsi="Arial" w:cs="Arial"/>
          <w:sz w:val="20"/>
          <w:szCs w:val="20"/>
          <w:lang w:val="en-GB"/>
        </w:rPr>
        <w:t xml:space="preserve">ats. </w:t>
      </w:r>
    </w:p>
    <w:p w:rsidR="00572048" w:rsidRPr="00CB14C3" w:rsidRDefault="00572048" w:rsidP="00572048">
      <w:pPr>
        <w:jc w:val="center"/>
        <w:rPr>
          <w:rFonts w:ascii="Arial" w:hAnsi="Arial" w:cs="Arial"/>
          <w:sz w:val="20"/>
          <w:szCs w:val="20"/>
          <w:lang w:val="en-GB"/>
        </w:rPr>
      </w:pPr>
      <w:r w:rsidRPr="00CB14C3">
        <w:rPr>
          <w:rFonts w:ascii="Arial" w:hAnsi="Arial" w:cs="Arial"/>
          <w:sz w:val="20"/>
          <w:szCs w:val="20"/>
          <w:lang w:val="en-GB"/>
        </w:rPr>
        <w:t>Bars represent mean ± standard deviation of triplicate determinations and bars with different alphabets indicate significant difference at p ≤ 0.05. Group 1 = normal control, group 2 =</w:t>
      </w:r>
      <w:r w:rsidRPr="00CB14C3">
        <w:rPr>
          <w:rFonts w:ascii="Arial" w:eastAsiaTheme="minorEastAsia" w:hAnsi="Arial" w:cs="Arial"/>
          <w:sz w:val="20"/>
          <w:szCs w:val="20"/>
          <w:lang w:val="en-GB"/>
        </w:rPr>
        <w:t>10 ml/kg of Alcohol + 50 mg/kg Silymarin (Standard control)</w:t>
      </w:r>
      <w:r w:rsidRPr="00CB14C3">
        <w:rPr>
          <w:rFonts w:ascii="Arial" w:hAnsi="Arial" w:cs="Arial"/>
          <w:sz w:val="20"/>
          <w:szCs w:val="20"/>
          <w:lang w:val="en-GB"/>
        </w:rPr>
        <w:t xml:space="preserve">, group3= </w:t>
      </w:r>
      <w:r w:rsidRPr="00CB14C3">
        <w:rPr>
          <w:rFonts w:ascii="Arial" w:eastAsiaTheme="minorEastAsia" w:hAnsi="Arial" w:cs="Arial"/>
          <w:sz w:val="20"/>
          <w:szCs w:val="20"/>
          <w:lang w:val="en-GB"/>
        </w:rPr>
        <w:t xml:space="preserve">10 ml/kg Alcohol only (No treatment), </w:t>
      </w:r>
      <w:r w:rsidRPr="00CB14C3">
        <w:rPr>
          <w:rFonts w:ascii="Arial" w:hAnsi="Arial" w:cs="Arial"/>
          <w:sz w:val="20"/>
          <w:szCs w:val="20"/>
          <w:lang w:val="en-GB"/>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CB14C3" w:rsidRDefault="00EA0F8B" w:rsidP="006C3AAB">
      <w:pPr>
        <w:jc w:val="both"/>
        <w:rPr>
          <w:rFonts w:ascii="Arial" w:hAnsi="Arial" w:cs="Arial"/>
          <w:lang w:val="en-GB"/>
        </w:rPr>
      </w:pPr>
    </w:p>
    <w:p w:rsidR="00EA0F8B" w:rsidRPr="00CB14C3" w:rsidRDefault="00EA0F8B" w:rsidP="006C3AAB">
      <w:pPr>
        <w:jc w:val="both"/>
        <w:rPr>
          <w:rFonts w:ascii="Arial" w:hAnsi="Arial" w:cs="Arial"/>
          <w:lang w:val="en-GB"/>
        </w:rPr>
      </w:pPr>
    </w:p>
    <w:p w:rsidR="00EA0F8B" w:rsidRPr="00CB14C3" w:rsidRDefault="00EA0F8B" w:rsidP="006C3AAB">
      <w:pPr>
        <w:jc w:val="both"/>
        <w:rPr>
          <w:rFonts w:ascii="Arial" w:hAnsi="Arial" w:cs="Arial"/>
          <w:lang w:val="en-GB"/>
        </w:rPr>
      </w:pPr>
    </w:p>
    <w:p w:rsidR="00EA0F8B" w:rsidRPr="00CB14C3" w:rsidRDefault="00EA0F8B" w:rsidP="006C3AAB">
      <w:pPr>
        <w:jc w:val="both"/>
        <w:rPr>
          <w:rFonts w:ascii="Arial" w:hAnsi="Arial" w:cs="Arial"/>
          <w:lang w:val="en-GB"/>
        </w:rPr>
      </w:pPr>
    </w:p>
    <w:p w:rsidR="00FA514B" w:rsidRPr="00CB14C3" w:rsidRDefault="00FA514B"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0068FC" w:rsidRPr="00CB14C3" w:rsidRDefault="00247E85" w:rsidP="006C3AAB">
      <w:pPr>
        <w:jc w:val="both"/>
        <w:rPr>
          <w:rFonts w:ascii="Arial" w:hAnsi="Arial" w:cs="Arial"/>
          <w:lang w:val="en-GB"/>
        </w:rPr>
      </w:pPr>
      <w:r w:rsidRPr="00CB14C3">
        <w:rPr>
          <w:rFonts w:ascii="Arial" w:hAnsi="Arial" w:cs="Arial"/>
          <w:noProof/>
          <w:lang w:val="en-GB"/>
        </w:rPr>
        <w:drawing>
          <wp:anchor distT="0" distB="0" distL="114300" distR="114300" simplePos="0" relativeHeight="251765248" behindDoc="0" locked="0" layoutInCell="1" allowOverlap="1" wp14:anchorId="393B637E">
            <wp:simplePos x="0" y="0"/>
            <wp:positionH relativeFrom="margin">
              <wp:align>center</wp:align>
            </wp:positionH>
            <wp:positionV relativeFrom="paragraph">
              <wp:posOffset>26525</wp:posOffset>
            </wp:positionV>
            <wp:extent cx="3743666" cy="2872800"/>
            <wp:effectExtent l="0" t="0" r="952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43666" cy="2872800"/>
                    </a:xfrm>
                    <a:prstGeom prst="rect">
                      <a:avLst/>
                    </a:prstGeom>
                    <a:noFill/>
                  </pic:spPr>
                </pic:pic>
              </a:graphicData>
            </a:graphic>
          </wp:anchor>
        </w:drawing>
      </w: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EA0F8B" w:rsidRPr="00CB14C3" w:rsidRDefault="00EA0F8B" w:rsidP="006C3AAB">
      <w:pPr>
        <w:jc w:val="both"/>
        <w:rPr>
          <w:rFonts w:ascii="Arial" w:hAnsi="Arial" w:cs="Arial"/>
          <w:lang w:val="en-GB"/>
        </w:rPr>
      </w:pPr>
    </w:p>
    <w:p w:rsidR="000068FC" w:rsidRPr="00CB14C3" w:rsidRDefault="004A40F3" w:rsidP="000068FC">
      <w:pPr>
        <w:jc w:val="both"/>
        <w:rPr>
          <w:rFonts w:ascii="Arial" w:hAnsi="Arial" w:cs="Arial"/>
          <w:sz w:val="20"/>
          <w:szCs w:val="20"/>
          <w:lang w:val="en-GB"/>
        </w:rPr>
      </w:pPr>
      <w:r w:rsidRPr="00CB14C3">
        <w:rPr>
          <w:rFonts w:ascii="Arial" w:hAnsi="Arial" w:cs="Arial"/>
          <w:b/>
          <w:sz w:val="20"/>
          <w:szCs w:val="20"/>
          <w:lang w:val="en-GB"/>
        </w:rPr>
        <w:t>Figure 11</w:t>
      </w:r>
      <w:r w:rsidR="00A20498" w:rsidRPr="00CB14C3">
        <w:rPr>
          <w:rFonts w:ascii="Arial" w:hAnsi="Arial" w:cs="Arial"/>
          <w:b/>
          <w:sz w:val="20"/>
          <w:szCs w:val="20"/>
          <w:lang w:val="en-GB"/>
        </w:rPr>
        <w:t>:</w:t>
      </w:r>
      <w:r w:rsidR="00A20498" w:rsidRPr="00CB14C3">
        <w:rPr>
          <w:rFonts w:ascii="Arial" w:hAnsi="Arial" w:cs="Arial"/>
          <w:sz w:val="20"/>
          <w:szCs w:val="20"/>
          <w:lang w:val="en-GB"/>
        </w:rPr>
        <w:t xml:space="preserve"> </w:t>
      </w:r>
      <w:r w:rsidR="000068FC" w:rsidRPr="00CB14C3">
        <w:rPr>
          <w:rFonts w:ascii="Arial" w:hAnsi="Arial" w:cs="Arial"/>
          <w:sz w:val="20"/>
          <w:szCs w:val="20"/>
          <w:lang w:val="en-GB"/>
        </w:rPr>
        <w:t xml:space="preserve">Effect of </w:t>
      </w:r>
      <w:r w:rsidR="000068FC"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00912D41" w:rsidRPr="00CB14C3">
        <w:rPr>
          <w:rFonts w:ascii="Arial" w:hAnsi="Arial" w:cs="Arial"/>
          <w:sz w:val="20"/>
          <w:szCs w:val="20"/>
          <w:lang w:val="en-GB"/>
        </w:rPr>
        <w:t xml:space="preserve"> extract on antioxidant markers in alcohol-induced </w:t>
      </w:r>
      <w:proofErr w:type="spellStart"/>
      <w:r w:rsidR="00912D41" w:rsidRPr="00CB14C3">
        <w:rPr>
          <w:rFonts w:ascii="Arial" w:hAnsi="Arial" w:cs="Arial"/>
          <w:sz w:val="20"/>
          <w:szCs w:val="20"/>
          <w:lang w:val="en-GB"/>
        </w:rPr>
        <w:t>w</w:t>
      </w:r>
      <w:r w:rsidR="000068FC" w:rsidRPr="00CB14C3">
        <w:rPr>
          <w:rFonts w:ascii="Arial" w:hAnsi="Arial" w:cs="Arial"/>
          <w:sz w:val="20"/>
          <w:szCs w:val="20"/>
          <w:lang w:val="en-GB"/>
        </w:rPr>
        <w:t>istar</w:t>
      </w:r>
      <w:proofErr w:type="spellEnd"/>
      <w:r w:rsidR="000068FC" w:rsidRPr="00CB14C3">
        <w:rPr>
          <w:rFonts w:ascii="Arial" w:hAnsi="Arial" w:cs="Arial"/>
          <w:sz w:val="20"/>
          <w:szCs w:val="20"/>
          <w:lang w:val="en-GB"/>
        </w:rPr>
        <w:t xml:space="preserve"> rat. This bar graph presents the effect of various treatments on Superoxide Dismutase (SOD) (U/L) experimental groups 1-7.</w:t>
      </w:r>
    </w:p>
    <w:p w:rsidR="000068FC" w:rsidRPr="00CB14C3" w:rsidRDefault="000068FC" w:rsidP="000068FC">
      <w:pPr>
        <w:jc w:val="both"/>
        <w:rPr>
          <w:rFonts w:ascii="Arial" w:hAnsi="Arial" w:cs="Arial"/>
          <w:sz w:val="20"/>
          <w:szCs w:val="20"/>
          <w:lang w:val="en-GB"/>
        </w:rPr>
      </w:pPr>
    </w:p>
    <w:p w:rsidR="00572048" w:rsidRPr="00CB14C3" w:rsidRDefault="00572048" w:rsidP="00572048">
      <w:pPr>
        <w:jc w:val="center"/>
        <w:rPr>
          <w:rFonts w:ascii="Arial" w:hAnsi="Arial" w:cs="Arial"/>
          <w:sz w:val="20"/>
          <w:szCs w:val="20"/>
          <w:lang w:val="en-GB"/>
        </w:rPr>
      </w:pPr>
      <w:r w:rsidRPr="00CB14C3">
        <w:rPr>
          <w:rFonts w:ascii="Arial" w:hAnsi="Arial" w:cs="Arial"/>
          <w:sz w:val="20"/>
          <w:szCs w:val="20"/>
          <w:lang w:val="en-GB"/>
        </w:rPr>
        <w:t>Bars represent mean ± standard deviation of triplicate determinations and bars with different alphabets indicate significant difference at p ≤ 0.05. Group 1 = normal control, group 2 =</w:t>
      </w:r>
      <w:r w:rsidRPr="00CB14C3">
        <w:rPr>
          <w:rFonts w:ascii="Arial" w:eastAsiaTheme="minorEastAsia" w:hAnsi="Arial" w:cs="Arial"/>
          <w:sz w:val="20"/>
          <w:szCs w:val="20"/>
          <w:lang w:val="en-GB"/>
        </w:rPr>
        <w:t>10 ml/kg of Alcohol + 50 mg/kg Silymarin (Standard control)</w:t>
      </w:r>
      <w:r w:rsidRPr="00CB14C3">
        <w:rPr>
          <w:rFonts w:ascii="Arial" w:hAnsi="Arial" w:cs="Arial"/>
          <w:sz w:val="20"/>
          <w:szCs w:val="20"/>
          <w:lang w:val="en-GB"/>
        </w:rPr>
        <w:t xml:space="preserve">, group3= </w:t>
      </w:r>
      <w:r w:rsidRPr="00CB14C3">
        <w:rPr>
          <w:rFonts w:ascii="Arial" w:eastAsiaTheme="minorEastAsia" w:hAnsi="Arial" w:cs="Arial"/>
          <w:sz w:val="20"/>
          <w:szCs w:val="20"/>
          <w:lang w:val="en-GB"/>
        </w:rPr>
        <w:t xml:space="preserve">10 ml/kg Alcohol only (No treatment), </w:t>
      </w:r>
      <w:r w:rsidRPr="00CB14C3">
        <w:rPr>
          <w:rFonts w:ascii="Arial" w:hAnsi="Arial" w:cs="Arial"/>
          <w:sz w:val="20"/>
          <w:szCs w:val="20"/>
          <w:lang w:val="en-GB"/>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FA514B" w:rsidRPr="00CB14C3" w:rsidRDefault="00FA514B"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5F2162" w:rsidRPr="00CB14C3" w:rsidRDefault="005F2162" w:rsidP="006C3AAB">
      <w:pPr>
        <w:jc w:val="both"/>
        <w:rPr>
          <w:rFonts w:ascii="Arial" w:hAnsi="Arial" w:cs="Arial"/>
          <w:lang w:val="en-GB"/>
        </w:rPr>
      </w:pPr>
    </w:p>
    <w:p w:rsidR="00055EF3" w:rsidRPr="00CB14C3" w:rsidRDefault="00055EF3" w:rsidP="006C3AAB">
      <w:pPr>
        <w:jc w:val="both"/>
        <w:rPr>
          <w:rFonts w:ascii="Arial" w:hAnsi="Arial" w:cs="Arial"/>
          <w:lang w:val="en-GB"/>
        </w:rPr>
      </w:pPr>
    </w:p>
    <w:p w:rsidR="00055EF3" w:rsidRPr="00CB14C3" w:rsidRDefault="00055EF3" w:rsidP="006C3AAB">
      <w:pPr>
        <w:jc w:val="both"/>
        <w:rPr>
          <w:rFonts w:ascii="Arial" w:hAnsi="Arial" w:cs="Arial"/>
          <w:lang w:val="en-GB"/>
        </w:rPr>
      </w:pPr>
    </w:p>
    <w:p w:rsidR="00055EF3" w:rsidRPr="00CB14C3" w:rsidRDefault="00055EF3"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0068FC" w:rsidRPr="00CB14C3" w:rsidRDefault="00247E85" w:rsidP="006C3AAB">
      <w:pPr>
        <w:jc w:val="both"/>
        <w:rPr>
          <w:rFonts w:ascii="Arial" w:hAnsi="Arial" w:cs="Arial"/>
          <w:lang w:val="en-GB"/>
        </w:rPr>
      </w:pPr>
      <w:r w:rsidRPr="00CB14C3">
        <w:rPr>
          <w:rFonts w:ascii="Arial" w:hAnsi="Arial" w:cs="Arial"/>
          <w:noProof/>
          <w:lang w:val="en-GB"/>
        </w:rPr>
        <w:drawing>
          <wp:anchor distT="0" distB="0" distL="114300" distR="114300" simplePos="0" relativeHeight="251779584" behindDoc="0" locked="0" layoutInCell="1" allowOverlap="1" wp14:anchorId="57D570FE">
            <wp:simplePos x="0" y="0"/>
            <wp:positionH relativeFrom="column">
              <wp:posOffset>986828</wp:posOffset>
            </wp:positionH>
            <wp:positionV relativeFrom="paragraph">
              <wp:posOffset>274628</wp:posOffset>
            </wp:positionV>
            <wp:extent cx="3812314" cy="28728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2314" cy="2872800"/>
                    </a:xfrm>
                    <a:prstGeom prst="rect">
                      <a:avLst/>
                    </a:prstGeom>
                    <a:noFill/>
                  </pic:spPr>
                </pic:pic>
              </a:graphicData>
            </a:graphic>
          </wp:anchor>
        </w:drawing>
      </w: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0068FC" w:rsidRPr="00CB14C3" w:rsidRDefault="004F393E" w:rsidP="000068FC">
      <w:pPr>
        <w:jc w:val="both"/>
        <w:rPr>
          <w:rFonts w:ascii="Arial" w:hAnsi="Arial" w:cs="Arial"/>
          <w:sz w:val="20"/>
          <w:szCs w:val="20"/>
          <w:lang w:val="en-GB"/>
        </w:rPr>
      </w:pPr>
      <w:r w:rsidRPr="00CB14C3">
        <w:rPr>
          <w:rFonts w:ascii="Arial" w:hAnsi="Arial" w:cs="Arial"/>
          <w:b/>
          <w:sz w:val="20"/>
          <w:szCs w:val="20"/>
          <w:lang w:val="en-GB"/>
        </w:rPr>
        <w:t xml:space="preserve">Figure </w:t>
      </w:r>
      <w:r w:rsidR="004A40F3" w:rsidRPr="00CB14C3">
        <w:rPr>
          <w:rFonts w:ascii="Arial" w:hAnsi="Arial" w:cs="Arial"/>
          <w:b/>
          <w:sz w:val="20"/>
          <w:szCs w:val="20"/>
          <w:lang w:val="en-GB"/>
        </w:rPr>
        <w:t>12</w:t>
      </w:r>
      <w:r w:rsidRPr="00CB14C3">
        <w:rPr>
          <w:rFonts w:ascii="Arial" w:hAnsi="Arial" w:cs="Arial"/>
          <w:b/>
          <w:sz w:val="20"/>
          <w:szCs w:val="20"/>
          <w:lang w:val="en-GB"/>
        </w:rPr>
        <w:t>:</w:t>
      </w:r>
      <w:r w:rsidRPr="00CB14C3">
        <w:rPr>
          <w:rFonts w:ascii="Arial" w:hAnsi="Arial" w:cs="Arial"/>
          <w:sz w:val="20"/>
          <w:szCs w:val="20"/>
          <w:lang w:val="en-GB"/>
        </w:rPr>
        <w:t xml:space="preserve"> </w:t>
      </w:r>
      <w:r w:rsidR="000068FC" w:rsidRPr="00CB14C3">
        <w:rPr>
          <w:rFonts w:ascii="Arial" w:hAnsi="Arial" w:cs="Arial"/>
          <w:sz w:val="20"/>
          <w:szCs w:val="20"/>
          <w:lang w:val="en-GB"/>
        </w:rPr>
        <w:t xml:space="preserve">Effect of </w:t>
      </w:r>
      <w:r w:rsidR="000068FC"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00F21BE9" w:rsidRPr="00CB14C3">
        <w:rPr>
          <w:rFonts w:ascii="Arial" w:hAnsi="Arial" w:cs="Arial"/>
          <w:sz w:val="20"/>
          <w:szCs w:val="20"/>
          <w:lang w:val="en-GB"/>
        </w:rPr>
        <w:t xml:space="preserve"> e</w:t>
      </w:r>
      <w:r w:rsidR="00055EF3" w:rsidRPr="00CB14C3">
        <w:rPr>
          <w:rFonts w:ascii="Arial" w:hAnsi="Arial" w:cs="Arial"/>
          <w:sz w:val="20"/>
          <w:szCs w:val="20"/>
          <w:lang w:val="en-GB"/>
        </w:rPr>
        <w:t>xtract on antioxidant markers in alcohol-i</w:t>
      </w:r>
      <w:r w:rsidR="00357650" w:rsidRPr="00CB14C3">
        <w:rPr>
          <w:rFonts w:ascii="Arial" w:hAnsi="Arial" w:cs="Arial"/>
          <w:sz w:val="20"/>
          <w:szCs w:val="20"/>
          <w:lang w:val="en-GB"/>
        </w:rPr>
        <w:t xml:space="preserve">nduced </w:t>
      </w:r>
      <w:proofErr w:type="spellStart"/>
      <w:r w:rsidR="00357650" w:rsidRPr="00CB14C3">
        <w:rPr>
          <w:rFonts w:ascii="Arial" w:hAnsi="Arial" w:cs="Arial"/>
          <w:sz w:val="20"/>
          <w:szCs w:val="20"/>
          <w:lang w:val="en-GB"/>
        </w:rPr>
        <w:t>w</w:t>
      </w:r>
      <w:r w:rsidR="000068FC" w:rsidRPr="00CB14C3">
        <w:rPr>
          <w:rFonts w:ascii="Arial" w:hAnsi="Arial" w:cs="Arial"/>
          <w:sz w:val="20"/>
          <w:szCs w:val="20"/>
          <w:lang w:val="en-GB"/>
        </w:rPr>
        <w:t>istar</w:t>
      </w:r>
      <w:proofErr w:type="spellEnd"/>
      <w:r w:rsidR="000068FC" w:rsidRPr="00CB14C3">
        <w:rPr>
          <w:rFonts w:ascii="Arial" w:hAnsi="Arial" w:cs="Arial"/>
          <w:sz w:val="20"/>
          <w:szCs w:val="20"/>
          <w:lang w:val="en-GB"/>
        </w:rPr>
        <w:t xml:space="preserve"> rat. This bar graph presents the effect of various treatments on Reduced glutathione (GSH) (mg/ml) experimental groups 1-7.</w:t>
      </w:r>
    </w:p>
    <w:p w:rsidR="000068FC" w:rsidRPr="00CB14C3" w:rsidRDefault="000068FC" w:rsidP="000068FC">
      <w:pPr>
        <w:jc w:val="both"/>
        <w:rPr>
          <w:rFonts w:ascii="Arial" w:hAnsi="Arial" w:cs="Arial"/>
          <w:sz w:val="20"/>
          <w:szCs w:val="20"/>
          <w:lang w:val="en-GB"/>
        </w:rPr>
      </w:pPr>
    </w:p>
    <w:p w:rsidR="00B12151" w:rsidRPr="00CB14C3" w:rsidRDefault="00247E85" w:rsidP="00247E85">
      <w:pPr>
        <w:jc w:val="center"/>
        <w:rPr>
          <w:rFonts w:ascii="Arial" w:hAnsi="Arial" w:cs="Arial"/>
          <w:sz w:val="20"/>
          <w:szCs w:val="20"/>
          <w:lang w:val="en-GB"/>
        </w:rPr>
      </w:pPr>
      <w:r w:rsidRPr="00CB14C3">
        <w:rPr>
          <w:rFonts w:ascii="Arial" w:hAnsi="Arial" w:cs="Arial"/>
          <w:sz w:val="20"/>
          <w:szCs w:val="20"/>
          <w:lang w:val="en-GB"/>
        </w:rPr>
        <w:t>Bars represent mean ± standard deviation of triplicate determinations and bars with different alphabets indicate significant difference at p ≤ 0.05. Group 1 = normal control, group 2 =10 ml/kg of Alcohol + 50 mg/kg Silymarin (Standard control), group3= 10 ml/kg Alcohol only (No treatment), 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5F2162" w:rsidRPr="00CB14C3" w:rsidRDefault="005F2162" w:rsidP="006C3AAB">
      <w:pPr>
        <w:jc w:val="both"/>
        <w:rPr>
          <w:rFonts w:ascii="Arial" w:hAnsi="Arial" w:cs="Arial"/>
          <w:lang w:val="en-GB"/>
        </w:rPr>
      </w:pPr>
    </w:p>
    <w:p w:rsidR="00572048" w:rsidRPr="00CB14C3" w:rsidRDefault="00247E85" w:rsidP="006C3AAB">
      <w:pPr>
        <w:jc w:val="both"/>
        <w:rPr>
          <w:rFonts w:ascii="Arial" w:hAnsi="Arial" w:cs="Arial"/>
          <w:lang w:val="en-GB"/>
        </w:rPr>
      </w:pPr>
      <w:r w:rsidRPr="00CB14C3">
        <w:rPr>
          <w:rFonts w:ascii="Arial" w:hAnsi="Arial" w:cs="Arial"/>
          <w:noProof/>
          <w:lang w:val="en-GB"/>
        </w:rPr>
        <w:drawing>
          <wp:anchor distT="0" distB="0" distL="114300" distR="114300" simplePos="0" relativeHeight="251793920" behindDoc="0" locked="0" layoutInCell="1" allowOverlap="1" wp14:anchorId="6DE636A6">
            <wp:simplePos x="0" y="0"/>
            <wp:positionH relativeFrom="margin">
              <wp:align>center</wp:align>
            </wp:positionH>
            <wp:positionV relativeFrom="paragraph">
              <wp:posOffset>281777</wp:posOffset>
            </wp:positionV>
            <wp:extent cx="3737093" cy="2872800"/>
            <wp:effectExtent l="0" t="0" r="0" b="38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37093" cy="2872800"/>
                    </a:xfrm>
                    <a:prstGeom prst="rect">
                      <a:avLst/>
                    </a:prstGeom>
                    <a:noFill/>
                  </pic:spPr>
                </pic:pic>
              </a:graphicData>
            </a:graphic>
          </wp:anchor>
        </w:drawing>
      </w: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FA514B" w:rsidRPr="00CB14C3" w:rsidRDefault="00FA514B"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0068FC">
      <w:pPr>
        <w:jc w:val="both"/>
        <w:rPr>
          <w:rFonts w:ascii="Arial" w:hAnsi="Arial" w:cs="Arial"/>
          <w:sz w:val="20"/>
          <w:szCs w:val="20"/>
          <w:lang w:val="en-GB"/>
        </w:rPr>
      </w:pPr>
      <w:r w:rsidRPr="00CB14C3">
        <w:rPr>
          <w:rFonts w:ascii="Arial" w:hAnsi="Arial" w:cs="Arial"/>
          <w:b/>
          <w:sz w:val="20"/>
          <w:szCs w:val="20"/>
          <w:lang w:val="en-GB"/>
        </w:rPr>
        <w:t>Figure 13</w:t>
      </w:r>
      <w:r w:rsidRPr="00CB14C3">
        <w:rPr>
          <w:rFonts w:ascii="Arial" w:hAnsi="Arial" w:cs="Arial"/>
          <w:sz w:val="20"/>
          <w:szCs w:val="20"/>
          <w:lang w:val="en-GB"/>
        </w:rPr>
        <w:t xml:space="preserve">; Effect of </w:t>
      </w:r>
      <w:r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002011E5" w:rsidRPr="00CB14C3">
        <w:rPr>
          <w:rFonts w:ascii="Arial" w:hAnsi="Arial" w:cs="Arial"/>
          <w:sz w:val="20"/>
          <w:szCs w:val="20"/>
          <w:lang w:val="en-GB"/>
        </w:rPr>
        <w:t xml:space="preserve"> extract on antioxidant markers in alcohol-induced </w:t>
      </w:r>
      <w:proofErr w:type="spellStart"/>
      <w:r w:rsidR="002011E5" w:rsidRPr="00CB14C3">
        <w:rPr>
          <w:rFonts w:ascii="Arial" w:hAnsi="Arial" w:cs="Arial"/>
          <w:sz w:val="20"/>
          <w:szCs w:val="20"/>
          <w:lang w:val="en-GB"/>
        </w:rPr>
        <w:t>w</w:t>
      </w:r>
      <w:r w:rsidRPr="00CB14C3">
        <w:rPr>
          <w:rFonts w:ascii="Arial" w:hAnsi="Arial" w:cs="Arial"/>
          <w:sz w:val="20"/>
          <w:szCs w:val="20"/>
          <w:lang w:val="en-GB"/>
        </w:rPr>
        <w:t>istar</w:t>
      </w:r>
      <w:proofErr w:type="spellEnd"/>
      <w:r w:rsidRPr="00CB14C3">
        <w:rPr>
          <w:rFonts w:ascii="Arial" w:hAnsi="Arial" w:cs="Arial"/>
          <w:sz w:val="20"/>
          <w:szCs w:val="20"/>
          <w:lang w:val="en-GB"/>
        </w:rPr>
        <w:t xml:space="preserve"> rat. This bar graph presents the effect of various treatments on Malondialdehyde (MDA) (nmol//ml) experimental groups 1-7.</w:t>
      </w:r>
    </w:p>
    <w:p w:rsidR="000068FC" w:rsidRPr="00CB14C3" w:rsidRDefault="000068FC" w:rsidP="000068FC">
      <w:pPr>
        <w:jc w:val="both"/>
        <w:rPr>
          <w:rFonts w:ascii="Arial" w:hAnsi="Arial" w:cs="Arial"/>
          <w:sz w:val="20"/>
          <w:szCs w:val="20"/>
          <w:lang w:val="en-GB"/>
        </w:rPr>
      </w:pPr>
    </w:p>
    <w:p w:rsidR="00572048" w:rsidRPr="00CB14C3" w:rsidRDefault="00572048" w:rsidP="00572048">
      <w:pPr>
        <w:jc w:val="center"/>
        <w:rPr>
          <w:rFonts w:ascii="Arial" w:hAnsi="Arial" w:cs="Arial"/>
          <w:sz w:val="20"/>
          <w:szCs w:val="20"/>
          <w:lang w:val="en-GB"/>
        </w:rPr>
      </w:pPr>
      <w:r w:rsidRPr="00CB14C3">
        <w:rPr>
          <w:rFonts w:ascii="Arial" w:hAnsi="Arial" w:cs="Arial"/>
          <w:sz w:val="20"/>
          <w:szCs w:val="20"/>
          <w:lang w:val="en-GB"/>
        </w:rPr>
        <w:t>Bars represent mean ± standard deviation of triplicate determinations and bars with different alphabets indicate significant difference at p ≤ 0.05. Group 1 = normal control, group 2 =</w:t>
      </w:r>
      <w:r w:rsidRPr="00CB14C3">
        <w:rPr>
          <w:rFonts w:ascii="Arial" w:eastAsiaTheme="minorEastAsia" w:hAnsi="Arial" w:cs="Arial"/>
          <w:sz w:val="20"/>
          <w:szCs w:val="20"/>
          <w:lang w:val="en-GB"/>
        </w:rPr>
        <w:t>10 ml/kg of Alcohol + 50 mg/kg Silymarin (Standard control)</w:t>
      </w:r>
      <w:r w:rsidRPr="00CB14C3">
        <w:rPr>
          <w:rFonts w:ascii="Arial" w:hAnsi="Arial" w:cs="Arial"/>
          <w:sz w:val="20"/>
          <w:szCs w:val="20"/>
          <w:lang w:val="en-GB"/>
        </w:rPr>
        <w:t xml:space="preserve">, group3= </w:t>
      </w:r>
      <w:r w:rsidRPr="00CB14C3">
        <w:rPr>
          <w:rFonts w:ascii="Arial" w:eastAsiaTheme="minorEastAsia" w:hAnsi="Arial" w:cs="Arial"/>
          <w:sz w:val="20"/>
          <w:szCs w:val="20"/>
          <w:lang w:val="en-GB"/>
        </w:rPr>
        <w:t xml:space="preserve">10 ml/kg Alcohol only (No treatment), </w:t>
      </w:r>
      <w:r w:rsidRPr="00CB14C3">
        <w:rPr>
          <w:rFonts w:ascii="Arial" w:hAnsi="Arial" w:cs="Arial"/>
          <w:sz w:val="20"/>
          <w:szCs w:val="20"/>
          <w:lang w:val="en-GB"/>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0068FC" w:rsidRPr="00CB14C3" w:rsidRDefault="000068FC" w:rsidP="006C3AAB">
      <w:pPr>
        <w:jc w:val="both"/>
        <w:rPr>
          <w:rFonts w:ascii="Arial" w:hAnsi="Arial" w:cs="Arial"/>
          <w:sz w:val="20"/>
          <w:szCs w:val="20"/>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247E85" w:rsidRPr="00CB14C3" w:rsidRDefault="00247E85" w:rsidP="006C3AAB">
      <w:pPr>
        <w:jc w:val="both"/>
        <w:rPr>
          <w:rFonts w:ascii="Arial" w:hAnsi="Arial" w:cs="Arial"/>
          <w:lang w:val="en-GB"/>
        </w:rPr>
      </w:pPr>
    </w:p>
    <w:p w:rsidR="00247E85" w:rsidRPr="00CB14C3" w:rsidRDefault="00247E85"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247E85" w:rsidRPr="00CB14C3" w:rsidRDefault="00247E85" w:rsidP="006C3AAB">
      <w:pPr>
        <w:jc w:val="both"/>
        <w:rPr>
          <w:rFonts w:ascii="Arial" w:hAnsi="Arial" w:cs="Arial"/>
          <w:lang w:val="en-GB"/>
        </w:rPr>
      </w:pPr>
    </w:p>
    <w:p w:rsidR="00247E85" w:rsidRPr="00CB14C3" w:rsidRDefault="00247E85" w:rsidP="006C3AAB">
      <w:pPr>
        <w:jc w:val="both"/>
        <w:rPr>
          <w:rFonts w:ascii="Arial" w:hAnsi="Arial" w:cs="Arial"/>
          <w:lang w:val="en-GB"/>
        </w:rPr>
      </w:pPr>
    </w:p>
    <w:p w:rsidR="00247E85" w:rsidRPr="00CB14C3" w:rsidRDefault="00247E85" w:rsidP="006C3AAB">
      <w:pPr>
        <w:jc w:val="both"/>
        <w:rPr>
          <w:rFonts w:ascii="Arial" w:hAnsi="Arial" w:cs="Arial"/>
          <w:lang w:val="en-GB"/>
        </w:rPr>
      </w:pPr>
    </w:p>
    <w:p w:rsidR="00247E85" w:rsidRPr="00CB14C3" w:rsidRDefault="00247E85" w:rsidP="006C3AAB">
      <w:pPr>
        <w:jc w:val="both"/>
        <w:rPr>
          <w:rFonts w:ascii="Arial" w:hAnsi="Arial" w:cs="Arial"/>
          <w:lang w:val="en-GB"/>
        </w:rPr>
      </w:pPr>
      <w:r w:rsidRPr="00CB14C3">
        <w:rPr>
          <w:rFonts w:ascii="Arial" w:hAnsi="Arial" w:cs="Arial"/>
          <w:noProof/>
          <w:lang w:val="en-GB"/>
        </w:rPr>
        <w:drawing>
          <wp:anchor distT="0" distB="0" distL="114300" distR="114300" simplePos="0" relativeHeight="251808256" behindDoc="0" locked="0" layoutInCell="1" allowOverlap="1" wp14:anchorId="637C555C">
            <wp:simplePos x="0" y="0"/>
            <wp:positionH relativeFrom="column">
              <wp:posOffset>923453</wp:posOffset>
            </wp:positionH>
            <wp:positionV relativeFrom="paragraph">
              <wp:posOffset>-609556</wp:posOffset>
            </wp:positionV>
            <wp:extent cx="3889045" cy="2872800"/>
            <wp:effectExtent l="0" t="0" r="0"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89045" cy="2872800"/>
                    </a:xfrm>
                    <a:prstGeom prst="rect">
                      <a:avLst/>
                    </a:prstGeom>
                    <a:noFill/>
                  </pic:spPr>
                </pic:pic>
              </a:graphicData>
            </a:graphic>
          </wp:anchor>
        </w:drawing>
      </w:r>
    </w:p>
    <w:p w:rsidR="00247E85" w:rsidRPr="00CB14C3" w:rsidRDefault="00247E85" w:rsidP="006C3AAB">
      <w:pPr>
        <w:jc w:val="both"/>
        <w:rPr>
          <w:rFonts w:ascii="Arial" w:hAnsi="Arial" w:cs="Arial"/>
          <w:lang w:val="en-GB"/>
        </w:rPr>
      </w:pPr>
    </w:p>
    <w:p w:rsidR="00247E85" w:rsidRPr="00CB14C3" w:rsidRDefault="00247E85" w:rsidP="006C3AAB">
      <w:pPr>
        <w:jc w:val="both"/>
        <w:rPr>
          <w:rFonts w:ascii="Arial" w:hAnsi="Arial" w:cs="Arial"/>
          <w:lang w:val="en-GB"/>
        </w:rPr>
      </w:pPr>
    </w:p>
    <w:p w:rsidR="00247E85" w:rsidRPr="00CB14C3" w:rsidRDefault="00247E85" w:rsidP="006C3AAB">
      <w:pPr>
        <w:jc w:val="both"/>
        <w:rPr>
          <w:rFonts w:ascii="Arial" w:hAnsi="Arial" w:cs="Arial"/>
          <w:lang w:val="en-GB"/>
        </w:rPr>
      </w:pPr>
    </w:p>
    <w:p w:rsidR="00247E85" w:rsidRPr="00CB14C3" w:rsidRDefault="00247E85" w:rsidP="006C3AAB">
      <w:pPr>
        <w:jc w:val="both"/>
        <w:rPr>
          <w:rFonts w:ascii="Arial" w:hAnsi="Arial" w:cs="Arial"/>
          <w:lang w:val="en-GB"/>
        </w:rPr>
      </w:pPr>
    </w:p>
    <w:p w:rsidR="00247E85" w:rsidRPr="00CB14C3" w:rsidRDefault="00247E85"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0068FC" w:rsidRPr="00CB14C3" w:rsidRDefault="000068FC" w:rsidP="000068FC">
      <w:pPr>
        <w:jc w:val="both"/>
        <w:rPr>
          <w:rFonts w:ascii="Arial" w:hAnsi="Arial" w:cs="Arial"/>
          <w:sz w:val="20"/>
          <w:szCs w:val="20"/>
          <w:lang w:val="en-GB"/>
        </w:rPr>
      </w:pPr>
      <w:r w:rsidRPr="00CB14C3">
        <w:rPr>
          <w:rFonts w:ascii="Arial" w:hAnsi="Arial" w:cs="Arial"/>
          <w:sz w:val="20"/>
          <w:szCs w:val="20"/>
          <w:lang w:val="en-GB"/>
        </w:rPr>
        <w:t xml:space="preserve">Figure 14; Effect of </w:t>
      </w:r>
      <w:r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00D41D45" w:rsidRPr="00CB14C3">
        <w:rPr>
          <w:rFonts w:ascii="Arial" w:hAnsi="Arial" w:cs="Arial"/>
          <w:sz w:val="20"/>
          <w:szCs w:val="20"/>
          <w:lang w:val="en-GB"/>
        </w:rPr>
        <w:t xml:space="preserve"> extract on antioxidant markers in alcohol-induced </w:t>
      </w:r>
      <w:proofErr w:type="spellStart"/>
      <w:r w:rsidR="00D41D45" w:rsidRPr="00CB14C3">
        <w:rPr>
          <w:rFonts w:ascii="Arial" w:hAnsi="Arial" w:cs="Arial"/>
          <w:sz w:val="20"/>
          <w:szCs w:val="20"/>
          <w:lang w:val="en-GB"/>
        </w:rPr>
        <w:t>w</w:t>
      </w:r>
      <w:r w:rsidRPr="00CB14C3">
        <w:rPr>
          <w:rFonts w:ascii="Arial" w:hAnsi="Arial" w:cs="Arial"/>
          <w:sz w:val="20"/>
          <w:szCs w:val="20"/>
          <w:lang w:val="en-GB"/>
        </w:rPr>
        <w:t>istar</w:t>
      </w:r>
      <w:proofErr w:type="spellEnd"/>
      <w:r w:rsidRPr="00CB14C3">
        <w:rPr>
          <w:rFonts w:ascii="Arial" w:hAnsi="Arial" w:cs="Arial"/>
          <w:sz w:val="20"/>
          <w:szCs w:val="20"/>
          <w:lang w:val="en-GB"/>
        </w:rPr>
        <w:t xml:space="preserve"> rat. This bar graph presents the effect of various treatments on Lactate Dehydrogenase) (LDH) (U/L) experimental groups 1-7.</w:t>
      </w:r>
    </w:p>
    <w:p w:rsidR="000068FC" w:rsidRPr="00CB14C3" w:rsidRDefault="000068FC" w:rsidP="000068FC">
      <w:pPr>
        <w:jc w:val="both"/>
        <w:rPr>
          <w:rFonts w:ascii="Arial" w:hAnsi="Arial" w:cs="Arial"/>
          <w:sz w:val="20"/>
          <w:szCs w:val="20"/>
          <w:lang w:val="en-GB"/>
        </w:rPr>
      </w:pPr>
    </w:p>
    <w:p w:rsidR="00572048" w:rsidRPr="00CB14C3" w:rsidRDefault="00572048" w:rsidP="00572048">
      <w:pPr>
        <w:jc w:val="center"/>
        <w:rPr>
          <w:rFonts w:ascii="Arial" w:hAnsi="Arial" w:cs="Arial"/>
          <w:sz w:val="20"/>
          <w:szCs w:val="20"/>
          <w:lang w:val="en-GB"/>
        </w:rPr>
      </w:pPr>
      <w:r w:rsidRPr="00CB14C3">
        <w:rPr>
          <w:rFonts w:ascii="Arial" w:hAnsi="Arial" w:cs="Arial"/>
          <w:sz w:val="20"/>
          <w:szCs w:val="20"/>
          <w:lang w:val="en-GB"/>
        </w:rPr>
        <w:t>Bars represent mean ± standard deviation of triplicate determinations and bars with different alphabets indicate significant difference at p ≤ 0.05. Group 1 = normal control, group 2 =</w:t>
      </w:r>
      <w:r w:rsidRPr="00CB14C3">
        <w:rPr>
          <w:rFonts w:ascii="Arial" w:eastAsiaTheme="minorEastAsia" w:hAnsi="Arial" w:cs="Arial"/>
          <w:sz w:val="20"/>
          <w:szCs w:val="20"/>
          <w:lang w:val="en-GB"/>
        </w:rPr>
        <w:t>10 ml/kg of Alcohol + 50 mg/kg Silymarin (Standard control)</w:t>
      </w:r>
      <w:r w:rsidRPr="00CB14C3">
        <w:rPr>
          <w:rFonts w:ascii="Arial" w:hAnsi="Arial" w:cs="Arial"/>
          <w:sz w:val="20"/>
          <w:szCs w:val="20"/>
          <w:lang w:val="en-GB"/>
        </w:rPr>
        <w:t xml:space="preserve">, group3= </w:t>
      </w:r>
      <w:r w:rsidRPr="00CB14C3">
        <w:rPr>
          <w:rFonts w:ascii="Arial" w:eastAsiaTheme="minorEastAsia" w:hAnsi="Arial" w:cs="Arial"/>
          <w:sz w:val="20"/>
          <w:szCs w:val="20"/>
          <w:lang w:val="en-GB"/>
        </w:rPr>
        <w:t xml:space="preserve">10 ml/kg Alcohol only (No treatment), </w:t>
      </w:r>
      <w:r w:rsidRPr="00CB14C3">
        <w:rPr>
          <w:rFonts w:ascii="Arial" w:hAnsi="Arial" w:cs="Arial"/>
          <w:sz w:val="20"/>
          <w:szCs w:val="20"/>
          <w:lang w:val="en-GB"/>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0068FC" w:rsidRPr="00CB14C3" w:rsidRDefault="000068FC"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CF491A" w:rsidRPr="00CB14C3" w:rsidRDefault="00CF491A" w:rsidP="006C3AAB">
      <w:pPr>
        <w:jc w:val="both"/>
        <w:rPr>
          <w:rFonts w:ascii="Arial" w:hAnsi="Arial" w:cs="Arial"/>
          <w:lang w:val="en-GB"/>
        </w:rPr>
      </w:pPr>
    </w:p>
    <w:p w:rsidR="00CF491A" w:rsidRPr="00CB14C3" w:rsidRDefault="00CF491A"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CF491A" w:rsidRPr="00CB14C3" w:rsidRDefault="00CF491A" w:rsidP="006C3AAB">
      <w:pPr>
        <w:jc w:val="both"/>
        <w:rPr>
          <w:rFonts w:ascii="Arial" w:hAnsi="Arial" w:cs="Arial"/>
          <w:lang w:val="en-GB"/>
        </w:rPr>
      </w:pPr>
    </w:p>
    <w:p w:rsidR="000068FC" w:rsidRPr="00CB14C3" w:rsidRDefault="000068FC" w:rsidP="006C3AAB">
      <w:pPr>
        <w:jc w:val="both"/>
        <w:rPr>
          <w:rFonts w:ascii="Arial" w:hAnsi="Arial" w:cs="Arial"/>
          <w:lang w:val="en-GB"/>
        </w:rPr>
      </w:pPr>
    </w:p>
    <w:p w:rsidR="00FA514B" w:rsidRPr="00CB14C3" w:rsidRDefault="00FA514B" w:rsidP="006C3AAB">
      <w:pPr>
        <w:jc w:val="both"/>
        <w:rPr>
          <w:rFonts w:ascii="Arial" w:hAnsi="Arial" w:cs="Arial"/>
          <w:lang w:val="en-GB"/>
        </w:rPr>
      </w:pPr>
    </w:p>
    <w:p w:rsidR="00410CA9" w:rsidRPr="00CB14C3" w:rsidRDefault="00410CA9" w:rsidP="00410CA9">
      <w:pPr>
        <w:jc w:val="both"/>
        <w:rPr>
          <w:rFonts w:ascii="Arial" w:hAnsi="Arial" w:cs="Arial"/>
          <w:lang w:val="en-GB"/>
        </w:rPr>
      </w:pPr>
      <w:r w:rsidRPr="00CB14C3">
        <w:rPr>
          <w:rFonts w:ascii="Arial" w:hAnsi="Arial" w:cs="Arial"/>
          <w:noProof/>
          <w:lang w:val="en-GB"/>
        </w:rPr>
        <w:drawing>
          <wp:anchor distT="0" distB="0" distL="114300" distR="114300" simplePos="0" relativeHeight="251520512" behindDoc="1" locked="0" layoutInCell="1" allowOverlap="1">
            <wp:simplePos x="0" y="0"/>
            <wp:positionH relativeFrom="column">
              <wp:posOffset>1362075</wp:posOffset>
            </wp:positionH>
            <wp:positionV relativeFrom="paragraph">
              <wp:posOffset>-46990</wp:posOffset>
            </wp:positionV>
            <wp:extent cx="3098800" cy="2324100"/>
            <wp:effectExtent l="0" t="0" r="6350" b="0"/>
            <wp:wrapNone/>
            <wp:docPr id="1" name="Picture 1" descr="C:\Users\USER-PC\Desktop\Project\DR. Raymond\Plat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PC\Desktop\Project\DR. Raymond\Plate 1.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98800" cy="2324100"/>
                    </a:xfrm>
                    <a:prstGeom prst="rect">
                      <a:avLst/>
                    </a:prstGeom>
                    <a:noFill/>
                    <a:ln>
                      <a:noFill/>
                    </a:ln>
                  </pic:spPr>
                </pic:pic>
              </a:graphicData>
            </a:graphic>
          </wp:anchor>
        </w:drawing>
      </w:r>
    </w:p>
    <w:p w:rsidR="00410CA9" w:rsidRPr="00CB14C3" w:rsidRDefault="00410CA9" w:rsidP="00410CA9">
      <w:pPr>
        <w:jc w:val="both"/>
        <w:rPr>
          <w:rFonts w:ascii="Arial" w:hAnsi="Arial" w:cs="Arial"/>
          <w:lang w:val="en-GB"/>
        </w:rPr>
      </w:pPr>
    </w:p>
    <w:p w:rsidR="00410CA9" w:rsidRPr="00CB14C3" w:rsidRDefault="00410CA9" w:rsidP="00410CA9">
      <w:pPr>
        <w:jc w:val="both"/>
        <w:rPr>
          <w:rFonts w:ascii="Arial" w:hAnsi="Arial" w:cs="Arial"/>
          <w:lang w:val="en-GB"/>
        </w:rPr>
      </w:pPr>
    </w:p>
    <w:p w:rsidR="00410CA9" w:rsidRPr="00CB14C3" w:rsidRDefault="00410CA9" w:rsidP="00410CA9">
      <w:pPr>
        <w:jc w:val="both"/>
        <w:rPr>
          <w:rFonts w:ascii="Arial" w:hAnsi="Arial" w:cs="Arial"/>
          <w:lang w:val="en-GB"/>
        </w:rPr>
      </w:pPr>
    </w:p>
    <w:p w:rsidR="00410CA9" w:rsidRPr="00CB14C3" w:rsidRDefault="00410CA9" w:rsidP="00410CA9">
      <w:pPr>
        <w:jc w:val="both"/>
        <w:rPr>
          <w:rFonts w:ascii="Arial" w:hAnsi="Arial" w:cs="Arial"/>
          <w:lang w:val="en-GB"/>
        </w:rPr>
      </w:pPr>
    </w:p>
    <w:p w:rsidR="00410CA9" w:rsidRPr="00CB14C3" w:rsidRDefault="00410CA9" w:rsidP="00410CA9">
      <w:pPr>
        <w:jc w:val="both"/>
        <w:rPr>
          <w:rFonts w:ascii="Arial" w:hAnsi="Arial" w:cs="Arial"/>
          <w:lang w:val="en-GB"/>
        </w:rPr>
      </w:pPr>
    </w:p>
    <w:p w:rsidR="00410CA9" w:rsidRPr="00CB14C3" w:rsidRDefault="00410CA9" w:rsidP="00410CA9">
      <w:pPr>
        <w:jc w:val="both"/>
        <w:rPr>
          <w:rFonts w:ascii="Arial" w:hAnsi="Arial" w:cs="Arial"/>
          <w:lang w:val="en-GB"/>
        </w:rPr>
      </w:pPr>
    </w:p>
    <w:p w:rsidR="00410CA9" w:rsidRPr="00CB14C3" w:rsidRDefault="00410CA9" w:rsidP="00410CA9">
      <w:pPr>
        <w:jc w:val="both"/>
        <w:rPr>
          <w:rFonts w:ascii="Arial" w:hAnsi="Arial" w:cs="Arial"/>
          <w:lang w:val="en-GB"/>
        </w:rPr>
      </w:pPr>
    </w:p>
    <w:p w:rsidR="00410CA9" w:rsidRPr="00CB14C3" w:rsidRDefault="00410CA9" w:rsidP="00410CA9">
      <w:pPr>
        <w:jc w:val="both"/>
        <w:rPr>
          <w:rFonts w:ascii="Arial" w:hAnsi="Arial" w:cs="Arial"/>
          <w:lang w:val="en-GB"/>
        </w:rPr>
      </w:pPr>
    </w:p>
    <w:p w:rsidR="00410CA9" w:rsidRPr="00CB14C3" w:rsidRDefault="00410CA9" w:rsidP="00410CA9">
      <w:pPr>
        <w:jc w:val="both"/>
        <w:rPr>
          <w:rFonts w:ascii="Arial" w:hAnsi="Arial" w:cs="Arial"/>
          <w:sz w:val="20"/>
          <w:szCs w:val="20"/>
          <w:lang w:val="en-GB"/>
        </w:rPr>
      </w:pPr>
      <w:r w:rsidRPr="00CB14C3">
        <w:rPr>
          <w:rFonts w:ascii="Arial" w:hAnsi="Arial" w:cs="Arial"/>
          <w:b/>
          <w:sz w:val="20"/>
          <w:szCs w:val="20"/>
          <w:lang w:val="en-GB"/>
        </w:rPr>
        <w:t xml:space="preserve">Plate </w:t>
      </w:r>
      <w:r w:rsidR="00EB4069" w:rsidRPr="00CB14C3">
        <w:rPr>
          <w:rFonts w:ascii="Arial" w:hAnsi="Arial" w:cs="Arial"/>
          <w:b/>
          <w:sz w:val="20"/>
          <w:szCs w:val="20"/>
          <w:lang w:val="en-GB"/>
        </w:rPr>
        <w:t>1: The</w:t>
      </w:r>
      <w:r w:rsidRPr="00CB14C3">
        <w:rPr>
          <w:rFonts w:ascii="Arial" w:hAnsi="Arial" w:cs="Arial"/>
          <w:sz w:val="20"/>
          <w:szCs w:val="20"/>
          <w:lang w:val="en-GB"/>
        </w:rPr>
        <w:t xml:space="preserve"> photomicrograph of group 1 liver × 400 magnification in this phase 2 is showing the liver tissue, its central vein (CV) is clear and </w:t>
      </w:r>
      <w:r w:rsidR="00EB4069" w:rsidRPr="00CB14C3">
        <w:rPr>
          <w:rFonts w:ascii="Arial" w:hAnsi="Arial" w:cs="Arial"/>
          <w:sz w:val="20"/>
          <w:szCs w:val="20"/>
          <w:lang w:val="en-GB"/>
        </w:rPr>
        <w:t>normal, the</w:t>
      </w:r>
      <w:r w:rsidRPr="00CB14C3">
        <w:rPr>
          <w:rFonts w:ascii="Arial" w:hAnsi="Arial" w:cs="Arial"/>
          <w:sz w:val="20"/>
          <w:szCs w:val="20"/>
          <w:lang w:val="en-GB"/>
        </w:rPr>
        <w:t xml:space="preserve"> </w:t>
      </w:r>
      <w:r w:rsidR="00EB4069" w:rsidRPr="00CB14C3">
        <w:rPr>
          <w:rFonts w:ascii="Arial" w:hAnsi="Arial" w:cs="Arial"/>
          <w:sz w:val="20"/>
          <w:szCs w:val="20"/>
          <w:lang w:val="en-GB"/>
        </w:rPr>
        <w:t>Hepatocytes (</w:t>
      </w:r>
      <w:r w:rsidRPr="00CB14C3">
        <w:rPr>
          <w:rFonts w:ascii="Arial" w:hAnsi="Arial" w:cs="Arial"/>
          <w:sz w:val="20"/>
          <w:szCs w:val="20"/>
          <w:lang w:val="en-GB"/>
        </w:rPr>
        <w:t xml:space="preserve">H)and </w:t>
      </w:r>
      <w:r w:rsidR="00EB4069" w:rsidRPr="00CB14C3">
        <w:rPr>
          <w:rFonts w:ascii="Arial" w:hAnsi="Arial" w:cs="Arial"/>
          <w:sz w:val="20"/>
          <w:szCs w:val="20"/>
          <w:lang w:val="en-GB"/>
        </w:rPr>
        <w:t>Sinusoids</w:t>
      </w:r>
      <w:r w:rsidRPr="00CB14C3">
        <w:rPr>
          <w:rFonts w:ascii="Arial" w:hAnsi="Arial" w:cs="Arial"/>
          <w:sz w:val="20"/>
          <w:szCs w:val="20"/>
          <w:lang w:val="en-GB"/>
        </w:rPr>
        <w:t xml:space="preserve"> (SS) radiate normally in its hexagonal pattern, the </w:t>
      </w:r>
      <w:r w:rsidR="00EB4069" w:rsidRPr="00CB14C3">
        <w:rPr>
          <w:rFonts w:ascii="Arial" w:hAnsi="Arial" w:cs="Arial"/>
          <w:sz w:val="20"/>
          <w:szCs w:val="20"/>
          <w:lang w:val="en-GB"/>
        </w:rPr>
        <w:t>Nucleus (</w:t>
      </w:r>
      <w:r w:rsidRPr="00CB14C3">
        <w:rPr>
          <w:rFonts w:ascii="Arial" w:hAnsi="Arial" w:cs="Arial"/>
          <w:sz w:val="20"/>
          <w:szCs w:val="20"/>
          <w:lang w:val="en-GB"/>
        </w:rPr>
        <w:t>N) look open faced and healthy.</w:t>
      </w:r>
    </w:p>
    <w:p w:rsidR="000068FC" w:rsidRPr="00CB14C3" w:rsidRDefault="000068FC" w:rsidP="00410CA9">
      <w:pPr>
        <w:jc w:val="both"/>
        <w:rPr>
          <w:rFonts w:ascii="Arial" w:hAnsi="Arial" w:cs="Arial"/>
          <w:sz w:val="20"/>
          <w:szCs w:val="20"/>
          <w:lang w:val="en-GB"/>
        </w:rPr>
      </w:pPr>
    </w:p>
    <w:p w:rsidR="00410CA9" w:rsidRPr="00CB14C3" w:rsidRDefault="00410CA9" w:rsidP="00410CA9">
      <w:pPr>
        <w:jc w:val="both"/>
        <w:rPr>
          <w:rFonts w:ascii="Arial" w:hAnsi="Arial" w:cs="Arial"/>
          <w:sz w:val="20"/>
          <w:szCs w:val="20"/>
          <w:lang w:val="en-GB"/>
        </w:rPr>
      </w:pPr>
      <w:r w:rsidRPr="00CB14C3">
        <w:rPr>
          <w:rFonts w:ascii="Arial" w:hAnsi="Arial" w:cs="Arial"/>
          <w:noProof/>
          <w:sz w:val="20"/>
          <w:szCs w:val="20"/>
          <w:lang w:val="en-GB"/>
        </w:rPr>
        <w:drawing>
          <wp:anchor distT="0" distB="0" distL="114300" distR="114300" simplePos="0" relativeHeight="251534848" behindDoc="1" locked="0" layoutInCell="1" allowOverlap="1">
            <wp:simplePos x="0" y="0"/>
            <wp:positionH relativeFrom="column">
              <wp:posOffset>1295400</wp:posOffset>
            </wp:positionH>
            <wp:positionV relativeFrom="paragraph">
              <wp:posOffset>147955</wp:posOffset>
            </wp:positionV>
            <wp:extent cx="3257550" cy="2443163"/>
            <wp:effectExtent l="0" t="0" r="0" b="0"/>
            <wp:wrapNone/>
            <wp:docPr id="3" name="Picture 3" descr="C:\Users\USER-PC\Desktop\Project\DR. Raymond\PLat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PC\Desktop\Project\DR. Raymond\PLate 2.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57550" cy="2443163"/>
                    </a:xfrm>
                    <a:prstGeom prst="rect">
                      <a:avLst/>
                    </a:prstGeom>
                    <a:noFill/>
                    <a:ln>
                      <a:noFill/>
                    </a:ln>
                  </pic:spPr>
                </pic:pic>
              </a:graphicData>
            </a:graphic>
          </wp:anchor>
        </w:drawing>
      </w:r>
    </w:p>
    <w:p w:rsidR="00410CA9" w:rsidRPr="00CB14C3" w:rsidRDefault="00410CA9" w:rsidP="00410CA9">
      <w:pPr>
        <w:jc w:val="both"/>
        <w:rPr>
          <w:rFonts w:ascii="Arial" w:hAnsi="Arial" w:cs="Arial"/>
          <w:sz w:val="20"/>
          <w:szCs w:val="20"/>
          <w:lang w:val="en-GB"/>
        </w:rPr>
      </w:pPr>
    </w:p>
    <w:p w:rsidR="00410CA9" w:rsidRPr="00CB14C3" w:rsidRDefault="00410CA9" w:rsidP="00410CA9">
      <w:pPr>
        <w:jc w:val="both"/>
        <w:rPr>
          <w:rFonts w:ascii="Arial" w:hAnsi="Arial" w:cs="Arial"/>
          <w:sz w:val="20"/>
          <w:szCs w:val="20"/>
          <w:lang w:val="en-GB"/>
        </w:rPr>
      </w:pPr>
    </w:p>
    <w:p w:rsidR="00410CA9" w:rsidRPr="00CB14C3" w:rsidRDefault="00410CA9" w:rsidP="00410CA9">
      <w:pPr>
        <w:jc w:val="both"/>
        <w:rPr>
          <w:rFonts w:ascii="Arial" w:hAnsi="Arial" w:cs="Arial"/>
          <w:sz w:val="20"/>
          <w:szCs w:val="20"/>
          <w:lang w:val="en-GB"/>
        </w:rPr>
      </w:pPr>
    </w:p>
    <w:p w:rsidR="00410CA9" w:rsidRPr="00CB14C3" w:rsidRDefault="00410CA9" w:rsidP="00410CA9">
      <w:pPr>
        <w:jc w:val="both"/>
        <w:rPr>
          <w:rFonts w:ascii="Arial" w:hAnsi="Arial" w:cs="Arial"/>
          <w:sz w:val="20"/>
          <w:szCs w:val="20"/>
          <w:lang w:val="en-GB"/>
        </w:rPr>
      </w:pPr>
    </w:p>
    <w:p w:rsidR="00410CA9" w:rsidRPr="00CB14C3" w:rsidRDefault="00410CA9" w:rsidP="00410CA9">
      <w:pPr>
        <w:jc w:val="both"/>
        <w:rPr>
          <w:rFonts w:ascii="Arial" w:hAnsi="Arial" w:cs="Arial"/>
          <w:sz w:val="20"/>
          <w:szCs w:val="20"/>
          <w:lang w:val="en-GB"/>
        </w:rPr>
      </w:pPr>
    </w:p>
    <w:p w:rsidR="00410CA9" w:rsidRPr="00CB14C3" w:rsidRDefault="00410CA9" w:rsidP="00410CA9">
      <w:pPr>
        <w:jc w:val="both"/>
        <w:rPr>
          <w:rFonts w:ascii="Arial" w:hAnsi="Arial" w:cs="Arial"/>
          <w:sz w:val="20"/>
          <w:szCs w:val="20"/>
          <w:lang w:val="en-GB"/>
        </w:rPr>
      </w:pPr>
    </w:p>
    <w:p w:rsidR="00410CA9" w:rsidRPr="00CB14C3" w:rsidRDefault="00410CA9" w:rsidP="00410CA9">
      <w:pPr>
        <w:jc w:val="both"/>
        <w:rPr>
          <w:rFonts w:ascii="Arial" w:hAnsi="Arial" w:cs="Arial"/>
          <w:sz w:val="20"/>
          <w:szCs w:val="20"/>
          <w:lang w:val="en-GB"/>
        </w:rPr>
      </w:pPr>
    </w:p>
    <w:p w:rsidR="00410CA9" w:rsidRPr="00CB14C3" w:rsidRDefault="00410CA9" w:rsidP="00410CA9">
      <w:pPr>
        <w:jc w:val="both"/>
        <w:rPr>
          <w:rFonts w:ascii="Arial" w:hAnsi="Arial" w:cs="Arial"/>
          <w:sz w:val="20"/>
          <w:szCs w:val="20"/>
          <w:lang w:val="en-GB"/>
        </w:rPr>
      </w:pPr>
    </w:p>
    <w:p w:rsidR="00C5673A" w:rsidRPr="00CB14C3" w:rsidRDefault="00C5673A" w:rsidP="00410CA9">
      <w:pPr>
        <w:jc w:val="both"/>
        <w:rPr>
          <w:rFonts w:ascii="Arial" w:hAnsi="Arial" w:cs="Arial"/>
          <w:sz w:val="20"/>
          <w:szCs w:val="20"/>
          <w:lang w:val="en-GB"/>
        </w:rPr>
      </w:pPr>
    </w:p>
    <w:p w:rsidR="00410CA9" w:rsidRPr="00CB14C3" w:rsidRDefault="00410CA9" w:rsidP="00410CA9">
      <w:pPr>
        <w:jc w:val="both"/>
        <w:rPr>
          <w:rFonts w:ascii="Arial" w:hAnsi="Arial" w:cs="Arial"/>
          <w:sz w:val="20"/>
          <w:szCs w:val="20"/>
          <w:lang w:val="en-GB"/>
        </w:rPr>
      </w:pPr>
    </w:p>
    <w:p w:rsidR="00410CA9" w:rsidRPr="00CB14C3" w:rsidRDefault="00410CA9" w:rsidP="006C3AAB">
      <w:pPr>
        <w:jc w:val="both"/>
        <w:rPr>
          <w:rFonts w:ascii="Arial" w:hAnsi="Arial" w:cs="Arial"/>
          <w:sz w:val="20"/>
          <w:szCs w:val="20"/>
          <w:lang w:val="en-GB"/>
        </w:rPr>
      </w:pPr>
      <w:r w:rsidRPr="00CB14C3">
        <w:rPr>
          <w:rFonts w:ascii="Arial" w:hAnsi="Arial" w:cs="Arial"/>
          <w:b/>
          <w:sz w:val="20"/>
          <w:szCs w:val="20"/>
          <w:lang w:val="en-GB"/>
        </w:rPr>
        <w:t>Plate 2</w:t>
      </w:r>
      <w:r w:rsidRPr="00CB14C3">
        <w:rPr>
          <w:rFonts w:ascii="Arial" w:hAnsi="Arial" w:cs="Arial"/>
          <w:sz w:val="20"/>
          <w:szCs w:val="20"/>
          <w:lang w:val="en-GB"/>
        </w:rPr>
        <w:t xml:space="preserve">: This group of liver shows a dilated CV with fat </w:t>
      </w:r>
      <w:r w:rsidR="00EB4069" w:rsidRPr="00CB14C3">
        <w:rPr>
          <w:rFonts w:ascii="Arial" w:hAnsi="Arial" w:cs="Arial"/>
          <w:sz w:val="20"/>
          <w:szCs w:val="20"/>
          <w:lang w:val="en-GB"/>
        </w:rPr>
        <w:t>cells, the</w:t>
      </w:r>
      <w:r w:rsidRPr="00CB14C3">
        <w:rPr>
          <w:rFonts w:ascii="Arial" w:hAnsi="Arial" w:cs="Arial"/>
          <w:sz w:val="20"/>
          <w:szCs w:val="20"/>
          <w:lang w:val="en-GB"/>
        </w:rPr>
        <w:t xml:space="preserve"> </w:t>
      </w:r>
      <w:r w:rsidR="00EB4069" w:rsidRPr="00CB14C3">
        <w:rPr>
          <w:rFonts w:ascii="Arial" w:hAnsi="Arial" w:cs="Arial"/>
          <w:sz w:val="20"/>
          <w:szCs w:val="20"/>
          <w:lang w:val="en-GB"/>
        </w:rPr>
        <w:t>Sinusoids (</w:t>
      </w:r>
      <w:r w:rsidRPr="00CB14C3">
        <w:rPr>
          <w:rFonts w:ascii="Arial" w:hAnsi="Arial" w:cs="Arial"/>
          <w:sz w:val="20"/>
          <w:szCs w:val="20"/>
          <w:lang w:val="en-GB"/>
        </w:rPr>
        <w:t xml:space="preserve">SS) filled with fat deposits and the </w:t>
      </w:r>
      <w:r w:rsidR="00EB4069" w:rsidRPr="00CB14C3">
        <w:rPr>
          <w:rFonts w:ascii="Arial" w:hAnsi="Arial" w:cs="Arial"/>
          <w:sz w:val="20"/>
          <w:szCs w:val="20"/>
          <w:lang w:val="en-GB"/>
        </w:rPr>
        <w:t>Hepatocytes (H</w:t>
      </w:r>
      <w:r w:rsidRPr="00CB14C3">
        <w:rPr>
          <w:rFonts w:ascii="Arial" w:hAnsi="Arial" w:cs="Arial"/>
          <w:sz w:val="20"/>
          <w:szCs w:val="20"/>
          <w:lang w:val="en-GB"/>
        </w:rPr>
        <w:t xml:space="preserve">) radiate partly </w:t>
      </w:r>
      <w:r w:rsidR="00EB4069" w:rsidRPr="00CB14C3">
        <w:rPr>
          <w:rFonts w:ascii="Arial" w:hAnsi="Arial" w:cs="Arial"/>
          <w:sz w:val="20"/>
          <w:szCs w:val="20"/>
          <w:lang w:val="en-GB"/>
        </w:rPr>
        <w:t>hexagonally</w:t>
      </w:r>
      <w:r w:rsidRPr="00CB14C3">
        <w:rPr>
          <w:rFonts w:ascii="Arial" w:hAnsi="Arial" w:cs="Arial"/>
          <w:sz w:val="20"/>
          <w:szCs w:val="20"/>
          <w:lang w:val="en-GB"/>
        </w:rPr>
        <w:t>, the Nuclei look open faced as if it is undergoing regeneration</w:t>
      </w:r>
      <w:r w:rsidR="00EE5A1B" w:rsidRPr="00CB14C3">
        <w:rPr>
          <w:rFonts w:ascii="Arial" w:hAnsi="Arial" w:cs="Arial"/>
          <w:sz w:val="20"/>
          <w:szCs w:val="20"/>
          <w:lang w:val="en-GB"/>
        </w:rPr>
        <w:t>.</w:t>
      </w:r>
    </w:p>
    <w:p w:rsidR="00363060" w:rsidRPr="00CB14C3" w:rsidRDefault="00363060" w:rsidP="006C3AAB">
      <w:pPr>
        <w:jc w:val="both"/>
        <w:rPr>
          <w:rFonts w:ascii="Arial" w:hAnsi="Arial" w:cs="Arial"/>
          <w:lang w:val="en-GB"/>
        </w:rPr>
      </w:pPr>
    </w:p>
    <w:p w:rsidR="006E0448" w:rsidRPr="00CB14C3" w:rsidRDefault="006E0448" w:rsidP="006C3AAB">
      <w:pPr>
        <w:jc w:val="both"/>
        <w:rPr>
          <w:rFonts w:ascii="Arial" w:hAnsi="Arial" w:cs="Arial"/>
          <w:lang w:val="en-GB"/>
        </w:rPr>
      </w:pPr>
    </w:p>
    <w:p w:rsidR="00247E85" w:rsidRPr="00CB14C3" w:rsidRDefault="00C5673A" w:rsidP="006C3AAB">
      <w:pPr>
        <w:jc w:val="both"/>
        <w:rPr>
          <w:rFonts w:ascii="Arial" w:hAnsi="Arial" w:cs="Arial"/>
          <w:lang w:val="en-GB"/>
        </w:rPr>
      </w:pPr>
      <w:r w:rsidRPr="00CB14C3">
        <w:rPr>
          <w:rFonts w:ascii="Arial" w:hAnsi="Arial" w:cs="Arial"/>
          <w:noProof/>
          <w:lang w:val="en-GB"/>
        </w:rPr>
        <w:drawing>
          <wp:anchor distT="0" distB="0" distL="114300" distR="114300" simplePos="0" relativeHeight="251550208" behindDoc="1" locked="0" layoutInCell="1" allowOverlap="1">
            <wp:simplePos x="0" y="0"/>
            <wp:positionH relativeFrom="margin">
              <wp:posOffset>1209675</wp:posOffset>
            </wp:positionH>
            <wp:positionV relativeFrom="paragraph">
              <wp:posOffset>8646</wp:posOffset>
            </wp:positionV>
            <wp:extent cx="3517900" cy="2638425"/>
            <wp:effectExtent l="0" t="0" r="6350" b="9525"/>
            <wp:wrapNone/>
            <wp:docPr id="2" name="Picture 2" descr="C:\Users\USER-PC\Desktop\Project\DR. Raymond\plate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USER-PC\Desktop\Project\DR. Raymond\plate 3.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17900" cy="2638425"/>
                    </a:xfrm>
                    <a:prstGeom prst="rect">
                      <a:avLst/>
                    </a:prstGeom>
                    <a:noFill/>
                    <a:ln>
                      <a:noFill/>
                    </a:ln>
                  </pic:spPr>
                </pic:pic>
              </a:graphicData>
            </a:graphic>
          </wp:anchor>
        </w:drawing>
      </w:r>
    </w:p>
    <w:p w:rsidR="00410CA9" w:rsidRPr="00CB14C3" w:rsidRDefault="00410CA9" w:rsidP="006C3AAB">
      <w:pPr>
        <w:jc w:val="both"/>
        <w:rPr>
          <w:rFonts w:ascii="Arial" w:hAnsi="Arial" w:cs="Arial"/>
          <w:lang w:val="en-GB"/>
        </w:rPr>
      </w:pPr>
    </w:p>
    <w:p w:rsidR="00410CA9" w:rsidRPr="00CB14C3" w:rsidRDefault="00410CA9" w:rsidP="006C3AAB">
      <w:pPr>
        <w:jc w:val="both"/>
        <w:rPr>
          <w:rFonts w:ascii="Arial" w:hAnsi="Arial" w:cs="Arial"/>
          <w:lang w:val="en-GB"/>
        </w:rPr>
      </w:pPr>
    </w:p>
    <w:p w:rsidR="00410CA9" w:rsidRPr="00CB14C3" w:rsidRDefault="00410CA9" w:rsidP="006C3AAB">
      <w:pPr>
        <w:jc w:val="both"/>
        <w:rPr>
          <w:rFonts w:ascii="Arial" w:hAnsi="Arial" w:cs="Arial"/>
          <w:lang w:val="en-GB"/>
        </w:rPr>
      </w:pPr>
    </w:p>
    <w:p w:rsidR="00410CA9" w:rsidRPr="00CB14C3" w:rsidRDefault="00410CA9" w:rsidP="006C3AAB">
      <w:pPr>
        <w:jc w:val="both"/>
        <w:rPr>
          <w:rFonts w:ascii="Arial" w:hAnsi="Arial" w:cs="Arial"/>
          <w:lang w:val="en-GB"/>
        </w:rPr>
      </w:pPr>
    </w:p>
    <w:p w:rsidR="00410CA9" w:rsidRPr="00CB14C3" w:rsidRDefault="00410CA9" w:rsidP="006C3AAB">
      <w:pPr>
        <w:jc w:val="both"/>
        <w:rPr>
          <w:rFonts w:ascii="Arial" w:hAnsi="Arial" w:cs="Arial"/>
          <w:lang w:val="en-GB"/>
        </w:rPr>
      </w:pPr>
    </w:p>
    <w:p w:rsidR="00410CA9" w:rsidRPr="00CB14C3" w:rsidRDefault="00410CA9" w:rsidP="006C3AAB">
      <w:pPr>
        <w:jc w:val="both"/>
        <w:rPr>
          <w:rFonts w:ascii="Arial" w:hAnsi="Arial" w:cs="Arial"/>
          <w:lang w:val="en-GB"/>
        </w:rPr>
      </w:pPr>
    </w:p>
    <w:p w:rsidR="00410CA9" w:rsidRPr="00CB14C3" w:rsidRDefault="00410CA9" w:rsidP="006C3AAB">
      <w:pPr>
        <w:jc w:val="both"/>
        <w:rPr>
          <w:rFonts w:ascii="Arial" w:hAnsi="Arial" w:cs="Arial"/>
          <w:lang w:val="en-GB"/>
        </w:rPr>
      </w:pPr>
    </w:p>
    <w:p w:rsidR="00410CA9" w:rsidRPr="00CB14C3" w:rsidRDefault="00410CA9" w:rsidP="006C3AAB">
      <w:pPr>
        <w:jc w:val="both"/>
        <w:rPr>
          <w:rFonts w:ascii="Arial" w:hAnsi="Arial" w:cs="Arial"/>
          <w:lang w:val="en-GB"/>
        </w:rPr>
      </w:pPr>
    </w:p>
    <w:p w:rsidR="00410CA9" w:rsidRPr="00CB14C3" w:rsidRDefault="00410CA9" w:rsidP="006C3AAB">
      <w:pPr>
        <w:jc w:val="both"/>
        <w:rPr>
          <w:rFonts w:ascii="Arial" w:hAnsi="Arial" w:cs="Arial"/>
          <w:lang w:val="en-GB"/>
        </w:rPr>
      </w:pPr>
    </w:p>
    <w:p w:rsidR="00410CA9" w:rsidRPr="00CB14C3" w:rsidRDefault="00410CA9" w:rsidP="006C3AAB">
      <w:pPr>
        <w:jc w:val="both"/>
        <w:rPr>
          <w:rFonts w:ascii="Arial" w:hAnsi="Arial" w:cs="Arial"/>
          <w:lang w:val="en-GB"/>
        </w:rPr>
      </w:pPr>
    </w:p>
    <w:p w:rsidR="00410CA9" w:rsidRPr="00CB14C3" w:rsidRDefault="00410CA9" w:rsidP="006C3AAB">
      <w:pPr>
        <w:jc w:val="both"/>
        <w:rPr>
          <w:rFonts w:ascii="Arial" w:hAnsi="Arial" w:cs="Arial"/>
          <w:sz w:val="20"/>
          <w:szCs w:val="20"/>
          <w:lang w:val="en-GB"/>
        </w:rPr>
      </w:pPr>
      <w:r w:rsidRPr="00CB14C3">
        <w:rPr>
          <w:rFonts w:ascii="Arial" w:hAnsi="Arial" w:cs="Arial"/>
          <w:b/>
          <w:sz w:val="20"/>
          <w:szCs w:val="20"/>
          <w:lang w:val="en-GB"/>
        </w:rPr>
        <w:t>Plate 3</w:t>
      </w:r>
      <w:r w:rsidRPr="00CB14C3">
        <w:rPr>
          <w:rFonts w:ascii="Arial" w:hAnsi="Arial" w:cs="Arial"/>
          <w:sz w:val="20"/>
          <w:szCs w:val="20"/>
          <w:lang w:val="en-GB"/>
        </w:rPr>
        <w:t xml:space="preserve">: The cross section of group 3 liver x 400 </w:t>
      </w:r>
      <w:r w:rsidR="00152F6E" w:rsidRPr="00CB14C3">
        <w:rPr>
          <w:rFonts w:ascii="Arial" w:hAnsi="Arial" w:cs="Arial"/>
          <w:sz w:val="20"/>
          <w:szCs w:val="20"/>
          <w:lang w:val="en-GB"/>
        </w:rPr>
        <w:t>magnification stained</w:t>
      </w:r>
      <w:r w:rsidRPr="00CB14C3">
        <w:rPr>
          <w:rFonts w:ascii="Arial" w:hAnsi="Arial" w:cs="Arial"/>
          <w:sz w:val="20"/>
          <w:szCs w:val="20"/>
          <w:lang w:val="en-GB"/>
        </w:rPr>
        <w:t xml:space="preserve"> in H &amp; </w:t>
      </w:r>
      <w:r w:rsidR="00EB4069" w:rsidRPr="00CB14C3">
        <w:rPr>
          <w:rFonts w:ascii="Arial" w:hAnsi="Arial" w:cs="Arial"/>
          <w:sz w:val="20"/>
          <w:szCs w:val="20"/>
          <w:lang w:val="en-GB"/>
        </w:rPr>
        <w:t>E. The</w:t>
      </w:r>
      <w:r w:rsidRPr="00CB14C3">
        <w:rPr>
          <w:rFonts w:ascii="Arial" w:hAnsi="Arial" w:cs="Arial"/>
          <w:sz w:val="20"/>
          <w:szCs w:val="20"/>
          <w:lang w:val="en-GB"/>
        </w:rPr>
        <w:t xml:space="preserve"> liver is not </w:t>
      </w:r>
      <w:r w:rsidR="00EB4069" w:rsidRPr="00CB14C3">
        <w:rPr>
          <w:rFonts w:ascii="Arial" w:hAnsi="Arial" w:cs="Arial"/>
          <w:sz w:val="20"/>
          <w:szCs w:val="20"/>
          <w:lang w:val="en-GB"/>
        </w:rPr>
        <w:t>aligned</w:t>
      </w:r>
      <w:r w:rsidRPr="00CB14C3">
        <w:rPr>
          <w:rFonts w:ascii="Arial" w:hAnsi="Arial" w:cs="Arial"/>
          <w:sz w:val="20"/>
          <w:szCs w:val="20"/>
          <w:lang w:val="en-GB"/>
        </w:rPr>
        <w:t xml:space="preserve"> in its </w:t>
      </w:r>
      <w:r w:rsidR="00680FD3" w:rsidRPr="00CB14C3">
        <w:rPr>
          <w:rFonts w:ascii="Arial" w:hAnsi="Arial" w:cs="Arial"/>
          <w:sz w:val="20"/>
          <w:szCs w:val="20"/>
          <w:lang w:val="en-GB"/>
        </w:rPr>
        <w:t>normal architecture</w:t>
      </w:r>
      <w:r w:rsidRPr="00CB14C3">
        <w:rPr>
          <w:rFonts w:ascii="Arial" w:hAnsi="Arial" w:cs="Arial"/>
          <w:sz w:val="20"/>
          <w:szCs w:val="20"/>
          <w:lang w:val="en-GB"/>
        </w:rPr>
        <w:t xml:space="preserve"> seen are the portal triad </w:t>
      </w:r>
      <w:r w:rsidR="00EB4069" w:rsidRPr="00CB14C3">
        <w:rPr>
          <w:rFonts w:ascii="Arial" w:hAnsi="Arial" w:cs="Arial"/>
          <w:sz w:val="20"/>
          <w:szCs w:val="20"/>
          <w:lang w:val="en-GB"/>
        </w:rPr>
        <w:t>(PT</w:t>
      </w:r>
      <w:r w:rsidRPr="00CB14C3">
        <w:rPr>
          <w:rFonts w:ascii="Arial" w:hAnsi="Arial" w:cs="Arial"/>
          <w:sz w:val="20"/>
          <w:szCs w:val="20"/>
          <w:lang w:val="en-GB"/>
        </w:rPr>
        <w:t xml:space="preserve">), the </w:t>
      </w:r>
      <w:r w:rsidR="00EB4069" w:rsidRPr="00CB14C3">
        <w:rPr>
          <w:rFonts w:ascii="Arial" w:hAnsi="Arial" w:cs="Arial"/>
          <w:sz w:val="20"/>
          <w:szCs w:val="20"/>
          <w:lang w:val="en-GB"/>
        </w:rPr>
        <w:t>Sinusoids (SS</w:t>
      </w:r>
      <w:r w:rsidRPr="00CB14C3">
        <w:rPr>
          <w:rFonts w:ascii="Arial" w:hAnsi="Arial" w:cs="Arial"/>
          <w:sz w:val="20"/>
          <w:szCs w:val="20"/>
          <w:lang w:val="en-GB"/>
        </w:rPr>
        <w:t xml:space="preserve">) </w:t>
      </w:r>
      <w:r w:rsidR="00EB4069" w:rsidRPr="00CB14C3">
        <w:rPr>
          <w:rFonts w:ascii="Arial" w:hAnsi="Arial" w:cs="Arial"/>
          <w:sz w:val="20"/>
          <w:szCs w:val="20"/>
          <w:lang w:val="en-GB"/>
        </w:rPr>
        <w:t>filled with</w:t>
      </w:r>
      <w:r w:rsidRPr="00CB14C3">
        <w:rPr>
          <w:rFonts w:ascii="Arial" w:hAnsi="Arial" w:cs="Arial"/>
          <w:sz w:val="20"/>
          <w:szCs w:val="20"/>
          <w:lang w:val="en-GB"/>
        </w:rPr>
        <w:t xml:space="preserve"> fat cells and does not radiate with the Hepatocytes </w:t>
      </w:r>
      <w:r w:rsidR="00EB4069" w:rsidRPr="00CB14C3">
        <w:rPr>
          <w:rFonts w:ascii="Arial" w:hAnsi="Arial" w:cs="Arial"/>
          <w:sz w:val="20"/>
          <w:szCs w:val="20"/>
          <w:lang w:val="en-GB"/>
        </w:rPr>
        <w:t>(H</w:t>
      </w:r>
      <w:r w:rsidRPr="00CB14C3">
        <w:rPr>
          <w:rFonts w:ascii="Arial" w:hAnsi="Arial" w:cs="Arial"/>
          <w:sz w:val="20"/>
          <w:szCs w:val="20"/>
          <w:lang w:val="en-GB"/>
        </w:rPr>
        <w:t xml:space="preserve">) as in normal liver structure, one third of the </w:t>
      </w:r>
      <w:r w:rsidR="00EB4069" w:rsidRPr="00CB14C3">
        <w:rPr>
          <w:rFonts w:ascii="Arial" w:hAnsi="Arial" w:cs="Arial"/>
          <w:sz w:val="20"/>
          <w:szCs w:val="20"/>
          <w:lang w:val="en-GB"/>
        </w:rPr>
        <w:t>Nuclei are</w:t>
      </w:r>
      <w:r w:rsidRPr="00CB14C3">
        <w:rPr>
          <w:rFonts w:ascii="Arial" w:hAnsi="Arial" w:cs="Arial"/>
          <w:sz w:val="20"/>
          <w:szCs w:val="20"/>
          <w:lang w:val="en-GB"/>
        </w:rPr>
        <w:t xml:space="preserve"> </w:t>
      </w:r>
      <w:r w:rsidR="00EB4069" w:rsidRPr="00CB14C3">
        <w:rPr>
          <w:rFonts w:ascii="Arial" w:hAnsi="Arial" w:cs="Arial"/>
          <w:sz w:val="20"/>
          <w:szCs w:val="20"/>
          <w:lang w:val="en-GB"/>
        </w:rPr>
        <w:t>enlarged, undergoing</w:t>
      </w:r>
      <w:r w:rsidRPr="00CB14C3">
        <w:rPr>
          <w:rFonts w:ascii="Arial" w:hAnsi="Arial" w:cs="Arial"/>
          <w:sz w:val="20"/>
          <w:szCs w:val="20"/>
          <w:lang w:val="en-GB"/>
        </w:rPr>
        <w:t xml:space="preserve"> pathological changes.</w:t>
      </w:r>
    </w:p>
    <w:p w:rsidR="00410CA9" w:rsidRPr="00CB14C3" w:rsidRDefault="00410CA9" w:rsidP="006C3AAB">
      <w:pPr>
        <w:jc w:val="both"/>
        <w:rPr>
          <w:rFonts w:ascii="Arial" w:hAnsi="Arial" w:cs="Arial"/>
          <w:sz w:val="20"/>
          <w:szCs w:val="20"/>
          <w:lang w:val="en-GB"/>
        </w:rPr>
      </w:pPr>
    </w:p>
    <w:p w:rsidR="00410CA9" w:rsidRPr="00CB14C3" w:rsidRDefault="00410CA9" w:rsidP="006C3AAB">
      <w:pPr>
        <w:jc w:val="both"/>
        <w:rPr>
          <w:rFonts w:ascii="Arial" w:hAnsi="Arial" w:cs="Arial"/>
          <w:sz w:val="20"/>
          <w:szCs w:val="20"/>
          <w:lang w:val="en-GB"/>
        </w:rPr>
      </w:pPr>
      <w:r w:rsidRPr="00CB14C3">
        <w:rPr>
          <w:rFonts w:ascii="Arial" w:hAnsi="Arial" w:cs="Arial"/>
          <w:noProof/>
          <w:sz w:val="20"/>
          <w:szCs w:val="20"/>
          <w:lang w:val="en-GB"/>
        </w:rPr>
        <w:drawing>
          <wp:anchor distT="0" distB="0" distL="114300" distR="114300" simplePos="0" relativeHeight="251564544" behindDoc="1" locked="0" layoutInCell="1" allowOverlap="1">
            <wp:simplePos x="0" y="0"/>
            <wp:positionH relativeFrom="margin">
              <wp:posOffset>1176655</wp:posOffset>
            </wp:positionH>
            <wp:positionV relativeFrom="paragraph">
              <wp:posOffset>43815</wp:posOffset>
            </wp:positionV>
            <wp:extent cx="3667125" cy="2750344"/>
            <wp:effectExtent l="0" t="0" r="0" b="0"/>
            <wp:wrapNone/>
            <wp:docPr id="4" name="Picture 4" descr="C:\Users\USER-PC\Desktop\Project\DR. Raymond\Plate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SER-PC\Desktop\Project\DR. Raymond\Plate 4.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67125" cy="2750344"/>
                    </a:xfrm>
                    <a:prstGeom prst="rect">
                      <a:avLst/>
                    </a:prstGeom>
                    <a:noFill/>
                    <a:ln>
                      <a:noFill/>
                    </a:ln>
                  </pic:spPr>
                </pic:pic>
              </a:graphicData>
            </a:graphic>
          </wp:anchor>
        </w:drawing>
      </w:r>
    </w:p>
    <w:p w:rsidR="00410CA9" w:rsidRPr="00CB14C3" w:rsidRDefault="00410CA9" w:rsidP="006C3AAB">
      <w:pPr>
        <w:jc w:val="both"/>
        <w:rPr>
          <w:rFonts w:ascii="Arial" w:hAnsi="Arial" w:cs="Arial"/>
          <w:sz w:val="20"/>
          <w:szCs w:val="20"/>
          <w:lang w:val="en-GB"/>
        </w:rPr>
      </w:pPr>
    </w:p>
    <w:p w:rsidR="00410CA9" w:rsidRPr="00CB14C3" w:rsidRDefault="00410CA9" w:rsidP="006C3AAB">
      <w:pPr>
        <w:jc w:val="both"/>
        <w:rPr>
          <w:rFonts w:ascii="Arial" w:hAnsi="Arial" w:cs="Arial"/>
          <w:sz w:val="20"/>
          <w:szCs w:val="20"/>
          <w:lang w:val="en-GB"/>
        </w:rPr>
      </w:pPr>
    </w:p>
    <w:p w:rsidR="00410CA9" w:rsidRPr="00CB14C3" w:rsidRDefault="00410CA9" w:rsidP="006C3AAB">
      <w:pPr>
        <w:jc w:val="both"/>
        <w:rPr>
          <w:rFonts w:ascii="Arial" w:hAnsi="Arial" w:cs="Arial"/>
          <w:sz w:val="20"/>
          <w:szCs w:val="20"/>
          <w:lang w:val="en-GB"/>
        </w:rPr>
      </w:pPr>
    </w:p>
    <w:p w:rsidR="00410CA9" w:rsidRPr="00CB14C3" w:rsidRDefault="00410CA9" w:rsidP="006C3AAB">
      <w:pPr>
        <w:jc w:val="both"/>
        <w:rPr>
          <w:rFonts w:ascii="Arial" w:hAnsi="Arial" w:cs="Arial"/>
          <w:sz w:val="20"/>
          <w:szCs w:val="20"/>
          <w:lang w:val="en-GB"/>
        </w:rPr>
      </w:pPr>
    </w:p>
    <w:p w:rsidR="00410CA9" w:rsidRPr="00CB14C3" w:rsidRDefault="00410CA9" w:rsidP="006C3AAB">
      <w:pPr>
        <w:jc w:val="both"/>
        <w:rPr>
          <w:rFonts w:ascii="Arial" w:hAnsi="Arial" w:cs="Arial"/>
          <w:sz w:val="20"/>
          <w:szCs w:val="20"/>
          <w:lang w:val="en-GB"/>
        </w:rPr>
      </w:pPr>
    </w:p>
    <w:p w:rsidR="00363060" w:rsidRPr="00CB14C3" w:rsidRDefault="00363060" w:rsidP="006C3AAB">
      <w:pPr>
        <w:jc w:val="both"/>
        <w:rPr>
          <w:rFonts w:ascii="Arial" w:hAnsi="Arial" w:cs="Arial"/>
          <w:sz w:val="20"/>
          <w:szCs w:val="20"/>
          <w:lang w:val="en-GB"/>
        </w:rPr>
      </w:pPr>
    </w:p>
    <w:p w:rsidR="00363060" w:rsidRPr="00CB14C3" w:rsidRDefault="00363060" w:rsidP="006C3AAB">
      <w:pPr>
        <w:jc w:val="both"/>
        <w:rPr>
          <w:rFonts w:ascii="Arial" w:hAnsi="Arial" w:cs="Arial"/>
          <w:sz w:val="20"/>
          <w:szCs w:val="20"/>
          <w:lang w:val="en-GB"/>
        </w:rPr>
      </w:pPr>
    </w:p>
    <w:p w:rsidR="00410CA9" w:rsidRPr="00CB14C3" w:rsidRDefault="00410CA9" w:rsidP="006C3AAB">
      <w:pPr>
        <w:jc w:val="both"/>
        <w:rPr>
          <w:rFonts w:ascii="Arial" w:hAnsi="Arial" w:cs="Arial"/>
          <w:sz w:val="20"/>
          <w:szCs w:val="20"/>
          <w:lang w:val="en-GB"/>
        </w:rPr>
      </w:pPr>
    </w:p>
    <w:p w:rsidR="00410CA9" w:rsidRPr="00CB14C3" w:rsidRDefault="00410CA9" w:rsidP="006C3AAB">
      <w:pPr>
        <w:jc w:val="both"/>
        <w:rPr>
          <w:rFonts w:ascii="Arial" w:hAnsi="Arial" w:cs="Arial"/>
          <w:sz w:val="20"/>
          <w:szCs w:val="20"/>
          <w:lang w:val="en-GB"/>
        </w:rPr>
      </w:pPr>
    </w:p>
    <w:p w:rsidR="00410CA9" w:rsidRPr="00CB14C3" w:rsidRDefault="00410CA9" w:rsidP="006C3AAB">
      <w:pPr>
        <w:jc w:val="both"/>
        <w:rPr>
          <w:rFonts w:ascii="Arial" w:hAnsi="Arial" w:cs="Arial"/>
          <w:sz w:val="20"/>
          <w:szCs w:val="20"/>
          <w:lang w:val="en-GB"/>
        </w:rPr>
      </w:pPr>
    </w:p>
    <w:p w:rsidR="00410CA9" w:rsidRPr="00CB14C3" w:rsidRDefault="00410CA9" w:rsidP="006C3AAB">
      <w:pPr>
        <w:jc w:val="both"/>
        <w:rPr>
          <w:rFonts w:ascii="Arial" w:hAnsi="Arial" w:cs="Arial"/>
          <w:sz w:val="20"/>
          <w:szCs w:val="20"/>
          <w:lang w:val="en-GB"/>
        </w:rPr>
      </w:pPr>
    </w:p>
    <w:p w:rsidR="00410CA9" w:rsidRPr="00CB14C3" w:rsidRDefault="00410CA9" w:rsidP="006C3AAB">
      <w:pPr>
        <w:jc w:val="both"/>
        <w:rPr>
          <w:rFonts w:ascii="Arial" w:hAnsi="Arial" w:cs="Arial"/>
          <w:sz w:val="20"/>
          <w:szCs w:val="20"/>
          <w:lang w:val="en-GB"/>
        </w:rPr>
      </w:pPr>
      <w:r w:rsidRPr="00CB14C3">
        <w:rPr>
          <w:rFonts w:ascii="Arial" w:hAnsi="Arial" w:cs="Arial"/>
          <w:b/>
          <w:sz w:val="20"/>
          <w:szCs w:val="20"/>
          <w:lang w:val="en-GB"/>
        </w:rPr>
        <w:t>Plate 4</w:t>
      </w:r>
      <w:r w:rsidR="00411032" w:rsidRPr="00CB14C3">
        <w:rPr>
          <w:rFonts w:ascii="Arial" w:hAnsi="Arial" w:cs="Arial"/>
          <w:b/>
          <w:sz w:val="20"/>
          <w:szCs w:val="20"/>
          <w:lang w:val="en-GB"/>
        </w:rPr>
        <w:t>:</w:t>
      </w:r>
      <w:r w:rsidR="00411032" w:rsidRPr="00CB14C3">
        <w:rPr>
          <w:rFonts w:ascii="Arial" w:hAnsi="Arial" w:cs="Arial"/>
          <w:sz w:val="20"/>
          <w:szCs w:val="20"/>
          <w:lang w:val="en-GB"/>
        </w:rPr>
        <w:t xml:space="preserve"> This</w:t>
      </w:r>
      <w:r w:rsidRPr="00CB14C3">
        <w:rPr>
          <w:rFonts w:ascii="Arial" w:hAnsi="Arial" w:cs="Arial"/>
          <w:sz w:val="20"/>
          <w:szCs w:val="20"/>
          <w:lang w:val="en-GB"/>
        </w:rPr>
        <w:t xml:space="preserve"> group of liver looks </w:t>
      </w:r>
      <w:r w:rsidR="00EB4069" w:rsidRPr="00CB14C3">
        <w:rPr>
          <w:rFonts w:ascii="Arial" w:hAnsi="Arial" w:cs="Arial"/>
          <w:sz w:val="20"/>
          <w:szCs w:val="20"/>
          <w:lang w:val="en-GB"/>
        </w:rPr>
        <w:t>degenerated, the</w:t>
      </w:r>
      <w:r w:rsidRPr="00CB14C3">
        <w:rPr>
          <w:rFonts w:ascii="Arial" w:hAnsi="Arial" w:cs="Arial"/>
          <w:sz w:val="20"/>
          <w:szCs w:val="20"/>
          <w:lang w:val="en-GB"/>
        </w:rPr>
        <w:t xml:space="preserve"> central vein </w:t>
      </w:r>
      <w:r w:rsidR="00EB4069" w:rsidRPr="00CB14C3">
        <w:rPr>
          <w:rFonts w:ascii="Arial" w:hAnsi="Arial" w:cs="Arial"/>
          <w:sz w:val="20"/>
          <w:szCs w:val="20"/>
          <w:lang w:val="en-GB"/>
        </w:rPr>
        <w:t>(CV</w:t>
      </w:r>
      <w:r w:rsidRPr="00CB14C3">
        <w:rPr>
          <w:rFonts w:ascii="Arial" w:hAnsi="Arial" w:cs="Arial"/>
          <w:sz w:val="20"/>
          <w:szCs w:val="20"/>
          <w:lang w:val="en-GB"/>
        </w:rPr>
        <w:t xml:space="preserve">) looks </w:t>
      </w:r>
      <w:r w:rsidR="00EB4069" w:rsidRPr="00CB14C3">
        <w:rPr>
          <w:rFonts w:ascii="Arial" w:hAnsi="Arial" w:cs="Arial"/>
          <w:sz w:val="20"/>
          <w:szCs w:val="20"/>
          <w:lang w:val="en-GB"/>
        </w:rPr>
        <w:t>enlarged and</w:t>
      </w:r>
      <w:r w:rsidRPr="00CB14C3">
        <w:rPr>
          <w:rFonts w:ascii="Arial" w:hAnsi="Arial" w:cs="Arial"/>
          <w:sz w:val="20"/>
          <w:szCs w:val="20"/>
          <w:lang w:val="en-GB"/>
        </w:rPr>
        <w:t xml:space="preserve"> </w:t>
      </w:r>
      <w:r w:rsidR="00EB4069" w:rsidRPr="00CB14C3">
        <w:rPr>
          <w:rFonts w:ascii="Arial" w:hAnsi="Arial" w:cs="Arial"/>
          <w:sz w:val="20"/>
          <w:szCs w:val="20"/>
          <w:lang w:val="en-GB"/>
        </w:rPr>
        <w:t>dilated, the</w:t>
      </w:r>
      <w:r w:rsidRPr="00CB14C3">
        <w:rPr>
          <w:rFonts w:ascii="Arial" w:hAnsi="Arial" w:cs="Arial"/>
          <w:sz w:val="20"/>
          <w:szCs w:val="20"/>
          <w:lang w:val="en-GB"/>
        </w:rPr>
        <w:t xml:space="preserve"> normal liver architecture is </w:t>
      </w:r>
      <w:r w:rsidR="00EB4069" w:rsidRPr="00CB14C3">
        <w:rPr>
          <w:rFonts w:ascii="Arial" w:hAnsi="Arial" w:cs="Arial"/>
          <w:sz w:val="20"/>
          <w:szCs w:val="20"/>
          <w:lang w:val="en-GB"/>
        </w:rPr>
        <w:t>distorted,</w:t>
      </w:r>
      <w:r w:rsidRPr="00CB14C3">
        <w:rPr>
          <w:rFonts w:ascii="Arial" w:hAnsi="Arial" w:cs="Arial"/>
          <w:sz w:val="20"/>
          <w:szCs w:val="20"/>
          <w:lang w:val="en-GB"/>
        </w:rPr>
        <w:t xml:space="preserve"> and the CV is also filled with fat deposit and infiltrated cells.</w:t>
      </w:r>
    </w:p>
    <w:p w:rsidR="00410CA9" w:rsidRPr="00CB14C3" w:rsidRDefault="00410CA9" w:rsidP="006C3AAB">
      <w:pPr>
        <w:jc w:val="both"/>
        <w:rPr>
          <w:rFonts w:ascii="Arial" w:hAnsi="Arial" w:cs="Arial"/>
          <w:sz w:val="20"/>
          <w:szCs w:val="20"/>
          <w:lang w:val="en-GB"/>
        </w:rPr>
      </w:pPr>
    </w:p>
    <w:p w:rsidR="00363060" w:rsidRPr="00CB14C3" w:rsidRDefault="00363060" w:rsidP="006C3AAB">
      <w:pPr>
        <w:jc w:val="both"/>
        <w:rPr>
          <w:rFonts w:ascii="Arial" w:hAnsi="Arial" w:cs="Arial"/>
          <w:lang w:val="en-GB"/>
        </w:rPr>
      </w:pPr>
    </w:p>
    <w:p w:rsidR="00A63B57" w:rsidRPr="00CB14C3" w:rsidRDefault="00A63B57" w:rsidP="006C3AAB">
      <w:pPr>
        <w:jc w:val="both"/>
        <w:rPr>
          <w:rFonts w:ascii="Arial" w:hAnsi="Arial" w:cs="Arial"/>
          <w:lang w:val="en-GB"/>
        </w:rPr>
      </w:pPr>
      <w:r w:rsidRPr="00CB14C3">
        <w:rPr>
          <w:rFonts w:ascii="Arial" w:hAnsi="Arial" w:cs="Arial"/>
          <w:noProof/>
          <w:lang w:val="en-GB"/>
        </w:rPr>
        <w:drawing>
          <wp:anchor distT="0" distB="0" distL="114300" distR="114300" simplePos="0" relativeHeight="251578880" behindDoc="1" locked="0" layoutInCell="1" allowOverlap="1">
            <wp:simplePos x="0" y="0"/>
            <wp:positionH relativeFrom="margin">
              <wp:posOffset>904875</wp:posOffset>
            </wp:positionH>
            <wp:positionV relativeFrom="paragraph">
              <wp:posOffset>147320</wp:posOffset>
            </wp:positionV>
            <wp:extent cx="3898900" cy="2924175"/>
            <wp:effectExtent l="0" t="0" r="6350" b="9525"/>
            <wp:wrapNone/>
            <wp:docPr id="5" name="Picture 5" descr="C:\Users\USER-PC\Desktop\Project\DR. Raymond\plate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USER-PC\Desktop\Project\DR. Raymond\plate 5.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98900" cy="2924175"/>
                    </a:xfrm>
                    <a:prstGeom prst="rect">
                      <a:avLst/>
                    </a:prstGeom>
                    <a:noFill/>
                    <a:ln>
                      <a:noFill/>
                    </a:ln>
                  </pic:spPr>
                </pic:pic>
              </a:graphicData>
            </a:graphic>
          </wp:anchor>
        </w:drawing>
      </w:r>
    </w:p>
    <w:p w:rsidR="00410CA9" w:rsidRPr="00CB14C3" w:rsidRDefault="00410CA9" w:rsidP="006C3AAB">
      <w:pPr>
        <w:jc w:val="both"/>
        <w:rPr>
          <w:rFonts w:ascii="Arial" w:hAnsi="Arial" w:cs="Arial"/>
          <w:lang w:val="en-GB"/>
        </w:rPr>
      </w:pPr>
    </w:p>
    <w:p w:rsidR="00A63B57" w:rsidRPr="00CB14C3" w:rsidRDefault="00A63B57" w:rsidP="006C3AAB">
      <w:pPr>
        <w:jc w:val="both"/>
        <w:rPr>
          <w:rFonts w:ascii="Arial" w:hAnsi="Arial" w:cs="Arial"/>
          <w:lang w:val="en-GB"/>
        </w:rPr>
      </w:pPr>
    </w:p>
    <w:p w:rsidR="00A63B57" w:rsidRPr="00CB14C3" w:rsidRDefault="00A63B57" w:rsidP="006C3AAB">
      <w:pPr>
        <w:jc w:val="both"/>
        <w:rPr>
          <w:rFonts w:ascii="Arial" w:hAnsi="Arial" w:cs="Arial"/>
          <w:lang w:val="en-GB"/>
        </w:rPr>
      </w:pPr>
    </w:p>
    <w:p w:rsidR="00A63B57" w:rsidRPr="00CB14C3" w:rsidRDefault="00A63B57" w:rsidP="006C3AAB">
      <w:pPr>
        <w:jc w:val="both"/>
        <w:rPr>
          <w:rFonts w:ascii="Arial" w:hAnsi="Arial" w:cs="Arial"/>
          <w:lang w:val="en-GB"/>
        </w:rPr>
      </w:pPr>
    </w:p>
    <w:p w:rsidR="00A63B57" w:rsidRPr="00CB14C3" w:rsidRDefault="00A63B57" w:rsidP="006C3AAB">
      <w:pPr>
        <w:jc w:val="both"/>
        <w:rPr>
          <w:rFonts w:ascii="Arial" w:hAnsi="Arial" w:cs="Arial"/>
          <w:lang w:val="en-GB"/>
        </w:rPr>
      </w:pPr>
    </w:p>
    <w:p w:rsidR="00A63B57" w:rsidRPr="00CB14C3" w:rsidRDefault="00A63B57" w:rsidP="006C3AAB">
      <w:pPr>
        <w:jc w:val="both"/>
        <w:rPr>
          <w:rFonts w:ascii="Arial" w:hAnsi="Arial" w:cs="Arial"/>
          <w:lang w:val="en-GB"/>
        </w:rPr>
      </w:pPr>
    </w:p>
    <w:p w:rsidR="00A63B57" w:rsidRPr="00CB14C3" w:rsidRDefault="00A63B57" w:rsidP="006C3AAB">
      <w:pPr>
        <w:jc w:val="both"/>
        <w:rPr>
          <w:rFonts w:ascii="Arial" w:hAnsi="Arial" w:cs="Arial"/>
          <w:lang w:val="en-GB"/>
        </w:rPr>
      </w:pPr>
    </w:p>
    <w:p w:rsidR="00A63B57" w:rsidRPr="00CB14C3" w:rsidRDefault="00A63B57" w:rsidP="006C3AAB">
      <w:pPr>
        <w:jc w:val="both"/>
        <w:rPr>
          <w:rFonts w:ascii="Arial" w:hAnsi="Arial" w:cs="Arial"/>
          <w:lang w:val="en-GB"/>
        </w:rPr>
      </w:pPr>
    </w:p>
    <w:p w:rsidR="00363060" w:rsidRPr="00CB14C3" w:rsidRDefault="00363060" w:rsidP="006C3AAB">
      <w:pPr>
        <w:jc w:val="both"/>
        <w:rPr>
          <w:rFonts w:ascii="Arial" w:hAnsi="Arial" w:cs="Arial"/>
          <w:lang w:val="en-GB"/>
        </w:rPr>
      </w:pPr>
    </w:p>
    <w:p w:rsidR="00A63B57" w:rsidRPr="00CB14C3" w:rsidRDefault="00A63B57" w:rsidP="006C3AAB">
      <w:pPr>
        <w:jc w:val="both"/>
        <w:rPr>
          <w:rFonts w:ascii="Arial" w:hAnsi="Arial" w:cs="Arial"/>
          <w:lang w:val="en-GB"/>
        </w:rPr>
      </w:pPr>
    </w:p>
    <w:p w:rsidR="00A63B57" w:rsidRPr="00CB14C3" w:rsidRDefault="00A63B57" w:rsidP="006C3AAB">
      <w:pPr>
        <w:jc w:val="both"/>
        <w:rPr>
          <w:rFonts w:ascii="Arial" w:hAnsi="Arial" w:cs="Arial"/>
          <w:lang w:val="en-GB"/>
        </w:rPr>
      </w:pPr>
    </w:p>
    <w:p w:rsidR="00A63B57" w:rsidRPr="00CB14C3" w:rsidRDefault="00A63B57" w:rsidP="006C3AAB">
      <w:pPr>
        <w:jc w:val="both"/>
        <w:rPr>
          <w:rFonts w:ascii="Arial" w:hAnsi="Arial" w:cs="Arial"/>
          <w:sz w:val="20"/>
          <w:szCs w:val="20"/>
          <w:lang w:val="en-GB"/>
        </w:rPr>
      </w:pPr>
      <w:r w:rsidRPr="00CB14C3">
        <w:rPr>
          <w:rFonts w:ascii="Arial" w:hAnsi="Arial" w:cs="Arial"/>
          <w:b/>
          <w:sz w:val="20"/>
          <w:szCs w:val="20"/>
          <w:lang w:val="en-GB"/>
        </w:rPr>
        <w:t>Plate 5:</w:t>
      </w:r>
      <w:r w:rsidRPr="00CB14C3">
        <w:rPr>
          <w:rFonts w:ascii="Arial" w:hAnsi="Arial" w:cs="Arial"/>
          <w:sz w:val="20"/>
          <w:szCs w:val="20"/>
          <w:lang w:val="en-GB"/>
        </w:rPr>
        <w:t xml:space="preserve"> This group of liver looks refined in the architectural pattern of the liver, only the necrotic formation which could be as a result of healing process from the influence of its intake. Other features are normal and healthy.</w:t>
      </w:r>
    </w:p>
    <w:p w:rsidR="000C1581" w:rsidRPr="00CB14C3" w:rsidRDefault="000C1581" w:rsidP="006C3AAB">
      <w:pPr>
        <w:jc w:val="both"/>
        <w:rPr>
          <w:rFonts w:ascii="Arial" w:hAnsi="Arial" w:cs="Arial"/>
          <w:lang w:val="en-GB"/>
        </w:rPr>
      </w:pPr>
      <w:r w:rsidRPr="00CB14C3">
        <w:rPr>
          <w:rFonts w:ascii="Arial" w:hAnsi="Arial" w:cs="Arial"/>
          <w:noProof/>
          <w:lang w:val="en-GB"/>
        </w:rPr>
        <w:drawing>
          <wp:anchor distT="0" distB="0" distL="114300" distR="114300" simplePos="0" relativeHeight="251593216" behindDoc="1" locked="0" layoutInCell="1" allowOverlap="1">
            <wp:simplePos x="0" y="0"/>
            <wp:positionH relativeFrom="column">
              <wp:posOffset>1009650</wp:posOffset>
            </wp:positionH>
            <wp:positionV relativeFrom="paragraph">
              <wp:posOffset>133350</wp:posOffset>
            </wp:positionV>
            <wp:extent cx="3841326" cy="2880995"/>
            <wp:effectExtent l="0" t="0" r="6985" b="0"/>
            <wp:wrapNone/>
            <wp:docPr id="6" name="Picture 6" descr="C:\Users\USER-PC\Desktop\Project\DR. Raymond\plate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USER-PC\Desktop\Project\DR. Raymond\plate 6.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46156" cy="2884618"/>
                    </a:xfrm>
                    <a:prstGeom prst="rect">
                      <a:avLst/>
                    </a:prstGeom>
                    <a:noFill/>
                    <a:ln>
                      <a:noFill/>
                    </a:ln>
                  </pic:spPr>
                </pic:pic>
              </a:graphicData>
            </a:graphic>
          </wp:anchor>
        </w:drawing>
      </w:r>
    </w:p>
    <w:p w:rsidR="000C1581" w:rsidRPr="00CB14C3" w:rsidRDefault="000C1581" w:rsidP="006C3AAB">
      <w:pPr>
        <w:jc w:val="both"/>
        <w:rPr>
          <w:rFonts w:ascii="Arial" w:hAnsi="Arial" w:cs="Arial"/>
          <w:lang w:val="en-GB"/>
        </w:rPr>
      </w:pPr>
    </w:p>
    <w:p w:rsidR="000C1581" w:rsidRPr="00CB14C3" w:rsidRDefault="000C1581" w:rsidP="006C3AAB">
      <w:pPr>
        <w:jc w:val="both"/>
        <w:rPr>
          <w:rFonts w:ascii="Arial" w:hAnsi="Arial" w:cs="Arial"/>
          <w:lang w:val="en-GB"/>
        </w:rPr>
      </w:pPr>
    </w:p>
    <w:p w:rsidR="000C1581" w:rsidRPr="00CB14C3" w:rsidRDefault="000C1581" w:rsidP="006C3AAB">
      <w:pPr>
        <w:jc w:val="both"/>
        <w:rPr>
          <w:rFonts w:ascii="Arial" w:hAnsi="Arial" w:cs="Arial"/>
          <w:lang w:val="en-GB"/>
        </w:rPr>
      </w:pPr>
    </w:p>
    <w:p w:rsidR="000C1581" w:rsidRPr="00CB14C3" w:rsidRDefault="000C1581" w:rsidP="006C3AAB">
      <w:pPr>
        <w:jc w:val="both"/>
        <w:rPr>
          <w:rFonts w:ascii="Arial" w:hAnsi="Arial" w:cs="Arial"/>
          <w:lang w:val="en-GB"/>
        </w:rPr>
      </w:pPr>
    </w:p>
    <w:p w:rsidR="000C1581" w:rsidRPr="00CB14C3" w:rsidRDefault="000C1581" w:rsidP="006C3AAB">
      <w:pPr>
        <w:jc w:val="both"/>
        <w:rPr>
          <w:rFonts w:ascii="Arial" w:hAnsi="Arial" w:cs="Arial"/>
          <w:lang w:val="en-GB"/>
        </w:rPr>
      </w:pPr>
    </w:p>
    <w:p w:rsidR="000C1581" w:rsidRPr="00CB14C3" w:rsidRDefault="000C1581" w:rsidP="006C3AAB">
      <w:pPr>
        <w:jc w:val="both"/>
        <w:rPr>
          <w:rFonts w:ascii="Arial" w:hAnsi="Arial" w:cs="Arial"/>
          <w:lang w:val="en-GB"/>
        </w:rPr>
      </w:pPr>
    </w:p>
    <w:p w:rsidR="000C1581" w:rsidRPr="00CB14C3" w:rsidRDefault="000C1581" w:rsidP="006C3AAB">
      <w:pPr>
        <w:jc w:val="both"/>
        <w:rPr>
          <w:rFonts w:ascii="Arial" w:hAnsi="Arial" w:cs="Arial"/>
          <w:lang w:val="en-GB"/>
        </w:rPr>
      </w:pPr>
    </w:p>
    <w:p w:rsidR="000C1581" w:rsidRPr="00CB14C3" w:rsidRDefault="000C1581" w:rsidP="006C3AAB">
      <w:pPr>
        <w:jc w:val="both"/>
        <w:rPr>
          <w:rFonts w:ascii="Arial" w:hAnsi="Arial" w:cs="Arial"/>
          <w:lang w:val="en-GB"/>
        </w:rPr>
      </w:pPr>
    </w:p>
    <w:p w:rsidR="000C1581" w:rsidRPr="00CB14C3" w:rsidRDefault="000C1581" w:rsidP="006C3AAB">
      <w:pPr>
        <w:jc w:val="both"/>
        <w:rPr>
          <w:rFonts w:ascii="Arial" w:hAnsi="Arial" w:cs="Arial"/>
          <w:lang w:val="en-GB"/>
        </w:rPr>
      </w:pPr>
    </w:p>
    <w:p w:rsidR="000C1581" w:rsidRPr="00CB14C3" w:rsidRDefault="000C1581" w:rsidP="006C3AAB">
      <w:pPr>
        <w:jc w:val="both"/>
        <w:rPr>
          <w:rFonts w:ascii="Arial" w:hAnsi="Arial" w:cs="Arial"/>
          <w:lang w:val="en-GB"/>
        </w:rPr>
      </w:pPr>
    </w:p>
    <w:p w:rsidR="00C5673A" w:rsidRPr="00CB14C3" w:rsidRDefault="00C5673A" w:rsidP="006C3AAB">
      <w:pPr>
        <w:jc w:val="both"/>
        <w:rPr>
          <w:rFonts w:ascii="Arial" w:hAnsi="Arial" w:cs="Arial"/>
          <w:lang w:val="en-GB"/>
        </w:rPr>
      </w:pPr>
    </w:p>
    <w:p w:rsidR="000C1581" w:rsidRPr="00CB14C3" w:rsidRDefault="000C1581" w:rsidP="006C3AAB">
      <w:pPr>
        <w:jc w:val="both"/>
        <w:rPr>
          <w:rFonts w:ascii="Arial" w:hAnsi="Arial" w:cs="Arial"/>
          <w:sz w:val="20"/>
          <w:szCs w:val="20"/>
          <w:lang w:val="en-GB"/>
        </w:rPr>
      </w:pPr>
      <w:r w:rsidRPr="00CB14C3">
        <w:rPr>
          <w:rFonts w:ascii="Arial" w:hAnsi="Arial" w:cs="Arial"/>
          <w:b/>
          <w:sz w:val="20"/>
          <w:szCs w:val="20"/>
          <w:lang w:val="en-GB"/>
        </w:rPr>
        <w:t>Plate 6:</w:t>
      </w:r>
      <w:r w:rsidRPr="00CB14C3">
        <w:rPr>
          <w:rFonts w:ascii="Arial" w:hAnsi="Arial" w:cs="Arial"/>
          <w:sz w:val="20"/>
          <w:szCs w:val="20"/>
          <w:lang w:val="en-GB"/>
        </w:rPr>
        <w:t xml:space="preserve"> The liver in this group is also seen as normal, but the central vein (CV) is enlarged with few infiltrated cells, which may be due to hyper activities, other features are normal</w:t>
      </w:r>
    </w:p>
    <w:p w:rsidR="001760E8" w:rsidRPr="00CB14C3" w:rsidRDefault="001760E8" w:rsidP="006C3AAB">
      <w:pPr>
        <w:jc w:val="both"/>
        <w:rPr>
          <w:rFonts w:ascii="Arial" w:hAnsi="Arial" w:cs="Arial"/>
          <w:sz w:val="20"/>
          <w:szCs w:val="20"/>
          <w:lang w:val="en-GB"/>
        </w:rPr>
      </w:pPr>
    </w:p>
    <w:p w:rsidR="001760E8" w:rsidRPr="00CB14C3" w:rsidRDefault="001760E8" w:rsidP="006C3AAB">
      <w:pPr>
        <w:jc w:val="both"/>
        <w:rPr>
          <w:rFonts w:ascii="Arial" w:hAnsi="Arial" w:cs="Arial"/>
          <w:sz w:val="20"/>
          <w:szCs w:val="20"/>
          <w:lang w:val="en-GB"/>
        </w:rPr>
      </w:pPr>
      <w:r w:rsidRPr="00CB14C3">
        <w:rPr>
          <w:rFonts w:ascii="Arial" w:hAnsi="Arial" w:cs="Arial"/>
          <w:noProof/>
          <w:sz w:val="20"/>
          <w:szCs w:val="20"/>
          <w:lang w:val="en-GB"/>
        </w:rPr>
        <w:lastRenderedPageBreak/>
        <w:drawing>
          <wp:anchor distT="0" distB="0" distL="114300" distR="114300" simplePos="0" relativeHeight="251607552" behindDoc="1" locked="0" layoutInCell="1" allowOverlap="1">
            <wp:simplePos x="0" y="0"/>
            <wp:positionH relativeFrom="margin">
              <wp:posOffset>914824</wp:posOffset>
            </wp:positionH>
            <wp:positionV relativeFrom="paragraph">
              <wp:posOffset>66675</wp:posOffset>
            </wp:positionV>
            <wp:extent cx="3790950" cy="2843213"/>
            <wp:effectExtent l="0" t="0" r="0" b="0"/>
            <wp:wrapNone/>
            <wp:docPr id="7" name="Picture 7" descr="C:\Users\USER-PC\Desktop\Project\DR. Raymond\plate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USER-PC\Desktop\Project\DR. Raymond\plate 7.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90950" cy="2843213"/>
                    </a:xfrm>
                    <a:prstGeom prst="rect">
                      <a:avLst/>
                    </a:prstGeom>
                    <a:noFill/>
                    <a:ln>
                      <a:noFill/>
                    </a:ln>
                  </pic:spPr>
                </pic:pic>
              </a:graphicData>
            </a:graphic>
          </wp:anchor>
        </w:drawing>
      </w:r>
    </w:p>
    <w:p w:rsidR="001760E8" w:rsidRPr="00CB14C3" w:rsidRDefault="001760E8" w:rsidP="006C3AAB">
      <w:pPr>
        <w:jc w:val="both"/>
        <w:rPr>
          <w:rFonts w:ascii="Arial" w:hAnsi="Arial" w:cs="Arial"/>
          <w:sz w:val="20"/>
          <w:szCs w:val="20"/>
          <w:lang w:val="en-GB"/>
        </w:rPr>
      </w:pPr>
    </w:p>
    <w:p w:rsidR="001760E8" w:rsidRPr="00CB14C3" w:rsidRDefault="001760E8" w:rsidP="006C3AAB">
      <w:pPr>
        <w:jc w:val="both"/>
        <w:rPr>
          <w:rFonts w:ascii="Arial" w:hAnsi="Arial" w:cs="Arial"/>
          <w:sz w:val="20"/>
          <w:szCs w:val="20"/>
          <w:lang w:val="en-GB"/>
        </w:rPr>
      </w:pPr>
    </w:p>
    <w:p w:rsidR="001760E8" w:rsidRPr="00CB14C3" w:rsidRDefault="001760E8" w:rsidP="006C3AAB">
      <w:pPr>
        <w:jc w:val="both"/>
        <w:rPr>
          <w:rFonts w:ascii="Arial" w:hAnsi="Arial" w:cs="Arial"/>
          <w:sz w:val="20"/>
          <w:szCs w:val="20"/>
          <w:lang w:val="en-GB"/>
        </w:rPr>
      </w:pPr>
    </w:p>
    <w:p w:rsidR="001760E8" w:rsidRPr="00CB14C3" w:rsidRDefault="001760E8" w:rsidP="006C3AAB">
      <w:pPr>
        <w:jc w:val="both"/>
        <w:rPr>
          <w:rFonts w:ascii="Arial" w:hAnsi="Arial" w:cs="Arial"/>
          <w:sz w:val="20"/>
          <w:szCs w:val="20"/>
          <w:lang w:val="en-GB"/>
        </w:rPr>
      </w:pPr>
    </w:p>
    <w:p w:rsidR="001760E8" w:rsidRPr="00CB14C3" w:rsidRDefault="001760E8" w:rsidP="006C3AAB">
      <w:pPr>
        <w:jc w:val="both"/>
        <w:rPr>
          <w:rFonts w:ascii="Arial" w:hAnsi="Arial" w:cs="Arial"/>
          <w:sz w:val="20"/>
          <w:szCs w:val="20"/>
          <w:lang w:val="en-GB"/>
        </w:rPr>
      </w:pPr>
    </w:p>
    <w:p w:rsidR="001760E8" w:rsidRPr="00CB14C3" w:rsidRDefault="001760E8" w:rsidP="006C3AAB">
      <w:pPr>
        <w:jc w:val="both"/>
        <w:rPr>
          <w:rFonts w:ascii="Arial" w:hAnsi="Arial" w:cs="Arial"/>
          <w:sz w:val="20"/>
          <w:szCs w:val="20"/>
          <w:lang w:val="en-GB"/>
        </w:rPr>
      </w:pPr>
    </w:p>
    <w:p w:rsidR="001760E8" w:rsidRPr="00CB14C3" w:rsidRDefault="001760E8" w:rsidP="006C3AAB">
      <w:pPr>
        <w:jc w:val="both"/>
        <w:rPr>
          <w:rFonts w:ascii="Arial" w:hAnsi="Arial" w:cs="Arial"/>
          <w:sz w:val="20"/>
          <w:szCs w:val="20"/>
          <w:lang w:val="en-GB"/>
        </w:rPr>
      </w:pPr>
    </w:p>
    <w:p w:rsidR="001760E8" w:rsidRPr="00CB14C3" w:rsidRDefault="001760E8" w:rsidP="006C3AAB">
      <w:pPr>
        <w:jc w:val="both"/>
        <w:rPr>
          <w:rFonts w:ascii="Arial" w:hAnsi="Arial" w:cs="Arial"/>
          <w:sz w:val="20"/>
          <w:szCs w:val="20"/>
          <w:lang w:val="en-GB"/>
        </w:rPr>
      </w:pPr>
    </w:p>
    <w:p w:rsidR="001760E8" w:rsidRPr="00CB14C3" w:rsidRDefault="001760E8" w:rsidP="006C3AAB">
      <w:pPr>
        <w:jc w:val="both"/>
        <w:rPr>
          <w:rFonts w:ascii="Arial" w:hAnsi="Arial" w:cs="Arial"/>
          <w:sz w:val="20"/>
          <w:szCs w:val="20"/>
          <w:lang w:val="en-GB"/>
        </w:rPr>
      </w:pPr>
    </w:p>
    <w:p w:rsidR="006E0448" w:rsidRPr="00CB14C3" w:rsidRDefault="006E0448" w:rsidP="006C3AAB">
      <w:pPr>
        <w:jc w:val="both"/>
        <w:rPr>
          <w:rFonts w:ascii="Arial" w:hAnsi="Arial" w:cs="Arial"/>
          <w:sz w:val="20"/>
          <w:szCs w:val="20"/>
          <w:lang w:val="en-GB"/>
        </w:rPr>
      </w:pPr>
    </w:p>
    <w:p w:rsidR="001760E8" w:rsidRPr="00CB14C3" w:rsidRDefault="001760E8" w:rsidP="006C3AAB">
      <w:pPr>
        <w:jc w:val="both"/>
        <w:rPr>
          <w:rFonts w:ascii="Arial" w:hAnsi="Arial" w:cs="Arial"/>
          <w:sz w:val="20"/>
          <w:szCs w:val="20"/>
          <w:lang w:val="en-GB"/>
        </w:rPr>
      </w:pPr>
    </w:p>
    <w:p w:rsidR="001760E8" w:rsidRPr="00CB14C3" w:rsidRDefault="001760E8" w:rsidP="006C3AAB">
      <w:pPr>
        <w:jc w:val="both"/>
        <w:rPr>
          <w:rFonts w:ascii="Arial" w:hAnsi="Arial" w:cs="Arial"/>
          <w:sz w:val="20"/>
          <w:szCs w:val="20"/>
          <w:lang w:val="en-GB"/>
        </w:rPr>
      </w:pPr>
      <w:r w:rsidRPr="00CB14C3">
        <w:rPr>
          <w:rFonts w:ascii="Arial" w:hAnsi="Arial" w:cs="Arial"/>
          <w:b/>
          <w:sz w:val="20"/>
          <w:szCs w:val="20"/>
          <w:lang w:val="en-GB"/>
        </w:rPr>
        <w:t>Plate 7:</w:t>
      </w:r>
      <w:r w:rsidRPr="00CB14C3">
        <w:rPr>
          <w:rFonts w:ascii="Arial" w:hAnsi="Arial" w:cs="Arial"/>
          <w:sz w:val="20"/>
          <w:szCs w:val="20"/>
          <w:lang w:val="en-GB"/>
        </w:rPr>
        <w:t xml:space="preserve"> This group liv</w:t>
      </w:r>
      <w:r w:rsidR="0041610D" w:rsidRPr="00CB14C3">
        <w:rPr>
          <w:rFonts w:ascii="Arial" w:hAnsi="Arial" w:cs="Arial"/>
          <w:sz w:val="20"/>
          <w:szCs w:val="20"/>
          <w:lang w:val="en-GB"/>
        </w:rPr>
        <w:t>er shows a clear central vein (</w:t>
      </w:r>
      <w:r w:rsidRPr="00CB14C3">
        <w:rPr>
          <w:rFonts w:ascii="Arial" w:hAnsi="Arial" w:cs="Arial"/>
          <w:sz w:val="20"/>
          <w:szCs w:val="20"/>
          <w:lang w:val="en-GB"/>
        </w:rPr>
        <w:t>CV</w:t>
      </w:r>
      <w:r w:rsidR="00EB4069" w:rsidRPr="00CB14C3">
        <w:rPr>
          <w:rFonts w:ascii="Arial" w:hAnsi="Arial" w:cs="Arial"/>
          <w:sz w:val="20"/>
          <w:szCs w:val="20"/>
          <w:lang w:val="en-GB"/>
        </w:rPr>
        <w:t>), other</w:t>
      </w:r>
      <w:r w:rsidRPr="00CB14C3">
        <w:rPr>
          <w:rFonts w:ascii="Arial" w:hAnsi="Arial" w:cs="Arial"/>
          <w:sz w:val="20"/>
          <w:szCs w:val="20"/>
          <w:lang w:val="en-GB"/>
        </w:rPr>
        <w:t xml:space="preserve"> features look affected or influenced by an intake as Nuclei looks </w:t>
      </w:r>
      <w:r w:rsidR="00EB4069" w:rsidRPr="00CB14C3">
        <w:rPr>
          <w:rFonts w:ascii="Arial" w:hAnsi="Arial" w:cs="Arial"/>
          <w:sz w:val="20"/>
          <w:szCs w:val="20"/>
          <w:lang w:val="en-GB"/>
        </w:rPr>
        <w:t>darkened and</w:t>
      </w:r>
      <w:r w:rsidRPr="00CB14C3">
        <w:rPr>
          <w:rFonts w:ascii="Arial" w:hAnsi="Arial" w:cs="Arial"/>
          <w:sz w:val="20"/>
          <w:szCs w:val="20"/>
          <w:lang w:val="en-GB"/>
        </w:rPr>
        <w:t xml:space="preserve"> not too healthy as those in group 6.</w:t>
      </w:r>
    </w:p>
    <w:p w:rsidR="00F00096" w:rsidRPr="00CB14C3" w:rsidRDefault="00F00096" w:rsidP="006C3AAB">
      <w:pPr>
        <w:jc w:val="both"/>
        <w:rPr>
          <w:rFonts w:ascii="Arial" w:hAnsi="Arial" w:cs="Arial"/>
          <w:lang w:val="en-GB"/>
        </w:rPr>
      </w:pPr>
    </w:p>
    <w:p w:rsidR="006E0448" w:rsidRPr="00CB14C3" w:rsidRDefault="006E0448" w:rsidP="006C3AAB">
      <w:pPr>
        <w:jc w:val="both"/>
        <w:rPr>
          <w:rFonts w:ascii="Arial" w:hAnsi="Arial" w:cs="Arial"/>
          <w:lang w:val="en-GB"/>
        </w:rPr>
      </w:pPr>
    </w:p>
    <w:p w:rsidR="00695483" w:rsidRPr="00CB14C3" w:rsidRDefault="00695483" w:rsidP="00784675">
      <w:pPr>
        <w:spacing w:line="360" w:lineRule="auto"/>
        <w:jc w:val="both"/>
        <w:rPr>
          <w:rFonts w:ascii="Arial" w:hAnsi="Arial" w:cs="Arial"/>
          <w:sz w:val="20"/>
          <w:szCs w:val="20"/>
          <w:lang w:val="en-GB"/>
        </w:rPr>
      </w:pPr>
      <w:r w:rsidRPr="00CB14C3">
        <w:rPr>
          <w:rFonts w:ascii="Arial" w:hAnsi="Arial" w:cs="Arial"/>
          <w:sz w:val="20"/>
          <w:szCs w:val="20"/>
          <w:lang w:val="en-GB"/>
        </w:rPr>
        <w:t xml:space="preserve">The present study investigated the hepatoprotective and lipid-modulating effects of </w:t>
      </w:r>
      <w:r w:rsidRPr="00CB14C3">
        <w:rPr>
          <w:rFonts w:ascii="Arial" w:hAnsi="Arial" w:cs="Arial"/>
          <w:i/>
          <w:sz w:val="20"/>
          <w:szCs w:val="20"/>
          <w:lang w:val="en-GB"/>
        </w:rPr>
        <w:t>Amaranthu</w:t>
      </w:r>
      <w:r w:rsidRPr="00CB14C3">
        <w:rPr>
          <w:rFonts w:ascii="Arial" w:hAnsi="Arial" w:cs="Arial"/>
          <w:sz w:val="20"/>
          <w:szCs w:val="20"/>
          <w:lang w:val="en-GB"/>
        </w:rPr>
        <w:t xml:space="preserve">s </w:t>
      </w:r>
      <w:r w:rsidR="00EB4069" w:rsidRPr="00CB14C3">
        <w:rPr>
          <w:rFonts w:ascii="Arial" w:hAnsi="Arial" w:cs="Arial"/>
          <w:i/>
          <w:sz w:val="20"/>
          <w:szCs w:val="20"/>
          <w:lang w:val="en-GB"/>
        </w:rPr>
        <w:t>spinous</w:t>
      </w:r>
      <w:r w:rsidRPr="00CB14C3">
        <w:rPr>
          <w:rFonts w:ascii="Arial" w:hAnsi="Arial" w:cs="Arial"/>
          <w:sz w:val="20"/>
          <w:szCs w:val="20"/>
          <w:lang w:val="en-GB"/>
        </w:rPr>
        <w:t xml:space="preserve"> against alcohol-induced hepatotoxicity in rats. Alcohol exposure is a </w:t>
      </w:r>
      <w:r w:rsidR="00703583" w:rsidRPr="00CB14C3">
        <w:rPr>
          <w:rFonts w:ascii="Arial" w:hAnsi="Arial" w:cs="Arial"/>
          <w:sz w:val="20"/>
          <w:szCs w:val="20"/>
          <w:lang w:val="en-GB"/>
        </w:rPr>
        <w:t>well-established</w:t>
      </w:r>
      <w:r w:rsidRPr="00CB14C3">
        <w:rPr>
          <w:rFonts w:ascii="Arial" w:hAnsi="Arial" w:cs="Arial"/>
          <w:sz w:val="20"/>
          <w:szCs w:val="20"/>
          <w:lang w:val="en-GB"/>
        </w:rPr>
        <w:t xml:space="preserve"> cause of hepatic injury and </w:t>
      </w:r>
      <w:proofErr w:type="spellStart"/>
      <w:r w:rsidRPr="00CB14C3">
        <w:rPr>
          <w:rFonts w:ascii="Arial" w:hAnsi="Arial" w:cs="Arial"/>
          <w:sz w:val="20"/>
          <w:szCs w:val="20"/>
          <w:lang w:val="en-GB"/>
        </w:rPr>
        <w:t>dyslipidemia</w:t>
      </w:r>
      <w:proofErr w:type="spellEnd"/>
      <w:r w:rsidRPr="00CB14C3">
        <w:rPr>
          <w:rFonts w:ascii="Arial" w:hAnsi="Arial" w:cs="Arial"/>
          <w:sz w:val="20"/>
          <w:szCs w:val="20"/>
          <w:lang w:val="en-GB"/>
        </w:rPr>
        <w:t>, mediated through oxidative stress, altered lipid metabolism, and hepatocellular membrane damage</w:t>
      </w:r>
      <w:r w:rsidR="00703583" w:rsidRPr="00CB14C3">
        <w:rPr>
          <w:rFonts w:ascii="Arial" w:hAnsi="Arial" w:cs="Arial"/>
          <w:sz w:val="20"/>
          <w:szCs w:val="20"/>
          <w:lang w:val="en-GB"/>
        </w:rPr>
        <w:t xml:space="preserve"> </w:t>
      </w:r>
      <w:r w:rsidRPr="00CB14C3">
        <w:rPr>
          <w:rStyle w:val="FootnoteReference"/>
          <w:rFonts w:ascii="Arial" w:hAnsi="Arial" w:cs="Arial"/>
          <w:sz w:val="20"/>
          <w:szCs w:val="20"/>
          <w:lang w:val="en-GB"/>
        </w:rPr>
        <w:fldChar w:fldCharType="begin" w:fldLock="1"/>
      </w:r>
      <w:r w:rsidRPr="00CB14C3">
        <w:rPr>
          <w:rFonts w:ascii="Arial" w:hAnsi="Arial" w:cs="Arial"/>
          <w:sz w:val="20"/>
          <w:szCs w:val="20"/>
          <w:lang w:val="en-GB"/>
        </w:rPr>
        <w:instrText>ADDIN CSL_CITATION {"citationItems":[{"id":"ITEM-1","itemData":{"DOI":"10.1016/J.SAJB.2021.10.029","ISSN":"0254-6299","abstract":"A hydroalcoholic leaf extract of Amaranthus hybridus (HLEAH) at doses of 100, 200, and 400 mg/kg was investigated for its antioxidant and hepatoprotective effects on thioacetamide (TAA)- induced hepatic damage in rats. Liver damage was induced by administering TAA (300 mg/L) in drinking water for 10 weeks. The total phenolic, flavonoid, and ascorbic acid contents were 14.12±0.01 mg gallic acid equivalents (GAE), 3.39±0.02 mg quercetin equivalents (QE), and 2.86±0.01 mg/100 mg, respectively. Amino acid profiles showed the presence of sixteen amino acids. HLEAH exhibited a potent and dose-dependent antioxidant capacity in vitro, probably reflecting its rich content of antioxidant compounds. HLEAH ameliorated the TAA-induced elevation of rat liver enzyme markers and increases in total protein. It also increased the activities of superoxide dismutase and catalase, but decreased the levels of oxidative stress biomarkers. Histopathological studies suggested an alleviation of tissue fibrosis and prevention of progression to cirrhosis. GC–MS profiling of HLEAH showed six compounds, with 5,7-dihydroxyl flavone, N</w:instrText>
      </w:r>
      <w:r w:rsidRPr="00CB14C3">
        <w:rPr>
          <w:rFonts w:ascii="Cambria Math" w:hAnsi="Cambria Math" w:cs="Cambria Math"/>
          <w:sz w:val="20"/>
          <w:szCs w:val="20"/>
          <w:lang w:val="en-GB"/>
        </w:rPr>
        <w:instrText>‑</w:instrText>
      </w:r>
      <w:r w:rsidRPr="00CB14C3">
        <w:rPr>
          <w:rFonts w:ascii="Arial" w:hAnsi="Arial" w:cs="Arial"/>
          <w:sz w:val="20"/>
          <w:szCs w:val="20"/>
          <w:lang w:val="en-GB"/>
        </w:rPr>
        <w:instrText>hydroxyl benzene sulfonamide, and benzene sulfonyl chloride as predominant components. These data indicate that Amaranthus hybridus has a beneficial effect against hepatic abnormalities caused by TAA. This effect is attributed to the plant's nutritional components and potent antioxidative capacity, thereby validating its traditional use in liver disease management.","author":[{"dropping-particle":"","family":"Ejiofor","given":"Emmanuel U.","non-dropping-particle":"","parse-names":false,"suffix":""},{"dropping-particle":"","family":"Oyedemi","given":"Sunday O.","non-dropping-particle":"","parse-names":false,"suffix":""},{"dropping-particle":"","family":"Onoja","given":"Samuel O.","non-dropping-particle":"","parse-names":false,"suffix":""},{"dropping-particle":"","family":"Omeh","given":"Ndukaku Y.","non-dropping-particle":"","parse-names":false,"suffix":""}],"container-title":"South African Journal of Botany","id":"ITEM-1","issued":{"date-parts":[["2022","5","1"]]},"page":"213-221","publisher":"Elsevier","title":"Amaranthus hybridus Linn. leaf extract ameliorates oxidative stress and hepatic damage abnormalities induced by thioacetamide in rats","type":"article-journal","volume":"146"},"uris":["http://www.mendeley.com/documents/?uuid=fdeb3a7f-4f98-37bf-ae9c-eae354c3f20b"]},{"id":"ITEM-2","itemData":{"DOI":"10.1016/j.fct.2008.08.013","ISSN":"02786915","PMID":"18783728","abstract":"The hepatoprotective and antioxidant activity of 50% ethanolic extract of whole plant of Amaranthus spinosus (ASE) was evaluated against carbon tetrachloride (CCl4) induced hepatic damage in rats. The ASE at dose of 100, 200 and 400 mg/kg were administered orally once daily for fourteen days. The substantially elevated serum enzymatic levels of serum glutamate oxaloacetate transaminase (AST), serum glutamate pyruvate transaminase (ALT), serum alkaline phosphatase (SALP) and total bilirubin were restored towards normalization significantly by the ASE in a dose dependent manner. Higher dose exhibited significant hepatoprotective activity against carbon tetrachloride induced hepatotoxicity in rats. The biochemical observations were supplemented with histopathological examination of rat liver sections. Meanwhile, in vivo antioxidant activities as malondialdehyde (MDA), hydroperoxides, reduced glutathione (GSH), superoxide dismutase (SOD) and catalase (CAT) were also screened which were also found significantly positive in a dose dependent manner. The results of this study strongly indicate that whole plants of A. spinosus have potent hepatoprotective activity against carbon tetrachloride induced hepatic damage in experimental animals. This study suggests that possible mechanism of this activity may be due to the presence of flavonoids and phenolics compound in the ASE which may be responsible to hepatoprotective activity. © 2008 Elsevier Ltd. All rights reserved.","author":[{"dropping-particle":"","family":"Zeashan","given":"Hussain","non-dropping-particle":"","parse-names":false,"suffix":""},{"dropping-particle":"","family":"Amresh","given":"G.","non-dropping-particle":"","parse-names":false,"suffix":""},{"dropping-particle":"","family":"Singh","given":"Satyawan","non-dropping-particle":"","parse-names":false,"suffix":""},{"dropping-particle":"","family":"Rao","given":"Chandana Venkateswara","non-dropping-particle":"","parse-names":false,"suffix":""}],"container-title":"Food and Chemical Toxicology","id":"ITEM-2","issue":"11","issued":{"date-parts":[["2008"]]},"page":"3417-3421","title":"Hepatoprotective activity of Amaranthus spinosus in experimental animals","type":"article-journal","volume":"46"},"uris":["http://www.mendeley.com/documents/?uuid=c824ea6a-fca5-4e7a-b07a-39505b16719c"]}],"mendeley":{"formattedCitation":"(Ejiofor et al., 2022; Zeashan et al., 2008a)","plainTextFormattedCitation":"(Ejiofor et al., 2022; Zeashan et al., 2008a)","previouslyFormattedCitation":"(Ejiofor et al., 2022; Zeashan et al., 2008a)"},"properties":{"noteIndex":0},"schema":"https://github.com/citation-style-language/schema/raw/master/csl-citation.json"}</w:instrText>
      </w:r>
      <w:r w:rsidRPr="00CB14C3">
        <w:rPr>
          <w:rStyle w:val="FootnoteReference"/>
          <w:rFonts w:ascii="Arial" w:hAnsi="Arial" w:cs="Arial"/>
          <w:sz w:val="20"/>
          <w:szCs w:val="20"/>
          <w:lang w:val="en-GB"/>
        </w:rPr>
        <w:fldChar w:fldCharType="separate"/>
      </w:r>
      <w:r w:rsidRPr="00CB14C3">
        <w:rPr>
          <w:rFonts w:ascii="Arial" w:hAnsi="Arial" w:cs="Arial"/>
          <w:bCs/>
          <w:sz w:val="20"/>
          <w:szCs w:val="20"/>
          <w:lang w:val="en-GB"/>
        </w:rPr>
        <w:t>(Ejiofor et al., 2022; Zeashan et al., 2008a)</w:t>
      </w:r>
      <w:r w:rsidRPr="00CB14C3">
        <w:rPr>
          <w:rStyle w:val="FootnoteReference"/>
          <w:rFonts w:ascii="Arial" w:hAnsi="Arial" w:cs="Arial"/>
          <w:sz w:val="20"/>
          <w:szCs w:val="20"/>
          <w:lang w:val="en-GB"/>
        </w:rPr>
        <w:fldChar w:fldCharType="end"/>
      </w:r>
      <w:r w:rsidRPr="00CB14C3">
        <w:rPr>
          <w:rFonts w:ascii="Arial" w:hAnsi="Arial" w:cs="Arial"/>
          <w:sz w:val="20"/>
          <w:szCs w:val="20"/>
          <w:lang w:val="en-GB"/>
        </w:rPr>
        <w:t xml:space="preserve">. In this study, alcohol administration produced marked biochemical and histopathological alterations, while treatment with aqueous crude extract of A. </w:t>
      </w:r>
      <w:r w:rsidR="00EB4069" w:rsidRPr="00CB14C3">
        <w:rPr>
          <w:rFonts w:ascii="Arial" w:hAnsi="Arial" w:cs="Arial"/>
          <w:sz w:val="20"/>
          <w:szCs w:val="20"/>
          <w:lang w:val="en-GB"/>
        </w:rPr>
        <w:t>spinous</w:t>
      </w:r>
      <w:r w:rsidRPr="00CB14C3">
        <w:rPr>
          <w:rFonts w:ascii="Arial" w:hAnsi="Arial" w:cs="Arial"/>
          <w:sz w:val="20"/>
          <w:szCs w:val="20"/>
          <w:lang w:val="en-GB"/>
        </w:rPr>
        <w:t xml:space="preserve"> ameliorated many of these effects in a dose- and treatment-dependent manner. </w:t>
      </w:r>
    </w:p>
    <w:p w:rsidR="00552ED3" w:rsidRPr="00CB14C3" w:rsidRDefault="00695483" w:rsidP="00784675">
      <w:pPr>
        <w:spacing w:line="360" w:lineRule="auto"/>
        <w:jc w:val="both"/>
        <w:rPr>
          <w:rFonts w:ascii="Arial" w:hAnsi="Arial" w:cs="Arial"/>
          <w:sz w:val="20"/>
          <w:szCs w:val="20"/>
          <w:lang w:val="en-GB"/>
        </w:rPr>
      </w:pPr>
      <w:r w:rsidRPr="00CB14C3">
        <w:rPr>
          <w:rFonts w:ascii="Arial" w:hAnsi="Arial" w:cs="Arial"/>
          <w:sz w:val="20"/>
          <w:szCs w:val="20"/>
          <w:lang w:val="en-GB"/>
        </w:rPr>
        <w:t xml:space="preserve">Chronic alcohol exposure is known to disrupt hepatic lipid homeostasis, resulting in elevated circulating cholesterol and triglycerides through increased lipogenesis and impaired lipid clearance. In the present study, rats exposed to alcohol alone (Group 3) exhibited significantly elevated total cholesterol and triglyceride levels compared with control groups, confirming alcohol-induced </w:t>
      </w:r>
      <w:proofErr w:type="spellStart"/>
      <w:r w:rsidRPr="00CB14C3">
        <w:rPr>
          <w:rFonts w:ascii="Arial" w:hAnsi="Arial" w:cs="Arial"/>
          <w:sz w:val="20"/>
          <w:szCs w:val="20"/>
          <w:lang w:val="en-GB"/>
        </w:rPr>
        <w:t>dyslipidemia</w:t>
      </w:r>
      <w:proofErr w:type="spellEnd"/>
      <w:r w:rsidRPr="00CB14C3">
        <w:rPr>
          <w:rFonts w:ascii="Arial" w:hAnsi="Arial" w:cs="Arial"/>
          <w:sz w:val="20"/>
          <w:szCs w:val="20"/>
          <w:lang w:val="en-GB"/>
        </w:rPr>
        <w:t xml:space="preserve">. These findings are consistent with previous reports demonstrating alcohol-mediated alterations in lipid metabolism </w:t>
      </w:r>
      <w:r w:rsidRPr="00CB14C3">
        <w:rPr>
          <w:rFonts w:ascii="Arial" w:hAnsi="Arial" w:cs="Arial"/>
          <w:sz w:val="20"/>
          <w:szCs w:val="20"/>
          <w:lang w:val="en-GB"/>
        </w:rPr>
        <w:fldChar w:fldCharType="begin" w:fldLock="1"/>
      </w:r>
      <w:r w:rsidRPr="00CB14C3">
        <w:rPr>
          <w:rFonts w:ascii="Arial" w:hAnsi="Arial" w:cs="Arial"/>
          <w:sz w:val="20"/>
          <w:szCs w:val="20"/>
          <w:lang w:val="en-GB"/>
        </w:rPr>
        <w:instrText>ADDIN CSL_CITATION {"citationItems":[{"id":"ITEM-1","itemData":{"DOI":"10.7759/cureus.38028","abstract":"Acute pancreatitis (AP) is the painful inflammation of the pancreas. It is commonly associated with gallstones, excessive alcohol use, and certain medications. We report a case of hypertriglyceridemia-induced pancreatitis in a 35-year-old African American male with a history of alcohol abuse, tobacco use, and hyperlipidemia who presented with abdominal pain and intractable vomiting. During history taking, he reported chronic alcohol abuse over the past 10 years. On physical examination, he was ill-looking, with a dry mucous membrane and reproducible epigastric tenderness. Laboratory testing indicated markedly elevated triglycerides and lipase levels. Computed Tomography imaging showed signs of pancreatic inflammation. He was treated with aggressive intravenous fluid hydration, insulin infusion, and pain control medications. He demonstrated significant improvement and then transitioned to oral fibrates. Community resources for alcohol abuse treatment were provided and a referral was made to endocrinology for outpatient follow-up. This case highlights acute pancreatitis in a person with high alcohol use with elevated triglyceride and explores possible associations between these three.; Competing Interests: The authors have declared that no competing interests exist. (Copyright © 2023, Nwaobi et al.)","author":[{"dropping-particle":"","family":"Nwaobi","given":"Samuel","non-dropping-particle":"","parse-names":false,"suffix":""},{"dropping-particle":"","family":"Khan","given":"Ayesha","non-dropping-particle":"","parse-names":false,"suffix":""},{"dropping-particle":"","family":"Ojemolon","given":"Pius E","non-dropping-particle":"","parse-names":false,"suffix":""},{"dropping-particle":"","family":"Ugoh","given":"Amaka C","non-dropping-particle":"","parse-names":false,"suffix":""},{"dropping-particle":"","family":"Iheme","given":"Blessing C","non-dropping-particle":"","parse-names":false,"suffix":""}],"container-title":"Cureus","id":"ITEM-1","issued":{"date-parts":[["2023","4","24"]]},"publisher":"Springer Science and Business Media LLC","title":"A Case of Hypertriglyceridemia-Induced Acute Pancreatitis in the Setting of Alcohol Abuse","type":"article-journal"},"uris":["http://www.mendeley.com/documents/?uuid=f499a09c-8f31-3cd1-b493-79395be5f148"]}],"mendeley":{"formattedCitation":"(Nwaobi et al., 2023)","plainTextFormattedCitation":"(Nwaobi et al., 2023)","previouslyFormattedCitation":"(Nwaobi et al., 2023)"},"properties":{"noteIndex":0},"schema":"https://github.com/citation-style-language/schema/raw/master/csl-citation.json"}</w:instrText>
      </w:r>
      <w:r w:rsidRPr="00CB14C3">
        <w:rPr>
          <w:rFonts w:ascii="Arial" w:hAnsi="Arial" w:cs="Arial"/>
          <w:sz w:val="20"/>
          <w:szCs w:val="20"/>
          <w:lang w:val="en-GB"/>
        </w:rPr>
        <w:fldChar w:fldCharType="separate"/>
      </w:r>
      <w:r w:rsidRPr="00CB14C3">
        <w:rPr>
          <w:rFonts w:ascii="Arial" w:hAnsi="Arial" w:cs="Arial"/>
          <w:sz w:val="20"/>
          <w:szCs w:val="20"/>
          <w:lang w:val="en-GB"/>
        </w:rPr>
        <w:t>(Nwaobi et al., 2023)</w:t>
      </w:r>
      <w:r w:rsidRPr="00CB14C3">
        <w:rPr>
          <w:rFonts w:ascii="Arial" w:hAnsi="Arial" w:cs="Arial"/>
          <w:sz w:val="20"/>
          <w:szCs w:val="20"/>
          <w:lang w:val="en-GB"/>
        </w:rPr>
        <w:fldChar w:fldCharType="end"/>
      </w:r>
      <w:r w:rsidRPr="00CB14C3">
        <w:rPr>
          <w:rFonts w:ascii="Arial" w:hAnsi="Arial" w:cs="Arial"/>
          <w:sz w:val="20"/>
          <w:szCs w:val="20"/>
          <w:lang w:val="en-GB"/>
        </w:rPr>
        <w:t xml:space="preserve">. Administration of A. </w:t>
      </w:r>
      <w:r w:rsidR="00EB4069" w:rsidRPr="00CB14C3">
        <w:rPr>
          <w:rFonts w:ascii="Arial" w:hAnsi="Arial" w:cs="Arial"/>
          <w:sz w:val="20"/>
          <w:szCs w:val="20"/>
          <w:lang w:val="en-GB"/>
        </w:rPr>
        <w:t>spinous</w:t>
      </w:r>
      <w:r w:rsidRPr="00CB14C3">
        <w:rPr>
          <w:rFonts w:ascii="Arial" w:hAnsi="Arial" w:cs="Arial"/>
          <w:sz w:val="20"/>
          <w:szCs w:val="20"/>
          <w:lang w:val="en-GB"/>
        </w:rPr>
        <w:t xml:space="preserve"> extract resulted in a reduction of serum total cholesterol</w:t>
      </w:r>
      <w:r w:rsidR="00A70847" w:rsidRPr="00CB14C3">
        <w:rPr>
          <w:rFonts w:ascii="Arial" w:hAnsi="Arial" w:cs="Arial"/>
          <w:sz w:val="20"/>
          <w:szCs w:val="20"/>
          <w:lang w:val="en-GB"/>
        </w:rPr>
        <w:t xml:space="preserve"> (see figure 1)</w:t>
      </w:r>
      <w:r w:rsidRPr="00CB14C3">
        <w:rPr>
          <w:rFonts w:ascii="Arial" w:hAnsi="Arial" w:cs="Arial"/>
          <w:sz w:val="20"/>
          <w:szCs w:val="20"/>
          <w:lang w:val="en-GB"/>
        </w:rPr>
        <w:t xml:space="preserve">, particularly in Group 5, indicating a protective effect against alcohol-induced hypercholesterolemia. However, the incomplete normalization observed in some treatment groups suggests that antioxidant and lipid-modulating effects of the extract may be dose-limited, supporting reports that bioactive phytochemicals exert optimal protection only within specific concentration ranges </w:t>
      </w:r>
      <w:r w:rsidRPr="00CB14C3">
        <w:rPr>
          <w:rStyle w:val="FootnoteReference"/>
          <w:rFonts w:ascii="Arial" w:hAnsi="Arial" w:cs="Arial"/>
          <w:sz w:val="20"/>
          <w:szCs w:val="20"/>
          <w:lang w:val="en-GB"/>
        </w:rPr>
        <w:fldChar w:fldCharType="begin" w:fldLock="1"/>
      </w:r>
      <w:r w:rsidRPr="00CB14C3">
        <w:rPr>
          <w:rFonts w:ascii="Arial" w:hAnsi="Arial" w:cs="Arial"/>
          <w:sz w:val="20"/>
          <w:szCs w:val="20"/>
          <w:lang w:val="en-GB"/>
        </w:rPr>
        <w:instrText>ADDIN CSL_CITATION {"citationItems":[{"id":"ITEM-1","itemData":{"DOI":"10.3390/ANTIOX12040903","ISSN":"20763921","PMID":"37107278","abstract":"In the current review, we focused on identifying aliment compounds and micronutrients, as well as addressed promising bioactive nutrients that may interfere with NAFLD advance and ultimately affect this disease progress. In this regard, we targeted: 1. Potential bioactive nutrients that may interfere with NAFLD, specifically dark chocolate, cocoa butter, and peanut butter which may be involved in decreasing cholesterol concentrations. 2. The role of sweeteners used in coffee and other frequent beverages; in this sense, stevia has proven to be adequate for improving carbohydrate metabolism, liver steatosis, and liver fibrosis. 3. Additional compounds were shown to exert a beneficial action on NAFLD, namely glutathione, soy lecithin, silymarin, Aquamin, and cannabinoids which were shown to lower the serum concentration of triglycerides. 4. The effects of micronutrients, especially vitamins, on NAFLD. Even if most studies demonstrate the beneficial role of vitamins in this pathology, there are exceptions. 5. We provide information regarding the modulation of the activity of some enzymes related to NAFLD and their effect on this disease. We conclude that NAFLD can be prevented or improved by different factors through their involvement in the signaling, genetic, and biochemical pathways that underlie NAFLD. Therefore, exposing this vast knowledge to the public is particularly important.","author":[{"dropping-particle":"","family":"Munteanu","given":"Camelia","non-dropping-particle":"","parse-names":false,"suffix":""},{"dropping-particle":"","family":"Schwartz","given":"Betty","non-dropping-particle":"","parse-names":false,"suffix":""}],"container-title":"Antioxidants","id":"ITEM-1","issue":"4","issued":{"date-parts":[["2023","4","1"]]},"page":"903","publisher":"MDPI","title":"The Effect of Bioactive Aliment Compounds and Micronutrients on Non-Alcoholic Fatty Liver Disease","type":"article-journal","volume":"12"},"uris":["http://www.mendeley.com/documents/?uuid=be70672b-2531-3b8a-a61c-a4c7bfca4475"]}],"mendeley":{"formattedCitation":"(Munteanu &amp; Schwartz, 2023)","plainTextFormattedCitation":"(Munteanu &amp; Schwartz, 2023)","previouslyFormattedCitation":"(Munteanu &amp; Schwartz, 2023)"},"properties":{"noteIndex":0},"schema":"https://github.com/citation-style-language/schema/raw/master/csl-citation.json"}</w:instrText>
      </w:r>
      <w:r w:rsidRPr="00CB14C3">
        <w:rPr>
          <w:rStyle w:val="FootnoteReference"/>
          <w:rFonts w:ascii="Arial" w:hAnsi="Arial" w:cs="Arial"/>
          <w:sz w:val="20"/>
          <w:szCs w:val="20"/>
          <w:lang w:val="en-GB"/>
        </w:rPr>
        <w:fldChar w:fldCharType="separate"/>
      </w:r>
      <w:r w:rsidRPr="00CB14C3">
        <w:rPr>
          <w:rFonts w:ascii="Arial" w:hAnsi="Arial" w:cs="Arial"/>
          <w:bCs/>
          <w:sz w:val="20"/>
          <w:szCs w:val="20"/>
          <w:lang w:val="en-GB"/>
        </w:rPr>
        <w:t>(Munteanu &amp; Schwartz, 2023)</w:t>
      </w:r>
      <w:r w:rsidRPr="00CB14C3">
        <w:rPr>
          <w:rStyle w:val="FootnoteReference"/>
          <w:rFonts w:ascii="Arial" w:hAnsi="Arial" w:cs="Arial"/>
          <w:sz w:val="20"/>
          <w:szCs w:val="20"/>
          <w:lang w:val="en-GB"/>
        </w:rPr>
        <w:fldChar w:fldCharType="end"/>
      </w:r>
      <w:r w:rsidRPr="00CB14C3">
        <w:rPr>
          <w:rFonts w:ascii="Arial" w:hAnsi="Arial" w:cs="Arial"/>
          <w:sz w:val="20"/>
          <w:szCs w:val="20"/>
          <w:lang w:val="en-GB"/>
        </w:rPr>
        <w:t>. Serum triglyceride levels were markedly elevated in alcohol-only rats, reflecting enhanced hepatic triglyceride synthesis and reduced peripheral clearance</w:t>
      </w:r>
      <w:r w:rsidR="00382093" w:rsidRPr="00CB14C3">
        <w:rPr>
          <w:rFonts w:ascii="Arial" w:hAnsi="Arial" w:cs="Arial"/>
          <w:sz w:val="20"/>
          <w:szCs w:val="20"/>
          <w:lang w:val="en-GB"/>
        </w:rPr>
        <w:t xml:space="preserve"> </w:t>
      </w:r>
      <w:r w:rsidR="000D5D92" w:rsidRPr="00CB14C3">
        <w:rPr>
          <w:rFonts w:ascii="Arial" w:hAnsi="Arial" w:cs="Arial"/>
          <w:sz w:val="20"/>
          <w:szCs w:val="20"/>
          <w:lang w:val="en-GB"/>
        </w:rPr>
        <w:fldChar w:fldCharType="begin" w:fldLock="1"/>
      </w:r>
      <w:r w:rsidR="000D5D92" w:rsidRPr="00CB14C3">
        <w:rPr>
          <w:rFonts w:ascii="Arial" w:hAnsi="Arial" w:cs="Arial"/>
          <w:sz w:val="20"/>
          <w:szCs w:val="20"/>
          <w:lang w:val="en-GB"/>
        </w:rPr>
        <w:instrText>ADDIN CSL_CITATION {"citationItems":[{"id":"ITEM-1","itemData":{"DOI":"10.1016/j.jep.2012.09.044","ISSN":"03788741","PMID":"23058988","abstract":"Ethnopharmacological relevance: Long-term excess alcohol exposure leads to alcoholic liver disease (ALD) - a global health problem without effective therapeutic approach. ALD is increasingly considered as a complex and multifaceted pathological process, involving oxidative stress, inflammation and excessive fatty acid synthesis. Over the past decade, herbal medicines have attracted much attention as potential therapeutic agents in the prevention and treatment of ALD, due to their multiple targets and less toxic side effects. Several herbs, such as Cnidium monnieri (L.) Cusson (Apiaceae), Curcuma longa L. (Zingiberaceae) and Pueraria lobata (Willd.) Ohwi (Leguminosae), etc.; have been shown to be quite effective and are being widely used in China today for the treatment of ALD when used alone or in combination. Aim of the review: To review current available knowledge on herbal medicines used to prevent or treat ALD and their underlying mechanisms. Materials and methods: We used the pre-set searching syntax and inclusion criteria to retrieve available published literature from PUBMED and Web of Science databases, all herbal medicines and their active compounds tested on ALD induced by both acute and chronic alcohol ingestion were included. Results: A total of 40 experimental studies involving 34 herbal medicines and (or) active compounds were retrieved and reviewed. We found that all reported extracts and individual compounds from herbal medicines/natural plants could be beneficial to ALD, which might be attributed to regulate multiple critical targets involved in the pathways of oxidation, inflammation and lipid metabolism. Conclusions: Screening chemical candidate from herbal medicine might be a promising approach to drug discovery for the prevention or treatment of ALD. However, further studies remain to be done on the systematic assessment of herbal medicines against ALD and the underlying mechanisms, as well as their quality control studies. © 2012 Elsevier Ireland Ltd.","author":[{"dropping-particle":"","family":"Ding","given":"Ren Bo","non-dropping-particle":"","parse-names":false,"suffix":""},{"dropping-particle":"","family":"Tian","given":"Ke","non-dropping-particle":"","parse-names":false,"suffix":""},{"dropping-particle":"","family":"Huang","given":"Li Li","non-dropping-particle":"","parse-names":false,"suffix":""},{"dropping-particle":"","family":"He","given":"Cheng Wei","non-dropping-particle":"","parse-names":false,"suffix":""},{"dropping-particle":"","family":"Jiang","given":"Yun","non-dropping-particle":"","parse-names":false,"suffix":""},{"dropping-particle":"","family":"Wang","given":"Yi Tao","non-dropping-particle":"","parse-names":false,"suffix":""},{"dropping-particle":"","family":"Wan","given":"Jian Bo","non-dropping-particle":"","parse-names":false,"suffix":""}],"container-title":"Journal of Ethnopharmacology","id":"ITEM-1","issued":{"date-parts":[["2012","12"]]},"page":"457-465","title":"Herbal medicines for the prevention of alcoholic liver disease: A review","type":"article","volume":"144"},"uris":["http://www.mendeley.com/documents/?uuid=6eecb7d4-f73f-3d22-b5b0-413f1e19bdf3"]}],"mendeley":{"formattedCitation":"(Ding et al., 2012)","plainTextFormattedCitation":"(Ding et al., 2012)","previouslyFormattedCitation":"(Ding et al., 2012)"},"properties":{"noteIndex":0},"schema":"https://github.com/citation-style-language/schema/raw/master/csl-citation.json"}</w:instrText>
      </w:r>
      <w:r w:rsidR="000D5D92" w:rsidRPr="00CB14C3">
        <w:rPr>
          <w:rFonts w:ascii="Arial" w:hAnsi="Arial" w:cs="Arial"/>
          <w:sz w:val="20"/>
          <w:szCs w:val="20"/>
          <w:lang w:val="en-GB"/>
        </w:rPr>
        <w:fldChar w:fldCharType="separate"/>
      </w:r>
      <w:r w:rsidR="000D5D92" w:rsidRPr="00CB14C3">
        <w:rPr>
          <w:rFonts w:ascii="Arial" w:hAnsi="Arial" w:cs="Arial"/>
          <w:sz w:val="20"/>
          <w:szCs w:val="20"/>
          <w:lang w:val="en-GB"/>
        </w:rPr>
        <w:t>(Ding et al., 2012)</w:t>
      </w:r>
      <w:r w:rsidR="000D5D92" w:rsidRPr="00CB14C3">
        <w:rPr>
          <w:rFonts w:ascii="Arial" w:hAnsi="Arial" w:cs="Arial"/>
          <w:sz w:val="20"/>
          <w:szCs w:val="20"/>
          <w:lang w:val="en-GB"/>
        </w:rPr>
        <w:fldChar w:fldCharType="end"/>
      </w:r>
      <w:r w:rsidRPr="00CB14C3">
        <w:rPr>
          <w:rFonts w:ascii="Arial" w:hAnsi="Arial" w:cs="Arial"/>
          <w:sz w:val="20"/>
          <w:szCs w:val="20"/>
          <w:lang w:val="en-GB"/>
        </w:rPr>
        <w:t xml:space="preserve">. </w:t>
      </w:r>
      <w:r w:rsidRPr="00CB14C3">
        <w:rPr>
          <w:rFonts w:ascii="Arial" w:hAnsi="Arial" w:cs="Arial"/>
          <w:sz w:val="20"/>
          <w:szCs w:val="20"/>
          <w:lang w:val="en-GB"/>
        </w:rPr>
        <w:lastRenderedPageBreak/>
        <w:t xml:space="preserve">Treatment with A. </w:t>
      </w:r>
      <w:r w:rsidR="00EB4069" w:rsidRPr="00CB14C3">
        <w:rPr>
          <w:rFonts w:ascii="Arial" w:hAnsi="Arial" w:cs="Arial"/>
          <w:sz w:val="20"/>
          <w:szCs w:val="20"/>
          <w:lang w:val="en-GB"/>
        </w:rPr>
        <w:t>spinous</w:t>
      </w:r>
      <w:r w:rsidRPr="00CB14C3">
        <w:rPr>
          <w:rFonts w:ascii="Arial" w:hAnsi="Arial" w:cs="Arial"/>
          <w:sz w:val="20"/>
          <w:szCs w:val="20"/>
          <w:lang w:val="en-GB"/>
        </w:rPr>
        <w:t xml:space="preserve"> extract produced a dose-dependent reduction in triglyceride levels, with the greatest effect observed in Group 7. This suggests that the extract may mitigate alcohol-induced lipid dysregulation, potentially through improved hepatic lipid handling and enhanced lipid oxidation</w:t>
      </w:r>
      <w:r w:rsidR="00382093" w:rsidRPr="00CB14C3">
        <w:rPr>
          <w:rFonts w:ascii="Arial" w:hAnsi="Arial" w:cs="Arial"/>
          <w:sz w:val="20"/>
          <w:szCs w:val="20"/>
          <w:lang w:val="en-GB"/>
        </w:rPr>
        <w:fldChar w:fldCharType="begin" w:fldLock="1"/>
      </w:r>
      <w:r w:rsidR="00D500FE" w:rsidRPr="00CB14C3">
        <w:rPr>
          <w:rFonts w:ascii="Arial" w:hAnsi="Arial" w:cs="Arial"/>
          <w:sz w:val="20"/>
          <w:szCs w:val="20"/>
          <w:lang w:val="en-GB"/>
        </w:rPr>
        <w:instrText>ADDIN CSL_CITATION {"citationItems":[{"id":"ITEM-1","itemData":{"DOI":"10.1016/S0140-6736(21)02724-0","ISSN":"1474547X","PMID":"35065702","abstract":"Background: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 Methods: We estimated deaths and disability-adjusted life-years (DALYs) attributable to and associated with bacterial AMR for 23 pathogens and 88 pathogen–drug combinations in 204 countries and territories in 2019. We obtained data from systematic literature reviews, hospital systems, surveillance systems, and other sources, covering 471 million individual records or isolates and 7585 study-location-years. We used predictive statistical modelling to produce estimates of AMR burden for all locations, including for locations with no data. Our approach can be divided into five broad components: number of deaths where infection played a role, proportion of infectious deaths attributable to a given infectious syndrome, proportion of infectious syndrome deaths attributable to a given pathogen, the percentage of a given pathogen resistant to an antibiotic of interest, and the excess risk of death or duration of an infection associated with this resistance. Using these components, we estimated disease burden based on two counterfactuals: deaths attributable to AMR (based on an alternative scenario in which all drug-resistant infections were replaced by drug-susceptible infections), and deaths associated with AMR (based on an alternative scenario in which all drug-resistant infections were replaced by no infection). We generated 95% uncertainty intervals (UIs) for final estimates as the 25th and 975th ordered values across 1000 posterior draws, and models were cross-validated for out-of-sample predictive validity. We present final estimates aggregated to the global and regional level. Findings: On the basis of our predictive statistical models, there were an estimated 4·95 million (3·62–6·57) deaths associated with bacterial AMR in 2019, including 1·27 million (95% UI 0·911–1·71) deaths attributable to bacterial AMR. At the regional level, we estimated the all-age death rate attributable to resistance to be highest in western sub-Saharan Africa, at 27·3 deaths per 100 000 (20·9–35·3), and lowest in Australasia, at 6·5 deaths (4·3–9·4) per 100 000. Lower respiratory infections accounted for mo…","author":[{"dropping-particle":"","family":"Murray","given":"Christopher JL","non-dropping-particle":"","parse-names":false,"suffix":""},{"dropping-particle":"","family":"Ikuta","given":"Kevin Shunji","non-dropping-particle":"","parse-names":false,"suffix":""},{"dropping-particle":"","family":"Sharara","given":"Fablina","non-dropping-particle":"","parse-names":false,"suffix":""},{"dropping-particle":"","family":"Swetschinski","given":"Lucien","non-dropping-particle":"","parse-names":false,"suffix":""},{"dropping-particle":"","family":"Robles Aguilar","given":"Gisela","non-dropping-particle":"","parse-names":false,"suffix":""},{"dropping-particle":"","family":"Gray","given":"Authia","non-dropping-particle":"","parse-names":false,"suffix":""},{"dropping-particle":"","family":"Han","given":"Chieh","non-dropping-particle":"","parse-names":false,"suffix":""},{"dropping-particle":"","family":"Bisignano","given":"Catherine","non-dropping-particle":"","parse-names":false,"suffix":""},{"dropping-particle":"","family":"Rao","given":"Puja","non-dropping-particle":"","parse-names":false,"suffix":""},{"dropping-particle":"","family":"Wool","given":"Eve","non-dropping-particle":"","parse-names":false,"suffix":""},{"dropping-particle":"","family":"Johnson","given":"Sarah C.","non-dropping-particle":"","parse-names":false,"suffix":""},{"dropping-particle":"","family":"Browne","given":"Annie J.","non-dropping-particle":"","parse-names":false,"suffix":""},{"dropping-particle":"","family":"Chipeta","given":"Michael Give","non-dropping-particle":"","parse-names":false,"suffix":""},{"dropping-particle":"","family":"Fell","given":"Frederick","non-dropping-particle":"","parse-names":false,"suffix":""},{"dropping-particle":"","family":"Hackett","given":"Sean","non-dropping-particle":"","parse-names":false,"suffix":""},{"dropping-particle":"","family":"Haines-Woodhouse","given":"Georgina","non-dropping-particle":"","parse-names":false,"suffix":""},{"dropping-particle":"","family":"Kashef Hamadani","given":"Bahar H.","non-dropping-particle":"","parse-names":false,"suffix":""},{"dropping-particle":"","family":"Kumaran","given":"Emmanuelle A.P.","non-dropping-particle":"","parse-names":false,"suffix":""},{"dropping-particle":"","family":"McManigal","given":"Barney","non-dropping-particle":"","parse-names":false,"suffix":""},{"dropping-particle":"","family":"Agarwal","given":"Ramesh","non-dropping-particle":"","parse-names":false,"suffix":""},{"dropping-particle":"","family":"Akech","given":"Samuel","non-dropping-particle":"","parse-names":false,"suffix":""},{"dropping-particle":"","family":"Albertson","given":"Samuel","non-dropping-particle":"","parse-names":false,"suffix":""},{"dropping-particle":"","family":"Amuasi","given":"John","non-dropping-particle":"","parse-names":false,"suffix":""},{"dropping-particle":"","family":"Andrews","given":"Jason","non-dropping-particle":"","parse-names":false,"suffix":""},{"dropping-particle":"","family":"Aravkin","given":"Aleskandr","non-dropping-particle":"","parse-names":false,"suffix":""},{"dropping-particle":"","family":"Ashley","given":"Elizabeth","non-dropping-particle":"","parse-names":false,"suffix":""},{"dropping-particle":"","family":"Bailey","given":"Freddie","non-dropping-particle":"","parse-names":false,"suffix":""},{"dropping-particle":"","family":"Baker","given":"Stephen","non-dropping-particle":"","parse-names":false,"suffix":""},{"dropping-particle":"","family":"Basnyat","given":"Buddha","non-dropping-particle":"","parse-names":false,"suffix":""},{"dropping-particle":"","family":"Bekker","given":"Adrie","non-dropping-particle":"","parse-names":false,"suffix":""},{"dropping-particle":"","family":"Bender","given":"Rose","non-dropping-particle":"","parse-names":false,"suffix":""},{"dropping-particle":"","family":"Bethou","given":"Adhisivam","non-dropping-particle":"","parse-names":false,"suffix":""},{"dropping-particle":"","family":"Bielicki","given":"Julia","non-dropping-particle":"","parse-names":false,"suffix":""},{"dropping-particle":"","family":"Boonkasidecha","given":"Suppawat","non-dropping-particle":"","parse-names":false,"suffix":""},{"dropping-particle":"","family":"Bukosia","given":"James","non-dropping-particle":"","parse-names":false,"suffix":""},{"dropping-particle":"","family":"Carvalheiro","given":"Cristina","non-dropping-particle":"","parse-names":false,"suffix":""},{"dropping-particle":"","family":"Castañeda-Orjuela","given":"Carlos","non-dropping-particle":"","parse-names":false,"suffix":""},{"dropping-particle":"","family":"Chansamouth","given":"Vilada","non-dropping-particle":"","parse-names":false,"suffix":""},{"dropping-particle":"","family":"Chaurasia","given":"Suman","non-dropping-particle":"","parse-names":false,"suffix":""},{"dropping-particle":"","family":"Chiurchiù","given":"Sara","non-dropping-particle":"","parse-names":false,"suffix":""},{"dropping-particle":"","family":"Chowdhury","given":"Fazle","non-dropping-particle":"","parse-names":false,"suffix":""},{"dropping-particle":"","family":"Cook","given":"Aislinn J.","non-dropping-particle":"","parse-names":false,"suffix":""},{"dropping-particle":"","family":"Cooper","given":"Ben","non-dropping-particle":"","parse-names":false,"suffix":""},{"dropping-particle":"","family":"Cressey","given":"Tim R.","non-dropping-particle":"","parse-names":false,"suffix":""},{"dropping-particle":"","family":"Criollo-Mora","given":"Elia","non-dropping-particle":"","parse-names":false,"suffix":""},{"dropping-particle":"","family":"Cunningham","given":"Matthew","non-dropping-particle":"","parse-names":false,"suffix":""},{"dropping-particle":"","family":"Darboe","given":"Saffiatou","non-dropping-particle":"","parse-names":false,"suffix":""},{"dropping-particle":"","family":"Day","given":"Nicholas P.J.","non-dropping-particle":"","parse-names":false,"suffix":""},{"dropping-particle":"","family":"Luca","given":"Maia","non-dropping-particle":"De","parse-names":false,"suffix":""},{"dropping-particle":"","family":"Dokova","given":"Klara","non-dropping-particle":"","parse-names":false,"suffix":""},{"dropping-particle":"","family":"Dramowski","given":"Angela","non-dropping-particle":"","parse-names":false,"suffix":""},{"dropping-particle":"","family":"Dunachie","given":"Susanna J.","non-dropping-particle":"","parse-names":false,"suffix":""},{"dropping-particle":"","family":"Eckmanns","given":"Tim","non-dropping-particle":"","parse-names":false,"suffix":""},{"dropping-particle":"","family":"Eibach","given":"Daniel","non-dropping-particle":"","parse-names":false,"suffix":""},{"dropping-particle":"","family":"Emami","given":"Amir","non-dropping-particle":"","parse-names":false,"suffix":""},{"dropping-particle":"","family":"Feasey","given":"Nicholas","non-dropping-particle":"","parse-names":false,"suffix":""},{"dropping-particle":"","family":"Fisher-Pearson","given":"Natasha","non-dropping-particle":"","parse-names":false,"suffix":""},{"dropping-particle":"","family":"Forrest","given":"Karen","non-dropping-particle":"","parse-names":false,"suffix":""},{"dropping-particle":"","family":"Garrett","given":"Denise","non-dropping-particle":"","parse-names":false,"suffix":""},{"dropping-particle":"","family":"Gastmeier","given":"Petra","non-dropping-particle":"","parse-names":false,"suffix":""},{"dropping-particle":"","family":"Giref","given":"Ababi Zergaw","non-dropping-particle":"","parse-names":false,"suffix":""},{"dropping-particle":"","family":"Greer","given":"Rachel Claire","non-dropping-particle":"","parse-names":false,"suffix":""},{"dropping-particle":"","family":"Gupta","given":"Vikas","non-dropping-particle":"","parse-names":false,"suffix":""},{"dropping-particle":"","family":"Haller","given":"Sebastian","non-dropping-particle":"","parse-names":false,"suffix":""},{"dropping-particle":"","family":"Haselbeck","given":"Andrea","non-dropping-particle":"","parse-names":false,"suffix":""},{"dropping-particle":"","family":"Hay","given":"Simon I.","non-dropping-particle":"","parse-names":false,"suffix":""},{"dropping-particle":"","family":"Holm","given":"Marianne","non-dropping-particle":"","parse-names":false,"suffix":""},{"dropping-particle":"","family":"Hopkins","given":"Susan","non-dropping-particle":"","parse-names":false,"suffix":""},{"dropping-particle":"","family":"Iregbu","given":"Kenneth C.","non-dropping-particle":"","parse-names":false,"suffix":""},{"dropping-particle":"","family":"Jacobs","given":"Jan","non-dropping-particle":"","parse-names":false,"suffix":""},{"dropping-particle":"","family":"Jarovsky","given":"Daniel","non-dropping-particle":"","parse-names":false,"suffix":""},{"dropping-particle":"","family":"Javanmardi","given":"Fatemeh","non-dropping-particle":"","parse-names":false,"suffix":""},{"dropping-particle":"","family":"Khorana","given":"Meera","non-dropping-particle":"","parse-names":false,"suffix":""},{"dropping-particle":"","family":"Kissoon","given":"Niranjan","non-dropping-particle":"","parse-names":false,"suffix":""},{"dropping-particle":"","family":"Kobeissi","given":"Elsa","non-dropping-particle":"","parse-names":false,"suffix":""},{"dropping-particle":"","family":"Kostyanev","given":"Tomislav","non-dropping-particle":"","parse-names":false,"suffix":""},{"dropping-particle":"","family":"Krapp","given":"Fiorella","non-dropping-particle":"","parse-names":false,"suffix":""},{"dropping-particle":"","family":"Krumkamp","given":"Ralf","non-dropping-particle":"","parse-names":false,"suffix":""},{"dropping-particle":"","family":"Kumar","given":"Ajay","non-dropping-particle":"","parse-names":false,"suffix":""},{"dropping-particle":"","family":"Kyu","given":"Hmwe Hmwe","non-dropping-particle":"","parse-names":false,"suffix":""},{"dropping-particle":"","family":"Lim","given":"Cherry","non-dropping-particle":"","parse-names":false,"suffix":""},{"dropping-particle":"","family":"Limmathurotsakul","given":"Direk","non-dropping-particle":"","parse-names":false,"suffix":""},{"dropping-particle":"","family":"Loftus","given":"Michael James","non-dropping-particle":"","parse-names":false,"suffix":""},{"dropping-particle":"","family":"Lunn","given":"Miles","non-dropping-particle":"","parse-names":false,"suffix":""},{"dropping-particle":"","family":"Ma","given":"Jianing","non-dropping-particle":"","parse-names":false,"suffix":""},{"dropping-particle":"","family":"Mturi","given":"Neema","non-dropping-particle":"","parse-names":false,"suffix":""},{"dropping-particle":"","family":"Munera-Huertas","given":"Tatiana","non-dropping-particle":"","parse-names":false,"suffix":""},{"dropping-particle":"","family":"Musicha","given":"Patrick","non-dropping-particle":"","parse-names":false,"suffix":""},{"dropping-particle":"","family":"Mussi-Pinhata","given":"Marisa Marcia","non-dropping-particle":"","parse-names":false,"suffix":""},{"dropping-particle":"","family":"Nakamura","given":"Tomoka","non-dropping-particle":"","parse-names":false,"suffix":""},{"dropping-particle":"","family":"Nanavati","given":"Ruchi","non-dropping-particle":"","parse-names":false,"suffix":""},{"dropping-particle":"","family":"Nangia","given":"Sushma","non-dropping-particle":"","parse-names":false,"suffix":""},{"dropping-particle":"","family":"Newton","given":"Paul","non-dropping-particle":"","parse-names":false,"suffix":""},{"dropping-particle":"","family":"Ngoun","given":"Chanpheaktra","non-dropping-particle":"","parse-names":false,"suffix":""},{"dropping-particle":"","family":"Novotney","given":"Amanda","non-dropping-particle":"","parse-names":false,"suffix":""},{"dropping-particle":"","family":"Nwakanma","given":"Davis","non-dropping-particle":"","parse-names":false,"suffix":""},{"dropping-particle":"","family":"Obiero","given":"Christina W.","non-dropping-particle":"","parse-names":false,"suffix":""},{"dropping-particle":"","family":"Olivas-Martinez","given":"Antonio","non-dropping-particle":"","parse-names":false,"suffix":""},{"dropping-particle":"","family":"Olliaro","given":"Piero","non-dropping-particle":"","parse-names":false,"suffix":""},{"dropping-particle":"","family":"Ooko","given":"Ednah","non-dropping-particle":"","parse-names":false,"suffix":""},{"dropping-particle":"","family":"Ortiz-Brizuela","given":"Edgar","non-dropping-particle":"","parse-names":false,"suffix":""},{"dropping-particle":"","family":"Peleg","given":"Anton Yariv","non-dropping-particle":"","parse-names":false,"suffix":""},{"dropping-particle":"","family":"Perrone","given":"Carlo","non-dropping-particle":"","parse-names":false,"suffix":""},{"dropping-particle":"","family":"Plakkal","given":"Nishad","non-dropping-particle":"","parse-names":false,"suffix":""},{"dropping-particle":"","family":"Ponce-de-Leon","given":"Alfredo","non-dropping-particle":"","parse-names":false,"suffix":""},{"dropping-particle":"","family":"Raad","given":"Mathieu","non-dropping-particle":"","parse-names":false,"suffix":""},{"dropping-particle":"","family":"Ramdin","given":"Tanusha","non-dropping-particle":"","parse-names":false,"suffix":""},{"dropping-particle":"","family":"Riddell","given":"Amy","non-dropping-particle":"","parse-names":false,"suffix":""},{"dropping-particle":"","family":"Roberts","given":"Tamalee","non-dropping-particle":"","parse-names":false,"suffix":""},{"dropping-particle":"","family":"Robotham","given":"Julie Victoria","non-dropping-particle":"","parse-names":false,"suffix":""},{"dropping-particle":"","family":"Roca","given":"Anna","non-dropping-particle":"","parse-names":false,"suffix":""},{"dropping-particle":"","family":"Rudd","given":"Kristina E.","non-dropping-particle":"","parse-names":false,"suffix":""},{"dropping-particle":"","family":"Russell","given":"Neal","non-dropping-particle":"","parse-names":false,"suffix":""},{"dropping-particle":"","family":"Schnall","given":"Jesse","non-dropping-particle":"","parse-names":false,"suffix":""},{"dropping-particle":"","family":"Scott","given":"John Anthony Gerard","non-dropping-particle":"","parse-names":false,"suffix":""},{"dropping-particle":"","family":"Shivamallappa","given":"Madhusudhan","non-dropping-particle":"","parse-names":false,"suffix":""},{"dropping-particle":"","family":"Sifuentes-Osornio","given":"Jose","non-dropping-particle":"","parse-names":false,"suffix":""},{"dropping-particle":"","family":"Steenkeste","given":"Nicolas","non-dropping-particle":"","parse-names":false,"suffix":""},{"dropping-particle":"","family":"Stewardson","given":"Andrew James","non-dropping-particle":"","parse-names":false,"suffix":""},{"dropping-particle":"","family":"Stoeva","given":"Temenuga","non-dropping-particle":"","parse-names":false,"suffix":""},{"dropping-particle":"","family":"Tasak","given":"Nidanuch","non-dropping-particle":"","parse-names":false,"suffix":""},{"dropping-particle":"","family":"Thaiprakong","given":"Areerat","non-dropping-particle":"","parse-names":false,"suffix":""},{"dropping-particle":"","family":"Thwaites","given":"Guy","non-dropping-particle":"","parse-names":false,"suffix":""},{"dropping-particle":"","family":"Turner","given":"Claudia","non-dropping-particle":"","parse-names":false,"suffix":""},{"dropping-particle":"","family":"Turner","given":"Paul","non-dropping-particle":"","parse-names":false,"suffix":""},{"dropping-particle":"","family":"Doorn","given":"H. Rogier","non-dropping-particle":"van","parse-names":false,"suffix":""},{"dropping-particle":"","family":"Velaphi","given":"Sithembiso","non-dropping-particle":"","parse-names":false,"suffix":""},{"dropping-particle":"","family":"Vongpradith","given":"Avina","non-dropping-particle":"","parse-names":false,"suffix":""},{"dropping-particle":"","family":"Vu","given":"Huong","non-dropping-particle":"","parse-names":false,"suffix":""},{"dropping-particle":"","family":"Walsh","given":"Timothy","non-dropping-particle":"","parse-names":false,"suffix":""},{"dropping-particle":"","family":"Waner","given":"Seymour","non-dropping-particle":"","parse-names":false,"suffix":""},{"dropping-particle":"","family":"Wangrangsimakul","given":"Tri","non-dropping-particle":"","parse-names":false,"suffix":""},{"dropping-particle":"","family":"Wozniak","given":"Teresa","non-dropping-particle":"","parse-names":false,"suffix":""},{"dropping-particle":"","family":"Zheng","given":"Peng","non-dropping-particle":"","parse-names":false,"suffix":""},{"dropping-particle":"","family":"Sartorius","given":"Benn","non-dropping-particle":"","parse-names":false,"suffix":""},{"dropping-particle":"","family":"Lopez","given":"Alan D.","non-dropping-particle":"","parse-names":false,"suffix":""},{"dropping-particle":"","family":"Stergachis","given":"Andy","non-dropping-particle":"","parse-names":false,"suffix":""},{"dropping-particle":"","family":"Moore","given":"Catrin","non-dropping-particle":"","parse-names":false,"suffix":""},{"dropping-particle":"","family":"Dolecek","given":"Christiane","non-dropping-particle":"","parse-names":false,"suffix":""},{"dropping-particle":"","family":"Naghavi","given":"Mohsen","non-dropping-particle":"","parse-names":false,"suffix":""}],"container-title":"The Lancet","id":"ITEM-1","issue":"10325","issued":{"date-parts":[["2022","2","12"]]},"page":"629-655","publisher":"Elsevier B.V.","title":"Global burden of bacterial antimicrobial resistance in 2019: a systematic analysis","type":"article-journal","volume":"399"},"uris":["http://www.mendeley.com/documents/?uuid=aaf8c42e-5fc9-38be-b3e8-f3c9ad8ba3b0"]}],"mendeley":{"formattedCitation":"(Murray et al., 2022)","plainTextFormattedCitation":"(Murray et al., 2022)","previouslyFormattedCitation":"(Murray et al., 2022)"},"properties":{"noteIndex":0},"schema":"https://github.com/citation-style-language/schema/raw/master/csl-citation.json"}</w:instrText>
      </w:r>
      <w:r w:rsidR="00382093" w:rsidRPr="00CB14C3">
        <w:rPr>
          <w:rFonts w:ascii="Arial" w:hAnsi="Arial" w:cs="Arial"/>
          <w:sz w:val="20"/>
          <w:szCs w:val="20"/>
          <w:lang w:val="en-GB"/>
        </w:rPr>
        <w:fldChar w:fldCharType="separate"/>
      </w:r>
      <w:r w:rsidR="00382093" w:rsidRPr="00CB14C3">
        <w:rPr>
          <w:rFonts w:ascii="Arial" w:hAnsi="Arial" w:cs="Arial"/>
          <w:sz w:val="20"/>
          <w:szCs w:val="20"/>
          <w:lang w:val="en-GB"/>
        </w:rPr>
        <w:t>(Murray et al., 2022)</w:t>
      </w:r>
      <w:r w:rsidR="00382093" w:rsidRPr="00CB14C3">
        <w:rPr>
          <w:rFonts w:ascii="Arial" w:hAnsi="Arial" w:cs="Arial"/>
          <w:sz w:val="20"/>
          <w:szCs w:val="20"/>
          <w:lang w:val="en-GB"/>
        </w:rPr>
        <w:fldChar w:fldCharType="end"/>
      </w:r>
      <w:r w:rsidRPr="00CB14C3">
        <w:rPr>
          <w:rFonts w:ascii="Arial" w:hAnsi="Arial" w:cs="Arial"/>
          <w:sz w:val="20"/>
          <w:szCs w:val="20"/>
          <w:lang w:val="en-GB"/>
        </w:rPr>
        <w:t>, although direct mechanistic confirmation was not assessed in this study.</w:t>
      </w:r>
      <w:r w:rsidR="00552ED3" w:rsidRPr="00CB14C3">
        <w:rPr>
          <w:rFonts w:ascii="Arial" w:hAnsi="Arial" w:cs="Arial"/>
          <w:sz w:val="20"/>
          <w:szCs w:val="20"/>
          <w:lang w:val="en-GB"/>
        </w:rPr>
        <w:t xml:space="preserve"> </w:t>
      </w:r>
    </w:p>
    <w:p w:rsidR="004F49FF" w:rsidRPr="00CB14C3" w:rsidRDefault="00552ED3" w:rsidP="00784675">
      <w:pPr>
        <w:spacing w:line="360" w:lineRule="auto"/>
        <w:jc w:val="both"/>
        <w:rPr>
          <w:rFonts w:ascii="Arial" w:hAnsi="Arial" w:cs="Arial"/>
          <w:sz w:val="20"/>
          <w:szCs w:val="20"/>
          <w:lang w:val="en-GB"/>
        </w:rPr>
      </w:pPr>
      <w:r w:rsidRPr="00CB14C3">
        <w:rPr>
          <w:rFonts w:ascii="Arial" w:hAnsi="Arial" w:cs="Arial"/>
          <w:sz w:val="20"/>
          <w:szCs w:val="20"/>
          <w:lang w:val="en-GB"/>
        </w:rPr>
        <w:t>Elevated VLDL-C is a recognized contributor to atherogenesis, particularly in the context of hepatic lipid accumulation associated with chronic alcohol consumption</w:t>
      </w:r>
      <w:r w:rsidR="000D5D92" w:rsidRPr="00CB14C3">
        <w:rPr>
          <w:rFonts w:ascii="Arial" w:hAnsi="Arial" w:cs="Arial"/>
          <w:sz w:val="20"/>
          <w:szCs w:val="20"/>
          <w:lang w:val="en-GB"/>
        </w:rPr>
        <w:t xml:space="preserve"> </w:t>
      </w:r>
      <w:r w:rsidR="000D5D92" w:rsidRPr="00CB14C3">
        <w:rPr>
          <w:rFonts w:ascii="Arial" w:hAnsi="Arial" w:cs="Arial"/>
          <w:sz w:val="20"/>
          <w:szCs w:val="20"/>
          <w:lang w:val="en-GB"/>
        </w:rPr>
        <w:fldChar w:fldCharType="begin" w:fldLock="1"/>
      </w:r>
      <w:r w:rsidR="000D5D92" w:rsidRPr="00CB14C3">
        <w:rPr>
          <w:rFonts w:ascii="Arial" w:hAnsi="Arial" w:cs="Arial"/>
          <w:sz w:val="20"/>
          <w:szCs w:val="20"/>
          <w:lang w:val="en-GB"/>
        </w:rPr>
        <w:instrText>ADDIN CSL_CITATION {"citationItems":[{"id":"ITEM-1","itemData":{"DOI":"10.3390/biom15070990","ISSN":"2218273X","PMID":"40723862","abstract":"Metabolic dysfunction-associated steatotic liver disease (MASLD) is characterized by excessive accumulation of triglycerides and other lipids within liver cells and is closely associated with cardiovascular disease and metabolic syndrome. Very low-density lipoprotein (VLDL) is a lipoprotein synthesized and secreted by the liver and is primarily responsible for transporting triglycerides from the liver to peripheral tissues. Therefore, there is a strong association between MASLD and VLDL. Studies have found that excess production and abnormal metabolism of VLDL can lead to elevated blood triglyceride levels, which in turn promote fat deposition in the liver, leading to MASLD. During the pathophysiological process of MASLD, adipokines and inflammatory mediators secreted by adipose tissue can affect the metabolic network of the liver, further aggravating VLDL metabolic disorders. This paper reviews the effects of VLDL synthesis and metabolism on the development of MASLD, including the changes in VLDL structure and composition, the biosynthesis of VLDL, and the mechanism of underlying VLDL-associated damage, in an attempt to elucidate the intricate crosstalk between MASLD and VLDL, in order to provide new perspectives and methods for the prevention and treatment of related diseases.","author":[{"dropping-particle":"","family":"Chen","given":"Yan","non-dropping-particle":"","parse-names":false,"suffix":""},{"dropping-particle":"","family":"Lei","given":"Kaiwen","non-dropping-particle":"","parse-names":false,"suffix":""},{"dropping-particle":"","family":"Liu","given":"Yanglong","non-dropping-particle":"","parse-names":false,"suffix":""},{"dropping-particle":"","family":"Liu","given":"Jianshen","non-dropping-particle":"","parse-names":false,"suffix":""},{"dropping-particle":"","family":"Wei","given":"Kunhua","non-dropping-particle":"","parse-names":false,"suffix":""},{"dropping-particle":"","family":"Guo","given":"Jiao","non-dropping-particle":"","parse-names":false,"suffix":""},{"dropping-particle":"","family":"Su","given":"Zhengquan","non-dropping-particle":"","parse-names":false,"suffix":""}],"container-title":"Biomolecules","id":"ITEM-1","issued":{"date-parts":[["2025","7"]]},"publisher":"Multidisciplinary Digital Publishing Institute (MDPI)","title":"Metabolic Dysfunction-Associated Steatotic Liver Disease: From a Very Low-Density Lipoprotein Perspective","type":"article","volume":"15"},"uris":["http://www.mendeley.com/documents/?uuid=9a04618b-4709-32fc-a5ad-b5db7e6cbab8"]}],"mendeley":{"formattedCitation":"(Chen et al., 2025)","plainTextFormattedCitation":"(Chen et al., 2025)","previouslyFormattedCitation":"(Chen et al., 2025)"},"properties":{"noteIndex":0},"schema":"https://github.com/citation-style-language/schema/raw/master/csl-citation.json"}</w:instrText>
      </w:r>
      <w:r w:rsidR="000D5D92" w:rsidRPr="00CB14C3">
        <w:rPr>
          <w:rFonts w:ascii="Arial" w:hAnsi="Arial" w:cs="Arial"/>
          <w:sz w:val="20"/>
          <w:szCs w:val="20"/>
          <w:lang w:val="en-GB"/>
        </w:rPr>
        <w:fldChar w:fldCharType="separate"/>
      </w:r>
      <w:r w:rsidR="000D5D92" w:rsidRPr="00CB14C3">
        <w:rPr>
          <w:rFonts w:ascii="Arial" w:hAnsi="Arial" w:cs="Arial"/>
          <w:sz w:val="20"/>
          <w:szCs w:val="20"/>
          <w:lang w:val="en-GB"/>
        </w:rPr>
        <w:t>(Chen et al., 2025)</w:t>
      </w:r>
      <w:r w:rsidR="000D5D92" w:rsidRPr="00CB14C3">
        <w:rPr>
          <w:rFonts w:ascii="Arial" w:hAnsi="Arial" w:cs="Arial"/>
          <w:sz w:val="20"/>
          <w:szCs w:val="20"/>
          <w:lang w:val="en-GB"/>
        </w:rPr>
        <w:fldChar w:fldCharType="end"/>
      </w:r>
      <w:r w:rsidRPr="00CB14C3">
        <w:rPr>
          <w:rFonts w:ascii="Arial" w:hAnsi="Arial" w:cs="Arial"/>
          <w:sz w:val="20"/>
          <w:szCs w:val="20"/>
          <w:lang w:val="en-GB"/>
        </w:rPr>
        <w:t xml:space="preserve">. In this study, alcohol-treated rats demonstrated increased hepatic VLDL-C levels, confirming alcohol-induced </w:t>
      </w:r>
      <w:proofErr w:type="spellStart"/>
      <w:r w:rsidRPr="00CB14C3">
        <w:rPr>
          <w:rFonts w:ascii="Arial" w:hAnsi="Arial" w:cs="Arial"/>
          <w:sz w:val="20"/>
          <w:szCs w:val="20"/>
          <w:lang w:val="en-GB"/>
        </w:rPr>
        <w:t>dyslipidemia</w:t>
      </w:r>
      <w:proofErr w:type="spellEnd"/>
      <w:r w:rsidR="000D5D92" w:rsidRPr="00CB14C3">
        <w:rPr>
          <w:rFonts w:ascii="Arial" w:hAnsi="Arial" w:cs="Arial"/>
          <w:sz w:val="20"/>
          <w:szCs w:val="20"/>
          <w:lang w:val="en-GB"/>
        </w:rPr>
        <w:t xml:space="preserve"> following </w:t>
      </w:r>
      <w:r w:rsidR="000D5D92" w:rsidRPr="00CB14C3">
        <w:rPr>
          <w:rFonts w:ascii="Arial" w:hAnsi="Arial" w:cs="Arial"/>
          <w:sz w:val="20"/>
          <w:szCs w:val="20"/>
          <w:lang w:val="en-GB"/>
        </w:rPr>
        <w:fldChar w:fldCharType="begin" w:fldLock="1"/>
      </w:r>
      <w:r w:rsidR="009200C6" w:rsidRPr="00CB14C3">
        <w:rPr>
          <w:rFonts w:ascii="Arial" w:hAnsi="Arial" w:cs="Arial"/>
          <w:sz w:val="20"/>
          <w:szCs w:val="20"/>
          <w:lang w:val="en-GB"/>
        </w:rPr>
        <w:instrText>ADDIN CSL_CITATION {"citationItems":[{"id":"ITEM-1","itemData":{"DOI":"10.3390/ijms23084300","ISSN":"14220067","PMID":"35457118","abstract":"Embraced with apolipoproteins (Apo) B and Apo E, triglyceride-enriched very-low-density lipoprotein (VLDL) is secreted by the liver into circulation, mainly during post-meal hours. Here, we present a brief review of the physiological role of VLDL and a systemic review of the emerging evidence supporting its pathological roles. VLDL promotes atherosclerosis in metabolic syndrome (MetS). VLDL isolated from subjects with MetS exhibits cytotoxicity to atrial myocytes, induces atrial myopathy, and promotes vulnerability to atrial fibrillation. VLDL levels are affected by a number of endocrinological disorders and can be increased by therapeutic supplementation with cortisol, growth hormone, progesterone, and estrogen. VLDL promotes aldosterone secretion, which contributes to hypertension. VLDL induces neuroinflammation, leading to cognitive dysfunction. VLDL levels are also correlated with chronic kidney disease, autoimmune disorders, and some dermatological diseases. The extra-hepatic secretion of VLDL derived from intestinal dysbiosis is suggested to be harmful. Emerging evidence suggests disturbed VLDL metabolism in sleep disorders and in cancer development and progression. In addition to VLDL, the VLDL receptor (VLDLR) may affect both VLDL metabolism and carcinogenesis. Overall, emerging evidence supports the pathological roles of VLDL in multi-organ diseases. To better understand the fundamental mechanisms of how VLDL promotes disease development, elucidation of the quality control of VLDL and of the regulation and signaling of VLDLR should be indispensable. With this, successful VLDL-targeted therapies can be discovered in the future.","author":[{"dropping-particle":"","family":"Huang","given":"Jih Kai","non-dropping-particle":"","parse-names":false,"suffix":""},{"dropping-particle":"","family":"Lee","given":"Hsiang Chun","non-dropping-particle":"","parse-names":false,"suffix":""}],"container-title":"International Journal of Molecular Sciences","id":"ITEM-1","issued":{"date-parts":[["2022","4"]]},"publisher":"MDPI","title":"Emerging Evidence of Pathological Roles of Very-Low-Density Lipoprotein (VLDL)","type":"article","volume":"23"},"uris":["http://www.mendeley.com/documents/?uuid=2b84c219-67c3-3887-b846-17912d1c315c"]}],"mendeley":{"formattedCitation":"(Huang &amp; Lee, 2022)","manualFormatting":"Huang &amp; Lee, (2022)","plainTextFormattedCitation":"(Huang &amp; Lee, 2022)","previouslyFormattedCitation":"(Huang &amp; Lee, 2022)"},"properties":{"noteIndex":0},"schema":"https://github.com/citation-style-language/schema/raw/master/csl-citation.json"}</w:instrText>
      </w:r>
      <w:r w:rsidR="000D5D92" w:rsidRPr="00CB14C3">
        <w:rPr>
          <w:rFonts w:ascii="Arial" w:hAnsi="Arial" w:cs="Arial"/>
          <w:sz w:val="20"/>
          <w:szCs w:val="20"/>
          <w:lang w:val="en-GB"/>
        </w:rPr>
        <w:fldChar w:fldCharType="separate"/>
      </w:r>
      <w:r w:rsidR="000D5D92" w:rsidRPr="00CB14C3">
        <w:rPr>
          <w:rFonts w:ascii="Arial" w:hAnsi="Arial" w:cs="Arial"/>
          <w:sz w:val="20"/>
          <w:szCs w:val="20"/>
          <w:lang w:val="en-GB"/>
        </w:rPr>
        <w:t>Huang &amp; Lee, (2022)</w:t>
      </w:r>
      <w:r w:rsidR="000D5D92" w:rsidRPr="00CB14C3">
        <w:rPr>
          <w:rFonts w:ascii="Arial" w:hAnsi="Arial" w:cs="Arial"/>
          <w:sz w:val="20"/>
          <w:szCs w:val="20"/>
          <w:lang w:val="en-GB"/>
        </w:rPr>
        <w:fldChar w:fldCharType="end"/>
      </w:r>
      <w:r w:rsidR="000D5D92" w:rsidRPr="00CB14C3">
        <w:rPr>
          <w:rFonts w:ascii="Arial" w:hAnsi="Arial" w:cs="Arial"/>
          <w:sz w:val="20"/>
          <w:szCs w:val="20"/>
          <w:lang w:val="en-GB"/>
        </w:rPr>
        <w:t>reports</w:t>
      </w:r>
      <w:r w:rsidRPr="00CB14C3">
        <w:rPr>
          <w:rFonts w:ascii="Arial" w:hAnsi="Arial" w:cs="Arial"/>
          <w:sz w:val="20"/>
          <w:szCs w:val="20"/>
          <w:lang w:val="en-GB"/>
        </w:rPr>
        <w:t xml:space="preserve">. Discontinuation of alcohol exposure followed by administration of A. </w:t>
      </w:r>
      <w:r w:rsidR="00EB4069" w:rsidRPr="00CB14C3">
        <w:rPr>
          <w:rFonts w:ascii="Arial" w:hAnsi="Arial" w:cs="Arial"/>
          <w:sz w:val="20"/>
          <w:szCs w:val="20"/>
          <w:lang w:val="en-GB"/>
        </w:rPr>
        <w:t>spinous</w:t>
      </w:r>
      <w:r w:rsidRPr="00CB14C3">
        <w:rPr>
          <w:rFonts w:ascii="Arial" w:hAnsi="Arial" w:cs="Arial"/>
          <w:sz w:val="20"/>
          <w:szCs w:val="20"/>
          <w:lang w:val="en-GB"/>
        </w:rPr>
        <w:t xml:space="preserve"> extract significantly reduced hepatic VLDL-C levels, especially in Groups 4 and 5. This reduction suggests an improvement in hepatic lipid metabolism, potentially through reduced lipogenesis or enhanced lipid clearance, though these mechanisms require further investigation. However, </w:t>
      </w:r>
      <w:r w:rsidRPr="00CB14C3">
        <w:rPr>
          <w:rStyle w:val="FootnoteReference"/>
          <w:rFonts w:ascii="Arial" w:hAnsi="Arial" w:cs="Arial"/>
          <w:sz w:val="20"/>
          <w:szCs w:val="20"/>
          <w:lang w:val="en-GB"/>
        </w:rPr>
        <w:fldChar w:fldCharType="begin" w:fldLock="1"/>
      </w:r>
      <w:r w:rsidR="009200C6" w:rsidRPr="00CB14C3">
        <w:rPr>
          <w:rFonts w:ascii="Arial" w:hAnsi="Arial" w:cs="Arial"/>
          <w:sz w:val="20"/>
          <w:szCs w:val="20"/>
          <w:lang w:val="en-GB"/>
        </w:rPr>
        <w:instrText>ADDIN CSL_CITATION {"citationItems":[{"id":"ITEM-1","itemData":{"DOI":"10.1016/J.RMU.2015.10.002","ISSN":"1665-5796","abstract":"Liver diseases are a major health problem worldwide, making it necessary to develop new molecules that help counteract or prevent such diseases. On account of this fact, investigations aiming to obtain natural and/or synthetic compounds possessing hepatoprotective activity have been undertaken. The development of new drugs consists of a variety of steps, ranging from the discovery of the pharmacological effects in cellular and animal models, to finally demonstrate their efficacy and safety in humans. Different models for assessment of the hepatoprotective activity in vitro, ex vivo and in vivo can be found in medical literature. The purpose of this review is to show the features, main advantages and disadvantages of each of the models, the hepatotoxic agents most commonly used (CCl4, acetaminophen, ethanol, d-galactosamine, t-BuOOH, thioacetamide) as well as the biochemical parameters useful to assess liver damage in the different models.","author":[{"dropping-particle":"","family":"Delgado-Montemayor","given":"C.","non-dropping-particle":"","parse-names":false,"suffix":""},{"dropping-particle":"","family":"Cordero-Pérez","given":"P.","non-dropping-particle":"","parse-names":false,"suffix":""},{"dropping-particle":"","family":"Salazar-Aranda","given":"R.","non-dropping-particle":"","parse-names":false,"suffix":""},{"dropping-particle":"","family":"Waksman-Minsky","given":"N.","non-dropping-particle":"","parse-names":false,"suffix":""}],"container-title":"Medicina Universitaria","id":"ITEM-1","issue":"69","issued":{"date-parts":[["2015","10","1"]]},"page":"222-228","publisher":"Elsevier","title":"Models of hepatoprotective activity assessment","type":"article-journal","volume":"17"},"uris":["http://www.mendeley.com/documents/?uuid=c13f1eaa-f51e-369e-a005-6debeb1b2795"]}],"mendeley":{"formattedCitation":"(Delgado-Montemayor et al., 2015)","manualFormatting":"Delgado-Montemayor et al., (2015)","plainTextFormattedCitation":"(Delgado-Montemayor et al., 2015)","previouslyFormattedCitation":"(Delgado-Montemayor et al., 2015)"},"properties":{"noteIndex":0},"schema":"https://github.com/citation-style-language/schema/raw/master/csl-citation.json"}</w:instrText>
      </w:r>
      <w:r w:rsidRPr="00CB14C3">
        <w:rPr>
          <w:rStyle w:val="FootnoteReference"/>
          <w:rFonts w:ascii="Arial" w:hAnsi="Arial" w:cs="Arial"/>
          <w:sz w:val="20"/>
          <w:szCs w:val="20"/>
          <w:lang w:val="en-GB"/>
        </w:rPr>
        <w:fldChar w:fldCharType="separate"/>
      </w:r>
      <w:r w:rsidRPr="00CB14C3">
        <w:rPr>
          <w:rFonts w:ascii="Arial" w:hAnsi="Arial" w:cs="Arial"/>
          <w:bCs/>
          <w:sz w:val="20"/>
          <w:szCs w:val="20"/>
          <w:lang w:val="en-GB"/>
        </w:rPr>
        <w:t>Delgado-Montemayor et al., (2015)</w:t>
      </w:r>
      <w:r w:rsidRPr="00CB14C3">
        <w:rPr>
          <w:rStyle w:val="FootnoteReference"/>
          <w:rFonts w:ascii="Arial" w:hAnsi="Arial" w:cs="Arial"/>
          <w:sz w:val="20"/>
          <w:szCs w:val="20"/>
          <w:lang w:val="en-GB"/>
        </w:rPr>
        <w:fldChar w:fldCharType="end"/>
      </w:r>
      <w:r w:rsidR="000D5D92" w:rsidRPr="00CB14C3">
        <w:rPr>
          <w:rFonts w:ascii="Arial" w:hAnsi="Arial" w:cs="Arial"/>
          <w:sz w:val="20"/>
          <w:szCs w:val="20"/>
          <w:lang w:val="en-GB"/>
        </w:rPr>
        <w:t xml:space="preserve"> reviewed</w:t>
      </w:r>
      <w:r w:rsidR="002B7954" w:rsidRPr="00CB14C3">
        <w:rPr>
          <w:rFonts w:ascii="Arial" w:hAnsi="Arial" w:cs="Arial"/>
          <w:sz w:val="20"/>
          <w:szCs w:val="20"/>
          <w:lang w:val="en-GB"/>
        </w:rPr>
        <w:t xml:space="preserve"> index measure for the hepatoprotective effect  drugs </w:t>
      </w:r>
      <w:r w:rsidR="00496AD2" w:rsidRPr="00CB14C3">
        <w:rPr>
          <w:rFonts w:ascii="Arial" w:hAnsi="Arial" w:cs="Arial"/>
          <w:sz w:val="20"/>
          <w:szCs w:val="20"/>
          <w:lang w:val="en-GB"/>
        </w:rPr>
        <w:t xml:space="preserve">influences </w:t>
      </w:r>
      <w:r w:rsidR="00223178" w:rsidRPr="00CB14C3">
        <w:rPr>
          <w:rFonts w:ascii="Arial" w:hAnsi="Arial" w:cs="Arial"/>
          <w:sz w:val="20"/>
          <w:szCs w:val="20"/>
          <w:lang w:val="en-GB"/>
        </w:rPr>
        <w:t xml:space="preserve">the hepatic normal physiological mechanism in the tissue </w:t>
      </w:r>
      <w:r w:rsidR="003D02DB" w:rsidRPr="00CB14C3">
        <w:rPr>
          <w:rStyle w:val="FootnoteReference"/>
          <w:rFonts w:ascii="Arial" w:hAnsi="Arial" w:cs="Arial"/>
          <w:sz w:val="20"/>
          <w:szCs w:val="20"/>
          <w:lang w:val="en-GB"/>
        </w:rPr>
        <w:fldChar w:fldCharType="begin" w:fldLock="1"/>
      </w:r>
      <w:r w:rsidR="00A515AF" w:rsidRPr="00CB14C3">
        <w:rPr>
          <w:rFonts w:ascii="Arial" w:hAnsi="Arial" w:cs="Arial"/>
          <w:sz w:val="20"/>
          <w:szCs w:val="20"/>
          <w:lang w:val="en-GB"/>
        </w:rPr>
        <w:instrText>ADDIN CSL_CITATION {"citationItems":[{"id":"ITEM-1","itemData":{"DOI":"10.1016/J.RMU.2015.10.002","ISSN":"1665-5796","abstract":"Liver diseases are a major health problem worldwide, making it necessary to develop new molecules that help counteract or prevent such diseases. On account of this fact, investigations aiming to obtain natural and/or synthetic compounds possessing hepatoprotective activity have been undertaken. The development of new drugs consists of a variety of steps, ranging from the discovery of the pharmacological effects in cellular and animal models, to finally demonstrate their efficacy and safety in humans. Different models for assessment of the hepatoprotective activity in vitro, ex vivo and in vivo can be found in medical literature. The purpose of this review is to show the features, main advantages and disadvantages of each of the models, the hepatotoxic agents most commonly used (CCl4, acetaminophen, ethanol, d-galactosamine, t-BuOOH, thioacetamide) as well as the biochemical parameters useful to assess liver damage in the different models.","author":[{"dropping-particle":"","family":"Delgado-Montemayor","given":"C.","non-dropping-particle":"","parse-names":false,"suffix":""},{"dropping-particle":"","family":"Cordero-Pérez","given":"P.","non-dropping-particle":"","parse-names":false,"suffix":""},{"dropping-particle":"","family":"Salazar-Aranda","given":"R.","non-dropping-particle":"","parse-names":false,"suffix":""},{"dropping-particle":"","family":"Waksman-Minsky","given":"N.","non-dropping-particle":"","parse-names":false,"suffix":""}],"container-title":"Medicina Universitaria","id":"ITEM-1","issue":"69","issued":{"date-parts":[["2015","10","1"]]},"page":"222-228","publisher":"Elsevier","title":"Models of hepatoprotective activity assessment","type":"article-journal","volume":"17"},"uris":["http://www.mendeley.com/documents/?uuid=c13f1eaa-f51e-369e-a005-6debeb1b2795"]}],"mendeley":{"formattedCitation":"(Delgado-Montemayor et al., 2015)","plainTextFormattedCitation":"(Delgado-Montemayor et al., 2015)","previouslyFormattedCitation":"(Delgado-Montemayor et al., 2015)"},"properties":{"noteIndex":0},"schema":"https://github.com/citation-style-language/schema/raw/master/csl-citation.json"}</w:instrText>
      </w:r>
      <w:r w:rsidR="003D02DB" w:rsidRPr="00CB14C3">
        <w:rPr>
          <w:rStyle w:val="FootnoteReference"/>
          <w:rFonts w:ascii="Arial" w:hAnsi="Arial" w:cs="Arial"/>
          <w:sz w:val="20"/>
          <w:szCs w:val="20"/>
          <w:lang w:val="en-GB"/>
        </w:rPr>
        <w:fldChar w:fldCharType="separate"/>
      </w:r>
      <w:r w:rsidR="0060469D" w:rsidRPr="00CB14C3">
        <w:rPr>
          <w:rFonts w:ascii="Arial" w:hAnsi="Arial" w:cs="Arial"/>
          <w:bCs/>
          <w:sz w:val="20"/>
          <w:szCs w:val="20"/>
          <w:lang w:val="en-GB"/>
        </w:rPr>
        <w:t>(Delgado-Montemayor et al., 2015)</w:t>
      </w:r>
      <w:r w:rsidR="003D02DB" w:rsidRPr="00CB14C3">
        <w:rPr>
          <w:rStyle w:val="FootnoteReference"/>
          <w:rFonts w:ascii="Arial" w:hAnsi="Arial" w:cs="Arial"/>
          <w:sz w:val="20"/>
          <w:szCs w:val="20"/>
          <w:lang w:val="en-GB"/>
        </w:rPr>
        <w:fldChar w:fldCharType="end"/>
      </w:r>
      <w:r w:rsidR="00223178" w:rsidRPr="00CB14C3">
        <w:rPr>
          <w:rFonts w:ascii="Arial" w:hAnsi="Arial" w:cs="Arial"/>
          <w:sz w:val="20"/>
          <w:szCs w:val="20"/>
          <w:lang w:val="en-GB"/>
        </w:rPr>
        <w:t xml:space="preserve">. </w:t>
      </w:r>
    </w:p>
    <w:p w:rsidR="004F49FF" w:rsidRPr="00CB14C3" w:rsidRDefault="00552ED3" w:rsidP="00784675">
      <w:pPr>
        <w:spacing w:line="360" w:lineRule="auto"/>
        <w:jc w:val="both"/>
        <w:rPr>
          <w:rFonts w:ascii="Arial" w:hAnsi="Arial" w:cs="Arial"/>
          <w:sz w:val="20"/>
          <w:szCs w:val="20"/>
          <w:lang w:val="en-GB"/>
        </w:rPr>
      </w:pPr>
      <w:r w:rsidRPr="00CB14C3">
        <w:rPr>
          <w:rFonts w:ascii="Arial" w:hAnsi="Arial" w:cs="Arial"/>
          <w:sz w:val="20"/>
          <w:szCs w:val="20"/>
          <w:lang w:val="en-GB"/>
        </w:rPr>
        <w:t>Alcohol exposure also resulted in a marked reduction in HDL-C levels, indicating impaired reverse cholesterol transport and altered lipoprotein metabolism</w:t>
      </w:r>
      <w:r w:rsidR="00496AD2" w:rsidRPr="00CB14C3">
        <w:rPr>
          <w:rFonts w:ascii="Arial" w:hAnsi="Arial" w:cs="Arial"/>
          <w:sz w:val="20"/>
          <w:szCs w:val="20"/>
          <w:lang w:val="en-GB"/>
        </w:rPr>
        <w:t xml:space="preserve"> </w:t>
      </w:r>
      <w:r w:rsidR="00496AD2" w:rsidRPr="00CB14C3">
        <w:rPr>
          <w:rStyle w:val="FootnoteReference"/>
          <w:rFonts w:ascii="Arial" w:hAnsi="Arial" w:cs="Arial"/>
          <w:sz w:val="20"/>
          <w:szCs w:val="20"/>
          <w:lang w:val="en-GB"/>
        </w:rPr>
        <w:fldChar w:fldCharType="begin" w:fldLock="1"/>
      </w:r>
      <w:r w:rsidR="00496AD2" w:rsidRPr="00CB14C3">
        <w:rPr>
          <w:rFonts w:ascii="Arial" w:hAnsi="Arial" w:cs="Arial"/>
          <w:sz w:val="20"/>
          <w:szCs w:val="20"/>
          <w:lang w:val="en-GB"/>
        </w:rPr>
        <w:instrText>ADDIN CSL_CITATION {"citationItems":[{"id":"ITEM-1","itemData":{"DOI":"10.1161/01.CIR.102.19.2347/ASSET/72D49B0A-F534-4F7F-A679-3C19F9D499A6/ASSETS/GRAPHIC/HC4404672002.JPEG","ISSN":"00097322","PMID":"11067787","abstract":"Background - Moderate alcohol intake is associated with lower atherosclerosis risk, presumably due to increased HDL cholesterol (HDL-C) concentrations; however, the metabolic mechanisms of this increase are poorly understood. Methods and Results - We tested the hypothesis that ethanol increases HDL-C by raising transport rates (TRs) of the major HDL apolipoproteins apoA-I and -II. We measured the turnover of these apolipoproteins in vivo in paired studies with and without alcohol consumption in 14 subjects. The fractional catabolic rate (FCR) and TR of radiolabeled apoA-I and -II were determined in the last 2 weeks of a 4-week Western-type metabolic diet, without (control) or with alcohol in isocaloric exchange for carbohydrates. Alcohol was given as vodka in fixed amounts ranging from 0.20 to 0.81 g · kg-1 · d-1 (mean±SD 0.45±0.19) to reflect the usual daily intake of each subject. HDL-C concentrations increased 18% with alcohol compared with the control (Wilcoxon matched-pairs test, P=0.002). The apoA-I concentrations increased by 10% (P=0.048) and apoA-II concentrations increased by 17% (P=0.005) due to higher apoA-I and -II TRs, respectively, whereas the FCR of both apoA-I and -II did not change. The amount of alcohol consumed correlated with the degree of increase in HDL-C (Pearson's r=0.66, P=0.01) and apoA-I TR (r=0.57, P=0.03). The increase in HDL-C also correlated with the increase in apoA-I TR (r=0.61, P=0.02). Conclusions - Alcohol intake increases HDL-C in a dose-dependent fashion, associated with and possibly caused by an increase in the TR of HDL apolipoproteins apoA-I and -II.","author":[{"dropping-particle":"","family":"Oliveira e Silva","given":"E. R.","non-dropping-particle":"De","parse-names":false,"suffix":""},{"dropping-particle":"","family":"Foster","given":"D.","non-dropping-particle":"","parse-names":false,"suffix":""},{"dropping-particle":"","family":"Harper","given":"M. M.","non-dropping-particle":"","parse-names":false,"suffix":""},{"dropping-particle":"","family":"Seidman","given":"C. E.","non-dropping-particle":"","parse-names":false,"suffix":""},{"dropping-particle":"","family":"Smith","given":"J. D.","non-dropping-particle":"","parse-names":false,"suffix":""},{"dropping-particle":"","family":"Breslow","given":"J. L.","non-dropping-particle":"","parse-names":false,"suffix":""},{"dropping-particle":"","family":"Brinton","given":"E. A.","non-dropping-particle":"","parse-names":false,"suffix":""}],"container-title":"Circulation","id":"ITEM-1","issue":"19 SUPPL.","issued":{"date-parts":[["2000","11","7"]]},"page":"2347-2352","publisher":"Lippincott Williams and Wilkins","title":"Alcohol consumption raises HDL cholesterol levels by increasing the transport rate of apolipoproteins A-I and A-II","type":"article-journal","volume":"102"},"uris":["http://www.mendeley.com/documents/?uuid=bb94b094-3050-35f7-a7f7-75d8ce8aaa8d"]}],"mendeley":{"formattedCitation":"(De Oliveira e Silva et al., 2000)","plainTextFormattedCitation":"(De Oliveira e Silva et al., 2000)","previouslyFormattedCitation":"(De Oliveira e Silva et al., 2000)"},"properties":{"noteIndex":0},"schema":"https://github.com/citation-style-language/schema/raw/master/csl-citation.json"}</w:instrText>
      </w:r>
      <w:r w:rsidR="00496AD2" w:rsidRPr="00CB14C3">
        <w:rPr>
          <w:rStyle w:val="FootnoteReference"/>
          <w:rFonts w:ascii="Arial" w:hAnsi="Arial" w:cs="Arial"/>
          <w:sz w:val="20"/>
          <w:szCs w:val="20"/>
          <w:lang w:val="en-GB"/>
        </w:rPr>
        <w:fldChar w:fldCharType="separate"/>
      </w:r>
      <w:r w:rsidR="00496AD2" w:rsidRPr="00CB14C3">
        <w:rPr>
          <w:rFonts w:ascii="Arial" w:hAnsi="Arial" w:cs="Arial"/>
          <w:sz w:val="20"/>
          <w:szCs w:val="20"/>
          <w:lang w:val="en-GB"/>
        </w:rPr>
        <w:t>(De Oliveira e Silva et al., 2000)</w:t>
      </w:r>
      <w:r w:rsidR="00496AD2" w:rsidRPr="00CB14C3">
        <w:rPr>
          <w:rStyle w:val="FootnoteReference"/>
          <w:rFonts w:ascii="Arial" w:hAnsi="Arial" w:cs="Arial"/>
          <w:sz w:val="20"/>
          <w:szCs w:val="20"/>
          <w:lang w:val="en-GB"/>
        </w:rPr>
        <w:fldChar w:fldCharType="end"/>
      </w:r>
      <w:r w:rsidR="00496AD2" w:rsidRPr="00CB14C3">
        <w:rPr>
          <w:rFonts w:ascii="Arial" w:hAnsi="Arial" w:cs="Arial"/>
          <w:sz w:val="20"/>
          <w:szCs w:val="20"/>
          <w:lang w:val="en-GB"/>
        </w:rPr>
        <w:t xml:space="preserve">. </w:t>
      </w:r>
      <w:r w:rsidRPr="00CB14C3">
        <w:rPr>
          <w:rFonts w:ascii="Arial" w:hAnsi="Arial" w:cs="Arial"/>
          <w:sz w:val="20"/>
          <w:szCs w:val="20"/>
          <w:lang w:val="en-GB"/>
        </w:rPr>
        <w:t xml:space="preserve"> Treatment with </w:t>
      </w:r>
      <w:r w:rsidRPr="00CB14C3">
        <w:rPr>
          <w:rFonts w:ascii="Arial" w:hAnsi="Arial" w:cs="Arial"/>
          <w:i/>
          <w:sz w:val="20"/>
          <w:szCs w:val="20"/>
          <w:lang w:val="en-GB"/>
        </w:rPr>
        <w:t xml:space="preserve">A. </w:t>
      </w:r>
      <w:r w:rsidR="00EB4069" w:rsidRPr="00CB14C3">
        <w:rPr>
          <w:rFonts w:ascii="Arial" w:hAnsi="Arial" w:cs="Arial"/>
          <w:i/>
          <w:sz w:val="20"/>
          <w:szCs w:val="20"/>
          <w:lang w:val="en-GB"/>
        </w:rPr>
        <w:t>spinous</w:t>
      </w:r>
      <w:r w:rsidRPr="00CB14C3">
        <w:rPr>
          <w:rFonts w:ascii="Arial" w:hAnsi="Arial" w:cs="Arial"/>
          <w:sz w:val="20"/>
          <w:szCs w:val="20"/>
          <w:lang w:val="en-GB"/>
        </w:rPr>
        <w:t xml:space="preserve"> significantly improved HDL-C levels across treatment groups, particularly following alcohol withdrawal. While changes in HDL particle size or apolipoprotein synthesis were not directly measured, the observed increase in HDL-C supports the potential role of the extract in restoring protective lipid profiles, which are associated with reduced cardiovascular risk </w:t>
      </w:r>
      <w:r w:rsidRPr="00CB14C3">
        <w:rPr>
          <w:rStyle w:val="FootnoteReference"/>
          <w:rFonts w:ascii="Arial" w:hAnsi="Arial" w:cs="Arial"/>
          <w:sz w:val="20"/>
          <w:szCs w:val="20"/>
          <w:lang w:val="en-GB"/>
        </w:rPr>
        <w:fldChar w:fldCharType="begin" w:fldLock="1"/>
      </w:r>
      <w:r w:rsidRPr="00CB14C3">
        <w:rPr>
          <w:rFonts w:ascii="Arial" w:hAnsi="Arial" w:cs="Arial"/>
          <w:sz w:val="20"/>
          <w:szCs w:val="20"/>
          <w:lang w:val="en-GB"/>
        </w:rPr>
        <w:instrText>ADDIN CSL_CITATION {"citationItems":[{"id":"ITEM-1","itemData":{"DOI":"10.1161/ATVBAHA.117.307025","abstract":"The evidence is strong that biological functions contained in high-density lipoproteins (HDL) are antiatherogenic. These functions may track with HDL cholesterol or apolipoprotein A1 concentration ...","author":[{"dropping-particle":"","family":"Sacks","given":"Frank M.","non-dropping-particle":"","parse-names":false,"suffix":""},{"dropping-particle":"","family":"Jensen","given":"Majken K.","non-dropping-particle":"","parse-names":false,"suffix":""}],"container-title":"Arteriosclerosis, Thrombosis, and Vascular Biology","id":"ITEM-1","issued":{"date-parts":[["2018"]]},"publisher":"Lippincott Williams &amp; WilkinsHagerstown, MD","title":"From High-Density Lipoprotein Cholesterol to Measurements of Function","type":"article-journal"},"uris":["http://www.mendeley.com/documents/?uuid=0556b729-fee3-3a51-9f7a-6be10dae3cfb"]}],"mendeley":{"formattedCitation":"(Sacks &amp; Jensen, 2018)","plainTextFormattedCitation":"(Sacks &amp; Jensen, 2018)","previouslyFormattedCitation":"(Sacks &amp; Jensen, 2018)"},"properties":{"noteIndex":0},"schema":"https://github.com/citation-style-language/schema/raw/master/csl-citation.json"}</w:instrText>
      </w:r>
      <w:r w:rsidRPr="00CB14C3">
        <w:rPr>
          <w:rStyle w:val="FootnoteReference"/>
          <w:rFonts w:ascii="Arial" w:hAnsi="Arial" w:cs="Arial"/>
          <w:sz w:val="20"/>
          <w:szCs w:val="20"/>
          <w:lang w:val="en-GB"/>
        </w:rPr>
        <w:fldChar w:fldCharType="separate"/>
      </w:r>
      <w:r w:rsidRPr="00CB14C3">
        <w:rPr>
          <w:rFonts w:ascii="Arial" w:hAnsi="Arial" w:cs="Arial"/>
          <w:sz w:val="20"/>
          <w:szCs w:val="20"/>
          <w:lang w:val="en-GB"/>
        </w:rPr>
        <w:t>(Sacks &amp; Jensen, 2018)</w:t>
      </w:r>
      <w:r w:rsidRPr="00CB14C3">
        <w:rPr>
          <w:rStyle w:val="FootnoteReference"/>
          <w:rFonts w:ascii="Arial" w:hAnsi="Arial" w:cs="Arial"/>
          <w:sz w:val="20"/>
          <w:szCs w:val="20"/>
          <w:lang w:val="en-GB"/>
        </w:rPr>
        <w:fldChar w:fldCharType="end"/>
      </w:r>
      <w:r w:rsidRPr="00CB14C3">
        <w:rPr>
          <w:rFonts w:ascii="Arial" w:hAnsi="Arial" w:cs="Arial"/>
          <w:sz w:val="20"/>
          <w:szCs w:val="20"/>
          <w:lang w:val="en-GB"/>
        </w:rPr>
        <w:t xml:space="preserve">. </w:t>
      </w:r>
    </w:p>
    <w:p w:rsidR="004C5229" w:rsidRPr="00CB14C3" w:rsidRDefault="00552ED3" w:rsidP="004C5229">
      <w:pPr>
        <w:spacing w:line="360" w:lineRule="auto"/>
        <w:jc w:val="both"/>
        <w:rPr>
          <w:rFonts w:ascii="Arial" w:hAnsi="Arial" w:cs="Arial"/>
          <w:sz w:val="20"/>
          <w:szCs w:val="20"/>
          <w:lang w:val="en-GB"/>
        </w:rPr>
      </w:pPr>
      <w:r w:rsidRPr="00CB14C3">
        <w:rPr>
          <w:rFonts w:ascii="Arial" w:hAnsi="Arial" w:cs="Arial"/>
          <w:sz w:val="20"/>
          <w:szCs w:val="20"/>
          <w:lang w:val="en-GB"/>
        </w:rPr>
        <w:t xml:space="preserve">Similarly, elevated LDL-C levels observed in alcohol-treated rats were reduced following administration of A. </w:t>
      </w:r>
      <w:r w:rsidR="00EB4069" w:rsidRPr="00CB14C3">
        <w:rPr>
          <w:rFonts w:ascii="Arial" w:hAnsi="Arial" w:cs="Arial"/>
          <w:sz w:val="20"/>
          <w:szCs w:val="20"/>
          <w:lang w:val="en-GB"/>
        </w:rPr>
        <w:t>spinous</w:t>
      </w:r>
      <w:r w:rsidRPr="00CB14C3">
        <w:rPr>
          <w:rFonts w:ascii="Arial" w:hAnsi="Arial" w:cs="Arial"/>
          <w:sz w:val="20"/>
          <w:szCs w:val="20"/>
          <w:lang w:val="en-GB"/>
        </w:rPr>
        <w:t xml:space="preserve">, particularly at moderate and high doses. These findings align with previous studies reporting LDL-lowering effects of </w:t>
      </w:r>
      <w:r w:rsidRPr="00CB14C3">
        <w:rPr>
          <w:rFonts w:ascii="Arial" w:hAnsi="Arial" w:cs="Arial"/>
          <w:i/>
          <w:sz w:val="20"/>
          <w:szCs w:val="20"/>
          <w:lang w:val="en-GB"/>
        </w:rPr>
        <w:t xml:space="preserve">A. </w:t>
      </w:r>
      <w:r w:rsidR="00EB4069" w:rsidRPr="00CB14C3">
        <w:rPr>
          <w:rFonts w:ascii="Arial" w:hAnsi="Arial" w:cs="Arial"/>
          <w:i/>
          <w:sz w:val="20"/>
          <w:szCs w:val="20"/>
          <w:lang w:val="en-GB"/>
        </w:rPr>
        <w:t>spinous</w:t>
      </w:r>
      <w:r w:rsidRPr="00CB14C3">
        <w:rPr>
          <w:rFonts w:ascii="Arial" w:hAnsi="Arial" w:cs="Arial"/>
          <w:sz w:val="20"/>
          <w:szCs w:val="20"/>
          <w:lang w:val="en-GB"/>
        </w:rPr>
        <w:t xml:space="preserve"> in toxin-induced liver injury models </w:t>
      </w:r>
      <w:r w:rsidRPr="00CB14C3">
        <w:rPr>
          <w:rStyle w:val="FootnoteReference"/>
          <w:rFonts w:ascii="Arial" w:hAnsi="Arial" w:cs="Arial"/>
          <w:sz w:val="20"/>
          <w:szCs w:val="20"/>
          <w:lang w:val="en-GB"/>
        </w:rPr>
        <w:fldChar w:fldCharType="begin" w:fldLock="1"/>
      </w:r>
      <w:r w:rsidR="002C1615" w:rsidRPr="00CB14C3">
        <w:rPr>
          <w:rFonts w:ascii="Arial" w:hAnsi="Arial" w:cs="Arial"/>
          <w:sz w:val="20"/>
          <w:szCs w:val="20"/>
          <w:lang w:val="en-GB"/>
        </w:rPr>
        <w:instrText>ADDIN CSL_CITATION {"citationItems":[{"id":"ITEM-1","itemData":{"DOI":"10.1016/j.fct.2008.08.013","ISSN":"02786915","PMID":"18783728","abstract":"The hepatoprotective and antioxidant activity of 50% ethanolic extract of whole plant of Amaranthus spinosus (ASE) was evaluated against carbon tetrachloride (CCl4) induced hepatic damage in rats. The ASE at dose of 100, 200 and 400 mg/kg were administered orally once daily for fourteen days. The substantially elevated serum enzymatic levels of serum glutamate oxaloacetate transaminase (AST), serum glutamate pyruvate transaminase (ALT), serum alkaline phosphatase (SALP) and total bilirubin were restored towards normalization significantly by the ASE in a dose dependent manner. Higher dose exhibited significant hepatoprotective activity against carbon tetrachloride induced hepatotoxicity in rats. The biochemical observations were supplemented with histopathological examination of rat liver sections. Meanwhile, in vivo antioxidant activities as malondialdehyde (MDA), hydroperoxides, reduced glutathione (GSH), superoxide dismutase (SOD) and catalase (CAT) were also screened which were also found significantly positive in a dose dependent manner. The results of this study strongly indicate that whole plants of A. spinosus have potent hepatoprotective activity against carbon tetrachloride induced hepatic damage in experimental animals. This study suggests that possible mechanism of this activity may be due to the presence of flavonoids and phenolics compound in the ASE which may be responsible to hepatoprotective activity. © 2008 Elsevier Ltd. All rights reserved.","author":[{"dropping-particle":"","family":"Zeashan","given":"Hussain","non-dropping-particle":"","parse-names":false,"suffix":""},{"dropping-particle":"","family":"Amresh","given":"G.","non-dropping-particle":"","parse-names":false,"suffix":""},{"dropping-particle":"","family":"Singh","given":"Satyawan","non-dropping-particle":"","parse-names":false,"suffix":""},{"dropping-particle":"","family":"Rao","given":"Chandana Venkateswara","non-dropping-particle":"","parse-names":false,"suffix":""}],"container-title":"Food and Chemical Toxicology","id":"ITEM-1","issue":"11","issued":{"date-parts":[["2008","11"]]},"page":"3417-3421","publisher":"Food Chem Toxicol","title":"Hepatoprotective activity of Amaranthus spinosus in experimental animals","type":"article-journal","volume":"46"},"uris":["http://www.mendeley.com/documents/?uuid=1eb0bb18-0684-32c4-9860-4bc18e764f93"]}],"mendeley":{"formattedCitation":"(Zeashan et al., 2008b)","manualFormatting":"(Zeashan et al., 2008)","plainTextFormattedCitation":"(Zeashan et al., 2008b)","previouslyFormattedCitation":"(Zeashan et al., 2008b)"},"properties":{"noteIndex":0},"schema":"https://github.com/citation-style-language/schema/raw/master/csl-citation.json"}</w:instrText>
      </w:r>
      <w:r w:rsidRPr="00CB14C3">
        <w:rPr>
          <w:rStyle w:val="FootnoteReference"/>
          <w:rFonts w:ascii="Arial" w:hAnsi="Arial" w:cs="Arial"/>
          <w:sz w:val="20"/>
          <w:szCs w:val="20"/>
          <w:lang w:val="en-GB"/>
        </w:rPr>
        <w:fldChar w:fldCharType="separate"/>
      </w:r>
      <w:r w:rsidRPr="00CB14C3">
        <w:rPr>
          <w:rFonts w:ascii="Arial" w:hAnsi="Arial" w:cs="Arial"/>
          <w:bCs/>
          <w:sz w:val="20"/>
          <w:szCs w:val="20"/>
          <w:lang w:val="en-GB"/>
        </w:rPr>
        <w:t>(Zeashan et al., 2008)</w:t>
      </w:r>
      <w:r w:rsidRPr="00CB14C3">
        <w:rPr>
          <w:rStyle w:val="FootnoteReference"/>
          <w:rFonts w:ascii="Arial" w:hAnsi="Arial" w:cs="Arial"/>
          <w:sz w:val="20"/>
          <w:szCs w:val="20"/>
          <w:lang w:val="en-GB"/>
        </w:rPr>
        <w:fldChar w:fldCharType="end"/>
      </w:r>
      <w:r w:rsidRPr="00CB14C3">
        <w:rPr>
          <w:rFonts w:ascii="Arial" w:hAnsi="Arial" w:cs="Arial"/>
          <w:sz w:val="20"/>
          <w:szCs w:val="20"/>
          <w:lang w:val="en-GB"/>
        </w:rPr>
        <w:t>. The pronounced reduction in LDL-C observed in high-dose treatment groups may reflect enhanced lipoprotein clearance or reduced hepatic lipid output</w:t>
      </w:r>
      <w:r w:rsidR="00693322" w:rsidRPr="00CB14C3">
        <w:rPr>
          <w:rFonts w:ascii="Arial" w:hAnsi="Arial" w:cs="Arial"/>
          <w:sz w:val="20"/>
          <w:szCs w:val="20"/>
          <w:lang w:val="en-GB"/>
        </w:rPr>
        <w:t xml:space="preserve"> </w:t>
      </w:r>
      <w:r w:rsidR="00496AD2" w:rsidRPr="00CB14C3">
        <w:rPr>
          <w:rStyle w:val="FootnoteReference"/>
          <w:rFonts w:ascii="Arial" w:hAnsi="Arial" w:cs="Arial"/>
          <w:sz w:val="20"/>
          <w:szCs w:val="20"/>
          <w:lang w:val="en-GB"/>
        </w:rPr>
        <w:fldChar w:fldCharType="begin" w:fldLock="1"/>
      </w:r>
      <w:r w:rsidR="00496AD2" w:rsidRPr="00CB14C3">
        <w:rPr>
          <w:rFonts w:ascii="Arial" w:hAnsi="Arial" w:cs="Arial"/>
          <w:sz w:val="20"/>
          <w:szCs w:val="20"/>
          <w:lang w:val="en-GB"/>
        </w:rPr>
        <w:instrText>ADDIN CSL_CITATION {"citationItems":[{"id":"ITEM-1","itemData":{"ISSN":"1991-8178","abstract":"Lead is a common industrial and environmental pollutant. Prolonged exposure of a sub-lethal dose to this toxicant is associated with oxidative stress, damage of DNA and considered to be a risk factor for kidney, liver added to many disorders. This study was carried out to investigate the most toxic effects of lead with trial to diminish this toxicity by supplementation of casein or activated charcoal. Therefore, forty mature male albino rats were used , they divided into four equal groups, 10 rats of each. Group 1 was considered as control. Rats of other groups (2, 3 and 4) were supplemented lead acetate at a dose of 0.5 g/100 ml drinking water for 2 months. Gr 3 is given charcoal at a concentration of 0.05g ration, while in Gr 4 casein is mixed with ration at a concentration of 20 g/100 g ration. Group 2 revealed significant increases in serum AST, ALT, ALP, LDH, GGT, TB, TC, LDL and CAT levels and decreased total protein, HLDL, VLDL, trace mineral salts, SOD and GSH-px. The results of haematological study evoked a significant decrease in the red blood cells (RBCs) count, blood haemoglobin (Hb) concentration and packed cell volume (PCV). Cytogenetic study resulted a significant increase in the percent of multinucleated polychromatic erythrocytes (MPCE) as well as significant increase in the polychromatic-erythrocytes (PCE) and normochromatic erythrocyte (NCE) ratio (PCER/NCE) Lead concentration in level serum and different tissues showed lead accumulation in serum, kidney, liver, muscle, intestine and spleen. Supplementation of charcoal and casein induce protective effects against lead toxicity in most of above parameter studies, and casein showed higher efficacy in the protection of lead-induced toxicity than charcoal.","author":[{"dropping-particle":"","family":"Azoz","given":"A","non-dropping-particle":"","parse-names":false,"suffix":""},{"dropping-particle":"","family":"Raafat","given":"M","non-dropping-particle":"","parse-names":false,"suffix":""}],"container-title":"Australian Journal of Basic and Applied Sciences","id":"ITEM-1","issue":"7","issued":{"date-parts":[["2012"]]},"page":"497-509","title":"Effect of Lead Toxicity on Cytogenisity, Biochemical Constituents and Tissue Residue with Protective Role of Activated Charcoal and Casein in Male Rats","type":"article-journal","volume":"6"},"uris":["http://www.mendeley.com/documents/?uuid=8ffc157d-b63c-303d-b815-3eefee3013b4"]}],"mendeley":{"formattedCitation":"(Azoz &amp; Raafat, 2012)","plainTextFormattedCitation":"(Azoz &amp; Raafat, 2012)","previouslyFormattedCitation":"(Azoz &amp; Raafat, 2012)"},"properties":{"noteIndex":0},"schema":"https://github.com/citation-style-language/schema/raw/master/csl-citation.json"}</w:instrText>
      </w:r>
      <w:r w:rsidR="00496AD2" w:rsidRPr="00CB14C3">
        <w:rPr>
          <w:rStyle w:val="FootnoteReference"/>
          <w:rFonts w:ascii="Arial" w:hAnsi="Arial" w:cs="Arial"/>
          <w:sz w:val="20"/>
          <w:szCs w:val="20"/>
          <w:lang w:val="en-GB"/>
        </w:rPr>
        <w:fldChar w:fldCharType="separate"/>
      </w:r>
      <w:r w:rsidR="00496AD2" w:rsidRPr="00CB14C3">
        <w:rPr>
          <w:rFonts w:ascii="Arial" w:hAnsi="Arial" w:cs="Arial"/>
          <w:bCs/>
          <w:sz w:val="20"/>
          <w:szCs w:val="20"/>
          <w:lang w:val="en-GB"/>
        </w:rPr>
        <w:t>(Azoz &amp; Raafat, 2012)</w:t>
      </w:r>
      <w:r w:rsidR="00496AD2" w:rsidRPr="00CB14C3">
        <w:rPr>
          <w:rStyle w:val="FootnoteReference"/>
          <w:rFonts w:ascii="Arial" w:hAnsi="Arial" w:cs="Arial"/>
          <w:sz w:val="20"/>
          <w:szCs w:val="20"/>
          <w:lang w:val="en-GB"/>
        </w:rPr>
        <w:fldChar w:fldCharType="end"/>
      </w:r>
      <w:r w:rsidR="00496AD2" w:rsidRPr="00CB14C3">
        <w:rPr>
          <w:rFonts w:ascii="Arial" w:hAnsi="Arial" w:cs="Arial"/>
          <w:sz w:val="20"/>
          <w:szCs w:val="20"/>
          <w:lang w:val="en-GB"/>
        </w:rPr>
        <w:t>.</w:t>
      </w:r>
      <w:r w:rsidRPr="00CB14C3">
        <w:rPr>
          <w:rFonts w:ascii="Arial" w:hAnsi="Arial" w:cs="Arial"/>
          <w:sz w:val="20"/>
          <w:szCs w:val="20"/>
          <w:lang w:val="en-GB"/>
        </w:rPr>
        <w:t xml:space="preserve"> </w:t>
      </w:r>
      <w:r w:rsidR="001251FC" w:rsidRPr="00CB14C3">
        <w:rPr>
          <w:rFonts w:ascii="Arial" w:hAnsi="Arial" w:cs="Arial"/>
          <w:sz w:val="20"/>
          <w:szCs w:val="20"/>
          <w:lang w:val="en-GB"/>
        </w:rPr>
        <w:t>This observation is a</w:t>
      </w:r>
      <w:r w:rsidR="004F49FF" w:rsidRPr="00CB14C3">
        <w:rPr>
          <w:rFonts w:ascii="Arial" w:hAnsi="Arial" w:cs="Arial"/>
          <w:sz w:val="20"/>
          <w:szCs w:val="20"/>
          <w:lang w:val="en-GB"/>
        </w:rPr>
        <w:t xml:space="preserve"> possible synergistic interaction between high doses of extract and the induction of enzyme modulation under toxicant stress. H</w:t>
      </w:r>
      <w:r w:rsidRPr="00CB14C3">
        <w:rPr>
          <w:rFonts w:ascii="Arial" w:hAnsi="Arial" w:cs="Arial"/>
          <w:sz w:val="20"/>
          <w:szCs w:val="20"/>
          <w:lang w:val="en-GB"/>
        </w:rPr>
        <w:t xml:space="preserve">owever, these interpretations remain speculative in the absence of molecular analyses. </w:t>
      </w:r>
      <w:r w:rsidR="00496AD2" w:rsidRPr="00CB14C3">
        <w:rPr>
          <w:rFonts w:ascii="Arial" w:hAnsi="Arial" w:cs="Arial"/>
          <w:sz w:val="20"/>
          <w:szCs w:val="20"/>
          <w:lang w:val="en-GB"/>
        </w:rPr>
        <w:t xml:space="preserve">Elevated low-density lipoprotein (LDL) cholesterol causes development of coronary heart disease through multiple stages of the process </w:t>
      </w:r>
      <w:r w:rsidR="00496AD2" w:rsidRPr="00CB14C3">
        <w:rPr>
          <w:rStyle w:val="FootnoteReference"/>
          <w:rFonts w:ascii="Arial" w:hAnsi="Arial" w:cs="Arial"/>
          <w:sz w:val="20"/>
          <w:szCs w:val="20"/>
          <w:lang w:val="en-GB"/>
        </w:rPr>
        <w:fldChar w:fldCharType="begin" w:fldLock="1"/>
      </w:r>
      <w:r w:rsidR="00496AD2" w:rsidRPr="00CB14C3">
        <w:rPr>
          <w:rFonts w:ascii="Arial" w:hAnsi="Arial" w:cs="Arial"/>
          <w:sz w:val="20"/>
          <w:szCs w:val="20"/>
          <w:lang w:val="en-GB"/>
        </w:rPr>
        <w:instrText>ADDIN CSL_CITATION {"citationItems":[{"id":"ITEM-1","itemData":{"DOI":"10.1016/J.JACC.2020.02.059/SUPPL_FILE/MMC1.DOCX","ISSN":"15583597","PMID":"32354380","abstract":"Background: Elevated triglyceride-rich lipoprotein (TRL) and small-dense low-density lipoprotein (sdLDL) particles are hallmarks of atherogenic dyslipidemia, and their cholesterol content is hypothesized to drive atherosclerotic risk. Prospective epidemiological data pertaining to cholesterol content of TRLs and sdLDL in primary prevention populations are mostly limited to coronary heart disease. Objectives: The purpose of this study was to prospectively evaluate whether triglyceride-rich lipoprotein cholesterol (TRL-C) and small-dense low-density lipoprotein cholesterol (sdLDL-C) concentrations associate with composite and individual incident cardiovascular disease (CVD) outcomes including myocardial infarction (MI), ischemic stroke (IS), and peripheral artery disease (PAD). Methods: In a prospective case-cohort study within the Women's Health Study, TRL-C and sdLDL-C (mg/dl) were directly measured in baseline blood specimens of case subjects (n = 480) and the reference subcohort (n = 496). Risk associations were evaluated for total CVD (MI, IS, PAD, and CVD death), coronary and cerebrovascular disease (MI, IS, CVD death), and individual outcomes (MI, IS, and PAD). Models were adjusted for traditional risk factors, low-density lipoprotein cholesterol, and high-sensitivity C-reactive protein. Results: The risk of both composite outcomes significantly increased across quartiles of TRL-C and sdLDL-C. TRL-C was significantly associated with MI and PAD (MI hazard ratio [HR]Q4: 3.05 [95% confidence interval (CI): 1.46 to 6.39]; ptrend = 0.002; PAD HRQ4: 2.58 [95% CI: 1.18 to 5.63]; ptrend = 0.019), whereas sdLDL-C was significantly associated with MI alone (HRQ4: 3.71 [95% CI: 1.59 to 8.63]; ptrend &lt; 0.001). Both markers weakly associated with IS. Association patterns were similar for continuous exposures and, for TRL-C, among subjects with low atherogenic particle concentrations (apolipoprotein B &lt;100 mg/dl). Conclusions: TRL-C strongly associates with future MI and PAD events, whereas sdLDL-C strongly associates with MI alone. These findings signal that the cholesterol content of TRLs and sdLDL influence atherogenesis independently of low-density lipoprotein cholesterol, and high sensitivity C-reactive protein, with potentially different potency across vascular beds. (Women's Health Study; NCT00000479)","author":[{"dropping-particle":"","family":"Duran","given":"Edward K.","non-dropping-particle":"","parse-names":false,"suffix":""},{"dropping-particle":"","family":"Aday","given":"Aaron W.","non-dropping-particle":"","parse-names":false,"suffix":""},{"dropping-particle":"","family":"Cook","given":"Nancy R.","non-dropping-particle":"","parse-names":false,"suffix":""},{"dropping-particle":"","family":"Buring","given":"Julie E.","non-dropping-particle":"","parse-names":false,"suffix":""},{"dropping-particle":"","family":"Ridker","given":"Paul M.","non-dropping-particle":"","parse-names":false,"suffix":""},{"dropping-particle":"","family":"Pradhan","given":"Aruna D.","non-dropping-particle":"","parse-names":false,"suffix":""}],"container-title":"Journal of the American College of Cardiology","id":"ITEM-1","issue":"17","issued":{"date-parts":[["2020","5","5"]]},"page":"2122-2135","publisher":"Elsevier USA","title":"Triglyceride-Rich Lipoprotein Cholesterol, Small Dense LDL Cholesterol, and Incident Cardiovascular Disease","type":"article-journal","volume":"75"},"uris":["http://www.mendeley.com/documents/?uuid=ef4ec319-ae74-3075-845a-5f37dee3dc01"]}],"mendeley":{"formattedCitation":"(Duran et al., 2020)","plainTextFormattedCitation":"(Duran et al., 2020)","previouslyFormattedCitation":"(Duran et al., 2020)"},"properties":{"noteIndex":0},"schema":"https://github.com/citation-style-language/schema/raw/master/csl-citation.json"}</w:instrText>
      </w:r>
      <w:r w:rsidR="00496AD2" w:rsidRPr="00CB14C3">
        <w:rPr>
          <w:rStyle w:val="FootnoteReference"/>
          <w:rFonts w:ascii="Arial" w:hAnsi="Arial" w:cs="Arial"/>
          <w:sz w:val="20"/>
          <w:szCs w:val="20"/>
          <w:lang w:val="en-GB"/>
        </w:rPr>
        <w:fldChar w:fldCharType="separate"/>
      </w:r>
      <w:r w:rsidR="00496AD2" w:rsidRPr="00CB14C3">
        <w:rPr>
          <w:rFonts w:ascii="Arial" w:hAnsi="Arial" w:cs="Arial"/>
          <w:bCs/>
          <w:sz w:val="20"/>
          <w:szCs w:val="20"/>
          <w:lang w:val="en-GB"/>
        </w:rPr>
        <w:t>(Duran et al., 2020)</w:t>
      </w:r>
      <w:r w:rsidR="00496AD2" w:rsidRPr="00CB14C3">
        <w:rPr>
          <w:rStyle w:val="FootnoteReference"/>
          <w:rFonts w:ascii="Arial" w:hAnsi="Arial" w:cs="Arial"/>
          <w:sz w:val="20"/>
          <w:szCs w:val="20"/>
          <w:lang w:val="en-GB"/>
        </w:rPr>
        <w:fldChar w:fldCharType="end"/>
      </w:r>
      <w:r w:rsidR="00496AD2" w:rsidRPr="00CB14C3">
        <w:rPr>
          <w:rFonts w:ascii="Arial" w:hAnsi="Arial" w:cs="Arial"/>
          <w:sz w:val="20"/>
          <w:szCs w:val="20"/>
          <w:lang w:val="en-GB"/>
        </w:rPr>
        <w:t>.</w:t>
      </w:r>
      <w:r w:rsidR="004F49FF" w:rsidRPr="00CB14C3">
        <w:rPr>
          <w:rFonts w:ascii="Arial" w:hAnsi="Arial" w:cs="Arial"/>
          <w:sz w:val="20"/>
          <w:szCs w:val="20"/>
          <w:lang w:val="en-GB"/>
        </w:rPr>
        <w:t xml:space="preserve"> </w:t>
      </w:r>
      <w:r w:rsidR="00BA3A71" w:rsidRPr="00CB14C3">
        <w:rPr>
          <w:rFonts w:ascii="Arial" w:hAnsi="Arial" w:cs="Arial"/>
          <w:sz w:val="20"/>
          <w:szCs w:val="20"/>
          <w:lang w:val="en-GB"/>
        </w:rPr>
        <w:t>W</w:t>
      </w:r>
      <w:r w:rsidR="004F49FF" w:rsidRPr="00CB14C3">
        <w:rPr>
          <w:rFonts w:ascii="Arial" w:hAnsi="Arial" w:cs="Arial"/>
          <w:sz w:val="20"/>
          <w:szCs w:val="20"/>
          <w:lang w:val="en-GB"/>
        </w:rPr>
        <w:t xml:space="preserve">ith </w:t>
      </w:r>
      <w:r w:rsidR="004F49FF" w:rsidRPr="00CB14C3">
        <w:rPr>
          <w:rStyle w:val="FootnoteReference"/>
          <w:rFonts w:ascii="Arial" w:hAnsi="Arial" w:cs="Arial"/>
          <w:sz w:val="20"/>
          <w:szCs w:val="20"/>
          <w:lang w:val="en-GB"/>
        </w:rPr>
        <w:fldChar w:fldCharType="begin" w:fldLock="1"/>
      </w:r>
      <w:r w:rsidR="004F49FF" w:rsidRPr="00CB14C3">
        <w:rPr>
          <w:rFonts w:ascii="Arial" w:hAnsi="Arial" w:cs="Arial"/>
          <w:sz w:val="20"/>
          <w:szCs w:val="20"/>
          <w:lang w:val="en-GB"/>
        </w:rPr>
        <w:instrText>ADDIN CSL_CITATION {"citationItems":[{"id":"ITEM-1","itemData":{"DOI":"10.1186/S12872-025-04792-8,","ISSN":"14712261","PMID":"40295965","abstract":"Background: Atherosclerosis is a major contributor to cardiovascular disease, and dyslipidemia, particularly low-density lipoprotein cholesterol (LDL-C)/ high-density lipoprotein cholesterol (HDL-C) ratio, plays a critical role in its pathogenesis. Although extensive research has been conducted in Western populations, the relationship between LDL-C/HDL-C ratio and atherosclerosis in the Japanese population remains underexplored. The aim of this study was to investigate the association between LDL-C/HDL-C ratio and atherosclerosis, as measured by brachial-ankle pulse wave velocity (baPWV), in a Japanese cohort. Methods: This secondary analysis used data from a cross-sectional study involving 912 participants. LDL-C/HDL-C ratio was calculated from fasting blood samples and baPWV was used to assess atherosclerosis. Univariate and multivariate analyses were performed to evaluate the association between LDL-C/HDL-C ratio and baPWV, adjusting for age, sex, body mass index (BMI), and other potential confounders. Subgroup analyses were performed to explore variations by demographic and clinical factors. Results: The mean age of the study population was 51.1 years, and 64.9% were male. Significant differences were observed across LDL-C/HDL-C ratio tertiles for age, sex, BMI, blood pressure, liver enzymes, lipid profiles and lifestyle factors (p &lt; 0.001 for most). Univariate analyses showed strong associations between atherosclerosis and age, sex, BMI, blood pressure, liver function markers, metabolic factors and lifestyle behaviours (p &lt; 0.001 for most). Multivariate linear regression models were used to examine the association between LDL-C/HDL-C ratio and baPWV, adjusting for factors such as age, sex, BMI, and other metabolic variables. Subgroup analyses showed significant associations between LDL-C/HDL-C ratio and baPWV in women (p = 0.036), participants aged &lt; 55 years (p = 0.009), and those with BMI &lt; 25 kg/m² (p = 0.044). No significant interactions were observed between subgroups (p for interaction &gt; 0.05). Conclusions: LDL-C/HDL-C ratio is significantly associated with atherosclerosis in the Japanese population, with varying strength in different demographic and clinical subgroups. These findings highlight the importance of LDL-C/HDL-C ratio as a predictor of atherosclerosis and underscore the need for targeted interventions to manage cardiovascular risk in this population. Clinical trial number: Not applicable.","author":[{"dropping-particle":"","family":"Jiang","given":"Yan","non-dropping-particle":"","parse-names":false,"suffix":""},{"dropping-particle":"","family":"Zhang","given":"Lina","non-dropping-particle":"","parse-names":false,"suffix":""},{"dropping-particle":"","family":"Gu","given":"Zhifeng","non-dropping-particle":"","parse-names":false,"suffix":""}],"container-title":"BMC Cardiovascular Disorders","id":"ITEM-1","issue":"1","issued":{"date-parts":[["2025","12","1"]]},"publisher":"BioMed Central Ltd","title":"LDL-C/HDL-C ratio as a predictor of atherosclerosis in the Japanese population: insights from a cross-sectional study","type":"article-journal","volume":"25"},"uris":["http://www.mendeley.com/documents/?uuid=89fa8bfb-676d-3f4c-b8e7-a0dbcc0b5be4"]},{"id":"ITEM-2","itemData":{"DOI":"10.1186/S12944-020-01413-5,","ISSN":"1476511X","PMID":"33183311","abstract":"Background: The low-density lipoprotein cholesterol/high-density lipoprotein- cholesterol (LDL-C/HDL-C) ratio is an excellent predictor of cardiovascular disease (CVD). However, previous studies linking the LDL-C/HDL-C ratio to mortality have yielded inconsistent results and been limited by short follow-up periods. Therefore, the aim of the present study was to determine whether the LDL-C/HDL-C ratio could be an effective predictor of all-cause mortality in elderly hypertensive patients. Methods: A total of 6941 hypertensive patients aged 65 years or older who were not treated with lipid-lowering drugs were selected from the Chinese Hypertension Registry for analysis. The endpoint of the study was all-cause mortality. The relationship between the LDL-C/HDL-C ratio and all-cause mortality was determined using multivariate Cox proportional hazards regression, smoothing curve fitting (penalized spline method), subgroup analysis and Kaplan–Meier survival curve analysis. Results: During a median follow-up of 1.72 years, 157 all-cause deaths occurred. A U-shaped association was found between the LDL-C/HDL-C ratio and all-cause mortality. Patients were divided according to the quintiles of the LDL-C/HDL-C ratio. Compared to the reference group (Q3: 1.67–2.10), patients with both lower (Q1 and Q2) and higher (Q4 and Q5) LDL-C/HDL-C ratios had higher all-cause mortality (&lt; 1.67: HR 1.81, 95% CI: 1.08–3.03; ≥2.10: HR 2.00, 95% CI: 1.18–3.39). Compared with the lower and higher LDL-C/HDL-C ratio groups, patients with LDL-C/HDL-C ratios of 1.67–2.10 had a significantly higher survival probability (log-rank P = 0.038). Conclusions: The results suggest that there is a U-shaped association between the LDL-C/HDL-C ratio and all-cause mortality. Both lower and higher LDL-C/HDL-C ratios were associated with increased all-cause mortality in elderly hypertensive patients.","author":[{"dropping-particle":"","family":"Yu","given":"Yu","non-dropping-particle":"","parse-names":false,"suffix":""},{"dropping-particle":"","family":"Li","given":"Minghui","non-dropping-particle":"","parse-names":false,"suffix":""},{"dropping-particle":"","family":"Huang","given":"Xiao","non-dropping-particle":"","parse-names":false,"suffix":""},{"dropping-particle":"","family":"Zhou","given":"Wei","non-dropping-particle":"","parse-names":false,"suffix":""},{"dropping-particle":"","family":"Wang","given":"Tao","non-dropping-particle":"","parse-names":false,"suffix":""},{"dropping-particle":"","family":"Zhu","given":"Lingjuan","non-dropping-particle":"","parse-names":false,"suffix":""},{"dropping-particle":"","family":"Ding","given":"Congcong","non-dropping-particle":"","parse-names":false,"suffix":""},{"dropping-particle":"","family":"Tao","given":"Yu","non-dropping-particle":"","parse-names":false,"suffix":""},{"dropping-particle":"","family":"Bao","given":"Huihui","non-dropping-particle":"","parse-names":false,"suffix":""},{"dropping-particle":"","family":"Cheng","given":"Xiaoshu","non-dropping-particle":"","parse-names":false,"suffix":""}],"container-title":"Lipids in Health and Disease","id":"ITEM-2","issue":"1","issued":{"date-parts":[["2020","12","1"]]},"page":"238","publisher":"BioMed Central Ltd","title":"A U-shaped association between the LDL-cholesterol to HDL-cholesterol ratio and all-cause mortality in elderly hypertensive patients: a prospective cohort study","type":"article-journal","volume":"19"},"uris":["http://www.mendeley.com/documents/?uuid=858b6d86-ab45-306a-ae19-57d1680044da"]}],"mendeley":{"formattedCitation":"(Jiang et al., 2025; Yu et al., 2020)","manualFormatting":"Jiang et al., (2025); Yu et al., (2020)","plainTextFormattedCitation":"(Jiang et al., 2025; Yu et al., 2020)","previouslyFormattedCitation":"(Jiang et al., 2025; Yu et al., 2020)"},"properties":{"noteIndex":0},"schema":"https://github.com/citation-style-language/schema/raw/master/csl-citation.json"}</w:instrText>
      </w:r>
      <w:r w:rsidR="004F49FF" w:rsidRPr="00CB14C3">
        <w:rPr>
          <w:rStyle w:val="FootnoteReference"/>
          <w:rFonts w:ascii="Arial" w:hAnsi="Arial" w:cs="Arial"/>
          <w:sz w:val="20"/>
          <w:szCs w:val="20"/>
          <w:lang w:val="en-GB"/>
        </w:rPr>
        <w:fldChar w:fldCharType="separate"/>
      </w:r>
      <w:r w:rsidR="004F49FF" w:rsidRPr="00CB14C3">
        <w:rPr>
          <w:rFonts w:ascii="Arial" w:hAnsi="Arial" w:cs="Arial"/>
          <w:sz w:val="20"/>
          <w:szCs w:val="20"/>
          <w:lang w:val="en-GB"/>
        </w:rPr>
        <w:t>Jiang et al., (2025); Yu et al., (2020)</w:t>
      </w:r>
      <w:r w:rsidR="004F49FF" w:rsidRPr="00CB14C3">
        <w:rPr>
          <w:rStyle w:val="FootnoteReference"/>
          <w:rFonts w:ascii="Arial" w:hAnsi="Arial" w:cs="Arial"/>
          <w:sz w:val="20"/>
          <w:szCs w:val="20"/>
          <w:lang w:val="en-GB"/>
        </w:rPr>
        <w:fldChar w:fldCharType="end"/>
      </w:r>
      <w:r w:rsidR="004F49FF" w:rsidRPr="00CB14C3">
        <w:rPr>
          <w:rFonts w:ascii="Arial" w:hAnsi="Arial" w:cs="Arial"/>
          <w:sz w:val="20"/>
          <w:szCs w:val="20"/>
          <w:lang w:val="en-GB"/>
        </w:rPr>
        <w:t xml:space="preserve"> asserting that the LDL cholesterol, is a predicator for high mortality rate which underscores atherosclerosis as a leading factor in cardiovascular risk. Our findings assume a promising effect for A. </w:t>
      </w:r>
      <w:r w:rsidR="00EB4069" w:rsidRPr="00CB14C3">
        <w:rPr>
          <w:rFonts w:ascii="Arial" w:hAnsi="Arial" w:cs="Arial"/>
          <w:sz w:val="20"/>
          <w:szCs w:val="20"/>
          <w:lang w:val="en-GB"/>
        </w:rPr>
        <w:t>spinous</w:t>
      </w:r>
      <w:r w:rsidR="004F49FF" w:rsidRPr="00CB14C3">
        <w:rPr>
          <w:rFonts w:ascii="Arial" w:hAnsi="Arial" w:cs="Arial"/>
          <w:sz w:val="20"/>
          <w:szCs w:val="20"/>
          <w:lang w:val="en-GB"/>
        </w:rPr>
        <w:t xml:space="preserve"> as a potential cardioprotective agent, particularly when dosed correctly directed.</w:t>
      </w:r>
      <w:r w:rsidR="004C5229" w:rsidRPr="00CB14C3">
        <w:rPr>
          <w:rFonts w:ascii="Arial" w:hAnsi="Arial" w:cs="Arial"/>
          <w:sz w:val="20"/>
          <w:szCs w:val="20"/>
          <w:lang w:val="en-GB"/>
        </w:rPr>
        <w:t xml:space="preserve"> </w:t>
      </w:r>
    </w:p>
    <w:p w:rsidR="004C5229" w:rsidRPr="00CB14C3" w:rsidRDefault="004C5229" w:rsidP="004C5229">
      <w:pPr>
        <w:spacing w:line="360" w:lineRule="auto"/>
        <w:jc w:val="both"/>
        <w:rPr>
          <w:rFonts w:ascii="Arial" w:hAnsi="Arial" w:cs="Arial"/>
          <w:sz w:val="20"/>
          <w:szCs w:val="20"/>
          <w:lang w:val="en-GB"/>
        </w:rPr>
      </w:pPr>
      <w:r w:rsidRPr="00CB14C3">
        <w:rPr>
          <w:rFonts w:ascii="Arial" w:hAnsi="Arial" w:cs="Arial"/>
          <w:sz w:val="20"/>
          <w:szCs w:val="20"/>
          <w:lang w:val="en-GB"/>
        </w:rPr>
        <w:t xml:space="preserve">However, reduction in observed TAG ratio indicates low triglyceride level in the rats and improved liver function after administration under stress while as elevated levels might be a sign of other underlying factors; drug to target delivery </w:t>
      </w:r>
      <w:r w:rsidRPr="00CB14C3">
        <w:rPr>
          <w:rStyle w:val="FootnoteReference"/>
          <w:rFonts w:ascii="Arial" w:hAnsi="Arial" w:cs="Arial"/>
          <w:sz w:val="20"/>
          <w:szCs w:val="20"/>
          <w:lang w:val="en-GB"/>
        </w:rPr>
        <w:fldChar w:fldCharType="begin" w:fldLock="1"/>
      </w:r>
      <w:r w:rsidRPr="00CB14C3">
        <w:rPr>
          <w:rFonts w:ascii="Arial" w:hAnsi="Arial" w:cs="Arial"/>
          <w:sz w:val="20"/>
          <w:szCs w:val="20"/>
          <w:lang w:val="en-GB"/>
        </w:rPr>
        <w:instrText>ADDIN CSL_CITATION {"citationItems":[{"id":"ITEM-1","itemData":{"DOI":"10.1038/S41398-025-03431-2","ISSN":"21583188","PMID":"40555718","abstract":"The development of medications for alcohol use disorders (AUD) faces stagnation, as promising drugs failed to translate in clinic. Screening on homogeneous groups of animals drugs later tested on heterogeneous clinical cohorts may contribute to the translational gap. We hypothesized that a preclinical model of AUD accounting for inter-individual heterogeneity would predict the lack of efficacy of a drug that failed clinical trials (Memantine) and the efficacy of an approved AUD medication (Naltrexone). Baseline alcohol drinking, motivation, and cued reinstatement were screened in NIH genetically heterogeneous-stock rats before testing the effect of Memantine and Naltrexone on alcohol (ASA) and saccharin self-administration (SSA). Based on the individual effect of Memantine and Naltrexone on ASA, rats were allocated into independent clusters of responders and non-responders to each drug. The same doses of Memantine reduced both ASA and SSA in both clusters, while Naltrexone selectively reduced ASA in responder rats. Naltrexone responders were in majority males, while non-responders were mostly females. Naltrexone responders and non-responders showed similar alcohol drinking and motivation, but non-responders did not show cued reinstatement of alcohol seeking. In line with clinical observations, in a model accounting for individual heterogeneity Memantine failed to selectively reduce ASA, the population could be unbiasedly clustered in responders and non-responders, and cued reactivity associated with Naltrexone response in males. These results advocate the use of inter-individual heterogeneity for preclinical prediction of drug efficacy in AUD before clinical trials. In addition, we observed sex differences in response to Naltrexone that can be back-translated in clinic.","author":[{"dropping-particle":"","family":"Carlo","given":"Sara","non-dropping-particle":"De","parse-names":false,"suffix":""},{"dropping-particle":"","family":"Mrizak","given":"Hela","non-dropping-particle":"","parse-names":false,"suffix":""},{"dropping-particle":"","family":"Valle","given":"Andrea","non-dropping-particle":"Della","parse-names":false,"suffix":""},{"dropping-particle":"","family":"Lunerti","given":"Veronica","non-dropping-particle":"","parse-names":false,"suffix":""},{"dropping-particle":"","family":"Kyratzi","given":"Manthoula O.","non-dropping-particle":"","parse-names":false,"suffix":""},{"dropping-particle":"","family":"Mammone","given":"Alessandra","non-dropping-particle":"","parse-names":false,"suffix":""},{"dropping-particle":"","family":"Lacorte","given":"Antonio","non-dropping-particle":"","parse-names":false,"suffix":""},{"dropping-particle":"","family":"Keshishian","given":"Adana","non-dropping-particle":"","parse-names":false,"suffix":""},{"dropping-particle":"","family":"Li","given":"Min","non-dropping-particle":"","parse-names":false,"suffix":""},{"dropping-particle":"","family":"Domi","given":"Esi","non-dropping-particle":"","parse-names":false,"suffix":""},{"dropping-particle":"","family":"Qin","given":"Di","non-dropping-particle":"","parse-names":false,"suffix":""},{"dropping-particle":"","family":"Woods","given":"Leah Solberg","non-dropping-particle":"","parse-names":false,"suffix":""},{"dropping-particle":"","family":"Soverchia","given":"Laura","non-dropping-particle":"","parse-names":false,"suffix":""},{"dropping-particle":"","family":"Ubaldi","given":"Massimo","non-dropping-particle":"","parse-names":false,"suffix":""},{"dropping-particle":"","family":"Ciccocioppo","given":"Roberto","non-dropping-particle":"","parse-names":false,"suffix":""},{"dropping-particle":"","family":"Cannella","given":"Nazzareno","non-dropping-particle":"","parse-names":false,"suffix":""}],"container-title":"Translational Psychiatry","id":"ITEM-1","issue":"1","issued":{"date-parts":[["2025","12","1"]]},"page":"212","publisher":"Springer Nature","title":"Predicting individual treatment response in alcohol use disorders: a reverse translational proof-of-concept study","type":"article-journal","volume":"15"},"uris":["http://www.mendeley.com/documents/?uuid=dd680646-6d8d-3a78-8447-328daaed219d"]}],"mendeley":{"formattedCitation":"(De Carlo et al., 2025)","manualFormatting":"De Carlo et al., (2025)","plainTextFormattedCitation":"(De Carlo et al., 2025)","previouslyFormattedCitation":"(De Carlo et al., 2025)"},"properties":{"noteIndex":0},"schema":"https://github.com/citation-style-language/schema/raw/master/csl-citation.json"}</w:instrText>
      </w:r>
      <w:r w:rsidRPr="00CB14C3">
        <w:rPr>
          <w:rStyle w:val="FootnoteReference"/>
          <w:rFonts w:ascii="Arial" w:hAnsi="Arial" w:cs="Arial"/>
          <w:sz w:val="20"/>
          <w:szCs w:val="20"/>
          <w:lang w:val="en-GB"/>
        </w:rPr>
        <w:fldChar w:fldCharType="separate"/>
      </w:r>
      <w:r w:rsidRPr="00CB14C3">
        <w:rPr>
          <w:rFonts w:ascii="Arial" w:hAnsi="Arial" w:cs="Arial"/>
          <w:sz w:val="20"/>
          <w:szCs w:val="20"/>
          <w:lang w:val="en-GB"/>
        </w:rPr>
        <w:t>De Carlo et al., (2025)</w:t>
      </w:r>
      <w:r w:rsidRPr="00CB14C3">
        <w:rPr>
          <w:rStyle w:val="FootnoteReference"/>
          <w:rFonts w:ascii="Arial" w:hAnsi="Arial" w:cs="Arial"/>
          <w:sz w:val="20"/>
          <w:szCs w:val="20"/>
          <w:lang w:val="en-GB"/>
        </w:rPr>
        <w:fldChar w:fldCharType="end"/>
      </w:r>
      <w:r w:rsidRPr="00CB14C3">
        <w:rPr>
          <w:rFonts w:ascii="Arial" w:hAnsi="Arial" w:cs="Arial"/>
          <w:sz w:val="20"/>
          <w:szCs w:val="20"/>
          <w:lang w:val="en-GB"/>
        </w:rPr>
        <w:t xml:space="preserve"> or Insulin malfunction </w:t>
      </w:r>
      <w:r w:rsidRPr="00CB14C3">
        <w:rPr>
          <w:rStyle w:val="FootnoteReference"/>
          <w:rFonts w:ascii="Arial" w:hAnsi="Arial" w:cs="Arial"/>
          <w:sz w:val="20"/>
          <w:szCs w:val="20"/>
          <w:lang w:val="en-GB"/>
        </w:rPr>
        <w:fldChar w:fldCharType="begin" w:fldLock="1"/>
      </w:r>
      <w:r w:rsidRPr="00CB14C3">
        <w:rPr>
          <w:rFonts w:ascii="Arial" w:hAnsi="Arial" w:cs="Arial"/>
          <w:sz w:val="20"/>
          <w:szCs w:val="20"/>
          <w:lang w:val="en-GB"/>
        </w:rPr>
        <w:instrText>ADDIN CSL_CITATION {"citationItems":[{"id":"ITEM-1","itemData":{"DOI":"10.1007/S11886-013-0400-4","ISSN":"15343170","PMID":"23881582","abstract":"This review article summarizes recent research into the mechanisms as to how elevated levels of triglyceride (TG) and low levels of high- density- lipoprotein cholesterol (HDL-C) contribute to inflammation and atherosclerosis. Evidence supports the role of TG-rich lipoproteins in signaling mechanisms via apolipoproteins C-III and free fatty acids leading to activation of NFKβ, VCAM-1 and other inflammatory mediators which lead to fatty streak formation and advanced atherosclerosis. Moreover, the cholesterol content in TG-rich lipoproteins has been shown to predict CAD risk better than LDL-C. In addition to reverse cholesterol transport, HDL has many other cardioprotective effects which include regulating immune function. The \"functionality\" of HDL appears more important than the level of HDL-C. Insulin resistance and central obesity underlie the pathophysiology of elevated TG and low HDL-C in metabolic syndrome and type 2 diabetes. Lifestyle recommendations including exercise and weight loss remain first line therapy in ameliorating insulin resistance and the adverse signaling processes from elevated levels of TG-rich lipoproteins and low HDL-C. © 2013 Springer Science+Business Media New York.","author":[{"dropping-particle":"","family":"Welty","given":"Francine K.","non-dropping-particle":"","parse-names":false,"suffix":""}],"container-title":"Current cardiology reports","id":"ITEM-1","issue":"9","issued":{"date-parts":[["2013","9","1"]]},"page":"400","publisher":"Current Medicine Group LLC 1","title":"How Do Elevated Triglycerides and Low HDL-Cholesterol Affect Inflammation and Atherothrombosis?","type":"article-journal","volume":"15"},"uris":["http://www.mendeley.com/documents/?uuid=44b44cd8-b084-3d79-81ac-81305c014a98"]},{"id":"ITEM-2","itemData":{"DOI":"10.25122/JML-2022-0239","ISSN":"18443117","PMID":"37520476","abstract":"Insulin resistance (IR) is a common pathophysiological condition associated with many metabolic diseases, including obesity, prediabetes, type 2 diabetes mellitus (T2DM), and cardiovascular disease. The widely used homeostasis model assessment for IR (HOMA-IR) is usually used to estimate IR. However, this model cannot be used for screening IR due to several logistic difficulties, such as costs and insulin instability, which are essential for measurement. Thus, finding feasible alternatives is of paramount importance. This study aimed to evaluate the value of triglyceride/high-den-sity lipoprotein-cholesterol (TG/HDL-c) ratio in predicting IR in healthy adult individuals. The study involved 83 euglycemic non-diabetic adults (≥45 years old). Lipid profile, fasting insulin, fasting blood sugar (FBS), and glycated hemoglobin were measured for all participants. The TG/HDL-c ratio was calculated by dividing TG by HDL. Insulin resistance was calculated using the HOMA-IR formula. The receiver operating characteristic (ROC) curve was used to evaluate the predictive value of the TG/HDL-c ratio. The prevalence of IR among healthy adult Iraqis was 28.92%. Subjects in the IR group showed a higher TG/HDL ratio than the insulin-sensitive group (3.69±0.68 versus 2.71±1.0) with a significant difference. The area under the curve (AUC) for this ratio was 0.849, 95% CI= 0.763-0.935, p&lt;0.002. The sensitivity and specificity of the test were 83% and 81%, respectively, at a best cut-off value of 3.1 (TG/HDL ratio). The prevalence of IR among healthy adult Iraqis was 28.92%. Triglyceride/HDL-c ratio had a very good predictive value for IR.","author":[{"dropping-particle":"","family":"Ghani","given":"Zahraa Abdul","non-dropping-particle":"","parse-names":false,"suffix":""},{"dropping-particle":"","family":"Qaddori","given":"Hussein","non-dropping-particle":"","parse-names":false,"suffix":""},{"dropping-particle":"","family":"Al-Mayah","given":"Qasim","non-dropping-particle":"","parse-names":false,"suffix":""}],"container-title":"Journal of Medicine and Life","id":"ITEM-2","issue":"5","issued":{"date-parts":[["2023"]]},"page":"668","publisher":"Carol Davila University Press","title":"Triglyceride/high-density lipoprotein ratio as a predictor for insulin resistance in a sample of healthy Iraqi adults","type":"article-journal","volume":"16"},"uris":["http://www.mendeley.com/documents/?uuid=351d97be-7340-38c9-bc8e-e73c5feb03ef"]}],"mendeley":{"formattedCitation":"(Ghani et al., 2023; Welty, 2013)","plainTextFormattedCitation":"(Ghani et al., 2023; Welty, 2013)","previouslyFormattedCitation":"(Ghani et al., 2023; Welty, 2013)"},"properties":{"noteIndex":0},"schema":"https://github.com/citation-style-language/schema/raw/master/csl-citation.json"}</w:instrText>
      </w:r>
      <w:r w:rsidRPr="00CB14C3">
        <w:rPr>
          <w:rStyle w:val="FootnoteReference"/>
          <w:rFonts w:ascii="Arial" w:hAnsi="Arial" w:cs="Arial"/>
          <w:sz w:val="20"/>
          <w:szCs w:val="20"/>
          <w:lang w:val="en-GB"/>
        </w:rPr>
        <w:fldChar w:fldCharType="separate"/>
      </w:r>
      <w:r w:rsidRPr="00CB14C3">
        <w:rPr>
          <w:rFonts w:ascii="Arial" w:hAnsi="Arial" w:cs="Arial"/>
          <w:bCs/>
          <w:sz w:val="20"/>
          <w:szCs w:val="20"/>
          <w:lang w:val="en-GB"/>
        </w:rPr>
        <w:t>(Ghani et al., 2023; Welty, 2013)</w:t>
      </w:r>
      <w:r w:rsidRPr="00CB14C3">
        <w:rPr>
          <w:rStyle w:val="FootnoteReference"/>
          <w:rFonts w:ascii="Arial" w:hAnsi="Arial" w:cs="Arial"/>
          <w:sz w:val="20"/>
          <w:szCs w:val="20"/>
          <w:lang w:val="en-GB"/>
        </w:rPr>
        <w:fldChar w:fldCharType="end"/>
      </w:r>
      <w:r w:rsidRPr="00CB14C3">
        <w:rPr>
          <w:rFonts w:ascii="Arial" w:hAnsi="Arial" w:cs="Arial"/>
          <w:sz w:val="20"/>
          <w:szCs w:val="20"/>
          <w:lang w:val="en-GB"/>
        </w:rPr>
        <w:t xml:space="preserve">. In collaboration to this, </w:t>
      </w:r>
      <w:r w:rsidRPr="00CB14C3">
        <w:rPr>
          <w:rStyle w:val="FootnoteReference"/>
          <w:rFonts w:ascii="Arial" w:hAnsi="Arial" w:cs="Arial"/>
          <w:sz w:val="20"/>
          <w:szCs w:val="20"/>
          <w:lang w:val="en-GB"/>
        </w:rPr>
        <w:fldChar w:fldCharType="begin" w:fldLock="1"/>
      </w:r>
      <w:r w:rsidRPr="00CB14C3">
        <w:rPr>
          <w:rFonts w:ascii="Arial" w:hAnsi="Arial" w:cs="Arial"/>
          <w:sz w:val="20"/>
          <w:szCs w:val="20"/>
          <w:lang w:val="en-GB"/>
        </w:rPr>
        <w:instrText>ADDIN CSL_CITATION {"citationItems":[{"id":"ITEM-1","itemData":{"DOI":"10.1016/J.JACC.2014.02.615","ISSN":"15583597","PMID":"25082583","abstract":"Background Levels of atherogenic lipoproteins achieved with statin therapy are highly variable, but the consequence of this variability for cardiovascular disease risk is not well-documented. Objectives The aim of this meta-analysis was to evaluate: 1) the interindividual variability of reductions in low-density lipoprotein cholesterol (LDL-C), non-high-density lipoprotein cholesterol (non-HDL-C), or apolipoprotein B (apoB) levels achieved with statin therapy; 2) the proportion of patients not reaching guideline-recommended lipid levels on high-dose statin therapy; and 3) the association between very low levels of atherogenic lipoproteins achieved with statin therapy and cardiovascular disease risk. Methods This meta-analysis used individual patient data from 8 randomized controlled statin trials, in which conventional lipids and apolipoproteins were determined in all study participants at baseline and at 1-year follow-up. Results Among 38,153 patients allocated to statin therapy, a total of 6,286 major cardiovascular events occurred in 5,387 study participants during follow-up. There was large interindividual variability in the reductions of LDL-C, non-HDL-C, and apoB achieved with a fixed statin dose. More than 40% of trial participants assigned to high-dose statin therapy did not reach an LDL-C target &lt;70 mg/dl. Compared with patients who achieved an LDL-C &gt;175 mg/dl, those who reached an LDL-C 75 to &lt;100 mg/dl, 50 to &lt;75 mg/dl, and &lt;50 mg/dl had adjusted hazard ratios for major cardiovascular events of 0.56 (95% confidence interval [CI]: 0.46 to 0.67), 0.51 (95% CI: 0.42 to 0.62), and 0.44 (95% CI: 0.35 to 0.55), respectively. Similar associations were observed for non-HDL-C and apoB. Conclusions The reductions of LDL-C, non-HDL-C, and apoB levels achieved with statin therapy displayed large interindividual variation. Among trial participants treated with high-dose statin therapy, &gt;40% did not reach an LDL-C target &lt;70 mg/dl. Patients who achieve very low LDL-C levels have a lower risk for major cardiovascular events than do those achieving moderately low levels. © 2014 by the American College of Cardiology Foundation.","author":[{"dropping-particle":"","family":"Boekholdt","given":"S. Matthijs","non-dropping-particle":"","parse-names":false,"suffix":""},{"dropping-particle":"","family":"Hovingh","given":"G. Kees","non-dropping-particle":"","parse-names":false,"suffix":""},{"dropping-particle":"","family":"Mora","given":"Samia","non-dropping-particle":"","parse-names":false,"suffix":""},{"dropping-particle":"","family":"Arsenault","given":"Benoit J.","non-dropping-particle":"","parse-names":false,"suffix":""},{"dropping-particle":"","family":"Amarenco","given":"Pierre","non-dropping-particle":"","parse-names":false,"suffix":""},{"dropping-particle":"","family":"Pedersen","given":"Terje R.","non-dropping-particle":"","parse-names":false,"suffix":""},{"dropping-particle":"","family":"Larosa","given":"John C.","non-dropping-particle":"","parse-names":false,"suffix":""},{"dropping-particle":"","family":"Waters","given":"David D.","non-dropping-particle":"","parse-names":false,"suffix":""},{"dropping-particle":"","family":"Demicco","given":"David A.","non-dropping-particle":"","parse-names":false,"suffix":""},{"dropping-particle":"","family":"Simes","given":"R. John","non-dropping-particle":"","parse-names":false,"suffix":""},{"dropping-particle":"","family":"Keech","given":"Antony C.","non-dropping-particle":"","parse-names":false,"suffix":""},{"dropping-particle":"","family":"Colquhoun","given":"David","non-dropping-particle":"","parse-names":false,"suffix":""},{"dropping-particle":"","family":"Hitman","given":"Graham A.","non-dropping-particle":"","parse-names":false,"suffix":""},{"dropping-particle":"","family":"Betteridge","given":"D. John","non-dropping-particle":"","parse-names":false,"suffix":""},{"dropping-particle":"","family":"Clearfield","given":"Michael B.","non-dropping-particle":"","parse-names":false,"suffix":""},{"dropping-particle":"","family":"Downs","given":"John R.","non-dropping-particle":"","parse-names":false,"suffix":""},{"dropping-particle":"","family":"Colhoun","given":"Helen M.","non-dropping-particle":"","parse-names":false,"suffix":""},{"dropping-particle":"","family":"Gotto","given":"Antonio M.","non-dropping-particle":"","parse-names":false,"suffix":""},{"dropping-particle":"","family":"Ridker","given":"Paul M.","non-dropping-particle":"","parse-names":false,"suffix":""},{"dropping-particle":"","family":"Grundy","given":"Scott M.","non-dropping-particle":"","parse-names":false,"suffix":""},{"dropping-particle":"","family":"Kastelein","given":"John J.P.","non-dropping-particle":"","parse-names":false,"suffix":""}],"container-title":"Journal of the American College of Cardiology","id":"ITEM-1","issue":"5","issued":{"date-parts":[["2014","8","5"]]},"page":"485","publisher":"Elsevier USA","title":"Very low levels of atherogenic lipoproteins and risk of cardiovascular events; a meta-analysis of statin trials","type":"article-journal","volume":"64"},"uris":["http://www.mendeley.com/documents/?uuid=9787f092-7570-31aa-81bd-e380f370575d"]}],"mendeley":{"formattedCitation":"(Boekholdt et al., 2014)","manualFormatting":"Boekholdt et al., (2014)","plainTextFormattedCitation":"(Boekholdt et al., 2014)","previouslyFormattedCitation":"(Boekholdt et al., 2014)"},"properties":{"noteIndex":0},"schema":"https://github.com/citation-style-language/schema/raw/master/csl-citation.json"}</w:instrText>
      </w:r>
      <w:r w:rsidRPr="00CB14C3">
        <w:rPr>
          <w:rStyle w:val="FootnoteReference"/>
          <w:rFonts w:ascii="Arial" w:hAnsi="Arial" w:cs="Arial"/>
          <w:sz w:val="20"/>
          <w:szCs w:val="20"/>
          <w:lang w:val="en-GB"/>
        </w:rPr>
        <w:fldChar w:fldCharType="separate"/>
      </w:r>
      <w:r w:rsidRPr="00CB14C3">
        <w:rPr>
          <w:rFonts w:ascii="Arial" w:hAnsi="Arial" w:cs="Arial"/>
          <w:bCs/>
          <w:sz w:val="20"/>
          <w:szCs w:val="20"/>
          <w:lang w:val="en-GB"/>
        </w:rPr>
        <w:t>Boekholdt et al., (2014)</w:t>
      </w:r>
      <w:r w:rsidRPr="00CB14C3">
        <w:rPr>
          <w:rStyle w:val="FootnoteReference"/>
          <w:rFonts w:ascii="Arial" w:hAnsi="Arial" w:cs="Arial"/>
          <w:sz w:val="20"/>
          <w:szCs w:val="20"/>
          <w:lang w:val="en-GB"/>
        </w:rPr>
        <w:fldChar w:fldCharType="end"/>
      </w:r>
      <w:r w:rsidRPr="00CB14C3">
        <w:rPr>
          <w:rFonts w:ascii="Arial" w:hAnsi="Arial" w:cs="Arial"/>
          <w:sz w:val="20"/>
          <w:szCs w:val="20"/>
          <w:lang w:val="en-GB"/>
        </w:rPr>
        <w:t xml:space="preserve"> assert lowering TAG levels is key to achieving a lower risk of major cardiovascular events than those achieving moderately low levels. </w:t>
      </w:r>
    </w:p>
    <w:p w:rsidR="00695483" w:rsidRPr="00CB14C3" w:rsidRDefault="00552ED3" w:rsidP="00784675">
      <w:pPr>
        <w:spacing w:line="360" w:lineRule="auto"/>
        <w:jc w:val="both"/>
        <w:rPr>
          <w:rFonts w:ascii="Arial" w:hAnsi="Arial" w:cs="Arial"/>
          <w:sz w:val="20"/>
          <w:szCs w:val="20"/>
          <w:lang w:val="en-GB"/>
        </w:rPr>
      </w:pPr>
      <w:r w:rsidRPr="00CB14C3">
        <w:rPr>
          <w:rFonts w:ascii="Arial" w:hAnsi="Arial" w:cs="Arial"/>
          <w:sz w:val="20"/>
          <w:szCs w:val="20"/>
          <w:lang w:val="en-GB"/>
        </w:rPr>
        <w:lastRenderedPageBreak/>
        <w:t>Alcohol-induced hepatocellular injury is characterized by increased permeability of the plasma membrane, leading to leakage of liver enzymes into circulation</w:t>
      </w:r>
      <w:r w:rsidR="001251FC" w:rsidRPr="00CB14C3">
        <w:rPr>
          <w:rFonts w:ascii="Arial" w:hAnsi="Arial" w:cs="Arial"/>
          <w:sz w:val="20"/>
          <w:szCs w:val="20"/>
          <w:lang w:val="en-GB"/>
        </w:rPr>
        <w:t xml:space="preserve"> </w:t>
      </w:r>
      <w:r w:rsidR="004C5229" w:rsidRPr="00CB14C3">
        <w:rPr>
          <w:rStyle w:val="FootnoteReference"/>
          <w:rFonts w:ascii="Arial" w:hAnsi="Arial" w:cs="Arial"/>
          <w:sz w:val="20"/>
          <w:szCs w:val="20"/>
          <w:lang w:val="en-GB"/>
        </w:rPr>
        <w:fldChar w:fldCharType="begin" w:fldLock="1"/>
      </w:r>
      <w:r w:rsidR="004C5229" w:rsidRPr="00CB14C3">
        <w:rPr>
          <w:rFonts w:ascii="Arial" w:hAnsi="Arial" w:cs="Arial"/>
          <w:sz w:val="20"/>
          <w:szCs w:val="20"/>
          <w:lang w:val="en-GB"/>
        </w:rPr>
        <w:instrText>ADDIN CSL_CITATION {"citationItems":[{"id":"ITEM-1","itemData":{"DOI":"10.1016/J.LIVRES.2022.09.004","ISSN":"2542-5684","abstract":"Alcohol-related liver disease (ALD) became an important health issue worldwide. Following chronic alcohol consumption, the development of ALD might be caused by metabolic and immunologic factors, such as reactive oxygen species (ROS) and pro-inflammatory cytokines. For example, hepatic cytochrome P450 2E1 enzyme increases ROS production and stimulates de novo lipogenesis after alcohol exposure. In addition, damage- and pathogen-associated molecular patterns stimulate their specific receptors in non-parenchymal cells, including Kupffer cells, hepatic stellate cells (HSCs), and lymphocytes, which result in hepatocyte death and infiltration of pro-inflammatory cells (e.g., neutrophils and macrophages) in the liver. Moreover, our studies have suggested the novel involvement of neurologic signaling pathways (e.g., endocannabinoid and glutamate) through the metabolic synapse between hepatocytes and HSCs in the development of alcohol-related hepatic steatosis. Additionally, agouti-related protein and beta2-adrenergic receptors aggravate hepatic steatosis. Furthermore, organ-crosstalk has emerged as a critical issue in ALD. Chronic alcohol consumption induces dysbiosis and barrier disruption in the gut, leading to endotoxin leakage into the portal circulation, or lipolysis-mediated transport of triglycerides from the adipose tissue to the liver. In summary, this review addresses multiple pathogeneses of ALD, provides novel neurologic signaling pathways, and emphasizes the importance of organ-crosstalk in the development of ALD.","author":[{"dropping-particle":"","family":"Ryu","given":"Tom","non-dropping-particle":"","parse-names":false,"suffix":""},{"dropping-particle":"","family":"Kim","given":"Kyurae","non-dropping-particle":"","parse-names":false,"suffix":""},{"dropping-particle":"","family":"Choi","given":"Sung Eun","non-dropping-particle":"","parse-names":false,"suffix":""},{"dropping-particle":"","family":"Chung","given":"Katherine Po Sin","non-dropping-particle":"","parse-names":false,"suffix":""},{"dropping-particle":"Il","family":"Jeong","given":"Won","non-dropping-particle":"","parse-names":false,"suffix":""}],"container-title":"Liver Research","id":"ITEM-1","issue":"1","issued":{"date-parts":[["2023","3","1"]]},"page":"1-8","publisher":"Elsevier","title":"New insights in the pathogenesis of alcohol-related liver disease: The metabolic, immunologic, and neurologic pathways</w:instrText>
      </w:r>
      <w:r w:rsidR="004C5229" w:rsidRPr="00CB14C3">
        <w:rPr>
          <w:rFonts w:ascii="Segoe UI Symbol" w:hAnsi="Segoe UI Symbol" w:cs="Segoe UI Symbol"/>
          <w:sz w:val="20"/>
          <w:szCs w:val="20"/>
          <w:lang w:val="en-GB"/>
        </w:rPr>
        <w:instrText>☆</w:instrText>
      </w:r>
      <w:r w:rsidR="004C5229" w:rsidRPr="00CB14C3">
        <w:rPr>
          <w:rFonts w:ascii="Arial" w:hAnsi="Arial" w:cs="Arial"/>
          <w:sz w:val="20"/>
          <w:szCs w:val="20"/>
          <w:lang w:val="en-GB"/>
        </w:rPr>
        <w:instrText>","type":"article-journal","volume":"7"},"uris":["http://www.mendeley.com/documents/?uuid=74d866f8-3290-3214-a900-b7d6e7831f46"]}],"mendeley":{"formattedCitation":"(Ryu et al., 2023)","plainTextFormattedCitation":"(Ryu et al., 2023)","previouslyFormattedCitation":"(Ryu et al., 2023)"},"properties":{"noteIndex":0},"schema":"https://github.com/citation-style-language/schema/raw/master/csl-citation.json"}</w:instrText>
      </w:r>
      <w:r w:rsidR="004C5229" w:rsidRPr="00CB14C3">
        <w:rPr>
          <w:rStyle w:val="FootnoteReference"/>
          <w:rFonts w:ascii="Arial" w:hAnsi="Arial" w:cs="Arial"/>
          <w:sz w:val="20"/>
          <w:szCs w:val="20"/>
          <w:lang w:val="en-GB"/>
        </w:rPr>
        <w:fldChar w:fldCharType="separate"/>
      </w:r>
      <w:r w:rsidR="004C5229" w:rsidRPr="00CB14C3">
        <w:rPr>
          <w:rFonts w:ascii="Arial" w:hAnsi="Arial" w:cs="Arial"/>
          <w:bCs/>
          <w:sz w:val="20"/>
          <w:szCs w:val="20"/>
          <w:lang w:val="en-GB"/>
        </w:rPr>
        <w:t>(Ryu et al., 2023)</w:t>
      </w:r>
      <w:r w:rsidR="004C5229" w:rsidRPr="00CB14C3">
        <w:rPr>
          <w:rStyle w:val="FootnoteReference"/>
          <w:rFonts w:ascii="Arial" w:hAnsi="Arial" w:cs="Arial"/>
          <w:sz w:val="20"/>
          <w:szCs w:val="20"/>
          <w:lang w:val="en-GB"/>
        </w:rPr>
        <w:fldChar w:fldCharType="end"/>
      </w:r>
      <w:r w:rsidRPr="00CB14C3">
        <w:rPr>
          <w:rFonts w:ascii="Arial" w:hAnsi="Arial" w:cs="Arial"/>
          <w:sz w:val="20"/>
          <w:szCs w:val="20"/>
          <w:lang w:val="en-GB"/>
        </w:rPr>
        <w:t xml:space="preserve">. In this study, alcohol administration significantly elevated serum AST and ALT levels, confirming hepatic injury. Discontinuous alcohol exposure combined with moderate doses of </w:t>
      </w:r>
      <w:r w:rsidRPr="00CB14C3">
        <w:rPr>
          <w:rFonts w:ascii="Arial" w:hAnsi="Arial" w:cs="Arial"/>
          <w:i/>
          <w:sz w:val="20"/>
          <w:szCs w:val="20"/>
          <w:lang w:val="en-GB"/>
        </w:rPr>
        <w:t xml:space="preserve">A. </w:t>
      </w:r>
      <w:r w:rsidR="00EB4069" w:rsidRPr="00CB14C3">
        <w:rPr>
          <w:rFonts w:ascii="Arial" w:hAnsi="Arial" w:cs="Arial"/>
          <w:i/>
          <w:sz w:val="20"/>
          <w:szCs w:val="20"/>
          <w:lang w:val="en-GB"/>
        </w:rPr>
        <w:t>spinous</w:t>
      </w:r>
      <w:r w:rsidRPr="00CB14C3">
        <w:rPr>
          <w:rFonts w:ascii="Arial" w:hAnsi="Arial" w:cs="Arial"/>
          <w:sz w:val="20"/>
          <w:szCs w:val="20"/>
          <w:lang w:val="en-GB"/>
        </w:rPr>
        <w:t xml:space="preserve"> (Group 4</w:t>
      </w:r>
      <w:r w:rsidR="004C5229" w:rsidRPr="00CB14C3">
        <w:rPr>
          <w:rFonts w:ascii="Arial" w:hAnsi="Arial" w:cs="Arial"/>
          <w:sz w:val="20"/>
          <w:szCs w:val="20"/>
          <w:lang w:val="en-GB"/>
        </w:rPr>
        <w:t xml:space="preserve"> and 5</w:t>
      </w:r>
      <w:r w:rsidRPr="00CB14C3">
        <w:rPr>
          <w:rFonts w:ascii="Arial" w:hAnsi="Arial" w:cs="Arial"/>
          <w:sz w:val="20"/>
          <w:szCs w:val="20"/>
          <w:lang w:val="en-GB"/>
        </w:rPr>
        <w:t xml:space="preserve">) resulted in reduced AST levels, whereas continuous high-dose alcohol exposure </w:t>
      </w:r>
      <w:r w:rsidR="000F2404" w:rsidRPr="00CB14C3">
        <w:rPr>
          <w:rFonts w:ascii="Arial" w:hAnsi="Arial" w:cs="Arial"/>
          <w:sz w:val="20"/>
          <w:szCs w:val="20"/>
          <w:lang w:val="en-GB"/>
        </w:rPr>
        <w:t xml:space="preserve">may likely </w:t>
      </w:r>
      <w:r w:rsidRPr="00CB14C3">
        <w:rPr>
          <w:rFonts w:ascii="Arial" w:hAnsi="Arial" w:cs="Arial"/>
          <w:sz w:val="20"/>
          <w:szCs w:val="20"/>
          <w:lang w:val="en-GB"/>
        </w:rPr>
        <w:t>attenuated this protective effect, possibly due to sustained membrane damage or necrotic changes</w:t>
      </w:r>
      <w:r w:rsidR="000F2404" w:rsidRPr="00CB14C3">
        <w:rPr>
          <w:rFonts w:ascii="Arial" w:hAnsi="Arial" w:cs="Arial"/>
          <w:sz w:val="20"/>
          <w:szCs w:val="20"/>
          <w:lang w:val="en-GB"/>
        </w:rPr>
        <w:t xml:space="preserve"> </w:t>
      </w:r>
      <w:r w:rsidR="004C5229" w:rsidRPr="00CB14C3">
        <w:rPr>
          <w:rStyle w:val="FootnoteReference"/>
          <w:rFonts w:ascii="Arial" w:hAnsi="Arial" w:cs="Arial"/>
          <w:sz w:val="20"/>
          <w:szCs w:val="20"/>
          <w:lang w:val="en-GB"/>
        </w:rPr>
        <w:fldChar w:fldCharType="begin" w:fldLock="1"/>
      </w:r>
      <w:r w:rsidR="004C5229" w:rsidRPr="00CB14C3">
        <w:rPr>
          <w:rFonts w:ascii="Arial" w:hAnsi="Arial" w:cs="Arial"/>
          <w:sz w:val="20"/>
          <w:szCs w:val="20"/>
          <w:lang w:val="en-GB"/>
        </w:rPr>
        <w:instrText>ADDIN CSL_CITATION {"citationItems":[{"id":"ITEM-1","itemData":{"DOI":"10.1016/S0140-6736(21)01374-X","ISSN":"1474547X","PMID":"34543610","abstract":"Cirrhosis is widely prevalent worldwide and can be a consequence of different causes, such as obesity, non-alcoholic fatty liver disease, high alcohol consumption, hepatitis B or C infection, autoimmune diseases, cholestatic diseases, and iron or copper overload. Cirrhosis develops after a long period of inflammation that results in replacement of the healthy liver parenchyma with fibrotic tissue and regenerative nodules, leading to portal hypertension. The disease evolves from an asymptomatic phase (compensated cirrhosis) to a symptomatic phase (decompensated cirrhosis), the complications of which often result in hospitalisation, impaired quality of life, and high mortality. Progressive portal hypertension, systemic inflammation, and liver failure drive disease outcomes. The management of liver cirrhosis is centred on the treatment of the causes and complications, and liver transplantation can be required in some cases. In this Seminar, we discuss the disease burden, pathophysiology, and recommendations for the diagnosis and management of cirrhosis and its complications. Future challenges include better screening for early fibrosis or cirrhosis, early identification and reversal of causative factors, and prevention of complications.","author":[{"dropping-particle":"","family":"Ginès","given":"Pere","non-dropping-particle":"","parse-names":false,"suffix":""},{"dropping-particle":"","family":"Krag","given":"Aleksander","non-dropping-particle":"","parse-names":false,"suffix":""},{"dropping-particle":"","family":"Abraldes","given":"Juan G.","non-dropping-particle":"","parse-names":false,"suffix":""},{"dropping-particle":"","family":"Solà","given":"Elsa","non-dropping-particle":"","parse-names":false,"suffix":""},{"dropping-particle":"","family":"Fabrellas","given":"Núria","non-dropping-particle":"","parse-names":false,"suffix":""},{"dropping-particle":"","family":"Kamath","given":"Patrick S.","non-dropping-particle":"","parse-names":false,"suffix":""}],"container-title":"The Lancet","id":"ITEM-1","issued":{"date-parts":[["2021","10"]]},"page":"1359-1376","publisher":"Elsevier B.V.","title":"Liver cirrhosis","type":"article","volume":"398"},"uris":["http://www.mendeley.com/documents/?uuid=d821f5d8-e40f-3b85-abc1-9f1e55e4ef0d"]}],"mendeley":{"formattedCitation":"(Ginès et al., 2021)","plainTextFormattedCitation":"(Ginès et al., 2021)","previouslyFormattedCitation":"(Ginès et al., 2021)"},"properties":{"noteIndex":0},"schema":"https://github.com/citation-style-language/schema/raw/master/csl-citation.json"}</w:instrText>
      </w:r>
      <w:r w:rsidR="004C5229" w:rsidRPr="00CB14C3">
        <w:rPr>
          <w:rStyle w:val="FootnoteReference"/>
          <w:rFonts w:ascii="Arial" w:hAnsi="Arial" w:cs="Arial"/>
          <w:sz w:val="20"/>
          <w:szCs w:val="20"/>
          <w:lang w:val="en-GB"/>
        </w:rPr>
        <w:fldChar w:fldCharType="separate"/>
      </w:r>
      <w:r w:rsidR="004C5229" w:rsidRPr="00CB14C3">
        <w:rPr>
          <w:rFonts w:ascii="Arial" w:hAnsi="Arial" w:cs="Arial"/>
          <w:sz w:val="20"/>
          <w:szCs w:val="20"/>
          <w:lang w:val="en-GB"/>
        </w:rPr>
        <w:t>(Ginès et al., 2021)</w:t>
      </w:r>
      <w:r w:rsidR="004C5229" w:rsidRPr="00CB14C3">
        <w:rPr>
          <w:rStyle w:val="FootnoteReference"/>
          <w:rFonts w:ascii="Arial" w:hAnsi="Arial" w:cs="Arial"/>
          <w:sz w:val="20"/>
          <w:szCs w:val="20"/>
          <w:lang w:val="en-GB"/>
        </w:rPr>
        <w:fldChar w:fldCharType="end"/>
      </w:r>
      <w:r w:rsidRPr="00CB14C3">
        <w:rPr>
          <w:rFonts w:ascii="Arial" w:hAnsi="Arial" w:cs="Arial"/>
          <w:sz w:val="20"/>
          <w:szCs w:val="20"/>
          <w:lang w:val="en-GB"/>
        </w:rPr>
        <w:t xml:space="preserve">. </w:t>
      </w:r>
    </w:p>
    <w:p w:rsidR="00552ED3" w:rsidRPr="00CB14C3" w:rsidRDefault="00552ED3" w:rsidP="00784675">
      <w:pPr>
        <w:spacing w:line="360" w:lineRule="auto"/>
        <w:jc w:val="both"/>
        <w:rPr>
          <w:rFonts w:ascii="Arial" w:hAnsi="Arial" w:cs="Arial"/>
          <w:sz w:val="20"/>
          <w:szCs w:val="20"/>
          <w:lang w:val="en-GB"/>
        </w:rPr>
      </w:pPr>
      <w:r w:rsidRPr="00CB14C3">
        <w:rPr>
          <w:rFonts w:ascii="Arial" w:hAnsi="Arial" w:cs="Arial"/>
          <w:sz w:val="20"/>
          <w:szCs w:val="20"/>
          <w:lang w:val="en-GB"/>
        </w:rPr>
        <w:t xml:space="preserve">ALT levels showed improvement in select treatment groups, suggesting partial hepatocellular recovery. However, variability in enzyme responses across groups indicates that the hepatoprotective efficacy of </w:t>
      </w:r>
      <w:r w:rsidRPr="00CB14C3">
        <w:rPr>
          <w:rFonts w:ascii="Arial" w:hAnsi="Arial" w:cs="Arial"/>
          <w:i/>
          <w:sz w:val="20"/>
          <w:szCs w:val="20"/>
          <w:lang w:val="en-GB"/>
        </w:rPr>
        <w:t xml:space="preserve">A. </w:t>
      </w:r>
      <w:r w:rsidR="00EB4069" w:rsidRPr="00CB14C3">
        <w:rPr>
          <w:rFonts w:ascii="Arial" w:hAnsi="Arial" w:cs="Arial"/>
          <w:i/>
          <w:sz w:val="20"/>
          <w:szCs w:val="20"/>
          <w:lang w:val="en-GB"/>
        </w:rPr>
        <w:t>spinous</w:t>
      </w:r>
      <w:r w:rsidRPr="00CB14C3">
        <w:rPr>
          <w:rFonts w:ascii="Arial" w:hAnsi="Arial" w:cs="Arial"/>
          <w:sz w:val="20"/>
          <w:szCs w:val="20"/>
          <w:lang w:val="en-GB"/>
        </w:rPr>
        <w:t xml:space="preserve"> may depend on both dose and alcohol exposure pattern</w:t>
      </w:r>
      <w:r w:rsidR="000F2404" w:rsidRPr="00CB14C3">
        <w:rPr>
          <w:rFonts w:ascii="Arial" w:hAnsi="Arial" w:cs="Arial"/>
          <w:sz w:val="20"/>
          <w:szCs w:val="20"/>
          <w:lang w:val="en-GB"/>
        </w:rPr>
        <w:t xml:space="preserve"> </w:t>
      </w:r>
      <w:r w:rsidR="000F2404" w:rsidRPr="00CB14C3">
        <w:rPr>
          <w:rStyle w:val="FootnoteReference"/>
          <w:rFonts w:ascii="Arial" w:hAnsi="Arial" w:cs="Arial"/>
          <w:sz w:val="20"/>
          <w:szCs w:val="20"/>
          <w:lang w:val="en-GB"/>
        </w:rPr>
        <w:fldChar w:fldCharType="begin" w:fldLock="1"/>
      </w:r>
      <w:r w:rsidR="000F2404" w:rsidRPr="00CB14C3">
        <w:rPr>
          <w:rFonts w:ascii="Arial" w:hAnsi="Arial" w:cs="Arial"/>
          <w:sz w:val="20"/>
          <w:szCs w:val="20"/>
          <w:lang w:val="en-GB"/>
        </w:rPr>
        <w:instrText>ADDIN CSL_CITATION {"citationItems":[{"id":"ITEM-1","itemData":{"DOI":"10.1016/J.TOXREP.2022.02.009","ISSN":"2214-7500","abstract":"The present study was performed to know the effects of chronic lead exposure on serum lipids, lipoproteins, and liver enzymes in a cohort study among of lead mine workers. We followed of 200 Iranian workers for 3- years (2018–2020), 100 of them with known occupational exposure to lead thorough their work in lead mine while the others 100 were with no such exposure. Blood lead level (BLL), serum lipids, lipoproteins, and liver enzymes of the exposure group for 3- years were measured and compared with those attained in the non-exposed workers. The BLL levels of the lead-mine workers were higher than with recommended level and the non-exposed group (24.15 and 6.35 µg/dL, respectively). The findings indicated a positive and significant relationship between BLL and lactate dehydrogenase, aspartate transaminase, alkaline phosphatase, alanine transaminase, and bilirubin levels (P &lt; 0.01). Also while we found a negative and significant correlation between BLL and triglyceride, total protein, albumin, and globulin levels (P &lt; 0.01). This report depicted that chronic lead exposure is a risk factor for hematological, liver, and cardiovascular diseases. Despite the fact that the level of liver function parameters was in the normal range, the results of 3- years follow-up show a significant relationship between BLL and alteration of biochemical parameters levels.","author":[{"dropping-particle":"","family":"Firoozichahak","given":"Ali","non-dropping-particle":"","parse-names":false,"suffix":""},{"dropping-particle":"","family":"Rahimnejad","given":"Samira","non-dropping-particle":"","parse-names":false,"suffix":""},{"dropping-particle":"","family":"Rahmani","given":"Abdolrasoul","non-dropping-particle":"","parse-names":false,"suffix":""},{"dropping-particle":"","family":"Parvizimehr","given":"Ali","non-dropping-particle":"","parse-names":false,"suffix":""},{"dropping-particle":"","family":"Aghaei","given":"Abbas","non-dropping-particle":"","parse-names":false,"suffix":""},{"dropping-particle":"","family":"Rahimpoor","given":"Razzagh","non-dropping-particle":"","parse-names":false,"suffix":""}],"container-title":"Toxicology Reports","id":"ITEM-1","issued":{"date-parts":[["2022","1","1"]]},"page":"269-275","publisher":"Elsevier","title":"Effect of occupational exposure to lead on serum levels of lipid profile and liver enzymes: An occupational cohort study","type":"article-journal","volume":"9"},"uris":["http://www.mendeley.com/documents/?uuid=32e1bc64-e318-3702-a567-a19d7833fe4d"]}],"mendeley":{"formattedCitation":"(Firoozichahak et al., 2022)","plainTextFormattedCitation":"(Firoozichahak et al., 2022)","previouslyFormattedCitation":"(Firoozichahak et al., 2022)"},"properties":{"noteIndex":0},"schema":"https://github.com/citation-style-language/schema/raw/master/csl-citation.json"}</w:instrText>
      </w:r>
      <w:r w:rsidR="000F2404" w:rsidRPr="00CB14C3">
        <w:rPr>
          <w:rStyle w:val="FootnoteReference"/>
          <w:rFonts w:ascii="Arial" w:hAnsi="Arial" w:cs="Arial"/>
          <w:sz w:val="20"/>
          <w:szCs w:val="20"/>
          <w:lang w:val="en-GB"/>
        </w:rPr>
        <w:fldChar w:fldCharType="separate"/>
      </w:r>
      <w:r w:rsidR="000F2404" w:rsidRPr="00CB14C3">
        <w:rPr>
          <w:rFonts w:ascii="Arial" w:hAnsi="Arial" w:cs="Arial"/>
          <w:sz w:val="20"/>
          <w:szCs w:val="20"/>
          <w:lang w:val="en-GB"/>
        </w:rPr>
        <w:t>(Firoozichahak et al., 2022)</w:t>
      </w:r>
      <w:r w:rsidR="000F2404" w:rsidRPr="00CB14C3">
        <w:rPr>
          <w:rStyle w:val="FootnoteReference"/>
          <w:rFonts w:ascii="Arial" w:hAnsi="Arial" w:cs="Arial"/>
          <w:sz w:val="20"/>
          <w:szCs w:val="20"/>
          <w:lang w:val="en-GB"/>
        </w:rPr>
        <w:fldChar w:fldCharType="end"/>
      </w:r>
      <w:r w:rsidR="000F2404" w:rsidRPr="00CB14C3">
        <w:rPr>
          <w:rFonts w:ascii="Arial" w:hAnsi="Arial" w:cs="Arial"/>
          <w:sz w:val="20"/>
          <w:szCs w:val="20"/>
          <w:lang w:val="en-GB"/>
        </w:rPr>
        <w:t>.</w:t>
      </w:r>
      <w:r w:rsidRPr="00CB14C3">
        <w:rPr>
          <w:rFonts w:ascii="Arial" w:hAnsi="Arial" w:cs="Arial"/>
          <w:sz w:val="20"/>
          <w:szCs w:val="20"/>
          <w:lang w:val="en-GB"/>
        </w:rPr>
        <w:t xml:space="preserve"> Differences in extraction method and phytochemical composition may also influence enzyme modulation, as previously reported </w:t>
      </w:r>
      <w:r w:rsidRPr="00CB14C3">
        <w:rPr>
          <w:rStyle w:val="FootnoteReference"/>
          <w:rFonts w:ascii="Arial" w:hAnsi="Arial" w:cs="Arial"/>
          <w:sz w:val="20"/>
          <w:szCs w:val="20"/>
          <w:lang w:val="en-GB"/>
        </w:rPr>
        <w:fldChar w:fldCharType="begin" w:fldLock="1"/>
      </w:r>
      <w:r w:rsidRPr="00CB14C3">
        <w:rPr>
          <w:rFonts w:ascii="Arial" w:hAnsi="Arial" w:cs="Arial"/>
          <w:sz w:val="20"/>
          <w:szCs w:val="20"/>
          <w:lang w:val="en-GB"/>
        </w:rPr>
        <w:instrText>ADDIN CSL_CITATION {"citationItems":[{"id":"ITEM-1","itemData":{"DOI":"10.1186/S12906-017-1751-Y/TABLES/4","ISSN":"14726882","PMID":"28472941","abstract":"Background: The interest in natural antioxidants, especially polyphenols, is growing more and more thanks to their positive contribution to human health. Thus, the prevention from the harmful action of oxidative stress which has been involved in many diseases such as cancer, inflammation diabetes, and cardiovascular illness. Recent research proved the bioactive compounds richness of date seeds which could be a good biological matrix of natural antioxidants. Unfortunately, an important quantity of Tunisian dates seed is discarded yearly. Methods: In this study, different solvents extraction (water, methanol, absolute acetone and aqueous acetone 80%) were used and the evaluation of its effect on phytochemical level, in vitro antioxidant activities, in vitro hyperglycemia key enzymes inhibition and in vivo anti-inflammatory proprieties were established for Tunisian date seeds. Results: The result revealed that the polar solvent exhibited the highest amount of bioactive compounds. The correlation between polyphenol compounds and the antioxidant potentiality explains the powerful effect of used polar solvents on inflammation, TBARS and hyperglycemia inhibition. Furthermore, it showed its higher capacity to scavenge radicals. Conclusions: Therefore, this big waste of Tunisian seeds could be used as cheap source of natural antioxidant compounds which are considered as a health challenge for the poor countries.","author":[{"dropping-particle":"","family":"Thouri","given":"Amira","non-dropping-particle":"","parse-names":false,"suffix":""},{"dropping-particle":"","family":"Chahdoura","given":"Hassiba","non-dropping-particle":"","parse-names":false,"suffix":""},{"dropping-particle":"","family":"Arem","given":"Amira","non-dropping-particle":"El","parse-names":false,"suffix":""},{"dropping-particle":"","family":"Omri Hichri","given":"Amel","non-dropping-particle":"","parse-names":false,"suffix":""},{"dropping-particle":"","family":"Hassin","given":"Rihab","non-dropping-particle":"Ben","parse-names":false,"suffix":""},{"dropping-particle":"","family":"Achour","given":"Lotfi","non-dropping-particle":"","parse-names":false,"suffix":""}],"container-title":"BMC Complementary and Alternative Medicine","id":"ITEM-1","issue":"1","issued":{"date-parts":[["2017","5","4"]]},"page":"1-10","publisher":"BioMed Central Ltd.","title":"Effect of solvents extraction on phytochemical components and biological activities of Tunisian date seeds (var. Korkobbi and Arechti)","type":"article-journal","volume":"17"},"uris":["http://www.mendeley.com/documents/?uuid=e7a188ec-145c-3186-b58d-9f43e5fb9ecc"]}],"mendeley":{"formattedCitation":"(Thouri et al., 2017)","plainTextFormattedCitation":"(Thouri et al., 2017)","previouslyFormattedCitation":"(Thouri et al., 2017)"},"properties":{"noteIndex":0},"schema":"https://github.com/citation-style-language/schema/raw/master/csl-citation.json"}</w:instrText>
      </w:r>
      <w:r w:rsidRPr="00CB14C3">
        <w:rPr>
          <w:rStyle w:val="FootnoteReference"/>
          <w:rFonts w:ascii="Arial" w:hAnsi="Arial" w:cs="Arial"/>
          <w:sz w:val="20"/>
          <w:szCs w:val="20"/>
          <w:lang w:val="en-GB"/>
        </w:rPr>
        <w:fldChar w:fldCharType="separate"/>
      </w:r>
      <w:r w:rsidRPr="00CB14C3">
        <w:rPr>
          <w:rFonts w:ascii="Arial" w:hAnsi="Arial" w:cs="Arial"/>
          <w:bCs/>
          <w:sz w:val="20"/>
          <w:szCs w:val="20"/>
          <w:lang w:val="en-GB"/>
        </w:rPr>
        <w:t>(Thouri et al., 2017)</w:t>
      </w:r>
      <w:r w:rsidRPr="00CB14C3">
        <w:rPr>
          <w:rStyle w:val="FootnoteReference"/>
          <w:rFonts w:ascii="Arial" w:hAnsi="Arial" w:cs="Arial"/>
          <w:sz w:val="20"/>
          <w:szCs w:val="20"/>
          <w:lang w:val="en-GB"/>
        </w:rPr>
        <w:fldChar w:fldCharType="end"/>
      </w:r>
      <w:r w:rsidRPr="00CB14C3">
        <w:rPr>
          <w:rFonts w:ascii="Arial" w:hAnsi="Arial" w:cs="Arial"/>
          <w:sz w:val="20"/>
          <w:szCs w:val="20"/>
          <w:lang w:val="en-GB"/>
        </w:rPr>
        <w:t>. Protein and albumin levels were significantly suppressed in alcohol-only rats, reflecting impaired hepatic synthetic function</w:t>
      </w:r>
      <w:r w:rsidR="00382093" w:rsidRPr="00CB14C3">
        <w:rPr>
          <w:rFonts w:ascii="Arial" w:hAnsi="Arial" w:cs="Arial"/>
          <w:sz w:val="20"/>
          <w:szCs w:val="20"/>
          <w:lang w:val="en-GB"/>
        </w:rPr>
        <w:t xml:space="preserve"> </w:t>
      </w:r>
      <w:r w:rsidR="00382093" w:rsidRPr="00CB14C3">
        <w:rPr>
          <w:rFonts w:ascii="Arial" w:hAnsi="Arial" w:cs="Arial"/>
          <w:sz w:val="20"/>
          <w:szCs w:val="20"/>
          <w:lang w:val="en-GB"/>
        </w:rPr>
        <w:fldChar w:fldCharType="begin" w:fldLock="1"/>
      </w:r>
      <w:r w:rsidR="00382093" w:rsidRPr="00CB14C3">
        <w:rPr>
          <w:rFonts w:ascii="Arial" w:hAnsi="Arial" w:cs="Arial"/>
          <w:sz w:val="20"/>
          <w:szCs w:val="20"/>
          <w:lang w:val="en-GB"/>
        </w:rPr>
        <w:instrText>ADDIN CSL_CITATION {"citationItems":[{"id":"ITEM-1","itemData":{"DOI":"10.3390/ddc4040044","abstract":"Background/Objectives: Natural products, especially plant metabolites, play a crucial role in drug development and are widely used in medicine, cosmetics, and nutrition. The present review aims to provide a comprehensive overview of the pharmacological profile of Glycyrrhizin (GL), with a specific focus on its molecular targets. Methods: Scientific literature was thoroughly retrieved from reputable databases, including Scopus, Web of Science, and PubMed, up to 30 July 2025. The keywords “glycyrrhizin” and “glycyrrhizic acid” were used to identify relevant references, with a focus on pharmacological applications. Studies on synthetic analogs, non-English publications, non-pharmacological applications, and GL containing crude extracts were largely excluded. Results: Glycyrrhizin, the major bioactive constituent of Glycyrrhiza glabra, exhibits diverse pharmacological activities, including anti-inflammatory, antiviral, hepatoprotective, antitumor, neuroprotective, and immunomodulatory effects. These actions are primarily mediated through the inhibition of high-mobility group box 1 (HMGB1) and the modulation of key signaling pathways, including nuclear factor kappa B (NF-κB), mitogen-activated protein kinase (MAPK), phosphoinositide 3-kinase/protein kinase B (PI3K/Akt), and various cytokine networks. As a result of its therapeutic potential, GL-based formulations, including Stronger Neo-Minophagen C, and GL-rich extracts of G. glabra are commercially available as pharmaceutical preparations and food additives. Conclusions: Despite its therapeutic potential, the clinical application of GL is limited by poor oral bioavailability, metabolic variability, and adverse effects such as pseudoaldosteronism. Hence, careful consideration of pharmacokinetics and safety is essential for translating its therapeutic potential into clinical practice.","author":[{"dropping-particle":"","family":"Semwal","given":"Deepak Kumar","non-dropping-particle":"","parse-names":false,"suffix":""},{"dropping-particle":"","family":"Kumar","given":"Ankit","non-dropping-particle":"","parse-names":false,"suffix":""},{"dropping-particle":"","family":"Semwal","given":"Ruchi Badoni","non-dropping-particle":"","parse-names":false,"suffix":""},{"dropping-particle":"","family":"Dadhich","given":"Nand Kishor","non-dropping-particle":"","parse-names":false,"suffix":""},{"dropping-particle":"","family":"Chauhan","given":"Ashutosh","non-dropping-particle":"","parse-names":false,"suffix":""},{"dropping-particle":"","family":"Kumar","given":"Vineet","non-dropping-particle":"","parse-names":false,"suffix":""}],"container-title":"Drugs and Drug Candidates","id":"ITEM-1","issued":{"date-parts":[["2025","9"]]},"page":"44","publisher":"MDPI AG","title":"Glycyrrhizin (Glycyrrhizic Acid)—Pharmacological Applications and Associated Molecular Mechanisms","type":"article-journal","volume":"4"},"uris":["http://www.mendeley.com/documents/?uuid=bfc754ab-136c-3616-9c8d-31cff54cf5c9"]}],"mendeley":{"formattedCitation":"(Semwal et al., 2025)","plainTextFormattedCitation":"(Semwal et al., 2025)","previouslyFormattedCitation":"(Semwal et al., 2025)"},"properties":{"noteIndex":0},"schema":"https://github.com/citation-style-language/schema/raw/master/csl-citation.json"}</w:instrText>
      </w:r>
      <w:r w:rsidR="00382093" w:rsidRPr="00CB14C3">
        <w:rPr>
          <w:rFonts w:ascii="Arial" w:hAnsi="Arial" w:cs="Arial"/>
          <w:sz w:val="20"/>
          <w:szCs w:val="20"/>
          <w:lang w:val="en-GB"/>
        </w:rPr>
        <w:fldChar w:fldCharType="separate"/>
      </w:r>
      <w:r w:rsidR="00382093" w:rsidRPr="00CB14C3">
        <w:rPr>
          <w:rFonts w:ascii="Arial" w:hAnsi="Arial" w:cs="Arial"/>
          <w:sz w:val="20"/>
          <w:szCs w:val="20"/>
          <w:lang w:val="en-GB"/>
        </w:rPr>
        <w:t>(Semwal et al., 2025)</w:t>
      </w:r>
      <w:r w:rsidR="00382093" w:rsidRPr="00CB14C3">
        <w:rPr>
          <w:rFonts w:ascii="Arial" w:hAnsi="Arial" w:cs="Arial"/>
          <w:sz w:val="20"/>
          <w:szCs w:val="20"/>
          <w:lang w:val="en-GB"/>
        </w:rPr>
        <w:fldChar w:fldCharType="end"/>
      </w:r>
      <w:r w:rsidRPr="00CB14C3">
        <w:rPr>
          <w:rFonts w:ascii="Arial" w:hAnsi="Arial" w:cs="Arial"/>
          <w:sz w:val="20"/>
          <w:szCs w:val="20"/>
          <w:lang w:val="en-GB"/>
        </w:rPr>
        <w:t xml:space="preserve">. Restoration of these parameters, particularly in Group 5, indicates improved liver functional capacity following extract administration. Albumin, a sensitive marker of liver function and antioxidant status, supports the therapeutic potential of </w:t>
      </w:r>
      <w:r w:rsidRPr="00CB14C3">
        <w:rPr>
          <w:rFonts w:ascii="Arial" w:hAnsi="Arial" w:cs="Arial"/>
          <w:i/>
          <w:sz w:val="20"/>
          <w:szCs w:val="20"/>
          <w:lang w:val="en-GB"/>
        </w:rPr>
        <w:t xml:space="preserve">A. </w:t>
      </w:r>
      <w:r w:rsidR="00EB4069" w:rsidRPr="00CB14C3">
        <w:rPr>
          <w:rFonts w:ascii="Arial" w:hAnsi="Arial" w:cs="Arial"/>
          <w:i/>
          <w:sz w:val="20"/>
          <w:szCs w:val="20"/>
          <w:lang w:val="en-GB"/>
        </w:rPr>
        <w:t>spinous</w:t>
      </w:r>
      <w:r w:rsidRPr="00CB14C3">
        <w:rPr>
          <w:rFonts w:ascii="Arial" w:hAnsi="Arial" w:cs="Arial"/>
          <w:sz w:val="20"/>
          <w:szCs w:val="20"/>
          <w:lang w:val="en-GB"/>
        </w:rPr>
        <w:t>. These effects may be partly attributed to the plant’s high nutritional content, including essential amino acids and proteins</w:t>
      </w:r>
      <w:r w:rsidR="000D5D92" w:rsidRPr="00CB14C3">
        <w:rPr>
          <w:rFonts w:ascii="Arial" w:hAnsi="Arial" w:cs="Arial"/>
          <w:sz w:val="20"/>
          <w:szCs w:val="20"/>
          <w:lang w:val="en-GB"/>
        </w:rPr>
        <w:t xml:space="preserve"> </w:t>
      </w:r>
      <w:r w:rsidRPr="00CB14C3">
        <w:rPr>
          <w:rStyle w:val="FootnoteReference"/>
          <w:rFonts w:ascii="Arial" w:hAnsi="Arial" w:cs="Arial"/>
          <w:sz w:val="20"/>
          <w:szCs w:val="20"/>
          <w:lang w:val="en-GB"/>
        </w:rPr>
        <w:fldChar w:fldCharType="begin" w:fldLock="1"/>
      </w:r>
      <w:r w:rsidRPr="00CB14C3">
        <w:rPr>
          <w:rFonts w:ascii="Arial" w:hAnsi="Arial" w:cs="Arial"/>
          <w:sz w:val="20"/>
          <w:szCs w:val="20"/>
          <w:lang w:val="en-GB"/>
        </w:rPr>
        <w:instrText>ADDIN CSL_CITATION {"citationItems":[{"id":"ITEM-1","itemData":{"ISSN":"09754873","abstract":"This work presents a brief overview of the morphological, phytochemical and pharmacological properties of Amaranthus spinosus Linn. The available information on the ethnopharmacological uses in traditional medicine, phytochemistry, pharmacology and clinical practice of Amaranthus spinosus were collected via a library and electronic search (PubMed, ScienceDirect, Google Scholar and Spingerlink). Phytochemical investigation of this plant has resulted in the identification of more than 20 active chemical constituents, among which betalains, hydroxycinnamates, saponins, steroids and flavonoids are the predominant ones. The plant has desirable effects like cooling, digestible, alexiteric, laxative, diuretic, stomachic, antipyretic, improves the appetite, useful in kapha and biliousness, blood disease, burning sensation, hallucination, leprosy, bronchitis, rat bite, piles and leucorrhoea. This article enumerates an overview of phytochemical and pharmacological aspects that is useful to researchers for further exploration necessary for the development of this potential herb.","author":[{"dropping-particle":"","family":"Tanmoy","given":"Guria","non-dropping-particle":"","parse-names":false,"suffix":""},{"dropping-particle":"","family":"Arijit","given":"Mondal","non-dropping-particle":"","parse-names":false,"suffix":""},{"dropping-particle":"","family":"Tanushree","given":"Singha","non-dropping-particle":"","parse-names":false,"suffix":""},{"dropping-particle":"","family":"Jagadish","given":"Singh","non-dropping-particle":"","parse-names":false,"suffix":""},{"dropping-particle":"","family":"Kumar","given":"Maity Tapan","non-dropping-particle":"","parse-names":false,"suffix":""}],"container-title":"International Journal of Pharmacognosy and Phytochemical Research","id":"ITEM-1","issue":"2","issued":{"date-parts":[["2014"]]},"page":"405-413","title":"Pharmacological actions and phytoconstituents of Amaranthus spinosus Linn: A review","type":"article-journal","volume":"6"},"uris":["http://www.mendeley.com/documents/?uuid=42d43204-7dce-429a-bc8e-7a26220aa098"]},{"id":"ITEM-2","itemData":{"DOI":"10.20510/UKJPB/1/I1/91112","ISSN":"2582-0540","abstract":"Amaranthus spinosus leaves species has been widely used as medicine in Ayurvedic system of medicine. Its leaves are used in treatment of malaria, hepatic disorders, fever, inflammation, leprosy, eczema, leucorrhoea and bronchitis. In view of its medicinal importance and taxonomic confusion, so here we determined the, microscopical structures along with powder characters of malaria, hepatic disorders, fever, inflammation, leprosy, eczema, leucorrhoea and bronchitis leaves. Fluorescence analysis, physico-chemical constants (total ash, acid insoluble ash, water soluble ash, ether soluble extractive, water soluble extractive, alcohol soluble extractive, foaming index) of leaves powder. Preliminary phytochemical investigation was carried out for the various crude extracts using solvent of different polarity. These studies provided referential information in regard to its identification parameters assumed significantly in the way of acceptability of herbal drugs in present scenario of lack of regulatory laws to control quality of herbal drugs.","author":[{"dropping-particle":"","family":"Pal","given":"Vipin Chandra","non-dropping-particle":"","parse-names":false,"suffix":""},{"dropping-particle":"","family":"Singh","given":"Om Veer","non-dropping-particle":"","parse-names":false,"suffix":""},{"dropping-particle":"","family":"Singh","given":"Bhuwanendra","non-dropping-particle":"","parse-names":false,"suffix":""},{"dropping-particle":"","family":"Ahamad","given":"Arshad","non-dropping-particle":"","parse-names":false,"suffix":""}],"container-title":"Pharmaceutical and Biosciences Journal","id":"ITEM-2","issued":{"date-parts":[["2013","11","20"]]},"page":"32-37","publisher":"UK Journal of Pharmaceutical and Biosciences","title":"Pharmacognostical Studies of Amaranthus Spinosus Linn","type":"article-journal"},"uris":["http://www.mendeley.com/documents/?uuid=c2333f18-ccdb-3676-b5b9-e27eed981f07"]},{"id":"ITEM-3","itemData":{"ISSN":"0975-8232","abstract":"Amaranthus vegetable and seeds are highly nutritious. Four species of Amaranthus were planted in pots in a glass house and leaves were harvested. Fresh leaves were analyzed for protein and carbohydrate content and oven dried leaves for Fe, Ca, K and Na contents. Protein content was varied from 6.10-9.00g/100g of fresh leaves. The amount of carbohydrate in fresh leaves of all four species varied from 9.75g-21.29g. Among the species, A. spinosus showed higher amount (21.29g) which is almost two folds higher than A. tricolor (9.75g). Results showed that A. viridis had higher accumulation (54mg). Overall K amount in the dry leaves of the four species varied between 2230-3900mg per 100 g of dry leaves and it was almost 2 fold differences between values of lowest and highest accumulation. The variation in amount of Ca was 38 fold higher, A. spinosus from the minimum amount (A. blitum). Fe content in dry leaves was maximum in A. viridis (15mg per 100g of dry wt) followed by A. spinosus (13.28mg), A. tricolor (10mg) and A. blitum (9mg). Wild species had more amount of Fe than cultivated species. The results of this study indicate a nutritive potential for the Amaranthus leaves, therefore, domestication of this plant is suggested along with assessment of its chemical and nutritional properties.","author":[{"dropping-particle":"","family":"Srivastava","given":"Reema","non-dropping-particle":"","parse-names":false,"suffix":""}],"container-title":"International Journal of Pharmaceutical Sciences and Research","id":"ITEM-3","issue":"12","issued":{"date-parts":[["2011"]]},"page":"3152-3156","title":"NUTRITIONAL QUALITY OF SOME CULTIVATED AND WILD SPECIES OF AMARANTHUS L","type":"article-journal","volume":"2"},"uris":["http://www.mendeley.com/documents/?uuid=baf899be-c71e-3b5f-b5b6-505154775cd6"]}],"mendeley":{"formattedCitation":"(Pal et al., 2013; Srivastava, 2011; Tanmoy et al., 2014)","plainTextFormattedCitation":"(Pal et al., 2013; Srivastava, 2011; Tanmoy et al., 2014)","previouslyFormattedCitation":"(Pal et al., 2013; Srivastava, 2011; Tanmoy et al., 2014)"},"properties":{"noteIndex":0},"schema":"https://github.com/citation-style-language/schema/raw/master/csl-citation.json"}</w:instrText>
      </w:r>
      <w:r w:rsidRPr="00CB14C3">
        <w:rPr>
          <w:rStyle w:val="FootnoteReference"/>
          <w:rFonts w:ascii="Arial" w:hAnsi="Arial" w:cs="Arial"/>
          <w:sz w:val="20"/>
          <w:szCs w:val="20"/>
          <w:lang w:val="en-GB"/>
        </w:rPr>
        <w:fldChar w:fldCharType="separate"/>
      </w:r>
      <w:r w:rsidRPr="00CB14C3">
        <w:rPr>
          <w:rFonts w:ascii="Arial" w:hAnsi="Arial" w:cs="Arial"/>
          <w:bCs/>
          <w:sz w:val="20"/>
          <w:szCs w:val="20"/>
          <w:lang w:val="en-GB"/>
        </w:rPr>
        <w:t>(Pal et al., 2013; Srivastava, 2011; Tanmoy et al., 2014)</w:t>
      </w:r>
      <w:r w:rsidRPr="00CB14C3">
        <w:rPr>
          <w:rStyle w:val="FootnoteReference"/>
          <w:rFonts w:ascii="Arial" w:hAnsi="Arial" w:cs="Arial"/>
          <w:sz w:val="20"/>
          <w:szCs w:val="20"/>
          <w:lang w:val="en-GB"/>
        </w:rPr>
        <w:fldChar w:fldCharType="end"/>
      </w:r>
      <w:r w:rsidRPr="00CB14C3">
        <w:rPr>
          <w:rFonts w:ascii="Arial" w:hAnsi="Arial" w:cs="Arial"/>
          <w:sz w:val="20"/>
          <w:szCs w:val="20"/>
          <w:lang w:val="en-GB"/>
        </w:rPr>
        <w:t>.</w:t>
      </w:r>
    </w:p>
    <w:p w:rsidR="000D5D92" w:rsidRPr="00CB14C3" w:rsidRDefault="000D5D92" w:rsidP="00784675">
      <w:pPr>
        <w:spacing w:line="360" w:lineRule="auto"/>
        <w:jc w:val="both"/>
        <w:rPr>
          <w:rFonts w:ascii="Arial" w:hAnsi="Arial" w:cs="Arial"/>
          <w:sz w:val="20"/>
          <w:szCs w:val="20"/>
          <w:lang w:val="en-GB"/>
        </w:rPr>
      </w:pPr>
      <w:r w:rsidRPr="00CB14C3">
        <w:rPr>
          <w:rFonts w:ascii="Arial" w:hAnsi="Arial" w:cs="Arial"/>
          <w:sz w:val="20"/>
          <w:szCs w:val="20"/>
          <w:lang w:val="en-GB"/>
        </w:rPr>
        <w:t>Oxidative stress plays a central role in alcohol-induced liver injury</w:t>
      </w:r>
      <w:r w:rsidR="00D500FE" w:rsidRPr="00CB14C3">
        <w:rPr>
          <w:rFonts w:ascii="Arial" w:hAnsi="Arial" w:cs="Arial"/>
          <w:sz w:val="20"/>
          <w:szCs w:val="20"/>
          <w:lang w:val="en-GB"/>
        </w:rPr>
        <w:t xml:space="preserve"> </w:t>
      </w:r>
      <w:r w:rsidR="001E2672" w:rsidRPr="00CB14C3">
        <w:rPr>
          <w:rFonts w:ascii="Arial" w:hAnsi="Arial" w:cs="Arial"/>
          <w:sz w:val="20"/>
          <w:szCs w:val="20"/>
          <w:lang w:val="en-GB"/>
        </w:rPr>
        <w:fldChar w:fldCharType="begin" w:fldLock="1"/>
      </w:r>
      <w:r w:rsidR="001E2672" w:rsidRPr="00CB14C3">
        <w:rPr>
          <w:rFonts w:ascii="Arial" w:hAnsi="Arial" w:cs="Arial"/>
          <w:sz w:val="20"/>
          <w:szCs w:val="20"/>
          <w:lang w:val="en-GB"/>
        </w:rPr>
        <w:instrText>ADDIN CSL_CITATION {"citationItems":[{"id":"ITEM-1","itemData":{"DOI":"10.2174/1381612826666200407163408","ISSN":"13816128","PMID":"32264808","abstract":"BACKGROUND Heavy metals are elements that are naturally found in the earth. They are used in many modern-day applications in agriculture, medicine, and industry. Heavy metal poisoning occurs when the body's soft tissues absorb too much of a particular metal. The heavy metals of interest for this review paper were cadmium, arsenic, mercury, and lead since these are the most common metals that the human body can absorb in toxic amounts. Different plant species were investigated in recent years for their effect on oxidative stress parameters after intoxication with heavy metals. OBJECTIVES This review paper is focused on the current update to research on heavy metals induced oxidative stress in animal models and improvement of the oxidative stress parameters upon/co-/after treatment with different plant extracts and isolated compounds. METHODS The available literature was screened for the novel data regarding the influence of plant extracts and compounds on heavy metals induced oxidative stress. For that purposes Scopus database was used, looking for the publications in the last 5-10 years with the key terms: plant extracts, oxidative stress, in vivo, cadmium, lead, mercury and arcenic. RESULTS Various parameters of oxidative stress were investigated, and their improvement with plant extracts/ compounds was observed in the brain, lungs, kidneys, liver, uterus, testis, thymus, spleen, heart, skin and blood of experimental animals. Common parameters used to determine oxidative stress in animals were: superoxide dismutase; catalase; reduced glutathione; glutathione reductase; glutathione-S-transferase; glutathione peroxidase; lipid peroxidation; oxidized glutathione; malondialdehyde; xanthine oxidase; nonprotein-soluble thiol; thioredoxin reductase; total sulphydryl group; nitric oxide; γ-glutamyl cysteine synthetase. CONCLUSION The most investigated species for antioxidant effects upon intoxication with heavy metals seem to be Allium sp., Bacopa monniera, Camellia sinensis, Moringa oleifera, Vitis vinifera and Zingiber officinale. According to literature data, the most promising effect to alleviate symptoms of intoxication was achieved with proanthocyanidins obtained from Vitis vinifera.","author":[{"dropping-particle":"","family":"Mirkov","given":"Ivana","non-dropping-particle":"","parse-names":false,"suffix":""},{"dropping-particle":"","family":"Stojković","given":"Dejan","non-dropping-particle":"","parse-names":false,"suffix":""},{"dropping-particle":"","family":"Aleksandrov","given":"Aleksandra P.","non-dropping-particle":"","parse-names":false,"suffix":""},{"dropping-particle":"","family":"Ivanov","given":"Marija","non-dropping-particle":"","parse-names":false,"suffix":""},{"dropping-particle":"","family":"Kostić","given":"Marina","non-dropping-particle":"","parse-names":false,"suffix":""},{"dropping-particle":"","family":"Glamočlija","given":"Jasmina","non-dropping-particle":"","parse-names":false,"suffix":""},{"dropping-particle":"","family":"Soković","given":"Marina","non-dropping-particle":"","parse-names":false,"suffix":""}],"container-title":"Current Pharmaceutical Design","id":"ITEM-1","issued":{"date-parts":[["2020","4"]]},"page":"1799-1815","publisher":"Bentham Science Publishers Ltd.","title":"Plant Extracts and Isolated Compounds Reduce Parameters of Oxidative Stress Induced by Heavy Metals: An up-to-Date Review on Animal Studies","type":"article-journal","volume":"26"},"uris":["http://www.mendeley.com/documents/?uuid=2a2e6599-72c4-3e3b-844d-8b28063bec98"]}],"mendeley":{"formattedCitation":"(Mirkov et al., 2020)","plainTextFormattedCitation":"(Mirkov et al., 2020)","previouslyFormattedCitation":"(Mirkov et al., 2020)"},"properties":{"noteIndex":0},"schema":"https://github.com/citation-style-language/schema/raw/master/csl-citation.json"}</w:instrText>
      </w:r>
      <w:r w:rsidR="001E2672" w:rsidRPr="00CB14C3">
        <w:rPr>
          <w:rFonts w:ascii="Arial" w:hAnsi="Arial" w:cs="Arial"/>
          <w:sz w:val="20"/>
          <w:szCs w:val="20"/>
          <w:lang w:val="en-GB"/>
        </w:rPr>
        <w:fldChar w:fldCharType="separate"/>
      </w:r>
      <w:r w:rsidR="001E2672" w:rsidRPr="00CB14C3">
        <w:rPr>
          <w:rFonts w:ascii="Arial" w:hAnsi="Arial" w:cs="Arial"/>
          <w:sz w:val="20"/>
          <w:szCs w:val="20"/>
          <w:lang w:val="en-GB"/>
        </w:rPr>
        <w:t>(Mirkov et al., 2020)</w:t>
      </w:r>
      <w:r w:rsidR="001E2672" w:rsidRPr="00CB14C3">
        <w:rPr>
          <w:rFonts w:ascii="Arial" w:hAnsi="Arial" w:cs="Arial"/>
          <w:sz w:val="20"/>
          <w:szCs w:val="20"/>
          <w:lang w:val="en-GB"/>
        </w:rPr>
        <w:fldChar w:fldCharType="end"/>
      </w:r>
      <w:r w:rsidRPr="00CB14C3">
        <w:rPr>
          <w:rFonts w:ascii="Arial" w:hAnsi="Arial" w:cs="Arial"/>
          <w:sz w:val="20"/>
          <w:szCs w:val="20"/>
          <w:lang w:val="en-GB"/>
        </w:rPr>
        <w:t>. In the present study, alcohol exposure resulted in reduced SOD and GSH levels, alongside elevated MDA and LDH levels, indicating enhanced lipid peroxidation and membrane damage</w:t>
      </w:r>
      <w:r w:rsidR="00644CBF" w:rsidRPr="00CB14C3">
        <w:rPr>
          <w:rFonts w:ascii="Arial" w:hAnsi="Arial" w:cs="Arial"/>
          <w:sz w:val="20"/>
          <w:szCs w:val="20"/>
          <w:lang w:val="en-GB"/>
        </w:rPr>
        <w:t xml:space="preserve"> </w:t>
      </w:r>
      <w:r w:rsidR="00ED22D2" w:rsidRPr="00CB14C3">
        <w:rPr>
          <w:rFonts w:ascii="Arial" w:hAnsi="Arial" w:cs="Arial"/>
          <w:sz w:val="20"/>
          <w:szCs w:val="20"/>
          <w:lang w:val="en-GB"/>
        </w:rPr>
        <w:fldChar w:fldCharType="begin" w:fldLock="1"/>
      </w:r>
      <w:r w:rsidR="009200C6" w:rsidRPr="00CB14C3">
        <w:rPr>
          <w:rFonts w:ascii="Arial" w:hAnsi="Arial" w:cs="Arial"/>
          <w:sz w:val="20"/>
          <w:szCs w:val="20"/>
          <w:lang w:val="en-GB"/>
        </w:rPr>
        <w:instrText>ADDIN CSL_CITATION {"citationItems":[{"id":"ITEM-1","itemData":{"DOI":"10.53704/fujnas.v13i1.474","ISSN":"2354337X","abstract":"Herbal medicine, deeply rooted in indigenous knowledge, presents a longstanding approach to global healthcare, particularly in Africa. This review comprehensively explores the holistic nature of Traditional and Complementary Medicine (T&amp;CM), specifically emphasising the significance of herbal medicine. Despite its long-standing use and efficacy, herbal medicine faces challenges in universal acceptance and integration into mainstream healthcare systems. Factors influencing acceptance, from inadequate standardisation to societal stigma, are examined comprehensively. Understanding the motivations behind herbal medicine usage, including prevention, curiosity, and natural beliefs, is crucial for shaping future healthcare policies and comprehending public attitudes. Global initiatives, exemplified by the WHO Global Centre for Traditional Medicine, and national endeavours in countries like Nigeria and Ghana, underscore collaborative approaches. The review concludes by emphasising the necessity of addressing divergent stakeholder perspectives for effective integration. Proposed strategies involve collaborative research, international endorsements, adverse-event reporting systems, governmental support, inventorying, botanical gardens, testing laboratories, standardised dosage norms, and education initiatives. These measures aim to seamlessly integrate traditional medicine into mainstream healthcare, promote evidence-based practices, and enhance regulations—crucial steps toward fostering acceptance. Addressing challenges and fostering acceptance is imperative for ensuring the safe and effective utilisation of traditional medicines, thereby enhancing healthcare outcomes and overall well-being globally.","author":[{"dropping-particle":"","family":"Salau","given":"A. K.","non-dropping-particle":"","parse-names":false,"suffix":""},{"dropping-particle":"","family":"Shehu","given":"M. S.","non-dropping-particle":"","parse-names":false,"suffix":""},{"dropping-particle":"","family":"Bakare-Odunola","given":"M. T.","non-dropping-particle":"","parse-names":false,"suffix":""}],"container-title":"Fountain Journal of Natural and Applied Sciences","id":"ITEM-1","issued":{"date-parts":[["2024","6"]]},"page":"23-36","publisher":"Fountain University","title":"Navigating the Challenges of Integrating African Herbal Medicines: A Path to Universal Acceptance","type":"article-journal","volume":"13"},"uris":["http://www.mendeley.com/documents/?uuid=0ee6b8e7-5a50-3041-a9e9-d9ae243badc7"]},{"id":"ITEM-2","itemData":{"DOI":"10.5530/pres.14.2.15","ISSN":"09764836","abstract":"&lt;p class=\"rtejustify\"&gt;&lt;strong&gt;Background:&lt;/strong&gt; Since ancient times natural herbs were extensively used for the treatment and prevention of various ailments and in past few decades, due to an extensive research in traditional system of medicine various herbal medicines have been developed for the prevention and treatment of diseases, which are environmentally, organically safe and inexpensive. Indian sub-continent has a good capability to tackle the task of meeting the worldwide demand for such products due to its rich wealth in case of herbal medicine. Historically, Indian people conventionally played a vital role in the development and management of these biological sources and also preserve their pertinent data that were accumulated via trial and error over centuries. &lt;strong&gt;Objectives: &lt;/strong&gt;Due to tremendous global resurgence in traditional and alternative healthcare systems, the market for herbal medicines has grown at an impressive rate and therefore has great economic importance. However, the primary barriers to the expansion of herbal medicine include biodiversity loss, over-exploitation and improper use of medicinal plants, industrialization, biopiracy, and a lack of regulation and infrastructure. For the expansion of herbal medicine usage in the twenty-first century, conservation, proper research based on traditional knowledge, quality control of herbal medicine, and correct documentation are required.&lt;strong&gt; Methods&lt;/strong&gt;: The desired and encouraging testifying items for systematically evaluated reviews and meta-analysis (PRISMA) standards were opted. A literature exploration was accomplished utilizing SCIENCE DIRECT, SCOPUS and GOOGLE SCHOLAR to locate articles for the present scenario about traditional and herbal medicines. &lt;strong&gt;Conclusion: &lt;/strong&gt;The availability and type of conventional medicine safety and effectiveness data are far from sufficient to fulfil the requirements required to support its use globally. This review paper examines the restrictions and issues associated with conservation, science and technology, regulatory constraints, potential usage of herbal medicines, the drug production industry, safety and efficacy, and the prospects for traditional remedies on a nationally and internationally scale.&lt;/p&gt;\r\n\r\n&lt;p class=\"rtejustify\"&gt;&lt;strong&gt;Key words:&lt;/strong&gt; Traditional medicines, Herbal medicines, Healthcare system, Regulatory constraints, Traditional Knowledge, Quality control.&lt;/p&gt;\r\n","author":[{"dropping-particle":"","family":"Saggar","given":"Sachin","non-dropping-particle":"","parse-names":false,"suffix":""},{"dropping-particle":"","family":"Mir","given":"Prince Ahad","non-dropping-particle":"","parse-names":false,"suffix":""},{"dropping-particle":"","family":"Kumar","given":"Nishant","non-dropping-particle":"","parse-names":false,"suffix":""},{"dropping-particle":"","family":"Chawla","given":"Apporva","non-dropping-particle":"","parse-names":false,"suffix":""},{"dropping-particle":"","family":"Uppal","given":"Jasreen","non-dropping-particle":"","parse-names":false,"suffix":""},{"dropping-particle":"","family":"Shilpa","given":"Shilpa","non-dropping-particle":"","parse-names":false,"suffix":""},{"dropping-particle":"","family":"Kaur","given":"Anmoldeep","non-dropping-particle":"","parse-names":false,"suffix":""}],"container-title":"Pharmacognosy Research","id":"ITEM-2","issue":"2","issued":{"date-parts":[["2022"]]},"page":"107-114","title":"Traditional and Herbal Medicines: Opportunities and Challenges","type":"article-journal","volume":"14"},"uris":["http://www.mendeley.com/documents/?uuid=cb675712-4cba-46fa-9cc8-89522b031520"]}],"mendeley":{"formattedCitation":"(Saggar et al., 2022; Salau et al., 2024)","plainTextFormattedCitation":"(Saggar et al., 2022; Salau et al., 2024)","previouslyFormattedCitation":"(Saggar et al., 2022; Salau et al., 2024)"},"properties":{"noteIndex":0},"schema":"https://github.com/citation-style-language/schema/raw/master/csl-citation.json"}</w:instrText>
      </w:r>
      <w:r w:rsidR="00ED22D2" w:rsidRPr="00CB14C3">
        <w:rPr>
          <w:rFonts w:ascii="Arial" w:hAnsi="Arial" w:cs="Arial"/>
          <w:sz w:val="20"/>
          <w:szCs w:val="20"/>
          <w:lang w:val="en-GB"/>
        </w:rPr>
        <w:fldChar w:fldCharType="separate"/>
      </w:r>
      <w:r w:rsidR="00ED22D2" w:rsidRPr="00CB14C3">
        <w:rPr>
          <w:rFonts w:ascii="Arial" w:hAnsi="Arial" w:cs="Arial"/>
          <w:sz w:val="20"/>
          <w:szCs w:val="20"/>
          <w:lang w:val="en-GB"/>
        </w:rPr>
        <w:t>(Saggar et al., 2022; Salau et al., 2024)</w:t>
      </w:r>
      <w:r w:rsidR="00ED22D2" w:rsidRPr="00CB14C3">
        <w:rPr>
          <w:rFonts w:ascii="Arial" w:hAnsi="Arial" w:cs="Arial"/>
          <w:sz w:val="20"/>
          <w:szCs w:val="20"/>
          <w:lang w:val="en-GB"/>
        </w:rPr>
        <w:fldChar w:fldCharType="end"/>
      </w:r>
      <w:r w:rsidR="00ED22D2" w:rsidRPr="00CB14C3">
        <w:rPr>
          <w:rFonts w:ascii="Arial" w:hAnsi="Arial" w:cs="Arial"/>
          <w:sz w:val="20"/>
          <w:szCs w:val="20"/>
          <w:lang w:val="en-GB"/>
        </w:rPr>
        <w:t>.</w:t>
      </w:r>
      <w:r w:rsidRPr="00CB14C3">
        <w:rPr>
          <w:rFonts w:ascii="Arial" w:hAnsi="Arial" w:cs="Arial"/>
          <w:sz w:val="20"/>
          <w:szCs w:val="20"/>
          <w:lang w:val="en-GB"/>
        </w:rPr>
        <w:t xml:space="preserve"> Treatment with </w:t>
      </w:r>
      <w:r w:rsidRPr="00CB14C3">
        <w:rPr>
          <w:rFonts w:ascii="Arial" w:hAnsi="Arial" w:cs="Arial"/>
          <w:i/>
          <w:sz w:val="20"/>
          <w:szCs w:val="20"/>
          <w:lang w:val="en-GB"/>
        </w:rPr>
        <w:t xml:space="preserve">A. </w:t>
      </w:r>
      <w:r w:rsidR="00EB4069" w:rsidRPr="00CB14C3">
        <w:rPr>
          <w:rFonts w:ascii="Arial" w:hAnsi="Arial" w:cs="Arial"/>
          <w:i/>
          <w:sz w:val="20"/>
          <w:szCs w:val="20"/>
          <w:lang w:val="en-GB"/>
        </w:rPr>
        <w:t>spinous</w:t>
      </w:r>
      <w:r w:rsidRPr="00CB14C3">
        <w:rPr>
          <w:rFonts w:ascii="Arial" w:hAnsi="Arial" w:cs="Arial"/>
          <w:sz w:val="20"/>
          <w:szCs w:val="20"/>
          <w:lang w:val="en-GB"/>
        </w:rPr>
        <w:t xml:space="preserve"> extract significantly improved antioxidant enzyme levels and reduced markers of oxidative damage across treatment groups. </w:t>
      </w:r>
    </w:p>
    <w:p w:rsidR="00552ED3" w:rsidRPr="00CB14C3" w:rsidRDefault="000D5D92" w:rsidP="00784675">
      <w:pPr>
        <w:spacing w:line="360" w:lineRule="auto"/>
        <w:jc w:val="both"/>
        <w:rPr>
          <w:rFonts w:ascii="Arial" w:hAnsi="Arial" w:cs="Arial"/>
          <w:sz w:val="20"/>
          <w:szCs w:val="20"/>
          <w:lang w:val="en-GB"/>
        </w:rPr>
      </w:pPr>
      <w:r w:rsidRPr="00CB14C3">
        <w:rPr>
          <w:rFonts w:ascii="Arial" w:hAnsi="Arial" w:cs="Arial"/>
          <w:sz w:val="20"/>
          <w:szCs w:val="20"/>
          <w:lang w:val="en-GB"/>
        </w:rPr>
        <w:t xml:space="preserve">The restoration of SOD and GSH levels suggests reinforcement of endogenous antioxidant </w:t>
      </w:r>
      <w:proofErr w:type="spellStart"/>
      <w:r w:rsidRPr="00CB14C3">
        <w:rPr>
          <w:rFonts w:ascii="Arial" w:hAnsi="Arial" w:cs="Arial"/>
          <w:sz w:val="20"/>
          <w:szCs w:val="20"/>
          <w:lang w:val="en-GB"/>
        </w:rPr>
        <w:t>defense</w:t>
      </w:r>
      <w:proofErr w:type="spellEnd"/>
      <w:r w:rsidRPr="00CB14C3">
        <w:rPr>
          <w:rFonts w:ascii="Arial" w:hAnsi="Arial" w:cs="Arial"/>
          <w:sz w:val="20"/>
          <w:szCs w:val="20"/>
          <w:lang w:val="en-GB"/>
        </w:rPr>
        <w:t xml:space="preserve"> mechanisms, while reductions in MDA and LDH reflect decreased lipid peroxidation and improved membrane integrity</w:t>
      </w:r>
      <w:r w:rsidR="00D500FE" w:rsidRPr="00CB14C3">
        <w:rPr>
          <w:rFonts w:ascii="Arial" w:hAnsi="Arial" w:cs="Arial"/>
          <w:sz w:val="20"/>
          <w:szCs w:val="20"/>
          <w:lang w:val="en-GB"/>
        </w:rPr>
        <w:t xml:space="preserve"> </w:t>
      </w:r>
      <w:r w:rsidR="00D500FE" w:rsidRPr="00CB14C3">
        <w:rPr>
          <w:rFonts w:ascii="Arial" w:hAnsi="Arial" w:cs="Arial"/>
          <w:sz w:val="20"/>
          <w:szCs w:val="20"/>
          <w:lang w:val="en-GB"/>
        </w:rPr>
        <w:fldChar w:fldCharType="begin" w:fldLock="1"/>
      </w:r>
      <w:r w:rsidR="00772C79" w:rsidRPr="00CB14C3">
        <w:rPr>
          <w:rFonts w:ascii="Arial" w:hAnsi="Arial" w:cs="Arial"/>
          <w:sz w:val="20"/>
          <w:szCs w:val="20"/>
          <w:lang w:val="en-GB"/>
        </w:rPr>
        <w:instrText>ADDIN CSL_CITATION {"citationItems":[{"id":"ITEM-1","itemData":{"DOI":"10.1038/s41421-020-00233-2","ISSN":"20565968","abstract":"Maintenance of plasma membrane integrity is essential for normal cell viability and function. Thus, robust membrane repair mechanisms have evolved to counteract the eminent threat of a torn plasma membrane. Different repair mechanisms and the bio-physical parameters required for efficient repair are now emerging from different research groups. However, less is known about when these mechanisms come into play. This review focuses on the existence of membrane disruptions and repair mechanisms in both physiological and pathological conditions, and across multiple cell types, albeit to different degrees. Fundamentally, irrespective of the source of membrane disruption, aberrant calcium influx is the common stimulus that activates the membrane repair response. Inadequate repair responses can tip the balance between physiology and pathology, highlighting the significance of plasma membrane integrity. For example, an over-activated repair response can promote cancer invasion, while the inability to efficiently repair membrane can drive neurodegeneration and muscular dystrophies. The interdisciplinary view explored here emphasises the widespread potential of targeting plasma membrane repair mechanisms for therapeutic purposes.","author":[{"dropping-particle":"","family":"Dias","given":"Catarina","non-dropping-particle":"","parse-names":false,"suffix":""},{"dropping-particle":"","family":"Nylandsted","given":"Jesper","non-dropping-particle":"","parse-names":false,"suffix":""}],"container-title":"Cell Discovery","id":"ITEM-1","issued":{"date-parts":[["2021","12"]]},"publisher":"Springer Nature","title":"Plasma membrane integrity in health and disease: significance and therapeutic potential","type":"article","volume":"7"},"uris":["http://www.mendeley.com/documents/?uuid=0e06984e-fde0-318e-ada6-cdd1fe22d925"]}],"mendeley":{"formattedCitation":"(Dias &amp; Nylandsted, 2021)","plainTextFormattedCitation":"(Dias &amp; Nylandsted, 2021)","previouslyFormattedCitation":"(Dias &amp; Nylandsted, 2021)"},"properties":{"noteIndex":0},"schema":"https://github.com/citation-style-language/schema/raw/master/csl-citation.json"}</w:instrText>
      </w:r>
      <w:r w:rsidR="00D500FE" w:rsidRPr="00CB14C3">
        <w:rPr>
          <w:rFonts w:ascii="Arial" w:hAnsi="Arial" w:cs="Arial"/>
          <w:sz w:val="20"/>
          <w:szCs w:val="20"/>
          <w:lang w:val="en-GB"/>
        </w:rPr>
        <w:fldChar w:fldCharType="separate"/>
      </w:r>
      <w:r w:rsidR="00D500FE" w:rsidRPr="00CB14C3">
        <w:rPr>
          <w:rFonts w:ascii="Arial" w:hAnsi="Arial" w:cs="Arial"/>
          <w:sz w:val="20"/>
          <w:szCs w:val="20"/>
          <w:lang w:val="en-GB"/>
        </w:rPr>
        <w:t>(Dias &amp; Nylandsted, 2021)</w:t>
      </w:r>
      <w:r w:rsidR="00D500FE" w:rsidRPr="00CB14C3">
        <w:rPr>
          <w:rFonts w:ascii="Arial" w:hAnsi="Arial" w:cs="Arial"/>
          <w:sz w:val="20"/>
          <w:szCs w:val="20"/>
          <w:lang w:val="en-GB"/>
        </w:rPr>
        <w:fldChar w:fldCharType="end"/>
      </w:r>
      <w:r w:rsidRPr="00CB14C3">
        <w:rPr>
          <w:rFonts w:ascii="Arial" w:hAnsi="Arial" w:cs="Arial"/>
          <w:sz w:val="20"/>
          <w:szCs w:val="20"/>
          <w:lang w:val="en-GB"/>
        </w:rPr>
        <w:t xml:space="preserve">. These findings align with previous reports highlighting the antioxidant properties of </w:t>
      </w:r>
      <w:r w:rsidRPr="00CB14C3">
        <w:rPr>
          <w:rFonts w:ascii="Arial" w:hAnsi="Arial" w:cs="Arial"/>
          <w:i/>
          <w:sz w:val="20"/>
          <w:szCs w:val="20"/>
          <w:lang w:val="en-GB"/>
        </w:rPr>
        <w:t xml:space="preserve">A. </w:t>
      </w:r>
      <w:r w:rsidR="00EB4069" w:rsidRPr="00CB14C3">
        <w:rPr>
          <w:rFonts w:ascii="Arial" w:hAnsi="Arial" w:cs="Arial"/>
          <w:i/>
          <w:sz w:val="20"/>
          <w:szCs w:val="20"/>
          <w:lang w:val="en-GB"/>
        </w:rPr>
        <w:t>spinous</w:t>
      </w:r>
      <w:r w:rsidRPr="00CB14C3">
        <w:rPr>
          <w:rFonts w:ascii="Arial" w:hAnsi="Arial" w:cs="Arial"/>
          <w:sz w:val="20"/>
          <w:szCs w:val="20"/>
          <w:lang w:val="en-GB"/>
        </w:rPr>
        <w:t xml:space="preserve"> and its phytochemical constituents, including phenolic compounds and flavonoids </w:t>
      </w:r>
      <w:r w:rsidRPr="00CB14C3">
        <w:rPr>
          <w:rStyle w:val="FootnoteReference"/>
          <w:rFonts w:ascii="Arial" w:hAnsi="Arial" w:cs="Arial"/>
          <w:sz w:val="20"/>
          <w:szCs w:val="20"/>
          <w:lang w:val="en-GB"/>
        </w:rPr>
        <w:fldChar w:fldCharType="begin" w:fldLock="1"/>
      </w:r>
      <w:r w:rsidRPr="00CB14C3">
        <w:rPr>
          <w:rFonts w:ascii="Arial" w:hAnsi="Arial" w:cs="Arial"/>
          <w:sz w:val="20"/>
          <w:szCs w:val="20"/>
          <w:lang w:val="en-GB"/>
        </w:rPr>
        <w:instrText>ADDIN CSL_CITATION {"citationItems":[{"id":"ITEM-1","itemData":{"DOI":"10.1186/S13104-015-1388-1/FIGURES/4","ISSN":"17560500","PMID":"26323940","abstract":"Background: The present investigation evaluated 4 different solvent compositions for their relative capacity to extract total phenolic and total flavonoid (TF) components of the leaves, trunks, and stems of Bucida buceras L. (Combretaceae), and the stems of Phoradendron californicum (Viscaceae), plus mesquite and oak species endemic to the Southwestern United States, northern Mexico, and tropical regions of Central and South America, as well as to profile the composition of these plant materials and to measure their antioxidant capacity. Methods: The total phenolic content of plant material used in the present investigation was measured using the Folin-Ciocalteau assay. Total flavonoids were assayed by AlCl&lt;inf&gt;3&lt;/inf&gt; and 2,4-dinitrophenylhydrazin colorimetry. Nitroblue tetrazolium was utilized for scavenging of superoxide anion, and in vitro antioxidant activity was evaluated using the 2, 2-diphenyl-1-picrylhydrazyl and Ferric Reducing/Antioxidant Power assays. Results: Phytochemical screening of each plant extract evaluated revealed the following major results: (1) No evidence of alkaloids for each of the extraction phases tested was detected in the hexanic, ethanolic, or aqueous phases of Bucida buceras and Phoradendron californicum (oak and mesquite); (2) Analysis of the hexane phase of B. buceras and P. californicum (mesquite) extracts revealed the presence of carotenes, triterpenes/steroids, and lactonic groups; (3) Analysis of the ethanol and aqueous extraction phases for both plants revealed the presence of a diverse range of compounds, including tripterpenes/steroids, lactonics groups, saponins, phenols/tannins, amines and/or amino acids, and flavonoids/anthocyanins; and (4) The highest total phenolic and flavonoid content were observed in P. californicum (oak): 523.886 ± 51.457 μg GAE/mg extract and 409.651 ± 23.091 μg/mg of extract for methanol and aqueous fractions, respectively. The highest flavonoid content was 237.273 ± 21.250 μg PNE/mg extract in the acetone extract of Bucida buceras stems; while the flavonol content (260.685 ± 23.031 μg CE/mg extract) was higher in the ethanol extract of P. californicum (oak). The acetone extract of B. buceras trunk extract showed the highest levels of DPPH radical-scavenging activity (IC&lt;inf&gt;50&lt;/inf&gt; = 4.136 ± 0.446 μg/mL) and reducing power (4928.392 ± 281.427 μM AAE/mg extract). The highest superoxide radical scavenging activity (IC&lt;inf&gt;50&lt;/inf&gt;) was 55.249 ± 9.829 μg/mL, observed in acetone extract…","author":[{"dropping-particle":"","family":"Iloki-Assanga","given":"Simon B.","non-dropping-particle":"","parse-names":false,"suffix":""},{"dropping-particle":"","family":"Lewis-Luján","given":"Lidianys M.","non-dropping-particle":"","parse-names":false,"suffix":""},{"dropping-particle":"","family":"Lara-Espinoza","given":"Claudia L.","non-dropping-particle":"","parse-names":false,"suffix":""},{"dropping-particle":"","family":"Gil-Salido","given":"Armida A.","non-dropping-particle":"","parse-names":false,"suffix":""},{"dropping-particle":"","family":"Fernandez-Angulo","given":"Daniela","non-dropping-particle":"","parse-names":false,"suffix":""},{"dropping-particle":"","family":"Rubio-Pino","given":"Jose L.","non-dropping-particle":"","parse-names":false,"suffix":""},{"dropping-particle":"","family":"Haines","given":"David D.","non-dropping-particle":"","parse-names":false,"suffix":""}],"container-title":"BMC Research Notes","id":"ITEM-1","issue":"1","issued":{"date-parts":[["2015","9","1"]]},"page":"1-14","publisher":"BioMed Central Ltd.","title":"Solvent effects on phytochemical constituent profiles and antioxidant activities, using four different extraction formulations for analysis of Bucida buceras L. and Phoradendron californicum Complementary and Alternative Medicine","type":"article-journal","volume":"8"},"uris":["http://www.mendeley.com/documents/?uuid=c4602c91-4f1e-3b8b-984a-8e7ca2b1be7b"]}],"mendeley":{"formattedCitation":"(Iloki-Assanga et al., 2015)","plainTextFormattedCitation":"(Iloki-Assanga et al., 2015)","previouslyFormattedCitation":"(Iloki-Assanga et al., 2015)"},"properties":{"noteIndex":0},"schema":"https://github.com/citation-style-language/schema/raw/master/csl-citation.json"}</w:instrText>
      </w:r>
      <w:r w:rsidRPr="00CB14C3">
        <w:rPr>
          <w:rStyle w:val="FootnoteReference"/>
          <w:rFonts w:ascii="Arial" w:hAnsi="Arial" w:cs="Arial"/>
          <w:sz w:val="20"/>
          <w:szCs w:val="20"/>
          <w:lang w:val="en-GB"/>
        </w:rPr>
        <w:fldChar w:fldCharType="separate"/>
      </w:r>
      <w:r w:rsidRPr="00CB14C3">
        <w:rPr>
          <w:rFonts w:ascii="Arial" w:hAnsi="Arial" w:cs="Arial"/>
          <w:bCs/>
          <w:sz w:val="20"/>
          <w:szCs w:val="20"/>
          <w:lang w:val="en-GB"/>
        </w:rPr>
        <w:t>(Iloki-Assanga et al., 2015)</w:t>
      </w:r>
      <w:r w:rsidRPr="00CB14C3">
        <w:rPr>
          <w:rStyle w:val="FootnoteReference"/>
          <w:rFonts w:ascii="Arial" w:hAnsi="Arial" w:cs="Arial"/>
          <w:sz w:val="20"/>
          <w:szCs w:val="20"/>
          <w:lang w:val="en-GB"/>
        </w:rPr>
        <w:fldChar w:fldCharType="end"/>
      </w:r>
      <w:r w:rsidRPr="00CB14C3">
        <w:rPr>
          <w:rFonts w:ascii="Arial" w:hAnsi="Arial" w:cs="Arial"/>
          <w:sz w:val="20"/>
          <w:szCs w:val="20"/>
          <w:lang w:val="en-GB"/>
        </w:rPr>
        <w:t>.</w:t>
      </w:r>
    </w:p>
    <w:p w:rsidR="000D5D92" w:rsidRPr="00CB14C3" w:rsidRDefault="000F2404" w:rsidP="00784675">
      <w:pPr>
        <w:spacing w:line="360" w:lineRule="auto"/>
        <w:jc w:val="both"/>
        <w:rPr>
          <w:rFonts w:ascii="Arial" w:hAnsi="Arial" w:cs="Arial"/>
          <w:sz w:val="20"/>
          <w:szCs w:val="20"/>
          <w:lang w:val="en-GB"/>
        </w:rPr>
      </w:pPr>
      <w:r w:rsidRPr="00CB14C3">
        <w:rPr>
          <w:rFonts w:ascii="Arial" w:hAnsi="Arial" w:cs="Arial"/>
          <w:sz w:val="20"/>
          <w:szCs w:val="20"/>
          <w:lang w:val="en-GB"/>
        </w:rPr>
        <w:t xml:space="preserve">Bilirubin a player in antioxidant  physiological concentrations </w:t>
      </w:r>
      <w:r w:rsidRPr="00CB14C3">
        <w:rPr>
          <w:rStyle w:val="FootnoteReference"/>
          <w:rFonts w:ascii="Arial" w:hAnsi="Arial" w:cs="Arial"/>
          <w:sz w:val="20"/>
          <w:szCs w:val="20"/>
          <w:lang w:val="en-GB"/>
        </w:rPr>
        <w:fldChar w:fldCharType="begin" w:fldLock="1"/>
      </w:r>
      <w:r w:rsidR="009200C6" w:rsidRPr="00CB14C3">
        <w:rPr>
          <w:rFonts w:ascii="Arial" w:hAnsi="Arial" w:cs="Arial"/>
          <w:sz w:val="20"/>
          <w:szCs w:val="20"/>
          <w:lang w:val="en-GB"/>
        </w:rPr>
        <w:instrText>ADDIN CSL_CITATION {"citationItems":[{"id":"ITEM-1","itemData":{"DOI":"10.1016/J.CELLSIG.2013.11.029","ISSN":"0898-6568","PMID":"24308969","abstract":"Unconjugated bilirubin (UCB) is responsible for neonatal jaundice and high level of free bilirubin (Bf) can lead to kernicterus. Previous studies suggest that oxidative stress is a critical component of UCB-induced neurotoxicity. The Nrf2 pathway is a powerful sensor for cellular redox state and is activated directly by oxidative stress and/or indirectly by stress response protein kinases. Activated Nrf2 translocates to nucleus, binds to Antioxidant Response Element (ARE), and enhances the up-regulation of cytoprotective genes that mediate cell survival. The aim of the present study was to investigate the role of Nrf2 pathway in cell response to bilirubin mediated oxidative stress in the neuroblastoma SH-SY5Y cell line. Cells exposed to a toxic concentration of UCB (140. nM Bf) showed an increased intracellular ROS levels and enhanced nuclear accumulation of Nrf2 protein. UCB stimulated transcriptional induction of ARE-GFP reporter gene and induced mRNA expression of multiple antioxidant response genes as: xCT, Gly1, γGCL-m, γGCL-c, HO-1, NQO1, FTH, ME1, and ATF3. Nrf2 siRNA decreased UCB induced mRNA expression of HO1 (75%), NQO1 (54%), and FTH (40%). The Nrf2-related HO-1 induction was reduced to 60% in cells pre-treated with antioxidant (NAC) or specific signaling pathway inhibitors for PKC, P38α and MEK1/2 (80, 40 and 25%, respectively). In conclusion, we demonstrated that SH-SY5Y cells undergo an adaptive response against UCB-mediated oxidative stress by activation of multiple antioxidant response, in part through Nrf2 pathway. © 2013 Elsevier Inc.","author":[{"dropping-particle":"","family":"Qaisiya","given":"Mohammed","non-dropping-particle":"","parse-names":false,"suffix":""},{"dropping-particle":"","family":"Coda Zabetta","given":"Carlos Daniel","non-dropping-particle":"","parse-names":false,"suffix":""},{"dropping-particle":"","family":"Bellarosa","given":"Cristina","non-dropping-particle":"","parse-names":false,"suffix":""},{"dropping-particle":"","family":"Tiribelli","given":"Claudio","non-dropping-particle":"","parse-names":false,"suffix":""}],"container-title":"Cellular Signalling","id":"ITEM-1","issue":"3","issued":{"date-parts":[["2014","3","1"]]},"page":"512-520","publisher":"Pergamon","title":"Bilirubin mediated oxidative stress involves antioxidant response activation via Nrf2 pathway","type":"article-journal","volume":"26"},"uris":["http://www.mendeley.com/documents/?uuid=ec96f561-f690-3732-89fa-9875709f4bde"]}],"mendeley":{"formattedCitation":"(Qaisiya et al., 2014)","manualFormatting":"(Qaisiya et al., 2014)","plainTextFormattedCitation":"(Qaisiya et al., 2014)","previouslyFormattedCitation":"(Qaisiya et al., 2014)"},"properties":{"noteIndex":0},"schema":"https://github.com/citation-style-language/schema/raw/master/csl-citation.json"}</w:instrText>
      </w:r>
      <w:r w:rsidRPr="00CB14C3">
        <w:rPr>
          <w:rStyle w:val="FootnoteReference"/>
          <w:rFonts w:ascii="Arial" w:hAnsi="Arial" w:cs="Arial"/>
          <w:sz w:val="20"/>
          <w:szCs w:val="20"/>
          <w:lang w:val="en-GB"/>
        </w:rPr>
        <w:fldChar w:fldCharType="separate"/>
      </w:r>
      <w:r w:rsidRPr="00CB14C3">
        <w:rPr>
          <w:rFonts w:ascii="Arial" w:hAnsi="Arial" w:cs="Arial"/>
          <w:bCs/>
          <w:sz w:val="20"/>
          <w:szCs w:val="20"/>
          <w:lang w:val="en-GB"/>
        </w:rPr>
        <w:t>(Qaisiya et al., 2014)</w:t>
      </w:r>
      <w:r w:rsidRPr="00CB14C3">
        <w:rPr>
          <w:rStyle w:val="FootnoteReference"/>
          <w:rFonts w:ascii="Arial" w:hAnsi="Arial" w:cs="Arial"/>
          <w:sz w:val="20"/>
          <w:szCs w:val="20"/>
          <w:lang w:val="en-GB"/>
        </w:rPr>
        <w:fldChar w:fldCharType="end"/>
      </w:r>
      <w:r w:rsidRPr="00CB14C3">
        <w:rPr>
          <w:rFonts w:ascii="Arial" w:hAnsi="Arial" w:cs="Arial"/>
          <w:sz w:val="20"/>
          <w:szCs w:val="20"/>
          <w:lang w:val="en-GB"/>
        </w:rPr>
        <w:t>, as shown in Figure 10 was highest in group 3 suggesting saturation of hepatic pathways at alcoholic stress. This could also reflect enhance conjugation and excretion activity which is a compensatory mechanism that may not necessarily be hepatocellular damage</w:t>
      </w:r>
      <w:r w:rsidR="00382093" w:rsidRPr="00CB14C3">
        <w:rPr>
          <w:rFonts w:ascii="Arial" w:hAnsi="Arial" w:cs="Arial"/>
          <w:sz w:val="20"/>
          <w:szCs w:val="20"/>
          <w:lang w:val="en-GB"/>
        </w:rPr>
        <w:t xml:space="preserve"> </w:t>
      </w:r>
      <w:r w:rsidR="00382093" w:rsidRPr="00CB14C3">
        <w:rPr>
          <w:rFonts w:ascii="Arial" w:hAnsi="Arial" w:cs="Arial"/>
          <w:sz w:val="20"/>
          <w:szCs w:val="20"/>
          <w:lang w:val="en-GB"/>
        </w:rPr>
        <w:fldChar w:fldCharType="begin" w:fldLock="1"/>
      </w:r>
      <w:r w:rsidR="00382093" w:rsidRPr="00CB14C3">
        <w:rPr>
          <w:rFonts w:ascii="Arial" w:hAnsi="Arial" w:cs="Arial"/>
          <w:sz w:val="20"/>
          <w:szCs w:val="20"/>
          <w:lang w:val="en-GB"/>
        </w:rPr>
        <w:instrText>ADDIN CSL_CITATION {"citationItems":[{"id":"ITEM-1","itemData":{"DOI":"10.1007/978-981-97-4283-7_5","abstract":"This chapter discusses the impact of renal and hepatic diseases on pharmacokinetics. Antidiabetics, aminoglycosides, ACE inhibitors, and other drug pharmacokinetics, related to the diseases, are mentioned. Renal and hepatic diseases signifcantly alter the pharmacokinetics of drugs, necessitating dose adjustments to ensure effcacy and avoid toxicity. In renal impairment, decreased glomerular fltration rate (GFR) leads to prolonged drug half-life and reduced clearance, particularly for renally excreted drugs. This can result in drug accumulation and increased risk of adverse effects. Conversely, drugs primarily eliminated via hepatic metabolism may not be signifcantly affected by renal impairment. Hepatic diseases such as cirrhosis can compromise drug metabolism and hepatic blood fow, leading to altered drug clearance and increased bioavailability of certain medications. Impaired hepatic function reduces the activity of drugmetabolizing enzymes and hepatic transporters, prolonging drug half-life and necessitating dose adjustments to prevent toxicity. Understanding the impact of renal and hepatic diseases on pharmacokinetics is crucial for optimizing drug therapy in affected patients. Clinicians must adjust drug doses based on individual patient factors, including the severity of organ dysfunction and the drug's pharmacokinetic properties. Close monitoring of drug levels and therapeutic outcomes is essential to ensure safe and effective treatment while minimizing the risk of adverse events. Pharmacokinetic considerations play a vital role in personalized medicine, guiding clinicians in tailoring drug therapy to each patient's unique physiological characteristics and disease status.","author":[{"dropping-particle":"","family":"Peeriga","given":"Raveesha","non-dropping-particle":"","parse-names":false,"suffix":""},{"dropping-particle":"","family":"Manubolu","given":"Krishnaveni","non-dropping-particle":"","parse-names":false,"suffix":""}],"container-title":"A Short Guide to Clinical Pharmacokinetics","id":"ITEM-1","issued":{"date-parts":[["2024","9"]]},"page":"67-95","publisher":"Springer Nature","title":"Effect of renal and hepatic diseases on pharmacokinetics","type":"chapter"},"uris":["http://www.mendeley.com/documents/?uuid=1336129a-e278-3f2f-aeab-8c4480ec0fd0"]}],"mendeley":{"formattedCitation":"(Peeriga &amp; Manubolu, 2024)","plainTextFormattedCitation":"(Peeriga &amp; Manubolu, 2024)","previouslyFormattedCitation":"(Peeriga &amp; Manubolu, 2024)"},"properties":{"noteIndex":0},"schema":"https://github.com/citation-style-language/schema/raw/master/csl-citation.json"}</w:instrText>
      </w:r>
      <w:r w:rsidR="00382093" w:rsidRPr="00CB14C3">
        <w:rPr>
          <w:rFonts w:ascii="Arial" w:hAnsi="Arial" w:cs="Arial"/>
          <w:sz w:val="20"/>
          <w:szCs w:val="20"/>
          <w:lang w:val="en-GB"/>
        </w:rPr>
        <w:fldChar w:fldCharType="separate"/>
      </w:r>
      <w:r w:rsidR="00382093" w:rsidRPr="00CB14C3">
        <w:rPr>
          <w:rFonts w:ascii="Arial" w:hAnsi="Arial" w:cs="Arial"/>
          <w:sz w:val="20"/>
          <w:szCs w:val="20"/>
          <w:lang w:val="en-GB"/>
        </w:rPr>
        <w:t>(Peeriga &amp; Manubolu, 2024)</w:t>
      </w:r>
      <w:r w:rsidR="00382093" w:rsidRPr="00CB14C3">
        <w:rPr>
          <w:rFonts w:ascii="Arial" w:hAnsi="Arial" w:cs="Arial"/>
          <w:sz w:val="20"/>
          <w:szCs w:val="20"/>
          <w:lang w:val="en-GB"/>
        </w:rPr>
        <w:fldChar w:fldCharType="end"/>
      </w:r>
      <w:r w:rsidRPr="00CB14C3">
        <w:rPr>
          <w:rFonts w:ascii="Arial" w:hAnsi="Arial" w:cs="Arial"/>
          <w:sz w:val="20"/>
          <w:szCs w:val="20"/>
          <w:lang w:val="en-GB"/>
        </w:rPr>
        <w:t xml:space="preserve">. </w:t>
      </w:r>
      <w:r w:rsidR="000D5D92" w:rsidRPr="00CB14C3">
        <w:rPr>
          <w:rFonts w:ascii="Arial" w:hAnsi="Arial" w:cs="Arial"/>
          <w:sz w:val="20"/>
          <w:szCs w:val="20"/>
          <w:lang w:val="en-GB"/>
        </w:rPr>
        <w:t>Elevated bilirubin levels observed in alcohol-treated rats may reflect saturation of hepatic conjugation pathways or compensatory antioxidant responses under oxidative stress. Normalization of bilirubin levels following extract treatment and alcohol withdrawal indicates recovery of hepatic excretory function</w:t>
      </w:r>
      <w:r w:rsidR="00772C79" w:rsidRPr="00CB14C3">
        <w:rPr>
          <w:rFonts w:ascii="Arial" w:hAnsi="Arial" w:cs="Arial"/>
          <w:sz w:val="20"/>
          <w:szCs w:val="20"/>
          <w:lang w:val="en-GB"/>
        </w:rPr>
        <w:t xml:space="preserve"> </w:t>
      </w:r>
      <w:r w:rsidR="00772C79" w:rsidRPr="00CB14C3">
        <w:rPr>
          <w:rFonts w:ascii="Arial" w:hAnsi="Arial" w:cs="Arial"/>
          <w:sz w:val="20"/>
          <w:szCs w:val="20"/>
          <w:lang w:val="en-GB"/>
        </w:rPr>
        <w:fldChar w:fldCharType="begin" w:fldLock="1"/>
      </w:r>
      <w:r w:rsidR="00772C79" w:rsidRPr="00CB14C3">
        <w:rPr>
          <w:rFonts w:ascii="Arial" w:hAnsi="Arial" w:cs="Arial"/>
          <w:sz w:val="20"/>
          <w:szCs w:val="20"/>
          <w:lang w:val="en-GB"/>
        </w:rPr>
        <w:instrText>ADDIN CSL_CITATION {"citationItems":[{"id":"ITEM-1","itemData":{"DOI":"10.1016/j.livres.2023.03.002","ISSN":"25425684","abstract":"Alcohol-related liver disease (ALD) encompasses a spectrum of diseases caused by excessive alcohol consumption. ALD includes hepatic steatosis, steatohepatitis, variable degrees of fibrosis, cirrhosis, and alcohol-associated hepatitis (AH), the latter being the most severe acute form of the disease. Severe AH is associated with high mortality (reaching up to 30%–50%) at 90 days. The cornerstone of ALD, and particularly AH, treatment continues to be abstinence, accompanied by support measures such as nutritional supplementation and management of alcohol withdrawal syndrome (AWS). In severe AH with model for end-stage liver disease (MELD) score ≥21, corticosteroids can be used, especially MELD score between 25 and 39, where the highest benefit is achieved. Other key aspects of treatment include the early identification of infections and their associated management and the proper identification of potential candidates for liver transplantation. The development of new therapies based on the pathophysiology and mechanisms of liver injury are underway. This includes the modulation and management of the innate immune response, gut dysbiosis, bacterial translocation, and bacteria-derived products from the intestine. These hold promise for the future of AH treatment.","author":[{"dropping-particle":"","family":"Idalsoaga","given":"Francisco","non-dropping-particle":"","parse-names":false,"suffix":""},{"dropping-particle":"","family":"Ayares","given":"Gustavo","non-dropping-particle":"","parse-names":false,"suffix":""},{"dropping-particle":"","family":"Díaz","given":"Luis Antonio","non-dropping-particle":"","parse-names":false,"suffix":""},{"dropping-particle":"","family":"Arnold","given":"Jorge","non-dropping-particle":"","parse-names":false,"suffix":""},{"dropping-particle":"","family":"Ayala-Valverde","given":"María","non-dropping-particle":"","parse-names":false,"suffix":""},{"dropping-particle":"","family":"Hudson","given":"David","non-dropping-particle":"","parse-names":false,"suffix":""},{"dropping-particle":"","family":"Arrese","given":"Marco","non-dropping-particle":"","parse-names":false,"suffix":""},{"dropping-particle":"","family":"Arab","given":"Juan Pablo","non-dropping-particle":"","parse-names":false,"suffix":""}],"container-title":"Liver Research","id":"ITEM-1","issued":{"date-parts":[["2023","3"]]},"page":"35-46","publisher":"KeAi Communications Co.","title":"Current and emerging therapies for alcohol-associated hepatitis","type":"article","volume":"7"},"uris":["http://www.mendeley.com/documents/?uuid=0f416112-e4e6-3488-859d-832df5b72bcc"]}],"mendeley":{"formattedCitation":"(Idalsoaga et al., 2023)","plainTextFormattedCitation":"(Idalsoaga et al., 2023)"},"properties":{"noteIndex":0},"schema":"https://github.com/citation-style-language/schema/raw/master/csl-citation.json"}</w:instrText>
      </w:r>
      <w:r w:rsidR="00772C79" w:rsidRPr="00CB14C3">
        <w:rPr>
          <w:rFonts w:ascii="Arial" w:hAnsi="Arial" w:cs="Arial"/>
          <w:sz w:val="20"/>
          <w:szCs w:val="20"/>
          <w:lang w:val="en-GB"/>
        </w:rPr>
        <w:fldChar w:fldCharType="separate"/>
      </w:r>
      <w:r w:rsidR="00772C79" w:rsidRPr="00CB14C3">
        <w:rPr>
          <w:rFonts w:ascii="Arial" w:hAnsi="Arial" w:cs="Arial"/>
          <w:sz w:val="20"/>
          <w:szCs w:val="20"/>
          <w:lang w:val="en-GB"/>
        </w:rPr>
        <w:t>(Idalsoaga et al., 2023)</w:t>
      </w:r>
      <w:r w:rsidR="00772C79" w:rsidRPr="00CB14C3">
        <w:rPr>
          <w:rFonts w:ascii="Arial" w:hAnsi="Arial" w:cs="Arial"/>
          <w:sz w:val="20"/>
          <w:szCs w:val="20"/>
          <w:lang w:val="en-GB"/>
        </w:rPr>
        <w:fldChar w:fldCharType="end"/>
      </w:r>
      <w:r w:rsidR="000D5D92" w:rsidRPr="00CB14C3">
        <w:rPr>
          <w:rFonts w:ascii="Arial" w:hAnsi="Arial" w:cs="Arial"/>
          <w:sz w:val="20"/>
          <w:szCs w:val="20"/>
          <w:lang w:val="en-GB"/>
        </w:rPr>
        <w:t xml:space="preserve">. Similar hepatoprotective effects have been reported for </w:t>
      </w:r>
      <w:r w:rsidRPr="00CB14C3">
        <w:rPr>
          <w:rFonts w:ascii="Arial" w:hAnsi="Arial" w:cs="Arial"/>
          <w:i/>
          <w:sz w:val="20"/>
          <w:szCs w:val="20"/>
          <w:lang w:val="en-GB"/>
        </w:rPr>
        <w:t xml:space="preserve">L. </w:t>
      </w:r>
      <w:r w:rsidR="00EB4069" w:rsidRPr="00CB14C3">
        <w:rPr>
          <w:rFonts w:ascii="Arial" w:hAnsi="Arial" w:cs="Arial"/>
          <w:i/>
          <w:sz w:val="20"/>
          <w:szCs w:val="20"/>
          <w:lang w:val="en-GB"/>
        </w:rPr>
        <w:t>speciose</w:t>
      </w:r>
      <w:r w:rsidRPr="00CB14C3">
        <w:rPr>
          <w:rFonts w:ascii="Arial" w:hAnsi="Arial" w:cs="Arial"/>
          <w:sz w:val="20"/>
          <w:szCs w:val="20"/>
          <w:lang w:val="en-GB"/>
        </w:rPr>
        <w:t xml:space="preserve">  </w:t>
      </w:r>
      <w:r w:rsidR="000D5D92" w:rsidRPr="00CB14C3">
        <w:rPr>
          <w:rFonts w:ascii="Arial" w:hAnsi="Arial" w:cs="Arial"/>
          <w:sz w:val="20"/>
          <w:szCs w:val="20"/>
          <w:lang w:val="en-GB"/>
        </w:rPr>
        <w:t xml:space="preserve"> under alcohol-induced stress conditions </w:t>
      </w:r>
      <w:r w:rsidR="000D5D92" w:rsidRPr="00CB14C3">
        <w:rPr>
          <w:rStyle w:val="FootnoteReference"/>
          <w:rFonts w:ascii="Arial" w:hAnsi="Arial" w:cs="Arial"/>
          <w:sz w:val="20"/>
          <w:szCs w:val="20"/>
          <w:lang w:val="en-GB"/>
        </w:rPr>
        <w:fldChar w:fldCharType="begin" w:fldLock="1"/>
      </w:r>
      <w:r w:rsidR="000D5D92" w:rsidRPr="00CB14C3">
        <w:rPr>
          <w:rFonts w:ascii="Arial" w:hAnsi="Arial" w:cs="Arial"/>
          <w:sz w:val="20"/>
          <w:szCs w:val="20"/>
          <w:lang w:val="en-GB"/>
        </w:rPr>
        <w:instrText>ADDIN CSL_CITATION {"citationItems":[{"id":"ITEM-1","itemData":{"DOI":"10.1007/S10735-025-10493-5","ISSN":"1567-2387","abstract":"Acetaminophen (APAP) is a widely used analgesic and antipyretic, but its toxicity can lead to liver injury or failure. This study evaluated the hepatoprotective mechanisms of L. speciosa ethanolic leaf extract (LSE) against APAP-induced hepatic damage. Rats were randomly divided into five groups: Control (Cont), APAP (2&amp;nbsp;g/kg b.w. single oral dose on day 22), LSE (500&amp;nbsp;mg/kg b.w./day), APAP + LSE, and APAP + NAC (initial NAC dose of 100&amp;nbsp;mg/kg b.w. two hours post-APAP, followed by maintenance doses every 12&amp;nbsp;h). APAP-intoxicated rats showed leukocytosis, decreased erythrocyte count, Hb, and PCV, increased serum bilirubin, and elevated ALT, AST, and ALP activities. APAP intoxication also decreased plasma protein levels, albumin, and globulin while increasing liver MDA and depleting GSH. The expressions of hepatic SOD and CAT were reduced, while NF-κB, TNF-α, iNOS, Nrf2, and HO-1 were significantly upregulated. Also, APAP increased Bax and decreased Bcl-2. LSE improved most parameters, suppressing oxidative stress, inflammation, and apoptosis and regulating NF-κB, TNF-α, iNOS, Nrf2, HO-1, Bax, and Bcl-2 expression. Nevertheless, the deeper upstream molecular targets of LSE require further exploration. Its effects were comparable to NAC, with NAC showing slightly superior outcomes in some markers. Our findings suggest that LSE contains hepatoprotective phytochemicals capable of mitigating oxidative damage, inflammation, and apoptosis induced by APAP, supporting its potential as a natural alternative for managing drug-induced liver injury.","author":[{"dropping-particle":"","family":"Elsheshtawy","given":"Nagham E.","non-dropping-particle":"","parse-names":false,"suffix":""},{"dropping-particle":"","family":"Abdelhamid","given":"Fatma M.","non-dropping-particle":"","parse-names":false,"suffix":""},{"dropping-particle":"","family":"Risha","given":"Engy F.","non-dropping-particle":"","parse-names":false,"suffix":""},{"dropping-particle":"","family":"Mahgoub","given":"Hebatallah A.","non-dropping-particle":"","parse-names":false,"suffix":""},{"dropping-particle":"","family":"Ateya","given":"Ahmed I.","non-dropping-particle":"","parse-names":false,"suffix":""},{"dropping-particle":"","family":"El-Boshy","given":"Mohamed E.","non-dropping-particle":"","parse-names":false,"suffix":""}],"container-title":"Journal of Molecular Histology 2025 56:4","id":"ITEM-1","issue":"4","issued":{"date-parts":[["2025","7","23"]]},"page":"1-20","publisher":"Springer","title":"Lagerstroemia Speciosa (L.) Pers mitigates acetaminophen-induced acute liver toxicity in rats through modulations of oxidative stress, inflammation, apoptosis and the NF-κB/TNF-α/iNOS, Nrf2/HO-1, signaling pathways","type":"article-journal","volume":"56"},"uris":["http://www.mendeley.com/documents/?uuid=538d5f3b-a939-3c74-8817-fff45ed97fc6"]}],"mendeley":{"formattedCitation":"(Elsheshtawy et al., 2025)","plainTextFormattedCitation":"(Elsheshtawy et al., 2025)","previouslyFormattedCitation":"(Elsheshtawy et al., 2025)"},"properties":{"noteIndex":0},"schema":"https://github.com/citation-style-language/schema/raw/master/csl-citation.json"}</w:instrText>
      </w:r>
      <w:r w:rsidR="000D5D92" w:rsidRPr="00CB14C3">
        <w:rPr>
          <w:rStyle w:val="FootnoteReference"/>
          <w:rFonts w:ascii="Arial" w:hAnsi="Arial" w:cs="Arial"/>
          <w:sz w:val="20"/>
          <w:szCs w:val="20"/>
          <w:lang w:val="en-GB"/>
        </w:rPr>
        <w:fldChar w:fldCharType="separate"/>
      </w:r>
      <w:r w:rsidR="000D5D92" w:rsidRPr="00CB14C3">
        <w:rPr>
          <w:rFonts w:ascii="Arial" w:hAnsi="Arial" w:cs="Arial"/>
          <w:sz w:val="20"/>
          <w:szCs w:val="20"/>
          <w:lang w:val="en-GB"/>
        </w:rPr>
        <w:t>(Elsheshtawy et al., 2025)</w:t>
      </w:r>
      <w:r w:rsidR="000D5D92" w:rsidRPr="00CB14C3">
        <w:rPr>
          <w:rStyle w:val="FootnoteReference"/>
          <w:rFonts w:ascii="Arial" w:hAnsi="Arial" w:cs="Arial"/>
          <w:sz w:val="20"/>
          <w:szCs w:val="20"/>
          <w:lang w:val="en-GB"/>
        </w:rPr>
        <w:fldChar w:fldCharType="end"/>
      </w:r>
      <w:r w:rsidR="000D5D92" w:rsidRPr="00CB14C3">
        <w:rPr>
          <w:rFonts w:ascii="Arial" w:hAnsi="Arial" w:cs="Arial"/>
          <w:sz w:val="20"/>
          <w:szCs w:val="20"/>
          <w:lang w:val="en-GB"/>
        </w:rPr>
        <w:t xml:space="preserve">.  </w:t>
      </w:r>
    </w:p>
    <w:p w:rsidR="00552ED3" w:rsidRPr="00CB14C3" w:rsidRDefault="000D5D92" w:rsidP="00784675">
      <w:pPr>
        <w:spacing w:line="360" w:lineRule="auto"/>
        <w:jc w:val="both"/>
        <w:rPr>
          <w:rFonts w:ascii="Arial" w:hAnsi="Arial" w:cs="Arial"/>
          <w:sz w:val="20"/>
          <w:szCs w:val="20"/>
          <w:lang w:val="en-GB"/>
        </w:rPr>
      </w:pPr>
      <w:r w:rsidRPr="00CB14C3">
        <w:rPr>
          <w:rFonts w:ascii="Arial" w:hAnsi="Arial" w:cs="Arial"/>
          <w:sz w:val="20"/>
          <w:szCs w:val="20"/>
          <w:lang w:val="en-GB"/>
        </w:rPr>
        <w:lastRenderedPageBreak/>
        <w:t xml:space="preserve">Histopathological examination further corroborated biochemical findings. Alcohol-treated rats exhibited hepatic architectural distortion, steatosis, central vein obstruction, and hepatocellular </w:t>
      </w:r>
      <w:r w:rsidR="00EB4069" w:rsidRPr="00CB14C3">
        <w:rPr>
          <w:rFonts w:ascii="Arial" w:hAnsi="Arial" w:cs="Arial"/>
          <w:sz w:val="20"/>
          <w:szCs w:val="20"/>
          <w:lang w:val="en-GB"/>
        </w:rPr>
        <w:t>necrosis (</w:t>
      </w:r>
      <w:r w:rsidR="00ED22D2" w:rsidRPr="00CB14C3">
        <w:rPr>
          <w:rFonts w:ascii="Arial" w:hAnsi="Arial" w:cs="Arial"/>
          <w:sz w:val="20"/>
          <w:szCs w:val="20"/>
          <w:lang w:val="en-GB"/>
        </w:rPr>
        <w:t>Das &amp; Vasudevan, 2007)</w:t>
      </w:r>
      <w:r w:rsidRPr="00CB14C3">
        <w:rPr>
          <w:rFonts w:ascii="Arial" w:hAnsi="Arial" w:cs="Arial"/>
          <w:sz w:val="20"/>
          <w:szCs w:val="20"/>
          <w:lang w:val="en-GB"/>
        </w:rPr>
        <w:t xml:space="preserve">. In contrast, rats treated with </w:t>
      </w:r>
      <w:r w:rsidRPr="00CB14C3">
        <w:rPr>
          <w:rFonts w:ascii="Arial" w:hAnsi="Arial" w:cs="Arial"/>
          <w:i/>
          <w:sz w:val="20"/>
          <w:szCs w:val="20"/>
          <w:lang w:val="en-GB"/>
        </w:rPr>
        <w:t xml:space="preserve">A. </w:t>
      </w:r>
      <w:r w:rsidR="00EB4069" w:rsidRPr="00CB14C3">
        <w:rPr>
          <w:rFonts w:ascii="Arial" w:hAnsi="Arial" w:cs="Arial"/>
          <w:i/>
          <w:sz w:val="20"/>
          <w:szCs w:val="20"/>
          <w:lang w:val="en-GB"/>
        </w:rPr>
        <w:t>spinous</w:t>
      </w:r>
      <w:r w:rsidRPr="00CB14C3">
        <w:rPr>
          <w:rFonts w:ascii="Arial" w:hAnsi="Arial" w:cs="Arial"/>
          <w:sz w:val="20"/>
          <w:szCs w:val="20"/>
          <w:lang w:val="en-GB"/>
        </w:rPr>
        <w:t xml:space="preserve"> showed marked improvement in liver histology, indicating attenuation of alcohol-induced structural damage. </w:t>
      </w:r>
      <w:r w:rsidR="00ED22D2" w:rsidRPr="00CB14C3">
        <w:rPr>
          <w:rFonts w:ascii="Arial" w:hAnsi="Arial" w:cs="Arial"/>
          <w:sz w:val="20"/>
          <w:szCs w:val="20"/>
          <w:lang w:val="en-GB"/>
        </w:rPr>
        <w:t>Contreras-</w:t>
      </w:r>
      <w:r w:rsidR="00EB4069" w:rsidRPr="00CB14C3">
        <w:rPr>
          <w:rFonts w:ascii="Arial" w:hAnsi="Arial" w:cs="Arial"/>
          <w:sz w:val="20"/>
          <w:szCs w:val="20"/>
          <w:lang w:val="en-GB"/>
        </w:rPr>
        <w:t>Sentelle</w:t>
      </w:r>
      <w:r w:rsidR="00ED22D2" w:rsidRPr="00CB14C3">
        <w:rPr>
          <w:rFonts w:ascii="Arial" w:hAnsi="Arial" w:cs="Arial"/>
          <w:sz w:val="20"/>
          <w:szCs w:val="20"/>
          <w:lang w:val="en-GB"/>
        </w:rPr>
        <w:t xml:space="preserve"> et al. (2022), </w:t>
      </w:r>
      <w:proofErr w:type="spellStart"/>
      <w:r w:rsidR="00ED22D2" w:rsidRPr="00CB14C3">
        <w:rPr>
          <w:rFonts w:ascii="Arial" w:hAnsi="Arial" w:cs="Arial"/>
          <w:sz w:val="20"/>
          <w:szCs w:val="20"/>
          <w:lang w:val="en-GB"/>
        </w:rPr>
        <w:t>Fikry</w:t>
      </w:r>
      <w:proofErr w:type="spellEnd"/>
      <w:r w:rsidR="00ED22D2" w:rsidRPr="00CB14C3">
        <w:rPr>
          <w:rFonts w:ascii="Arial" w:hAnsi="Arial" w:cs="Arial"/>
          <w:sz w:val="20"/>
          <w:szCs w:val="20"/>
          <w:lang w:val="en-GB"/>
        </w:rPr>
        <w:t xml:space="preserve"> et al. (2024), and Zhang et al. (2024) have reported that alcohol involves a cytosolic oxidative pathway, where the inducible CYP2E1 system and peroxisomal catalase </w:t>
      </w:r>
      <w:r w:rsidR="00EB4069" w:rsidRPr="00CB14C3">
        <w:rPr>
          <w:rFonts w:ascii="Arial" w:hAnsi="Arial" w:cs="Arial"/>
          <w:sz w:val="20"/>
          <w:szCs w:val="20"/>
          <w:lang w:val="en-GB"/>
        </w:rPr>
        <w:t>oxidize</w:t>
      </w:r>
      <w:r w:rsidR="00ED22D2" w:rsidRPr="00CB14C3">
        <w:rPr>
          <w:rFonts w:ascii="Arial" w:hAnsi="Arial" w:cs="Arial"/>
          <w:sz w:val="20"/>
          <w:szCs w:val="20"/>
          <w:lang w:val="en-GB"/>
        </w:rPr>
        <w:t xml:space="preserve"> alcohol to generate acetaldehyde, especially under specific conditions. </w:t>
      </w:r>
      <w:r w:rsidRPr="00CB14C3">
        <w:rPr>
          <w:rFonts w:ascii="Arial" w:hAnsi="Arial" w:cs="Arial"/>
          <w:sz w:val="20"/>
          <w:szCs w:val="20"/>
          <w:lang w:val="en-GB"/>
        </w:rPr>
        <w:t xml:space="preserve">These observations are consistent with previous studies reporting hepatoprotective effects of A. </w:t>
      </w:r>
      <w:r w:rsidR="00EB4069" w:rsidRPr="00CB14C3">
        <w:rPr>
          <w:rFonts w:ascii="Arial" w:hAnsi="Arial" w:cs="Arial"/>
          <w:sz w:val="20"/>
          <w:szCs w:val="20"/>
          <w:lang w:val="en-GB"/>
        </w:rPr>
        <w:t>spinous</w:t>
      </w:r>
      <w:r w:rsidRPr="00CB14C3">
        <w:rPr>
          <w:rFonts w:ascii="Arial" w:hAnsi="Arial" w:cs="Arial"/>
          <w:sz w:val="20"/>
          <w:szCs w:val="20"/>
          <w:lang w:val="en-GB"/>
        </w:rPr>
        <w:t xml:space="preserve"> in toxin-induced liver injury models (Ashok Kumar et al., 2011; </w:t>
      </w:r>
      <w:proofErr w:type="spellStart"/>
      <w:r w:rsidRPr="00CB14C3">
        <w:rPr>
          <w:rFonts w:ascii="Arial" w:hAnsi="Arial" w:cs="Arial"/>
          <w:sz w:val="20"/>
          <w:szCs w:val="20"/>
          <w:lang w:val="en-GB"/>
        </w:rPr>
        <w:t>Isoje</w:t>
      </w:r>
      <w:proofErr w:type="spellEnd"/>
      <w:r w:rsidRPr="00CB14C3">
        <w:rPr>
          <w:rFonts w:ascii="Arial" w:hAnsi="Arial" w:cs="Arial"/>
          <w:sz w:val="20"/>
          <w:szCs w:val="20"/>
          <w:lang w:val="en-GB"/>
        </w:rPr>
        <w:t xml:space="preserve"> et al., 2025).</w:t>
      </w:r>
    </w:p>
    <w:p w:rsidR="000F2404" w:rsidRPr="00CB14C3" w:rsidRDefault="000D5D92" w:rsidP="001978D5">
      <w:pPr>
        <w:spacing w:line="360" w:lineRule="auto"/>
        <w:jc w:val="both"/>
        <w:rPr>
          <w:rFonts w:ascii="Arial" w:hAnsi="Arial" w:cs="Arial"/>
          <w:sz w:val="20"/>
          <w:szCs w:val="20"/>
          <w:lang w:val="en-GB"/>
        </w:rPr>
      </w:pPr>
      <w:r w:rsidRPr="00CB14C3">
        <w:rPr>
          <w:rFonts w:ascii="Arial" w:hAnsi="Arial" w:cs="Arial"/>
          <w:sz w:val="20"/>
          <w:szCs w:val="20"/>
          <w:lang w:val="en-GB"/>
        </w:rPr>
        <w:t xml:space="preserve">Despite promising findings, this study has limitations. molecular pathways underlying the observed effects were not directly assessed. These limitations warrant further investigation to better elucidate the mechanisms and translational relevance of </w:t>
      </w:r>
      <w:r w:rsidRPr="00CB14C3">
        <w:rPr>
          <w:rFonts w:ascii="Arial" w:hAnsi="Arial" w:cs="Arial"/>
          <w:i/>
          <w:sz w:val="20"/>
          <w:szCs w:val="20"/>
          <w:lang w:val="en-GB"/>
        </w:rPr>
        <w:t xml:space="preserve">A. </w:t>
      </w:r>
      <w:r w:rsidR="00EB4069" w:rsidRPr="00CB14C3">
        <w:rPr>
          <w:rFonts w:ascii="Arial" w:hAnsi="Arial" w:cs="Arial"/>
          <w:i/>
          <w:sz w:val="20"/>
          <w:szCs w:val="20"/>
          <w:lang w:val="en-GB"/>
        </w:rPr>
        <w:t>spinous</w:t>
      </w:r>
      <w:r w:rsidRPr="00CB14C3">
        <w:rPr>
          <w:rFonts w:ascii="Arial" w:hAnsi="Arial" w:cs="Arial"/>
          <w:sz w:val="20"/>
          <w:szCs w:val="20"/>
          <w:lang w:val="en-GB"/>
        </w:rPr>
        <w:t>.</w:t>
      </w:r>
    </w:p>
    <w:p w:rsidR="00772C79" w:rsidRPr="00CB14C3" w:rsidRDefault="00772C79" w:rsidP="001978D5">
      <w:pPr>
        <w:spacing w:line="360" w:lineRule="auto"/>
        <w:jc w:val="both"/>
        <w:rPr>
          <w:rFonts w:ascii="Arial" w:hAnsi="Arial" w:cs="Arial"/>
          <w:sz w:val="20"/>
          <w:szCs w:val="20"/>
          <w:lang w:val="en-GB"/>
        </w:rPr>
      </w:pPr>
    </w:p>
    <w:p w:rsidR="001760E8" w:rsidRPr="00CB14C3" w:rsidRDefault="001760E8" w:rsidP="001978D5">
      <w:pPr>
        <w:spacing w:line="360" w:lineRule="auto"/>
        <w:jc w:val="both"/>
        <w:rPr>
          <w:rFonts w:ascii="Arial" w:hAnsi="Arial" w:cs="Arial"/>
          <w:b/>
          <w:lang w:val="en-GB"/>
        </w:rPr>
      </w:pPr>
      <w:r w:rsidRPr="00CB14C3">
        <w:rPr>
          <w:rFonts w:ascii="Arial" w:hAnsi="Arial" w:cs="Arial"/>
          <w:b/>
          <w:lang w:val="en-GB"/>
        </w:rPr>
        <w:t>CONCLUSION</w:t>
      </w:r>
    </w:p>
    <w:p w:rsidR="00772C79" w:rsidRPr="00CB14C3" w:rsidRDefault="006B7224" w:rsidP="001978D5">
      <w:pPr>
        <w:spacing w:line="360" w:lineRule="auto"/>
        <w:jc w:val="both"/>
        <w:rPr>
          <w:rFonts w:ascii="Arial" w:hAnsi="Arial" w:cs="Arial"/>
          <w:sz w:val="20"/>
          <w:szCs w:val="20"/>
          <w:lang w:val="en-GB"/>
        </w:rPr>
      </w:pPr>
      <w:r w:rsidRPr="00CB14C3">
        <w:rPr>
          <w:rFonts w:ascii="Arial" w:hAnsi="Arial" w:cs="Arial"/>
          <w:sz w:val="20"/>
          <w:szCs w:val="20"/>
          <w:lang w:val="en-GB"/>
        </w:rPr>
        <w:t xml:space="preserve">In </w:t>
      </w:r>
      <w:r w:rsidR="00EB4069" w:rsidRPr="00CB14C3">
        <w:rPr>
          <w:rFonts w:ascii="Arial" w:hAnsi="Arial" w:cs="Arial"/>
          <w:sz w:val="20"/>
          <w:szCs w:val="20"/>
          <w:lang w:val="en-GB"/>
        </w:rPr>
        <w:t>conclusion</w:t>
      </w:r>
      <w:r w:rsidRPr="00CB14C3">
        <w:rPr>
          <w:rFonts w:ascii="Arial" w:hAnsi="Arial" w:cs="Arial"/>
          <w:sz w:val="20"/>
          <w:szCs w:val="20"/>
          <w:lang w:val="en-GB"/>
        </w:rPr>
        <w:t xml:space="preserve">, this study present evidence for hepatoprotective and lipid modulatory effects of </w:t>
      </w:r>
      <w:r w:rsidRPr="00CB14C3">
        <w:rPr>
          <w:rFonts w:ascii="Arial" w:hAnsi="Arial" w:cs="Arial"/>
          <w:i/>
          <w:sz w:val="20"/>
          <w:szCs w:val="20"/>
          <w:lang w:val="en-GB"/>
        </w:rPr>
        <w:t xml:space="preserve">Amaranthus </w:t>
      </w:r>
      <w:r w:rsidR="00EB4069" w:rsidRPr="00CB14C3">
        <w:rPr>
          <w:rFonts w:ascii="Arial" w:hAnsi="Arial" w:cs="Arial"/>
          <w:i/>
          <w:sz w:val="20"/>
          <w:szCs w:val="20"/>
          <w:lang w:val="en-GB"/>
        </w:rPr>
        <w:t>spinous</w:t>
      </w:r>
      <w:r w:rsidRPr="00CB14C3">
        <w:rPr>
          <w:rFonts w:ascii="Arial" w:hAnsi="Arial" w:cs="Arial"/>
          <w:sz w:val="20"/>
          <w:szCs w:val="20"/>
          <w:lang w:val="en-GB"/>
        </w:rPr>
        <w:t xml:space="preserve"> extracts on alcohol induced liver damaged </w:t>
      </w:r>
      <w:proofErr w:type="spellStart"/>
      <w:r w:rsidRPr="00CB14C3">
        <w:rPr>
          <w:rFonts w:ascii="Arial" w:hAnsi="Arial" w:cs="Arial"/>
          <w:sz w:val="20"/>
          <w:szCs w:val="20"/>
          <w:lang w:val="en-GB"/>
        </w:rPr>
        <w:t>wistar</w:t>
      </w:r>
      <w:proofErr w:type="spellEnd"/>
      <w:r w:rsidRPr="00CB14C3">
        <w:rPr>
          <w:rFonts w:ascii="Arial" w:hAnsi="Arial" w:cs="Arial"/>
          <w:sz w:val="20"/>
          <w:szCs w:val="20"/>
          <w:lang w:val="en-GB"/>
        </w:rPr>
        <w:t xml:space="preserve"> rats. These effects were mostly observed at a moderate dose of 250 mg/kg following a discontinuous induction of alcohol. The resulting efficacy of the crude extract of </w:t>
      </w:r>
      <w:r w:rsidRPr="00CB14C3">
        <w:rPr>
          <w:rFonts w:ascii="Arial" w:hAnsi="Arial" w:cs="Arial"/>
          <w:i/>
          <w:sz w:val="20"/>
          <w:szCs w:val="20"/>
          <w:lang w:val="en-GB"/>
        </w:rPr>
        <w:t xml:space="preserve">A. </w:t>
      </w:r>
      <w:r w:rsidR="00EB4069" w:rsidRPr="00CB14C3">
        <w:rPr>
          <w:rFonts w:ascii="Arial" w:hAnsi="Arial" w:cs="Arial"/>
          <w:i/>
          <w:sz w:val="20"/>
          <w:szCs w:val="20"/>
          <w:lang w:val="en-GB"/>
        </w:rPr>
        <w:t>spinous</w:t>
      </w:r>
      <w:r w:rsidRPr="00CB14C3">
        <w:rPr>
          <w:rFonts w:ascii="Arial" w:hAnsi="Arial" w:cs="Arial"/>
          <w:sz w:val="20"/>
          <w:szCs w:val="20"/>
          <w:lang w:val="en-GB"/>
        </w:rPr>
        <w:t xml:space="preserve"> is strongly </w:t>
      </w:r>
      <w:r w:rsidR="00C20275" w:rsidRPr="00CB14C3">
        <w:rPr>
          <w:rFonts w:ascii="Arial" w:hAnsi="Arial" w:cs="Arial"/>
          <w:sz w:val="20"/>
          <w:szCs w:val="20"/>
          <w:lang w:val="en-GB"/>
        </w:rPr>
        <w:t>influenced by</w:t>
      </w:r>
      <w:r w:rsidRPr="00CB14C3">
        <w:rPr>
          <w:rFonts w:ascii="Arial" w:hAnsi="Arial" w:cs="Arial"/>
          <w:sz w:val="20"/>
          <w:szCs w:val="20"/>
          <w:lang w:val="en-GB"/>
        </w:rPr>
        <w:t xml:space="preserve"> dosage</w:t>
      </w:r>
      <w:r w:rsidR="00C20275" w:rsidRPr="00CB14C3">
        <w:rPr>
          <w:rFonts w:ascii="Arial" w:hAnsi="Arial" w:cs="Arial"/>
          <w:sz w:val="20"/>
          <w:szCs w:val="20"/>
          <w:lang w:val="en-GB"/>
        </w:rPr>
        <w:t xml:space="preserve"> with time</w:t>
      </w:r>
      <w:r w:rsidRPr="00CB14C3">
        <w:rPr>
          <w:rFonts w:ascii="Arial" w:hAnsi="Arial" w:cs="Arial"/>
          <w:sz w:val="20"/>
          <w:szCs w:val="20"/>
          <w:lang w:val="en-GB"/>
        </w:rPr>
        <w:t xml:space="preserve">. The extracts also improve biochemical markers, including LDL, Total cholesterol, AST, ALT, and restoration of </w:t>
      </w:r>
      <w:r w:rsidR="00C20275" w:rsidRPr="00CB14C3">
        <w:rPr>
          <w:rFonts w:ascii="Arial" w:hAnsi="Arial" w:cs="Arial"/>
          <w:sz w:val="20"/>
          <w:szCs w:val="20"/>
          <w:lang w:val="en-GB"/>
        </w:rPr>
        <w:t xml:space="preserve">albumin and protein and </w:t>
      </w:r>
      <w:r w:rsidR="00EB4069" w:rsidRPr="00CB14C3">
        <w:rPr>
          <w:rFonts w:ascii="Arial" w:hAnsi="Arial" w:cs="Arial"/>
          <w:sz w:val="20"/>
          <w:szCs w:val="20"/>
          <w:lang w:val="en-GB"/>
        </w:rPr>
        <w:t>another</w:t>
      </w:r>
      <w:r w:rsidR="00C20275" w:rsidRPr="00CB14C3">
        <w:rPr>
          <w:rFonts w:ascii="Arial" w:hAnsi="Arial" w:cs="Arial"/>
          <w:sz w:val="20"/>
          <w:szCs w:val="20"/>
          <w:lang w:val="en-GB"/>
        </w:rPr>
        <w:t xml:space="preserve"> ratio inclusive. The histopathological observation </w:t>
      </w:r>
      <w:r w:rsidR="004F02A1" w:rsidRPr="00CB14C3">
        <w:rPr>
          <w:rFonts w:ascii="Arial" w:hAnsi="Arial" w:cs="Arial"/>
          <w:sz w:val="20"/>
          <w:szCs w:val="20"/>
          <w:lang w:val="en-GB"/>
        </w:rPr>
        <w:t>corroborates</w:t>
      </w:r>
      <w:r w:rsidR="00C20275" w:rsidRPr="00CB14C3">
        <w:rPr>
          <w:rFonts w:ascii="Arial" w:hAnsi="Arial" w:cs="Arial"/>
          <w:sz w:val="20"/>
          <w:szCs w:val="20"/>
          <w:lang w:val="en-GB"/>
        </w:rPr>
        <w:t xml:space="preserve"> with its protective effect on the liver. </w:t>
      </w:r>
      <w:r w:rsidR="005B1BF2" w:rsidRPr="00CB14C3">
        <w:rPr>
          <w:rFonts w:ascii="Arial" w:hAnsi="Arial" w:cs="Arial"/>
          <w:sz w:val="20"/>
          <w:szCs w:val="20"/>
          <w:lang w:val="en-GB"/>
        </w:rPr>
        <w:t>To further understand the mechanism of action of dose response with time, necessary studies on the interaction of each dose on the liver could be studied using computation methods.</w:t>
      </w:r>
    </w:p>
    <w:p w:rsidR="006E0448" w:rsidRPr="00CB14C3" w:rsidRDefault="006E0448" w:rsidP="005403F6">
      <w:pPr>
        <w:spacing w:line="360" w:lineRule="auto"/>
        <w:jc w:val="both"/>
        <w:rPr>
          <w:rFonts w:ascii="Arial" w:hAnsi="Arial" w:cs="Arial"/>
          <w:b/>
          <w:lang w:val="en-GB"/>
        </w:rPr>
      </w:pPr>
      <w:r w:rsidRPr="00CB14C3">
        <w:rPr>
          <w:rFonts w:ascii="Arial" w:hAnsi="Arial" w:cs="Arial"/>
          <w:b/>
          <w:lang w:val="en-GB"/>
        </w:rPr>
        <w:t>ETHICAL APPROVAL</w:t>
      </w:r>
    </w:p>
    <w:p w:rsidR="006E0448" w:rsidRPr="00CB14C3" w:rsidRDefault="006E0448" w:rsidP="005403F6">
      <w:pPr>
        <w:spacing w:line="360" w:lineRule="auto"/>
        <w:jc w:val="both"/>
        <w:rPr>
          <w:rFonts w:ascii="Arial" w:hAnsi="Arial" w:cs="Arial"/>
          <w:sz w:val="20"/>
          <w:szCs w:val="20"/>
          <w:lang w:val="en-GB"/>
        </w:rPr>
      </w:pPr>
      <w:r w:rsidRPr="00CB14C3">
        <w:rPr>
          <w:rFonts w:ascii="Arial" w:hAnsi="Arial" w:cs="Arial"/>
          <w:sz w:val="20"/>
          <w:szCs w:val="20"/>
          <w:lang w:val="en-GB"/>
        </w:rPr>
        <w:t xml:space="preserve">The study was approved by the Ethical Committee on </w:t>
      </w:r>
      <w:r w:rsidR="00253162" w:rsidRPr="00CB14C3">
        <w:rPr>
          <w:rFonts w:ascii="Arial" w:hAnsi="Arial" w:cs="Arial"/>
          <w:sz w:val="20"/>
          <w:szCs w:val="20"/>
          <w:lang w:val="en-GB"/>
        </w:rPr>
        <w:t xml:space="preserve">Animal </w:t>
      </w:r>
      <w:r w:rsidRPr="00CB14C3">
        <w:rPr>
          <w:rFonts w:ascii="Arial" w:hAnsi="Arial" w:cs="Arial"/>
          <w:sz w:val="20"/>
          <w:szCs w:val="20"/>
          <w:lang w:val="en-GB"/>
        </w:rPr>
        <w:t xml:space="preserve">Research of the </w:t>
      </w:r>
      <w:r w:rsidR="009734C7" w:rsidRPr="00CB14C3">
        <w:rPr>
          <w:rFonts w:ascii="Arial" w:hAnsi="Arial" w:cs="Arial"/>
          <w:sz w:val="20"/>
          <w:szCs w:val="20"/>
          <w:lang w:val="en-GB"/>
        </w:rPr>
        <w:t>Department of Environmental Health Biology</w:t>
      </w:r>
      <w:r w:rsidRPr="00CB14C3">
        <w:rPr>
          <w:rFonts w:ascii="Arial" w:hAnsi="Arial" w:cs="Arial"/>
          <w:sz w:val="20"/>
          <w:szCs w:val="20"/>
          <w:lang w:val="en-GB"/>
        </w:rPr>
        <w:t>, Federal University of Technology, Owerri, Nigeria</w:t>
      </w:r>
      <w:r w:rsidR="000107BD" w:rsidRPr="00CB14C3">
        <w:rPr>
          <w:rFonts w:ascii="Arial" w:hAnsi="Arial" w:cs="Arial"/>
          <w:sz w:val="20"/>
          <w:szCs w:val="20"/>
          <w:lang w:val="en-GB"/>
        </w:rPr>
        <w:t xml:space="preserve"> with approval number FS-26-0002</w:t>
      </w:r>
    </w:p>
    <w:p w:rsidR="005403F6" w:rsidRPr="00CB14C3" w:rsidRDefault="005403F6" w:rsidP="005403F6">
      <w:pPr>
        <w:spacing w:line="360" w:lineRule="auto"/>
        <w:jc w:val="both"/>
        <w:rPr>
          <w:rFonts w:ascii="Arial" w:hAnsi="Arial" w:cs="Arial"/>
          <w:b/>
          <w:sz w:val="20"/>
          <w:szCs w:val="20"/>
          <w:lang w:val="en-GB"/>
        </w:rPr>
      </w:pPr>
      <w:r w:rsidRPr="00CB14C3">
        <w:rPr>
          <w:rFonts w:ascii="Arial" w:hAnsi="Arial" w:cs="Arial"/>
          <w:b/>
          <w:sz w:val="20"/>
          <w:szCs w:val="20"/>
          <w:lang w:val="en-GB"/>
        </w:rPr>
        <w:t>CONFLICT OF INTEREST</w:t>
      </w:r>
    </w:p>
    <w:p w:rsidR="005403F6" w:rsidRPr="00CB14C3" w:rsidRDefault="000B5B11" w:rsidP="005403F6">
      <w:pPr>
        <w:spacing w:line="360" w:lineRule="auto"/>
        <w:jc w:val="both"/>
        <w:rPr>
          <w:rFonts w:ascii="Arial" w:hAnsi="Arial" w:cs="Arial"/>
          <w:sz w:val="20"/>
          <w:szCs w:val="20"/>
          <w:lang w:val="en-GB"/>
        </w:rPr>
      </w:pPr>
      <w:r w:rsidRPr="00CB14C3">
        <w:rPr>
          <w:rFonts w:ascii="Arial" w:hAnsi="Arial" w:cs="Arial"/>
          <w:sz w:val="20"/>
          <w:szCs w:val="20"/>
          <w:lang w:val="en-GB"/>
        </w:rPr>
        <w:t>The authors declare no conflict of interest regarding this work.</w:t>
      </w:r>
      <w:r w:rsidR="005D146E" w:rsidRPr="00CB14C3">
        <w:rPr>
          <w:rFonts w:ascii="Arial" w:hAnsi="Arial" w:cs="Arial"/>
          <w:sz w:val="20"/>
          <w:szCs w:val="20"/>
          <w:lang w:val="en-GB"/>
        </w:rPr>
        <w:t xml:space="preserve"> All findings and conclusions presented are based solely on the data obtained and </w:t>
      </w:r>
      <w:r w:rsidR="000E4EAF" w:rsidRPr="00CB14C3">
        <w:rPr>
          <w:rFonts w:ascii="Arial" w:hAnsi="Arial" w:cs="Arial"/>
          <w:sz w:val="20"/>
          <w:szCs w:val="20"/>
          <w:lang w:val="en-GB"/>
        </w:rPr>
        <w:t>analysed</w:t>
      </w:r>
      <w:r w:rsidR="005D146E" w:rsidRPr="00CB14C3">
        <w:rPr>
          <w:rFonts w:ascii="Arial" w:hAnsi="Arial" w:cs="Arial"/>
          <w:sz w:val="20"/>
          <w:szCs w:val="20"/>
          <w:lang w:val="en-GB"/>
        </w:rPr>
        <w:t xml:space="preserve"> without any influence from personal, financial, or external interest</w:t>
      </w:r>
      <w:r w:rsidR="00F119AD" w:rsidRPr="00CB14C3">
        <w:rPr>
          <w:rFonts w:ascii="Arial" w:hAnsi="Arial" w:cs="Arial"/>
          <w:sz w:val="20"/>
          <w:szCs w:val="20"/>
          <w:lang w:val="en-GB"/>
        </w:rPr>
        <w:t>.</w:t>
      </w:r>
    </w:p>
    <w:p w:rsidR="00985067" w:rsidRPr="000E4EAF" w:rsidRDefault="000E4EAF" w:rsidP="00985067">
      <w:pPr>
        <w:keepNext/>
        <w:keepLines/>
        <w:spacing w:before="120" w:after="120" w:line="360" w:lineRule="auto"/>
        <w:jc w:val="both"/>
        <w:outlineLvl w:val="1"/>
        <w:rPr>
          <w:rFonts w:ascii="Arial" w:eastAsia="Times New Roman" w:hAnsi="Arial" w:cs="Arial"/>
          <w:b/>
          <w:bCs/>
          <w:sz w:val="20"/>
          <w:szCs w:val="20"/>
          <w:lang w:val="en-GB" w:eastAsia="en-IN"/>
        </w:rPr>
      </w:pPr>
      <w:bookmarkStart w:id="3" w:name="_Hlk218867759"/>
      <w:bookmarkStart w:id="4" w:name="_Hlk219125673"/>
      <w:r w:rsidRPr="000E4EAF">
        <w:rPr>
          <w:rFonts w:ascii="Arial" w:eastAsia="Times New Roman" w:hAnsi="Arial" w:cs="Arial"/>
          <w:b/>
          <w:bCs/>
          <w:sz w:val="20"/>
          <w:szCs w:val="20"/>
          <w:lang w:val="en-GB" w:eastAsia="en-IN"/>
        </w:rPr>
        <w:lastRenderedPageBreak/>
        <w:t>DISCLAIMER (ARTIFICIAL INTELLIGENCE)</w:t>
      </w:r>
    </w:p>
    <w:p w:rsidR="00985067" w:rsidRPr="000E4EAF" w:rsidRDefault="00985067" w:rsidP="00985067">
      <w:pPr>
        <w:keepNext/>
        <w:keepLines/>
        <w:spacing w:before="120" w:after="120" w:line="360" w:lineRule="auto"/>
        <w:jc w:val="both"/>
        <w:outlineLvl w:val="1"/>
        <w:rPr>
          <w:rFonts w:ascii="Arial" w:eastAsia="Times New Roman" w:hAnsi="Arial" w:cs="Arial"/>
          <w:bCs/>
          <w:sz w:val="20"/>
          <w:szCs w:val="20"/>
          <w:lang w:val="en-GB" w:eastAsia="en-IN"/>
        </w:rPr>
      </w:pPr>
      <w:r w:rsidRPr="000E4EAF">
        <w:rPr>
          <w:rFonts w:ascii="Arial" w:eastAsia="Times New Roman" w:hAnsi="Arial" w:cs="Arial"/>
          <w:bCs/>
          <w:sz w:val="20"/>
          <w:szCs w:val="20"/>
          <w:lang w:val="en-GB" w:eastAsia="en-IN"/>
        </w:rPr>
        <w:t>Author(s) hereby declare that NO generative AI technologies such as Large Language Models (</w:t>
      </w:r>
      <w:proofErr w:type="spellStart"/>
      <w:r w:rsidRPr="000E4EAF">
        <w:rPr>
          <w:rFonts w:ascii="Arial" w:eastAsia="Times New Roman" w:hAnsi="Arial" w:cs="Arial"/>
          <w:bCs/>
          <w:sz w:val="20"/>
          <w:szCs w:val="20"/>
          <w:lang w:val="en-GB" w:eastAsia="en-IN"/>
        </w:rPr>
        <w:t>ChatGPT</w:t>
      </w:r>
      <w:proofErr w:type="spellEnd"/>
      <w:r w:rsidRPr="000E4EAF">
        <w:rPr>
          <w:rFonts w:ascii="Arial" w:eastAsia="Times New Roman" w:hAnsi="Arial" w:cs="Arial"/>
          <w:bCs/>
          <w:sz w:val="20"/>
          <w:szCs w:val="20"/>
          <w:lang w:val="en-GB" w:eastAsia="en-IN"/>
        </w:rPr>
        <w:t xml:space="preserve">, COPILOT, etc.) and text-to-image generators have been used during the writing or editing of this manuscript. </w:t>
      </w:r>
    </w:p>
    <w:bookmarkEnd w:id="3"/>
    <w:p w:rsidR="00985067" w:rsidRPr="00CB14C3" w:rsidRDefault="00985067" w:rsidP="00985067">
      <w:pPr>
        <w:spacing w:after="200" w:line="276" w:lineRule="auto"/>
        <w:rPr>
          <w:rFonts w:ascii="Calibri" w:eastAsia="Calibri" w:hAnsi="Calibri" w:cs="Times New Roman"/>
          <w:sz w:val="28"/>
          <w:lang w:val="en-GB"/>
        </w:rPr>
      </w:pPr>
    </w:p>
    <w:bookmarkEnd w:id="4"/>
    <w:p w:rsidR="007D6BB2" w:rsidRPr="00CB14C3" w:rsidRDefault="007D6BB2" w:rsidP="005403F6">
      <w:pPr>
        <w:spacing w:line="360" w:lineRule="auto"/>
        <w:jc w:val="both"/>
        <w:rPr>
          <w:rFonts w:ascii="Arial" w:hAnsi="Arial" w:cs="Arial"/>
          <w:sz w:val="20"/>
          <w:szCs w:val="20"/>
          <w:lang w:val="en-GB"/>
        </w:rPr>
      </w:pPr>
    </w:p>
    <w:p w:rsidR="005403F6" w:rsidRPr="00CB14C3" w:rsidRDefault="005403F6" w:rsidP="005403F6">
      <w:pPr>
        <w:spacing w:line="360" w:lineRule="auto"/>
        <w:jc w:val="both"/>
        <w:rPr>
          <w:rFonts w:ascii="Arial" w:hAnsi="Arial" w:cs="Arial"/>
          <w:b/>
          <w:lang w:val="en-GB"/>
        </w:rPr>
      </w:pPr>
      <w:r w:rsidRPr="00CB14C3">
        <w:rPr>
          <w:rFonts w:ascii="Arial" w:hAnsi="Arial" w:cs="Arial"/>
          <w:b/>
          <w:lang w:val="en-GB"/>
        </w:rPr>
        <w:t>REFERENCE</w:t>
      </w:r>
    </w:p>
    <w:p w:rsidR="00772C79" w:rsidRPr="00CB14C3" w:rsidRDefault="003D02DB"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0"/>
          <w:lang w:val="en-GB"/>
        </w:rPr>
        <w:fldChar w:fldCharType="begin" w:fldLock="1"/>
      </w:r>
      <w:r w:rsidR="0060469D" w:rsidRPr="00CB14C3">
        <w:rPr>
          <w:rFonts w:ascii="Arial" w:hAnsi="Arial" w:cs="Arial"/>
          <w:sz w:val="20"/>
          <w:szCs w:val="20"/>
          <w:lang w:val="en-GB"/>
        </w:rPr>
        <w:instrText xml:space="preserve">ADDIN Mendeley Bibliography CSL_BIBLIOGRAPHY </w:instrText>
      </w:r>
      <w:r w:rsidRPr="00CB14C3">
        <w:rPr>
          <w:rFonts w:ascii="Arial" w:hAnsi="Arial" w:cs="Arial"/>
          <w:sz w:val="20"/>
          <w:szCs w:val="20"/>
          <w:lang w:val="en-GB"/>
        </w:rPr>
        <w:fldChar w:fldCharType="separate"/>
      </w:r>
      <w:r w:rsidR="00772C79" w:rsidRPr="00CB14C3">
        <w:rPr>
          <w:rFonts w:ascii="Arial" w:hAnsi="Arial" w:cs="Arial"/>
          <w:sz w:val="20"/>
          <w:szCs w:val="24"/>
          <w:lang w:val="en-GB"/>
        </w:rPr>
        <w:t xml:space="preserve">Ali, S. A., Sharief, N. H., &amp; Mohamed, Y. S. (2019). Hepatoprotective Activity of Some Medicinal Plants in Sudan. In </w:t>
      </w:r>
      <w:r w:rsidR="00772C79" w:rsidRPr="00CB14C3">
        <w:rPr>
          <w:rFonts w:ascii="Arial" w:hAnsi="Arial" w:cs="Arial"/>
          <w:i/>
          <w:iCs/>
          <w:sz w:val="20"/>
          <w:szCs w:val="24"/>
          <w:lang w:val="en-GB"/>
        </w:rPr>
        <w:t>Evidence-based Complementary and Alternative Medicine</w:t>
      </w:r>
      <w:r w:rsidR="00772C79" w:rsidRPr="00CB14C3">
        <w:rPr>
          <w:rFonts w:ascii="Arial" w:hAnsi="Arial" w:cs="Arial"/>
          <w:sz w:val="20"/>
          <w:szCs w:val="24"/>
          <w:lang w:val="en-GB"/>
        </w:rPr>
        <w:t xml:space="preserve"> </w:t>
      </w:r>
      <w:r w:rsidR="00AC1B29" w:rsidRPr="00CB14C3">
        <w:rPr>
          <w:rFonts w:ascii="Arial" w:hAnsi="Arial" w:cs="Arial"/>
          <w:sz w:val="20"/>
          <w:szCs w:val="24"/>
          <w:lang w:val="en-GB"/>
        </w:rPr>
        <w:t>2019, 2196315</w:t>
      </w:r>
      <w:r w:rsidR="00772C79" w:rsidRPr="00CB14C3">
        <w:rPr>
          <w:rFonts w:ascii="Arial" w:hAnsi="Arial" w:cs="Arial"/>
          <w:sz w:val="20"/>
          <w:szCs w:val="24"/>
          <w:lang w:val="en-GB"/>
        </w:rPr>
        <w:t xml:space="preserve">.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Asadi-Samani, M., Kafash-Farkhad, N., Azimi, N., Fasihi, A., Alinia-Ahandani, E., &amp; Rafieian-Kopaei, M. (2015). Medicinal plants with hepatoprotective activity in Iranian folk medicine. In </w:t>
      </w:r>
      <w:r w:rsidRPr="00CB14C3">
        <w:rPr>
          <w:rFonts w:ascii="Arial" w:hAnsi="Arial" w:cs="Arial"/>
          <w:i/>
          <w:iCs/>
          <w:sz w:val="20"/>
          <w:szCs w:val="24"/>
          <w:lang w:val="en-GB"/>
        </w:rPr>
        <w:t>Asian Pacific Journal of Tropical Biomedicine</w:t>
      </w:r>
      <w:r w:rsidR="00AC1B29" w:rsidRPr="00CB14C3">
        <w:rPr>
          <w:rFonts w:ascii="Arial" w:hAnsi="Arial" w:cs="Arial"/>
          <w:sz w:val="20"/>
          <w:szCs w:val="24"/>
          <w:lang w:val="en-GB"/>
        </w:rPr>
        <w:t xml:space="preserve">, </w:t>
      </w:r>
      <w:r w:rsidRPr="00CB14C3">
        <w:rPr>
          <w:rFonts w:ascii="Arial" w:hAnsi="Arial" w:cs="Arial"/>
          <w:sz w:val="20"/>
          <w:szCs w:val="24"/>
          <w:lang w:val="en-GB"/>
        </w:rPr>
        <w:t>5, 146–157.</w:t>
      </w:r>
    </w:p>
    <w:p w:rsidR="00AC1B29" w:rsidRPr="00CB14C3" w:rsidRDefault="00AC1B29" w:rsidP="00772C79">
      <w:pPr>
        <w:widowControl w:val="0"/>
        <w:autoSpaceDE w:val="0"/>
        <w:autoSpaceDN w:val="0"/>
        <w:adjustRightInd w:val="0"/>
        <w:spacing w:line="360" w:lineRule="auto"/>
        <w:ind w:left="480" w:hanging="480"/>
        <w:rPr>
          <w:rFonts w:ascii="Arial" w:hAnsi="Arial" w:cs="Arial"/>
          <w:sz w:val="20"/>
          <w:szCs w:val="24"/>
          <w:lang w:val="en-GB"/>
        </w:rPr>
      </w:pP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Azoz, A., &amp; Raafat, M. (2012). Effect of Lead Toxicity on Cytogenisity, Biochemical Constituents and Tissue Residue with Protective Role of Activated Charcoal and Casein in Male Rats. </w:t>
      </w:r>
      <w:r w:rsidRPr="00CB14C3">
        <w:rPr>
          <w:rFonts w:ascii="Arial" w:hAnsi="Arial" w:cs="Arial"/>
          <w:i/>
          <w:iCs/>
          <w:sz w:val="20"/>
          <w:szCs w:val="24"/>
          <w:lang w:val="en-GB"/>
        </w:rPr>
        <w:t>Australian Journal of Basic and Applied Sciences</w:t>
      </w:r>
      <w:r w:rsidRPr="00CB14C3">
        <w:rPr>
          <w:rFonts w:ascii="Arial" w:hAnsi="Arial" w:cs="Arial"/>
          <w:sz w:val="20"/>
          <w:szCs w:val="24"/>
          <w:lang w:val="en-GB"/>
        </w:rPr>
        <w:t xml:space="preserve">, </w:t>
      </w:r>
      <w:r w:rsidRPr="00CB14C3">
        <w:rPr>
          <w:rFonts w:ascii="Arial" w:hAnsi="Arial" w:cs="Arial"/>
          <w:i/>
          <w:iCs/>
          <w:sz w:val="20"/>
          <w:szCs w:val="24"/>
          <w:lang w:val="en-GB"/>
        </w:rPr>
        <w:t>6</w:t>
      </w:r>
      <w:r w:rsidRPr="00CB14C3">
        <w:rPr>
          <w:rFonts w:ascii="Arial" w:hAnsi="Arial" w:cs="Arial"/>
          <w:sz w:val="20"/>
          <w:szCs w:val="24"/>
          <w:lang w:val="en-GB"/>
        </w:rPr>
        <w:t>(7), 497–509.</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Boekholdt, S. M., Hovingh, G. K., Mora, S., Arsenault, B. J., Amarenco, P., Pedersen, T. R., Larosa, J. C., Waters, D. D., Demicco, D. A., Simes, R. J., Keech, A. C., Colquhoun, D., Hitman, G. A., Betteridge, D. J., Clearfield, M. B., Downs, J. R., Colhoun, H. M., Gotto, A. M., Ridker, P. M., … Kastelein, J. J. P. (2014). Very low levels of atherogenic lipoproteins and risk of cardiovascular events; a meta-analysis of statin trials. </w:t>
      </w:r>
      <w:r w:rsidRPr="00CB14C3">
        <w:rPr>
          <w:rFonts w:ascii="Arial" w:hAnsi="Arial" w:cs="Arial"/>
          <w:i/>
          <w:iCs/>
          <w:sz w:val="20"/>
          <w:szCs w:val="24"/>
          <w:lang w:val="en-GB"/>
        </w:rPr>
        <w:t>Journal of the American College of Cardiology</w:t>
      </w:r>
      <w:r w:rsidRPr="00CB14C3">
        <w:rPr>
          <w:rFonts w:ascii="Arial" w:hAnsi="Arial" w:cs="Arial"/>
          <w:sz w:val="20"/>
          <w:szCs w:val="24"/>
          <w:lang w:val="en-GB"/>
        </w:rPr>
        <w:t xml:space="preserve">, </w:t>
      </w:r>
      <w:r w:rsidRPr="00CB14C3">
        <w:rPr>
          <w:rFonts w:ascii="Arial" w:hAnsi="Arial" w:cs="Arial"/>
          <w:i/>
          <w:iCs/>
          <w:sz w:val="20"/>
          <w:szCs w:val="24"/>
          <w:lang w:val="en-GB"/>
        </w:rPr>
        <w:t>64</w:t>
      </w:r>
      <w:r w:rsidRPr="00CB14C3">
        <w:rPr>
          <w:rFonts w:ascii="Arial" w:hAnsi="Arial" w:cs="Arial"/>
          <w:sz w:val="20"/>
          <w:szCs w:val="24"/>
          <w:lang w:val="en-GB"/>
        </w:rPr>
        <w:t xml:space="preserve">(5), 485.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Buzzetti, E., Kalafateli, M., Thorburn, D., Davidson, B. R., Thiele, M., Gluud, L. L., Del Giovane, C., Askgaard, G., Krag, A., Tsochatzis, E., &amp; Gurusamy, K. S. (2017). Pharmacological interventions for alcoholic liver disease (alcohol-related liver disease): An attempted network meta-analysis. In </w:t>
      </w:r>
      <w:r w:rsidRPr="00CB14C3">
        <w:rPr>
          <w:rFonts w:ascii="Arial" w:hAnsi="Arial" w:cs="Arial"/>
          <w:i/>
          <w:iCs/>
          <w:sz w:val="20"/>
          <w:szCs w:val="24"/>
          <w:lang w:val="en-GB"/>
        </w:rPr>
        <w:t>Cochrane Database of Systematic Reviews</w:t>
      </w:r>
      <w:r w:rsidR="00AC1B29" w:rsidRPr="00CB14C3">
        <w:rPr>
          <w:rFonts w:ascii="Arial" w:hAnsi="Arial" w:cs="Arial"/>
          <w:i/>
          <w:iCs/>
          <w:sz w:val="20"/>
          <w:szCs w:val="24"/>
          <w:lang w:val="en-GB"/>
        </w:rPr>
        <w:t>,</w:t>
      </w:r>
      <w:r w:rsidRPr="00CB14C3">
        <w:rPr>
          <w:rFonts w:ascii="Arial" w:hAnsi="Arial" w:cs="Arial"/>
          <w:sz w:val="20"/>
          <w:szCs w:val="24"/>
          <w:lang w:val="en-GB"/>
        </w:rPr>
        <w:t xml:space="preserve"> </w:t>
      </w:r>
      <w:r w:rsidR="00AC1B29" w:rsidRPr="00CB14C3">
        <w:rPr>
          <w:rFonts w:ascii="Arial" w:hAnsi="Arial" w:cs="Arial"/>
          <w:sz w:val="20"/>
          <w:szCs w:val="24"/>
          <w:lang w:val="en-GB"/>
        </w:rPr>
        <w:t>3(3), CD011646</w:t>
      </w:r>
      <w:r w:rsidRPr="00CB14C3">
        <w:rPr>
          <w:rFonts w:ascii="Arial" w:hAnsi="Arial" w:cs="Arial"/>
          <w:sz w:val="20"/>
          <w:szCs w:val="24"/>
          <w:lang w:val="en-GB"/>
        </w:rPr>
        <w:t xml:space="preserve">.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Ceni, E., Mello, T., &amp; Galli, A. (2014). Pathogenesis of alcoholic liver disease: Role of oxidative metabolism. </w:t>
      </w:r>
      <w:r w:rsidRPr="00CB14C3">
        <w:rPr>
          <w:rFonts w:ascii="Arial" w:hAnsi="Arial" w:cs="Arial"/>
          <w:i/>
          <w:iCs/>
          <w:sz w:val="20"/>
          <w:szCs w:val="24"/>
          <w:lang w:val="en-GB"/>
        </w:rPr>
        <w:t>World Journal of Gastroenterology</w:t>
      </w:r>
      <w:r w:rsidRPr="00CB14C3">
        <w:rPr>
          <w:rFonts w:ascii="Arial" w:hAnsi="Arial" w:cs="Arial"/>
          <w:sz w:val="20"/>
          <w:szCs w:val="24"/>
          <w:lang w:val="en-GB"/>
        </w:rPr>
        <w:t xml:space="preserve">, </w:t>
      </w:r>
      <w:r w:rsidRPr="00CB14C3">
        <w:rPr>
          <w:rFonts w:ascii="Arial" w:hAnsi="Arial" w:cs="Arial"/>
          <w:i/>
          <w:iCs/>
          <w:sz w:val="20"/>
          <w:szCs w:val="24"/>
          <w:lang w:val="en-GB"/>
        </w:rPr>
        <w:t>20</w:t>
      </w:r>
      <w:r w:rsidRPr="00CB14C3">
        <w:rPr>
          <w:rFonts w:ascii="Arial" w:hAnsi="Arial" w:cs="Arial"/>
          <w:sz w:val="20"/>
          <w:szCs w:val="24"/>
          <w:lang w:val="en-GB"/>
        </w:rPr>
        <w:t xml:space="preserve">, 17756–17772.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Chen, Y., Lei, K., Liu, Y., Liu, J., Wei, K., Guo, J., &amp; Su, Z. (2025). Metabolic Dysfunction-Associated Steatotic Liver Disease: From a Very Low-Density Lipoprotein Perspective. In </w:t>
      </w:r>
      <w:r w:rsidRPr="00CB14C3">
        <w:rPr>
          <w:rFonts w:ascii="Arial" w:hAnsi="Arial" w:cs="Arial"/>
          <w:i/>
          <w:iCs/>
          <w:sz w:val="20"/>
          <w:szCs w:val="24"/>
          <w:lang w:val="en-GB"/>
        </w:rPr>
        <w:t>Biomolecules</w:t>
      </w:r>
      <w:r w:rsidRPr="00CB14C3">
        <w:rPr>
          <w:rFonts w:ascii="Arial" w:hAnsi="Arial" w:cs="Arial"/>
          <w:sz w:val="20"/>
          <w:szCs w:val="24"/>
          <w:lang w:val="en-GB"/>
        </w:rPr>
        <w:t xml:space="preserve"> </w:t>
      </w:r>
      <w:r w:rsidR="00AC1B29" w:rsidRPr="00CB14C3">
        <w:rPr>
          <w:rFonts w:ascii="Arial" w:hAnsi="Arial" w:cs="Arial"/>
          <w:sz w:val="20"/>
          <w:szCs w:val="24"/>
          <w:lang w:val="en-GB"/>
        </w:rPr>
        <w:t>15(7)</w:t>
      </w:r>
      <w:r w:rsidRPr="00CB14C3">
        <w:rPr>
          <w:rFonts w:ascii="Arial" w:hAnsi="Arial" w:cs="Arial"/>
          <w:sz w:val="20"/>
          <w:szCs w:val="24"/>
          <w:lang w:val="en-GB"/>
        </w:rPr>
        <w:t xml:space="preserve">.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De Carlo, S., Mrizak, H., Della Valle, A., Lunerti, V., Kyratzi, M. O., Mammone, A., Lacorte, A., Keshishian, A., Li, M., Domi, E., Qin, D., Woods, L. S., Soverchia, L., Ubaldi, M., Ciccocioppo, R., &amp; </w:t>
      </w:r>
      <w:r w:rsidRPr="00CB14C3">
        <w:rPr>
          <w:rFonts w:ascii="Arial" w:hAnsi="Arial" w:cs="Arial"/>
          <w:sz w:val="20"/>
          <w:szCs w:val="24"/>
          <w:lang w:val="en-GB"/>
        </w:rPr>
        <w:lastRenderedPageBreak/>
        <w:t xml:space="preserve">Cannella, N. (2025). Predicting individual treatment response in alcohol use disorders: a reverse translational proof-of-concept study. </w:t>
      </w:r>
      <w:r w:rsidRPr="00CB14C3">
        <w:rPr>
          <w:rFonts w:ascii="Arial" w:hAnsi="Arial" w:cs="Arial"/>
          <w:i/>
          <w:iCs/>
          <w:sz w:val="20"/>
          <w:szCs w:val="24"/>
          <w:lang w:val="en-GB"/>
        </w:rPr>
        <w:t>Translational Psychiatry</w:t>
      </w:r>
      <w:r w:rsidRPr="00CB14C3">
        <w:rPr>
          <w:rFonts w:ascii="Arial" w:hAnsi="Arial" w:cs="Arial"/>
          <w:sz w:val="20"/>
          <w:szCs w:val="24"/>
          <w:lang w:val="en-GB"/>
        </w:rPr>
        <w:t xml:space="preserve">, </w:t>
      </w:r>
      <w:r w:rsidRPr="00CB14C3">
        <w:rPr>
          <w:rFonts w:ascii="Arial" w:hAnsi="Arial" w:cs="Arial"/>
          <w:i/>
          <w:iCs/>
          <w:sz w:val="20"/>
          <w:szCs w:val="24"/>
          <w:lang w:val="en-GB"/>
        </w:rPr>
        <w:t>15</w:t>
      </w:r>
      <w:r w:rsidRPr="00CB14C3">
        <w:rPr>
          <w:rFonts w:ascii="Arial" w:hAnsi="Arial" w:cs="Arial"/>
          <w:sz w:val="20"/>
          <w:szCs w:val="24"/>
          <w:lang w:val="en-GB"/>
        </w:rPr>
        <w:t xml:space="preserve">(1), 212. </w:t>
      </w:r>
    </w:p>
    <w:p w:rsidR="00B30C06"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De Oliveira e Silva, E. R., Foster, D., Harper, M. M., Seidman, C. E., Smith, J. D., Breslow, J. L., &amp; Brinton, E. A. (2000). Alcohol consumption raises HDL cholesterol levels by increasing the transport rate of apolipoproteins A-I and A-II. </w:t>
      </w:r>
      <w:r w:rsidRPr="00CB14C3">
        <w:rPr>
          <w:rFonts w:ascii="Arial" w:hAnsi="Arial" w:cs="Arial"/>
          <w:i/>
          <w:iCs/>
          <w:sz w:val="20"/>
          <w:szCs w:val="24"/>
          <w:lang w:val="en-GB"/>
        </w:rPr>
        <w:t>Circulation</w:t>
      </w:r>
      <w:r w:rsidRPr="00CB14C3">
        <w:rPr>
          <w:rFonts w:ascii="Arial" w:hAnsi="Arial" w:cs="Arial"/>
          <w:sz w:val="20"/>
          <w:szCs w:val="24"/>
          <w:lang w:val="en-GB"/>
        </w:rPr>
        <w:t xml:space="preserve">, </w:t>
      </w:r>
      <w:r w:rsidRPr="00CB14C3">
        <w:rPr>
          <w:rFonts w:ascii="Arial" w:hAnsi="Arial" w:cs="Arial"/>
          <w:i/>
          <w:iCs/>
          <w:sz w:val="20"/>
          <w:szCs w:val="24"/>
          <w:lang w:val="en-GB"/>
        </w:rPr>
        <w:t>102</w:t>
      </w:r>
      <w:r w:rsidRPr="00CB14C3">
        <w:rPr>
          <w:rFonts w:ascii="Arial" w:hAnsi="Arial" w:cs="Arial"/>
          <w:sz w:val="20"/>
          <w:szCs w:val="24"/>
          <w:lang w:val="en-GB"/>
        </w:rPr>
        <w:t>(19</w:t>
      </w:r>
      <w:r w:rsidR="00B30C06" w:rsidRPr="00CB14C3">
        <w:rPr>
          <w:rFonts w:ascii="Arial" w:hAnsi="Arial" w:cs="Arial"/>
          <w:sz w:val="20"/>
          <w:szCs w:val="24"/>
          <w:lang w:val="en-GB"/>
        </w:rPr>
        <w:t>)</w:t>
      </w:r>
      <w:r w:rsidRPr="00CB14C3">
        <w:rPr>
          <w:rFonts w:ascii="Arial" w:hAnsi="Arial" w:cs="Arial"/>
          <w:sz w:val="20"/>
          <w:szCs w:val="24"/>
          <w:lang w:val="en-GB"/>
        </w:rPr>
        <w:t xml:space="preserve">, 2347–2352.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Delgado-Montemayor, C., Cordero-Pérez, P., Salazar-Aranda, R., &amp; Waksman-Minsky, N. (2015). Models of hepatoprotective activity assessment. </w:t>
      </w:r>
      <w:r w:rsidRPr="00CB14C3">
        <w:rPr>
          <w:rFonts w:ascii="Arial" w:hAnsi="Arial" w:cs="Arial"/>
          <w:i/>
          <w:iCs/>
          <w:sz w:val="20"/>
          <w:szCs w:val="24"/>
          <w:lang w:val="en-GB"/>
        </w:rPr>
        <w:t>Medicina Universitaria</w:t>
      </w:r>
      <w:r w:rsidRPr="00CB14C3">
        <w:rPr>
          <w:rFonts w:ascii="Arial" w:hAnsi="Arial" w:cs="Arial"/>
          <w:sz w:val="20"/>
          <w:szCs w:val="24"/>
          <w:lang w:val="en-GB"/>
        </w:rPr>
        <w:t xml:space="preserve">, </w:t>
      </w:r>
      <w:r w:rsidRPr="00CB14C3">
        <w:rPr>
          <w:rFonts w:ascii="Arial" w:hAnsi="Arial" w:cs="Arial"/>
          <w:i/>
          <w:iCs/>
          <w:sz w:val="20"/>
          <w:szCs w:val="24"/>
          <w:lang w:val="en-GB"/>
        </w:rPr>
        <w:t>17</w:t>
      </w:r>
      <w:r w:rsidRPr="00CB14C3">
        <w:rPr>
          <w:rFonts w:ascii="Arial" w:hAnsi="Arial" w:cs="Arial"/>
          <w:sz w:val="20"/>
          <w:szCs w:val="24"/>
          <w:lang w:val="en-GB"/>
        </w:rPr>
        <w:t xml:space="preserve">(69), 222–228.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Dias, C., &amp; Nylandsted, J. (2021). Plasma membrane integrity in health and disease: significance and therapeutic potential. In </w:t>
      </w:r>
      <w:r w:rsidRPr="00CB14C3">
        <w:rPr>
          <w:rFonts w:ascii="Arial" w:hAnsi="Arial" w:cs="Arial"/>
          <w:i/>
          <w:iCs/>
          <w:sz w:val="20"/>
          <w:szCs w:val="24"/>
          <w:lang w:val="en-GB"/>
        </w:rPr>
        <w:t>Cell Discovery</w:t>
      </w:r>
      <w:r w:rsidRPr="00CB14C3">
        <w:rPr>
          <w:rFonts w:ascii="Arial" w:hAnsi="Arial" w:cs="Arial"/>
          <w:sz w:val="20"/>
          <w:szCs w:val="24"/>
          <w:lang w:val="en-GB"/>
        </w:rPr>
        <w:t xml:space="preserve"> </w:t>
      </w:r>
      <w:r w:rsidR="00B30C06" w:rsidRPr="00CB14C3">
        <w:rPr>
          <w:rFonts w:ascii="Arial" w:hAnsi="Arial" w:cs="Arial"/>
          <w:sz w:val="20"/>
          <w:szCs w:val="24"/>
          <w:lang w:val="en-GB"/>
        </w:rPr>
        <w:t>7(1), 4</w:t>
      </w:r>
      <w:r w:rsidRPr="00CB14C3">
        <w:rPr>
          <w:rFonts w:ascii="Arial" w:hAnsi="Arial" w:cs="Arial"/>
          <w:sz w:val="20"/>
          <w:szCs w:val="24"/>
          <w:lang w:val="en-GB"/>
        </w:rPr>
        <w:t xml:space="preserve">.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Ding, R. B., Tian, K., Huang, L. L., He, C. W., Jiang, Y., Wang, Y. T., &amp; Wan, J. B. (2012). Herbal medicines for the prevention of alcoholic liver disease: A review. In </w:t>
      </w:r>
      <w:r w:rsidRPr="00CB14C3">
        <w:rPr>
          <w:rFonts w:ascii="Arial" w:hAnsi="Arial" w:cs="Arial"/>
          <w:i/>
          <w:iCs/>
          <w:sz w:val="20"/>
          <w:szCs w:val="24"/>
          <w:lang w:val="en-GB"/>
        </w:rPr>
        <w:t>Journal of Ethnopharmacology</w:t>
      </w:r>
      <w:r w:rsidRPr="00CB14C3">
        <w:rPr>
          <w:rFonts w:ascii="Arial" w:hAnsi="Arial" w:cs="Arial"/>
          <w:sz w:val="20"/>
          <w:szCs w:val="24"/>
          <w:lang w:val="en-GB"/>
        </w:rPr>
        <w:t xml:space="preserve"> 144, 457–465.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Duran, E. K., Aday, A. W., Cook, N. R., Buring, J. E., Ridker, P. M., &amp; Pradhan, A. D. (2020). Triglyceride-Rich Lipoprotein Cholesterol, Small Dense LDL Cholesterol, and Incident Cardiovascular Disease. </w:t>
      </w:r>
      <w:r w:rsidRPr="00CB14C3">
        <w:rPr>
          <w:rFonts w:ascii="Arial" w:hAnsi="Arial" w:cs="Arial"/>
          <w:i/>
          <w:iCs/>
          <w:sz w:val="20"/>
          <w:szCs w:val="24"/>
          <w:lang w:val="en-GB"/>
        </w:rPr>
        <w:t>Journal of the American College of Cardiology</w:t>
      </w:r>
      <w:r w:rsidRPr="00CB14C3">
        <w:rPr>
          <w:rFonts w:ascii="Arial" w:hAnsi="Arial" w:cs="Arial"/>
          <w:sz w:val="20"/>
          <w:szCs w:val="24"/>
          <w:lang w:val="en-GB"/>
        </w:rPr>
        <w:t xml:space="preserve">, </w:t>
      </w:r>
      <w:r w:rsidRPr="00CB14C3">
        <w:rPr>
          <w:rFonts w:ascii="Arial" w:hAnsi="Arial" w:cs="Arial"/>
          <w:i/>
          <w:iCs/>
          <w:sz w:val="20"/>
          <w:szCs w:val="24"/>
          <w:lang w:val="en-GB"/>
        </w:rPr>
        <w:t>75</w:t>
      </w:r>
      <w:r w:rsidRPr="00CB14C3">
        <w:rPr>
          <w:rFonts w:ascii="Arial" w:hAnsi="Arial" w:cs="Arial"/>
          <w:sz w:val="20"/>
          <w:szCs w:val="24"/>
          <w:lang w:val="en-GB"/>
        </w:rPr>
        <w:t xml:space="preserve">(17), 2122–2135.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Ejiofor, E. U., Oyedemi, S. O., Onoja, S. O., &amp; Omeh, N. Y. (2022). Amaranthus hybridus Linn. leaf extract ameliorates oxidative stress and hepatic damage abnormalities induced by thioacetamide in rats. </w:t>
      </w:r>
      <w:r w:rsidRPr="00CB14C3">
        <w:rPr>
          <w:rFonts w:ascii="Arial" w:hAnsi="Arial" w:cs="Arial"/>
          <w:i/>
          <w:iCs/>
          <w:sz w:val="20"/>
          <w:szCs w:val="24"/>
          <w:lang w:val="en-GB"/>
        </w:rPr>
        <w:t>South African Journal of Botany</w:t>
      </w:r>
      <w:r w:rsidRPr="00CB14C3">
        <w:rPr>
          <w:rFonts w:ascii="Arial" w:hAnsi="Arial" w:cs="Arial"/>
          <w:sz w:val="20"/>
          <w:szCs w:val="24"/>
          <w:lang w:val="en-GB"/>
        </w:rPr>
        <w:t xml:space="preserve">, </w:t>
      </w:r>
      <w:r w:rsidRPr="00CB14C3">
        <w:rPr>
          <w:rFonts w:ascii="Arial" w:hAnsi="Arial" w:cs="Arial"/>
          <w:i/>
          <w:iCs/>
          <w:sz w:val="20"/>
          <w:szCs w:val="24"/>
          <w:lang w:val="en-GB"/>
        </w:rPr>
        <w:t>146</w:t>
      </w:r>
      <w:r w:rsidRPr="00CB14C3">
        <w:rPr>
          <w:rFonts w:ascii="Arial" w:hAnsi="Arial" w:cs="Arial"/>
          <w:sz w:val="20"/>
          <w:szCs w:val="24"/>
          <w:lang w:val="en-GB"/>
        </w:rPr>
        <w:t>, 213–221.</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Elsheshtawy, N. E., Abdelhamid, F. M., Risha, E. F., Mahgoub, H. A., Ateya, A. I., &amp; El-Boshy, M. E. (2025). Lagerstroemia Speciosa (L.) Pers mitigates acetaminophen-induced acute liver toxicity in rats through modulations of oxidative stress, inflammation, apoptosis and the NF-κB/TNF-α/iNOS, Nrf2/HO-1, signaling pathways. </w:t>
      </w:r>
      <w:r w:rsidRPr="00CB14C3">
        <w:rPr>
          <w:rFonts w:ascii="Arial" w:hAnsi="Arial" w:cs="Arial"/>
          <w:i/>
          <w:iCs/>
          <w:sz w:val="20"/>
          <w:szCs w:val="24"/>
          <w:lang w:val="en-GB"/>
        </w:rPr>
        <w:t>Journal of Molecular Histology</w:t>
      </w:r>
      <w:r w:rsidR="00B30C06" w:rsidRPr="00CB14C3">
        <w:rPr>
          <w:rFonts w:ascii="Arial" w:hAnsi="Arial" w:cs="Arial"/>
          <w:i/>
          <w:iCs/>
          <w:sz w:val="20"/>
          <w:szCs w:val="24"/>
          <w:lang w:val="en-GB"/>
        </w:rPr>
        <w:t>,</w:t>
      </w:r>
      <w:r w:rsidRPr="00CB14C3">
        <w:rPr>
          <w:rFonts w:ascii="Arial" w:hAnsi="Arial" w:cs="Arial"/>
          <w:i/>
          <w:iCs/>
          <w:sz w:val="20"/>
          <w:szCs w:val="24"/>
          <w:lang w:val="en-GB"/>
        </w:rPr>
        <w:t xml:space="preserve"> 56:4</w:t>
      </w:r>
      <w:r w:rsidRPr="00CB14C3">
        <w:rPr>
          <w:rFonts w:ascii="Arial" w:hAnsi="Arial" w:cs="Arial"/>
          <w:sz w:val="20"/>
          <w:szCs w:val="24"/>
          <w:lang w:val="en-GB"/>
        </w:rPr>
        <w:t xml:space="preserve">, </w:t>
      </w:r>
      <w:r w:rsidRPr="00CB14C3">
        <w:rPr>
          <w:rFonts w:ascii="Arial" w:hAnsi="Arial" w:cs="Arial"/>
          <w:i/>
          <w:iCs/>
          <w:sz w:val="20"/>
          <w:szCs w:val="24"/>
          <w:lang w:val="en-GB"/>
        </w:rPr>
        <w:t>56</w:t>
      </w:r>
      <w:r w:rsidRPr="00CB14C3">
        <w:rPr>
          <w:rFonts w:ascii="Arial" w:hAnsi="Arial" w:cs="Arial"/>
          <w:sz w:val="20"/>
          <w:szCs w:val="24"/>
          <w:lang w:val="en-GB"/>
        </w:rPr>
        <w:t xml:space="preserve">(4), 1–20.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Firoozichahak, A., Rahimnejad, S., Rahmani, A., Parvizimehr, A., Aghaei, A., &amp; Rahimpoor, R. (2022). Effect of occupational exposure to lead on serum levels of lipid profile and liver enzymes: An occupational cohort study. </w:t>
      </w:r>
      <w:r w:rsidRPr="00CB14C3">
        <w:rPr>
          <w:rFonts w:ascii="Arial" w:hAnsi="Arial" w:cs="Arial"/>
          <w:i/>
          <w:iCs/>
          <w:sz w:val="20"/>
          <w:szCs w:val="24"/>
          <w:lang w:val="en-GB"/>
        </w:rPr>
        <w:t>Toxicology Reports</w:t>
      </w:r>
      <w:r w:rsidRPr="00CB14C3">
        <w:rPr>
          <w:rFonts w:ascii="Arial" w:hAnsi="Arial" w:cs="Arial"/>
          <w:sz w:val="20"/>
          <w:szCs w:val="24"/>
          <w:lang w:val="en-GB"/>
        </w:rPr>
        <w:t xml:space="preserve">, </w:t>
      </w:r>
      <w:r w:rsidRPr="00CB14C3">
        <w:rPr>
          <w:rFonts w:ascii="Arial" w:hAnsi="Arial" w:cs="Arial"/>
          <w:i/>
          <w:iCs/>
          <w:sz w:val="20"/>
          <w:szCs w:val="24"/>
          <w:lang w:val="en-GB"/>
        </w:rPr>
        <w:t>9</w:t>
      </w:r>
      <w:r w:rsidRPr="00CB14C3">
        <w:rPr>
          <w:rFonts w:ascii="Arial" w:hAnsi="Arial" w:cs="Arial"/>
          <w:sz w:val="20"/>
          <w:szCs w:val="24"/>
          <w:lang w:val="en-GB"/>
        </w:rPr>
        <w:t xml:space="preserve">, 269–275.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Fleenor, L. M., Beavers, J. R., Tidwell, W. P., Atchison, L., Woo, E., Medvecz, A. J., Beyene, R. T., Kast, K., Marcovitz, D., Dennis, B. M., Guillamondegui, O. D., &amp; Smith, M. C. (2024). Comparison of phenobarbital monotherapy to a benzodiazepine-based regimen for management of alcohol withdrawal syndrome in trauma patients. </w:t>
      </w:r>
      <w:r w:rsidRPr="00CB14C3">
        <w:rPr>
          <w:rFonts w:ascii="Arial" w:hAnsi="Arial" w:cs="Arial"/>
          <w:i/>
          <w:iCs/>
          <w:sz w:val="20"/>
          <w:szCs w:val="24"/>
          <w:lang w:val="en-GB"/>
        </w:rPr>
        <w:t>Journal of Trauma and Acute Care Surgery</w:t>
      </w:r>
      <w:r w:rsidRPr="00CB14C3">
        <w:rPr>
          <w:rFonts w:ascii="Arial" w:hAnsi="Arial" w:cs="Arial"/>
          <w:sz w:val="20"/>
          <w:szCs w:val="24"/>
          <w:lang w:val="en-GB"/>
        </w:rPr>
        <w:t xml:space="preserve">, </w:t>
      </w:r>
      <w:r w:rsidRPr="00CB14C3">
        <w:rPr>
          <w:rFonts w:ascii="Arial" w:hAnsi="Arial" w:cs="Arial"/>
          <w:i/>
          <w:iCs/>
          <w:sz w:val="20"/>
          <w:szCs w:val="24"/>
          <w:lang w:val="en-GB"/>
        </w:rPr>
        <w:t>96</w:t>
      </w:r>
      <w:r w:rsidRPr="00CB14C3">
        <w:rPr>
          <w:rFonts w:ascii="Arial" w:hAnsi="Arial" w:cs="Arial"/>
          <w:sz w:val="20"/>
          <w:szCs w:val="24"/>
          <w:lang w:val="en-GB"/>
        </w:rPr>
        <w:t xml:space="preserve">, 493–498.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Ganjare, A., &amp; Raut, N. (2019). Nutritional and medicinal potential of Amaranthus spinosus. </w:t>
      </w:r>
      <w:r w:rsidRPr="00CB14C3">
        <w:rPr>
          <w:rFonts w:ascii="Arial" w:hAnsi="Arial" w:cs="Arial"/>
          <w:i/>
          <w:iCs/>
          <w:sz w:val="20"/>
          <w:szCs w:val="24"/>
          <w:lang w:val="en-GB"/>
        </w:rPr>
        <w:t>Journal of Pharmacognosy and Phytochemistry</w:t>
      </w:r>
      <w:r w:rsidRPr="00CB14C3">
        <w:rPr>
          <w:rFonts w:ascii="Arial" w:hAnsi="Arial" w:cs="Arial"/>
          <w:sz w:val="20"/>
          <w:szCs w:val="24"/>
          <w:lang w:val="en-GB"/>
        </w:rPr>
        <w:t xml:space="preserve">, </w:t>
      </w:r>
      <w:r w:rsidRPr="00CB14C3">
        <w:rPr>
          <w:rFonts w:ascii="Arial" w:hAnsi="Arial" w:cs="Arial"/>
          <w:i/>
          <w:iCs/>
          <w:sz w:val="20"/>
          <w:szCs w:val="24"/>
          <w:lang w:val="en-GB"/>
        </w:rPr>
        <w:t>8</w:t>
      </w:r>
      <w:r w:rsidRPr="00CB14C3">
        <w:rPr>
          <w:rFonts w:ascii="Arial" w:hAnsi="Arial" w:cs="Arial"/>
          <w:sz w:val="20"/>
          <w:szCs w:val="24"/>
          <w:lang w:val="en-GB"/>
        </w:rPr>
        <w:t>(3), 3149–3156.</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Ghani, Z. A., Qaddori, H., &amp; Al-Mayah, Q. (2023). Triglyceride/high-density lipoprotein ratio as a predictor </w:t>
      </w:r>
      <w:r w:rsidRPr="00CB14C3">
        <w:rPr>
          <w:rFonts w:ascii="Arial" w:hAnsi="Arial" w:cs="Arial"/>
          <w:sz w:val="20"/>
          <w:szCs w:val="24"/>
          <w:lang w:val="en-GB"/>
        </w:rPr>
        <w:lastRenderedPageBreak/>
        <w:t xml:space="preserve">for insulin resistance in a sample of healthy Iraqi adults. </w:t>
      </w:r>
      <w:r w:rsidRPr="00CB14C3">
        <w:rPr>
          <w:rFonts w:ascii="Arial" w:hAnsi="Arial" w:cs="Arial"/>
          <w:i/>
          <w:iCs/>
          <w:sz w:val="20"/>
          <w:szCs w:val="24"/>
          <w:lang w:val="en-GB"/>
        </w:rPr>
        <w:t>Journal of Medicine and Life</w:t>
      </w:r>
      <w:r w:rsidRPr="00CB14C3">
        <w:rPr>
          <w:rFonts w:ascii="Arial" w:hAnsi="Arial" w:cs="Arial"/>
          <w:sz w:val="20"/>
          <w:szCs w:val="24"/>
          <w:lang w:val="en-GB"/>
        </w:rPr>
        <w:t xml:space="preserve">, </w:t>
      </w:r>
      <w:r w:rsidRPr="00CB14C3">
        <w:rPr>
          <w:rFonts w:ascii="Arial" w:hAnsi="Arial" w:cs="Arial"/>
          <w:i/>
          <w:iCs/>
          <w:sz w:val="20"/>
          <w:szCs w:val="24"/>
          <w:lang w:val="en-GB"/>
        </w:rPr>
        <w:t>16</w:t>
      </w:r>
      <w:r w:rsidRPr="00CB14C3">
        <w:rPr>
          <w:rFonts w:ascii="Arial" w:hAnsi="Arial" w:cs="Arial"/>
          <w:sz w:val="20"/>
          <w:szCs w:val="24"/>
          <w:lang w:val="en-GB"/>
        </w:rPr>
        <w:t xml:space="preserve">(5), 668.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Ginès, P., Krag, A., Abraldes, J. G., Solà, E., Fabrellas, N., &amp; Kamath, P. S. (2021). Liver cirrhosis. In </w:t>
      </w:r>
      <w:r w:rsidRPr="00CB14C3">
        <w:rPr>
          <w:rFonts w:ascii="Arial" w:hAnsi="Arial" w:cs="Arial"/>
          <w:i/>
          <w:iCs/>
          <w:sz w:val="20"/>
          <w:szCs w:val="24"/>
          <w:lang w:val="en-GB"/>
        </w:rPr>
        <w:t>The Lancet</w:t>
      </w:r>
      <w:r w:rsidR="00B30C06" w:rsidRPr="00CB14C3">
        <w:rPr>
          <w:rFonts w:ascii="Arial" w:hAnsi="Arial" w:cs="Arial"/>
          <w:i/>
          <w:iCs/>
          <w:sz w:val="20"/>
          <w:szCs w:val="24"/>
          <w:lang w:val="en-GB"/>
        </w:rPr>
        <w:t>,</w:t>
      </w:r>
      <w:r w:rsidRPr="00CB14C3">
        <w:rPr>
          <w:rFonts w:ascii="Arial" w:hAnsi="Arial" w:cs="Arial"/>
          <w:sz w:val="20"/>
          <w:szCs w:val="24"/>
          <w:lang w:val="en-GB"/>
        </w:rPr>
        <w:t xml:space="preserve"> 398, 1359–1376.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Huang, J. K., &amp; Lee, H. C. (2022). Emerging Evidence of Pathological Roles of Very-Low-Density Lipoprotein (VLDL). In </w:t>
      </w:r>
      <w:r w:rsidRPr="00CB14C3">
        <w:rPr>
          <w:rFonts w:ascii="Arial" w:hAnsi="Arial" w:cs="Arial"/>
          <w:i/>
          <w:iCs/>
          <w:sz w:val="20"/>
          <w:szCs w:val="24"/>
          <w:lang w:val="en-GB"/>
        </w:rPr>
        <w:t>International Journal of Molecular Sciences</w:t>
      </w:r>
      <w:r w:rsidRPr="00CB14C3">
        <w:rPr>
          <w:rFonts w:ascii="Arial" w:hAnsi="Arial" w:cs="Arial"/>
          <w:sz w:val="20"/>
          <w:szCs w:val="24"/>
          <w:lang w:val="en-GB"/>
        </w:rPr>
        <w:t xml:space="preserve"> </w:t>
      </w:r>
      <w:r w:rsidR="00B30C06" w:rsidRPr="00CB14C3">
        <w:rPr>
          <w:rFonts w:ascii="Arial" w:hAnsi="Arial" w:cs="Arial"/>
          <w:sz w:val="20"/>
          <w:szCs w:val="24"/>
          <w:lang w:val="en-GB"/>
        </w:rPr>
        <w:t>23(8), 4300.</w:t>
      </w:r>
      <w:r w:rsidRPr="00CB14C3">
        <w:rPr>
          <w:rFonts w:ascii="Arial" w:hAnsi="Arial" w:cs="Arial"/>
          <w:sz w:val="20"/>
          <w:szCs w:val="24"/>
          <w:lang w:val="en-GB"/>
        </w:rPr>
        <w:t xml:space="preserve">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Idalsoaga, F., Ayares, G., Díaz, L. A., Arnold, J., Ayala-Valverde, M., Hudson, D., Arrese, M., &amp; Arab, J. P. (2023). Current and emerging therapies for alcohol-associated hepatitis. In </w:t>
      </w:r>
      <w:r w:rsidRPr="00CB14C3">
        <w:rPr>
          <w:rFonts w:ascii="Arial" w:hAnsi="Arial" w:cs="Arial"/>
          <w:i/>
          <w:iCs/>
          <w:sz w:val="20"/>
          <w:szCs w:val="24"/>
          <w:lang w:val="en-GB"/>
        </w:rPr>
        <w:t>Liver Research</w:t>
      </w:r>
      <w:r w:rsidR="00B30C06" w:rsidRPr="00CB14C3">
        <w:rPr>
          <w:rFonts w:ascii="Arial" w:hAnsi="Arial" w:cs="Arial"/>
          <w:sz w:val="20"/>
          <w:szCs w:val="24"/>
          <w:lang w:val="en-GB"/>
        </w:rPr>
        <w:t>,</w:t>
      </w:r>
      <w:r w:rsidRPr="00CB14C3">
        <w:rPr>
          <w:rFonts w:ascii="Arial" w:hAnsi="Arial" w:cs="Arial"/>
          <w:sz w:val="20"/>
          <w:szCs w:val="24"/>
          <w:lang w:val="en-GB"/>
        </w:rPr>
        <w:t xml:space="preserve"> 7, 35–46.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Iloki-Assanga, S. B., Lewis-Luján, L. M., Lara-Espinoza, C. L., Gil-Salido, A. A., Fernandez-Angulo, D., Rubio-Pino, J. L., &amp; Haines, D. D. (2015). Solvent effects on phytochemical constituent profiles and antioxidant activities, using four different extraction formulations for analysis of Bucida buceras L. and Phoradendron californicum Complementary and Alternative Medicine. </w:t>
      </w:r>
      <w:r w:rsidRPr="00CB14C3">
        <w:rPr>
          <w:rFonts w:ascii="Arial" w:hAnsi="Arial" w:cs="Arial"/>
          <w:i/>
          <w:iCs/>
          <w:sz w:val="20"/>
          <w:szCs w:val="24"/>
          <w:lang w:val="en-GB"/>
        </w:rPr>
        <w:t>BMC Research Notes</w:t>
      </w:r>
      <w:r w:rsidRPr="00CB14C3">
        <w:rPr>
          <w:rFonts w:ascii="Arial" w:hAnsi="Arial" w:cs="Arial"/>
          <w:sz w:val="20"/>
          <w:szCs w:val="24"/>
          <w:lang w:val="en-GB"/>
        </w:rPr>
        <w:t xml:space="preserve">, </w:t>
      </w:r>
      <w:r w:rsidRPr="00CB14C3">
        <w:rPr>
          <w:rFonts w:ascii="Arial" w:hAnsi="Arial" w:cs="Arial"/>
          <w:i/>
          <w:iCs/>
          <w:sz w:val="20"/>
          <w:szCs w:val="24"/>
          <w:lang w:val="en-GB"/>
        </w:rPr>
        <w:t>8</w:t>
      </w:r>
      <w:r w:rsidRPr="00CB14C3">
        <w:rPr>
          <w:rFonts w:ascii="Arial" w:hAnsi="Arial" w:cs="Arial"/>
          <w:sz w:val="20"/>
          <w:szCs w:val="24"/>
          <w:lang w:val="en-GB"/>
        </w:rPr>
        <w:t xml:space="preserve">(1), 1–14.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Jeong, W. Il, Park, O., &amp; Gao, B. (2008). Abrogation of the Antifibrotic Effects of Natural Killer Cells/Interferon-γ Contributes to Alcohol Acceleration of Liver Fibrosis. </w:t>
      </w:r>
      <w:r w:rsidRPr="00CB14C3">
        <w:rPr>
          <w:rFonts w:ascii="Arial" w:hAnsi="Arial" w:cs="Arial"/>
          <w:i/>
          <w:iCs/>
          <w:sz w:val="20"/>
          <w:szCs w:val="24"/>
          <w:lang w:val="en-GB"/>
        </w:rPr>
        <w:t>Gastroenterology</w:t>
      </w:r>
      <w:r w:rsidRPr="00CB14C3">
        <w:rPr>
          <w:rFonts w:ascii="Arial" w:hAnsi="Arial" w:cs="Arial"/>
          <w:sz w:val="20"/>
          <w:szCs w:val="24"/>
          <w:lang w:val="en-GB"/>
        </w:rPr>
        <w:t xml:space="preserve">, </w:t>
      </w:r>
      <w:r w:rsidRPr="00CB14C3">
        <w:rPr>
          <w:rFonts w:ascii="Arial" w:hAnsi="Arial" w:cs="Arial"/>
          <w:i/>
          <w:iCs/>
          <w:sz w:val="20"/>
          <w:szCs w:val="24"/>
          <w:lang w:val="en-GB"/>
        </w:rPr>
        <w:t>134</w:t>
      </w:r>
      <w:r w:rsidRPr="00CB14C3">
        <w:rPr>
          <w:rFonts w:ascii="Arial" w:hAnsi="Arial" w:cs="Arial"/>
          <w:sz w:val="20"/>
          <w:szCs w:val="24"/>
          <w:lang w:val="en-GB"/>
        </w:rPr>
        <w:t xml:space="preserve">, 248–258.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Jiang, Y., Zhang, L., &amp; Gu, Z. (2025). LDL-C/HDL-C ratio as a predictor of atherosclerosis in the Japanese population: insights from a cross-sectional study. </w:t>
      </w:r>
      <w:r w:rsidRPr="00CB14C3">
        <w:rPr>
          <w:rFonts w:ascii="Arial" w:hAnsi="Arial" w:cs="Arial"/>
          <w:i/>
          <w:iCs/>
          <w:sz w:val="20"/>
          <w:szCs w:val="24"/>
          <w:lang w:val="en-GB"/>
        </w:rPr>
        <w:t>BMC Cardiovascular Disorders</w:t>
      </w:r>
      <w:r w:rsidRPr="00CB14C3">
        <w:rPr>
          <w:rFonts w:ascii="Arial" w:hAnsi="Arial" w:cs="Arial"/>
          <w:sz w:val="20"/>
          <w:szCs w:val="24"/>
          <w:lang w:val="en-GB"/>
        </w:rPr>
        <w:t xml:space="preserve">, </w:t>
      </w:r>
      <w:r w:rsidR="00B30C06" w:rsidRPr="00CB14C3">
        <w:rPr>
          <w:rFonts w:ascii="Arial" w:hAnsi="Arial" w:cs="Arial"/>
          <w:i/>
          <w:iCs/>
          <w:sz w:val="20"/>
          <w:szCs w:val="24"/>
          <w:lang w:val="en-GB"/>
        </w:rPr>
        <w:t>25(1), 333</w:t>
      </w:r>
      <w:r w:rsidRPr="00CB14C3">
        <w:rPr>
          <w:rFonts w:ascii="Arial" w:hAnsi="Arial" w:cs="Arial"/>
          <w:sz w:val="20"/>
          <w:szCs w:val="24"/>
          <w:lang w:val="en-GB"/>
        </w:rPr>
        <w:t xml:space="preserve">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Krishnaveni, P., &amp; Gowda, V. M. (2015). Assessing the Validity of Friedewald’s Formula and Anandraja’s Formula For Serum LDL-Cholesterol Calculation. </w:t>
      </w:r>
      <w:r w:rsidRPr="00CB14C3">
        <w:rPr>
          <w:rFonts w:ascii="Arial" w:hAnsi="Arial" w:cs="Arial"/>
          <w:i/>
          <w:iCs/>
          <w:sz w:val="20"/>
          <w:szCs w:val="24"/>
          <w:lang w:val="en-GB"/>
        </w:rPr>
        <w:t>Journal of Clinical and Diagnostic Research : JCDR</w:t>
      </w:r>
      <w:r w:rsidRPr="00CB14C3">
        <w:rPr>
          <w:rFonts w:ascii="Arial" w:hAnsi="Arial" w:cs="Arial"/>
          <w:sz w:val="20"/>
          <w:szCs w:val="24"/>
          <w:lang w:val="en-GB"/>
        </w:rPr>
        <w:t xml:space="preserve">, </w:t>
      </w:r>
      <w:r w:rsidRPr="00CB14C3">
        <w:rPr>
          <w:rFonts w:ascii="Arial" w:hAnsi="Arial" w:cs="Arial"/>
          <w:i/>
          <w:iCs/>
          <w:sz w:val="20"/>
          <w:szCs w:val="24"/>
          <w:lang w:val="en-GB"/>
        </w:rPr>
        <w:t>9</w:t>
      </w:r>
      <w:r w:rsidRPr="00CB14C3">
        <w:rPr>
          <w:rFonts w:ascii="Arial" w:hAnsi="Arial" w:cs="Arial"/>
          <w:sz w:val="20"/>
          <w:szCs w:val="24"/>
          <w:lang w:val="en-GB"/>
        </w:rPr>
        <w:t xml:space="preserve">, BC01-4. </w:t>
      </w:r>
    </w:p>
    <w:p w:rsidR="00B30C06"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Lee, M. J. (2023). A review of liver fibrosis and cirrhosis regression. In </w:t>
      </w:r>
      <w:r w:rsidRPr="00CB14C3">
        <w:rPr>
          <w:rFonts w:ascii="Arial" w:hAnsi="Arial" w:cs="Arial"/>
          <w:i/>
          <w:iCs/>
          <w:sz w:val="20"/>
          <w:szCs w:val="24"/>
          <w:lang w:val="en-GB"/>
        </w:rPr>
        <w:t>Journal of Pathology and Translational Medicine</w:t>
      </w:r>
      <w:r w:rsidRPr="00CB14C3">
        <w:rPr>
          <w:rFonts w:ascii="Arial" w:hAnsi="Arial" w:cs="Arial"/>
          <w:sz w:val="20"/>
          <w:szCs w:val="24"/>
          <w:lang w:val="en-GB"/>
        </w:rPr>
        <w:t xml:space="preserve"> 57,189–195. </w:t>
      </w:r>
    </w:p>
    <w:p w:rsidR="00B30C06"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Ma, Z., Zhang, B., Fan, Y., Wang, M., Kebebe, D., Li, J., &amp; Liu, Z. (2019). Traditional Chinese medicine combined with hepatic targeted drug delivery systems: A new strategy for the treatment of liver diseases. In </w:t>
      </w:r>
      <w:r w:rsidRPr="00CB14C3">
        <w:rPr>
          <w:rFonts w:ascii="Arial" w:hAnsi="Arial" w:cs="Arial"/>
          <w:i/>
          <w:iCs/>
          <w:sz w:val="20"/>
          <w:szCs w:val="24"/>
          <w:lang w:val="en-GB"/>
        </w:rPr>
        <w:t>Biomedicine and Pharmacotherapy</w:t>
      </w:r>
      <w:r w:rsidR="00B30C06" w:rsidRPr="00CB14C3">
        <w:rPr>
          <w:rFonts w:ascii="Arial" w:hAnsi="Arial" w:cs="Arial"/>
          <w:sz w:val="20"/>
          <w:szCs w:val="24"/>
          <w:lang w:val="en-GB"/>
        </w:rPr>
        <w:t>, 17, 109128</w:t>
      </w:r>
      <w:r w:rsidRPr="00CB14C3">
        <w:rPr>
          <w:rFonts w:ascii="Arial" w:hAnsi="Arial" w:cs="Arial"/>
          <w:sz w:val="20"/>
          <w:szCs w:val="24"/>
          <w:lang w:val="en-GB"/>
        </w:rPr>
        <w:t xml:space="preserve">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McPheeters, M., O’Connor, E. A., Riley, S., Kennedy, S. M., Voisin, C., Kuznacic, K., Coffey, C. P., Edlund, M. D., Bobashev, G., &amp; Jonas, D. E. (2023). Pharmacotherapy for Alcohol Use Disorder: A Systematic Review and Meta-Analysis. </w:t>
      </w:r>
      <w:r w:rsidRPr="00CB14C3">
        <w:rPr>
          <w:rFonts w:ascii="Arial" w:hAnsi="Arial" w:cs="Arial"/>
          <w:i/>
          <w:iCs/>
          <w:sz w:val="20"/>
          <w:szCs w:val="24"/>
          <w:lang w:val="en-GB"/>
        </w:rPr>
        <w:t>JAMA</w:t>
      </w:r>
      <w:r w:rsidRPr="00CB14C3">
        <w:rPr>
          <w:rFonts w:ascii="Arial" w:hAnsi="Arial" w:cs="Arial"/>
          <w:sz w:val="20"/>
          <w:szCs w:val="24"/>
          <w:lang w:val="en-GB"/>
        </w:rPr>
        <w:t xml:space="preserve">, </w:t>
      </w:r>
      <w:r w:rsidRPr="00CB14C3">
        <w:rPr>
          <w:rFonts w:ascii="Arial" w:hAnsi="Arial" w:cs="Arial"/>
          <w:i/>
          <w:iCs/>
          <w:sz w:val="20"/>
          <w:szCs w:val="24"/>
          <w:lang w:val="en-GB"/>
        </w:rPr>
        <w:t>330</w:t>
      </w:r>
      <w:r w:rsidRPr="00CB14C3">
        <w:rPr>
          <w:rFonts w:ascii="Arial" w:hAnsi="Arial" w:cs="Arial"/>
          <w:sz w:val="20"/>
          <w:szCs w:val="24"/>
          <w:lang w:val="en-GB"/>
        </w:rPr>
        <w:t>, 1653–1665.</w:t>
      </w:r>
    </w:p>
    <w:p w:rsidR="00B30C06" w:rsidRPr="00CB14C3" w:rsidRDefault="00B30C06" w:rsidP="00772C79">
      <w:pPr>
        <w:widowControl w:val="0"/>
        <w:autoSpaceDE w:val="0"/>
        <w:autoSpaceDN w:val="0"/>
        <w:adjustRightInd w:val="0"/>
        <w:spacing w:line="360" w:lineRule="auto"/>
        <w:ind w:left="480" w:hanging="480"/>
        <w:rPr>
          <w:rFonts w:ascii="Arial" w:hAnsi="Arial" w:cs="Arial"/>
          <w:sz w:val="20"/>
          <w:szCs w:val="24"/>
          <w:lang w:val="en-GB"/>
        </w:rPr>
      </w:pP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Mirkov, I., Stojković, D., Aleksandrov, A. P., Ivanov, M., Kostić, M., Glamočlija, J., &amp; Soković, M. (2020). </w:t>
      </w:r>
      <w:r w:rsidRPr="00CB14C3">
        <w:rPr>
          <w:rFonts w:ascii="Arial" w:hAnsi="Arial" w:cs="Arial"/>
          <w:sz w:val="20"/>
          <w:szCs w:val="24"/>
          <w:lang w:val="en-GB"/>
        </w:rPr>
        <w:lastRenderedPageBreak/>
        <w:t xml:space="preserve">Plant Extracts and Isolated Compounds Reduce Parameters of Oxidative Stress Induced by Heavy Metals: An up-to-Date Review on Animal Studies. </w:t>
      </w:r>
      <w:r w:rsidRPr="00CB14C3">
        <w:rPr>
          <w:rFonts w:ascii="Arial" w:hAnsi="Arial" w:cs="Arial"/>
          <w:i/>
          <w:iCs/>
          <w:sz w:val="20"/>
          <w:szCs w:val="24"/>
          <w:lang w:val="en-GB"/>
        </w:rPr>
        <w:t>Current Pharmaceutical Design</w:t>
      </w:r>
      <w:r w:rsidRPr="00CB14C3">
        <w:rPr>
          <w:rFonts w:ascii="Arial" w:hAnsi="Arial" w:cs="Arial"/>
          <w:sz w:val="20"/>
          <w:szCs w:val="24"/>
          <w:lang w:val="en-GB"/>
        </w:rPr>
        <w:t xml:space="preserve">, </w:t>
      </w:r>
      <w:r w:rsidRPr="00CB14C3">
        <w:rPr>
          <w:rFonts w:ascii="Arial" w:hAnsi="Arial" w:cs="Arial"/>
          <w:i/>
          <w:iCs/>
          <w:sz w:val="20"/>
          <w:szCs w:val="24"/>
          <w:lang w:val="en-GB"/>
        </w:rPr>
        <w:t>26</w:t>
      </w:r>
      <w:r w:rsidRPr="00CB14C3">
        <w:rPr>
          <w:rFonts w:ascii="Arial" w:hAnsi="Arial" w:cs="Arial"/>
          <w:sz w:val="20"/>
          <w:szCs w:val="24"/>
          <w:lang w:val="en-GB"/>
        </w:rPr>
        <w:t xml:space="preserve">, 1799–1815.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Müller, C. A., Geisel, O., Banas, R., &amp; Heinz, A. (2014). Current pharmacological treatment approaches for alcohol Dependence. In </w:t>
      </w:r>
      <w:r w:rsidRPr="00CB14C3">
        <w:rPr>
          <w:rFonts w:ascii="Arial" w:hAnsi="Arial" w:cs="Arial"/>
          <w:i/>
          <w:iCs/>
          <w:sz w:val="20"/>
          <w:szCs w:val="24"/>
          <w:lang w:val="en-GB"/>
        </w:rPr>
        <w:t>Expert Opinion on Pharmacotherapy</w:t>
      </w:r>
      <w:r w:rsidRPr="00CB14C3">
        <w:rPr>
          <w:rFonts w:ascii="Arial" w:hAnsi="Arial" w:cs="Arial"/>
          <w:sz w:val="20"/>
          <w:szCs w:val="24"/>
          <w:lang w:val="en-GB"/>
        </w:rPr>
        <w:t xml:space="preserve"> 15, 471–481.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Munteanu, C., &amp; Schwartz, B. (2023). The Effect of Bioactive Aliment Compounds and Micronutrients on Non-Alcoholic Fatty Liver Disease. </w:t>
      </w:r>
      <w:r w:rsidRPr="00CB14C3">
        <w:rPr>
          <w:rFonts w:ascii="Arial" w:hAnsi="Arial" w:cs="Arial"/>
          <w:i/>
          <w:iCs/>
          <w:sz w:val="20"/>
          <w:szCs w:val="24"/>
          <w:lang w:val="en-GB"/>
        </w:rPr>
        <w:t>Antioxidants</w:t>
      </w:r>
      <w:r w:rsidRPr="00CB14C3">
        <w:rPr>
          <w:rFonts w:ascii="Arial" w:hAnsi="Arial" w:cs="Arial"/>
          <w:sz w:val="20"/>
          <w:szCs w:val="24"/>
          <w:lang w:val="en-GB"/>
        </w:rPr>
        <w:t xml:space="preserve">, </w:t>
      </w:r>
      <w:r w:rsidRPr="00CB14C3">
        <w:rPr>
          <w:rFonts w:ascii="Arial" w:hAnsi="Arial" w:cs="Arial"/>
          <w:i/>
          <w:iCs/>
          <w:sz w:val="20"/>
          <w:szCs w:val="24"/>
          <w:lang w:val="en-GB"/>
        </w:rPr>
        <w:t>12</w:t>
      </w:r>
      <w:r w:rsidRPr="00CB14C3">
        <w:rPr>
          <w:rFonts w:ascii="Arial" w:hAnsi="Arial" w:cs="Arial"/>
          <w:sz w:val="20"/>
          <w:szCs w:val="24"/>
          <w:lang w:val="en-GB"/>
        </w:rPr>
        <w:t xml:space="preserve">(4), 903.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Murray, C. J., Ikuta, K. S., Sharara, F., Swetschinski, L., Robles Aguilar, G., Gray, A., Han, C., Bisignano, C., Rao, P., Wool, E., Johnson, S. C., Browne, A. J., Chipeta, M. G., Fell, F., Hackett, S., Haines-Woodhouse, G., Kashef Hamadani, B. H., Kumaran, E. A. P., McManigal, B.,  Naghavi, M. (2022). Global burden of bacterial antimicrobial resistance in 2019: a systematic analysis. </w:t>
      </w:r>
      <w:r w:rsidRPr="00CB14C3">
        <w:rPr>
          <w:rFonts w:ascii="Arial" w:hAnsi="Arial" w:cs="Arial"/>
          <w:i/>
          <w:iCs/>
          <w:sz w:val="20"/>
          <w:szCs w:val="24"/>
          <w:lang w:val="en-GB"/>
        </w:rPr>
        <w:t>The Lancet</w:t>
      </w:r>
      <w:r w:rsidRPr="00CB14C3">
        <w:rPr>
          <w:rFonts w:ascii="Arial" w:hAnsi="Arial" w:cs="Arial"/>
          <w:sz w:val="20"/>
          <w:szCs w:val="24"/>
          <w:lang w:val="en-GB"/>
        </w:rPr>
        <w:t xml:space="preserve">, </w:t>
      </w:r>
      <w:r w:rsidRPr="00CB14C3">
        <w:rPr>
          <w:rFonts w:ascii="Arial" w:hAnsi="Arial" w:cs="Arial"/>
          <w:i/>
          <w:iCs/>
          <w:sz w:val="20"/>
          <w:szCs w:val="24"/>
          <w:lang w:val="en-GB"/>
        </w:rPr>
        <w:t>399</w:t>
      </w:r>
      <w:r w:rsidRPr="00CB14C3">
        <w:rPr>
          <w:rFonts w:ascii="Arial" w:hAnsi="Arial" w:cs="Arial"/>
          <w:sz w:val="20"/>
          <w:szCs w:val="24"/>
          <w:lang w:val="en-GB"/>
        </w:rPr>
        <w:t xml:space="preserve">(10325), 629–655.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Nakamura, M. T., Yudell, B. E., &amp; Loor, J. J. (2014). Regulation of energy metabolism by long-chain fatty acids. In </w:t>
      </w:r>
      <w:r w:rsidRPr="00CB14C3">
        <w:rPr>
          <w:rFonts w:ascii="Arial" w:hAnsi="Arial" w:cs="Arial"/>
          <w:i/>
          <w:iCs/>
          <w:sz w:val="20"/>
          <w:szCs w:val="24"/>
          <w:lang w:val="en-GB"/>
        </w:rPr>
        <w:t>Progress in Lipid Research</w:t>
      </w:r>
      <w:r w:rsidR="00067B84" w:rsidRPr="00CB14C3">
        <w:rPr>
          <w:rFonts w:ascii="Arial" w:hAnsi="Arial" w:cs="Arial"/>
          <w:sz w:val="20"/>
          <w:szCs w:val="24"/>
          <w:lang w:val="en-GB"/>
        </w:rPr>
        <w:t xml:space="preserve">, </w:t>
      </w:r>
      <w:r w:rsidRPr="00CB14C3">
        <w:rPr>
          <w:rFonts w:ascii="Arial" w:hAnsi="Arial" w:cs="Arial"/>
          <w:sz w:val="20"/>
          <w:szCs w:val="24"/>
          <w:lang w:val="en-GB"/>
        </w:rPr>
        <w:t>53,</w:t>
      </w:r>
      <w:r w:rsidR="00067B84" w:rsidRPr="00CB14C3">
        <w:rPr>
          <w:rFonts w:ascii="Arial" w:hAnsi="Arial" w:cs="Arial"/>
          <w:sz w:val="20"/>
          <w:szCs w:val="24"/>
          <w:lang w:val="en-GB"/>
        </w:rPr>
        <w:t xml:space="preserve"> </w:t>
      </w:r>
      <w:r w:rsidRPr="00CB14C3">
        <w:rPr>
          <w:rFonts w:ascii="Arial" w:hAnsi="Arial" w:cs="Arial"/>
          <w:sz w:val="20"/>
          <w:szCs w:val="24"/>
          <w:lang w:val="en-GB"/>
        </w:rPr>
        <w:t xml:space="preserve">124–144.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Nwaobi, S., Khan, A., Ojemolon, P. E., Ugoh, A. C., &amp; Iheme, B. C. (2023). A Case of Hypertriglyceridemia-Induced Acute Pancreatitis in the Setting of Alcohol Abuse. </w:t>
      </w:r>
      <w:r w:rsidRPr="00CB14C3">
        <w:rPr>
          <w:rFonts w:ascii="Arial" w:hAnsi="Arial" w:cs="Arial"/>
          <w:i/>
          <w:iCs/>
          <w:sz w:val="20"/>
          <w:szCs w:val="24"/>
          <w:lang w:val="en-GB"/>
        </w:rPr>
        <w:t>Cureus</w:t>
      </w:r>
      <w:r w:rsidR="00067B84" w:rsidRPr="00CB14C3">
        <w:rPr>
          <w:rFonts w:ascii="Arial" w:hAnsi="Arial" w:cs="Arial"/>
          <w:sz w:val="20"/>
          <w:szCs w:val="24"/>
          <w:lang w:val="en-GB"/>
        </w:rPr>
        <w:t>, 15(4), e38028</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Osna, N. A., Donohue, T. M., &amp; Kharbanda, K. K. (2017). Alcoholic Liver Disease: Pathogenesis and Current Management. In </w:t>
      </w:r>
      <w:r w:rsidRPr="00CB14C3">
        <w:rPr>
          <w:rFonts w:ascii="Arial" w:hAnsi="Arial" w:cs="Arial"/>
          <w:i/>
          <w:iCs/>
          <w:sz w:val="20"/>
          <w:szCs w:val="24"/>
          <w:lang w:val="en-GB"/>
        </w:rPr>
        <w:t>Alcohol research : current reviews</w:t>
      </w:r>
      <w:r w:rsidR="00067B84" w:rsidRPr="00CB14C3">
        <w:rPr>
          <w:rFonts w:ascii="Arial" w:hAnsi="Arial" w:cs="Arial"/>
          <w:sz w:val="20"/>
          <w:szCs w:val="24"/>
          <w:lang w:val="en-GB"/>
        </w:rPr>
        <w:t xml:space="preserve">, </w:t>
      </w:r>
      <w:r w:rsidRPr="00CB14C3">
        <w:rPr>
          <w:rFonts w:ascii="Arial" w:hAnsi="Arial" w:cs="Arial"/>
          <w:sz w:val="20"/>
          <w:szCs w:val="24"/>
          <w:lang w:val="en-GB"/>
        </w:rPr>
        <w:t>38, 147–161.</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Pal, V. C., Singh, O. V., Singh, B., &amp; Ahamad, A. (2013). Pharmacognostical Studies of Amaranthus Spinosus Linn. </w:t>
      </w:r>
      <w:r w:rsidRPr="00CB14C3">
        <w:rPr>
          <w:rFonts w:ascii="Arial" w:hAnsi="Arial" w:cs="Arial"/>
          <w:i/>
          <w:iCs/>
          <w:sz w:val="20"/>
          <w:szCs w:val="24"/>
          <w:lang w:val="en-GB"/>
        </w:rPr>
        <w:t>Pharmaceutical and Biosciences Journal</w:t>
      </w:r>
      <w:r w:rsidRPr="00CB14C3">
        <w:rPr>
          <w:rFonts w:ascii="Arial" w:hAnsi="Arial" w:cs="Arial"/>
          <w:sz w:val="20"/>
          <w:szCs w:val="24"/>
          <w:lang w:val="en-GB"/>
        </w:rPr>
        <w:t xml:space="preserve">, </w:t>
      </w:r>
      <w:r w:rsidR="00067B84" w:rsidRPr="00CB14C3">
        <w:rPr>
          <w:rFonts w:ascii="Arial" w:hAnsi="Arial" w:cs="Arial"/>
          <w:sz w:val="20"/>
          <w:szCs w:val="24"/>
          <w:lang w:val="en-GB"/>
        </w:rPr>
        <w:t xml:space="preserve">pp </w:t>
      </w:r>
      <w:r w:rsidRPr="00CB14C3">
        <w:rPr>
          <w:rFonts w:ascii="Arial" w:hAnsi="Arial" w:cs="Arial"/>
          <w:sz w:val="20"/>
          <w:szCs w:val="24"/>
          <w:lang w:val="en-GB"/>
        </w:rPr>
        <w:t xml:space="preserve">32–37.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Peeriga, R., &amp; Manubolu, K. (2024). Effect of renal and hepatic diseases on pharmacokinetics. In </w:t>
      </w:r>
      <w:r w:rsidRPr="00CB14C3">
        <w:rPr>
          <w:rFonts w:ascii="Arial" w:hAnsi="Arial" w:cs="Arial"/>
          <w:i/>
          <w:iCs/>
          <w:sz w:val="20"/>
          <w:szCs w:val="24"/>
          <w:lang w:val="en-GB"/>
        </w:rPr>
        <w:t>A Short Guide to Clinical Pharmacokinetics</w:t>
      </w:r>
      <w:r w:rsidR="00067B84" w:rsidRPr="00CB14C3">
        <w:rPr>
          <w:rFonts w:ascii="Arial" w:hAnsi="Arial" w:cs="Arial"/>
          <w:sz w:val="20"/>
          <w:szCs w:val="24"/>
          <w:lang w:val="en-GB"/>
        </w:rPr>
        <w:t>,</w:t>
      </w:r>
      <w:r w:rsidRPr="00CB14C3">
        <w:rPr>
          <w:rFonts w:ascii="Arial" w:hAnsi="Arial" w:cs="Arial"/>
          <w:sz w:val="20"/>
          <w:szCs w:val="24"/>
          <w:lang w:val="en-GB"/>
        </w:rPr>
        <w:t xml:space="preserve"> </w:t>
      </w:r>
      <w:r w:rsidR="00067B84" w:rsidRPr="00CB14C3">
        <w:rPr>
          <w:rFonts w:ascii="Arial" w:hAnsi="Arial" w:cs="Arial"/>
          <w:sz w:val="20"/>
          <w:szCs w:val="24"/>
          <w:lang w:val="en-GB"/>
        </w:rPr>
        <w:t xml:space="preserve">pp </w:t>
      </w:r>
      <w:r w:rsidRPr="00CB14C3">
        <w:rPr>
          <w:rFonts w:ascii="Arial" w:hAnsi="Arial" w:cs="Arial"/>
          <w:sz w:val="20"/>
          <w:szCs w:val="24"/>
          <w:lang w:val="en-GB"/>
        </w:rPr>
        <w:t xml:space="preserve">67–95.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Qaisiya, M., Coda Zabetta, C. D., Bellarosa, C., &amp; Tiribelli, C. (2014). Bilirubin mediated oxidative stress involves antioxidant response activation via Nrf2 pathway. </w:t>
      </w:r>
      <w:r w:rsidRPr="00CB14C3">
        <w:rPr>
          <w:rFonts w:ascii="Arial" w:hAnsi="Arial" w:cs="Arial"/>
          <w:i/>
          <w:iCs/>
          <w:sz w:val="20"/>
          <w:szCs w:val="24"/>
          <w:lang w:val="en-GB"/>
        </w:rPr>
        <w:t>Cellular Signalling</w:t>
      </w:r>
      <w:r w:rsidRPr="00CB14C3">
        <w:rPr>
          <w:rFonts w:ascii="Arial" w:hAnsi="Arial" w:cs="Arial"/>
          <w:sz w:val="20"/>
          <w:szCs w:val="24"/>
          <w:lang w:val="en-GB"/>
        </w:rPr>
        <w:t xml:space="preserve">, </w:t>
      </w:r>
      <w:r w:rsidRPr="00CB14C3">
        <w:rPr>
          <w:rFonts w:ascii="Arial" w:hAnsi="Arial" w:cs="Arial"/>
          <w:i/>
          <w:iCs/>
          <w:sz w:val="20"/>
          <w:szCs w:val="24"/>
          <w:lang w:val="en-GB"/>
        </w:rPr>
        <w:t>26</w:t>
      </w:r>
      <w:r w:rsidRPr="00CB14C3">
        <w:rPr>
          <w:rFonts w:ascii="Arial" w:hAnsi="Arial" w:cs="Arial"/>
          <w:sz w:val="20"/>
          <w:szCs w:val="24"/>
          <w:lang w:val="en-GB"/>
        </w:rPr>
        <w:t xml:space="preserve">(3), 512–520.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Rojas-Chaverra, N. M., Imamura, R., Sato, H., Passioura, T., Mihara, E., Nishimura, T., Takagi, J., Suga, H., Matsumoto, K., &amp; Sakai, K. (2024). A cyclic peptide-grafted Fc with hepatocyte growth factor functionality ameliorates hepatic fibrosis in a non-alcoholic steatohepatitis mouse model. </w:t>
      </w:r>
      <w:r w:rsidRPr="00CB14C3">
        <w:rPr>
          <w:rFonts w:ascii="Arial" w:hAnsi="Arial" w:cs="Arial"/>
          <w:i/>
          <w:iCs/>
          <w:sz w:val="20"/>
          <w:szCs w:val="24"/>
          <w:lang w:val="en-GB"/>
        </w:rPr>
        <w:t>IScience</w:t>
      </w:r>
      <w:r w:rsidRPr="00CB14C3">
        <w:rPr>
          <w:rFonts w:ascii="Arial" w:hAnsi="Arial" w:cs="Arial"/>
          <w:sz w:val="20"/>
          <w:szCs w:val="24"/>
          <w:lang w:val="en-GB"/>
        </w:rPr>
        <w:t xml:space="preserve">, </w:t>
      </w:r>
      <w:r w:rsidR="00067B84" w:rsidRPr="00CB14C3">
        <w:rPr>
          <w:rFonts w:ascii="Arial" w:hAnsi="Arial" w:cs="Arial"/>
          <w:i/>
          <w:iCs/>
          <w:sz w:val="20"/>
          <w:szCs w:val="24"/>
          <w:lang w:val="en-GB"/>
        </w:rPr>
        <w:t>27(8), 110426</w:t>
      </w:r>
      <w:r w:rsidRPr="00CB14C3">
        <w:rPr>
          <w:rFonts w:ascii="Arial" w:hAnsi="Arial" w:cs="Arial"/>
          <w:sz w:val="20"/>
          <w:szCs w:val="24"/>
          <w:lang w:val="en-GB"/>
        </w:rPr>
        <w:t xml:space="preserve">.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Rouf, R., Ghosh, P., Uzzaman, M. R., Sarker, D. K., Zahura, F. T., Uddin, S. J., &amp; Muhammad, I. (2021). </w:t>
      </w:r>
      <w:bookmarkStart w:id="5" w:name="_Hlk221267991"/>
      <w:r w:rsidRPr="00CB14C3">
        <w:rPr>
          <w:rFonts w:ascii="Arial" w:hAnsi="Arial" w:cs="Arial"/>
          <w:sz w:val="20"/>
          <w:szCs w:val="24"/>
          <w:lang w:val="en-GB"/>
        </w:rPr>
        <w:t xml:space="preserve">Hepatoprotective Plants from Bangladesh: A Biophytochemical Review and Future Prospect. </w:t>
      </w:r>
      <w:bookmarkEnd w:id="5"/>
      <w:r w:rsidRPr="00CB14C3">
        <w:rPr>
          <w:rFonts w:ascii="Arial" w:hAnsi="Arial" w:cs="Arial"/>
          <w:sz w:val="20"/>
          <w:szCs w:val="24"/>
          <w:lang w:val="en-GB"/>
        </w:rPr>
        <w:t xml:space="preserve">In </w:t>
      </w:r>
      <w:r w:rsidRPr="00CB14C3">
        <w:rPr>
          <w:rFonts w:ascii="Arial" w:hAnsi="Arial" w:cs="Arial"/>
          <w:i/>
          <w:iCs/>
          <w:sz w:val="20"/>
          <w:szCs w:val="24"/>
          <w:lang w:val="en-GB"/>
        </w:rPr>
        <w:t>Evidence-based Complementary and Alternative Medicine</w:t>
      </w:r>
      <w:r w:rsidR="00067B84" w:rsidRPr="00CB14C3">
        <w:rPr>
          <w:rFonts w:ascii="Arial" w:hAnsi="Arial" w:cs="Arial"/>
          <w:sz w:val="20"/>
          <w:szCs w:val="24"/>
          <w:lang w:val="en-GB"/>
        </w:rPr>
        <w:t>,</w:t>
      </w:r>
      <w:r w:rsidR="00067B84" w:rsidRPr="00CB14C3">
        <w:rPr>
          <w:lang w:val="en-GB"/>
        </w:rPr>
        <w:t xml:space="preserve"> </w:t>
      </w:r>
      <w:r w:rsidR="00067B84" w:rsidRPr="00CB14C3">
        <w:rPr>
          <w:rFonts w:ascii="Arial" w:hAnsi="Arial" w:cs="Arial"/>
          <w:sz w:val="20"/>
          <w:szCs w:val="24"/>
          <w:lang w:val="en-GB"/>
        </w:rPr>
        <w:t>2021, 1633231.</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Ryu, T., Kim, K., Choi, S. E., Chung, K. P. S., &amp; Jeong, W. Il. (2023). New insights in the pathogenesis of </w:t>
      </w:r>
      <w:r w:rsidRPr="00CB14C3">
        <w:rPr>
          <w:rFonts w:ascii="Arial" w:hAnsi="Arial" w:cs="Arial"/>
          <w:sz w:val="20"/>
          <w:szCs w:val="24"/>
          <w:lang w:val="en-GB"/>
        </w:rPr>
        <w:lastRenderedPageBreak/>
        <w:t xml:space="preserve">alcohol-related liver disease: The metabolic, immunologic, and neurologic pathways. </w:t>
      </w:r>
      <w:r w:rsidRPr="00CB14C3">
        <w:rPr>
          <w:rFonts w:ascii="Arial" w:hAnsi="Arial" w:cs="Arial"/>
          <w:i/>
          <w:iCs/>
          <w:sz w:val="20"/>
          <w:szCs w:val="24"/>
          <w:lang w:val="en-GB"/>
        </w:rPr>
        <w:t>Liver Research</w:t>
      </w:r>
      <w:r w:rsidRPr="00CB14C3">
        <w:rPr>
          <w:rFonts w:ascii="Arial" w:hAnsi="Arial" w:cs="Arial"/>
          <w:sz w:val="20"/>
          <w:szCs w:val="24"/>
          <w:lang w:val="en-GB"/>
        </w:rPr>
        <w:t xml:space="preserve">, </w:t>
      </w:r>
      <w:r w:rsidRPr="00CB14C3">
        <w:rPr>
          <w:rFonts w:ascii="Arial" w:hAnsi="Arial" w:cs="Arial"/>
          <w:i/>
          <w:iCs/>
          <w:sz w:val="20"/>
          <w:szCs w:val="24"/>
          <w:lang w:val="en-GB"/>
        </w:rPr>
        <w:t>7</w:t>
      </w:r>
      <w:r w:rsidRPr="00CB14C3">
        <w:rPr>
          <w:rFonts w:ascii="Arial" w:hAnsi="Arial" w:cs="Arial"/>
          <w:sz w:val="20"/>
          <w:szCs w:val="24"/>
          <w:lang w:val="en-GB"/>
        </w:rPr>
        <w:t xml:space="preserve">(1), 1–8.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Sacks, F. M., &amp; Jensen, M. K. (2018). From High-Density Lipoprotein Cholesterol to Measurements of Function. </w:t>
      </w:r>
      <w:r w:rsidRPr="00CB14C3">
        <w:rPr>
          <w:rFonts w:ascii="Arial" w:hAnsi="Arial" w:cs="Arial"/>
          <w:i/>
          <w:iCs/>
          <w:sz w:val="20"/>
          <w:szCs w:val="24"/>
          <w:lang w:val="en-GB"/>
        </w:rPr>
        <w:t>Arteriosclerosis, Thrombosis, and Vascular Biology</w:t>
      </w:r>
      <w:r w:rsidR="00067B84" w:rsidRPr="00CB14C3">
        <w:rPr>
          <w:rFonts w:ascii="Arial" w:hAnsi="Arial" w:cs="Arial"/>
          <w:i/>
          <w:iCs/>
          <w:sz w:val="20"/>
          <w:szCs w:val="24"/>
          <w:lang w:val="en-GB"/>
        </w:rPr>
        <w:t>,</w:t>
      </w:r>
      <w:r w:rsidR="00067B84" w:rsidRPr="00CB14C3">
        <w:rPr>
          <w:lang w:val="en-GB"/>
        </w:rPr>
        <w:t xml:space="preserve"> </w:t>
      </w:r>
      <w:r w:rsidR="00067B84" w:rsidRPr="00CB14C3">
        <w:rPr>
          <w:rFonts w:ascii="Arial" w:hAnsi="Arial" w:cs="Arial"/>
          <w:i/>
          <w:iCs/>
          <w:sz w:val="20"/>
          <w:szCs w:val="24"/>
          <w:lang w:val="en-GB"/>
        </w:rPr>
        <w:t>38(3), 487–499</w:t>
      </w:r>
      <w:r w:rsidRPr="00CB14C3">
        <w:rPr>
          <w:rFonts w:ascii="Arial" w:hAnsi="Arial" w:cs="Arial"/>
          <w:sz w:val="20"/>
          <w:szCs w:val="24"/>
          <w:lang w:val="en-GB"/>
        </w:rPr>
        <w:t xml:space="preserve">.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Saggar, S., Mir, P. A., Kumar, N., Chawla, A., Uppal, J., Shilpa, S., &amp; Kaur, A. (2022). Traditional and Herbal Medicines: Opportunities and Challenges. </w:t>
      </w:r>
      <w:r w:rsidRPr="00CB14C3">
        <w:rPr>
          <w:rFonts w:ascii="Arial" w:hAnsi="Arial" w:cs="Arial"/>
          <w:i/>
          <w:iCs/>
          <w:sz w:val="20"/>
          <w:szCs w:val="24"/>
          <w:lang w:val="en-GB"/>
        </w:rPr>
        <w:t>Pharmacognosy Research</w:t>
      </w:r>
      <w:r w:rsidRPr="00CB14C3">
        <w:rPr>
          <w:rFonts w:ascii="Arial" w:hAnsi="Arial" w:cs="Arial"/>
          <w:sz w:val="20"/>
          <w:szCs w:val="24"/>
          <w:lang w:val="en-GB"/>
        </w:rPr>
        <w:t xml:space="preserve">, </w:t>
      </w:r>
      <w:r w:rsidRPr="00CB14C3">
        <w:rPr>
          <w:rFonts w:ascii="Arial" w:hAnsi="Arial" w:cs="Arial"/>
          <w:i/>
          <w:iCs/>
          <w:sz w:val="20"/>
          <w:szCs w:val="24"/>
          <w:lang w:val="en-GB"/>
        </w:rPr>
        <w:t>14</w:t>
      </w:r>
      <w:r w:rsidRPr="00CB14C3">
        <w:rPr>
          <w:rFonts w:ascii="Arial" w:hAnsi="Arial" w:cs="Arial"/>
          <w:sz w:val="20"/>
          <w:szCs w:val="24"/>
          <w:lang w:val="en-GB"/>
        </w:rPr>
        <w:t>(2), 107–114.</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Salau, A. K., Shehu, M. S., &amp; Bakare-Odunola, M. T. (2024). Navigating the Challenges of Integrating African Herbal Medicines: A Path to Universal Acceptance. </w:t>
      </w:r>
      <w:r w:rsidRPr="00CB14C3">
        <w:rPr>
          <w:rFonts w:ascii="Arial" w:hAnsi="Arial" w:cs="Arial"/>
          <w:i/>
          <w:iCs/>
          <w:sz w:val="20"/>
          <w:szCs w:val="24"/>
          <w:lang w:val="en-GB"/>
        </w:rPr>
        <w:t>Fountain Journal of Natural and Applied Sciences</w:t>
      </w:r>
      <w:r w:rsidRPr="00CB14C3">
        <w:rPr>
          <w:rFonts w:ascii="Arial" w:hAnsi="Arial" w:cs="Arial"/>
          <w:sz w:val="20"/>
          <w:szCs w:val="24"/>
          <w:lang w:val="en-GB"/>
        </w:rPr>
        <w:t xml:space="preserve">, </w:t>
      </w:r>
      <w:r w:rsidRPr="00CB14C3">
        <w:rPr>
          <w:rFonts w:ascii="Arial" w:hAnsi="Arial" w:cs="Arial"/>
          <w:i/>
          <w:iCs/>
          <w:sz w:val="20"/>
          <w:szCs w:val="24"/>
          <w:lang w:val="en-GB"/>
        </w:rPr>
        <w:t>13</w:t>
      </w:r>
      <w:r w:rsidRPr="00CB14C3">
        <w:rPr>
          <w:rFonts w:ascii="Arial" w:hAnsi="Arial" w:cs="Arial"/>
          <w:sz w:val="20"/>
          <w:szCs w:val="24"/>
          <w:lang w:val="en-GB"/>
        </w:rPr>
        <w:t xml:space="preserve">, 23–36.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Seitz, H. K., &amp; Stickel, F. (2006). Risk factors and mechanisms of hepatocarcinogenesis with special emphasis on alcohol and oxidative stress. In </w:t>
      </w:r>
      <w:r w:rsidRPr="00CB14C3">
        <w:rPr>
          <w:rFonts w:ascii="Arial" w:hAnsi="Arial" w:cs="Arial"/>
          <w:i/>
          <w:iCs/>
          <w:sz w:val="20"/>
          <w:szCs w:val="24"/>
          <w:lang w:val="en-GB"/>
        </w:rPr>
        <w:t>Biological chemistry</w:t>
      </w:r>
      <w:r w:rsidR="00067B84" w:rsidRPr="00CB14C3">
        <w:rPr>
          <w:rFonts w:ascii="Arial" w:hAnsi="Arial" w:cs="Arial"/>
          <w:sz w:val="20"/>
          <w:szCs w:val="24"/>
          <w:lang w:val="en-GB"/>
        </w:rPr>
        <w:t xml:space="preserve">, </w:t>
      </w:r>
      <w:r w:rsidRPr="00CB14C3">
        <w:rPr>
          <w:rFonts w:ascii="Arial" w:hAnsi="Arial" w:cs="Arial"/>
          <w:sz w:val="20"/>
          <w:szCs w:val="24"/>
          <w:lang w:val="en-GB"/>
        </w:rPr>
        <w:t>387, 349–360</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Semwal, D. K., Kumar, A., Semwal, R. B., Dadhich, N. K., Chauhan, A., &amp; Kumar, V. (2025). Glycyrrhizin (Glycyrrhizic Acid)—Pharmacological Applications and Associated Molecular Mechanisms. </w:t>
      </w:r>
      <w:r w:rsidRPr="00CB14C3">
        <w:rPr>
          <w:rFonts w:ascii="Arial" w:hAnsi="Arial" w:cs="Arial"/>
          <w:i/>
          <w:iCs/>
          <w:sz w:val="20"/>
          <w:szCs w:val="24"/>
          <w:lang w:val="en-GB"/>
        </w:rPr>
        <w:t>Drugs and Drug Candidates</w:t>
      </w:r>
      <w:r w:rsidRPr="00CB14C3">
        <w:rPr>
          <w:rFonts w:ascii="Arial" w:hAnsi="Arial" w:cs="Arial"/>
          <w:sz w:val="20"/>
          <w:szCs w:val="24"/>
          <w:lang w:val="en-GB"/>
        </w:rPr>
        <w:t xml:space="preserve">, </w:t>
      </w:r>
      <w:r w:rsidRPr="00CB14C3">
        <w:rPr>
          <w:rFonts w:ascii="Arial" w:hAnsi="Arial" w:cs="Arial"/>
          <w:i/>
          <w:iCs/>
          <w:sz w:val="20"/>
          <w:szCs w:val="24"/>
          <w:lang w:val="en-GB"/>
        </w:rPr>
        <w:t>4</w:t>
      </w:r>
      <w:r w:rsidRPr="00CB14C3">
        <w:rPr>
          <w:rFonts w:ascii="Arial" w:hAnsi="Arial" w:cs="Arial"/>
          <w:sz w:val="20"/>
          <w:szCs w:val="24"/>
          <w:lang w:val="en-GB"/>
        </w:rPr>
        <w:t xml:space="preserve">, 44.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Sendker, J., &amp; Sheridan, H. (2017). History and current status of herbal medicines. In </w:t>
      </w:r>
      <w:r w:rsidRPr="00CB14C3">
        <w:rPr>
          <w:rFonts w:ascii="Arial" w:hAnsi="Arial" w:cs="Arial"/>
          <w:i/>
          <w:iCs/>
          <w:sz w:val="20"/>
          <w:szCs w:val="24"/>
          <w:lang w:val="en-GB"/>
        </w:rPr>
        <w:t>Toxicology of Herbal Products</w:t>
      </w:r>
      <w:r w:rsidRPr="00CB14C3">
        <w:rPr>
          <w:rFonts w:ascii="Arial" w:hAnsi="Arial" w:cs="Arial"/>
          <w:sz w:val="20"/>
          <w:szCs w:val="24"/>
          <w:lang w:val="en-GB"/>
        </w:rPr>
        <w:t xml:space="preserve">  11–27.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Slevin, E., Baiocchi, L., Wu, N., Ekser, B., Sato, K., Lin, E., Ceci, L., Chen, L., Lorenzo, S. R., Xu, W., Kyritsi, K., Meadows, V., Zhou, T., Kundu, D., Han, Y., Kennedy, L., Glaser, S., Francis, H., Alpini, G., &amp; Meng, F. (2020). Kupffer Cells: Inflammation Pathways and Cell-Cell Interactions in Alcohol-Associated Liver Disease. In </w:t>
      </w:r>
      <w:r w:rsidRPr="00CB14C3">
        <w:rPr>
          <w:rFonts w:ascii="Arial" w:hAnsi="Arial" w:cs="Arial"/>
          <w:i/>
          <w:iCs/>
          <w:sz w:val="20"/>
          <w:szCs w:val="24"/>
          <w:lang w:val="en-GB"/>
        </w:rPr>
        <w:t>American Journal of Pathology</w:t>
      </w:r>
      <w:r w:rsidR="00067B84" w:rsidRPr="00CB14C3">
        <w:rPr>
          <w:rFonts w:ascii="Arial" w:hAnsi="Arial" w:cs="Arial"/>
          <w:sz w:val="20"/>
          <w:szCs w:val="24"/>
          <w:lang w:val="en-GB"/>
        </w:rPr>
        <w:t>,</w:t>
      </w:r>
      <w:r w:rsidRPr="00CB14C3">
        <w:rPr>
          <w:rFonts w:ascii="Arial" w:hAnsi="Arial" w:cs="Arial"/>
          <w:sz w:val="20"/>
          <w:szCs w:val="24"/>
          <w:lang w:val="en-GB"/>
        </w:rPr>
        <w:t xml:space="preserve">190, 2185–2193).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Srivastava, R. (2011). </w:t>
      </w:r>
      <w:r w:rsidR="00067B84" w:rsidRPr="00CB14C3">
        <w:rPr>
          <w:rFonts w:ascii="Arial" w:hAnsi="Arial" w:cs="Arial"/>
          <w:sz w:val="20"/>
          <w:szCs w:val="24"/>
          <w:lang w:val="en-GB"/>
        </w:rPr>
        <w:t>Nutritional Quality Of Some Cultivated And Wild Species Of Amaranthus L</w:t>
      </w:r>
      <w:r w:rsidRPr="00CB14C3">
        <w:rPr>
          <w:rFonts w:ascii="Arial" w:hAnsi="Arial" w:cs="Arial"/>
          <w:sz w:val="20"/>
          <w:szCs w:val="24"/>
          <w:lang w:val="en-GB"/>
        </w:rPr>
        <w:t xml:space="preserve">. </w:t>
      </w:r>
      <w:r w:rsidRPr="00CB14C3">
        <w:rPr>
          <w:rFonts w:ascii="Arial" w:hAnsi="Arial" w:cs="Arial"/>
          <w:i/>
          <w:iCs/>
          <w:sz w:val="20"/>
          <w:szCs w:val="24"/>
          <w:lang w:val="en-GB"/>
        </w:rPr>
        <w:t>International Journal of Pharmaceutical Sciences and Research</w:t>
      </w:r>
      <w:r w:rsidRPr="00CB14C3">
        <w:rPr>
          <w:rFonts w:ascii="Arial" w:hAnsi="Arial" w:cs="Arial"/>
          <w:sz w:val="20"/>
          <w:szCs w:val="24"/>
          <w:lang w:val="en-GB"/>
        </w:rPr>
        <w:t xml:space="preserve">, </w:t>
      </w:r>
      <w:r w:rsidRPr="00CB14C3">
        <w:rPr>
          <w:rFonts w:ascii="Arial" w:hAnsi="Arial" w:cs="Arial"/>
          <w:i/>
          <w:iCs/>
          <w:sz w:val="20"/>
          <w:szCs w:val="24"/>
          <w:lang w:val="en-GB"/>
        </w:rPr>
        <w:t>2</w:t>
      </w:r>
      <w:r w:rsidRPr="00CB14C3">
        <w:rPr>
          <w:rFonts w:ascii="Arial" w:hAnsi="Arial" w:cs="Arial"/>
          <w:sz w:val="20"/>
          <w:szCs w:val="24"/>
          <w:lang w:val="en-GB"/>
        </w:rPr>
        <w:t xml:space="preserve">(12), 3152–3156.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Tanmoy, G., Arijit, M., Tanushree, S., Jagadish, S., &amp; Kumar, M. T. (2014). Pharmacological actions and phytoconstituents of Amaranthus spinosus Linn: A review. </w:t>
      </w:r>
      <w:r w:rsidRPr="00CB14C3">
        <w:rPr>
          <w:rFonts w:ascii="Arial" w:hAnsi="Arial" w:cs="Arial"/>
          <w:i/>
          <w:iCs/>
          <w:sz w:val="20"/>
          <w:szCs w:val="24"/>
          <w:lang w:val="en-GB"/>
        </w:rPr>
        <w:t>International Journal of Pharmacognosy and Phytochemical Research</w:t>
      </w:r>
      <w:r w:rsidRPr="00CB14C3">
        <w:rPr>
          <w:rFonts w:ascii="Arial" w:hAnsi="Arial" w:cs="Arial"/>
          <w:sz w:val="20"/>
          <w:szCs w:val="24"/>
          <w:lang w:val="en-GB"/>
        </w:rPr>
        <w:t xml:space="preserve">, </w:t>
      </w:r>
      <w:r w:rsidRPr="00CB14C3">
        <w:rPr>
          <w:rFonts w:ascii="Arial" w:hAnsi="Arial" w:cs="Arial"/>
          <w:i/>
          <w:iCs/>
          <w:sz w:val="20"/>
          <w:szCs w:val="24"/>
          <w:lang w:val="en-GB"/>
        </w:rPr>
        <w:t>6</w:t>
      </w:r>
      <w:r w:rsidRPr="00CB14C3">
        <w:rPr>
          <w:rFonts w:ascii="Arial" w:hAnsi="Arial" w:cs="Arial"/>
          <w:sz w:val="20"/>
          <w:szCs w:val="24"/>
          <w:lang w:val="en-GB"/>
        </w:rPr>
        <w:t>(2), 405–413.</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Tarli, C., Mirijello, A., &amp; Addolorato, G. (2022). Treating Alcohol Use Disorder in Patients with Alcohol-Associated Liver Disease: Controversies in Pharmacological Therapy. </w:t>
      </w:r>
      <w:r w:rsidRPr="00CB14C3">
        <w:rPr>
          <w:rFonts w:ascii="Arial" w:hAnsi="Arial" w:cs="Arial"/>
          <w:i/>
          <w:iCs/>
          <w:sz w:val="20"/>
          <w:szCs w:val="24"/>
          <w:lang w:val="en-GB"/>
        </w:rPr>
        <w:t>Seminars in Liver Disease</w:t>
      </w:r>
      <w:r w:rsidRPr="00CB14C3">
        <w:rPr>
          <w:rFonts w:ascii="Arial" w:hAnsi="Arial" w:cs="Arial"/>
          <w:sz w:val="20"/>
          <w:szCs w:val="24"/>
          <w:lang w:val="en-GB"/>
        </w:rPr>
        <w:t xml:space="preserve">, </w:t>
      </w:r>
      <w:r w:rsidRPr="00CB14C3">
        <w:rPr>
          <w:rFonts w:ascii="Arial" w:hAnsi="Arial" w:cs="Arial"/>
          <w:i/>
          <w:iCs/>
          <w:sz w:val="20"/>
          <w:szCs w:val="24"/>
          <w:lang w:val="en-GB"/>
        </w:rPr>
        <w:t>42</w:t>
      </w:r>
      <w:r w:rsidRPr="00CB14C3">
        <w:rPr>
          <w:rFonts w:ascii="Arial" w:hAnsi="Arial" w:cs="Arial"/>
          <w:sz w:val="20"/>
          <w:szCs w:val="24"/>
          <w:lang w:val="en-GB"/>
        </w:rPr>
        <w:t xml:space="preserve">, 138–150.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Thouri, A., Chahdoura, H., El Arem, A., Omri Hichri, A., Ben Hassin, R., &amp; Achour, L. (2017). Effect of solvents extraction on phytochemical components and biological activities of Tunisian date seeds (var. Korkobbi and Arechti). </w:t>
      </w:r>
      <w:r w:rsidRPr="00CB14C3">
        <w:rPr>
          <w:rFonts w:ascii="Arial" w:hAnsi="Arial" w:cs="Arial"/>
          <w:i/>
          <w:iCs/>
          <w:sz w:val="20"/>
          <w:szCs w:val="24"/>
          <w:lang w:val="en-GB"/>
        </w:rPr>
        <w:t>BMC Complementary and Alternative Medicine</w:t>
      </w:r>
      <w:r w:rsidRPr="00CB14C3">
        <w:rPr>
          <w:rFonts w:ascii="Arial" w:hAnsi="Arial" w:cs="Arial"/>
          <w:sz w:val="20"/>
          <w:szCs w:val="24"/>
          <w:lang w:val="en-GB"/>
        </w:rPr>
        <w:t xml:space="preserve">, </w:t>
      </w:r>
      <w:r w:rsidRPr="00CB14C3">
        <w:rPr>
          <w:rFonts w:ascii="Arial" w:hAnsi="Arial" w:cs="Arial"/>
          <w:i/>
          <w:iCs/>
          <w:sz w:val="20"/>
          <w:szCs w:val="24"/>
          <w:lang w:val="en-GB"/>
        </w:rPr>
        <w:t>17</w:t>
      </w:r>
      <w:r w:rsidRPr="00CB14C3">
        <w:rPr>
          <w:rFonts w:ascii="Arial" w:hAnsi="Arial" w:cs="Arial"/>
          <w:sz w:val="20"/>
          <w:szCs w:val="24"/>
          <w:lang w:val="en-GB"/>
        </w:rPr>
        <w:t xml:space="preserve">(1), 1–10.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Welty, F. K. (2013). How Do Elevated Triglycerides and Low HDL-Cholesterol Affect Inflammation and </w:t>
      </w:r>
      <w:r w:rsidRPr="00CB14C3">
        <w:rPr>
          <w:rFonts w:ascii="Arial" w:hAnsi="Arial" w:cs="Arial"/>
          <w:sz w:val="20"/>
          <w:szCs w:val="24"/>
          <w:lang w:val="en-GB"/>
        </w:rPr>
        <w:lastRenderedPageBreak/>
        <w:t xml:space="preserve">Atherothrombosis? </w:t>
      </w:r>
      <w:r w:rsidRPr="00CB14C3">
        <w:rPr>
          <w:rFonts w:ascii="Arial" w:hAnsi="Arial" w:cs="Arial"/>
          <w:i/>
          <w:iCs/>
          <w:sz w:val="20"/>
          <w:szCs w:val="24"/>
          <w:lang w:val="en-GB"/>
        </w:rPr>
        <w:t>Current Cardiology Reports</w:t>
      </w:r>
      <w:r w:rsidRPr="00CB14C3">
        <w:rPr>
          <w:rFonts w:ascii="Arial" w:hAnsi="Arial" w:cs="Arial"/>
          <w:sz w:val="20"/>
          <w:szCs w:val="24"/>
          <w:lang w:val="en-GB"/>
        </w:rPr>
        <w:t xml:space="preserve">, </w:t>
      </w:r>
      <w:r w:rsidRPr="00CB14C3">
        <w:rPr>
          <w:rFonts w:ascii="Arial" w:hAnsi="Arial" w:cs="Arial"/>
          <w:i/>
          <w:iCs/>
          <w:sz w:val="20"/>
          <w:szCs w:val="24"/>
          <w:lang w:val="en-GB"/>
        </w:rPr>
        <w:t>15</w:t>
      </w:r>
      <w:r w:rsidRPr="00CB14C3">
        <w:rPr>
          <w:rFonts w:ascii="Arial" w:hAnsi="Arial" w:cs="Arial"/>
          <w:sz w:val="20"/>
          <w:szCs w:val="24"/>
          <w:lang w:val="en-GB"/>
        </w:rPr>
        <w:t xml:space="preserve">(9), 400.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Xia, M., Wu, Z., Wang, J., Buist-Homan, M., &amp; Moshage, H. (2023). The Coumarin-Derivative Esculetin Protects against Lipotoxicity in Primary Rat Hepatocytes via Attenuating JNK-Mediated Oxidative Stress and Attenuates Free Fatty Acid-Induced Lipid Accumulation. </w:t>
      </w:r>
      <w:r w:rsidRPr="00CB14C3">
        <w:rPr>
          <w:rFonts w:ascii="Arial" w:hAnsi="Arial" w:cs="Arial"/>
          <w:i/>
          <w:iCs/>
          <w:sz w:val="20"/>
          <w:szCs w:val="24"/>
          <w:lang w:val="en-GB"/>
        </w:rPr>
        <w:t xml:space="preserve">Antioxidants </w:t>
      </w:r>
      <w:r w:rsidRPr="00CB14C3">
        <w:rPr>
          <w:rFonts w:ascii="Arial" w:hAnsi="Arial" w:cs="Arial"/>
          <w:sz w:val="20"/>
          <w:szCs w:val="24"/>
          <w:lang w:val="en-GB"/>
        </w:rPr>
        <w:t xml:space="preserve">, </w:t>
      </w:r>
      <w:r w:rsidRPr="00CB14C3">
        <w:rPr>
          <w:rFonts w:ascii="Arial" w:hAnsi="Arial" w:cs="Arial"/>
          <w:i/>
          <w:iCs/>
          <w:sz w:val="20"/>
          <w:szCs w:val="24"/>
          <w:lang w:val="en-GB"/>
        </w:rPr>
        <w:t>12</w:t>
      </w:r>
      <w:r w:rsidRPr="00CB14C3">
        <w:rPr>
          <w:rFonts w:ascii="Arial" w:hAnsi="Arial" w:cs="Arial"/>
          <w:sz w:val="20"/>
          <w:szCs w:val="24"/>
          <w:lang w:val="en-GB"/>
        </w:rPr>
        <w:t xml:space="preserve">(11), 1922.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Yu, Y., Li, M., Huang, X., Zhou, W., Wang, T., Zhu, L., Ding, C., Tao, Y., Bao, H., &amp; Cheng, X. (2020). A U-shaped association between the LDL-cholesterol to HDL-cholesterol ratio and all-cause mortality in elderly hypertensive patients: a prospective cohort study. </w:t>
      </w:r>
      <w:r w:rsidRPr="00CB14C3">
        <w:rPr>
          <w:rFonts w:ascii="Arial" w:hAnsi="Arial" w:cs="Arial"/>
          <w:i/>
          <w:iCs/>
          <w:sz w:val="20"/>
          <w:szCs w:val="24"/>
          <w:lang w:val="en-GB"/>
        </w:rPr>
        <w:t>Lipids in Health and Disease</w:t>
      </w:r>
      <w:r w:rsidRPr="00CB14C3">
        <w:rPr>
          <w:rFonts w:ascii="Arial" w:hAnsi="Arial" w:cs="Arial"/>
          <w:sz w:val="20"/>
          <w:szCs w:val="24"/>
          <w:lang w:val="en-GB"/>
        </w:rPr>
        <w:t xml:space="preserve">, </w:t>
      </w:r>
      <w:r w:rsidRPr="00CB14C3">
        <w:rPr>
          <w:rFonts w:ascii="Arial" w:hAnsi="Arial" w:cs="Arial"/>
          <w:i/>
          <w:iCs/>
          <w:sz w:val="20"/>
          <w:szCs w:val="24"/>
          <w:lang w:val="en-GB"/>
        </w:rPr>
        <w:t>19</w:t>
      </w:r>
      <w:r w:rsidRPr="00CB14C3">
        <w:rPr>
          <w:rFonts w:ascii="Arial" w:hAnsi="Arial" w:cs="Arial"/>
          <w:sz w:val="20"/>
          <w:szCs w:val="24"/>
          <w:lang w:val="en-GB"/>
        </w:rPr>
        <w:t xml:space="preserve">(1), 238.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Zakaria, Z., Othman, Z. A., Nna, V. U., &amp; Mohamed, M. (2023). The promising roles of medicinal plants and bioactive compounds on hepatic lipid metabolism in the treatment of non-alcoholic fatty liver disease in animal models: molecular targets. In </w:t>
      </w:r>
      <w:r w:rsidRPr="00CB14C3">
        <w:rPr>
          <w:rFonts w:ascii="Arial" w:hAnsi="Arial" w:cs="Arial"/>
          <w:i/>
          <w:iCs/>
          <w:sz w:val="20"/>
          <w:szCs w:val="24"/>
          <w:lang w:val="en-GB"/>
        </w:rPr>
        <w:t>Archives of Physiology and Biochemistry</w:t>
      </w:r>
      <w:r w:rsidR="00067B84" w:rsidRPr="00CB14C3">
        <w:rPr>
          <w:rFonts w:ascii="Arial" w:hAnsi="Arial" w:cs="Arial"/>
          <w:sz w:val="20"/>
          <w:szCs w:val="24"/>
          <w:lang w:val="en-GB"/>
        </w:rPr>
        <w:t xml:space="preserve">, </w:t>
      </w:r>
      <w:r w:rsidRPr="00CB14C3">
        <w:rPr>
          <w:rFonts w:ascii="Arial" w:hAnsi="Arial" w:cs="Arial"/>
          <w:sz w:val="20"/>
          <w:szCs w:val="24"/>
          <w:lang w:val="en-GB"/>
        </w:rPr>
        <w:t xml:space="preserve">29, pp. 1262–1278.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szCs w:val="24"/>
          <w:lang w:val="en-GB"/>
        </w:rPr>
      </w:pPr>
      <w:r w:rsidRPr="00CB14C3">
        <w:rPr>
          <w:rFonts w:ascii="Arial" w:hAnsi="Arial" w:cs="Arial"/>
          <w:sz w:val="20"/>
          <w:szCs w:val="24"/>
          <w:lang w:val="en-GB"/>
        </w:rPr>
        <w:t xml:space="preserve">Zeashan, H., Amresh, G., Singh, S., &amp; Rao, C. V. (2008). Hepatoprotective activity of Amaranthus spinosus in experimental animals. </w:t>
      </w:r>
      <w:r w:rsidRPr="00CB14C3">
        <w:rPr>
          <w:rFonts w:ascii="Arial" w:hAnsi="Arial" w:cs="Arial"/>
          <w:i/>
          <w:iCs/>
          <w:sz w:val="20"/>
          <w:szCs w:val="24"/>
          <w:lang w:val="en-GB"/>
        </w:rPr>
        <w:t>Food and Chemical Toxicology</w:t>
      </w:r>
      <w:r w:rsidRPr="00CB14C3">
        <w:rPr>
          <w:rFonts w:ascii="Arial" w:hAnsi="Arial" w:cs="Arial"/>
          <w:sz w:val="20"/>
          <w:szCs w:val="24"/>
          <w:lang w:val="en-GB"/>
        </w:rPr>
        <w:t xml:space="preserve">, </w:t>
      </w:r>
      <w:r w:rsidRPr="00CB14C3">
        <w:rPr>
          <w:rFonts w:ascii="Arial" w:hAnsi="Arial" w:cs="Arial"/>
          <w:i/>
          <w:iCs/>
          <w:sz w:val="20"/>
          <w:szCs w:val="24"/>
          <w:lang w:val="en-GB"/>
        </w:rPr>
        <w:t>46</w:t>
      </w:r>
      <w:r w:rsidRPr="00CB14C3">
        <w:rPr>
          <w:rFonts w:ascii="Arial" w:hAnsi="Arial" w:cs="Arial"/>
          <w:sz w:val="20"/>
          <w:szCs w:val="24"/>
          <w:lang w:val="en-GB"/>
        </w:rPr>
        <w:t xml:space="preserve">(11), 3417–3421. </w:t>
      </w:r>
    </w:p>
    <w:p w:rsidR="00772C79" w:rsidRPr="00CB14C3" w:rsidRDefault="00772C79" w:rsidP="00772C79">
      <w:pPr>
        <w:widowControl w:val="0"/>
        <w:autoSpaceDE w:val="0"/>
        <w:autoSpaceDN w:val="0"/>
        <w:adjustRightInd w:val="0"/>
        <w:spacing w:line="360" w:lineRule="auto"/>
        <w:ind w:left="480" w:hanging="480"/>
        <w:rPr>
          <w:rFonts w:ascii="Arial" w:hAnsi="Arial" w:cs="Arial"/>
          <w:sz w:val="20"/>
          <w:lang w:val="en-GB"/>
        </w:rPr>
      </w:pPr>
      <w:r w:rsidRPr="00CB14C3">
        <w:rPr>
          <w:rFonts w:ascii="Arial" w:hAnsi="Arial" w:cs="Arial"/>
          <w:sz w:val="20"/>
          <w:szCs w:val="24"/>
          <w:lang w:val="en-GB"/>
        </w:rPr>
        <w:t xml:space="preserve">Zhao, X., Kwan, J. Y. Y., Yip, K., Liu, P. P., &amp; Liu, F. F. (2020). Targeting metabolic dysregulation for fibrosis therapy. In </w:t>
      </w:r>
      <w:r w:rsidRPr="00CB14C3">
        <w:rPr>
          <w:rFonts w:ascii="Arial" w:hAnsi="Arial" w:cs="Arial"/>
          <w:i/>
          <w:iCs/>
          <w:sz w:val="20"/>
          <w:szCs w:val="24"/>
          <w:lang w:val="en-GB"/>
        </w:rPr>
        <w:t>Nature Reviews Drug Discovery</w:t>
      </w:r>
      <w:r w:rsidRPr="00CB14C3">
        <w:rPr>
          <w:rFonts w:ascii="Arial" w:hAnsi="Arial" w:cs="Arial"/>
          <w:sz w:val="20"/>
          <w:szCs w:val="24"/>
          <w:lang w:val="en-GB"/>
        </w:rPr>
        <w:t xml:space="preserve"> (Vol. 19, pp. 57–75). Nature Research. https://doi.org/10.1038/s41573-019-0040-5</w:t>
      </w:r>
    </w:p>
    <w:p w:rsidR="00C035E3" w:rsidRPr="00CB14C3" w:rsidRDefault="003D02DB" w:rsidP="005710EA">
      <w:pPr>
        <w:spacing w:line="360" w:lineRule="auto"/>
        <w:jc w:val="both"/>
        <w:rPr>
          <w:rFonts w:ascii="Arial" w:hAnsi="Arial" w:cs="Arial"/>
          <w:sz w:val="20"/>
          <w:szCs w:val="20"/>
          <w:lang w:val="en-GB"/>
        </w:rPr>
      </w:pPr>
      <w:r w:rsidRPr="00CB14C3">
        <w:rPr>
          <w:rFonts w:ascii="Arial" w:hAnsi="Arial" w:cs="Arial"/>
          <w:sz w:val="20"/>
          <w:szCs w:val="20"/>
          <w:lang w:val="en-GB"/>
        </w:rPr>
        <w:fldChar w:fldCharType="end"/>
      </w:r>
    </w:p>
    <w:sectPr w:rsidR="00C035E3" w:rsidRPr="00CB14C3" w:rsidSect="006C3AA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4D3" w:rsidRDefault="00E604D3" w:rsidP="0060469D">
      <w:pPr>
        <w:spacing w:after="0" w:line="240" w:lineRule="auto"/>
      </w:pPr>
      <w:r>
        <w:separator/>
      </w:r>
    </w:p>
  </w:endnote>
  <w:endnote w:type="continuationSeparator" w:id="0">
    <w:p w:rsidR="00E604D3" w:rsidRDefault="00E604D3" w:rsidP="0060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4D3" w:rsidRDefault="00E604D3" w:rsidP="0060469D">
      <w:pPr>
        <w:spacing w:after="0" w:line="240" w:lineRule="auto"/>
      </w:pPr>
      <w:r>
        <w:separator/>
      </w:r>
    </w:p>
  </w:footnote>
  <w:footnote w:type="continuationSeparator" w:id="0">
    <w:p w:rsidR="00E604D3" w:rsidRDefault="00E604D3" w:rsidP="0060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644" w:rsidRDefault="00E604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644" w:rsidRDefault="00E604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644" w:rsidRDefault="00E604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E82"/>
    <w:rsid w:val="00003378"/>
    <w:rsid w:val="0000536B"/>
    <w:rsid w:val="00005379"/>
    <w:rsid w:val="0000551A"/>
    <w:rsid w:val="000068FC"/>
    <w:rsid w:val="000107BD"/>
    <w:rsid w:val="000119CF"/>
    <w:rsid w:val="00014F27"/>
    <w:rsid w:val="00020DFB"/>
    <w:rsid w:val="00022C2A"/>
    <w:rsid w:val="00023C11"/>
    <w:rsid w:val="000246F2"/>
    <w:rsid w:val="000318DD"/>
    <w:rsid w:val="000377C0"/>
    <w:rsid w:val="00040FCD"/>
    <w:rsid w:val="00041F33"/>
    <w:rsid w:val="00044A38"/>
    <w:rsid w:val="00046D2D"/>
    <w:rsid w:val="000473CB"/>
    <w:rsid w:val="00055BD3"/>
    <w:rsid w:val="00055EF3"/>
    <w:rsid w:val="00057397"/>
    <w:rsid w:val="000576D6"/>
    <w:rsid w:val="000607D3"/>
    <w:rsid w:val="00061802"/>
    <w:rsid w:val="0006603F"/>
    <w:rsid w:val="00067B84"/>
    <w:rsid w:val="000718B2"/>
    <w:rsid w:val="00073786"/>
    <w:rsid w:val="0007585D"/>
    <w:rsid w:val="000779E7"/>
    <w:rsid w:val="00081EA2"/>
    <w:rsid w:val="0008538B"/>
    <w:rsid w:val="00086E87"/>
    <w:rsid w:val="00091644"/>
    <w:rsid w:val="000950AE"/>
    <w:rsid w:val="00095226"/>
    <w:rsid w:val="00097915"/>
    <w:rsid w:val="000A2222"/>
    <w:rsid w:val="000A5EB4"/>
    <w:rsid w:val="000A7FB5"/>
    <w:rsid w:val="000B599A"/>
    <w:rsid w:val="000B5B11"/>
    <w:rsid w:val="000B626A"/>
    <w:rsid w:val="000B6553"/>
    <w:rsid w:val="000C1581"/>
    <w:rsid w:val="000D1FF1"/>
    <w:rsid w:val="000D5D92"/>
    <w:rsid w:val="000E26EE"/>
    <w:rsid w:val="000E4EAF"/>
    <w:rsid w:val="000E684E"/>
    <w:rsid w:val="000F17DC"/>
    <w:rsid w:val="000F2404"/>
    <w:rsid w:val="000F2BA4"/>
    <w:rsid w:val="000F499B"/>
    <w:rsid w:val="000F5232"/>
    <w:rsid w:val="0011117D"/>
    <w:rsid w:val="00116CDD"/>
    <w:rsid w:val="001251FC"/>
    <w:rsid w:val="00126609"/>
    <w:rsid w:val="00131744"/>
    <w:rsid w:val="00141EFE"/>
    <w:rsid w:val="00145A43"/>
    <w:rsid w:val="00146303"/>
    <w:rsid w:val="00152F6E"/>
    <w:rsid w:val="00155240"/>
    <w:rsid w:val="00163762"/>
    <w:rsid w:val="0016478E"/>
    <w:rsid w:val="00167520"/>
    <w:rsid w:val="001760E8"/>
    <w:rsid w:val="00184A1E"/>
    <w:rsid w:val="00192DE1"/>
    <w:rsid w:val="0019501D"/>
    <w:rsid w:val="00195133"/>
    <w:rsid w:val="001978D5"/>
    <w:rsid w:val="001A2A4D"/>
    <w:rsid w:val="001A3A80"/>
    <w:rsid w:val="001A4C7A"/>
    <w:rsid w:val="001A5023"/>
    <w:rsid w:val="001B498C"/>
    <w:rsid w:val="001C3CF6"/>
    <w:rsid w:val="001C6D02"/>
    <w:rsid w:val="001C79EF"/>
    <w:rsid w:val="001D3F50"/>
    <w:rsid w:val="001D5698"/>
    <w:rsid w:val="001D77B3"/>
    <w:rsid w:val="001E2672"/>
    <w:rsid w:val="001E5C9D"/>
    <w:rsid w:val="002011E5"/>
    <w:rsid w:val="00203CC5"/>
    <w:rsid w:val="00205484"/>
    <w:rsid w:val="00210A43"/>
    <w:rsid w:val="002201DB"/>
    <w:rsid w:val="00220654"/>
    <w:rsid w:val="002213F7"/>
    <w:rsid w:val="002221B9"/>
    <w:rsid w:val="00223178"/>
    <w:rsid w:val="002256CA"/>
    <w:rsid w:val="002278F7"/>
    <w:rsid w:val="00233AC4"/>
    <w:rsid w:val="00234004"/>
    <w:rsid w:val="00234CBD"/>
    <w:rsid w:val="00237F19"/>
    <w:rsid w:val="0024152F"/>
    <w:rsid w:val="00243C47"/>
    <w:rsid w:val="00247E85"/>
    <w:rsid w:val="002508A8"/>
    <w:rsid w:val="00253162"/>
    <w:rsid w:val="0025322A"/>
    <w:rsid w:val="002610C6"/>
    <w:rsid w:val="00261EF3"/>
    <w:rsid w:val="0026315A"/>
    <w:rsid w:val="00292F2F"/>
    <w:rsid w:val="002A58E1"/>
    <w:rsid w:val="002A7331"/>
    <w:rsid w:val="002B7954"/>
    <w:rsid w:val="002C103E"/>
    <w:rsid w:val="002C1615"/>
    <w:rsid w:val="002C6EDF"/>
    <w:rsid w:val="002D563B"/>
    <w:rsid w:val="002D777B"/>
    <w:rsid w:val="002F12E2"/>
    <w:rsid w:val="002F3064"/>
    <w:rsid w:val="003004F3"/>
    <w:rsid w:val="00305479"/>
    <w:rsid w:val="00310588"/>
    <w:rsid w:val="00324073"/>
    <w:rsid w:val="00324959"/>
    <w:rsid w:val="003303D6"/>
    <w:rsid w:val="00333882"/>
    <w:rsid w:val="00337387"/>
    <w:rsid w:val="0034732B"/>
    <w:rsid w:val="003477BE"/>
    <w:rsid w:val="00357650"/>
    <w:rsid w:val="00363060"/>
    <w:rsid w:val="00363AC3"/>
    <w:rsid w:val="003648D4"/>
    <w:rsid w:val="00365B05"/>
    <w:rsid w:val="003730AB"/>
    <w:rsid w:val="0037322B"/>
    <w:rsid w:val="00380141"/>
    <w:rsid w:val="00382093"/>
    <w:rsid w:val="00390C0D"/>
    <w:rsid w:val="003946CA"/>
    <w:rsid w:val="00396E34"/>
    <w:rsid w:val="003A3FD4"/>
    <w:rsid w:val="003C0D7E"/>
    <w:rsid w:val="003D02DB"/>
    <w:rsid w:val="003D1446"/>
    <w:rsid w:val="003D3B87"/>
    <w:rsid w:val="003D4871"/>
    <w:rsid w:val="003D4885"/>
    <w:rsid w:val="003D58DA"/>
    <w:rsid w:val="003D7F11"/>
    <w:rsid w:val="003F6DF7"/>
    <w:rsid w:val="00401038"/>
    <w:rsid w:val="004019B6"/>
    <w:rsid w:val="0040369B"/>
    <w:rsid w:val="004057AD"/>
    <w:rsid w:val="00410CA9"/>
    <w:rsid w:val="00411032"/>
    <w:rsid w:val="00414235"/>
    <w:rsid w:val="00415CB7"/>
    <w:rsid w:val="0041610D"/>
    <w:rsid w:val="00417A9D"/>
    <w:rsid w:val="00417B96"/>
    <w:rsid w:val="00421480"/>
    <w:rsid w:val="00425A6D"/>
    <w:rsid w:val="00426F67"/>
    <w:rsid w:val="004275E6"/>
    <w:rsid w:val="00430C7C"/>
    <w:rsid w:val="00431516"/>
    <w:rsid w:val="0044060C"/>
    <w:rsid w:val="00442653"/>
    <w:rsid w:val="00453CD9"/>
    <w:rsid w:val="00455163"/>
    <w:rsid w:val="00455E00"/>
    <w:rsid w:val="00461880"/>
    <w:rsid w:val="004747B5"/>
    <w:rsid w:val="00481DA4"/>
    <w:rsid w:val="00496AD2"/>
    <w:rsid w:val="004973FC"/>
    <w:rsid w:val="004A2426"/>
    <w:rsid w:val="004A40F3"/>
    <w:rsid w:val="004A4FC8"/>
    <w:rsid w:val="004B02DF"/>
    <w:rsid w:val="004B0AE4"/>
    <w:rsid w:val="004B228D"/>
    <w:rsid w:val="004B4D8D"/>
    <w:rsid w:val="004C1F7E"/>
    <w:rsid w:val="004C4EE9"/>
    <w:rsid w:val="004C5229"/>
    <w:rsid w:val="004C7F9C"/>
    <w:rsid w:val="004D130A"/>
    <w:rsid w:val="004D138B"/>
    <w:rsid w:val="004D41BA"/>
    <w:rsid w:val="004E3AE8"/>
    <w:rsid w:val="004E3D6E"/>
    <w:rsid w:val="004F02A1"/>
    <w:rsid w:val="004F3328"/>
    <w:rsid w:val="004F393E"/>
    <w:rsid w:val="004F49FF"/>
    <w:rsid w:val="004F7A90"/>
    <w:rsid w:val="0050697A"/>
    <w:rsid w:val="0050703A"/>
    <w:rsid w:val="00512B11"/>
    <w:rsid w:val="00515DA3"/>
    <w:rsid w:val="00524035"/>
    <w:rsid w:val="005256EA"/>
    <w:rsid w:val="005263F0"/>
    <w:rsid w:val="005403F6"/>
    <w:rsid w:val="005411D3"/>
    <w:rsid w:val="00543F5B"/>
    <w:rsid w:val="00545A10"/>
    <w:rsid w:val="00546244"/>
    <w:rsid w:val="00552ED3"/>
    <w:rsid w:val="005547B8"/>
    <w:rsid w:val="00562DF5"/>
    <w:rsid w:val="00563087"/>
    <w:rsid w:val="005631C2"/>
    <w:rsid w:val="00564EAE"/>
    <w:rsid w:val="005710EA"/>
    <w:rsid w:val="00572048"/>
    <w:rsid w:val="005820C2"/>
    <w:rsid w:val="00587DA9"/>
    <w:rsid w:val="005919AC"/>
    <w:rsid w:val="005927DC"/>
    <w:rsid w:val="00592D60"/>
    <w:rsid w:val="00593796"/>
    <w:rsid w:val="0059612C"/>
    <w:rsid w:val="005A6184"/>
    <w:rsid w:val="005B1BF2"/>
    <w:rsid w:val="005B369D"/>
    <w:rsid w:val="005B39E3"/>
    <w:rsid w:val="005B7C59"/>
    <w:rsid w:val="005C3CDA"/>
    <w:rsid w:val="005C4465"/>
    <w:rsid w:val="005C4A33"/>
    <w:rsid w:val="005C504E"/>
    <w:rsid w:val="005C5997"/>
    <w:rsid w:val="005D146E"/>
    <w:rsid w:val="005D759E"/>
    <w:rsid w:val="005D77BE"/>
    <w:rsid w:val="005F02F8"/>
    <w:rsid w:val="005F2162"/>
    <w:rsid w:val="005F28BC"/>
    <w:rsid w:val="005F5040"/>
    <w:rsid w:val="005F6125"/>
    <w:rsid w:val="0060469D"/>
    <w:rsid w:val="006061E5"/>
    <w:rsid w:val="00610EC3"/>
    <w:rsid w:val="0061325A"/>
    <w:rsid w:val="006166EB"/>
    <w:rsid w:val="00617709"/>
    <w:rsid w:val="00623175"/>
    <w:rsid w:val="00623D65"/>
    <w:rsid w:val="0062625D"/>
    <w:rsid w:val="00631F97"/>
    <w:rsid w:val="00635467"/>
    <w:rsid w:val="00643D00"/>
    <w:rsid w:val="00644CBF"/>
    <w:rsid w:val="00645A96"/>
    <w:rsid w:val="0065046F"/>
    <w:rsid w:val="006522A3"/>
    <w:rsid w:val="00655A1F"/>
    <w:rsid w:val="00661232"/>
    <w:rsid w:val="0066724F"/>
    <w:rsid w:val="006704D2"/>
    <w:rsid w:val="00671D6F"/>
    <w:rsid w:val="00672F8E"/>
    <w:rsid w:val="006761A0"/>
    <w:rsid w:val="006803BF"/>
    <w:rsid w:val="00680FD3"/>
    <w:rsid w:val="00685F5A"/>
    <w:rsid w:val="00691D10"/>
    <w:rsid w:val="006920C8"/>
    <w:rsid w:val="00693322"/>
    <w:rsid w:val="00695483"/>
    <w:rsid w:val="006A0CED"/>
    <w:rsid w:val="006B47DA"/>
    <w:rsid w:val="006B7224"/>
    <w:rsid w:val="006B73EB"/>
    <w:rsid w:val="006C3AAB"/>
    <w:rsid w:val="006C5AED"/>
    <w:rsid w:val="006C62AE"/>
    <w:rsid w:val="006D1384"/>
    <w:rsid w:val="006D2335"/>
    <w:rsid w:val="006D38ED"/>
    <w:rsid w:val="006E0448"/>
    <w:rsid w:val="006E1923"/>
    <w:rsid w:val="006E3269"/>
    <w:rsid w:val="006E393C"/>
    <w:rsid w:val="006F0C6F"/>
    <w:rsid w:val="006F3BF9"/>
    <w:rsid w:val="00703583"/>
    <w:rsid w:val="00710994"/>
    <w:rsid w:val="007119A3"/>
    <w:rsid w:val="007122F8"/>
    <w:rsid w:val="00713EF5"/>
    <w:rsid w:val="007160F3"/>
    <w:rsid w:val="00716309"/>
    <w:rsid w:val="007202E3"/>
    <w:rsid w:val="00722A7D"/>
    <w:rsid w:val="00724F67"/>
    <w:rsid w:val="007334D0"/>
    <w:rsid w:val="00740DF7"/>
    <w:rsid w:val="00740F14"/>
    <w:rsid w:val="0074348C"/>
    <w:rsid w:val="0074759A"/>
    <w:rsid w:val="00747FFC"/>
    <w:rsid w:val="00760E85"/>
    <w:rsid w:val="00763439"/>
    <w:rsid w:val="00763B71"/>
    <w:rsid w:val="00772C79"/>
    <w:rsid w:val="007737F5"/>
    <w:rsid w:val="00777A82"/>
    <w:rsid w:val="00782B7A"/>
    <w:rsid w:val="00784675"/>
    <w:rsid w:val="007861A3"/>
    <w:rsid w:val="00790A64"/>
    <w:rsid w:val="00794A72"/>
    <w:rsid w:val="007B10BF"/>
    <w:rsid w:val="007C0C34"/>
    <w:rsid w:val="007C29A1"/>
    <w:rsid w:val="007C5598"/>
    <w:rsid w:val="007C6DE2"/>
    <w:rsid w:val="007C75D3"/>
    <w:rsid w:val="007D1901"/>
    <w:rsid w:val="007D4426"/>
    <w:rsid w:val="007D6BB2"/>
    <w:rsid w:val="007E2B83"/>
    <w:rsid w:val="007E3132"/>
    <w:rsid w:val="007E3FF5"/>
    <w:rsid w:val="007E51A4"/>
    <w:rsid w:val="00801801"/>
    <w:rsid w:val="00804CF9"/>
    <w:rsid w:val="00810B99"/>
    <w:rsid w:val="00822A15"/>
    <w:rsid w:val="00824BD6"/>
    <w:rsid w:val="0083621D"/>
    <w:rsid w:val="00843F4A"/>
    <w:rsid w:val="008448E2"/>
    <w:rsid w:val="00847087"/>
    <w:rsid w:val="00852823"/>
    <w:rsid w:val="008540CD"/>
    <w:rsid w:val="008603EF"/>
    <w:rsid w:val="00861428"/>
    <w:rsid w:val="008644DB"/>
    <w:rsid w:val="00865CF8"/>
    <w:rsid w:val="008701EC"/>
    <w:rsid w:val="008752EA"/>
    <w:rsid w:val="00875834"/>
    <w:rsid w:val="008836D9"/>
    <w:rsid w:val="008874B6"/>
    <w:rsid w:val="00890C13"/>
    <w:rsid w:val="00895053"/>
    <w:rsid w:val="008A03DA"/>
    <w:rsid w:val="008A4FA2"/>
    <w:rsid w:val="008A5B1C"/>
    <w:rsid w:val="008A6CAC"/>
    <w:rsid w:val="008B1204"/>
    <w:rsid w:val="008B3E12"/>
    <w:rsid w:val="008B6307"/>
    <w:rsid w:val="008C3A64"/>
    <w:rsid w:val="008C4383"/>
    <w:rsid w:val="008D08AF"/>
    <w:rsid w:val="008D3D67"/>
    <w:rsid w:val="008E192C"/>
    <w:rsid w:val="008E22E5"/>
    <w:rsid w:val="008E6F51"/>
    <w:rsid w:val="008E770B"/>
    <w:rsid w:val="008F4348"/>
    <w:rsid w:val="00903A7E"/>
    <w:rsid w:val="00906015"/>
    <w:rsid w:val="00912D41"/>
    <w:rsid w:val="00915AB7"/>
    <w:rsid w:val="009200C6"/>
    <w:rsid w:val="00920B87"/>
    <w:rsid w:val="009320A6"/>
    <w:rsid w:val="00935AF3"/>
    <w:rsid w:val="009451AE"/>
    <w:rsid w:val="009452DE"/>
    <w:rsid w:val="00946425"/>
    <w:rsid w:val="0095004E"/>
    <w:rsid w:val="00950F54"/>
    <w:rsid w:val="00952BEF"/>
    <w:rsid w:val="00965320"/>
    <w:rsid w:val="00966982"/>
    <w:rsid w:val="00970004"/>
    <w:rsid w:val="009734C7"/>
    <w:rsid w:val="00981DD7"/>
    <w:rsid w:val="009841D0"/>
    <w:rsid w:val="00984D6F"/>
    <w:rsid w:val="00985067"/>
    <w:rsid w:val="00986A1B"/>
    <w:rsid w:val="009946A3"/>
    <w:rsid w:val="00994B7A"/>
    <w:rsid w:val="009A0D86"/>
    <w:rsid w:val="009A50BC"/>
    <w:rsid w:val="009B2B50"/>
    <w:rsid w:val="009B7361"/>
    <w:rsid w:val="009C08BF"/>
    <w:rsid w:val="009C2550"/>
    <w:rsid w:val="009C317A"/>
    <w:rsid w:val="009C463B"/>
    <w:rsid w:val="009D21A0"/>
    <w:rsid w:val="009E6D95"/>
    <w:rsid w:val="009F5E9B"/>
    <w:rsid w:val="00A03090"/>
    <w:rsid w:val="00A11E7A"/>
    <w:rsid w:val="00A14546"/>
    <w:rsid w:val="00A14C1B"/>
    <w:rsid w:val="00A20498"/>
    <w:rsid w:val="00A25A29"/>
    <w:rsid w:val="00A346BA"/>
    <w:rsid w:val="00A4420D"/>
    <w:rsid w:val="00A5030D"/>
    <w:rsid w:val="00A515AF"/>
    <w:rsid w:val="00A54C8C"/>
    <w:rsid w:val="00A612C3"/>
    <w:rsid w:val="00A63069"/>
    <w:rsid w:val="00A63B57"/>
    <w:rsid w:val="00A70847"/>
    <w:rsid w:val="00A7108A"/>
    <w:rsid w:val="00A731C5"/>
    <w:rsid w:val="00A73733"/>
    <w:rsid w:val="00A77D9E"/>
    <w:rsid w:val="00A82BA7"/>
    <w:rsid w:val="00A9132E"/>
    <w:rsid w:val="00AB79E9"/>
    <w:rsid w:val="00AC1B29"/>
    <w:rsid w:val="00AC45F8"/>
    <w:rsid w:val="00AC778E"/>
    <w:rsid w:val="00AC7B01"/>
    <w:rsid w:val="00AD2E4F"/>
    <w:rsid w:val="00AD584C"/>
    <w:rsid w:val="00AE0E5F"/>
    <w:rsid w:val="00AE4483"/>
    <w:rsid w:val="00AF2D68"/>
    <w:rsid w:val="00AF69BE"/>
    <w:rsid w:val="00B05C6E"/>
    <w:rsid w:val="00B10165"/>
    <w:rsid w:val="00B10228"/>
    <w:rsid w:val="00B10DC5"/>
    <w:rsid w:val="00B12151"/>
    <w:rsid w:val="00B27C38"/>
    <w:rsid w:val="00B30C06"/>
    <w:rsid w:val="00B34F64"/>
    <w:rsid w:val="00B35A6D"/>
    <w:rsid w:val="00B5173F"/>
    <w:rsid w:val="00B52D18"/>
    <w:rsid w:val="00B55422"/>
    <w:rsid w:val="00B557DB"/>
    <w:rsid w:val="00B636E8"/>
    <w:rsid w:val="00B651E7"/>
    <w:rsid w:val="00B65A5C"/>
    <w:rsid w:val="00B66C3E"/>
    <w:rsid w:val="00B70F84"/>
    <w:rsid w:val="00B71894"/>
    <w:rsid w:val="00B81B50"/>
    <w:rsid w:val="00B82B36"/>
    <w:rsid w:val="00B84687"/>
    <w:rsid w:val="00B8671F"/>
    <w:rsid w:val="00B86F00"/>
    <w:rsid w:val="00B90D97"/>
    <w:rsid w:val="00B93CC9"/>
    <w:rsid w:val="00B97F79"/>
    <w:rsid w:val="00BA3309"/>
    <w:rsid w:val="00BA3A71"/>
    <w:rsid w:val="00BA4202"/>
    <w:rsid w:val="00BA5545"/>
    <w:rsid w:val="00BA6C7B"/>
    <w:rsid w:val="00BA6D25"/>
    <w:rsid w:val="00BB44DF"/>
    <w:rsid w:val="00BB6B1F"/>
    <w:rsid w:val="00BC7730"/>
    <w:rsid w:val="00BD0034"/>
    <w:rsid w:val="00BD4423"/>
    <w:rsid w:val="00BD776E"/>
    <w:rsid w:val="00BE4E5B"/>
    <w:rsid w:val="00C035E3"/>
    <w:rsid w:val="00C10E75"/>
    <w:rsid w:val="00C20275"/>
    <w:rsid w:val="00C2133D"/>
    <w:rsid w:val="00C46B70"/>
    <w:rsid w:val="00C46F46"/>
    <w:rsid w:val="00C51C14"/>
    <w:rsid w:val="00C5673A"/>
    <w:rsid w:val="00C57C22"/>
    <w:rsid w:val="00C6177E"/>
    <w:rsid w:val="00C6269D"/>
    <w:rsid w:val="00C6755B"/>
    <w:rsid w:val="00C75516"/>
    <w:rsid w:val="00C75E82"/>
    <w:rsid w:val="00C77AAD"/>
    <w:rsid w:val="00C800C3"/>
    <w:rsid w:val="00C86091"/>
    <w:rsid w:val="00C911A8"/>
    <w:rsid w:val="00C915E8"/>
    <w:rsid w:val="00C93F20"/>
    <w:rsid w:val="00C9783A"/>
    <w:rsid w:val="00CA0233"/>
    <w:rsid w:val="00CA2244"/>
    <w:rsid w:val="00CB0471"/>
    <w:rsid w:val="00CB07AF"/>
    <w:rsid w:val="00CB14C3"/>
    <w:rsid w:val="00CB209B"/>
    <w:rsid w:val="00CB30B1"/>
    <w:rsid w:val="00CB3B3D"/>
    <w:rsid w:val="00CB53CC"/>
    <w:rsid w:val="00CC0764"/>
    <w:rsid w:val="00CC1279"/>
    <w:rsid w:val="00CC43CB"/>
    <w:rsid w:val="00CC4C03"/>
    <w:rsid w:val="00CD0658"/>
    <w:rsid w:val="00CD12C0"/>
    <w:rsid w:val="00CD1DF6"/>
    <w:rsid w:val="00CD517D"/>
    <w:rsid w:val="00CD5967"/>
    <w:rsid w:val="00CD718C"/>
    <w:rsid w:val="00CE55B0"/>
    <w:rsid w:val="00CE6721"/>
    <w:rsid w:val="00CF0F10"/>
    <w:rsid w:val="00CF18BE"/>
    <w:rsid w:val="00CF2A92"/>
    <w:rsid w:val="00CF491A"/>
    <w:rsid w:val="00CF4F63"/>
    <w:rsid w:val="00CF5D07"/>
    <w:rsid w:val="00CF74FA"/>
    <w:rsid w:val="00D00C6C"/>
    <w:rsid w:val="00D12AB3"/>
    <w:rsid w:val="00D13103"/>
    <w:rsid w:val="00D15CC5"/>
    <w:rsid w:val="00D1692E"/>
    <w:rsid w:val="00D22EE7"/>
    <w:rsid w:val="00D236AE"/>
    <w:rsid w:val="00D26A8D"/>
    <w:rsid w:val="00D27E03"/>
    <w:rsid w:val="00D306BE"/>
    <w:rsid w:val="00D30998"/>
    <w:rsid w:val="00D32927"/>
    <w:rsid w:val="00D33C4F"/>
    <w:rsid w:val="00D35FB2"/>
    <w:rsid w:val="00D36969"/>
    <w:rsid w:val="00D40F1C"/>
    <w:rsid w:val="00D41D45"/>
    <w:rsid w:val="00D43651"/>
    <w:rsid w:val="00D43E8E"/>
    <w:rsid w:val="00D4593E"/>
    <w:rsid w:val="00D471F1"/>
    <w:rsid w:val="00D500FE"/>
    <w:rsid w:val="00D50F38"/>
    <w:rsid w:val="00D53C0D"/>
    <w:rsid w:val="00D60475"/>
    <w:rsid w:val="00D62C10"/>
    <w:rsid w:val="00D63DF8"/>
    <w:rsid w:val="00D64ADA"/>
    <w:rsid w:val="00D75C04"/>
    <w:rsid w:val="00D8053A"/>
    <w:rsid w:val="00D8433E"/>
    <w:rsid w:val="00D85181"/>
    <w:rsid w:val="00D864AC"/>
    <w:rsid w:val="00D86E45"/>
    <w:rsid w:val="00D91ECD"/>
    <w:rsid w:val="00D93CB4"/>
    <w:rsid w:val="00D94A5B"/>
    <w:rsid w:val="00DA0CBE"/>
    <w:rsid w:val="00DA2156"/>
    <w:rsid w:val="00DA221F"/>
    <w:rsid w:val="00DA3662"/>
    <w:rsid w:val="00DA517D"/>
    <w:rsid w:val="00DA526E"/>
    <w:rsid w:val="00DB1BCE"/>
    <w:rsid w:val="00DB4EBD"/>
    <w:rsid w:val="00DC290D"/>
    <w:rsid w:val="00DD3042"/>
    <w:rsid w:val="00DD63EC"/>
    <w:rsid w:val="00DF21AE"/>
    <w:rsid w:val="00DF5649"/>
    <w:rsid w:val="00E03987"/>
    <w:rsid w:val="00E126E2"/>
    <w:rsid w:val="00E13173"/>
    <w:rsid w:val="00E135BD"/>
    <w:rsid w:val="00E151CD"/>
    <w:rsid w:val="00E15BAE"/>
    <w:rsid w:val="00E17008"/>
    <w:rsid w:val="00E20A36"/>
    <w:rsid w:val="00E362F7"/>
    <w:rsid w:val="00E42592"/>
    <w:rsid w:val="00E5330C"/>
    <w:rsid w:val="00E60234"/>
    <w:rsid w:val="00E604D3"/>
    <w:rsid w:val="00E63211"/>
    <w:rsid w:val="00E65CF7"/>
    <w:rsid w:val="00E75C99"/>
    <w:rsid w:val="00E77CC7"/>
    <w:rsid w:val="00E80541"/>
    <w:rsid w:val="00E80933"/>
    <w:rsid w:val="00E809C4"/>
    <w:rsid w:val="00E857FD"/>
    <w:rsid w:val="00E95255"/>
    <w:rsid w:val="00E95434"/>
    <w:rsid w:val="00E95565"/>
    <w:rsid w:val="00E96ED3"/>
    <w:rsid w:val="00EA0F8B"/>
    <w:rsid w:val="00EA1CF6"/>
    <w:rsid w:val="00EA5052"/>
    <w:rsid w:val="00EB4069"/>
    <w:rsid w:val="00EB65CD"/>
    <w:rsid w:val="00EB713A"/>
    <w:rsid w:val="00EC68BF"/>
    <w:rsid w:val="00EC7AEF"/>
    <w:rsid w:val="00ED22D2"/>
    <w:rsid w:val="00ED47B0"/>
    <w:rsid w:val="00ED7957"/>
    <w:rsid w:val="00ED7DA7"/>
    <w:rsid w:val="00EE0859"/>
    <w:rsid w:val="00EE5A1B"/>
    <w:rsid w:val="00EE7F5A"/>
    <w:rsid w:val="00EF3E20"/>
    <w:rsid w:val="00F00096"/>
    <w:rsid w:val="00F01648"/>
    <w:rsid w:val="00F05880"/>
    <w:rsid w:val="00F05D05"/>
    <w:rsid w:val="00F0742B"/>
    <w:rsid w:val="00F07534"/>
    <w:rsid w:val="00F119AD"/>
    <w:rsid w:val="00F20BE8"/>
    <w:rsid w:val="00F20C2E"/>
    <w:rsid w:val="00F21BE9"/>
    <w:rsid w:val="00F220C5"/>
    <w:rsid w:val="00F26D81"/>
    <w:rsid w:val="00F349AC"/>
    <w:rsid w:val="00F42233"/>
    <w:rsid w:val="00F5374E"/>
    <w:rsid w:val="00F60A02"/>
    <w:rsid w:val="00F7310E"/>
    <w:rsid w:val="00F819FD"/>
    <w:rsid w:val="00F82044"/>
    <w:rsid w:val="00F8250F"/>
    <w:rsid w:val="00F93DFF"/>
    <w:rsid w:val="00FA231E"/>
    <w:rsid w:val="00FA3003"/>
    <w:rsid w:val="00FA514B"/>
    <w:rsid w:val="00FA5298"/>
    <w:rsid w:val="00FB0F59"/>
    <w:rsid w:val="00FB4FA7"/>
    <w:rsid w:val="00FC1D54"/>
    <w:rsid w:val="00FC2344"/>
    <w:rsid w:val="00FD246C"/>
    <w:rsid w:val="00FE287E"/>
    <w:rsid w:val="00FE49F7"/>
    <w:rsid w:val="00FE6181"/>
    <w:rsid w:val="00FF0B28"/>
    <w:rsid w:val="00FF17D3"/>
    <w:rsid w:val="00FF1B1E"/>
    <w:rsid w:val="00FF3BD6"/>
    <w:rsid w:val="00FF438D"/>
    <w:rsid w:val="00FF55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AF7D998B-CBD4-432C-950C-686E5001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4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69D"/>
    <w:rPr>
      <w:sz w:val="20"/>
      <w:szCs w:val="20"/>
    </w:rPr>
  </w:style>
  <w:style w:type="character" w:styleId="FootnoteReference">
    <w:name w:val="footnote reference"/>
    <w:basedOn w:val="DefaultParagraphFont"/>
    <w:uiPriority w:val="99"/>
    <w:semiHidden/>
    <w:unhideWhenUsed/>
    <w:rsid w:val="0060469D"/>
    <w:rPr>
      <w:vertAlign w:val="superscript"/>
    </w:rPr>
  </w:style>
  <w:style w:type="paragraph" w:styleId="BalloonText">
    <w:name w:val="Balloon Text"/>
    <w:basedOn w:val="Normal"/>
    <w:link w:val="BalloonTextChar"/>
    <w:uiPriority w:val="99"/>
    <w:semiHidden/>
    <w:unhideWhenUsed/>
    <w:rsid w:val="007E3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132"/>
    <w:rPr>
      <w:rFonts w:ascii="Tahoma" w:hAnsi="Tahoma" w:cs="Tahoma"/>
      <w:sz w:val="16"/>
      <w:szCs w:val="16"/>
    </w:rPr>
  </w:style>
  <w:style w:type="character" w:styleId="Hyperlink">
    <w:name w:val="Hyperlink"/>
    <w:basedOn w:val="DefaultParagraphFont"/>
    <w:uiPriority w:val="99"/>
    <w:unhideWhenUsed/>
    <w:rsid w:val="000F17DC"/>
    <w:rPr>
      <w:color w:val="0563C1" w:themeColor="hyperlink"/>
      <w:u w:val="single"/>
    </w:rPr>
  </w:style>
  <w:style w:type="table" w:styleId="TableGrid">
    <w:name w:val="Table Grid"/>
    <w:basedOn w:val="TableNormal"/>
    <w:uiPriority w:val="39"/>
    <w:rsid w:val="00B81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3E20"/>
    <w:rPr>
      <w:color w:val="605E5C"/>
      <w:shd w:val="clear" w:color="auto" w:fill="E1DFDD"/>
    </w:rPr>
  </w:style>
  <w:style w:type="paragraph" w:styleId="Header">
    <w:name w:val="header"/>
    <w:basedOn w:val="Normal"/>
    <w:link w:val="HeaderChar"/>
    <w:uiPriority w:val="99"/>
    <w:unhideWhenUsed/>
    <w:rsid w:val="000E6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84E"/>
  </w:style>
  <w:style w:type="paragraph" w:styleId="Footer">
    <w:name w:val="footer"/>
    <w:basedOn w:val="Normal"/>
    <w:link w:val="FooterChar"/>
    <w:uiPriority w:val="99"/>
    <w:unhideWhenUsed/>
    <w:rsid w:val="000E6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179">
      <w:bodyDiv w:val="1"/>
      <w:marLeft w:val="0"/>
      <w:marRight w:val="0"/>
      <w:marTop w:val="0"/>
      <w:marBottom w:val="0"/>
      <w:divBdr>
        <w:top w:val="none" w:sz="0" w:space="0" w:color="auto"/>
        <w:left w:val="none" w:sz="0" w:space="0" w:color="auto"/>
        <w:bottom w:val="none" w:sz="0" w:space="0" w:color="auto"/>
        <w:right w:val="none" w:sz="0" w:space="0" w:color="auto"/>
      </w:divBdr>
    </w:div>
    <w:div w:id="217791629">
      <w:bodyDiv w:val="1"/>
      <w:marLeft w:val="0"/>
      <w:marRight w:val="0"/>
      <w:marTop w:val="0"/>
      <w:marBottom w:val="0"/>
      <w:divBdr>
        <w:top w:val="none" w:sz="0" w:space="0" w:color="auto"/>
        <w:left w:val="none" w:sz="0" w:space="0" w:color="auto"/>
        <w:bottom w:val="none" w:sz="0" w:space="0" w:color="auto"/>
        <w:right w:val="none" w:sz="0" w:space="0" w:color="auto"/>
      </w:divBdr>
    </w:div>
    <w:div w:id="424693337">
      <w:bodyDiv w:val="1"/>
      <w:marLeft w:val="0"/>
      <w:marRight w:val="0"/>
      <w:marTop w:val="0"/>
      <w:marBottom w:val="0"/>
      <w:divBdr>
        <w:top w:val="none" w:sz="0" w:space="0" w:color="auto"/>
        <w:left w:val="none" w:sz="0" w:space="0" w:color="auto"/>
        <w:bottom w:val="none" w:sz="0" w:space="0" w:color="auto"/>
        <w:right w:val="none" w:sz="0" w:space="0" w:color="auto"/>
      </w:divBdr>
    </w:div>
    <w:div w:id="869806717">
      <w:bodyDiv w:val="1"/>
      <w:marLeft w:val="0"/>
      <w:marRight w:val="0"/>
      <w:marTop w:val="0"/>
      <w:marBottom w:val="0"/>
      <w:divBdr>
        <w:top w:val="none" w:sz="0" w:space="0" w:color="auto"/>
        <w:left w:val="none" w:sz="0" w:space="0" w:color="auto"/>
        <w:bottom w:val="none" w:sz="0" w:space="0" w:color="auto"/>
        <w:right w:val="none" w:sz="0" w:space="0" w:color="auto"/>
      </w:divBdr>
    </w:div>
    <w:div w:id="1110517109">
      <w:bodyDiv w:val="1"/>
      <w:marLeft w:val="0"/>
      <w:marRight w:val="0"/>
      <w:marTop w:val="0"/>
      <w:marBottom w:val="0"/>
      <w:divBdr>
        <w:top w:val="none" w:sz="0" w:space="0" w:color="auto"/>
        <w:left w:val="none" w:sz="0" w:space="0" w:color="auto"/>
        <w:bottom w:val="none" w:sz="0" w:space="0" w:color="auto"/>
        <w:right w:val="none" w:sz="0" w:space="0" w:color="auto"/>
      </w:divBdr>
    </w:div>
    <w:div w:id="183613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285BE63-F6E9-463C-948B-8C7CCEC8FF88}">
  <we:reference id="wa200001011" version="1.4.0.0" store="en-US" storeType="OMEX"/>
  <we:alternateReferences>
    <we:reference id="WA200001011" version="1.4.0.0" store="WA20000101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535B0B8-3A8D-42A1-ADD4-75F3E559D7A1}">
  <we:reference id="wa200002295" version="1.0.2.1" store="en-US" storeType="OMEX"/>
  <we:alternateReferences>
    <we:reference id="WA200002295" version="1.0.2.1" store="WA20000229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DD2BD0D-4C15-47C8-B4C1-E1DDE137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34</Pages>
  <Words>41073</Words>
  <Characters>234118</Characters>
  <Application>Microsoft Office Word</Application>
  <DocSecurity>0</DocSecurity>
  <Lines>1950</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Concept Project</dc:creator>
  <cp:lastModifiedBy>kene aroh</cp:lastModifiedBy>
  <cp:revision>76</cp:revision>
  <dcterms:created xsi:type="dcterms:W3CDTF">2026-01-24T14:46:00Z</dcterms:created>
  <dcterms:modified xsi:type="dcterms:W3CDTF">2026-02-06T11:00:00Z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a13e5df4-ae5c-33ce-861c-609bde83e980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05f7884f-901a-47eb-8164-2fa5591930e9</vt:lpwstr>
  </property>
</Properties>
</file>