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1DE" w:rsidRDefault="00A471DE">
      <w:pPr>
        <w:pStyle w:val="Title"/>
        <w:spacing w:after="0"/>
        <w:jc w:val="both"/>
        <w:rPr>
          <w:rFonts w:ascii="Arial" w:hAnsi="Arial" w:cs="Arial"/>
        </w:rPr>
      </w:pPr>
    </w:p>
    <w:p w:rsidR="00A471DE" w:rsidRDefault="00323E20">
      <w:pPr>
        <w:pStyle w:val="Author"/>
        <w:spacing w:line="240" w:lineRule="auto"/>
        <w:rPr>
          <w:rFonts w:ascii="Arial" w:hAnsi="Arial" w:cs="Arial"/>
          <w:bCs/>
          <w:iCs/>
          <w:kern w:val="28"/>
          <w:sz w:val="36"/>
        </w:rPr>
      </w:pPr>
      <w:r>
        <w:rPr>
          <w:rFonts w:ascii="Arial" w:hAnsi="Arial" w:cs="Arial"/>
          <w:bCs/>
          <w:iCs/>
          <w:kern w:val="28"/>
          <w:sz w:val="36"/>
        </w:rPr>
        <w:t>Total Phenolic Content and Antioxidant Activity of Ethanolic Extract from Cotton Fruit Peel (</w:t>
      </w:r>
      <w:r>
        <w:rPr>
          <w:rFonts w:ascii="Arial" w:hAnsi="Arial" w:cs="Arial"/>
          <w:bCs/>
          <w:i/>
          <w:iCs/>
          <w:kern w:val="28"/>
          <w:sz w:val="36"/>
        </w:rPr>
        <w:t xml:space="preserve">Gossypium </w:t>
      </w:r>
      <w:proofErr w:type="spellStart"/>
      <w:r>
        <w:rPr>
          <w:rFonts w:ascii="Arial" w:hAnsi="Arial" w:cs="Arial"/>
          <w:bCs/>
          <w:i/>
          <w:iCs/>
          <w:kern w:val="28"/>
          <w:sz w:val="36"/>
        </w:rPr>
        <w:t>hirsutum</w:t>
      </w:r>
      <w:proofErr w:type="spellEnd"/>
      <w:r>
        <w:rPr>
          <w:rFonts w:ascii="Arial" w:hAnsi="Arial" w:cs="Arial"/>
          <w:bCs/>
          <w:iCs/>
          <w:kern w:val="28"/>
          <w:sz w:val="36"/>
        </w:rPr>
        <w:t xml:space="preserve"> L.) </w:t>
      </w:r>
    </w:p>
    <w:p w:rsidR="00A471DE" w:rsidRDefault="00A471DE">
      <w:pPr>
        <w:pStyle w:val="Author"/>
        <w:spacing w:line="240" w:lineRule="auto"/>
        <w:jc w:val="both"/>
        <w:rPr>
          <w:rFonts w:ascii="Arial" w:hAnsi="Arial" w:cs="Arial"/>
          <w:sz w:val="36"/>
        </w:rPr>
      </w:pPr>
    </w:p>
    <w:p w:rsidR="00A471DE" w:rsidRDefault="00A471DE">
      <w:pPr>
        <w:pStyle w:val="Affiliation"/>
        <w:spacing w:after="0" w:line="240" w:lineRule="auto"/>
        <w:jc w:val="both"/>
        <w:rPr>
          <w:rFonts w:ascii="Arial" w:hAnsi="Arial" w:cs="Arial"/>
        </w:rPr>
      </w:pPr>
    </w:p>
    <w:p w:rsidR="00A471DE" w:rsidRDefault="00707159">
      <w:pPr>
        <w:pStyle w:val="Copyright"/>
        <w:spacing w:after="0" w:line="240" w:lineRule="auto"/>
        <w:jc w:val="both"/>
        <w:rPr>
          <w:rFonts w:ascii="Arial" w:hAnsi="Arial" w:cs="Arial"/>
        </w:rPr>
        <w:sectPr w:rsidR="00A471DE">
          <w:headerReference w:type="even" r:id="rId9"/>
          <w:headerReference w:type="default" r:id="rId10"/>
          <w:headerReference w:type="first" r:id="rId11"/>
          <w:footerReference w:type="first" r:id="rId12"/>
          <w:pgSz w:w="12240" w:h="15840"/>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323E20">
        <w:rPr>
          <w:rFonts w:ascii="Arial" w:hAnsi="Arial" w:cs="Arial"/>
        </w:rPr>
        <w:t>.</w:t>
      </w:r>
    </w:p>
    <w:p w:rsidR="00A471DE" w:rsidRDefault="00323E20">
      <w:pPr>
        <w:pStyle w:val="AbstHead"/>
        <w:spacing w:after="0"/>
        <w:jc w:val="both"/>
        <w:rPr>
          <w:rFonts w:ascii="Arial" w:hAnsi="Arial" w:cs="Arial"/>
        </w:rPr>
      </w:pPr>
      <w:r>
        <w:rPr>
          <w:rFonts w:ascii="Arial" w:hAnsi="Arial" w:cs="Arial"/>
        </w:rPr>
        <w:t>ABSTRACT</w:t>
      </w:r>
    </w:p>
    <w:p w:rsidR="00A471DE" w:rsidRDefault="00A471D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471DE">
        <w:tc>
          <w:tcPr>
            <w:tcW w:w="9576" w:type="dxa"/>
            <w:shd w:val="clear" w:color="auto" w:fill="F2F2F2"/>
          </w:tcPr>
          <w:p w:rsidR="00A471DE" w:rsidRDefault="007E4962">
            <w:pPr>
              <w:pStyle w:val="Body"/>
              <w:rPr>
                <w:rFonts w:ascii="Arial" w:eastAsia="Calibri" w:hAnsi="Arial" w:cs="Arial"/>
                <w:szCs w:val="22"/>
              </w:rPr>
            </w:pPr>
            <w:r>
              <w:rPr>
                <w:rFonts w:ascii="Arial" w:eastAsia="Calibri" w:hAnsi="Arial" w:cs="Arial"/>
                <w:b/>
                <w:szCs w:val="22"/>
              </w:rPr>
              <w:t xml:space="preserve">Background and </w:t>
            </w:r>
            <w:r w:rsidR="00323E20">
              <w:rPr>
                <w:rFonts w:ascii="Arial" w:eastAsia="Calibri" w:hAnsi="Arial" w:cs="Arial"/>
                <w:b/>
                <w:szCs w:val="22"/>
              </w:rPr>
              <w:t xml:space="preserve">Aims: </w:t>
            </w:r>
            <w:r w:rsidRPr="007E4962">
              <w:rPr>
                <w:rFonts w:ascii="Arial" w:eastAsia="Calibri" w:hAnsi="Arial" w:cs="Arial"/>
                <w:szCs w:val="22"/>
              </w:rPr>
              <w:t>Cotton (</w:t>
            </w:r>
            <w:r w:rsidRPr="007E4962">
              <w:rPr>
                <w:rFonts w:ascii="Arial" w:eastAsia="Calibri" w:hAnsi="Arial" w:cs="Arial"/>
                <w:i/>
                <w:szCs w:val="22"/>
              </w:rPr>
              <w:t xml:space="preserve">Gossypium </w:t>
            </w:r>
            <w:proofErr w:type="spellStart"/>
            <w:r w:rsidRPr="007E4962">
              <w:rPr>
                <w:rFonts w:ascii="Arial" w:eastAsia="Calibri" w:hAnsi="Arial" w:cs="Arial"/>
                <w:i/>
                <w:szCs w:val="22"/>
              </w:rPr>
              <w:t>hirsutum</w:t>
            </w:r>
            <w:proofErr w:type="spellEnd"/>
            <w:r w:rsidRPr="007E4962">
              <w:rPr>
                <w:rFonts w:ascii="Arial" w:eastAsia="Calibri" w:hAnsi="Arial" w:cs="Arial"/>
                <w:szCs w:val="22"/>
              </w:rPr>
              <w:t xml:space="preserve"> L.), a plant in the </w:t>
            </w:r>
            <w:proofErr w:type="spellStart"/>
            <w:r w:rsidRPr="007E4962">
              <w:rPr>
                <w:rFonts w:ascii="Arial" w:eastAsia="Calibri" w:hAnsi="Arial" w:cs="Arial"/>
                <w:szCs w:val="22"/>
              </w:rPr>
              <w:t>Malvaceae</w:t>
            </w:r>
            <w:proofErr w:type="spellEnd"/>
            <w:r w:rsidRPr="007E4962">
              <w:rPr>
                <w:rFonts w:ascii="Arial" w:eastAsia="Calibri" w:hAnsi="Arial" w:cs="Arial"/>
                <w:szCs w:val="22"/>
              </w:rPr>
              <w:t xml:space="preserve"> family, contains a number of secondary metabolites with antioxidant qualities, such as flavonoids, tannins, saponins, and steroids.</w:t>
            </w:r>
            <w:r w:rsidRPr="007E4962">
              <w:rPr>
                <w:rFonts w:ascii="Arial" w:eastAsia="Calibri" w:hAnsi="Arial" w:cs="Arial"/>
                <w:b/>
                <w:szCs w:val="22"/>
              </w:rPr>
              <w:t xml:space="preserve"> </w:t>
            </w:r>
            <w:r w:rsidR="00323E20">
              <w:rPr>
                <w:rFonts w:ascii="Arial" w:eastAsia="Calibri" w:hAnsi="Arial" w:cs="Arial"/>
                <w:szCs w:val="22"/>
              </w:rPr>
              <w:t>This study aims to determine the total phenolic content and antioxidant activity of the ethanolic extract of cotton fruit peel (</w:t>
            </w:r>
            <w:r w:rsidR="00FB7578" w:rsidRPr="00C70B6C">
              <w:rPr>
                <w:rFonts w:ascii="Arial" w:eastAsia="Calibri" w:hAnsi="Arial" w:cs="Arial"/>
                <w:i/>
                <w:iCs/>
                <w:szCs w:val="22"/>
              </w:rPr>
              <w:t xml:space="preserve">Gossypium </w:t>
            </w:r>
            <w:proofErr w:type="spellStart"/>
            <w:r w:rsidR="00FB7578" w:rsidRPr="00C70B6C">
              <w:rPr>
                <w:rFonts w:ascii="Arial" w:eastAsia="Calibri" w:hAnsi="Arial" w:cs="Arial"/>
                <w:i/>
                <w:iCs/>
                <w:szCs w:val="22"/>
              </w:rPr>
              <w:t>hirsutum</w:t>
            </w:r>
            <w:proofErr w:type="spellEnd"/>
            <w:r w:rsidR="00323E20">
              <w:rPr>
                <w:rFonts w:ascii="Arial" w:eastAsia="Calibri" w:hAnsi="Arial" w:cs="Arial"/>
                <w:szCs w:val="22"/>
              </w:rPr>
              <w:t xml:space="preserve"> L.) using a UV–Vis spectrophotometric method.</w:t>
            </w:r>
          </w:p>
          <w:p w:rsidR="00A471DE" w:rsidRDefault="00323E20">
            <w:pPr>
              <w:pStyle w:val="Body"/>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An experimental laboratory study involving maceration extraction, quantitative phenolic analysis, and antioxidant activity evaluation using the DPPH assay.</w:t>
            </w:r>
          </w:p>
          <w:p w:rsidR="00A471DE" w:rsidRDefault="00323E20">
            <w:pPr>
              <w:pStyle w:val="Body"/>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Department of Pharmacy, Faculty of Pharmacy, </w:t>
            </w:r>
            <w:proofErr w:type="spellStart"/>
            <w:r>
              <w:rPr>
                <w:rFonts w:ascii="Arial" w:eastAsia="Calibri" w:hAnsi="Arial" w:cs="Arial"/>
                <w:szCs w:val="22"/>
              </w:rPr>
              <w:t>Universitas</w:t>
            </w:r>
            <w:proofErr w:type="spellEnd"/>
            <w:r>
              <w:rPr>
                <w:rFonts w:ascii="Arial" w:eastAsia="Calibri" w:hAnsi="Arial" w:cs="Arial"/>
                <w:szCs w:val="22"/>
              </w:rPr>
              <w:t xml:space="preserve"> </w:t>
            </w:r>
            <w:proofErr w:type="spellStart"/>
            <w:r>
              <w:rPr>
                <w:rFonts w:ascii="Arial" w:eastAsia="Calibri" w:hAnsi="Arial" w:cs="Arial"/>
                <w:szCs w:val="22"/>
              </w:rPr>
              <w:t>Perintis</w:t>
            </w:r>
            <w:proofErr w:type="spellEnd"/>
            <w:r>
              <w:rPr>
                <w:rFonts w:ascii="Arial" w:eastAsia="Calibri" w:hAnsi="Arial" w:cs="Arial"/>
                <w:szCs w:val="22"/>
              </w:rPr>
              <w:t xml:space="preserve"> Indonesia, Padang, West Sumatera, Indonesia January-June 2025.</w:t>
            </w:r>
          </w:p>
          <w:p w:rsidR="00A471DE" w:rsidRDefault="00323E20">
            <w:pPr>
              <w:pStyle w:val="Body"/>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sidR="00707159" w:rsidRPr="00707159">
              <w:rPr>
                <w:rFonts w:ascii="Arial" w:eastAsia="Calibri" w:hAnsi="Arial" w:cs="Arial"/>
                <w:szCs w:val="22"/>
              </w:rPr>
              <w:t xml:space="preserve">Maceration was used for extraction, with 70% and 96% ethanol serving as solvents. The </w:t>
            </w:r>
            <w:proofErr w:type="spellStart"/>
            <w:r w:rsidR="00707159" w:rsidRPr="00707159">
              <w:rPr>
                <w:rFonts w:ascii="Arial" w:eastAsia="Calibri" w:hAnsi="Arial" w:cs="Arial"/>
                <w:szCs w:val="22"/>
              </w:rPr>
              <w:t>Folin</w:t>
            </w:r>
            <w:proofErr w:type="spellEnd"/>
            <w:r w:rsidR="00707159" w:rsidRPr="00707159">
              <w:rPr>
                <w:rFonts w:ascii="Arial" w:eastAsia="Calibri" w:hAnsi="Arial" w:cs="Arial"/>
                <w:szCs w:val="22"/>
              </w:rPr>
              <w:t>–</w:t>
            </w:r>
            <w:proofErr w:type="spellStart"/>
            <w:r w:rsidR="00707159" w:rsidRPr="00707159">
              <w:rPr>
                <w:rFonts w:ascii="Arial" w:eastAsia="Calibri" w:hAnsi="Arial" w:cs="Arial"/>
                <w:szCs w:val="22"/>
              </w:rPr>
              <w:t>Ciocalteu</w:t>
            </w:r>
            <w:proofErr w:type="spellEnd"/>
            <w:r w:rsidR="00707159" w:rsidRPr="00707159">
              <w:rPr>
                <w:rFonts w:ascii="Arial" w:eastAsia="Calibri" w:hAnsi="Arial" w:cs="Arial"/>
                <w:szCs w:val="22"/>
              </w:rPr>
              <w:t xml:space="preserve"> technique was used to quantify the total phenolic content, and a UV–Vis spectrophotometer was used to measure absorbance at the maximum wavelength of 765 nm. The DPPH radical scavenging method was used to assess antioxidant activity, and absorbance at 520 nm was determined</w:t>
            </w:r>
            <w:r>
              <w:rPr>
                <w:rFonts w:ascii="Arial" w:eastAsia="Calibri" w:hAnsi="Arial" w:cs="Arial"/>
                <w:szCs w:val="22"/>
              </w:rPr>
              <w:t>.</w:t>
            </w:r>
          </w:p>
          <w:p w:rsidR="00A471DE" w:rsidRDefault="00323E20">
            <w:pPr>
              <w:pStyle w:val="Body"/>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The total phenolic content of the ethanolic extract of cotton fruit peel was found to be 9.699% w/w ± 0.0509. Antioxidant activity testing showed an IC</w:t>
            </w:r>
            <w:r>
              <w:rPr>
                <w:rFonts w:ascii="Cambria Math" w:eastAsia="Calibri" w:hAnsi="Cambria Math" w:cs="Cambria Math"/>
                <w:szCs w:val="22"/>
              </w:rPr>
              <w:t>₅₀</w:t>
            </w:r>
            <w:r>
              <w:rPr>
                <w:rFonts w:ascii="Arial" w:eastAsia="Calibri" w:hAnsi="Arial" w:cs="Arial"/>
                <w:szCs w:val="22"/>
              </w:rPr>
              <w:t xml:space="preserve"> value of 10.40 µg/mL, corresponding to a gallic acid equivalent (GAE) value of 3.502.</w:t>
            </w:r>
          </w:p>
          <w:p w:rsidR="00A471DE" w:rsidRDefault="00323E20">
            <w:pPr>
              <w:pStyle w:val="Body"/>
              <w:spacing w:after="0"/>
              <w:rPr>
                <w:rFonts w:ascii="Arial" w:eastAsia="Calibri" w:hAnsi="Arial" w:cs="Arial"/>
                <w:szCs w:val="22"/>
              </w:rPr>
            </w:pPr>
            <w:proofErr w:type="spellStart"/>
            <w:proofErr w:type="gramStart"/>
            <w:r>
              <w:rPr>
                <w:rFonts w:ascii="Arial" w:eastAsia="Calibri" w:hAnsi="Arial" w:cs="Arial"/>
                <w:b/>
                <w:bCs/>
                <w:szCs w:val="22"/>
              </w:rPr>
              <w:t>Conclusion:</w:t>
            </w:r>
            <w:r>
              <w:rPr>
                <w:rFonts w:ascii="Arial" w:eastAsia="Calibri" w:hAnsi="Arial" w:cs="Arial"/>
                <w:szCs w:val="22"/>
              </w:rPr>
              <w:t>The</w:t>
            </w:r>
            <w:proofErr w:type="spellEnd"/>
            <w:proofErr w:type="gramEnd"/>
            <w:r>
              <w:rPr>
                <w:rFonts w:ascii="Arial" w:eastAsia="Calibri" w:hAnsi="Arial" w:cs="Arial"/>
                <w:szCs w:val="22"/>
              </w:rPr>
              <w:t xml:space="preserve"> ethanolic extract of cotton fruit peel exhibits very strong antioxidant activity, as indicated by an IC</w:t>
            </w:r>
            <w:r>
              <w:rPr>
                <w:rFonts w:ascii="Cambria Math" w:eastAsia="Calibri" w:hAnsi="Cambria Math" w:cs="Cambria Math"/>
                <w:szCs w:val="22"/>
              </w:rPr>
              <w:t>₅₀</w:t>
            </w:r>
            <w:r>
              <w:rPr>
                <w:rFonts w:ascii="Arial" w:eastAsia="Calibri" w:hAnsi="Arial" w:cs="Arial"/>
                <w:szCs w:val="22"/>
              </w:rPr>
              <w:t xml:space="preserve"> value of less than 50 µg/</w:t>
            </w:r>
            <w:proofErr w:type="spellStart"/>
            <w:r>
              <w:rPr>
                <w:rFonts w:ascii="Arial" w:eastAsia="Calibri" w:hAnsi="Arial" w:cs="Arial"/>
                <w:szCs w:val="22"/>
              </w:rPr>
              <w:t>mL.</w:t>
            </w:r>
            <w:proofErr w:type="spellEnd"/>
          </w:p>
        </w:tc>
      </w:tr>
    </w:tbl>
    <w:p w:rsidR="00A471DE" w:rsidRDefault="00A471DE">
      <w:pPr>
        <w:pStyle w:val="Body"/>
        <w:spacing w:after="0"/>
        <w:rPr>
          <w:rFonts w:ascii="Arial" w:hAnsi="Arial" w:cs="Arial"/>
          <w:i/>
        </w:rPr>
      </w:pPr>
    </w:p>
    <w:p w:rsidR="00A471DE" w:rsidRDefault="00323E20">
      <w:pPr>
        <w:pStyle w:val="Body"/>
        <w:spacing w:after="0"/>
        <w:rPr>
          <w:rFonts w:ascii="Arial" w:hAnsi="Arial" w:cs="Arial"/>
          <w:i/>
        </w:rPr>
      </w:pPr>
      <w:r>
        <w:rPr>
          <w:rFonts w:ascii="Arial" w:hAnsi="Arial" w:cs="Arial"/>
          <w:i/>
        </w:rPr>
        <w:t xml:space="preserve">Keywords: </w:t>
      </w:r>
      <w:r>
        <w:rPr>
          <w:rFonts w:ascii="Arial" w:hAnsi="Arial"/>
          <w:i/>
          <w:iCs/>
        </w:rPr>
        <w:t xml:space="preserve">Total phenolic content, Antioxidant activity, Gossypium </w:t>
      </w:r>
      <w:proofErr w:type="spellStart"/>
      <w:r>
        <w:rPr>
          <w:rFonts w:ascii="Arial" w:hAnsi="Arial"/>
          <w:i/>
          <w:iCs/>
        </w:rPr>
        <w:t>hirsutum</w:t>
      </w:r>
      <w:proofErr w:type="spellEnd"/>
      <w:r>
        <w:rPr>
          <w:rFonts w:ascii="Arial" w:hAnsi="Arial"/>
          <w:i/>
          <w:iCs/>
        </w:rPr>
        <w:t xml:space="preserve"> L., Cotton fruit peel, DPPH assay</w:t>
      </w:r>
    </w:p>
    <w:p w:rsidR="00A471DE" w:rsidRDefault="00A471DE">
      <w:pPr>
        <w:pStyle w:val="Body"/>
        <w:spacing w:after="0"/>
        <w:rPr>
          <w:rFonts w:ascii="Arial" w:hAnsi="Arial" w:cs="Arial"/>
          <w:i/>
        </w:rPr>
      </w:pPr>
    </w:p>
    <w:p w:rsidR="00A471DE" w:rsidRDefault="00323E20">
      <w:pPr>
        <w:pStyle w:val="AbstHead"/>
        <w:spacing w:after="0"/>
        <w:jc w:val="both"/>
        <w:rPr>
          <w:rFonts w:ascii="Arial" w:hAnsi="Arial" w:cs="Arial"/>
        </w:rPr>
      </w:pPr>
      <w:r>
        <w:rPr>
          <w:rFonts w:ascii="Arial" w:hAnsi="Arial" w:cs="Arial"/>
        </w:rPr>
        <w:t>1. INTRODUCTION</w:t>
      </w:r>
    </w:p>
    <w:p w:rsidR="00A471DE" w:rsidRDefault="00A471DE">
      <w:pPr>
        <w:pStyle w:val="AbstHead"/>
        <w:spacing w:after="0"/>
        <w:jc w:val="both"/>
        <w:rPr>
          <w:rFonts w:ascii="Arial" w:hAnsi="Arial" w:cs="Arial"/>
        </w:rPr>
      </w:pPr>
    </w:p>
    <w:p w:rsidR="00A471DE" w:rsidRDefault="00323E20">
      <w:pPr>
        <w:widowControl w:val="0"/>
        <w:tabs>
          <w:tab w:val="left" w:pos="1260"/>
        </w:tabs>
        <w:autoSpaceDE w:val="0"/>
        <w:autoSpaceDN w:val="0"/>
        <w:jc w:val="both"/>
        <w:rPr>
          <w:rFonts w:ascii="Arial" w:hAnsi="Arial"/>
        </w:rPr>
      </w:pPr>
      <w:r>
        <w:rPr>
          <w:rFonts w:ascii="Arial" w:hAnsi="Arial"/>
        </w:rPr>
        <w:t xml:space="preserve">Free radicals are highly reactive compounds that can cause oxidative damage in the body when present in excessive amounts </w:t>
      </w:r>
      <w:r w:rsidR="00FB7578">
        <w:rPr>
          <w:rFonts w:ascii="Arial" w:hAnsi="Arial"/>
        </w:rPr>
        <w:fldChar w:fldCharType="begin" w:fldLock="1"/>
      </w:r>
      <w:r w:rsidR="004839F1">
        <w:rPr>
          <w:rFonts w:ascii="Arial" w:hAnsi="Arial"/>
        </w:rPr>
        <w:instrText>ADDIN CSL_CITATION {"citationItems":[{"id":"ITEM-1","itemData":{"DOI":"10.1038/s41420-024-02278-8","ISSN":"2058-7716","author":[{"dropping-particle":"","family":"Chandimali","given":"Nisansala","non-dropping-particle":"","parse-names":false,"suffix":""},{"dropping-particle":"","family":"Bak","given":"Seon Gyeong","non-dropping-particle":"","parse-names":false,"suffix":""},{"dropping-particle":"","family":"Park","given":"Eun Hyun","non-dropping-particle":"","parse-names":false,"suffix":""},{"dropping-particle":"","family":"Lim","given":"Hyung-jin","non-dropping-particle":"","parse-names":false,"suffix":""},{"dropping-particle":"","family":"Won","given":"Yeong-seon","non-dropping-particle":"","parse-names":false,"suffix":""},{"dropping-particle":"","family":"Kim","given":"Eun-kyung","non-dropping-particle":"","parse-names":false,"suffix":""}],"container-title":"Cell Death Discovery","id":"ITEM-1","issue":"December 2024","issued":{"date-parts":[["2025"]]},"note":"Jan-1","publisher":"Springer US","title":"Free radicals and their impact on health and antioxidant defenses : a review","type":"article-journal"},"uris":["http://www.mendeley.com/documents/?uuid=761e58e5-05fe-4491-a842-fb1e73be1bd5"]}],"mendeley":{"formattedCitation":"(Chandimali et al., 2025)","plainTextFormattedCitation":"(Chandimali et al., 2025)","previouslyFormattedCitation":"(Chandimali et al., 2025)"},"properties":{"noteIndex":0},"schema":"https://github.com/citation-style-language/schema/raw/master/csl-citation.json"}</w:instrText>
      </w:r>
      <w:r w:rsidR="00FB7578">
        <w:rPr>
          <w:rFonts w:ascii="Arial" w:hAnsi="Arial"/>
        </w:rPr>
        <w:fldChar w:fldCharType="separate"/>
      </w:r>
      <w:r>
        <w:rPr>
          <w:rFonts w:ascii="Arial" w:hAnsi="Arial"/>
          <w:noProof/>
        </w:rPr>
        <w:t>(Chandimali et al., 2025)</w:t>
      </w:r>
      <w:r w:rsidR="00FB7578">
        <w:rPr>
          <w:rFonts w:ascii="Arial" w:hAnsi="Arial"/>
        </w:rPr>
        <w:fldChar w:fldCharType="end"/>
      </w:r>
      <w:r>
        <w:rPr>
          <w:rFonts w:ascii="Arial" w:hAnsi="Arial"/>
        </w:rPr>
        <w:t xml:space="preserve">. They originate from both endogenous metabolic processes and exogenous sources such as environmental pollutants, radiation, toxic chemicals, and the consumption of processed or fried foods. Excessive free radical accumulation can disrupt cellular homeostasis and contribute to the development of various degenerative diseases. Therefore, the inhibition of free radical formation and activity through antioxidant compounds is essential </w:t>
      </w:r>
      <w:r w:rsidR="00FB7578">
        <w:rPr>
          <w:rFonts w:ascii="Arial" w:hAnsi="Arial"/>
        </w:rPr>
        <w:fldChar w:fldCharType="begin" w:fldLock="1"/>
      </w:r>
      <w:r w:rsidR="004839F1">
        <w:rPr>
          <w:rFonts w:ascii="Arial" w:hAnsi="Arial"/>
        </w:rPr>
        <w:instrText>ADDIN CSL_CITATION {"citationItems":[{"id":"ITEM-1","itemData":{"author":[{"dropping-particle":"","family":"Martemucci","given":"Giovanni","non-dropping-particle":"","parse-names":false,"suffix":""},{"dropping-particle":"","family":"Costagliola","given":"Ciro","non-dropping-particle":"","parse-names":false,"suffix":""},{"dropping-particle":"","family":"Mariano","given":"Michele","non-dropping-particle":"","parse-names":false,"suffix":""},{"dropping-particle":"","family":"Luca","given":"D","non-dropping-particle":"","parse-names":false,"suffix":""},{"dropping-particle":"","family":"Napolitano","given":"Pasquale","non-dropping-particle":"","parse-names":false,"suffix":""},{"dropping-particle":"","family":"Alessandro","given":"Angela Gabriella D","non-dropping-particle":"","parse-names":false,"suffix":""}],"container-title":"Oxygen","id":"ITEM-1","issued":{"date-parts":[["2022"]]},"note":"Jan-2","page":"48-78","title":"Free Radical Properties , Source and Targets , Antioxidant Consumption and Health","type":"article-journal"},"uris":["http://www.mendeley.com/documents/?uuid=a5cccf17-cc8d-4f62-903a-d59a08f7d203"]}],"mendeley":{"formattedCitation":"(Martemucci et al., 2022)","plainTextFormattedCitation":"(Martemucci et al., 2022)","previouslyFormattedCitation":"(Martemucci et al., 2022)"},"properties":{"noteIndex":0},"schema":"https://github.com/citation-style-language/schema/raw/master/csl-citation.json"}</w:instrText>
      </w:r>
      <w:r w:rsidR="00FB7578">
        <w:rPr>
          <w:rFonts w:ascii="Arial" w:hAnsi="Arial"/>
        </w:rPr>
        <w:fldChar w:fldCharType="separate"/>
      </w:r>
      <w:r>
        <w:rPr>
          <w:rFonts w:ascii="Arial" w:hAnsi="Arial"/>
          <w:noProof/>
        </w:rPr>
        <w:t>(Martemucci et al., 2022)</w:t>
      </w:r>
      <w:r w:rsidR="00FB7578">
        <w:rPr>
          <w:rFonts w:ascii="Arial" w:hAnsi="Arial"/>
        </w:rPr>
        <w:fldChar w:fldCharType="end"/>
      </w:r>
      <w:r>
        <w:rPr>
          <w:rFonts w:ascii="Arial" w:hAnsi="Arial"/>
        </w:rPr>
        <w:t>.</w:t>
      </w:r>
    </w:p>
    <w:p w:rsidR="00A471DE" w:rsidRDefault="00A471DE">
      <w:pPr>
        <w:widowControl w:val="0"/>
        <w:tabs>
          <w:tab w:val="left" w:pos="1260"/>
        </w:tabs>
        <w:autoSpaceDE w:val="0"/>
        <w:autoSpaceDN w:val="0"/>
        <w:jc w:val="both"/>
        <w:rPr>
          <w:rFonts w:ascii="Arial" w:hAnsi="Arial"/>
        </w:rPr>
      </w:pPr>
    </w:p>
    <w:p w:rsidR="00A471DE" w:rsidRDefault="00707159">
      <w:pPr>
        <w:widowControl w:val="0"/>
        <w:tabs>
          <w:tab w:val="left" w:pos="1260"/>
        </w:tabs>
        <w:autoSpaceDE w:val="0"/>
        <w:autoSpaceDN w:val="0"/>
        <w:jc w:val="both"/>
        <w:rPr>
          <w:rFonts w:ascii="Arial" w:hAnsi="Arial"/>
        </w:rPr>
      </w:pPr>
      <w:r w:rsidRPr="00707159">
        <w:rPr>
          <w:rFonts w:ascii="Arial" w:hAnsi="Arial"/>
        </w:rPr>
        <w:t>Antioxidants are chemicals capable of neutralizing free radicals by giving electrons or hydrogen atoms. This stabilizes reactive species and prevents oxidative chain reactions</w:t>
      </w:r>
      <w:r w:rsidR="00323E20">
        <w:rPr>
          <w:rFonts w:ascii="Arial" w:hAnsi="Arial"/>
        </w:rPr>
        <w:t xml:space="preserve">. </w:t>
      </w:r>
      <w:r w:rsidR="00323E20">
        <w:rPr>
          <w:rFonts w:ascii="Arial" w:hAnsi="Arial"/>
        </w:rPr>
        <w:lastRenderedPageBreak/>
        <w:t xml:space="preserve">Although the human body possesses endogenous antioxidant defense systems, these mechanisms are often insufficient under conditions of increased oxidative stress. As a result, additional antioxidants from external sources are required to protect cells, tissues, and organs from oxidative damage </w:t>
      </w:r>
      <w:r w:rsidR="00FB7578">
        <w:rPr>
          <w:rFonts w:ascii="Arial" w:hAnsi="Arial"/>
        </w:rPr>
        <w:fldChar w:fldCharType="begin" w:fldLock="1"/>
      </w:r>
      <w:r w:rsidR="004839F1">
        <w:rPr>
          <w:rFonts w:ascii="Arial" w:hAnsi="Arial"/>
        </w:rPr>
        <w:instrText>ADDIN CSL_CITATION {"citationItems":[{"id":"ITEM-1","itemData":{"DOI":"https://doi.org/10.3390/ antiox12040860","author":[{"dropping-particle":"","family":"Pruteanu","given":"Lavinia Lorena","non-dropping-particle":"","parse-names":false,"suffix":""},{"dropping-particle":"","family":"Bailey","given":"David Stanley","non-dropping-particle":"","parse-names":false,"suffix":""},{"dropping-particle":"","family":"Cristian","given":"Andrei","non-dropping-particle":"","parse-names":false,"suffix":""}],"container-title":"Antioxidants","id":"ITEM-1","issued":{"date-parts":[["2023"]]},"note":"Jan-3","title":"The Biochemistry and Effectiveness of Antioxidants in Food , Fruits , and Marine Algae","type":"article-journal"},"uris":["http://www.mendeley.com/documents/?uuid=924423b6-71ac-43c2-81de-f13a37b995da"]}],"mendeley":{"formattedCitation":"(Pruteanu, Bailey, &amp; Cristian, 2023)","plainTextFormattedCitation":"(Pruteanu, Bailey, &amp; Cristian, 2023)","previouslyFormattedCitation":"(Pruteanu, Bailey, &amp; Cristian, 2023)"},"properties":{"noteIndex":0},"schema":"https://github.com/citation-style-language/schema/raw/master/csl-citation.json"}</w:instrText>
      </w:r>
      <w:r w:rsidR="00FB7578">
        <w:rPr>
          <w:rFonts w:ascii="Arial" w:hAnsi="Arial"/>
        </w:rPr>
        <w:fldChar w:fldCharType="separate"/>
      </w:r>
      <w:r w:rsidR="004839F1" w:rsidRPr="004839F1">
        <w:rPr>
          <w:rFonts w:ascii="Arial" w:hAnsi="Arial"/>
          <w:noProof/>
        </w:rPr>
        <w:t>(Pruteanu, Bailey, &amp; Cristian, 2023)</w:t>
      </w:r>
      <w:r w:rsidR="00FB7578">
        <w:rPr>
          <w:rFonts w:ascii="Arial" w:hAnsi="Arial"/>
        </w:rPr>
        <w:fldChar w:fldCharType="end"/>
      </w:r>
      <w:r w:rsidR="00323E20">
        <w:rPr>
          <w:rFonts w:ascii="Arial" w:hAnsi="Arial"/>
        </w:rPr>
        <w:t>.</w:t>
      </w:r>
    </w:p>
    <w:p w:rsidR="00A471DE" w:rsidRDefault="00A471DE">
      <w:pPr>
        <w:widowControl w:val="0"/>
        <w:tabs>
          <w:tab w:val="left" w:pos="1260"/>
        </w:tabs>
        <w:autoSpaceDE w:val="0"/>
        <w:autoSpaceDN w:val="0"/>
        <w:jc w:val="both"/>
        <w:rPr>
          <w:rFonts w:ascii="Arial" w:hAnsi="Arial"/>
        </w:rPr>
      </w:pPr>
    </w:p>
    <w:p w:rsidR="00A471DE" w:rsidRDefault="00323E20">
      <w:pPr>
        <w:widowControl w:val="0"/>
        <w:tabs>
          <w:tab w:val="left" w:pos="1260"/>
        </w:tabs>
        <w:autoSpaceDE w:val="0"/>
        <w:autoSpaceDN w:val="0"/>
        <w:jc w:val="both"/>
        <w:rPr>
          <w:rFonts w:ascii="Arial" w:hAnsi="Arial"/>
        </w:rPr>
      </w:pPr>
      <w:r>
        <w:rPr>
          <w:rFonts w:ascii="Arial" w:hAnsi="Arial"/>
        </w:rPr>
        <w:t xml:space="preserve">Antioxidants are generally classified into synthetic and natural antioxidants. Natural antioxidants, particularly those derived from plants, are of increasing interest due to their safety and biological efficacy. </w:t>
      </w:r>
      <w:r w:rsidR="00A65A72">
        <w:rPr>
          <w:rFonts w:ascii="Arial" w:hAnsi="Arial"/>
        </w:rPr>
        <w:t>“</w:t>
      </w:r>
      <w:r>
        <w:rPr>
          <w:rFonts w:ascii="Arial" w:hAnsi="Arial"/>
        </w:rPr>
        <w:t>Among these, phenolic compounds are recognized as major contributors to antioxidant activity because of their ability to scavenge free radicals and reactive oxygen species</w:t>
      </w:r>
      <w:r w:rsidR="00A65A72">
        <w:rPr>
          <w:rFonts w:ascii="Arial" w:hAnsi="Arial"/>
        </w:rPr>
        <w:t>”</w:t>
      </w:r>
      <w:r>
        <w:rPr>
          <w:rFonts w:ascii="Arial" w:hAnsi="Arial"/>
        </w:rPr>
        <w:t xml:space="preserve"> </w:t>
      </w:r>
      <w:r w:rsidR="00FB7578">
        <w:rPr>
          <w:rFonts w:ascii="Arial" w:hAnsi="Arial"/>
        </w:rPr>
        <w:fldChar w:fldCharType="begin" w:fldLock="1"/>
      </w:r>
      <w:r w:rsidR="004839F1">
        <w:rPr>
          <w:rFonts w:ascii="Arial" w:hAnsi="Arial"/>
        </w:rPr>
        <w:instrText>ADDIN CSL_CITATION {"citationItems":[{"id":"ITEM-1","itemData":{"DOI":"10.3390/molecules24224132","ISSN":"1420-3049","PMID":"31731614","abstract":"In recent years, great interest has been focused on using natural antioxidants in food products, due to studies indicating possible adverse effects that may be related to the consumption of synthetic antioxidants. A variety of plant materials are known to be natural sources of antioxidants, such as herbs, spices, seeds, fruits and vegetables. The interest in these natural components is not only due to their biological value, but also to their economic impact, as most of them may be extracted from food by-products and under-exploited plant species. This article provides an overview of current knowledge on natural antioxidants: their sources, extraction methods and stabilization processes. In addition, recent studies on their applications in the food industry are also addressed; namely, as preservatives in different food products and in active films for packaging purposes and edible coatings.","author":[{"dropping-particle":"","family":"Lourenço","given":"Sofia C.","non-dropping-particle":"","parse-names":false,"suffix":""},{"dropping-particle":"","family":"Moldão-Martins","given":"Margarida","non-dropping-particle":"","parse-names":false,"suffix":""},{"dropping-particle":"","family":"Alves","given":"Vítor D.","non-dropping-particle":"","parse-names":false,"suffix":""}],"container-title":"Molecules","id":"ITEM-1","issue":"22","issued":{"date-parts":[["2019","11"]]},"page":"4132","title":"Antioxidants of Natural Plant Origins: From Sources to Food Industry Applications","type":"article-journal","volume":"24"},"uris":["http://www.mendeley.com/documents/?uuid=fa5379ea-2027-4f91-91c9-e9de4ab047ca","http://www.mendeley.com/documents/?uuid=0676535f-6940-4f84-a4c1-2215e130e4f3"]}],"mendeley":{"formattedCitation":"(Lourenço, Moldão-Martins, &amp; Alves, 2019)","plainTextFormattedCitation":"(Lourenço, Moldão-Martins, &amp; Alves, 2019)","previouslyFormattedCitation":"(Lourenço, Moldão-Martins, &amp; Alves, 2019)"},"properties":{"noteIndex":0},"schema":"https://github.com/citation-style-language/schema/raw/master/csl-citation.json"}</w:instrText>
      </w:r>
      <w:r w:rsidR="00FB7578">
        <w:rPr>
          <w:rFonts w:ascii="Arial" w:hAnsi="Arial"/>
        </w:rPr>
        <w:fldChar w:fldCharType="separate"/>
      </w:r>
      <w:r>
        <w:rPr>
          <w:rFonts w:ascii="Arial" w:hAnsi="Arial"/>
          <w:noProof/>
        </w:rPr>
        <w:t>(Lourenço, Moldão-Martins, &amp; Alves, 2019)</w:t>
      </w:r>
      <w:r w:rsidR="00FB7578">
        <w:rPr>
          <w:rFonts w:ascii="Arial" w:hAnsi="Arial"/>
        </w:rPr>
        <w:fldChar w:fldCharType="end"/>
      </w:r>
      <w:r>
        <w:rPr>
          <w:rFonts w:ascii="Arial" w:hAnsi="Arial"/>
        </w:rPr>
        <w:t xml:space="preserve">. </w:t>
      </w:r>
      <w:r w:rsidR="00A65A72">
        <w:rPr>
          <w:rFonts w:ascii="Arial" w:hAnsi="Arial"/>
        </w:rPr>
        <w:t>“</w:t>
      </w:r>
      <w:r>
        <w:rPr>
          <w:rFonts w:ascii="Arial" w:hAnsi="Arial"/>
        </w:rPr>
        <w:t>The antioxidant capacity of plant extracts is closely associated with their total phenolic content, with higher phenolic levels typically corresponding to stronger antioxidant activity</w:t>
      </w:r>
      <w:r w:rsidR="00A65A72">
        <w:rPr>
          <w:rFonts w:ascii="Arial" w:hAnsi="Arial"/>
        </w:rPr>
        <w:t>”</w:t>
      </w:r>
      <w:r>
        <w:rPr>
          <w:rFonts w:ascii="Arial" w:hAnsi="Arial"/>
        </w:rPr>
        <w:t xml:space="preserve"> </w:t>
      </w:r>
      <w:r w:rsidR="00FB7578">
        <w:rPr>
          <w:rFonts w:ascii="Arial" w:hAnsi="Arial"/>
        </w:rPr>
        <w:fldChar w:fldCharType="begin" w:fldLock="1"/>
      </w:r>
      <w:r w:rsidR="004839F1">
        <w:rPr>
          <w:rFonts w:ascii="Arial" w:hAnsi="Arial"/>
        </w:rPr>
        <w:instrText>ADDIN CSL_CITATION {"citationItems":[{"id":"ITEM-1","itemData":{"author":[{"dropping-particle":"","family":"Muflihah","given":"Yeni Maulidah","non-dropping-particle":"","parse-names":false,"suffix":""},{"dropping-particle":"","family":"Gollavelli","given":"Ganesh","non-dropping-particle":"","parse-names":false,"suffix":""},{"dropping-particle":"","family":"Ling","given":"Yong-chien","non-dropping-particle":"","parse-names":false,"suffix":""}],"container-title":"Antioxidants","id":"ITEM-1","issued":{"date-parts":[["2021"]]},"note":"Jan-5","page":"1-15","title":"Correlation Study of Antioxidant Activity with Phenolic and Flavonoid Compounds in 12 Indonesian Indigenous Herbs","type":"article-journal"},"uris":["http://www.mendeley.com/documents/?uuid=11e26571-ae2f-4356-bfa5-9bb37ec13100"]}],"mendeley":{"formattedCitation":"(Muflihah, Gollavelli, &amp; Ling, 2021)","plainTextFormattedCitation":"(Muflihah, Gollavelli, &amp; Ling, 2021)","previouslyFormattedCitation":"(Muflihah, Gollavelli, &amp; Ling, 2021)"},"properties":{"noteIndex":0},"schema":"https://github.com/citation-style-language/schema/raw/master/csl-citation.json"}</w:instrText>
      </w:r>
      <w:r w:rsidR="00FB7578">
        <w:rPr>
          <w:rFonts w:ascii="Arial" w:hAnsi="Arial"/>
        </w:rPr>
        <w:fldChar w:fldCharType="separate"/>
      </w:r>
      <w:r>
        <w:rPr>
          <w:rFonts w:ascii="Arial" w:hAnsi="Arial"/>
          <w:noProof/>
        </w:rPr>
        <w:t>(Muflihah, Gollavelli, &amp; Ling, 2021)</w:t>
      </w:r>
      <w:r w:rsidR="00FB7578">
        <w:rPr>
          <w:rFonts w:ascii="Arial" w:hAnsi="Arial"/>
        </w:rPr>
        <w:fldChar w:fldCharType="end"/>
      </w:r>
      <w:r>
        <w:rPr>
          <w:rFonts w:ascii="Arial" w:hAnsi="Arial"/>
        </w:rPr>
        <w:t>.</w:t>
      </w:r>
    </w:p>
    <w:p w:rsidR="00A471DE" w:rsidRDefault="00A471DE">
      <w:pPr>
        <w:widowControl w:val="0"/>
        <w:tabs>
          <w:tab w:val="left" w:pos="1260"/>
        </w:tabs>
        <w:autoSpaceDE w:val="0"/>
        <w:autoSpaceDN w:val="0"/>
        <w:jc w:val="both"/>
        <w:rPr>
          <w:rFonts w:ascii="Arial" w:hAnsi="Arial"/>
        </w:rPr>
      </w:pPr>
    </w:p>
    <w:p w:rsidR="00A471DE" w:rsidRDefault="00323E20">
      <w:pPr>
        <w:widowControl w:val="0"/>
        <w:tabs>
          <w:tab w:val="left" w:pos="1260"/>
        </w:tabs>
        <w:autoSpaceDE w:val="0"/>
        <w:autoSpaceDN w:val="0"/>
        <w:jc w:val="both"/>
        <w:rPr>
          <w:rFonts w:ascii="Arial" w:hAnsi="Arial"/>
        </w:rPr>
      </w:pPr>
      <w:r>
        <w:rPr>
          <w:rFonts w:ascii="Arial" w:hAnsi="Arial"/>
        </w:rPr>
        <w:t>Cotton (</w:t>
      </w:r>
      <w:r w:rsidR="00FB7578" w:rsidRPr="00C70B6C">
        <w:rPr>
          <w:rFonts w:ascii="Arial" w:hAnsi="Arial"/>
          <w:i/>
          <w:iCs/>
        </w:rPr>
        <w:t xml:space="preserve">Gossypium </w:t>
      </w:r>
      <w:proofErr w:type="spellStart"/>
      <w:r w:rsidR="00FB7578" w:rsidRPr="00C70B6C">
        <w:rPr>
          <w:rFonts w:ascii="Arial" w:hAnsi="Arial"/>
          <w:i/>
          <w:iCs/>
        </w:rPr>
        <w:t>hirsutum</w:t>
      </w:r>
      <w:proofErr w:type="spellEnd"/>
      <w:r>
        <w:rPr>
          <w:rFonts w:ascii="Arial" w:hAnsi="Arial"/>
        </w:rPr>
        <w:t xml:space="preserve"> L.), a member of the </w:t>
      </w:r>
      <w:proofErr w:type="spellStart"/>
      <w:r>
        <w:rPr>
          <w:rFonts w:ascii="Arial" w:hAnsi="Arial"/>
        </w:rPr>
        <w:t>Malvaceae</w:t>
      </w:r>
      <w:proofErr w:type="spellEnd"/>
      <w:r>
        <w:rPr>
          <w:rFonts w:ascii="Arial" w:hAnsi="Arial"/>
        </w:rPr>
        <w:t xml:space="preserve"> family, is known to contain various secondary metabolites, including flavonoids, tannins, saponins, and steroids, which exhibit antioxidant properties </w:t>
      </w:r>
      <w:r w:rsidR="00FB7578">
        <w:rPr>
          <w:rFonts w:ascii="Arial" w:hAnsi="Arial"/>
        </w:rPr>
        <w:fldChar w:fldCharType="begin" w:fldLock="1"/>
      </w:r>
      <w:r w:rsidR="004839F1">
        <w:rPr>
          <w:rFonts w:ascii="Arial" w:hAnsi="Arial"/>
        </w:rPr>
        <w:instrText>ADDIN CSL_CITATION {"citationItems":[{"id":"ITEM-1","itemData":{"DOI":"10.54117/iijbs.v3i1.16","abstract":"The leaves of Gossypium hirsutum were analyzed for phytochemical, proximate, mineral compositions, and antioxidant activity. The free radical scavenging activity using DPPH procedure was used to determine the antioxidant activity of Gossypium hirsutum. The quantitative phytochemical screening revealed that G. hirsutum contained 34.00±1.10 mg/g alkaloids, cardiac glycosides 0.986±0.65 mg/g, 23.47±0.02 mg/g tannins, 50.82±0.02 mg/g total phenol, 38.73±0.01 mg/g saponins, and 182.51±0.10 mg/g flavonoids. Proximate analysis revealed that carbohydrate had the highest percentage in G. hirsutum 47.97± 0.00%. Crude fat had the lowest percentages of 7.11 ± 0.01%. Mineral analysis revealed that potassium had the highest concentration of 740.28±0.02 ppm while the least concentration of minerals in G. hirsutum was iron (39.08±0.02 ppm). The presence of carbohydrates, proteins and fat justifies that Gossypium hirsutum can be used as a good source of basic nutritional daily requirements. The high radical scavenging effect observed in the plant showed that it is a good source of natural antioxidant. The high amount of flavonoids, total phenol, saponins, alkaloids and tannins may be an indication of its high medicinal potential in treatment of certain diseases.","author":[{"dropping-particle":"","family":"Suleiman","given":"Mohammed Salisu","non-dropping-particle":"","parse-names":false,"suffix":""},{"dropping-particle":"","family":"Omale","given":"Jamila Audu","non-dropping-particle":"","parse-names":false,"suffix":""},{"dropping-particle":"","family":"Ayeni","given":"Gideon","non-dropping-particle":"","parse-names":false,"suffix":""},{"dropping-particle":"","family":"Ali","given":"Bashir Alabi","non-dropping-particle":"","parse-names":false,"suffix":""},{"dropping-particle":"","family":"Ojogbane","given":"Eleojo","non-dropping-particle":"","parse-names":false,"suffix":""},{"dropping-particle":"","family":"Sule","given":"Fatima Ajuma","non-dropping-particle":"","parse-names":false,"suffix":""},{"dropping-particle":"","family":"Jegede","given":"Raphael Eneji","non-dropping-particle":"","parse-names":false,"suffix":""},{"dropping-particle":"","family":"Mohammed","given":"Lukeman Sanusi","non-dropping-particle":"","parse-names":false,"suffix":""}],"container-title":"IPS Interdisciplinary Journal of Biological Sciences","id":"ITEM-1","issue":"1","issued":{"date-parts":[["2024","4"]]},"page":"45-50","title":"Phytochemical, Proximate, Mineral Analysis and Antioxidant Activity of the leaves of Gossypium hirsutum","type":"article-journal","volume":"3"},"uris":["http://www.mendeley.com/documents/?uuid=fd17bfc2-34c4-462e-8d84-35b149181fde","http://www.mendeley.com/documents/?uuid=14ff2139-d11b-4f0c-9190-f852fb1d1a83"]}],"mendeley":{"formattedCitation":"(Suleiman et al., 2024)","plainTextFormattedCitation":"(Suleiman et al., 2024)","previouslyFormattedCitation":"(Suleiman et al., 2024)"},"properties":{"noteIndex":0},"schema":"https://github.com/citation-style-language/schema/raw/master/csl-citation.json"}</w:instrText>
      </w:r>
      <w:r w:rsidR="00FB7578">
        <w:rPr>
          <w:rFonts w:ascii="Arial" w:hAnsi="Arial"/>
        </w:rPr>
        <w:fldChar w:fldCharType="separate"/>
      </w:r>
      <w:r>
        <w:rPr>
          <w:rFonts w:ascii="Arial" w:hAnsi="Arial"/>
          <w:noProof/>
        </w:rPr>
        <w:t>(Suleiman et al., 2024)</w:t>
      </w:r>
      <w:r w:rsidR="00FB7578">
        <w:rPr>
          <w:rFonts w:ascii="Arial" w:hAnsi="Arial"/>
        </w:rPr>
        <w:fldChar w:fldCharType="end"/>
      </w:r>
      <w:r>
        <w:rPr>
          <w:rFonts w:ascii="Arial" w:hAnsi="Arial"/>
        </w:rPr>
        <w:t>. While previous studies have predominantly focused on the antioxidant activity of cotton leaves, limited information is available regarding the antioxidant potential of cotton fruit peel. This plant part may represent an underutilized source of natural antioxidants.</w:t>
      </w:r>
    </w:p>
    <w:p w:rsidR="00A471DE" w:rsidRDefault="00A471DE">
      <w:pPr>
        <w:widowControl w:val="0"/>
        <w:tabs>
          <w:tab w:val="left" w:pos="1260"/>
        </w:tabs>
        <w:autoSpaceDE w:val="0"/>
        <w:autoSpaceDN w:val="0"/>
        <w:jc w:val="both"/>
        <w:rPr>
          <w:rFonts w:ascii="Arial" w:hAnsi="Arial"/>
        </w:rPr>
      </w:pPr>
    </w:p>
    <w:p w:rsidR="00B76452" w:rsidRDefault="00323E20" w:rsidP="00C70B6C">
      <w:pPr>
        <w:widowControl w:val="0"/>
        <w:tabs>
          <w:tab w:val="left" w:pos="1260"/>
        </w:tabs>
        <w:autoSpaceDE w:val="0"/>
        <w:autoSpaceDN w:val="0"/>
        <w:jc w:val="both"/>
        <w:rPr>
          <w:rFonts w:ascii="Arial" w:hAnsi="Arial" w:cs="Arial"/>
        </w:rPr>
      </w:pPr>
      <w:r>
        <w:rPr>
          <w:rFonts w:ascii="Arial" w:hAnsi="Arial"/>
        </w:rPr>
        <w:t xml:space="preserve">Systematic studies specifically evaluating the total phenolic content and antioxidant activity of ethanolic extracts derived from cotton fruit peel remain scarce. Most available reports emphasize other plant parts, such as leaves and seeds, leaving a knowledge gap regarding the bioactive potential of the fruit peel, particularly when extracted using ethanol as a polar solvent. This lack of data limits the comprehensive utilization of cotton by-products as potential sources of natural </w:t>
      </w:r>
      <w:proofErr w:type="spellStart"/>
      <w:proofErr w:type="gramStart"/>
      <w:r>
        <w:rPr>
          <w:rFonts w:ascii="Arial" w:hAnsi="Arial"/>
        </w:rPr>
        <w:t>antioxidants.Therefore</w:t>
      </w:r>
      <w:proofErr w:type="spellEnd"/>
      <w:proofErr w:type="gramEnd"/>
      <w:r>
        <w:rPr>
          <w:rFonts w:ascii="Arial" w:hAnsi="Arial"/>
        </w:rPr>
        <w:t xml:space="preserve">, </w:t>
      </w:r>
      <w:r w:rsidR="00707159">
        <w:rPr>
          <w:rFonts w:ascii="Arial" w:hAnsi="Arial"/>
        </w:rPr>
        <w:t>t</w:t>
      </w:r>
      <w:r w:rsidR="00707159" w:rsidRPr="00707159">
        <w:rPr>
          <w:rFonts w:ascii="Arial" w:hAnsi="Arial"/>
        </w:rPr>
        <w:t xml:space="preserve">he purpose of this study is to assess the ethanolic extract of cotton fruit peel (Gossypium </w:t>
      </w:r>
      <w:proofErr w:type="spellStart"/>
      <w:r w:rsidR="00707159" w:rsidRPr="00707159">
        <w:rPr>
          <w:rFonts w:ascii="Arial" w:hAnsi="Arial"/>
        </w:rPr>
        <w:t>hirsutum</w:t>
      </w:r>
      <w:proofErr w:type="spellEnd"/>
      <w:r w:rsidR="00707159" w:rsidRPr="00707159">
        <w:rPr>
          <w:rFonts w:ascii="Arial" w:hAnsi="Arial"/>
        </w:rPr>
        <w:t xml:space="preserve"> L.) for total phenolic content and antioxidant activity.</w:t>
      </w:r>
      <w:r>
        <w:rPr>
          <w:rFonts w:ascii="Arial" w:hAnsi="Arial"/>
        </w:rPr>
        <w:t xml:space="preserve"> </w:t>
      </w:r>
      <w:r w:rsidR="00707159" w:rsidRPr="00707159">
        <w:rPr>
          <w:rFonts w:ascii="Arial" w:hAnsi="Arial"/>
        </w:rPr>
        <w:t xml:space="preserve">The </w:t>
      </w:r>
      <w:proofErr w:type="spellStart"/>
      <w:r w:rsidR="00707159" w:rsidRPr="00707159">
        <w:rPr>
          <w:rFonts w:ascii="Arial" w:hAnsi="Arial"/>
        </w:rPr>
        <w:t>Folin</w:t>
      </w:r>
      <w:proofErr w:type="spellEnd"/>
      <w:r w:rsidR="00707159" w:rsidRPr="00707159">
        <w:rPr>
          <w:rFonts w:ascii="Arial" w:hAnsi="Arial"/>
        </w:rPr>
        <w:t>–</w:t>
      </w:r>
      <w:proofErr w:type="spellStart"/>
      <w:r w:rsidR="00707159" w:rsidRPr="00707159">
        <w:rPr>
          <w:rFonts w:ascii="Arial" w:hAnsi="Arial"/>
        </w:rPr>
        <w:t>Ciocalteu</w:t>
      </w:r>
      <w:proofErr w:type="spellEnd"/>
      <w:r w:rsidR="00707159" w:rsidRPr="00707159">
        <w:rPr>
          <w:rFonts w:ascii="Arial" w:hAnsi="Arial"/>
        </w:rPr>
        <w:t xml:space="preserve"> method was used to quantify the total phenolic content, and the DPPH test with UV–Vis spectrophotometric analysis was used to evaluate antioxidant activity</w:t>
      </w:r>
      <w:r>
        <w:rPr>
          <w:rFonts w:ascii="Arial" w:hAnsi="Arial"/>
        </w:rPr>
        <w:t>.</w:t>
      </w:r>
    </w:p>
    <w:p w:rsidR="00A471DE" w:rsidRDefault="00A471DE">
      <w:pPr>
        <w:pStyle w:val="Body"/>
        <w:spacing w:after="0"/>
        <w:rPr>
          <w:rFonts w:ascii="Arial" w:hAnsi="Arial" w:cs="Arial"/>
          <w:sz w:val="22"/>
        </w:rPr>
      </w:pPr>
    </w:p>
    <w:p w:rsidR="00A471DE" w:rsidRDefault="00323E20">
      <w:pPr>
        <w:pStyle w:val="AbstHead"/>
        <w:spacing w:after="0"/>
        <w:jc w:val="both"/>
        <w:rPr>
          <w:rFonts w:ascii="Arial" w:hAnsi="Arial" w:cs="Arial"/>
        </w:rPr>
      </w:pPr>
      <w:r>
        <w:rPr>
          <w:rFonts w:ascii="Arial" w:hAnsi="Arial" w:cs="Arial"/>
        </w:rPr>
        <w:t>2. material and methods</w:t>
      </w:r>
    </w:p>
    <w:p w:rsidR="00A471DE" w:rsidRDefault="00A471DE">
      <w:pPr>
        <w:pStyle w:val="AbstHead"/>
        <w:spacing w:after="0"/>
        <w:jc w:val="both"/>
        <w:rPr>
          <w:rFonts w:ascii="Arial" w:hAnsi="Arial" w:cs="Arial"/>
        </w:rPr>
      </w:pPr>
    </w:p>
    <w:p w:rsidR="00A471DE" w:rsidRDefault="00323E20">
      <w:pPr>
        <w:widowControl w:val="0"/>
        <w:autoSpaceDE w:val="0"/>
        <w:autoSpaceDN w:val="0"/>
        <w:jc w:val="both"/>
        <w:rPr>
          <w:rFonts w:ascii="Arial" w:hAnsi="Arial"/>
          <w:b/>
        </w:rPr>
      </w:pPr>
      <w:r>
        <w:rPr>
          <w:rFonts w:ascii="Arial" w:hAnsi="Arial"/>
          <w:b/>
        </w:rPr>
        <w:t>Sample Collection</w:t>
      </w:r>
    </w:p>
    <w:p w:rsidR="00A471DE" w:rsidRDefault="00323E20">
      <w:pPr>
        <w:widowControl w:val="0"/>
        <w:autoSpaceDE w:val="0"/>
        <w:autoSpaceDN w:val="0"/>
        <w:jc w:val="both"/>
        <w:rPr>
          <w:rFonts w:ascii="Arial" w:hAnsi="Arial"/>
          <w:bCs/>
        </w:rPr>
      </w:pPr>
      <w:r>
        <w:rPr>
          <w:rFonts w:ascii="Arial" w:hAnsi="Arial"/>
          <w:bCs/>
        </w:rPr>
        <w:t>The sample used in this study was cotton fruit peel (</w:t>
      </w:r>
      <w:r w:rsidR="00FB7578" w:rsidRPr="00C70B6C">
        <w:rPr>
          <w:rFonts w:ascii="Arial" w:hAnsi="Arial"/>
          <w:bCs/>
          <w:i/>
          <w:iCs/>
        </w:rPr>
        <w:t xml:space="preserve">Gossypium </w:t>
      </w:r>
      <w:proofErr w:type="spellStart"/>
      <w:r w:rsidR="00FB7578" w:rsidRPr="00C70B6C">
        <w:rPr>
          <w:rFonts w:ascii="Arial" w:hAnsi="Arial"/>
          <w:bCs/>
          <w:i/>
          <w:iCs/>
        </w:rPr>
        <w:t>hirsutum</w:t>
      </w:r>
      <w:proofErr w:type="spellEnd"/>
      <w:r>
        <w:rPr>
          <w:rFonts w:ascii="Arial" w:hAnsi="Arial"/>
          <w:bCs/>
        </w:rPr>
        <w:t xml:space="preserve"> L.). Approximately 2 kg of fresh cotton fruit peel was collected from </w:t>
      </w:r>
      <w:proofErr w:type="spellStart"/>
      <w:r>
        <w:rPr>
          <w:rFonts w:ascii="Arial" w:hAnsi="Arial"/>
          <w:bCs/>
        </w:rPr>
        <w:t>Siulak</w:t>
      </w:r>
      <w:proofErr w:type="spellEnd"/>
      <w:r>
        <w:rPr>
          <w:rFonts w:ascii="Arial" w:hAnsi="Arial"/>
          <w:bCs/>
        </w:rPr>
        <w:t xml:space="preserve"> Mukai, </w:t>
      </w:r>
      <w:proofErr w:type="spellStart"/>
      <w:r>
        <w:rPr>
          <w:rFonts w:ascii="Arial" w:hAnsi="Arial"/>
          <w:bCs/>
        </w:rPr>
        <w:t>Kerinci</w:t>
      </w:r>
      <w:proofErr w:type="spellEnd"/>
      <w:r>
        <w:rPr>
          <w:rFonts w:ascii="Arial" w:hAnsi="Arial"/>
          <w:bCs/>
        </w:rPr>
        <w:t xml:space="preserve"> Regency, Jambi Province, Indonesia.</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 xml:space="preserve">Preparation of Cotton Fruit Peel </w:t>
      </w:r>
      <w:proofErr w:type="spellStart"/>
      <w:r>
        <w:rPr>
          <w:rFonts w:ascii="Arial" w:hAnsi="Arial"/>
          <w:b/>
        </w:rPr>
        <w:t>Simplicia</w:t>
      </w:r>
      <w:proofErr w:type="spellEnd"/>
    </w:p>
    <w:p w:rsidR="00A471DE" w:rsidRDefault="00323E20">
      <w:pPr>
        <w:widowControl w:val="0"/>
        <w:autoSpaceDE w:val="0"/>
        <w:autoSpaceDN w:val="0"/>
        <w:jc w:val="both"/>
        <w:rPr>
          <w:rFonts w:ascii="Arial" w:hAnsi="Arial"/>
          <w:bCs/>
        </w:rPr>
      </w:pPr>
      <w:r>
        <w:rPr>
          <w:rFonts w:ascii="Arial" w:hAnsi="Arial"/>
          <w:bCs/>
        </w:rPr>
        <w:t xml:space="preserve">Fresh cotton fruit peel was subjected to wet sorting, washed under running water, and air-dried at room temperature without direct sunlight for five days. The dried material was cut into small pieces and pulverized using a blender to obtain powdered </w:t>
      </w:r>
      <w:proofErr w:type="spellStart"/>
      <w:r>
        <w:rPr>
          <w:rFonts w:ascii="Arial" w:hAnsi="Arial"/>
          <w:bCs/>
        </w:rPr>
        <w:t>simplicia</w:t>
      </w:r>
      <w:proofErr w:type="spellEnd"/>
      <w:r>
        <w:rPr>
          <w:rFonts w:ascii="Arial" w:hAnsi="Arial"/>
          <w:bCs/>
        </w:rPr>
        <w:t xml:space="preserve">. A total of 500 g of dried </w:t>
      </w:r>
      <w:proofErr w:type="spellStart"/>
      <w:r>
        <w:rPr>
          <w:rFonts w:ascii="Arial" w:hAnsi="Arial"/>
          <w:bCs/>
        </w:rPr>
        <w:t>simplicia</w:t>
      </w:r>
      <w:proofErr w:type="spellEnd"/>
      <w:r>
        <w:rPr>
          <w:rFonts w:ascii="Arial" w:hAnsi="Arial"/>
          <w:bCs/>
        </w:rPr>
        <w:t xml:space="preserve"> powder was obtained.</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Preparation of Ethanolic Extract</w:t>
      </w:r>
    </w:p>
    <w:p w:rsidR="00A471DE" w:rsidRDefault="00323E20">
      <w:pPr>
        <w:widowControl w:val="0"/>
        <w:autoSpaceDE w:val="0"/>
        <w:autoSpaceDN w:val="0"/>
        <w:jc w:val="both"/>
        <w:rPr>
          <w:rFonts w:ascii="Arial" w:hAnsi="Arial"/>
          <w:bCs/>
        </w:rPr>
      </w:pPr>
      <w:r>
        <w:rPr>
          <w:rFonts w:ascii="Arial" w:hAnsi="Arial"/>
          <w:bCs/>
        </w:rPr>
        <w:t xml:space="preserve">The powdered </w:t>
      </w:r>
      <w:proofErr w:type="spellStart"/>
      <w:r>
        <w:rPr>
          <w:rFonts w:ascii="Arial" w:hAnsi="Arial"/>
          <w:bCs/>
        </w:rPr>
        <w:t>simplicia</w:t>
      </w:r>
      <w:proofErr w:type="spellEnd"/>
      <w:r>
        <w:rPr>
          <w:rFonts w:ascii="Arial" w:hAnsi="Arial"/>
          <w:bCs/>
        </w:rPr>
        <w:t xml:space="preserve"> was placed in a dark maceration container and immersed in 70% ethanol until completely submerged. Maceration was carried out for 48 h with occasional stirring every 6 h. The mixture was then filtered to obtain the filtrate. The residue was </w:t>
      </w:r>
      <w:proofErr w:type="spellStart"/>
      <w:r>
        <w:rPr>
          <w:rFonts w:ascii="Arial" w:hAnsi="Arial"/>
          <w:bCs/>
        </w:rPr>
        <w:t>remacerated</w:t>
      </w:r>
      <w:proofErr w:type="spellEnd"/>
      <w:r>
        <w:rPr>
          <w:rFonts w:ascii="Arial" w:hAnsi="Arial"/>
          <w:bCs/>
        </w:rPr>
        <w:t xml:space="preserve"> using 96% ethanol, and the extraction process was repeated until a clear filtrate was obtained. All filtrates were combined and concentrated under reduced pressure using a rotary evaporator at 30–40 °C to yield a viscous ethanolic extract </w:t>
      </w:r>
      <w:r w:rsidR="00FB7578">
        <w:rPr>
          <w:rFonts w:ascii="Arial" w:hAnsi="Arial"/>
          <w:bCs/>
        </w:rPr>
        <w:fldChar w:fldCharType="begin" w:fldLock="1"/>
      </w:r>
      <w:r w:rsidR="004839F1">
        <w:rPr>
          <w:rFonts w:ascii="Arial" w:hAnsi="Arial"/>
          <w:bCs/>
        </w:rPr>
        <w:instrText>ADDIN CSL_CITATION {"citationItems":[{"id":"ITEM-1","itemData":{"DOI":"10.5530/pj.2022.14.143","ISSN":"09753575","abstract":"Piper betle var. nigra has potency as an herbal medication. Thus it can be used as a source of medicinal raw materials. Piper betle var. nigra simplicia and extracts must be controlled to obtain unswerving quality and ensure their pharmacological effects by standardizing them through several specific and non-specific parameters. Specific parameters were analyzed organoleptically in the ethanol extract, namely having a thick consistency, brownish-green or blackish-green color, a mild peculiar odor, a bitter, cherish taste, and a slightly spicy flavor. The microscopic simplicia powder profile is as follows: the lower epidermis with idioblasts in oil cells contour and upper epidermis, sclerenchyma, covering hairs, and transport bundles ladder-type thickening, and idioblasts in oil cells contour. Extract content analysis of simplicia and black betle leaves ethanol extract showed water-soluble extract content of 2.77% and 12.45% and ethanol-soluble extract content of 1.38% and 19.1%. Secondary metabolites in the ethanol extract are flavonoids, polyphenols, tannins, saponins, alkaloids, and steroids. The non-specific parameters of the simplicia and extract are as follows; total ash content of 12.1% and 7.43%; acid insoluble ash content of 4.45% and 1.57%; drying shrinkage of 14.5% and 15.85%; total lead (Pb) contamination 47.5 ppm and 1.2 ppm; and the total cadmium (Cd) contamination &lt;0.2 ppm. The total bacterial contamination in the extract was 4.3x105 colonies/g. The total yeast contamination was 8.3x105 colonies/g and volumetric mass density of the water-soluble extract of 0.96 g/mL and the volumetric mass density of the ethanol-soluble extract of 1.01 g/mL.","author":[{"dropping-particle":"","family":"Herman H","given":"Herman","non-dropping-particle":"","parse-names":false,"suffix":""},{"dropping-particle":"","family":"Prasetya","given":"Fajar","non-dropping-particle":"","parse-names":false,"suffix":""},{"dropping-particle":"","family":"Salam","given":"Supriatno","non-dropping-particle":"","parse-names":false,"suffix":""},{"dropping-particle":"","family":"Rijai","given":"Hifdzur Rashif","non-dropping-particle":"","parse-names":false,"suffix":""},{"dropping-particle":"","family":"Kuncoro","given":"Hadi","non-dropping-particle":"","parse-names":false,"suffix":""},{"dropping-particle":"","family":"Rusli","given":"Rolan","non-dropping-particle":"","parse-names":false,"suffix":""},{"dropping-particle":"","family":"Rahmadani","given":"Agung","non-dropping-particle":"","parse-names":false,"suffix":""},{"dropping-particle":"","family":"Tamhid","given":"Hady Anshory","non-dropping-particle":"","parse-names":false,"suffix":""},{"dropping-particle":"","family":"Harjunowibowo","given":"Dewanto","non-dropping-particle":"","parse-names":false,"suffix":""},{"dropping-particle":"","family":"Ahmad","given":"Islamudin","non-dropping-particle":"","parse-names":false,"suffix":""},{"dropping-particle":"","family":"Rijai","given":"Laode","non-dropping-particle":"","parse-names":false,"suffix":""}],"container-title":"Pharmacognosy Journal","id":"ITEM-1","issue":"5","issued":{"date-parts":[["2022","11"]]},"page":"610-618","title":"Pharmacognostic Profile of Simplicia and Ethanolic Leaves Extract from Indonesian Piper betle var. nigra","type":"article-journal","volume":"14"},"uris":["http://www.mendeley.com/documents/?uuid=941e2f91-9851-40bf-9919-9e1af1025177","http://www.mendeley.com/documents/?uuid=6ecd8edd-5942-4d7c-93c7-2f5dde5043d5"]}],"mendeley":{"formattedCitation":"(Herman H et al., 2022)","plainTextFormattedCitation":"(Herman H et al., 2022)","previouslyFormattedCitation":"(Herman H et al., 2022)"},"properties":{"noteIndex":0},"schema":"https://github.com/citation-style-language/schema/raw/master/csl-citation.json"}</w:instrText>
      </w:r>
      <w:r w:rsidR="00FB7578">
        <w:rPr>
          <w:rFonts w:ascii="Arial" w:hAnsi="Arial"/>
          <w:bCs/>
        </w:rPr>
        <w:fldChar w:fldCharType="separate"/>
      </w:r>
      <w:r>
        <w:rPr>
          <w:rFonts w:ascii="Arial" w:hAnsi="Arial"/>
          <w:bCs/>
          <w:noProof/>
        </w:rPr>
        <w:t>(Herman H et al., 2022)</w:t>
      </w:r>
      <w:r w:rsidR="00FB7578">
        <w:rPr>
          <w:rFonts w:ascii="Arial" w:hAnsi="Arial"/>
          <w:bCs/>
        </w:rPr>
        <w:fldChar w:fldCharType="end"/>
      </w:r>
      <w:r>
        <w:rPr>
          <w:rFonts w:ascii="Arial" w:hAnsi="Arial"/>
          <w:bCs/>
        </w:rPr>
        <w:t>.</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Preparation of Gallic Acid Calibration Curve</w:t>
      </w:r>
    </w:p>
    <w:p w:rsidR="00A471DE" w:rsidRDefault="00323E20">
      <w:pPr>
        <w:widowControl w:val="0"/>
        <w:autoSpaceDE w:val="0"/>
        <w:autoSpaceDN w:val="0"/>
        <w:jc w:val="both"/>
        <w:rPr>
          <w:rFonts w:ascii="Arial" w:hAnsi="Arial"/>
          <w:bCs/>
        </w:rPr>
      </w:pPr>
      <w:r>
        <w:rPr>
          <w:rFonts w:ascii="Arial" w:hAnsi="Arial"/>
          <w:bCs/>
        </w:rPr>
        <w:t xml:space="preserve">A gallic acid stock solution (500 ppm) was diluted to obtain standard solutions with concentrations of 40, 60, 80, 100, and 120 µg/mL using a methanol–distilled water mixture (1:1). Aliquots of 0.5 mL from each standard solution were mixed with 5 mL of diluted </w:t>
      </w:r>
      <w:proofErr w:type="spellStart"/>
      <w:r>
        <w:rPr>
          <w:rFonts w:ascii="Arial" w:hAnsi="Arial"/>
          <w:bCs/>
        </w:rPr>
        <w:t>Folin</w:t>
      </w:r>
      <w:proofErr w:type="spellEnd"/>
      <w:r>
        <w:rPr>
          <w:rFonts w:ascii="Arial" w:hAnsi="Arial"/>
          <w:bCs/>
        </w:rPr>
        <w:t>–</w:t>
      </w:r>
      <w:proofErr w:type="spellStart"/>
      <w:r>
        <w:rPr>
          <w:rFonts w:ascii="Arial" w:hAnsi="Arial"/>
          <w:bCs/>
        </w:rPr>
        <w:t>Ciocalteu</w:t>
      </w:r>
      <w:proofErr w:type="spellEnd"/>
      <w:r>
        <w:rPr>
          <w:rFonts w:ascii="Arial" w:hAnsi="Arial"/>
          <w:bCs/>
        </w:rPr>
        <w:t xml:space="preserve"> reagent (1:10, v/v) and 4 mL of 1 M sodium carbonate solution. The mixture was allowed to stand for 15 min before absorbance measurement </w:t>
      </w:r>
      <w:r w:rsidR="00FB7578">
        <w:rPr>
          <w:rFonts w:ascii="Arial" w:hAnsi="Arial"/>
          <w:bCs/>
        </w:rPr>
        <w:fldChar w:fldCharType="begin" w:fldLock="1"/>
      </w:r>
      <w:r w:rsidR="004839F1">
        <w:rPr>
          <w:rFonts w:ascii="Arial" w:hAnsi="Arial"/>
          <w:bCs/>
        </w:rPr>
        <w:instrText>ADDIN CSL_CITATION {"citationItems":[{"id":"ITEM-1","itemData":{"DOI":"10.3390/molecules27041345","ISSN":"1420-3049","PMID":"35209133","abstract":"Over the past decade, there has been growing interest in polyphenols’ research since these compounds, as antioxidants, have several health benefits, such as preventing neurodegenerative diseases, inflammation, cancer, cardiovascular diseases, and type 2 diabetes. This study implements an analytical method to assess the total phenolic content (TPC) in essential oils using Folin–Ciocalteu’s phenol reagent and quantifies the individual phenolic compounds by liquid chromatography. Thus, the research design and methodology included: (1) extraction of essential oil from dried thyme leaves by hydrodistillation; (2) spectrophotometric measurement of TPC by Folin–Ciocalteu method; and (3) identification and quantification of individual phenolic compounds by high-performance liquid chromatography-diode array detection/electrospray ionization mass spectrometry (HPLC-DAD-ESI-MS). Results revealed a TPC of 22.62 ± 0.482 mg GAE/100 µL and a polyphenolic profile characterized by phenolic acids (52.1%), flavonoids (16.1%), and other polyphenols (31.8%). Thymol, salvianolic acid A, and rosmarinic acid were the major compounds of thyme essential oil. The proposed analytical procedure has an acceptable level of repeatability, reproducibility, linearity, LOD (limit of detection), and LOQ (limit of quantification).","author":[{"dropping-particle":"","family":"Michiu","given":"Delia","non-dropping-particle":"","parse-names":false,"suffix":""},{"dropping-particle":"","family":"Socaciu","given":"Maria-Ioana","non-dropping-particle":"","parse-names":false,"suffix":""},{"dropping-particle":"","family":"Fogarasi","given":"Melinda","non-dropping-particle":"","parse-names":false,"suffix":""},{"dropping-particle":"","family":"Jimborean","given":"Anamaria Mirela","non-dropping-particle":"","parse-names":false,"suffix":""},{"dropping-particle":"","family":"Ranga","given":"Floricuţa","non-dropping-particle":"","parse-names":false,"suffix":""},{"dropping-particle":"","family":"Mureşan","given":"Vlad","non-dropping-particle":"","parse-names":false,"suffix":""},{"dropping-particle":"","family":"Semeniuc","given":"Cristina Anamaria","non-dropping-particle":"","parse-names":false,"suffix":""}],"container-title":"Molecules","id":"ITEM-1","issue":"4","issued":{"date-parts":[["2022","2"]]},"page":"1345","title":"Implementation of an Analytical Method for Spectrophotometric Evaluation of Total Phenolic Content in Essential Oils","type":"article-journal","volume":"27"},"uris":["http://www.mendeley.com/documents/?uuid=9178c138-1d78-4665-b532-22449344f44c","http://www.mendeley.com/documents/?uuid=b7e5c744-7c44-4f27-b642-901256643089"]}],"mendeley":{"formattedCitation":"(Michiu et al., 2022)","plainTextFormattedCitation":"(Michiu et al., 2022)","previouslyFormattedCitation":"(Michiu et al., 2022)"},"properties":{"noteIndex":0},"schema":"https://github.com/citation-style-language/schema/raw/master/csl-citation.json"}</w:instrText>
      </w:r>
      <w:r w:rsidR="00FB7578">
        <w:rPr>
          <w:rFonts w:ascii="Arial" w:hAnsi="Arial"/>
          <w:bCs/>
        </w:rPr>
        <w:fldChar w:fldCharType="separate"/>
      </w:r>
      <w:r>
        <w:rPr>
          <w:rFonts w:ascii="Arial" w:hAnsi="Arial"/>
          <w:bCs/>
          <w:noProof/>
        </w:rPr>
        <w:t>(Michiu et al., 2022)</w:t>
      </w:r>
      <w:r w:rsidR="00FB7578">
        <w:rPr>
          <w:rFonts w:ascii="Arial" w:hAnsi="Arial"/>
          <w:bCs/>
        </w:rPr>
        <w:fldChar w:fldCharType="end"/>
      </w:r>
      <w:r>
        <w:rPr>
          <w:rFonts w:ascii="Arial" w:hAnsi="Arial"/>
          <w:bCs/>
        </w:rPr>
        <w:t>.</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Determination of Maximum Wavelength of Gallic Acid</w:t>
      </w:r>
    </w:p>
    <w:p w:rsidR="00A471DE" w:rsidRDefault="00323E20">
      <w:pPr>
        <w:widowControl w:val="0"/>
        <w:autoSpaceDE w:val="0"/>
        <w:autoSpaceDN w:val="0"/>
        <w:jc w:val="both"/>
        <w:rPr>
          <w:rFonts w:ascii="Arial" w:hAnsi="Arial"/>
          <w:bCs/>
        </w:rPr>
      </w:pPr>
      <w:r>
        <w:rPr>
          <w:rFonts w:ascii="Arial" w:hAnsi="Arial"/>
          <w:bCs/>
        </w:rPr>
        <w:t>The absorbance of a 120 µg/mL gallic acid solution was scanned over the wavelength range of 400–800 nm using a UV–Vis spectrophotometer to determine the maximum absorption wavelength.</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Determination of Total Phenolic Content</w:t>
      </w:r>
    </w:p>
    <w:p w:rsidR="00A471DE" w:rsidRDefault="00707159">
      <w:pPr>
        <w:widowControl w:val="0"/>
        <w:autoSpaceDE w:val="0"/>
        <w:autoSpaceDN w:val="0"/>
        <w:jc w:val="both"/>
        <w:rPr>
          <w:rFonts w:ascii="Arial" w:hAnsi="Arial"/>
          <w:bCs/>
        </w:rPr>
      </w:pPr>
      <w:r w:rsidRPr="00707159">
        <w:rPr>
          <w:rFonts w:ascii="Arial" w:hAnsi="Arial"/>
          <w:bCs/>
        </w:rPr>
        <w:t xml:space="preserve">The </w:t>
      </w:r>
      <w:proofErr w:type="spellStart"/>
      <w:r w:rsidRPr="00707159">
        <w:rPr>
          <w:rFonts w:ascii="Arial" w:hAnsi="Arial"/>
          <w:bCs/>
        </w:rPr>
        <w:t>Folin-Ciocalteu</w:t>
      </w:r>
      <w:proofErr w:type="spellEnd"/>
      <w:r w:rsidRPr="00707159">
        <w:rPr>
          <w:rFonts w:ascii="Arial" w:hAnsi="Arial"/>
          <w:bCs/>
        </w:rPr>
        <w:t xml:space="preserve"> technique was used to calculate the total phenolic content. 5 mL of diluted </w:t>
      </w:r>
      <w:proofErr w:type="spellStart"/>
      <w:r w:rsidRPr="00707159">
        <w:rPr>
          <w:rFonts w:ascii="Arial" w:hAnsi="Arial"/>
          <w:bCs/>
        </w:rPr>
        <w:t>Folin</w:t>
      </w:r>
      <w:proofErr w:type="spellEnd"/>
      <w:r w:rsidRPr="00707159">
        <w:rPr>
          <w:rFonts w:ascii="Arial" w:hAnsi="Arial"/>
          <w:bCs/>
        </w:rPr>
        <w:t>–</w:t>
      </w:r>
      <w:proofErr w:type="spellStart"/>
      <w:r w:rsidRPr="00707159">
        <w:rPr>
          <w:rFonts w:ascii="Arial" w:hAnsi="Arial"/>
          <w:bCs/>
        </w:rPr>
        <w:t>Ciocalteu</w:t>
      </w:r>
      <w:proofErr w:type="spellEnd"/>
      <w:r w:rsidRPr="00707159">
        <w:rPr>
          <w:rFonts w:ascii="Arial" w:hAnsi="Arial"/>
          <w:bCs/>
        </w:rPr>
        <w:t xml:space="preserve"> reagent (1:10, v/v) and 4 mL of 1 M sodium carbonate solution were combined with an aliquot of 0.5 mL of sample solution (1000 ppm). Absorbance was measured at the maximum wavelength of 765 nm following a 15-minute incubation period. Gallic acid equivalents were used to express the total phenolic content</w:t>
      </w:r>
      <w:r w:rsidR="00323E20">
        <w:rPr>
          <w:rFonts w:ascii="Arial" w:hAnsi="Arial"/>
          <w:bCs/>
        </w:rPr>
        <w:t>.</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Determination of Maximum Absorption Wavelength of DPPH</w:t>
      </w:r>
    </w:p>
    <w:p w:rsidR="00A471DE" w:rsidRDefault="00323E20">
      <w:pPr>
        <w:widowControl w:val="0"/>
        <w:autoSpaceDE w:val="0"/>
        <w:autoSpaceDN w:val="0"/>
        <w:jc w:val="both"/>
        <w:rPr>
          <w:rFonts w:ascii="Arial" w:hAnsi="Arial"/>
          <w:bCs/>
        </w:rPr>
      </w:pPr>
      <w:r>
        <w:rPr>
          <w:rFonts w:ascii="Arial" w:hAnsi="Arial"/>
          <w:bCs/>
        </w:rPr>
        <w:t xml:space="preserve">A total of 4 mL of DPPH solution (35 ppm) was mixed with 2 mL of methanol–distilled water (1:1) and incubated in the dark for 30 min. The absorbance spectrum was scanned from 400 to 800 nm to determine the maximum absorption wavelength </w:t>
      </w:r>
      <w:r w:rsidR="00FB7578">
        <w:rPr>
          <w:rFonts w:ascii="Arial" w:hAnsi="Arial"/>
          <w:bCs/>
        </w:rPr>
        <w:fldChar w:fldCharType="begin" w:fldLock="1"/>
      </w:r>
      <w:r w:rsidR="004839F1">
        <w:rPr>
          <w:rFonts w:ascii="Arial" w:hAnsi="Arial"/>
          <w:bCs/>
        </w:rPr>
        <w:instrText>ADDIN CSL_CITATION {"citationItems":[{"id":"ITEM-1","itemData":{"author":[{"dropping-particle":"","family":"Baliyan","given":"Siddartha","non-dropping-particle":"","parse-names":false,"suffix":""},{"dropping-particle":"","family":"Mukherjee","given":"Riya","non-dropping-particle":"","parse-names":false,"suffix":""},{"dropping-particle":"","family":"Priyadarshini","given":"Anjali","non-dropping-particle":"","parse-names":false,"suffix":""},{"dropping-particle":"","family":"Vibhuti","given":"Arpana","non-dropping-particle":"","parse-names":false,"suffix":""},{"dropping-particle":"","family":"Gupta","given":"Archana","non-dropping-particle":"","parse-names":false,"suffix":""},{"dropping-particle":"","family":"Pandey","given":"Ramendra Pati","non-dropping-particle":"","parse-names":false,"suffix":""},{"dropping-particle":"","family":"Chang","given":"Chung-ming","non-dropping-particle":"","parse-names":false,"suffix":""}],"container-title":"Molecules","id":"ITEM-1","issued":{"date-parts":[["2022"]]},"note":"Jan-9","title":"Determination of Antioxidants by DPPH Radical Scavenging Activity and Quantitative Phytochemical Analysis of","type":"article-journal"},"uris":["http://www.mendeley.com/documents/?uuid=b2e8b2d4-0e07-49a3-9d2c-9bb29a5978e1"]}],"mendeley":{"formattedCitation":"(Baliyan et al., 2022)","plainTextFormattedCitation":"(Baliyan et al., 2022)","previouslyFormattedCitation":"(Baliyan et al., 2022)"},"properties":{"noteIndex":0},"schema":"https://github.com/citation-style-language/schema/raw/master/csl-citation.json"}</w:instrText>
      </w:r>
      <w:r w:rsidR="00FB7578">
        <w:rPr>
          <w:rFonts w:ascii="Arial" w:hAnsi="Arial"/>
          <w:bCs/>
        </w:rPr>
        <w:fldChar w:fldCharType="separate"/>
      </w:r>
      <w:r>
        <w:rPr>
          <w:rFonts w:ascii="Arial" w:hAnsi="Arial"/>
          <w:bCs/>
          <w:noProof/>
        </w:rPr>
        <w:t>(Baliyan et al., 2022)</w:t>
      </w:r>
      <w:r w:rsidR="00FB7578">
        <w:rPr>
          <w:rFonts w:ascii="Arial" w:hAnsi="Arial"/>
          <w:bCs/>
        </w:rPr>
        <w:fldChar w:fldCharType="end"/>
      </w:r>
      <w:r>
        <w:rPr>
          <w:rFonts w:ascii="Arial" w:hAnsi="Arial"/>
          <w:bCs/>
        </w:rPr>
        <w:t>.</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Antioxidant Activity Assay of Gallic Acid Standard</w:t>
      </w:r>
    </w:p>
    <w:p w:rsidR="00A471DE" w:rsidRDefault="00323E20">
      <w:pPr>
        <w:widowControl w:val="0"/>
        <w:autoSpaceDE w:val="0"/>
        <w:autoSpaceDN w:val="0"/>
        <w:jc w:val="both"/>
        <w:rPr>
          <w:rFonts w:ascii="Arial" w:hAnsi="Arial"/>
          <w:bCs/>
        </w:rPr>
      </w:pPr>
      <w:r>
        <w:rPr>
          <w:rFonts w:ascii="Arial" w:hAnsi="Arial"/>
          <w:bCs/>
        </w:rPr>
        <w:t>A gallic acid solution (50 µg/mL) was prepared and diluted to obtain concentrations of 1, 2, 3, 4, and 5 µg/</w:t>
      </w:r>
      <w:proofErr w:type="spellStart"/>
      <w:r>
        <w:rPr>
          <w:rFonts w:ascii="Arial" w:hAnsi="Arial"/>
          <w:bCs/>
        </w:rPr>
        <w:t>mL.</w:t>
      </w:r>
      <w:proofErr w:type="spellEnd"/>
      <w:r>
        <w:rPr>
          <w:rFonts w:ascii="Arial" w:hAnsi="Arial"/>
          <w:bCs/>
        </w:rPr>
        <w:t xml:space="preserve"> Each solution (2 mL) was mixed with 4 mL of DPPH solution (35 µg/mL) and incubated in the dark for 30 min. Absorbance was measured at 520 nm. The percentage of inhibition was calculated to generate a linear regression equation and determine the IC</w:t>
      </w:r>
      <w:r>
        <w:rPr>
          <w:rFonts w:ascii="Cambria Math" w:hAnsi="Cambria Math" w:cs="Cambria Math"/>
          <w:bCs/>
        </w:rPr>
        <w:t>₅₀</w:t>
      </w:r>
      <w:r>
        <w:rPr>
          <w:rFonts w:ascii="Arial" w:hAnsi="Arial"/>
          <w:bCs/>
        </w:rPr>
        <w:t xml:space="preserve"> value.</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Antioxidant Activity Assay of Cotton Fruit Peel Extract</w:t>
      </w:r>
    </w:p>
    <w:p w:rsidR="00A471DE" w:rsidRDefault="00323E20">
      <w:pPr>
        <w:widowControl w:val="0"/>
        <w:autoSpaceDE w:val="0"/>
        <w:autoSpaceDN w:val="0"/>
        <w:jc w:val="both"/>
        <w:rPr>
          <w:rFonts w:ascii="Arial" w:hAnsi="Arial"/>
          <w:bCs/>
        </w:rPr>
      </w:pPr>
      <w:r>
        <w:rPr>
          <w:rFonts w:ascii="Arial" w:hAnsi="Arial"/>
          <w:bCs/>
        </w:rPr>
        <w:t>The extract (25 mg) was dissolved in methanol to obtain a stock solution of 250 µg/</w:t>
      </w:r>
      <w:proofErr w:type="spellStart"/>
      <w:r>
        <w:rPr>
          <w:rFonts w:ascii="Arial" w:hAnsi="Arial"/>
          <w:bCs/>
        </w:rPr>
        <w:t>mL.</w:t>
      </w:r>
      <w:proofErr w:type="spellEnd"/>
      <w:r>
        <w:rPr>
          <w:rFonts w:ascii="Arial" w:hAnsi="Arial"/>
          <w:bCs/>
        </w:rPr>
        <w:t xml:space="preserve"> This solution was diluted to final concentrations of 5, 10, 15, 20, and 25 µg/</w:t>
      </w:r>
      <w:proofErr w:type="spellStart"/>
      <w:r>
        <w:rPr>
          <w:rFonts w:ascii="Arial" w:hAnsi="Arial"/>
          <w:bCs/>
        </w:rPr>
        <w:t>mL.</w:t>
      </w:r>
      <w:proofErr w:type="spellEnd"/>
      <w:r>
        <w:rPr>
          <w:rFonts w:ascii="Arial" w:hAnsi="Arial"/>
          <w:bCs/>
        </w:rPr>
        <w:t xml:space="preserve"> Each dilution (2 mL) was mixed with 4 mL of DPPH solution (35 µg/mL) and incubated in the dark for 30 min. Absorbance was measured at 520 nm. Antioxidant activity was expressed as percentage inhibition and IC</w:t>
      </w:r>
      <w:r>
        <w:rPr>
          <w:rFonts w:ascii="Arial" w:hAnsi="Arial"/>
          <w:bCs/>
          <w:vertAlign w:val="subscript"/>
        </w:rPr>
        <w:t xml:space="preserve">50 </w:t>
      </w:r>
      <w:r>
        <w:rPr>
          <w:rFonts w:ascii="Arial" w:hAnsi="Arial"/>
          <w:bCs/>
        </w:rPr>
        <w:t>value.</w:t>
      </w:r>
    </w:p>
    <w:p w:rsidR="00A471DE" w:rsidRDefault="00A471DE">
      <w:pPr>
        <w:widowControl w:val="0"/>
        <w:autoSpaceDE w:val="0"/>
        <w:autoSpaceDN w:val="0"/>
        <w:jc w:val="both"/>
        <w:rPr>
          <w:rFonts w:ascii="Arial" w:hAnsi="Arial"/>
          <w:bCs/>
        </w:rPr>
      </w:pPr>
    </w:p>
    <w:p w:rsidR="00A471DE" w:rsidRDefault="00323E20">
      <w:pPr>
        <w:widowControl w:val="0"/>
        <w:autoSpaceDE w:val="0"/>
        <w:autoSpaceDN w:val="0"/>
        <w:jc w:val="both"/>
        <w:rPr>
          <w:rFonts w:ascii="Arial" w:hAnsi="Arial"/>
          <w:b/>
        </w:rPr>
      </w:pPr>
      <w:r>
        <w:rPr>
          <w:rFonts w:ascii="Arial" w:hAnsi="Arial"/>
          <w:b/>
        </w:rPr>
        <w:t>Data Analysis</w:t>
      </w:r>
    </w:p>
    <w:p w:rsidR="00A471DE" w:rsidRDefault="00323E20">
      <w:pPr>
        <w:widowControl w:val="0"/>
        <w:autoSpaceDE w:val="0"/>
        <w:autoSpaceDN w:val="0"/>
        <w:jc w:val="both"/>
        <w:rPr>
          <w:rFonts w:ascii="Arial" w:hAnsi="Arial"/>
          <w:bCs/>
        </w:rPr>
      </w:pPr>
      <w:r>
        <w:rPr>
          <w:rFonts w:ascii="Arial" w:hAnsi="Arial"/>
          <w:bCs/>
        </w:rPr>
        <w:t>Total phenolic content was calculated using a linear regression equation derived from the gallic acid calibration curve. Antioxidant activity was determined based on the percentage of DPPH radical scavenging, calculated as:</w:t>
      </w:r>
    </w:p>
    <w:p w:rsidR="00A471DE" w:rsidRDefault="00323E20">
      <w:pPr>
        <w:widowControl w:val="0"/>
        <w:autoSpaceDE w:val="0"/>
        <w:autoSpaceDN w:val="0"/>
        <w:jc w:val="both"/>
        <w:rPr>
          <w:rFonts w:ascii="Arial" w:hAnsi="Arial"/>
          <w:bCs/>
        </w:rPr>
      </w:pPr>
      <m:oMathPara>
        <m:oMath>
          <m:r>
            <m:rPr>
              <m:sty m:val="p"/>
            </m:rPr>
            <w:rPr>
              <w:rFonts w:ascii="Cambria Math" w:hAnsi="Cambria Math" w:cs="Arial"/>
              <w:sz w:val="22"/>
              <w:szCs w:val="22"/>
            </w:rPr>
            <m:t xml:space="preserve">% Inhibition = </m:t>
          </m:r>
          <m:f>
            <m:fPr>
              <m:ctrlPr>
                <w:rPr>
                  <w:rFonts w:ascii="Cambria Math" w:hAnsi="Cambria Math" w:cs="Arial"/>
                  <w:sz w:val="22"/>
                  <w:szCs w:val="22"/>
                </w:rPr>
              </m:ctrlPr>
            </m:fPr>
            <m:num>
              <m:r>
                <m:rPr>
                  <m:sty m:val="p"/>
                </m:rPr>
                <w:rPr>
                  <w:rFonts w:ascii="Cambria Math" w:hAnsi="Cambria Math" w:cs="Arial"/>
                  <w:sz w:val="22"/>
                  <w:szCs w:val="22"/>
                </w:rPr>
                <m:t>A0-As</m:t>
              </m:r>
            </m:num>
            <m:den>
              <m:r>
                <m:rPr>
                  <m:sty m:val="p"/>
                </m:rPr>
                <w:rPr>
                  <w:rFonts w:ascii="Cambria Math" w:hAnsi="Cambria Math" w:cs="Arial"/>
                  <w:sz w:val="22"/>
                  <w:szCs w:val="22"/>
                </w:rPr>
                <m:t>A0</m:t>
              </m:r>
            </m:den>
          </m:f>
        </m:oMath>
      </m:oMathPara>
    </w:p>
    <w:p w:rsidR="00A471DE" w:rsidRDefault="00A471DE">
      <w:pPr>
        <w:widowControl w:val="0"/>
        <w:autoSpaceDE w:val="0"/>
        <w:autoSpaceDN w:val="0"/>
        <w:rPr>
          <w:rFonts w:ascii="Arial" w:hAnsi="Arial" w:cs="Arial"/>
          <w:b/>
          <w:bCs/>
          <w:sz w:val="24"/>
          <w:szCs w:val="24"/>
        </w:rPr>
      </w:pPr>
    </w:p>
    <w:p w:rsidR="00A471DE" w:rsidRDefault="00323E20">
      <w:pPr>
        <w:pStyle w:val="Body"/>
        <w:spacing w:after="0"/>
        <w:rPr>
          <w:rFonts w:ascii="Arial" w:hAnsi="Arial" w:cs="Arial"/>
        </w:rPr>
      </w:pPr>
      <w:r>
        <w:rPr>
          <w:rFonts w:ascii="Arial" w:hAnsi="Arial"/>
        </w:rPr>
        <w:t xml:space="preserve">The </w:t>
      </w:r>
      <w:r>
        <w:rPr>
          <w:rFonts w:ascii="Arial" w:hAnsi="Arial"/>
          <w:bCs/>
        </w:rPr>
        <w:t>IC</w:t>
      </w:r>
      <w:r>
        <w:rPr>
          <w:rFonts w:ascii="Arial" w:hAnsi="Arial"/>
          <w:bCs/>
          <w:vertAlign w:val="subscript"/>
        </w:rPr>
        <w:t xml:space="preserve">50 </w:t>
      </w:r>
      <w:r>
        <w:rPr>
          <w:rFonts w:ascii="Arial" w:hAnsi="Arial"/>
        </w:rPr>
        <w:t xml:space="preserve">value was defined as the concentration of extract required to inhibit 50% of DPPH radicals and was obtained from the regression equation of percentage inhibition versus sample concentration. Lower </w:t>
      </w:r>
      <w:r>
        <w:rPr>
          <w:rFonts w:ascii="Arial" w:hAnsi="Arial"/>
          <w:bCs/>
        </w:rPr>
        <w:t>IC</w:t>
      </w:r>
      <w:r>
        <w:rPr>
          <w:rFonts w:ascii="Arial" w:hAnsi="Arial"/>
          <w:bCs/>
          <w:vertAlign w:val="subscript"/>
        </w:rPr>
        <w:t xml:space="preserve">50 </w:t>
      </w:r>
      <w:r>
        <w:rPr>
          <w:rFonts w:ascii="Arial" w:hAnsi="Arial"/>
        </w:rPr>
        <w:t>values indicate stronger antioxidant activity.</w:t>
      </w:r>
    </w:p>
    <w:p w:rsidR="00A471DE" w:rsidRDefault="00A471DE">
      <w:pPr>
        <w:pStyle w:val="Body"/>
        <w:spacing w:after="0"/>
        <w:rPr>
          <w:rFonts w:ascii="Arial" w:hAnsi="Arial" w:cs="Arial"/>
        </w:rPr>
      </w:pPr>
    </w:p>
    <w:p w:rsidR="00A471DE" w:rsidRDefault="00323E20">
      <w:pPr>
        <w:pStyle w:val="Head1"/>
        <w:spacing w:after="0"/>
        <w:jc w:val="both"/>
        <w:rPr>
          <w:rFonts w:ascii="Arial" w:hAnsi="Arial" w:cs="Arial"/>
        </w:rPr>
      </w:pPr>
      <w:r>
        <w:rPr>
          <w:rFonts w:ascii="Arial" w:hAnsi="Arial" w:cs="Arial"/>
        </w:rPr>
        <w:lastRenderedPageBreak/>
        <w:t>3. results and discussion</w:t>
      </w:r>
    </w:p>
    <w:p w:rsidR="00A471DE" w:rsidRDefault="00A471DE">
      <w:pPr>
        <w:pStyle w:val="Head1"/>
        <w:spacing w:after="0"/>
        <w:jc w:val="both"/>
        <w:rPr>
          <w:rFonts w:ascii="Arial" w:hAnsi="Arial" w:cs="Arial"/>
        </w:rPr>
      </w:pPr>
    </w:p>
    <w:p w:rsidR="00A471DE" w:rsidRDefault="00323E20">
      <w:pPr>
        <w:jc w:val="both"/>
        <w:rPr>
          <w:rFonts w:ascii="Arial" w:hAnsi="Arial" w:cs="Arial"/>
        </w:rPr>
      </w:pPr>
      <w:r>
        <w:rPr>
          <w:rFonts w:ascii="Arial" w:hAnsi="Arial" w:cs="Arial"/>
        </w:rPr>
        <w:t xml:space="preserve">From 500 g of dried cotton fruit peel </w:t>
      </w:r>
      <w:proofErr w:type="spellStart"/>
      <w:r>
        <w:rPr>
          <w:rFonts w:ascii="Arial" w:hAnsi="Arial" w:cs="Arial"/>
        </w:rPr>
        <w:t>simplicia</w:t>
      </w:r>
      <w:proofErr w:type="spellEnd"/>
      <w:r>
        <w:rPr>
          <w:rFonts w:ascii="Arial" w:hAnsi="Arial" w:cs="Arial"/>
        </w:rPr>
        <w:t xml:space="preserve">, 62.65 g of viscous ethanolic extract was obtained, corresponding to an extraction yield of 12.53%. The relatively high yield indicates effective solvent penetration and extraction efficiency using sequential maceration with 70% and 96% ethanol </w:t>
      </w:r>
      <w:r w:rsidR="00FB7578">
        <w:rPr>
          <w:rFonts w:ascii="Arial" w:hAnsi="Arial" w:cs="Arial"/>
        </w:rPr>
        <w:fldChar w:fldCharType="begin" w:fldLock="1"/>
      </w:r>
      <w:r w:rsidR="004839F1">
        <w:rPr>
          <w:rFonts w:ascii="Arial" w:hAnsi="Arial" w:cs="Arial"/>
        </w:rPr>
        <w:instrText>ADDIN CSL_CITATION {"citationItems":[{"id":"ITEM-1","itemData":{"DOI":"10.1016/j.foodchem.2021.131918","author":[{"dropping-particle":"","family":"Gil-martín","given":"Emilio","non-dropping-particle":"","parse-names":false,"suffix":""},{"dropping-particle":"","family":"Forbes-hern","given":"Tamara","non-dropping-particle":"","parse-names":false,"suffix":""},{"dropping-particle":"","family":"Romero","given":"Alejandro","non-dropping-particle":"","parse-names":false,"suffix":""},{"dropping-particle":"","family":"Cianciosi","given":"Danila","non-dropping-particle":"","parse-names":false,"suffix":""},{"dropping-particle":"","family":"Giampieri","given":"Francesca","non-dropping-particle":"","parse-names":false,"suffix":""},{"dropping-particle":"","family":"Battino","given":"Maurizio","non-dropping-particle":"","parse-names":false,"suffix":""}],"container-title":"Food Chemistry","id":"ITEM-1","issued":{"date-parts":[["2022"]]},"note":"Jan-10","title":"Influence of the extraction method on the recovery of bioactive phenolic compounds from food industry by-products","type":"article-journal","volume":"378"},"uris":["http://www.mendeley.com/documents/?uuid=25f06d0d-71a4-49fc-ae3f-87aca0503757"]}],"mendeley":{"formattedCitation":"(Gil-martín et al., 2022)","plainTextFormattedCitation":"(Gil-martín et al., 2022)","previouslyFormattedCitation":"(Gil-martín et al., 2022)"},"properties":{"noteIndex":0},"schema":"https://github.com/citation-style-language/schema/raw/master/csl-citation.json"}</w:instrText>
      </w:r>
      <w:r w:rsidR="00FB7578">
        <w:rPr>
          <w:rFonts w:ascii="Arial" w:hAnsi="Arial" w:cs="Arial"/>
        </w:rPr>
        <w:fldChar w:fldCharType="separate"/>
      </w:r>
      <w:r w:rsidR="004839F1" w:rsidRPr="004839F1">
        <w:rPr>
          <w:rFonts w:ascii="Arial" w:hAnsi="Arial" w:cs="Arial"/>
          <w:noProof/>
        </w:rPr>
        <w:t>(Gil-martín et al., 2022)</w:t>
      </w:r>
      <w:r w:rsidR="00FB7578">
        <w:rPr>
          <w:rFonts w:ascii="Arial" w:hAnsi="Arial" w:cs="Arial"/>
        </w:rPr>
        <w:fldChar w:fldCharType="end"/>
      </w:r>
      <w:r>
        <w:rPr>
          <w:rFonts w:ascii="Arial" w:hAnsi="Arial" w:cs="Arial"/>
        </w:rPr>
        <w:t xml:space="preserve">. Organoleptic evaluation showed that the extract was dark brown in color, viscous in texture, and possessed a characteristic odor. Preliminary phytochemical screening revealed the presence of several secondary metabolites, particularly phenolic-related compounds, which are known to contribute to antioxidant </w:t>
      </w:r>
      <w:proofErr w:type="spellStart"/>
      <w:proofErr w:type="gramStart"/>
      <w:r>
        <w:rPr>
          <w:rFonts w:ascii="Arial" w:hAnsi="Arial" w:cs="Arial"/>
        </w:rPr>
        <w:t>activity.</w:t>
      </w:r>
      <w:r>
        <w:rPr>
          <w:rFonts w:ascii="Arial" w:hAnsi="Arial"/>
        </w:rPr>
        <w:t>The</w:t>
      </w:r>
      <w:proofErr w:type="spellEnd"/>
      <w:proofErr w:type="gramEnd"/>
      <w:r>
        <w:rPr>
          <w:rFonts w:ascii="Arial" w:hAnsi="Arial"/>
        </w:rPr>
        <w:t xml:space="preserve"> extraction yield of 12.53% obtained from sequential maceration using 70% and 96% ethanol indicates efficient recovery of extractable compounds from cotton fruit peel. The use of hydroethanolic solvent systems is known to enhance solvent penetration into plant matrices and facilitate the dissolution of both moderately polar and polar secondary metabolites, particularly phenolic compounds. The relatively high yield suggests that cotton fruit peel contains a substantial </w:t>
      </w:r>
      <w:proofErr w:type="gramStart"/>
      <w:r>
        <w:rPr>
          <w:rFonts w:ascii="Arial" w:hAnsi="Arial"/>
        </w:rPr>
        <w:t>amount</w:t>
      </w:r>
      <w:proofErr w:type="gramEnd"/>
      <w:r>
        <w:rPr>
          <w:rFonts w:ascii="Arial" w:hAnsi="Arial"/>
        </w:rPr>
        <w:t xml:space="preserve"> of ethanol-soluble constituents, supporting its potential as a valuable source of bioactive compounds rather than merely an agricultural by-product.</w:t>
      </w:r>
    </w:p>
    <w:p w:rsidR="00A471DE" w:rsidRDefault="00A471DE">
      <w:pPr>
        <w:rPr>
          <w:rFonts w:ascii="Arial" w:hAnsi="Arial" w:cs="Arial"/>
        </w:rPr>
      </w:pPr>
    </w:p>
    <w:p w:rsidR="00A471DE" w:rsidRDefault="00323E20">
      <w:pPr>
        <w:rPr>
          <w:rFonts w:ascii="Arial" w:hAnsi="Arial" w:cs="Arial"/>
          <w:b/>
        </w:rPr>
      </w:pPr>
      <w:r>
        <w:rPr>
          <w:rFonts w:ascii="Arial" w:hAnsi="Arial" w:cs="Arial"/>
          <w:b/>
        </w:rPr>
        <w:t>Table 1. Extraction Yield and Physical Characteristics of Cotton Fruit Peel Extract</w:t>
      </w:r>
    </w:p>
    <w:tbl>
      <w:tblPr>
        <w:tblStyle w:val="TableGrid"/>
        <w:tblW w:w="4857" w:type="pct"/>
        <w:tblInd w:w="1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4453"/>
      </w:tblGrid>
      <w:tr w:rsidR="00A471DE">
        <w:trPr>
          <w:trHeight w:val="254"/>
        </w:trPr>
        <w:tc>
          <w:tcPr>
            <w:tcW w:w="2279" w:type="pct"/>
            <w:tcBorders>
              <w:top w:val="single" w:sz="4" w:space="0" w:color="auto"/>
              <w:bottom w:val="single" w:sz="4" w:space="0" w:color="auto"/>
            </w:tcBorders>
          </w:tcPr>
          <w:p w:rsidR="00A471DE" w:rsidRDefault="00323E20">
            <w:pPr>
              <w:widowControl w:val="0"/>
              <w:autoSpaceDE w:val="0"/>
              <w:autoSpaceDN w:val="0"/>
              <w:rPr>
                <w:rFonts w:ascii="Arial" w:hAnsi="Arial" w:cs="Arial"/>
                <w:b/>
                <w:sz w:val="20"/>
                <w:szCs w:val="20"/>
              </w:rPr>
            </w:pPr>
            <w:r>
              <w:rPr>
                <w:rFonts w:ascii="Arial" w:hAnsi="Arial" w:cs="Arial"/>
                <w:b/>
                <w:sz w:val="20"/>
                <w:szCs w:val="20"/>
              </w:rPr>
              <w:t>Parameter</w:t>
            </w:r>
          </w:p>
        </w:tc>
        <w:tc>
          <w:tcPr>
            <w:tcW w:w="2720" w:type="pct"/>
            <w:tcBorders>
              <w:top w:val="single" w:sz="4" w:space="0" w:color="auto"/>
              <w:bottom w:val="single" w:sz="4" w:space="0" w:color="auto"/>
            </w:tcBorders>
          </w:tcPr>
          <w:p w:rsidR="00A471DE" w:rsidRDefault="00323E20">
            <w:pPr>
              <w:widowControl w:val="0"/>
              <w:autoSpaceDE w:val="0"/>
              <w:autoSpaceDN w:val="0"/>
              <w:rPr>
                <w:rFonts w:ascii="Arial" w:hAnsi="Arial" w:cs="Arial"/>
                <w:b/>
                <w:sz w:val="20"/>
                <w:szCs w:val="20"/>
              </w:rPr>
            </w:pPr>
            <w:r>
              <w:rPr>
                <w:rFonts w:ascii="Arial" w:hAnsi="Arial" w:cs="Arial"/>
                <w:b/>
                <w:bCs/>
                <w:sz w:val="20"/>
                <w:szCs w:val="20"/>
                <w:lang w:eastAsia="zh-CN"/>
              </w:rPr>
              <w:t>Result</w:t>
            </w:r>
          </w:p>
        </w:tc>
      </w:tr>
      <w:tr w:rsidR="00A471DE">
        <w:trPr>
          <w:trHeight w:val="232"/>
        </w:trPr>
        <w:tc>
          <w:tcPr>
            <w:tcW w:w="2279" w:type="pct"/>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Fresh sample weight</w:t>
            </w:r>
          </w:p>
        </w:tc>
        <w:tc>
          <w:tcPr>
            <w:tcW w:w="2720" w:type="pct"/>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2 kg</w:t>
            </w:r>
          </w:p>
        </w:tc>
      </w:tr>
      <w:tr w:rsidR="00A471DE">
        <w:trPr>
          <w:trHeight w:val="22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 xml:space="preserve">Dried </w:t>
            </w:r>
            <w:proofErr w:type="spellStart"/>
            <w:r>
              <w:rPr>
                <w:rFonts w:ascii="Arial" w:hAnsi="Arial" w:cs="Arial"/>
                <w:sz w:val="20"/>
                <w:szCs w:val="20"/>
                <w:lang w:eastAsia="zh-CN"/>
              </w:rPr>
              <w:t>simplicia</w:t>
            </w:r>
            <w:proofErr w:type="spellEnd"/>
            <w:r>
              <w:rPr>
                <w:rFonts w:ascii="Arial" w:hAnsi="Arial" w:cs="Arial"/>
                <w:sz w:val="20"/>
                <w:szCs w:val="20"/>
                <w:lang w:eastAsia="zh-CN"/>
              </w:rPr>
              <w:t xml:space="preserve"> weight</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500 g</w:t>
            </w:r>
          </w:p>
        </w:tc>
      </w:tr>
      <w:tr w:rsidR="00A471DE">
        <w:trPr>
          <w:trHeight w:val="22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Extract weight</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62.65 g</w:t>
            </w:r>
          </w:p>
        </w:tc>
      </w:tr>
      <w:tr w:rsidR="00A471DE">
        <w:trPr>
          <w:trHeight w:val="22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Extraction yield</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12.53%</w:t>
            </w:r>
          </w:p>
        </w:tc>
      </w:tr>
      <w:tr w:rsidR="00A471DE">
        <w:trPr>
          <w:trHeight w:val="22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Color</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Dark brown</w:t>
            </w:r>
          </w:p>
        </w:tc>
      </w:tr>
      <w:tr w:rsidR="00A471DE">
        <w:trPr>
          <w:trHeight w:val="22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Consistency</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Viscous</w:t>
            </w:r>
          </w:p>
        </w:tc>
      </w:tr>
      <w:tr w:rsidR="00A471DE">
        <w:trPr>
          <w:trHeight w:val="232"/>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Odor</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Characteristic</w:t>
            </w:r>
          </w:p>
        </w:tc>
      </w:tr>
    </w:tbl>
    <w:p w:rsidR="00A471DE" w:rsidRDefault="00A471DE">
      <w:pPr>
        <w:rPr>
          <w:rFonts w:ascii="Arial" w:hAnsi="Arial" w:cs="Arial"/>
        </w:rPr>
      </w:pPr>
    </w:p>
    <w:p w:rsidR="00A471DE" w:rsidRDefault="00707159">
      <w:pPr>
        <w:jc w:val="both"/>
        <w:rPr>
          <w:rFonts w:ascii="Arial" w:hAnsi="Arial" w:cs="Arial"/>
        </w:rPr>
      </w:pPr>
      <w:r w:rsidRPr="00707159">
        <w:rPr>
          <w:rFonts w:ascii="Arial" w:hAnsi="Arial" w:cs="Arial"/>
        </w:rPr>
        <w:t xml:space="preserve">Using gallic acid as the reference standard, the </w:t>
      </w:r>
      <w:proofErr w:type="spellStart"/>
      <w:r w:rsidRPr="00707159">
        <w:rPr>
          <w:rFonts w:ascii="Arial" w:hAnsi="Arial" w:cs="Arial"/>
        </w:rPr>
        <w:t>Folin</w:t>
      </w:r>
      <w:proofErr w:type="spellEnd"/>
      <w:r w:rsidRPr="00707159">
        <w:rPr>
          <w:rFonts w:ascii="Arial" w:hAnsi="Arial" w:cs="Arial"/>
        </w:rPr>
        <w:t>–</w:t>
      </w:r>
      <w:proofErr w:type="spellStart"/>
      <w:r w:rsidRPr="00707159">
        <w:rPr>
          <w:rFonts w:ascii="Arial" w:hAnsi="Arial" w:cs="Arial"/>
        </w:rPr>
        <w:t>Ciocalteu</w:t>
      </w:r>
      <w:proofErr w:type="spellEnd"/>
      <w:r w:rsidRPr="00707159">
        <w:rPr>
          <w:rFonts w:ascii="Arial" w:hAnsi="Arial" w:cs="Arial"/>
        </w:rPr>
        <w:t xml:space="preserve"> technique was used to calculate the total phenolic content</w:t>
      </w:r>
      <w:bookmarkStart w:id="0" w:name="_GoBack"/>
      <w:bookmarkEnd w:id="0"/>
      <w:r w:rsidR="00323E20">
        <w:rPr>
          <w:rFonts w:ascii="Arial" w:hAnsi="Arial" w:cs="Arial"/>
        </w:rPr>
        <w:t xml:space="preserve">. The calibration curve of gallic acid showed excellent linearity (r = 0.9999), indicating the reliability of the analytical method. Based on the regression equation, the total phenolic content of the ethanolic extract of cotton fruit peel was found to be 9.699% w/w. This result confirms that cotton fruit peel contains a considerable </w:t>
      </w:r>
      <w:proofErr w:type="gramStart"/>
      <w:r w:rsidR="00323E20">
        <w:rPr>
          <w:rFonts w:ascii="Arial" w:hAnsi="Arial" w:cs="Arial"/>
        </w:rPr>
        <w:t>amount</w:t>
      </w:r>
      <w:proofErr w:type="gramEnd"/>
      <w:r w:rsidR="00323E20">
        <w:rPr>
          <w:rFonts w:ascii="Arial" w:hAnsi="Arial" w:cs="Arial"/>
        </w:rPr>
        <w:t xml:space="preserve"> of phenolic compounds, which play a major role in antioxidant mechanisms through electron or hydrogen atom donation.</w:t>
      </w:r>
    </w:p>
    <w:p w:rsidR="00A471DE" w:rsidRDefault="00A471DE">
      <w:pPr>
        <w:rPr>
          <w:rFonts w:ascii="Arial" w:hAnsi="Arial" w:cs="Arial"/>
        </w:rPr>
      </w:pPr>
    </w:p>
    <w:p w:rsidR="00A471DE" w:rsidRDefault="00323E20">
      <w:pPr>
        <w:rPr>
          <w:rFonts w:ascii="Arial" w:hAnsi="Arial" w:cs="Arial"/>
          <w:b/>
        </w:rPr>
      </w:pPr>
      <w:r>
        <w:rPr>
          <w:rFonts w:ascii="Arial" w:hAnsi="Arial" w:cs="Arial"/>
          <w:b/>
        </w:rPr>
        <w:t>Table 2. Validation Parameters and Total Phenolic Content</w:t>
      </w:r>
    </w:p>
    <w:tbl>
      <w:tblPr>
        <w:tblStyle w:val="TableGrid"/>
        <w:tblW w:w="4781" w:type="pct"/>
        <w:tblInd w:w="14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4384"/>
      </w:tblGrid>
      <w:tr w:rsidR="00A471DE">
        <w:trPr>
          <w:trHeight w:val="252"/>
        </w:trPr>
        <w:tc>
          <w:tcPr>
            <w:tcW w:w="2279" w:type="pct"/>
            <w:tcBorders>
              <w:top w:val="single" w:sz="4" w:space="0" w:color="auto"/>
              <w:bottom w:val="single" w:sz="4" w:space="0" w:color="auto"/>
            </w:tcBorders>
          </w:tcPr>
          <w:p w:rsidR="00A471DE" w:rsidRDefault="00323E20">
            <w:pPr>
              <w:widowControl w:val="0"/>
              <w:autoSpaceDE w:val="0"/>
              <w:autoSpaceDN w:val="0"/>
              <w:rPr>
                <w:rFonts w:ascii="Arial" w:hAnsi="Arial" w:cs="Arial"/>
                <w:b/>
                <w:sz w:val="20"/>
                <w:szCs w:val="20"/>
              </w:rPr>
            </w:pPr>
            <w:r>
              <w:rPr>
                <w:rFonts w:ascii="Arial" w:hAnsi="Arial" w:cs="Arial"/>
                <w:b/>
                <w:sz w:val="20"/>
                <w:szCs w:val="20"/>
              </w:rPr>
              <w:t>Parameter</w:t>
            </w:r>
          </w:p>
        </w:tc>
        <w:tc>
          <w:tcPr>
            <w:tcW w:w="2720" w:type="pct"/>
            <w:tcBorders>
              <w:top w:val="single" w:sz="4" w:space="0" w:color="auto"/>
              <w:bottom w:val="single" w:sz="4" w:space="0" w:color="auto"/>
            </w:tcBorders>
          </w:tcPr>
          <w:p w:rsidR="00A471DE" w:rsidRDefault="00323E20">
            <w:pPr>
              <w:widowControl w:val="0"/>
              <w:autoSpaceDE w:val="0"/>
              <w:autoSpaceDN w:val="0"/>
              <w:rPr>
                <w:rFonts w:ascii="Arial" w:hAnsi="Arial" w:cs="Arial"/>
                <w:b/>
                <w:sz w:val="20"/>
                <w:szCs w:val="20"/>
              </w:rPr>
            </w:pPr>
            <w:r>
              <w:rPr>
                <w:rFonts w:ascii="Arial" w:hAnsi="Arial" w:cs="Arial"/>
                <w:b/>
                <w:bCs/>
                <w:sz w:val="20"/>
                <w:szCs w:val="20"/>
                <w:lang w:eastAsia="zh-CN"/>
              </w:rPr>
              <w:t>Value</w:t>
            </w:r>
          </w:p>
        </w:tc>
      </w:tr>
      <w:tr w:rsidR="00A471DE">
        <w:trPr>
          <w:trHeight w:val="230"/>
        </w:trPr>
        <w:tc>
          <w:tcPr>
            <w:tcW w:w="2279" w:type="pct"/>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Regression equation</w:t>
            </w:r>
          </w:p>
        </w:tc>
        <w:tc>
          <w:tcPr>
            <w:tcW w:w="2720" w:type="pct"/>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i/>
                <w:iCs/>
                <w:sz w:val="20"/>
                <w:szCs w:val="20"/>
                <w:lang w:eastAsia="zh-CN"/>
              </w:rPr>
              <w:t>y</w:t>
            </w:r>
            <w:r>
              <w:rPr>
                <w:rFonts w:ascii="Arial" w:hAnsi="Arial" w:cs="Arial"/>
                <w:sz w:val="20"/>
                <w:szCs w:val="20"/>
                <w:lang w:eastAsia="zh-CN"/>
              </w:rPr>
              <w:t xml:space="preserve"> = 0.0246 + 0.00519</w:t>
            </w:r>
            <w:r>
              <w:rPr>
                <w:rFonts w:ascii="Arial" w:hAnsi="Arial" w:cs="Arial"/>
                <w:i/>
                <w:iCs/>
                <w:sz w:val="20"/>
                <w:szCs w:val="20"/>
                <w:lang w:eastAsia="zh-CN"/>
              </w:rPr>
              <w:t>x</w:t>
            </w:r>
          </w:p>
        </w:tc>
      </w:tr>
      <w:tr w:rsidR="00A471DE">
        <w:trPr>
          <w:trHeight w:val="220"/>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Correlation coefficient (</w:t>
            </w:r>
            <w:r>
              <w:rPr>
                <w:rFonts w:ascii="Arial" w:hAnsi="Arial" w:cs="Arial"/>
                <w:i/>
                <w:iCs/>
                <w:sz w:val="20"/>
                <w:szCs w:val="20"/>
                <w:lang w:eastAsia="zh-CN"/>
              </w:rPr>
              <w:t>r</w:t>
            </w:r>
            <w:r>
              <w:rPr>
                <w:rFonts w:ascii="Arial" w:hAnsi="Arial" w:cs="Arial"/>
                <w:sz w:val="20"/>
                <w:szCs w:val="20"/>
                <w:lang w:eastAsia="zh-CN"/>
              </w:rPr>
              <w:t>)</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0.9999</w:t>
            </w:r>
          </w:p>
        </w:tc>
      </w:tr>
      <w:tr w:rsidR="00A471DE">
        <w:trPr>
          <w:trHeight w:val="220"/>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Limit of detection (LOD)</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1.676 µg/mL</w:t>
            </w:r>
          </w:p>
        </w:tc>
      </w:tr>
      <w:tr w:rsidR="00A471DE">
        <w:trPr>
          <w:trHeight w:val="220"/>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Limit of quantification (LOQ)</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5.587 µg/mL</w:t>
            </w:r>
          </w:p>
        </w:tc>
      </w:tr>
      <w:tr w:rsidR="00A471DE">
        <w:trPr>
          <w:trHeight w:val="230"/>
        </w:trPr>
        <w:tc>
          <w:tcPr>
            <w:tcW w:w="2279"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Total phenolic content</w:t>
            </w:r>
          </w:p>
        </w:tc>
        <w:tc>
          <w:tcPr>
            <w:tcW w:w="2720" w:type="pct"/>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9.699% w/w</w:t>
            </w:r>
          </w:p>
        </w:tc>
      </w:tr>
    </w:tbl>
    <w:p w:rsidR="00B76452" w:rsidRDefault="00B76452" w:rsidP="00C70B6C">
      <w:pPr>
        <w:jc w:val="both"/>
        <w:rPr>
          <w:rFonts w:ascii="Arial" w:hAnsi="Arial"/>
        </w:rPr>
      </w:pPr>
    </w:p>
    <w:p w:rsidR="00B76452" w:rsidRDefault="00A65A72" w:rsidP="00C70B6C">
      <w:pPr>
        <w:jc w:val="both"/>
        <w:rPr>
          <w:rFonts w:ascii="Arial" w:hAnsi="Arial"/>
        </w:rPr>
      </w:pPr>
      <w:r>
        <w:rPr>
          <w:rFonts w:ascii="Arial" w:hAnsi="Arial"/>
        </w:rPr>
        <w:t>“</w:t>
      </w:r>
      <w:r w:rsidR="00323E20">
        <w:rPr>
          <w:rFonts w:ascii="Arial" w:hAnsi="Arial"/>
        </w:rPr>
        <w:t>The total phenolic content of 9.699% w/w observed in this study demonstrates that cotton fruit peel is rich in phenolic compounds. Phenolics are widely recognized as major contributors to antioxidant activity due to their redox properties, which enable them to act as reducing agents, hydrogen donors, and singlet oxygen quenchers</w:t>
      </w:r>
      <w:r>
        <w:rPr>
          <w:rFonts w:ascii="Arial" w:hAnsi="Arial"/>
        </w:rPr>
        <w:t>”</w:t>
      </w:r>
      <w:r w:rsidR="004839F1">
        <w:rPr>
          <w:rFonts w:ascii="Arial" w:hAnsi="Arial"/>
        </w:rPr>
        <w:t xml:space="preserve"> </w:t>
      </w:r>
      <w:r w:rsidR="00FB7578">
        <w:rPr>
          <w:rFonts w:ascii="Arial" w:hAnsi="Arial"/>
        </w:rPr>
        <w:fldChar w:fldCharType="begin" w:fldLock="1"/>
      </w:r>
      <w:r w:rsidR="004839F1">
        <w:rPr>
          <w:rFonts w:ascii="Arial" w:hAnsi="Arial"/>
        </w:rPr>
        <w:instrText>ADDIN CSL_CITATION {"citationItems":[{"id":"ITEM-1","itemData":{"author":[{"dropping-particle":"","family":"Guneidy","given":"Rasha Awni","non-dropping-particle":"","parse-names":false,"suffix":""},{"dropping-particle":"","family":"Zaki","given":"Eman Ragab","non-dropping-particle":"","parse-names":false,"suffix":""},{"dropping-particle":"","family":"Gad","given":"Abdul Aziz Mohamed","non-dropping-particle":"","parse-names":false,"suffix":""},{"dropping-particle":"","family":"Saleh","given":"Nevein Salah El-Din","non-dropping-particle":"","parse-names":false,"suffix":""},{"dropping-particle":"","family":"Shokeer","given":"","non-dropping-particle":"","parse-names":false,"suffix":""},{"dropping-particle":"","family":"Abeer","given":"","non-dropping-particle":"","parse-names":false,"suffix":""}],"container-title":"Prev. Nutr. Food Sci.","id":"ITEM-1","issue":"September","issued":{"date-parts":[["2022"]]},"note":"Jan 16","page":"282-298","title":"Evaluation of Phenolic Content Diversity along with Antioxidant/Pro-Oxidant, Glutathione Transferase Inhibition, and Cytotoxic Potential of Selected Commonly Used Plants","type":"article-journal","volume":"27"},"uris":["http://www.mendeley.com/documents/?uuid=3e46cb52-00ae-40a8-895c-eb5a8be8d156"]}],"mendeley":{"formattedCitation":"(Guneidy et al., 2022)","plainTextFormattedCitation":"(Guneidy et al., 2022)","previouslyFormattedCitation":"(Guneidy et al., 2022)"},"properties":{"noteIndex":0},"schema":"https://github.com/citation-style-language/schema/raw/master/csl-citation.json"}</w:instrText>
      </w:r>
      <w:r w:rsidR="00FB7578">
        <w:rPr>
          <w:rFonts w:ascii="Arial" w:hAnsi="Arial"/>
        </w:rPr>
        <w:fldChar w:fldCharType="separate"/>
      </w:r>
      <w:r w:rsidR="004839F1" w:rsidRPr="004839F1">
        <w:rPr>
          <w:rFonts w:ascii="Arial" w:hAnsi="Arial"/>
          <w:noProof/>
        </w:rPr>
        <w:t>(Guneidy et al., 2022)</w:t>
      </w:r>
      <w:r w:rsidR="00FB7578">
        <w:rPr>
          <w:rFonts w:ascii="Arial" w:hAnsi="Arial"/>
        </w:rPr>
        <w:fldChar w:fldCharType="end"/>
      </w:r>
      <w:r w:rsidR="00323E20">
        <w:rPr>
          <w:rFonts w:ascii="Arial" w:hAnsi="Arial"/>
        </w:rPr>
        <w:t>. The high phenolic level detected may be attributed to the biological role of fruit peel tissues, which often accumulate phenolic metabolites as a defense mechanism against oxidative stress, microbial attack, and environmental exposure.</w:t>
      </w:r>
    </w:p>
    <w:p w:rsidR="00B76452" w:rsidRDefault="00B76452" w:rsidP="00C70B6C">
      <w:pPr>
        <w:jc w:val="both"/>
        <w:rPr>
          <w:rFonts w:ascii="Arial" w:hAnsi="Arial"/>
        </w:rPr>
      </w:pPr>
    </w:p>
    <w:p w:rsidR="00B76452" w:rsidRDefault="00323E20" w:rsidP="00C70B6C">
      <w:pPr>
        <w:jc w:val="both"/>
        <w:rPr>
          <w:rFonts w:ascii="Arial" w:hAnsi="Arial" w:cs="Arial"/>
        </w:rPr>
      </w:pPr>
      <w:r>
        <w:rPr>
          <w:rFonts w:ascii="Arial" w:hAnsi="Arial"/>
        </w:rPr>
        <w:lastRenderedPageBreak/>
        <w:t xml:space="preserve">Compared with reports on other plant-derived by-products, the phenolic content of cotton fruit peel appears comparable or even superior, indicating its promising potential as a low-cost natural antioxidant source. This finding expands the current knowledge of Gossypium </w:t>
      </w:r>
      <w:proofErr w:type="spellStart"/>
      <w:r>
        <w:rPr>
          <w:rFonts w:ascii="Arial" w:hAnsi="Arial"/>
        </w:rPr>
        <w:t>hirsutum</w:t>
      </w:r>
      <w:proofErr w:type="spellEnd"/>
      <w:r>
        <w:rPr>
          <w:rFonts w:ascii="Arial" w:hAnsi="Arial"/>
        </w:rPr>
        <w:t>, as previous studies have primarily focused on leaves and seeds, with limited attention given to the fruit peel</w:t>
      </w:r>
      <w:r w:rsidR="004839F1">
        <w:rPr>
          <w:rFonts w:ascii="Arial" w:hAnsi="Arial"/>
        </w:rPr>
        <w:t xml:space="preserve"> </w:t>
      </w:r>
      <w:r w:rsidR="00FB7578">
        <w:rPr>
          <w:rFonts w:ascii="Arial" w:hAnsi="Arial"/>
        </w:rPr>
        <w:fldChar w:fldCharType="begin" w:fldLock="1"/>
      </w:r>
      <w:r w:rsidR="004839F1">
        <w:rPr>
          <w:rFonts w:ascii="Arial" w:hAnsi="Arial"/>
        </w:rPr>
        <w:instrText>ADDIN CSL_CITATION {"citationItems":[{"id":"ITEM-1","itemData":{"DOI":"https://doi.org/10.3390/ horticulturae8010070","ISBN":"8613629678561","author":[{"dropping-particle":"","family":"Zhang","given":"Jing","non-dropping-particle":"","parse-names":false,"suffix":""},{"dropping-particle":"","family":"Wang","given":"Yongfen","non-dropping-particle":"","parse-names":false,"suffix":""},{"dropping-particle":"","family":"Yang","given":"Baoming","non-dropping-particle":"","parse-names":false,"suffix":""},{"dropping-particle":"","family":"Li","given":"Yongping","non-dropping-particle":"","parse-names":false,"suffix":""},{"dropping-particle":"","family":"Liu","given":"Lina","non-dropping-particle":"","parse-names":false,"suffix":""},{"dropping-particle":"","family":"Zhou","given":"Weie","non-dropping-particle":"","parse-names":false,"suffix":""},{"dropping-particle":"","family":"Zheng","given":"Si-jun","non-dropping-particle":"","parse-names":false,"suffix":""}],"container-title":"Horticulturae","id":"ITEM-1","issued":{"date-parts":[["2022"]]},"note":"Jan 17","title":"Profiling of Phenolic Compounds of Fruit Peels of Different Ecotype Bananas Derived from Domestic and Imported Cultivars with Different Maturity","type":"article-journal"},"uris":["http://www.mendeley.com/documents/?uuid=849eb518-c9d2-41ac-b53a-311275c45eeb"]}],"mendeley":{"formattedCitation":"(Zhang et al., 2022)","plainTextFormattedCitation":"(Zhang et al., 2022)","previouslyFormattedCitation":"(Zhang et al., 2022)"},"properties":{"noteIndex":0},"schema":"https://github.com/citation-style-language/schema/raw/master/csl-citation.json"}</w:instrText>
      </w:r>
      <w:r w:rsidR="00FB7578">
        <w:rPr>
          <w:rFonts w:ascii="Arial" w:hAnsi="Arial"/>
        </w:rPr>
        <w:fldChar w:fldCharType="separate"/>
      </w:r>
      <w:r w:rsidR="004839F1" w:rsidRPr="004839F1">
        <w:rPr>
          <w:rFonts w:ascii="Arial" w:hAnsi="Arial"/>
          <w:noProof/>
        </w:rPr>
        <w:t>(Zhang et al., 2022)</w:t>
      </w:r>
      <w:r w:rsidR="00FB7578">
        <w:rPr>
          <w:rFonts w:ascii="Arial" w:hAnsi="Arial"/>
        </w:rPr>
        <w:fldChar w:fldCharType="end"/>
      </w:r>
      <w:r>
        <w:rPr>
          <w:rFonts w:ascii="Arial" w:hAnsi="Arial"/>
        </w:rPr>
        <w:t>.</w:t>
      </w:r>
    </w:p>
    <w:p w:rsidR="00A471DE" w:rsidRDefault="00A471DE">
      <w:pPr>
        <w:jc w:val="both"/>
        <w:rPr>
          <w:rFonts w:ascii="Arial" w:hAnsi="Arial" w:cs="Arial"/>
        </w:rPr>
      </w:pPr>
    </w:p>
    <w:p w:rsidR="00A471DE" w:rsidRDefault="00323E20">
      <w:pPr>
        <w:jc w:val="both"/>
        <w:rPr>
          <w:rFonts w:ascii="Arial" w:hAnsi="Arial" w:cs="Arial"/>
        </w:rPr>
      </w:pPr>
      <w:r>
        <w:rPr>
          <w:rFonts w:ascii="Arial" w:hAnsi="Arial" w:cs="Arial"/>
        </w:rPr>
        <w:t>Antioxidant activity was evaluated using the DPPH radical scavenging assay. The ethanolic extract exhibited a strong ability to reduce DPPH radicals, as indicated by a decrease in absorbance at 520 nm. The antioxidant activity was expressed as</w:t>
      </w:r>
      <w:r>
        <w:rPr>
          <w:rFonts w:ascii="Arial" w:hAnsi="Arial" w:cs="Arial"/>
          <w:bCs/>
        </w:rPr>
        <w:t>IC</w:t>
      </w:r>
      <w:r>
        <w:rPr>
          <w:rFonts w:ascii="Arial" w:hAnsi="Arial" w:cs="Arial"/>
          <w:bCs/>
          <w:vertAlign w:val="subscript"/>
        </w:rPr>
        <w:t>50</w:t>
      </w:r>
      <w:r>
        <w:rPr>
          <w:rFonts w:ascii="Arial" w:hAnsi="Arial" w:cs="Arial"/>
        </w:rPr>
        <w:t xml:space="preserve"> values, representing the concentration required to inhibit 50% of DPPH radicals.</w:t>
      </w:r>
    </w:p>
    <w:p w:rsidR="00A471DE" w:rsidRDefault="00A471DE">
      <w:pPr>
        <w:rPr>
          <w:rFonts w:ascii="Arial" w:hAnsi="Arial" w:cs="Arial"/>
        </w:rPr>
      </w:pPr>
    </w:p>
    <w:p w:rsidR="00A471DE" w:rsidRDefault="00323E20">
      <w:pPr>
        <w:jc w:val="both"/>
        <w:rPr>
          <w:rFonts w:ascii="Arial" w:hAnsi="Arial" w:cs="Arial"/>
        </w:rPr>
      </w:pPr>
      <w:r>
        <w:rPr>
          <w:rFonts w:ascii="Arial" w:hAnsi="Arial" w:cs="Arial"/>
        </w:rPr>
        <w:t>The</w:t>
      </w:r>
      <w:r>
        <w:rPr>
          <w:rFonts w:ascii="Arial" w:hAnsi="Arial" w:cs="Arial"/>
          <w:bCs/>
        </w:rPr>
        <w:t>IC</w:t>
      </w:r>
      <w:r>
        <w:rPr>
          <w:rFonts w:ascii="Arial" w:hAnsi="Arial" w:cs="Arial"/>
          <w:bCs/>
          <w:vertAlign w:val="subscript"/>
        </w:rPr>
        <w:t xml:space="preserve">50 </w:t>
      </w:r>
      <w:r>
        <w:rPr>
          <w:rFonts w:ascii="Arial" w:hAnsi="Arial" w:cs="Arial"/>
        </w:rPr>
        <w:t>value of the cotton fruit peel extract was 10.40 µg/mL, categorizing it as having very strong antioxidant activity. Gallic acid, used as a reference antioxidant, showed a lower</w:t>
      </w:r>
      <w:r>
        <w:rPr>
          <w:rFonts w:ascii="Arial" w:hAnsi="Arial" w:cs="Arial"/>
          <w:bCs/>
        </w:rPr>
        <w:t>IC</w:t>
      </w:r>
      <w:r>
        <w:rPr>
          <w:rFonts w:ascii="Arial" w:hAnsi="Arial" w:cs="Arial"/>
          <w:bCs/>
          <w:vertAlign w:val="subscript"/>
        </w:rPr>
        <w:t xml:space="preserve">50 </w:t>
      </w:r>
      <w:r>
        <w:rPr>
          <w:rFonts w:ascii="Arial" w:hAnsi="Arial" w:cs="Arial"/>
        </w:rPr>
        <w:t>value of 2.969 µg/</w:t>
      </w:r>
      <w:proofErr w:type="spellStart"/>
      <w:r>
        <w:rPr>
          <w:rFonts w:ascii="Arial" w:hAnsi="Arial" w:cs="Arial"/>
        </w:rPr>
        <w:t>mL.</w:t>
      </w:r>
      <w:proofErr w:type="spellEnd"/>
      <w:r>
        <w:rPr>
          <w:rFonts w:ascii="Arial" w:hAnsi="Arial" w:cs="Arial"/>
        </w:rPr>
        <w:t xml:space="preserve"> The gallic acid equivalent (GAE) value indicated that 1 mg of gallic acid exhibited antioxidant activity equivalent to 3.502 mg of the cotton fruit peel extract.</w:t>
      </w:r>
    </w:p>
    <w:p w:rsidR="00A471DE" w:rsidRDefault="00A471DE">
      <w:pPr>
        <w:rPr>
          <w:rFonts w:ascii="Arial" w:hAnsi="Arial" w:cs="Arial"/>
        </w:rPr>
      </w:pPr>
    </w:p>
    <w:p w:rsidR="00A471DE" w:rsidRDefault="00323E20">
      <w:pPr>
        <w:rPr>
          <w:rFonts w:ascii="Arial" w:hAnsi="Arial" w:cs="Arial"/>
          <w:b/>
        </w:rPr>
      </w:pPr>
      <w:r>
        <w:rPr>
          <w:rFonts w:ascii="Arial" w:hAnsi="Arial" w:cs="Arial"/>
          <w:b/>
        </w:rPr>
        <w:t>Table 3. Antioxidant Activity of Cotton Fruit Peel Extract and Gallic Acid</w:t>
      </w:r>
    </w:p>
    <w:tbl>
      <w:tblPr>
        <w:tblStyle w:val="TableGrid"/>
        <w:tblW w:w="487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2712"/>
        <w:gridCol w:w="2769"/>
      </w:tblGrid>
      <w:tr w:rsidR="00A471DE">
        <w:trPr>
          <w:trHeight w:val="20"/>
        </w:trPr>
        <w:tc>
          <w:tcPr>
            <w:tcW w:w="3005" w:type="dxa"/>
            <w:tcBorders>
              <w:top w:val="single" w:sz="4" w:space="0" w:color="auto"/>
              <w:bottom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b/>
                <w:bCs/>
                <w:sz w:val="20"/>
                <w:szCs w:val="20"/>
                <w:lang w:eastAsia="zh-CN"/>
              </w:rPr>
              <w:t>Sample</w:t>
            </w:r>
          </w:p>
        </w:tc>
        <w:tc>
          <w:tcPr>
            <w:tcW w:w="3005" w:type="dxa"/>
            <w:tcBorders>
              <w:top w:val="single" w:sz="4" w:space="0" w:color="auto"/>
              <w:bottom w:val="single" w:sz="4" w:space="0" w:color="auto"/>
            </w:tcBorders>
            <w:vAlign w:val="center"/>
          </w:tcPr>
          <w:p w:rsidR="00A471DE" w:rsidRDefault="00323E20">
            <w:pPr>
              <w:autoSpaceDE w:val="0"/>
              <w:autoSpaceDN w:val="0"/>
              <w:rPr>
                <w:rFonts w:ascii="Arial" w:hAnsi="Arial" w:cs="Arial"/>
                <w:sz w:val="20"/>
                <w:szCs w:val="20"/>
              </w:rPr>
            </w:pPr>
            <w:r>
              <w:rPr>
                <w:rFonts w:ascii="Arial" w:hAnsi="Arial"/>
                <w:b/>
                <w:sz w:val="20"/>
                <w:szCs w:val="20"/>
              </w:rPr>
              <w:t>IC</w:t>
            </w:r>
            <w:r>
              <w:rPr>
                <w:rFonts w:ascii="Arial" w:hAnsi="Arial"/>
                <w:b/>
                <w:sz w:val="20"/>
                <w:szCs w:val="20"/>
                <w:vertAlign w:val="subscript"/>
              </w:rPr>
              <w:t xml:space="preserve">50 </w:t>
            </w:r>
            <w:r>
              <w:rPr>
                <w:rFonts w:ascii="Arial" w:hAnsi="Arial" w:cs="Arial"/>
                <w:b/>
                <w:bCs/>
                <w:sz w:val="20"/>
                <w:szCs w:val="20"/>
                <w:lang w:eastAsia="zh-CN"/>
              </w:rPr>
              <w:t>(µg/mL)</w:t>
            </w:r>
          </w:p>
        </w:tc>
        <w:tc>
          <w:tcPr>
            <w:tcW w:w="3009" w:type="dxa"/>
            <w:tcBorders>
              <w:top w:val="single" w:sz="4" w:space="0" w:color="auto"/>
              <w:bottom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b/>
                <w:bCs/>
                <w:sz w:val="20"/>
                <w:szCs w:val="20"/>
                <w:lang w:eastAsia="zh-CN"/>
              </w:rPr>
              <w:t>Antioxidant Category</w:t>
            </w:r>
          </w:p>
        </w:tc>
      </w:tr>
      <w:tr w:rsidR="00A471DE">
        <w:trPr>
          <w:trHeight w:val="20"/>
        </w:trPr>
        <w:tc>
          <w:tcPr>
            <w:tcW w:w="3005" w:type="dxa"/>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Gallic acid (standard)</w:t>
            </w:r>
          </w:p>
        </w:tc>
        <w:tc>
          <w:tcPr>
            <w:tcW w:w="3005" w:type="dxa"/>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2.969</w:t>
            </w:r>
          </w:p>
        </w:tc>
        <w:tc>
          <w:tcPr>
            <w:tcW w:w="3009" w:type="dxa"/>
            <w:tcBorders>
              <w:top w:val="single" w:sz="4" w:space="0" w:color="auto"/>
            </w:tcBorders>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Very strong</w:t>
            </w:r>
          </w:p>
        </w:tc>
      </w:tr>
      <w:tr w:rsidR="00A471DE">
        <w:trPr>
          <w:trHeight w:val="20"/>
        </w:trPr>
        <w:tc>
          <w:tcPr>
            <w:tcW w:w="3005" w:type="dxa"/>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Cotton fruit peel extract</w:t>
            </w:r>
          </w:p>
        </w:tc>
        <w:tc>
          <w:tcPr>
            <w:tcW w:w="3005" w:type="dxa"/>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10.40</w:t>
            </w:r>
          </w:p>
        </w:tc>
        <w:tc>
          <w:tcPr>
            <w:tcW w:w="3009" w:type="dxa"/>
            <w:vAlign w:val="center"/>
          </w:tcPr>
          <w:p w:rsidR="00A471DE" w:rsidRDefault="00323E20">
            <w:pPr>
              <w:autoSpaceDE w:val="0"/>
              <w:autoSpaceDN w:val="0"/>
              <w:rPr>
                <w:rFonts w:ascii="Arial" w:hAnsi="Arial" w:cs="Arial"/>
                <w:sz w:val="20"/>
                <w:szCs w:val="20"/>
              </w:rPr>
            </w:pPr>
            <w:r>
              <w:rPr>
                <w:rFonts w:ascii="Arial" w:hAnsi="Arial" w:cs="Arial"/>
                <w:sz w:val="20"/>
                <w:szCs w:val="20"/>
                <w:lang w:eastAsia="zh-CN"/>
              </w:rPr>
              <w:t>Very strong</w:t>
            </w:r>
          </w:p>
        </w:tc>
      </w:tr>
    </w:tbl>
    <w:p w:rsidR="00A471DE" w:rsidRDefault="00A471DE">
      <w:pPr>
        <w:rPr>
          <w:rFonts w:ascii="Arial" w:hAnsi="Arial" w:cs="Arial"/>
        </w:rPr>
      </w:pPr>
    </w:p>
    <w:p w:rsidR="00A471DE" w:rsidRDefault="00323E20">
      <w:pPr>
        <w:jc w:val="both"/>
        <w:rPr>
          <w:rFonts w:ascii="Arial" w:hAnsi="Arial" w:cs="Arial"/>
        </w:rPr>
      </w:pPr>
      <w:r>
        <w:rPr>
          <w:rFonts w:ascii="Arial" w:hAnsi="Arial" w:cs="Arial"/>
        </w:rPr>
        <w:t xml:space="preserve">The strong antioxidant activity observed in the ethanolic extract of cotton fruit peel is closely associated with its phenolic content </w:t>
      </w:r>
      <w:r w:rsidR="00FB7578">
        <w:rPr>
          <w:rFonts w:ascii="Arial" w:hAnsi="Arial" w:cs="Arial"/>
        </w:rPr>
        <w:fldChar w:fldCharType="begin" w:fldLock="1"/>
      </w:r>
      <w:r w:rsidR="004839F1">
        <w:rPr>
          <w:rFonts w:ascii="Arial" w:hAnsi="Arial" w:cs="Arial"/>
        </w:rPr>
        <w:instrText>ADDIN CSL_CITATION {"citationItems":[{"id":"ITEM-1","itemData":{"DOI":"10.1016/j.jscs.2023.101653","ISSN":"1319-6103","author":[{"dropping-particle":"","family":"Bello","given":"Usman","non-dropping-particle":"","parse-names":false,"suffix":""},{"dropping-particle":"","family":"Aini","given":"Nurul","non-dropping-particle":"","parse-names":false,"suffix":""},{"dropping-particle":"","family":"Syafiq","given":"Muhammad","non-dropping-particle":"","parse-names":false,"suffix":""},{"dropping-particle":"","family":"Ruslan","given":"Hazwan","non-dropping-particle":"","parse-names":false,"suffix":""}],"container-title":"Journal of Saudi Chemical Society","id":"ITEM-1","issue":"4","issued":{"date-parts":[["2023"]]},"note":"Jan-11","page":"101653","publisher":"King Saud University","title":"Improving antioxidant scavenging effect of fruit peel waste extracts and their applicability in biodiesel stability enhancement","type":"article-journal","volume":"27"},"uris":["http://www.mendeley.com/documents/?uuid=d018e5fc-41b2-47a1-9158-cb56563679fc"]},{"id":"ITEM-2","itemData":{"author":[{"dropping-particle":"","family":"Wigati","given":"Dyan","non-dropping-particle":"","parse-names":false,"suffix":""},{"dropping-particle":"","family":"Pratoko","given":"Dwi Koko","non-dropping-particle":"","parse-names":false,"suffix":""}],"container-title":"Jurnal Sains dan Kesehatan","id":"ITEM-2","issue":"1","issued":{"date-parts":[["2024"]]},"note":"Jan-12","page":"142-148","title":"Study of Antioxidant Activity, Total Phenolic Content (TPC), and Total Flavonoid Content (TFC) of Ethanolic Extract Mango Peel (Mangifera indica L.)","type":"article-journal","volume":"6"},"uris":["http://www.mendeley.com/documents/?uuid=854eaef2-6ed0-4e90-8278-77001a476a54"]},{"id":"ITEM-3","itemData":{"DOI":"10.1002/fsn3.70521","ISSN":"2048-7177","abstract":"This study investigated the extraction of phenolic compounds and the antioxidant potential of eggplant peel using various extraction methods and GRAS solvent systems. Ethanol absolute and (EtOH: water) (70:30) system solvents were used separately to extract phenolic compounds, while the (EtOH: water: citric acid) (70:30:0.5) system was utilized for anthocyanin extraction. Otherwise, to test the antioxidant activity of anthocyanin separately, an aqueous anthocyanin</w:instrText>
      </w:r>
      <w:r w:rsidR="004839F1">
        <w:rPr>
          <w:rFonts w:ascii="Cambria Math" w:hAnsi="Cambria Math" w:cs="Cambria Math"/>
        </w:rPr>
        <w:instrText>‐</w:instrText>
      </w:r>
      <w:r w:rsidR="004839F1">
        <w:rPr>
          <w:rFonts w:ascii="Arial" w:hAnsi="Arial" w:cs="Arial"/>
        </w:rPr>
        <w:instrText>rich fraction was recovered from eggplant peel crude extract using successive liquid/liquid extractions with solvents of different polarities. The presence of total phenolics, anthocyanins and proanthocyanidin were detected, and HPLC analysis was realized. The antioxidant activity was performed by the (DPPH) free radicals method. Soxhlet extraction using absolute ethanol provides a high yield of phenolic compounds. Otherwise, the anthocyanin extract showed a high level of anthocyanin contents. The liquid chromatographic analysis presented an important percentage of flavonoids. Soxhlet extract was the most effective in scavenging free radicals.","author":[{"dropping-particle":"","family":"Djouadi","given":"Assia","non-dropping-particle":"","parse-names":false,"suffix":""},{"dropping-particle":"","family":"Yılmazer","given":"Hakan","non-dropping-particle":"","parse-names":false,"suffix":""},{"dropping-particle":"","family":"Djouadi","given":"Anfal","non-dropping-particle":"","parse-names":false,"suffix":""},{"dropping-particle":"","family":"Çakır","given":"Bilal","non-dropping-particle":"","parse-names":false,"suffix":""}],"container-title":"Food Science &amp; Nutrition","id":"ITEM-3","issue":"7","issued":{"date-parts":[["2025","7"]]},"title":"Antioxidant Activity of Different Phenolic</w:instrText>
      </w:r>
      <w:r w:rsidR="004839F1">
        <w:rPr>
          <w:rFonts w:ascii="Cambria Math" w:hAnsi="Cambria Math" w:cs="Cambria Math"/>
        </w:rPr>
        <w:instrText>‐</w:instrText>
      </w:r>
      <w:r w:rsidR="004839F1">
        <w:rPr>
          <w:rFonts w:ascii="Arial" w:hAnsi="Arial" w:cs="Arial"/>
        </w:rPr>
        <w:instrText>Rich Fractions Obtained From Peels of Turkish Dark Purple Eggplant","type":"article-journal","volume":"13"},"uris":["http://www.mendeley.com/documents/?uuid=5cabd644-83c2-4da8-abcf-b5ee07d737bd","http://www.mendeley.com/documents/?uuid=08b277e1-5049-431b-aa95-cbbebc6736fa"]}],"mendeley":{"formattedCitation":"(Bello, Aini, Syafiq, &amp; Ruslan, 2023; Djouadi, Yılmazer, Djouadi, &amp; Çakır, 2025; Wigati &amp; Pratoko, 2024)","plainTextFormattedCitation":"(Bello, Aini, Syafiq, &amp; Ruslan, 2023; Djouadi, Yılmazer, Djouadi, &amp; Çakır, 2025; Wigati &amp; Pratoko, 2024)","previouslyFormattedCitation":"(Bello, Aini, Syafiq, &amp; Ruslan, 2023; Djouadi, Yılmazer, Djouadi, &amp; Çakır, 2025; Wigati &amp; Pratoko, 2024)"},"properties":{"noteIndex":0},"schema":"https://github.com/citation-style-language/schema/raw/master/csl-citation.json"}</w:instrText>
      </w:r>
      <w:r w:rsidR="00FB7578">
        <w:rPr>
          <w:rFonts w:ascii="Arial" w:hAnsi="Arial" w:cs="Arial"/>
        </w:rPr>
        <w:fldChar w:fldCharType="separate"/>
      </w:r>
      <w:r w:rsidR="004839F1" w:rsidRPr="004839F1">
        <w:rPr>
          <w:rFonts w:ascii="Arial" w:hAnsi="Arial" w:cs="Arial"/>
          <w:noProof/>
        </w:rPr>
        <w:t>(Bello, Aini, Syafiq, &amp; Ruslan, 2023; Djouadi, Yılmazer, Djouadi, &amp; Çakır, 2025; Wigati &amp; Pratoko, 2024)</w:t>
      </w:r>
      <w:r w:rsidR="00FB7578">
        <w:rPr>
          <w:rFonts w:ascii="Arial" w:hAnsi="Arial" w:cs="Arial"/>
        </w:rPr>
        <w:fldChar w:fldCharType="end"/>
      </w:r>
      <w:r>
        <w:rPr>
          <w:rFonts w:ascii="Arial" w:hAnsi="Arial" w:cs="Arial"/>
        </w:rPr>
        <w:t xml:space="preserve">. Phenolic compounds are known to act as effective antioxidants by scavenging free radicals and interrupting oxidative chain reactions </w:t>
      </w:r>
      <w:r w:rsidR="00FB7578">
        <w:rPr>
          <w:rFonts w:ascii="Arial" w:hAnsi="Arial" w:cs="Arial"/>
        </w:rPr>
        <w:fldChar w:fldCharType="begin" w:fldLock="1"/>
      </w:r>
      <w:r w:rsidR="004839F1">
        <w:rPr>
          <w:rFonts w:ascii="Arial" w:hAnsi="Arial" w:cs="Arial"/>
        </w:rPr>
        <w:instrText>ADDIN CSL_CITATION {"citationItems":[{"id":"ITEM-1","itemData":{"DOI":"10.3389/fnut.2022.882458","ISSN":"2296-861X","abstract":"Due to their antioxidant properties, secondary plant metabolites can scavenge free radicals such as reactive oxygen species and protect foods from oxidation processes. Our aim was to study structural influences, like basic structure, number of hydroxyl groups and number of Bors criteria on the outcome of the oxygen radical absorbance capacity (ORAC) assay. Furthermore, similarities and differences to other in vitro antioxidant assays were analyzed by principal component analysis. Our studies confirmed that the antioxidant behavior in the ORAC assay is dominated by the number and types of substituents and not by the Bors criteria, as long as no steric hindrance occurs. For example, morin (MOR) with five hydroxyl groups and two Bors criteria reached an area under the curve of (3.64 ± 0.08) × 10 5 , which was significantly higher than quercetin-7-D-glucoside (QGU7) ( P &amp;lt; 0.001), and thus the highest result. Principal component analysis showed different dependencies regarding structural properties of Folin-Ciocalteu (FC)- and 2,2-diphenyl-1-picrylhydrazyl (DPPH)-assays or 2,2'-azino-bis (3-ethylbenzothiazoline-6-sulfonic acid) (ABTS)- and ORAC-assays, respectively. Therefore, we conclude that they are based on different reaction mechanisms. The number of hydroxyl groups showed a stronger influence on the antioxidant activity than the Bors criteria. Due to these differences, the correlation of these rapid tests to specific applications should be validated.","author":[{"dropping-particle":"","family":"Platzer","given":"Melanie","non-dropping-particle":"","parse-names":false,"suffix":""},{"dropping-particle":"","family":"Kiese","given":"Sandra","non-dropping-particle":"","parse-names":false,"suffix":""},{"dropping-particle":"","family":"Tybussek","given":"Thorsten","non-dropping-particle":"","parse-names":false,"suffix":""},{"dropping-particle":"","family":"Herfellner","given":"Thomas","non-dropping-particle":"","parse-names":false,"suffix":""},{"dropping-particle":"","family":"Schneider","given":"Franziska","non-dropping-particle":"","parse-names":false,"suffix":""},{"dropping-particle":"","family":"Schweiggert-Weisz","given":"Ute","non-dropping-particle":"","parse-names":false,"suffix":""},{"dropping-particle":"","family":"Eisner","given":"Peter","non-dropping-particle":"","parse-names":false,"suffix":""}],"container-title":"Frontiers in Nutrition","id":"ITEM-1","issue":"April","issued":{"date-parts":[["2022","4"]]},"page":"4-8","title":"Radical Scavenging Mechanisms of Phenolic Compounds: A Quantitative Structure-Property Relationship (QSPR) Study","type":"article-journal","volume":"9"},"uris":["http://www.mendeley.com/documents/?uuid=4b5f1b01-c2fd-41b1-b34f-18610b956147","http://www.mendeley.com/documents/?uuid=4ee4a6e5-5c39-46ee-bd1d-71dc060ecc69"]},{"id":"ITEM-2","itemData":{"DOI":"10.3390/antiox15010037","ISSN":"2076-3921","abstract":"Essential oils (EOs) are complex volatile mixtures that exhibit antioxidant activity through both chemical and biological pathways. Phenolic constituents act as efficient chain-breaking radical-trapping antioxidants, whereas some non-phenolic terpenes operate through distinct mechanisms. Notably, γ-terpinene functions via a “radical export” pathway, generating hydroperoxyl radicals that intercept lipid peroxyl radicals and accelerate chain termination. Recent methodological advances, such as inhibited autoxidation kinetics, oxygen-consumption assays, and fluorescence-based lipid peroxidation probes, have enabled more quantitative evaluation of these activities. Beyond direct radical chemistry, EOs also regulate redox homeostasis by modulating signaling networks such as Nrf2/Keap1, thereby activating antioxidant response element–driven enzymatic defenses in cell and animal models. Phenolic constituents and electrophilic compounds bearing an α,β-unsaturated carbonyl structure may directly activate Nrf2 by modifying Keap1 cysteine residues, whereas non-phenolic terpenes likely depend on oxidative metabolism to form active electrophilic species. Despite broad evidence of antioxidant efficacy, molecular characterization of EO–protein interactions remains limited. This review integrates radical-chain dynamics with redox signaling biology to clarify the mechanistic basis of EO antioxidant activity and to provide a framework for future research.","author":[{"dropping-particle":"","family":"Huang","given":"Yeqin","non-dropping-particle":"","parse-names":false,"suffix":""},{"dropping-particle":"","family":"Ebrahimi","given":"Haniyeh","non-dropping-particle":"","parse-names":false,"suffix":""},{"dropping-particle":"","family":"Berselli","given":"Elena","non-dropping-particle":"","parse-names":false,"suffix":""},{"dropping-particle":"","family":"Foti","given":"Mario C","non-dropping-particle":"","parse-names":false,"suffix":""},{"dropping-particle":"","family":"Amorati","given":"Riccardo","non-dropping-particle":"","parse-names":false,"suffix":""}],"container-title":"Antioxidants","id":"ITEM-2","issue":"1","issued":{"date-parts":[["2025","12"]]},"page":"37","title":"Essential Oils as Antioxidants: Mechanistic Insights from Radical Scavenging to Redox Signaling","type":"article-journal","volume":"15"},"uris":["http://www.mendeley.com/documents/?uuid=1bfa5c80-7433-4116-811b-631448e679a1","http://www.mendeley.com/documents/?uuid=4fb172aa-c835-41a9-bd89-ac8158772ff2"]}],"mendeley":{"formattedCitation":"(Huang, Ebrahimi, Berselli, Foti, &amp; Amorati, 2025; Platzer et al., 2022)","plainTextFormattedCitation":"(Huang, Ebrahimi, Berselli, Foti, &amp; Amorati, 2025; Platzer et al., 2022)","previouslyFormattedCitation":"(Huang, Ebrahimi, Berselli, Foti, &amp; Amorati, 2025; Platzer et al., 2022)"},"properties":{"noteIndex":0},"schema":"https://github.com/citation-style-language/schema/raw/master/csl-citation.json"}</w:instrText>
      </w:r>
      <w:r w:rsidR="00FB7578">
        <w:rPr>
          <w:rFonts w:ascii="Arial" w:hAnsi="Arial" w:cs="Arial"/>
        </w:rPr>
        <w:fldChar w:fldCharType="separate"/>
      </w:r>
      <w:r>
        <w:rPr>
          <w:rFonts w:ascii="Arial" w:hAnsi="Arial" w:cs="Arial"/>
          <w:noProof/>
        </w:rPr>
        <w:t>(Huang, Ebrahimi, Berselli, Foti, &amp; Amorati, 2025; Platzer et al., 2022)</w:t>
      </w:r>
      <w:r w:rsidR="00FB7578">
        <w:rPr>
          <w:rFonts w:ascii="Arial" w:hAnsi="Arial" w:cs="Arial"/>
        </w:rPr>
        <w:fldChar w:fldCharType="end"/>
      </w:r>
      <w:r>
        <w:rPr>
          <w:rFonts w:ascii="Arial" w:hAnsi="Arial" w:cs="Arial"/>
        </w:rPr>
        <w:t xml:space="preserve">. The relatively high total phenolic content obtained in this study supports the low </w:t>
      </w:r>
      <w:r>
        <w:rPr>
          <w:rFonts w:ascii="Arial" w:hAnsi="Arial" w:cs="Arial"/>
          <w:bCs/>
        </w:rPr>
        <w:t>IC</w:t>
      </w:r>
      <w:r>
        <w:rPr>
          <w:rFonts w:ascii="Arial" w:hAnsi="Arial" w:cs="Arial"/>
          <w:bCs/>
          <w:vertAlign w:val="subscript"/>
        </w:rPr>
        <w:t xml:space="preserve">50 </w:t>
      </w:r>
      <w:r>
        <w:rPr>
          <w:rFonts w:ascii="Arial" w:hAnsi="Arial" w:cs="Arial"/>
        </w:rPr>
        <w:t xml:space="preserve">value observed in the DPPH </w:t>
      </w:r>
      <w:proofErr w:type="spellStart"/>
      <w:proofErr w:type="gramStart"/>
      <w:r>
        <w:rPr>
          <w:rFonts w:ascii="Arial" w:hAnsi="Arial" w:cs="Arial"/>
        </w:rPr>
        <w:t>assay.</w:t>
      </w:r>
      <w:r>
        <w:rPr>
          <w:rFonts w:ascii="Arial" w:hAnsi="Arial"/>
        </w:rPr>
        <w:t>This</w:t>
      </w:r>
      <w:proofErr w:type="spellEnd"/>
      <w:proofErr w:type="gramEnd"/>
      <w:r>
        <w:rPr>
          <w:rFonts w:ascii="Arial" w:hAnsi="Arial"/>
        </w:rPr>
        <w:t xml:space="preserve"> finding indicates a strong correlation between phenolic concentration and antioxidant capacity, as phenolic hydroxyl groups are able to donate hydrogen atoms or electrons to stabilize DPPH radicals. The use of ethanol as an extraction solvent may have enhanced the recovery of polar phenolic compounds, thereby contributing to the observed antioxidant effectiveness. Similar relationships between high total phenolic content and low IC50 values have been reported in various plant-based extracts, reinforcing the role of phenolic compounds as major contributors to antioxidant activity. These results suggest that cotton fruit peel possesses significant potential as a natural antioxidant source and supports its further exploration for pharmaceutical or nutraceutical applications.</w:t>
      </w:r>
    </w:p>
    <w:p w:rsidR="00A471DE" w:rsidRDefault="00A471DE">
      <w:pPr>
        <w:rPr>
          <w:rFonts w:ascii="Arial" w:hAnsi="Arial" w:cs="Arial"/>
        </w:rPr>
      </w:pPr>
    </w:p>
    <w:p w:rsidR="00A471DE" w:rsidRDefault="00323E20">
      <w:pPr>
        <w:pStyle w:val="Body"/>
        <w:spacing w:after="0"/>
        <w:rPr>
          <w:rFonts w:ascii="Arial" w:hAnsi="Arial" w:cs="Arial"/>
        </w:rPr>
      </w:pPr>
      <w:r>
        <w:rPr>
          <w:rFonts w:ascii="Arial" w:hAnsi="Arial"/>
        </w:rPr>
        <w:t xml:space="preserve">Compared with previous reports on cotton leaves, the fruit peel extract demonstrated comparable or superior antioxidant activity, suggesting that this plant part represents an underutilized yet promising source of natural antioxidants. The presence of other bioactive compounds, such as flavonoids and terpenoids, may also contribute synergistically to the overall antioxidant </w:t>
      </w:r>
      <w:proofErr w:type="spellStart"/>
      <w:proofErr w:type="gramStart"/>
      <w:r>
        <w:rPr>
          <w:rFonts w:ascii="Arial" w:hAnsi="Arial"/>
        </w:rPr>
        <w:t>effect.The</w:t>
      </w:r>
      <w:proofErr w:type="spellEnd"/>
      <w:proofErr w:type="gramEnd"/>
      <w:r>
        <w:rPr>
          <w:rFonts w:ascii="Arial" w:hAnsi="Arial"/>
        </w:rPr>
        <w:t xml:space="preserve"> findings of this study indicate that cotton fruit peel, which is commonly discarded as agricultural waste, possesses significant antioxidant potential. The strong antioxidant activity and high phenolic content suggest that this plant material could be further developed as a natural antioxidant ingredient for pharmaceutical, nutraceutical, or functional food applications. Moreover, the utilization of cotton fruit peel may contribute to waste valorization and support sustainable use of agricultural by-products.</w:t>
      </w:r>
    </w:p>
    <w:p w:rsidR="00A471DE" w:rsidRDefault="00A471DE">
      <w:pPr>
        <w:pStyle w:val="Body"/>
        <w:spacing w:after="0"/>
        <w:rPr>
          <w:rFonts w:ascii="Arial" w:hAnsi="Arial" w:cs="Arial"/>
        </w:rPr>
      </w:pPr>
    </w:p>
    <w:p w:rsidR="00A471DE" w:rsidRDefault="00323E20">
      <w:pPr>
        <w:pStyle w:val="ConcHead"/>
        <w:spacing w:after="0"/>
        <w:jc w:val="both"/>
        <w:rPr>
          <w:rFonts w:ascii="Arial" w:hAnsi="Arial" w:cs="Arial"/>
        </w:rPr>
      </w:pPr>
      <w:r>
        <w:rPr>
          <w:rFonts w:ascii="Arial" w:hAnsi="Arial" w:cs="Arial"/>
        </w:rPr>
        <w:t>4. Conclusion</w:t>
      </w:r>
    </w:p>
    <w:p w:rsidR="00A471DE" w:rsidRDefault="00A471DE">
      <w:pPr>
        <w:pStyle w:val="ConcHead"/>
        <w:spacing w:after="0"/>
        <w:jc w:val="both"/>
        <w:rPr>
          <w:rFonts w:ascii="Arial" w:hAnsi="Arial" w:cs="Arial"/>
        </w:rPr>
      </w:pPr>
    </w:p>
    <w:p w:rsidR="00A471DE" w:rsidRDefault="00323E20">
      <w:pPr>
        <w:pStyle w:val="Body"/>
        <w:spacing w:after="0"/>
        <w:rPr>
          <w:rFonts w:ascii="Arial" w:hAnsi="Arial" w:cs="Arial"/>
        </w:rPr>
      </w:pPr>
      <w:r>
        <w:rPr>
          <w:rFonts w:ascii="Arial" w:hAnsi="Arial" w:cs="Arial"/>
        </w:rPr>
        <w:t>Based on the results of this study, it can be concluded that the ethanolic extract of cotton fruit peel (</w:t>
      </w:r>
      <w:r w:rsidR="00FB7578" w:rsidRPr="00C70B6C">
        <w:rPr>
          <w:rFonts w:ascii="Arial" w:hAnsi="Arial" w:cs="Arial"/>
          <w:i/>
          <w:iCs/>
        </w:rPr>
        <w:t xml:space="preserve">Gossypium </w:t>
      </w:r>
      <w:proofErr w:type="spellStart"/>
      <w:r w:rsidR="00FB7578" w:rsidRPr="00C70B6C">
        <w:rPr>
          <w:rFonts w:ascii="Arial" w:hAnsi="Arial" w:cs="Arial"/>
          <w:i/>
          <w:iCs/>
        </w:rPr>
        <w:t>hirsutum</w:t>
      </w:r>
      <w:proofErr w:type="spellEnd"/>
      <w:r>
        <w:rPr>
          <w:rFonts w:ascii="Arial" w:hAnsi="Arial" w:cs="Arial"/>
        </w:rPr>
        <w:t xml:space="preserve"> L.) contains a total phenolic content of 9.699% w/w as determined by the </w:t>
      </w:r>
      <w:proofErr w:type="spellStart"/>
      <w:r>
        <w:rPr>
          <w:rFonts w:ascii="Arial" w:hAnsi="Arial" w:cs="Arial"/>
        </w:rPr>
        <w:t>Folin</w:t>
      </w:r>
      <w:proofErr w:type="spellEnd"/>
      <w:r>
        <w:rPr>
          <w:rFonts w:ascii="Arial" w:hAnsi="Arial" w:cs="Arial"/>
        </w:rPr>
        <w:t>–</w:t>
      </w:r>
      <w:proofErr w:type="spellStart"/>
      <w:r>
        <w:rPr>
          <w:rFonts w:ascii="Arial" w:hAnsi="Arial" w:cs="Arial"/>
        </w:rPr>
        <w:t>Ciocalteu</w:t>
      </w:r>
      <w:proofErr w:type="spellEnd"/>
      <w:r>
        <w:rPr>
          <w:rFonts w:ascii="Arial" w:hAnsi="Arial" w:cs="Arial"/>
        </w:rPr>
        <w:t xml:space="preserve"> method using UV–Vis spectrophotometry. The extract </w:t>
      </w:r>
      <w:r>
        <w:rPr>
          <w:rFonts w:ascii="Arial" w:hAnsi="Arial" w:cs="Arial"/>
        </w:rPr>
        <w:lastRenderedPageBreak/>
        <w:t>also exhibited very strong antioxidant activity, with anIC50 value of 10.40 µg/mL as evaluated by the DPPH radical scavenging assay. These findings indicate that cotton fruit peel has significant potential as a natural source of antioxidant compounds, which may be further developed for pharmaceutical applications, particularly in the formulation of antioxidant-based supplements or as supportive agents for the prevention of oxidative stress–related diseases.</w:t>
      </w:r>
    </w:p>
    <w:p w:rsidR="00A471DE" w:rsidRDefault="00A471DE">
      <w:pPr>
        <w:pStyle w:val="Body"/>
        <w:spacing w:after="0"/>
        <w:rPr>
          <w:rFonts w:ascii="Arial" w:hAnsi="Arial" w:cs="Arial"/>
        </w:rPr>
      </w:pPr>
    </w:p>
    <w:p w:rsidR="00A471DE" w:rsidRDefault="00A471DE">
      <w:pPr>
        <w:pStyle w:val="Body"/>
        <w:spacing w:after="0"/>
        <w:rPr>
          <w:rFonts w:ascii="Arial" w:hAnsi="Arial" w:cs="Arial"/>
        </w:rPr>
      </w:pPr>
    </w:p>
    <w:p w:rsidR="00A471DE" w:rsidRDefault="00323E20">
      <w:pPr>
        <w:pStyle w:val="Body"/>
        <w:rPr>
          <w:rFonts w:ascii="Arial" w:hAnsi="Arial" w:cs="Arial"/>
          <w:highlight w:val="yellow"/>
        </w:rPr>
      </w:pPr>
      <w:r>
        <w:rPr>
          <w:rFonts w:ascii="Arial" w:hAnsi="Arial" w:cs="Arial"/>
          <w:highlight w:val="yellow"/>
        </w:rPr>
        <w:t>Disclaimer (Artificial intelligence)</w:t>
      </w:r>
    </w:p>
    <w:p w:rsidR="00A471DE" w:rsidRDefault="00A471DE">
      <w:pPr>
        <w:pStyle w:val="Body"/>
        <w:rPr>
          <w:rFonts w:ascii="Arial" w:hAnsi="Arial" w:cs="Arial"/>
          <w:highlight w:val="yellow"/>
        </w:rPr>
      </w:pPr>
    </w:p>
    <w:p w:rsidR="00A471DE" w:rsidRDefault="00323E20">
      <w:pPr>
        <w:pStyle w:val="Body"/>
        <w:spacing w:after="0"/>
        <w:rPr>
          <w:rFonts w:ascii="Arial" w:hAnsi="Arial" w:cs="Arial"/>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COPILOT, etc.) and text-to-image generators have been used during the writing or editing of this manuscript.</w:t>
      </w:r>
    </w:p>
    <w:p w:rsidR="00A471DE" w:rsidRDefault="00A471DE">
      <w:pPr>
        <w:pStyle w:val="ReferHead"/>
        <w:spacing w:after="0"/>
        <w:jc w:val="both"/>
        <w:rPr>
          <w:rFonts w:ascii="Arial" w:hAnsi="Arial" w:cs="Arial"/>
          <w:b w:val="0"/>
          <w:caps w:val="0"/>
        </w:rPr>
      </w:pPr>
    </w:p>
    <w:p w:rsidR="00900548" w:rsidRDefault="00323E20">
      <w:pPr>
        <w:pStyle w:val="ReferHead"/>
        <w:spacing w:after="0"/>
        <w:jc w:val="both"/>
        <w:rPr>
          <w:rFonts w:ascii="Arial" w:hAnsi="Arial" w:cs="Arial"/>
        </w:rPr>
      </w:pPr>
      <w:r>
        <w:rPr>
          <w:rFonts w:ascii="Arial" w:hAnsi="Arial" w:cs="Arial"/>
        </w:rPr>
        <w:t>References</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Baliyan</w:t>
      </w:r>
      <w:proofErr w:type="spellEnd"/>
      <w:r>
        <w:rPr>
          <w:rFonts w:ascii="Arial" w:hAnsi="Arial" w:cs="Arial"/>
          <w:szCs w:val="24"/>
        </w:rPr>
        <w:t xml:space="preserve">, S., Mukherjee, R., Priyadarshini, A., </w:t>
      </w:r>
      <w:proofErr w:type="spellStart"/>
      <w:r>
        <w:rPr>
          <w:rFonts w:ascii="Arial" w:hAnsi="Arial" w:cs="Arial"/>
          <w:szCs w:val="24"/>
        </w:rPr>
        <w:t>Vibhuti</w:t>
      </w:r>
      <w:proofErr w:type="spellEnd"/>
      <w:r>
        <w:rPr>
          <w:rFonts w:ascii="Arial" w:hAnsi="Arial" w:cs="Arial"/>
          <w:szCs w:val="24"/>
        </w:rPr>
        <w:t xml:space="preserve">, A., Gupta, A., Pandey, R. P., &amp; Chang, C.-M. (2022). Determination of Antioxidants by DPPH Radical Scavenging Activity and Quantitative Phytochemical Analysis of </w:t>
      </w:r>
      <w:proofErr w:type="spellStart"/>
      <w:r>
        <w:rPr>
          <w:rFonts w:ascii="Arial" w:hAnsi="Arial" w:cs="Arial"/>
          <w:szCs w:val="24"/>
        </w:rPr>
        <w:t>Ficus</w:t>
      </w:r>
      <w:proofErr w:type="spellEnd"/>
      <w:r>
        <w:rPr>
          <w:rFonts w:ascii="Arial" w:hAnsi="Arial" w:cs="Arial"/>
          <w:szCs w:val="24"/>
        </w:rPr>
        <w:t xml:space="preserve"> </w:t>
      </w:r>
      <w:proofErr w:type="spellStart"/>
      <w:r>
        <w:rPr>
          <w:rFonts w:ascii="Arial" w:hAnsi="Arial" w:cs="Arial"/>
          <w:szCs w:val="24"/>
        </w:rPr>
        <w:t>religiosa</w:t>
      </w:r>
      <w:proofErr w:type="spellEnd"/>
      <w:r>
        <w:rPr>
          <w:rFonts w:ascii="Arial" w:hAnsi="Arial" w:cs="Arial"/>
          <w:szCs w:val="24"/>
        </w:rPr>
        <w:t xml:space="preserve">. </w:t>
      </w:r>
      <w:r>
        <w:rPr>
          <w:rFonts w:ascii="Arial" w:hAnsi="Arial" w:cs="Arial"/>
          <w:i/>
          <w:iCs/>
          <w:szCs w:val="24"/>
        </w:rPr>
        <w:t>Molecules</w:t>
      </w:r>
      <w:r>
        <w:rPr>
          <w:rFonts w:ascii="Arial" w:hAnsi="Arial" w:cs="Arial"/>
          <w:szCs w:val="24"/>
        </w:rPr>
        <w:t xml:space="preserve">, </w:t>
      </w:r>
      <w:r>
        <w:rPr>
          <w:rFonts w:ascii="Arial" w:hAnsi="Arial" w:cs="Arial"/>
          <w:i/>
          <w:iCs/>
          <w:szCs w:val="24"/>
        </w:rPr>
        <w:t>27</w:t>
      </w:r>
      <w:r>
        <w:rPr>
          <w:rFonts w:ascii="Arial" w:hAnsi="Arial" w:cs="Arial"/>
          <w:szCs w:val="24"/>
        </w:rPr>
        <w:t>(4), 1326. https://doi.org/10.3390/molecules27041326</w:t>
      </w:r>
    </w:p>
    <w:p w:rsidR="00A471DE" w:rsidRDefault="00323E20">
      <w:pPr>
        <w:widowControl w:val="0"/>
        <w:autoSpaceDE w:val="0"/>
        <w:autoSpaceDN w:val="0"/>
        <w:adjustRightInd w:val="0"/>
        <w:spacing w:before="100"/>
        <w:ind w:left="480" w:hanging="480"/>
        <w:jc w:val="both"/>
        <w:rPr>
          <w:rFonts w:ascii="Arial" w:hAnsi="Arial" w:cs="Arial"/>
          <w:szCs w:val="24"/>
        </w:rPr>
      </w:pPr>
      <w:r>
        <w:rPr>
          <w:rFonts w:ascii="Arial" w:hAnsi="Arial" w:cs="Arial"/>
          <w:szCs w:val="24"/>
        </w:rPr>
        <w:t xml:space="preserve">Bello, U., </w:t>
      </w:r>
      <w:proofErr w:type="spellStart"/>
      <w:r>
        <w:rPr>
          <w:rFonts w:ascii="Arial" w:hAnsi="Arial" w:cs="Arial"/>
          <w:szCs w:val="24"/>
        </w:rPr>
        <w:t>Amran</w:t>
      </w:r>
      <w:proofErr w:type="spellEnd"/>
      <w:r>
        <w:rPr>
          <w:rFonts w:ascii="Arial" w:hAnsi="Arial" w:cs="Arial"/>
          <w:szCs w:val="24"/>
        </w:rPr>
        <w:t xml:space="preserve">, N. A., &amp; Ruslan, M. S. H. (2023). Improving antioxidant scavenging effect of fruit peel waste extracts and their applicability in biodiesel stability enhancement. </w:t>
      </w:r>
      <w:r>
        <w:rPr>
          <w:rFonts w:ascii="Arial" w:hAnsi="Arial" w:cs="Arial"/>
          <w:i/>
          <w:iCs/>
          <w:szCs w:val="24"/>
        </w:rPr>
        <w:t>Journal of Saudi Chemical Society</w:t>
      </w:r>
      <w:r>
        <w:rPr>
          <w:rFonts w:ascii="Arial" w:hAnsi="Arial" w:cs="Arial"/>
          <w:szCs w:val="24"/>
        </w:rPr>
        <w:t xml:space="preserve">, </w:t>
      </w:r>
      <w:r>
        <w:rPr>
          <w:rFonts w:ascii="Arial" w:hAnsi="Arial" w:cs="Arial"/>
          <w:i/>
          <w:iCs/>
          <w:szCs w:val="24"/>
        </w:rPr>
        <w:t>27</w:t>
      </w:r>
      <w:r>
        <w:rPr>
          <w:rFonts w:ascii="Arial" w:hAnsi="Arial" w:cs="Arial"/>
          <w:szCs w:val="24"/>
        </w:rPr>
        <w:t>(4), 101653. https://doi.org/10.1016/j.jscs.2023.101653</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Chandimali</w:t>
      </w:r>
      <w:proofErr w:type="spellEnd"/>
      <w:r>
        <w:rPr>
          <w:rFonts w:ascii="Arial" w:hAnsi="Arial" w:cs="Arial"/>
          <w:szCs w:val="24"/>
        </w:rPr>
        <w:t xml:space="preserve">, N., </w:t>
      </w:r>
      <w:proofErr w:type="spellStart"/>
      <w:r>
        <w:rPr>
          <w:rFonts w:ascii="Arial" w:hAnsi="Arial" w:cs="Arial"/>
          <w:szCs w:val="24"/>
        </w:rPr>
        <w:t>Bak</w:t>
      </w:r>
      <w:proofErr w:type="spellEnd"/>
      <w:r>
        <w:rPr>
          <w:rFonts w:ascii="Arial" w:hAnsi="Arial" w:cs="Arial"/>
          <w:szCs w:val="24"/>
        </w:rPr>
        <w:t xml:space="preserve">, S. G., Park, E. H., Lim, H.-J., Won, Y.-S., Kim, E.-K., … Lee, S. J. (2025). Free radicals and their impact on health and antioxidant defenses: a review. </w:t>
      </w:r>
      <w:r>
        <w:rPr>
          <w:rFonts w:ascii="Arial" w:hAnsi="Arial" w:cs="Arial"/>
          <w:i/>
          <w:iCs/>
          <w:szCs w:val="24"/>
        </w:rPr>
        <w:t>Cell Death Discovery</w:t>
      </w:r>
      <w:r>
        <w:rPr>
          <w:rFonts w:ascii="Arial" w:hAnsi="Arial" w:cs="Arial"/>
          <w:szCs w:val="24"/>
        </w:rPr>
        <w:t xml:space="preserve">, </w:t>
      </w:r>
      <w:r>
        <w:rPr>
          <w:rFonts w:ascii="Arial" w:hAnsi="Arial" w:cs="Arial"/>
          <w:i/>
          <w:iCs/>
          <w:szCs w:val="24"/>
        </w:rPr>
        <w:t>11</w:t>
      </w:r>
      <w:r>
        <w:rPr>
          <w:rFonts w:ascii="Arial" w:hAnsi="Arial" w:cs="Arial"/>
          <w:szCs w:val="24"/>
        </w:rPr>
        <w:t>(1), 19. https://doi.org/10.1038/s41420-024-02278-8</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Djouadi</w:t>
      </w:r>
      <w:proofErr w:type="spellEnd"/>
      <w:r>
        <w:rPr>
          <w:rFonts w:ascii="Arial" w:hAnsi="Arial" w:cs="Arial"/>
          <w:szCs w:val="24"/>
        </w:rPr>
        <w:t xml:space="preserve">, A., </w:t>
      </w:r>
      <w:proofErr w:type="spellStart"/>
      <w:r>
        <w:rPr>
          <w:rFonts w:ascii="Arial" w:hAnsi="Arial" w:cs="Arial"/>
          <w:szCs w:val="24"/>
        </w:rPr>
        <w:t>Yılmazer</w:t>
      </w:r>
      <w:proofErr w:type="spellEnd"/>
      <w:r>
        <w:rPr>
          <w:rFonts w:ascii="Arial" w:hAnsi="Arial" w:cs="Arial"/>
          <w:szCs w:val="24"/>
        </w:rPr>
        <w:t xml:space="preserve">, H., </w:t>
      </w:r>
      <w:proofErr w:type="spellStart"/>
      <w:r>
        <w:rPr>
          <w:rFonts w:ascii="Arial" w:hAnsi="Arial" w:cs="Arial"/>
          <w:szCs w:val="24"/>
        </w:rPr>
        <w:t>Djouadi</w:t>
      </w:r>
      <w:proofErr w:type="spellEnd"/>
      <w:r>
        <w:rPr>
          <w:rFonts w:ascii="Arial" w:hAnsi="Arial" w:cs="Arial"/>
          <w:szCs w:val="24"/>
        </w:rPr>
        <w:t xml:space="preserve">, A., &amp; </w:t>
      </w:r>
      <w:proofErr w:type="spellStart"/>
      <w:r>
        <w:rPr>
          <w:rFonts w:ascii="Arial" w:hAnsi="Arial" w:cs="Arial"/>
          <w:szCs w:val="24"/>
        </w:rPr>
        <w:t>Çakır</w:t>
      </w:r>
      <w:proofErr w:type="spellEnd"/>
      <w:r>
        <w:rPr>
          <w:rFonts w:ascii="Arial" w:hAnsi="Arial" w:cs="Arial"/>
          <w:szCs w:val="24"/>
        </w:rPr>
        <w:t>, B. (2025). Antioxidant Activity of Different Phenolic</w:t>
      </w:r>
      <w:r>
        <w:rPr>
          <w:rFonts w:ascii="Cambria Math" w:hAnsi="Cambria Math" w:cs="Cambria Math"/>
          <w:szCs w:val="24"/>
        </w:rPr>
        <w:t>‐</w:t>
      </w:r>
      <w:r>
        <w:rPr>
          <w:rFonts w:ascii="Arial" w:hAnsi="Arial" w:cs="Arial"/>
          <w:szCs w:val="24"/>
        </w:rPr>
        <w:t xml:space="preserve">Rich Fractions Obtained </w:t>
      </w:r>
      <w:proofErr w:type="gramStart"/>
      <w:r>
        <w:rPr>
          <w:rFonts w:ascii="Arial" w:hAnsi="Arial" w:cs="Arial"/>
          <w:szCs w:val="24"/>
        </w:rPr>
        <w:t>From</w:t>
      </w:r>
      <w:proofErr w:type="gramEnd"/>
      <w:r>
        <w:rPr>
          <w:rFonts w:ascii="Arial" w:hAnsi="Arial" w:cs="Arial"/>
          <w:szCs w:val="24"/>
        </w:rPr>
        <w:t xml:space="preserve"> Peels of Turkish Dark Purple Eggplant. </w:t>
      </w:r>
      <w:r>
        <w:rPr>
          <w:rFonts w:ascii="Arial" w:hAnsi="Arial" w:cs="Arial"/>
          <w:i/>
          <w:iCs/>
          <w:szCs w:val="24"/>
        </w:rPr>
        <w:t>Food Science &amp; Nutrition</w:t>
      </w:r>
      <w:r>
        <w:rPr>
          <w:rFonts w:ascii="Arial" w:hAnsi="Arial" w:cs="Arial"/>
          <w:szCs w:val="24"/>
        </w:rPr>
        <w:t xml:space="preserve">, </w:t>
      </w:r>
      <w:r>
        <w:rPr>
          <w:rFonts w:ascii="Arial" w:hAnsi="Arial" w:cs="Arial"/>
          <w:i/>
          <w:iCs/>
          <w:szCs w:val="24"/>
        </w:rPr>
        <w:t>13</w:t>
      </w:r>
      <w:r>
        <w:rPr>
          <w:rFonts w:ascii="Arial" w:hAnsi="Arial" w:cs="Arial"/>
          <w:szCs w:val="24"/>
        </w:rPr>
        <w:t>(7). https://doi.org/10.1002/fsn3.70521</w:t>
      </w:r>
    </w:p>
    <w:p w:rsidR="00A471DE" w:rsidRDefault="00323E20">
      <w:pPr>
        <w:widowControl w:val="0"/>
        <w:autoSpaceDE w:val="0"/>
        <w:autoSpaceDN w:val="0"/>
        <w:adjustRightInd w:val="0"/>
        <w:spacing w:before="100"/>
        <w:ind w:left="480" w:hanging="480"/>
        <w:jc w:val="both"/>
        <w:rPr>
          <w:rFonts w:ascii="Arial" w:hAnsi="Arial" w:cs="Arial"/>
          <w:szCs w:val="24"/>
        </w:rPr>
      </w:pPr>
      <w:r>
        <w:rPr>
          <w:rFonts w:ascii="Arial" w:hAnsi="Arial" w:cs="Arial"/>
          <w:szCs w:val="24"/>
        </w:rPr>
        <w:t xml:space="preserve">Gil-Martín, E., Forbes-Hernández, T., Romero, A., </w:t>
      </w:r>
      <w:proofErr w:type="spellStart"/>
      <w:r>
        <w:rPr>
          <w:rFonts w:ascii="Arial" w:hAnsi="Arial" w:cs="Arial"/>
          <w:szCs w:val="24"/>
        </w:rPr>
        <w:t>Cianciosi</w:t>
      </w:r>
      <w:proofErr w:type="spellEnd"/>
      <w:r>
        <w:rPr>
          <w:rFonts w:ascii="Arial" w:hAnsi="Arial" w:cs="Arial"/>
          <w:szCs w:val="24"/>
        </w:rPr>
        <w:t xml:space="preserve">, D., </w:t>
      </w:r>
      <w:proofErr w:type="spellStart"/>
      <w:r>
        <w:rPr>
          <w:rFonts w:ascii="Arial" w:hAnsi="Arial" w:cs="Arial"/>
          <w:szCs w:val="24"/>
        </w:rPr>
        <w:t>Giampieri</w:t>
      </w:r>
      <w:proofErr w:type="spellEnd"/>
      <w:r>
        <w:rPr>
          <w:rFonts w:ascii="Arial" w:hAnsi="Arial" w:cs="Arial"/>
          <w:szCs w:val="24"/>
        </w:rPr>
        <w:t xml:space="preserve">, F., &amp; </w:t>
      </w:r>
      <w:proofErr w:type="spellStart"/>
      <w:r>
        <w:rPr>
          <w:rFonts w:ascii="Arial" w:hAnsi="Arial" w:cs="Arial"/>
          <w:szCs w:val="24"/>
        </w:rPr>
        <w:t>Battino</w:t>
      </w:r>
      <w:proofErr w:type="spellEnd"/>
      <w:r>
        <w:rPr>
          <w:rFonts w:ascii="Arial" w:hAnsi="Arial" w:cs="Arial"/>
          <w:szCs w:val="24"/>
        </w:rPr>
        <w:t xml:space="preserve">, M. (2022). Influence of the extraction method on the recovery of bioactive phenolic compounds from food industry by-products. </w:t>
      </w:r>
      <w:r>
        <w:rPr>
          <w:rFonts w:ascii="Arial" w:hAnsi="Arial" w:cs="Arial"/>
          <w:i/>
          <w:iCs/>
          <w:szCs w:val="24"/>
        </w:rPr>
        <w:t>Food Chemistry</w:t>
      </w:r>
      <w:r>
        <w:rPr>
          <w:rFonts w:ascii="Arial" w:hAnsi="Arial" w:cs="Arial"/>
          <w:szCs w:val="24"/>
        </w:rPr>
        <w:t xml:space="preserve">, </w:t>
      </w:r>
      <w:r>
        <w:rPr>
          <w:rFonts w:ascii="Arial" w:hAnsi="Arial" w:cs="Arial"/>
          <w:i/>
          <w:iCs/>
          <w:szCs w:val="24"/>
        </w:rPr>
        <w:t>378</w:t>
      </w:r>
      <w:r>
        <w:rPr>
          <w:rFonts w:ascii="Arial" w:hAnsi="Arial" w:cs="Arial"/>
          <w:szCs w:val="24"/>
        </w:rPr>
        <w:t xml:space="preserve">, 131918. </w:t>
      </w:r>
      <w:hyperlink r:id="rId13" w:history="1">
        <w:r w:rsidR="00900548" w:rsidRPr="007E3FAE">
          <w:rPr>
            <w:rStyle w:val="Hyperlink"/>
            <w:rFonts w:ascii="Arial" w:hAnsi="Arial" w:cs="Arial"/>
            <w:szCs w:val="24"/>
          </w:rPr>
          <w:t>https://doi.org/10.1016/j.foodchem.2021.131918</w:t>
        </w:r>
      </w:hyperlink>
    </w:p>
    <w:p w:rsidR="00900548" w:rsidRDefault="00900548" w:rsidP="00C70B6C">
      <w:pPr>
        <w:widowControl w:val="0"/>
        <w:autoSpaceDE w:val="0"/>
        <w:autoSpaceDN w:val="0"/>
        <w:adjustRightInd w:val="0"/>
        <w:ind w:left="480" w:hanging="480"/>
        <w:jc w:val="both"/>
        <w:rPr>
          <w:rFonts w:ascii="Arial" w:hAnsi="Arial" w:cs="Arial"/>
          <w:noProof/>
          <w:szCs w:val="24"/>
        </w:rPr>
      </w:pPr>
      <w:r w:rsidRPr="00E80E0D">
        <w:rPr>
          <w:rFonts w:ascii="Arial" w:hAnsi="Arial" w:cs="Arial"/>
          <w:noProof/>
          <w:szCs w:val="24"/>
        </w:rPr>
        <w:t xml:space="preserve">Guneidy, R. A., Zaki, E. R., Gad, A. A. M., Saleh, N. S. E.-D., Shokeer, &amp; Abeer. (2022). Evaluation of Phenolic Content Diversity along with Antioxidant/Pro-Oxidant, Glutathione Transferase Inhibition, and Cytotoxic Potential of Selected Commonly Used Plants. </w:t>
      </w:r>
      <w:r w:rsidRPr="00E80E0D">
        <w:rPr>
          <w:rFonts w:ascii="Arial" w:hAnsi="Arial" w:cs="Arial"/>
          <w:i/>
          <w:iCs/>
          <w:noProof/>
          <w:szCs w:val="24"/>
        </w:rPr>
        <w:t>Prev. Nutr. Food Sci.</w:t>
      </w:r>
      <w:r w:rsidRPr="00E80E0D">
        <w:rPr>
          <w:rFonts w:ascii="Arial" w:hAnsi="Arial" w:cs="Arial"/>
          <w:noProof/>
          <w:szCs w:val="24"/>
        </w:rPr>
        <w:t xml:space="preserve">, </w:t>
      </w:r>
      <w:r w:rsidRPr="00E80E0D">
        <w:rPr>
          <w:rFonts w:ascii="Arial" w:hAnsi="Arial" w:cs="Arial"/>
          <w:i/>
          <w:iCs/>
          <w:noProof/>
          <w:szCs w:val="24"/>
        </w:rPr>
        <w:t>27</w:t>
      </w:r>
      <w:r w:rsidRPr="00E80E0D">
        <w:rPr>
          <w:rFonts w:ascii="Arial" w:hAnsi="Arial" w:cs="Arial"/>
          <w:noProof/>
          <w:szCs w:val="24"/>
        </w:rPr>
        <w:t>(September), 282–298.</w:t>
      </w:r>
    </w:p>
    <w:p w:rsidR="00A471DE" w:rsidRDefault="00323E20">
      <w:pPr>
        <w:widowControl w:val="0"/>
        <w:autoSpaceDE w:val="0"/>
        <w:autoSpaceDN w:val="0"/>
        <w:adjustRightInd w:val="0"/>
        <w:spacing w:before="100"/>
        <w:ind w:left="480" w:hanging="480"/>
        <w:jc w:val="both"/>
        <w:rPr>
          <w:rFonts w:ascii="Arial" w:hAnsi="Arial" w:cs="Arial"/>
          <w:szCs w:val="24"/>
        </w:rPr>
      </w:pPr>
      <w:r>
        <w:rPr>
          <w:rFonts w:ascii="Arial" w:hAnsi="Arial" w:cs="Arial"/>
          <w:szCs w:val="24"/>
        </w:rPr>
        <w:t xml:space="preserve">Herman H, H., </w:t>
      </w:r>
      <w:proofErr w:type="spellStart"/>
      <w:r>
        <w:rPr>
          <w:rFonts w:ascii="Arial" w:hAnsi="Arial" w:cs="Arial"/>
          <w:szCs w:val="24"/>
        </w:rPr>
        <w:t>Prasetya</w:t>
      </w:r>
      <w:proofErr w:type="spellEnd"/>
      <w:r>
        <w:rPr>
          <w:rFonts w:ascii="Arial" w:hAnsi="Arial" w:cs="Arial"/>
          <w:szCs w:val="24"/>
        </w:rPr>
        <w:t xml:space="preserve">, F., Salam, S., </w:t>
      </w:r>
      <w:proofErr w:type="spellStart"/>
      <w:r>
        <w:rPr>
          <w:rFonts w:ascii="Arial" w:hAnsi="Arial" w:cs="Arial"/>
          <w:szCs w:val="24"/>
        </w:rPr>
        <w:t>Rijai</w:t>
      </w:r>
      <w:proofErr w:type="spellEnd"/>
      <w:r>
        <w:rPr>
          <w:rFonts w:ascii="Arial" w:hAnsi="Arial" w:cs="Arial"/>
          <w:szCs w:val="24"/>
        </w:rPr>
        <w:t xml:space="preserve">, H. R., </w:t>
      </w:r>
      <w:proofErr w:type="spellStart"/>
      <w:r>
        <w:rPr>
          <w:rFonts w:ascii="Arial" w:hAnsi="Arial" w:cs="Arial"/>
          <w:szCs w:val="24"/>
        </w:rPr>
        <w:t>Kuncoro</w:t>
      </w:r>
      <w:proofErr w:type="spellEnd"/>
      <w:r>
        <w:rPr>
          <w:rFonts w:ascii="Arial" w:hAnsi="Arial" w:cs="Arial"/>
          <w:szCs w:val="24"/>
        </w:rPr>
        <w:t xml:space="preserve">, H., </w:t>
      </w:r>
      <w:proofErr w:type="spellStart"/>
      <w:r>
        <w:rPr>
          <w:rFonts w:ascii="Arial" w:hAnsi="Arial" w:cs="Arial"/>
          <w:szCs w:val="24"/>
        </w:rPr>
        <w:t>Rusli</w:t>
      </w:r>
      <w:proofErr w:type="spellEnd"/>
      <w:r>
        <w:rPr>
          <w:rFonts w:ascii="Arial" w:hAnsi="Arial" w:cs="Arial"/>
          <w:szCs w:val="24"/>
        </w:rPr>
        <w:t xml:space="preserve">, R., … </w:t>
      </w:r>
      <w:proofErr w:type="spellStart"/>
      <w:r>
        <w:rPr>
          <w:rFonts w:ascii="Arial" w:hAnsi="Arial" w:cs="Arial"/>
          <w:szCs w:val="24"/>
        </w:rPr>
        <w:t>Rijai</w:t>
      </w:r>
      <w:proofErr w:type="spellEnd"/>
      <w:r>
        <w:rPr>
          <w:rFonts w:ascii="Arial" w:hAnsi="Arial" w:cs="Arial"/>
          <w:szCs w:val="24"/>
        </w:rPr>
        <w:t xml:space="preserve">, L. (2022). </w:t>
      </w:r>
      <w:proofErr w:type="spellStart"/>
      <w:r>
        <w:rPr>
          <w:rFonts w:ascii="Arial" w:hAnsi="Arial" w:cs="Arial"/>
          <w:szCs w:val="24"/>
        </w:rPr>
        <w:t>Pharmacognostic</w:t>
      </w:r>
      <w:proofErr w:type="spellEnd"/>
      <w:r>
        <w:rPr>
          <w:rFonts w:ascii="Arial" w:hAnsi="Arial" w:cs="Arial"/>
          <w:szCs w:val="24"/>
        </w:rPr>
        <w:t xml:space="preserve"> Profile of </w:t>
      </w:r>
      <w:proofErr w:type="spellStart"/>
      <w:r>
        <w:rPr>
          <w:rFonts w:ascii="Arial" w:hAnsi="Arial" w:cs="Arial"/>
          <w:szCs w:val="24"/>
        </w:rPr>
        <w:t>Simplicia</w:t>
      </w:r>
      <w:proofErr w:type="spellEnd"/>
      <w:r>
        <w:rPr>
          <w:rFonts w:ascii="Arial" w:hAnsi="Arial" w:cs="Arial"/>
          <w:szCs w:val="24"/>
        </w:rPr>
        <w:t xml:space="preserve"> and Ethanolic Leaves Extract from Indonesian Piper </w:t>
      </w:r>
      <w:proofErr w:type="spellStart"/>
      <w:r>
        <w:rPr>
          <w:rFonts w:ascii="Arial" w:hAnsi="Arial" w:cs="Arial"/>
          <w:szCs w:val="24"/>
        </w:rPr>
        <w:t>betle</w:t>
      </w:r>
      <w:proofErr w:type="spellEnd"/>
      <w:r>
        <w:rPr>
          <w:rFonts w:ascii="Arial" w:hAnsi="Arial" w:cs="Arial"/>
          <w:szCs w:val="24"/>
        </w:rPr>
        <w:t xml:space="preserve"> var. </w:t>
      </w:r>
      <w:proofErr w:type="spellStart"/>
      <w:r>
        <w:rPr>
          <w:rFonts w:ascii="Arial" w:hAnsi="Arial" w:cs="Arial"/>
          <w:szCs w:val="24"/>
        </w:rPr>
        <w:t>nigra</w:t>
      </w:r>
      <w:proofErr w:type="spellEnd"/>
      <w:r>
        <w:rPr>
          <w:rFonts w:ascii="Arial" w:hAnsi="Arial" w:cs="Arial"/>
          <w:szCs w:val="24"/>
        </w:rPr>
        <w:t xml:space="preserve">. </w:t>
      </w:r>
      <w:r>
        <w:rPr>
          <w:rFonts w:ascii="Arial" w:hAnsi="Arial" w:cs="Arial"/>
          <w:i/>
          <w:iCs/>
          <w:szCs w:val="24"/>
        </w:rPr>
        <w:t>Pharmacognosy Journal</w:t>
      </w:r>
      <w:r>
        <w:rPr>
          <w:rFonts w:ascii="Arial" w:hAnsi="Arial" w:cs="Arial"/>
          <w:szCs w:val="24"/>
        </w:rPr>
        <w:t xml:space="preserve">, </w:t>
      </w:r>
      <w:r>
        <w:rPr>
          <w:rFonts w:ascii="Arial" w:hAnsi="Arial" w:cs="Arial"/>
          <w:i/>
          <w:iCs/>
          <w:szCs w:val="24"/>
        </w:rPr>
        <w:t>14</w:t>
      </w:r>
      <w:r>
        <w:rPr>
          <w:rFonts w:ascii="Arial" w:hAnsi="Arial" w:cs="Arial"/>
          <w:szCs w:val="24"/>
        </w:rPr>
        <w:t>(5), 610–618. https://doi.org/10.5530/pj.2022.14.143</w:t>
      </w:r>
    </w:p>
    <w:p w:rsidR="00A471DE" w:rsidRDefault="00323E20">
      <w:pPr>
        <w:widowControl w:val="0"/>
        <w:autoSpaceDE w:val="0"/>
        <w:autoSpaceDN w:val="0"/>
        <w:adjustRightInd w:val="0"/>
        <w:spacing w:before="100"/>
        <w:ind w:left="480" w:hanging="480"/>
        <w:jc w:val="both"/>
        <w:rPr>
          <w:rFonts w:ascii="Arial" w:hAnsi="Arial" w:cs="Arial"/>
          <w:szCs w:val="24"/>
        </w:rPr>
      </w:pPr>
      <w:r>
        <w:rPr>
          <w:rFonts w:ascii="Arial" w:hAnsi="Arial" w:cs="Arial"/>
          <w:szCs w:val="24"/>
        </w:rPr>
        <w:t xml:space="preserve">Huang, Y., Ebrahimi, H., </w:t>
      </w:r>
      <w:proofErr w:type="spellStart"/>
      <w:r>
        <w:rPr>
          <w:rFonts w:ascii="Arial" w:hAnsi="Arial" w:cs="Arial"/>
          <w:szCs w:val="24"/>
        </w:rPr>
        <w:t>Berselli</w:t>
      </w:r>
      <w:proofErr w:type="spellEnd"/>
      <w:r>
        <w:rPr>
          <w:rFonts w:ascii="Arial" w:hAnsi="Arial" w:cs="Arial"/>
          <w:szCs w:val="24"/>
        </w:rPr>
        <w:t xml:space="preserve">, E., </w:t>
      </w:r>
      <w:proofErr w:type="spellStart"/>
      <w:r>
        <w:rPr>
          <w:rFonts w:ascii="Arial" w:hAnsi="Arial" w:cs="Arial"/>
          <w:szCs w:val="24"/>
        </w:rPr>
        <w:t>Foti</w:t>
      </w:r>
      <w:proofErr w:type="spellEnd"/>
      <w:r>
        <w:rPr>
          <w:rFonts w:ascii="Arial" w:hAnsi="Arial" w:cs="Arial"/>
          <w:szCs w:val="24"/>
        </w:rPr>
        <w:t xml:space="preserve">, M. C., &amp; </w:t>
      </w:r>
      <w:proofErr w:type="spellStart"/>
      <w:r>
        <w:rPr>
          <w:rFonts w:ascii="Arial" w:hAnsi="Arial" w:cs="Arial"/>
          <w:szCs w:val="24"/>
        </w:rPr>
        <w:t>Amorati</w:t>
      </w:r>
      <w:proofErr w:type="spellEnd"/>
      <w:r>
        <w:rPr>
          <w:rFonts w:ascii="Arial" w:hAnsi="Arial" w:cs="Arial"/>
          <w:szCs w:val="24"/>
        </w:rPr>
        <w:t xml:space="preserve">, R. (2025). Essential Oils as Antioxidants: Mechanistic Insights from Radical Scavenging to Redox Signaling. </w:t>
      </w:r>
      <w:r>
        <w:rPr>
          <w:rFonts w:ascii="Arial" w:hAnsi="Arial" w:cs="Arial"/>
          <w:i/>
          <w:iCs/>
          <w:szCs w:val="24"/>
        </w:rPr>
        <w:t>Antioxidants</w:t>
      </w:r>
      <w:r>
        <w:rPr>
          <w:rFonts w:ascii="Arial" w:hAnsi="Arial" w:cs="Arial"/>
          <w:szCs w:val="24"/>
        </w:rPr>
        <w:t xml:space="preserve">, </w:t>
      </w:r>
      <w:r>
        <w:rPr>
          <w:rFonts w:ascii="Arial" w:hAnsi="Arial" w:cs="Arial"/>
          <w:i/>
          <w:iCs/>
          <w:szCs w:val="24"/>
        </w:rPr>
        <w:t>15</w:t>
      </w:r>
      <w:r>
        <w:rPr>
          <w:rFonts w:ascii="Arial" w:hAnsi="Arial" w:cs="Arial"/>
          <w:szCs w:val="24"/>
        </w:rPr>
        <w:t>(1), 37. https://doi.org/10.3390/antiox15010037</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Lourenço</w:t>
      </w:r>
      <w:proofErr w:type="spellEnd"/>
      <w:r>
        <w:rPr>
          <w:rFonts w:ascii="Arial" w:hAnsi="Arial" w:cs="Arial"/>
          <w:szCs w:val="24"/>
        </w:rPr>
        <w:t xml:space="preserve">, S. C., </w:t>
      </w:r>
      <w:proofErr w:type="spellStart"/>
      <w:r>
        <w:rPr>
          <w:rFonts w:ascii="Arial" w:hAnsi="Arial" w:cs="Arial"/>
          <w:szCs w:val="24"/>
        </w:rPr>
        <w:t>Moldão</w:t>
      </w:r>
      <w:proofErr w:type="spellEnd"/>
      <w:r>
        <w:rPr>
          <w:rFonts w:ascii="Arial" w:hAnsi="Arial" w:cs="Arial"/>
          <w:szCs w:val="24"/>
        </w:rPr>
        <w:t xml:space="preserve">-Martins, M., &amp; Alves, V. D. (2019). Antioxidants of Natural Plant Origins: From Sources to Food Industry Applications. </w:t>
      </w:r>
      <w:r>
        <w:rPr>
          <w:rFonts w:ascii="Arial" w:hAnsi="Arial" w:cs="Arial"/>
          <w:i/>
          <w:iCs/>
          <w:szCs w:val="24"/>
        </w:rPr>
        <w:t>Molecules</w:t>
      </w:r>
      <w:r>
        <w:rPr>
          <w:rFonts w:ascii="Arial" w:hAnsi="Arial" w:cs="Arial"/>
          <w:szCs w:val="24"/>
        </w:rPr>
        <w:t xml:space="preserve">, </w:t>
      </w:r>
      <w:r>
        <w:rPr>
          <w:rFonts w:ascii="Arial" w:hAnsi="Arial" w:cs="Arial"/>
          <w:i/>
          <w:iCs/>
          <w:szCs w:val="24"/>
        </w:rPr>
        <w:t>24</w:t>
      </w:r>
      <w:r>
        <w:rPr>
          <w:rFonts w:ascii="Arial" w:hAnsi="Arial" w:cs="Arial"/>
          <w:szCs w:val="24"/>
        </w:rPr>
        <w:t>(22), 4132. https://doi.org/10.3390/molecules24224132</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lastRenderedPageBreak/>
        <w:t>Martemucci</w:t>
      </w:r>
      <w:proofErr w:type="spellEnd"/>
      <w:r>
        <w:rPr>
          <w:rFonts w:ascii="Arial" w:hAnsi="Arial" w:cs="Arial"/>
          <w:szCs w:val="24"/>
        </w:rPr>
        <w:t xml:space="preserve">, G., </w:t>
      </w:r>
      <w:proofErr w:type="spellStart"/>
      <w:r>
        <w:rPr>
          <w:rFonts w:ascii="Arial" w:hAnsi="Arial" w:cs="Arial"/>
          <w:szCs w:val="24"/>
        </w:rPr>
        <w:t>Costagliola</w:t>
      </w:r>
      <w:proofErr w:type="spellEnd"/>
      <w:r>
        <w:rPr>
          <w:rFonts w:ascii="Arial" w:hAnsi="Arial" w:cs="Arial"/>
          <w:szCs w:val="24"/>
        </w:rPr>
        <w:t xml:space="preserve">, C., Mariano, M., </w:t>
      </w:r>
      <w:proofErr w:type="spellStart"/>
      <w:r>
        <w:rPr>
          <w:rFonts w:ascii="Arial" w:hAnsi="Arial" w:cs="Arial"/>
          <w:szCs w:val="24"/>
        </w:rPr>
        <w:t>D’andrea</w:t>
      </w:r>
      <w:proofErr w:type="spellEnd"/>
      <w:r>
        <w:rPr>
          <w:rFonts w:ascii="Arial" w:hAnsi="Arial" w:cs="Arial"/>
          <w:szCs w:val="24"/>
        </w:rPr>
        <w:t xml:space="preserve">, L., Napolitano, P., &amp; D’Alessandro, A. G. (2022). Free Radical Properties, Source and Targets, Antioxidant Consumption and Health. </w:t>
      </w:r>
      <w:r>
        <w:rPr>
          <w:rFonts w:ascii="Arial" w:hAnsi="Arial" w:cs="Arial"/>
          <w:i/>
          <w:iCs/>
          <w:szCs w:val="24"/>
        </w:rPr>
        <w:t>Oxygen</w:t>
      </w:r>
      <w:r>
        <w:rPr>
          <w:rFonts w:ascii="Arial" w:hAnsi="Arial" w:cs="Arial"/>
          <w:szCs w:val="24"/>
        </w:rPr>
        <w:t xml:space="preserve">, </w:t>
      </w:r>
      <w:r>
        <w:rPr>
          <w:rFonts w:ascii="Arial" w:hAnsi="Arial" w:cs="Arial"/>
          <w:i/>
          <w:iCs/>
          <w:szCs w:val="24"/>
        </w:rPr>
        <w:t>2</w:t>
      </w:r>
      <w:r>
        <w:rPr>
          <w:rFonts w:ascii="Arial" w:hAnsi="Arial" w:cs="Arial"/>
          <w:szCs w:val="24"/>
        </w:rPr>
        <w:t>(2), 48–78. https://doi.org/10.3390/oxygen2020006</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Michiu</w:t>
      </w:r>
      <w:proofErr w:type="spellEnd"/>
      <w:r>
        <w:rPr>
          <w:rFonts w:ascii="Arial" w:hAnsi="Arial" w:cs="Arial"/>
          <w:szCs w:val="24"/>
        </w:rPr>
        <w:t xml:space="preserve">, D., </w:t>
      </w:r>
      <w:proofErr w:type="spellStart"/>
      <w:r>
        <w:rPr>
          <w:rFonts w:ascii="Arial" w:hAnsi="Arial" w:cs="Arial"/>
          <w:szCs w:val="24"/>
        </w:rPr>
        <w:t>Socaciu</w:t>
      </w:r>
      <w:proofErr w:type="spellEnd"/>
      <w:r>
        <w:rPr>
          <w:rFonts w:ascii="Arial" w:hAnsi="Arial" w:cs="Arial"/>
          <w:szCs w:val="24"/>
        </w:rPr>
        <w:t xml:space="preserve">, M.-I., </w:t>
      </w:r>
      <w:proofErr w:type="spellStart"/>
      <w:r>
        <w:rPr>
          <w:rFonts w:ascii="Arial" w:hAnsi="Arial" w:cs="Arial"/>
          <w:szCs w:val="24"/>
        </w:rPr>
        <w:t>Fogarasi</w:t>
      </w:r>
      <w:proofErr w:type="spellEnd"/>
      <w:r>
        <w:rPr>
          <w:rFonts w:ascii="Arial" w:hAnsi="Arial" w:cs="Arial"/>
          <w:szCs w:val="24"/>
        </w:rPr>
        <w:t xml:space="preserve">, M., </w:t>
      </w:r>
      <w:proofErr w:type="spellStart"/>
      <w:r>
        <w:rPr>
          <w:rFonts w:ascii="Arial" w:hAnsi="Arial" w:cs="Arial"/>
          <w:szCs w:val="24"/>
        </w:rPr>
        <w:t>Jimborean</w:t>
      </w:r>
      <w:proofErr w:type="spellEnd"/>
      <w:r>
        <w:rPr>
          <w:rFonts w:ascii="Arial" w:hAnsi="Arial" w:cs="Arial"/>
          <w:szCs w:val="24"/>
        </w:rPr>
        <w:t xml:space="preserve">, A. M., </w:t>
      </w:r>
      <w:proofErr w:type="spellStart"/>
      <w:r>
        <w:rPr>
          <w:rFonts w:ascii="Arial" w:hAnsi="Arial" w:cs="Arial"/>
          <w:szCs w:val="24"/>
        </w:rPr>
        <w:t>Ranga</w:t>
      </w:r>
      <w:proofErr w:type="spellEnd"/>
      <w:r>
        <w:rPr>
          <w:rFonts w:ascii="Arial" w:hAnsi="Arial" w:cs="Arial"/>
          <w:szCs w:val="24"/>
        </w:rPr>
        <w:t xml:space="preserve">, F., </w:t>
      </w:r>
      <w:proofErr w:type="spellStart"/>
      <w:r>
        <w:rPr>
          <w:rFonts w:ascii="Arial" w:hAnsi="Arial" w:cs="Arial"/>
          <w:szCs w:val="24"/>
        </w:rPr>
        <w:t>Mureşan</w:t>
      </w:r>
      <w:proofErr w:type="spellEnd"/>
      <w:r>
        <w:rPr>
          <w:rFonts w:ascii="Arial" w:hAnsi="Arial" w:cs="Arial"/>
          <w:szCs w:val="24"/>
        </w:rPr>
        <w:t xml:space="preserve">, V., &amp; </w:t>
      </w:r>
      <w:proofErr w:type="spellStart"/>
      <w:r>
        <w:rPr>
          <w:rFonts w:ascii="Arial" w:hAnsi="Arial" w:cs="Arial"/>
          <w:szCs w:val="24"/>
        </w:rPr>
        <w:t>Semeniuc</w:t>
      </w:r>
      <w:proofErr w:type="spellEnd"/>
      <w:r>
        <w:rPr>
          <w:rFonts w:ascii="Arial" w:hAnsi="Arial" w:cs="Arial"/>
          <w:szCs w:val="24"/>
        </w:rPr>
        <w:t xml:space="preserve">, C. A. (2022). Implementation of an Analytical Method for Spectrophotometric Evaluation of Total Phenolic Content in Essential Oils. </w:t>
      </w:r>
      <w:r>
        <w:rPr>
          <w:rFonts w:ascii="Arial" w:hAnsi="Arial" w:cs="Arial"/>
          <w:i/>
          <w:iCs/>
          <w:szCs w:val="24"/>
        </w:rPr>
        <w:t>Molecules</w:t>
      </w:r>
      <w:r>
        <w:rPr>
          <w:rFonts w:ascii="Arial" w:hAnsi="Arial" w:cs="Arial"/>
          <w:szCs w:val="24"/>
        </w:rPr>
        <w:t xml:space="preserve">, </w:t>
      </w:r>
      <w:r>
        <w:rPr>
          <w:rFonts w:ascii="Arial" w:hAnsi="Arial" w:cs="Arial"/>
          <w:i/>
          <w:iCs/>
          <w:szCs w:val="24"/>
        </w:rPr>
        <w:t>27</w:t>
      </w:r>
      <w:r>
        <w:rPr>
          <w:rFonts w:ascii="Arial" w:hAnsi="Arial" w:cs="Arial"/>
          <w:szCs w:val="24"/>
        </w:rPr>
        <w:t>(4), 1345. https://doi.org/10.3390/molecules27041345</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Muflihah</w:t>
      </w:r>
      <w:proofErr w:type="spellEnd"/>
      <w:r>
        <w:rPr>
          <w:rFonts w:ascii="Arial" w:hAnsi="Arial" w:cs="Arial"/>
          <w:szCs w:val="24"/>
        </w:rPr>
        <w:t xml:space="preserve">, Y. M., </w:t>
      </w:r>
      <w:proofErr w:type="spellStart"/>
      <w:r>
        <w:rPr>
          <w:rFonts w:ascii="Arial" w:hAnsi="Arial" w:cs="Arial"/>
          <w:szCs w:val="24"/>
        </w:rPr>
        <w:t>Gollavelli</w:t>
      </w:r>
      <w:proofErr w:type="spellEnd"/>
      <w:r>
        <w:rPr>
          <w:rFonts w:ascii="Arial" w:hAnsi="Arial" w:cs="Arial"/>
          <w:szCs w:val="24"/>
        </w:rPr>
        <w:t xml:space="preserve">, G., &amp; Ling, Y.-C. (2021). Correlation Study of Antioxidant Activity with Phenolic and Flavonoid Compounds in 12 Indonesian Indigenous Herbs. </w:t>
      </w:r>
      <w:r>
        <w:rPr>
          <w:rFonts w:ascii="Arial" w:hAnsi="Arial" w:cs="Arial"/>
          <w:i/>
          <w:iCs/>
          <w:szCs w:val="24"/>
        </w:rPr>
        <w:t>Antioxidants</w:t>
      </w:r>
      <w:r>
        <w:rPr>
          <w:rFonts w:ascii="Arial" w:hAnsi="Arial" w:cs="Arial"/>
          <w:szCs w:val="24"/>
        </w:rPr>
        <w:t xml:space="preserve">, </w:t>
      </w:r>
      <w:r>
        <w:rPr>
          <w:rFonts w:ascii="Arial" w:hAnsi="Arial" w:cs="Arial"/>
          <w:i/>
          <w:iCs/>
          <w:szCs w:val="24"/>
        </w:rPr>
        <w:t>10</w:t>
      </w:r>
      <w:r>
        <w:rPr>
          <w:rFonts w:ascii="Arial" w:hAnsi="Arial" w:cs="Arial"/>
          <w:szCs w:val="24"/>
        </w:rPr>
        <w:t>(10), 1530. https://doi.org/10.3390/antiox10101530</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Platzer</w:t>
      </w:r>
      <w:proofErr w:type="spellEnd"/>
      <w:r>
        <w:rPr>
          <w:rFonts w:ascii="Arial" w:hAnsi="Arial" w:cs="Arial"/>
          <w:szCs w:val="24"/>
        </w:rPr>
        <w:t xml:space="preserve">, M., Kiese, S., </w:t>
      </w:r>
      <w:proofErr w:type="spellStart"/>
      <w:r>
        <w:rPr>
          <w:rFonts w:ascii="Arial" w:hAnsi="Arial" w:cs="Arial"/>
          <w:szCs w:val="24"/>
        </w:rPr>
        <w:t>Tybussek</w:t>
      </w:r>
      <w:proofErr w:type="spellEnd"/>
      <w:r>
        <w:rPr>
          <w:rFonts w:ascii="Arial" w:hAnsi="Arial" w:cs="Arial"/>
          <w:szCs w:val="24"/>
        </w:rPr>
        <w:t xml:space="preserve">, T., </w:t>
      </w:r>
      <w:proofErr w:type="spellStart"/>
      <w:r>
        <w:rPr>
          <w:rFonts w:ascii="Arial" w:hAnsi="Arial" w:cs="Arial"/>
          <w:szCs w:val="24"/>
        </w:rPr>
        <w:t>Herfellner</w:t>
      </w:r>
      <w:proofErr w:type="spellEnd"/>
      <w:r>
        <w:rPr>
          <w:rFonts w:ascii="Arial" w:hAnsi="Arial" w:cs="Arial"/>
          <w:szCs w:val="24"/>
        </w:rPr>
        <w:t xml:space="preserve">, T., Schneider, F., </w:t>
      </w:r>
      <w:proofErr w:type="spellStart"/>
      <w:r>
        <w:rPr>
          <w:rFonts w:ascii="Arial" w:hAnsi="Arial" w:cs="Arial"/>
          <w:szCs w:val="24"/>
        </w:rPr>
        <w:t>Schweiggert</w:t>
      </w:r>
      <w:proofErr w:type="spellEnd"/>
      <w:r>
        <w:rPr>
          <w:rFonts w:ascii="Arial" w:hAnsi="Arial" w:cs="Arial"/>
          <w:szCs w:val="24"/>
        </w:rPr>
        <w:t xml:space="preserve">-Weisz, U., &amp; Eisner, P. (2022). Radical Scavenging Mechanisms of Phenolic Compounds: A Quantitative Structure-Property Relationship (QSPR) Study. </w:t>
      </w:r>
      <w:r>
        <w:rPr>
          <w:rFonts w:ascii="Arial" w:hAnsi="Arial" w:cs="Arial"/>
          <w:i/>
          <w:iCs/>
          <w:szCs w:val="24"/>
        </w:rPr>
        <w:t>Frontiers in Nutrition</w:t>
      </w:r>
      <w:r>
        <w:rPr>
          <w:rFonts w:ascii="Arial" w:hAnsi="Arial" w:cs="Arial"/>
          <w:szCs w:val="24"/>
        </w:rPr>
        <w:t xml:space="preserve">, </w:t>
      </w:r>
      <w:r>
        <w:rPr>
          <w:rFonts w:ascii="Arial" w:hAnsi="Arial" w:cs="Arial"/>
          <w:i/>
          <w:iCs/>
          <w:szCs w:val="24"/>
        </w:rPr>
        <w:t>9</w:t>
      </w:r>
      <w:r>
        <w:rPr>
          <w:rFonts w:ascii="Arial" w:hAnsi="Arial" w:cs="Arial"/>
          <w:szCs w:val="24"/>
        </w:rPr>
        <w:t>(April), 4–8. https://doi.org/10.3389/fnut.2022.882458</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Pruteanu</w:t>
      </w:r>
      <w:proofErr w:type="spellEnd"/>
      <w:r>
        <w:rPr>
          <w:rFonts w:ascii="Arial" w:hAnsi="Arial" w:cs="Arial"/>
          <w:szCs w:val="24"/>
        </w:rPr>
        <w:t xml:space="preserve">, L. L., Bailey, D. S., </w:t>
      </w:r>
      <w:proofErr w:type="spellStart"/>
      <w:r>
        <w:rPr>
          <w:rFonts w:ascii="Arial" w:hAnsi="Arial" w:cs="Arial"/>
          <w:szCs w:val="24"/>
        </w:rPr>
        <w:t>Grădinaru</w:t>
      </w:r>
      <w:proofErr w:type="spellEnd"/>
      <w:r>
        <w:rPr>
          <w:rFonts w:ascii="Arial" w:hAnsi="Arial" w:cs="Arial"/>
          <w:szCs w:val="24"/>
        </w:rPr>
        <w:t xml:space="preserve">, A. C., &amp; </w:t>
      </w:r>
      <w:proofErr w:type="spellStart"/>
      <w:r>
        <w:rPr>
          <w:rFonts w:ascii="Arial" w:hAnsi="Arial" w:cs="Arial"/>
          <w:szCs w:val="24"/>
        </w:rPr>
        <w:t>Jäntschi</w:t>
      </w:r>
      <w:proofErr w:type="spellEnd"/>
      <w:r>
        <w:rPr>
          <w:rFonts w:ascii="Arial" w:hAnsi="Arial" w:cs="Arial"/>
          <w:szCs w:val="24"/>
        </w:rPr>
        <w:t xml:space="preserve">, L. (2023). The Biochemistry and Effectiveness of Antioxidants in Food, Fruits, and Marine Algae. </w:t>
      </w:r>
      <w:r>
        <w:rPr>
          <w:rFonts w:ascii="Arial" w:hAnsi="Arial" w:cs="Arial"/>
          <w:i/>
          <w:iCs/>
          <w:szCs w:val="24"/>
        </w:rPr>
        <w:t>Antioxidants</w:t>
      </w:r>
      <w:r>
        <w:rPr>
          <w:rFonts w:ascii="Arial" w:hAnsi="Arial" w:cs="Arial"/>
          <w:szCs w:val="24"/>
        </w:rPr>
        <w:t xml:space="preserve">, </w:t>
      </w:r>
      <w:r>
        <w:rPr>
          <w:rFonts w:ascii="Arial" w:hAnsi="Arial" w:cs="Arial"/>
          <w:i/>
          <w:iCs/>
          <w:szCs w:val="24"/>
        </w:rPr>
        <w:t>12</w:t>
      </w:r>
      <w:r>
        <w:rPr>
          <w:rFonts w:ascii="Arial" w:hAnsi="Arial" w:cs="Arial"/>
          <w:szCs w:val="24"/>
        </w:rPr>
        <w:t>(4), 860. https://doi.org/10.3390/antiox12040860</w:t>
      </w:r>
    </w:p>
    <w:p w:rsidR="00A471DE" w:rsidRDefault="00323E20">
      <w:pPr>
        <w:widowControl w:val="0"/>
        <w:autoSpaceDE w:val="0"/>
        <w:autoSpaceDN w:val="0"/>
        <w:adjustRightInd w:val="0"/>
        <w:spacing w:before="100"/>
        <w:ind w:left="480" w:hanging="480"/>
        <w:jc w:val="both"/>
        <w:rPr>
          <w:rFonts w:ascii="Arial" w:hAnsi="Arial" w:cs="Arial"/>
          <w:szCs w:val="24"/>
        </w:rPr>
      </w:pPr>
      <w:r>
        <w:rPr>
          <w:rFonts w:ascii="Arial" w:hAnsi="Arial" w:cs="Arial"/>
          <w:szCs w:val="24"/>
        </w:rPr>
        <w:t xml:space="preserve">Suleiman, M. S., </w:t>
      </w:r>
      <w:proofErr w:type="spellStart"/>
      <w:r>
        <w:rPr>
          <w:rFonts w:ascii="Arial" w:hAnsi="Arial" w:cs="Arial"/>
          <w:szCs w:val="24"/>
        </w:rPr>
        <w:t>Omale</w:t>
      </w:r>
      <w:proofErr w:type="spellEnd"/>
      <w:r>
        <w:rPr>
          <w:rFonts w:ascii="Arial" w:hAnsi="Arial" w:cs="Arial"/>
          <w:szCs w:val="24"/>
        </w:rPr>
        <w:t xml:space="preserve">, J. A., Ayeni, G., Ali, B. A., </w:t>
      </w:r>
      <w:proofErr w:type="spellStart"/>
      <w:r>
        <w:rPr>
          <w:rFonts w:ascii="Arial" w:hAnsi="Arial" w:cs="Arial"/>
          <w:szCs w:val="24"/>
        </w:rPr>
        <w:t>Ojogbane</w:t>
      </w:r>
      <w:proofErr w:type="spellEnd"/>
      <w:r>
        <w:rPr>
          <w:rFonts w:ascii="Arial" w:hAnsi="Arial" w:cs="Arial"/>
          <w:szCs w:val="24"/>
        </w:rPr>
        <w:t xml:space="preserve">, E., </w:t>
      </w:r>
      <w:proofErr w:type="spellStart"/>
      <w:r>
        <w:rPr>
          <w:rFonts w:ascii="Arial" w:hAnsi="Arial" w:cs="Arial"/>
          <w:szCs w:val="24"/>
        </w:rPr>
        <w:t>Sule</w:t>
      </w:r>
      <w:proofErr w:type="spellEnd"/>
      <w:r>
        <w:rPr>
          <w:rFonts w:ascii="Arial" w:hAnsi="Arial" w:cs="Arial"/>
          <w:szCs w:val="24"/>
        </w:rPr>
        <w:t xml:space="preserve">, F. A., … Mohammed, L. S. (2024). Phytochemical, Proximate, Mineral Analysis and Antioxidant Activity of the leaves of </w:t>
      </w:r>
      <w:r w:rsidR="00FB7578" w:rsidRPr="00C70B6C">
        <w:rPr>
          <w:rFonts w:ascii="Arial" w:hAnsi="Arial" w:cs="Arial"/>
          <w:i/>
          <w:iCs/>
          <w:szCs w:val="24"/>
        </w:rPr>
        <w:t xml:space="preserve">Gossypium </w:t>
      </w:r>
      <w:proofErr w:type="spellStart"/>
      <w:r w:rsidR="00FB7578" w:rsidRPr="00C70B6C">
        <w:rPr>
          <w:rFonts w:ascii="Arial" w:hAnsi="Arial" w:cs="Arial"/>
          <w:i/>
          <w:iCs/>
          <w:szCs w:val="24"/>
        </w:rPr>
        <w:t>hirsutum</w:t>
      </w:r>
      <w:proofErr w:type="spellEnd"/>
      <w:r>
        <w:rPr>
          <w:rFonts w:ascii="Arial" w:hAnsi="Arial" w:cs="Arial"/>
          <w:szCs w:val="24"/>
        </w:rPr>
        <w:t xml:space="preserve">. </w:t>
      </w:r>
      <w:r>
        <w:rPr>
          <w:rFonts w:ascii="Arial" w:hAnsi="Arial" w:cs="Arial"/>
          <w:i/>
          <w:iCs/>
          <w:szCs w:val="24"/>
        </w:rPr>
        <w:t>IPS Interdisciplinary Journal of Biological Sciences</w:t>
      </w:r>
      <w:r>
        <w:rPr>
          <w:rFonts w:ascii="Arial" w:hAnsi="Arial" w:cs="Arial"/>
          <w:szCs w:val="24"/>
        </w:rPr>
        <w:t xml:space="preserve">, </w:t>
      </w:r>
      <w:r>
        <w:rPr>
          <w:rFonts w:ascii="Arial" w:hAnsi="Arial" w:cs="Arial"/>
          <w:i/>
          <w:iCs/>
          <w:szCs w:val="24"/>
        </w:rPr>
        <w:t>3</w:t>
      </w:r>
      <w:r>
        <w:rPr>
          <w:rFonts w:ascii="Arial" w:hAnsi="Arial" w:cs="Arial"/>
          <w:szCs w:val="24"/>
        </w:rPr>
        <w:t>(1), 45–50. https://doi.org/10.54117/iijbs.v3i1.16</w:t>
      </w:r>
    </w:p>
    <w:p w:rsidR="00A471DE" w:rsidRDefault="00323E20">
      <w:pPr>
        <w:widowControl w:val="0"/>
        <w:autoSpaceDE w:val="0"/>
        <w:autoSpaceDN w:val="0"/>
        <w:adjustRightInd w:val="0"/>
        <w:spacing w:before="100"/>
        <w:ind w:left="480" w:hanging="480"/>
        <w:jc w:val="both"/>
        <w:rPr>
          <w:rFonts w:ascii="Arial" w:hAnsi="Arial" w:cs="Arial"/>
          <w:szCs w:val="24"/>
        </w:rPr>
      </w:pPr>
      <w:proofErr w:type="spellStart"/>
      <w:r>
        <w:rPr>
          <w:rFonts w:ascii="Arial" w:hAnsi="Arial" w:cs="Arial"/>
          <w:szCs w:val="24"/>
        </w:rPr>
        <w:t>Wigati</w:t>
      </w:r>
      <w:proofErr w:type="spellEnd"/>
      <w:r>
        <w:rPr>
          <w:rFonts w:ascii="Arial" w:hAnsi="Arial" w:cs="Arial"/>
          <w:szCs w:val="24"/>
        </w:rPr>
        <w:t xml:space="preserve">, D., &amp; </w:t>
      </w:r>
      <w:proofErr w:type="spellStart"/>
      <w:r>
        <w:rPr>
          <w:rFonts w:ascii="Arial" w:hAnsi="Arial" w:cs="Arial"/>
          <w:szCs w:val="24"/>
        </w:rPr>
        <w:t>Pratoko</w:t>
      </w:r>
      <w:proofErr w:type="spellEnd"/>
      <w:r>
        <w:rPr>
          <w:rFonts w:ascii="Arial" w:hAnsi="Arial" w:cs="Arial"/>
          <w:szCs w:val="24"/>
        </w:rPr>
        <w:t>, D. K. (2024). Study of Antioxidant Activity, Total Phenolic Content (TPC), and Total Flavonoid Content (TFC) of Ethanolic Extract Mango Peel (</w:t>
      </w:r>
      <w:proofErr w:type="spellStart"/>
      <w:r>
        <w:rPr>
          <w:rFonts w:ascii="Arial" w:hAnsi="Arial" w:cs="Arial"/>
          <w:szCs w:val="24"/>
        </w:rPr>
        <w:t>Mangifera</w:t>
      </w:r>
      <w:proofErr w:type="spellEnd"/>
      <w:r>
        <w:rPr>
          <w:rFonts w:ascii="Arial" w:hAnsi="Arial" w:cs="Arial"/>
          <w:szCs w:val="24"/>
        </w:rPr>
        <w:t xml:space="preserve"> </w:t>
      </w:r>
      <w:proofErr w:type="spellStart"/>
      <w:r>
        <w:rPr>
          <w:rFonts w:ascii="Arial" w:hAnsi="Arial" w:cs="Arial"/>
          <w:szCs w:val="24"/>
        </w:rPr>
        <w:t>indica</w:t>
      </w:r>
      <w:proofErr w:type="spellEnd"/>
      <w:r>
        <w:rPr>
          <w:rFonts w:ascii="Arial" w:hAnsi="Arial" w:cs="Arial"/>
          <w:szCs w:val="24"/>
        </w:rPr>
        <w:t xml:space="preserve"> L.). </w:t>
      </w:r>
      <w:proofErr w:type="spellStart"/>
      <w:r>
        <w:rPr>
          <w:rFonts w:ascii="Arial" w:hAnsi="Arial" w:cs="Arial"/>
          <w:i/>
          <w:iCs/>
          <w:szCs w:val="24"/>
        </w:rPr>
        <w:t>Jurnal</w:t>
      </w:r>
      <w:proofErr w:type="spellEnd"/>
      <w:r>
        <w:rPr>
          <w:rFonts w:ascii="Arial" w:hAnsi="Arial" w:cs="Arial"/>
          <w:i/>
          <w:iCs/>
          <w:szCs w:val="24"/>
        </w:rPr>
        <w:t xml:space="preserve"> </w:t>
      </w:r>
      <w:proofErr w:type="spellStart"/>
      <w:r>
        <w:rPr>
          <w:rFonts w:ascii="Arial" w:hAnsi="Arial" w:cs="Arial"/>
          <w:i/>
          <w:iCs/>
          <w:szCs w:val="24"/>
        </w:rPr>
        <w:t>Sains</w:t>
      </w:r>
      <w:proofErr w:type="spellEnd"/>
      <w:r>
        <w:rPr>
          <w:rFonts w:ascii="Arial" w:hAnsi="Arial" w:cs="Arial"/>
          <w:i/>
          <w:iCs/>
          <w:szCs w:val="24"/>
        </w:rPr>
        <w:t xml:space="preserve"> Dan </w:t>
      </w:r>
      <w:proofErr w:type="spellStart"/>
      <w:r>
        <w:rPr>
          <w:rFonts w:ascii="Arial" w:hAnsi="Arial" w:cs="Arial"/>
          <w:i/>
          <w:iCs/>
          <w:szCs w:val="24"/>
        </w:rPr>
        <w:t>Kesehatan</w:t>
      </w:r>
      <w:proofErr w:type="spellEnd"/>
      <w:r>
        <w:rPr>
          <w:rFonts w:ascii="Arial" w:hAnsi="Arial" w:cs="Arial"/>
          <w:szCs w:val="24"/>
        </w:rPr>
        <w:t xml:space="preserve">, </w:t>
      </w:r>
      <w:r>
        <w:rPr>
          <w:rFonts w:ascii="Arial" w:hAnsi="Arial" w:cs="Arial"/>
          <w:i/>
          <w:iCs/>
          <w:szCs w:val="24"/>
        </w:rPr>
        <w:t>6</w:t>
      </w:r>
      <w:r>
        <w:rPr>
          <w:rFonts w:ascii="Arial" w:hAnsi="Arial" w:cs="Arial"/>
          <w:szCs w:val="24"/>
        </w:rPr>
        <w:t xml:space="preserve">(1), 142–148. </w:t>
      </w:r>
      <w:hyperlink r:id="rId14" w:history="1">
        <w:r w:rsidR="00900548" w:rsidRPr="007E3FAE">
          <w:rPr>
            <w:rStyle w:val="Hyperlink"/>
            <w:rFonts w:ascii="Arial" w:hAnsi="Arial" w:cs="Arial"/>
            <w:szCs w:val="24"/>
          </w:rPr>
          <w:t>https://doi.org/https://doi.org/10.25026/jsk.v6i1.1601</w:t>
        </w:r>
      </w:hyperlink>
    </w:p>
    <w:p w:rsidR="00900548" w:rsidRPr="00E80E0D" w:rsidRDefault="00900548" w:rsidP="00C70B6C">
      <w:pPr>
        <w:widowControl w:val="0"/>
        <w:autoSpaceDE w:val="0"/>
        <w:autoSpaceDN w:val="0"/>
        <w:adjustRightInd w:val="0"/>
        <w:ind w:left="480" w:hanging="480"/>
        <w:jc w:val="both"/>
        <w:rPr>
          <w:rFonts w:ascii="Arial" w:hAnsi="Arial" w:cs="Arial"/>
          <w:noProof/>
        </w:rPr>
      </w:pPr>
      <w:r w:rsidRPr="00E80E0D">
        <w:rPr>
          <w:rFonts w:ascii="Arial" w:hAnsi="Arial" w:cs="Arial"/>
          <w:noProof/>
          <w:szCs w:val="24"/>
        </w:rPr>
        <w:t xml:space="preserve">Zhang, J., Wang, Y., Yang, B., Li, Y., Liu, L., Zhou, W., &amp; Zheng, S. (2022). Profiling of Phenolic Compounds of Fruit Peels of Different Ecotype Bananas Derived from Domestic and Imported Cultivars with Different Maturity. </w:t>
      </w:r>
      <w:r w:rsidRPr="00E80E0D">
        <w:rPr>
          <w:rFonts w:ascii="Arial" w:hAnsi="Arial" w:cs="Arial"/>
          <w:i/>
          <w:iCs/>
          <w:noProof/>
          <w:szCs w:val="24"/>
        </w:rPr>
        <w:t>Horticulturae</w:t>
      </w:r>
      <w:r w:rsidRPr="00E80E0D">
        <w:rPr>
          <w:rFonts w:ascii="Arial" w:hAnsi="Arial" w:cs="Arial"/>
          <w:noProof/>
          <w:szCs w:val="24"/>
        </w:rPr>
        <w:t>. https://doi.org/https://doi.org/10.3390/ horticulturae8010070</w:t>
      </w:r>
    </w:p>
    <w:p w:rsidR="00900548" w:rsidRDefault="00900548">
      <w:pPr>
        <w:widowControl w:val="0"/>
        <w:autoSpaceDE w:val="0"/>
        <w:autoSpaceDN w:val="0"/>
        <w:adjustRightInd w:val="0"/>
        <w:spacing w:before="100"/>
        <w:ind w:left="480" w:hanging="480"/>
        <w:jc w:val="both"/>
        <w:rPr>
          <w:rFonts w:ascii="Arial" w:hAnsi="Arial" w:cs="Arial"/>
          <w:szCs w:val="24"/>
        </w:rPr>
      </w:pPr>
    </w:p>
    <w:sectPr w:rsidR="00900548" w:rsidSect="00A471D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302" w:rsidRDefault="00AE4302" w:rsidP="00A471DE">
      <w:r>
        <w:separator/>
      </w:r>
    </w:p>
  </w:endnote>
  <w:endnote w:type="continuationSeparator" w:id="0">
    <w:p w:rsidR="00AE4302" w:rsidRDefault="00AE4302" w:rsidP="00A4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DE" w:rsidRDefault="00A471DE">
    <w:pPr>
      <w:pStyle w:val="Footer"/>
      <w:rPr>
        <w:rFonts w:ascii="Arial" w:hAnsi="Arial" w:cs="Arial"/>
        <w:sz w:val="16"/>
      </w:rPr>
    </w:pPr>
  </w:p>
  <w:p w:rsidR="00A471DE" w:rsidRDefault="00323E2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471DE" w:rsidRDefault="00A471DE">
    <w:pPr>
      <w:pStyle w:val="Footer"/>
      <w:rPr>
        <w:rFonts w:ascii="Arial" w:hAnsi="Arial" w:cs="Arial"/>
        <w:sz w:val="16"/>
      </w:rPr>
    </w:pPr>
  </w:p>
  <w:p w:rsidR="00A471DE" w:rsidRDefault="00323E20">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302" w:rsidRDefault="00AE4302" w:rsidP="00A471DE">
      <w:r>
        <w:separator/>
      </w:r>
    </w:p>
  </w:footnote>
  <w:footnote w:type="continuationSeparator" w:id="0">
    <w:p w:rsidR="00AE4302" w:rsidRDefault="00AE4302" w:rsidP="00A47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DE" w:rsidRDefault="0070715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DE" w:rsidRDefault="00707159">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9" o:spid="_x0000_s2051" type="#_x0000_t136" style="position:absolute;margin-left:0;margin-top:0;width:519.9pt;height:58.65pt;rotation:315;z-index:-251654144;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1DE" w:rsidRDefault="00707159">
    <w:pPr>
      <w:ind w:left="2160"/>
      <w:jc w:val="center"/>
      <w:rPr>
        <w:rFonts w:ascii="Times New Roman" w:eastAsia="Calibri" w:hAnsi="Times New Roman"/>
        <w:i/>
        <w:sz w:val="18"/>
        <w:szCs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478937" o:spid="_x0000_s2049" type="#_x0000_t136" style="position:absolute;left:0;text-align:left;margin-left:0;margin-top:0;width:519.9pt;height:58.65pt;rotation:315;z-index:-251656192;mso-position-horizontal:center;mso-position-horizontal-relative:margin;mso-position-vertical:center;mso-position-vertical-relative:margin" o:allowincell="f" fillcolor="silver" stroked="f">
          <v:fill opacity=".5"/>
          <v:textpath style="font-family:&quot;Helvetica&quot;;font-size:1pt" fitpath="t" string="UNDER PEER REVIEW"/>
          <w10:wrap anchorx="margin" anchory="margin"/>
        </v:shape>
      </w:pict>
    </w:r>
  </w:p>
  <w:p w:rsidR="00A471DE" w:rsidRDefault="00323E20">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A471DE" w:rsidRDefault="00323E20">
    <w:pPr>
      <w:jc w:val="center"/>
      <w:rPr>
        <w:rFonts w:ascii="Times New Roman" w:eastAsia="Calibri" w:hAnsi="Times New Roman"/>
        <w:i/>
        <w:sz w:val="18"/>
        <w:szCs w:val="22"/>
      </w:rPr>
    </w:pPr>
    <w:r>
      <w:rPr>
        <w:rFonts w:ascii="Times New Roman" w:eastAsia="Calibri" w:hAnsi="Times New Roman"/>
        <w:i/>
        <w:sz w:val="18"/>
        <w:szCs w:val="22"/>
      </w:rPr>
      <w:t>.</w:t>
    </w:r>
  </w:p>
  <w:p w:rsidR="00A471DE" w:rsidRDefault="00323E2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A471DE" w:rsidRDefault="00A471DE">
    <w:pPr>
      <w:jc w:val="center"/>
      <w:rPr>
        <w:rFonts w:ascii="Times New Roman" w:eastAsia="Calibri" w:hAnsi="Times New Roman"/>
        <w:i/>
        <w:sz w:val="18"/>
        <w:szCs w:val="22"/>
      </w:rPr>
    </w:pPr>
  </w:p>
  <w:p w:rsidR="00A471DE" w:rsidRDefault="00323E2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471DE" w:rsidRDefault="00323E20">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52B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461"/>
    <w:rsid w:val="00283105"/>
    <w:rsid w:val="00284C4C"/>
    <w:rsid w:val="00287E68"/>
    <w:rsid w:val="00292DC5"/>
    <w:rsid w:val="00296529"/>
    <w:rsid w:val="002A4770"/>
    <w:rsid w:val="002B27FB"/>
    <w:rsid w:val="002B685A"/>
    <w:rsid w:val="002C57D2"/>
    <w:rsid w:val="002E0D56"/>
    <w:rsid w:val="002F3988"/>
    <w:rsid w:val="00315186"/>
    <w:rsid w:val="00315497"/>
    <w:rsid w:val="00323E2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3A24"/>
    <w:rsid w:val="00471A80"/>
    <w:rsid w:val="004839F1"/>
    <w:rsid w:val="004D305E"/>
    <w:rsid w:val="004D4277"/>
    <w:rsid w:val="004E473E"/>
    <w:rsid w:val="00502516"/>
    <w:rsid w:val="00505F06"/>
    <w:rsid w:val="00506828"/>
    <w:rsid w:val="0053056E"/>
    <w:rsid w:val="00554FDA"/>
    <w:rsid w:val="005C784C"/>
    <w:rsid w:val="005D17F6"/>
    <w:rsid w:val="005E5539"/>
    <w:rsid w:val="00600744"/>
    <w:rsid w:val="00602BF5"/>
    <w:rsid w:val="00617FDD"/>
    <w:rsid w:val="00633614"/>
    <w:rsid w:val="00633F68"/>
    <w:rsid w:val="00636EB2"/>
    <w:rsid w:val="006375B8"/>
    <w:rsid w:val="0066510A"/>
    <w:rsid w:val="00673F9F"/>
    <w:rsid w:val="00686953"/>
    <w:rsid w:val="00687DEA"/>
    <w:rsid w:val="00687E67"/>
    <w:rsid w:val="00694D9B"/>
    <w:rsid w:val="006967F7"/>
    <w:rsid w:val="006A250C"/>
    <w:rsid w:val="006B21D3"/>
    <w:rsid w:val="006B57D0"/>
    <w:rsid w:val="006D30FF"/>
    <w:rsid w:val="006D6940"/>
    <w:rsid w:val="006F11EC"/>
    <w:rsid w:val="0070082C"/>
    <w:rsid w:val="00707159"/>
    <w:rsid w:val="007369E6"/>
    <w:rsid w:val="00746E59"/>
    <w:rsid w:val="00754C9A"/>
    <w:rsid w:val="0075599A"/>
    <w:rsid w:val="00761D52"/>
    <w:rsid w:val="0077749E"/>
    <w:rsid w:val="00790ADA"/>
    <w:rsid w:val="00790E77"/>
    <w:rsid w:val="007D2288"/>
    <w:rsid w:val="007E088F"/>
    <w:rsid w:val="007E4962"/>
    <w:rsid w:val="007E6A6C"/>
    <w:rsid w:val="007F7B32"/>
    <w:rsid w:val="00804BC2"/>
    <w:rsid w:val="0081431A"/>
    <w:rsid w:val="0083216F"/>
    <w:rsid w:val="00860000"/>
    <w:rsid w:val="00863BD3"/>
    <w:rsid w:val="008641ED"/>
    <w:rsid w:val="00866D66"/>
    <w:rsid w:val="008671C6"/>
    <w:rsid w:val="00875803"/>
    <w:rsid w:val="008B1C50"/>
    <w:rsid w:val="008B459E"/>
    <w:rsid w:val="008C48DD"/>
    <w:rsid w:val="008E13AE"/>
    <w:rsid w:val="008E1506"/>
    <w:rsid w:val="008E710C"/>
    <w:rsid w:val="008F69D6"/>
    <w:rsid w:val="00900548"/>
    <w:rsid w:val="00902823"/>
    <w:rsid w:val="00915CA6"/>
    <w:rsid w:val="00927834"/>
    <w:rsid w:val="009500A6"/>
    <w:rsid w:val="00957C18"/>
    <w:rsid w:val="009659BA"/>
    <w:rsid w:val="00983040"/>
    <w:rsid w:val="009B3FB9"/>
    <w:rsid w:val="009C2465"/>
    <w:rsid w:val="009C24F8"/>
    <w:rsid w:val="009D35A0"/>
    <w:rsid w:val="009D7EB7"/>
    <w:rsid w:val="009E048A"/>
    <w:rsid w:val="009E08E9"/>
    <w:rsid w:val="009E3DB9"/>
    <w:rsid w:val="009E6E35"/>
    <w:rsid w:val="009F0EDA"/>
    <w:rsid w:val="00A03B96"/>
    <w:rsid w:val="00A05B19"/>
    <w:rsid w:val="00A1134E"/>
    <w:rsid w:val="00A24E7E"/>
    <w:rsid w:val="00A258C3"/>
    <w:rsid w:val="00A347C0"/>
    <w:rsid w:val="00A471DE"/>
    <w:rsid w:val="00A51431"/>
    <w:rsid w:val="00A539AD"/>
    <w:rsid w:val="00A65A72"/>
    <w:rsid w:val="00A94063"/>
    <w:rsid w:val="00AA6219"/>
    <w:rsid w:val="00AA74E0"/>
    <w:rsid w:val="00AB703F"/>
    <w:rsid w:val="00AC6BB8"/>
    <w:rsid w:val="00AE008F"/>
    <w:rsid w:val="00AE4302"/>
    <w:rsid w:val="00B01FCD"/>
    <w:rsid w:val="00B04A04"/>
    <w:rsid w:val="00B1776C"/>
    <w:rsid w:val="00B52583"/>
    <w:rsid w:val="00B52896"/>
    <w:rsid w:val="00B76452"/>
    <w:rsid w:val="00B81CD5"/>
    <w:rsid w:val="00B95236"/>
    <w:rsid w:val="00B96BD9"/>
    <w:rsid w:val="00BA1B01"/>
    <w:rsid w:val="00BA2641"/>
    <w:rsid w:val="00BB37AA"/>
    <w:rsid w:val="00BC53A0"/>
    <w:rsid w:val="00BE0219"/>
    <w:rsid w:val="00BE62AD"/>
    <w:rsid w:val="00BF121F"/>
    <w:rsid w:val="00BF1F80"/>
    <w:rsid w:val="00C166EF"/>
    <w:rsid w:val="00C17EB0"/>
    <w:rsid w:val="00C27F5F"/>
    <w:rsid w:val="00C30A0F"/>
    <w:rsid w:val="00C37E61"/>
    <w:rsid w:val="00C70B6C"/>
    <w:rsid w:val="00C70F1B"/>
    <w:rsid w:val="00C71A47"/>
    <w:rsid w:val="00C7464C"/>
    <w:rsid w:val="00C85588"/>
    <w:rsid w:val="00CD6755"/>
    <w:rsid w:val="00CD6856"/>
    <w:rsid w:val="00CE0089"/>
    <w:rsid w:val="00CE793C"/>
    <w:rsid w:val="00CF193C"/>
    <w:rsid w:val="00D0497D"/>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4654"/>
    <w:rsid w:val="00FB3A86"/>
    <w:rsid w:val="00FB7578"/>
    <w:rsid w:val="00FD36C8"/>
    <w:rsid w:val="00FF2266"/>
    <w:rsid w:val="3BE85266"/>
    <w:rsid w:val="4952118B"/>
    <w:rsid w:val="65DB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rules v:ext="edit">
        <o:r id="V:Rule2" type="connector" idref="#_x0000_s1026"/>
      </o:rules>
    </o:shapelayout>
  </w:shapeDefaults>
  <w:decimalSymbol w:val="."/>
  <w:listSeparator w:val=","/>
  <w14:docId w14:val="6EE9DE5E"/>
  <w15:docId w15:val="{F3A6E3E4-24A0-4E28-B164-3CE3AD49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71DE"/>
    <w:rPr>
      <w:rFonts w:ascii="Helvetica" w:hAnsi="Helvetica"/>
    </w:rPr>
  </w:style>
  <w:style w:type="paragraph" w:styleId="Heading1">
    <w:name w:val="heading 1"/>
    <w:basedOn w:val="Normal"/>
    <w:next w:val="Normal"/>
    <w:qFormat/>
    <w:rsid w:val="00A471DE"/>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471DE"/>
    <w:rPr>
      <w:rFonts w:ascii="Tahoma" w:hAnsi="Tahoma" w:cs="Tahoma"/>
      <w:sz w:val="16"/>
      <w:szCs w:val="16"/>
    </w:rPr>
  </w:style>
  <w:style w:type="paragraph" w:styleId="BodyText2">
    <w:name w:val="Body Text 2"/>
    <w:basedOn w:val="Normal"/>
    <w:link w:val="BodyText2Char"/>
    <w:rsid w:val="00A471DE"/>
    <w:pPr>
      <w:spacing w:after="120" w:line="480" w:lineRule="auto"/>
    </w:pPr>
  </w:style>
  <w:style w:type="paragraph" w:styleId="BodyText3">
    <w:name w:val="Body Text 3"/>
    <w:basedOn w:val="Normal"/>
    <w:link w:val="BodyText3Char"/>
    <w:rsid w:val="00A471DE"/>
    <w:pPr>
      <w:spacing w:after="120"/>
    </w:pPr>
    <w:rPr>
      <w:sz w:val="16"/>
      <w:szCs w:val="16"/>
    </w:rPr>
  </w:style>
  <w:style w:type="character" w:styleId="CommentReference">
    <w:name w:val="annotation reference"/>
    <w:basedOn w:val="DefaultParagraphFont"/>
    <w:uiPriority w:val="99"/>
    <w:unhideWhenUsed/>
    <w:rsid w:val="00A471DE"/>
    <w:rPr>
      <w:sz w:val="16"/>
      <w:szCs w:val="16"/>
    </w:rPr>
  </w:style>
  <w:style w:type="paragraph" w:styleId="CommentText">
    <w:name w:val="annotation text"/>
    <w:basedOn w:val="Normal"/>
    <w:link w:val="CommentTextChar"/>
    <w:uiPriority w:val="99"/>
    <w:unhideWhenUsed/>
    <w:rsid w:val="00A471DE"/>
    <w:rPr>
      <w:rFonts w:ascii="Times New Roman" w:hAnsi="Times New Roman"/>
      <w:lang w:val="nb-NO" w:eastAsia="nb-NO"/>
    </w:rPr>
  </w:style>
  <w:style w:type="character" w:styleId="Emphasis">
    <w:name w:val="Emphasis"/>
    <w:basedOn w:val="DefaultParagraphFont"/>
    <w:uiPriority w:val="20"/>
    <w:qFormat/>
    <w:rsid w:val="00A471DE"/>
    <w:rPr>
      <w:i/>
      <w:iCs/>
    </w:rPr>
  </w:style>
  <w:style w:type="character" w:styleId="FollowedHyperlink">
    <w:name w:val="FollowedHyperlink"/>
    <w:basedOn w:val="DefaultParagraphFont"/>
    <w:rsid w:val="00A471DE"/>
    <w:rPr>
      <w:color w:val="800080"/>
      <w:u w:val="single"/>
    </w:rPr>
  </w:style>
  <w:style w:type="paragraph" w:styleId="Footer">
    <w:name w:val="footer"/>
    <w:basedOn w:val="Normal"/>
    <w:rsid w:val="00A471DE"/>
    <w:pPr>
      <w:tabs>
        <w:tab w:val="center" w:pos="4320"/>
        <w:tab w:val="right" w:pos="8640"/>
      </w:tabs>
    </w:pPr>
  </w:style>
  <w:style w:type="paragraph" w:styleId="Header">
    <w:name w:val="header"/>
    <w:basedOn w:val="Normal"/>
    <w:rsid w:val="00A471DE"/>
    <w:pPr>
      <w:tabs>
        <w:tab w:val="center" w:pos="4320"/>
        <w:tab w:val="right" w:pos="8640"/>
      </w:tabs>
    </w:pPr>
  </w:style>
  <w:style w:type="character" w:styleId="Hyperlink">
    <w:name w:val="Hyperlink"/>
    <w:basedOn w:val="DefaultParagraphFont"/>
    <w:rsid w:val="00A471DE"/>
    <w:rPr>
      <w:color w:val="FF0080"/>
      <w:u w:val="single"/>
    </w:rPr>
  </w:style>
  <w:style w:type="character" w:styleId="LineNumber">
    <w:name w:val="line number"/>
    <w:basedOn w:val="DefaultParagraphFont"/>
    <w:rsid w:val="00A471DE"/>
  </w:style>
  <w:style w:type="paragraph" w:styleId="Signature">
    <w:name w:val="Signature"/>
    <w:basedOn w:val="Normal"/>
    <w:rsid w:val="00A471DE"/>
    <w:pPr>
      <w:ind w:left="4320"/>
    </w:pPr>
  </w:style>
  <w:style w:type="table" w:styleId="TableGrid">
    <w:name w:val="Table Grid"/>
    <w:basedOn w:val="TableNormal"/>
    <w:uiPriority w:val="59"/>
    <w:qFormat/>
    <w:rsid w:val="00A471D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rsid w:val="00A471DE"/>
    <w:pPr>
      <w:spacing w:after="360"/>
      <w:jc w:val="right"/>
    </w:pPr>
    <w:rPr>
      <w:b/>
      <w:kern w:val="28"/>
      <w:sz w:val="36"/>
    </w:rPr>
  </w:style>
  <w:style w:type="paragraph" w:customStyle="1" w:styleId="Author">
    <w:name w:val="Author"/>
    <w:basedOn w:val="Normal"/>
    <w:rsid w:val="00A471DE"/>
    <w:pPr>
      <w:spacing w:line="280" w:lineRule="exact"/>
      <w:jc w:val="right"/>
    </w:pPr>
    <w:rPr>
      <w:b/>
      <w:sz w:val="24"/>
    </w:rPr>
  </w:style>
  <w:style w:type="paragraph" w:customStyle="1" w:styleId="Affiliation">
    <w:name w:val="Affiliation"/>
    <w:basedOn w:val="Normal"/>
    <w:rsid w:val="00A471DE"/>
    <w:pPr>
      <w:spacing w:after="240" w:line="240" w:lineRule="exact"/>
      <w:jc w:val="right"/>
    </w:pPr>
  </w:style>
  <w:style w:type="paragraph" w:customStyle="1" w:styleId="Body">
    <w:name w:val="Body"/>
    <w:basedOn w:val="Normal"/>
    <w:rsid w:val="00A471DE"/>
    <w:pPr>
      <w:spacing w:after="240"/>
      <w:jc w:val="both"/>
    </w:pPr>
  </w:style>
  <w:style w:type="paragraph" w:customStyle="1" w:styleId="AbstHead">
    <w:name w:val="Abst Head"/>
    <w:basedOn w:val="MainHead"/>
    <w:rsid w:val="00A471DE"/>
    <w:rPr>
      <w:sz w:val="22"/>
    </w:rPr>
  </w:style>
  <w:style w:type="paragraph" w:customStyle="1" w:styleId="MainHead">
    <w:name w:val="Main Head"/>
    <w:basedOn w:val="Normal"/>
    <w:rsid w:val="00A471DE"/>
    <w:pPr>
      <w:keepNext/>
      <w:spacing w:after="240"/>
    </w:pPr>
    <w:rPr>
      <w:b/>
      <w:caps/>
    </w:rPr>
  </w:style>
  <w:style w:type="paragraph" w:customStyle="1" w:styleId="IntroHead">
    <w:name w:val="Intro Head"/>
    <w:basedOn w:val="MainHead"/>
    <w:rsid w:val="00A471DE"/>
    <w:rPr>
      <w:sz w:val="22"/>
    </w:rPr>
  </w:style>
  <w:style w:type="paragraph" w:customStyle="1" w:styleId="PaperNumber">
    <w:name w:val="Paper Number"/>
    <w:basedOn w:val="Normal"/>
    <w:rsid w:val="00A471DE"/>
    <w:pPr>
      <w:spacing w:after="280" w:line="280" w:lineRule="exact"/>
      <w:jc w:val="right"/>
    </w:pPr>
    <w:rPr>
      <w:b/>
      <w:sz w:val="28"/>
    </w:rPr>
  </w:style>
  <w:style w:type="paragraph" w:customStyle="1" w:styleId="ConcHead">
    <w:name w:val="Conc Head"/>
    <w:basedOn w:val="MainHead"/>
    <w:rsid w:val="00A471DE"/>
    <w:rPr>
      <w:sz w:val="22"/>
    </w:rPr>
  </w:style>
  <w:style w:type="paragraph" w:customStyle="1" w:styleId="AcknHead">
    <w:name w:val="Ackn Head"/>
    <w:basedOn w:val="MainHead"/>
    <w:rsid w:val="00A471DE"/>
    <w:rPr>
      <w:sz w:val="22"/>
    </w:rPr>
  </w:style>
  <w:style w:type="paragraph" w:customStyle="1" w:styleId="ReferHead">
    <w:name w:val="Refer Head"/>
    <w:basedOn w:val="MainHead"/>
    <w:rsid w:val="00A471DE"/>
    <w:rPr>
      <w:sz w:val="22"/>
    </w:rPr>
  </w:style>
  <w:style w:type="paragraph" w:customStyle="1" w:styleId="AddSrcHead">
    <w:name w:val="AddSrc Head"/>
    <w:basedOn w:val="MainHead"/>
    <w:rsid w:val="00A471DE"/>
    <w:rPr>
      <w:sz w:val="22"/>
    </w:rPr>
  </w:style>
  <w:style w:type="paragraph" w:customStyle="1" w:styleId="DefAcrHead">
    <w:name w:val="DefAcrHead"/>
    <w:basedOn w:val="MainHead"/>
    <w:rsid w:val="00A471DE"/>
    <w:rPr>
      <w:sz w:val="22"/>
    </w:rPr>
  </w:style>
  <w:style w:type="paragraph" w:customStyle="1" w:styleId="Copyright">
    <w:name w:val="Copyright"/>
    <w:basedOn w:val="Normal"/>
    <w:rsid w:val="00A471DE"/>
    <w:pPr>
      <w:spacing w:after="960" w:line="200" w:lineRule="exact"/>
    </w:pPr>
    <w:rPr>
      <w:sz w:val="16"/>
    </w:rPr>
  </w:style>
  <w:style w:type="paragraph" w:customStyle="1" w:styleId="Reference">
    <w:name w:val="Reference"/>
    <w:basedOn w:val="Body"/>
    <w:rsid w:val="00A471DE"/>
    <w:pPr>
      <w:numPr>
        <w:numId w:val="1"/>
      </w:numPr>
      <w:spacing w:after="0" w:line="240" w:lineRule="exact"/>
    </w:pPr>
  </w:style>
  <w:style w:type="paragraph" w:customStyle="1" w:styleId="Head1">
    <w:name w:val="Head1"/>
    <w:basedOn w:val="MainHead"/>
    <w:rsid w:val="00A471DE"/>
    <w:rPr>
      <w:sz w:val="22"/>
    </w:rPr>
  </w:style>
  <w:style w:type="paragraph" w:customStyle="1" w:styleId="ContactHead">
    <w:name w:val="Contact Head"/>
    <w:basedOn w:val="MainHead"/>
    <w:rsid w:val="00A471DE"/>
    <w:rPr>
      <w:sz w:val="22"/>
    </w:rPr>
  </w:style>
  <w:style w:type="paragraph" w:customStyle="1" w:styleId="Head3">
    <w:name w:val="Head3"/>
    <w:basedOn w:val="Head2"/>
    <w:rsid w:val="00A471DE"/>
    <w:rPr>
      <w:caps w:val="0"/>
      <w:u w:val="single"/>
    </w:rPr>
  </w:style>
  <w:style w:type="paragraph" w:customStyle="1" w:styleId="Head2">
    <w:name w:val="Head2"/>
    <w:basedOn w:val="Normal"/>
    <w:next w:val="Body"/>
    <w:rsid w:val="00A471DE"/>
    <w:pPr>
      <w:keepNext/>
      <w:spacing w:after="240"/>
    </w:pPr>
    <w:rPr>
      <w:caps/>
    </w:rPr>
  </w:style>
  <w:style w:type="paragraph" w:customStyle="1" w:styleId="Head4">
    <w:name w:val="Head4"/>
    <w:basedOn w:val="Head3"/>
    <w:rsid w:val="00A471DE"/>
    <w:rPr>
      <w:u w:val="none"/>
    </w:rPr>
  </w:style>
  <w:style w:type="paragraph" w:customStyle="1" w:styleId="UnordList">
    <w:name w:val="Unord List"/>
    <w:basedOn w:val="Body"/>
    <w:rsid w:val="00A471DE"/>
    <w:pPr>
      <w:spacing w:after="0"/>
      <w:ind w:left="360" w:hanging="360"/>
    </w:pPr>
  </w:style>
  <w:style w:type="paragraph" w:customStyle="1" w:styleId="OrdList">
    <w:name w:val="Ord List"/>
    <w:basedOn w:val="UnordList"/>
    <w:rsid w:val="00A471DE"/>
    <w:pPr>
      <w:jc w:val="left"/>
    </w:pPr>
  </w:style>
  <w:style w:type="paragraph" w:customStyle="1" w:styleId="Appendix">
    <w:name w:val="Appendix"/>
    <w:basedOn w:val="MainHead"/>
    <w:rsid w:val="00A471DE"/>
    <w:rPr>
      <w:sz w:val="22"/>
    </w:rPr>
  </w:style>
  <w:style w:type="paragraph" w:customStyle="1" w:styleId="Term">
    <w:name w:val="Term"/>
    <w:basedOn w:val="Body"/>
    <w:rsid w:val="00A471DE"/>
    <w:pPr>
      <w:spacing w:after="0"/>
    </w:pPr>
    <w:rPr>
      <w:b/>
    </w:rPr>
  </w:style>
  <w:style w:type="paragraph" w:customStyle="1" w:styleId="Definition">
    <w:name w:val="Definition"/>
    <w:basedOn w:val="Body"/>
    <w:rsid w:val="00A471DE"/>
  </w:style>
  <w:style w:type="character" w:customStyle="1" w:styleId="Bold">
    <w:name w:val="Bold"/>
    <w:rsid w:val="00A471DE"/>
    <w:rPr>
      <w:b/>
    </w:rPr>
  </w:style>
  <w:style w:type="character" w:customStyle="1" w:styleId="Italic">
    <w:name w:val="Italic"/>
    <w:rsid w:val="00A471DE"/>
    <w:rPr>
      <w:i/>
    </w:rPr>
  </w:style>
  <w:style w:type="character" w:customStyle="1" w:styleId="Underline">
    <w:name w:val="Underline"/>
    <w:rsid w:val="00A471DE"/>
    <w:rPr>
      <w:u w:val="single"/>
    </w:rPr>
  </w:style>
  <w:style w:type="paragraph" w:customStyle="1" w:styleId="Equation">
    <w:name w:val="Equation"/>
    <w:basedOn w:val="Body"/>
    <w:rsid w:val="00A471DE"/>
  </w:style>
  <w:style w:type="paragraph" w:customStyle="1" w:styleId="Figure">
    <w:name w:val="Figure"/>
    <w:basedOn w:val="Copyright"/>
    <w:rsid w:val="00A471DE"/>
    <w:pPr>
      <w:spacing w:after="240"/>
    </w:pPr>
    <w:rPr>
      <w:sz w:val="20"/>
    </w:rPr>
  </w:style>
  <w:style w:type="paragraph" w:customStyle="1" w:styleId="Head40">
    <w:name w:val="Head 4"/>
    <w:basedOn w:val="Head3"/>
    <w:rsid w:val="00A471DE"/>
    <w:rPr>
      <w:u w:val="none"/>
    </w:rPr>
  </w:style>
  <w:style w:type="paragraph" w:customStyle="1" w:styleId="Paper">
    <w:name w:val="Paper"/>
    <w:basedOn w:val="Normal"/>
    <w:rsid w:val="00A471DE"/>
    <w:pPr>
      <w:spacing w:after="360" w:line="440" w:lineRule="exact"/>
      <w:jc w:val="right"/>
    </w:pPr>
    <w:rPr>
      <w:b/>
      <w:sz w:val="36"/>
    </w:rPr>
  </w:style>
  <w:style w:type="character" w:customStyle="1" w:styleId="Subscript">
    <w:name w:val="Subscript"/>
    <w:rsid w:val="00A471DE"/>
    <w:rPr>
      <w:vertAlign w:val="subscript"/>
    </w:rPr>
  </w:style>
  <w:style w:type="character" w:customStyle="1" w:styleId="Superscript">
    <w:name w:val="Superscript"/>
    <w:rsid w:val="00A471DE"/>
    <w:rPr>
      <w:vertAlign w:val="superscript"/>
    </w:rPr>
  </w:style>
  <w:style w:type="character" w:customStyle="1" w:styleId="Symbol">
    <w:name w:val="Symbol"/>
    <w:rsid w:val="00A471DE"/>
    <w:rPr>
      <w:rFonts w:ascii="Symbol" w:hAnsi="Symbol"/>
    </w:rPr>
  </w:style>
  <w:style w:type="paragraph" w:customStyle="1" w:styleId="SymbolP">
    <w:name w:val="Symbol P"/>
    <w:basedOn w:val="Body"/>
    <w:rsid w:val="00A471DE"/>
    <w:pPr>
      <w:tabs>
        <w:tab w:val="left" w:pos="720"/>
        <w:tab w:val="left" w:pos="3780"/>
      </w:tabs>
      <w:spacing w:after="0"/>
    </w:pPr>
    <w:rPr>
      <w:sz w:val="24"/>
    </w:rPr>
  </w:style>
  <w:style w:type="character" w:customStyle="1" w:styleId="BoldItal">
    <w:name w:val="BoldItal"/>
    <w:basedOn w:val="DefaultParagraphFont"/>
    <w:rsid w:val="00A471DE"/>
    <w:rPr>
      <w:b/>
      <w:i/>
    </w:rPr>
  </w:style>
  <w:style w:type="character" w:customStyle="1" w:styleId="SubItal">
    <w:name w:val="SubItal"/>
    <w:rsid w:val="00A471DE"/>
    <w:rPr>
      <w:i/>
      <w:vertAlign w:val="subscript"/>
    </w:rPr>
  </w:style>
  <w:style w:type="character" w:customStyle="1" w:styleId="SuperItal">
    <w:name w:val="SuperItal"/>
    <w:rsid w:val="00A471DE"/>
    <w:rPr>
      <w:i/>
      <w:vertAlign w:val="superscript"/>
    </w:rPr>
  </w:style>
  <w:style w:type="character" w:customStyle="1" w:styleId="SymItal">
    <w:name w:val="SymItal"/>
    <w:rsid w:val="00A471DE"/>
    <w:rPr>
      <w:rFonts w:ascii="Symbol" w:hAnsi="Symbol"/>
      <w:i/>
    </w:rPr>
  </w:style>
  <w:style w:type="character" w:customStyle="1" w:styleId="BodyText2Char">
    <w:name w:val="Body Text 2 Char"/>
    <w:basedOn w:val="DefaultParagraphFont"/>
    <w:link w:val="BodyText2"/>
    <w:rsid w:val="00A471DE"/>
    <w:rPr>
      <w:rFonts w:ascii="Helvetica" w:hAnsi="Helvetica"/>
    </w:rPr>
  </w:style>
  <w:style w:type="character" w:customStyle="1" w:styleId="CommentTextChar">
    <w:name w:val="Comment Text Char"/>
    <w:basedOn w:val="DefaultParagraphFont"/>
    <w:link w:val="CommentText"/>
    <w:uiPriority w:val="99"/>
    <w:rsid w:val="00A471DE"/>
    <w:rPr>
      <w:lang w:val="nb-NO" w:eastAsia="nb-NO"/>
    </w:rPr>
  </w:style>
  <w:style w:type="character" w:customStyle="1" w:styleId="BalloonTextChar">
    <w:name w:val="Balloon Text Char"/>
    <w:basedOn w:val="DefaultParagraphFont"/>
    <w:link w:val="BalloonText"/>
    <w:rsid w:val="00A471DE"/>
    <w:rPr>
      <w:rFonts w:ascii="Tahoma" w:hAnsi="Tahoma" w:cs="Tahoma"/>
      <w:sz w:val="16"/>
      <w:szCs w:val="16"/>
    </w:rPr>
  </w:style>
  <w:style w:type="character" w:customStyle="1" w:styleId="BodyText3Char">
    <w:name w:val="Body Text 3 Char"/>
    <w:basedOn w:val="DefaultParagraphFont"/>
    <w:link w:val="BodyText3"/>
    <w:rsid w:val="00A471DE"/>
    <w:rPr>
      <w:rFonts w:ascii="Helvetica" w:hAnsi="Helvetica"/>
      <w:sz w:val="16"/>
      <w:szCs w:val="16"/>
    </w:rPr>
  </w:style>
  <w:style w:type="character" w:customStyle="1" w:styleId="UnresolvedMention1">
    <w:name w:val="Unresolved Mention1"/>
    <w:basedOn w:val="DefaultParagraphFont"/>
    <w:uiPriority w:val="99"/>
    <w:semiHidden/>
    <w:unhideWhenUsed/>
    <w:rsid w:val="00A471DE"/>
    <w:rPr>
      <w:color w:val="605E5C"/>
      <w:shd w:val="clear" w:color="auto" w:fill="E1DFDD"/>
    </w:rPr>
  </w:style>
  <w:style w:type="character" w:customStyle="1" w:styleId="UnresolvedMention2">
    <w:name w:val="Unresolved Mention2"/>
    <w:basedOn w:val="DefaultParagraphFont"/>
    <w:uiPriority w:val="99"/>
    <w:semiHidden/>
    <w:unhideWhenUsed/>
    <w:rsid w:val="00A47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70842">
      <w:bodyDiv w:val="1"/>
      <w:marLeft w:val="0"/>
      <w:marRight w:val="0"/>
      <w:marTop w:val="0"/>
      <w:marBottom w:val="0"/>
      <w:divBdr>
        <w:top w:val="none" w:sz="0" w:space="0" w:color="auto"/>
        <w:left w:val="none" w:sz="0" w:space="0" w:color="auto"/>
        <w:bottom w:val="none" w:sz="0" w:space="0" w:color="auto"/>
        <w:right w:val="none" w:sz="0" w:space="0" w:color="auto"/>
      </w:divBdr>
    </w:div>
    <w:div w:id="759135262">
      <w:bodyDiv w:val="1"/>
      <w:marLeft w:val="0"/>
      <w:marRight w:val="0"/>
      <w:marTop w:val="0"/>
      <w:marBottom w:val="0"/>
      <w:divBdr>
        <w:top w:val="none" w:sz="0" w:space="0" w:color="auto"/>
        <w:left w:val="none" w:sz="0" w:space="0" w:color="auto"/>
        <w:bottom w:val="none" w:sz="0" w:space="0" w:color="auto"/>
        <w:right w:val="none" w:sz="0" w:space="0" w:color="auto"/>
      </w:divBdr>
    </w:div>
    <w:div w:id="846795084">
      <w:bodyDiv w:val="1"/>
      <w:marLeft w:val="0"/>
      <w:marRight w:val="0"/>
      <w:marTop w:val="0"/>
      <w:marBottom w:val="0"/>
      <w:divBdr>
        <w:top w:val="none" w:sz="0" w:space="0" w:color="auto"/>
        <w:left w:val="none" w:sz="0" w:space="0" w:color="auto"/>
        <w:bottom w:val="none" w:sz="0" w:space="0" w:color="auto"/>
        <w:right w:val="none" w:sz="0" w:space="0" w:color="auto"/>
      </w:divBdr>
    </w:div>
    <w:div w:id="1136608579">
      <w:bodyDiv w:val="1"/>
      <w:marLeft w:val="0"/>
      <w:marRight w:val="0"/>
      <w:marTop w:val="0"/>
      <w:marBottom w:val="0"/>
      <w:divBdr>
        <w:top w:val="none" w:sz="0" w:space="0" w:color="auto"/>
        <w:left w:val="none" w:sz="0" w:space="0" w:color="auto"/>
        <w:bottom w:val="none" w:sz="0" w:space="0" w:color="auto"/>
        <w:right w:val="none" w:sz="0" w:space="0" w:color="auto"/>
      </w:divBdr>
    </w:div>
    <w:div w:id="1383947977">
      <w:bodyDiv w:val="1"/>
      <w:marLeft w:val="0"/>
      <w:marRight w:val="0"/>
      <w:marTop w:val="0"/>
      <w:marBottom w:val="0"/>
      <w:divBdr>
        <w:top w:val="none" w:sz="0" w:space="0" w:color="auto"/>
        <w:left w:val="none" w:sz="0" w:space="0" w:color="auto"/>
        <w:bottom w:val="none" w:sz="0" w:space="0" w:color="auto"/>
        <w:right w:val="none" w:sz="0" w:space="0" w:color="auto"/>
      </w:divBdr>
    </w:div>
    <w:div w:id="1969239559">
      <w:bodyDiv w:val="1"/>
      <w:marLeft w:val="0"/>
      <w:marRight w:val="0"/>
      <w:marTop w:val="0"/>
      <w:marBottom w:val="0"/>
      <w:divBdr>
        <w:top w:val="none" w:sz="0" w:space="0" w:color="auto"/>
        <w:left w:val="none" w:sz="0" w:space="0" w:color="auto"/>
        <w:bottom w:val="none" w:sz="0" w:space="0" w:color="auto"/>
        <w:right w:val="none" w:sz="0" w:space="0" w:color="auto"/>
      </w:divBdr>
    </w:div>
    <w:div w:id="2063093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foodchem.2021.13191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https://doi.org/10.25026/jsk.v6i1.1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1E248-F4E4-435E-ADE6-CBEF42D9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7</Pages>
  <Words>8276</Words>
  <Characters>47178</Characters>
  <Application>Microsoft Office Word</Application>
  <DocSecurity>0</DocSecurity>
  <Lines>393</Lines>
  <Paragraphs>110</Paragraphs>
  <ScaleCrop>false</ScaleCrop>
  <Company>aaaa</Company>
  <LinksUpToDate>false</LinksUpToDate>
  <CharactersWithSpaces>55344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18</cp:revision>
  <cp:lastPrinted>1999-07-06T11:00:00Z</cp:lastPrinted>
  <dcterms:created xsi:type="dcterms:W3CDTF">2026-01-09T14:19:00Z</dcterms:created>
  <dcterms:modified xsi:type="dcterms:W3CDTF">2026-02-13T06:47:00Z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http://csl.mendeley.com/styles/446121781/harvard-unand-3</vt:lpwstr>
  </property>
  <property fmtid="{D5CDD505-2E9C-101B-9397-08002B2CF9AE}" pid="9" name="Mendeley Recent Style Name 3_1">
    <vt:lpwstr>Cite Them Right 10th edition - Harvard - Bastian Nova</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http://www.zotero.org/styles/springer-vancouver-brackets</vt:lpwstr>
  </property>
  <property fmtid="{D5CDD505-2E9C-101B-9397-08002B2CF9AE}" pid="13" name="Mendeley Recent Style Name 5_1">
    <vt:lpwstr>Springer - Vancouver (brackets)</vt:lpwstr>
  </property>
  <property fmtid="{D5CDD505-2E9C-101B-9397-08002B2CF9AE}" pid="14" name="Mendeley Recent Style Id 6_1">
    <vt:lpwstr>http://csl.mendeley.com/styles/126048391/taylor-and-francis-chicago-author-date</vt:lpwstr>
  </property>
  <property fmtid="{D5CDD505-2E9C-101B-9397-08002B2CF9AE}" pid="15" name="Mendeley Recent Style Name 6_1">
    <vt:lpwstr>Taylor &amp; Francis - Chicago Manual of Style (author-date) - Epi Supri Wardi</vt:lpwstr>
  </property>
  <property fmtid="{D5CDD505-2E9C-101B-9397-08002B2CF9AE}" pid="16" name="Mendeley Recent Style Id 7_1">
    <vt:lpwstr>https://csl.mendeley.com/styles/126048391/taylor-and-francis-chicago-author-date</vt:lpwstr>
  </property>
  <property fmtid="{D5CDD505-2E9C-101B-9397-08002B2CF9AE}" pid="17" name="Mendeley Recent Style Name 7_1">
    <vt:lpwstr>Taylor &amp; Francis - Chicago Manual of Style (author-date) - Epi Supri Wardi</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vt:lpwstr>
  </property>
  <property fmtid="{D5CDD505-2E9C-101B-9397-08002B2CF9AE}" pid="21" name="Mendeley Recent Style Name 9_1">
    <vt:lpwstr>Vancouver (brackets)</vt:lpwstr>
  </property>
  <property fmtid="{D5CDD505-2E9C-101B-9397-08002B2CF9AE}" pid="22" name="Mendeley Document_1">
    <vt:lpwstr>True</vt:lpwstr>
  </property>
  <property fmtid="{D5CDD505-2E9C-101B-9397-08002B2CF9AE}" pid="23" name="Mendeley Unique User Id_1">
    <vt:lpwstr>e5f4f0c2-0bca-3cbf-8b07-a9b92b0e4f08</vt:lpwstr>
  </property>
  <property fmtid="{D5CDD505-2E9C-101B-9397-08002B2CF9AE}" pid="24" name="Mendeley Citation Style_1">
    <vt:lpwstr>http://www.zotero.org/styles/apa</vt:lpwstr>
  </property>
  <property fmtid="{D5CDD505-2E9C-101B-9397-08002B2CF9AE}" pid="25" name="KSOProductBuildVer">
    <vt:lpwstr>1033-12.2.0.23196</vt:lpwstr>
  </property>
  <property fmtid="{D5CDD505-2E9C-101B-9397-08002B2CF9AE}" pid="26" name="ICV">
    <vt:lpwstr>486F8047D5ED4BBAABA639BEC6B44178_12</vt:lpwstr>
  </property>
</Properties>
</file>