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7BE92" w14:textId="7016C01E" w:rsidR="00A6748E" w:rsidRPr="00480E13" w:rsidRDefault="00A6748E" w:rsidP="00A95227">
      <w:pPr>
        <w:spacing w:line="240" w:lineRule="auto"/>
        <w:jc w:val="both"/>
        <w:rPr>
          <w:rFonts w:asciiTheme="majorBidi" w:hAnsiTheme="majorBidi" w:cstheme="majorBidi"/>
          <w:b/>
          <w:bCs/>
          <w:sz w:val="32"/>
          <w:szCs w:val="32"/>
        </w:rPr>
      </w:pPr>
      <w:r w:rsidRPr="00480E13">
        <w:rPr>
          <w:rFonts w:asciiTheme="majorBidi" w:hAnsiTheme="majorBidi" w:cstheme="majorBidi"/>
          <w:b/>
          <w:bCs/>
          <w:sz w:val="32"/>
          <w:szCs w:val="32"/>
        </w:rPr>
        <w:t>Short Research Article</w:t>
      </w:r>
    </w:p>
    <w:p w14:paraId="5BAAEF78" w14:textId="77777777" w:rsidR="00A6748E" w:rsidRPr="00480E13" w:rsidRDefault="00A6748E" w:rsidP="00A95227">
      <w:pPr>
        <w:spacing w:line="240" w:lineRule="auto"/>
        <w:jc w:val="both"/>
        <w:rPr>
          <w:rFonts w:asciiTheme="majorBidi" w:hAnsiTheme="majorBidi" w:cstheme="majorBidi"/>
          <w:b/>
          <w:bCs/>
          <w:sz w:val="32"/>
          <w:szCs w:val="32"/>
        </w:rPr>
      </w:pPr>
    </w:p>
    <w:p w14:paraId="5657067F" w14:textId="4B56CAB2" w:rsidR="00DF4D52" w:rsidRPr="00480E13" w:rsidRDefault="00193A7C" w:rsidP="00A95227">
      <w:pPr>
        <w:spacing w:line="240" w:lineRule="auto"/>
        <w:jc w:val="both"/>
        <w:rPr>
          <w:rFonts w:asciiTheme="majorBidi" w:hAnsiTheme="majorBidi" w:cstheme="majorBidi"/>
          <w:b/>
          <w:bCs/>
          <w:sz w:val="32"/>
          <w:szCs w:val="32"/>
        </w:rPr>
      </w:pPr>
      <w:r w:rsidRPr="00480E13">
        <w:rPr>
          <w:rFonts w:asciiTheme="majorBidi" w:hAnsiTheme="majorBidi" w:cstheme="majorBidi"/>
          <w:b/>
          <w:bCs/>
          <w:sz w:val="32"/>
          <w:szCs w:val="32"/>
        </w:rPr>
        <w:t>Public Health Implications of Gastrointestinal Helminths in Red Sokoto and Sahelian White Goats Slaughtered in Bauchi Metropolis</w:t>
      </w:r>
    </w:p>
    <w:p w14:paraId="6497A865" w14:textId="5AB3721D" w:rsidR="009D61D8" w:rsidRPr="00480E13" w:rsidRDefault="009D61D8" w:rsidP="00A95227">
      <w:pPr>
        <w:spacing w:line="240" w:lineRule="auto"/>
        <w:jc w:val="both"/>
        <w:rPr>
          <w:rFonts w:asciiTheme="majorBidi" w:hAnsiTheme="majorBidi" w:cstheme="majorBidi"/>
          <w:b/>
          <w:bCs/>
          <w:sz w:val="32"/>
          <w:szCs w:val="32"/>
        </w:rPr>
      </w:pPr>
    </w:p>
    <w:p w14:paraId="312DAFC8" w14:textId="77777777" w:rsidR="00882F43" w:rsidRPr="00480E13" w:rsidRDefault="00882F43" w:rsidP="00A95227">
      <w:pPr>
        <w:spacing w:line="240" w:lineRule="auto"/>
        <w:jc w:val="both"/>
        <w:rPr>
          <w:rFonts w:asciiTheme="majorBidi" w:hAnsiTheme="majorBidi" w:cstheme="majorBidi"/>
          <w:b/>
          <w:bCs/>
          <w:sz w:val="32"/>
          <w:szCs w:val="32"/>
        </w:rPr>
      </w:pPr>
    </w:p>
    <w:p w14:paraId="7C7919BA" w14:textId="77777777" w:rsidR="00193A7C" w:rsidRPr="00480E13" w:rsidRDefault="00193A7C" w:rsidP="00A95227">
      <w:pPr>
        <w:spacing w:line="240" w:lineRule="auto"/>
        <w:jc w:val="both"/>
        <w:rPr>
          <w:rFonts w:asciiTheme="majorBidi" w:hAnsiTheme="majorBidi" w:cstheme="majorBidi"/>
        </w:rPr>
      </w:pPr>
      <w:r w:rsidRPr="00480E13">
        <w:rPr>
          <w:rFonts w:asciiTheme="majorBidi" w:hAnsiTheme="majorBidi" w:cstheme="majorBidi"/>
          <w:b/>
          <w:bCs/>
        </w:rPr>
        <w:t>Abstract</w:t>
      </w:r>
    </w:p>
    <w:p w14:paraId="4CDCF7C5" w14:textId="1AFF940A" w:rsidR="00193A7C" w:rsidRPr="00480E13" w:rsidRDefault="00643984" w:rsidP="00A95227">
      <w:pPr>
        <w:spacing w:line="240" w:lineRule="auto"/>
        <w:jc w:val="both"/>
        <w:rPr>
          <w:rFonts w:asciiTheme="majorBidi" w:hAnsiTheme="majorBidi" w:cstheme="majorBidi"/>
        </w:rPr>
      </w:pPr>
      <w:r w:rsidRPr="00480E13">
        <w:rPr>
          <w:rFonts w:asciiTheme="majorBidi" w:hAnsiTheme="majorBidi" w:cstheme="majorBidi"/>
        </w:rPr>
        <w:t xml:space="preserve">Goat farming is a vital sector in Nigeria's agricultural economy, with Red Sokoto and Sahelian White breeds being prized for their meat, milk, and skin. However, gastrointestinal (GI) helminthiasis severely constrains productivity, causing economic losses and public health risks due to zoonotic transmission. </w:t>
      </w:r>
      <w:r w:rsidR="00193A7C" w:rsidRPr="00480E13">
        <w:rPr>
          <w:rFonts w:asciiTheme="majorBidi" w:hAnsiTheme="majorBidi" w:cstheme="majorBidi"/>
        </w:rPr>
        <w:t xml:space="preserve">This study </w:t>
      </w:r>
      <w:r w:rsidR="007025A7" w:rsidRPr="00480E13">
        <w:rPr>
          <w:rFonts w:asciiTheme="majorBidi" w:hAnsiTheme="majorBidi" w:cstheme="majorBidi"/>
        </w:rPr>
        <w:t xml:space="preserve">aims to determine </w:t>
      </w:r>
      <w:r w:rsidR="00193A7C" w:rsidRPr="00480E13">
        <w:rPr>
          <w:rFonts w:asciiTheme="majorBidi" w:hAnsiTheme="majorBidi" w:cstheme="majorBidi"/>
        </w:rPr>
        <w:t xml:space="preserve">the prevalence and public health implications of gastrointestinal helminths in Red Sokoto and Sahelian White goats slaughtered at the Bauchi Central Abattoir, Bauchi Metropolis. A cross-sectional survey was conducted involving 200 randomly selected goats (110 Red Sokoto and 90 Sahelian White), </w:t>
      </w:r>
      <w:proofErr w:type="spellStart"/>
      <w:r w:rsidR="004279D8" w:rsidRPr="00480E13">
        <w:rPr>
          <w:rFonts w:asciiTheme="majorBidi" w:hAnsiTheme="majorBidi" w:cstheme="majorBidi"/>
        </w:rPr>
        <w:t>utilising</w:t>
      </w:r>
      <w:proofErr w:type="spellEnd"/>
      <w:r w:rsidR="004279D8" w:rsidRPr="00480E13">
        <w:rPr>
          <w:rFonts w:asciiTheme="majorBidi" w:hAnsiTheme="majorBidi" w:cstheme="majorBidi"/>
        </w:rPr>
        <w:t xml:space="preserve"> </w:t>
      </w:r>
      <w:r w:rsidR="00193A7C" w:rsidRPr="00480E13">
        <w:rPr>
          <w:rFonts w:asciiTheme="majorBidi" w:hAnsiTheme="majorBidi" w:cstheme="majorBidi"/>
        </w:rPr>
        <w:t xml:space="preserve">post-mortem examination and laboratory analysis of </w:t>
      </w:r>
      <w:proofErr w:type="spellStart"/>
      <w:r w:rsidR="00193A7C" w:rsidRPr="00480E13">
        <w:rPr>
          <w:rFonts w:asciiTheme="majorBidi" w:hAnsiTheme="majorBidi" w:cstheme="majorBidi"/>
        </w:rPr>
        <w:t>f</w:t>
      </w:r>
      <w:r w:rsidR="004279D8" w:rsidRPr="00480E13">
        <w:rPr>
          <w:rFonts w:asciiTheme="majorBidi" w:hAnsiTheme="majorBidi" w:cstheme="majorBidi"/>
        </w:rPr>
        <w:t>a</w:t>
      </w:r>
      <w:r w:rsidR="00193A7C" w:rsidRPr="00480E13">
        <w:rPr>
          <w:rFonts w:asciiTheme="majorBidi" w:hAnsiTheme="majorBidi" w:cstheme="majorBidi"/>
        </w:rPr>
        <w:t>ecal</w:t>
      </w:r>
      <w:proofErr w:type="spellEnd"/>
      <w:r w:rsidR="00193A7C" w:rsidRPr="00480E13">
        <w:rPr>
          <w:rFonts w:asciiTheme="majorBidi" w:hAnsiTheme="majorBidi" w:cstheme="majorBidi"/>
        </w:rPr>
        <w:t xml:space="preserve"> samples to identify parasitic burdens. The results revealed an overall prevalence of 65.0%, with Sahelian White goats showing a slightly higher infection rate (66.67%) compared to Red Sokoto goats (63.64%). The study identified a diverse range of helminths, including nematodes such as </w:t>
      </w:r>
      <w:proofErr w:type="spellStart"/>
      <w:r w:rsidR="00193A7C" w:rsidRPr="00480E13">
        <w:rPr>
          <w:rFonts w:asciiTheme="majorBidi" w:hAnsiTheme="majorBidi" w:cstheme="majorBidi"/>
          <w:i/>
          <w:iCs/>
        </w:rPr>
        <w:t>Haemonchus</w:t>
      </w:r>
      <w:proofErr w:type="spellEnd"/>
      <w:r w:rsidR="00193A7C" w:rsidRPr="00480E13">
        <w:rPr>
          <w:rFonts w:asciiTheme="majorBidi" w:hAnsiTheme="majorBidi" w:cstheme="majorBidi"/>
          <w:i/>
          <w:iCs/>
        </w:rPr>
        <w:t xml:space="preserve"> </w:t>
      </w:r>
      <w:proofErr w:type="spellStart"/>
      <w:r w:rsidR="00193A7C" w:rsidRPr="00480E13">
        <w:rPr>
          <w:rFonts w:asciiTheme="majorBidi" w:hAnsiTheme="majorBidi" w:cstheme="majorBidi"/>
          <w:i/>
          <w:iCs/>
        </w:rPr>
        <w:t>contortus</w:t>
      </w:r>
      <w:proofErr w:type="spellEnd"/>
      <w:r w:rsidR="00193A7C" w:rsidRPr="00480E13">
        <w:rPr>
          <w:rFonts w:asciiTheme="majorBidi" w:hAnsiTheme="majorBidi" w:cstheme="majorBidi"/>
        </w:rPr>
        <w:t xml:space="preserve">, </w:t>
      </w:r>
      <w:proofErr w:type="spellStart"/>
      <w:r w:rsidR="00193A7C" w:rsidRPr="00480E13">
        <w:rPr>
          <w:rFonts w:asciiTheme="majorBidi" w:hAnsiTheme="majorBidi" w:cstheme="majorBidi"/>
          <w:i/>
          <w:iCs/>
        </w:rPr>
        <w:t>Trichostrongylus</w:t>
      </w:r>
      <w:proofErr w:type="spellEnd"/>
      <w:r w:rsidR="00193A7C" w:rsidRPr="00480E13">
        <w:rPr>
          <w:rFonts w:asciiTheme="majorBidi" w:hAnsiTheme="majorBidi" w:cstheme="majorBidi"/>
          <w:i/>
          <w:iCs/>
        </w:rPr>
        <w:t xml:space="preserve"> </w:t>
      </w:r>
      <w:proofErr w:type="spellStart"/>
      <w:r w:rsidR="00193A7C" w:rsidRPr="00480E13">
        <w:rPr>
          <w:rFonts w:asciiTheme="majorBidi" w:hAnsiTheme="majorBidi" w:cstheme="majorBidi"/>
          <w:i/>
          <w:iCs/>
        </w:rPr>
        <w:t>colubriformis</w:t>
      </w:r>
      <w:proofErr w:type="spellEnd"/>
      <w:r w:rsidR="00193A7C" w:rsidRPr="00480E13">
        <w:rPr>
          <w:rFonts w:asciiTheme="majorBidi" w:hAnsiTheme="majorBidi" w:cstheme="majorBidi"/>
        </w:rPr>
        <w:t xml:space="preserve">, and </w:t>
      </w:r>
      <w:proofErr w:type="spellStart"/>
      <w:r w:rsidR="00193A7C" w:rsidRPr="00480E13">
        <w:rPr>
          <w:rFonts w:asciiTheme="majorBidi" w:hAnsiTheme="majorBidi" w:cstheme="majorBidi"/>
          <w:i/>
          <w:iCs/>
        </w:rPr>
        <w:t>Oesophagostomum</w:t>
      </w:r>
      <w:proofErr w:type="spellEnd"/>
      <w:r w:rsidR="00193A7C" w:rsidRPr="00480E13">
        <w:rPr>
          <w:rFonts w:asciiTheme="majorBidi" w:hAnsiTheme="majorBidi" w:cstheme="majorBidi"/>
          <w:i/>
          <w:iCs/>
        </w:rPr>
        <w:t xml:space="preserve"> </w:t>
      </w:r>
      <w:proofErr w:type="spellStart"/>
      <w:r w:rsidR="00193A7C" w:rsidRPr="00480E13">
        <w:rPr>
          <w:rFonts w:asciiTheme="majorBidi" w:hAnsiTheme="majorBidi" w:cstheme="majorBidi"/>
          <w:i/>
          <w:iCs/>
        </w:rPr>
        <w:t>columbianum</w:t>
      </w:r>
      <w:proofErr w:type="spellEnd"/>
      <w:r w:rsidR="00193A7C" w:rsidRPr="00480E13">
        <w:rPr>
          <w:rFonts w:asciiTheme="majorBidi" w:hAnsiTheme="majorBidi" w:cstheme="majorBidi"/>
        </w:rPr>
        <w:t xml:space="preserve">, as well as trematodes like </w:t>
      </w:r>
      <w:r w:rsidR="00193A7C" w:rsidRPr="00480E13">
        <w:rPr>
          <w:rFonts w:asciiTheme="majorBidi" w:hAnsiTheme="majorBidi" w:cstheme="majorBidi"/>
          <w:i/>
          <w:iCs/>
        </w:rPr>
        <w:t>Fasciola</w:t>
      </w:r>
      <w:r w:rsidR="00193A7C" w:rsidRPr="00480E13">
        <w:rPr>
          <w:rFonts w:asciiTheme="majorBidi" w:hAnsiTheme="majorBidi" w:cstheme="majorBidi"/>
        </w:rPr>
        <w:t xml:space="preserve"> species and cestodes including </w:t>
      </w:r>
      <w:proofErr w:type="spellStart"/>
      <w:r w:rsidR="00193A7C" w:rsidRPr="00480E13">
        <w:rPr>
          <w:rFonts w:asciiTheme="majorBidi" w:hAnsiTheme="majorBidi" w:cstheme="majorBidi"/>
          <w:i/>
          <w:iCs/>
        </w:rPr>
        <w:t>Moniezia</w:t>
      </w:r>
      <w:proofErr w:type="spellEnd"/>
      <w:r w:rsidR="00193A7C" w:rsidRPr="00480E13">
        <w:rPr>
          <w:rFonts w:asciiTheme="majorBidi" w:hAnsiTheme="majorBidi" w:cstheme="majorBidi"/>
          <w:i/>
          <w:iCs/>
        </w:rPr>
        <w:t xml:space="preserve"> </w:t>
      </w:r>
      <w:proofErr w:type="spellStart"/>
      <w:r w:rsidR="00193A7C" w:rsidRPr="00480E13">
        <w:rPr>
          <w:rFonts w:asciiTheme="majorBidi" w:hAnsiTheme="majorBidi" w:cstheme="majorBidi"/>
          <w:i/>
          <w:iCs/>
        </w:rPr>
        <w:t>expansa</w:t>
      </w:r>
      <w:proofErr w:type="spellEnd"/>
      <w:r w:rsidR="00193A7C" w:rsidRPr="00480E13">
        <w:rPr>
          <w:rFonts w:asciiTheme="majorBidi" w:hAnsiTheme="majorBidi" w:cstheme="majorBidi"/>
        </w:rPr>
        <w:t>. Statistical analysis indicated no significant difference (</w:t>
      </w:r>
      <m:oMath>
        <m:r>
          <m:rPr>
            <m:sty m:val="p"/>
          </m:rPr>
          <w:rPr>
            <w:rFonts w:ascii="Cambria Math" w:hAnsi="Cambria Math" w:cstheme="majorBidi"/>
          </w:rPr>
          <m:t>‘</m:t>
        </m:r>
        <m:r>
          <w:rPr>
            <w:rFonts w:ascii="Cambria Math" w:hAnsi="Cambria Math" w:cstheme="majorBidi"/>
          </w:rPr>
          <m:t>P&gt;0.05</m:t>
        </m:r>
        <m:r>
          <m:rPr>
            <m:sty m:val="p"/>
          </m:rPr>
          <w:rPr>
            <w:rFonts w:ascii="Cambria Math" w:hAnsi="Cambria Math" w:cstheme="majorBidi"/>
          </w:rPr>
          <m:t>‘</m:t>
        </m:r>
      </m:oMath>
      <w:r w:rsidR="00193A7C" w:rsidRPr="00480E13">
        <w:rPr>
          <w:rFonts w:asciiTheme="majorBidi" w:hAnsiTheme="majorBidi" w:cstheme="majorBidi"/>
        </w:rPr>
        <w:t xml:space="preserve">) in infection rates between breeds or sexes, although adult goats and males exhibited marginally higher susceptibility. The presence of zoonotic parasites, particularly </w:t>
      </w:r>
      <w:proofErr w:type="spellStart"/>
      <w:r w:rsidR="00193A7C" w:rsidRPr="00480E13">
        <w:rPr>
          <w:rFonts w:asciiTheme="majorBidi" w:hAnsiTheme="majorBidi" w:cstheme="majorBidi"/>
          <w:i/>
          <w:iCs/>
        </w:rPr>
        <w:t>Fasciola</w:t>
      </w:r>
      <w:proofErr w:type="spellEnd"/>
      <w:r w:rsidR="00193A7C" w:rsidRPr="00480E13">
        <w:rPr>
          <w:rFonts w:asciiTheme="majorBidi" w:hAnsiTheme="majorBidi" w:cstheme="majorBidi"/>
        </w:rPr>
        <w:t xml:space="preserve"> species and </w:t>
      </w:r>
      <w:proofErr w:type="spellStart"/>
      <w:r w:rsidR="00193A7C" w:rsidRPr="00480E13">
        <w:rPr>
          <w:rFonts w:asciiTheme="majorBidi" w:hAnsiTheme="majorBidi" w:cstheme="majorBidi"/>
          <w:i/>
          <w:iCs/>
        </w:rPr>
        <w:t>Trichostrongylus</w:t>
      </w:r>
      <w:proofErr w:type="spellEnd"/>
      <w:r w:rsidR="00193A7C" w:rsidRPr="00480E13">
        <w:rPr>
          <w:rFonts w:asciiTheme="majorBidi" w:hAnsiTheme="majorBidi" w:cstheme="majorBidi"/>
        </w:rPr>
        <w:t xml:space="preserve">, highlights a critical public health risk to consumers and abattoir workers. Consequently, the study recommends rigorous meat inspection protocols, improved abattoir sanitation, and public </w:t>
      </w:r>
      <w:proofErr w:type="spellStart"/>
      <w:r w:rsidR="004279D8" w:rsidRPr="00480E13">
        <w:rPr>
          <w:rFonts w:asciiTheme="majorBidi" w:hAnsiTheme="majorBidi" w:cstheme="majorBidi"/>
        </w:rPr>
        <w:t>sensitisation</w:t>
      </w:r>
      <w:proofErr w:type="spellEnd"/>
      <w:r w:rsidR="004279D8" w:rsidRPr="00480E13">
        <w:rPr>
          <w:rFonts w:asciiTheme="majorBidi" w:hAnsiTheme="majorBidi" w:cstheme="majorBidi"/>
        </w:rPr>
        <w:t xml:space="preserve"> </w:t>
      </w:r>
      <w:r w:rsidR="00193A7C" w:rsidRPr="00480E13">
        <w:rPr>
          <w:rFonts w:asciiTheme="majorBidi" w:hAnsiTheme="majorBidi" w:cstheme="majorBidi"/>
        </w:rPr>
        <w:t>on proper meat processing to mitigate the risk of zoonotic transmission and ensure food safety in the metropolis.</w:t>
      </w:r>
    </w:p>
    <w:p w14:paraId="541A1C81" w14:textId="01760FC6" w:rsidR="00193A7C" w:rsidRPr="00480E13" w:rsidRDefault="00193A7C" w:rsidP="00A95227">
      <w:pPr>
        <w:spacing w:line="240" w:lineRule="auto"/>
        <w:jc w:val="both"/>
        <w:rPr>
          <w:rFonts w:asciiTheme="majorBidi" w:hAnsiTheme="majorBidi" w:cstheme="majorBidi"/>
        </w:rPr>
      </w:pPr>
      <w:r w:rsidRPr="00480E13">
        <w:rPr>
          <w:rFonts w:asciiTheme="majorBidi" w:hAnsiTheme="majorBidi" w:cstheme="majorBidi"/>
          <w:b/>
          <w:bCs/>
        </w:rPr>
        <w:t>Keywords:</w:t>
      </w:r>
      <w:r w:rsidRPr="00480E13">
        <w:rPr>
          <w:rFonts w:asciiTheme="majorBidi" w:hAnsiTheme="majorBidi" w:cstheme="majorBidi"/>
        </w:rPr>
        <w:t xml:space="preserve"> Abattoir</w:t>
      </w:r>
      <w:r w:rsidR="009D2C16" w:rsidRPr="00480E13">
        <w:rPr>
          <w:rFonts w:asciiTheme="majorBidi" w:hAnsiTheme="majorBidi" w:cstheme="majorBidi"/>
        </w:rPr>
        <w:t>, Bauchi Metropolis</w:t>
      </w:r>
      <w:r w:rsidRPr="00480E13">
        <w:rPr>
          <w:rFonts w:asciiTheme="majorBidi" w:hAnsiTheme="majorBidi" w:cstheme="majorBidi"/>
        </w:rPr>
        <w:t>, Gastrointestinal Helminths, Public Health, Red Sokoto</w:t>
      </w:r>
      <w:r w:rsidR="009D2C16" w:rsidRPr="00480E13">
        <w:rPr>
          <w:rFonts w:asciiTheme="majorBidi" w:hAnsiTheme="majorBidi" w:cstheme="majorBidi"/>
        </w:rPr>
        <w:t xml:space="preserve"> Goats</w:t>
      </w:r>
      <w:r w:rsidRPr="00480E13">
        <w:rPr>
          <w:rFonts w:asciiTheme="majorBidi" w:hAnsiTheme="majorBidi" w:cstheme="majorBidi"/>
        </w:rPr>
        <w:t>, Sahelian White</w:t>
      </w:r>
      <w:r w:rsidR="009D2C16" w:rsidRPr="00480E13">
        <w:rPr>
          <w:rFonts w:asciiTheme="majorBidi" w:hAnsiTheme="majorBidi" w:cstheme="majorBidi"/>
        </w:rPr>
        <w:t xml:space="preserve"> Goats</w:t>
      </w:r>
      <w:r w:rsidRPr="00480E13">
        <w:rPr>
          <w:rFonts w:asciiTheme="majorBidi" w:hAnsiTheme="majorBidi" w:cstheme="majorBidi"/>
        </w:rPr>
        <w:t>.</w:t>
      </w:r>
    </w:p>
    <w:p w14:paraId="06FC1226" w14:textId="77777777" w:rsidR="00896864" w:rsidRPr="00480E13" w:rsidRDefault="00896864" w:rsidP="00A95227">
      <w:pPr>
        <w:spacing w:line="240" w:lineRule="auto"/>
        <w:jc w:val="both"/>
        <w:rPr>
          <w:rFonts w:asciiTheme="majorBidi" w:hAnsiTheme="majorBidi" w:cstheme="majorBidi"/>
        </w:rPr>
      </w:pPr>
      <w:r w:rsidRPr="00480E13">
        <w:rPr>
          <w:rFonts w:asciiTheme="majorBidi" w:hAnsiTheme="majorBidi" w:cstheme="majorBidi"/>
          <w:b/>
          <w:bCs/>
        </w:rPr>
        <w:t>1. Introduction</w:t>
      </w:r>
    </w:p>
    <w:p w14:paraId="0F50FA60" w14:textId="63E1FEF6" w:rsidR="00896864" w:rsidRPr="00480E13" w:rsidRDefault="00896864" w:rsidP="00F7537C">
      <w:pPr>
        <w:spacing w:line="240" w:lineRule="auto"/>
        <w:jc w:val="both"/>
        <w:rPr>
          <w:rFonts w:asciiTheme="majorBidi" w:hAnsiTheme="majorBidi" w:cstheme="majorBidi"/>
        </w:rPr>
      </w:pPr>
      <w:r w:rsidRPr="00480E13">
        <w:rPr>
          <w:rFonts w:asciiTheme="majorBidi" w:hAnsiTheme="majorBidi" w:cstheme="majorBidi"/>
        </w:rPr>
        <w:t>Small ruminant production, particularly goat farming, constitutes a significant sector of the agricultural economy in developing nations like Nigeria</w:t>
      </w:r>
      <w:r w:rsidR="00927E74" w:rsidRPr="00480E13">
        <w:rPr>
          <w:rFonts w:asciiTheme="majorBidi" w:hAnsiTheme="majorBidi" w:cstheme="majorBidi"/>
        </w:rPr>
        <w:t xml:space="preserve"> (</w:t>
      </w:r>
      <w:proofErr w:type="spellStart"/>
      <w:r w:rsidR="00927E74" w:rsidRPr="00480E13">
        <w:rPr>
          <w:rFonts w:asciiTheme="majorBidi" w:hAnsiTheme="majorBidi" w:cstheme="majorBidi"/>
        </w:rPr>
        <w:t>Adetunmbi</w:t>
      </w:r>
      <w:proofErr w:type="spellEnd"/>
      <w:r w:rsidR="00927E74" w:rsidRPr="00480E13">
        <w:rPr>
          <w:rFonts w:asciiTheme="majorBidi" w:hAnsiTheme="majorBidi" w:cstheme="majorBidi"/>
        </w:rPr>
        <w:t xml:space="preserve"> et al.,2023)</w:t>
      </w:r>
      <w:r w:rsidRPr="00480E13">
        <w:rPr>
          <w:rFonts w:asciiTheme="majorBidi" w:hAnsiTheme="majorBidi" w:cstheme="majorBidi"/>
        </w:rPr>
        <w:t xml:space="preserve">. </w:t>
      </w:r>
      <w:r w:rsidR="00F7537C" w:rsidRPr="00480E13">
        <w:rPr>
          <w:rFonts w:asciiTheme="majorBidi" w:hAnsiTheme="majorBidi" w:cstheme="majorBidi"/>
        </w:rPr>
        <w:t>Small ruminants are considered easy to rear</w:t>
      </w:r>
      <w:r w:rsidR="004279D8" w:rsidRPr="00480E13">
        <w:rPr>
          <w:rFonts w:asciiTheme="majorBidi" w:hAnsiTheme="majorBidi" w:cstheme="majorBidi"/>
        </w:rPr>
        <w:t>,</w:t>
      </w:r>
      <w:r w:rsidR="00F7537C" w:rsidRPr="00480E13">
        <w:rPr>
          <w:rFonts w:asciiTheme="majorBidi" w:hAnsiTheme="majorBidi" w:cstheme="majorBidi"/>
        </w:rPr>
        <w:t xml:space="preserve"> and they form an important economic position, especially in </w:t>
      </w:r>
      <w:r w:rsidR="004279D8" w:rsidRPr="00480E13">
        <w:rPr>
          <w:rFonts w:asciiTheme="majorBidi" w:hAnsiTheme="majorBidi" w:cstheme="majorBidi"/>
        </w:rPr>
        <w:t>small-</w:t>
      </w:r>
      <w:r w:rsidR="00F7537C" w:rsidRPr="00480E13">
        <w:rPr>
          <w:rFonts w:asciiTheme="majorBidi" w:hAnsiTheme="majorBidi" w:cstheme="majorBidi"/>
        </w:rPr>
        <w:t>scale farms</w:t>
      </w:r>
      <w:r w:rsidR="0052141D" w:rsidRPr="00480E13">
        <w:rPr>
          <w:rFonts w:asciiTheme="majorBidi" w:hAnsiTheme="majorBidi" w:cstheme="majorBidi"/>
        </w:rPr>
        <w:t xml:space="preserve"> (Mustapha et al., 2024</w:t>
      </w:r>
      <w:r w:rsidR="006D1E33" w:rsidRPr="00480E13">
        <w:rPr>
          <w:rFonts w:asciiTheme="majorBidi" w:hAnsiTheme="majorBidi" w:cstheme="majorBidi"/>
        </w:rPr>
        <w:t xml:space="preserve">; </w:t>
      </w:r>
      <w:proofErr w:type="spellStart"/>
      <w:r w:rsidR="006D1E33" w:rsidRPr="00480E13">
        <w:rPr>
          <w:rFonts w:asciiTheme="majorBidi" w:hAnsiTheme="majorBidi" w:cstheme="majorBidi"/>
        </w:rPr>
        <w:t>Tella</w:t>
      </w:r>
      <w:proofErr w:type="spellEnd"/>
      <w:r w:rsidR="006D1E33" w:rsidRPr="00480E13">
        <w:rPr>
          <w:rFonts w:asciiTheme="majorBidi" w:hAnsiTheme="majorBidi" w:cstheme="majorBidi"/>
        </w:rPr>
        <w:t xml:space="preserve"> &amp; </w:t>
      </w:r>
      <w:proofErr w:type="spellStart"/>
      <w:r w:rsidR="006D1E33" w:rsidRPr="00480E13">
        <w:rPr>
          <w:rFonts w:asciiTheme="majorBidi" w:hAnsiTheme="majorBidi" w:cstheme="majorBidi"/>
        </w:rPr>
        <w:t>Chineke</w:t>
      </w:r>
      <w:proofErr w:type="spellEnd"/>
      <w:r w:rsidR="006D1E33" w:rsidRPr="00480E13">
        <w:rPr>
          <w:rFonts w:asciiTheme="majorBidi" w:hAnsiTheme="majorBidi" w:cstheme="majorBidi"/>
        </w:rPr>
        <w:t>, 2022</w:t>
      </w:r>
      <w:r w:rsidR="0052141D" w:rsidRPr="00480E13">
        <w:rPr>
          <w:rFonts w:asciiTheme="majorBidi" w:hAnsiTheme="majorBidi" w:cstheme="majorBidi"/>
        </w:rPr>
        <w:t>)</w:t>
      </w:r>
      <w:r w:rsidR="00F7537C" w:rsidRPr="00480E13">
        <w:rPr>
          <w:rFonts w:asciiTheme="majorBidi" w:hAnsiTheme="majorBidi" w:cstheme="majorBidi"/>
        </w:rPr>
        <w:t xml:space="preserve">.  </w:t>
      </w:r>
      <w:r w:rsidRPr="00480E13">
        <w:rPr>
          <w:rFonts w:asciiTheme="majorBidi" w:hAnsiTheme="majorBidi" w:cstheme="majorBidi"/>
        </w:rPr>
        <w:t>The Red Sokoto and Sahelian White goat breeds are the most predominant in Northern Nigeria, prized for their high-quality meat, milk, and skin, as well as their adaptability to the harsh semi-arid environment. These animals serve as a primary source of animal protein and a "living bank" for rural households, providing financial stability and food security</w:t>
      </w:r>
      <w:r w:rsidR="004279D8" w:rsidRPr="00480E13">
        <w:rPr>
          <w:rFonts w:asciiTheme="majorBidi" w:hAnsiTheme="majorBidi" w:cstheme="majorBidi"/>
        </w:rPr>
        <w:t>.</w:t>
      </w:r>
      <w:r w:rsidRPr="00480E13">
        <w:rPr>
          <w:rFonts w:asciiTheme="majorBidi" w:hAnsiTheme="majorBidi" w:cstheme="majorBidi"/>
        </w:rPr>
        <w:t xml:space="preserve"> However, the optimal productivity of these breeds is frequently severely constrained by disease challenges, with gastrointestinal (GI) helminthiasis being </w:t>
      </w:r>
      <w:proofErr w:type="spellStart"/>
      <w:r w:rsidR="004279D8" w:rsidRPr="00480E13">
        <w:rPr>
          <w:rFonts w:asciiTheme="majorBidi" w:hAnsiTheme="majorBidi" w:cstheme="majorBidi"/>
        </w:rPr>
        <w:t>recognised</w:t>
      </w:r>
      <w:proofErr w:type="spellEnd"/>
      <w:r w:rsidR="004279D8" w:rsidRPr="00480E13">
        <w:rPr>
          <w:rFonts w:asciiTheme="majorBidi" w:hAnsiTheme="majorBidi" w:cstheme="majorBidi"/>
        </w:rPr>
        <w:t xml:space="preserve"> </w:t>
      </w:r>
      <w:r w:rsidRPr="00480E13">
        <w:rPr>
          <w:rFonts w:asciiTheme="majorBidi" w:hAnsiTheme="majorBidi" w:cstheme="majorBidi"/>
        </w:rPr>
        <w:t>as one of the most economically damaging. The prevalence of these parasitic infections leads to reduced growth rates, lowered fertility, anorexia, and significant mortality, particularly in young stock, thereby undermining the economic viability of goat production</w:t>
      </w:r>
      <w:r w:rsidR="004403D6" w:rsidRPr="00480E13">
        <w:rPr>
          <w:rFonts w:asciiTheme="majorBidi" w:hAnsiTheme="majorBidi" w:cstheme="majorBidi"/>
        </w:rPr>
        <w:t>. Gastrointestinal parasites</w:t>
      </w:r>
      <w:r w:rsidR="00B00283" w:rsidRPr="00480E13">
        <w:rPr>
          <w:rFonts w:asciiTheme="majorBidi" w:hAnsiTheme="majorBidi" w:cstheme="majorBidi"/>
        </w:rPr>
        <w:t xml:space="preserve"> </w:t>
      </w:r>
      <w:r w:rsidR="004403D6" w:rsidRPr="00480E13">
        <w:rPr>
          <w:rFonts w:asciiTheme="majorBidi" w:hAnsiTheme="majorBidi" w:cstheme="majorBidi"/>
        </w:rPr>
        <w:t xml:space="preserve">in goats are omnipresent in various environments. They may cause poor body condition, reduced feed intake and weight gain, and weight loss, immunity, decreased milk production and lactation period, decreased work capacity, mortality, abortion, diarrhea dysentery, and </w:t>
      </w:r>
      <w:proofErr w:type="spellStart"/>
      <w:r w:rsidR="004403D6" w:rsidRPr="00480E13">
        <w:rPr>
          <w:rFonts w:asciiTheme="majorBidi" w:hAnsiTheme="majorBidi" w:cstheme="majorBidi"/>
        </w:rPr>
        <w:t>an</w:t>
      </w:r>
      <w:r w:rsidR="004279D8" w:rsidRPr="00480E13">
        <w:rPr>
          <w:rFonts w:asciiTheme="majorBidi" w:hAnsiTheme="majorBidi" w:cstheme="majorBidi"/>
        </w:rPr>
        <w:t>a</w:t>
      </w:r>
      <w:r w:rsidR="004403D6" w:rsidRPr="00480E13">
        <w:rPr>
          <w:rFonts w:asciiTheme="majorBidi" w:hAnsiTheme="majorBidi" w:cstheme="majorBidi"/>
        </w:rPr>
        <w:t>emia</w:t>
      </w:r>
      <w:proofErr w:type="spellEnd"/>
      <w:r w:rsidR="002638B5" w:rsidRPr="00480E13">
        <w:rPr>
          <w:rFonts w:asciiTheme="majorBidi" w:hAnsiTheme="majorBidi" w:cstheme="majorBidi"/>
        </w:rPr>
        <w:t xml:space="preserve"> (Mpofu et al., 2022</w:t>
      </w:r>
      <w:r w:rsidR="007A7CFB" w:rsidRPr="00480E13">
        <w:rPr>
          <w:rFonts w:asciiTheme="majorBidi" w:hAnsiTheme="majorBidi" w:cstheme="majorBidi"/>
        </w:rPr>
        <w:t>; Victor et al., 2024</w:t>
      </w:r>
      <w:r w:rsidR="002638B5" w:rsidRPr="00480E13">
        <w:rPr>
          <w:rFonts w:asciiTheme="majorBidi" w:hAnsiTheme="majorBidi" w:cstheme="majorBidi"/>
        </w:rPr>
        <w:t>)</w:t>
      </w:r>
      <w:r w:rsidR="004403D6" w:rsidRPr="00480E13">
        <w:rPr>
          <w:rFonts w:asciiTheme="majorBidi" w:hAnsiTheme="majorBidi" w:cstheme="majorBidi"/>
        </w:rPr>
        <w:t>.</w:t>
      </w:r>
      <w:r w:rsidRPr="00480E13">
        <w:rPr>
          <w:rFonts w:asciiTheme="majorBidi" w:hAnsiTheme="majorBidi" w:cstheme="majorBidi"/>
        </w:rPr>
        <w:t xml:space="preserve"> </w:t>
      </w:r>
      <w:r w:rsidR="004403D6" w:rsidRPr="00480E13">
        <w:rPr>
          <w:rFonts w:asciiTheme="majorBidi" w:hAnsiTheme="majorBidi" w:cstheme="majorBidi"/>
        </w:rPr>
        <w:t xml:space="preserve"> </w:t>
      </w:r>
    </w:p>
    <w:p w14:paraId="62F619CF" w14:textId="6FFF0106" w:rsidR="00AD5136" w:rsidRPr="00480E13" w:rsidRDefault="00896864" w:rsidP="00AD5136">
      <w:pPr>
        <w:spacing w:line="240" w:lineRule="auto"/>
        <w:jc w:val="both"/>
        <w:rPr>
          <w:rFonts w:asciiTheme="majorBidi" w:hAnsiTheme="majorBidi" w:cstheme="majorBidi"/>
        </w:rPr>
      </w:pPr>
      <w:r w:rsidRPr="00480E13">
        <w:rPr>
          <w:rFonts w:asciiTheme="majorBidi" w:hAnsiTheme="majorBidi" w:cstheme="majorBidi"/>
        </w:rPr>
        <w:lastRenderedPageBreak/>
        <w:t xml:space="preserve">In the context of Northern Nigeria, the epidemiology of GI helminths is heavily influenced by the distinct climatic conditions and management systems. The wet season, </w:t>
      </w:r>
      <w:proofErr w:type="spellStart"/>
      <w:r w:rsidR="004279D8" w:rsidRPr="00480E13">
        <w:rPr>
          <w:rFonts w:asciiTheme="majorBidi" w:hAnsiTheme="majorBidi" w:cstheme="majorBidi"/>
        </w:rPr>
        <w:t>characterised</w:t>
      </w:r>
      <w:proofErr w:type="spellEnd"/>
      <w:r w:rsidR="004279D8" w:rsidRPr="00480E13">
        <w:rPr>
          <w:rFonts w:asciiTheme="majorBidi" w:hAnsiTheme="majorBidi" w:cstheme="majorBidi"/>
        </w:rPr>
        <w:t xml:space="preserve"> </w:t>
      </w:r>
      <w:r w:rsidRPr="00480E13">
        <w:rPr>
          <w:rFonts w:asciiTheme="majorBidi" w:hAnsiTheme="majorBidi" w:cstheme="majorBidi"/>
        </w:rPr>
        <w:t xml:space="preserve">by high humidity and moisture, </w:t>
      </w:r>
      <w:proofErr w:type="spellStart"/>
      <w:r w:rsidRPr="00480E13">
        <w:rPr>
          <w:rFonts w:asciiTheme="majorBidi" w:hAnsiTheme="majorBidi" w:cstheme="majorBidi"/>
        </w:rPr>
        <w:t>favo</w:t>
      </w:r>
      <w:r w:rsidR="004279D8" w:rsidRPr="00480E13">
        <w:rPr>
          <w:rFonts w:asciiTheme="majorBidi" w:hAnsiTheme="majorBidi" w:cstheme="majorBidi"/>
        </w:rPr>
        <w:t>u</w:t>
      </w:r>
      <w:r w:rsidRPr="00480E13">
        <w:rPr>
          <w:rFonts w:asciiTheme="majorBidi" w:hAnsiTheme="majorBidi" w:cstheme="majorBidi"/>
        </w:rPr>
        <w:t>rs</w:t>
      </w:r>
      <w:proofErr w:type="spellEnd"/>
      <w:r w:rsidRPr="00480E13">
        <w:rPr>
          <w:rFonts w:asciiTheme="majorBidi" w:hAnsiTheme="majorBidi" w:cstheme="majorBidi"/>
        </w:rPr>
        <w:t xml:space="preserve"> the development and survival of infective larval stages of nematodes such as </w:t>
      </w:r>
      <w:proofErr w:type="spellStart"/>
      <w:r w:rsidRPr="00480E13">
        <w:rPr>
          <w:rFonts w:asciiTheme="majorBidi" w:hAnsiTheme="majorBidi" w:cstheme="majorBidi"/>
          <w:i/>
          <w:iCs/>
        </w:rPr>
        <w:t>Haemonchus</w:t>
      </w:r>
      <w:proofErr w:type="spellEnd"/>
      <w:r w:rsidRPr="00480E13">
        <w:rPr>
          <w:rFonts w:asciiTheme="majorBidi" w:hAnsiTheme="majorBidi" w:cstheme="majorBidi"/>
          <w:i/>
          <w:iCs/>
        </w:rPr>
        <w:t xml:space="preserve"> </w:t>
      </w:r>
      <w:proofErr w:type="spellStart"/>
      <w:r w:rsidRPr="00480E13">
        <w:rPr>
          <w:rFonts w:asciiTheme="majorBidi" w:hAnsiTheme="majorBidi" w:cstheme="majorBidi"/>
          <w:i/>
          <w:iCs/>
        </w:rPr>
        <w:t>contortus</w:t>
      </w:r>
      <w:proofErr w:type="spellEnd"/>
      <w:r w:rsidRPr="00480E13">
        <w:rPr>
          <w:rFonts w:asciiTheme="majorBidi" w:hAnsiTheme="majorBidi" w:cstheme="majorBidi"/>
        </w:rPr>
        <w:t xml:space="preserve">, </w:t>
      </w:r>
      <w:proofErr w:type="spellStart"/>
      <w:r w:rsidRPr="00480E13">
        <w:rPr>
          <w:rFonts w:asciiTheme="majorBidi" w:hAnsiTheme="majorBidi" w:cstheme="majorBidi"/>
          <w:i/>
          <w:iCs/>
        </w:rPr>
        <w:t>Trichostrongylus</w:t>
      </w:r>
      <w:proofErr w:type="spellEnd"/>
      <w:r w:rsidRPr="00480E13">
        <w:rPr>
          <w:rFonts w:asciiTheme="majorBidi" w:hAnsiTheme="majorBidi" w:cstheme="majorBidi"/>
        </w:rPr>
        <w:t xml:space="preserve"> species, and </w:t>
      </w:r>
      <w:proofErr w:type="spellStart"/>
      <w:r w:rsidRPr="00480E13">
        <w:rPr>
          <w:rFonts w:asciiTheme="majorBidi" w:hAnsiTheme="majorBidi" w:cstheme="majorBidi"/>
          <w:i/>
          <w:iCs/>
        </w:rPr>
        <w:t>Oesophagostomum</w:t>
      </w:r>
      <w:proofErr w:type="spellEnd"/>
      <w:r w:rsidRPr="00480E13">
        <w:rPr>
          <w:rFonts w:asciiTheme="majorBidi" w:hAnsiTheme="majorBidi" w:cstheme="majorBidi"/>
        </w:rPr>
        <w:t xml:space="preserve"> species on pasture. Consequently, goats managed under extensive or semi-intensive systems, which rely on grazing, are at a heightened risk of infection</w:t>
      </w:r>
      <w:r w:rsidR="004279D8" w:rsidRPr="00480E13">
        <w:rPr>
          <w:rFonts w:asciiTheme="majorBidi" w:hAnsiTheme="majorBidi" w:cstheme="majorBidi"/>
        </w:rPr>
        <w:t>.</w:t>
      </w:r>
      <w:r w:rsidRPr="00480E13">
        <w:rPr>
          <w:rFonts w:asciiTheme="majorBidi" w:hAnsiTheme="majorBidi" w:cstheme="majorBidi"/>
        </w:rPr>
        <w:t xml:space="preserve"> Recent studies have indicated that while the Red Sokoto breed exhibits some degree of genetic resistance to helminths compared to other breeds, the burden of infection remains high across the region due to poor management practices and inadequate veterinary intervention.</w:t>
      </w:r>
      <w:r w:rsidR="00C20082" w:rsidRPr="00480E13">
        <w:rPr>
          <w:rFonts w:asciiTheme="majorBidi" w:hAnsiTheme="majorBidi" w:cstheme="majorBidi"/>
        </w:rPr>
        <w:t xml:space="preserve"> </w:t>
      </w:r>
      <w:r w:rsidRPr="00480E13">
        <w:rPr>
          <w:rFonts w:asciiTheme="majorBidi" w:hAnsiTheme="majorBidi" w:cstheme="majorBidi"/>
        </w:rPr>
        <w:t xml:space="preserve">Beyond the direct economic losses to livestock producers, the presence of GI helminths in slaughter goats raises critical public health concerns, a perspective central to the "One Health" framework. Several helminths identified in goats, including </w:t>
      </w:r>
      <w:r w:rsidRPr="00480E13">
        <w:rPr>
          <w:rFonts w:asciiTheme="majorBidi" w:hAnsiTheme="majorBidi" w:cstheme="majorBidi"/>
          <w:i/>
          <w:iCs/>
        </w:rPr>
        <w:t>Fasciola</w:t>
      </w:r>
      <w:r w:rsidRPr="00480E13">
        <w:rPr>
          <w:rFonts w:asciiTheme="majorBidi" w:hAnsiTheme="majorBidi" w:cstheme="majorBidi"/>
        </w:rPr>
        <w:t xml:space="preserve"> species (liver fluke) and </w:t>
      </w:r>
      <w:proofErr w:type="spellStart"/>
      <w:r w:rsidRPr="00480E13">
        <w:rPr>
          <w:rFonts w:asciiTheme="majorBidi" w:hAnsiTheme="majorBidi" w:cstheme="majorBidi"/>
          <w:i/>
          <w:iCs/>
        </w:rPr>
        <w:t>Trichostrongylus</w:t>
      </w:r>
      <w:proofErr w:type="spellEnd"/>
      <w:r w:rsidRPr="00480E13">
        <w:rPr>
          <w:rFonts w:asciiTheme="majorBidi" w:hAnsiTheme="majorBidi" w:cstheme="majorBidi"/>
        </w:rPr>
        <w:t xml:space="preserve"> species, are zoonotic, posing a direct risk to humans. Transmission can occur through the consumption of undercooked infected offal (such as liver and intestines) or through environmental contamination</w:t>
      </w:r>
      <w:r w:rsidR="004279D8" w:rsidRPr="00480E13">
        <w:rPr>
          <w:rFonts w:asciiTheme="majorBidi" w:hAnsiTheme="majorBidi" w:cstheme="majorBidi"/>
        </w:rPr>
        <w:t>.</w:t>
      </w:r>
      <w:r w:rsidRPr="00480E13">
        <w:rPr>
          <w:rFonts w:asciiTheme="majorBidi" w:hAnsiTheme="majorBidi" w:cstheme="majorBidi"/>
        </w:rPr>
        <w:t xml:space="preserve"> Abattoirs, such as the Bauchi Central Abattoir, act as critical convergence points where the health status of the animal population directly impacts human food safety. </w:t>
      </w:r>
    </w:p>
    <w:p w14:paraId="0B61ABCB" w14:textId="033060E3" w:rsidR="00AD5136" w:rsidRPr="00480E13" w:rsidRDefault="00AD5136" w:rsidP="00AD5136">
      <w:pPr>
        <w:spacing w:line="240" w:lineRule="auto"/>
        <w:jc w:val="both"/>
        <w:rPr>
          <w:rFonts w:asciiTheme="majorBidi" w:hAnsiTheme="majorBidi" w:cstheme="majorBidi"/>
        </w:rPr>
      </w:pPr>
      <w:r w:rsidRPr="00480E13">
        <w:rPr>
          <w:rFonts w:asciiTheme="majorBidi" w:hAnsiTheme="majorBidi" w:cstheme="majorBidi"/>
          <w:noProof/>
        </w:rPr>
        <w:drawing>
          <wp:inline distT="0" distB="0" distL="0" distR="0" wp14:anchorId="72019E4F" wp14:editId="1F65B361">
            <wp:extent cx="4191000" cy="3025140"/>
            <wp:effectExtent l="0" t="0" r="0" b="3810"/>
            <wp:docPr id="1997470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70146" name="Picture 19974701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1000" cy="3025140"/>
                    </a:xfrm>
                    <a:prstGeom prst="rect">
                      <a:avLst/>
                    </a:prstGeom>
                  </pic:spPr>
                </pic:pic>
              </a:graphicData>
            </a:graphic>
          </wp:inline>
        </w:drawing>
      </w:r>
    </w:p>
    <w:p w14:paraId="75EE2815" w14:textId="77777777" w:rsidR="000271AB" w:rsidRPr="00480E13" w:rsidRDefault="00AD5136" w:rsidP="00AD5136">
      <w:pPr>
        <w:spacing w:line="240" w:lineRule="auto"/>
        <w:jc w:val="both"/>
        <w:rPr>
          <w:rFonts w:asciiTheme="majorBidi" w:hAnsiTheme="majorBidi" w:cstheme="majorBidi"/>
        </w:rPr>
      </w:pPr>
      <w:r w:rsidRPr="00480E13">
        <w:rPr>
          <w:rFonts w:asciiTheme="majorBidi" w:hAnsiTheme="majorBidi" w:cstheme="majorBidi"/>
          <w:b/>
          <w:bCs/>
        </w:rPr>
        <w:t>Figure 1. Schematic representation of the life cycle of gastrointestinal helminths in goats.</w:t>
      </w:r>
      <w:r w:rsidRPr="00480E13">
        <w:rPr>
          <w:rFonts w:asciiTheme="majorBidi" w:hAnsiTheme="majorBidi" w:cstheme="majorBidi"/>
        </w:rPr>
        <w:t xml:space="preserve"> </w:t>
      </w:r>
    </w:p>
    <w:p w14:paraId="575E093D" w14:textId="24D74555" w:rsidR="00AD5136" w:rsidRPr="00480E13" w:rsidRDefault="000271AB" w:rsidP="00AD5136">
      <w:pPr>
        <w:spacing w:line="240" w:lineRule="auto"/>
        <w:jc w:val="both"/>
        <w:rPr>
          <w:rFonts w:asciiTheme="majorBidi" w:hAnsiTheme="majorBidi" w:cstheme="majorBidi"/>
        </w:rPr>
      </w:pPr>
      <w:r w:rsidRPr="00480E13">
        <w:rPr>
          <w:rFonts w:asciiTheme="majorBidi" w:hAnsiTheme="majorBidi" w:cstheme="majorBidi"/>
        </w:rPr>
        <w:t>Figure 1</w:t>
      </w:r>
      <w:r w:rsidR="00AD5136" w:rsidRPr="00480E13">
        <w:rPr>
          <w:rFonts w:asciiTheme="majorBidi" w:hAnsiTheme="majorBidi" w:cstheme="majorBidi"/>
        </w:rPr>
        <w:t xml:space="preserve"> illustrates the direct transmission pathway</w:t>
      </w:r>
      <w:r w:rsidR="004279D8" w:rsidRPr="00480E13">
        <w:rPr>
          <w:rFonts w:asciiTheme="majorBidi" w:hAnsiTheme="majorBidi" w:cstheme="majorBidi"/>
        </w:rPr>
        <w:t>,</w:t>
      </w:r>
      <w:r w:rsidR="00233FED" w:rsidRPr="00480E13">
        <w:rPr>
          <w:rFonts w:asciiTheme="majorBidi" w:hAnsiTheme="majorBidi" w:cstheme="majorBidi"/>
        </w:rPr>
        <w:t xml:space="preserve"> such as c</w:t>
      </w:r>
      <w:r w:rsidR="00AD5136" w:rsidRPr="00480E13">
        <w:rPr>
          <w:rFonts w:asciiTheme="majorBidi" w:hAnsiTheme="majorBidi" w:cstheme="majorBidi"/>
        </w:rPr>
        <w:t xml:space="preserve">ontamination of pasture with helminth eggs via </w:t>
      </w:r>
      <w:proofErr w:type="spellStart"/>
      <w:r w:rsidR="00AD5136" w:rsidRPr="00480E13">
        <w:rPr>
          <w:rFonts w:asciiTheme="majorBidi" w:hAnsiTheme="majorBidi" w:cstheme="majorBidi"/>
        </w:rPr>
        <w:t>f</w:t>
      </w:r>
      <w:r w:rsidR="004279D8" w:rsidRPr="00480E13">
        <w:rPr>
          <w:rFonts w:asciiTheme="majorBidi" w:hAnsiTheme="majorBidi" w:cstheme="majorBidi"/>
        </w:rPr>
        <w:t>a</w:t>
      </w:r>
      <w:r w:rsidR="00AD5136" w:rsidRPr="00480E13">
        <w:rPr>
          <w:rFonts w:asciiTheme="majorBidi" w:hAnsiTheme="majorBidi" w:cstheme="majorBidi"/>
        </w:rPr>
        <w:t>eces</w:t>
      </w:r>
      <w:proofErr w:type="spellEnd"/>
      <w:r w:rsidR="00233FED" w:rsidRPr="00480E13">
        <w:rPr>
          <w:rFonts w:asciiTheme="majorBidi" w:hAnsiTheme="majorBidi" w:cstheme="majorBidi"/>
        </w:rPr>
        <w:t>, d</w:t>
      </w:r>
      <w:r w:rsidR="00AD5136" w:rsidRPr="00480E13">
        <w:rPr>
          <w:rFonts w:asciiTheme="majorBidi" w:hAnsiTheme="majorBidi" w:cstheme="majorBidi"/>
        </w:rPr>
        <w:t>evelopment of eggs into infective larvae on herbage</w:t>
      </w:r>
      <w:r w:rsidR="00233FED" w:rsidRPr="00480E13">
        <w:rPr>
          <w:rFonts w:asciiTheme="majorBidi" w:hAnsiTheme="majorBidi" w:cstheme="majorBidi"/>
        </w:rPr>
        <w:t>,</w:t>
      </w:r>
      <w:r w:rsidR="00AD5136" w:rsidRPr="00480E13">
        <w:rPr>
          <w:rFonts w:asciiTheme="majorBidi" w:hAnsiTheme="majorBidi" w:cstheme="majorBidi"/>
        </w:rPr>
        <w:t xml:space="preserve"> </w:t>
      </w:r>
      <w:r w:rsidR="00233FED" w:rsidRPr="00480E13">
        <w:rPr>
          <w:rFonts w:asciiTheme="majorBidi" w:hAnsiTheme="majorBidi" w:cstheme="majorBidi"/>
        </w:rPr>
        <w:t>i</w:t>
      </w:r>
      <w:r w:rsidR="00AD5136" w:rsidRPr="00480E13">
        <w:rPr>
          <w:rFonts w:asciiTheme="majorBidi" w:hAnsiTheme="majorBidi" w:cstheme="majorBidi"/>
        </w:rPr>
        <w:t>nfection of the host through grazing</w:t>
      </w:r>
      <w:r w:rsidR="004279D8" w:rsidRPr="00480E13">
        <w:rPr>
          <w:rFonts w:asciiTheme="majorBidi" w:hAnsiTheme="majorBidi" w:cstheme="majorBidi"/>
        </w:rPr>
        <w:t xml:space="preserve">, </w:t>
      </w:r>
      <w:r w:rsidR="00AD5136" w:rsidRPr="00480E13">
        <w:rPr>
          <w:rFonts w:asciiTheme="majorBidi" w:hAnsiTheme="majorBidi" w:cstheme="majorBidi"/>
        </w:rPr>
        <w:t xml:space="preserve">and </w:t>
      </w:r>
      <w:r w:rsidR="00233FED" w:rsidRPr="00480E13">
        <w:rPr>
          <w:rFonts w:asciiTheme="majorBidi" w:hAnsiTheme="majorBidi" w:cstheme="majorBidi"/>
        </w:rPr>
        <w:t>e</w:t>
      </w:r>
      <w:r w:rsidR="00AD5136" w:rsidRPr="00480E13">
        <w:rPr>
          <w:rFonts w:asciiTheme="majorBidi" w:hAnsiTheme="majorBidi" w:cstheme="majorBidi"/>
        </w:rPr>
        <w:t>stablishment of adult worms in the gastrointestinal tract, contributing to pathology and further egg shedding.</w:t>
      </w:r>
    </w:p>
    <w:p w14:paraId="11D5BF2B" w14:textId="718B94FC" w:rsidR="007B60D0" w:rsidRPr="00480E13" w:rsidRDefault="00896864" w:rsidP="000271AB">
      <w:pPr>
        <w:spacing w:line="240" w:lineRule="auto"/>
        <w:ind w:firstLine="720"/>
        <w:jc w:val="both"/>
        <w:rPr>
          <w:rFonts w:asciiTheme="majorBidi" w:hAnsiTheme="majorBidi" w:cstheme="majorBidi"/>
        </w:rPr>
      </w:pPr>
      <w:r w:rsidRPr="00480E13">
        <w:rPr>
          <w:rFonts w:asciiTheme="majorBidi" w:hAnsiTheme="majorBidi" w:cstheme="majorBidi"/>
        </w:rPr>
        <w:t>Unfortunately, poor sanitation, lack of potable water, and inadequate meat inspection facilities in many Nigerian abattoirs facilitate the cross-contamination of meat and the spread of zoonotic pathogens to abattoir workers and the general public</w:t>
      </w:r>
      <w:r w:rsidR="00C20082" w:rsidRPr="00480E13">
        <w:rPr>
          <w:rFonts w:asciiTheme="majorBidi" w:hAnsiTheme="majorBidi" w:cstheme="majorBidi"/>
        </w:rPr>
        <w:t xml:space="preserve">. </w:t>
      </w:r>
      <w:r w:rsidRPr="00480E13">
        <w:rPr>
          <w:rFonts w:asciiTheme="majorBidi" w:hAnsiTheme="majorBidi" w:cstheme="majorBidi"/>
        </w:rPr>
        <w:t xml:space="preserve">Despite the existing body of literature on small ruminant parasites in Nigeria, there is a continuous need for up-to-date surveillance to monitor prevalence trends, especially in light of changing climatic patterns and </w:t>
      </w:r>
      <w:proofErr w:type="spellStart"/>
      <w:r w:rsidR="004279D8" w:rsidRPr="00480E13">
        <w:rPr>
          <w:rFonts w:asciiTheme="majorBidi" w:hAnsiTheme="majorBidi" w:cstheme="majorBidi"/>
        </w:rPr>
        <w:t>urbanisation</w:t>
      </w:r>
      <w:proofErr w:type="spellEnd"/>
      <w:r w:rsidRPr="00480E13">
        <w:rPr>
          <w:rFonts w:asciiTheme="majorBidi" w:hAnsiTheme="majorBidi" w:cstheme="majorBidi"/>
        </w:rPr>
        <w:t>. Specifically, in Bauchi Metropolis, there is a need to re-evaluate the current burden of helminths in the two major goat breeds to understand breed-specific susceptibility and the associated public health risks in the current abattoir setting.</w:t>
      </w:r>
      <w:r w:rsidR="007B60D0" w:rsidRPr="00480E13">
        <w:rPr>
          <w:rFonts w:asciiTheme="majorBidi" w:hAnsiTheme="majorBidi" w:cstheme="majorBidi"/>
        </w:rPr>
        <w:t xml:space="preserve"> </w:t>
      </w:r>
    </w:p>
    <w:p w14:paraId="2C8DC32B" w14:textId="247A5095" w:rsidR="00896864" w:rsidRPr="00480E13" w:rsidRDefault="00896864" w:rsidP="00C20082">
      <w:pPr>
        <w:spacing w:line="240" w:lineRule="auto"/>
        <w:jc w:val="both"/>
        <w:rPr>
          <w:rFonts w:asciiTheme="majorBidi" w:hAnsiTheme="majorBidi" w:cstheme="majorBidi"/>
        </w:rPr>
      </w:pPr>
      <w:r w:rsidRPr="00480E13">
        <w:rPr>
          <w:rFonts w:asciiTheme="majorBidi" w:hAnsiTheme="majorBidi" w:cstheme="majorBidi"/>
        </w:rPr>
        <w:t>Therefore, this study aims to determine the prevalence of gastrointestinal helminths in Red Sokoto and Sahelian White goats slaughtered at the Bauchi Central Abattoir. It seeks to identify the specific parasitic species present and evaluate the public health implications of these infections, providing empirical data to guide meat hygiene protocols and disease control strategies in Bauchi State.</w:t>
      </w:r>
    </w:p>
    <w:p w14:paraId="55851CB1" w14:textId="77777777" w:rsidR="00896864" w:rsidRPr="00480E13" w:rsidRDefault="00896864" w:rsidP="00A95227">
      <w:pPr>
        <w:spacing w:line="240" w:lineRule="auto"/>
        <w:jc w:val="both"/>
        <w:rPr>
          <w:rFonts w:asciiTheme="majorBidi" w:hAnsiTheme="majorBidi" w:cstheme="majorBidi"/>
          <w:b/>
          <w:bCs/>
        </w:rPr>
      </w:pPr>
      <w:r w:rsidRPr="00480E13">
        <w:rPr>
          <w:rFonts w:asciiTheme="majorBidi" w:hAnsiTheme="majorBidi" w:cstheme="majorBidi"/>
          <w:b/>
          <w:bCs/>
        </w:rPr>
        <w:lastRenderedPageBreak/>
        <w:t>2. Materials and Methods</w:t>
      </w:r>
    </w:p>
    <w:p w14:paraId="6EAA847F" w14:textId="77777777" w:rsidR="00896864" w:rsidRPr="00480E13" w:rsidRDefault="00896864" w:rsidP="00A95227">
      <w:pPr>
        <w:spacing w:line="240" w:lineRule="auto"/>
        <w:jc w:val="both"/>
        <w:rPr>
          <w:rFonts w:asciiTheme="majorBidi" w:hAnsiTheme="majorBidi" w:cstheme="majorBidi"/>
          <w:b/>
          <w:bCs/>
        </w:rPr>
      </w:pPr>
      <w:r w:rsidRPr="00480E13">
        <w:rPr>
          <w:rFonts w:asciiTheme="majorBidi" w:hAnsiTheme="majorBidi" w:cstheme="majorBidi"/>
          <w:b/>
          <w:bCs/>
        </w:rPr>
        <w:t>2.1 Study Area</w:t>
      </w:r>
    </w:p>
    <w:p w14:paraId="1EA9DFF2" w14:textId="12DF6FDA" w:rsidR="00896864" w:rsidRPr="00480E13" w:rsidRDefault="00896864" w:rsidP="00A95227">
      <w:pPr>
        <w:spacing w:line="240" w:lineRule="auto"/>
        <w:jc w:val="both"/>
        <w:rPr>
          <w:rFonts w:asciiTheme="majorBidi" w:hAnsiTheme="majorBidi" w:cstheme="majorBidi"/>
        </w:rPr>
      </w:pPr>
      <w:r w:rsidRPr="00480E13">
        <w:rPr>
          <w:rFonts w:asciiTheme="majorBidi" w:hAnsiTheme="majorBidi" w:cstheme="majorBidi"/>
        </w:rPr>
        <w:t xml:space="preserve">The study was conducted in Bauchi Metropolis, the capital of Bauchi State, located in the North-East geopolitical zone of Nigeria. The area lies between latitudes 10° 17' N and 10° 20' N and longitudes 9° 49' E and 9° 52' E, situated within the Northern Guinea Savannah ecological zone. The climate is </w:t>
      </w:r>
      <w:proofErr w:type="spellStart"/>
      <w:r w:rsidR="004279D8" w:rsidRPr="00480E13">
        <w:rPr>
          <w:rFonts w:asciiTheme="majorBidi" w:hAnsiTheme="majorBidi" w:cstheme="majorBidi"/>
        </w:rPr>
        <w:t>characterised</w:t>
      </w:r>
      <w:proofErr w:type="spellEnd"/>
      <w:r w:rsidR="004279D8" w:rsidRPr="00480E13">
        <w:rPr>
          <w:rFonts w:asciiTheme="majorBidi" w:hAnsiTheme="majorBidi" w:cstheme="majorBidi"/>
        </w:rPr>
        <w:t xml:space="preserve"> </w:t>
      </w:r>
      <w:r w:rsidRPr="00480E13">
        <w:rPr>
          <w:rFonts w:asciiTheme="majorBidi" w:hAnsiTheme="majorBidi" w:cstheme="majorBidi"/>
        </w:rPr>
        <w:t xml:space="preserve">by two distinct seasons: a wet season from May to October and a dry season from November to April, with an annual rainfall ranging from 1000mm to 1300mm. This climatic condition provides a </w:t>
      </w:r>
      <w:proofErr w:type="spellStart"/>
      <w:r w:rsidRPr="00480E13">
        <w:rPr>
          <w:rFonts w:asciiTheme="majorBidi" w:hAnsiTheme="majorBidi" w:cstheme="majorBidi"/>
        </w:rPr>
        <w:t>favo</w:t>
      </w:r>
      <w:r w:rsidR="004279D8" w:rsidRPr="00480E13">
        <w:rPr>
          <w:rFonts w:asciiTheme="majorBidi" w:hAnsiTheme="majorBidi" w:cstheme="majorBidi"/>
        </w:rPr>
        <w:t>u</w:t>
      </w:r>
      <w:r w:rsidRPr="00480E13">
        <w:rPr>
          <w:rFonts w:asciiTheme="majorBidi" w:hAnsiTheme="majorBidi" w:cstheme="majorBidi"/>
        </w:rPr>
        <w:t>rable</w:t>
      </w:r>
      <w:proofErr w:type="spellEnd"/>
      <w:r w:rsidRPr="00480E13">
        <w:rPr>
          <w:rFonts w:asciiTheme="majorBidi" w:hAnsiTheme="majorBidi" w:cstheme="majorBidi"/>
        </w:rPr>
        <w:t xml:space="preserve"> environment for the development and survival of helminth eggs and larvae, as noted in recent epidemiological surveys of the region (</w:t>
      </w:r>
      <w:r w:rsidR="00187591" w:rsidRPr="00480E13">
        <w:rPr>
          <w:rFonts w:asciiTheme="majorBidi" w:hAnsiTheme="majorBidi" w:cstheme="majorBidi"/>
        </w:rPr>
        <w:t>Umar</w:t>
      </w:r>
      <w:r w:rsidRPr="00480E13">
        <w:rPr>
          <w:rFonts w:asciiTheme="majorBidi" w:hAnsiTheme="majorBidi" w:cstheme="majorBidi"/>
        </w:rPr>
        <w:t xml:space="preserve"> </w:t>
      </w:r>
      <w:r w:rsidRPr="00480E13">
        <w:rPr>
          <w:rFonts w:asciiTheme="majorBidi" w:hAnsiTheme="majorBidi" w:cstheme="majorBidi"/>
          <w:i/>
          <w:iCs/>
        </w:rPr>
        <w:t>et al.</w:t>
      </w:r>
      <w:r w:rsidRPr="00480E13">
        <w:rPr>
          <w:rFonts w:asciiTheme="majorBidi" w:hAnsiTheme="majorBidi" w:cstheme="majorBidi"/>
        </w:rPr>
        <w:t>, 20</w:t>
      </w:r>
      <w:r w:rsidR="00187591" w:rsidRPr="00480E13">
        <w:rPr>
          <w:rFonts w:asciiTheme="majorBidi" w:hAnsiTheme="majorBidi" w:cstheme="majorBidi"/>
        </w:rPr>
        <w:t>18</w:t>
      </w:r>
      <w:r w:rsidRPr="00480E13">
        <w:rPr>
          <w:rFonts w:asciiTheme="majorBidi" w:hAnsiTheme="majorBidi" w:cstheme="majorBidi"/>
        </w:rPr>
        <w:t>). The study focused specifically on the Bauchi Central Abattoir, a major processing point that serves the protein needs of the metropolitan population.</w:t>
      </w:r>
    </w:p>
    <w:p w14:paraId="6BC5FD52" w14:textId="380B3970" w:rsidR="00AD5136" w:rsidRPr="00480E13" w:rsidRDefault="00AD5136" w:rsidP="00AD5136">
      <w:pPr>
        <w:spacing w:line="240" w:lineRule="auto"/>
        <w:jc w:val="both"/>
        <w:rPr>
          <w:rFonts w:asciiTheme="majorBidi" w:hAnsiTheme="majorBidi" w:cstheme="majorBidi"/>
        </w:rPr>
      </w:pPr>
      <w:r w:rsidRPr="00480E13">
        <w:rPr>
          <w:rFonts w:asciiTheme="majorBidi" w:hAnsiTheme="majorBidi" w:cstheme="majorBidi"/>
          <w:noProof/>
        </w:rPr>
        <w:drawing>
          <wp:anchor distT="0" distB="0" distL="114300" distR="114300" simplePos="0" relativeHeight="251658240" behindDoc="0" locked="0" layoutInCell="1" allowOverlap="1" wp14:anchorId="691A98DE" wp14:editId="13DB7CE8">
            <wp:simplePos x="0" y="0"/>
            <wp:positionH relativeFrom="margin">
              <wp:align>left</wp:align>
            </wp:positionH>
            <wp:positionV relativeFrom="paragraph">
              <wp:posOffset>7620</wp:posOffset>
            </wp:positionV>
            <wp:extent cx="4351020" cy="3771900"/>
            <wp:effectExtent l="0" t="0" r="0" b="0"/>
            <wp:wrapSquare wrapText="bothSides"/>
            <wp:docPr id="188699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9565" name="Picture 188699565"/>
                    <pic:cNvPicPr/>
                  </pic:nvPicPr>
                  <pic:blipFill>
                    <a:blip r:embed="rId8">
                      <a:extLst>
                        <a:ext uri="{28A0092B-C50C-407E-A947-70E740481C1C}">
                          <a14:useLocalDpi xmlns:a14="http://schemas.microsoft.com/office/drawing/2010/main" val="0"/>
                        </a:ext>
                      </a:extLst>
                    </a:blip>
                    <a:stretch>
                      <a:fillRect/>
                    </a:stretch>
                  </pic:blipFill>
                  <pic:spPr>
                    <a:xfrm>
                      <a:off x="0" y="0"/>
                      <a:ext cx="4351020" cy="3771900"/>
                    </a:xfrm>
                    <a:prstGeom prst="rect">
                      <a:avLst/>
                    </a:prstGeom>
                  </pic:spPr>
                </pic:pic>
              </a:graphicData>
            </a:graphic>
            <wp14:sizeRelH relativeFrom="margin">
              <wp14:pctWidth>0</wp14:pctWidth>
            </wp14:sizeRelH>
            <wp14:sizeRelV relativeFrom="margin">
              <wp14:pctHeight>0</wp14:pctHeight>
            </wp14:sizeRelV>
          </wp:anchor>
        </w:drawing>
      </w:r>
      <w:r w:rsidRPr="00480E13">
        <w:rPr>
          <w:rFonts w:asciiTheme="majorBidi" w:hAnsiTheme="majorBidi" w:cstheme="majorBidi"/>
        </w:rPr>
        <w:br w:type="textWrapping" w:clear="all"/>
        <w:t>Figure 2. Schematic workflow of the experimental design.</w:t>
      </w:r>
    </w:p>
    <w:p w14:paraId="3DA977BC" w14:textId="20D2ABAE" w:rsidR="00AD5136" w:rsidRPr="00480E13" w:rsidRDefault="00233FED" w:rsidP="006506D5">
      <w:pPr>
        <w:spacing w:line="240" w:lineRule="auto"/>
        <w:jc w:val="both"/>
        <w:rPr>
          <w:rFonts w:asciiTheme="majorBidi" w:hAnsiTheme="majorBidi" w:cstheme="majorBidi"/>
        </w:rPr>
      </w:pPr>
      <w:r w:rsidRPr="00480E13">
        <w:rPr>
          <w:rFonts w:asciiTheme="majorBidi" w:hAnsiTheme="majorBidi" w:cstheme="majorBidi"/>
        </w:rPr>
        <w:t>Figure 2</w:t>
      </w:r>
      <w:r w:rsidR="00AD5136" w:rsidRPr="00480E13">
        <w:rPr>
          <w:rFonts w:asciiTheme="majorBidi" w:hAnsiTheme="majorBidi" w:cstheme="majorBidi"/>
        </w:rPr>
        <w:t xml:space="preserve"> </w:t>
      </w:r>
      <w:r w:rsidRPr="00480E13">
        <w:rPr>
          <w:rFonts w:asciiTheme="majorBidi" w:hAnsiTheme="majorBidi" w:cstheme="majorBidi"/>
        </w:rPr>
        <w:t>i</w:t>
      </w:r>
      <w:r w:rsidR="00AD5136" w:rsidRPr="00480E13">
        <w:rPr>
          <w:rFonts w:asciiTheme="majorBidi" w:hAnsiTheme="majorBidi" w:cstheme="majorBidi"/>
        </w:rPr>
        <w:t>llustrat</w:t>
      </w:r>
      <w:r w:rsidRPr="00480E13">
        <w:rPr>
          <w:rFonts w:asciiTheme="majorBidi" w:hAnsiTheme="majorBidi" w:cstheme="majorBidi"/>
        </w:rPr>
        <w:t>es</w:t>
      </w:r>
      <w:r w:rsidR="00AD5136" w:rsidRPr="00480E13">
        <w:rPr>
          <w:rFonts w:asciiTheme="majorBidi" w:hAnsiTheme="majorBidi" w:cstheme="majorBidi"/>
        </w:rPr>
        <w:t xml:space="preserve"> the study location in Bauchi State, Nigeria, and the target breeds (Red Sokoto and Sahelian White goats)</w:t>
      </w:r>
      <w:r w:rsidR="006506D5" w:rsidRPr="00480E13">
        <w:rPr>
          <w:rFonts w:asciiTheme="majorBidi" w:hAnsiTheme="majorBidi" w:cstheme="majorBidi"/>
        </w:rPr>
        <w:t>, p</w:t>
      </w:r>
      <w:r w:rsidR="00AD5136" w:rsidRPr="00480E13">
        <w:rPr>
          <w:rFonts w:asciiTheme="majorBidi" w:hAnsiTheme="majorBidi" w:cstheme="majorBidi"/>
        </w:rPr>
        <w:t xml:space="preserve">rocedures showing </w:t>
      </w:r>
      <w:proofErr w:type="spellStart"/>
      <w:r w:rsidR="00AD5136" w:rsidRPr="00480E13">
        <w:rPr>
          <w:rFonts w:asciiTheme="majorBidi" w:hAnsiTheme="majorBidi" w:cstheme="majorBidi"/>
        </w:rPr>
        <w:t>f</w:t>
      </w:r>
      <w:r w:rsidR="004279D8" w:rsidRPr="00480E13">
        <w:rPr>
          <w:rFonts w:asciiTheme="majorBidi" w:hAnsiTheme="majorBidi" w:cstheme="majorBidi"/>
        </w:rPr>
        <w:t>a</w:t>
      </w:r>
      <w:r w:rsidR="00AD5136" w:rsidRPr="00480E13">
        <w:rPr>
          <w:rFonts w:asciiTheme="majorBidi" w:hAnsiTheme="majorBidi" w:cstheme="majorBidi"/>
        </w:rPr>
        <w:t>ecal</w:t>
      </w:r>
      <w:proofErr w:type="spellEnd"/>
      <w:r w:rsidR="00AD5136" w:rsidRPr="00480E13">
        <w:rPr>
          <w:rFonts w:asciiTheme="majorBidi" w:hAnsiTheme="majorBidi" w:cstheme="majorBidi"/>
        </w:rPr>
        <w:t xml:space="preserve"> sample collection and post-mortem examination of the gastrointestinal tract</w:t>
      </w:r>
      <w:r w:rsidR="006506D5" w:rsidRPr="00480E13">
        <w:rPr>
          <w:rFonts w:asciiTheme="majorBidi" w:hAnsiTheme="majorBidi" w:cstheme="majorBidi"/>
        </w:rPr>
        <w:t>, p</w:t>
      </w:r>
      <w:r w:rsidR="00AD5136" w:rsidRPr="00480E13">
        <w:rPr>
          <w:rFonts w:asciiTheme="majorBidi" w:hAnsiTheme="majorBidi" w:cstheme="majorBidi"/>
        </w:rPr>
        <w:t xml:space="preserve">arasitological techniques </w:t>
      </w:r>
      <w:proofErr w:type="spellStart"/>
      <w:r w:rsidR="004279D8" w:rsidRPr="00480E13">
        <w:rPr>
          <w:rFonts w:asciiTheme="majorBidi" w:hAnsiTheme="majorBidi" w:cstheme="majorBidi"/>
        </w:rPr>
        <w:t>utilised</w:t>
      </w:r>
      <w:proofErr w:type="spellEnd"/>
      <w:r w:rsidR="00AD5136" w:rsidRPr="00480E13">
        <w:rPr>
          <w:rFonts w:asciiTheme="majorBidi" w:hAnsiTheme="majorBidi" w:cstheme="majorBidi"/>
        </w:rPr>
        <w:t>, including simple flotation and sedimentation methods for helminth egg identification</w:t>
      </w:r>
      <w:r w:rsidR="006506D5" w:rsidRPr="00480E13">
        <w:rPr>
          <w:rFonts w:asciiTheme="majorBidi" w:hAnsiTheme="majorBidi" w:cstheme="majorBidi"/>
        </w:rPr>
        <w:t xml:space="preserve"> and d</w:t>
      </w:r>
      <w:r w:rsidR="00AD5136" w:rsidRPr="00480E13">
        <w:rPr>
          <w:rFonts w:asciiTheme="majorBidi" w:hAnsiTheme="majorBidi" w:cstheme="majorBidi"/>
        </w:rPr>
        <w:t>ata processing and evaluation.</w:t>
      </w:r>
    </w:p>
    <w:p w14:paraId="7600F84A" w14:textId="259419AB" w:rsidR="00896864" w:rsidRPr="00480E13" w:rsidRDefault="00896864" w:rsidP="00A95227">
      <w:pPr>
        <w:spacing w:line="240" w:lineRule="auto"/>
        <w:jc w:val="both"/>
        <w:rPr>
          <w:rFonts w:asciiTheme="majorBidi" w:hAnsiTheme="majorBidi" w:cstheme="majorBidi"/>
          <w:b/>
          <w:bCs/>
        </w:rPr>
      </w:pPr>
      <w:r w:rsidRPr="00480E13">
        <w:rPr>
          <w:rFonts w:asciiTheme="majorBidi" w:hAnsiTheme="majorBidi" w:cstheme="majorBidi"/>
          <w:b/>
          <w:bCs/>
        </w:rPr>
        <w:t>2.2 Study Population and Design</w:t>
      </w:r>
    </w:p>
    <w:p w14:paraId="1E4223A0" w14:textId="1DC0F1AC" w:rsidR="00896864" w:rsidRPr="00480E13" w:rsidRDefault="00896864" w:rsidP="00A95227">
      <w:pPr>
        <w:spacing w:line="240" w:lineRule="auto"/>
        <w:jc w:val="both"/>
        <w:rPr>
          <w:rFonts w:asciiTheme="majorBidi" w:hAnsiTheme="majorBidi" w:cstheme="majorBidi"/>
        </w:rPr>
      </w:pPr>
      <w:r w:rsidRPr="00480E13">
        <w:rPr>
          <w:rFonts w:asciiTheme="majorBidi" w:hAnsiTheme="majorBidi" w:cstheme="majorBidi"/>
        </w:rPr>
        <w:t>A cross-sectional study design was employed to determine the prevalence of gastrointestinal (GI) helminths. The study population consisted of goats brought for slaughter at the Bauchi Central Abattoir. A total of 200 goats were randomly selected for the study, comprising two distinct breeds: Red Sokoto (n=110) and Sahelian White (n=90). The sample size was determined based on the availability of animals during the study period, following standard epidemiological sampling protocols for abattoir surveys described by Thrusfield and cited in recent small ruminant studies (</w:t>
      </w:r>
      <w:proofErr w:type="spellStart"/>
      <w:r w:rsidR="004279D8" w:rsidRPr="00480E13">
        <w:rPr>
          <w:rFonts w:asciiTheme="majorBidi" w:hAnsiTheme="majorBidi" w:cstheme="majorBidi"/>
        </w:rPr>
        <w:t>Ngongoh</w:t>
      </w:r>
      <w:proofErr w:type="spellEnd"/>
      <w:r w:rsidR="004279D8" w:rsidRPr="00480E13">
        <w:rPr>
          <w:rFonts w:asciiTheme="majorBidi" w:hAnsiTheme="majorBidi" w:cstheme="majorBidi"/>
        </w:rPr>
        <w:t xml:space="preserve"> </w:t>
      </w:r>
      <w:r w:rsidRPr="00480E13">
        <w:rPr>
          <w:rFonts w:asciiTheme="majorBidi" w:hAnsiTheme="majorBidi" w:cstheme="majorBidi"/>
          <w:i/>
          <w:iCs/>
        </w:rPr>
        <w:t>et al.</w:t>
      </w:r>
      <w:r w:rsidRPr="00480E13">
        <w:rPr>
          <w:rFonts w:asciiTheme="majorBidi" w:hAnsiTheme="majorBidi" w:cstheme="majorBidi"/>
        </w:rPr>
        <w:t>, 201</w:t>
      </w:r>
      <w:r w:rsidR="00647ED2" w:rsidRPr="00480E13">
        <w:rPr>
          <w:rFonts w:asciiTheme="majorBidi" w:hAnsiTheme="majorBidi" w:cstheme="majorBidi"/>
        </w:rPr>
        <w:t>5</w:t>
      </w:r>
      <w:r w:rsidRPr="00480E13">
        <w:rPr>
          <w:rFonts w:asciiTheme="majorBidi" w:hAnsiTheme="majorBidi" w:cstheme="majorBidi"/>
        </w:rPr>
        <w:t>).</w:t>
      </w:r>
    </w:p>
    <w:p w14:paraId="6A5D6499" w14:textId="77777777" w:rsidR="00896864" w:rsidRPr="00480E13" w:rsidRDefault="00896864" w:rsidP="00A95227">
      <w:pPr>
        <w:spacing w:line="240" w:lineRule="auto"/>
        <w:jc w:val="both"/>
        <w:rPr>
          <w:rFonts w:asciiTheme="majorBidi" w:hAnsiTheme="majorBidi" w:cstheme="majorBidi"/>
        </w:rPr>
      </w:pPr>
      <w:r w:rsidRPr="00480E13">
        <w:rPr>
          <w:rFonts w:asciiTheme="majorBidi" w:hAnsiTheme="majorBidi" w:cstheme="majorBidi"/>
        </w:rPr>
        <w:t>Prior to slaughter, the goats were physically examined to ascertain their breed, sex, and approximate age. Age was estimated using dentition methods, classifying animals as either young (deciduous teeth only) or adults (presence of permanent incisors).</w:t>
      </w:r>
    </w:p>
    <w:p w14:paraId="1BE9399F" w14:textId="77777777" w:rsidR="00896864" w:rsidRPr="00480E13" w:rsidRDefault="00896864" w:rsidP="00A95227">
      <w:pPr>
        <w:spacing w:line="240" w:lineRule="auto"/>
        <w:jc w:val="both"/>
        <w:rPr>
          <w:rFonts w:asciiTheme="majorBidi" w:hAnsiTheme="majorBidi" w:cstheme="majorBidi"/>
          <w:b/>
          <w:bCs/>
        </w:rPr>
      </w:pPr>
      <w:r w:rsidRPr="00480E13">
        <w:rPr>
          <w:rFonts w:asciiTheme="majorBidi" w:hAnsiTheme="majorBidi" w:cstheme="majorBidi"/>
          <w:b/>
          <w:bCs/>
        </w:rPr>
        <w:lastRenderedPageBreak/>
        <w:t>2.3 Sample Collection</w:t>
      </w:r>
    </w:p>
    <w:p w14:paraId="5D543BC9" w14:textId="0CED51BA" w:rsidR="00896864" w:rsidRPr="00480E13" w:rsidRDefault="00896864" w:rsidP="00A95227">
      <w:pPr>
        <w:spacing w:line="240" w:lineRule="auto"/>
        <w:jc w:val="both"/>
        <w:rPr>
          <w:rFonts w:asciiTheme="majorBidi" w:hAnsiTheme="majorBidi" w:cstheme="majorBidi"/>
        </w:rPr>
      </w:pPr>
      <w:r w:rsidRPr="00480E13">
        <w:rPr>
          <w:rFonts w:asciiTheme="majorBidi" w:hAnsiTheme="majorBidi" w:cstheme="majorBidi"/>
        </w:rPr>
        <w:t>Sample collection was carried out between 06:00 and 09:00 hours during daily slaughter operations. Fecal samples were collected directly from the rectum of slaughtered goats using sterile disposable gloves and placed into labe</w:t>
      </w:r>
      <w:r w:rsidR="004279D8" w:rsidRPr="00480E13">
        <w:rPr>
          <w:rFonts w:asciiTheme="majorBidi" w:hAnsiTheme="majorBidi" w:cstheme="majorBidi"/>
        </w:rPr>
        <w:t>l</w:t>
      </w:r>
      <w:r w:rsidRPr="00480E13">
        <w:rPr>
          <w:rFonts w:asciiTheme="majorBidi" w:hAnsiTheme="majorBidi" w:cstheme="majorBidi"/>
        </w:rPr>
        <w:t>led universal bottles. Additionally, for a subset of animals, post-mortem examination of the gastrointestinal tract (rumen, reticulum, omasum, abomasum, and intestines) was conducted to recover adult worms. The tracts were ligated at both ends to prevent the escape of contents and transported to the Parasitology Laboratory for immediate analysis. This dual-sampling approach ensures higher sensitivity in detecting both luminal and mucosal parasites (</w:t>
      </w:r>
      <w:proofErr w:type="spellStart"/>
      <w:r w:rsidR="00395EC6" w:rsidRPr="00480E13">
        <w:rPr>
          <w:rFonts w:asciiTheme="majorBidi" w:hAnsiTheme="majorBidi" w:cstheme="majorBidi"/>
        </w:rPr>
        <w:t>Karimou</w:t>
      </w:r>
      <w:proofErr w:type="spellEnd"/>
      <w:r w:rsidRPr="00480E13">
        <w:rPr>
          <w:rFonts w:asciiTheme="majorBidi" w:hAnsiTheme="majorBidi" w:cstheme="majorBidi"/>
        </w:rPr>
        <w:t xml:space="preserve"> </w:t>
      </w:r>
      <w:r w:rsidRPr="00480E13">
        <w:rPr>
          <w:rFonts w:asciiTheme="majorBidi" w:hAnsiTheme="majorBidi" w:cstheme="majorBidi"/>
          <w:i/>
          <w:iCs/>
        </w:rPr>
        <w:t>et al.</w:t>
      </w:r>
      <w:r w:rsidRPr="00480E13">
        <w:rPr>
          <w:rFonts w:asciiTheme="majorBidi" w:hAnsiTheme="majorBidi" w:cstheme="majorBidi"/>
        </w:rPr>
        <w:t>, 202</w:t>
      </w:r>
      <w:r w:rsidR="00395EC6" w:rsidRPr="00480E13">
        <w:rPr>
          <w:rFonts w:asciiTheme="majorBidi" w:hAnsiTheme="majorBidi" w:cstheme="majorBidi"/>
        </w:rPr>
        <w:t>4</w:t>
      </w:r>
      <w:r w:rsidRPr="00480E13">
        <w:rPr>
          <w:rFonts w:asciiTheme="majorBidi" w:hAnsiTheme="majorBidi" w:cstheme="majorBidi"/>
        </w:rPr>
        <w:t>).</w:t>
      </w:r>
    </w:p>
    <w:p w14:paraId="0386829D" w14:textId="77777777" w:rsidR="00896864" w:rsidRPr="00480E13" w:rsidRDefault="00896864" w:rsidP="00A95227">
      <w:pPr>
        <w:spacing w:line="240" w:lineRule="auto"/>
        <w:jc w:val="both"/>
        <w:rPr>
          <w:rFonts w:asciiTheme="majorBidi" w:hAnsiTheme="majorBidi" w:cstheme="majorBidi"/>
          <w:b/>
          <w:bCs/>
        </w:rPr>
      </w:pPr>
      <w:r w:rsidRPr="00480E13">
        <w:rPr>
          <w:rFonts w:asciiTheme="majorBidi" w:hAnsiTheme="majorBidi" w:cstheme="majorBidi"/>
          <w:b/>
          <w:bCs/>
        </w:rPr>
        <w:t>2.4 Laboratory Analysis</w:t>
      </w:r>
    </w:p>
    <w:p w14:paraId="5A4D666C" w14:textId="0764FA81" w:rsidR="00896864" w:rsidRPr="00480E13" w:rsidRDefault="00896864" w:rsidP="00A95227">
      <w:pPr>
        <w:spacing w:line="240" w:lineRule="auto"/>
        <w:jc w:val="both"/>
        <w:rPr>
          <w:rFonts w:asciiTheme="majorBidi" w:hAnsiTheme="majorBidi" w:cstheme="majorBidi"/>
        </w:rPr>
      </w:pPr>
      <w:r w:rsidRPr="00480E13">
        <w:rPr>
          <w:rFonts w:asciiTheme="majorBidi" w:hAnsiTheme="majorBidi" w:cstheme="majorBidi"/>
        </w:rPr>
        <w:t xml:space="preserve">The </w:t>
      </w:r>
      <w:proofErr w:type="spellStart"/>
      <w:r w:rsidRPr="00480E13">
        <w:rPr>
          <w:rFonts w:asciiTheme="majorBidi" w:hAnsiTheme="majorBidi" w:cstheme="majorBidi"/>
        </w:rPr>
        <w:t>f</w:t>
      </w:r>
      <w:r w:rsidR="004279D8" w:rsidRPr="00480E13">
        <w:rPr>
          <w:rFonts w:asciiTheme="majorBidi" w:hAnsiTheme="majorBidi" w:cstheme="majorBidi"/>
        </w:rPr>
        <w:t>a</w:t>
      </w:r>
      <w:r w:rsidRPr="00480E13">
        <w:rPr>
          <w:rFonts w:asciiTheme="majorBidi" w:hAnsiTheme="majorBidi" w:cstheme="majorBidi"/>
        </w:rPr>
        <w:t>ecal</w:t>
      </w:r>
      <w:proofErr w:type="spellEnd"/>
      <w:r w:rsidRPr="00480E13">
        <w:rPr>
          <w:rFonts w:asciiTheme="majorBidi" w:hAnsiTheme="majorBidi" w:cstheme="majorBidi"/>
        </w:rPr>
        <w:t xml:space="preserve"> samples were subjected to standard coprological techniques to identify helminth eggs.</w:t>
      </w:r>
    </w:p>
    <w:p w14:paraId="7EFF0FB2" w14:textId="77777777" w:rsidR="00896864" w:rsidRPr="00480E13" w:rsidRDefault="00896864" w:rsidP="00A95227">
      <w:pPr>
        <w:spacing w:line="240" w:lineRule="auto"/>
        <w:jc w:val="both"/>
        <w:rPr>
          <w:rFonts w:asciiTheme="majorBidi" w:hAnsiTheme="majorBidi" w:cstheme="majorBidi"/>
          <w:b/>
          <w:bCs/>
        </w:rPr>
      </w:pPr>
      <w:r w:rsidRPr="00480E13">
        <w:rPr>
          <w:rFonts w:asciiTheme="majorBidi" w:hAnsiTheme="majorBidi" w:cstheme="majorBidi"/>
          <w:b/>
          <w:bCs/>
        </w:rPr>
        <w:t>Simple Flotation Technique</w:t>
      </w:r>
    </w:p>
    <w:p w14:paraId="665F2F93" w14:textId="11126572" w:rsidR="00896864" w:rsidRPr="00480E13" w:rsidRDefault="00896864" w:rsidP="00A95227">
      <w:pPr>
        <w:spacing w:line="240" w:lineRule="auto"/>
        <w:jc w:val="both"/>
        <w:rPr>
          <w:rFonts w:asciiTheme="majorBidi" w:hAnsiTheme="majorBidi" w:cstheme="majorBidi"/>
        </w:rPr>
      </w:pPr>
      <w:r w:rsidRPr="00480E13">
        <w:rPr>
          <w:rFonts w:asciiTheme="majorBidi" w:hAnsiTheme="majorBidi" w:cstheme="majorBidi"/>
        </w:rPr>
        <w:t>A saturated sodium chloride solution was used as the flotation fluid to detect nematode and cestode eggs. This method remains the gold standard for qualitative analysis in resource-limited settings due to its efficacy in separating lighter eggs from debris (</w:t>
      </w:r>
      <w:r w:rsidR="00FE39B6" w:rsidRPr="00480E13">
        <w:rPr>
          <w:rFonts w:asciiTheme="majorBidi" w:hAnsiTheme="majorBidi" w:cstheme="majorBidi"/>
        </w:rPr>
        <w:t>Rufai</w:t>
      </w:r>
      <w:r w:rsidRPr="00480E13">
        <w:rPr>
          <w:rFonts w:asciiTheme="majorBidi" w:hAnsiTheme="majorBidi" w:cstheme="majorBidi"/>
        </w:rPr>
        <w:t xml:space="preserve"> </w:t>
      </w:r>
      <w:r w:rsidRPr="00480E13">
        <w:rPr>
          <w:rFonts w:asciiTheme="majorBidi" w:hAnsiTheme="majorBidi" w:cstheme="majorBidi"/>
          <w:i/>
          <w:iCs/>
        </w:rPr>
        <w:t>et al.</w:t>
      </w:r>
      <w:r w:rsidRPr="00480E13">
        <w:rPr>
          <w:rFonts w:asciiTheme="majorBidi" w:hAnsiTheme="majorBidi" w:cstheme="majorBidi"/>
        </w:rPr>
        <w:t>, 20</w:t>
      </w:r>
      <w:r w:rsidR="00FE39B6" w:rsidRPr="00480E13">
        <w:rPr>
          <w:rFonts w:asciiTheme="majorBidi" w:hAnsiTheme="majorBidi" w:cstheme="majorBidi"/>
        </w:rPr>
        <w:t>19</w:t>
      </w:r>
      <w:r w:rsidRPr="00480E13">
        <w:rPr>
          <w:rFonts w:asciiTheme="majorBidi" w:hAnsiTheme="majorBidi" w:cstheme="majorBidi"/>
        </w:rPr>
        <w:t>).</w:t>
      </w:r>
    </w:p>
    <w:p w14:paraId="69F76574" w14:textId="77777777" w:rsidR="00896864" w:rsidRPr="00480E13" w:rsidRDefault="00896864" w:rsidP="00A95227">
      <w:pPr>
        <w:spacing w:line="240" w:lineRule="auto"/>
        <w:jc w:val="both"/>
        <w:rPr>
          <w:rFonts w:asciiTheme="majorBidi" w:hAnsiTheme="majorBidi" w:cstheme="majorBidi"/>
          <w:b/>
          <w:bCs/>
        </w:rPr>
      </w:pPr>
      <w:r w:rsidRPr="00480E13">
        <w:rPr>
          <w:rFonts w:asciiTheme="majorBidi" w:hAnsiTheme="majorBidi" w:cstheme="majorBidi"/>
          <w:b/>
          <w:bCs/>
        </w:rPr>
        <w:t>Sedimentation Technique</w:t>
      </w:r>
    </w:p>
    <w:p w14:paraId="6CB0FB48" w14:textId="30814316" w:rsidR="00896864" w:rsidRPr="00480E13" w:rsidRDefault="00896864" w:rsidP="00A95227">
      <w:pPr>
        <w:spacing w:line="240" w:lineRule="auto"/>
        <w:jc w:val="both"/>
        <w:rPr>
          <w:rFonts w:asciiTheme="majorBidi" w:hAnsiTheme="majorBidi" w:cstheme="majorBidi"/>
        </w:rPr>
      </w:pPr>
      <w:r w:rsidRPr="00480E13">
        <w:rPr>
          <w:rFonts w:asciiTheme="majorBidi" w:hAnsiTheme="majorBidi" w:cstheme="majorBidi"/>
        </w:rPr>
        <w:t xml:space="preserve">This method was employed specifically to detect heavy trematode eggs (e.g., </w:t>
      </w:r>
      <w:r w:rsidRPr="00480E13">
        <w:rPr>
          <w:rFonts w:asciiTheme="majorBidi" w:hAnsiTheme="majorBidi" w:cstheme="majorBidi"/>
          <w:i/>
          <w:iCs/>
        </w:rPr>
        <w:t>Fasciola</w:t>
      </w:r>
      <w:r w:rsidRPr="00480E13">
        <w:rPr>
          <w:rFonts w:asciiTheme="majorBidi" w:hAnsiTheme="majorBidi" w:cstheme="majorBidi"/>
        </w:rPr>
        <w:t xml:space="preserve"> spp.), which do not float in standard salt solutions.</w:t>
      </w:r>
    </w:p>
    <w:p w14:paraId="15585C25" w14:textId="77777777" w:rsidR="00896864" w:rsidRPr="00480E13" w:rsidRDefault="00896864" w:rsidP="00A95227">
      <w:pPr>
        <w:spacing w:line="240" w:lineRule="auto"/>
        <w:jc w:val="both"/>
        <w:rPr>
          <w:rFonts w:asciiTheme="majorBidi" w:hAnsiTheme="majorBidi" w:cstheme="majorBidi"/>
          <w:b/>
          <w:bCs/>
        </w:rPr>
      </w:pPr>
      <w:r w:rsidRPr="00480E13">
        <w:rPr>
          <w:rFonts w:asciiTheme="majorBidi" w:hAnsiTheme="majorBidi" w:cstheme="majorBidi"/>
          <w:b/>
          <w:bCs/>
        </w:rPr>
        <w:t>Helminth Identification</w:t>
      </w:r>
    </w:p>
    <w:p w14:paraId="5CA4F40A" w14:textId="21B20568" w:rsidR="00896864" w:rsidRPr="00480E13" w:rsidRDefault="00896864" w:rsidP="00A95227">
      <w:pPr>
        <w:spacing w:line="240" w:lineRule="auto"/>
        <w:jc w:val="both"/>
        <w:rPr>
          <w:rFonts w:asciiTheme="majorBidi" w:hAnsiTheme="majorBidi" w:cstheme="majorBidi"/>
        </w:rPr>
      </w:pPr>
      <w:r w:rsidRPr="00480E13">
        <w:rPr>
          <w:rFonts w:asciiTheme="majorBidi" w:hAnsiTheme="majorBidi" w:cstheme="majorBidi"/>
        </w:rPr>
        <w:t xml:space="preserve">Recovered eggs and adult worms were identified morphologically based on keys described by </w:t>
      </w:r>
      <w:proofErr w:type="spellStart"/>
      <w:r w:rsidR="00187591" w:rsidRPr="00480E13">
        <w:rPr>
          <w:rFonts w:asciiTheme="majorBidi" w:hAnsiTheme="majorBidi" w:cstheme="majorBidi"/>
        </w:rPr>
        <w:t>Banwo</w:t>
      </w:r>
      <w:proofErr w:type="spellEnd"/>
      <w:r w:rsidR="00187591" w:rsidRPr="00480E13">
        <w:rPr>
          <w:rFonts w:asciiTheme="majorBidi" w:hAnsiTheme="majorBidi" w:cstheme="majorBidi"/>
        </w:rPr>
        <w:t xml:space="preserve"> et al. (2020)</w:t>
      </w:r>
      <w:r w:rsidRPr="00480E13">
        <w:rPr>
          <w:rFonts w:asciiTheme="majorBidi" w:hAnsiTheme="majorBidi" w:cstheme="majorBidi"/>
        </w:rPr>
        <w:t xml:space="preserve"> and validated in recent molecular-morphological comparative studies (</w:t>
      </w:r>
      <w:r w:rsidR="00187591" w:rsidRPr="00480E13">
        <w:rPr>
          <w:rFonts w:asciiTheme="majorBidi" w:hAnsiTheme="majorBidi" w:cstheme="majorBidi"/>
        </w:rPr>
        <w:t>Sulaiman</w:t>
      </w:r>
      <w:r w:rsidRPr="00480E13">
        <w:rPr>
          <w:rFonts w:asciiTheme="majorBidi" w:hAnsiTheme="majorBidi" w:cstheme="majorBidi"/>
        </w:rPr>
        <w:t xml:space="preserve"> </w:t>
      </w:r>
      <w:r w:rsidRPr="00480E13">
        <w:rPr>
          <w:rFonts w:asciiTheme="majorBidi" w:hAnsiTheme="majorBidi" w:cstheme="majorBidi"/>
          <w:i/>
          <w:iCs/>
        </w:rPr>
        <w:t>et al.</w:t>
      </w:r>
      <w:r w:rsidRPr="00480E13">
        <w:rPr>
          <w:rFonts w:asciiTheme="majorBidi" w:hAnsiTheme="majorBidi" w:cstheme="majorBidi"/>
        </w:rPr>
        <w:t>, 202</w:t>
      </w:r>
      <w:r w:rsidR="00187591" w:rsidRPr="00480E13">
        <w:rPr>
          <w:rFonts w:asciiTheme="majorBidi" w:hAnsiTheme="majorBidi" w:cstheme="majorBidi"/>
        </w:rPr>
        <w:t>2</w:t>
      </w:r>
      <w:r w:rsidRPr="00480E13">
        <w:rPr>
          <w:rFonts w:asciiTheme="majorBidi" w:hAnsiTheme="majorBidi" w:cstheme="majorBidi"/>
        </w:rPr>
        <w:t>).</w:t>
      </w:r>
    </w:p>
    <w:p w14:paraId="3F32F947" w14:textId="77777777" w:rsidR="00896864" w:rsidRPr="00480E13" w:rsidRDefault="00896864" w:rsidP="00A95227">
      <w:pPr>
        <w:spacing w:line="240" w:lineRule="auto"/>
        <w:jc w:val="both"/>
        <w:rPr>
          <w:rFonts w:asciiTheme="majorBidi" w:hAnsiTheme="majorBidi" w:cstheme="majorBidi"/>
          <w:b/>
          <w:bCs/>
        </w:rPr>
      </w:pPr>
      <w:r w:rsidRPr="00480E13">
        <w:rPr>
          <w:rFonts w:asciiTheme="majorBidi" w:hAnsiTheme="majorBidi" w:cstheme="majorBidi"/>
          <w:b/>
          <w:bCs/>
        </w:rPr>
        <w:t>2.5 Statistical Analysis</w:t>
      </w:r>
    </w:p>
    <w:p w14:paraId="2191E3E0" w14:textId="0E0403BE" w:rsidR="00896864" w:rsidRPr="00480E13" w:rsidRDefault="00896864" w:rsidP="00A95227">
      <w:pPr>
        <w:spacing w:line="240" w:lineRule="auto"/>
        <w:jc w:val="both"/>
        <w:rPr>
          <w:rFonts w:asciiTheme="majorBidi" w:hAnsiTheme="majorBidi" w:cstheme="majorBidi"/>
        </w:rPr>
      </w:pPr>
      <w:r w:rsidRPr="00480E13">
        <w:rPr>
          <w:rFonts w:asciiTheme="majorBidi" w:hAnsiTheme="majorBidi" w:cstheme="majorBidi"/>
        </w:rPr>
        <w:t xml:space="preserve">Data obtained were recorded in Microsoft Excel and </w:t>
      </w:r>
      <w:proofErr w:type="spellStart"/>
      <w:r w:rsidR="004279D8" w:rsidRPr="00480E13">
        <w:rPr>
          <w:rFonts w:asciiTheme="majorBidi" w:hAnsiTheme="majorBidi" w:cstheme="majorBidi"/>
        </w:rPr>
        <w:t>analysed</w:t>
      </w:r>
      <w:proofErr w:type="spellEnd"/>
      <w:r w:rsidR="004279D8" w:rsidRPr="00480E13">
        <w:rPr>
          <w:rFonts w:asciiTheme="majorBidi" w:hAnsiTheme="majorBidi" w:cstheme="majorBidi"/>
        </w:rPr>
        <w:t xml:space="preserve"> </w:t>
      </w:r>
      <w:r w:rsidRPr="00480E13">
        <w:rPr>
          <w:rFonts w:asciiTheme="majorBidi" w:hAnsiTheme="majorBidi" w:cstheme="majorBidi"/>
        </w:rPr>
        <w:t>using the Statistical Package for Social Sciences (SPSS) version 25.0. Descriptive statistics were used to calculate prevalence rates (percentage). The Chi-square (</w:t>
      </w:r>
      <m:oMath>
        <m:r>
          <m:rPr>
            <m:sty m:val="p"/>
          </m:rPr>
          <w:rPr>
            <w:rFonts w:ascii="Cambria Math" w:hAnsi="Cambria Math" w:cstheme="majorBidi"/>
          </w:rPr>
          <m:t>‘</m:t>
        </m:r>
        <m:sSup>
          <m:sSupPr>
            <m:ctrlPr>
              <w:rPr>
                <w:rFonts w:ascii="Cambria Math" w:hAnsi="Cambria Math" w:cstheme="majorBidi"/>
              </w:rPr>
            </m:ctrlPr>
          </m:sSupPr>
          <m:e>
            <m:r>
              <w:rPr>
                <w:rFonts w:ascii="Cambria Math" w:hAnsi="Cambria Math" w:cstheme="majorBidi"/>
              </w:rPr>
              <m:t>χ</m:t>
            </m:r>
          </m:e>
          <m:sup>
            <m:r>
              <w:rPr>
                <w:rFonts w:ascii="Cambria Math" w:hAnsi="Cambria Math" w:cstheme="majorBidi"/>
              </w:rPr>
              <m:t>2</m:t>
            </m:r>
          </m:sup>
        </m:sSup>
        <m:r>
          <m:rPr>
            <m:sty m:val="p"/>
          </m:rPr>
          <w:rPr>
            <w:rFonts w:ascii="Cambria Math" w:hAnsi="Cambria Math" w:cstheme="majorBidi"/>
          </w:rPr>
          <m:t>‘</m:t>
        </m:r>
      </m:oMath>
      <w:r w:rsidRPr="00480E13">
        <w:rPr>
          <w:rFonts w:asciiTheme="majorBidi" w:hAnsiTheme="majorBidi" w:cstheme="majorBidi"/>
        </w:rPr>
        <w:t xml:space="preserve">) test was employed to determine the association between the prevalence of infection and risk factors such as breed, sex, and age. A probability value of </w:t>
      </w:r>
      <m:oMath>
        <m:r>
          <m:rPr>
            <m:sty m:val="p"/>
          </m:rPr>
          <w:rPr>
            <w:rFonts w:ascii="Cambria Math" w:hAnsi="Cambria Math" w:cstheme="majorBidi"/>
          </w:rPr>
          <m:t>‘</m:t>
        </m:r>
        <m:r>
          <w:rPr>
            <w:rFonts w:ascii="Cambria Math" w:hAnsi="Cambria Math" w:cstheme="majorBidi"/>
          </w:rPr>
          <m:t>P&lt;0.05</m:t>
        </m:r>
        <m:r>
          <m:rPr>
            <m:sty m:val="p"/>
          </m:rPr>
          <w:rPr>
            <w:rFonts w:ascii="Cambria Math" w:hAnsi="Cambria Math" w:cstheme="majorBidi"/>
          </w:rPr>
          <m:t>‘</m:t>
        </m:r>
      </m:oMath>
      <w:r w:rsidRPr="00480E13">
        <w:rPr>
          <w:rFonts w:asciiTheme="majorBidi" w:hAnsiTheme="majorBidi" w:cstheme="majorBidi"/>
        </w:rPr>
        <w:t>was considered statistically significant.</w:t>
      </w:r>
    </w:p>
    <w:p w14:paraId="078CB1D9" w14:textId="77777777" w:rsidR="00355262" w:rsidRPr="00480E13" w:rsidRDefault="00355262" w:rsidP="00A95227">
      <w:pPr>
        <w:spacing w:line="240" w:lineRule="auto"/>
        <w:jc w:val="both"/>
        <w:rPr>
          <w:rFonts w:asciiTheme="majorBidi" w:hAnsiTheme="majorBidi" w:cstheme="majorBidi"/>
          <w:b/>
          <w:bCs/>
        </w:rPr>
      </w:pPr>
      <w:r w:rsidRPr="00480E13">
        <w:rPr>
          <w:rFonts w:asciiTheme="majorBidi" w:hAnsiTheme="majorBidi" w:cstheme="majorBidi"/>
          <w:b/>
          <w:bCs/>
        </w:rPr>
        <w:t>3. Results and Discussion</w:t>
      </w:r>
    </w:p>
    <w:p w14:paraId="3B8F8FF3" w14:textId="77777777" w:rsidR="00355262" w:rsidRPr="00480E13" w:rsidRDefault="00355262" w:rsidP="00A95227">
      <w:pPr>
        <w:spacing w:line="240" w:lineRule="auto"/>
        <w:jc w:val="both"/>
        <w:rPr>
          <w:rFonts w:asciiTheme="majorBidi" w:hAnsiTheme="majorBidi" w:cstheme="majorBidi"/>
          <w:b/>
          <w:bCs/>
        </w:rPr>
      </w:pPr>
      <w:r w:rsidRPr="00480E13">
        <w:rPr>
          <w:rFonts w:asciiTheme="majorBidi" w:hAnsiTheme="majorBidi" w:cstheme="majorBidi"/>
          <w:b/>
          <w:bCs/>
        </w:rPr>
        <w:t>3.1 Overall Prevalence and Breed Distribution</w:t>
      </w:r>
    </w:p>
    <w:p w14:paraId="0D922703" w14:textId="77777777"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A total of 200 goats were examined, comprising 110 Red Sokoto and 90 Sahelian White breeds. The overall prevalence of gastrointestinal helminths was high, with 130 (65.0%) of the goats infected.</w:t>
      </w:r>
    </w:p>
    <w:p w14:paraId="3AEF4760" w14:textId="77777777"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Table 1: Overall Prevalence of Helminth Infection Across Breeds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563"/>
        <w:gridCol w:w="1487"/>
        <w:gridCol w:w="1316"/>
        <w:gridCol w:w="1566"/>
      </w:tblGrid>
      <w:tr w:rsidR="00355262" w:rsidRPr="00480E13" w14:paraId="780B68F7" w14:textId="77777777" w:rsidTr="00A95227">
        <w:tc>
          <w:tcPr>
            <w:tcW w:w="0" w:type="auto"/>
            <w:tcBorders>
              <w:bottom w:val="single" w:sz="4" w:space="0" w:color="auto"/>
              <w:right w:val="nil"/>
            </w:tcBorders>
            <w:hideMark/>
          </w:tcPr>
          <w:p w14:paraId="08920AF1"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Breed</w:t>
            </w:r>
          </w:p>
        </w:tc>
        <w:tc>
          <w:tcPr>
            <w:tcW w:w="0" w:type="auto"/>
            <w:tcBorders>
              <w:left w:val="nil"/>
              <w:bottom w:val="single" w:sz="4" w:space="0" w:color="auto"/>
              <w:right w:val="nil"/>
            </w:tcBorders>
            <w:hideMark/>
          </w:tcPr>
          <w:p w14:paraId="65BA6397"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No. Examined</w:t>
            </w:r>
          </w:p>
        </w:tc>
        <w:tc>
          <w:tcPr>
            <w:tcW w:w="0" w:type="auto"/>
            <w:tcBorders>
              <w:left w:val="nil"/>
              <w:bottom w:val="single" w:sz="4" w:space="0" w:color="auto"/>
              <w:right w:val="nil"/>
            </w:tcBorders>
            <w:hideMark/>
          </w:tcPr>
          <w:p w14:paraId="3A8B7FDB"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No. Infected</w:t>
            </w:r>
          </w:p>
        </w:tc>
        <w:tc>
          <w:tcPr>
            <w:tcW w:w="0" w:type="auto"/>
            <w:tcBorders>
              <w:left w:val="nil"/>
              <w:bottom w:val="single" w:sz="4" w:space="0" w:color="auto"/>
            </w:tcBorders>
            <w:hideMark/>
          </w:tcPr>
          <w:p w14:paraId="14B4D2E5"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Prevalence (%)</w:t>
            </w:r>
          </w:p>
        </w:tc>
      </w:tr>
      <w:tr w:rsidR="00355262" w:rsidRPr="00480E13" w14:paraId="785569AC" w14:textId="77777777" w:rsidTr="00A95227">
        <w:tc>
          <w:tcPr>
            <w:tcW w:w="0" w:type="auto"/>
            <w:tcBorders>
              <w:bottom w:val="nil"/>
              <w:right w:val="nil"/>
            </w:tcBorders>
            <w:hideMark/>
          </w:tcPr>
          <w:p w14:paraId="68C6BA66"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Red Sokoto</w:t>
            </w:r>
          </w:p>
        </w:tc>
        <w:tc>
          <w:tcPr>
            <w:tcW w:w="0" w:type="auto"/>
            <w:tcBorders>
              <w:left w:val="nil"/>
              <w:bottom w:val="nil"/>
              <w:right w:val="nil"/>
            </w:tcBorders>
            <w:hideMark/>
          </w:tcPr>
          <w:p w14:paraId="2AE9BFD6"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110</w:t>
            </w:r>
          </w:p>
        </w:tc>
        <w:tc>
          <w:tcPr>
            <w:tcW w:w="0" w:type="auto"/>
            <w:tcBorders>
              <w:left w:val="nil"/>
              <w:bottom w:val="nil"/>
              <w:right w:val="nil"/>
            </w:tcBorders>
            <w:hideMark/>
          </w:tcPr>
          <w:p w14:paraId="647133FB"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70</w:t>
            </w:r>
          </w:p>
        </w:tc>
        <w:tc>
          <w:tcPr>
            <w:tcW w:w="0" w:type="auto"/>
            <w:tcBorders>
              <w:left w:val="nil"/>
              <w:bottom w:val="nil"/>
            </w:tcBorders>
            <w:hideMark/>
          </w:tcPr>
          <w:p w14:paraId="65E409B6"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63.64%</w:t>
            </w:r>
          </w:p>
        </w:tc>
      </w:tr>
      <w:tr w:rsidR="00355262" w:rsidRPr="00480E13" w14:paraId="10D18906" w14:textId="77777777" w:rsidTr="00A95227">
        <w:tc>
          <w:tcPr>
            <w:tcW w:w="0" w:type="auto"/>
            <w:tcBorders>
              <w:top w:val="nil"/>
              <w:bottom w:val="nil"/>
              <w:right w:val="nil"/>
            </w:tcBorders>
            <w:hideMark/>
          </w:tcPr>
          <w:p w14:paraId="7FC3F486"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Sahelian White</w:t>
            </w:r>
          </w:p>
        </w:tc>
        <w:tc>
          <w:tcPr>
            <w:tcW w:w="0" w:type="auto"/>
            <w:tcBorders>
              <w:top w:val="nil"/>
              <w:left w:val="nil"/>
              <w:bottom w:val="nil"/>
              <w:right w:val="nil"/>
            </w:tcBorders>
            <w:hideMark/>
          </w:tcPr>
          <w:p w14:paraId="1B88C16D"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90</w:t>
            </w:r>
          </w:p>
        </w:tc>
        <w:tc>
          <w:tcPr>
            <w:tcW w:w="0" w:type="auto"/>
            <w:tcBorders>
              <w:top w:val="nil"/>
              <w:left w:val="nil"/>
              <w:bottom w:val="nil"/>
              <w:right w:val="nil"/>
            </w:tcBorders>
            <w:hideMark/>
          </w:tcPr>
          <w:p w14:paraId="6871391A"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60</w:t>
            </w:r>
          </w:p>
        </w:tc>
        <w:tc>
          <w:tcPr>
            <w:tcW w:w="0" w:type="auto"/>
            <w:tcBorders>
              <w:top w:val="nil"/>
              <w:left w:val="nil"/>
              <w:bottom w:val="nil"/>
            </w:tcBorders>
            <w:hideMark/>
          </w:tcPr>
          <w:p w14:paraId="5AA897B9"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66.67%</w:t>
            </w:r>
          </w:p>
        </w:tc>
      </w:tr>
      <w:tr w:rsidR="00355262" w:rsidRPr="00480E13" w14:paraId="6405BC6E" w14:textId="77777777" w:rsidTr="00A95227">
        <w:tc>
          <w:tcPr>
            <w:tcW w:w="0" w:type="auto"/>
            <w:tcBorders>
              <w:top w:val="nil"/>
              <w:right w:val="nil"/>
            </w:tcBorders>
            <w:hideMark/>
          </w:tcPr>
          <w:p w14:paraId="51826579"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Total</w:t>
            </w:r>
          </w:p>
        </w:tc>
        <w:tc>
          <w:tcPr>
            <w:tcW w:w="0" w:type="auto"/>
            <w:tcBorders>
              <w:top w:val="nil"/>
              <w:left w:val="nil"/>
              <w:right w:val="nil"/>
            </w:tcBorders>
            <w:hideMark/>
          </w:tcPr>
          <w:p w14:paraId="127BB8F0"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200</w:t>
            </w:r>
          </w:p>
        </w:tc>
        <w:tc>
          <w:tcPr>
            <w:tcW w:w="0" w:type="auto"/>
            <w:tcBorders>
              <w:top w:val="nil"/>
              <w:left w:val="nil"/>
              <w:right w:val="nil"/>
            </w:tcBorders>
            <w:hideMark/>
          </w:tcPr>
          <w:p w14:paraId="2F728AD5"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130</w:t>
            </w:r>
          </w:p>
        </w:tc>
        <w:tc>
          <w:tcPr>
            <w:tcW w:w="0" w:type="auto"/>
            <w:tcBorders>
              <w:top w:val="nil"/>
              <w:left w:val="nil"/>
            </w:tcBorders>
            <w:hideMark/>
          </w:tcPr>
          <w:p w14:paraId="5844D755"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65.00%</w:t>
            </w:r>
          </w:p>
        </w:tc>
      </w:tr>
    </w:tbl>
    <w:p w14:paraId="52A7CA1D" w14:textId="77777777" w:rsidR="00355262" w:rsidRPr="00480E13" w:rsidRDefault="00355262" w:rsidP="00A95227">
      <w:pPr>
        <w:spacing w:line="240" w:lineRule="auto"/>
        <w:jc w:val="both"/>
        <w:rPr>
          <w:rFonts w:asciiTheme="majorBidi" w:hAnsiTheme="majorBidi" w:cstheme="majorBidi"/>
        </w:rPr>
      </w:pPr>
    </w:p>
    <w:p w14:paraId="4B1ABF06" w14:textId="49D7D8B9"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 xml:space="preserve">The overall prevalence of 65.0% indicates a significant parasitic burden in the study area. This finding aligns with recent studies in Nigeria, such as </w:t>
      </w:r>
      <w:r w:rsidR="00EC5254" w:rsidRPr="00480E13">
        <w:rPr>
          <w:rFonts w:asciiTheme="majorBidi" w:hAnsiTheme="majorBidi" w:cstheme="majorBidi"/>
        </w:rPr>
        <w:t>Kolo</w:t>
      </w:r>
      <w:r w:rsidRPr="00480E13">
        <w:rPr>
          <w:rFonts w:asciiTheme="majorBidi" w:hAnsiTheme="majorBidi" w:cstheme="majorBidi"/>
        </w:rPr>
        <w:t xml:space="preserve"> </w:t>
      </w:r>
      <w:r w:rsidRPr="00480E13">
        <w:rPr>
          <w:rFonts w:asciiTheme="majorBidi" w:hAnsiTheme="majorBidi" w:cstheme="majorBidi"/>
          <w:i/>
        </w:rPr>
        <w:t>et al</w:t>
      </w:r>
      <w:r w:rsidRPr="00480E13">
        <w:rPr>
          <w:rFonts w:asciiTheme="majorBidi" w:hAnsiTheme="majorBidi" w:cstheme="majorBidi"/>
        </w:rPr>
        <w:t>. (202</w:t>
      </w:r>
      <w:r w:rsidR="00EC5254" w:rsidRPr="00480E13">
        <w:rPr>
          <w:rFonts w:asciiTheme="majorBidi" w:hAnsiTheme="majorBidi" w:cstheme="majorBidi"/>
        </w:rPr>
        <w:t>4</w:t>
      </w:r>
      <w:r w:rsidRPr="00480E13">
        <w:rPr>
          <w:rFonts w:asciiTheme="majorBidi" w:hAnsiTheme="majorBidi" w:cstheme="majorBidi"/>
        </w:rPr>
        <w:t xml:space="preserve">), who reported a prevalence of 61.2% in goats in the North-Central region, attributing it to poor management systems where animals graze </w:t>
      </w:r>
      <w:r w:rsidRPr="00480E13">
        <w:rPr>
          <w:rFonts w:asciiTheme="majorBidi" w:hAnsiTheme="majorBidi" w:cstheme="majorBidi"/>
        </w:rPr>
        <w:lastRenderedPageBreak/>
        <w:t xml:space="preserve">on contaminated pastures. Similarly, </w:t>
      </w:r>
      <w:r w:rsidR="00150C5A" w:rsidRPr="00480E13">
        <w:rPr>
          <w:rFonts w:asciiTheme="majorBidi" w:hAnsiTheme="majorBidi" w:cstheme="majorBidi"/>
        </w:rPr>
        <w:t>Abdul-Rahman</w:t>
      </w:r>
      <w:r w:rsidRPr="00480E13">
        <w:rPr>
          <w:rFonts w:asciiTheme="majorBidi" w:hAnsiTheme="majorBidi" w:cstheme="majorBidi"/>
        </w:rPr>
        <w:t xml:space="preserve"> </w:t>
      </w:r>
      <w:r w:rsidRPr="00480E13">
        <w:rPr>
          <w:rFonts w:asciiTheme="majorBidi" w:hAnsiTheme="majorBidi" w:cstheme="majorBidi"/>
          <w:i/>
        </w:rPr>
        <w:t>et al.</w:t>
      </w:r>
      <w:r w:rsidRPr="00480E13">
        <w:rPr>
          <w:rFonts w:asciiTheme="majorBidi" w:hAnsiTheme="majorBidi" w:cstheme="majorBidi"/>
        </w:rPr>
        <w:t xml:space="preserve"> (202</w:t>
      </w:r>
      <w:r w:rsidR="00150C5A" w:rsidRPr="00480E13">
        <w:rPr>
          <w:rFonts w:asciiTheme="majorBidi" w:hAnsiTheme="majorBidi" w:cstheme="majorBidi"/>
        </w:rPr>
        <w:t>2</w:t>
      </w:r>
      <w:r w:rsidRPr="00480E13">
        <w:rPr>
          <w:rFonts w:asciiTheme="majorBidi" w:hAnsiTheme="majorBidi" w:cstheme="majorBidi"/>
        </w:rPr>
        <w:t xml:space="preserve">) observed high infection rates in southern Nigeria, </w:t>
      </w:r>
      <w:proofErr w:type="spellStart"/>
      <w:r w:rsidR="004279D8" w:rsidRPr="00480E13">
        <w:rPr>
          <w:rFonts w:asciiTheme="majorBidi" w:hAnsiTheme="majorBidi" w:cstheme="majorBidi"/>
        </w:rPr>
        <w:t>emphasising</w:t>
      </w:r>
      <w:proofErr w:type="spellEnd"/>
      <w:r w:rsidR="004279D8" w:rsidRPr="00480E13">
        <w:rPr>
          <w:rFonts w:asciiTheme="majorBidi" w:hAnsiTheme="majorBidi" w:cstheme="majorBidi"/>
        </w:rPr>
        <w:t xml:space="preserve"> </w:t>
      </w:r>
      <w:r w:rsidRPr="00480E13">
        <w:rPr>
          <w:rFonts w:asciiTheme="majorBidi" w:hAnsiTheme="majorBidi" w:cstheme="majorBidi"/>
        </w:rPr>
        <w:t xml:space="preserve">that climatic conditions </w:t>
      </w:r>
      <w:proofErr w:type="spellStart"/>
      <w:r w:rsidRPr="00480E13">
        <w:rPr>
          <w:rFonts w:asciiTheme="majorBidi" w:hAnsiTheme="majorBidi" w:cstheme="majorBidi"/>
        </w:rPr>
        <w:t>favo</w:t>
      </w:r>
      <w:r w:rsidR="004279D8" w:rsidRPr="00480E13">
        <w:rPr>
          <w:rFonts w:asciiTheme="majorBidi" w:hAnsiTheme="majorBidi" w:cstheme="majorBidi"/>
        </w:rPr>
        <w:t>u</w:t>
      </w:r>
      <w:r w:rsidRPr="00480E13">
        <w:rPr>
          <w:rFonts w:asciiTheme="majorBidi" w:hAnsiTheme="majorBidi" w:cstheme="majorBidi"/>
        </w:rPr>
        <w:t>r</w:t>
      </w:r>
      <w:proofErr w:type="spellEnd"/>
      <w:r w:rsidRPr="00480E13">
        <w:rPr>
          <w:rFonts w:asciiTheme="majorBidi" w:hAnsiTheme="majorBidi" w:cstheme="majorBidi"/>
        </w:rPr>
        <w:t xml:space="preserve"> parasite survival.</w:t>
      </w:r>
    </w:p>
    <w:p w14:paraId="2F6A4131" w14:textId="54CEAA3E"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 xml:space="preserve">While the Sahelian White breed showed a slightly higher prevalence (66.67%) compared to the Red Sokoto (63.64%), the difference was marginal. This contrasts with some literature suggesting Red Sokoto goats may have better genetic resistance to local parasites. However, </w:t>
      </w:r>
      <w:proofErr w:type="spellStart"/>
      <w:r w:rsidR="00647ED2" w:rsidRPr="00480E13">
        <w:rPr>
          <w:rFonts w:asciiTheme="majorBidi" w:hAnsiTheme="majorBidi" w:cstheme="majorBidi"/>
        </w:rPr>
        <w:t>Ngongeh</w:t>
      </w:r>
      <w:proofErr w:type="spellEnd"/>
      <w:r w:rsidR="00647ED2" w:rsidRPr="00480E13">
        <w:rPr>
          <w:rFonts w:asciiTheme="majorBidi" w:hAnsiTheme="majorBidi" w:cstheme="majorBidi"/>
        </w:rPr>
        <w:t xml:space="preserve"> </w:t>
      </w:r>
      <w:r w:rsidR="00647ED2" w:rsidRPr="00480E13">
        <w:rPr>
          <w:rFonts w:asciiTheme="majorBidi" w:hAnsiTheme="majorBidi" w:cstheme="majorBidi"/>
          <w:i/>
          <w:iCs/>
        </w:rPr>
        <w:t>et al.</w:t>
      </w:r>
      <w:r w:rsidR="00647ED2" w:rsidRPr="00480E13">
        <w:rPr>
          <w:rFonts w:asciiTheme="majorBidi" w:hAnsiTheme="majorBidi" w:cstheme="majorBidi"/>
        </w:rPr>
        <w:t xml:space="preserve"> (2015)</w:t>
      </w:r>
      <w:r w:rsidRPr="00480E13">
        <w:rPr>
          <w:rFonts w:asciiTheme="majorBidi" w:hAnsiTheme="majorBidi" w:cstheme="majorBidi"/>
        </w:rPr>
        <w:t xml:space="preserve"> noted that under high environmental contamination, breed differences often become negligible as all animals are exposed to overwhelming larval challenges.</w:t>
      </w:r>
    </w:p>
    <w:p w14:paraId="1A53BBB0" w14:textId="77777777" w:rsidR="00355262" w:rsidRPr="00480E13" w:rsidRDefault="00355262" w:rsidP="00A95227">
      <w:pPr>
        <w:spacing w:line="240" w:lineRule="auto"/>
        <w:jc w:val="both"/>
        <w:rPr>
          <w:rFonts w:asciiTheme="majorBidi" w:hAnsiTheme="majorBidi" w:cstheme="majorBidi"/>
          <w:b/>
          <w:bCs/>
        </w:rPr>
      </w:pPr>
      <w:r w:rsidRPr="00480E13">
        <w:rPr>
          <w:rFonts w:asciiTheme="majorBidi" w:hAnsiTheme="majorBidi" w:cstheme="majorBidi"/>
          <w:b/>
          <w:bCs/>
        </w:rPr>
        <w:t>3.2 Parasite Spectrum and Species Identification</w:t>
      </w:r>
    </w:p>
    <w:p w14:paraId="1953FBF9" w14:textId="77777777"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The study identified a diverse range of helminths, with Nematodes being the most dominant class, followed by Trematodes and Cestodes.</w:t>
      </w:r>
    </w:p>
    <w:p w14:paraId="45F6394D" w14:textId="77777777"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Table 2: Species of Helminths Identified in Red Sokoto and Sahelian White Goats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162"/>
        <w:gridCol w:w="2453"/>
        <w:gridCol w:w="1407"/>
        <w:gridCol w:w="1350"/>
        <w:gridCol w:w="1520"/>
        <w:gridCol w:w="1350"/>
      </w:tblGrid>
      <w:tr w:rsidR="00355262" w:rsidRPr="00480E13" w14:paraId="3B8E867A" w14:textId="77777777" w:rsidTr="00A95227">
        <w:tc>
          <w:tcPr>
            <w:tcW w:w="0" w:type="auto"/>
            <w:tcBorders>
              <w:bottom w:val="single" w:sz="4" w:space="0" w:color="auto"/>
              <w:right w:val="nil"/>
            </w:tcBorders>
            <w:hideMark/>
          </w:tcPr>
          <w:p w14:paraId="12012182"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Class</w:t>
            </w:r>
          </w:p>
        </w:tc>
        <w:tc>
          <w:tcPr>
            <w:tcW w:w="0" w:type="auto"/>
            <w:tcBorders>
              <w:left w:val="nil"/>
              <w:bottom w:val="single" w:sz="4" w:space="0" w:color="auto"/>
              <w:right w:val="nil"/>
            </w:tcBorders>
            <w:hideMark/>
          </w:tcPr>
          <w:p w14:paraId="506F263B"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Parasite Species</w:t>
            </w:r>
          </w:p>
        </w:tc>
        <w:tc>
          <w:tcPr>
            <w:tcW w:w="0" w:type="auto"/>
            <w:tcBorders>
              <w:left w:val="nil"/>
              <w:bottom w:val="single" w:sz="4" w:space="0" w:color="auto"/>
              <w:right w:val="nil"/>
            </w:tcBorders>
            <w:hideMark/>
          </w:tcPr>
          <w:p w14:paraId="531A9381"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Red Sokoto (n=110)</w:t>
            </w:r>
          </w:p>
        </w:tc>
        <w:tc>
          <w:tcPr>
            <w:tcW w:w="0" w:type="auto"/>
            <w:tcBorders>
              <w:left w:val="nil"/>
              <w:bottom w:val="single" w:sz="4" w:space="0" w:color="auto"/>
              <w:right w:val="nil"/>
            </w:tcBorders>
            <w:hideMark/>
          </w:tcPr>
          <w:p w14:paraId="3D998F2F" w14:textId="77777777" w:rsidR="00355262" w:rsidRPr="00480E13" w:rsidRDefault="00355262" w:rsidP="00A95227">
            <w:pPr>
              <w:spacing w:after="160"/>
              <w:jc w:val="both"/>
              <w:rPr>
                <w:rFonts w:asciiTheme="majorBidi" w:hAnsiTheme="majorBidi" w:cstheme="majorBidi"/>
              </w:rPr>
            </w:pPr>
          </w:p>
        </w:tc>
        <w:tc>
          <w:tcPr>
            <w:tcW w:w="0" w:type="auto"/>
            <w:tcBorders>
              <w:left w:val="nil"/>
              <w:bottom w:val="single" w:sz="4" w:space="0" w:color="auto"/>
              <w:right w:val="nil"/>
            </w:tcBorders>
            <w:hideMark/>
          </w:tcPr>
          <w:p w14:paraId="4716D750"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Sahelian White (n=90)</w:t>
            </w:r>
          </w:p>
        </w:tc>
        <w:tc>
          <w:tcPr>
            <w:tcW w:w="0" w:type="auto"/>
            <w:tcBorders>
              <w:left w:val="nil"/>
              <w:bottom w:val="single" w:sz="4" w:space="0" w:color="auto"/>
            </w:tcBorders>
            <w:hideMark/>
          </w:tcPr>
          <w:p w14:paraId="524EFEB7" w14:textId="77777777" w:rsidR="00355262" w:rsidRPr="00480E13" w:rsidRDefault="00355262" w:rsidP="00A95227">
            <w:pPr>
              <w:spacing w:after="160"/>
              <w:jc w:val="both"/>
              <w:rPr>
                <w:rFonts w:asciiTheme="majorBidi" w:hAnsiTheme="majorBidi" w:cstheme="majorBidi"/>
              </w:rPr>
            </w:pPr>
          </w:p>
        </w:tc>
      </w:tr>
      <w:tr w:rsidR="00355262" w:rsidRPr="00480E13" w14:paraId="26284E22" w14:textId="77777777" w:rsidTr="00A95227">
        <w:tc>
          <w:tcPr>
            <w:tcW w:w="0" w:type="auto"/>
            <w:tcBorders>
              <w:bottom w:val="nil"/>
              <w:right w:val="nil"/>
            </w:tcBorders>
            <w:hideMark/>
          </w:tcPr>
          <w:p w14:paraId="65C9C18C" w14:textId="77777777" w:rsidR="00355262" w:rsidRPr="00480E13" w:rsidRDefault="00355262" w:rsidP="00A95227">
            <w:pPr>
              <w:spacing w:after="160"/>
              <w:jc w:val="both"/>
              <w:rPr>
                <w:rFonts w:asciiTheme="majorBidi" w:hAnsiTheme="majorBidi" w:cstheme="majorBidi"/>
              </w:rPr>
            </w:pPr>
          </w:p>
        </w:tc>
        <w:tc>
          <w:tcPr>
            <w:tcW w:w="0" w:type="auto"/>
            <w:tcBorders>
              <w:left w:val="nil"/>
              <w:bottom w:val="nil"/>
              <w:right w:val="nil"/>
            </w:tcBorders>
            <w:hideMark/>
          </w:tcPr>
          <w:p w14:paraId="0812FFCA" w14:textId="77777777" w:rsidR="00355262" w:rsidRPr="00480E13" w:rsidRDefault="00355262" w:rsidP="00A95227">
            <w:pPr>
              <w:spacing w:after="160"/>
              <w:jc w:val="both"/>
              <w:rPr>
                <w:rFonts w:asciiTheme="majorBidi" w:hAnsiTheme="majorBidi" w:cstheme="majorBidi"/>
              </w:rPr>
            </w:pPr>
          </w:p>
        </w:tc>
        <w:tc>
          <w:tcPr>
            <w:tcW w:w="0" w:type="auto"/>
            <w:tcBorders>
              <w:left w:val="nil"/>
              <w:bottom w:val="nil"/>
              <w:right w:val="nil"/>
            </w:tcBorders>
            <w:hideMark/>
          </w:tcPr>
          <w:p w14:paraId="5BEB9962"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No. Infected</w:t>
            </w:r>
          </w:p>
        </w:tc>
        <w:tc>
          <w:tcPr>
            <w:tcW w:w="0" w:type="auto"/>
            <w:tcBorders>
              <w:left w:val="nil"/>
              <w:bottom w:val="nil"/>
              <w:right w:val="nil"/>
            </w:tcBorders>
            <w:hideMark/>
          </w:tcPr>
          <w:p w14:paraId="78683CDC"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Prevalence (%)</w:t>
            </w:r>
          </w:p>
        </w:tc>
        <w:tc>
          <w:tcPr>
            <w:tcW w:w="0" w:type="auto"/>
            <w:tcBorders>
              <w:left w:val="nil"/>
              <w:bottom w:val="nil"/>
              <w:right w:val="nil"/>
            </w:tcBorders>
            <w:hideMark/>
          </w:tcPr>
          <w:p w14:paraId="51F3B237"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No. Infected</w:t>
            </w:r>
          </w:p>
        </w:tc>
        <w:tc>
          <w:tcPr>
            <w:tcW w:w="0" w:type="auto"/>
            <w:tcBorders>
              <w:left w:val="nil"/>
              <w:bottom w:val="nil"/>
            </w:tcBorders>
            <w:hideMark/>
          </w:tcPr>
          <w:p w14:paraId="0D08D036"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Prevalence (%)</w:t>
            </w:r>
          </w:p>
        </w:tc>
      </w:tr>
      <w:tr w:rsidR="00355262" w:rsidRPr="00480E13" w14:paraId="1B645D49" w14:textId="77777777" w:rsidTr="00A95227">
        <w:tc>
          <w:tcPr>
            <w:tcW w:w="0" w:type="auto"/>
            <w:tcBorders>
              <w:top w:val="nil"/>
              <w:bottom w:val="nil"/>
              <w:right w:val="nil"/>
            </w:tcBorders>
            <w:hideMark/>
          </w:tcPr>
          <w:p w14:paraId="734A2FC3"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Nematoda</w:t>
            </w:r>
          </w:p>
        </w:tc>
        <w:tc>
          <w:tcPr>
            <w:tcW w:w="0" w:type="auto"/>
            <w:tcBorders>
              <w:top w:val="nil"/>
              <w:left w:val="nil"/>
              <w:bottom w:val="nil"/>
              <w:right w:val="nil"/>
            </w:tcBorders>
            <w:hideMark/>
          </w:tcPr>
          <w:p w14:paraId="00173BA3" w14:textId="77777777" w:rsidR="00355262" w:rsidRPr="00480E13" w:rsidRDefault="00355262" w:rsidP="00A95227">
            <w:pPr>
              <w:spacing w:after="160"/>
              <w:jc w:val="both"/>
              <w:rPr>
                <w:rFonts w:asciiTheme="majorBidi" w:hAnsiTheme="majorBidi" w:cstheme="majorBidi"/>
              </w:rPr>
            </w:pPr>
            <w:proofErr w:type="spellStart"/>
            <w:r w:rsidRPr="00480E13">
              <w:rPr>
                <w:rFonts w:asciiTheme="majorBidi" w:hAnsiTheme="majorBidi" w:cstheme="majorBidi"/>
                <w:i/>
                <w:iCs/>
              </w:rPr>
              <w:t>Haemonchus</w:t>
            </w:r>
            <w:proofErr w:type="spellEnd"/>
            <w:r w:rsidRPr="00480E13">
              <w:rPr>
                <w:rFonts w:asciiTheme="majorBidi" w:hAnsiTheme="majorBidi" w:cstheme="majorBidi"/>
                <w:i/>
                <w:iCs/>
              </w:rPr>
              <w:t xml:space="preserve"> </w:t>
            </w:r>
            <w:proofErr w:type="spellStart"/>
            <w:r w:rsidRPr="00480E13">
              <w:rPr>
                <w:rFonts w:asciiTheme="majorBidi" w:hAnsiTheme="majorBidi" w:cstheme="majorBidi"/>
                <w:i/>
                <w:iCs/>
              </w:rPr>
              <w:t>contortus</w:t>
            </w:r>
            <w:proofErr w:type="spellEnd"/>
          </w:p>
        </w:tc>
        <w:tc>
          <w:tcPr>
            <w:tcW w:w="0" w:type="auto"/>
            <w:tcBorders>
              <w:top w:val="nil"/>
              <w:left w:val="nil"/>
              <w:bottom w:val="nil"/>
              <w:right w:val="nil"/>
            </w:tcBorders>
            <w:hideMark/>
          </w:tcPr>
          <w:p w14:paraId="16578FFE"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36</w:t>
            </w:r>
          </w:p>
        </w:tc>
        <w:tc>
          <w:tcPr>
            <w:tcW w:w="0" w:type="auto"/>
            <w:tcBorders>
              <w:top w:val="nil"/>
              <w:left w:val="nil"/>
              <w:bottom w:val="nil"/>
              <w:right w:val="nil"/>
            </w:tcBorders>
            <w:hideMark/>
          </w:tcPr>
          <w:p w14:paraId="383BCA75"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32.73%</w:t>
            </w:r>
          </w:p>
        </w:tc>
        <w:tc>
          <w:tcPr>
            <w:tcW w:w="0" w:type="auto"/>
            <w:tcBorders>
              <w:top w:val="nil"/>
              <w:left w:val="nil"/>
              <w:bottom w:val="nil"/>
              <w:right w:val="nil"/>
            </w:tcBorders>
            <w:hideMark/>
          </w:tcPr>
          <w:p w14:paraId="68D2C110"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38</w:t>
            </w:r>
          </w:p>
        </w:tc>
        <w:tc>
          <w:tcPr>
            <w:tcW w:w="0" w:type="auto"/>
            <w:tcBorders>
              <w:top w:val="nil"/>
              <w:left w:val="nil"/>
              <w:bottom w:val="nil"/>
            </w:tcBorders>
            <w:hideMark/>
          </w:tcPr>
          <w:p w14:paraId="78457347"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42.22%</w:t>
            </w:r>
          </w:p>
        </w:tc>
      </w:tr>
      <w:tr w:rsidR="00355262" w:rsidRPr="00480E13" w14:paraId="5510C714" w14:textId="77777777" w:rsidTr="00A95227">
        <w:tc>
          <w:tcPr>
            <w:tcW w:w="0" w:type="auto"/>
            <w:tcBorders>
              <w:top w:val="nil"/>
              <w:bottom w:val="nil"/>
              <w:right w:val="nil"/>
            </w:tcBorders>
            <w:hideMark/>
          </w:tcPr>
          <w:p w14:paraId="745B81F9" w14:textId="77777777" w:rsidR="00355262" w:rsidRPr="00480E13"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75962018" w14:textId="77777777" w:rsidR="00355262" w:rsidRPr="00480E13" w:rsidRDefault="00355262" w:rsidP="00A95227">
            <w:pPr>
              <w:spacing w:after="160"/>
              <w:jc w:val="both"/>
              <w:rPr>
                <w:rFonts w:asciiTheme="majorBidi" w:hAnsiTheme="majorBidi" w:cstheme="majorBidi"/>
              </w:rPr>
            </w:pPr>
            <w:proofErr w:type="spellStart"/>
            <w:r w:rsidRPr="00480E13">
              <w:rPr>
                <w:rFonts w:asciiTheme="majorBidi" w:hAnsiTheme="majorBidi" w:cstheme="majorBidi"/>
                <w:i/>
                <w:iCs/>
              </w:rPr>
              <w:t>Strongyloides</w:t>
            </w:r>
            <w:proofErr w:type="spellEnd"/>
            <w:r w:rsidRPr="00480E13">
              <w:rPr>
                <w:rFonts w:asciiTheme="majorBidi" w:hAnsiTheme="majorBidi" w:cstheme="majorBidi"/>
                <w:i/>
                <w:iCs/>
              </w:rPr>
              <w:t xml:space="preserve"> </w:t>
            </w:r>
            <w:proofErr w:type="spellStart"/>
            <w:r w:rsidRPr="00480E13">
              <w:rPr>
                <w:rFonts w:asciiTheme="majorBidi" w:hAnsiTheme="majorBidi" w:cstheme="majorBidi"/>
                <w:i/>
                <w:iCs/>
              </w:rPr>
              <w:t>papillosus</w:t>
            </w:r>
            <w:proofErr w:type="spellEnd"/>
          </w:p>
        </w:tc>
        <w:tc>
          <w:tcPr>
            <w:tcW w:w="0" w:type="auto"/>
            <w:tcBorders>
              <w:top w:val="nil"/>
              <w:left w:val="nil"/>
              <w:bottom w:val="nil"/>
              <w:right w:val="nil"/>
            </w:tcBorders>
            <w:hideMark/>
          </w:tcPr>
          <w:p w14:paraId="1B5A35A0"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27</w:t>
            </w:r>
          </w:p>
        </w:tc>
        <w:tc>
          <w:tcPr>
            <w:tcW w:w="0" w:type="auto"/>
            <w:tcBorders>
              <w:top w:val="nil"/>
              <w:left w:val="nil"/>
              <w:bottom w:val="nil"/>
              <w:right w:val="nil"/>
            </w:tcBorders>
            <w:hideMark/>
          </w:tcPr>
          <w:p w14:paraId="6EC80D2B"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27.00%</w:t>
            </w:r>
          </w:p>
        </w:tc>
        <w:tc>
          <w:tcPr>
            <w:tcW w:w="0" w:type="auto"/>
            <w:tcBorders>
              <w:top w:val="nil"/>
              <w:left w:val="nil"/>
              <w:bottom w:val="nil"/>
              <w:right w:val="nil"/>
            </w:tcBorders>
            <w:hideMark/>
          </w:tcPr>
          <w:p w14:paraId="0BAE26DB"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25</w:t>
            </w:r>
          </w:p>
        </w:tc>
        <w:tc>
          <w:tcPr>
            <w:tcW w:w="0" w:type="auto"/>
            <w:tcBorders>
              <w:top w:val="nil"/>
              <w:left w:val="nil"/>
              <w:bottom w:val="nil"/>
            </w:tcBorders>
            <w:hideMark/>
          </w:tcPr>
          <w:p w14:paraId="33155954"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27.78%</w:t>
            </w:r>
          </w:p>
        </w:tc>
      </w:tr>
      <w:tr w:rsidR="00355262" w:rsidRPr="00480E13" w14:paraId="036C4C4F" w14:textId="77777777" w:rsidTr="00A95227">
        <w:tc>
          <w:tcPr>
            <w:tcW w:w="0" w:type="auto"/>
            <w:tcBorders>
              <w:top w:val="nil"/>
              <w:bottom w:val="nil"/>
              <w:right w:val="nil"/>
            </w:tcBorders>
            <w:hideMark/>
          </w:tcPr>
          <w:p w14:paraId="7FB222C1" w14:textId="77777777" w:rsidR="00355262" w:rsidRPr="00480E13"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6FEC33CE" w14:textId="77777777" w:rsidR="00355262" w:rsidRPr="00480E13" w:rsidRDefault="00355262" w:rsidP="00A95227">
            <w:pPr>
              <w:spacing w:after="160"/>
              <w:jc w:val="both"/>
              <w:rPr>
                <w:rFonts w:asciiTheme="majorBidi" w:hAnsiTheme="majorBidi" w:cstheme="majorBidi"/>
              </w:rPr>
            </w:pPr>
            <w:proofErr w:type="spellStart"/>
            <w:r w:rsidRPr="00480E13">
              <w:rPr>
                <w:rFonts w:asciiTheme="majorBidi" w:hAnsiTheme="majorBidi" w:cstheme="majorBidi"/>
                <w:i/>
                <w:iCs/>
              </w:rPr>
              <w:t>Oesophagostomum</w:t>
            </w:r>
            <w:proofErr w:type="spellEnd"/>
            <w:r w:rsidRPr="00480E13">
              <w:rPr>
                <w:rFonts w:asciiTheme="majorBidi" w:hAnsiTheme="majorBidi" w:cstheme="majorBidi"/>
                <w:i/>
                <w:iCs/>
              </w:rPr>
              <w:t xml:space="preserve"> </w:t>
            </w:r>
            <w:proofErr w:type="spellStart"/>
            <w:r w:rsidRPr="00480E13">
              <w:rPr>
                <w:rFonts w:asciiTheme="majorBidi" w:hAnsiTheme="majorBidi" w:cstheme="majorBidi"/>
                <w:i/>
                <w:iCs/>
              </w:rPr>
              <w:t>columbianum</w:t>
            </w:r>
            <w:proofErr w:type="spellEnd"/>
          </w:p>
        </w:tc>
        <w:tc>
          <w:tcPr>
            <w:tcW w:w="0" w:type="auto"/>
            <w:tcBorders>
              <w:top w:val="nil"/>
              <w:left w:val="nil"/>
              <w:bottom w:val="nil"/>
              <w:right w:val="nil"/>
            </w:tcBorders>
            <w:hideMark/>
          </w:tcPr>
          <w:p w14:paraId="538C630A"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25</w:t>
            </w:r>
          </w:p>
        </w:tc>
        <w:tc>
          <w:tcPr>
            <w:tcW w:w="0" w:type="auto"/>
            <w:tcBorders>
              <w:top w:val="nil"/>
              <w:left w:val="nil"/>
              <w:bottom w:val="nil"/>
              <w:right w:val="nil"/>
            </w:tcBorders>
            <w:hideMark/>
          </w:tcPr>
          <w:p w14:paraId="4BC0648D"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22.73%</w:t>
            </w:r>
          </w:p>
        </w:tc>
        <w:tc>
          <w:tcPr>
            <w:tcW w:w="0" w:type="auto"/>
            <w:tcBorders>
              <w:top w:val="nil"/>
              <w:left w:val="nil"/>
              <w:bottom w:val="nil"/>
              <w:right w:val="nil"/>
            </w:tcBorders>
            <w:hideMark/>
          </w:tcPr>
          <w:p w14:paraId="2EDE60F9"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27</w:t>
            </w:r>
          </w:p>
        </w:tc>
        <w:tc>
          <w:tcPr>
            <w:tcW w:w="0" w:type="auto"/>
            <w:tcBorders>
              <w:top w:val="nil"/>
              <w:left w:val="nil"/>
              <w:bottom w:val="nil"/>
            </w:tcBorders>
            <w:hideMark/>
          </w:tcPr>
          <w:p w14:paraId="243AEB94"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30.00%</w:t>
            </w:r>
          </w:p>
        </w:tc>
      </w:tr>
      <w:tr w:rsidR="00355262" w:rsidRPr="00480E13" w14:paraId="5C0E540D" w14:textId="77777777" w:rsidTr="00A95227">
        <w:tc>
          <w:tcPr>
            <w:tcW w:w="0" w:type="auto"/>
            <w:tcBorders>
              <w:top w:val="nil"/>
              <w:bottom w:val="nil"/>
              <w:right w:val="nil"/>
            </w:tcBorders>
            <w:hideMark/>
          </w:tcPr>
          <w:p w14:paraId="6CB8275F" w14:textId="77777777" w:rsidR="00355262" w:rsidRPr="00480E13"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6FCB5BF3" w14:textId="77777777" w:rsidR="00355262" w:rsidRPr="00480E13" w:rsidRDefault="00355262" w:rsidP="00A95227">
            <w:pPr>
              <w:spacing w:after="160"/>
              <w:jc w:val="both"/>
              <w:rPr>
                <w:rFonts w:asciiTheme="majorBidi" w:hAnsiTheme="majorBidi" w:cstheme="majorBidi"/>
              </w:rPr>
            </w:pPr>
            <w:proofErr w:type="spellStart"/>
            <w:r w:rsidRPr="00480E13">
              <w:rPr>
                <w:rFonts w:asciiTheme="majorBidi" w:hAnsiTheme="majorBidi" w:cstheme="majorBidi"/>
                <w:i/>
                <w:iCs/>
              </w:rPr>
              <w:t>Cooperia</w:t>
            </w:r>
            <w:proofErr w:type="spellEnd"/>
            <w:r w:rsidRPr="00480E13">
              <w:rPr>
                <w:rFonts w:asciiTheme="majorBidi" w:hAnsiTheme="majorBidi" w:cstheme="majorBidi"/>
                <w:i/>
                <w:iCs/>
              </w:rPr>
              <w:t xml:space="preserve"> </w:t>
            </w:r>
            <w:proofErr w:type="spellStart"/>
            <w:r w:rsidRPr="00480E13">
              <w:rPr>
                <w:rFonts w:asciiTheme="majorBidi" w:hAnsiTheme="majorBidi" w:cstheme="majorBidi"/>
                <w:i/>
                <w:iCs/>
              </w:rPr>
              <w:t>curticei</w:t>
            </w:r>
            <w:proofErr w:type="spellEnd"/>
          </w:p>
        </w:tc>
        <w:tc>
          <w:tcPr>
            <w:tcW w:w="0" w:type="auto"/>
            <w:tcBorders>
              <w:top w:val="nil"/>
              <w:left w:val="nil"/>
              <w:bottom w:val="nil"/>
              <w:right w:val="nil"/>
            </w:tcBorders>
            <w:hideMark/>
          </w:tcPr>
          <w:p w14:paraId="67935D9B"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17</w:t>
            </w:r>
          </w:p>
        </w:tc>
        <w:tc>
          <w:tcPr>
            <w:tcW w:w="0" w:type="auto"/>
            <w:tcBorders>
              <w:top w:val="nil"/>
              <w:left w:val="nil"/>
              <w:bottom w:val="nil"/>
              <w:right w:val="nil"/>
            </w:tcBorders>
            <w:hideMark/>
          </w:tcPr>
          <w:p w14:paraId="1B7AE58B"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15.45%</w:t>
            </w:r>
          </w:p>
        </w:tc>
        <w:tc>
          <w:tcPr>
            <w:tcW w:w="0" w:type="auto"/>
            <w:tcBorders>
              <w:top w:val="nil"/>
              <w:left w:val="nil"/>
              <w:bottom w:val="nil"/>
              <w:right w:val="nil"/>
            </w:tcBorders>
            <w:hideMark/>
          </w:tcPr>
          <w:p w14:paraId="54C4BDFE"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9</w:t>
            </w:r>
          </w:p>
        </w:tc>
        <w:tc>
          <w:tcPr>
            <w:tcW w:w="0" w:type="auto"/>
            <w:tcBorders>
              <w:top w:val="nil"/>
              <w:left w:val="nil"/>
              <w:bottom w:val="nil"/>
            </w:tcBorders>
            <w:hideMark/>
          </w:tcPr>
          <w:p w14:paraId="1AB99177"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10.00%</w:t>
            </w:r>
          </w:p>
        </w:tc>
      </w:tr>
      <w:tr w:rsidR="00355262" w:rsidRPr="00480E13" w14:paraId="60FA021C" w14:textId="77777777" w:rsidTr="00A95227">
        <w:tc>
          <w:tcPr>
            <w:tcW w:w="0" w:type="auto"/>
            <w:tcBorders>
              <w:top w:val="nil"/>
              <w:bottom w:val="nil"/>
              <w:right w:val="nil"/>
            </w:tcBorders>
            <w:hideMark/>
          </w:tcPr>
          <w:p w14:paraId="2CBB5E0D" w14:textId="77777777" w:rsidR="00355262" w:rsidRPr="00480E13"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2B13DEB5" w14:textId="77777777" w:rsidR="00355262" w:rsidRPr="00480E13" w:rsidRDefault="00355262" w:rsidP="00A95227">
            <w:pPr>
              <w:spacing w:after="160"/>
              <w:jc w:val="both"/>
              <w:rPr>
                <w:rFonts w:asciiTheme="majorBidi" w:hAnsiTheme="majorBidi" w:cstheme="majorBidi"/>
              </w:rPr>
            </w:pPr>
            <w:proofErr w:type="spellStart"/>
            <w:r w:rsidRPr="00480E13">
              <w:rPr>
                <w:rFonts w:asciiTheme="majorBidi" w:hAnsiTheme="majorBidi" w:cstheme="majorBidi"/>
                <w:i/>
                <w:iCs/>
              </w:rPr>
              <w:t>Trichostrongylus</w:t>
            </w:r>
            <w:proofErr w:type="spellEnd"/>
            <w:r w:rsidRPr="00480E13">
              <w:rPr>
                <w:rFonts w:asciiTheme="majorBidi" w:hAnsiTheme="majorBidi" w:cstheme="majorBidi"/>
              </w:rPr>
              <w:t xml:space="preserve"> spp.</w:t>
            </w:r>
          </w:p>
        </w:tc>
        <w:tc>
          <w:tcPr>
            <w:tcW w:w="0" w:type="auto"/>
            <w:tcBorders>
              <w:top w:val="nil"/>
              <w:left w:val="nil"/>
              <w:bottom w:val="nil"/>
              <w:right w:val="nil"/>
            </w:tcBorders>
            <w:hideMark/>
          </w:tcPr>
          <w:p w14:paraId="34539242"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15</w:t>
            </w:r>
          </w:p>
        </w:tc>
        <w:tc>
          <w:tcPr>
            <w:tcW w:w="0" w:type="auto"/>
            <w:tcBorders>
              <w:top w:val="nil"/>
              <w:left w:val="nil"/>
              <w:bottom w:val="nil"/>
              <w:right w:val="nil"/>
            </w:tcBorders>
            <w:hideMark/>
          </w:tcPr>
          <w:p w14:paraId="051EB2EA"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13.64%</w:t>
            </w:r>
          </w:p>
        </w:tc>
        <w:tc>
          <w:tcPr>
            <w:tcW w:w="0" w:type="auto"/>
            <w:tcBorders>
              <w:top w:val="nil"/>
              <w:left w:val="nil"/>
              <w:bottom w:val="nil"/>
              <w:right w:val="nil"/>
            </w:tcBorders>
            <w:hideMark/>
          </w:tcPr>
          <w:p w14:paraId="05C272AF"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15</w:t>
            </w:r>
          </w:p>
        </w:tc>
        <w:tc>
          <w:tcPr>
            <w:tcW w:w="0" w:type="auto"/>
            <w:tcBorders>
              <w:top w:val="nil"/>
              <w:left w:val="nil"/>
              <w:bottom w:val="nil"/>
            </w:tcBorders>
            <w:hideMark/>
          </w:tcPr>
          <w:p w14:paraId="0FB6557B"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16.67%</w:t>
            </w:r>
          </w:p>
        </w:tc>
      </w:tr>
      <w:tr w:rsidR="00355262" w:rsidRPr="00480E13" w14:paraId="06B17938" w14:textId="77777777" w:rsidTr="00A95227">
        <w:tc>
          <w:tcPr>
            <w:tcW w:w="0" w:type="auto"/>
            <w:tcBorders>
              <w:top w:val="nil"/>
              <w:bottom w:val="nil"/>
              <w:right w:val="nil"/>
            </w:tcBorders>
            <w:hideMark/>
          </w:tcPr>
          <w:p w14:paraId="722FCF60" w14:textId="77777777" w:rsidR="00355262" w:rsidRPr="00480E13"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2F338299" w14:textId="77777777" w:rsidR="00355262" w:rsidRPr="00480E13" w:rsidRDefault="00355262" w:rsidP="00A95227">
            <w:pPr>
              <w:spacing w:after="160"/>
              <w:jc w:val="both"/>
              <w:rPr>
                <w:rFonts w:asciiTheme="majorBidi" w:hAnsiTheme="majorBidi" w:cstheme="majorBidi"/>
              </w:rPr>
            </w:pPr>
            <w:proofErr w:type="spellStart"/>
            <w:r w:rsidRPr="00480E13">
              <w:rPr>
                <w:rFonts w:asciiTheme="majorBidi" w:hAnsiTheme="majorBidi" w:cstheme="majorBidi"/>
                <w:i/>
                <w:iCs/>
              </w:rPr>
              <w:t>Bunostomum</w:t>
            </w:r>
            <w:proofErr w:type="spellEnd"/>
            <w:r w:rsidRPr="00480E13">
              <w:rPr>
                <w:rFonts w:asciiTheme="majorBidi" w:hAnsiTheme="majorBidi" w:cstheme="majorBidi"/>
                <w:i/>
                <w:iCs/>
              </w:rPr>
              <w:t xml:space="preserve"> </w:t>
            </w:r>
            <w:proofErr w:type="spellStart"/>
            <w:r w:rsidRPr="00480E13">
              <w:rPr>
                <w:rFonts w:asciiTheme="majorBidi" w:hAnsiTheme="majorBidi" w:cstheme="majorBidi"/>
                <w:i/>
                <w:iCs/>
              </w:rPr>
              <w:t>trigonocephalum</w:t>
            </w:r>
            <w:proofErr w:type="spellEnd"/>
          </w:p>
        </w:tc>
        <w:tc>
          <w:tcPr>
            <w:tcW w:w="0" w:type="auto"/>
            <w:tcBorders>
              <w:top w:val="nil"/>
              <w:left w:val="nil"/>
              <w:bottom w:val="nil"/>
              <w:right w:val="nil"/>
            </w:tcBorders>
            <w:hideMark/>
          </w:tcPr>
          <w:p w14:paraId="6625F0A3"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12</w:t>
            </w:r>
          </w:p>
        </w:tc>
        <w:tc>
          <w:tcPr>
            <w:tcW w:w="0" w:type="auto"/>
            <w:tcBorders>
              <w:top w:val="nil"/>
              <w:left w:val="nil"/>
              <w:bottom w:val="nil"/>
              <w:right w:val="nil"/>
            </w:tcBorders>
            <w:hideMark/>
          </w:tcPr>
          <w:p w14:paraId="588D7AE0"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10.91%</w:t>
            </w:r>
          </w:p>
        </w:tc>
        <w:tc>
          <w:tcPr>
            <w:tcW w:w="0" w:type="auto"/>
            <w:tcBorders>
              <w:top w:val="nil"/>
              <w:left w:val="nil"/>
              <w:bottom w:val="nil"/>
              <w:right w:val="nil"/>
            </w:tcBorders>
            <w:hideMark/>
          </w:tcPr>
          <w:p w14:paraId="46AFBF29"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12</w:t>
            </w:r>
          </w:p>
        </w:tc>
        <w:tc>
          <w:tcPr>
            <w:tcW w:w="0" w:type="auto"/>
            <w:tcBorders>
              <w:top w:val="nil"/>
              <w:left w:val="nil"/>
              <w:bottom w:val="nil"/>
            </w:tcBorders>
            <w:hideMark/>
          </w:tcPr>
          <w:p w14:paraId="5F45754A"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13.33%</w:t>
            </w:r>
          </w:p>
        </w:tc>
      </w:tr>
      <w:tr w:rsidR="00355262" w:rsidRPr="00480E13" w14:paraId="783BE4B5" w14:textId="77777777" w:rsidTr="00A95227">
        <w:tc>
          <w:tcPr>
            <w:tcW w:w="0" w:type="auto"/>
            <w:tcBorders>
              <w:top w:val="nil"/>
              <w:bottom w:val="nil"/>
              <w:right w:val="nil"/>
            </w:tcBorders>
            <w:hideMark/>
          </w:tcPr>
          <w:p w14:paraId="61840AF2" w14:textId="77777777" w:rsidR="00355262" w:rsidRPr="00480E13"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21A4C932"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i/>
                <w:iCs/>
              </w:rPr>
              <w:t xml:space="preserve">Trichuris </w:t>
            </w:r>
            <w:proofErr w:type="spellStart"/>
            <w:r w:rsidRPr="00480E13">
              <w:rPr>
                <w:rFonts w:asciiTheme="majorBidi" w:hAnsiTheme="majorBidi" w:cstheme="majorBidi"/>
                <w:i/>
                <w:iCs/>
              </w:rPr>
              <w:t>globulosa</w:t>
            </w:r>
            <w:proofErr w:type="spellEnd"/>
          </w:p>
        </w:tc>
        <w:tc>
          <w:tcPr>
            <w:tcW w:w="0" w:type="auto"/>
            <w:tcBorders>
              <w:top w:val="nil"/>
              <w:left w:val="nil"/>
              <w:bottom w:val="nil"/>
              <w:right w:val="nil"/>
            </w:tcBorders>
            <w:hideMark/>
          </w:tcPr>
          <w:p w14:paraId="49C7507D"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10</w:t>
            </w:r>
          </w:p>
        </w:tc>
        <w:tc>
          <w:tcPr>
            <w:tcW w:w="0" w:type="auto"/>
            <w:tcBorders>
              <w:top w:val="nil"/>
              <w:left w:val="nil"/>
              <w:bottom w:val="nil"/>
              <w:right w:val="nil"/>
            </w:tcBorders>
            <w:hideMark/>
          </w:tcPr>
          <w:p w14:paraId="7E67B6A1"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9.09%</w:t>
            </w:r>
          </w:p>
        </w:tc>
        <w:tc>
          <w:tcPr>
            <w:tcW w:w="0" w:type="auto"/>
            <w:tcBorders>
              <w:top w:val="nil"/>
              <w:left w:val="nil"/>
              <w:bottom w:val="nil"/>
              <w:right w:val="nil"/>
            </w:tcBorders>
            <w:hideMark/>
          </w:tcPr>
          <w:p w14:paraId="6BD63BEA"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13</w:t>
            </w:r>
          </w:p>
        </w:tc>
        <w:tc>
          <w:tcPr>
            <w:tcW w:w="0" w:type="auto"/>
            <w:tcBorders>
              <w:top w:val="nil"/>
              <w:left w:val="nil"/>
              <w:bottom w:val="nil"/>
            </w:tcBorders>
            <w:hideMark/>
          </w:tcPr>
          <w:p w14:paraId="14C582E9"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14.44%</w:t>
            </w:r>
          </w:p>
        </w:tc>
      </w:tr>
      <w:tr w:rsidR="00355262" w:rsidRPr="00480E13" w14:paraId="082079EC" w14:textId="77777777" w:rsidTr="00A95227">
        <w:tc>
          <w:tcPr>
            <w:tcW w:w="0" w:type="auto"/>
            <w:tcBorders>
              <w:top w:val="nil"/>
              <w:bottom w:val="nil"/>
              <w:right w:val="nil"/>
            </w:tcBorders>
            <w:hideMark/>
          </w:tcPr>
          <w:p w14:paraId="2CC1D935" w14:textId="77777777" w:rsidR="00355262" w:rsidRPr="00480E13"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23B69DFF" w14:textId="77777777" w:rsidR="00355262" w:rsidRPr="00480E13" w:rsidRDefault="00355262" w:rsidP="00A95227">
            <w:pPr>
              <w:spacing w:after="160"/>
              <w:jc w:val="both"/>
              <w:rPr>
                <w:rFonts w:asciiTheme="majorBidi" w:hAnsiTheme="majorBidi" w:cstheme="majorBidi"/>
              </w:rPr>
            </w:pPr>
            <w:proofErr w:type="spellStart"/>
            <w:r w:rsidRPr="00480E13">
              <w:rPr>
                <w:rFonts w:asciiTheme="majorBidi" w:hAnsiTheme="majorBidi" w:cstheme="majorBidi"/>
                <w:i/>
                <w:iCs/>
              </w:rPr>
              <w:t>Chabertia</w:t>
            </w:r>
            <w:proofErr w:type="spellEnd"/>
            <w:r w:rsidRPr="00480E13">
              <w:rPr>
                <w:rFonts w:asciiTheme="majorBidi" w:hAnsiTheme="majorBidi" w:cstheme="majorBidi"/>
                <w:i/>
                <w:iCs/>
              </w:rPr>
              <w:t xml:space="preserve"> </w:t>
            </w:r>
            <w:proofErr w:type="spellStart"/>
            <w:r w:rsidRPr="00480E13">
              <w:rPr>
                <w:rFonts w:asciiTheme="majorBidi" w:hAnsiTheme="majorBidi" w:cstheme="majorBidi"/>
                <w:i/>
                <w:iCs/>
              </w:rPr>
              <w:t>ovina</w:t>
            </w:r>
            <w:proofErr w:type="spellEnd"/>
          </w:p>
        </w:tc>
        <w:tc>
          <w:tcPr>
            <w:tcW w:w="0" w:type="auto"/>
            <w:tcBorders>
              <w:top w:val="nil"/>
              <w:left w:val="nil"/>
              <w:bottom w:val="nil"/>
              <w:right w:val="nil"/>
            </w:tcBorders>
            <w:hideMark/>
          </w:tcPr>
          <w:p w14:paraId="2FD80E03"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9</w:t>
            </w:r>
          </w:p>
        </w:tc>
        <w:tc>
          <w:tcPr>
            <w:tcW w:w="0" w:type="auto"/>
            <w:tcBorders>
              <w:top w:val="nil"/>
              <w:left w:val="nil"/>
              <w:bottom w:val="nil"/>
              <w:right w:val="nil"/>
            </w:tcBorders>
            <w:hideMark/>
          </w:tcPr>
          <w:p w14:paraId="0E9E62C8"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8.18%</w:t>
            </w:r>
          </w:p>
        </w:tc>
        <w:tc>
          <w:tcPr>
            <w:tcW w:w="0" w:type="auto"/>
            <w:tcBorders>
              <w:top w:val="nil"/>
              <w:left w:val="nil"/>
              <w:bottom w:val="nil"/>
              <w:right w:val="nil"/>
            </w:tcBorders>
            <w:hideMark/>
          </w:tcPr>
          <w:p w14:paraId="6D405664"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10</w:t>
            </w:r>
          </w:p>
        </w:tc>
        <w:tc>
          <w:tcPr>
            <w:tcW w:w="0" w:type="auto"/>
            <w:tcBorders>
              <w:top w:val="nil"/>
              <w:left w:val="nil"/>
              <w:bottom w:val="nil"/>
            </w:tcBorders>
            <w:hideMark/>
          </w:tcPr>
          <w:p w14:paraId="583F1BF5"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11.11%</w:t>
            </w:r>
          </w:p>
        </w:tc>
      </w:tr>
      <w:tr w:rsidR="00355262" w:rsidRPr="00480E13" w14:paraId="0F80831C" w14:textId="77777777" w:rsidTr="00A95227">
        <w:tc>
          <w:tcPr>
            <w:tcW w:w="0" w:type="auto"/>
            <w:tcBorders>
              <w:top w:val="nil"/>
              <w:bottom w:val="nil"/>
              <w:right w:val="nil"/>
            </w:tcBorders>
            <w:hideMark/>
          </w:tcPr>
          <w:p w14:paraId="60F20622" w14:textId="77777777" w:rsidR="00355262" w:rsidRPr="00480E13"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3FE2376B" w14:textId="77777777" w:rsidR="00355262" w:rsidRPr="00480E13" w:rsidRDefault="00355262" w:rsidP="00A95227">
            <w:pPr>
              <w:spacing w:after="160"/>
              <w:jc w:val="both"/>
              <w:rPr>
                <w:rFonts w:asciiTheme="majorBidi" w:hAnsiTheme="majorBidi" w:cstheme="majorBidi"/>
              </w:rPr>
            </w:pPr>
            <w:proofErr w:type="spellStart"/>
            <w:r w:rsidRPr="00480E13">
              <w:rPr>
                <w:rFonts w:asciiTheme="majorBidi" w:hAnsiTheme="majorBidi" w:cstheme="majorBidi"/>
                <w:i/>
                <w:iCs/>
              </w:rPr>
              <w:t>Ostertagia</w:t>
            </w:r>
            <w:proofErr w:type="spellEnd"/>
            <w:r w:rsidRPr="00480E13">
              <w:rPr>
                <w:rFonts w:asciiTheme="majorBidi" w:hAnsiTheme="majorBidi" w:cstheme="majorBidi"/>
                <w:i/>
                <w:iCs/>
              </w:rPr>
              <w:t xml:space="preserve"> </w:t>
            </w:r>
            <w:proofErr w:type="spellStart"/>
            <w:r w:rsidRPr="00480E13">
              <w:rPr>
                <w:rFonts w:asciiTheme="majorBidi" w:hAnsiTheme="majorBidi" w:cstheme="majorBidi"/>
                <w:i/>
                <w:iCs/>
              </w:rPr>
              <w:t>circumcincta</w:t>
            </w:r>
            <w:proofErr w:type="spellEnd"/>
          </w:p>
        </w:tc>
        <w:tc>
          <w:tcPr>
            <w:tcW w:w="0" w:type="auto"/>
            <w:tcBorders>
              <w:top w:val="nil"/>
              <w:left w:val="nil"/>
              <w:bottom w:val="nil"/>
              <w:right w:val="nil"/>
            </w:tcBorders>
            <w:hideMark/>
          </w:tcPr>
          <w:p w14:paraId="6474E161"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11</w:t>
            </w:r>
          </w:p>
        </w:tc>
        <w:tc>
          <w:tcPr>
            <w:tcW w:w="0" w:type="auto"/>
            <w:tcBorders>
              <w:top w:val="nil"/>
              <w:left w:val="nil"/>
              <w:bottom w:val="nil"/>
              <w:right w:val="nil"/>
            </w:tcBorders>
            <w:hideMark/>
          </w:tcPr>
          <w:p w14:paraId="72F73A73"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10.00%</w:t>
            </w:r>
          </w:p>
        </w:tc>
        <w:tc>
          <w:tcPr>
            <w:tcW w:w="0" w:type="auto"/>
            <w:tcBorders>
              <w:top w:val="nil"/>
              <w:left w:val="nil"/>
              <w:bottom w:val="nil"/>
              <w:right w:val="nil"/>
            </w:tcBorders>
            <w:hideMark/>
          </w:tcPr>
          <w:p w14:paraId="118A436B"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18</w:t>
            </w:r>
          </w:p>
        </w:tc>
        <w:tc>
          <w:tcPr>
            <w:tcW w:w="0" w:type="auto"/>
            <w:tcBorders>
              <w:top w:val="nil"/>
              <w:left w:val="nil"/>
              <w:bottom w:val="nil"/>
            </w:tcBorders>
            <w:hideMark/>
          </w:tcPr>
          <w:p w14:paraId="00491A3F"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20.00%</w:t>
            </w:r>
          </w:p>
        </w:tc>
      </w:tr>
      <w:tr w:rsidR="00355262" w:rsidRPr="00480E13" w14:paraId="42E76FF3" w14:textId="77777777" w:rsidTr="00A95227">
        <w:tc>
          <w:tcPr>
            <w:tcW w:w="0" w:type="auto"/>
            <w:tcBorders>
              <w:top w:val="nil"/>
              <w:bottom w:val="nil"/>
              <w:right w:val="nil"/>
            </w:tcBorders>
            <w:hideMark/>
          </w:tcPr>
          <w:p w14:paraId="503280B2" w14:textId="77777777" w:rsidR="00355262" w:rsidRPr="00480E13"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3C80055C" w14:textId="77777777" w:rsidR="00355262" w:rsidRPr="00480E13" w:rsidRDefault="00355262" w:rsidP="00A95227">
            <w:pPr>
              <w:spacing w:after="160"/>
              <w:jc w:val="both"/>
              <w:rPr>
                <w:rFonts w:asciiTheme="majorBidi" w:hAnsiTheme="majorBidi" w:cstheme="majorBidi"/>
              </w:rPr>
            </w:pPr>
            <w:proofErr w:type="spellStart"/>
            <w:r w:rsidRPr="00480E13">
              <w:rPr>
                <w:rFonts w:asciiTheme="majorBidi" w:hAnsiTheme="majorBidi" w:cstheme="majorBidi"/>
                <w:i/>
                <w:iCs/>
              </w:rPr>
              <w:t>Nematodirus</w:t>
            </w:r>
            <w:proofErr w:type="spellEnd"/>
            <w:r w:rsidRPr="00480E13">
              <w:rPr>
                <w:rFonts w:asciiTheme="majorBidi" w:hAnsiTheme="majorBidi" w:cstheme="majorBidi"/>
                <w:i/>
                <w:iCs/>
              </w:rPr>
              <w:t xml:space="preserve"> </w:t>
            </w:r>
            <w:proofErr w:type="spellStart"/>
            <w:r w:rsidRPr="00480E13">
              <w:rPr>
                <w:rFonts w:asciiTheme="majorBidi" w:hAnsiTheme="majorBidi" w:cstheme="majorBidi"/>
                <w:i/>
                <w:iCs/>
              </w:rPr>
              <w:t>spathiger</w:t>
            </w:r>
            <w:proofErr w:type="spellEnd"/>
          </w:p>
        </w:tc>
        <w:tc>
          <w:tcPr>
            <w:tcW w:w="0" w:type="auto"/>
            <w:tcBorders>
              <w:top w:val="nil"/>
              <w:left w:val="nil"/>
              <w:bottom w:val="nil"/>
              <w:right w:val="nil"/>
            </w:tcBorders>
            <w:hideMark/>
          </w:tcPr>
          <w:p w14:paraId="165A7E87"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8</w:t>
            </w:r>
          </w:p>
        </w:tc>
        <w:tc>
          <w:tcPr>
            <w:tcW w:w="0" w:type="auto"/>
            <w:tcBorders>
              <w:top w:val="nil"/>
              <w:left w:val="nil"/>
              <w:bottom w:val="nil"/>
              <w:right w:val="nil"/>
            </w:tcBorders>
            <w:hideMark/>
          </w:tcPr>
          <w:p w14:paraId="28B4CE4C"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7.27%</w:t>
            </w:r>
          </w:p>
        </w:tc>
        <w:tc>
          <w:tcPr>
            <w:tcW w:w="0" w:type="auto"/>
            <w:tcBorders>
              <w:top w:val="nil"/>
              <w:left w:val="nil"/>
              <w:bottom w:val="nil"/>
              <w:right w:val="nil"/>
            </w:tcBorders>
            <w:hideMark/>
          </w:tcPr>
          <w:p w14:paraId="3B5AF780"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11</w:t>
            </w:r>
          </w:p>
        </w:tc>
        <w:tc>
          <w:tcPr>
            <w:tcW w:w="0" w:type="auto"/>
            <w:tcBorders>
              <w:top w:val="nil"/>
              <w:left w:val="nil"/>
              <w:bottom w:val="nil"/>
            </w:tcBorders>
            <w:hideMark/>
          </w:tcPr>
          <w:p w14:paraId="2BD5C4B0"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12.22%</w:t>
            </w:r>
          </w:p>
        </w:tc>
      </w:tr>
      <w:tr w:rsidR="00355262" w:rsidRPr="00480E13" w14:paraId="43842AEF" w14:textId="77777777" w:rsidTr="00A95227">
        <w:tc>
          <w:tcPr>
            <w:tcW w:w="0" w:type="auto"/>
            <w:tcBorders>
              <w:top w:val="nil"/>
              <w:bottom w:val="nil"/>
              <w:right w:val="nil"/>
            </w:tcBorders>
            <w:hideMark/>
          </w:tcPr>
          <w:p w14:paraId="43BE9937" w14:textId="77777777" w:rsidR="00355262" w:rsidRPr="00480E13"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0208A7F4" w14:textId="77777777" w:rsidR="00355262" w:rsidRPr="00480E13" w:rsidRDefault="00355262" w:rsidP="00A95227">
            <w:pPr>
              <w:spacing w:after="160"/>
              <w:jc w:val="both"/>
              <w:rPr>
                <w:rFonts w:asciiTheme="majorBidi" w:hAnsiTheme="majorBidi" w:cstheme="majorBidi"/>
              </w:rPr>
            </w:pPr>
            <w:proofErr w:type="spellStart"/>
            <w:r w:rsidRPr="00480E13">
              <w:rPr>
                <w:rFonts w:asciiTheme="majorBidi" w:hAnsiTheme="majorBidi" w:cstheme="majorBidi"/>
                <w:i/>
                <w:iCs/>
              </w:rPr>
              <w:t>Gongylonema</w:t>
            </w:r>
            <w:proofErr w:type="spellEnd"/>
            <w:r w:rsidRPr="00480E13">
              <w:rPr>
                <w:rFonts w:asciiTheme="majorBidi" w:hAnsiTheme="majorBidi" w:cstheme="majorBidi"/>
                <w:i/>
                <w:iCs/>
              </w:rPr>
              <w:t xml:space="preserve"> </w:t>
            </w:r>
            <w:proofErr w:type="spellStart"/>
            <w:r w:rsidRPr="00480E13">
              <w:rPr>
                <w:rFonts w:asciiTheme="majorBidi" w:hAnsiTheme="majorBidi" w:cstheme="majorBidi"/>
                <w:i/>
                <w:iCs/>
              </w:rPr>
              <w:t>pulchrum</w:t>
            </w:r>
            <w:proofErr w:type="spellEnd"/>
          </w:p>
        </w:tc>
        <w:tc>
          <w:tcPr>
            <w:tcW w:w="0" w:type="auto"/>
            <w:tcBorders>
              <w:top w:val="nil"/>
              <w:left w:val="nil"/>
              <w:bottom w:val="nil"/>
              <w:right w:val="nil"/>
            </w:tcBorders>
            <w:hideMark/>
          </w:tcPr>
          <w:p w14:paraId="211FEE5F"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5</w:t>
            </w:r>
          </w:p>
        </w:tc>
        <w:tc>
          <w:tcPr>
            <w:tcW w:w="0" w:type="auto"/>
            <w:tcBorders>
              <w:top w:val="nil"/>
              <w:left w:val="nil"/>
              <w:bottom w:val="nil"/>
              <w:right w:val="nil"/>
            </w:tcBorders>
            <w:hideMark/>
          </w:tcPr>
          <w:p w14:paraId="610864DD"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4.55%</w:t>
            </w:r>
          </w:p>
        </w:tc>
        <w:tc>
          <w:tcPr>
            <w:tcW w:w="0" w:type="auto"/>
            <w:tcBorders>
              <w:top w:val="nil"/>
              <w:left w:val="nil"/>
              <w:bottom w:val="nil"/>
              <w:right w:val="nil"/>
            </w:tcBorders>
            <w:hideMark/>
          </w:tcPr>
          <w:p w14:paraId="1A126587"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w:t>
            </w:r>
          </w:p>
        </w:tc>
        <w:tc>
          <w:tcPr>
            <w:tcW w:w="0" w:type="auto"/>
            <w:tcBorders>
              <w:top w:val="nil"/>
              <w:left w:val="nil"/>
              <w:bottom w:val="nil"/>
            </w:tcBorders>
            <w:hideMark/>
          </w:tcPr>
          <w:p w14:paraId="4ECDAD74"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w:t>
            </w:r>
          </w:p>
        </w:tc>
      </w:tr>
      <w:tr w:rsidR="00355262" w:rsidRPr="00480E13" w14:paraId="3FB04577" w14:textId="77777777" w:rsidTr="00A95227">
        <w:tc>
          <w:tcPr>
            <w:tcW w:w="0" w:type="auto"/>
            <w:tcBorders>
              <w:top w:val="nil"/>
              <w:bottom w:val="nil"/>
              <w:right w:val="nil"/>
            </w:tcBorders>
            <w:hideMark/>
          </w:tcPr>
          <w:p w14:paraId="406FECF7"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Trematoda</w:t>
            </w:r>
          </w:p>
        </w:tc>
        <w:tc>
          <w:tcPr>
            <w:tcW w:w="0" w:type="auto"/>
            <w:tcBorders>
              <w:top w:val="nil"/>
              <w:left w:val="nil"/>
              <w:bottom w:val="nil"/>
              <w:right w:val="nil"/>
            </w:tcBorders>
            <w:hideMark/>
          </w:tcPr>
          <w:p w14:paraId="20E286EA"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i/>
                <w:iCs/>
              </w:rPr>
              <w:t>Fasciola</w:t>
            </w:r>
            <w:r w:rsidRPr="00480E13">
              <w:rPr>
                <w:rFonts w:asciiTheme="majorBidi" w:hAnsiTheme="majorBidi" w:cstheme="majorBidi"/>
              </w:rPr>
              <w:t xml:space="preserve"> spp.</w:t>
            </w:r>
          </w:p>
        </w:tc>
        <w:tc>
          <w:tcPr>
            <w:tcW w:w="0" w:type="auto"/>
            <w:tcBorders>
              <w:top w:val="nil"/>
              <w:left w:val="nil"/>
              <w:bottom w:val="nil"/>
              <w:right w:val="nil"/>
            </w:tcBorders>
            <w:hideMark/>
          </w:tcPr>
          <w:p w14:paraId="2D5E87EA"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13</w:t>
            </w:r>
          </w:p>
        </w:tc>
        <w:tc>
          <w:tcPr>
            <w:tcW w:w="0" w:type="auto"/>
            <w:tcBorders>
              <w:top w:val="nil"/>
              <w:left w:val="nil"/>
              <w:bottom w:val="nil"/>
              <w:right w:val="nil"/>
            </w:tcBorders>
            <w:hideMark/>
          </w:tcPr>
          <w:p w14:paraId="1E90EBBC"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11.82%</w:t>
            </w:r>
          </w:p>
        </w:tc>
        <w:tc>
          <w:tcPr>
            <w:tcW w:w="0" w:type="auto"/>
            <w:tcBorders>
              <w:top w:val="nil"/>
              <w:left w:val="nil"/>
              <w:bottom w:val="nil"/>
              <w:right w:val="nil"/>
            </w:tcBorders>
            <w:hideMark/>
          </w:tcPr>
          <w:p w14:paraId="38B048F7"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12</w:t>
            </w:r>
          </w:p>
        </w:tc>
        <w:tc>
          <w:tcPr>
            <w:tcW w:w="0" w:type="auto"/>
            <w:tcBorders>
              <w:top w:val="nil"/>
              <w:left w:val="nil"/>
              <w:bottom w:val="nil"/>
            </w:tcBorders>
            <w:hideMark/>
          </w:tcPr>
          <w:p w14:paraId="5DEBF203"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13.33%</w:t>
            </w:r>
          </w:p>
        </w:tc>
      </w:tr>
      <w:tr w:rsidR="00355262" w:rsidRPr="00480E13" w14:paraId="6B392C02" w14:textId="77777777" w:rsidTr="00A95227">
        <w:tc>
          <w:tcPr>
            <w:tcW w:w="0" w:type="auto"/>
            <w:tcBorders>
              <w:top w:val="nil"/>
              <w:bottom w:val="nil"/>
              <w:right w:val="nil"/>
            </w:tcBorders>
            <w:hideMark/>
          </w:tcPr>
          <w:p w14:paraId="6865C10B" w14:textId="77777777" w:rsidR="00355262" w:rsidRPr="00480E13"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22ABA288" w14:textId="77777777" w:rsidR="00355262" w:rsidRPr="00480E13" w:rsidRDefault="00355262" w:rsidP="00A95227">
            <w:pPr>
              <w:spacing w:after="160"/>
              <w:jc w:val="both"/>
              <w:rPr>
                <w:rFonts w:asciiTheme="majorBidi" w:hAnsiTheme="majorBidi" w:cstheme="majorBidi"/>
              </w:rPr>
            </w:pPr>
            <w:proofErr w:type="spellStart"/>
            <w:r w:rsidRPr="00480E13">
              <w:rPr>
                <w:rFonts w:asciiTheme="majorBidi" w:hAnsiTheme="majorBidi" w:cstheme="majorBidi"/>
                <w:i/>
                <w:iCs/>
              </w:rPr>
              <w:t>Dicrocoelium</w:t>
            </w:r>
            <w:proofErr w:type="spellEnd"/>
            <w:r w:rsidRPr="00480E13">
              <w:rPr>
                <w:rFonts w:asciiTheme="majorBidi" w:hAnsiTheme="majorBidi" w:cstheme="majorBidi"/>
                <w:i/>
                <w:iCs/>
              </w:rPr>
              <w:t xml:space="preserve"> </w:t>
            </w:r>
            <w:proofErr w:type="spellStart"/>
            <w:r w:rsidRPr="00480E13">
              <w:rPr>
                <w:rFonts w:asciiTheme="majorBidi" w:hAnsiTheme="majorBidi" w:cstheme="majorBidi"/>
                <w:i/>
                <w:iCs/>
              </w:rPr>
              <w:t>dendriticum</w:t>
            </w:r>
            <w:proofErr w:type="spellEnd"/>
          </w:p>
        </w:tc>
        <w:tc>
          <w:tcPr>
            <w:tcW w:w="0" w:type="auto"/>
            <w:tcBorders>
              <w:top w:val="nil"/>
              <w:left w:val="nil"/>
              <w:bottom w:val="nil"/>
              <w:right w:val="nil"/>
            </w:tcBorders>
            <w:hideMark/>
          </w:tcPr>
          <w:p w14:paraId="2D870596"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4</w:t>
            </w:r>
          </w:p>
        </w:tc>
        <w:tc>
          <w:tcPr>
            <w:tcW w:w="0" w:type="auto"/>
            <w:tcBorders>
              <w:top w:val="nil"/>
              <w:left w:val="nil"/>
              <w:bottom w:val="nil"/>
              <w:right w:val="nil"/>
            </w:tcBorders>
            <w:hideMark/>
          </w:tcPr>
          <w:p w14:paraId="2FEE1E97"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3.64%</w:t>
            </w:r>
          </w:p>
        </w:tc>
        <w:tc>
          <w:tcPr>
            <w:tcW w:w="0" w:type="auto"/>
            <w:tcBorders>
              <w:top w:val="nil"/>
              <w:left w:val="nil"/>
              <w:bottom w:val="nil"/>
              <w:right w:val="nil"/>
            </w:tcBorders>
            <w:hideMark/>
          </w:tcPr>
          <w:p w14:paraId="5D184B30"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7</w:t>
            </w:r>
          </w:p>
        </w:tc>
        <w:tc>
          <w:tcPr>
            <w:tcW w:w="0" w:type="auto"/>
            <w:tcBorders>
              <w:top w:val="nil"/>
              <w:left w:val="nil"/>
              <w:bottom w:val="nil"/>
            </w:tcBorders>
            <w:hideMark/>
          </w:tcPr>
          <w:p w14:paraId="08096375"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7.78%</w:t>
            </w:r>
          </w:p>
        </w:tc>
      </w:tr>
      <w:tr w:rsidR="00355262" w:rsidRPr="00480E13" w14:paraId="0091420F" w14:textId="77777777" w:rsidTr="00A95227">
        <w:tc>
          <w:tcPr>
            <w:tcW w:w="0" w:type="auto"/>
            <w:tcBorders>
              <w:top w:val="nil"/>
              <w:right w:val="nil"/>
            </w:tcBorders>
            <w:hideMark/>
          </w:tcPr>
          <w:p w14:paraId="0B5A44E3" w14:textId="77777777" w:rsidR="00355262" w:rsidRPr="00480E13" w:rsidRDefault="00355262" w:rsidP="00A95227">
            <w:pPr>
              <w:spacing w:after="160"/>
              <w:jc w:val="both"/>
              <w:rPr>
                <w:rFonts w:asciiTheme="majorBidi" w:hAnsiTheme="majorBidi" w:cstheme="majorBidi"/>
              </w:rPr>
            </w:pPr>
            <w:proofErr w:type="spellStart"/>
            <w:r w:rsidRPr="00480E13">
              <w:rPr>
                <w:rFonts w:asciiTheme="majorBidi" w:hAnsiTheme="majorBidi" w:cstheme="majorBidi"/>
              </w:rPr>
              <w:t>Cestoda</w:t>
            </w:r>
            <w:proofErr w:type="spellEnd"/>
          </w:p>
        </w:tc>
        <w:tc>
          <w:tcPr>
            <w:tcW w:w="0" w:type="auto"/>
            <w:tcBorders>
              <w:top w:val="nil"/>
              <w:left w:val="nil"/>
              <w:right w:val="nil"/>
            </w:tcBorders>
            <w:hideMark/>
          </w:tcPr>
          <w:p w14:paraId="21116B32" w14:textId="77777777" w:rsidR="00355262" w:rsidRPr="00480E13" w:rsidRDefault="00355262" w:rsidP="00A95227">
            <w:pPr>
              <w:spacing w:after="160"/>
              <w:jc w:val="both"/>
              <w:rPr>
                <w:rFonts w:asciiTheme="majorBidi" w:hAnsiTheme="majorBidi" w:cstheme="majorBidi"/>
              </w:rPr>
            </w:pPr>
            <w:proofErr w:type="spellStart"/>
            <w:r w:rsidRPr="00480E13">
              <w:rPr>
                <w:rFonts w:asciiTheme="majorBidi" w:hAnsiTheme="majorBidi" w:cstheme="majorBidi"/>
                <w:i/>
                <w:iCs/>
              </w:rPr>
              <w:t>Moniezia</w:t>
            </w:r>
            <w:proofErr w:type="spellEnd"/>
            <w:r w:rsidRPr="00480E13">
              <w:rPr>
                <w:rFonts w:asciiTheme="majorBidi" w:hAnsiTheme="majorBidi" w:cstheme="majorBidi"/>
                <w:i/>
                <w:iCs/>
              </w:rPr>
              <w:t xml:space="preserve"> </w:t>
            </w:r>
            <w:proofErr w:type="spellStart"/>
            <w:r w:rsidRPr="00480E13">
              <w:rPr>
                <w:rFonts w:asciiTheme="majorBidi" w:hAnsiTheme="majorBidi" w:cstheme="majorBidi"/>
                <w:i/>
                <w:iCs/>
              </w:rPr>
              <w:t>expansa</w:t>
            </w:r>
            <w:proofErr w:type="spellEnd"/>
          </w:p>
        </w:tc>
        <w:tc>
          <w:tcPr>
            <w:tcW w:w="0" w:type="auto"/>
            <w:tcBorders>
              <w:top w:val="nil"/>
              <w:left w:val="nil"/>
              <w:right w:val="nil"/>
            </w:tcBorders>
            <w:hideMark/>
          </w:tcPr>
          <w:p w14:paraId="344A0F84"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w:t>
            </w:r>
          </w:p>
        </w:tc>
        <w:tc>
          <w:tcPr>
            <w:tcW w:w="0" w:type="auto"/>
            <w:tcBorders>
              <w:top w:val="nil"/>
              <w:left w:val="nil"/>
              <w:right w:val="nil"/>
            </w:tcBorders>
            <w:hideMark/>
          </w:tcPr>
          <w:p w14:paraId="18421731"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w:t>
            </w:r>
          </w:p>
        </w:tc>
        <w:tc>
          <w:tcPr>
            <w:tcW w:w="0" w:type="auto"/>
            <w:tcBorders>
              <w:top w:val="nil"/>
              <w:left w:val="nil"/>
              <w:right w:val="nil"/>
            </w:tcBorders>
            <w:hideMark/>
          </w:tcPr>
          <w:p w14:paraId="3A807D48"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2</w:t>
            </w:r>
          </w:p>
        </w:tc>
        <w:tc>
          <w:tcPr>
            <w:tcW w:w="0" w:type="auto"/>
            <w:tcBorders>
              <w:top w:val="nil"/>
              <w:left w:val="nil"/>
            </w:tcBorders>
            <w:hideMark/>
          </w:tcPr>
          <w:p w14:paraId="6E52FBC2"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2.22%</w:t>
            </w:r>
          </w:p>
        </w:tc>
      </w:tr>
    </w:tbl>
    <w:p w14:paraId="016E48F8" w14:textId="77777777" w:rsidR="00355262" w:rsidRPr="00480E13" w:rsidRDefault="00355262" w:rsidP="00A95227">
      <w:pPr>
        <w:spacing w:line="240" w:lineRule="auto"/>
        <w:jc w:val="both"/>
        <w:rPr>
          <w:rFonts w:asciiTheme="majorBidi" w:hAnsiTheme="majorBidi" w:cstheme="majorBidi"/>
        </w:rPr>
      </w:pPr>
    </w:p>
    <w:p w14:paraId="5F9FE13C" w14:textId="1703E22C"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 xml:space="preserve">Nematodes were the most prevalent class, with </w:t>
      </w:r>
      <w:proofErr w:type="spellStart"/>
      <w:r w:rsidRPr="00480E13">
        <w:rPr>
          <w:rFonts w:asciiTheme="majorBidi" w:hAnsiTheme="majorBidi" w:cstheme="majorBidi"/>
          <w:i/>
          <w:iCs/>
        </w:rPr>
        <w:t>Haemonchus</w:t>
      </w:r>
      <w:proofErr w:type="spellEnd"/>
      <w:r w:rsidRPr="00480E13">
        <w:rPr>
          <w:rFonts w:asciiTheme="majorBidi" w:hAnsiTheme="majorBidi" w:cstheme="majorBidi"/>
          <w:i/>
          <w:iCs/>
        </w:rPr>
        <w:t xml:space="preserve"> </w:t>
      </w:r>
      <w:proofErr w:type="spellStart"/>
      <w:r w:rsidRPr="00480E13">
        <w:rPr>
          <w:rFonts w:asciiTheme="majorBidi" w:hAnsiTheme="majorBidi" w:cstheme="majorBidi"/>
          <w:i/>
          <w:iCs/>
        </w:rPr>
        <w:t>contortus</w:t>
      </w:r>
      <w:proofErr w:type="spellEnd"/>
      <w:r w:rsidRPr="00480E13">
        <w:rPr>
          <w:rFonts w:asciiTheme="majorBidi" w:hAnsiTheme="majorBidi" w:cstheme="majorBidi"/>
        </w:rPr>
        <w:t xml:space="preserve"> being the most frequently recovered species (32.73% in Red Sokoto, 42.22% in Sahelian White). This dominance of </w:t>
      </w:r>
      <w:proofErr w:type="spellStart"/>
      <w:r w:rsidRPr="00480E13">
        <w:rPr>
          <w:rFonts w:asciiTheme="majorBidi" w:hAnsiTheme="majorBidi" w:cstheme="majorBidi"/>
          <w:i/>
          <w:iCs/>
        </w:rPr>
        <w:t>Haemonchus</w:t>
      </w:r>
      <w:proofErr w:type="spellEnd"/>
      <w:r w:rsidRPr="00480E13">
        <w:rPr>
          <w:rFonts w:asciiTheme="majorBidi" w:hAnsiTheme="majorBidi" w:cstheme="majorBidi"/>
        </w:rPr>
        <w:t xml:space="preserve"> is consistent with findings by </w:t>
      </w:r>
      <w:r w:rsidR="00902F40" w:rsidRPr="00480E13">
        <w:rPr>
          <w:rFonts w:asciiTheme="majorBidi" w:hAnsiTheme="majorBidi" w:cstheme="majorBidi"/>
        </w:rPr>
        <w:t>Salisu</w:t>
      </w:r>
      <w:r w:rsidRPr="00480E13">
        <w:rPr>
          <w:rFonts w:asciiTheme="majorBidi" w:hAnsiTheme="majorBidi" w:cstheme="majorBidi"/>
        </w:rPr>
        <w:t xml:space="preserve"> </w:t>
      </w:r>
      <w:r w:rsidRPr="00480E13">
        <w:rPr>
          <w:rFonts w:asciiTheme="majorBidi" w:hAnsiTheme="majorBidi" w:cstheme="majorBidi"/>
          <w:i/>
        </w:rPr>
        <w:t>et al</w:t>
      </w:r>
      <w:r w:rsidRPr="00480E13">
        <w:rPr>
          <w:rFonts w:asciiTheme="majorBidi" w:hAnsiTheme="majorBidi" w:cstheme="majorBidi"/>
        </w:rPr>
        <w:t>. (202</w:t>
      </w:r>
      <w:r w:rsidR="00902F40" w:rsidRPr="00480E13">
        <w:rPr>
          <w:rFonts w:asciiTheme="majorBidi" w:hAnsiTheme="majorBidi" w:cstheme="majorBidi"/>
        </w:rPr>
        <w:t>4</w:t>
      </w:r>
      <w:r w:rsidRPr="00480E13">
        <w:rPr>
          <w:rFonts w:asciiTheme="majorBidi" w:hAnsiTheme="majorBidi" w:cstheme="majorBidi"/>
        </w:rPr>
        <w:t>) in Northern Nigeria, who described it as the most economically devastating parasite due to its blood-feeding habit</w:t>
      </w:r>
      <w:r w:rsidR="004279D8" w:rsidRPr="00480E13">
        <w:rPr>
          <w:rFonts w:asciiTheme="majorBidi" w:hAnsiTheme="majorBidi" w:cstheme="majorBidi"/>
        </w:rPr>
        <w:t>,</w:t>
      </w:r>
      <w:r w:rsidRPr="00480E13">
        <w:rPr>
          <w:rFonts w:asciiTheme="majorBidi" w:hAnsiTheme="majorBidi" w:cstheme="majorBidi"/>
        </w:rPr>
        <w:t xml:space="preserve"> causing </w:t>
      </w:r>
      <w:proofErr w:type="spellStart"/>
      <w:r w:rsidRPr="00480E13">
        <w:rPr>
          <w:rFonts w:asciiTheme="majorBidi" w:hAnsiTheme="majorBidi" w:cstheme="majorBidi"/>
        </w:rPr>
        <w:t>an</w:t>
      </w:r>
      <w:r w:rsidR="004279D8" w:rsidRPr="00480E13">
        <w:rPr>
          <w:rFonts w:asciiTheme="majorBidi" w:hAnsiTheme="majorBidi" w:cstheme="majorBidi"/>
        </w:rPr>
        <w:t>a</w:t>
      </w:r>
      <w:r w:rsidRPr="00480E13">
        <w:rPr>
          <w:rFonts w:asciiTheme="majorBidi" w:hAnsiTheme="majorBidi" w:cstheme="majorBidi"/>
        </w:rPr>
        <w:t>emia</w:t>
      </w:r>
      <w:proofErr w:type="spellEnd"/>
      <w:r w:rsidRPr="00480E13">
        <w:rPr>
          <w:rFonts w:asciiTheme="majorBidi" w:hAnsiTheme="majorBidi" w:cstheme="majorBidi"/>
        </w:rPr>
        <w:t>. The high prevalence of Nematodes is likely due to their direct life cycle, which does not require an intermediate host, facilitating rapid reinfection in communal grazing lands (</w:t>
      </w:r>
      <w:proofErr w:type="spellStart"/>
      <w:r w:rsidR="00EC5254" w:rsidRPr="00480E13">
        <w:rPr>
          <w:rFonts w:asciiTheme="majorBidi" w:hAnsiTheme="majorBidi" w:cstheme="majorBidi"/>
        </w:rPr>
        <w:t>Omoike</w:t>
      </w:r>
      <w:proofErr w:type="spellEnd"/>
      <w:r w:rsidRPr="00480E13">
        <w:rPr>
          <w:rFonts w:asciiTheme="majorBidi" w:hAnsiTheme="majorBidi" w:cstheme="majorBidi"/>
        </w:rPr>
        <w:t xml:space="preserve"> </w:t>
      </w:r>
      <w:r w:rsidRPr="00480E13">
        <w:rPr>
          <w:rFonts w:asciiTheme="majorBidi" w:hAnsiTheme="majorBidi" w:cstheme="majorBidi"/>
          <w:i/>
        </w:rPr>
        <w:t>et al</w:t>
      </w:r>
      <w:r w:rsidRPr="00480E13">
        <w:rPr>
          <w:rFonts w:asciiTheme="majorBidi" w:hAnsiTheme="majorBidi" w:cstheme="majorBidi"/>
        </w:rPr>
        <w:t>., 201</w:t>
      </w:r>
      <w:r w:rsidR="00EC5254" w:rsidRPr="00480E13">
        <w:rPr>
          <w:rFonts w:asciiTheme="majorBidi" w:hAnsiTheme="majorBidi" w:cstheme="majorBidi"/>
        </w:rPr>
        <w:t>5</w:t>
      </w:r>
      <w:r w:rsidRPr="00480E13">
        <w:rPr>
          <w:rFonts w:asciiTheme="majorBidi" w:hAnsiTheme="majorBidi" w:cstheme="majorBidi"/>
        </w:rPr>
        <w:t>).</w:t>
      </w:r>
    </w:p>
    <w:p w14:paraId="2F3B107A" w14:textId="7E552871"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lastRenderedPageBreak/>
        <w:t xml:space="preserve">The presence of </w:t>
      </w:r>
      <w:r w:rsidRPr="00480E13">
        <w:rPr>
          <w:rFonts w:asciiTheme="majorBidi" w:hAnsiTheme="majorBidi" w:cstheme="majorBidi"/>
          <w:i/>
          <w:iCs/>
        </w:rPr>
        <w:t>Fasciola</w:t>
      </w:r>
      <w:r w:rsidRPr="00480E13">
        <w:rPr>
          <w:rFonts w:asciiTheme="majorBidi" w:hAnsiTheme="majorBidi" w:cstheme="majorBidi"/>
        </w:rPr>
        <w:t xml:space="preserve"> spp. (Liver fluke) is of significant public health concern. Although prevalence was lower (11-13%) compared to nematodes, </w:t>
      </w:r>
      <w:r w:rsidR="00647ED2" w:rsidRPr="00480E13">
        <w:rPr>
          <w:rFonts w:asciiTheme="majorBidi" w:hAnsiTheme="majorBidi" w:cstheme="majorBidi"/>
        </w:rPr>
        <w:t>Adeleke</w:t>
      </w:r>
      <w:r w:rsidRPr="00480E13">
        <w:rPr>
          <w:rFonts w:asciiTheme="majorBidi" w:hAnsiTheme="majorBidi" w:cstheme="majorBidi"/>
        </w:rPr>
        <w:t xml:space="preserve"> </w:t>
      </w:r>
      <w:r w:rsidR="00647ED2" w:rsidRPr="00480E13">
        <w:rPr>
          <w:rFonts w:asciiTheme="majorBidi" w:hAnsiTheme="majorBidi" w:cstheme="majorBidi"/>
          <w:i/>
        </w:rPr>
        <w:t>et al</w:t>
      </w:r>
      <w:r w:rsidR="00647ED2" w:rsidRPr="00480E13">
        <w:rPr>
          <w:rFonts w:asciiTheme="majorBidi" w:hAnsiTheme="majorBidi" w:cstheme="majorBidi"/>
        </w:rPr>
        <w:t xml:space="preserve">. </w:t>
      </w:r>
      <w:r w:rsidRPr="00480E13">
        <w:rPr>
          <w:rFonts w:asciiTheme="majorBidi" w:hAnsiTheme="majorBidi" w:cstheme="majorBidi"/>
        </w:rPr>
        <w:t>(202</w:t>
      </w:r>
      <w:r w:rsidR="00647ED2" w:rsidRPr="00480E13">
        <w:rPr>
          <w:rFonts w:asciiTheme="majorBidi" w:hAnsiTheme="majorBidi" w:cstheme="majorBidi"/>
        </w:rPr>
        <w:t>5</w:t>
      </w:r>
      <w:r w:rsidRPr="00480E13">
        <w:rPr>
          <w:rFonts w:asciiTheme="majorBidi" w:hAnsiTheme="majorBidi" w:cstheme="majorBidi"/>
        </w:rPr>
        <w:t>) highlight that fasciolosis remains a major cause of liver condemnation in Nigerian abattoirs, leading to economic losses and potential zoonotic risks if raw liver is consumed.</w:t>
      </w:r>
    </w:p>
    <w:p w14:paraId="07F3F0D0" w14:textId="77777777" w:rsidR="00355262" w:rsidRPr="00480E13" w:rsidRDefault="00355262" w:rsidP="00A95227">
      <w:pPr>
        <w:spacing w:line="240" w:lineRule="auto"/>
        <w:jc w:val="both"/>
        <w:rPr>
          <w:rFonts w:asciiTheme="majorBidi" w:hAnsiTheme="majorBidi" w:cstheme="majorBidi"/>
          <w:b/>
          <w:bCs/>
        </w:rPr>
      </w:pPr>
      <w:r w:rsidRPr="00480E13">
        <w:rPr>
          <w:rFonts w:asciiTheme="majorBidi" w:hAnsiTheme="majorBidi" w:cstheme="majorBidi"/>
          <w:b/>
          <w:bCs/>
        </w:rPr>
        <w:t>3.3 Prevalence by Sex</w:t>
      </w:r>
    </w:p>
    <w:p w14:paraId="346A22E5" w14:textId="78A215AF"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 xml:space="preserve">The study </w:t>
      </w:r>
      <w:proofErr w:type="spellStart"/>
      <w:r w:rsidR="004279D8" w:rsidRPr="00480E13">
        <w:rPr>
          <w:rFonts w:asciiTheme="majorBidi" w:hAnsiTheme="majorBidi" w:cstheme="majorBidi"/>
        </w:rPr>
        <w:t>analysed</w:t>
      </w:r>
      <w:proofErr w:type="spellEnd"/>
      <w:r w:rsidR="004279D8" w:rsidRPr="00480E13">
        <w:rPr>
          <w:rFonts w:asciiTheme="majorBidi" w:hAnsiTheme="majorBidi" w:cstheme="majorBidi"/>
        </w:rPr>
        <w:t xml:space="preserve"> </w:t>
      </w:r>
      <w:r w:rsidRPr="00480E13">
        <w:rPr>
          <w:rFonts w:asciiTheme="majorBidi" w:hAnsiTheme="majorBidi" w:cstheme="majorBidi"/>
        </w:rPr>
        <w:t>infection rates based on the sex of the animals, revealing a higher prevalence in males compared to females for both breeds.</w:t>
      </w:r>
    </w:p>
    <w:p w14:paraId="66C98208" w14:textId="77777777"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Table 3: Prevalence of Helminth Infection by Sex</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563"/>
        <w:gridCol w:w="864"/>
        <w:gridCol w:w="1487"/>
        <w:gridCol w:w="1316"/>
        <w:gridCol w:w="1566"/>
      </w:tblGrid>
      <w:tr w:rsidR="00355262" w:rsidRPr="00480E13" w14:paraId="33818000" w14:textId="77777777" w:rsidTr="00A95227">
        <w:tc>
          <w:tcPr>
            <w:tcW w:w="0" w:type="auto"/>
            <w:tcBorders>
              <w:bottom w:val="single" w:sz="4" w:space="0" w:color="auto"/>
              <w:right w:val="nil"/>
            </w:tcBorders>
            <w:hideMark/>
          </w:tcPr>
          <w:p w14:paraId="5B8E5AC0"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Breed</w:t>
            </w:r>
          </w:p>
        </w:tc>
        <w:tc>
          <w:tcPr>
            <w:tcW w:w="0" w:type="auto"/>
            <w:tcBorders>
              <w:left w:val="nil"/>
              <w:bottom w:val="single" w:sz="4" w:space="0" w:color="auto"/>
              <w:right w:val="nil"/>
            </w:tcBorders>
            <w:hideMark/>
          </w:tcPr>
          <w:p w14:paraId="7F3C5C86"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Sex</w:t>
            </w:r>
          </w:p>
        </w:tc>
        <w:tc>
          <w:tcPr>
            <w:tcW w:w="0" w:type="auto"/>
            <w:tcBorders>
              <w:left w:val="nil"/>
              <w:bottom w:val="single" w:sz="4" w:space="0" w:color="auto"/>
              <w:right w:val="nil"/>
            </w:tcBorders>
            <w:hideMark/>
          </w:tcPr>
          <w:p w14:paraId="49B68CA5"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No. Examined</w:t>
            </w:r>
          </w:p>
        </w:tc>
        <w:tc>
          <w:tcPr>
            <w:tcW w:w="0" w:type="auto"/>
            <w:tcBorders>
              <w:left w:val="nil"/>
              <w:bottom w:val="single" w:sz="4" w:space="0" w:color="auto"/>
              <w:right w:val="nil"/>
            </w:tcBorders>
            <w:hideMark/>
          </w:tcPr>
          <w:p w14:paraId="7B3E7B77"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No. Infected</w:t>
            </w:r>
          </w:p>
        </w:tc>
        <w:tc>
          <w:tcPr>
            <w:tcW w:w="0" w:type="auto"/>
            <w:tcBorders>
              <w:left w:val="nil"/>
              <w:bottom w:val="single" w:sz="4" w:space="0" w:color="auto"/>
            </w:tcBorders>
            <w:hideMark/>
          </w:tcPr>
          <w:p w14:paraId="27138928"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Prevalence (%)</w:t>
            </w:r>
          </w:p>
        </w:tc>
      </w:tr>
      <w:tr w:rsidR="00355262" w:rsidRPr="00480E13" w14:paraId="01ED5A21" w14:textId="77777777" w:rsidTr="00A95227">
        <w:tc>
          <w:tcPr>
            <w:tcW w:w="0" w:type="auto"/>
            <w:tcBorders>
              <w:bottom w:val="nil"/>
              <w:right w:val="nil"/>
            </w:tcBorders>
            <w:hideMark/>
          </w:tcPr>
          <w:p w14:paraId="0A1849E2"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Red Sokoto</w:t>
            </w:r>
          </w:p>
        </w:tc>
        <w:tc>
          <w:tcPr>
            <w:tcW w:w="0" w:type="auto"/>
            <w:tcBorders>
              <w:left w:val="nil"/>
              <w:bottom w:val="nil"/>
              <w:right w:val="nil"/>
            </w:tcBorders>
            <w:hideMark/>
          </w:tcPr>
          <w:p w14:paraId="60D71A52"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Male</w:t>
            </w:r>
          </w:p>
        </w:tc>
        <w:tc>
          <w:tcPr>
            <w:tcW w:w="0" w:type="auto"/>
            <w:tcBorders>
              <w:left w:val="nil"/>
              <w:bottom w:val="nil"/>
              <w:right w:val="nil"/>
            </w:tcBorders>
            <w:hideMark/>
          </w:tcPr>
          <w:p w14:paraId="3719B6F9"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65</w:t>
            </w:r>
          </w:p>
        </w:tc>
        <w:tc>
          <w:tcPr>
            <w:tcW w:w="0" w:type="auto"/>
            <w:tcBorders>
              <w:left w:val="nil"/>
              <w:bottom w:val="nil"/>
              <w:right w:val="nil"/>
            </w:tcBorders>
            <w:hideMark/>
          </w:tcPr>
          <w:p w14:paraId="708D399C"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47</w:t>
            </w:r>
          </w:p>
        </w:tc>
        <w:tc>
          <w:tcPr>
            <w:tcW w:w="0" w:type="auto"/>
            <w:tcBorders>
              <w:left w:val="nil"/>
              <w:bottom w:val="nil"/>
            </w:tcBorders>
            <w:hideMark/>
          </w:tcPr>
          <w:p w14:paraId="74E7F6A0"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72.31%</w:t>
            </w:r>
          </w:p>
        </w:tc>
      </w:tr>
      <w:tr w:rsidR="00355262" w:rsidRPr="00480E13" w14:paraId="310E3F5C" w14:textId="77777777" w:rsidTr="00A95227">
        <w:tc>
          <w:tcPr>
            <w:tcW w:w="0" w:type="auto"/>
            <w:tcBorders>
              <w:top w:val="nil"/>
              <w:bottom w:val="nil"/>
              <w:right w:val="nil"/>
            </w:tcBorders>
            <w:hideMark/>
          </w:tcPr>
          <w:p w14:paraId="09A75D2A" w14:textId="77777777" w:rsidR="00355262" w:rsidRPr="00480E13"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74ADB813"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Female</w:t>
            </w:r>
          </w:p>
        </w:tc>
        <w:tc>
          <w:tcPr>
            <w:tcW w:w="0" w:type="auto"/>
            <w:tcBorders>
              <w:top w:val="nil"/>
              <w:left w:val="nil"/>
              <w:bottom w:val="nil"/>
              <w:right w:val="nil"/>
            </w:tcBorders>
            <w:hideMark/>
          </w:tcPr>
          <w:p w14:paraId="477B9AFE"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45</w:t>
            </w:r>
          </w:p>
        </w:tc>
        <w:tc>
          <w:tcPr>
            <w:tcW w:w="0" w:type="auto"/>
            <w:tcBorders>
              <w:top w:val="nil"/>
              <w:left w:val="nil"/>
              <w:bottom w:val="nil"/>
              <w:right w:val="nil"/>
            </w:tcBorders>
            <w:hideMark/>
          </w:tcPr>
          <w:p w14:paraId="6BF5D4C4"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23</w:t>
            </w:r>
          </w:p>
        </w:tc>
        <w:tc>
          <w:tcPr>
            <w:tcW w:w="0" w:type="auto"/>
            <w:tcBorders>
              <w:top w:val="nil"/>
              <w:left w:val="nil"/>
              <w:bottom w:val="nil"/>
            </w:tcBorders>
            <w:hideMark/>
          </w:tcPr>
          <w:p w14:paraId="50F062E1"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51.11%</w:t>
            </w:r>
          </w:p>
        </w:tc>
      </w:tr>
      <w:tr w:rsidR="00355262" w:rsidRPr="00480E13" w14:paraId="7AE7B279" w14:textId="77777777" w:rsidTr="00A95227">
        <w:tc>
          <w:tcPr>
            <w:tcW w:w="0" w:type="auto"/>
            <w:tcBorders>
              <w:top w:val="nil"/>
              <w:bottom w:val="nil"/>
              <w:right w:val="nil"/>
            </w:tcBorders>
            <w:hideMark/>
          </w:tcPr>
          <w:p w14:paraId="0AA17C4D"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Sahelian White</w:t>
            </w:r>
          </w:p>
        </w:tc>
        <w:tc>
          <w:tcPr>
            <w:tcW w:w="0" w:type="auto"/>
            <w:tcBorders>
              <w:top w:val="nil"/>
              <w:left w:val="nil"/>
              <w:bottom w:val="nil"/>
              <w:right w:val="nil"/>
            </w:tcBorders>
            <w:hideMark/>
          </w:tcPr>
          <w:p w14:paraId="702A3B36"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Male</w:t>
            </w:r>
          </w:p>
        </w:tc>
        <w:tc>
          <w:tcPr>
            <w:tcW w:w="0" w:type="auto"/>
            <w:tcBorders>
              <w:top w:val="nil"/>
              <w:left w:val="nil"/>
              <w:bottom w:val="nil"/>
              <w:right w:val="nil"/>
            </w:tcBorders>
            <w:hideMark/>
          </w:tcPr>
          <w:p w14:paraId="1F2E6B06"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57</w:t>
            </w:r>
          </w:p>
        </w:tc>
        <w:tc>
          <w:tcPr>
            <w:tcW w:w="0" w:type="auto"/>
            <w:tcBorders>
              <w:top w:val="nil"/>
              <w:left w:val="nil"/>
              <w:bottom w:val="nil"/>
              <w:right w:val="nil"/>
            </w:tcBorders>
            <w:hideMark/>
          </w:tcPr>
          <w:p w14:paraId="52CC87F1"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41</w:t>
            </w:r>
          </w:p>
        </w:tc>
        <w:tc>
          <w:tcPr>
            <w:tcW w:w="0" w:type="auto"/>
            <w:tcBorders>
              <w:top w:val="nil"/>
              <w:left w:val="nil"/>
              <w:bottom w:val="nil"/>
            </w:tcBorders>
            <w:hideMark/>
          </w:tcPr>
          <w:p w14:paraId="0B87FC53"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71.93%</w:t>
            </w:r>
          </w:p>
        </w:tc>
      </w:tr>
      <w:tr w:rsidR="00355262" w:rsidRPr="00480E13" w14:paraId="176C589F" w14:textId="77777777" w:rsidTr="00A95227">
        <w:tc>
          <w:tcPr>
            <w:tcW w:w="0" w:type="auto"/>
            <w:tcBorders>
              <w:top w:val="nil"/>
              <w:right w:val="nil"/>
            </w:tcBorders>
            <w:hideMark/>
          </w:tcPr>
          <w:p w14:paraId="25B6C03F" w14:textId="77777777" w:rsidR="00355262" w:rsidRPr="00480E13" w:rsidRDefault="00355262" w:rsidP="00A95227">
            <w:pPr>
              <w:spacing w:after="160"/>
              <w:jc w:val="both"/>
              <w:rPr>
                <w:rFonts w:asciiTheme="majorBidi" w:hAnsiTheme="majorBidi" w:cstheme="majorBidi"/>
              </w:rPr>
            </w:pPr>
          </w:p>
        </w:tc>
        <w:tc>
          <w:tcPr>
            <w:tcW w:w="0" w:type="auto"/>
            <w:tcBorders>
              <w:top w:val="nil"/>
              <w:left w:val="nil"/>
              <w:right w:val="nil"/>
            </w:tcBorders>
            <w:hideMark/>
          </w:tcPr>
          <w:p w14:paraId="6EFA0720"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Female</w:t>
            </w:r>
          </w:p>
        </w:tc>
        <w:tc>
          <w:tcPr>
            <w:tcW w:w="0" w:type="auto"/>
            <w:tcBorders>
              <w:top w:val="nil"/>
              <w:left w:val="nil"/>
              <w:right w:val="nil"/>
            </w:tcBorders>
            <w:hideMark/>
          </w:tcPr>
          <w:p w14:paraId="08F05974"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33</w:t>
            </w:r>
          </w:p>
        </w:tc>
        <w:tc>
          <w:tcPr>
            <w:tcW w:w="0" w:type="auto"/>
            <w:tcBorders>
              <w:top w:val="nil"/>
              <w:left w:val="nil"/>
              <w:right w:val="nil"/>
            </w:tcBorders>
            <w:hideMark/>
          </w:tcPr>
          <w:p w14:paraId="07A47051"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19</w:t>
            </w:r>
          </w:p>
        </w:tc>
        <w:tc>
          <w:tcPr>
            <w:tcW w:w="0" w:type="auto"/>
            <w:tcBorders>
              <w:top w:val="nil"/>
              <w:left w:val="nil"/>
            </w:tcBorders>
            <w:hideMark/>
          </w:tcPr>
          <w:p w14:paraId="4A75773E"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57.58%</w:t>
            </w:r>
          </w:p>
        </w:tc>
      </w:tr>
    </w:tbl>
    <w:p w14:paraId="60AE3C97" w14:textId="77777777" w:rsidR="00355262" w:rsidRPr="00480E13" w:rsidRDefault="00355262" w:rsidP="00A95227">
      <w:pPr>
        <w:spacing w:line="240" w:lineRule="auto"/>
        <w:jc w:val="both"/>
        <w:rPr>
          <w:rFonts w:asciiTheme="majorBidi" w:hAnsiTheme="majorBidi" w:cstheme="majorBidi"/>
        </w:rPr>
      </w:pPr>
    </w:p>
    <w:p w14:paraId="32909019" w14:textId="6BE33E31"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The results show a higher infection rate in males (approx. 72%) compared to females (51-57%). This finding contradicts the general consensus in parasitology, where females are often reported to have higher burdens due to the physiological stress of pregnancy and lactation, known as the "periparturient rise" in egg counts (</w:t>
      </w:r>
      <w:r w:rsidR="00FE39B6" w:rsidRPr="00480E13">
        <w:rPr>
          <w:rFonts w:asciiTheme="majorBidi" w:hAnsiTheme="majorBidi" w:cstheme="majorBidi"/>
        </w:rPr>
        <w:t xml:space="preserve">Rufai </w:t>
      </w:r>
      <w:r w:rsidR="00FE39B6" w:rsidRPr="00480E13">
        <w:rPr>
          <w:rFonts w:asciiTheme="majorBidi" w:hAnsiTheme="majorBidi" w:cstheme="majorBidi"/>
          <w:i/>
          <w:iCs/>
        </w:rPr>
        <w:t>et al.</w:t>
      </w:r>
      <w:r w:rsidR="00FE39B6" w:rsidRPr="00480E13">
        <w:rPr>
          <w:rFonts w:asciiTheme="majorBidi" w:hAnsiTheme="majorBidi" w:cstheme="majorBidi"/>
        </w:rPr>
        <w:t>, 2019</w:t>
      </w:r>
      <w:r w:rsidRPr="00480E13">
        <w:rPr>
          <w:rFonts w:asciiTheme="majorBidi" w:hAnsiTheme="majorBidi" w:cstheme="majorBidi"/>
        </w:rPr>
        <w:t>).</w:t>
      </w:r>
    </w:p>
    <w:p w14:paraId="429E8E2B" w14:textId="0B0881C9"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 xml:space="preserve">However, our findings align with </w:t>
      </w:r>
      <w:r w:rsidR="004279D8" w:rsidRPr="00480E13">
        <w:rPr>
          <w:rFonts w:asciiTheme="majorBidi" w:hAnsiTheme="majorBidi" w:cstheme="majorBidi"/>
        </w:rPr>
        <w:t xml:space="preserve">those of </w:t>
      </w:r>
      <w:proofErr w:type="spellStart"/>
      <w:r w:rsidR="00902F40" w:rsidRPr="00480E13">
        <w:rPr>
          <w:rFonts w:asciiTheme="majorBidi" w:hAnsiTheme="majorBidi" w:cstheme="majorBidi"/>
        </w:rPr>
        <w:t>Mogaji</w:t>
      </w:r>
      <w:proofErr w:type="spellEnd"/>
      <w:r w:rsidRPr="00480E13">
        <w:rPr>
          <w:rFonts w:asciiTheme="majorBidi" w:hAnsiTheme="majorBidi" w:cstheme="majorBidi"/>
        </w:rPr>
        <w:t xml:space="preserve"> </w:t>
      </w:r>
      <w:r w:rsidRPr="00480E13">
        <w:rPr>
          <w:rFonts w:asciiTheme="majorBidi" w:hAnsiTheme="majorBidi" w:cstheme="majorBidi"/>
          <w:i/>
        </w:rPr>
        <w:t>et al</w:t>
      </w:r>
      <w:r w:rsidRPr="00480E13">
        <w:rPr>
          <w:rFonts w:asciiTheme="majorBidi" w:hAnsiTheme="majorBidi" w:cstheme="majorBidi"/>
        </w:rPr>
        <w:t>. (202</w:t>
      </w:r>
      <w:r w:rsidR="00902F40" w:rsidRPr="00480E13">
        <w:rPr>
          <w:rFonts w:asciiTheme="majorBidi" w:hAnsiTheme="majorBidi" w:cstheme="majorBidi"/>
        </w:rPr>
        <w:t>1</w:t>
      </w:r>
      <w:r w:rsidRPr="00480E13">
        <w:rPr>
          <w:rFonts w:asciiTheme="majorBidi" w:hAnsiTheme="majorBidi" w:cstheme="majorBidi"/>
        </w:rPr>
        <w:t>), who suggested that in certain management systems, males might be more exposed if they are used for traction or allowed to roam further for grazing compared to nursing females kept closer to homesteads. Additionally, hormonal differences, specifically testosterone, can sometimes suppress the immune system, making males more susceptible to infections under stress (</w:t>
      </w:r>
      <w:proofErr w:type="spellStart"/>
      <w:r w:rsidRPr="00480E13">
        <w:rPr>
          <w:rFonts w:asciiTheme="majorBidi" w:hAnsiTheme="majorBidi" w:cstheme="majorBidi"/>
        </w:rPr>
        <w:t>Zvinorova</w:t>
      </w:r>
      <w:proofErr w:type="spellEnd"/>
      <w:r w:rsidRPr="00480E13">
        <w:rPr>
          <w:rFonts w:asciiTheme="majorBidi" w:hAnsiTheme="majorBidi" w:cstheme="majorBidi"/>
        </w:rPr>
        <w:t xml:space="preserve"> </w:t>
      </w:r>
      <w:r w:rsidRPr="00480E13">
        <w:rPr>
          <w:rFonts w:asciiTheme="majorBidi" w:hAnsiTheme="majorBidi" w:cstheme="majorBidi"/>
          <w:i/>
        </w:rPr>
        <w:t>et al.,</w:t>
      </w:r>
      <w:r w:rsidRPr="00480E13">
        <w:rPr>
          <w:rFonts w:asciiTheme="majorBidi" w:hAnsiTheme="majorBidi" w:cstheme="majorBidi"/>
        </w:rPr>
        <w:t xml:space="preserve"> 201</w:t>
      </w:r>
      <w:r w:rsidR="00927E74" w:rsidRPr="00480E13">
        <w:rPr>
          <w:rFonts w:asciiTheme="majorBidi" w:hAnsiTheme="majorBidi" w:cstheme="majorBidi"/>
        </w:rPr>
        <w:t>5</w:t>
      </w:r>
      <w:r w:rsidRPr="00480E13">
        <w:rPr>
          <w:rFonts w:asciiTheme="majorBidi" w:hAnsiTheme="majorBidi" w:cstheme="majorBidi"/>
        </w:rPr>
        <w:t>).</w:t>
      </w:r>
    </w:p>
    <w:p w14:paraId="57C0DD90" w14:textId="77777777" w:rsidR="00355262" w:rsidRPr="00480E13" w:rsidRDefault="00355262" w:rsidP="00A95227">
      <w:pPr>
        <w:spacing w:line="240" w:lineRule="auto"/>
        <w:jc w:val="both"/>
        <w:rPr>
          <w:rFonts w:asciiTheme="majorBidi" w:hAnsiTheme="majorBidi" w:cstheme="majorBidi"/>
          <w:b/>
          <w:bCs/>
        </w:rPr>
      </w:pPr>
      <w:r w:rsidRPr="00480E13">
        <w:rPr>
          <w:rFonts w:asciiTheme="majorBidi" w:hAnsiTheme="majorBidi" w:cstheme="majorBidi"/>
          <w:b/>
          <w:bCs/>
        </w:rPr>
        <w:t>3.4 Prevalence by Age</w:t>
      </w:r>
    </w:p>
    <w:p w14:paraId="1D00C444" w14:textId="5545568E"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 xml:space="preserve">The study compared infection rates between young and adult goats, finding </w:t>
      </w:r>
      <w:r w:rsidR="004279D8" w:rsidRPr="00480E13">
        <w:rPr>
          <w:rFonts w:asciiTheme="majorBidi" w:hAnsiTheme="majorBidi" w:cstheme="majorBidi"/>
        </w:rPr>
        <w:t xml:space="preserve">a </w:t>
      </w:r>
      <w:r w:rsidRPr="00480E13">
        <w:rPr>
          <w:rFonts w:asciiTheme="majorBidi" w:hAnsiTheme="majorBidi" w:cstheme="majorBidi"/>
        </w:rPr>
        <w:t>higher prevalence in adults.</w:t>
      </w:r>
    </w:p>
    <w:p w14:paraId="41762E35" w14:textId="77777777"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Table 4: Prevalence of Helminth Infection by 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200"/>
        <w:gridCol w:w="1487"/>
        <w:gridCol w:w="1316"/>
        <w:gridCol w:w="1566"/>
      </w:tblGrid>
      <w:tr w:rsidR="00355262" w:rsidRPr="00480E13" w14:paraId="1ABF8E91" w14:textId="77777777" w:rsidTr="00556CDA">
        <w:tc>
          <w:tcPr>
            <w:tcW w:w="0" w:type="auto"/>
            <w:tcBorders>
              <w:top w:val="single" w:sz="4" w:space="0" w:color="auto"/>
              <w:bottom w:val="single" w:sz="4" w:space="0" w:color="auto"/>
            </w:tcBorders>
            <w:hideMark/>
          </w:tcPr>
          <w:p w14:paraId="6DD7885C"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Breed</w:t>
            </w:r>
          </w:p>
        </w:tc>
        <w:tc>
          <w:tcPr>
            <w:tcW w:w="0" w:type="auto"/>
            <w:tcBorders>
              <w:top w:val="single" w:sz="4" w:space="0" w:color="auto"/>
              <w:bottom w:val="single" w:sz="4" w:space="0" w:color="auto"/>
            </w:tcBorders>
            <w:hideMark/>
          </w:tcPr>
          <w:p w14:paraId="00971ADA"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Age Group</w:t>
            </w:r>
          </w:p>
        </w:tc>
        <w:tc>
          <w:tcPr>
            <w:tcW w:w="0" w:type="auto"/>
            <w:tcBorders>
              <w:top w:val="single" w:sz="4" w:space="0" w:color="auto"/>
              <w:bottom w:val="single" w:sz="4" w:space="0" w:color="auto"/>
            </w:tcBorders>
            <w:hideMark/>
          </w:tcPr>
          <w:p w14:paraId="3FEDC030"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No. Examined</w:t>
            </w:r>
          </w:p>
        </w:tc>
        <w:tc>
          <w:tcPr>
            <w:tcW w:w="0" w:type="auto"/>
            <w:tcBorders>
              <w:top w:val="single" w:sz="4" w:space="0" w:color="auto"/>
              <w:bottom w:val="single" w:sz="4" w:space="0" w:color="auto"/>
            </w:tcBorders>
            <w:hideMark/>
          </w:tcPr>
          <w:p w14:paraId="1EF2C49D"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No. Infected</w:t>
            </w:r>
          </w:p>
        </w:tc>
        <w:tc>
          <w:tcPr>
            <w:tcW w:w="0" w:type="auto"/>
            <w:tcBorders>
              <w:top w:val="single" w:sz="4" w:space="0" w:color="auto"/>
              <w:bottom w:val="single" w:sz="4" w:space="0" w:color="auto"/>
            </w:tcBorders>
            <w:hideMark/>
          </w:tcPr>
          <w:p w14:paraId="626D6B70"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Prevalence (%)</w:t>
            </w:r>
          </w:p>
        </w:tc>
      </w:tr>
      <w:tr w:rsidR="00355262" w:rsidRPr="00480E13" w14:paraId="458ECD16" w14:textId="77777777" w:rsidTr="00556CDA">
        <w:tc>
          <w:tcPr>
            <w:tcW w:w="0" w:type="auto"/>
            <w:tcBorders>
              <w:top w:val="single" w:sz="4" w:space="0" w:color="auto"/>
            </w:tcBorders>
            <w:hideMark/>
          </w:tcPr>
          <w:p w14:paraId="41CD1336"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Red Sokoto</w:t>
            </w:r>
          </w:p>
        </w:tc>
        <w:tc>
          <w:tcPr>
            <w:tcW w:w="0" w:type="auto"/>
            <w:tcBorders>
              <w:top w:val="single" w:sz="4" w:space="0" w:color="auto"/>
            </w:tcBorders>
            <w:hideMark/>
          </w:tcPr>
          <w:p w14:paraId="7366E3D8"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Adult</w:t>
            </w:r>
          </w:p>
        </w:tc>
        <w:tc>
          <w:tcPr>
            <w:tcW w:w="0" w:type="auto"/>
            <w:tcBorders>
              <w:top w:val="single" w:sz="4" w:space="0" w:color="auto"/>
            </w:tcBorders>
            <w:hideMark/>
          </w:tcPr>
          <w:p w14:paraId="4D3FBE85"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83</w:t>
            </w:r>
          </w:p>
        </w:tc>
        <w:tc>
          <w:tcPr>
            <w:tcW w:w="0" w:type="auto"/>
            <w:tcBorders>
              <w:top w:val="single" w:sz="4" w:space="0" w:color="auto"/>
            </w:tcBorders>
            <w:hideMark/>
          </w:tcPr>
          <w:p w14:paraId="217CC145"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56</w:t>
            </w:r>
          </w:p>
        </w:tc>
        <w:tc>
          <w:tcPr>
            <w:tcW w:w="0" w:type="auto"/>
            <w:tcBorders>
              <w:top w:val="single" w:sz="4" w:space="0" w:color="auto"/>
            </w:tcBorders>
            <w:hideMark/>
          </w:tcPr>
          <w:p w14:paraId="4A0F3C72"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67.47%</w:t>
            </w:r>
          </w:p>
        </w:tc>
      </w:tr>
      <w:tr w:rsidR="00355262" w:rsidRPr="00480E13" w14:paraId="70F7C65A" w14:textId="77777777" w:rsidTr="00556CDA">
        <w:tc>
          <w:tcPr>
            <w:tcW w:w="0" w:type="auto"/>
            <w:hideMark/>
          </w:tcPr>
          <w:p w14:paraId="125E9F82" w14:textId="77777777" w:rsidR="00355262" w:rsidRPr="00480E13" w:rsidRDefault="00355262" w:rsidP="00A95227">
            <w:pPr>
              <w:spacing w:after="160"/>
              <w:jc w:val="both"/>
              <w:rPr>
                <w:rFonts w:asciiTheme="majorBidi" w:hAnsiTheme="majorBidi" w:cstheme="majorBidi"/>
              </w:rPr>
            </w:pPr>
          </w:p>
        </w:tc>
        <w:tc>
          <w:tcPr>
            <w:tcW w:w="0" w:type="auto"/>
            <w:hideMark/>
          </w:tcPr>
          <w:p w14:paraId="531A01E3"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Young</w:t>
            </w:r>
          </w:p>
        </w:tc>
        <w:tc>
          <w:tcPr>
            <w:tcW w:w="0" w:type="auto"/>
            <w:hideMark/>
          </w:tcPr>
          <w:p w14:paraId="27C73C21"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27</w:t>
            </w:r>
          </w:p>
        </w:tc>
        <w:tc>
          <w:tcPr>
            <w:tcW w:w="0" w:type="auto"/>
            <w:hideMark/>
          </w:tcPr>
          <w:p w14:paraId="215A8F96"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14</w:t>
            </w:r>
          </w:p>
        </w:tc>
        <w:tc>
          <w:tcPr>
            <w:tcW w:w="0" w:type="auto"/>
            <w:hideMark/>
          </w:tcPr>
          <w:p w14:paraId="2A433FEA"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51.85%</w:t>
            </w:r>
          </w:p>
        </w:tc>
      </w:tr>
      <w:tr w:rsidR="00355262" w:rsidRPr="00480E13" w14:paraId="657661EE" w14:textId="77777777" w:rsidTr="00556CDA">
        <w:tc>
          <w:tcPr>
            <w:tcW w:w="0" w:type="auto"/>
            <w:hideMark/>
          </w:tcPr>
          <w:p w14:paraId="6C815C6F"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Sahelian White</w:t>
            </w:r>
          </w:p>
        </w:tc>
        <w:tc>
          <w:tcPr>
            <w:tcW w:w="0" w:type="auto"/>
            <w:hideMark/>
          </w:tcPr>
          <w:p w14:paraId="39C40456"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Adult</w:t>
            </w:r>
          </w:p>
        </w:tc>
        <w:tc>
          <w:tcPr>
            <w:tcW w:w="0" w:type="auto"/>
            <w:hideMark/>
          </w:tcPr>
          <w:p w14:paraId="2FE73461"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65</w:t>
            </w:r>
          </w:p>
        </w:tc>
        <w:tc>
          <w:tcPr>
            <w:tcW w:w="0" w:type="auto"/>
            <w:hideMark/>
          </w:tcPr>
          <w:p w14:paraId="53D13E9C"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45</w:t>
            </w:r>
          </w:p>
        </w:tc>
        <w:tc>
          <w:tcPr>
            <w:tcW w:w="0" w:type="auto"/>
            <w:hideMark/>
          </w:tcPr>
          <w:p w14:paraId="1D5BCA8E"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69.23%</w:t>
            </w:r>
          </w:p>
        </w:tc>
      </w:tr>
      <w:tr w:rsidR="00355262" w:rsidRPr="00480E13" w14:paraId="1993E8ED" w14:textId="77777777" w:rsidTr="00556CDA">
        <w:tc>
          <w:tcPr>
            <w:tcW w:w="0" w:type="auto"/>
            <w:tcBorders>
              <w:bottom w:val="single" w:sz="4" w:space="0" w:color="auto"/>
            </w:tcBorders>
            <w:hideMark/>
          </w:tcPr>
          <w:p w14:paraId="0997D815" w14:textId="77777777" w:rsidR="00355262" w:rsidRPr="00480E13" w:rsidRDefault="00355262" w:rsidP="00A95227">
            <w:pPr>
              <w:spacing w:after="160"/>
              <w:jc w:val="both"/>
              <w:rPr>
                <w:rFonts w:asciiTheme="majorBidi" w:hAnsiTheme="majorBidi" w:cstheme="majorBidi"/>
              </w:rPr>
            </w:pPr>
          </w:p>
        </w:tc>
        <w:tc>
          <w:tcPr>
            <w:tcW w:w="0" w:type="auto"/>
            <w:tcBorders>
              <w:bottom w:val="single" w:sz="4" w:space="0" w:color="auto"/>
            </w:tcBorders>
            <w:hideMark/>
          </w:tcPr>
          <w:p w14:paraId="21495155"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Young</w:t>
            </w:r>
          </w:p>
        </w:tc>
        <w:tc>
          <w:tcPr>
            <w:tcW w:w="0" w:type="auto"/>
            <w:tcBorders>
              <w:bottom w:val="single" w:sz="4" w:space="0" w:color="auto"/>
            </w:tcBorders>
            <w:hideMark/>
          </w:tcPr>
          <w:p w14:paraId="14C1EA18"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25</w:t>
            </w:r>
          </w:p>
        </w:tc>
        <w:tc>
          <w:tcPr>
            <w:tcW w:w="0" w:type="auto"/>
            <w:tcBorders>
              <w:bottom w:val="single" w:sz="4" w:space="0" w:color="auto"/>
            </w:tcBorders>
            <w:hideMark/>
          </w:tcPr>
          <w:p w14:paraId="6E3E67BE"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15</w:t>
            </w:r>
          </w:p>
        </w:tc>
        <w:tc>
          <w:tcPr>
            <w:tcW w:w="0" w:type="auto"/>
            <w:tcBorders>
              <w:bottom w:val="single" w:sz="4" w:space="0" w:color="auto"/>
            </w:tcBorders>
            <w:hideMark/>
          </w:tcPr>
          <w:p w14:paraId="6B1ED9BC" w14:textId="77777777" w:rsidR="00355262" w:rsidRPr="00480E13" w:rsidRDefault="00355262" w:rsidP="00A95227">
            <w:pPr>
              <w:spacing w:after="160"/>
              <w:jc w:val="both"/>
              <w:rPr>
                <w:rFonts w:asciiTheme="majorBidi" w:hAnsiTheme="majorBidi" w:cstheme="majorBidi"/>
              </w:rPr>
            </w:pPr>
            <w:r w:rsidRPr="00480E13">
              <w:rPr>
                <w:rFonts w:asciiTheme="majorBidi" w:hAnsiTheme="majorBidi" w:cstheme="majorBidi"/>
              </w:rPr>
              <w:t>60.00%</w:t>
            </w:r>
          </w:p>
        </w:tc>
      </w:tr>
    </w:tbl>
    <w:p w14:paraId="0E2CC2E9" w14:textId="77777777" w:rsidR="00355262" w:rsidRPr="00480E13" w:rsidRDefault="00355262" w:rsidP="00A95227">
      <w:pPr>
        <w:spacing w:line="240" w:lineRule="auto"/>
        <w:jc w:val="both"/>
        <w:rPr>
          <w:rFonts w:asciiTheme="majorBidi" w:hAnsiTheme="majorBidi" w:cstheme="majorBidi"/>
          <w:b/>
          <w:bCs/>
        </w:rPr>
      </w:pPr>
    </w:p>
    <w:p w14:paraId="5A5B87AA" w14:textId="34ADE4BC"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Adult goats showed a higher prevalence of infection (67-69%) compared to young goats (51-60%). This supports the hypothesis that adults are more exposed to pasture contamination over a longer period. Young animals, often kept indoors or relying on milk, have limited exposure to infective larvae on herbage.</w:t>
      </w:r>
    </w:p>
    <w:p w14:paraId="04706E1C" w14:textId="1129612F"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rPr>
        <w:t xml:space="preserve">This trend is supported by </w:t>
      </w:r>
      <w:r w:rsidR="00EC5254" w:rsidRPr="00480E13">
        <w:rPr>
          <w:rFonts w:asciiTheme="majorBidi" w:hAnsiTheme="majorBidi" w:cstheme="majorBidi"/>
        </w:rPr>
        <w:t>Sirbu</w:t>
      </w:r>
      <w:r w:rsidRPr="00480E13">
        <w:rPr>
          <w:rFonts w:asciiTheme="majorBidi" w:hAnsiTheme="majorBidi" w:cstheme="majorBidi"/>
        </w:rPr>
        <w:t xml:space="preserve"> </w:t>
      </w:r>
      <w:r w:rsidRPr="00480E13">
        <w:rPr>
          <w:rFonts w:asciiTheme="majorBidi" w:hAnsiTheme="majorBidi" w:cstheme="majorBidi"/>
          <w:i/>
        </w:rPr>
        <w:t>et al</w:t>
      </w:r>
      <w:r w:rsidRPr="00480E13">
        <w:rPr>
          <w:rFonts w:asciiTheme="majorBidi" w:hAnsiTheme="majorBidi" w:cstheme="majorBidi"/>
        </w:rPr>
        <w:t>. (202</w:t>
      </w:r>
      <w:r w:rsidR="00EC5254" w:rsidRPr="00480E13">
        <w:rPr>
          <w:rFonts w:asciiTheme="majorBidi" w:hAnsiTheme="majorBidi" w:cstheme="majorBidi"/>
        </w:rPr>
        <w:t>0</w:t>
      </w:r>
      <w:r w:rsidRPr="00480E13">
        <w:rPr>
          <w:rFonts w:asciiTheme="majorBidi" w:hAnsiTheme="majorBidi" w:cstheme="majorBidi"/>
        </w:rPr>
        <w:t xml:space="preserve">), who observed that while young animals are more </w:t>
      </w:r>
      <w:r w:rsidRPr="00480E13">
        <w:rPr>
          <w:rFonts w:asciiTheme="majorBidi" w:hAnsiTheme="majorBidi" w:cstheme="majorBidi"/>
          <w:i/>
          <w:iCs/>
        </w:rPr>
        <w:t>susceptible</w:t>
      </w:r>
      <w:r w:rsidRPr="00480E13">
        <w:rPr>
          <w:rFonts w:asciiTheme="majorBidi" w:hAnsiTheme="majorBidi" w:cstheme="majorBidi"/>
        </w:rPr>
        <w:t xml:space="preserve"> to the effects of parasites (clinical signs), adults often harbor higher </w:t>
      </w:r>
      <w:r w:rsidRPr="00480E13">
        <w:rPr>
          <w:rFonts w:asciiTheme="majorBidi" w:hAnsiTheme="majorBidi" w:cstheme="majorBidi"/>
          <w:i/>
          <w:iCs/>
        </w:rPr>
        <w:t>burdens</w:t>
      </w:r>
      <w:r w:rsidRPr="00480E13">
        <w:rPr>
          <w:rFonts w:asciiTheme="majorBidi" w:hAnsiTheme="majorBidi" w:cstheme="majorBidi"/>
        </w:rPr>
        <w:t xml:space="preserve"> due to constant reinfection while grazing. However, </w:t>
      </w:r>
      <w:proofErr w:type="spellStart"/>
      <w:r w:rsidRPr="00480E13">
        <w:rPr>
          <w:rFonts w:asciiTheme="majorBidi" w:hAnsiTheme="majorBidi" w:cstheme="majorBidi"/>
        </w:rPr>
        <w:t>Ntonifor</w:t>
      </w:r>
      <w:proofErr w:type="spellEnd"/>
      <w:r w:rsidRPr="00480E13">
        <w:rPr>
          <w:rFonts w:asciiTheme="majorBidi" w:hAnsiTheme="majorBidi" w:cstheme="majorBidi"/>
        </w:rPr>
        <w:t xml:space="preserve"> </w:t>
      </w:r>
      <w:r w:rsidRPr="00480E13">
        <w:rPr>
          <w:rFonts w:asciiTheme="majorBidi" w:hAnsiTheme="majorBidi" w:cstheme="majorBidi"/>
          <w:i/>
        </w:rPr>
        <w:t>et al.</w:t>
      </w:r>
      <w:r w:rsidRPr="00480E13">
        <w:rPr>
          <w:rFonts w:asciiTheme="majorBidi" w:hAnsiTheme="majorBidi" w:cstheme="majorBidi"/>
        </w:rPr>
        <w:t xml:space="preserve"> (20</w:t>
      </w:r>
      <w:r w:rsidR="00150C5A" w:rsidRPr="00480E13">
        <w:rPr>
          <w:rFonts w:asciiTheme="majorBidi" w:hAnsiTheme="majorBidi" w:cstheme="majorBidi"/>
        </w:rPr>
        <w:t>13</w:t>
      </w:r>
      <w:r w:rsidRPr="00480E13">
        <w:rPr>
          <w:rFonts w:asciiTheme="majorBidi" w:hAnsiTheme="majorBidi" w:cstheme="majorBidi"/>
        </w:rPr>
        <w:t xml:space="preserve">) cautioned that adults often </w:t>
      </w:r>
      <w:r w:rsidRPr="00480E13">
        <w:rPr>
          <w:rFonts w:asciiTheme="majorBidi" w:hAnsiTheme="majorBidi" w:cstheme="majorBidi"/>
        </w:rPr>
        <w:lastRenderedPageBreak/>
        <w:t>develop premunition (resistance to new infections), so while they may test positive, they might not show clinical signs, acting as silent carriers that contaminate pastures for vulnerable young stock.</w:t>
      </w:r>
    </w:p>
    <w:p w14:paraId="2965E103" w14:textId="77777777" w:rsidR="00355262" w:rsidRPr="00480E13" w:rsidRDefault="00355262" w:rsidP="00A95227">
      <w:pPr>
        <w:spacing w:line="240" w:lineRule="auto"/>
        <w:jc w:val="both"/>
        <w:rPr>
          <w:rFonts w:asciiTheme="majorBidi" w:hAnsiTheme="majorBidi" w:cstheme="majorBidi"/>
        </w:rPr>
      </w:pPr>
      <w:r w:rsidRPr="00480E13">
        <w:rPr>
          <w:rFonts w:asciiTheme="majorBidi" w:hAnsiTheme="majorBidi" w:cstheme="majorBidi"/>
          <w:b/>
          <w:bCs/>
        </w:rPr>
        <w:t>4. Conclusion</w:t>
      </w:r>
    </w:p>
    <w:p w14:paraId="60E08122" w14:textId="49F64B2F" w:rsidR="00355262" w:rsidRDefault="00355262" w:rsidP="00A95227">
      <w:pPr>
        <w:spacing w:line="240" w:lineRule="auto"/>
        <w:jc w:val="both"/>
        <w:rPr>
          <w:rFonts w:asciiTheme="majorBidi" w:hAnsiTheme="majorBidi" w:cstheme="majorBidi"/>
        </w:rPr>
      </w:pPr>
      <w:r w:rsidRPr="00480E13">
        <w:rPr>
          <w:rFonts w:asciiTheme="majorBidi" w:hAnsiTheme="majorBidi" w:cstheme="majorBidi"/>
        </w:rPr>
        <w:t xml:space="preserve">The study reveals a high prevalence of gastrointestinal helminths in both Red Sokoto and Sahelian White goats, with nematodes like </w:t>
      </w:r>
      <w:proofErr w:type="spellStart"/>
      <w:r w:rsidRPr="00480E13">
        <w:rPr>
          <w:rFonts w:asciiTheme="majorBidi" w:hAnsiTheme="majorBidi" w:cstheme="majorBidi"/>
          <w:i/>
          <w:iCs/>
        </w:rPr>
        <w:t>Haemonchus</w:t>
      </w:r>
      <w:proofErr w:type="spellEnd"/>
      <w:r w:rsidRPr="00480E13">
        <w:rPr>
          <w:rFonts w:asciiTheme="majorBidi" w:hAnsiTheme="majorBidi" w:cstheme="majorBidi"/>
          <w:i/>
          <w:iCs/>
        </w:rPr>
        <w:t xml:space="preserve"> </w:t>
      </w:r>
      <w:proofErr w:type="spellStart"/>
      <w:r w:rsidRPr="00480E13">
        <w:rPr>
          <w:rFonts w:asciiTheme="majorBidi" w:hAnsiTheme="majorBidi" w:cstheme="majorBidi"/>
          <w:i/>
          <w:iCs/>
        </w:rPr>
        <w:t>contortus</w:t>
      </w:r>
      <w:proofErr w:type="spellEnd"/>
      <w:r w:rsidRPr="00480E13">
        <w:rPr>
          <w:rFonts w:asciiTheme="majorBidi" w:hAnsiTheme="majorBidi" w:cstheme="majorBidi"/>
        </w:rPr>
        <w:t xml:space="preserve"> being dominant. Contrary to typical trends, males and adults exhibited higher infection rates. Effective control strategies, including improved sanitation and targeted deworming, are essential to mitigate economic losses in goat production.</w:t>
      </w:r>
    </w:p>
    <w:p w14:paraId="08AF2950" w14:textId="77777777" w:rsidR="00AF6F40" w:rsidRPr="00480E13" w:rsidRDefault="00AF6F40" w:rsidP="00A95227">
      <w:pPr>
        <w:spacing w:line="240" w:lineRule="auto"/>
        <w:jc w:val="both"/>
        <w:rPr>
          <w:rFonts w:asciiTheme="majorBidi" w:hAnsiTheme="majorBidi" w:cstheme="majorBidi"/>
        </w:rPr>
      </w:pPr>
      <w:bookmarkStart w:id="0" w:name="_GoBack"/>
      <w:bookmarkEnd w:id="0"/>
    </w:p>
    <w:p w14:paraId="106DF96E" w14:textId="77777777" w:rsidR="00D1143D" w:rsidRPr="00480E13" w:rsidRDefault="00D1143D" w:rsidP="00D1143D">
      <w:pPr>
        <w:rPr>
          <w:b/>
        </w:rPr>
      </w:pPr>
      <w:r w:rsidRPr="00480E13">
        <w:rPr>
          <w:b/>
        </w:rPr>
        <w:t>Disclaimer (Artificial intelligence)</w:t>
      </w:r>
    </w:p>
    <w:p w14:paraId="66069F1D" w14:textId="77777777" w:rsidR="00D1143D" w:rsidRPr="00480E13" w:rsidRDefault="00D1143D" w:rsidP="00D1143D">
      <w:r w:rsidRPr="00480E13">
        <w:t>Author(s) hereby declare that NO generative AI technologies such as Large Language Models (</w:t>
      </w:r>
      <w:proofErr w:type="spellStart"/>
      <w:r w:rsidRPr="00480E13">
        <w:t>ChatGPT</w:t>
      </w:r>
      <w:proofErr w:type="spellEnd"/>
      <w:r w:rsidRPr="00480E13">
        <w:t xml:space="preserve">, COPILOT, etc.) and text-to-image generators have been used during the writing or editing of this manuscript. </w:t>
      </w:r>
    </w:p>
    <w:p w14:paraId="415DE3CB" w14:textId="77777777" w:rsidR="00A77497" w:rsidRPr="00480E13" w:rsidRDefault="00A77497" w:rsidP="00A95227">
      <w:pPr>
        <w:spacing w:line="240" w:lineRule="auto"/>
        <w:jc w:val="both"/>
        <w:rPr>
          <w:rFonts w:asciiTheme="majorBidi" w:hAnsiTheme="majorBidi" w:cstheme="majorBidi"/>
          <w:b/>
          <w:bCs/>
        </w:rPr>
      </w:pPr>
    </w:p>
    <w:p w14:paraId="49F8C5F3" w14:textId="77777777" w:rsidR="00A77497" w:rsidRPr="00480E13" w:rsidRDefault="00A77497" w:rsidP="00A95227">
      <w:pPr>
        <w:spacing w:line="240" w:lineRule="auto"/>
        <w:jc w:val="both"/>
        <w:rPr>
          <w:rFonts w:asciiTheme="majorBidi" w:hAnsiTheme="majorBidi" w:cstheme="majorBidi"/>
          <w:b/>
          <w:bCs/>
        </w:rPr>
      </w:pPr>
    </w:p>
    <w:p w14:paraId="7E5CDAF7" w14:textId="77777777" w:rsidR="00355262" w:rsidRPr="00480E13" w:rsidRDefault="00355262" w:rsidP="00A95227">
      <w:pPr>
        <w:spacing w:line="240" w:lineRule="auto"/>
        <w:jc w:val="both"/>
        <w:rPr>
          <w:rFonts w:asciiTheme="majorBidi" w:hAnsiTheme="majorBidi" w:cstheme="majorBidi"/>
          <w:b/>
          <w:bCs/>
        </w:rPr>
      </w:pPr>
      <w:r w:rsidRPr="00480E13">
        <w:rPr>
          <w:rFonts w:asciiTheme="majorBidi" w:hAnsiTheme="majorBidi" w:cstheme="majorBidi"/>
          <w:b/>
          <w:bCs/>
        </w:rPr>
        <w:t>References</w:t>
      </w:r>
    </w:p>
    <w:p w14:paraId="15560ED5" w14:textId="77777777" w:rsidR="00A96AB1" w:rsidRPr="00480E13" w:rsidRDefault="00A96AB1" w:rsidP="00A96AB1">
      <w:pPr>
        <w:spacing w:after="100" w:afterAutospacing="1" w:line="276" w:lineRule="auto"/>
        <w:ind w:hanging="706"/>
        <w:jc w:val="both"/>
        <w:rPr>
          <w:rFonts w:cs="Times New Roman"/>
          <w:sz w:val="24"/>
          <w:szCs w:val="24"/>
        </w:rPr>
      </w:pPr>
    </w:p>
    <w:p w14:paraId="2183C50B" w14:textId="77777777" w:rsidR="00A96AB1" w:rsidRPr="00480E13" w:rsidRDefault="00A96AB1" w:rsidP="00A96AB1">
      <w:pPr>
        <w:spacing w:after="100" w:afterAutospacing="1" w:line="276" w:lineRule="auto"/>
        <w:ind w:hanging="706"/>
        <w:jc w:val="both"/>
        <w:rPr>
          <w:rFonts w:cs="Times New Roman"/>
          <w:sz w:val="24"/>
          <w:szCs w:val="24"/>
        </w:rPr>
      </w:pPr>
      <w:r w:rsidRPr="00480E13">
        <w:rPr>
          <w:rFonts w:cs="Times New Roman"/>
          <w:sz w:val="24"/>
          <w:szCs w:val="24"/>
        </w:rPr>
        <w:t xml:space="preserve">Abdul-Rahman, I. I., </w:t>
      </w:r>
      <w:proofErr w:type="spellStart"/>
      <w:r w:rsidRPr="00480E13">
        <w:rPr>
          <w:rFonts w:cs="Times New Roman"/>
          <w:sz w:val="24"/>
          <w:szCs w:val="24"/>
        </w:rPr>
        <w:t>Fuachie</w:t>
      </w:r>
      <w:proofErr w:type="spellEnd"/>
      <w:r w:rsidRPr="00480E13">
        <w:rPr>
          <w:rFonts w:cs="Times New Roman"/>
          <w:sz w:val="24"/>
          <w:szCs w:val="24"/>
        </w:rPr>
        <w:t>, P. I., &amp; Tati, M. J. (2022). Gastrointestinal parasite infections in small ruminants relative to host sex, age and husbandry system under the Guinea savannah vegetation. </w:t>
      </w:r>
      <w:r w:rsidRPr="00480E13">
        <w:rPr>
          <w:rFonts w:cs="Times New Roman"/>
          <w:i/>
          <w:iCs/>
          <w:sz w:val="24"/>
          <w:szCs w:val="24"/>
        </w:rPr>
        <w:t>Biotechnology in Animal Husbandry</w:t>
      </w:r>
      <w:r w:rsidRPr="00480E13">
        <w:rPr>
          <w:rFonts w:cs="Times New Roman"/>
          <w:sz w:val="24"/>
          <w:szCs w:val="24"/>
        </w:rPr>
        <w:t>, </w:t>
      </w:r>
      <w:r w:rsidRPr="00480E13">
        <w:rPr>
          <w:rFonts w:cs="Times New Roman"/>
          <w:i/>
          <w:iCs/>
          <w:sz w:val="24"/>
          <w:szCs w:val="24"/>
        </w:rPr>
        <w:t>38</w:t>
      </w:r>
      <w:r w:rsidRPr="00480E13">
        <w:rPr>
          <w:rFonts w:cs="Times New Roman"/>
          <w:sz w:val="24"/>
          <w:szCs w:val="24"/>
        </w:rPr>
        <w:t xml:space="preserve">(2), 139-155. </w:t>
      </w:r>
      <w:hyperlink r:id="rId9" w:history="1">
        <w:r w:rsidRPr="00480E13">
          <w:rPr>
            <w:rStyle w:val="Hyperlink"/>
            <w:rFonts w:cs="Times New Roman"/>
            <w:sz w:val="24"/>
            <w:szCs w:val="24"/>
          </w:rPr>
          <w:t>https://doi.org/10.2298/BAH2202139A</w:t>
        </w:r>
      </w:hyperlink>
      <w:r w:rsidRPr="00480E13">
        <w:rPr>
          <w:rFonts w:cs="Times New Roman"/>
          <w:sz w:val="24"/>
          <w:szCs w:val="24"/>
          <w:u w:val="single"/>
        </w:rPr>
        <w:t>.</w:t>
      </w:r>
    </w:p>
    <w:p w14:paraId="572AEB4C" w14:textId="77777777" w:rsidR="00A96AB1" w:rsidRPr="00480E13" w:rsidRDefault="00A96AB1" w:rsidP="00A96AB1">
      <w:pPr>
        <w:spacing w:after="100" w:afterAutospacing="1" w:line="276" w:lineRule="auto"/>
        <w:ind w:hanging="706"/>
        <w:jc w:val="both"/>
        <w:rPr>
          <w:rFonts w:cs="Times New Roman"/>
          <w:sz w:val="24"/>
          <w:szCs w:val="24"/>
        </w:rPr>
      </w:pPr>
      <w:r w:rsidRPr="00480E13">
        <w:rPr>
          <w:rFonts w:cs="Times New Roman"/>
          <w:sz w:val="24"/>
          <w:szCs w:val="24"/>
        </w:rPr>
        <w:t xml:space="preserve">Adeleke, G. A., Olaleye, O. O., Folorunsho, A. O., &amp; </w:t>
      </w:r>
      <w:proofErr w:type="spellStart"/>
      <w:r w:rsidRPr="00480E13">
        <w:rPr>
          <w:rFonts w:cs="Times New Roman"/>
          <w:sz w:val="24"/>
          <w:szCs w:val="24"/>
        </w:rPr>
        <w:t>Ologbon</w:t>
      </w:r>
      <w:proofErr w:type="spellEnd"/>
      <w:r w:rsidRPr="00480E13">
        <w:rPr>
          <w:rFonts w:cs="Times New Roman"/>
          <w:sz w:val="24"/>
          <w:szCs w:val="24"/>
        </w:rPr>
        <w:t xml:space="preserve">, O. A. C. (2025). </w:t>
      </w:r>
      <w:proofErr w:type="gramStart"/>
      <w:r w:rsidRPr="00480E13">
        <w:rPr>
          <w:rFonts w:cs="Times New Roman"/>
          <w:sz w:val="24"/>
          <w:szCs w:val="24"/>
        </w:rPr>
        <w:t xml:space="preserve">Prevalence,   </w:t>
      </w:r>
      <w:proofErr w:type="gramEnd"/>
      <w:r w:rsidRPr="00480E13">
        <w:rPr>
          <w:rFonts w:cs="Times New Roman"/>
          <w:sz w:val="24"/>
          <w:szCs w:val="24"/>
        </w:rPr>
        <w:t xml:space="preserve">                                  knowledge and attitude of butchers towards fascioliasis parasite at selected abattoirs in Abeokuta metropolis, Ogun State, Nigeria. </w:t>
      </w:r>
      <w:r w:rsidRPr="00480E13">
        <w:rPr>
          <w:rFonts w:cs="Times New Roman"/>
          <w:i/>
          <w:iCs/>
          <w:sz w:val="24"/>
          <w:szCs w:val="24"/>
        </w:rPr>
        <w:t>Nigerian Journal of Agriculture and Agricultural Technology</w:t>
      </w:r>
      <w:r w:rsidRPr="00480E13">
        <w:rPr>
          <w:rFonts w:cs="Times New Roman"/>
          <w:sz w:val="24"/>
          <w:szCs w:val="24"/>
        </w:rPr>
        <w:t>, </w:t>
      </w:r>
      <w:r w:rsidRPr="00480E13">
        <w:rPr>
          <w:rFonts w:cs="Times New Roman"/>
          <w:i/>
          <w:iCs/>
          <w:sz w:val="24"/>
          <w:szCs w:val="24"/>
        </w:rPr>
        <w:t>5</w:t>
      </w:r>
      <w:r w:rsidRPr="00480E13">
        <w:rPr>
          <w:rFonts w:cs="Times New Roman"/>
          <w:sz w:val="24"/>
          <w:szCs w:val="24"/>
        </w:rPr>
        <w:t xml:space="preserve">(1A), 95-106. </w:t>
      </w:r>
      <w:hyperlink r:id="rId10" w:history="1">
        <w:r w:rsidRPr="00480E13">
          <w:rPr>
            <w:rStyle w:val="Hyperlink"/>
            <w:rFonts w:cs="Times New Roman"/>
            <w:sz w:val="24"/>
            <w:szCs w:val="24"/>
          </w:rPr>
          <w:t>https://doi.org/10.59331/njaat.v5i1A.972</w:t>
        </w:r>
      </w:hyperlink>
    </w:p>
    <w:p w14:paraId="24919435" w14:textId="77777777" w:rsidR="00A96AB1" w:rsidRPr="00480E13" w:rsidRDefault="00A96AB1" w:rsidP="00A96AB1">
      <w:pPr>
        <w:spacing w:after="100" w:afterAutospacing="1" w:line="276" w:lineRule="auto"/>
        <w:ind w:hanging="706"/>
        <w:jc w:val="both"/>
        <w:rPr>
          <w:rFonts w:cs="Times New Roman"/>
          <w:sz w:val="24"/>
          <w:szCs w:val="24"/>
        </w:rPr>
      </w:pPr>
      <w:r w:rsidRPr="00480E13">
        <w:rPr>
          <w:rFonts w:cs="Times New Roman"/>
          <w:sz w:val="24"/>
          <w:szCs w:val="24"/>
        </w:rPr>
        <w:t xml:space="preserve">Adetunmbi, T., </w:t>
      </w:r>
      <w:proofErr w:type="gramStart"/>
      <w:r w:rsidRPr="00480E13">
        <w:rPr>
          <w:rFonts w:cs="Times New Roman"/>
          <w:sz w:val="24"/>
          <w:szCs w:val="24"/>
        </w:rPr>
        <w:t>&amp;.A.</w:t>
      </w:r>
      <w:proofErr w:type="gramEnd"/>
      <w:r w:rsidRPr="00480E13">
        <w:rPr>
          <w:rFonts w:cs="Times New Roman"/>
          <w:sz w:val="24"/>
          <w:szCs w:val="24"/>
        </w:rPr>
        <w:t xml:space="preserve"> </w:t>
      </w:r>
      <w:proofErr w:type="spellStart"/>
      <w:r w:rsidRPr="00480E13">
        <w:rPr>
          <w:rFonts w:cs="Times New Roman"/>
          <w:sz w:val="24"/>
          <w:szCs w:val="24"/>
        </w:rPr>
        <w:t>Chineke</w:t>
      </w:r>
      <w:proofErr w:type="spellEnd"/>
      <w:r w:rsidRPr="00480E13">
        <w:rPr>
          <w:rFonts w:cs="Times New Roman"/>
          <w:sz w:val="24"/>
          <w:szCs w:val="24"/>
        </w:rPr>
        <w:t xml:space="preserve">, C. (2022). Improving global foods system, human health, and alleviating poverty through small ruminant production: the </w:t>
      </w:r>
      <w:proofErr w:type="spellStart"/>
      <w:r w:rsidRPr="00480E13">
        <w:rPr>
          <w:rFonts w:cs="Times New Roman"/>
          <w:sz w:val="24"/>
          <w:szCs w:val="24"/>
        </w:rPr>
        <w:t>nigerian</w:t>
      </w:r>
      <w:proofErr w:type="spellEnd"/>
      <w:r w:rsidRPr="00480E13">
        <w:rPr>
          <w:rFonts w:cs="Times New Roman"/>
          <w:sz w:val="24"/>
          <w:szCs w:val="24"/>
        </w:rPr>
        <w:t xml:space="preserve"> gains. </w:t>
      </w:r>
      <w:r w:rsidRPr="00480E13">
        <w:rPr>
          <w:rFonts w:cs="Times New Roman"/>
          <w:i/>
          <w:iCs/>
          <w:sz w:val="24"/>
          <w:szCs w:val="24"/>
        </w:rPr>
        <w:t>Global Journal of Agricultural Sciences</w:t>
      </w:r>
      <w:r w:rsidRPr="00480E13">
        <w:rPr>
          <w:rFonts w:cs="Times New Roman"/>
          <w:sz w:val="24"/>
          <w:szCs w:val="24"/>
        </w:rPr>
        <w:t>, </w:t>
      </w:r>
      <w:r w:rsidRPr="00480E13">
        <w:rPr>
          <w:rFonts w:cs="Times New Roman"/>
          <w:i/>
          <w:iCs/>
          <w:sz w:val="24"/>
          <w:szCs w:val="24"/>
        </w:rPr>
        <w:t>21</w:t>
      </w:r>
      <w:r w:rsidRPr="00480E13">
        <w:rPr>
          <w:rFonts w:cs="Times New Roman"/>
          <w:sz w:val="24"/>
          <w:szCs w:val="24"/>
        </w:rPr>
        <w:t xml:space="preserve">(1), 13–25. https://doi.org/10.4314/gjass.v21i1.3 </w:t>
      </w:r>
    </w:p>
    <w:p w14:paraId="7FEF87AC" w14:textId="77777777" w:rsidR="00A96AB1" w:rsidRPr="00480E13" w:rsidRDefault="00A96AB1" w:rsidP="00A96AB1">
      <w:pPr>
        <w:spacing w:after="100" w:afterAutospacing="1" w:line="276" w:lineRule="auto"/>
        <w:ind w:hanging="706"/>
        <w:jc w:val="both"/>
        <w:rPr>
          <w:rFonts w:cs="Times New Roman"/>
          <w:sz w:val="24"/>
          <w:szCs w:val="24"/>
        </w:rPr>
      </w:pPr>
      <w:proofErr w:type="spellStart"/>
      <w:r w:rsidRPr="00480E13">
        <w:rPr>
          <w:rFonts w:cs="Times New Roman"/>
          <w:sz w:val="24"/>
          <w:szCs w:val="24"/>
        </w:rPr>
        <w:t>Banwo</w:t>
      </w:r>
      <w:proofErr w:type="spellEnd"/>
      <w:r w:rsidRPr="00480E13">
        <w:rPr>
          <w:rFonts w:cs="Times New Roman"/>
          <w:sz w:val="24"/>
          <w:szCs w:val="24"/>
        </w:rPr>
        <w:t xml:space="preserve">, O., Jeremiah, O., Adesina, R., Adeyemo, A., &amp; </w:t>
      </w:r>
      <w:proofErr w:type="spellStart"/>
      <w:r w:rsidRPr="00480E13">
        <w:rPr>
          <w:rFonts w:cs="Times New Roman"/>
          <w:sz w:val="24"/>
          <w:szCs w:val="24"/>
        </w:rPr>
        <w:t>Fagbohun</w:t>
      </w:r>
      <w:proofErr w:type="spellEnd"/>
      <w:r w:rsidRPr="00480E13">
        <w:rPr>
          <w:rFonts w:cs="Times New Roman"/>
          <w:sz w:val="24"/>
          <w:szCs w:val="24"/>
        </w:rPr>
        <w:t>, O. (2024). Molecular Detection        and Characterization of </w:t>
      </w:r>
      <w:proofErr w:type="spellStart"/>
      <w:r w:rsidRPr="00480E13">
        <w:rPr>
          <w:rFonts w:cs="Times New Roman"/>
          <w:i/>
          <w:iCs/>
          <w:sz w:val="24"/>
          <w:szCs w:val="24"/>
        </w:rPr>
        <w:t>Haemonchus</w:t>
      </w:r>
      <w:proofErr w:type="spellEnd"/>
      <w:r w:rsidRPr="00480E13">
        <w:rPr>
          <w:rFonts w:cs="Times New Roman"/>
          <w:sz w:val="24"/>
          <w:szCs w:val="24"/>
        </w:rPr>
        <w:t> spp. in Cattle in Nigeria. </w:t>
      </w:r>
      <w:r w:rsidRPr="00480E13">
        <w:rPr>
          <w:rFonts w:cs="Times New Roman"/>
          <w:i/>
          <w:iCs/>
          <w:sz w:val="24"/>
          <w:szCs w:val="24"/>
        </w:rPr>
        <w:t>Iranian journal of parasitology</w:t>
      </w:r>
      <w:r w:rsidRPr="00480E13">
        <w:rPr>
          <w:rFonts w:cs="Times New Roman"/>
          <w:sz w:val="24"/>
          <w:szCs w:val="24"/>
        </w:rPr>
        <w:t>, </w:t>
      </w:r>
      <w:r w:rsidRPr="00480E13">
        <w:rPr>
          <w:rFonts w:cs="Times New Roman"/>
          <w:i/>
          <w:iCs/>
          <w:sz w:val="24"/>
          <w:szCs w:val="24"/>
        </w:rPr>
        <w:t>19</w:t>
      </w:r>
      <w:r w:rsidRPr="00480E13">
        <w:rPr>
          <w:rFonts w:cs="Times New Roman"/>
          <w:sz w:val="24"/>
          <w:szCs w:val="24"/>
        </w:rPr>
        <w:t>(4</w:t>
      </w:r>
      <w:proofErr w:type="gramStart"/>
      <w:r w:rsidRPr="00480E13">
        <w:rPr>
          <w:rFonts w:cs="Times New Roman"/>
          <w:sz w:val="24"/>
          <w:szCs w:val="24"/>
        </w:rPr>
        <w:t>),  448</w:t>
      </w:r>
      <w:proofErr w:type="gramEnd"/>
      <w:r w:rsidRPr="00480E13">
        <w:rPr>
          <w:rFonts w:cs="Times New Roman"/>
          <w:sz w:val="24"/>
          <w:szCs w:val="24"/>
        </w:rPr>
        <w:t xml:space="preserve">–456. https://doi.org/10.18502/ijpa.v19i4.17165 </w:t>
      </w:r>
    </w:p>
    <w:p w14:paraId="2334CA32" w14:textId="77777777" w:rsidR="00A96AB1" w:rsidRPr="00480E13" w:rsidRDefault="00A96AB1" w:rsidP="00A96AB1">
      <w:pPr>
        <w:spacing w:after="100" w:afterAutospacing="1" w:line="276" w:lineRule="auto"/>
        <w:ind w:hanging="706"/>
        <w:jc w:val="both"/>
        <w:rPr>
          <w:rFonts w:cs="Times New Roman"/>
          <w:sz w:val="24"/>
          <w:szCs w:val="24"/>
        </w:rPr>
      </w:pPr>
      <w:proofErr w:type="spellStart"/>
      <w:r w:rsidRPr="00480E13">
        <w:rPr>
          <w:rFonts w:cs="Times New Roman"/>
          <w:sz w:val="24"/>
          <w:szCs w:val="24"/>
        </w:rPr>
        <w:t>Karimou</w:t>
      </w:r>
      <w:proofErr w:type="spellEnd"/>
      <w:r w:rsidRPr="00480E13">
        <w:rPr>
          <w:rFonts w:cs="Times New Roman"/>
          <w:sz w:val="24"/>
          <w:szCs w:val="24"/>
        </w:rPr>
        <w:t>, I. A., Abdou, H., &amp; Issa, M. (2024). Prevalence and risk factors for gastrointestinal parasitosis in small ruminant farms in the Sahelian zone of Niger. </w:t>
      </w:r>
      <w:r w:rsidRPr="00480E13">
        <w:rPr>
          <w:rFonts w:cs="Times New Roman"/>
          <w:i/>
          <w:iCs/>
          <w:sz w:val="24"/>
          <w:szCs w:val="24"/>
        </w:rPr>
        <w:t>Veterinary Parasitology: Regional Studies and Reports</w:t>
      </w:r>
      <w:r w:rsidRPr="00480E13">
        <w:rPr>
          <w:rFonts w:cs="Times New Roman"/>
          <w:sz w:val="24"/>
          <w:szCs w:val="24"/>
        </w:rPr>
        <w:t>, </w:t>
      </w:r>
      <w:r w:rsidRPr="00480E13">
        <w:rPr>
          <w:rFonts w:cs="Times New Roman"/>
          <w:i/>
          <w:iCs/>
          <w:sz w:val="24"/>
          <w:szCs w:val="24"/>
        </w:rPr>
        <w:t>53</w:t>
      </w:r>
      <w:r w:rsidRPr="00480E13">
        <w:rPr>
          <w:rFonts w:cs="Times New Roman"/>
          <w:sz w:val="24"/>
          <w:szCs w:val="24"/>
        </w:rPr>
        <w:t xml:space="preserve">, 101070. </w:t>
      </w:r>
      <w:hyperlink r:id="rId11" w:tgtFrame="_blank" w:tooltip="Persistent link using digital object identifier" w:history="1">
        <w:r w:rsidRPr="00480E13">
          <w:rPr>
            <w:rStyle w:val="Hyperlink"/>
            <w:rFonts w:cs="Times New Roman"/>
            <w:sz w:val="24"/>
            <w:szCs w:val="24"/>
          </w:rPr>
          <w:t>https://doi.org/10.1016/j.vprsr.2024.101070</w:t>
        </w:r>
      </w:hyperlink>
    </w:p>
    <w:p w14:paraId="3B3DAB9E" w14:textId="77777777" w:rsidR="00A96AB1" w:rsidRPr="00480E13" w:rsidRDefault="00A96AB1" w:rsidP="00A96AB1">
      <w:pPr>
        <w:spacing w:after="100" w:afterAutospacing="1" w:line="276" w:lineRule="auto"/>
        <w:ind w:hanging="706"/>
        <w:jc w:val="both"/>
        <w:rPr>
          <w:rFonts w:cs="Times New Roman"/>
          <w:sz w:val="24"/>
          <w:szCs w:val="24"/>
        </w:rPr>
      </w:pPr>
      <w:r w:rsidRPr="00480E13">
        <w:rPr>
          <w:rFonts w:cs="Times New Roman"/>
          <w:sz w:val="24"/>
          <w:szCs w:val="24"/>
        </w:rPr>
        <w:t xml:space="preserve">Kolo, P. S., Maye, A. O., Adama, J. Y., Dauda, K. O., Abel, S. O., &amp; Adeniji, O. E. (2024). Prevalence of Blood Parasites among Goat sold at Livestock Markets in Niger State. International </w:t>
      </w:r>
      <w:r w:rsidRPr="00480E13">
        <w:rPr>
          <w:rFonts w:cs="Times New Roman"/>
          <w:sz w:val="24"/>
          <w:szCs w:val="24"/>
        </w:rPr>
        <w:lastRenderedPageBreak/>
        <w:t xml:space="preserve">Conference of Agriculture and Agricultural Technology. </w:t>
      </w:r>
      <w:hyperlink r:id="rId12" w:history="1">
        <w:r w:rsidRPr="00480E13">
          <w:rPr>
            <w:rStyle w:val="Hyperlink"/>
            <w:rFonts w:cs="Times New Roman"/>
            <w:sz w:val="24"/>
            <w:szCs w:val="24"/>
          </w:rPr>
          <w:br/>
          <w:t>http://irepo.futminna.edu.ng:8080/jspui/handle/123456789/29225</w:t>
        </w:r>
      </w:hyperlink>
    </w:p>
    <w:p w14:paraId="47EDA2DE" w14:textId="77777777" w:rsidR="00A96AB1" w:rsidRPr="00480E13" w:rsidRDefault="00A96AB1" w:rsidP="00A96AB1">
      <w:pPr>
        <w:spacing w:after="100" w:afterAutospacing="1" w:line="276" w:lineRule="auto"/>
        <w:ind w:hanging="706"/>
        <w:jc w:val="both"/>
        <w:rPr>
          <w:rFonts w:cs="Times New Roman"/>
          <w:sz w:val="24"/>
          <w:szCs w:val="24"/>
        </w:rPr>
      </w:pPr>
      <w:proofErr w:type="spellStart"/>
      <w:r w:rsidRPr="00480E13">
        <w:rPr>
          <w:rFonts w:cs="Times New Roman"/>
          <w:sz w:val="24"/>
          <w:szCs w:val="24"/>
        </w:rPr>
        <w:t>Mogaji</w:t>
      </w:r>
      <w:proofErr w:type="spellEnd"/>
      <w:r w:rsidRPr="00480E13">
        <w:rPr>
          <w:rFonts w:cs="Times New Roman"/>
          <w:sz w:val="24"/>
          <w:szCs w:val="24"/>
        </w:rPr>
        <w:t xml:space="preserve">, H. O., Akinwale, P. I., Adekunle, O. N., Ajayi, O. A., Odoh, I. M., &amp; Ekpo, U. F. (2021). Gastrointestinal parasites of domesticated pets and livestock in </w:t>
      </w:r>
      <w:proofErr w:type="spellStart"/>
      <w:r w:rsidRPr="00480E13">
        <w:rPr>
          <w:rFonts w:cs="Times New Roman"/>
          <w:sz w:val="24"/>
          <w:szCs w:val="24"/>
        </w:rPr>
        <w:t>Idofin</w:t>
      </w:r>
      <w:proofErr w:type="spellEnd"/>
      <w:r w:rsidRPr="00480E13">
        <w:rPr>
          <w:rFonts w:cs="Times New Roman"/>
          <w:sz w:val="24"/>
          <w:szCs w:val="24"/>
        </w:rPr>
        <w:t xml:space="preserve"> area of Ekiti State, Nigeria. </w:t>
      </w:r>
      <w:r w:rsidRPr="00480E13">
        <w:rPr>
          <w:rFonts w:cs="Times New Roman"/>
          <w:i/>
          <w:iCs/>
          <w:sz w:val="24"/>
          <w:szCs w:val="24"/>
        </w:rPr>
        <w:t>FUOYE Journal of Pure and Applied Sciences (FJPAS)</w:t>
      </w:r>
      <w:r w:rsidRPr="00480E13">
        <w:rPr>
          <w:rFonts w:cs="Times New Roman"/>
          <w:sz w:val="24"/>
          <w:szCs w:val="24"/>
        </w:rPr>
        <w:t>, </w:t>
      </w:r>
      <w:r w:rsidRPr="00480E13">
        <w:rPr>
          <w:rFonts w:cs="Times New Roman"/>
          <w:i/>
          <w:iCs/>
          <w:sz w:val="24"/>
          <w:szCs w:val="24"/>
        </w:rPr>
        <w:t>6</w:t>
      </w:r>
      <w:r w:rsidRPr="00480E13">
        <w:rPr>
          <w:rFonts w:cs="Times New Roman"/>
          <w:sz w:val="24"/>
          <w:szCs w:val="24"/>
        </w:rPr>
        <w:t xml:space="preserve">(1), 1-9. </w:t>
      </w:r>
    </w:p>
    <w:p w14:paraId="028DE9A8" w14:textId="77777777" w:rsidR="00A96AB1" w:rsidRPr="00480E13" w:rsidRDefault="00A96AB1" w:rsidP="00A96AB1">
      <w:pPr>
        <w:spacing w:after="100" w:afterAutospacing="1" w:line="276" w:lineRule="auto"/>
        <w:ind w:hanging="706"/>
        <w:jc w:val="both"/>
        <w:rPr>
          <w:rFonts w:cs="Times New Roman"/>
          <w:sz w:val="24"/>
          <w:szCs w:val="24"/>
        </w:rPr>
      </w:pPr>
      <w:proofErr w:type="spellStart"/>
      <w:r w:rsidRPr="00480E13">
        <w:rPr>
          <w:rFonts w:cs="Times New Roman"/>
          <w:sz w:val="24"/>
          <w:szCs w:val="24"/>
        </w:rPr>
        <w:t>Ngongeh</w:t>
      </w:r>
      <w:proofErr w:type="spellEnd"/>
      <w:r w:rsidRPr="00480E13">
        <w:rPr>
          <w:rFonts w:cs="Times New Roman"/>
          <w:sz w:val="24"/>
          <w:szCs w:val="24"/>
        </w:rPr>
        <w:t xml:space="preserve">, L. A., &amp; </w:t>
      </w:r>
      <w:proofErr w:type="spellStart"/>
      <w:r w:rsidRPr="00480E13">
        <w:rPr>
          <w:rFonts w:cs="Times New Roman"/>
          <w:sz w:val="24"/>
          <w:szCs w:val="24"/>
        </w:rPr>
        <w:t>Onyeabor</w:t>
      </w:r>
      <w:proofErr w:type="spellEnd"/>
      <w:r w:rsidRPr="00480E13">
        <w:rPr>
          <w:rFonts w:cs="Times New Roman"/>
          <w:sz w:val="24"/>
          <w:szCs w:val="24"/>
        </w:rPr>
        <w:t xml:space="preserve">, A. (2015). Comparative response of the West African Dwarf goats to experimental infections with Red Sokoto and West African Dwarf goat isolates of </w:t>
      </w:r>
      <w:proofErr w:type="spellStart"/>
      <w:r w:rsidRPr="00480E13">
        <w:rPr>
          <w:rFonts w:cs="Times New Roman"/>
          <w:sz w:val="24"/>
          <w:szCs w:val="24"/>
        </w:rPr>
        <w:t>Haemonchus</w:t>
      </w:r>
      <w:proofErr w:type="spellEnd"/>
      <w:r w:rsidRPr="00480E13">
        <w:rPr>
          <w:rFonts w:cs="Times New Roman"/>
          <w:sz w:val="24"/>
          <w:szCs w:val="24"/>
        </w:rPr>
        <w:t xml:space="preserve"> </w:t>
      </w:r>
      <w:proofErr w:type="spellStart"/>
      <w:r w:rsidRPr="00480E13">
        <w:rPr>
          <w:rFonts w:cs="Times New Roman"/>
          <w:sz w:val="24"/>
          <w:szCs w:val="24"/>
        </w:rPr>
        <w:t>contortus</w:t>
      </w:r>
      <w:proofErr w:type="spellEnd"/>
      <w:r w:rsidRPr="00480E13">
        <w:rPr>
          <w:rFonts w:cs="Times New Roman"/>
          <w:sz w:val="24"/>
          <w:szCs w:val="24"/>
        </w:rPr>
        <w:t>. </w:t>
      </w:r>
      <w:r w:rsidRPr="00480E13">
        <w:rPr>
          <w:rFonts w:cs="Times New Roman"/>
          <w:i/>
          <w:iCs/>
          <w:sz w:val="24"/>
          <w:szCs w:val="24"/>
        </w:rPr>
        <w:t>Journal of Pathogens</w:t>
      </w:r>
      <w:r w:rsidRPr="00480E13">
        <w:rPr>
          <w:rFonts w:cs="Times New Roman"/>
          <w:sz w:val="24"/>
          <w:szCs w:val="24"/>
        </w:rPr>
        <w:t>, </w:t>
      </w:r>
      <w:r w:rsidRPr="00480E13">
        <w:rPr>
          <w:rFonts w:cs="Times New Roman"/>
          <w:i/>
          <w:iCs/>
          <w:sz w:val="24"/>
          <w:szCs w:val="24"/>
        </w:rPr>
        <w:t>2015</w:t>
      </w:r>
      <w:r w:rsidRPr="00480E13">
        <w:rPr>
          <w:rFonts w:cs="Times New Roman"/>
          <w:sz w:val="24"/>
          <w:szCs w:val="24"/>
        </w:rPr>
        <w:t xml:space="preserve">(1), 728210. </w:t>
      </w:r>
      <w:hyperlink r:id="rId13" w:history="1">
        <w:r w:rsidRPr="00480E13">
          <w:rPr>
            <w:rStyle w:val="Hyperlink"/>
            <w:rFonts w:cs="Times New Roman"/>
            <w:b/>
            <w:bCs/>
            <w:sz w:val="24"/>
            <w:szCs w:val="24"/>
          </w:rPr>
          <w:t>https://doi.org/10.1155/2015/728210</w:t>
        </w:r>
      </w:hyperlink>
    </w:p>
    <w:p w14:paraId="19497EB1" w14:textId="77777777" w:rsidR="00A96AB1" w:rsidRPr="00480E13" w:rsidRDefault="00A96AB1" w:rsidP="00A96AB1">
      <w:pPr>
        <w:spacing w:after="100" w:afterAutospacing="1" w:line="276" w:lineRule="auto"/>
        <w:ind w:hanging="706"/>
        <w:jc w:val="both"/>
        <w:rPr>
          <w:rFonts w:cs="Times New Roman"/>
          <w:sz w:val="24"/>
          <w:szCs w:val="24"/>
        </w:rPr>
      </w:pPr>
      <w:proofErr w:type="spellStart"/>
      <w:r w:rsidRPr="00480E13">
        <w:rPr>
          <w:rFonts w:cs="Times New Roman"/>
          <w:sz w:val="24"/>
          <w:szCs w:val="24"/>
        </w:rPr>
        <w:t>Ntonifor</w:t>
      </w:r>
      <w:proofErr w:type="spellEnd"/>
      <w:r w:rsidRPr="00480E13">
        <w:rPr>
          <w:rFonts w:cs="Times New Roman"/>
          <w:sz w:val="24"/>
          <w:szCs w:val="24"/>
        </w:rPr>
        <w:t xml:space="preserve">, H., Shei, S., </w:t>
      </w:r>
      <w:proofErr w:type="spellStart"/>
      <w:r w:rsidRPr="00480E13">
        <w:rPr>
          <w:rFonts w:cs="Times New Roman"/>
          <w:sz w:val="24"/>
          <w:szCs w:val="24"/>
        </w:rPr>
        <w:t>Ndaleh</w:t>
      </w:r>
      <w:proofErr w:type="spellEnd"/>
      <w:r w:rsidRPr="00480E13">
        <w:rPr>
          <w:rFonts w:cs="Times New Roman"/>
          <w:sz w:val="24"/>
          <w:szCs w:val="24"/>
        </w:rPr>
        <w:t xml:space="preserve">, N., &amp; </w:t>
      </w:r>
      <w:proofErr w:type="spellStart"/>
      <w:r w:rsidRPr="00480E13">
        <w:rPr>
          <w:rFonts w:cs="Times New Roman"/>
          <w:sz w:val="24"/>
          <w:szCs w:val="24"/>
        </w:rPr>
        <w:t>Mbunkur</w:t>
      </w:r>
      <w:proofErr w:type="spellEnd"/>
      <w:r w:rsidRPr="00480E13">
        <w:rPr>
          <w:rFonts w:cs="Times New Roman"/>
          <w:sz w:val="24"/>
          <w:szCs w:val="24"/>
        </w:rPr>
        <w:t xml:space="preserve">, G. (2013). Epidemiological studies of gastrointestinal parasitic infections in ruminants in </w:t>
      </w:r>
      <w:proofErr w:type="spellStart"/>
      <w:r w:rsidRPr="00480E13">
        <w:rPr>
          <w:rFonts w:cs="Times New Roman"/>
          <w:sz w:val="24"/>
          <w:szCs w:val="24"/>
        </w:rPr>
        <w:t>Jakiri</w:t>
      </w:r>
      <w:proofErr w:type="spellEnd"/>
      <w:r w:rsidRPr="00480E13">
        <w:rPr>
          <w:rFonts w:cs="Times New Roman"/>
          <w:sz w:val="24"/>
          <w:szCs w:val="24"/>
        </w:rPr>
        <w:t>, Bui Division, North West Region of Cameroon. </w:t>
      </w:r>
      <w:r w:rsidRPr="00480E13">
        <w:rPr>
          <w:rFonts w:cs="Times New Roman"/>
          <w:i/>
          <w:iCs/>
          <w:sz w:val="24"/>
          <w:szCs w:val="24"/>
        </w:rPr>
        <w:t>J Vet Med Anim Health</w:t>
      </w:r>
      <w:r w:rsidRPr="00480E13">
        <w:rPr>
          <w:rFonts w:cs="Times New Roman"/>
          <w:sz w:val="24"/>
          <w:szCs w:val="24"/>
        </w:rPr>
        <w:t>, </w:t>
      </w:r>
      <w:r w:rsidRPr="00480E13">
        <w:rPr>
          <w:rFonts w:cs="Times New Roman"/>
          <w:i/>
          <w:iCs/>
          <w:sz w:val="24"/>
          <w:szCs w:val="24"/>
        </w:rPr>
        <w:t>5</w:t>
      </w:r>
      <w:r w:rsidRPr="00480E13">
        <w:rPr>
          <w:rFonts w:cs="Times New Roman"/>
          <w:sz w:val="24"/>
          <w:szCs w:val="24"/>
        </w:rPr>
        <w:t xml:space="preserve">(12), 344-52. </w:t>
      </w:r>
    </w:p>
    <w:p w14:paraId="338E09AC" w14:textId="77777777" w:rsidR="00A96AB1" w:rsidRPr="00480E13" w:rsidRDefault="00A96AB1" w:rsidP="00A96AB1">
      <w:pPr>
        <w:spacing w:after="100" w:afterAutospacing="1" w:line="276" w:lineRule="auto"/>
        <w:ind w:hanging="706"/>
        <w:jc w:val="both"/>
        <w:rPr>
          <w:rFonts w:cs="Times New Roman"/>
          <w:sz w:val="24"/>
          <w:szCs w:val="24"/>
        </w:rPr>
      </w:pPr>
      <w:proofErr w:type="spellStart"/>
      <w:r w:rsidRPr="00480E13">
        <w:rPr>
          <w:rFonts w:cs="Times New Roman"/>
          <w:sz w:val="24"/>
          <w:szCs w:val="24"/>
        </w:rPr>
        <w:t>Omoike</w:t>
      </w:r>
      <w:proofErr w:type="spellEnd"/>
      <w:r w:rsidRPr="00480E13">
        <w:rPr>
          <w:rFonts w:cs="Times New Roman"/>
          <w:sz w:val="24"/>
          <w:szCs w:val="24"/>
        </w:rPr>
        <w:t xml:space="preserve">, A., </w:t>
      </w:r>
      <w:proofErr w:type="spellStart"/>
      <w:r w:rsidRPr="00480E13">
        <w:rPr>
          <w:rFonts w:cs="Times New Roman"/>
          <w:sz w:val="24"/>
          <w:szCs w:val="24"/>
        </w:rPr>
        <w:t>Ikhimioya</w:t>
      </w:r>
      <w:proofErr w:type="spellEnd"/>
      <w:r w:rsidRPr="00480E13">
        <w:rPr>
          <w:rFonts w:cs="Times New Roman"/>
          <w:sz w:val="24"/>
          <w:szCs w:val="24"/>
        </w:rPr>
        <w:t>, I., &amp; Akintayo, A. (2015). Seasonal distribution of major diseases among sheep and goats in selected sub humid areas in Nigeria. </w:t>
      </w:r>
      <w:r w:rsidRPr="00480E13">
        <w:rPr>
          <w:rFonts w:cs="Times New Roman"/>
          <w:i/>
          <w:iCs/>
          <w:sz w:val="24"/>
          <w:szCs w:val="24"/>
        </w:rPr>
        <w:t>Journal of Agriculture, Science and Technology</w:t>
      </w:r>
      <w:r w:rsidRPr="00480E13">
        <w:rPr>
          <w:rFonts w:cs="Times New Roman"/>
          <w:sz w:val="24"/>
          <w:szCs w:val="24"/>
        </w:rPr>
        <w:t>, </w:t>
      </w:r>
      <w:r w:rsidRPr="00480E13">
        <w:rPr>
          <w:rFonts w:cs="Times New Roman"/>
          <w:i/>
          <w:iCs/>
          <w:sz w:val="24"/>
          <w:szCs w:val="24"/>
        </w:rPr>
        <w:t>16</w:t>
      </w:r>
      <w:r w:rsidRPr="00480E13">
        <w:rPr>
          <w:rFonts w:cs="Times New Roman"/>
          <w:sz w:val="24"/>
          <w:szCs w:val="24"/>
        </w:rPr>
        <w:t>(2), 87–95. https://doi.org/10.4314/jagst.v16i2.</w:t>
      </w:r>
    </w:p>
    <w:p w14:paraId="6B15CCE5" w14:textId="77777777" w:rsidR="00A96AB1" w:rsidRPr="00480E13" w:rsidRDefault="00A96AB1" w:rsidP="00A96AB1">
      <w:pPr>
        <w:spacing w:after="100" w:afterAutospacing="1" w:line="276" w:lineRule="auto"/>
        <w:ind w:hanging="706"/>
        <w:jc w:val="both"/>
        <w:rPr>
          <w:rFonts w:cs="Times New Roman"/>
          <w:sz w:val="24"/>
          <w:szCs w:val="24"/>
        </w:rPr>
      </w:pPr>
      <w:r w:rsidRPr="00480E13">
        <w:rPr>
          <w:rFonts w:cs="Times New Roman"/>
          <w:sz w:val="24"/>
          <w:szCs w:val="24"/>
        </w:rPr>
        <w:t>Rufai, M. A., Ajayi, O. G., &amp; Easter, O. O. (2019). Pasture parasite load and egg output by gastrointestinal parasites among two cattle breeds (</w:t>
      </w:r>
      <w:proofErr w:type="spellStart"/>
      <w:r w:rsidRPr="00480E13">
        <w:rPr>
          <w:rFonts w:cs="Times New Roman"/>
          <w:sz w:val="24"/>
          <w:szCs w:val="24"/>
        </w:rPr>
        <w:t>sokoto</w:t>
      </w:r>
      <w:proofErr w:type="spellEnd"/>
      <w:r w:rsidRPr="00480E13">
        <w:rPr>
          <w:rFonts w:cs="Times New Roman"/>
          <w:sz w:val="24"/>
          <w:szCs w:val="24"/>
        </w:rPr>
        <w:t xml:space="preserve"> </w:t>
      </w:r>
      <w:proofErr w:type="spellStart"/>
      <w:r w:rsidRPr="00480E13">
        <w:rPr>
          <w:rFonts w:cs="Times New Roman"/>
          <w:sz w:val="24"/>
          <w:szCs w:val="24"/>
        </w:rPr>
        <w:t>gudali</w:t>
      </w:r>
      <w:proofErr w:type="spellEnd"/>
      <w:r w:rsidRPr="00480E13">
        <w:rPr>
          <w:rFonts w:cs="Times New Roman"/>
          <w:sz w:val="24"/>
          <w:szCs w:val="24"/>
        </w:rPr>
        <w:t xml:space="preserve"> and white </w:t>
      </w:r>
      <w:proofErr w:type="spellStart"/>
      <w:r w:rsidRPr="00480E13">
        <w:rPr>
          <w:rFonts w:cs="Times New Roman"/>
          <w:sz w:val="24"/>
          <w:szCs w:val="24"/>
        </w:rPr>
        <w:t>fulani</w:t>
      </w:r>
      <w:proofErr w:type="spellEnd"/>
      <w:r w:rsidRPr="00480E13">
        <w:rPr>
          <w:rFonts w:cs="Times New Roman"/>
          <w:sz w:val="24"/>
          <w:szCs w:val="24"/>
        </w:rPr>
        <w:t xml:space="preserve">) in some selected locations in </w:t>
      </w:r>
      <w:proofErr w:type="spellStart"/>
      <w:r w:rsidRPr="00480E13">
        <w:rPr>
          <w:rFonts w:cs="Times New Roman"/>
          <w:sz w:val="24"/>
          <w:szCs w:val="24"/>
        </w:rPr>
        <w:t>osogbo</w:t>
      </w:r>
      <w:proofErr w:type="spellEnd"/>
      <w:r w:rsidRPr="00480E13">
        <w:rPr>
          <w:rFonts w:cs="Times New Roman"/>
          <w:sz w:val="24"/>
          <w:szCs w:val="24"/>
        </w:rPr>
        <w:t>, Southwestern Nigeria. </w:t>
      </w:r>
      <w:r w:rsidRPr="00480E13">
        <w:rPr>
          <w:rFonts w:cs="Times New Roman"/>
          <w:i/>
          <w:iCs/>
          <w:sz w:val="24"/>
          <w:szCs w:val="24"/>
        </w:rPr>
        <w:t>Annales of West University of Timisoara. Series of Biology</w:t>
      </w:r>
      <w:r w:rsidRPr="00480E13">
        <w:rPr>
          <w:rFonts w:cs="Times New Roman"/>
          <w:sz w:val="24"/>
          <w:szCs w:val="24"/>
        </w:rPr>
        <w:t>, </w:t>
      </w:r>
      <w:r w:rsidRPr="00480E13">
        <w:rPr>
          <w:rFonts w:cs="Times New Roman"/>
          <w:i/>
          <w:iCs/>
          <w:sz w:val="24"/>
          <w:szCs w:val="24"/>
        </w:rPr>
        <w:t>22</w:t>
      </w:r>
      <w:r w:rsidRPr="00480E13">
        <w:rPr>
          <w:rFonts w:cs="Times New Roman"/>
          <w:sz w:val="24"/>
          <w:szCs w:val="24"/>
        </w:rPr>
        <w:t xml:space="preserve">(1), 25-34. </w:t>
      </w:r>
    </w:p>
    <w:p w14:paraId="3E625CFC" w14:textId="77777777" w:rsidR="00A96AB1" w:rsidRPr="00480E13" w:rsidRDefault="00A96AB1" w:rsidP="00A96AB1">
      <w:pPr>
        <w:spacing w:after="100" w:afterAutospacing="1" w:line="276" w:lineRule="auto"/>
        <w:ind w:hanging="706"/>
        <w:jc w:val="both"/>
        <w:rPr>
          <w:rFonts w:cs="Times New Roman"/>
          <w:sz w:val="24"/>
          <w:szCs w:val="24"/>
        </w:rPr>
      </w:pPr>
      <w:r w:rsidRPr="00480E13">
        <w:rPr>
          <w:rFonts w:cs="Times New Roman"/>
          <w:sz w:val="24"/>
          <w:szCs w:val="24"/>
        </w:rPr>
        <w:t xml:space="preserve">Salisu, D., </w:t>
      </w:r>
      <w:proofErr w:type="spellStart"/>
      <w:r w:rsidRPr="00480E13">
        <w:rPr>
          <w:rFonts w:cs="Times New Roman"/>
          <w:sz w:val="24"/>
          <w:szCs w:val="24"/>
        </w:rPr>
        <w:t>Ukatu</w:t>
      </w:r>
      <w:proofErr w:type="spellEnd"/>
      <w:r w:rsidRPr="00480E13">
        <w:rPr>
          <w:rFonts w:cs="Times New Roman"/>
          <w:sz w:val="24"/>
          <w:szCs w:val="24"/>
        </w:rPr>
        <w:t xml:space="preserve">, V. E., &amp; Isyaku, N. T. (2024). </w:t>
      </w:r>
      <w:proofErr w:type="spellStart"/>
      <w:r w:rsidRPr="00480E13">
        <w:rPr>
          <w:rFonts w:cs="Times New Roman"/>
          <w:sz w:val="24"/>
          <w:szCs w:val="24"/>
        </w:rPr>
        <w:t>Haemonchus</w:t>
      </w:r>
      <w:proofErr w:type="spellEnd"/>
      <w:r w:rsidRPr="00480E13">
        <w:rPr>
          <w:rFonts w:cs="Times New Roman"/>
          <w:sz w:val="24"/>
          <w:szCs w:val="24"/>
        </w:rPr>
        <w:t xml:space="preserve"> </w:t>
      </w:r>
      <w:proofErr w:type="spellStart"/>
      <w:r w:rsidRPr="00480E13">
        <w:rPr>
          <w:rFonts w:cs="Times New Roman"/>
          <w:sz w:val="24"/>
          <w:szCs w:val="24"/>
        </w:rPr>
        <w:t>contortus</w:t>
      </w:r>
      <w:proofErr w:type="spellEnd"/>
      <w:r w:rsidRPr="00480E13">
        <w:rPr>
          <w:rFonts w:cs="Times New Roman"/>
          <w:sz w:val="24"/>
          <w:szCs w:val="24"/>
        </w:rPr>
        <w:t xml:space="preserve"> of Small Ruminants </w:t>
      </w:r>
      <w:proofErr w:type="spellStart"/>
      <w:r w:rsidRPr="00480E13">
        <w:rPr>
          <w:rFonts w:cs="Times New Roman"/>
          <w:sz w:val="24"/>
          <w:szCs w:val="24"/>
        </w:rPr>
        <w:t>Slaughtere</w:t>
      </w:r>
      <w:proofErr w:type="spellEnd"/>
      <w:r w:rsidRPr="00480E13">
        <w:rPr>
          <w:rFonts w:cs="Times New Roman"/>
          <w:sz w:val="24"/>
          <w:szCs w:val="24"/>
        </w:rPr>
        <w:t xml:space="preserve"> at </w:t>
      </w:r>
      <w:proofErr w:type="spellStart"/>
      <w:r w:rsidRPr="00480E13">
        <w:rPr>
          <w:rFonts w:cs="Times New Roman"/>
          <w:sz w:val="24"/>
          <w:szCs w:val="24"/>
        </w:rPr>
        <w:t>Talata</w:t>
      </w:r>
      <w:proofErr w:type="spellEnd"/>
      <w:r w:rsidRPr="00480E13">
        <w:rPr>
          <w:rFonts w:cs="Times New Roman"/>
          <w:sz w:val="24"/>
          <w:szCs w:val="24"/>
        </w:rPr>
        <w:t xml:space="preserve"> </w:t>
      </w:r>
      <w:proofErr w:type="spellStart"/>
      <w:r w:rsidRPr="00480E13">
        <w:rPr>
          <w:rFonts w:cs="Times New Roman"/>
          <w:sz w:val="24"/>
          <w:szCs w:val="24"/>
        </w:rPr>
        <w:t>Mafara</w:t>
      </w:r>
      <w:proofErr w:type="spellEnd"/>
      <w:r w:rsidRPr="00480E13">
        <w:rPr>
          <w:rFonts w:cs="Times New Roman"/>
          <w:sz w:val="24"/>
          <w:szCs w:val="24"/>
        </w:rPr>
        <w:t xml:space="preserve"> Central Abattoir. </w:t>
      </w:r>
      <w:r w:rsidRPr="00480E13">
        <w:rPr>
          <w:rFonts w:cs="Times New Roman"/>
          <w:i/>
          <w:iCs/>
          <w:sz w:val="24"/>
          <w:szCs w:val="24"/>
        </w:rPr>
        <w:t>Zamfara State, Nigeria</w:t>
      </w:r>
      <w:r w:rsidRPr="00480E13">
        <w:rPr>
          <w:rFonts w:cs="Times New Roman"/>
          <w:sz w:val="24"/>
          <w:szCs w:val="24"/>
        </w:rPr>
        <w:t xml:space="preserve">. Sirbu, C. B., Imre, K., </w:t>
      </w:r>
      <w:proofErr w:type="spellStart"/>
      <w:r w:rsidRPr="00480E13">
        <w:rPr>
          <w:rFonts w:cs="Times New Roman"/>
          <w:sz w:val="24"/>
          <w:szCs w:val="24"/>
        </w:rPr>
        <w:t>Darabus</w:t>
      </w:r>
      <w:proofErr w:type="spellEnd"/>
      <w:r w:rsidRPr="00480E13">
        <w:rPr>
          <w:rFonts w:cs="Times New Roman"/>
          <w:sz w:val="24"/>
          <w:szCs w:val="24"/>
        </w:rPr>
        <w:t xml:space="preserve">, G., </w:t>
      </w:r>
      <w:proofErr w:type="spellStart"/>
      <w:r w:rsidRPr="00480E13">
        <w:rPr>
          <w:rFonts w:cs="Times New Roman"/>
          <w:sz w:val="24"/>
          <w:szCs w:val="24"/>
        </w:rPr>
        <w:t>Suici</w:t>
      </w:r>
      <w:proofErr w:type="spellEnd"/>
      <w:r w:rsidRPr="00480E13">
        <w:rPr>
          <w:rFonts w:cs="Times New Roman"/>
          <w:sz w:val="24"/>
          <w:szCs w:val="24"/>
        </w:rPr>
        <w:t xml:space="preserve">, T., Mates, B., &amp; Morariu, S. (2020). Prevalence of </w:t>
      </w:r>
      <w:r w:rsidRPr="00480E13">
        <w:rPr>
          <w:rFonts w:cs="Times New Roman"/>
          <w:i/>
          <w:iCs/>
          <w:sz w:val="24"/>
          <w:szCs w:val="24"/>
        </w:rPr>
        <w:t>Veterinary &amp; Animal Sciences</w:t>
      </w:r>
      <w:r w:rsidRPr="00480E13">
        <w:rPr>
          <w:rFonts w:cs="Times New Roman"/>
          <w:sz w:val="24"/>
          <w:szCs w:val="24"/>
        </w:rPr>
        <w:t>, </w:t>
      </w:r>
      <w:r w:rsidRPr="00480E13">
        <w:rPr>
          <w:rFonts w:cs="Times New Roman"/>
          <w:i/>
          <w:iCs/>
          <w:sz w:val="24"/>
          <w:szCs w:val="24"/>
        </w:rPr>
        <w:t>44</w:t>
      </w:r>
      <w:r w:rsidRPr="00480E13">
        <w:rPr>
          <w:rFonts w:cs="Times New Roman"/>
          <w:sz w:val="24"/>
          <w:szCs w:val="24"/>
        </w:rPr>
        <w:t>(3), 581-587. 10.3906/vet-1912-59</w:t>
      </w:r>
    </w:p>
    <w:p w14:paraId="5E9609AF" w14:textId="77777777" w:rsidR="00A96AB1" w:rsidRPr="00480E13" w:rsidRDefault="00A96AB1" w:rsidP="00A96AB1">
      <w:pPr>
        <w:spacing w:after="100" w:afterAutospacing="1" w:line="276" w:lineRule="auto"/>
        <w:ind w:hanging="706"/>
        <w:jc w:val="both"/>
        <w:rPr>
          <w:rFonts w:cs="Times New Roman"/>
          <w:sz w:val="24"/>
          <w:szCs w:val="24"/>
        </w:rPr>
      </w:pPr>
      <w:r w:rsidRPr="00480E13">
        <w:rPr>
          <w:rFonts w:cs="Times New Roman"/>
          <w:sz w:val="24"/>
          <w:szCs w:val="24"/>
        </w:rPr>
        <w:t>Sulaiman, A. B. D. U. L. S. A. L. A. M., Huan, P. E. N. G., Shi-Ming, L., Wen-Kun, H., Ling-An, K., &amp; De-liang, P. E. N. G. (2022). Molecular and morphological characterization of stunt nematodes of wheat, maize, and rice in the savannahs of northern Nigeria. </w:t>
      </w:r>
      <w:r w:rsidRPr="00480E13">
        <w:rPr>
          <w:rFonts w:cs="Times New Roman"/>
          <w:i/>
          <w:iCs/>
          <w:sz w:val="24"/>
          <w:szCs w:val="24"/>
        </w:rPr>
        <w:t>Journal of Integrative Agriculture</w:t>
      </w:r>
      <w:r w:rsidRPr="00480E13">
        <w:rPr>
          <w:rFonts w:cs="Times New Roman"/>
          <w:sz w:val="24"/>
          <w:szCs w:val="24"/>
        </w:rPr>
        <w:t>, </w:t>
      </w:r>
      <w:r w:rsidRPr="00480E13">
        <w:rPr>
          <w:rFonts w:cs="Times New Roman"/>
          <w:i/>
          <w:iCs/>
          <w:sz w:val="24"/>
          <w:szCs w:val="24"/>
        </w:rPr>
        <w:t>21</w:t>
      </w:r>
      <w:r w:rsidRPr="00480E13">
        <w:rPr>
          <w:rFonts w:cs="Times New Roman"/>
          <w:sz w:val="24"/>
          <w:szCs w:val="24"/>
        </w:rPr>
        <w:t xml:space="preserve">(2), 586-595. </w:t>
      </w:r>
      <w:hyperlink r:id="rId14" w:tgtFrame="_blank" w:tooltip="Persistent link using digital object identifier" w:history="1">
        <w:r w:rsidRPr="00480E13">
          <w:rPr>
            <w:rStyle w:val="Hyperlink"/>
            <w:rFonts w:cs="Times New Roman"/>
            <w:sz w:val="24"/>
            <w:szCs w:val="24"/>
          </w:rPr>
          <w:t>https://doi.org/10.1016/S2095-3119(21)63696-1</w:t>
        </w:r>
      </w:hyperlink>
    </w:p>
    <w:p w14:paraId="3CFE6C1F" w14:textId="77777777" w:rsidR="00A96AB1" w:rsidRPr="00480E13" w:rsidRDefault="00A96AB1" w:rsidP="00A96AB1">
      <w:pPr>
        <w:spacing w:after="100" w:afterAutospacing="1" w:line="276" w:lineRule="auto"/>
        <w:ind w:hanging="706"/>
        <w:jc w:val="both"/>
        <w:rPr>
          <w:rFonts w:cs="Times New Roman"/>
          <w:sz w:val="24"/>
          <w:szCs w:val="24"/>
        </w:rPr>
      </w:pPr>
      <w:r w:rsidRPr="00480E13">
        <w:rPr>
          <w:rFonts w:cs="Times New Roman"/>
          <w:sz w:val="24"/>
          <w:szCs w:val="24"/>
        </w:rPr>
        <w:t>Umar, Y. A., Babayo, S. A., &amp; Mao, P. S. (2018). Gastrointestinal helminths of slaughtered cattle in Bauchi Central Abattoir, Bauchi state, Nigeria. </w:t>
      </w:r>
      <w:r w:rsidRPr="00480E13">
        <w:rPr>
          <w:rFonts w:cs="Times New Roman"/>
          <w:i/>
          <w:iCs/>
          <w:sz w:val="24"/>
          <w:szCs w:val="24"/>
        </w:rPr>
        <w:t>GSC Biological and Pharmaceutical Sciences</w:t>
      </w:r>
      <w:r w:rsidRPr="00480E13">
        <w:rPr>
          <w:rFonts w:cs="Times New Roman"/>
          <w:sz w:val="24"/>
          <w:szCs w:val="24"/>
        </w:rPr>
        <w:t>, </w:t>
      </w:r>
      <w:r w:rsidRPr="00480E13">
        <w:rPr>
          <w:rFonts w:cs="Times New Roman"/>
          <w:i/>
          <w:iCs/>
          <w:sz w:val="24"/>
          <w:szCs w:val="24"/>
        </w:rPr>
        <w:t>4</w:t>
      </w:r>
      <w:r w:rsidRPr="00480E13">
        <w:rPr>
          <w:rFonts w:cs="Times New Roman"/>
          <w:sz w:val="24"/>
          <w:szCs w:val="24"/>
        </w:rPr>
        <w:t xml:space="preserve">(2), 58-65. </w:t>
      </w:r>
      <w:hyperlink r:id="rId15" w:tgtFrame="_blank" w:history="1">
        <w:r w:rsidRPr="00480E13">
          <w:rPr>
            <w:rStyle w:val="Hyperlink"/>
            <w:rFonts w:cs="Times New Roman"/>
            <w:sz w:val="24"/>
            <w:szCs w:val="24"/>
          </w:rPr>
          <w:t>https://doi.org/10.30574/gscbps.2018.4.2.0036</w:t>
        </w:r>
      </w:hyperlink>
    </w:p>
    <w:p w14:paraId="0786AA2C" w14:textId="27A8AEF1" w:rsidR="00A96AB1" w:rsidRPr="00480E13" w:rsidRDefault="00A96AB1" w:rsidP="00A96AB1">
      <w:pPr>
        <w:spacing w:after="100" w:afterAutospacing="1" w:line="276" w:lineRule="auto"/>
        <w:ind w:hanging="706"/>
        <w:jc w:val="both"/>
        <w:rPr>
          <w:rStyle w:val="Hyperlink"/>
          <w:rFonts w:cs="Times New Roman"/>
          <w:sz w:val="24"/>
          <w:szCs w:val="24"/>
        </w:rPr>
      </w:pPr>
      <w:r w:rsidRPr="00480E13">
        <w:rPr>
          <w:rFonts w:cs="Times New Roman"/>
          <w:sz w:val="24"/>
          <w:szCs w:val="24"/>
        </w:rPr>
        <w:t xml:space="preserve">Zvinorova, P. I., Halimani, T. E., </w:t>
      </w:r>
      <w:proofErr w:type="spellStart"/>
      <w:r w:rsidRPr="00480E13">
        <w:rPr>
          <w:rFonts w:cs="Times New Roman"/>
          <w:sz w:val="24"/>
          <w:szCs w:val="24"/>
        </w:rPr>
        <w:t>Muchadeyi</w:t>
      </w:r>
      <w:proofErr w:type="spellEnd"/>
      <w:r w:rsidRPr="00480E13">
        <w:rPr>
          <w:rFonts w:cs="Times New Roman"/>
          <w:sz w:val="24"/>
          <w:szCs w:val="24"/>
        </w:rPr>
        <w:t>, F. C., Matika, O., Riggio, V., &amp; Dzama, K. (2016). Breeding for resistance to gastrointestinal nematodes–the potential in low-input/output small ruminant production systems. </w:t>
      </w:r>
      <w:r w:rsidRPr="00480E13">
        <w:rPr>
          <w:rFonts w:cs="Times New Roman"/>
          <w:i/>
          <w:iCs/>
          <w:sz w:val="24"/>
          <w:szCs w:val="24"/>
        </w:rPr>
        <w:t>Veterinary parasitology</w:t>
      </w:r>
      <w:r w:rsidRPr="00480E13">
        <w:rPr>
          <w:rFonts w:cs="Times New Roman"/>
          <w:sz w:val="24"/>
          <w:szCs w:val="24"/>
        </w:rPr>
        <w:t>, </w:t>
      </w:r>
      <w:r w:rsidRPr="00480E13">
        <w:rPr>
          <w:rFonts w:cs="Times New Roman"/>
          <w:i/>
          <w:iCs/>
          <w:sz w:val="24"/>
          <w:szCs w:val="24"/>
        </w:rPr>
        <w:t>225</w:t>
      </w:r>
      <w:r w:rsidRPr="00480E13">
        <w:rPr>
          <w:rFonts w:cs="Times New Roman"/>
          <w:sz w:val="24"/>
          <w:szCs w:val="24"/>
        </w:rPr>
        <w:t xml:space="preserve">, 19-28. </w:t>
      </w:r>
      <w:hyperlink r:id="rId16" w:tgtFrame="_blank" w:tooltip="Persistent link using digital object identifier" w:history="1">
        <w:r w:rsidRPr="00480E13">
          <w:rPr>
            <w:rStyle w:val="Hyperlink"/>
            <w:rFonts w:cs="Times New Roman"/>
            <w:sz w:val="24"/>
            <w:szCs w:val="24"/>
          </w:rPr>
          <w:t>https://doi.org/10.1016/j.vetpar.2016.05.015</w:t>
        </w:r>
      </w:hyperlink>
    </w:p>
    <w:p w14:paraId="0D4C2D8B" w14:textId="7ED82C06" w:rsidR="0052141D" w:rsidRPr="00480E13" w:rsidRDefault="0052141D" w:rsidP="00A96AB1">
      <w:pPr>
        <w:spacing w:after="100" w:afterAutospacing="1" w:line="276" w:lineRule="auto"/>
        <w:ind w:hanging="706"/>
        <w:jc w:val="both"/>
        <w:rPr>
          <w:rFonts w:cs="Times New Roman"/>
          <w:sz w:val="24"/>
          <w:szCs w:val="24"/>
        </w:rPr>
      </w:pPr>
      <w:r w:rsidRPr="00480E13">
        <w:rPr>
          <w:rFonts w:cs="Times New Roman"/>
          <w:sz w:val="24"/>
          <w:szCs w:val="24"/>
        </w:rPr>
        <w:lastRenderedPageBreak/>
        <w:t>Mustapha, S. B., Shehu, H., Nwosu, C. N., &amp; Malabe, K. M. (2024). Small Ruminants Production and their Uses Among Farmers in Nigeria: A Review. International Journal of Agriculture and Earth Science (IJAES), 10(4), 1-9.</w:t>
      </w:r>
    </w:p>
    <w:p w14:paraId="5BDDAAE2" w14:textId="25EAD9FA" w:rsidR="008D6CC1" w:rsidRPr="00480E13" w:rsidRDefault="008D6CC1" w:rsidP="00A96AB1">
      <w:pPr>
        <w:spacing w:after="100" w:afterAutospacing="1" w:line="276" w:lineRule="auto"/>
        <w:ind w:hanging="706"/>
        <w:jc w:val="both"/>
        <w:rPr>
          <w:rFonts w:cs="Times New Roman"/>
          <w:sz w:val="24"/>
          <w:szCs w:val="24"/>
        </w:rPr>
      </w:pPr>
      <w:proofErr w:type="spellStart"/>
      <w:r w:rsidRPr="00480E13">
        <w:rPr>
          <w:rFonts w:cs="Times New Roman"/>
          <w:sz w:val="24"/>
          <w:szCs w:val="24"/>
        </w:rPr>
        <w:t>Tella</w:t>
      </w:r>
      <w:proofErr w:type="spellEnd"/>
      <w:r w:rsidRPr="00480E13">
        <w:rPr>
          <w:rFonts w:cs="Times New Roman"/>
          <w:sz w:val="24"/>
          <w:szCs w:val="24"/>
        </w:rPr>
        <w:t xml:space="preserve">, A., &amp; </w:t>
      </w:r>
      <w:proofErr w:type="spellStart"/>
      <w:r w:rsidRPr="00480E13">
        <w:rPr>
          <w:rFonts w:cs="Times New Roman"/>
          <w:sz w:val="24"/>
          <w:szCs w:val="24"/>
        </w:rPr>
        <w:t>Chineke</w:t>
      </w:r>
      <w:proofErr w:type="spellEnd"/>
      <w:r w:rsidRPr="00480E13">
        <w:rPr>
          <w:rFonts w:cs="Times New Roman"/>
          <w:sz w:val="24"/>
          <w:szCs w:val="24"/>
        </w:rPr>
        <w:t xml:space="preserve">, C. A. (2022). Improving global foods system, human health, and alleviating poverty through small ruminant production: the </w:t>
      </w:r>
      <w:proofErr w:type="spellStart"/>
      <w:r w:rsidRPr="00480E13">
        <w:rPr>
          <w:rFonts w:cs="Times New Roman"/>
          <w:sz w:val="24"/>
          <w:szCs w:val="24"/>
        </w:rPr>
        <w:t>nigerian</w:t>
      </w:r>
      <w:proofErr w:type="spellEnd"/>
      <w:r w:rsidRPr="00480E13">
        <w:rPr>
          <w:rFonts w:cs="Times New Roman"/>
          <w:sz w:val="24"/>
          <w:szCs w:val="24"/>
        </w:rPr>
        <w:t xml:space="preserve"> gains. Global Journal of Agricultural Sciences, 21(1), 13-25.</w:t>
      </w:r>
    </w:p>
    <w:p w14:paraId="3DB90D02" w14:textId="3FB711B1" w:rsidR="00974C4B" w:rsidRPr="00480E13" w:rsidRDefault="00974C4B" w:rsidP="00A96AB1">
      <w:pPr>
        <w:spacing w:after="100" w:afterAutospacing="1" w:line="276" w:lineRule="auto"/>
        <w:ind w:hanging="706"/>
        <w:jc w:val="both"/>
        <w:rPr>
          <w:rFonts w:cs="Times New Roman"/>
          <w:sz w:val="24"/>
          <w:szCs w:val="24"/>
        </w:rPr>
      </w:pPr>
      <w:r w:rsidRPr="00480E13">
        <w:rPr>
          <w:rFonts w:cs="Times New Roman"/>
          <w:sz w:val="24"/>
          <w:szCs w:val="24"/>
        </w:rPr>
        <w:t xml:space="preserve">Mpofu, T. J., </w:t>
      </w:r>
      <w:proofErr w:type="spellStart"/>
      <w:r w:rsidRPr="00480E13">
        <w:rPr>
          <w:rFonts w:cs="Times New Roman"/>
          <w:sz w:val="24"/>
          <w:szCs w:val="24"/>
        </w:rPr>
        <w:t>Nephawe</w:t>
      </w:r>
      <w:proofErr w:type="spellEnd"/>
      <w:r w:rsidRPr="00480E13">
        <w:rPr>
          <w:rFonts w:cs="Times New Roman"/>
          <w:sz w:val="24"/>
          <w:szCs w:val="24"/>
        </w:rPr>
        <w:t xml:space="preserve">, K. A., &amp; </w:t>
      </w:r>
      <w:proofErr w:type="spellStart"/>
      <w:r w:rsidRPr="00480E13">
        <w:rPr>
          <w:rFonts w:cs="Times New Roman"/>
          <w:sz w:val="24"/>
          <w:szCs w:val="24"/>
        </w:rPr>
        <w:t>Mtileni</w:t>
      </w:r>
      <w:proofErr w:type="spellEnd"/>
      <w:r w:rsidRPr="00480E13">
        <w:rPr>
          <w:rFonts w:cs="Times New Roman"/>
          <w:sz w:val="24"/>
          <w:szCs w:val="24"/>
        </w:rPr>
        <w:t>, B. (2022). Prevalence and resistance to gastrointestinal parasites in goats: A review. Veterinary World, 15(10), 2442.</w:t>
      </w:r>
    </w:p>
    <w:p w14:paraId="6D2E801A" w14:textId="5DC6ECA3" w:rsidR="00FC0357" w:rsidRDefault="00FC0357" w:rsidP="00A96AB1">
      <w:pPr>
        <w:spacing w:after="100" w:afterAutospacing="1" w:line="276" w:lineRule="auto"/>
        <w:ind w:hanging="706"/>
        <w:jc w:val="both"/>
        <w:rPr>
          <w:rFonts w:cs="Times New Roman"/>
          <w:sz w:val="24"/>
          <w:szCs w:val="24"/>
        </w:rPr>
      </w:pPr>
      <w:proofErr w:type="gramStart"/>
      <w:r w:rsidRPr="00480E13">
        <w:rPr>
          <w:rFonts w:cs="Times New Roman"/>
          <w:sz w:val="24"/>
          <w:szCs w:val="24"/>
        </w:rPr>
        <w:t>Victor ,</w:t>
      </w:r>
      <w:proofErr w:type="gramEnd"/>
      <w:r w:rsidRPr="00480E13">
        <w:rPr>
          <w:rFonts w:cs="Times New Roman"/>
          <w:sz w:val="24"/>
          <w:szCs w:val="24"/>
        </w:rPr>
        <w:t xml:space="preserve"> A. A., Adeniyi , O. T., </w:t>
      </w:r>
      <w:proofErr w:type="spellStart"/>
      <w:r w:rsidRPr="00480E13">
        <w:rPr>
          <w:rFonts w:cs="Times New Roman"/>
          <w:sz w:val="24"/>
          <w:szCs w:val="24"/>
        </w:rPr>
        <w:t>Busayo</w:t>
      </w:r>
      <w:proofErr w:type="spellEnd"/>
      <w:r w:rsidRPr="00480E13">
        <w:rPr>
          <w:rFonts w:cs="Times New Roman"/>
          <w:sz w:val="24"/>
          <w:szCs w:val="24"/>
        </w:rPr>
        <w:t xml:space="preserve"> , A. M., &amp; Adeola, A. H. (2024). Prevalence of Gastrointestinal Parasite in Four Goat Breeds Slaughtered in Two Major Abattoirs in Akure, Ondo State, Nigeria. Asian Journal of Research in Animal and Veterinary Sciences, 7(1), 9–16. https://doi.org/10.9734/ajravs/2024/v7i1280</w:t>
      </w:r>
    </w:p>
    <w:p w14:paraId="46CF5C03" w14:textId="77777777" w:rsidR="0052141D" w:rsidRPr="00DD3621" w:rsidRDefault="0052141D" w:rsidP="00A96AB1">
      <w:pPr>
        <w:spacing w:after="100" w:afterAutospacing="1" w:line="276" w:lineRule="auto"/>
        <w:ind w:hanging="706"/>
        <w:jc w:val="both"/>
        <w:rPr>
          <w:rFonts w:cs="Times New Roman"/>
          <w:sz w:val="24"/>
          <w:szCs w:val="24"/>
        </w:rPr>
      </w:pPr>
    </w:p>
    <w:p w14:paraId="7869FE84" w14:textId="77777777" w:rsidR="00A96AB1" w:rsidRPr="007C4CAC" w:rsidRDefault="00A96AB1" w:rsidP="00A95227">
      <w:pPr>
        <w:spacing w:line="240" w:lineRule="auto"/>
        <w:jc w:val="both"/>
        <w:rPr>
          <w:rFonts w:asciiTheme="majorBidi" w:hAnsiTheme="majorBidi" w:cstheme="majorBidi"/>
          <w:b/>
          <w:bCs/>
        </w:rPr>
      </w:pPr>
    </w:p>
    <w:p w14:paraId="7B5593B3" w14:textId="77777777" w:rsidR="00193A7C" w:rsidRPr="007C4CAC" w:rsidRDefault="00193A7C" w:rsidP="00A95227">
      <w:pPr>
        <w:spacing w:line="240" w:lineRule="auto"/>
        <w:jc w:val="both"/>
        <w:rPr>
          <w:rFonts w:asciiTheme="majorBidi" w:hAnsiTheme="majorBidi" w:cstheme="majorBidi"/>
        </w:rPr>
      </w:pPr>
    </w:p>
    <w:sectPr w:rsidR="00193A7C" w:rsidRPr="007C4CA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826D4" w14:textId="77777777" w:rsidR="00AE1083" w:rsidRDefault="00AE1083" w:rsidP="00882F43">
      <w:pPr>
        <w:spacing w:after="0" w:line="240" w:lineRule="auto"/>
      </w:pPr>
      <w:r>
        <w:separator/>
      </w:r>
    </w:p>
  </w:endnote>
  <w:endnote w:type="continuationSeparator" w:id="0">
    <w:p w14:paraId="3EEC2F02" w14:textId="77777777" w:rsidR="00AE1083" w:rsidRDefault="00AE1083" w:rsidP="00882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5C7D2" w14:textId="77777777" w:rsidR="00882F43" w:rsidRDefault="00882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7D4D3" w14:textId="77777777" w:rsidR="00882F43" w:rsidRDefault="00882F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CD2C3" w14:textId="77777777" w:rsidR="00882F43" w:rsidRDefault="00882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1B7CF" w14:textId="77777777" w:rsidR="00AE1083" w:rsidRDefault="00AE1083" w:rsidP="00882F43">
      <w:pPr>
        <w:spacing w:after="0" w:line="240" w:lineRule="auto"/>
      </w:pPr>
      <w:r>
        <w:separator/>
      </w:r>
    </w:p>
  </w:footnote>
  <w:footnote w:type="continuationSeparator" w:id="0">
    <w:p w14:paraId="19EDF092" w14:textId="77777777" w:rsidR="00AE1083" w:rsidRDefault="00AE1083" w:rsidP="00882F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B1348" w14:textId="2BBB104A" w:rsidR="00882F43" w:rsidRDefault="00AE1083">
    <w:pPr>
      <w:pStyle w:val="Header"/>
    </w:pPr>
    <w:r>
      <w:rPr>
        <w:noProof/>
      </w:rPr>
      <w:pict w14:anchorId="6F2CFB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3177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84341" w14:textId="78089AF5" w:rsidR="00882F43" w:rsidRDefault="00AE1083">
    <w:pPr>
      <w:pStyle w:val="Header"/>
    </w:pPr>
    <w:r>
      <w:rPr>
        <w:noProof/>
      </w:rPr>
      <w:pict w14:anchorId="6849F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3177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9441A" w14:textId="21B1DC24" w:rsidR="00882F43" w:rsidRDefault="00AE1083">
    <w:pPr>
      <w:pStyle w:val="Header"/>
    </w:pPr>
    <w:r>
      <w:rPr>
        <w:noProof/>
      </w:rPr>
      <w:pict w14:anchorId="2E057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3177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63A78"/>
    <w:multiLevelType w:val="multilevel"/>
    <w:tmpl w:val="BC1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CB18F1"/>
    <w:multiLevelType w:val="multilevel"/>
    <w:tmpl w:val="34CAB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4B6ED3"/>
    <w:multiLevelType w:val="multilevel"/>
    <w:tmpl w:val="B380D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U0NLIwNTI0tDAxMTBR0lEKTi0uzszPAykwrAUAU8aiUSwAAAA="/>
  </w:docVars>
  <w:rsids>
    <w:rsidRoot w:val="00193A7C"/>
    <w:rsid w:val="000271AB"/>
    <w:rsid w:val="000276FC"/>
    <w:rsid w:val="000371F2"/>
    <w:rsid w:val="00071382"/>
    <w:rsid w:val="000D506D"/>
    <w:rsid w:val="00150C5A"/>
    <w:rsid w:val="00187591"/>
    <w:rsid w:val="00193A7C"/>
    <w:rsid w:val="001E3CD7"/>
    <w:rsid w:val="00200EE1"/>
    <w:rsid w:val="00233FED"/>
    <w:rsid w:val="002638B5"/>
    <w:rsid w:val="00300B61"/>
    <w:rsid w:val="00355262"/>
    <w:rsid w:val="00395EC6"/>
    <w:rsid w:val="003D6336"/>
    <w:rsid w:val="004279D8"/>
    <w:rsid w:val="004403D6"/>
    <w:rsid w:val="00480E13"/>
    <w:rsid w:val="00497BAE"/>
    <w:rsid w:val="004A6B64"/>
    <w:rsid w:val="004C3513"/>
    <w:rsid w:val="0052141D"/>
    <w:rsid w:val="00533194"/>
    <w:rsid w:val="00556CDA"/>
    <w:rsid w:val="00643984"/>
    <w:rsid w:val="00647ED2"/>
    <w:rsid w:val="006506D5"/>
    <w:rsid w:val="006849CA"/>
    <w:rsid w:val="006D1E33"/>
    <w:rsid w:val="007025A7"/>
    <w:rsid w:val="007A7CFB"/>
    <w:rsid w:val="007B60D0"/>
    <w:rsid w:val="007C4CAC"/>
    <w:rsid w:val="007C68DE"/>
    <w:rsid w:val="00813F46"/>
    <w:rsid w:val="00882F43"/>
    <w:rsid w:val="00896864"/>
    <w:rsid w:val="008A6AC0"/>
    <w:rsid w:val="008D6CC1"/>
    <w:rsid w:val="008E3AA8"/>
    <w:rsid w:val="00902F40"/>
    <w:rsid w:val="00927E74"/>
    <w:rsid w:val="00974C4B"/>
    <w:rsid w:val="009A06EE"/>
    <w:rsid w:val="009D2C16"/>
    <w:rsid w:val="009D61D8"/>
    <w:rsid w:val="00A432AA"/>
    <w:rsid w:val="00A6748E"/>
    <w:rsid w:val="00A77497"/>
    <w:rsid w:val="00A92EEB"/>
    <w:rsid w:val="00A95227"/>
    <w:rsid w:val="00A96AB1"/>
    <w:rsid w:val="00AD4259"/>
    <w:rsid w:val="00AD5136"/>
    <w:rsid w:val="00AE1083"/>
    <w:rsid w:val="00AF6F40"/>
    <w:rsid w:val="00B00283"/>
    <w:rsid w:val="00B66D7C"/>
    <w:rsid w:val="00BF7BA7"/>
    <w:rsid w:val="00C12787"/>
    <w:rsid w:val="00C20082"/>
    <w:rsid w:val="00CC636E"/>
    <w:rsid w:val="00D1143D"/>
    <w:rsid w:val="00D733F1"/>
    <w:rsid w:val="00DA2370"/>
    <w:rsid w:val="00DF4D52"/>
    <w:rsid w:val="00E800BD"/>
    <w:rsid w:val="00EC5254"/>
    <w:rsid w:val="00F230B7"/>
    <w:rsid w:val="00F635D4"/>
    <w:rsid w:val="00F7537C"/>
    <w:rsid w:val="00FC0357"/>
    <w:rsid w:val="00FE39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4D8C1D"/>
  <w15:docId w15:val="{686CAD78-F136-4ECA-BE53-7A22538A9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3A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3A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93A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93A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93A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93A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3A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3A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3A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A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93A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3A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3A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3A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3A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3A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3A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3A7C"/>
    <w:rPr>
      <w:rFonts w:eastAsiaTheme="majorEastAsia" w:cstheme="majorBidi"/>
      <w:color w:val="272727" w:themeColor="text1" w:themeTint="D8"/>
    </w:rPr>
  </w:style>
  <w:style w:type="paragraph" w:styleId="Title">
    <w:name w:val="Title"/>
    <w:basedOn w:val="Normal"/>
    <w:next w:val="Normal"/>
    <w:link w:val="TitleChar"/>
    <w:uiPriority w:val="10"/>
    <w:qFormat/>
    <w:rsid w:val="00193A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A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3A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3A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3A7C"/>
    <w:pPr>
      <w:spacing w:before="160"/>
      <w:jc w:val="center"/>
    </w:pPr>
    <w:rPr>
      <w:i/>
      <w:iCs/>
      <w:color w:val="404040" w:themeColor="text1" w:themeTint="BF"/>
    </w:rPr>
  </w:style>
  <w:style w:type="character" w:customStyle="1" w:styleId="QuoteChar">
    <w:name w:val="Quote Char"/>
    <w:basedOn w:val="DefaultParagraphFont"/>
    <w:link w:val="Quote"/>
    <w:uiPriority w:val="29"/>
    <w:rsid w:val="00193A7C"/>
    <w:rPr>
      <w:i/>
      <w:iCs/>
      <w:color w:val="404040" w:themeColor="text1" w:themeTint="BF"/>
    </w:rPr>
  </w:style>
  <w:style w:type="paragraph" w:styleId="ListParagraph">
    <w:name w:val="List Paragraph"/>
    <w:basedOn w:val="Normal"/>
    <w:uiPriority w:val="34"/>
    <w:qFormat/>
    <w:rsid w:val="00193A7C"/>
    <w:pPr>
      <w:ind w:left="720"/>
      <w:contextualSpacing/>
    </w:pPr>
  </w:style>
  <w:style w:type="character" w:styleId="IntenseEmphasis">
    <w:name w:val="Intense Emphasis"/>
    <w:basedOn w:val="DefaultParagraphFont"/>
    <w:uiPriority w:val="21"/>
    <w:qFormat/>
    <w:rsid w:val="00193A7C"/>
    <w:rPr>
      <w:i/>
      <w:iCs/>
      <w:color w:val="2F5496" w:themeColor="accent1" w:themeShade="BF"/>
    </w:rPr>
  </w:style>
  <w:style w:type="paragraph" w:styleId="IntenseQuote">
    <w:name w:val="Intense Quote"/>
    <w:basedOn w:val="Normal"/>
    <w:next w:val="Normal"/>
    <w:link w:val="IntenseQuoteChar"/>
    <w:uiPriority w:val="30"/>
    <w:qFormat/>
    <w:rsid w:val="00193A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3A7C"/>
    <w:rPr>
      <w:i/>
      <w:iCs/>
      <w:color w:val="2F5496" w:themeColor="accent1" w:themeShade="BF"/>
    </w:rPr>
  </w:style>
  <w:style w:type="character" w:styleId="IntenseReference">
    <w:name w:val="Intense Reference"/>
    <w:basedOn w:val="DefaultParagraphFont"/>
    <w:uiPriority w:val="32"/>
    <w:qFormat/>
    <w:rsid w:val="00193A7C"/>
    <w:rPr>
      <w:b/>
      <w:bCs/>
      <w:smallCaps/>
      <w:color w:val="2F5496" w:themeColor="accent1" w:themeShade="BF"/>
      <w:spacing w:val="5"/>
    </w:rPr>
  </w:style>
  <w:style w:type="table" w:styleId="TableGrid">
    <w:name w:val="Table Grid"/>
    <w:basedOn w:val="TableNormal"/>
    <w:uiPriority w:val="39"/>
    <w:rsid w:val="00355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ED2"/>
    <w:rPr>
      <w:color w:val="0563C1" w:themeColor="hyperlink"/>
      <w:u w:val="single"/>
    </w:rPr>
  </w:style>
  <w:style w:type="character" w:customStyle="1" w:styleId="UnresolvedMention1">
    <w:name w:val="Unresolved Mention1"/>
    <w:basedOn w:val="DefaultParagraphFont"/>
    <w:uiPriority w:val="99"/>
    <w:semiHidden/>
    <w:unhideWhenUsed/>
    <w:rsid w:val="00647ED2"/>
    <w:rPr>
      <w:color w:val="605E5C"/>
      <w:shd w:val="clear" w:color="auto" w:fill="E1DFDD"/>
    </w:rPr>
  </w:style>
  <w:style w:type="paragraph" w:styleId="BalloonText">
    <w:name w:val="Balloon Text"/>
    <w:basedOn w:val="Normal"/>
    <w:link w:val="BalloonTextChar"/>
    <w:uiPriority w:val="99"/>
    <w:semiHidden/>
    <w:unhideWhenUsed/>
    <w:rsid w:val="00556C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CDA"/>
    <w:rPr>
      <w:rFonts w:ascii="Tahoma" w:hAnsi="Tahoma" w:cs="Tahoma"/>
      <w:sz w:val="16"/>
      <w:szCs w:val="16"/>
    </w:rPr>
  </w:style>
  <w:style w:type="character" w:styleId="UnresolvedMention">
    <w:name w:val="Unresolved Mention"/>
    <w:basedOn w:val="DefaultParagraphFont"/>
    <w:uiPriority w:val="99"/>
    <w:semiHidden/>
    <w:unhideWhenUsed/>
    <w:rsid w:val="006849CA"/>
    <w:rPr>
      <w:color w:val="605E5C"/>
      <w:shd w:val="clear" w:color="auto" w:fill="E1DFDD"/>
    </w:rPr>
  </w:style>
  <w:style w:type="paragraph" w:styleId="Header">
    <w:name w:val="header"/>
    <w:basedOn w:val="Normal"/>
    <w:link w:val="HeaderChar"/>
    <w:uiPriority w:val="99"/>
    <w:unhideWhenUsed/>
    <w:rsid w:val="00882F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F43"/>
  </w:style>
  <w:style w:type="paragraph" w:styleId="Footer">
    <w:name w:val="footer"/>
    <w:basedOn w:val="Normal"/>
    <w:link w:val="FooterChar"/>
    <w:uiPriority w:val="99"/>
    <w:unhideWhenUsed/>
    <w:rsid w:val="00882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55/2015/72821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irepo.futminna.edu.ng:8080/jspui/handle/123456789/29225"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vetpar.2016.05.015"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vprsr.2024.10107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0574/gscbps.2018.4.2.0036" TargetMode="External"/><Relationship Id="rId23" Type="http://schemas.openxmlformats.org/officeDocument/2006/relationships/fontTable" Target="fontTable.xml"/><Relationship Id="rId10" Type="http://schemas.openxmlformats.org/officeDocument/2006/relationships/hyperlink" Target="https://doi.org/10.59331/njaat.v5i1A.972"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2298/BAH2202139A" TargetMode="External"/><Relationship Id="rId14" Type="http://schemas.openxmlformats.org/officeDocument/2006/relationships/hyperlink" Target="https://doi.org/10.1016/S2095-3119(21)63696-1"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2166</TotalTime>
  <Pages>9</Pages>
  <Words>3426</Words>
  <Characters>19534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Jibrin Yelwa Muhammad</dc:creator>
  <cp:keywords/>
  <dc:description/>
  <cp:lastModifiedBy>SDI 1158</cp:lastModifiedBy>
  <cp:revision>69</cp:revision>
  <dcterms:created xsi:type="dcterms:W3CDTF">2025-12-09T21:25:00Z</dcterms:created>
  <dcterms:modified xsi:type="dcterms:W3CDTF">2026-02-11T06:32:00Z</dcterms:modified>
</cp:coreProperties>
</file>