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E188C" w14:textId="239CEAD0" w:rsidR="00754C9A" w:rsidRDefault="00FC40A1" w:rsidP="00441B6F">
      <w:pPr>
        <w:pStyle w:val="Title"/>
        <w:spacing w:after="0"/>
        <w:jc w:val="both"/>
        <w:rPr>
          <w:rFonts w:ascii="Arial" w:hAnsi="Arial" w:cs="Arial"/>
          <w:bCs/>
        </w:rPr>
      </w:pPr>
      <w:r w:rsidRPr="00FC40A1">
        <w:rPr>
          <w:rFonts w:ascii="Arial" w:hAnsi="Arial" w:cs="Arial"/>
          <w:bCs/>
        </w:rPr>
        <w:t>Original Research Article</w:t>
      </w:r>
    </w:p>
    <w:p w14:paraId="6BC9300E" w14:textId="77777777" w:rsidR="00FC40A1" w:rsidRDefault="00FC40A1" w:rsidP="00441B6F">
      <w:pPr>
        <w:pStyle w:val="Title"/>
        <w:spacing w:after="0"/>
        <w:jc w:val="both"/>
        <w:rPr>
          <w:rFonts w:ascii="Arial" w:hAnsi="Arial" w:cs="Arial"/>
          <w:bCs/>
        </w:rPr>
      </w:pPr>
    </w:p>
    <w:p w14:paraId="3DE6E9FC" w14:textId="77777777" w:rsidR="00FC40A1" w:rsidRPr="004C0B2B" w:rsidRDefault="00FC40A1" w:rsidP="004C0B2B">
      <w:pPr>
        <w:pStyle w:val="Title"/>
        <w:spacing w:after="0"/>
        <w:jc w:val="left"/>
        <w:rPr>
          <w:rFonts w:ascii="Arial" w:hAnsi="Arial" w:cs="Arial"/>
          <w:bCs/>
          <w:szCs w:val="36"/>
        </w:rPr>
      </w:pPr>
    </w:p>
    <w:p w14:paraId="2970AB7F" w14:textId="1807B637" w:rsidR="00163BC4" w:rsidRPr="004C0B2B" w:rsidRDefault="004C0B2B" w:rsidP="004C0B2B">
      <w:pPr>
        <w:pStyle w:val="Author"/>
        <w:spacing w:line="240" w:lineRule="auto"/>
        <w:jc w:val="left"/>
        <w:rPr>
          <w:rFonts w:ascii="Arial" w:hAnsi="Arial" w:cs="Arial"/>
          <w:bCs/>
          <w:iCs/>
          <w:kern w:val="28"/>
          <w:sz w:val="36"/>
          <w:szCs w:val="36"/>
        </w:rPr>
      </w:pPr>
      <w:r w:rsidRPr="004C0B2B">
        <w:rPr>
          <w:rFonts w:ascii="Arial" w:hAnsi="Arial" w:cs="Arial"/>
          <w:b w:val="0"/>
          <w:sz w:val="36"/>
          <w:szCs w:val="36"/>
        </w:rPr>
        <w:t>The clinical and hemodynamic influence on ductal closure to acetaminophen therapy in high-risk extreme low gestational age newborns</w:t>
      </w:r>
    </w:p>
    <w:p w14:paraId="626FEB8B" w14:textId="77777777" w:rsidR="00A258C3" w:rsidRPr="009531B0" w:rsidRDefault="00A258C3" w:rsidP="009531B0">
      <w:pPr>
        <w:pStyle w:val="Author"/>
        <w:spacing w:line="240" w:lineRule="auto"/>
        <w:ind w:left="414"/>
        <w:rPr>
          <w:rFonts w:ascii="Arial" w:hAnsi="Arial" w:cs="Arial"/>
          <w:bCs/>
          <w:szCs w:val="24"/>
        </w:rPr>
      </w:pPr>
    </w:p>
    <w:p w14:paraId="2F8B0F47" w14:textId="77777777" w:rsidR="002C57D2" w:rsidRPr="00FB3A86" w:rsidRDefault="002C57D2" w:rsidP="00441B6F">
      <w:pPr>
        <w:pStyle w:val="Affiliation"/>
        <w:spacing w:after="0" w:line="240" w:lineRule="auto"/>
        <w:jc w:val="both"/>
        <w:rPr>
          <w:rFonts w:ascii="Arial" w:hAnsi="Arial" w:cs="Arial"/>
        </w:rPr>
      </w:pPr>
    </w:p>
    <w:p w14:paraId="04D5DA62" w14:textId="13E763DA" w:rsidR="00B01FCD" w:rsidRPr="00FB3A86" w:rsidRDefault="00D83FDB" w:rsidP="00441B6F">
      <w:pPr>
        <w:pStyle w:val="Copyright"/>
        <w:spacing w:after="0" w:line="240" w:lineRule="auto"/>
        <w:jc w:val="both"/>
        <w:rPr>
          <w:rFonts w:ascii="Arial" w:hAnsi="Arial" w:cs="Arial"/>
        </w:rPr>
        <w:sectPr w:rsidR="00B01FCD" w:rsidRPr="00FB3A86" w:rsidSect="00C53FA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B89780D" wp14:editId="670708BF">
                <wp:extent cx="5303520" cy="635"/>
                <wp:effectExtent l="9525" t="16510" r="11430" b="12065"/>
                <wp:docPr id="1252123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DC138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B278EF0" w14:textId="2EFD66E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7A33C8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B2D072E" w14:textId="77777777" w:rsidTr="001E44FE">
        <w:tc>
          <w:tcPr>
            <w:tcW w:w="9576" w:type="dxa"/>
            <w:shd w:val="clear" w:color="auto" w:fill="F2F2F2"/>
          </w:tcPr>
          <w:p w14:paraId="18B24A29" w14:textId="0DDA1332" w:rsidR="00C53B6D" w:rsidRPr="00C53B6D" w:rsidRDefault="00C53B6D" w:rsidP="00C53FA2">
            <w:pPr>
              <w:pStyle w:val="Body"/>
              <w:spacing w:after="0"/>
              <w:rPr>
                <w:lang w:eastAsia="de-DE" w:bidi="en-US"/>
              </w:rPr>
            </w:pPr>
          </w:p>
          <w:p w14:paraId="279B9C3E" w14:textId="77777777" w:rsidR="00C53B6D" w:rsidRPr="00C53B6D" w:rsidRDefault="00C53B6D" w:rsidP="00C53B6D">
            <w:pPr>
              <w:rPr>
                <w:lang w:eastAsia="de-DE" w:bidi="en-US"/>
              </w:rPr>
            </w:pPr>
          </w:p>
          <w:p w14:paraId="70C4322B" w14:textId="45D2C4BC" w:rsidR="009531B0" w:rsidRPr="007A54EC" w:rsidRDefault="009531B0" w:rsidP="009531B0">
            <w:pPr>
              <w:pStyle w:val="MDPI31text"/>
              <w:spacing w:line="240" w:lineRule="auto"/>
              <w:ind w:left="0" w:firstLine="0"/>
              <w:rPr>
                <w:rFonts w:ascii="Arial" w:hAnsi="Arial" w:cs="Arial"/>
                <w:b/>
                <w:bCs/>
                <w:color w:val="auto"/>
                <w:sz w:val="22"/>
              </w:rPr>
            </w:pPr>
            <w:r w:rsidRPr="007A54EC">
              <w:rPr>
                <w:rFonts w:ascii="Arial" w:hAnsi="Arial" w:cs="Arial"/>
                <w:b/>
                <w:bCs/>
                <w:color w:val="auto"/>
                <w:sz w:val="22"/>
              </w:rPr>
              <w:t>Aim: To compare c</w:t>
            </w:r>
            <w:r w:rsidRPr="007A54EC">
              <w:rPr>
                <w:rFonts w:ascii="Arial" w:eastAsia="Palladio Uralic" w:hAnsi="Arial" w:cs="Arial"/>
                <w:b/>
                <w:bCs/>
                <w:color w:val="auto"/>
                <w:sz w:val="22"/>
                <w:lang w:eastAsia="en-US" w:bidi="ar-SA"/>
              </w:rPr>
              <w:t xml:space="preserve">linical and echocardiographic characteristics between infants with successful ductal closure and persistent </w:t>
            </w:r>
            <w:r w:rsidR="007A54EC" w:rsidRPr="007A54EC">
              <w:rPr>
                <w:rFonts w:ascii="Arial" w:eastAsia="Palladio Uralic" w:hAnsi="Arial" w:cs="Arial"/>
                <w:b/>
                <w:bCs/>
                <w:color w:val="auto"/>
                <w:sz w:val="22"/>
                <w:lang w:eastAsia="en-US" w:bidi="ar-SA"/>
              </w:rPr>
              <w:t>PDA</w:t>
            </w:r>
            <w:r w:rsidRPr="007A54EC">
              <w:rPr>
                <w:rFonts w:ascii="Arial" w:eastAsia="Palladio Uralic" w:hAnsi="Arial" w:cs="Arial"/>
                <w:b/>
                <w:bCs/>
                <w:color w:val="auto"/>
                <w:sz w:val="22"/>
                <w:lang w:eastAsia="en-US" w:bidi="ar-SA"/>
              </w:rPr>
              <w:t xml:space="preserve"> post-acetaminophen treatment.</w:t>
            </w:r>
          </w:p>
          <w:p w14:paraId="0B75145E" w14:textId="77777777" w:rsidR="00A03B96" w:rsidRPr="007A54EC" w:rsidRDefault="00A03B96" w:rsidP="00441B6F">
            <w:pPr>
              <w:pStyle w:val="Body"/>
              <w:spacing w:after="0"/>
              <w:rPr>
                <w:rFonts w:ascii="Arial" w:eastAsia="Calibri" w:hAnsi="Arial" w:cs="Arial"/>
                <w:b/>
                <w:bCs/>
                <w:sz w:val="22"/>
                <w:szCs w:val="22"/>
              </w:rPr>
            </w:pPr>
          </w:p>
          <w:p w14:paraId="549E0C26" w14:textId="57A4AFA0" w:rsidR="009531B0" w:rsidRPr="007A54EC" w:rsidRDefault="009531B0" w:rsidP="009531B0">
            <w:pPr>
              <w:pStyle w:val="MDPI31text"/>
              <w:spacing w:line="240" w:lineRule="auto"/>
              <w:ind w:left="0" w:firstLine="0"/>
              <w:rPr>
                <w:rFonts w:ascii="Arial" w:hAnsi="Arial" w:cs="Arial"/>
                <w:b/>
                <w:bCs/>
                <w:color w:val="auto"/>
                <w:sz w:val="22"/>
              </w:rPr>
            </w:pPr>
            <w:r w:rsidRPr="007A54EC">
              <w:rPr>
                <w:rFonts w:ascii="Arial" w:hAnsi="Arial" w:cs="Arial"/>
                <w:b/>
                <w:bCs/>
                <w:color w:val="auto"/>
                <w:sz w:val="22"/>
              </w:rPr>
              <w:t xml:space="preserve">Design: Single center </w:t>
            </w:r>
            <w:r w:rsidR="007A54EC" w:rsidRPr="007A54EC">
              <w:rPr>
                <w:rFonts w:ascii="Arial" w:hAnsi="Arial" w:cs="Arial"/>
                <w:b/>
                <w:bCs/>
                <w:color w:val="auto"/>
                <w:sz w:val="22"/>
              </w:rPr>
              <w:t>clinical audit.</w:t>
            </w:r>
          </w:p>
          <w:p w14:paraId="1056D6D3" w14:textId="77777777" w:rsidR="009531B0" w:rsidRPr="007A54EC" w:rsidRDefault="009531B0" w:rsidP="009531B0">
            <w:pPr>
              <w:pStyle w:val="MDPI31text"/>
              <w:spacing w:line="240" w:lineRule="auto"/>
              <w:ind w:left="0" w:firstLine="0"/>
              <w:rPr>
                <w:rFonts w:ascii="Arial" w:hAnsi="Arial" w:cs="Arial"/>
                <w:b/>
                <w:bCs/>
                <w:color w:val="auto"/>
                <w:sz w:val="22"/>
              </w:rPr>
            </w:pPr>
          </w:p>
          <w:p w14:paraId="6E7C1A77" w14:textId="77777777" w:rsidR="009531B0" w:rsidRPr="007A54EC" w:rsidRDefault="009531B0" w:rsidP="009531B0">
            <w:pPr>
              <w:pStyle w:val="MDPI31text"/>
              <w:spacing w:line="240" w:lineRule="auto"/>
              <w:ind w:left="0" w:firstLine="0"/>
              <w:rPr>
                <w:rFonts w:ascii="Arial" w:hAnsi="Arial" w:cs="Arial"/>
                <w:b/>
                <w:bCs/>
                <w:color w:val="auto"/>
                <w:sz w:val="22"/>
              </w:rPr>
            </w:pPr>
            <w:r w:rsidRPr="007A54EC">
              <w:rPr>
                <w:rFonts w:ascii="Arial" w:hAnsi="Arial" w:cs="Arial"/>
                <w:b/>
                <w:bCs/>
                <w:color w:val="auto"/>
                <w:sz w:val="22"/>
              </w:rPr>
              <w:t>Patients: Infants born&lt; 28 weeks gestation</w:t>
            </w:r>
          </w:p>
          <w:p w14:paraId="2A1041D1" w14:textId="77777777" w:rsidR="009531B0" w:rsidRPr="007A54EC" w:rsidRDefault="009531B0" w:rsidP="009531B0">
            <w:pPr>
              <w:pStyle w:val="MDPI31text"/>
              <w:spacing w:line="240" w:lineRule="auto"/>
              <w:ind w:left="0" w:firstLine="0"/>
              <w:rPr>
                <w:rFonts w:ascii="Arial" w:hAnsi="Arial" w:cs="Arial"/>
                <w:b/>
                <w:bCs/>
                <w:color w:val="auto"/>
                <w:sz w:val="22"/>
              </w:rPr>
            </w:pPr>
          </w:p>
          <w:p w14:paraId="0989903B" w14:textId="3982402D" w:rsidR="009531B0" w:rsidRPr="007A54EC" w:rsidRDefault="009531B0" w:rsidP="009531B0">
            <w:pPr>
              <w:pStyle w:val="MDPI31text"/>
              <w:spacing w:line="240" w:lineRule="auto"/>
              <w:ind w:left="0" w:firstLine="0"/>
              <w:rPr>
                <w:rFonts w:ascii="Arial" w:hAnsi="Arial" w:cs="Arial"/>
                <w:b/>
                <w:bCs/>
                <w:sz w:val="22"/>
              </w:rPr>
            </w:pPr>
            <w:r w:rsidRPr="007A54EC">
              <w:rPr>
                <w:rFonts w:ascii="Arial" w:eastAsia="Calibri" w:hAnsi="Arial" w:cs="Arial"/>
                <w:b/>
                <w:bCs/>
                <w:sz w:val="22"/>
              </w:rPr>
              <w:t xml:space="preserve">Place and Duration of Study: Tertiary </w:t>
            </w:r>
            <w:r w:rsidR="007A54EC" w:rsidRPr="007A54EC">
              <w:rPr>
                <w:rFonts w:ascii="Arial" w:eastAsia="Calibri" w:hAnsi="Arial" w:cs="Arial"/>
                <w:b/>
                <w:bCs/>
                <w:sz w:val="22"/>
              </w:rPr>
              <w:t>NICU</w:t>
            </w:r>
            <w:r w:rsidRPr="007A54EC">
              <w:rPr>
                <w:rFonts w:ascii="Arial" w:eastAsia="Calibri" w:hAnsi="Arial" w:cs="Arial"/>
                <w:b/>
                <w:bCs/>
                <w:sz w:val="22"/>
              </w:rPr>
              <w:t xml:space="preserve">, KK Women’s and Children’s Hospital, Singapore from </w:t>
            </w:r>
            <w:r w:rsidRPr="007A54EC">
              <w:rPr>
                <w:rFonts w:ascii="Arial" w:hAnsi="Arial" w:cs="Arial"/>
                <w:b/>
                <w:bCs/>
                <w:sz w:val="22"/>
              </w:rPr>
              <w:t>February 1st 2021 until October 31st 2024.</w:t>
            </w:r>
          </w:p>
          <w:p w14:paraId="694C665C" w14:textId="77777777" w:rsidR="007A54EC" w:rsidRPr="007A54EC" w:rsidRDefault="007A54EC" w:rsidP="009531B0">
            <w:pPr>
              <w:pStyle w:val="MDPI31text"/>
              <w:spacing w:line="240" w:lineRule="auto"/>
              <w:ind w:left="0" w:firstLine="0"/>
              <w:rPr>
                <w:rFonts w:ascii="Arial" w:hAnsi="Arial" w:cs="Arial"/>
                <w:b/>
                <w:bCs/>
                <w:sz w:val="22"/>
              </w:rPr>
            </w:pPr>
          </w:p>
          <w:p w14:paraId="1AD1BCB9" w14:textId="460DD423" w:rsidR="009531B0" w:rsidRPr="007A54EC" w:rsidRDefault="009531B0" w:rsidP="009531B0">
            <w:pPr>
              <w:pStyle w:val="MDPI31text"/>
              <w:spacing w:line="240" w:lineRule="auto"/>
              <w:ind w:left="0" w:firstLine="0"/>
              <w:rPr>
                <w:rFonts w:ascii="Arial" w:hAnsi="Arial" w:cs="Arial"/>
                <w:b/>
                <w:bCs/>
                <w:sz w:val="22"/>
              </w:rPr>
            </w:pPr>
            <w:r w:rsidRPr="007A54EC">
              <w:rPr>
                <w:rFonts w:ascii="Arial" w:hAnsi="Arial" w:cs="Arial"/>
                <w:b/>
                <w:bCs/>
                <w:sz w:val="22"/>
              </w:rPr>
              <w:t>Methodology: Infants born at less than 28 weeks gestation requir</w:t>
            </w:r>
            <w:r w:rsidR="007A54EC" w:rsidRPr="007A54EC">
              <w:rPr>
                <w:rFonts w:ascii="Arial" w:hAnsi="Arial" w:cs="Arial"/>
                <w:b/>
                <w:bCs/>
                <w:sz w:val="22"/>
              </w:rPr>
              <w:t>ing</w:t>
            </w:r>
            <w:r w:rsidRPr="007A54EC">
              <w:rPr>
                <w:rFonts w:ascii="Arial" w:hAnsi="Arial" w:cs="Arial"/>
                <w:b/>
                <w:bCs/>
                <w:sz w:val="22"/>
              </w:rPr>
              <w:t xml:space="preserve"> treatment for </w:t>
            </w:r>
            <w:proofErr w:type="spellStart"/>
            <w:r w:rsidRPr="007A54EC">
              <w:rPr>
                <w:rFonts w:ascii="Arial" w:hAnsi="Arial" w:cs="Arial"/>
                <w:b/>
                <w:bCs/>
                <w:sz w:val="22"/>
              </w:rPr>
              <w:t>HsPDA</w:t>
            </w:r>
            <w:proofErr w:type="spellEnd"/>
            <w:r w:rsidRPr="007A54EC">
              <w:rPr>
                <w:rFonts w:ascii="Arial" w:hAnsi="Arial" w:cs="Arial"/>
                <w:b/>
                <w:bCs/>
                <w:sz w:val="22"/>
              </w:rPr>
              <w:t xml:space="preserve"> and received acetaminophen were included in the study. The clinical audit was conducted retrospectively, with early treatment defined as acetaminophen therapy initiated within the first two weeks of life</w:t>
            </w:r>
            <w:r w:rsidR="007A54EC" w:rsidRPr="007A54EC">
              <w:rPr>
                <w:rFonts w:ascii="Arial" w:hAnsi="Arial" w:cs="Arial"/>
                <w:b/>
                <w:bCs/>
                <w:sz w:val="22"/>
              </w:rPr>
              <w:t xml:space="preserve"> and late thereafter.</w:t>
            </w:r>
          </w:p>
          <w:p w14:paraId="017B28BA" w14:textId="77777777" w:rsidR="007A54EC" w:rsidRPr="007A54EC" w:rsidRDefault="007A54EC" w:rsidP="009531B0">
            <w:pPr>
              <w:pStyle w:val="MDPI31text"/>
              <w:spacing w:line="240" w:lineRule="auto"/>
              <w:ind w:left="0" w:firstLine="0"/>
              <w:rPr>
                <w:rFonts w:ascii="Arial" w:hAnsi="Arial" w:cs="Arial"/>
                <w:b/>
                <w:bCs/>
                <w:color w:val="auto"/>
                <w:sz w:val="22"/>
              </w:rPr>
            </w:pPr>
          </w:p>
          <w:p w14:paraId="5F1B9C27" w14:textId="77777777" w:rsidR="001D3779" w:rsidRPr="001D3779" w:rsidRDefault="009531B0" w:rsidP="001D3779">
            <w:pPr>
              <w:pStyle w:val="MDPI31text"/>
              <w:ind w:left="0" w:firstLine="0"/>
              <w:jc w:val="left"/>
              <w:rPr>
                <w:rFonts w:ascii="Arial" w:hAnsi="Arial" w:cs="Arial"/>
                <w:b/>
                <w:bCs/>
                <w:sz w:val="22"/>
                <w:lang w:val="en-SG"/>
              </w:rPr>
            </w:pPr>
            <w:r w:rsidRPr="001D3779">
              <w:rPr>
                <w:rFonts w:ascii="Arial" w:hAnsi="Arial" w:cs="Arial"/>
                <w:b/>
                <w:bCs/>
                <w:color w:val="auto"/>
                <w:sz w:val="22"/>
              </w:rPr>
              <w:t xml:space="preserve">Results: </w:t>
            </w:r>
            <w:r w:rsidR="001D3779" w:rsidRPr="001D3779">
              <w:rPr>
                <w:rFonts w:ascii="Arial" w:hAnsi="Arial" w:cs="Arial"/>
                <w:b/>
                <w:bCs/>
                <w:sz w:val="22"/>
                <w:lang w:val="en-SG"/>
              </w:rPr>
              <w:t>Of the 116 infants studied, 70 received early treatment and the rest late therapy (&gt;2 weeks) with acetaminophen, with PDA closure achieved in 30% of both groups. In the early treatment group, successful closures were associated with higher gestational age (27.11 ± 1.44 vs 25.73 ± 1.19 weeks; OR 1.7, 95% CI 1.3–2.3, p=0.001) and small for gestational age infants (38% vs 14%; OR 0.8, 95% CI 0.3–2.8, p=0.02). Echocardiography of infants with closure showed lower ductal diastolic velocity (0.36 ± 0.17 vs 0.51 ± 0.30 m/s, p=0.02), lower left ventricular end-systolic diameter (7.71 ± 1.21 vs 8.39 ± 1.36 mm; OR 1.5, 95% CI 1.08–2.34, p=0.04), and lower Doppler velocities across the main pulmonary artery (0.66 ± 0.17 vs 0.83 ± 0.26 m/s; OR 0.07, 95% CI 0.01–0.45, p=0.003) and ascending aorta (0.82 ± 0.21 vs 0.95 ± 0.26 m/s, p=0.03). Logistic regression confirmed that higher gestational age and lower MPA systolic Vmax independently predicted ductal closure.</w:t>
            </w:r>
          </w:p>
          <w:p w14:paraId="56976BF6" w14:textId="77777777" w:rsidR="001D3779" w:rsidRPr="001D3779" w:rsidRDefault="001D3779" w:rsidP="001D3779">
            <w:pPr>
              <w:pStyle w:val="MDPI31text"/>
              <w:ind w:left="0" w:firstLine="0"/>
              <w:jc w:val="left"/>
              <w:rPr>
                <w:rFonts w:ascii="Arial" w:hAnsi="Arial" w:cs="Arial"/>
                <w:b/>
                <w:bCs/>
                <w:sz w:val="22"/>
                <w:lang w:val="en-SG"/>
              </w:rPr>
            </w:pPr>
          </w:p>
          <w:p w14:paraId="414279E1" w14:textId="1431D3CF" w:rsidR="001D3779" w:rsidRPr="001D3779" w:rsidRDefault="001D3779" w:rsidP="001D3779">
            <w:pPr>
              <w:pStyle w:val="MDPI31text"/>
              <w:ind w:left="0" w:firstLine="0"/>
              <w:jc w:val="left"/>
              <w:rPr>
                <w:rFonts w:ascii="Arial" w:hAnsi="Arial" w:cs="Arial"/>
                <w:b/>
                <w:bCs/>
                <w:sz w:val="22"/>
                <w:lang w:val="en-SG"/>
              </w:rPr>
            </w:pPr>
            <w:r w:rsidRPr="001D3779">
              <w:rPr>
                <w:rFonts w:ascii="Arial" w:hAnsi="Arial" w:cs="Arial"/>
                <w:b/>
                <w:bCs/>
                <w:sz w:val="22"/>
                <w:lang w:val="en-SG"/>
              </w:rPr>
              <w:lastRenderedPageBreak/>
              <w:t>In contrast, non-responders in the late therapy group had lower systolic (49.28 ± 6.17 vs 54.50 ± 10.59 mmHg, p=0.04) and mean blood pressures (32.19 ± 6.67 vs 37.71 ± 6.87 mmHg, p=0.01) without significant Doppler differences, and none of the measured variables—including gestational age (OR 0.8, 95% CI 0.54–1.12), SBP (OR 1.10, 95% CI 0.8–1.1), DBP (OR 1.04, 95% CI 0.7–1.08), or MAP (OR 0.87, 95% CI 0.7–1.8)—predicted closure.</w:t>
            </w:r>
          </w:p>
          <w:p w14:paraId="6C3F386D" w14:textId="77777777" w:rsidR="001D3779" w:rsidRPr="001D3779" w:rsidRDefault="001D3779" w:rsidP="001D3779">
            <w:pPr>
              <w:pStyle w:val="MDPI31text"/>
              <w:ind w:left="0" w:firstLine="0"/>
              <w:jc w:val="left"/>
              <w:rPr>
                <w:rFonts w:ascii="Arial" w:hAnsi="Arial" w:cs="Arial"/>
                <w:b/>
                <w:bCs/>
                <w:sz w:val="22"/>
                <w:lang w:val="en-SG"/>
              </w:rPr>
            </w:pPr>
          </w:p>
          <w:p w14:paraId="2E4A944A" w14:textId="162388AE" w:rsidR="001D3779" w:rsidRPr="001D3779" w:rsidRDefault="001D3779" w:rsidP="001D3779">
            <w:pPr>
              <w:pStyle w:val="MDPI31text"/>
              <w:ind w:left="0" w:firstLine="0"/>
              <w:jc w:val="left"/>
              <w:rPr>
                <w:rFonts w:ascii="Arial" w:hAnsi="Arial" w:cs="Arial"/>
                <w:b/>
                <w:bCs/>
                <w:sz w:val="22"/>
                <w:lang w:val="en-SG"/>
              </w:rPr>
            </w:pPr>
            <w:r w:rsidRPr="001D3779">
              <w:rPr>
                <w:rFonts w:ascii="Arial" w:hAnsi="Arial" w:cs="Arial"/>
                <w:b/>
                <w:bCs/>
                <w:sz w:val="22"/>
                <w:lang w:val="en-SG"/>
              </w:rPr>
              <w:t>Conclusions: In infants receiving early acetaminophen therapy, higher gestational age and lower MPA systolic Vmax were significant predictors of PDA closure.</w:t>
            </w:r>
          </w:p>
          <w:p w14:paraId="728F4A88" w14:textId="7E27B5C4" w:rsidR="00E3114E" w:rsidRPr="001D3779" w:rsidRDefault="00E3114E" w:rsidP="00441B6F">
            <w:pPr>
              <w:pStyle w:val="Body"/>
              <w:spacing w:after="0"/>
              <w:rPr>
                <w:rFonts w:ascii="Arial" w:eastAsia="Calibri" w:hAnsi="Arial" w:cs="Arial"/>
                <w:b/>
                <w:sz w:val="22"/>
                <w:szCs w:val="22"/>
              </w:rPr>
            </w:pPr>
          </w:p>
          <w:p w14:paraId="1C9FD7F8" w14:textId="15CE8A35" w:rsidR="00505F06" w:rsidRPr="00BA1B01" w:rsidRDefault="00505F06" w:rsidP="00441B6F">
            <w:pPr>
              <w:pStyle w:val="Body"/>
              <w:spacing w:after="0"/>
              <w:rPr>
                <w:rFonts w:ascii="Arial" w:eastAsia="Calibri" w:hAnsi="Arial" w:cs="Arial"/>
                <w:szCs w:val="22"/>
              </w:rPr>
            </w:pPr>
          </w:p>
        </w:tc>
      </w:tr>
    </w:tbl>
    <w:p w14:paraId="4979517E" w14:textId="77777777" w:rsidR="00636EB2" w:rsidRDefault="00636EB2" w:rsidP="00441B6F">
      <w:pPr>
        <w:pStyle w:val="Body"/>
        <w:spacing w:after="0"/>
        <w:rPr>
          <w:rFonts w:ascii="Arial" w:hAnsi="Arial" w:cs="Arial"/>
          <w:i/>
        </w:rPr>
      </w:pPr>
    </w:p>
    <w:p w14:paraId="4E382A2F" w14:textId="37A0B82E" w:rsidR="00A24E7E" w:rsidRDefault="00A24E7E" w:rsidP="00441B6F">
      <w:pPr>
        <w:pStyle w:val="Body"/>
        <w:spacing w:after="0"/>
        <w:rPr>
          <w:rFonts w:ascii="Arial" w:hAnsi="Arial" w:cs="Arial"/>
          <w:i/>
        </w:rPr>
      </w:pPr>
      <w:r>
        <w:rPr>
          <w:rFonts w:ascii="Arial" w:hAnsi="Arial" w:cs="Arial"/>
          <w:i/>
        </w:rPr>
        <w:t xml:space="preserve">Keywords: </w:t>
      </w:r>
      <w:r w:rsidR="007A54EC" w:rsidRPr="007A54EC">
        <w:rPr>
          <w:rFonts w:ascii="Arial" w:hAnsi="Arial" w:cs="Arial"/>
          <w:i/>
          <w:iCs/>
        </w:rPr>
        <w:t>Patent ductus arteriosus,</w:t>
      </w:r>
      <w:r w:rsidR="007A54EC" w:rsidRPr="007A54EC">
        <w:rPr>
          <w:rFonts w:ascii="Arial" w:hAnsi="Arial" w:cs="Arial"/>
          <w:i/>
          <w:iCs/>
          <w:spacing w:val="2"/>
        </w:rPr>
        <w:t xml:space="preserve"> </w:t>
      </w:r>
      <w:r w:rsidR="007A54EC" w:rsidRPr="007A54EC">
        <w:rPr>
          <w:rFonts w:ascii="Arial" w:hAnsi="Arial" w:cs="Arial"/>
          <w:i/>
          <w:iCs/>
        </w:rPr>
        <w:t>acetaminophen, extremely low gestational age newborn</w:t>
      </w:r>
      <w:r w:rsidR="007A54EC">
        <w:rPr>
          <w:rFonts w:ascii="Arial" w:hAnsi="Arial" w:cs="Arial"/>
          <w:i/>
          <w:iCs/>
        </w:rPr>
        <w:t>, echocardiography, early medical therapy, late medical therapy</w:t>
      </w:r>
      <w:r w:rsidR="007A54EC" w:rsidRPr="007A54EC">
        <w:rPr>
          <w:rFonts w:ascii="Arial" w:hAnsi="Arial" w:cs="Arial"/>
          <w:i/>
          <w:iCs/>
        </w:rPr>
        <w:t>.</w:t>
      </w:r>
    </w:p>
    <w:p w14:paraId="6D465763" w14:textId="77777777" w:rsidR="0024282C" w:rsidRDefault="0024282C" w:rsidP="00441B6F">
      <w:pPr>
        <w:pStyle w:val="Body"/>
        <w:spacing w:after="0"/>
        <w:rPr>
          <w:rFonts w:ascii="Arial" w:hAnsi="Arial" w:cs="Arial"/>
          <w:i/>
          <w:sz w:val="18"/>
        </w:rPr>
      </w:pPr>
    </w:p>
    <w:p w14:paraId="3E9352D2" w14:textId="77777777" w:rsidR="00505F06" w:rsidRPr="00A24E7E" w:rsidRDefault="00505F06" w:rsidP="00441B6F">
      <w:pPr>
        <w:pStyle w:val="Body"/>
        <w:spacing w:after="0"/>
        <w:rPr>
          <w:rFonts w:ascii="Arial" w:hAnsi="Arial" w:cs="Arial"/>
          <w:i/>
        </w:rPr>
      </w:pPr>
    </w:p>
    <w:p w14:paraId="34DD24D2" w14:textId="77A49F8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2DA60A9" w14:textId="77777777" w:rsidR="00790ADA" w:rsidRPr="00B673E4" w:rsidRDefault="00790ADA" w:rsidP="00441B6F">
      <w:pPr>
        <w:pStyle w:val="AbstHead"/>
        <w:spacing w:after="0"/>
        <w:jc w:val="both"/>
        <w:rPr>
          <w:rFonts w:ascii="Arial" w:hAnsi="Arial" w:cs="Arial"/>
          <w:szCs w:val="22"/>
        </w:rPr>
      </w:pPr>
    </w:p>
    <w:p w14:paraId="00FCC0B2" w14:textId="77777777" w:rsidR="007A54EC" w:rsidRPr="00B673E4" w:rsidRDefault="007A54EC" w:rsidP="007A54EC">
      <w:pPr>
        <w:rPr>
          <w:rFonts w:ascii="Arial" w:hAnsi="Arial" w:cs="Arial"/>
          <w:sz w:val="22"/>
          <w:szCs w:val="22"/>
        </w:rPr>
      </w:pPr>
      <w:r w:rsidRPr="00B673E4">
        <w:rPr>
          <w:rFonts w:ascii="Arial" w:hAnsi="Arial" w:cs="Arial"/>
          <w:sz w:val="22"/>
          <w:szCs w:val="22"/>
        </w:rPr>
        <w:t>Patent ductus arteriosus (PDA) is the most common cardiac condition in preterm infants. Managing a hemodynamically significant patent ductus arteriosus (</w:t>
      </w:r>
      <w:proofErr w:type="spellStart"/>
      <w:r w:rsidRPr="00B673E4">
        <w:rPr>
          <w:rFonts w:ascii="Arial" w:hAnsi="Arial" w:cs="Arial"/>
          <w:sz w:val="22"/>
          <w:szCs w:val="22"/>
        </w:rPr>
        <w:t>HsPDA</w:t>
      </w:r>
      <w:proofErr w:type="spellEnd"/>
      <w:r w:rsidRPr="00B673E4">
        <w:rPr>
          <w:rFonts w:ascii="Arial" w:hAnsi="Arial" w:cs="Arial"/>
          <w:sz w:val="22"/>
          <w:szCs w:val="22"/>
        </w:rPr>
        <w:t>) remains challenging for extremely low gestational age newborns (ELGANs). While most PDAs spontaneously close within the first week of life, over 50% of very-low-birth-weight infants may have persistent ductal patency.</w:t>
      </w:r>
      <w:r w:rsidRPr="00B673E4">
        <w:rPr>
          <w:rFonts w:ascii="Arial" w:hAnsi="Arial" w:cs="Arial"/>
          <w:sz w:val="22"/>
          <w:szCs w:val="22"/>
          <w:vertAlign w:val="superscript"/>
        </w:rPr>
        <w:t>1</w:t>
      </w:r>
      <w:r w:rsidRPr="00B673E4">
        <w:rPr>
          <w:rFonts w:ascii="Arial" w:hAnsi="Arial" w:cs="Arial"/>
          <w:sz w:val="22"/>
          <w:szCs w:val="22"/>
        </w:rPr>
        <w:t xml:space="preserve"> </w:t>
      </w:r>
      <w:proofErr w:type="spellStart"/>
      <w:r w:rsidRPr="00B673E4">
        <w:rPr>
          <w:rFonts w:ascii="Arial" w:hAnsi="Arial" w:cs="Arial"/>
          <w:sz w:val="22"/>
          <w:szCs w:val="22"/>
        </w:rPr>
        <w:t>HsPDA</w:t>
      </w:r>
      <w:proofErr w:type="spellEnd"/>
      <w:r w:rsidRPr="00B673E4">
        <w:rPr>
          <w:rFonts w:ascii="Arial" w:hAnsi="Arial" w:cs="Arial"/>
          <w:sz w:val="22"/>
          <w:szCs w:val="22"/>
        </w:rPr>
        <w:t xml:space="preserve"> is especially prevalent in those born before 28 weeks of gestation, with an incidence as high as 80%.</w:t>
      </w:r>
      <w:r w:rsidRPr="00B673E4">
        <w:rPr>
          <w:rFonts w:ascii="Arial" w:hAnsi="Arial" w:cs="Arial"/>
          <w:sz w:val="22"/>
          <w:szCs w:val="22"/>
          <w:vertAlign w:val="superscript"/>
        </w:rPr>
        <w:t>2</w:t>
      </w:r>
    </w:p>
    <w:p w14:paraId="7B7910ED" w14:textId="77777777" w:rsidR="007A54EC" w:rsidRPr="00B673E4" w:rsidRDefault="007A54EC" w:rsidP="007A54EC">
      <w:pPr>
        <w:rPr>
          <w:rFonts w:ascii="Arial" w:hAnsi="Arial" w:cs="Arial"/>
          <w:sz w:val="22"/>
          <w:szCs w:val="22"/>
        </w:rPr>
      </w:pPr>
    </w:p>
    <w:p w14:paraId="6E8B5100" w14:textId="77777777" w:rsidR="007A54EC" w:rsidRPr="00B673E4" w:rsidRDefault="007A54EC" w:rsidP="007A54EC">
      <w:pPr>
        <w:rPr>
          <w:rFonts w:ascii="Arial" w:hAnsi="Arial" w:cs="Arial"/>
          <w:sz w:val="22"/>
          <w:szCs w:val="22"/>
        </w:rPr>
      </w:pPr>
      <w:r w:rsidRPr="00B673E4">
        <w:rPr>
          <w:rFonts w:ascii="Arial" w:hAnsi="Arial" w:cs="Arial"/>
          <w:sz w:val="22"/>
          <w:szCs w:val="22"/>
        </w:rPr>
        <w:t xml:space="preserve">The hemodynamic effect of </w:t>
      </w:r>
      <w:proofErr w:type="spellStart"/>
      <w:r w:rsidRPr="00B673E4">
        <w:rPr>
          <w:rFonts w:ascii="Arial" w:hAnsi="Arial" w:cs="Arial"/>
          <w:sz w:val="22"/>
          <w:szCs w:val="22"/>
        </w:rPr>
        <w:t>HsPDA</w:t>
      </w:r>
      <w:proofErr w:type="spellEnd"/>
      <w:r w:rsidRPr="00B673E4">
        <w:rPr>
          <w:rFonts w:ascii="Arial" w:hAnsi="Arial" w:cs="Arial"/>
          <w:sz w:val="22"/>
          <w:szCs w:val="22"/>
        </w:rPr>
        <w:t xml:space="preserve"> can be attributed to pulmonary over circulation and systemic hypoperfusion, leading to complications such as respiratory distress, pulmonary edema, congestive cardiac failure, and renal impairment. Pulmonary hemorrhage, especially in ELGAN, can have devastating complications. The long-term consequences of prolonged ventilatory requirement include bronchopulmonary dysplasia, bronchopulmonary dysplasia-associated pulmonary hypertension, mortality, and possibly neurodevelopmental impairment.</w:t>
      </w:r>
      <w:r w:rsidRPr="00B673E4">
        <w:rPr>
          <w:rFonts w:ascii="Arial" w:hAnsi="Arial" w:cs="Arial"/>
          <w:sz w:val="22"/>
          <w:szCs w:val="22"/>
          <w:vertAlign w:val="superscript"/>
        </w:rPr>
        <w:t>3-5</w:t>
      </w:r>
      <w:r w:rsidRPr="00B673E4">
        <w:rPr>
          <w:rFonts w:ascii="Arial" w:hAnsi="Arial" w:cs="Arial"/>
          <w:sz w:val="22"/>
          <w:szCs w:val="22"/>
        </w:rPr>
        <w:t xml:space="preserve"> The association between PDA and mortality remains a topic of controversy.</w:t>
      </w:r>
      <w:r w:rsidRPr="00B673E4">
        <w:rPr>
          <w:rFonts w:ascii="Arial" w:hAnsi="Arial" w:cs="Arial"/>
          <w:sz w:val="22"/>
          <w:szCs w:val="22"/>
          <w:vertAlign w:val="superscript"/>
        </w:rPr>
        <w:t>3,6</w:t>
      </w:r>
      <w:r w:rsidRPr="00B673E4">
        <w:rPr>
          <w:rFonts w:ascii="Arial" w:hAnsi="Arial" w:cs="Arial"/>
          <w:sz w:val="22"/>
          <w:szCs w:val="22"/>
        </w:rPr>
        <w:t xml:space="preserve"> A balanced approach combining conservative and targeted treatment of </w:t>
      </w:r>
      <w:proofErr w:type="spellStart"/>
      <w:r w:rsidRPr="00B673E4">
        <w:rPr>
          <w:rFonts w:ascii="Arial" w:hAnsi="Arial" w:cs="Arial"/>
          <w:sz w:val="22"/>
          <w:szCs w:val="22"/>
        </w:rPr>
        <w:t>HsPDA</w:t>
      </w:r>
      <w:proofErr w:type="spellEnd"/>
      <w:r w:rsidRPr="00B673E4">
        <w:rPr>
          <w:rFonts w:ascii="Arial" w:hAnsi="Arial" w:cs="Arial"/>
          <w:sz w:val="22"/>
          <w:szCs w:val="22"/>
        </w:rPr>
        <w:t xml:space="preserve">, especially in extremely premature infants, is necessary to address the long-term implications of </w:t>
      </w:r>
      <w:proofErr w:type="spellStart"/>
      <w:r w:rsidRPr="00B673E4">
        <w:rPr>
          <w:rFonts w:ascii="Arial" w:hAnsi="Arial" w:cs="Arial"/>
          <w:sz w:val="22"/>
          <w:szCs w:val="22"/>
        </w:rPr>
        <w:t>HsPDA</w:t>
      </w:r>
      <w:proofErr w:type="spellEnd"/>
      <w:r w:rsidRPr="00B673E4">
        <w:rPr>
          <w:rFonts w:ascii="Arial" w:hAnsi="Arial" w:cs="Arial"/>
          <w:sz w:val="22"/>
          <w:szCs w:val="22"/>
        </w:rPr>
        <w:t>.</w:t>
      </w:r>
    </w:p>
    <w:p w14:paraId="71AF70F2" w14:textId="77777777" w:rsidR="007A54EC" w:rsidRPr="00B673E4" w:rsidRDefault="007A54EC" w:rsidP="007A54EC">
      <w:pPr>
        <w:rPr>
          <w:rFonts w:ascii="Arial" w:hAnsi="Arial" w:cs="Arial"/>
          <w:sz w:val="22"/>
          <w:szCs w:val="22"/>
        </w:rPr>
      </w:pPr>
      <w:r w:rsidRPr="00B673E4">
        <w:rPr>
          <w:rFonts w:ascii="Arial" w:hAnsi="Arial" w:cs="Arial"/>
          <w:sz w:val="22"/>
          <w:szCs w:val="22"/>
        </w:rPr>
        <w:t xml:space="preserve">Non-steroidal anti-inflammatory drugs (NSAIDs) such as indomethacin and ibuprofen have traditionally been used to treat </w:t>
      </w:r>
      <w:proofErr w:type="spellStart"/>
      <w:r w:rsidRPr="00B673E4">
        <w:rPr>
          <w:rFonts w:ascii="Arial" w:hAnsi="Arial" w:cs="Arial"/>
          <w:sz w:val="22"/>
          <w:szCs w:val="22"/>
        </w:rPr>
        <w:t>HsPDA</w:t>
      </w:r>
      <w:proofErr w:type="spellEnd"/>
      <w:r w:rsidRPr="00B673E4">
        <w:rPr>
          <w:rFonts w:ascii="Arial" w:hAnsi="Arial" w:cs="Arial"/>
          <w:sz w:val="22"/>
          <w:szCs w:val="22"/>
        </w:rPr>
        <w:t>. However, they can cause severe gastrointestinal side effects like necrotizing enterocolitis (NEC) and intestinal perforation, which contribute significantly to morbidity and mortality in ELGAN. Recently, acetaminophen has been considered due to its safer profile.</w:t>
      </w:r>
      <w:r w:rsidRPr="00B673E4">
        <w:rPr>
          <w:rFonts w:ascii="Arial" w:hAnsi="Arial" w:cs="Arial"/>
          <w:sz w:val="22"/>
          <w:szCs w:val="22"/>
          <w:vertAlign w:val="superscript"/>
        </w:rPr>
        <w:t>7,8</w:t>
      </w:r>
      <w:r w:rsidRPr="00B673E4">
        <w:rPr>
          <w:rFonts w:ascii="Arial" w:hAnsi="Arial" w:cs="Arial"/>
          <w:sz w:val="22"/>
          <w:szCs w:val="22"/>
        </w:rPr>
        <w:t xml:space="preserve"> Studies indicate that acetaminophen is comparably effective in promoting the closure of </w:t>
      </w:r>
      <w:proofErr w:type="spellStart"/>
      <w:r w:rsidRPr="00B673E4">
        <w:rPr>
          <w:rFonts w:ascii="Arial" w:hAnsi="Arial" w:cs="Arial"/>
          <w:sz w:val="22"/>
          <w:szCs w:val="22"/>
        </w:rPr>
        <w:t>HsPDA</w:t>
      </w:r>
      <w:proofErr w:type="spellEnd"/>
      <w:r w:rsidRPr="00B673E4">
        <w:rPr>
          <w:rFonts w:ascii="Arial" w:hAnsi="Arial" w:cs="Arial"/>
          <w:sz w:val="22"/>
          <w:szCs w:val="22"/>
        </w:rPr>
        <w:t>, especially in older gestational-age infants, while presenting fewer gastrointestinal side effects such as bleeding and necrotizing enterocolitis.</w:t>
      </w:r>
      <w:r w:rsidRPr="00B673E4">
        <w:rPr>
          <w:rFonts w:ascii="Arial" w:hAnsi="Arial" w:cs="Arial"/>
          <w:sz w:val="22"/>
          <w:szCs w:val="22"/>
          <w:vertAlign w:val="superscript"/>
        </w:rPr>
        <w:t xml:space="preserve">9,10 </w:t>
      </w:r>
      <w:r w:rsidRPr="00B673E4">
        <w:rPr>
          <w:rFonts w:ascii="Arial" w:hAnsi="Arial" w:cs="Arial"/>
          <w:sz w:val="22"/>
          <w:szCs w:val="22"/>
        </w:rPr>
        <w:t>The estimated efficacy of acetaminophen in achieving PDA closure ranges from 56% to 72%.</w:t>
      </w:r>
      <w:r w:rsidRPr="00B673E4">
        <w:rPr>
          <w:rFonts w:ascii="Arial" w:hAnsi="Arial" w:cs="Arial"/>
          <w:sz w:val="22"/>
          <w:szCs w:val="22"/>
          <w:vertAlign w:val="superscript"/>
        </w:rPr>
        <w:t>11</w:t>
      </w:r>
    </w:p>
    <w:p w14:paraId="728CEF2B" w14:textId="77777777" w:rsidR="007A54EC" w:rsidRPr="00B673E4" w:rsidRDefault="007A54EC" w:rsidP="007A54EC">
      <w:pPr>
        <w:rPr>
          <w:rFonts w:ascii="Arial" w:hAnsi="Arial" w:cs="Arial"/>
          <w:sz w:val="22"/>
          <w:szCs w:val="22"/>
        </w:rPr>
      </w:pPr>
    </w:p>
    <w:p w14:paraId="23C03D2F" w14:textId="77777777" w:rsidR="007A54EC" w:rsidRPr="00B673E4" w:rsidRDefault="007A54EC" w:rsidP="007A54EC">
      <w:pPr>
        <w:rPr>
          <w:rFonts w:ascii="Arial" w:hAnsi="Arial" w:cs="Arial"/>
          <w:sz w:val="22"/>
          <w:szCs w:val="22"/>
        </w:rPr>
      </w:pPr>
      <w:r w:rsidRPr="00B673E4">
        <w:rPr>
          <w:rFonts w:ascii="Arial" w:hAnsi="Arial" w:cs="Arial"/>
          <w:sz w:val="22"/>
          <w:szCs w:val="22"/>
        </w:rPr>
        <w:t xml:space="preserve">Acetaminophen, a prostaglandin H2 synthase inhibitor, is used as the first-line treatment or when indomethacin or ibuprofen are contraindicated. However, its </w:t>
      </w:r>
      <w:r w:rsidRPr="00B673E4">
        <w:rPr>
          <w:rFonts w:ascii="Arial" w:hAnsi="Arial" w:cs="Arial"/>
          <w:sz w:val="22"/>
          <w:szCs w:val="22"/>
        </w:rPr>
        <w:lastRenderedPageBreak/>
        <w:t>efficacy, optimal dosage, and administration route in preterm neonates remain unclear.</w:t>
      </w:r>
      <w:r w:rsidRPr="00B673E4">
        <w:rPr>
          <w:rFonts w:ascii="Arial" w:hAnsi="Arial" w:cs="Arial"/>
          <w:sz w:val="22"/>
          <w:szCs w:val="22"/>
          <w:vertAlign w:val="superscript"/>
        </w:rPr>
        <w:t xml:space="preserve">12 </w:t>
      </w:r>
      <w:r w:rsidRPr="00B673E4">
        <w:rPr>
          <w:rFonts w:ascii="Arial" w:hAnsi="Arial" w:cs="Arial"/>
          <w:sz w:val="22"/>
          <w:szCs w:val="22"/>
        </w:rPr>
        <w:t>The response to these drugs can vary due to factors like gestational age, ductal size, administration method, and therapy duration.</w:t>
      </w:r>
      <w:r w:rsidRPr="00B673E4">
        <w:rPr>
          <w:rFonts w:ascii="Arial" w:hAnsi="Arial" w:cs="Arial"/>
          <w:sz w:val="22"/>
          <w:szCs w:val="22"/>
          <w:vertAlign w:val="superscript"/>
        </w:rPr>
        <w:t>13</w:t>
      </w:r>
      <w:r w:rsidRPr="00B673E4">
        <w:rPr>
          <w:rFonts w:ascii="Arial" w:hAnsi="Arial" w:cs="Arial"/>
          <w:sz w:val="22"/>
          <w:szCs w:val="22"/>
        </w:rPr>
        <w:t xml:space="preserve"> There is increasing awareness of clinical and echocardiographic predictors of ductal response.</w:t>
      </w:r>
      <w:r w:rsidRPr="00B673E4">
        <w:rPr>
          <w:rFonts w:ascii="Arial" w:hAnsi="Arial" w:cs="Arial"/>
          <w:sz w:val="22"/>
          <w:szCs w:val="22"/>
          <w:vertAlign w:val="superscript"/>
        </w:rPr>
        <w:t>14</w:t>
      </w:r>
    </w:p>
    <w:p w14:paraId="20F7F198" w14:textId="77777777" w:rsidR="007A54EC" w:rsidRPr="00B673E4" w:rsidRDefault="007A54EC" w:rsidP="007A54EC">
      <w:pPr>
        <w:rPr>
          <w:rFonts w:ascii="Arial" w:hAnsi="Arial" w:cs="Arial"/>
          <w:sz w:val="22"/>
          <w:szCs w:val="22"/>
        </w:rPr>
      </w:pPr>
      <w:r w:rsidRPr="00B673E4">
        <w:rPr>
          <w:rFonts w:ascii="Arial" w:hAnsi="Arial" w:cs="Arial"/>
          <w:sz w:val="22"/>
          <w:szCs w:val="22"/>
        </w:rPr>
        <w:t>In our unit, indomethacin serves as the first-line treatment for PDA in ventilated ELGANs, with acetaminophen reserved for cases with contraindications, such as bilious gastric aspirates, severe intrauterine growth restriction with abnormal Doppler findings, thrombocytopenia, and significant coagulopathy.</w:t>
      </w:r>
    </w:p>
    <w:p w14:paraId="62FC0C90" w14:textId="77777777" w:rsidR="007A54EC" w:rsidRPr="00B673E4" w:rsidRDefault="007A54EC" w:rsidP="007A54EC">
      <w:pPr>
        <w:rPr>
          <w:rFonts w:ascii="Arial" w:hAnsi="Arial" w:cs="Arial"/>
          <w:b/>
          <w:bCs/>
          <w:sz w:val="22"/>
          <w:szCs w:val="22"/>
        </w:rPr>
      </w:pPr>
      <w:r w:rsidRPr="00B673E4">
        <w:rPr>
          <w:rFonts w:ascii="Arial" w:hAnsi="Arial" w:cs="Arial"/>
          <w:sz w:val="22"/>
          <w:szCs w:val="22"/>
        </w:rPr>
        <w:t xml:space="preserve">We aimed to study the impact of hemodynamics on the effectiveness of acetaminophen in managing </w:t>
      </w:r>
      <w:proofErr w:type="spellStart"/>
      <w:r w:rsidRPr="00B673E4">
        <w:rPr>
          <w:rFonts w:ascii="Arial" w:hAnsi="Arial" w:cs="Arial"/>
          <w:sz w:val="22"/>
          <w:szCs w:val="22"/>
        </w:rPr>
        <w:t>HsPDA</w:t>
      </w:r>
      <w:proofErr w:type="spellEnd"/>
      <w:r w:rsidRPr="00B673E4">
        <w:rPr>
          <w:rFonts w:ascii="Arial" w:hAnsi="Arial" w:cs="Arial"/>
          <w:sz w:val="22"/>
          <w:szCs w:val="22"/>
        </w:rPr>
        <w:t xml:space="preserve"> in high-risk ELGANs. We analyzed clinical and echocardiographic parameters to identify predictors of successful therapy, hypothesizing that abnormal cardiac function might impair the ductal response to medication, and that echocardiographic parameters might predict poor responders. </w:t>
      </w:r>
    </w:p>
    <w:p w14:paraId="64FFA55B" w14:textId="77777777" w:rsidR="007A54EC" w:rsidRPr="00830593" w:rsidRDefault="007A54EC" w:rsidP="00441B6F">
      <w:pPr>
        <w:pStyle w:val="Body"/>
        <w:spacing w:after="0"/>
        <w:rPr>
          <w:rFonts w:ascii="Arial" w:hAnsi="Arial" w:cs="Arial"/>
          <w:lang w:val="en-SG"/>
        </w:rPr>
      </w:pPr>
    </w:p>
    <w:p w14:paraId="7C7B8CB3" w14:textId="77777777" w:rsidR="00790ADA" w:rsidRPr="00FB3A86" w:rsidRDefault="00790ADA" w:rsidP="00441B6F">
      <w:pPr>
        <w:pStyle w:val="Body"/>
        <w:spacing w:after="0"/>
        <w:rPr>
          <w:rFonts w:ascii="Arial" w:hAnsi="Arial" w:cs="Arial"/>
        </w:rPr>
      </w:pPr>
    </w:p>
    <w:p w14:paraId="69F62160" w14:textId="1CE35BAB" w:rsidR="00B95236" w:rsidRDefault="00902823" w:rsidP="00B673E4">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26B5A3C" w14:textId="77777777" w:rsidR="00790ADA" w:rsidRDefault="00790ADA" w:rsidP="00441B6F">
      <w:pPr>
        <w:pStyle w:val="Body"/>
        <w:spacing w:after="0"/>
        <w:rPr>
          <w:rFonts w:ascii="Arial" w:hAnsi="Arial" w:cs="Arial"/>
        </w:rPr>
      </w:pPr>
    </w:p>
    <w:p w14:paraId="1CBA6456" w14:textId="77777777" w:rsidR="00B673E4" w:rsidRPr="00B673E4" w:rsidRDefault="00B673E4" w:rsidP="00B673E4">
      <w:pPr>
        <w:rPr>
          <w:rFonts w:ascii="Arial" w:hAnsi="Arial" w:cs="Arial"/>
          <w:sz w:val="22"/>
          <w:szCs w:val="22"/>
        </w:rPr>
      </w:pPr>
      <w:r w:rsidRPr="00B673E4">
        <w:rPr>
          <w:rFonts w:ascii="Arial" w:hAnsi="Arial" w:cs="Arial"/>
          <w:sz w:val="22"/>
          <w:szCs w:val="22"/>
        </w:rPr>
        <w:t>This is a single-center retrospective medical audit on ELGAN with hemodynamically significant patent ductus arteriosus (</w:t>
      </w:r>
      <w:proofErr w:type="spellStart"/>
      <w:r w:rsidRPr="00B673E4">
        <w:rPr>
          <w:rFonts w:ascii="Arial" w:hAnsi="Arial" w:cs="Arial"/>
          <w:sz w:val="22"/>
          <w:szCs w:val="22"/>
        </w:rPr>
        <w:t>HsPDA</w:t>
      </w:r>
      <w:proofErr w:type="spellEnd"/>
      <w:r w:rsidRPr="00B673E4">
        <w:rPr>
          <w:rFonts w:ascii="Arial" w:hAnsi="Arial" w:cs="Arial"/>
          <w:sz w:val="22"/>
          <w:szCs w:val="22"/>
        </w:rPr>
        <w:t>) treated with acetaminophen between February 1, 2021, and October 31, 2024, at the tertiary Neonatal Intensive Care Unit (NICU) in Singapore.</w:t>
      </w:r>
    </w:p>
    <w:p w14:paraId="35A7FBA8" w14:textId="77777777" w:rsidR="00B673E4" w:rsidRPr="00B673E4" w:rsidRDefault="00B673E4" w:rsidP="00B673E4">
      <w:pPr>
        <w:rPr>
          <w:rFonts w:ascii="Arial" w:hAnsi="Arial" w:cs="Arial"/>
          <w:sz w:val="22"/>
          <w:szCs w:val="22"/>
        </w:rPr>
      </w:pPr>
    </w:p>
    <w:p w14:paraId="086E204B" w14:textId="77777777" w:rsidR="00B673E4" w:rsidRPr="00B673E4" w:rsidRDefault="00B673E4" w:rsidP="00B673E4">
      <w:pPr>
        <w:rPr>
          <w:rFonts w:ascii="Arial" w:hAnsi="Arial" w:cs="Arial"/>
          <w:sz w:val="22"/>
          <w:szCs w:val="22"/>
        </w:rPr>
      </w:pPr>
      <w:r w:rsidRPr="00B673E4">
        <w:rPr>
          <w:rFonts w:ascii="Arial" w:hAnsi="Arial" w:cs="Arial"/>
          <w:sz w:val="22"/>
          <w:szCs w:val="22"/>
        </w:rPr>
        <w:t xml:space="preserve">Infants born at less than 28 weeks gestation required treatment for </w:t>
      </w:r>
      <w:proofErr w:type="spellStart"/>
      <w:r w:rsidRPr="00B673E4">
        <w:rPr>
          <w:rFonts w:ascii="Arial" w:hAnsi="Arial" w:cs="Arial"/>
          <w:sz w:val="22"/>
          <w:szCs w:val="22"/>
        </w:rPr>
        <w:t>HsPDA</w:t>
      </w:r>
      <w:proofErr w:type="spellEnd"/>
      <w:r w:rsidRPr="00B673E4">
        <w:rPr>
          <w:rFonts w:ascii="Arial" w:hAnsi="Arial" w:cs="Arial"/>
          <w:sz w:val="22"/>
          <w:szCs w:val="22"/>
        </w:rPr>
        <w:t xml:space="preserve"> and received acetaminophen were included in the study. Infants with significant congenital or cardiac anomalies were excluded from the study. The clinical audit was conducted retrospectively, with early treatment defined as acetaminophen therapy initiated within the first two weeks of life. The dosage of intravenous (IV) acetaminophen administered was 15 mg/kg body weight every 6 hours, given over five days. The decision to use acetaminophen was made by the treating physician based on clinical indications, and when contraindications to indomethacin were present, such as severe coagulopathy, thrombocytopenia, or abdominal distension and bilious gastric aspirates. Late treatment (&gt;2 weeks) was reserved for infants whose </w:t>
      </w:r>
      <w:proofErr w:type="spellStart"/>
      <w:r w:rsidRPr="00B673E4">
        <w:rPr>
          <w:rFonts w:ascii="Arial" w:hAnsi="Arial" w:cs="Arial"/>
          <w:sz w:val="22"/>
          <w:szCs w:val="22"/>
        </w:rPr>
        <w:t>HsPDA</w:t>
      </w:r>
      <w:proofErr w:type="spellEnd"/>
      <w:r w:rsidRPr="00B673E4">
        <w:rPr>
          <w:rFonts w:ascii="Arial" w:hAnsi="Arial" w:cs="Arial"/>
          <w:sz w:val="22"/>
          <w:szCs w:val="22"/>
        </w:rPr>
        <w:t xml:space="preserve"> failed to respond to indomethacin or ibuprofen therapy.</w:t>
      </w:r>
    </w:p>
    <w:p w14:paraId="03D9A2EF" w14:textId="77777777" w:rsidR="00B673E4" w:rsidRPr="00B673E4" w:rsidRDefault="00B673E4" w:rsidP="00B673E4">
      <w:pPr>
        <w:rPr>
          <w:rFonts w:ascii="Arial" w:hAnsi="Arial" w:cs="Arial"/>
          <w:sz w:val="22"/>
          <w:szCs w:val="22"/>
        </w:rPr>
      </w:pPr>
      <w:r w:rsidRPr="00B673E4">
        <w:rPr>
          <w:rFonts w:ascii="Arial" w:hAnsi="Arial" w:cs="Arial"/>
          <w:sz w:val="22"/>
          <w:szCs w:val="22"/>
        </w:rPr>
        <w:t xml:space="preserve">As per our unit's protocol, all high-risk infants with birth weight ≤800g and or ≤27 weeks gestational age on invasive ventilation will have an echocardiogram at 12–24h of age. Hemodynamically significant PDA was defined based on multiple criteria on echocardiogram, such as ductal size greater than 1.6mm, unrestricted ductal flow pattern, a left atrial to the aortic ratio (La/Ao) greater than 1.6, absent/reverse diastolic flow in the descending aorta or abdominal vessels. The radiological evidence of cardiomegaly and pulmonary edema were included as an indicator of </w:t>
      </w:r>
      <w:proofErr w:type="spellStart"/>
      <w:r w:rsidRPr="00B673E4">
        <w:rPr>
          <w:rFonts w:ascii="Arial" w:hAnsi="Arial" w:cs="Arial"/>
          <w:sz w:val="22"/>
          <w:szCs w:val="22"/>
        </w:rPr>
        <w:t>HsPDA</w:t>
      </w:r>
      <w:proofErr w:type="spellEnd"/>
      <w:r w:rsidRPr="00B673E4">
        <w:rPr>
          <w:rFonts w:ascii="Arial" w:hAnsi="Arial" w:cs="Arial"/>
          <w:sz w:val="22"/>
          <w:szCs w:val="22"/>
        </w:rPr>
        <w:t>. Clinical data pertaining to both maternal and infant factors were collected from medical records. The clinical and echocardiographic parameters were then compared between ductal responders, treatment failures, and the early and late therapy groups.</w:t>
      </w:r>
    </w:p>
    <w:p w14:paraId="4F4C5B74" w14:textId="77777777" w:rsidR="00B673E4" w:rsidRPr="00B673E4" w:rsidRDefault="00B673E4" w:rsidP="00B673E4">
      <w:pPr>
        <w:rPr>
          <w:rFonts w:ascii="Arial" w:hAnsi="Arial" w:cs="Arial"/>
          <w:sz w:val="22"/>
          <w:szCs w:val="22"/>
        </w:rPr>
      </w:pPr>
    </w:p>
    <w:p w14:paraId="3F5D468F" w14:textId="77777777" w:rsidR="00B673E4" w:rsidRPr="00B673E4" w:rsidRDefault="00B673E4" w:rsidP="00B673E4">
      <w:pPr>
        <w:rPr>
          <w:rFonts w:ascii="Arial" w:hAnsi="Arial" w:cs="Arial"/>
          <w:sz w:val="22"/>
          <w:szCs w:val="22"/>
        </w:rPr>
      </w:pPr>
      <w:r w:rsidRPr="00B673E4">
        <w:rPr>
          <w:rFonts w:ascii="Arial" w:hAnsi="Arial" w:cs="Arial"/>
          <w:sz w:val="22"/>
          <w:szCs w:val="22"/>
        </w:rPr>
        <w:t xml:space="preserve">Echocardiographic parameters recorded included ductal size at the pulmonary end, ductal shunt pattern, degree of left atrial and ventricular dilatation, maximal systolic and diastolic shunt velocity, left ventricular internal diameter (end-systolic and diastolic), left ventricular ejection fraction, and fractional shortening. We also </w:t>
      </w:r>
      <w:r w:rsidRPr="00B673E4">
        <w:rPr>
          <w:rFonts w:ascii="Arial" w:hAnsi="Arial" w:cs="Arial"/>
          <w:sz w:val="22"/>
          <w:szCs w:val="22"/>
        </w:rPr>
        <w:lastRenderedPageBreak/>
        <w:t>measured the main pulmonary artery (MPA) and the Doppler velocities of the ascending and descending aorta. All the echocardiographic scans were done as part of clinical management using a GE vivo S6 machine (GE Medical, Milwaukee, USA) with 7MHz and 10 MHz probes and independently reported by a pediatric cardiologist.</w:t>
      </w:r>
    </w:p>
    <w:p w14:paraId="7868B87C" w14:textId="77777777" w:rsidR="00B673E4" w:rsidRPr="00B673E4" w:rsidRDefault="00B673E4" w:rsidP="00B673E4">
      <w:pPr>
        <w:rPr>
          <w:rFonts w:ascii="Arial" w:hAnsi="Arial" w:cs="Arial"/>
          <w:sz w:val="22"/>
          <w:szCs w:val="22"/>
        </w:rPr>
      </w:pPr>
    </w:p>
    <w:p w14:paraId="647A5366" w14:textId="77777777" w:rsidR="00B673E4" w:rsidRPr="00B673E4" w:rsidRDefault="00B673E4" w:rsidP="00B673E4">
      <w:pPr>
        <w:rPr>
          <w:rFonts w:ascii="Arial" w:hAnsi="Arial" w:cs="Arial"/>
          <w:sz w:val="22"/>
          <w:szCs w:val="22"/>
        </w:rPr>
      </w:pPr>
      <w:r w:rsidRPr="00B673E4">
        <w:rPr>
          <w:rFonts w:ascii="Arial" w:hAnsi="Arial" w:cs="Arial"/>
          <w:sz w:val="22"/>
          <w:szCs w:val="22"/>
        </w:rPr>
        <w:t>The study data was collected without patient identifiers, centralized institute review board (CIRB) exempts the informed consent for data collection under clinical audit.</w:t>
      </w:r>
    </w:p>
    <w:p w14:paraId="21C709FD" w14:textId="77777777" w:rsidR="00B673E4" w:rsidRPr="00B673E4" w:rsidRDefault="00B673E4" w:rsidP="00B673E4">
      <w:pPr>
        <w:rPr>
          <w:rFonts w:ascii="Arial" w:hAnsi="Arial" w:cs="Arial"/>
          <w:b/>
          <w:bCs/>
          <w:sz w:val="22"/>
          <w:szCs w:val="22"/>
          <w:u w:val="single"/>
        </w:rPr>
      </w:pPr>
    </w:p>
    <w:p w14:paraId="3D4CAF59" w14:textId="71533FE4" w:rsidR="00B673E4" w:rsidRPr="00B673E4" w:rsidRDefault="00B673E4" w:rsidP="00B673E4">
      <w:pPr>
        <w:rPr>
          <w:rFonts w:ascii="Arial" w:hAnsi="Arial" w:cs="Arial"/>
          <w:b/>
          <w:bCs/>
          <w:sz w:val="22"/>
          <w:szCs w:val="22"/>
          <w:u w:val="single"/>
        </w:rPr>
      </w:pPr>
      <w:r w:rsidRPr="00B673E4">
        <w:rPr>
          <w:rFonts w:ascii="Arial" w:hAnsi="Arial" w:cs="Arial"/>
          <w:b/>
          <w:bCs/>
          <w:sz w:val="22"/>
          <w:szCs w:val="22"/>
          <w:u w:val="single"/>
        </w:rPr>
        <w:t>Data analysis:</w:t>
      </w:r>
    </w:p>
    <w:p w14:paraId="41EFAC8B" w14:textId="77777777" w:rsidR="00B673E4" w:rsidRPr="00B673E4" w:rsidRDefault="00B673E4" w:rsidP="00B673E4">
      <w:pPr>
        <w:rPr>
          <w:rFonts w:ascii="Arial" w:hAnsi="Arial" w:cs="Arial"/>
          <w:sz w:val="22"/>
          <w:szCs w:val="22"/>
        </w:rPr>
      </w:pPr>
      <w:r w:rsidRPr="00B673E4">
        <w:rPr>
          <w:rFonts w:ascii="Arial" w:hAnsi="Arial" w:cs="Arial"/>
          <w:sz w:val="22"/>
          <w:szCs w:val="22"/>
        </w:rPr>
        <w:t>The continuous variables were analyzed with student T test and Mann-Whitney U test. The binary logistic regression (multivariate) analysis was used to predict the predictors of successful ductal closure. The data was analyzed with IBM SPSS statistics (Version 26), and a two-sided p-value &lt;0.05 was considered statistically significant.</w:t>
      </w:r>
    </w:p>
    <w:p w14:paraId="45C0CCC3" w14:textId="77777777" w:rsidR="00B673E4" w:rsidRDefault="00B673E4" w:rsidP="00441B6F">
      <w:pPr>
        <w:pStyle w:val="Body"/>
        <w:spacing w:after="0"/>
        <w:rPr>
          <w:rFonts w:ascii="Arial" w:hAnsi="Arial" w:cs="Arial"/>
        </w:rPr>
      </w:pPr>
    </w:p>
    <w:p w14:paraId="74523FD0" w14:textId="77777777" w:rsidR="00790ADA" w:rsidRPr="00FB3A86" w:rsidRDefault="00790ADA" w:rsidP="00441B6F">
      <w:pPr>
        <w:pStyle w:val="Body"/>
        <w:spacing w:after="0"/>
        <w:rPr>
          <w:rFonts w:ascii="Arial" w:hAnsi="Arial" w:cs="Arial"/>
        </w:rPr>
      </w:pPr>
    </w:p>
    <w:p w14:paraId="1267145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B0FDC42" w14:textId="77777777" w:rsidR="00376BBE" w:rsidRDefault="00376BBE" w:rsidP="00441B6F">
      <w:pPr>
        <w:pStyle w:val="Body"/>
        <w:spacing w:after="0"/>
        <w:rPr>
          <w:rFonts w:ascii="Arial" w:hAnsi="Arial" w:cs="Arial"/>
        </w:rPr>
      </w:pPr>
    </w:p>
    <w:p w14:paraId="2C63CB26" w14:textId="77777777" w:rsidR="00B673E4" w:rsidRPr="002955D3" w:rsidRDefault="00B673E4" w:rsidP="00B673E4">
      <w:pPr>
        <w:rPr>
          <w:rFonts w:ascii="Arial" w:hAnsi="Arial" w:cs="Arial"/>
          <w:sz w:val="22"/>
          <w:szCs w:val="22"/>
        </w:rPr>
      </w:pPr>
      <w:r w:rsidRPr="002955D3">
        <w:rPr>
          <w:rFonts w:ascii="Arial" w:hAnsi="Arial" w:cs="Arial"/>
          <w:sz w:val="22"/>
          <w:szCs w:val="22"/>
        </w:rPr>
        <w:t xml:space="preserve">A total of 116 infants received acetaminophen therapy for PDA during the study period. Seventy infants received early therapy for </w:t>
      </w:r>
      <w:proofErr w:type="spellStart"/>
      <w:r w:rsidRPr="002955D3">
        <w:rPr>
          <w:rFonts w:ascii="Arial" w:hAnsi="Arial" w:cs="Arial"/>
          <w:sz w:val="22"/>
          <w:szCs w:val="22"/>
        </w:rPr>
        <w:t>HsPDA</w:t>
      </w:r>
      <w:proofErr w:type="spellEnd"/>
      <w:r w:rsidRPr="002955D3">
        <w:rPr>
          <w:rFonts w:ascii="Arial" w:hAnsi="Arial" w:cs="Arial"/>
          <w:sz w:val="22"/>
          <w:szCs w:val="22"/>
        </w:rPr>
        <w:t>. Successful PDA closure was observed in 21 infants (30%) in early paracetamol group. The group with closed PDA had higher gestational age (27.11±1.44 vs. 25.73±1.19weeks, p= 0.001). The birth weight difference was not statistically significant (817.14±254.232g vs 767.86±173.898g, p=0.4). There was a higher incidence of maternal pre-eclampsia (18% vs. 7%, 95% CI-0.08-0.75, p=0.01) and SGA (38% vs. 14%, 95% CI 0.08-0.98, p= 0.02) in closed PDA group. A higher number of infants in persistent PDA received surfactant therapy (90% vs 100%,95% CI 2.4-5.2, p=0.02). The incidence of moderate to severe RDS was not significant between the groups (62% vs. 53%, p= 0.4). Twenty-three infants (47%) required surgical PDA ligation among persistent PDA groups. Table 1 shows the demographic data of early treatment groups.</w:t>
      </w:r>
    </w:p>
    <w:p w14:paraId="0B7542C8" w14:textId="77777777" w:rsidR="00B673E4" w:rsidRDefault="00B673E4" w:rsidP="00B673E4">
      <w:pPr>
        <w:rPr>
          <w:rFonts w:ascii="Times New Roman" w:hAnsi="Times New Roman"/>
          <w:sz w:val="24"/>
          <w:szCs w:val="24"/>
        </w:rPr>
      </w:pPr>
    </w:p>
    <w:p w14:paraId="2D37061E" w14:textId="6F7E9A80" w:rsidR="00B673E4" w:rsidRDefault="00B673E4" w:rsidP="00B673E4">
      <w:pPr>
        <w:rPr>
          <w:rFonts w:ascii="Times New Roman" w:hAnsi="Times New Roman"/>
          <w:sz w:val="24"/>
          <w:szCs w:val="24"/>
        </w:rPr>
      </w:pPr>
      <w:r w:rsidRPr="005F0290">
        <w:rPr>
          <w:rFonts w:ascii="Arial" w:hAnsi="Arial" w:cs="Arial"/>
          <w:noProof/>
        </w:rPr>
        <w:drawing>
          <wp:inline distT="0" distB="0" distL="0" distR="0" wp14:anchorId="66FA0906" wp14:editId="6155E323">
            <wp:extent cx="5212080" cy="2173529"/>
            <wp:effectExtent l="0" t="0" r="0" b="17780"/>
            <wp:docPr id="122651942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D16AFE9" w14:textId="77777777" w:rsidR="00B673E4" w:rsidRPr="00AC37A8" w:rsidRDefault="00B673E4" w:rsidP="00B673E4">
      <w:pPr>
        <w:rPr>
          <w:rFonts w:ascii="Arial" w:hAnsi="Arial" w:cs="Arial"/>
        </w:rPr>
      </w:pPr>
    </w:p>
    <w:p w14:paraId="3A67243C" w14:textId="77777777" w:rsidR="00B673E4" w:rsidRPr="002955D3" w:rsidRDefault="00B673E4" w:rsidP="00B673E4">
      <w:pPr>
        <w:pStyle w:val="MDPI51figurecaption"/>
        <w:spacing w:before="0" w:after="0" w:line="240" w:lineRule="auto"/>
        <w:ind w:firstLine="142"/>
        <w:rPr>
          <w:rFonts w:ascii="Arial" w:hAnsi="Arial" w:cs="Arial"/>
          <w:color w:val="auto"/>
          <w:sz w:val="22"/>
          <w:szCs w:val="22"/>
        </w:rPr>
      </w:pPr>
      <w:r w:rsidRPr="002955D3">
        <w:rPr>
          <w:rFonts w:ascii="Arial" w:hAnsi="Arial" w:cs="Arial"/>
          <w:color w:val="auto"/>
          <w:sz w:val="22"/>
          <w:szCs w:val="22"/>
        </w:rPr>
        <w:t>Figure 1. study flow chart.</w:t>
      </w:r>
    </w:p>
    <w:p w14:paraId="72B0B6DD" w14:textId="77777777" w:rsidR="00B673E4" w:rsidRPr="002955D3" w:rsidRDefault="00B673E4" w:rsidP="00B673E4">
      <w:pPr>
        <w:pStyle w:val="MDPI51figurecaption"/>
        <w:spacing w:before="0" w:after="0" w:line="240" w:lineRule="auto"/>
        <w:ind w:firstLine="142"/>
        <w:rPr>
          <w:rFonts w:ascii="Arial" w:hAnsi="Arial" w:cs="Arial"/>
          <w:color w:val="auto"/>
          <w:sz w:val="22"/>
          <w:szCs w:val="22"/>
        </w:rPr>
      </w:pPr>
    </w:p>
    <w:p w14:paraId="65F95484" w14:textId="292F24A6" w:rsidR="00B673E4" w:rsidRPr="002955D3" w:rsidRDefault="00B673E4" w:rsidP="00B673E4">
      <w:pPr>
        <w:pStyle w:val="MDPI41tablecaption"/>
        <w:spacing w:before="0" w:after="0" w:line="240" w:lineRule="auto"/>
        <w:ind w:left="0"/>
        <w:rPr>
          <w:rFonts w:ascii="Arial" w:hAnsi="Arial" w:cs="Arial"/>
          <w:color w:val="auto"/>
          <w:sz w:val="22"/>
        </w:rPr>
      </w:pPr>
      <w:r w:rsidRPr="002955D3">
        <w:rPr>
          <w:rFonts w:ascii="Arial" w:hAnsi="Arial" w:cs="Arial"/>
          <w:color w:val="auto"/>
          <w:sz w:val="22"/>
        </w:rPr>
        <w:lastRenderedPageBreak/>
        <w:t>Table 1. Clinical demographics for early acetaminophen therapy.</w:t>
      </w:r>
    </w:p>
    <w:tbl>
      <w:tblPr>
        <w:tblStyle w:val="TableGrid"/>
        <w:tblW w:w="0" w:type="auto"/>
        <w:tblLook w:val="04A0" w:firstRow="1" w:lastRow="0" w:firstColumn="1" w:lastColumn="0" w:noHBand="0" w:noVBand="1"/>
      </w:tblPr>
      <w:tblGrid>
        <w:gridCol w:w="3015"/>
        <w:gridCol w:w="1940"/>
        <w:gridCol w:w="1940"/>
        <w:gridCol w:w="1303"/>
      </w:tblGrid>
      <w:tr w:rsidR="00B673E4" w:rsidRPr="002955D3" w14:paraId="6840FC8C" w14:textId="77777777" w:rsidTr="00413A8D">
        <w:tc>
          <w:tcPr>
            <w:tcW w:w="3015" w:type="dxa"/>
          </w:tcPr>
          <w:p w14:paraId="292C4377" w14:textId="77777777" w:rsidR="00B673E4" w:rsidRPr="002955D3" w:rsidRDefault="00B673E4" w:rsidP="00413A8D">
            <w:pPr>
              <w:rPr>
                <w:rFonts w:ascii="Arial" w:hAnsi="Arial" w:cs="Arial"/>
              </w:rPr>
            </w:pPr>
          </w:p>
        </w:tc>
        <w:tc>
          <w:tcPr>
            <w:tcW w:w="2188" w:type="dxa"/>
          </w:tcPr>
          <w:p w14:paraId="2224FB35" w14:textId="77777777" w:rsidR="00B673E4" w:rsidRPr="002955D3" w:rsidRDefault="00B673E4" w:rsidP="00413A8D">
            <w:pPr>
              <w:rPr>
                <w:rFonts w:ascii="Arial" w:hAnsi="Arial" w:cs="Arial"/>
              </w:rPr>
            </w:pPr>
            <w:r w:rsidRPr="002955D3">
              <w:rPr>
                <w:rFonts w:ascii="Arial" w:hAnsi="Arial" w:cs="Arial"/>
              </w:rPr>
              <w:t>PDA closed (n=21)</w:t>
            </w:r>
          </w:p>
        </w:tc>
        <w:tc>
          <w:tcPr>
            <w:tcW w:w="2189" w:type="dxa"/>
          </w:tcPr>
          <w:p w14:paraId="7FC5E4F6" w14:textId="77777777" w:rsidR="00B673E4" w:rsidRPr="002955D3" w:rsidRDefault="00B673E4" w:rsidP="00413A8D">
            <w:pPr>
              <w:rPr>
                <w:rFonts w:ascii="Arial" w:hAnsi="Arial" w:cs="Arial"/>
              </w:rPr>
            </w:pPr>
            <w:r w:rsidRPr="002955D3">
              <w:rPr>
                <w:rFonts w:ascii="Arial" w:hAnsi="Arial" w:cs="Arial"/>
              </w:rPr>
              <w:t>Persistent PDA (n=49)</w:t>
            </w:r>
          </w:p>
        </w:tc>
        <w:tc>
          <w:tcPr>
            <w:tcW w:w="1930" w:type="dxa"/>
          </w:tcPr>
          <w:p w14:paraId="65EDA0DC" w14:textId="77777777" w:rsidR="00B673E4" w:rsidRPr="002955D3" w:rsidRDefault="00B673E4" w:rsidP="00413A8D">
            <w:pPr>
              <w:rPr>
                <w:rFonts w:ascii="Arial" w:hAnsi="Arial" w:cs="Arial"/>
              </w:rPr>
            </w:pPr>
            <w:r w:rsidRPr="002955D3">
              <w:rPr>
                <w:rFonts w:ascii="Arial" w:hAnsi="Arial" w:cs="Arial"/>
              </w:rPr>
              <w:t>P</w:t>
            </w:r>
          </w:p>
        </w:tc>
      </w:tr>
      <w:tr w:rsidR="00B673E4" w:rsidRPr="002955D3" w14:paraId="22169D10" w14:textId="77777777" w:rsidTr="00413A8D">
        <w:tc>
          <w:tcPr>
            <w:tcW w:w="3015" w:type="dxa"/>
          </w:tcPr>
          <w:p w14:paraId="202584E4" w14:textId="77777777" w:rsidR="00B673E4" w:rsidRPr="002955D3" w:rsidRDefault="00B673E4" w:rsidP="00413A8D">
            <w:pPr>
              <w:rPr>
                <w:rFonts w:ascii="Arial" w:hAnsi="Arial" w:cs="Arial"/>
              </w:rPr>
            </w:pPr>
            <w:r w:rsidRPr="002955D3">
              <w:rPr>
                <w:rFonts w:ascii="Arial" w:hAnsi="Arial" w:cs="Arial"/>
              </w:rPr>
              <w:t xml:space="preserve">Gestational age, </w:t>
            </w:r>
            <w:proofErr w:type="spellStart"/>
            <w:r w:rsidRPr="002955D3">
              <w:rPr>
                <w:rFonts w:ascii="Arial" w:hAnsi="Arial" w:cs="Arial"/>
              </w:rPr>
              <w:t>mean±SD</w:t>
            </w:r>
            <w:proofErr w:type="spellEnd"/>
            <w:r w:rsidRPr="002955D3">
              <w:rPr>
                <w:rFonts w:ascii="Arial" w:hAnsi="Arial" w:cs="Arial"/>
              </w:rPr>
              <w:t>, weeks</w:t>
            </w:r>
          </w:p>
        </w:tc>
        <w:tc>
          <w:tcPr>
            <w:tcW w:w="2188" w:type="dxa"/>
          </w:tcPr>
          <w:p w14:paraId="5A67E63C" w14:textId="77777777" w:rsidR="00B673E4" w:rsidRPr="002955D3" w:rsidRDefault="00B673E4" w:rsidP="00413A8D">
            <w:pPr>
              <w:rPr>
                <w:rFonts w:ascii="Arial" w:hAnsi="Arial" w:cs="Arial"/>
              </w:rPr>
            </w:pPr>
            <w:r w:rsidRPr="002955D3">
              <w:rPr>
                <w:rFonts w:ascii="Arial" w:hAnsi="Arial" w:cs="Arial"/>
              </w:rPr>
              <w:t>27.11±1.44</w:t>
            </w:r>
          </w:p>
        </w:tc>
        <w:tc>
          <w:tcPr>
            <w:tcW w:w="2189" w:type="dxa"/>
          </w:tcPr>
          <w:p w14:paraId="5EF8699B" w14:textId="77777777" w:rsidR="00B673E4" w:rsidRPr="002955D3" w:rsidRDefault="00B673E4" w:rsidP="00413A8D">
            <w:pPr>
              <w:rPr>
                <w:rFonts w:ascii="Arial" w:hAnsi="Arial" w:cs="Arial"/>
              </w:rPr>
            </w:pPr>
            <w:r w:rsidRPr="002955D3">
              <w:rPr>
                <w:rFonts w:ascii="Arial" w:hAnsi="Arial" w:cs="Arial"/>
              </w:rPr>
              <w:t>25.73±1.19</w:t>
            </w:r>
          </w:p>
        </w:tc>
        <w:tc>
          <w:tcPr>
            <w:tcW w:w="1930" w:type="dxa"/>
          </w:tcPr>
          <w:p w14:paraId="7AF84907" w14:textId="77777777" w:rsidR="00B673E4" w:rsidRPr="002955D3" w:rsidRDefault="00B673E4" w:rsidP="00413A8D">
            <w:pPr>
              <w:rPr>
                <w:rFonts w:ascii="Arial" w:hAnsi="Arial" w:cs="Arial"/>
              </w:rPr>
            </w:pPr>
            <w:r w:rsidRPr="002955D3">
              <w:rPr>
                <w:rFonts w:ascii="Arial" w:hAnsi="Arial" w:cs="Arial"/>
              </w:rPr>
              <w:t>0.001</w:t>
            </w:r>
          </w:p>
        </w:tc>
      </w:tr>
      <w:tr w:rsidR="00B673E4" w:rsidRPr="002955D3" w14:paraId="4FAE4C70" w14:textId="77777777" w:rsidTr="00413A8D">
        <w:tc>
          <w:tcPr>
            <w:tcW w:w="3015" w:type="dxa"/>
          </w:tcPr>
          <w:p w14:paraId="58942AAE" w14:textId="77777777" w:rsidR="00B673E4" w:rsidRPr="002955D3" w:rsidRDefault="00B673E4" w:rsidP="00413A8D">
            <w:pPr>
              <w:rPr>
                <w:rFonts w:ascii="Arial" w:hAnsi="Arial" w:cs="Arial"/>
              </w:rPr>
            </w:pPr>
            <w:proofErr w:type="spellStart"/>
            <w:proofErr w:type="gramStart"/>
            <w:r w:rsidRPr="002955D3">
              <w:rPr>
                <w:rFonts w:ascii="Arial" w:hAnsi="Arial" w:cs="Arial"/>
              </w:rPr>
              <w:t>Birthweight,mean</w:t>
            </w:r>
            <w:proofErr w:type="gramEnd"/>
            <w:r w:rsidRPr="002955D3">
              <w:rPr>
                <w:rFonts w:ascii="Arial" w:hAnsi="Arial" w:cs="Arial"/>
              </w:rPr>
              <w:t>±</w:t>
            </w:r>
            <w:proofErr w:type="gramStart"/>
            <w:r w:rsidRPr="002955D3">
              <w:rPr>
                <w:rFonts w:ascii="Arial" w:hAnsi="Arial" w:cs="Arial"/>
              </w:rPr>
              <w:t>SD,grams</w:t>
            </w:r>
            <w:proofErr w:type="spellEnd"/>
            <w:proofErr w:type="gramEnd"/>
          </w:p>
        </w:tc>
        <w:tc>
          <w:tcPr>
            <w:tcW w:w="2188" w:type="dxa"/>
          </w:tcPr>
          <w:p w14:paraId="47363412" w14:textId="77777777" w:rsidR="00B673E4" w:rsidRPr="002955D3" w:rsidRDefault="00B673E4" w:rsidP="00413A8D">
            <w:pPr>
              <w:rPr>
                <w:rFonts w:ascii="Arial" w:hAnsi="Arial" w:cs="Arial"/>
              </w:rPr>
            </w:pPr>
            <w:r w:rsidRPr="002955D3">
              <w:rPr>
                <w:rFonts w:ascii="Arial" w:hAnsi="Arial" w:cs="Arial"/>
              </w:rPr>
              <w:t>817.14±254.232</w:t>
            </w:r>
          </w:p>
        </w:tc>
        <w:tc>
          <w:tcPr>
            <w:tcW w:w="2189" w:type="dxa"/>
          </w:tcPr>
          <w:p w14:paraId="05786EBC" w14:textId="77777777" w:rsidR="00B673E4" w:rsidRPr="002955D3" w:rsidRDefault="00B673E4" w:rsidP="00413A8D">
            <w:pPr>
              <w:rPr>
                <w:rFonts w:ascii="Arial" w:hAnsi="Arial" w:cs="Arial"/>
              </w:rPr>
            </w:pPr>
            <w:r w:rsidRPr="002955D3">
              <w:rPr>
                <w:rFonts w:ascii="Arial" w:hAnsi="Arial" w:cs="Arial"/>
              </w:rPr>
              <w:t>767.86±173.898</w:t>
            </w:r>
          </w:p>
        </w:tc>
        <w:tc>
          <w:tcPr>
            <w:tcW w:w="1930" w:type="dxa"/>
          </w:tcPr>
          <w:p w14:paraId="783CCDC1" w14:textId="77777777" w:rsidR="00B673E4" w:rsidRPr="002955D3" w:rsidRDefault="00B673E4" w:rsidP="00413A8D">
            <w:pPr>
              <w:rPr>
                <w:rFonts w:ascii="Arial" w:hAnsi="Arial" w:cs="Arial"/>
              </w:rPr>
            </w:pPr>
            <w:r w:rsidRPr="002955D3">
              <w:rPr>
                <w:rFonts w:ascii="Arial" w:hAnsi="Arial" w:cs="Arial"/>
              </w:rPr>
              <w:t>0.4</w:t>
            </w:r>
          </w:p>
        </w:tc>
      </w:tr>
      <w:tr w:rsidR="00B673E4" w:rsidRPr="002955D3" w14:paraId="20D42335" w14:textId="77777777" w:rsidTr="00413A8D">
        <w:tc>
          <w:tcPr>
            <w:tcW w:w="3015" w:type="dxa"/>
          </w:tcPr>
          <w:p w14:paraId="6CB7511B" w14:textId="77777777" w:rsidR="00B673E4" w:rsidRPr="002955D3" w:rsidRDefault="00B673E4" w:rsidP="00413A8D">
            <w:pPr>
              <w:rPr>
                <w:rFonts w:ascii="Arial" w:hAnsi="Arial" w:cs="Arial"/>
              </w:rPr>
            </w:pPr>
            <w:r w:rsidRPr="002955D3">
              <w:rPr>
                <w:rFonts w:ascii="Arial" w:hAnsi="Arial" w:cs="Arial"/>
              </w:rPr>
              <w:t xml:space="preserve">Sex, male, </w:t>
            </w:r>
            <w:proofErr w:type="gramStart"/>
            <w:r w:rsidRPr="002955D3">
              <w:rPr>
                <w:rFonts w:ascii="Arial" w:hAnsi="Arial" w:cs="Arial"/>
              </w:rPr>
              <w:t>n(</w:t>
            </w:r>
            <w:proofErr w:type="gramEnd"/>
            <w:r w:rsidRPr="002955D3">
              <w:rPr>
                <w:rFonts w:ascii="Arial" w:hAnsi="Arial" w:cs="Arial"/>
              </w:rPr>
              <w:t>%)</w:t>
            </w:r>
          </w:p>
        </w:tc>
        <w:tc>
          <w:tcPr>
            <w:tcW w:w="2188" w:type="dxa"/>
          </w:tcPr>
          <w:p w14:paraId="4FAF72A4" w14:textId="77777777" w:rsidR="00B673E4" w:rsidRPr="002955D3" w:rsidRDefault="00B673E4" w:rsidP="00413A8D">
            <w:pPr>
              <w:rPr>
                <w:rFonts w:ascii="Arial" w:hAnsi="Arial" w:cs="Arial"/>
              </w:rPr>
            </w:pPr>
            <w:r w:rsidRPr="002955D3">
              <w:rPr>
                <w:rFonts w:ascii="Arial" w:hAnsi="Arial" w:cs="Arial"/>
              </w:rPr>
              <w:t>13(62)</w:t>
            </w:r>
          </w:p>
        </w:tc>
        <w:tc>
          <w:tcPr>
            <w:tcW w:w="2189" w:type="dxa"/>
          </w:tcPr>
          <w:p w14:paraId="18CDE4E8" w14:textId="77777777" w:rsidR="00B673E4" w:rsidRPr="002955D3" w:rsidRDefault="00B673E4" w:rsidP="00413A8D">
            <w:pPr>
              <w:rPr>
                <w:rFonts w:ascii="Arial" w:hAnsi="Arial" w:cs="Arial"/>
              </w:rPr>
            </w:pPr>
            <w:r w:rsidRPr="002955D3">
              <w:rPr>
                <w:rFonts w:ascii="Arial" w:hAnsi="Arial" w:cs="Arial"/>
              </w:rPr>
              <w:t>25(51)</w:t>
            </w:r>
          </w:p>
        </w:tc>
        <w:tc>
          <w:tcPr>
            <w:tcW w:w="1930" w:type="dxa"/>
          </w:tcPr>
          <w:p w14:paraId="2DD35E44" w14:textId="77777777" w:rsidR="00B673E4" w:rsidRPr="002955D3" w:rsidRDefault="00B673E4" w:rsidP="00413A8D">
            <w:pPr>
              <w:rPr>
                <w:rFonts w:ascii="Arial" w:hAnsi="Arial" w:cs="Arial"/>
              </w:rPr>
            </w:pPr>
            <w:r w:rsidRPr="002955D3">
              <w:rPr>
                <w:rFonts w:ascii="Arial" w:hAnsi="Arial" w:cs="Arial"/>
              </w:rPr>
              <w:t>0.4</w:t>
            </w:r>
          </w:p>
        </w:tc>
      </w:tr>
      <w:tr w:rsidR="00B673E4" w:rsidRPr="002955D3" w14:paraId="07D2746C" w14:textId="77777777" w:rsidTr="00413A8D">
        <w:tc>
          <w:tcPr>
            <w:tcW w:w="3015" w:type="dxa"/>
          </w:tcPr>
          <w:p w14:paraId="05576D31" w14:textId="77777777" w:rsidR="00B673E4" w:rsidRPr="002955D3" w:rsidRDefault="00B673E4" w:rsidP="00413A8D">
            <w:pPr>
              <w:rPr>
                <w:rFonts w:ascii="Arial" w:hAnsi="Arial" w:cs="Arial"/>
              </w:rPr>
            </w:pPr>
            <w:r w:rsidRPr="002955D3">
              <w:rPr>
                <w:rFonts w:ascii="Arial" w:hAnsi="Arial" w:cs="Arial"/>
              </w:rPr>
              <w:t xml:space="preserve">Vaginal delivery, </w:t>
            </w:r>
            <w:proofErr w:type="gramStart"/>
            <w:r w:rsidRPr="002955D3">
              <w:rPr>
                <w:rFonts w:ascii="Arial" w:hAnsi="Arial" w:cs="Arial"/>
              </w:rPr>
              <w:t>n(</w:t>
            </w:r>
            <w:proofErr w:type="gramEnd"/>
            <w:r w:rsidRPr="002955D3">
              <w:rPr>
                <w:rFonts w:ascii="Arial" w:hAnsi="Arial" w:cs="Arial"/>
              </w:rPr>
              <w:t>%)</w:t>
            </w:r>
          </w:p>
        </w:tc>
        <w:tc>
          <w:tcPr>
            <w:tcW w:w="2188" w:type="dxa"/>
          </w:tcPr>
          <w:p w14:paraId="0604A87A" w14:textId="77777777" w:rsidR="00B673E4" w:rsidRPr="002955D3" w:rsidRDefault="00B673E4" w:rsidP="00413A8D">
            <w:pPr>
              <w:rPr>
                <w:rFonts w:ascii="Arial" w:hAnsi="Arial" w:cs="Arial"/>
              </w:rPr>
            </w:pPr>
            <w:r w:rsidRPr="002955D3">
              <w:rPr>
                <w:rFonts w:ascii="Arial" w:hAnsi="Arial" w:cs="Arial"/>
              </w:rPr>
              <w:t>4(20)</w:t>
            </w:r>
          </w:p>
        </w:tc>
        <w:tc>
          <w:tcPr>
            <w:tcW w:w="2189" w:type="dxa"/>
          </w:tcPr>
          <w:p w14:paraId="7BC00238" w14:textId="77777777" w:rsidR="00B673E4" w:rsidRPr="002955D3" w:rsidRDefault="00B673E4" w:rsidP="00413A8D">
            <w:pPr>
              <w:rPr>
                <w:rFonts w:ascii="Arial" w:hAnsi="Arial" w:cs="Arial"/>
              </w:rPr>
            </w:pPr>
            <w:r w:rsidRPr="002955D3">
              <w:rPr>
                <w:rFonts w:ascii="Arial" w:hAnsi="Arial" w:cs="Arial"/>
              </w:rPr>
              <w:t>14(29)</w:t>
            </w:r>
          </w:p>
        </w:tc>
        <w:tc>
          <w:tcPr>
            <w:tcW w:w="1930" w:type="dxa"/>
          </w:tcPr>
          <w:p w14:paraId="10221D80" w14:textId="77777777" w:rsidR="00B673E4" w:rsidRPr="002955D3" w:rsidRDefault="00B673E4" w:rsidP="00413A8D">
            <w:pPr>
              <w:rPr>
                <w:rFonts w:ascii="Arial" w:hAnsi="Arial" w:cs="Arial"/>
              </w:rPr>
            </w:pPr>
            <w:r w:rsidRPr="002955D3">
              <w:rPr>
                <w:rFonts w:ascii="Arial" w:hAnsi="Arial" w:cs="Arial"/>
              </w:rPr>
              <w:t>0.4</w:t>
            </w:r>
          </w:p>
        </w:tc>
      </w:tr>
      <w:tr w:rsidR="00B673E4" w:rsidRPr="002955D3" w14:paraId="73F984A9" w14:textId="77777777" w:rsidTr="00413A8D">
        <w:tc>
          <w:tcPr>
            <w:tcW w:w="3015" w:type="dxa"/>
          </w:tcPr>
          <w:p w14:paraId="2FC8FA33" w14:textId="77777777" w:rsidR="00B673E4" w:rsidRPr="002955D3" w:rsidRDefault="00B673E4" w:rsidP="00413A8D">
            <w:pPr>
              <w:rPr>
                <w:rFonts w:ascii="Arial" w:hAnsi="Arial" w:cs="Arial"/>
              </w:rPr>
            </w:pPr>
            <w:r w:rsidRPr="002955D3">
              <w:rPr>
                <w:rFonts w:ascii="Arial" w:hAnsi="Arial" w:cs="Arial"/>
              </w:rPr>
              <w:t xml:space="preserve">Apgar 5 minutes, </w:t>
            </w:r>
            <w:proofErr w:type="spellStart"/>
            <w:r w:rsidRPr="002955D3">
              <w:rPr>
                <w:rFonts w:ascii="Arial" w:hAnsi="Arial" w:cs="Arial"/>
              </w:rPr>
              <w:t>mean±SD</w:t>
            </w:r>
            <w:proofErr w:type="spellEnd"/>
          </w:p>
        </w:tc>
        <w:tc>
          <w:tcPr>
            <w:tcW w:w="2188" w:type="dxa"/>
          </w:tcPr>
          <w:p w14:paraId="4C333B63" w14:textId="77777777" w:rsidR="00B673E4" w:rsidRPr="002955D3" w:rsidRDefault="00B673E4" w:rsidP="00413A8D">
            <w:pPr>
              <w:rPr>
                <w:rFonts w:ascii="Arial" w:hAnsi="Arial" w:cs="Arial"/>
              </w:rPr>
            </w:pPr>
            <w:r w:rsidRPr="002955D3">
              <w:rPr>
                <w:rFonts w:ascii="Arial" w:hAnsi="Arial" w:cs="Arial"/>
              </w:rPr>
              <w:t>6.86±2.2</w:t>
            </w:r>
          </w:p>
        </w:tc>
        <w:tc>
          <w:tcPr>
            <w:tcW w:w="2189" w:type="dxa"/>
          </w:tcPr>
          <w:p w14:paraId="647A1C08" w14:textId="77777777" w:rsidR="00B673E4" w:rsidRPr="002955D3" w:rsidRDefault="00B673E4" w:rsidP="00413A8D">
            <w:pPr>
              <w:rPr>
                <w:rFonts w:ascii="Arial" w:hAnsi="Arial" w:cs="Arial"/>
              </w:rPr>
            </w:pPr>
            <w:r w:rsidRPr="002955D3">
              <w:rPr>
                <w:rFonts w:ascii="Arial" w:hAnsi="Arial" w:cs="Arial"/>
              </w:rPr>
              <w:t>7.41±1.54</w:t>
            </w:r>
          </w:p>
        </w:tc>
        <w:tc>
          <w:tcPr>
            <w:tcW w:w="1930" w:type="dxa"/>
          </w:tcPr>
          <w:p w14:paraId="3B923B4B" w14:textId="77777777" w:rsidR="00B673E4" w:rsidRPr="002955D3" w:rsidRDefault="00B673E4" w:rsidP="00413A8D">
            <w:pPr>
              <w:rPr>
                <w:rFonts w:ascii="Arial" w:hAnsi="Arial" w:cs="Arial"/>
              </w:rPr>
            </w:pPr>
            <w:r w:rsidRPr="002955D3">
              <w:rPr>
                <w:rFonts w:ascii="Arial" w:hAnsi="Arial" w:cs="Arial"/>
              </w:rPr>
              <w:t>0.3</w:t>
            </w:r>
          </w:p>
        </w:tc>
      </w:tr>
      <w:tr w:rsidR="00B673E4" w:rsidRPr="002955D3" w14:paraId="567E985A" w14:textId="77777777" w:rsidTr="00413A8D">
        <w:tc>
          <w:tcPr>
            <w:tcW w:w="3015" w:type="dxa"/>
          </w:tcPr>
          <w:p w14:paraId="46632E1F" w14:textId="77777777" w:rsidR="00B673E4" w:rsidRPr="002955D3" w:rsidRDefault="00B673E4" w:rsidP="00413A8D">
            <w:pPr>
              <w:rPr>
                <w:rFonts w:ascii="Arial" w:hAnsi="Arial" w:cs="Arial"/>
              </w:rPr>
            </w:pPr>
            <w:r w:rsidRPr="002955D3">
              <w:rPr>
                <w:rFonts w:ascii="Arial" w:hAnsi="Arial" w:cs="Arial"/>
              </w:rPr>
              <w:t xml:space="preserve">Pre-eclampsia, </w:t>
            </w:r>
            <w:proofErr w:type="gramStart"/>
            <w:r w:rsidRPr="002955D3">
              <w:rPr>
                <w:rFonts w:ascii="Arial" w:hAnsi="Arial" w:cs="Arial"/>
              </w:rPr>
              <w:t>n(</w:t>
            </w:r>
            <w:proofErr w:type="gramEnd"/>
            <w:r w:rsidRPr="002955D3">
              <w:rPr>
                <w:rFonts w:ascii="Arial" w:hAnsi="Arial" w:cs="Arial"/>
              </w:rPr>
              <w:t>%)</w:t>
            </w:r>
          </w:p>
        </w:tc>
        <w:tc>
          <w:tcPr>
            <w:tcW w:w="2188" w:type="dxa"/>
          </w:tcPr>
          <w:p w14:paraId="65ED364C" w14:textId="77777777" w:rsidR="00B673E4" w:rsidRPr="002955D3" w:rsidRDefault="00B673E4" w:rsidP="00413A8D">
            <w:pPr>
              <w:rPr>
                <w:rFonts w:ascii="Arial" w:hAnsi="Arial" w:cs="Arial"/>
              </w:rPr>
            </w:pPr>
            <w:bookmarkStart w:id="0" w:name="_Hlk198714445"/>
            <w:r w:rsidRPr="002955D3">
              <w:rPr>
                <w:rFonts w:ascii="Arial" w:hAnsi="Arial" w:cs="Arial"/>
              </w:rPr>
              <w:t>10 (47)</w:t>
            </w:r>
            <w:bookmarkEnd w:id="0"/>
          </w:p>
        </w:tc>
        <w:tc>
          <w:tcPr>
            <w:tcW w:w="2189" w:type="dxa"/>
          </w:tcPr>
          <w:p w14:paraId="5848F60C" w14:textId="77777777" w:rsidR="00B673E4" w:rsidRPr="002955D3" w:rsidRDefault="00B673E4" w:rsidP="00413A8D">
            <w:pPr>
              <w:rPr>
                <w:rFonts w:ascii="Arial" w:hAnsi="Arial" w:cs="Arial"/>
              </w:rPr>
            </w:pPr>
            <w:r w:rsidRPr="002955D3">
              <w:rPr>
                <w:rFonts w:ascii="Arial" w:hAnsi="Arial" w:cs="Arial"/>
              </w:rPr>
              <w:t>9 (18)</w:t>
            </w:r>
          </w:p>
        </w:tc>
        <w:tc>
          <w:tcPr>
            <w:tcW w:w="1930" w:type="dxa"/>
          </w:tcPr>
          <w:p w14:paraId="02140E8B" w14:textId="77777777" w:rsidR="00B673E4" w:rsidRPr="002955D3" w:rsidRDefault="00B673E4" w:rsidP="00413A8D">
            <w:pPr>
              <w:rPr>
                <w:rFonts w:ascii="Arial" w:hAnsi="Arial" w:cs="Arial"/>
              </w:rPr>
            </w:pPr>
            <w:r w:rsidRPr="002955D3">
              <w:rPr>
                <w:rFonts w:ascii="Arial" w:hAnsi="Arial" w:cs="Arial"/>
              </w:rPr>
              <w:t>0.01(</w:t>
            </w:r>
            <w:bookmarkStart w:id="1" w:name="_Hlk198714513"/>
            <w:r w:rsidRPr="002955D3">
              <w:rPr>
                <w:rFonts w:ascii="Arial" w:hAnsi="Arial" w:cs="Arial"/>
              </w:rPr>
              <w:t>95 CI-0.08-0.75)</w:t>
            </w:r>
            <w:bookmarkEnd w:id="1"/>
          </w:p>
        </w:tc>
      </w:tr>
      <w:tr w:rsidR="00B673E4" w:rsidRPr="002955D3" w14:paraId="4363A4CA" w14:textId="77777777" w:rsidTr="00413A8D">
        <w:tc>
          <w:tcPr>
            <w:tcW w:w="3015" w:type="dxa"/>
          </w:tcPr>
          <w:p w14:paraId="51A794D4" w14:textId="77777777" w:rsidR="00B673E4" w:rsidRPr="002955D3" w:rsidRDefault="00B673E4" w:rsidP="00413A8D">
            <w:pPr>
              <w:rPr>
                <w:rFonts w:ascii="Arial" w:hAnsi="Arial" w:cs="Arial"/>
              </w:rPr>
            </w:pPr>
            <w:r w:rsidRPr="002955D3">
              <w:rPr>
                <w:rFonts w:ascii="Arial" w:hAnsi="Arial" w:cs="Arial"/>
              </w:rPr>
              <w:t xml:space="preserve">Chorioamnionitis, </w:t>
            </w:r>
            <w:proofErr w:type="gramStart"/>
            <w:r w:rsidRPr="002955D3">
              <w:rPr>
                <w:rFonts w:ascii="Arial" w:hAnsi="Arial" w:cs="Arial"/>
              </w:rPr>
              <w:t>n(</w:t>
            </w:r>
            <w:proofErr w:type="gramEnd"/>
            <w:r w:rsidRPr="002955D3">
              <w:rPr>
                <w:rFonts w:ascii="Arial" w:hAnsi="Arial" w:cs="Arial"/>
              </w:rPr>
              <w:t>%)</w:t>
            </w:r>
          </w:p>
        </w:tc>
        <w:tc>
          <w:tcPr>
            <w:tcW w:w="2188" w:type="dxa"/>
          </w:tcPr>
          <w:p w14:paraId="25057B95" w14:textId="77777777" w:rsidR="00B673E4" w:rsidRPr="002955D3" w:rsidRDefault="00B673E4" w:rsidP="00413A8D">
            <w:pPr>
              <w:rPr>
                <w:rFonts w:ascii="Arial" w:hAnsi="Arial" w:cs="Arial"/>
              </w:rPr>
            </w:pPr>
            <w:r w:rsidRPr="002955D3">
              <w:rPr>
                <w:rFonts w:ascii="Arial" w:hAnsi="Arial" w:cs="Arial"/>
              </w:rPr>
              <w:t>4(20)</w:t>
            </w:r>
          </w:p>
        </w:tc>
        <w:tc>
          <w:tcPr>
            <w:tcW w:w="2189" w:type="dxa"/>
          </w:tcPr>
          <w:p w14:paraId="5E62D28D" w14:textId="77777777" w:rsidR="00B673E4" w:rsidRPr="002955D3" w:rsidRDefault="00B673E4" w:rsidP="00413A8D">
            <w:pPr>
              <w:rPr>
                <w:rFonts w:ascii="Arial" w:hAnsi="Arial" w:cs="Arial"/>
              </w:rPr>
            </w:pPr>
            <w:r w:rsidRPr="002955D3">
              <w:rPr>
                <w:rFonts w:ascii="Arial" w:hAnsi="Arial" w:cs="Arial"/>
              </w:rPr>
              <w:t>15(30)</w:t>
            </w:r>
          </w:p>
        </w:tc>
        <w:tc>
          <w:tcPr>
            <w:tcW w:w="1930" w:type="dxa"/>
          </w:tcPr>
          <w:p w14:paraId="103459BF" w14:textId="77777777" w:rsidR="00B673E4" w:rsidRPr="002955D3" w:rsidRDefault="00B673E4" w:rsidP="00413A8D">
            <w:pPr>
              <w:rPr>
                <w:rFonts w:ascii="Arial" w:hAnsi="Arial" w:cs="Arial"/>
              </w:rPr>
            </w:pPr>
            <w:r w:rsidRPr="002955D3">
              <w:rPr>
                <w:rFonts w:ascii="Arial" w:hAnsi="Arial" w:cs="Arial"/>
              </w:rPr>
              <w:t>0.3</w:t>
            </w:r>
          </w:p>
        </w:tc>
      </w:tr>
      <w:tr w:rsidR="00B673E4" w:rsidRPr="002955D3" w14:paraId="0CB9F171" w14:textId="77777777" w:rsidTr="00413A8D">
        <w:tc>
          <w:tcPr>
            <w:tcW w:w="3015" w:type="dxa"/>
          </w:tcPr>
          <w:p w14:paraId="60B5C042" w14:textId="77777777" w:rsidR="00B673E4" w:rsidRPr="002955D3" w:rsidRDefault="00B673E4" w:rsidP="00413A8D">
            <w:pPr>
              <w:rPr>
                <w:rFonts w:ascii="Arial" w:hAnsi="Arial" w:cs="Arial"/>
              </w:rPr>
            </w:pPr>
            <w:r w:rsidRPr="002955D3">
              <w:rPr>
                <w:rFonts w:ascii="Arial" w:hAnsi="Arial" w:cs="Arial"/>
              </w:rPr>
              <w:t xml:space="preserve">SGA, </w:t>
            </w:r>
            <w:proofErr w:type="gramStart"/>
            <w:r w:rsidRPr="002955D3">
              <w:rPr>
                <w:rFonts w:ascii="Arial" w:hAnsi="Arial" w:cs="Arial"/>
              </w:rPr>
              <w:t>n(</w:t>
            </w:r>
            <w:proofErr w:type="gramEnd"/>
            <w:r w:rsidRPr="002955D3">
              <w:rPr>
                <w:rFonts w:ascii="Arial" w:hAnsi="Arial" w:cs="Arial"/>
              </w:rPr>
              <w:t>%)</w:t>
            </w:r>
          </w:p>
        </w:tc>
        <w:tc>
          <w:tcPr>
            <w:tcW w:w="2188" w:type="dxa"/>
          </w:tcPr>
          <w:p w14:paraId="379D8CE1" w14:textId="77777777" w:rsidR="00B673E4" w:rsidRPr="002955D3" w:rsidRDefault="00B673E4" w:rsidP="00413A8D">
            <w:pPr>
              <w:rPr>
                <w:rFonts w:ascii="Arial" w:hAnsi="Arial" w:cs="Arial"/>
              </w:rPr>
            </w:pPr>
            <w:r w:rsidRPr="002955D3">
              <w:rPr>
                <w:rFonts w:ascii="Arial" w:hAnsi="Arial" w:cs="Arial"/>
              </w:rPr>
              <w:t>8 (38)</w:t>
            </w:r>
          </w:p>
        </w:tc>
        <w:tc>
          <w:tcPr>
            <w:tcW w:w="2189" w:type="dxa"/>
          </w:tcPr>
          <w:p w14:paraId="3232529B" w14:textId="77777777" w:rsidR="00B673E4" w:rsidRPr="002955D3" w:rsidRDefault="00B673E4" w:rsidP="00413A8D">
            <w:pPr>
              <w:rPr>
                <w:rFonts w:ascii="Arial" w:hAnsi="Arial" w:cs="Arial"/>
              </w:rPr>
            </w:pPr>
            <w:r w:rsidRPr="002955D3">
              <w:rPr>
                <w:rFonts w:ascii="Arial" w:hAnsi="Arial" w:cs="Arial"/>
              </w:rPr>
              <w:t>7(14)</w:t>
            </w:r>
          </w:p>
        </w:tc>
        <w:tc>
          <w:tcPr>
            <w:tcW w:w="1930" w:type="dxa"/>
          </w:tcPr>
          <w:p w14:paraId="4F97C6FF" w14:textId="77777777" w:rsidR="00B673E4" w:rsidRPr="002955D3" w:rsidRDefault="00B673E4" w:rsidP="00413A8D">
            <w:pPr>
              <w:rPr>
                <w:rFonts w:ascii="Arial" w:hAnsi="Arial" w:cs="Arial"/>
              </w:rPr>
            </w:pPr>
            <w:r w:rsidRPr="002955D3">
              <w:rPr>
                <w:rFonts w:ascii="Arial" w:hAnsi="Arial" w:cs="Arial"/>
              </w:rPr>
              <w:t xml:space="preserve">0.02 </w:t>
            </w:r>
            <w:bookmarkStart w:id="2" w:name="_Hlk198714530"/>
            <w:r w:rsidRPr="002955D3">
              <w:rPr>
                <w:rFonts w:ascii="Arial" w:hAnsi="Arial" w:cs="Arial"/>
              </w:rPr>
              <w:t>(95 CI 0.08-0.98)</w:t>
            </w:r>
            <w:bookmarkEnd w:id="2"/>
          </w:p>
        </w:tc>
      </w:tr>
      <w:tr w:rsidR="00B673E4" w:rsidRPr="002955D3" w14:paraId="77DE69F8" w14:textId="77777777" w:rsidTr="00413A8D">
        <w:tc>
          <w:tcPr>
            <w:tcW w:w="3015" w:type="dxa"/>
          </w:tcPr>
          <w:p w14:paraId="5470367E" w14:textId="77777777" w:rsidR="00B673E4" w:rsidRPr="002955D3" w:rsidRDefault="00B673E4" w:rsidP="00413A8D">
            <w:pPr>
              <w:rPr>
                <w:rFonts w:ascii="Arial" w:hAnsi="Arial" w:cs="Arial"/>
              </w:rPr>
            </w:pPr>
            <w:r w:rsidRPr="002955D3">
              <w:rPr>
                <w:rFonts w:ascii="Arial" w:hAnsi="Arial" w:cs="Arial"/>
              </w:rPr>
              <w:t xml:space="preserve">Antenatal steroids, </w:t>
            </w:r>
            <w:proofErr w:type="gramStart"/>
            <w:r w:rsidRPr="002955D3">
              <w:rPr>
                <w:rFonts w:ascii="Arial" w:hAnsi="Arial" w:cs="Arial"/>
              </w:rPr>
              <w:t>n(</w:t>
            </w:r>
            <w:proofErr w:type="gramEnd"/>
            <w:r w:rsidRPr="002955D3">
              <w:rPr>
                <w:rFonts w:ascii="Arial" w:hAnsi="Arial" w:cs="Arial"/>
              </w:rPr>
              <w:t>%)</w:t>
            </w:r>
          </w:p>
        </w:tc>
        <w:tc>
          <w:tcPr>
            <w:tcW w:w="2188" w:type="dxa"/>
          </w:tcPr>
          <w:p w14:paraId="6FE773AF" w14:textId="77777777" w:rsidR="00B673E4" w:rsidRPr="002955D3" w:rsidRDefault="00B673E4" w:rsidP="00413A8D">
            <w:pPr>
              <w:rPr>
                <w:rFonts w:ascii="Arial" w:hAnsi="Arial" w:cs="Arial"/>
              </w:rPr>
            </w:pPr>
            <w:r w:rsidRPr="002955D3">
              <w:rPr>
                <w:rFonts w:ascii="Arial" w:hAnsi="Arial" w:cs="Arial"/>
              </w:rPr>
              <w:t>13(62)</w:t>
            </w:r>
          </w:p>
        </w:tc>
        <w:tc>
          <w:tcPr>
            <w:tcW w:w="2189" w:type="dxa"/>
          </w:tcPr>
          <w:p w14:paraId="1D4E00B4" w14:textId="77777777" w:rsidR="00B673E4" w:rsidRPr="002955D3" w:rsidRDefault="00B673E4" w:rsidP="00413A8D">
            <w:pPr>
              <w:rPr>
                <w:rFonts w:ascii="Arial" w:hAnsi="Arial" w:cs="Arial"/>
              </w:rPr>
            </w:pPr>
            <w:r w:rsidRPr="002955D3">
              <w:rPr>
                <w:rFonts w:ascii="Arial" w:hAnsi="Arial" w:cs="Arial"/>
              </w:rPr>
              <w:t>32(65)</w:t>
            </w:r>
          </w:p>
        </w:tc>
        <w:tc>
          <w:tcPr>
            <w:tcW w:w="1930" w:type="dxa"/>
          </w:tcPr>
          <w:p w14:paraId="547DC43E" w14:textId="77777777" w:rsidR="00B673E4" w:rsidRPr="002955D3" w:rsidRDefault="00B673E4" w:rsidP="00413A8D">
            <w:pPr>
              <w:rPr>
                <w:rFonts w:ascii="Arial" w:hAnsi="Arial" w:cs="Arial"/>
              </w:rPr>
            </w:pPr>
            <w:r w:rsidRPr="002955D3">
              <w:rPr>
                <w:rFonts w:ascii="Arial" w:hAnsi="Arial" w:cs="Arial"/>
              </w:rPr>
              <w:t>0.7</w:t>
            </w:r>
          </w:p>
        </w:tc>
      </w:tr>
      <w:tr w:rsidR="00B673E4" w:rsidRPr="002955D3" w14:paraId="4479CA52" w14:textId="77777777" w:rsidTr="00413A8D">
        <w:tc>
          <w:tcPr>
            <w:tcW w:w="3015" w:type="dxa"/>
          </w:tcPr>
          <w:p w14:paraId="2A943B11" w14:textId="77777777" w:rsidR="00B673E4" w:rsidRPr="002955D3" w:rsidRDefault="00B673E4" w:rsidP="00413A8D">
            <w:pPr>
              <w:rPr>
                <w:rFonts w:ascii="Arial" w:hAnsi="Arial" w:cs="Arial"/>
              </w:rPr>
            </w:pPr>
            <w:r w:rsidRPr="002955D3">
              <w:rPr>
                <w:rFonts w:ascii="Arial" w:hAnsi="Arial" w:cs="Arial"/>
              </w:rPr>
              <w:t xml:space="preserve">Maternal sepsis, </w:t>
            </w:r>
            <w:proofErr w:type="gramStart"/>
            <w:r w:rsidRPr="002955D3">
              <w:rPr>
                <w:rFonts w:ascii="Arial" w:hAnsi="Arial" w:cs="Arial"/>
              </w:rPr>
              <w:t>n(</w:t>
            </w:r>
            <w:proofErr w:type="gramEnd"/>
            <w:r w:rsidRPr="002955D3">
              <w:rPr>
                <w:rFonts w:ascii="Arial" w:hAnsi="Arial" w:cs="Arial"/>
              </w:rPr>
              <w:t>%)</w:t>
            </w:r>
          </w:p>
        </w:tc>
        <w:tc>
          <w:tcPr>
            <w:tcW w:w="2188" w:type="dxa"/>
          </w:tcPr>
          <w:p w14:paraId="13AACB47" w14:textId="77777777" w:rsidR="00B673E4" w:rsidRPr="002955D3" w:rsidRDefault="00B673E4" w:rsidP="00413A8D">
            <w:pPr>
              <w:rPr>
                <w:rFonts w:ascii="Arial" w:hAnsi="Arial" w:cs="Arial"/>
              </w:rPr>
            </w:pPr>
            <w:r w:rsidRPr="002955D3">
              <w:rPr>
                <w:rFonts w:ascii="Arial" w:hAnsi="Arial" w:cs="Arial"/>
              </w:rPr>
              <w:t>4(20)</w:t>
            </w:r>
          </w:p>
        </w:tc>
        <w:tc>
          <w:tcPr>
            <w:tcW w:w="2189" w:type="dxa"/>
          </w:tcPr>
          <w:p w14:paraId="1A451CF1" w14:textId="77777777" w:rsidR="00B673E4" w:rsidRPr="002955D3" w:rsidRDefault="00B673E4" w:rsidP="00413A8D">
            <w:pPr>
              <w:rPr>
                <w:rFonts w:ascii="Arial" w:hAnsi="Arial" w:cs="Arial"/>
              </w:rPr>
            </w:pPr>
            <w:r w:rsidRPr="002955D3">
              <w:rPr>
                <w:rFonts w:ascii="Arial" w:hAnsi="Arial" w:cs="Arial"/>
              </w:rPr>
              <w:t>4(8)</w:t>
            </w:r>
          </w:p>
        </w:tc>
        <w:tc>
          <w:tcPr>
            <w:tcW w:w="1930" w:type="dxa"/>
          </w:tcPr>
          <w:p w14:paraId="6873FB3A" w14:textId="77777777" w:rsidR="00B673E4" w:rsidRPr="002955D3" w:rsidRDefault="00B673E4" w:rsidP="00413A8D">
            <w:pPr>
              <w:rPr>
                <w:rFonts w:ascii="Arial" w:hAnsi="Arial" w:cs="Arial"/>
              </w:rPr>
            </w:pPr>
            <w:r w:rsidRPr="002955D3">
              <w:rPr>
                <w:rFonts w:ascii="Arial" w:hAnsi="Arial" w:cs="Arial"/>
              </w:rPr>
              <w:t>0.1</w:t>
            </w:r>
          </w:p>
        </w:tc>
      </w:tr>
      <w:tr w:rsidR="00B673E4" w:rsidRPr="002955D3" w14:paraId="1B6D6A3A" w14:textId="77777777" w:rsidTr="00413A8D">
        <w:tc>
          <w:tcPr>
            <w:tcW w:w="3015" w:type="dxa"/>
          </w:tcPr>
          <w:p w14:paraId="0F5374FF" w14:textId="77777777" w:rsidR="00B673E4" w:rsidRPr="002955D3" w:rsidRDefault="00B673E4" w:rsidP="00413A8D">
            <w:pPr>
              <w:rPr>
                <w:rFonts w:ascii="Arial" w:hAnsi="Arial" w:cs="Arial"/>
              </w:rPr>
            </w:pPr>
            <w:r w:rsidRPr="002955D3">
              <w:rPr>
                <w:rFonts w:ascii="Arial" w:hAnsi="Arial" w:cs="Arial"/>
              </w:rPr>
              <w:t xml:space="preserve">Early onset sepsis, </w:t>
            </w:r>
            <w:proofErr w:type="gramStart"/>
            <w:r w:rsidRPr="002955D3">
              <w:rPr>
                <w:rFonts w:ascii="Arial" w:hAnsi="Arial" w:cs="Arial"/>
              </w:rPr>
              <w:t>n(</w:t>
            </w:r>
            <w:proofErr w:type="gramEnd"/>
            <w:r w:rsidRPr="002955D3">
              <w:rPr>
                <w:rFonts w:ascii="Arial" w:hAnsi="Arial" w:cs="Arial"/>
              </w:rPr>
              <w:t>%)</w:t>
            </w:r>
          </w:p>
        </w:tc>
        <w:tc>
          <w:tcPr>
            <w:tcW w:w="2188" w:type="dxa"/>
          </w:tcPr>
          <w:p w14:paraId="0FBC1FE0" w14:textId="77777777" w:rsidR="00B673E4" w:rsidRPr="002955D3" w:rsidRDefault="00B673E4" w:rsidP="00413A8D">
            <w:pPr>
              <w:rPr>
                <w:rFonts w:ascii="Arial" w:hAnsi="Arial" w:cs="Arial"/>
              </w:rPr>
            </w:pPr>
            <w:r w:rsidRPr="002955D3">
              <w:rPr>
                <w:rFonts w:ascii="Arial" w:hAnsi="Arial" w:cs="Arial"/>
              </w:rPr>
              <w:t>7(33)</w:t>
            </w:r>
          </w:p>
        </w:tc>
        <w:tc>
          <w:tcPr>
            <w:tcW w:w="2189" w:type="dxa"/>
          </w:tcPr>
          <w:p w14:paraId="3F1F818F" w14:textId="77777777" w:rsidR="00B673E4" w:rsidRPr="002955D3" w:rsidRDefault="00B673E4" w:rsidP="00413A8D">
            <w:pPr>
              <w:rPr>
                <w:rFonts w:ascii="Arial" w:hAnsi="Arial" w:cs="Arial"/>
              </w:rPr>
            </w:pPr>
            <w:r w:rsidRPr="002955D3">
              <w:rPr>
                <w:rFonts w:ascii="Arial" w:hAnsi="Arial" w:cs="Arial"/>
              </w:rPr>
              <w:t>13(26)</w:t>
            </w:r>
          </w:p>
        </w:tc>
        <w:tc>
          <w:tcPr>
            <w:tcW w:w="1930" w:type="dxa"/>
          </w:tcPr>
          <w:p w14:paraId="36BA12BB" w14:textId="77777777" w:rsidR="00B673E4" w:rsidRPr="002955D3" w:rsidRDefault="00B673E4" w:rsidP="00413A8D">
            <w:pPr>
              <w:rPr>
                <w:rFonts w:ascii="Arial" w:hAnsi="Arial" w:cs="Arial"/>
              </w:rPr>
            </w:pPr>
            <w:r w:rsidRPr="002955D3">
              <w:rPr>
                <w:rFonts w:ascii="Arial" w:hAnsi="Arial" w:cs="Arial"/>
              </w:rPr>
              <w:t>0.5</w:t>
            </w:r>
          </w:p>
        </w:tc>
      </w:tr>
      <w:tr w:rsidR="00B673E4" w:rsidRPr="002955D3" w14:paraId="784DDABF" w14:textId="77777777" w:rsidTr="00413A8D">
        <w:tc>
          <w:tcPr>
            <w:tcW w:w="3015" w:type="dxa"/>
          </w:tcPr>
          <w:p w14:paraId="4F90E1D3" w14:textId="77777777" w:rsidR="00B673E4" w:rsidRPr="002955D3" w:rsidRDefault="00B673E4" w:rsidP="00413A8D">
            <w:pPr>
              <w:rPr>
                <w:rFonts w:ascii="Arial" w:hAnsi="Arial" w:cs="Arial"/>
              </w:rPr>
            </w:pPr>
            <w:r w:rsidRPr="002955D3">
              <w:rPr>
                <w:rFonts w:ascii="Arial" w:hAnsi="Arial" w:cs="Arial"/>
              </w:rPr>
              <w:t xml:space="preserve">Moderate to severe RDS, </w:t>
            </w:r>
            <w:proofErr w:type="gramStart"/>
            <w:r w:rsidRPr="002955D3">
              <w:rPr>
                <w:rFonts w:ascii="Arial" w:hAnsi="Arial" w:cs="Arial"/>
              </w:rPr>
              <w:t>n(</w:t>
            </w:r>
            <w:proofErr w:type="gramEnd"/>
            <w:r w:rsidRPr="002955D3">
              <w:rPr>
                <w:rFonts w:ascii="Arial" w:hAnsi="Arial" w:cs="Arial"/>
              </w:rPr>
              <w:t>%)</w:t>
            </w:r>
          </w:p>
        </w:tc>
        <w:tc>
          <w:tcPr>
            <w:tcW w:w="2188" w:type="dxa"/>
          </w:tcPr>
          <w:p w14:paraId="043442AF" w14:textId="77777777" w:rsidR="00B673E4" w:rsidRPr="002955D3" w:rsidRDefault="00B673E4" w:rsidP="00413A8D">
            <w:pPr>
              <w:rPr>
                <w:rFonts w:ascii="Arial" w:hAnsi="Arial" w:cs="Arial"/>
              </w:rPr>
            </w:pPr>
            <w:r w:rsidRPr="002955D3">
              <w:rPr>
                <w:rFonts w:ascii="Arial" w:hAnsi="Arial" w:cs="Arial"/>
              </w:rPr>
              <w:t>13 (62)</w:t>
            </w:r>
          </w:p>
        </w:tc>
        <w:tc>
          <w:tcPr>
            <w:tcW w:w="2189" w:type="dxa"/>
          </w:tcPr>
          <w:p w14:paraId="63EEDDAF" w14:textId="77777777" w:rsidR="00B673E4" w:rsidRPr="002955D3" w:rsidRDefault="00B673E4" w:rsidP="00413A8D">
            <w:pPr>
              <w:rPr>
                <w:rFonts w:ascii="Arial" w:hAnsi="Arial" w:cs="Arial"/>
              </w:rPr>
            </w:pPr>
            <w:r w:rsidRPr="002955D3">
              <w:rPr>
                <w:rFonts w:ascii="Arial" w:hAnsi="Arial" w:cs="Arial"/>
              </w:rPr>
              <w:t>26 (53)</w:t>
            </w:r>
          </w:p>
        </w:tc>
        <w:tc>
          <w:tcPr>
            <w:tcW w:w="1930" w:type="dxa"/>
          </w:tcPr>
          <w:p w14:paraId="5DBB5F8F" w14:textId="77777777" w:rsidR="00B673E4" w:rsidRPr="002955D3" w:rsidRDefault="00B673E4" w:rsidP="00413A8D">
            <w:pPr>
              <w:rPr>
                <w:rFonts w:ascii="Arial" w:hAnsi="Arial" w:cs="Arial"/>
              </w:rPr>
            </w:pPr>
            <w:r w:rsidRPr="002955D3">
              <w:rPr>
                <w:rFonts w:ascii="Arial" w:hAnsi="Arial" w:cs="Arial"/>
              </w:rPr>
              <w:t>0.4</w:t>
            </w:r>
          </w:p>
        </w:tc>
      </w:tr>
      <w:tr w:rsidR="00B673E4" w:rsidRPr="002955D3" w14:paraId="3DFB054A" w14:textId="77777777" w:rsidTr="00413A8D">
        <w:tc>
          <w:tcPr>
            <w:tcW w:w="3015" w:type="dxa"/>
          </w:tcPr>
          <w:p w14:paraId="5DCDBD82" w14:textId="77777777" w:rsidR="00B673E4" w:rsidRPr="002955D3" w:rsidRDefault="00B673E4" w:rsidP="00413A8D">
            <w:pPr>
              <w:rPr>
                <w:rFonts w:ascii="Arial" w:hAnsi="Arial" w:cs="Arial"/>
              </w:rPr>
            </w:pPr>
            <w:r w:rsidRPr="002955D3">
              <w:rPr>
                <w:rFonts w:ascii="Arial" w:hAnsi="Arial" w:cs="Arial"/>
              </w:rPr>
              <w:t xml:space="preserve">Surfactant therapy, </w:t>
            </w:r>
            <w:proofErr w:type="gramStart"/>
            <w:r w:rsidRPr="002955D3">
              <w:rPr>
                <w:rFonts w:ascii="Arial" w:hAnsi="Arial" w:cs="Arial"/>
              </w:rPr>
              <w:t>n(</w:t>
            </w:r>
            <w:proofErr w:type="gramEnd"/>
            <w:r w:rsidRPr="002955D3">
              <w:rPr>
                <w:rFonts w:ascii="Arial" w:hAnsi="Arial" w:cs="Arial"/>
              </w:rPr>
              <w:t>%)</w:t>
            </w:r>
          </w:p>
        </w:tc>
        <w:tc>
          <w:tcPr>
            <w:tcW w:w="2188" w:type="dxa"/>
          </w:tcPr>
          <w:p w14:paraId="38EC0243" w14:textId="77777777" w:rsidR="00B673E4" w:rsidRPr="002955D3" w:rsidRDefault="00B673E4" w:rsidP="00413A8D">
            <w:pPr>
              <w:rPr>
                <w:rFonts w:ascii="Arial" w:hAnsi="Arial" w:cs="Arial"/>
              </w:rPr>
            </w:pPr>
            <w:r w:rsidRPr="002955D3">
              <w:rPr>
                <w:rFonts w:ascii="Arial" w:hAnsi="Arial" w:cs="Arial"/>
              </w:rPr>
              <w:t>19 (90)</w:t>
            </w:r>
          </w:p>
        </w:tc>
        <w:tc>
          <w:tcPr>
            <w:tcW w:w="2189" w:type="dxa"/>
          </w:tcPr>
          <w:p w14:paraId="511F9C9B" w14:textId="77777777" w:rsidR="00B673E4" w:rsidRPr="002955D3" w:rsidRDefault="00B673E4" w:rsidP="00413A8D">
            <w:pPr>
              <w:rPr>
                <w:rFonts w:ascii="Arial" w:hAnsi="Arial" w:cs="Arial"/>
              </w:rPr>
            </w:pPr>
            <w:r w:rsidRPr="002955D3">
              <w:rPr>
                <w:rFonts w:ascii="Arial" w:hAnsi="Arial" w:cs="Arial"/>
              </w:rPr>
              <w:t>49 (100)</w:t>
            </w:r>
          </w:p>
        </w:tc>
        <w:tc>
          <w:tcPr>
            <w:tcW w:w="1930" w:type="dxa"/>
          </w:tcPr>
          <w:p w14:paraId="44C7BF19" w14:textId="77777777" w:rsidR="00B673E4" w:rsidRPr="002955D3" w:rsidRDefault="00B673E4" w:rsidP="00413A8D">
            <w:pPr>
              <w:rPr>
                <w:rFonts w:ascii="Arial" w:hAnsi="Arial" w:cs="Arial"/>
              </w:rPr>
            </w:pPr>
            <w:r w:rsidRPr="002955D3">
              <w:rPr>
                <w:rFonts w:ascii="Arial" w:hAnsi="Arial" w:cs="Arial"/>
              </w:rPr>
              <w:t xml:space="preserve">0.02 </w:t>
            </w:r>
            <w:bookmarkStart w:id="3" w:name="_Hlk198714620"/>
            <w:r w:rsidRPr="002955D3">
              <w:rPr>
                <w:rFonts w:ascii="Arial" w:hAnsi="Arial" w:cs="Arial"/>
              </w:rPr>
              <w:t>(95 CI 2.4-5.2)</w:t>
            </w:r>
            <w:bookmarkEnd w:id="3"/>
          </w:p>
        </w:tc>
      </w:tr>
      <w:tr w:rsidR="00B673E4" w:rsidRPr="002955D3" w14:paraId="100F29CC" w14:textId="77777777" w:rsidTr="00413A8D">
        <w:tc>
          <w:tcPr>
            <w:tcW w:w="3015" w:type="dxa"/>
          </w:tcPr>
          <w:p w14:paraId="6206AE3D" w14:textId="77777777" w:rsidR="00B673E4" w:rsidRPr="002955D3" w:rsidRDefault="00B673E4" w:rsidP="00413A8D">
            <w:pPr>
              <w:rPr>
                <w:rFonts w:ascii="Arial" w:hAnsi="Arial" w:cs="Arial"/>
              </w:rPr>
            </w:pPr>
            <w:r w:rsidRPr="002955D3">
              <w:rPr>
                <w:rFonts w:ascii="Arial" w:hAnsi="Arial" w:cs="Arial"/>
              </w:rPr>
              <w:t xml:space="preserve">Inotropes use, </w:t>
            </w:r>
            <w:proofErr w:type="gramStart"/>
            <w:r w:rsidRPr="002955D3">
              <w:rPr>
                <w:rFonts w:ascii="Arial" w:hAnsi="Arial" w:cs="Arial"/>
              </w:rPr>
              <w:t>n(</w:t>
            </w:r>
            <w:proofErr w:type="gramEnd"/>
            <w:r w:rsidRPr="002955D3">
              <w:rPr>
                <w:rFonts w:ascii="Arial" w:hAnsi="Arial" w:cs="Arial"/>
              </w:rPr>
              <w:t>%)</w:t>
            </w:r>
          </w:p>
        </w:tc>
        <w:tc>
          <w:tcPr>
            <w:tcW w:w="2188" w:type="dxa"/>
          </w:tcPr>
          <w:p w14:paraId="35574981" w14:textId="77777777" w:rsidR="00B673E4" w:rsidRPr="002955D3" w:rsidRDefault="00B673E4" w:rsidP="00413A8D">
            <w:pPr>
              <w:rPr>
                <w:rFonts w:ascii="Arial" w:hAnsi="Arial" w:cs="Arial"/>
              </w:rPr>
            </w:pPr>
            <w:r w:rsidRPr="002955D3">
              <w:rPr>
                <w:rFonts w:ascii="Arial" w:hAnsi="Arial" w:cs="Arial"/>
              </w:rPr>
              <w:t>10(48)</w:t>
            </w:r>
          </w:p>
        </w:tc>
        <w:tc>
          <w:tcPr>
            <w:tcW w:w="2189" w:type="dxa"/>
          </w:tcPr>
          <w:p w14:paraId="70ABB08D" w14:textId="77777777" w:rsidR="00B673E4" w:rsidRPr="002955D3" w:rsidRDefault="00B673E4" w:rsidP="00413A8D">
            <w:pPr>
              <w:rPr>
                <w:rFonts w:ascii="Arial" w:hAnsi="Arial" w:cs="Arial"/>
              </w:rPr>
            </w:pPr>
            <w:r w:rsidRPr="002955D3">
              <w:rPr>
                <w:rFonts w:ascii="Arial" w:hAnsi="Arial" w:cs="Arial"/>
              </w:rPr>
              <w:t>17(35)</w:t>
            </w:r>
          </w:p>
        </w:tc>
        <w:tc>
          <w:tcPr>
            <w:tcW w:w="1930" w:type="dxa"/>
          </w:tcPr>
          <w:p w14:paraId="05A1177F" w14:textId="77777777" w:rsidR="00B673E4" w:rsidRPr="002955D3" w:rsidRDefault="00B673E4" w:rsidP="00413A8D">
            <w:pPr>
              <w:rPr>
                <w:rFonts w:ascii="Arial" w:hAnsi="Arial" w:cs="Arial"/>
              </w:rPr>
            </w:pPr>
            <w:r w:rsidRPr="002955D3">
              <w:rPr>
                <w:rFonts w:ascii="Arial" w:hAnsi="Arial" w:cs="Arial"/>
              </w:rPr>
              <w:t>0.3</w:t>
            </w:r>
          </w:p>
        </w:tc>
      </w:tr>
      <w:tr w:rsidR="00B673E4" w:rsidRPr="002955D3" w14:paraId="71E81866" w14:textId="77777777" w:rsidTr="00413A8D">
        <w:tc>
          <w:tcPr>
            <w:tcW w:w="3015" w:type="dxa"/>
          </w:tcPr>
          <w:p w14:paraId="30C3359A" w14:textId="77777777" w:rsidR="00B673E4" w:rsidRPr="002955D3" w:rsidRDefault="00B673E4" w:rsidP="00413A8D">
            <w:pPr>
              <w:rPr>
                <w:rFonts w:ascii="Arial" w:hAnsi="Arial" w:cs="Arial"/>
              </w:rPr>
            </w:pPr>
            <w:r w:rsidRPr="002955D3">
              <w:rPr>
                <w:rFonts w:ascii="Arial" w:hAnsi="Arial" w:cs="Arial"/>
              </w:rPr>
              <w:t xml:space="preserve">LA/LV dilatation, </w:t>
            </w:r>
            <w:proofErr w:type="gramStart"/>
            <w:r w:rsidRPr="002955D3">
              <w:rPr>
                <w:rFonts w:ascii="Arial" w:hAnsi="Arial" w:cs="Arial"/>
              </w:rPr>
              <w:t>n(</w:t>
            </w:r>
            <w:proofErr w:type="gramEnd"/>
            <w:r w:rsidRPr="002955D3">
              <w:rPr>
                <w:rFonts w:ascii="Arial" w:hAnsi="Arial" w:cs="Arial"/>
              </w:rPr>
              <w:t>%)</w:t>
            </w:r>
          </w:p>
        </w:tc>
        <w:tc>
          <w:tcPr>
            <w:tcW w:w="2188" w:type="dxa"/>
          </w:tcPr>
          <w:p w14:paraId="4BEC1B27" w14:textId="77777777" w:rsidR="00B673E4" w:rsidRPr="002955D3" w:rsidRDefault="00B673E4" w:rsidP="00413A8D">
            <w:pPr>
              <w:rPr>
                <w:rFonts w:ascii="Arial" w:hAnsi="Arial" w:cs="Arial"/>
              </w:rPr>
            </w:pPr>
            <w:r w:rsidRPr="002955D3">
              <w:rPr>
                <w:rFonts w:ascii="Arial" w:hAnsi="Arial" w:cs="Arial"/>
              </w:rPr>
              <w:t>15(71)</w:t>
            </w:r>
          </w:p>
        </w:tc>
        <w:tc>
          <w:tcPr>
            <w:tcW w:w="2189" w:type="dxa"/>
          </w:tcPr>
          <w:p w14:paraId="3BDA8893" w14:textId="77777777" w:rsidR="00B673E4" w:rsidRPr="002955D3" w:rsidRDefault="00B673E4" w:rsidP="00413A8D">
            <w:pPr>
              <w:rPr>
                <w:rFonts w:ascii="Arial" w:hAnsi="Arial" w:cs="Arial"/>
              </w:rPr>
            </w:pPr>
            <w:r w:rsidRPr="002955D3">
              <w:rPr>
                <w:rFonts w:ascii="Arial" w:hAnsi="Arial" w:cs="Arial"/>
              </w:rPr>
              <w:t>35(71)</w:t>
            </w:r>
          </w:p>
        </w:tc>
        <w:tc>
          <w:tcPr>
            <w:tcW w:w="1930" w:type="dxa"/>
          </w:tcPr>
          <w:p w14:paraId="49B64E56" w14:textId="77777777" w:rsidR="00B673E4" w:rsidRPr="002955D3" w:rsidRDefault="00B673E4" w:rsidP="00413A8D">
            <w:pPr>
              <w:rPr>
                <w:rFonts w:ascii="Arial" w:hAnsi="Arial" w:cs="Arial"/>
              </w:rPr>
            </w:pPr>
            <w:r w:rsidRPr="002955D3">
              <w:rPr>
                <w:rFonts w:ascii="Arial" w:hAnsi="Arial" w:cs="Arial"/>
              </w:rPr>
              <w:t>0.8</w:t>
            </w:r>
          </w:p>
        </w:tc>
      </w:tr>
      <w:tr w:rsidR="00B673E4" w:rsidRPr="002955D3" w14:paraId="126E53E6" w14:textId="77777777" w:rsidTr="00413A8D">
        <w:tc>
          <w:tcPr>
            <w:tcW w:w="3015" w:type="dxa"/>
          </w:tcPr>
          <w:p w14:paraId="6FFCF51E" w14:textId="77777777" w:rsidR="00B673E4" w:rsidRPr="002955D3" w:rsidRDefault="00B673E4" w:rsidP="00413A8D">
            <w:pPr>
              <w:rPr>
                <w:rFonts w:ascii="Arial" w:hAnsi="Arial" w:cs="Arial"/>
              </w:rPr>
            </w:pPr>
            <w:r w:rsidRPr="002955D3">
              <w:rPr>
                <w:rFonts w:ascii="Arial" w:hAnsi="Arial" w:cs="Arial"/>
              </w:rPr>
              <w:t xml:space="preserve">PDA Ligated, </w:t>
            </w:r>
            <w:proofErr w:type="gramStart"/>
            <w:r w:rsidRPr="002955D3">
              <w:rPr>
                <w:rFonts w:ascii="Arial" w:hAnsi="Arial" w:cs="Arial"/>
              </w:rPr>
              <w:t>n(</w:t>
            </w:r>
            <w:proofErr w:type="gramEnd"/>
            <w:r w:rsidRPr="002955D3">
              <w:rPr>
                <w:rFonts w:ascii="Arial" w:hAnsi="Arial" w:cs="Arial"/>
              </w:rPr>
              <w:t>%)</w:t>
            </w:r>
          </w:p>
        </w:tc>
        <w:tc>
          <w:tcPr>
            <w:tcW w:w="2188" w:type="dxa"/>
          </w:tcPr>
          <w:p w14:paraId="565467AC" w14:textId="77777777" w:rsidR="00B673E4" w:rsidRPr="002955D3" w:rsidRDefault="00B673E4" w:rsidP="00413A8D">
            <w:pPr>
              <w:rPr>
                <w:rFonts w:ascii="Arial" w:hAnsi="Arial" w:cs="Arial"/>
              </w:rPr>
            </w:pPr>
            <w:r w:rsidRPr="002955D3">
              <w:rPr>
                <w:rFonts w:ascii="Arial" w:hAnsi="Arial" w:cs="Arial"/>
              </w:rPr>
              <w:t>2(10)</w:t>
            </w:r>
          </w:p>
        </w:tc>
        <w:tc>
          <w:tcPr>
            <w:tcW w:w="2189" w:type="dxa"/>
          </w:tcPr>
          <w:p w14:paraId="7F1A2159" w14:textId="77777777" w:rsidR="00B673E4" w:rsidRPr="002955D3" w:rsidRDefault="00B673E4" w:rsidP="00413A8D">
            <w:pPr>
              <w:rPr>
                <w:rFonts w:ascii="Arial" w:hAnsi="Arial" w:cs="Arial"/>
              </w:rPr>
            </w:pPr>
            <w:r w:rsidRPr="002955D3">
              <w:rPr>
                <w:rFonts w:ascii="Arial" w:hAnsi="Arial" w:cs="Arial"/>
              </w:rPr>
              <w:t>23(47)</w:t>
            </w:r>
          </w:p>
        </w:tc>
        <w:tc>
          <w:tcPr>
            <w:tcW w:w="1930" w:type="dxa"/>
          </w:tcPr>
          <w:p w14:paraId="287E5ACE" w14:textId="77777777" w:rsidR="00B673E4" w:rsidRPr="002955D3" w:rsidRDefault="00B673E4" w:rsidP="00413A8D">
            <w:pPr>
              <w:rPr>
                <w:rFonts w:ascii="Arial" w:hAnsi="Arial" w:cs="Arial"/>
              </w:rPr>
            </w:pPr>
            <w:r w:rsidRPr="002955D3">
              <w:rPr>
                <w:rFonts w:ascii="Arial" w:hAnsi="Arial" w:cs="Arial"/>
              </w:rPr>
              <w:t>0.003 (95 CI 1.5-40)</w:t>
            </w:r>
          </w:p>
        </w:tc>
      </w:tr>
      <w:tr w:rsidR="00B673E4" w:rsidRPr="002955D3" w14:paraId="79124F9B" w14:textId="77777777" w:rsidTr="00413A8D">
        <w:tc>
          <w:tcPr>
            <w:tcW w:w="3015" w:type="dxa"/>
          </w:tcPr>
          <w:p w14:paraId="2D9567D6" w14:textId="77777777" w:rsidR="00B673E4" w:rsidRPr="002955D3" w:rsidRDefault="00B673E4" w:rsidP="00413A8D">
            <w:pPr>
              <w:rPr>
                <w:rFonts w:ascii="Arial" w:hAnsi="Arial" w:cs="Arial"/>
              </w:rPr>
            </w:pPr>
            <w:r w:rsidRPr="002955D3">
              <w:rPr>
                <w:rFonts w:ascii="Arial" w:hAnsi="Arial" w:cs="Arial"/>
              </w:rPr>
              <w:t xml:space="preserve">Clinical signs present, </w:t>
            </w:r>
            <w:proofErr w:type="gramStart"/>
            <w:r w:rsidRPr="002955D3">
              <w:rPr>
                <w:rFonts w:ascii="Arial" w:hAnsi="Arial" w:cs="Arial"/>
              </w:rPr>
              <w:t>n(</w:t>
            </w:r>
            <w:proofErr w:type="gramEnd"/>
            <w:r w:rsidRPr="002955D3">
              <w:rPr>
                <w:rFonts w:ascii="Arial" w:hAnsi="Arial" w:cs="Arial"/>
              </w:rPr>
              <w:t>%)</w:t>
            </w:r>
          </w:p>
        </w:tc>
        <w:tc>
          <w:tcPr>
            <w:tcW w:w="2188" w:type="dxa"/>
          </w:tcPr>
          <w:p w14:paraId="57BD48F1" w14:textId="77777777" w:rsidR="00B673E4" w:rsidRPr="002955D3" w:rsidRDefault="00B673E4" w:rsidP="00413A8D">
            <w:pPr>
              <w:rPr>
                <w:rFonts w:ascii="Arial" w:hAnsi="Arial" w:cs="Arial"/>
              </w:rPr>
            </w:pPr>
            <w:r w:rsidRPr="002955D3">
              <w:rPr>
                <w:rFonts w:ascii="Arial" w:hAnsi="Arial" w:cs="Arial"/>
              </w:rPr>
              <w:t>9(43)</w:t>
            </w:r>
          </w:p>
        </w:tc>
        <w:tc>
          <w:tcPr>
            <w:tcW w:w="2189" w:type="dxa"/>
          </w:tcPr>
          <w:p w14:paraId="13A43B57" w14:textId="77777777" w:rsidR="00B673E4" w:rsidRPr="002955D3" w:rsidRDefault="00B673E4" w:rsidP="00413A8D">
            <w:pPr>
              <w:rPr>
                <w:rFonts w:ascii="Arial" w:hAnsi="Arial" w:cs="Arial"/>
              </w:rPr>
            </w:pPr>
            <w:r w:rsidRPr="002955D3">
              <w:rPr>
                <w:rFonts w:ascii="Arial" w:hAnsi="Arial" w:cs="Arial"/>
              </w:rPr>
              <w:t>23(47)</w:t>
            </w:r>
          </w:p>
        </w:tc>
        <w:tc>
          <w:tcPr>
            <w:tcW w:w="1930" w:type="dxa"/>
          </w:tcPr>
          <w:p w14:paraId="1E8540C4" w14:textId="77777777" w:rsidR="00B673E4" w:rsidRPr="002955D3" w:rsidRDefault="00B673E4" w:rsidP="00413A8D">
            <w:pPr>
              <w:rPr>
                <w:rFonts w:ascii="Arial" w:hAnsi="Arial" w:cs="Arial"/>
              </w:rPr>
            </w:pPr>
            <w:r w:rsidRPr="002955D3">
              <w:rPr>
                <w:rFonts w:ascii="Arial" w:hAnsi="Arial" w:cs="Arial"/>
              </w:rPr>
              <w:t>0.7</w:t>
            </w:r>
          </w:p>
        </w:tc>
      </w:tr>
      <w:tr w:rsidR="00B673E4" w:rsidRPr="002955D3" w14:paraId="3339E121" w14:textId="77777777" w:rsidTr="00413A8D">
        <w:tc>
          <w:tcPr>
            <w:tcW w:w="3015" w:type="dxa"/>
          </w:tcPr>
          <w:p w14:paraId="4E84D42F" w14:textId="77777777" w:rsidR="00B673E4" w:rsidRPr="002955D3" w:rsidRDefault="00B673E4" w:rsidP="00413A8D">
            <w:pPr>
              <w:rPr>
                <w:rFonts w:ascii="Arial" w:hAnsi="Arial" w:cs="Arial"/>
              </w:rPr>
            </w:pPr>
            <w:r w:rsidRPr="002955D3">
              <w:rPr>
                <w:rFonts w:ascii="Arial" w:hAnsi="Arial" w:cs="Arial"/>
              </w:rPr>
              <w:t xml:space="preserve">SBP, </w:t>
            </w:r>
            <w:proofErr w:type="spellStart"/>
            <w:r w:rsidRPr="002955D3">
              <w:rPr>
                <w:rFonts w:ascii="Arial" w:hAnsi="Arial" w:cs="Arial"/>
              </w:rPr>
              <w:t>mean±</w:t>
            </w:r>
            <w:proofErr w:type="gramStart"/>
            <w:r w:rsidRPr="002955D3">
              <w:rPr>
                <w:rFonts w:ascii="Arial" w:hAnsi="Arial" w:cs="Arial"/>
              </w:rPr>
              <w:t>SD,mmHg</w:t>
            </w:r>
            <w:proofErr w:type="spellEnd"/>
            <w:proofErr w:type="gramEnd"/>
          </w:p>
        </w:tc>
        <w:tc>
          <w:tcPr>
            <w:tcW w:w="2188" w:type="dxa"/>
          </w:tcPr>
          <w:p w14:paraId="58CCF80C" w14:textId="77777777" w:rsidR="00B673E4" w:rsidRPr="002955D3" w:rsidRDefault="00B673E4" w:rsidP="00413A8D">
            <w:pPr>
              <w:rPr>
                <w:rFonts w:ascii="Arial" w:hAnsi="Arial" w:cs="Arial"/>
              </w:rPr>
            </w:pPr>
            <w:r w:rsidRPr="002955D3">
              <w:rPr>
                <w:rFonts w:ascii="Arial" w:hAnsi="Arial" w:cs="Arial"/>
              </w:rPr>
              <w:t>48.57±5.65</w:t>
            </w:r>
          </w:p>
        </w:tc>
        <w:tc>
          <w:tcPr>
            <w:tcW w:w="2189" w:type="dxa"/>
          </w:tcPr>
          <w:p w14:paraId="4A54D08E" w14:textId="77777777" w:rsidR="00B673E4" w:rsidRPr="002955D3" w:rsidRDefault="00B673E4" w:rsidP="00413A8D">
            <w:pPr>
              <w:rPr>
                <w:rFonts w:ascii="Arial" w:hAnsi="Arial" w:cs="Arial"/>
              </w:rPr>
            </w:pPr>
            <w:r w:rsidRPr="002955D3">
              <w:rPr>
                <w:rFonts w:ascii="Arial" w:hAnsi="Arial" w:cs="Arial"/>
              </w:rPr>
              <w:t>48.53±7.13</w:t>
            </w:r>
          </w:p>
        </w:tc>
        <w:tc>
          <w:tcPr>
            <w:tcW w:w="1930" w:type="dxa"/>
          </w:tcPr>
          <w:p w14:paraId="32D1BC84" w14:textId="77777777" w:rsidR="00B673E4" w:rsidRPr="002955D3" w:rsidRDefault="00B673E4" w:rsidP="00413A8D">
            <w:pPr>
              <w:rPr>
                <w:rFonts w:ascii="Arial" w:hAnsi="Arial" w:cs="Arial"/>
              </w:rPr>
            </w:pPr>
            <w:r w:rsidRPr="002955D3">
              <w:rPr>
                <w:rFonts w:ascii="Arial" w:hAnsi="Arial" w:cs="Arial"/>
              </w:rPr>
              <w:t>0.9</w:t>
            </w:r>
          </w:p>
        </w:tc>
      </w:tr>
      <w:tr w:rsidR="00B673E4" w:rsidRPr="002955D3" w14:paraId="341602E7" w14:textId="77777777" w:rsidTr="00413A8D">
        <w:tc>
          <w:tcPr>
            <w:tcW w:w="3015" w:type="dxa"/>
          </w:tcPr>
          <w:p w14:paraId="4E7E8C46" w14:textId="77777777" w:rsidR="00B673E4" w:rsidRPr="002955D3" w:rsidRDefault="00B673E4" w:rsidP="00413A8D">
            <w:pPr>
              <w:rPr>
                <w:rFonts w:ascii="Arial" w:hAnsi="Arial" w:cs="Arial"/>
              </w:rPr>
            </w:pPr>
            <w:r w:rsidRPr="002955D3">
              <w:rPr>
                <w:rFonts w:ascii="Arial" w:hAnsi="Arial" w:cs="Arial"/>
              </w:rPr>
              <w:t xml:space="preserve">DBP, </w:t>
            </w:r>
            <w:proofErr w:type="spellStart"/>
            <w:r w:rsidRPr="002955D3">
              <w:rPr>
                <w:rFonts w:ascii="Arial" w:hAnsi="Arial" w:cs="Arial"/>
              </w:rPr>
              <w:t>mean±</w:t>
            </w:r>
            <w:proofErr w:type="gramStart"/>
            <w:r w:rsidRPr="002955D3">
              <w:rPr>
                <w:rFonts w:ascii="Arial" w:hAnsi="Arial" w:cs="Arial"/>
              </w:rPr>
              <w:t>SD,mmHg</w:t>
            </w:r>
            <w:proofErr w:type="spellEnd"/>
            <w:proofErr w:type="gramEnd"/>
          </w:p>
        </w:tc>
        <w:tc>
          <w:tcPr>
            <w:tcW w:w="2188" w:type="dxa"/>
          </w:tcPr>
          <w:p w14:paraId="67D838BD" w14:textId="77777777" w:rsidR="00B673E4" w:rsidRPr="002955D3" w:rsidRDefault="00B673E4" w:rsidP="00413A8D">
            <w:pPr>
              <w:rPr>
                <w:rFonts w:ascii="Arial" w:hAnsi="Arial" w:cs="Arial"/>
              </w:rPr>
            </w:pPr>
            <w:r w:rsidRPr="002955D3">
              <w:rPr>
                <w:rFonts w:ascii="Arial" w:hAnsi="Arial" w:cs="Arial"/>
              </w:rPr>
              <w:t>26.33±4.70</w:t>
            </w:r>
          </w:p>
        </w:tc>
        <w:tc>
          <w:tcPr>
            <w:tcW w:w="2189" w:type="dxa"/>
          </w:tcPr>
          <w:p w14:paraId="6D05864C" w14:textId="77777777" w:rsidR="00B673E4" w:rsidRPr="002955D3" w:rsidRDefault="00B673E4" w:rsidP="00413A8D">
            <w:pPr>
              <w:rPr>
                <w:rFonts w:ascii="Arial" w:hAnsi="Arial" w:cs="Arial"/>
              </w:rPr>
            </w:pPr>
            <w:r w:rsidRPr="002955D3">
              <w:rPr>
                <w:rFonts w:ascii="Arial" w:hAnsi="Arial" w:cs="Arial"/>
              </w:rPr>
              <w:t>27.65±5.13</w:t>
            </w:r>
          </w:p>
        </w:tc>
        <w:tc>
          <w:tcPr>
            <w:tcW w:w="1930" w:type="dxa"/>
          </w:tcPr>
          <w:p w14:paraId="07FDF112" w14:textId="77777777" w:rsidR="00B673E4" w:rsidRPr="002955D3" w:rsidRDefault="00B673E4" w:rsidP="00413A8D">
            <w:pPr>
              <w:rPr>
                <w:rFonts w:ascii="Arial" w:hAnsi="Arial" w:cs="Arial"/>
              </w:rPr>
            </w:pPr>
            <w:r w:rsidRPr="002955D3">
              <w:rPr>
                <w:rFonts w:ascii="Arial" w:hAnsi="Arial" w:cs="Arial"/>
              </w:rPr>
              <w:t>0.3</w:t>
            </w:r>
          </w:p>
        </w:tc>
      </w:tr>
      <w:tr w:rsidR="00B673E4" w:rsidRPr="002955D3" w14:paraId="598C47DF" w14:textId="77777777" w:rsidTr="00413A8D">
        <w:tc>
          <w:tcPr>
            <w:tcW w:w="3015" w:type="dxa"/>
          </w:tcPr>
          <w:p w14:paraId="4B7A16B5" w14:textId="77777777" w:rsidR="00B673E4" w:rsidRPr="002955D3" w:rsidRDefault="00B673E4" w:rsidP="00413A8D">
            <w:pPr>
              <w:rPr>
                <w:rFonts w:ascii="Arial" w:hAnsi="Arial" w:cs="Arial"/>
              </w:rPr>
            </w:pPr>
            <w:r w:rsidRPr="002955D3">
              <w:rPr>
                <w:rFonts w:ascii="Arial" w:hAnsi="Arial" w:cs="Arial"/>
              </w:rPr>
              <w:t xml:space="preserve">MAP, </w:t>
            </w:r>
            <w:proofErr w:type="spellStart"/>
            <w:r w:rsidRPr="002955D3">
              <w:rPr>
                <w:rFonts w:ascii="Arial" w:hAnsi="Arial" w:cs="Arial"/>
              </w:rPr>
              <w:t>mean±</w:t>
            </w:r>
            <w:proofErr w:type="gramStart"/>
            <w:r w:rsidRPr="002955D3">
              <w:rPr>
                <w:rFonts w:ascii="Arial" w:hAnsi="Arial" w:cs="Arial"/>
              </w:rPr>
              <w:t>SD,mmHg</w:t>
            </w:r>
            <w:proofErr w:type="spellEnd"/>
            <w:proofErr w:type="gramEnd"/>
          </w:p>
        </w:tc>
        <w:tc>
          <w:tcPr>
            <w:tcW w:w="2188" w:type="dxa"/>
          </w:tcPr>
          <w:p w14:paraId="25C5FFD6" w14:textId="77777777" w:rsidR="00B673E4" w:rsidRPr="002955D3" w:rsidRDefault="00B673E4" w:rsidP="00413A8D">
            <w:pPr>
              <w:rPr>
                <w:rFonts w:ascii="Arial" w:hAnsi="Arial" w:cs="Arial"/>
              </w:rPr>
            </w:pPr>
            <w:r w:rsidRPr="002955D3">
              <w:rPr>
                <w:rFonts w:ascii="Arial" w:hAnsi="Arial" w:cs="Arial"/>
              </w:rPr>
              <w:t>33.48±5.16</w:t>
            </w:r>
          </w:p>
        </w:tc>
        <w:tc>
          <w:tcPr>
            <w:tcW w:w="2189" w:type="dxa"/>
          </w:tcPr>
          <w:p w14:paraId="37F485AA" w14:textId="77777777" w:rsidR="00B673E4" w:rsidRPr="002955D3" w:rsidRDefault="00B673E4" w:rsidP="00413A8D">
            <w:pPr>
              <w:rPr>
                <w:rFonts w:ascii="Arial" w:hAnsi="Arial" w:cs="Arial"/>
              </w:rPr>
            </w:pPr>
            <w:r w:rsidRPr="002955D3">
              <w:rPr>
                <w:rFonts w:ascii="Arial" w:hAnsi="Arial" w:cs="Arial"/>
              </w:rPr>
              <w:t>34.22±6.12</w:t>
            </w:r>
          </w:p>
        </w:tc>
        <w:tc>
          <w:tcPr>
            <w:tcW w:w="1930" w:type="dxa"/>
          </w:tcPr>
          <w:p w14:paraId="3AB8AB31" w14:textId="77777777" w:rsidR="00B673E4" w:rsidRPr="002955D3" w:rsidRDefault="00B673E4" w:rsidP="00413A8D">
            <w:pPr>
              <w:rPr>
                <w:rFonts w:ascii="Arial" w:hAnsi="Arial" w:cs="Arial"/>
              </w:rPr>
            </w:pPr>
            <w:r w:rsidRPr="002955D3">
              <w:rPr>
                <w:rFonts w:ascii="Arial" w:hAnsi="Arial" w:cs="Arial"/>
              </w:rPr>
              <w:t>0.6</w:t>
            </w:r>
          </w:p>
        </w:tc>
      </w:tr>
      <w:tr w:rsidR="00B673E4" w:rsidRPr="002955D3" w14:paraId="2C3678C8" w14:textId="77777777" w:rsidTr="00413A8D">
        <w:tc>
          <w:tcPr>
            <w:tcW w:w="3015" w:type="dxa"/>
          </w:tcPr>
          <w:p w14:paraId="75AE2461" w14:textId="77777777" w:rsidR="00B673E4" w:rsidRPr="002955D3" w:rsidRDefault="00B673E4" w:rsidP="00413A8D">
            <w:pPr>
              <w:rPr>
                <w:rFonts w:ascii="Arial" w:hAnsi="Arial" w:cs="Arial"/>
              </w:rPr>
            </w:pPr>
            <w:r w:rsidRPr="002955D3">
              <w:rPr>
                <w:rFonts w:ascii="Arial" w:hAnsi="Arial" w:cs="Arial"/>
              </w:rPr>
              <w:t xml:space="preserve">Day of </w:t>
            </w:r>
            <w:proofErr w:type="spellStart"/>
            <w:proofErr w:type="gramStart"/>
            <w:r w:rsidRPr="002955D3">
              <w:rPr>
                <w:rFonts w:ascii="Arial" w:hAnsi="Arial" w:cs="Arial"/>
              </w:rPr>
              <w:t>treatment,mean</w:t>
            </w:r>
            <w:proofErr w:type="gramEnd"/>
            <w:r w:rsidRPr="002955D3">
              <w:rPr>
                <w:rFonts w:ascii="Arial" w:hAnsi="Arial" w:cs="Arial"/>
              </w:rPr>
              <w:t>±SD</w:t>
            </w:r>
            <w:proofErr w:type="spellEnd"/>
            <w:r w:rsidRPr="002955D3">
              <w:rPr>
                <w:rFonts w:ascii="Arial" w:hAnsi="Arial" w:cs="Arial"/>
              </w:rPr>
              <w:t>, weeks</w:t>
            </w:r>
          </w:p>
        </w:tc>
        <w:tc>
          <w:tcPr>
            <w:tcW w:w="2188" w:type="dxa"/>
          </w:tcPr>
          <w:p w14:paraId="34B68C6F" w14:textId="77777777" w:rsidR="00B673E4" w:rsidRPr="002955D3" w:rsidRDefault="00B673E4" w:rsidP="00413A8D">
            <w:pPr>
              <w:rPr>
                <w:rFonts w:ascii="Arial" w:hAnsi="Arial" w:cs="Arial"/>
              </w:rPr>
            </w:pPr>
            <w:r w:rsidRPr="002955D3">
              <w:rPr>
                <w:rFonts w:ascii="Arial" w:hAnsi="Arial" w:cs="Arial"/>
              </w:rPr>
              <w:t>5.57±3.09</w:t>
            </w:r>
          </w:p>
        </w:tc>
        <w:tc>
          <w:tcPr>
            <w:tcW w:w="2189" w:type="dxa"/>
          </w:tcPr>
          <w:p w14:paraId="5A364714" w14:textId="77777777" w:rsidR="00B673E4" w:rsidRPr="002955D3" w:rsidRDefault="00B673E4" w:rsidP="00413A8D">
            <w:pPr>
              <w:rPr>
                <w:rFonts w:ascii="Arial" w:hAnsi="Arial" w:cs="Arial"/>
              </w:rPr>
            </w:pPr>
            <w:r w:rsidRPr="002955D3">
              <w:rPr>
                <w:rFonts w:ascii="Arial" w:hAnsi="Arial" w:cs="Arial"/>
              </w:rPr>
              <w:t>5.96±3.52</w:t>
            </w:r>
          </w:p>
        </w:tc>
        <w:tc>
          <w:tcPr>
            <w:tcW w:w="1930" w:type="dxa"/>
          </w:tcPr>
          <w:p w14:paraId="6F51B26A" w14:textId="77777777" w:rsidR="00B673E4" w:rsidRPr="002955D3" w:rsidRDefault="00B673E4" w:rsidP="00413A8D">
            <w:pPr>
              <w:rPr>
                <w:rFonts w:ascii="Arial" w:hAnsi="Arial" w:cs="Arial"/>
              </w:rPr>
            </w:pPr>
            <w:r w:rsidRPr="002955D3">
              <w:rPr>
                <w:rFonts w:ascii="Arial" w:hAnsi="Arial" w:cs="Arial"/>
              </w:rPr>
              <w:t>0.6</w:t>
            </w:r>
          </w:p>
        </w:tc>
      </w:tr>
    </w:tbl>
    <w:p w14:paraId="40C45644" w14:textId="77777777" w:rsidR="00B673E4" w:rsidRPr="002955D3" w:rsidRDefault="00B673E4" w:rsidP="00B673E4">
      <w:pPr>
        <w:pStyle w:val="MDPI41tablecaption"/>
        <w:spacing w:before="0" w:after="0" w:line="240" w:lineRule="auto"/>
        <w:ind w:left="0"/>
        <w:rPr>
          <w:rFonts w:ascii="Arial" w:hAnsi="Arial" w:cs="Arial"/>
          <w:color w:val="auto"/>
          <w:sz w:val="22"/>
        </w:rPr>
      </w:pPr>
      <w:r w:rsidRPr="002955D3">
        <w:rPr>
          <w:rFonts w:ascii="Arial" w:hAnsi="Arial" w:cs="Arial"/>
          <w:color w:val="auto"/>
          <w:sz w:val="22"/>
        </w:rPr>
        <w:t>SGA-small for gestational age, RDS- respiratory distress syndrome, LA/LV- Left atrium/Left ventricle, PDA-patent ductus arteriosus, SBP- systolic blood pressure, DBP- diastolic blood pressure, MAP- mean arterial pressure</w:t>
      </w:r>
    </w:p>
    <w:p w14:paraId="2CE2F9BE" w14:textId="77777777" w:rsidR="00B673E4" w:rsidRPr="002955D3" w:rsidRDefault="00B673E4" w:rsidP="00B673E4">
      <w:pPr>
        <w:rPr>
          <w:rFonts w:ascii="Arial" w:hAnsi="Arial" w:cs="Arial"/>
          <w:sz w:val="22"/>
          <w:szCs w:val="22"/>
        </w:rPr>
      </w:pPr>
    </w:p>
    <w:p w14:paraId="0B9FD4B7" w14:textId="77777777" w:rsidR="00B673E4" w:rsidRPr="002955D3" w:rsidRDefault="00B673E4" w:rsidP="00B673E4">
      <w:pPr>
        <w:rPr>
          <w:rFonts w:ascii="Arial" w:hAnsi="Arial" w:cs="Arial"/>
          <w:sz w:val="22"/>
          <w:szCs w:val="22"/>
        </w:rPr>
      </w:pPr>
    </w:p>
    <w:p w14:paraId="2C8F9B32" w14:textId="77777777" w:rsidR="00B673E4" w:rsidRPr="002955D3" w:rsidRDefault="00B673E4" w:rsidP="00B673E4">
      <w:pPr>
        <w:rPr>
          <w:rFonts w:ascii="Arial" w:hAnsi="Arial" w:cs="Arial"/>
          <w:sz w:val="22"/>
          <w:szCs w:val="22"/>
        </w:rPr>
      </w:pPr>
      <w:r w:rsidRPr="002955D3">
        <w:rPr>
          <w:rFonts w:ascii="Arial" w:hAnsi="Arial" w:cs="Arial"/>
          <w:sz w:val="22"/>
          <w:szCs w:val="22"/>
        </w:rPr>
        <w:t>The echocardiographic parameters among closed PDA in the early treatment group showed lower pre-treatment diastolic velocities across PDA (0.36±0.17 vs. 0.51±0.30 m/s, p =0.02), lower LV end-systolic diameter (7.71±1.21vs 8.39±1.36, p=0.04), lower MPA velocity (0.66±0.17m/s vs 0.83±0.26m/s, p=0.003), ascending aorta (0.82±0.21m/s vs 0.95±0.26m/s p=0.03) and descending aorta velocity (0.88±0.19m/s vs 1.10±0.28m/s, p=0.001) compared to persistent PDA group. The details of echo parameters are shown in Table 3. On logistic regression analysis, higher gestational age and lower MPA systolic Vmax predicted ductal closure among the early acetaminophen group (Table 4).</w:t>
      </w:r>
    </w:p>
    <w:p w14:paraId="284A5511" w14:textId="77777777" w:rsidR="00B673E4" w:rsidRPr="002955D3" w:rsidRDefault="00B673E4" w:rsidP="00B673E4">
      <w:pPr>
        <w:rPr>
          <w:rFonts w:ascii="Arial" w:hAnsi="Arial" w:cs="Arial"/>
          <w:sz w:val="22"/>
          <w:szCs w:val="22"/>
        </w:rPr>
      </w:pPr>
    </w:p>
    <w:p w14:paraId="6F2E8A71" w14:textId="77777777" w:rsidR="00B673E4" w:rsidRPr="002955D3" w:rsidRDefault="00B673E4" w:rsidP="00B673E4">
      <w:pPr>
        <w:pStyle w:val="MDPI41tablecaption"/>
        <w:spacing w:before="0" w:after="0" w:line="240" w:lineRule="auto"/>
        <w:ind w:left="0"/>
        <w:rPr>
          <w:rFonts w:ascii="Arial" w:hAnsi="Arial" w:cs="Arial"/>
          <w:color w:val="auto"/>
          <w:sz w:val="22"/>
        </w:rPr>
      </w:pPr>
      <w:r w:rsidRPr="002955D3">
        <w:rPr>
          <w:rFonts w:ascii="Arial" w:hAnsi="Arial" w:cs="Arial"/>
          <w:color w:val="auto"/>
          <w:sz w:val="22"/>
        </w:rPr>
        <w:lastRenderedPageBreak/>
        <w:t>Table 2: Clinical demographics for late acetaminophen therapy.</w:t>
      </w:r>
    </w:p>
    <w:p w14:paraId="678209FC" w14:textId="77777777" w:rsidR="00B673E4" w:rsidRPr="002955D3" w:rsidRDefault="00B673E4" w:rsidP="00B673E4">
      <w:pPr>
        <w:rPr>
          <w:rFonts w:ascii="Arial" w:hAnsi="Arial" w:cs="Arial"/>
          <w:sz w:val="22"/>
          <w:szCs w:val="22"/>
        </w:rPr>
      </w:pPr>
    </w:p>
    <w:tbl>
      <w:tblPr>
        <w:tblStyle w:val="TableGrid"/>
        <w:tblW w:w="0" w:type="auto"/>
        <w:tblLook w:val="04A0" w:firstRow="1" w:lastRow="0" w:firstColumn="1" w:lastColumn="0" w:noHBand="0" w:noVBand="1"/>
      </w:tblPr>
      <w:tblGrid>
        <w:gridCol w:w="2201"/>
        <w:gridCol w:w="2118"/>
        <w:gridCol w:w="2118"/>
        <w:gridCol w:w="1761"/>
      </w:tblGrid>
      <w:tr w:rsidR="00B673E4" w:rsidRPr="002955D3" w14:paraId="1294774B" w14:textId="77777777" w:rsidTr="00413A8D">
        <w:tc>
          <w:tcPr>
            <w:tcW w:w="2309" w:type="dxa"/>
          </w:tcPr>
          <w:p w14:paraId="02C5E8FC" w14:textId="77777777" w:rsidR="00B673E4" w:rsidRPr="002955D3" w:rsidRDefault="00B673E4" w:rsidP="00413A8D">
            <w:pPr>
              <w:rPr>
                <w:rFonts w:ascii="Arial" w:hAnsi="Arial" w:cs="Arial"/>
              </w:rPr>
            </w:pPr>
          </w:p>
        </w:tc>
        <w:tc>
          <w:tcPr>
            <w:tcW w:w="2283" w:type="dxa"/>
          </w:tcPr>
          <w:p w14:paraId="7D87B641" w14:textId="77777777" w:rsidR="00B673E4" w:rsidRPr="002955D3" w:rsidRDefault="00B673E4" w:rsidP="00413A8D">
            <w:pPr>
              <w:rPr>
                <w:rFonts w:ascii="Arial" w:hAnsi="Arial" w:cs="Arial"/>
              </w:rPr>
            </w:pPr>
            <w:r w:rsidRPr="002955D3">
              <w:rPr>
                <w:rFonts w:ascii="Arial" w:hAnsi="Arial" w:cs="Arial"/>
              </w:rPr>
              <w:t>Closed (n=14)</w:t>
            </w:r>
          </w:p>
        </w:tc>
        <w:tc>
          <w:tcPr>
            <w:tcW w:w="2284" w:type="dxa"/>
          </w:tcPr>
          <w:p w14:paraId="5A67C9FC" w14:textId="77777777" w:rsidR="00B673E4" w:rsidRPr="002955D3" w:rsidRDefault="00B673E4" w:rsidP="00413A8D">
            <w:pPr>
              <w:rPr>
                <w:rFonts w:ascii="Arial" w:hAnsi="Arial" w:cs="Arial"/>
              </w:rPr>
            </w:pPr>
            <w:r w:rsidRPr="002955D3">
              <w:rPr>
                <w:rFonts w:ascii="Arial" w:hAnsi="Arial" w:cs="Arial"/>
              </w:rPr>
              <w:t>Not closed (32)</w:t>
            </w:r>
          </w:p>
        </w:tc>
        <w:tc>
          <w:tcPr>
            <w:tcW w:w="2140" w:type="dxa"/>
          </w:tcPr>
          <w:p w14:paraId="5ABCA861" w14:textId="77777777" w:rsidR="00B673E4" w:rsidRPr="002955D3" w:rsidRDefault="00B673E4" w:rsidP="00413A8D">
            <w:pPr>
              <w:rPr>
                <w:rFonts w:ascii="Arial" w:hAnsi="Arial" w:cs="Arial"/>
              </w:rPr>
            </w:pPr>
            <w:r w:rsidRPr="002955D3">
              <w:rPr>
                <w:rFonts w:ascii="Arial" w:hAnsi="Arial" w:cs="Arial"/>
              </w:rPr>
              <w:t>p</w:t>
            </w:r>
          </w:p>
        </w:tc>
      </w:tr>
      <w:tr w:rsidR="00B673E4" w:rsidRPr="002955D3" w14:paraId="041D4038" w14:textId="77777777" w:rsidTr="00413A8D">
        <w:tc>
          <w:tcPr>
            <w:tcW w:w="2309" w:type="dxa"/>
          </w:tcPr>
          <w:p w14:paraId="64B13ADB" w14:textId="77777777" w:rsidR="00B673E4" w:rsidRPr="002955D3" w:rsidRDefault="00B673E4" w:rsidP="00413A8D">
            <w:pPr>
              <w:rPr>
                <w:rFonts w:ascii="Arial" w:hAnsi="Arial" w:cs="Arial"/>
              </w:rPr>
            </w:pPr>
            <w:r w:rsidRPr="002955D3">
              <w:rPr>
                <w:rFonts w:ascii="Arial" w:hAnsi="Arial" w:cs="Arial"/>
              </w:rPr>
              <w:t xml:space="preserve">Gestational age, </w:t>
            </w:r>
            <w:proofErr w:type="spellStart"/>
            <w:r w:rsidRPr="002955D3">
              <w:rPr>
                <w:rFonts w:ascii="Arial" w:hAnsi="Arial" w:cs="Arial"/>
              </w:rPr>
              <w:t>mean±</w:t>
            </w:r>
            <w:proofErr w:type="gramStart"/>
            <w:r w:rsidRPr="002955D3">
              <w:rPr>
                <w:rFonts w:ascii="Arial" w:hAnsi="Arial" w:cs="Arial"/>
              </w:rPr>
              <w:t>SD,weeks</w:t>
            </w:r>
            <w:proofErr w:type="spellEnd"/>
            <w:proofErr w:type="gramEnd"/>
          </w:p>
        </w:tc>
        <w:tc>
          <w:tcPr>
            <w:tcW w:w="2283" w:type="dxa"/>
          </w:tcPr>
          <w:p w14:paraId="7E2BCFC0" w14:textId="77777777" w:rsidR="00B673E4" w:rsidRPr="002955D3" w:rsidRDefault="00B673E4" w:rsidP="00413A8D">
            <w:pPr>
              <w:rPr>
                <w:rFonts w:ascii="Arial" w:hAnsi="Arial" w:cs="Arial"/>
              </w:rPr>
            </w:pPr>
            <w:bookmarkStart w:id="4" w:name="_Hlk198715480"/>
            <w:r w:rsidRPr="002955D3">
              <w:rPr>
                <w:rFonts w:ascii="Arial" w:hAnsi="Arial" w:cs="Arial"/>
              </w:rPr>
              <w:t>26.957±2.48</w:t>
            </w:r>
            <w:bookmarkEnd w:id="4"/>
          </w:p>
        </w:tc>
        <w:tc>
          <w:tcPr>
            <w:tcW w:w="2284" w:type="dxa"/>
          </w:tcPr>
          <w:p w14:paraId="71CE040A" w14:textId="77777777" w:rsidR="00B673E4" w:rsidRPr="002955D3" w:rsidRDefault="00B673E4" w:rsidP="00413A8D">
            <w:pPr>
              <w:rPr>
                <w:rFonts w:ascii="Arial" w:hAnsi="Arial" w:cs="Arial"/>
              </w:rPr>
            </w:pPr>
            <w:bookmarkStart w:id="5" w:name="_Hlk198715533"/>
            <w:r w:rsidRPr="002955D3">
              <w:rPr>
                <w:rFonts w:ascii="Arial" w:hAnsi="Arial" w:cs="Arial"/>
              </w:rPr>
              <w:t>25.603±1.67</w:t>
            </w:r>
            <w:bookmarkEnd w:id="5"/>
          </w:p>
        </w:tc>
        <w:tc>
          <w:tcPr>
            <w:tcW w:w="2140" w:type="dxa"/>
          </w:tcPr>
          <w:p w14:paraId="077DE740" w14:textId="77777777" w:rsidR="00B673E4" w:rsidRPr="002955D3" w:rsidRDefault="00B673E4" w:rsidP="00413A8D">
            <w:pPr>
              <w:rPr>
                <w:rFonts w:ascii="Arial" w:hAnsi="Arial" w:cs="Arial"/>
              </w:rPr>
            </w:pPr>
            <w:r w:rsidRPr="002955D3">
              <w:rPr>
                <w:rFonts w:ascii="Arial" w:hAnsi="Arial" w:cs="Arial"/>
              </w:rPr>
              <w:t>0.07</w:t>
            </w:r>
          </w:p>
        </w:tc>
      </w:tr>
      <w:tr w:rsidR="00B673E4" w:rsidRPr="002955D3" w14:paraId="647A4AFE" w14:textId="77777777" w:rsidTr="00413A8D">
        <w:tc>
          <w:tcPr>
            <w:tcW w:w="2309" w:type="dxa"/>
          </w:tcPr>
          <w:p w14:paraId="71356022" w14:textId="77777777" w:rsidR="00B673E4" w:rsidRPr="002955D3" w:rsidRDefault="00B673E4" w:rsidP="00413A8D">
            <w:pPr>
              <w:rPr>
                <w:rFonts w:ascii="Arial" w:hAnsi="Arial" w:cs="Arial"/>
              </w:rPr>
            </w:pPr>
            <w:bookmarkStart w:id="6" w:name="_Hlk198715579"/>
            <w:r w:rsidRPr="002955D3">
              <w:rPr>
                <w:rFonts w:ascii="Arial" w:hAnsi="Arial" w:cs="Arial"/>
              </w:rPr>
              <w:t xml:space="preserve">Birthweight, </w:t>
            </w:r>
            <w:proofErr w:type="spellStart"/>
            <w:r w:rsidRPr="002955D3">
              <w:rPr>
                <w:rFonts w:ascii="Arial" w:hAnsi="Arial" w:cs="Arial"/>
              </w:rPr>
              <w:t>mean±</w:t>
            </w:r>
            <w:proofErr w:type="gramStart"/>
            <w:r w:rsidRPr="002955D3">
              <w:rPr>
                <w:rFonts w:ascii="Arial" w:hAnsi="Arial" w:cs="Arial"/>
              </w:rPr>
              <w:t>SD,grams</w:t>
            </w:r>
            <w:proofErr w:type="spellEnd"/>
            <w:proofErr w:type="gramEnd"/>
          </w:p>
        </w:tc>
        <w:tc>
          <w:tcPr>
            <w:tcW w:w="2283" w:type="dxa"/>
          </w:tcPr>
          <w:p w14:paraId="27B5F69C" w14:textId="77777777" w:rsidR="00B673E4" w:rsidRPr="002955D3" w:rsidRDefault="00B673E4" w:rsidP="00413A8D">
            <w:pPr>
              <w:rPr>
                <w:rFonts w:ascii="Arial" w:hAnsi="Arial" w:cs="Arial"/>
              </w:rPr>
            </w:pPr>
            <w:bookmarkStart w:id="7" w:name="_Hlk198715555"/>
            <w:r w:rsidRPr="002955D3">
              <w:rPr>
                <w:rFonts w:ascii="Arial" w:hAnsi="Arial" w:cs="Arial"/>
              </w:rPr>
              <w:t>907.36±400.61</w:t>
            </w:r>
            <w:bookmarkEnd w:id="7"/>
          </w:p>
        </w:tc>
        <w:tc>
          <w:tcPr>
            <w:tcW w:w="2284" w:type="dxa"/>
          </w:tcPr>
          <w:p w14:paraId="0AC274B3" w14:textId="77777777" w:rsidR="00B673E4" w:rsidRPr="002955D3" w:rsidRDefault="00B673E4" w:rsidP="00413A8D">
            <w:pPr>
              <w:rPr>
                <w:rFonts w:ascii="Arial" w:hAnsi="Arial" w:cs="Arial"/>
              </w:rPr>
            </w:pPr>
            <w:r w:rsidRPr="002955D3">
              <w:rPr>
                <w:rFonts w:ascii="Arial" w:hAnsi="Arial" w:cs="Arial"/>
              </w:rPr>
              <w:t>774.53±237.40</w:t>
            </w:r>
          </w:p>
        </w:tc>
        <w:tc>
          <w:tcPr>
            <w:tcW w:w="2140" w:type="dxa"/>
          </w:tcPr>
          <w:p w14:paraId="6103A914" w14:textId="77777777" w:rsidR="00B673E4" w:rsidRPr="002955D3" w:rsidRDefault="00B673E4" w:rsidP="00413A8D">
            <w:pPr>
              <w:rPr>
                <w:rFonts w:ascii="Arial" w:hAnsi="Arial" w:cs="Arial"/>
              </w:rPr>
            </w:pPr>
            <w:r w:rsidRPr="002955D3">
              <w:rPr>
                <w:rFonts w:ascii="Arial" w:hAnsi="Arial" w:cs="Arial"/>
              </w:rPr>
              <w:t>0.2</w:t>
            </w:r>
          </w:p>
        </w:tc>
      </w:tr>
      <w:bookmarkEnd w:id="6"/>
      <w:tr w:rsidR="00B673E4" w:rsidRPr="002955D3" w14:paraId="5E323BFB" w14:textId="77777777" w:rsidTr="00413A8D">
        <w:tc>
          <w:tcPr>
            <w:tcW w:w="2309" w:type="dxa"/>
          </w:tcPr>
          <w:p w14:paraId="429BCD3D" w14:textId="77777777" w:rsidR="00B673E4" w:rsidRPr="002955D3" w:rsidRDefault="00B673E4" w:rsidP="00413A8D">
            <w:pPr>
              <w:rPr>
                <w:rFonts w:ascii="Arial" w:hAnsi="Arial" w:cs="Arial"/>
              </w:rPr>
            </w:pPr>
            <w:r w:rsidRPr="002955D3">
              <w:rPr>
                <w:rFonts w:ascii="Arial" w:hAnsi="Arial" w:cs="Arial"/>
              </w:rPr>
              <w:t xml:space="preserve">Sex, male, </w:t>
            </w:r>
            <w:proofErr w:type="gramStart"/>
            <w:r w:rsidRPr="002955D3">
              <w:rPr>
                <w:rFonts w:ascii="Arial" w:hAnsi="Arial" w:cs="Arial"/>
              </w:rPr>
              <w:t>n(</w:t>
            </w:r>
            <w:proofErr w:type="gramEnd"/>
            <w:r w:rsidRPr="002955D3">
              <w:rPr>
                <w:rFonts w:ascii="Arial" w:hAnsi="Arial" w:cs="Arial"/>
              </w:rPr>
              <w:t>%)</w:t>
            </w:r>
          </w:p>
        </w:tc>
        <w:tc>
          <w:tcPr>
            <w:tcW w:w="2283" w:type="dxa"/>
          </w:tcPr>
          <w:p w14:paraId="6E1D6444" w14:textId="77777777" w:rsidR="00B673E4" w:rsidRPr="002955D3" w:rsidRDefault="00B673E4" w:rsidP="00413A8D">
            <w:pPr>
              <w:rPr>
                <w:rFonts w:ascii="Arial" w:hAnsi="Arial" w:cs="Arial"/>
              </w:rPr>
            </w:pPr>
            <w:r w:rsidRPr="002955D3">
              <w:rPr>
                <w:rFonts w:ascii="Arial" w:hAnsi="Arial" w:cs="Arial"/>
              </w:rPr>
              <w:t>11(79)</w:t>
            </w:r>
          </w:p>
        </w:tc>
        <w:tc>
          <w:tcPr>
            <w:tcW w:w="2284" w:type="dxa"/>
          </w:tcPr>
          <w:p w14:paraId="789C6D00" w14:textId="77777777" w:rsidR="00B673E4" w:rsidRPr="002955D3" w:rsidRDefault="00B673E4" w:rsidP="00413A8D">
            <w:pPr>
              <w:rPr>
                <w:rFonts w:ascii="Arial" w:hAnsi="Arial" w:cs="Arial"/>
              </w:rPr>
            </w:pPr>
            <w:r w:rsidRPr="002955D3">
              <w:rPr>
                <w:rFonts w:ascii="Arial" w:hAnsi="Arial" w:cs="Arial"/>
              </w:rPr>
              <w:t>16(50)</w:t>
            </w:r>
          </w:p>
        </w:tc>
        <w:tc>
          <w:tcPr>
            <w:tcW w:w="2140" w:type="dxa"/>
          </w:tcPr>
          <w:p w14:paraId="240E9336" w14:textId="77777777" w:rsidR="00B673E4" w:rsidRPr="002955D3" w:rsidRDefault="00B673E4" w:rsidP="00413A8D">
            <w:pPr>
              <w:rPr>
                <w:rFonts w:ascii="Arial" w:hAnsi="Arial" w:cs="Arial"/>
              </w:rPr>
            </w:pPr>
            <w:r w:rsidRPr="002955D3">
              <w:rPr>
                <w:rFonts w:ascii="Arial" w:hAnsi="Arial" w:cs="Arial"/>
              </w:rPr>
              <w:t>0.07</w:t>
            </w:r>
          </w:p>
        </w:tc>
      </w:tr>
      <w:tr w:rsidR="00B673E4" w:rsidRPr="002955D3" w14:paraId="67A874DF" w14:textId="77777777" w:rsidTr="00413A8D">
        <w:tc>
          <w:tcPr>
            <w:tcW w:w="2309" w:type="dxa"/>
          </w:tcPr>
          <w:p w14:paraId="48340352" w14:textId="77777777" w:rsidR="00B673E4" w:rsidRPr="002955D3" w:rsidRDefault="00B673E4" w:rsidP="00413A8D">
            <w:pPr>
              <w:rPr>
                <w:rFonts w:ascii="Arial" w:hAnsi="Arial" w:cs="Arial"/>
              </w:rPr>
            </w:pPr>
            <w:r w:rsidRPr="002955D3">
              <w:rPr>
                <w:rFonts w:ascii="Arial" w:hAnsi="Arial" w:cs="Arial"/>
              </w:rPr>
              <w:t xml:space="preserve">Vaginal delivery, </w:t>
            </w:r>
            <w:proofErr w:type="gramStart"/>
            <w:r w:rsidRPr="002955D3">
              <w:rPr>
                <w:rFonts w:ascii="Arial" w:hAnsi="Arial" w:cs="Arial"/>
              </w:rPr>
              <w:t>n(</w:t>
            </w:r>
            <w:proofErr w:type="gramEnd"/>
            <w:r w:rsidRPr="002955D3">
              <w:rPr>
                <w:rFonts w:ascii="Arial" w:hAnsi="Arial" w:cs="Arial"/>
              </w:rPr>
              <w:t>%)</w:t>
            </w:r>
          </w:p>
        </w:tc>
        <w:tc>
          <w:tcPr>
            <w:tcW w:w="2283" w:type="dxa"/>
          </w:tcPr>
          <w:p w14:paraId="0E70334A" w14:textId="77777777" w:rsidR="00B673E4" w:rsidRPr="002955D3" w:rsidRDefault="00B673E4" w:rsidP="00413A8D">
            <w:pPr>
              <w:rPr>
                <w:rFonts w:ascii="Arial" w:hAnsi="Arial" w:cs="Arial"/>
              </w:rPr>
            </w:pPr>
            <w:r w:rsidRPr="002955D3">
              <w:rPr>
                <w:rFonts w:ascii="Arial" w:hAnsi="Arial" w:cs="Arial"/>
              </w:rPr>
              <w:t>4(29)</w:t>
            </w:r>
          </w:p>
        </w:tc>
        <w:tc>
          <w:tcPr>
            <w:tcW w:w="2284" w:type="dxa"/>
          </w:tcPr>
          <w:p w14:paraId="016C50D7" w14:textId="77777777" w:rsidR="00B673E4" w:rsidRPr="002955D3" w:rsidRDefault="00B673E4" w:rsidP="00413A8D">
            <w:pPr>
              <w:rPr>
                <w:rFonts w:ascii="Arial" w:hAnsi="Arial" w:cs="Arial"/>
              </w:rPr>
            </w:pPr>
            <w:r w:rsidRPr="002955D3">
              <w:rPr>
                <w:rFonts w:ascii="Arial" w:hAnsi="Arial" w:cs="Arial"/>
              </w:rPr>
              <w:t>11(34)</w:t>
            </w:r>
          </w:p>
        </w:tc>
        <w:tc>
          <w:tcPr>
            <w:tcW w:w="2140" w:type="dxa"/>
          </w:tcPr>
          <w:p w14:paraId="3365E900" w14:textId="77777777" w:rsidR="00B673E4" w:rsidRPr="002955D3" w:rsidRDefault="00B673E4" w:rsidP="00413A8D">
            <w:pPr>
              <w:rPr>
                <w:rFonts w:ascii="Arial" w:hAnsi="Arial" w:cs="Arial"/>
              </w:rPr>
            </w:pPr>
            <w:r w:rsidRPr="002955D3">
              <w:rPr>
                <w:rFonts w:ascii="Arial" w:hAnsi="Arial" w:cs="Arial"/>
              </w:rPr>
              <w:t>0.6</w:t>
            </w:r>
          </w:p>
        </w:tc>
      </w:tr>
      <w:tr w:rsidR="00B673E4" w:rsidRPr="002955D3" w14:paraId="7C97CEBB" w14:textId="77777777" w:rsidTr="00413A8D">
        <w:tc>
          <w:tcPr>
            <w:tcW w:w="2309" w:type="dxa"/>
          </w:tcPr>
          <w:p w14:paraId="44988C7B" w14:textId="77777777" w:rsidR="00B673E4" w:rsidRPr="002955D3" w:rsidRDefault="00B673E4" w:rsidP="00413A8D">
            <w:pPr>
              <w:rPr>
                <w:rFonts w:ascii="Arial" w:hAnsi="Arial" w:cs="Arial"/>
              </w:rPr>
            </w:pPr>
            <w:r w:rsidRPr="002955D3">
              <w:rPr>
                <w:rFonts w:ascii="Arial" w:hAnsi="Arial" w:cs="Arial"/>
              </w:rPr>
              <w:t xml:space="preserve">Apgar 5 minutes, </w:t>
            </w:r>
            <w:proofErr w:type="spellStart"/>
            <w:r w:rsidRPr="002955D3">
              <w:rPr>
                <w:rFonts w:ascii="Arial" w:hAnsi="Arial" w:cs="Arial"/>
              </w:rPr>
              <w:t>mean±SD</w:t>
            </w:r>
            <w:proofErr w:type="spellEnd"/>
          </w:p>
        </w:tc>
        <w:tc>
          <w:tcPr>
            <w:tcW w:w="2283" w:type="dxa"/>
          </w:tcPr>
          <w:p w14:paraId="2B521769" w14:textId="77777777" w:rsidR="00B673E4" w:rsidRPr="002955D3" w:rsidRDefault="00B673E4" w:rsidP="00413A8D">
            <w:pPr>
              <w:rPr>
                <w:rFonts w:ascii="Arial" w:hAnsi="Arial" w:cs="Arial"/>
              </w:rPr>
            </w:pPr>
            <w:r w:rsidRPr="002955D3">
              <w:rPr>
                <w:rFonts w:ascii="Arial" w:hAnsi="Arial" w:cs="Arial"/>
              </w:rPr>
              <w:t>7.5±1.34</w:t>
            </w:r>
          </w:p>
        </w:tc>
        <w:tc>
          <w:tcPr>
            <w:tcW w:w="2284" w:type="dxa"/>
          </w:tcPr>
          <w:p w14:paraId="0758F0FD" w14:textId="77777777" w:rsidR="00B673E4" w:rsidRPr="002955D3" w:rsidRDefault="00B673E4" w:rsidP="00413A8D">
            <w:pPr>
              <w:rPr>
                <w:rFonts w:ascii="Arial" w:hAnsi="Arial" w:cs="Arial"/>
              </w:rPr>
            </w:pPr>
            <w:r w:rsidRPr="002955D3">
              <w:rPr>
                <w:rFonts w:ascii="Arial" w:hAnsi="Arial" w:cs="Arial"/>
              </w:rPr>
              <w:t>7.63±1.65</w:t>
            </w:r>
          </w:p>
        </w:tc>
        <w:tc>
          <w:tcPr>
            <w:tcW w:w="2140" w:type="dxa"/>
          </w:tcPr>
          <w:p w14:paraId="7A21C537" w14:textId="77777777" w:rsidR="00B673E4" w:rsidRPr="002955D3" w:rsidRDefault="00B673E4" w:rsidP="00413A8D">
            <w:pPr>
              <w:rPr>
                <w:rFonts w:ascii="Arial" w:hAnsi="Arial" w:cs="Arial"/>
              </w:rPr>
            </w:pPr>
            <w:r w:rsidRPr="002955D3">
              <w:rPr>
                <w:rFonts w:ascii="Arial" w:hAnsi="Arial" w:cs="Arial"/>
              </w:rPr>
              <w:t>0.7</w:t>
            </w:r>
          </w:p>
        </w:tc>
      </w:tr>
      <w:tr w:rsidR="00B673E4" w:rsidRPr="002955D3" w14:paraId="4A86DDA6" w14:textId="77777777" w:rsidTr="00413A8D">
        <w:tc>
          <w:tcPr>
            <w:tcW w:w="2309" w:type="dxa"/>
          </w:tcPr>
          <w:p w14:paraId="66E2D098" w14:textId="77777777" w:rsidR="00B673E4" w:rsidRPr="002955D3" w:rsidRDefault="00B673E4" w:rsidP="00413A8D">
            <w:pPr>
              <w:rPr>
                <w:rFonts w:ascii="Arial" w:hAnsi="Arial" w:cs="Arial"/>
              </w:rPr>
            </w:pPr>
            <w:r w:rsidRPr="002955D3">
              <w:rPr>
                <w:rFonts w:ascii="Arial" w:hAnsi="Arial" w:cs="Arial"/>
              </w:rPr>
              <w:t xml:space="preserve">Pre-eclampsia, </w:t>
            </w:r>
            <w:proofErr w:type="gramStart"/>
            <w:r w:rsidRPr="002955D3">
              <w:rPr>
                <w:rFonts w:ascii="Arial" w:hAnsi="Arial" w:cs="Arial"/>
              </w:rPr>
              <w:t>n(</w:t>
            </w:r>
            <w:proofErr w:type="gramEnd"/>
            <w:r w:rsidRPr="002955D3">
              <w:rPr>
                <w:rFonts w:ascii="Arial" w:hAnsi="Arial" w:cs="Arial"/>
              </w:rPr>
              <w:t>%)</w:t>
            </w:r>
          </w:p>
        </w:tc>
        <w:tc>
          <w:tcPr>
            <w:tcW w:w="2283" w:type="dxa"/>
          </w:tcPr>
          <w:p w14:paraId="26695061" w14:textId="77777777" w:rsidR="00B673E4" w:rsidRPr="002955D3" w:rsidRDefault="00B673E4" w:rsidP="00413A8D">
            <w:pPr>
              <w:rPr>
                <w:rFonts w:ascii="Arial" w:hAnsi="Arial" w:cs="Arial"/>
              </w:rPr>
            </w:pPr>
            <w:r w:rsidRPr="002955D3">
              <w:rPr>
                <w:rFonts w:ascii="Arial" w:hAnsi="Arial" w:cs="Arial"/>
              </w:rPr>
              <w:t>2(14)</w:t>
            </w:r>
          </w:p>
        </w:tc>
        <w:tc>
          <w:tcPr>
            <w:tcW w:w="2284" w:type="dxa"/>
          </w:tcPr>
          <w:p w14:paraId="313D6810" w14:textId="77777777" w:rsidR="00B673E4" w:rsidRPr="002955D3" w:rsidRDefault="00B673E4" w:rsidP="00413A8D">
            <w:pPr>
              <w:rPr>
                <w:rFonts w:ascii="Arial" w:hAnsi="Arial" w:cs="Arial"/>
              </w:rPr>
            </w:pPr>
            <w:r w:rsidRPr="002955D3">
              <w:rPr>
                <w:rFonts w:ascii="Arial" w:hAnsi="Arial" w:cs="Arial"/>
              </w:rPr>
              <w:t>4(12)</w:t>
            </w:r>
          </w:p>
        </w:tc>
        <w:tc>
          <w:tcPr>
            <w:tcW w:w="2140" w:type="dxa"/>
          </w:tcPr>
          <w:p w14:paraId="1BCE0AF3" w14:textId="77777777" w:rsidR="00B673E4" w:rsidRPr="002955D3" w:rsidRDefault="00B673E4" w:rsidP="00413A8D">
            <w:pPr>
              <w:rPr>
                <w:rFonts w:ascii="Arial" w:hAnsi="Arial" w:cs="Arial"/>
              </w:rPr>
            </w:pPr>
            <w:r w:rsidRPr="002955D3">
              <w:rPr>
                <w:rFonts w:ascii="Arial" w:hAnsi="Arial" w:cs="Arial"/>
              </w:rPr>
              <w:t>0.8</w:t>
            </w:r>
          </w:p>
        </w:tc>
      </w:tr>
      <w:tr w:rsidR="00B673E4" w:rsidRPr="002955D3" w14:paraId="7E7D7E59" w14:textId="77777777" w:rsidTr="00413A8D">
        <w:tc>
          <w:tcPr>
            <w:tcW w:w="2309" w:type="dxa"/>
          </w:tcPr>
          <w:p w14:paraId="32F20D2F" w14:textId="77777777" w:rsidR="00B673E4" w:rsidRPr="002955D3" w:rsidRDefault="00B673E4" w:rsidP="00413A8D">
            <w:pPr>
              <w:rPr>
                <w:rFonts w:ascii="Arial" w:hAnsi="Arial" w:cs="Arial"/>
              </w:rPr>
            </w:pPr>
            <w:r w:rsidRPr="002955D3">
              <w:rPr>
                <w:rFonts w:ascii="Arial" w:hAnsi="Arial" w:cs="Arial"/>
              </w:rPr>
              <w:t xml:space="preserve">Chorioamnionitis, </w:t>
            </w:r>
            <w:proofErr w:type="gramStart"/>
            <w:r w:rsidRPr="002955D3">
              <w:rPr>
                <w:rFonts w:ascii="Arial" w:hAnsi="Arial" w:cs="Arial"/>
              </w:rPr>
              <w:t>n(</w:t>
            </w:r>
            <w:proofErr w:type="gramEnd"/>
            <w:r w:rsidRPr="002955D3">
              <w:rPr>
                <w:rFonts w:ascii="Arial" w:hAnsi="Arial" w:cs="Arial"/>
              </w:rPr>
              <w:t>%)</w:t>
            </w:r>
          </w:p>
        </w:tc>
        <w:tc>
          <w:tcPr>
            <w:tcW w:w="2283" w:type="dxa"/>
          </w:tcPr>
          <w:p w14:paraId="0AF0A2CA" w14:textId="77777777" w:rsidR="00B673E4" w:rsidRPr="002955D3" w:rsidRDefault="00B673E4" w:rsidP="00413A8D">
            <w:pPr>
              <w:rPr>
                <w:rFonts w:ascii="Arial" w:hAnsi="Arial" w:cs="Arial"/>
              </w:rPr>
            </w:pPr>
            <w:r w:rsidRPr="002955D3">
              <w:rPr>
                <w:rFonts w:ascii="Arial" w:hAnsi="Arial" w:cs="Arial"/>
              </w:rPr>
              <w:t>4(29)</w:t>
            </w:r>
          </w:p>
        </w:tc>
        <w:tc>
          <w:tcPr>
            <w:tcW w:w="2284" w:type="dxa"/>
          </w:tcPr>
          <w:p w14:paraId="4CA1C346" w14:textId="77777777" w:rsidR="00B673E4" w:rsidRPr="002955D3" w:rsidRDefault="00B673E4" w:rsidP="00413A8D">
            <w:pPr>
              <w:rPr>
                <w:rFonts w:ascii="Arial" w:hAnsi="Arial" w:cs="Arial"/>
              </w:rPr>
            </w:pPr>
            <w:r w:rsidRPr="002955D3">
              <w:rPr>
                <w:rFonts w:ascii="Arial" w:hAnsi="Arial" w:cs="Arial"/>
              </w:rPr>
              <w:t>9(28)</w:t>
            </w:r>
          </w:p>
        </w:tc>
        <w:tc>
          <w:tcPr>
            <w:tcW w:w="2140" w:type="dxa"/>
          </w:tcPr>
          <w:p w14:paraId="74CD2E7E" w14:textId="77777777" w:rsidR="00B673E4" w:rsidRPr="002955D3" w:rsidRDefault="00B673E4" w:rsidP="00413A8D">
            <w:pPr>
              <w:rPr>
                <w:rFonts w:ascii="Arial" w:hAnsi="Arial" w:cs="Arial"/>
              </w:rPr>
            </w:pPr>
            <w:r w:rsidRPr="002955D3">
              <w:rPr>
                <w:rFonts w:ascii="Arial" w:hAnsi="Arial" w:cs="Arial"/>
              </w:rPr>
              <w:t>0.9</w:t>
            </w:r>
          </w:p>
        </w:tc>
      </w:tr>
      <w:tr w:rsidR="00B673E4" w:rsidRPr="002955D3" w14:paraId="4A790518" w14:textId="77777777" w:rsidTr="00413A8D">
        <w:tc>
          <w:tcPr>
            <w:tcW w:w="2309" w:type="dxa"/>
          </w:tcPr>
          <w:p w14:paraId="2F650FCC" w14:textId="77777777" w:rsidR="00B673E4" w:rsidRPr="002955D3" w:rsidRDefault="00B673E4" w:rsidP="00413A8D">
            <w:pPr>
              <w:rPr>
                <w:rFonts w:ascii="Arial" w:hAnsi="Arial" w:cs="Arial"/>
              </w:rPr>
            </w:pPr>
            <w:r w:rsidRPr="002955D3">
              <w:rPr>
                <w:rFonts w:ascii="Arial" w:hAnsi="Arial" w:cs="Arial"/>
              </w:rPr>
              <w:t xml:space="preserve">SGA, </w:t>
            </w:r>
            <w:proofErr w:type="gramStart"/>
            <w:r w:rsidRPr="002955D3">
              <w:rPr>
                <w:rFonts w:ascii="Arial" w:hAnsi="Arial" w:cs="Arial"/>
              </w:rPr>
              <w:t>n(</w:t>
            </w:r>
            <w:proofErr w:type="gramEnd"/>
            <w:r w:rsidRPr="002955D3">
              <w:rPr>
                <w:rFonts w:ascii="Arial" w:hAnsi="Arial" w:cs="Arial"/>
              </w:rPr>
              <w:t>%)</w:t>
            </w:r>
          </w:p>
        </w:tc>
        <w:tc>
          <w:tcPr>
            <w:tcW w:w="2283" w:type="dxa"/>
          </w:tcPr>
          <w:p w14:paraId="531BDB80" w14:textId="77777777" w:rsidR="00B673E4" w:rsidRPr="002955D3" w:rsidRDefault="00B673E4" w:rsidP="00413A8D">
            <w:pPr>
              <w:rPr>
                <w:rFonts w:ascii="Arial" w:hAnsi="Arial" w:cs="Arial"/>
              </w:rPr>
            </w:pPr>
            <w:r w:rsidRPr="002955D3">
              <w:rPr>
                <w:rFonts w:ascii="Arial" w:hAnsi="Arial" w:cs="Arial"/>
              </w:rPr>
              <w:t>1(7)</w:t>
            </w:r>
          </w:p>
        </w:tc>
        <w:tc>
          <w:tcPr>
            <w:tcW w:w="2284" w:type="dxa"/>
          </w:tcPr>
          <w:p w14:paraId="6EC0A7E5" w14:textId="77777777" w:rsidR="00B673E4" w:rsidRPr="002955D3" w:rsidRDefault="00B673E4" w:rsidP="00413A8D">
            <w:pPr>
              <w:rPr>
                <w:rFonts w:ascii="Arial" w:hAnsi="Arial" w:cs="Arial"/>
              </w:rPr>
            </w:pPr>
            <w:r w:rsidRPr="002955D3">
              <w:rPr>
                <w:rFonts w:ascii="Arial" w:hAnsi="Arial" w:cs="Arial"/>
              </w:rPr>
              <w:t>4(12)</w:t>
            </w:r>
          </w:p>
        </w:tc>
        <w:tc>
          <w:tcPr>
            <w:tcW w:w="2140" w:type="dxa"/>
          </w:tcPr>
          <w:p w14:paraId="6FF5F9B2" w14:textId="77777777" w:rsidR="00B673E4" w:rsidRPr="002955D3" w:rsidRDefault="00B673E4" w:rsidP="00413A8D">
            <w:pPr>
              <w:rPr>
                <w:rFonts w:ascii="Arial" w:hAnsi="Arial" w:cs="Arial"/>
              </w:rPr>
            </w:pPr>
            <w:r w:rsidRPr="002955D3">
              <w:rPr>
                <w:rFonts w:ascii="Arial" w:hAnsi="Arial" w:cs="Arial"/>
              </w:rPr>
              <w:t>0.5</w:t>
            </w:r>
          </w:p>
        </w:tc>
      </w:tr>
      <w:tr w:rsidR="00B673E4" w:rsidRPr="002955D3" w14:paraId="1482B2B3" w14:textId="77777777" w:rsidTr="00413A8D">
        <w:tc>
          <w:tcPr>
            <w:tcW w:w="2309" w:type="dxa"/>
          </w:tcPr>
          <w:p w14:paraId="1FC5450F" w14:textId="77777777" w:rsidR="00B673E4" w:rsidRPr="002955D3" w:rsidRDefault="00B673E4" w:rsidP="00413A8D">
            <w:pPr>
              <w:rPr>
                <w:rFonts w:ascii="Arial" w:hAnsi="Arial" w:cs="Arial"/>
              </w:rPr>
            </w:pPr>
            <w:r w:rsidRPr="002955D3">
              <w:rPr>
                <w:rFonts w:ascii="Arial" w:hAnsi="Arial" w:cs="Arial"/>
              </w:rPr>
              <w:t xml:space="preserve">Antenatal steroids, </w:t>
            </w:r>
            <w:proofErr w:type="gramStart"/>
            <w:r w:rsidRPr="002955D3">
              <w:rPr>
                <w:rFonts w:ascii="Arial" w:hAnsi="Arial" w:cs="Arial"/>
              </w:rPr>
              <w:t>n(</w:t>
            </w:r>
            <w:proofErr w:type="gramEnd"/>
            <w:r w:rsidRPr="002955D3">
              <w:rPr>
                <w:rFonts w:ascii="Arial" w:hAnsi="Arial" w:cs="Arial"/>
              </w:rPr>
              <w:t>%)</w:t>
            </w:r>
          </w:p>
        </w:tc>
        <w:tc>
          <w:tcPr>
            <w:tcW w:w="2283" w:type="dxa"/>
          </w:tcPr>
          <w:p w14:paraId="6DF71408" w14:textId="77777777" w:rsidR="00B673E4" w:rsidRPr="002955D3" w:rsidRDefault="00B673E4" w:rsidP="00413A8D">
            <w:pPr>
              <w:rPr>
                <w:rFonts w:ascii="Arial" w:hAnsi="Arial" w:cs="Arial"/>
              </w:rPr>
            </w:pPr>
            <w:r w:rsidRPr="002955D3">
              <w:rPr>
                <w:rFonts w:ascii="Arial" w:hAnsi="Arial" w:cs="Arial"/>
              </w:rPr>
              <w:t>9(64)</w:t>
            </w:r>
          </w:p>
        </w:tc>
        <w:tc>
          <w:tcPr>
            <w:tcW w:w="2284" w:type="dxa"/>
          </w:tcPr>
          <w:p w14:paraId="3AC870F7" w14:textId="77777777" w:rsidR="00B673E4" w:rsidRPr="002955D3" w:rsidRDefault="00B673E4" w:rsidP="00413A8D">
            <w:pPr>
              <w:rPr>
                <w:rFonts w:ascii="Arial" w:hAnsi="Arial" w:cs="Arial"/>
              </w:rPr>
            </w:pPr>
            <w:r w:rsidRPr="002955D3">
              <w:rPr>
                <w:rFonts w:ascii="Arial" w:hAnsi="Arial" w:cs="Arial"/>
              </w:rPr>
              <w:t>20(63)</w:t>
            </w:r>
          </w:p>
        </w:tc>
        <w:tc>
          <w:tcPr>
            <w:tcW w:w="2140" w:type="dxa"/>
          </w:tcPr>
          <w:p w14:paraId="36A28986" w14:textId="77777777" w:rsidR="00B673E4" w:rsidRPr="002955D3" w:rsidRDefault="00B673E4" w:rsidP="00413A8D">
            <w:pPr>
              <w:rPr>
                <w:rFonts w:ascii="Arial" w:hAnsi="Arial" w:cs="Arial"/>
              </w:rPr>
            </w:pPr>
            <w:r w:rsidRPr="002955D3">
              <w:rPr>
                <w:rFonts w:ascii="Arial" w:hAnsi="Arial" w:cs="Arial"/>
              </w:rPr>
              <w:t>0.9</w:t>
            </w:r>
          </w:p>
        </w:tc>
      </w:tr>
      <w:tr w:rsidR="00B673E4" w:rsidRPr="002955D3" w14:paraId="5FBFC6F1" w14:textId="77777777" w:rsidTr="00413A8D">
        <w:tc>
          <w:tcPr>
            <w:tcW w:w="2309" w:type="dxa"/>
          </w:tcPr>
          <w:p w14:paraId="750E2868" w14:textId="77777777" w:rsidR="00B673E4" w:rsidRPr="002955D3" w:rsidRDefault="00B673E4" w:rsidP="00413A8D">
            <w:pPr>
              <w:rPr>
                <w:rFonts w:ascii="Arial" w:hAnsi="Arial" w:cs="Arial"/>
              </w:rPr>
            </w:pPr>
            <w:r w:rsidRPr="002955D3">
              <w:rPr>
                <w:rFonts w:ascii="Arial" w:hAnsi="Arial" w:cs="Arial"/>
              </w:rPr>
              <w:t xml:space="preserve">Maternal sepsis, </w:t>
            </w:r>
            <w:proofErr w:type="gramStart"/>
            <w:r w:rsidRPr="002955D3">
              <w:rPr>
                <w:rFonts w:ascii="Arial" w:hAnsi="Arial" w:cs="Arial"/>
              </w:rPr>
              <w:t>n(</w:t>
            </w:r>
            <w:proofErr w:type="gramEnd"/>
            <w:r w:rsidRPr="002955D3">
              <w:rPr>
                <w:rFonts w:ascii="Arial" w:hAnsi="Arial" w:cs="Arial"/>
              </w:rPr>
              <w:t>%)</w:t>
            </w:r>
          </w:p>
        </w:tc>
        <w:tc>
          <w:tcPr>
            <w:tcW w:w="2283" w:type="dxa"/>
          </w:tcPr>
          <w:p w14:paraId="3B312481" w14:textId="77777777" w:rsidR="00B673E4" w:rsidRPr="002955D3" w:rsidRDefault="00B673E4" w:rsidP="00413A8D">
            <w:pPr>
              <w:rPr>
                <w:rFonts w:ascii="Arial" w:hAnsi="Arial" w:cs="Arial"/>
              </w:rPr>
            </w:pPr>
            <w:r w:rsidRPr="002955D3">
              <w:rPr>
                <w:rFonts w:ascii="Arial" w:hAnsi="Arial" w:cs="Arial"/>
              </w:rPr>
              <w:t>3(21)</w:t>
            </w:r>
          </w:p>
        </w:tc>
        <w:tc>
          <w:tcPr>
            <w:tcW w:w="2284" w:type="dxa"/>
          </w:tcPr>
          <w:p w14:paraId="6752331D" w14:textId="77777777" w:rsidR="00B673E4" w:rsidRPr="002955D3" w:rsidRDefault="00B673E4" w:rsidP="00413A8D">
            <w:pPr>
              <w:rPr>
                <w:rFonts w:ascii="Arial" w:hAnsi="Arial" w:cs="Arial"/>
              </w:rPr>
            </w:pPr>
            <w:r w:rsidRPr="002955D3">
              <w:rPr>
                <w:rFonts w:ascii="Arial" w:hAnsi="Arial" w:cs="Arial"/>
              </w:rPr>
              <w:t>2(6)</w:t>
            </w:r>
          </w:p>
        </w:tc>
        <w:tc>
          <w:tcPr>
            <w:tcW w:w="2140" w:type="dxa"/>
          </w:tcPr>
          <w:p w14:paraId="577FDFF6" w14:textId="77777777" w:rsidR="00B673E4" w:rsidRPr="002955D3" w:rsidRDefault="00B673E4" w:rsidP="00413A8D">
            <w:pPr>
              <w:rPr>
                <w:rFonts w:ascii="Arial" w:hAnsi="Arial" w:cs="Arial"/>
              </w:rPr>
            </w:pPr>
            <w:r w:rsidRPr="002955D3">
              <w:rPr>
                <w:rFonts w:ascii="Arial" w:hAnsi="Arial" w:cs="Arial"/>
              </w:rPr>
              <w:t>0.1</w:t>
            </w:r>
          </w:p>
        </w:tc>
      </w:tr>
      <w:tr w:rsidR="00B673E4" w:rsidRPr="002955D3" w14:paraId="6788B22A" w14:textId="77777777" w:rsidTr="00413A8D">
        <w:tc>
          <w:tcPr>
            <w:tcW w:w="2309" w:type="dxa"/>
          </w:tcPr>
          <w:p w14:paraId="5B3FFEF0" w14:textId="77777777" w:rsidR="00B673E4" w:rsidRPr="002955D3" w:rsidRDefault="00B673E4" w:rsidP="00413A8D">
            <w:pPr>
              <w:rPr>
                <w:rFonts w:ascii="Arial" w:hAnsi="Arial" w:cs="Arial"/>
              </w:rPr>
            </w:pPr>
            <w:r w:rsidRPr="002955D3">
              <w:rPr>
                <w:rFonts w:ascii="Arial" w:hAnsi="Arial" w:cs="Arial"/>
              </w:rPr>
              <w:t xml:space="preserve">Early onset sepsis, </w:t>
            </w:r>
            <w:proofErr w:type="gramStart"/>
            <w:r w:rsidRPr="002955D3">
              <w:rPr>
                <w:rFonts w:ascii="Arial" w:hAnsi="Arial" w:cs="Arial"/>
              </w:rPr>
              <w:t>n(</w:t>
            </w:r>
            <w:proofErr w:type="gramEnd"/>
            <w:r w:rsidRPr="002955D3">
              <w:rPr>
                <w:rFonts w:ascii="Arial" w:hAnsi="Arial" w:cs="Arial"/>
              </w:rPr>
              <w:t>%)</w:t>
            </w:r>
          </w:p>
        </w:tc>
        <w:tc>
          <w:tcPr>
            <w:tcW w:w="2283" w:type="dxa"/>
          </w:tcPr>
          <w:p w14:paraId="412432E6" w14:textId="77777777" w:rsidR="00B673E4" w:rsidRPr="002955D3" w:rsidRDefault="00B673E4" w:rsidP="00413A8D">
            <w:pPr>
              <w:rPr>
                <w:rFonts w:ascii="Arial" w:hAnsi="Arial" w:cs="Arial"/>
              </w:rPr>
            </w:pPr>
            <w:r w:rsidRPr="002955D3">
              <w:rPr>
                <w:rFonts w:ascii="Arial" w:hAnsi="Arial" w:cs="Arial"/>
              </w:rPr>
              <w:t>3(21)</w:t>
            </w:r>
          </w:p>
        </w:tc>
        <w:tc>
          <w:tcPr>
            <w:tcW w:w="2284" w:type="dxa"/>
          </w:tcPr>
          <w:p w14:paraId="24C1891C" w14:textId="77777777" w:rsidR="00B673E4" w:rsidRPr="002955D3" w:rsidRDefault="00B673E4" w:rsidP="00413A8D">
            <w:pPr>
              <w:rPr>
                <w:rFonts w:ascii="Arial" w:hAnsi="Arial" w:cs="Arial"/>
              </w:rPr>
            </w:pPr>
            <w:r w:rsidRPr="002955D3">
              <w:rPr>
                <w:rFonts w:ascii="Arial" w:hAnsi="Arial" w:cs="Arial"/>
              </w:rPr>
              <w:t>4(12)</w:t>
            </w:r>
          </w:p>
        </w:tc>
        <w:tc>
          <w:tcPr>
            <w:tcW w:w="2140" w:type="dxa"/>
          </w:tcPr>
          <w:p w14:paraId="2FB5ABB3" w14:textId="77777777" w:rsidR="00B673E4" w:rsidRPr="002955D3" w:rsidRDefault="00B673E4" w:rsidP="00413A8D">
            <w:pPr>
              <w:rPr>
                <w:rFonts w:ascii="Arial" w:hAnsi="Arial" w:cs="Arial"/>
              </w:rPr>
            </w:pPr>
            <w:r w:rsidRPr="002955D3">
              <w:rPr>
                <w:rFonts w:ascii="Arial" w:hAnsi="Arial" w:cs="Arial"/>
              </w:rPr>
              <w:t>0.4</w:t>
            </w:r>
          </w:p>
        </w:tc>
      </w:tr>
      <w:tr w:rsidR="00B673E4" w:rsidRPr="002955D3" w14:paraId="1E0A8CEB" w14:textId="77777777" w:rsidTr="00413A8D">
        <w:tc>
          <w:tcPr>
            <w:tcW w:w="2309" w:type="dxa"/>
          </w:tcPr>
          <w:p w14:paraId="0227E1AF" w14:textId="77777777" w:rsidR="00B673E4" w:rsidRPr="002955D3" w:rsidRDefault="00B673E4" w:rsidP="00413A8D">
            <w:pPr>
              <w:rPr>
                <w:rFonts w:ascii="Arial" w:hAnsi="Arial" w:cs="Arial"/>
              </w:rPr>
            </w:pPr>
            <w:r w:rsidRPr="002955D3">
              <w:rPr>
                <w:rFonts w:ascii="Arial" w:hAnsi="Arial" w:cs="Arial"/>
              </w:rPr>
              <w:t xml:space="preserve">Moderate to severe RDS, </w:t>
            </w:r>
            <w:proofErr w:type="gramStart"/>
            <w:r w:rsidRPr="002955D3">
              <w:rPr>
                <w:rFonts w:ascii="Arial" w:hAnsi="Arial" w:cs="Arial"/>
              </w:rPr>
              <w:t>n(</w:t>
            </w:r>
            <w:proofErr w:type="gramEnd"/>
            <w:r w:rsidRPr="002955D3">
              <w:rPr>
                <w:rFonts w:ascii="Arial" w:hAnsi="Arial" w:cs="Arial"/>
              </w:rPr>
              <w:t>%)</w:t>
            </w:r>
          </w:p>
        </w:tc>
        <w:tc>
          <w:tcPr>
            <w:tcW w:w="2283" w:type="dxa"/>
          </w:tcPr>
          <w:p w14:paraId="4F09A3AE" w14:textId="77777777" w:rsidR="00B673E4" w:rsidRPr="002955D3" w:rsidRDefault="00B673E4" w:rsidP="00413A8D">
            <w:pPr>
              <w:rPr>
                <w:rFonts w:ascii="Arial" w:hAnsi="Arial" w:cs="Arial"/>
              </w:rPr>
            </w:pPr>
            <w:r w:rsidRPr="002955D3">
              <w:rPr>
                <w:rFonts w:ascii="Arial" w:hAnsi="Arial" w:cs="Arial"/>
              </w:rPr>
              <w:t>8(57)</w:t>
            </w:r>
          </w:p>
        </w:tc>
        <w:tc>
          <w:tcPr>
            <w:tcW w:w="2284" w:type="dxa"/>
          </w:tcPr>
          <w:p w14:paraId="3FD93164" w14:textId="77777777" w:rsidR="00B673E4" w:rsidRPr="002955D3" w:rsidRDefault="00B673E4" w:rsidP="00413A8D">
            <w:pPr>
              <w:rPr>
                <w:rFonts w:ascii="Arial" w:hAnsi="Arial" w:cs="Arial"/>
              </w:rPr>
            </w:pPr>
            <w:r w:rsidRPr="002955D3">
              <w:rPr>
                <w:rFonts w:ascii="Arial" w:hAnsi="Arial" w:cs="Arial"/>
              </w:rPr>
              <w:t>11(34)</w:t>
            </w:r>
          </w:p>
        </w:tc>
        <w:tc>
          <w:tcPr>
            <w:tcW w:w="2140" w:type="dxa"/>
          </w:tcPr>
          <w:p w14:paraId="0A489862" w14:textId="77777777" w:rsidR="00B673E4" w:rsidRPr="002955D3" w:rsidRDefault="00B673E4" w:rsidP="00413A8D">
            <w:pPr>
              <w:rPr>
                <w:rFonts w:ascii="Arial" w:hAnsi="Arial" w:cs="Arial"/>
              </w:rPr>
            </w:pPr>
            <w:r w:rsidRPr="002955D3">
              <w:rPr>
                <w:rFonts w:ascii="Arial" w:hAnsi="Arial" w:cs="Arial"/>
              </w:rPr>
              <w:t>0.1</w:t>
            </w:r>
          </w:p>
        </w:tc>
      </w:tr>
      <w:tr w:rsidR="00B673E4" w:rsidRPr="002955D3" w14:paraId="7F2BB112" w14:textId="77777777" w:rsidTr="00413A8D">
        <w:tc>
          <w:tcPr>
            <w:tcW w:w="2309" w:type="dxa"/>
          </w:tcPr>
          <w:p w14:paraId="15CCD862" w14:textId="77777777" w:rsidR="00B673E4" w:rsidRPr="002955D3" w:rsidRDefault="00B673E4" w:rsidP="00413A8D">
            <w:pPr>
              <w:rPr>
                <w:rFonts w:ascii="Arial" w:hAnsi="Arial" w:cs="Arial"/>
              </w:rPr>
            </w:pPr>
            <w:r w:rsidRPr="002955D3">
              <w:rPr>
                <w:rFonts w:ascii="Arial" w:hAnsi="Arial" w:cs="Arial"/>
              </w:rPr>
              <w:t xml:space="preserve">Surfactant therapy, </w:t>
            </w:r>
            <w:proofErr w:type="gramStart"/>
            <w:r w:rsidRPr="002955D3">
              <w:rPr>
                <w:rFonts w:ascii="Arial" w:hAnsi="Arial" w:cs="Arial"/>
              </w:rPr>
              <w:t>n(</w:t>
            </w:r>
            <w:proofErr w:type="gramEnd"/>
            <w:r w:rsidRPr="002955D3">
              <w:rPr>
                <w:rFonts w:ascii="Arial" w:hAnsi="Arial" w:cs="Arial"/>
              </w:rPr>
              <w:t>%)</w:t>
            </w:r>
          </w:p>
        </w:tc>
        <w:tc>
          <w:tcPr>
            <w:tcW w:w="2283" w:type="dxa"/>
          </w:tcPr>
          <w:p w14:paraId="6E95E63D" w14:textId="77777777" w:rsidR="00B673E4" w:rsidRPr="002955D3" w:rsidRDefault="00B673E4" w:rsidP="00413A8D">
            <w:pPr>
              <w:rPr>
                <w:rFonts w:ascii="Arial" w:hAnsi="Arial" w:cs="Arial"/>
              </w:rPr>
            </w:pPr>
            <w:r w:rsidRPr="002955D3">
              <w:rPr>
                <w:rFonts w:ascii="Arial" w:hAnsi="Arial" w:cs="Arial"/>
              </w:rPr>
              <w:t>14(100)</w:t>
            </w:r>
          </w:p>
        </w:tc>
        <w:tc>
          <w:tcPr>
            <w:tcW w:w="2284" w:type="dxa"/>
          </w:tcPr>
          <w:p w14:paraId="07AEACAC" w14:textId="77777777" w:rsidR="00B673E4" w:rsidRPr="002955D3" w:rsidRDefault="00B673E4" w:rsidP="00413A8D">
            <w:pPr>
              <w:rPr>
                <w:rFonts w:ascii="Arial" w:hAnsi="Arial" w:cs="Arial"/>
              </w:rPr>
            </w:pPr>
            <w:r w:rsidRPr="002955D3">
              <w:rPr>
                <w:rFonts w:ascii="Arial" w:hAnsi="Arial" w:cs="Arial"/>
              </w:rPr>
              <w:t>31(97)</w:t>
            </w:r>
          </w:p>
        </w:tc>
        <w:tc>
          <w:tcPr>
            <w:tcW w:w="2140" w:type="dxa"/>
          </w:tcPr>
          <w:p w14:paraId="5322F55C" w14:textId="77777777" w:rsidR="00B673E4" w:rsidRPr="002955D3" w:rsidRDefault="00B673E4" w:rsidP="00413A8D">
            <w:pPr>
              <w:rPr>
                <w:rFonts w:ascii="Arial" w:hAnsi="Arial" w:cs="Arial"/>
              </w:rPr>
            </w:pPr>
            <w:r w:rsidRPr="002955D3">
              <w:rPr>
                <w:rFonts w:ascii="Arial" w:hAnsi="Arial" w:cs="Arial"/>
              </w:rPr>
              <w:t>0.5</w:t>
            </w:r>
          </w:p>
        </w:tc>
      </w:tr>
      <w:tr w:rsidR="00B673E4" w:rsidRPr="002955D3" w14:paraId="2D893C3D" w14:textId="77777777" w:rsidTr="00413A8D">
        <w:tc>
          <w:tcPr>
            <w:tcW w:w="2309" w:type="dxa"/>
          </w:tcPr>
          <w:p w14:paraId="4A34F9E6" w14:textId="77777777" w:rsidR="00B673E4" w:rsidRPr="002955D3" w:rsidRDefault="00B673E4" w:rsidP="00413A8D">
            <w:pPr>
              <w:rPr>
                <w:rFonts w:ascii="Arial" w:hAnsi="Arial" w:cs="Arial"/>
              </w:rPr>
            </w:pPr>
            <w:r w:rsidRPr="002955D3">
              <w:rPr>
                <w:rFonts w:ascii="Arial" w:hAnsi="Arial" w:cs="Arial"/>
              </w:rPr>
              <w:t xml:space="preserve">Inotropes use, </w:t>
            </w:r>
            <w:proofErr w:type="gramStart"/>
            <w:r w:rsidRPr="002955D3">
              <w:rPr>
                <w:rFonts w:ascii="Arial" w:hAnsi="Arial" w:cs="Arial"/>
              </w:rPr>
              <w:t>n(</w:t>
            </w:r>
            <w:proofErr w:type="gramEnd"/>
            <w:r w:rsidRPr="002955D3">
              <w:rPr>
                <w:rFonts w:ascii="Arial" w:hAnsi="Arial" w:cs="Arial"/>
              </w:rPr>
              <w:t>%)</w:t>
            </w:r>
          </w:p>
        </w:tc>
        <w:tc>
          <w:tcPr>
            <w:tcW w:w="2283" w:type="dxa"/>
          </w:tcPr>
          <w:p w14:paraId="6D63B7DB" w14:textId="77777777" w:rsidR="00B673E4" w:rsidRPr="002955D3" w:rsidRDefault="00B673E4" w:rsidP="00413A8D">
            <w:pPr>
              <w:rPr>
                <w:rFonts w:ascii="Arial" w:hAnsi="Arial" w:cs="Arial"/>
              </w:rPr>
            </w:pPr>
            <w:r w:rsidRPr="002955D3">
              <w:rPr>
                <w:rFonts w:ascii="Arial" w:hAnsi="Arial" w:cs="Arial"/>
              </w:rPr>
              <w:t>2(14)</w:t>
            </w:r>
          </w:p>
        </w:tc>
        <w:tc>
          <w:tcPr>
            <w:tcW w:w="2284" w:type="dxa"/>
          </w:tcPr>
          <w:p w14:paraId="25913B74" w14:textId="77777777" w:rsidR="00B673E4" w:rsidRPr="002955D3" w:rsidRDefault="00B673E4" w:rsidP="00413A8D">
            <w:pPr>
              <w:rPr>
                <w:rFonts w:ascii="Arial" w:hAnsi="Arial" w:cs="Arial"/>
              </w:rPr>
            </w:pPr>
            <w:r w:rsidRPr="002955D3">
              <w:rPr>
                <w:rFonts w:ascii="Arial" w:hAnsi="Arial" w:cs="Arial"/>
              </w:rPr>
              <w:t>6(19)</w:t>
            </w:r>
          </w:p>
        </w:tc>
        <w:tc>
          <w:tcPr>
            <w:tcW w:w="2140" w:type="dxa"/>
          </w:tcPr>
          <w:p w14:paraId="4FA2A463" w14:textId="77777777" w:rsidR="00B673E4" w:rsidRPr="002955D3" w:rsidRDefault="00B673E4" w:rsidP="00413A8D">
            <w:pPr>
              <w:rPr>
                <w:rFonts w:ascii="Arial" w:hAnsi="Arial" w:cs="Arial"/>
              </w:rPr>
            </w:pPr>
            <w:r w:rsidRPr="002955D3">
              <w:rPr>
                <w:rFonts w:ascii="Arial" w:hAnsi="Arial" w:cs="Arial"/>
              </w:rPr>
              <w:t>0.7</w:t>
            </w:r>
          </w:p>
        </w:tc>
      </w:tr>
      <w:tr w:rsidR="00B673E4" w:rsidRPr="002955D3" w14:paraId="26E69D2B" w14:textId="77777777" w:rsidTr="00413A8D">
        <w:tc>
          <w:tcPr>
            <w:tcW w:w="2309" w:type="dxa"/>
          </w:tcPr>
          <w:p w14:paraId="04D8B493" w14:textId="77777777" w:rsidR="00B673E4" w:rsidRPr="002955D3" w:rsidRDefault="00B673E4" w:rsidP="00413A8D">
            <w:pPr>
              <w:rPr>
                <w:rFonts w:ascii="Arial" w:hAnsi="Arial" w:cs="Arial"/>
              </w:rPr>
            </w:pPr>
            <w:r w:rsidRPr="002955D3">
              <w:rPr>
                <w:rFonts w:ascii="Arial" w:hAnsi="Arial" w:cs="Arial"/>
              </w:rPr>
              <w:t xml:space="preserve">LA/LV dilatation, </w:t>
            </w:r>
            <w:proofErr w:type="gramStart"/>
            <w:r w:rsidRPr="002955D3">
              <w:rPr>
                <w:rFonts w:ascii="Arial" w:hAnsi="Arial" w:cs="Arial"/>
              </w:rPr>
              <w:t>n(</w:t>
            </w:r>
            <w:proofErr w:type="gramEnd"/>
            <w:r w:rsidRPr="002955D3">
              <w:rPr>
                <w:rFonts w:ascii="Arial" w:hAnsi="Arial" w:cs="Arial"/>
              </w:rPr>
              <w:t>%)</w:t>
            </w:r>
          </w:p>
        </w:tc>
        <w:tc>
          <w:tcPr>
            <w:tcW w:w="2283" w:type="dxa"/>
          </w:tcPr>
          <w:p w14:paraId="089418AA" w14:textId="77777777" w:rsidR="00B673E4" w:rsidRPr="002955D3" w:rsidRDefault="00B673E4" w:rsidP="00413A8D">
            <w:pPr>
              <w:rPr>
                <w:rFonts w:ascii="Arial" w:hAnsi="Arial" w:cs="Arial"/>
              </w:rPr>
            </w:pPr>
            <w:r w:rsidRPr="002955D3">
              <w:rPr>
                <w:rFonts w:ascii="Arial" w:hAnsi="Arial" w:cs="Arial"/>
              </w:rPr>
              <w:t>12(86)</w:t>
            </w:r>
          </w:p>
        </w:tc>
        <w:tc>
          <w:tcPr>
            <w:tcW w:w="2284" w:type="dxa"/>
          </w:tcPr>
          <w:p w14:paraId="3482DA25" w14:textId="77777777" w:rsidR="00B673E4" w:rsidRPr="002955D3" w:rsidRDefault="00B673E4" w:rsidP="00413A8D">
            <w:pPr>
              <w:rPr>
                <w:rFonts w:ascii="Arial" w:hAnsi="Arial" w:cs="Arial"/>
              </w:rPr>
            </w:pPr>
            <w:r w:rsidRPr="002955D3">
              <w:rPr>
                <w:rFonts w:ascii="Arial" w:hAnsi="Arial" w:cs="Arial"/>
              </w:rPr>
              <w:t>27(84)</w:t>
            </w:r>
          </w:p>
        </w:tc>
        <w:tc>
          <w:tcPr>
            <w:tcW w:w="2140" w:type="dxa"/>
          </w:tcPr>
          <w:p w14:paraId="1AF7939D" w14:textId="77777777" w:rsidR="00B673E4" w:rsidRPr="002955D3" w:rsidRDefault="00B673E4" w:rsidP="00413A8D">
            <w:pPr>
              <w:rPr>
                <w:rFonts w:ascii="Arial" w:hAnsi="Arial" w:cs="Arial"/>
              </w:rPr>
            </w:pPr>
            <w:r w:rsidRPr="002955D3">
              <w:rPr>
                <w:rFonts w:ascii="Arial" w:hAnsi="Arial" w:cs="Arial"/>
              </w:rPr>
              <w:t>0.9</w:t>
            </w:r>
          </w:p>
        </w:tc>
      </w:tr>
      <w:tr w:rsidR="00B673E4" w:rsidRPr="002955D3" w14:paraId="50A0F099" w14:textId="77777777" w:rsidTr="00413A8D">
        <w:tc>
          <w:tcPr>
            <w:tcW w:w="2309" w:type="dxa"/>
          </w:tcPr>
          <w:p w14:paraId="782837C2" w14:textId="77777777" w:rsidR="00B673E4" w:rsidRPr="002955D3" w:rsidRDefault="00B673E4" w:rsidP="00413A8D">
            <w:pPr>
              <w:rPr>
                <w:rFonts w:ascii="Arial" w:hAnsi="Arial" w:cs="Arial"/>
              </w:rPr>
            </w:pPr>
            <w:r w:rsidRPr="002955D3">
              <w:rPr>
                <w:rFonts w:ascii="Arial" w:hAnsi="Arial" w:cs="Arial"/>
              </w:rPr>
              <w:t xml:space="preserve">PDA Ligated, </w:t>
            </w:r>
            <w:proofErr w:type="gramStart"/>
            <w:r w:rsidRPr="002955D3">
              <w:rPr>
                <w:rFonts w:ascii="Arial" w:hAnsi="Arial" w:cs="Arial"/>
              </w:rPr>
              <w:t>n(</w:t>
            </w:r>
            <w:proofErr w:type="gramEnd"/>
            <w:r w:rsidRPr="002955D3">
              <w:rPr>
                <w:rFonts w:ascii="Arial" w:hAnsi="Arial" w:cs="Arial"/>
              </w:rPr>
              <w:t>%)</w:t>
            </w:r>
          </w:p>
        </w:tc>
        <w:tc>
          <w:tcPr>
            <w:tcW w:w="2283" w:type="dxa"/>
          </w:tcPr>
          <w:p w14:paraId="39F01612" w14:textId="77777777" w:rsidR="00B673E4" w:rsidRPr="002955D3" w:rsidRDefault="00B673E4" w:rsidP="00413A8D">
            <w:pPr>
              <w:rPr>
                <w:rFonts w:ascii="Arial" w:hAnsi="Arial" w:cs="Arial"/>
              </w:rPr>
            </w:pPr>
            <w:r w:rsidRPr="002955D3">
              <w:rPr>
                <w:rFonts w:ascii="Arial" w:hAnsi="Arial" w:cs="Arial"/>
              </w:rPr>
              <w:t>0(0)</w:t>
            </w:r>
          </w:p>
        </w:tc>
        <w:tc>
          <w:tcPr>
            <w:tcW w:w="2284" w:type="dxa"/>
          </w:tcPr>
          <w:p w14:paraId="4A8B8F79" w14:textId="77777777" w:rsidR="00B673E4" w:rsidRPr="002955D3" w:rsidRDefault="00B673E4" w:rsidP="00413A8D">
            <w:pPr>
              <w:rPr>
                <w:rFonts w:ascii="Arial" w:hAnsi="Arial" w:cs="Arial"/>
              </w:rPr>
            </w:pPr>
            <w:r w:rsidRPr="002955D3">
              <w:rPr>
                <w:rFonts w:ascii="Arial" w:hAnsi="Arial" w:cs="Arial"/>
              </w:rPr>
              <w:t>15(47)</w:t>
            </w:r>
          </w:p>
        </w:tc>
        <w:tc>
          <w:tcPr>
            <w:tcW w:w="2140" w:type="dxa"/>
          </w:tcPr>
          <w:p w14:paraId="670BF41D" w14:textId="77777777" w:rsidR="00B673E4" w:rsidRPr="002955D3" w:rsidRDefault="00B673E4" w:rsidP="00413A8D">
            <w:pPr>
              <w:rPr>
                <w:rFonts w:ascii="Arial" w:hAnsi="Arial" w:cs="Arial"/>
              </w:rPr>
            </w:pPr>
            <w:r w:rsidRPr="002955D3">
              <w:rPr>
                <w:rFonts w:ascii="Arial" w:hAnsi="Arial" w:cs="Arial"/>
              </w:rPr>
              <w:t>0.002 (95 CI 0.39-0.75)</w:t>
            </w:r>
          </w:p>
        </w:tc>
      </w:tr>
      <w:tr w:rsidR="00B673E4" w:rsidRPr="002955D3" w14:paraId="30C624E0" w14:textId="77777777" w:rsidTr="00413A8D">
        <w:tc>
          <w:tcPr>
            <w:tcW w:w="2309" w:type="dxa"/>
          </w:tcPr>
          <w:p w14:paraId="493B0548" w14:textId="77777777" w:rsidR="00B673E4" w:rsidRPr="002955D3" w:rsidRDefault="00B673E4" w:rsidP="00413A8D">
            <w:pPr>
              <w:rPr>
                <w:rFonts w:ascii="Arial" w:hAnsi="Arial" w:cs="Arial"/>
              </w:rPr>
            </w:pPr>
            <w:r w:rsidRPr="002955D3">
              <w:rPr>
                <w:rFonts w:ascii="Arial" w:hAnsi="Arial" w:cs="Arial"/>
              </w:rPr>
              <w:t xml:space="preserve">Clinical signs, </w:t>
            </w:r>
            <w:proofErr w:type="gramStart"/>
            <w:r w:rsidRPr="002955D3">
              <w:rPr>
                <w:rFonts w:ascii="Arial" w:hAnsi="Arial" w:cs="Arial"/>
              </w:rPr>
              <w:t>n(</w:t>
            </w:r>
            <w:proofErr w:type="gramEnd"/>
            <w:r w:rsidRPr="002955D3">
              <w:rPr>
                <w:rFonts w:ascii="Arial" w:hAnsi="Arial" w:cs="Arial"/>
              </w:rPr>
              <w:t>%)</w:t>
            </w:r>
          </w:p>
        </w:tc>
        <w:tc>
          <w:tcPr>
            <w:tcW w:w="2283" w:type="dxa"/>
          </w:tcPr>
          <w:p w14:paraId="784683FA" w14:textId="77777777" w:rsidR="00B673E4" w:rsidRPr="002955D3" w:rsidRDefault="00B673E4" w:rsidP="00413A8D">
            <w:pPr>
              <w:rPr>
                <w:rFonts w:ascii="Arial" w:hAnsi="Arial" w:cs="Arial"/>
              </w:rPr>
            </w:pPr>
            <w:r w:rsidRPr="002955D3">
              <w:rPr>
                <w:rFonts w:ascii="Arial" w:hAnsi="Arial" w:cs="Arial"/>
              </w:rPr>
              <w:t>10(71)</w:t>
            </w:r>
          </w:p>
        </w:tc>
        <w:tc>
          <w:tcPr>
            <w:tcW w:w="2284" w:type="dxa"/>
          </w:tcPr>
          <w:p w14:paraId="44421272" w14:textId="77777777" w:rsidR="00B673E4" w:rsidRPr="002955D3" w:rsidRDefault="00B673E4" w:rsidP="00413A8D">
            <w:pPr>
              <w:rPr>
                <w:rFonts w:ascii="Arial" w:hAnsi="Arial" w:cs="Arial"/>
              </w:rPr>
            </w:pPr>
            <w:r w:rsidRPr="002955D3">
              <w:rPr>
                <w:rFonts w:ascii="Arial" w:hAnsi="Arial" w:cs="Arial"/>
              </w:rPr>
              <w:t>18(56)</w:t>
            </w:r>
          </w:p>
        </w:tc>
        <w:tc>
          <w:tcPr>
            <w:tcW w:w="2140" w:type="dxa"/>
          </w:tcPr>
          <w:p w14:paraId="35CA665F" w14:textId="77777777" w:rsidR="00B673E4" w:rsidRPr="002955D3" w:rsidRDefault="00B673E4" w:rsidP="00413A8D">
            <w:pPr>
              <w:rPr>
                <w:rFonts w:ascii="Arial" w:hAnsi="Arial" w:cs="Arial"/>
              </w:rPr>
            </w:pPr>
            <w:r w:rsidRPr="002955D3">
              <w:rPr>
                <w:rFonts w:ascii="Arial" w:hAnsi="Arial" w:cs="Arial"/>
              </w:rPr>
              <w:t>0.3</w:t>
            </w:r>
          </w:p>
        </w:tc>
      </w:tr>
      <w:tr w:rsidR="00B673E4" w:rsidRPr="002955D3" w14:paraId="117588AC" w14:textId="77777777" w:rsidTr="00413A8D">
        <w:tc>
          <w:tcPr>
            <w:tcW w:w="2309" w:type="dxa"/>
          </w:tcPr>
          <w:p w14:paraId="3C818176" w14:textId="77777777" w:rsidR="00B673E4" w:rsidRPr="002955D3" w:rsidRDefault="00B673E4" w:rsidP="00413A8D">
            <w:pPr>
              <w:rPr>
                <w:rFonts w:ascii="Arial" w:hAnsi="Arial" w:cs="Arial"/>
              </w:rPr>
            </w:pPr>
            <w:bookmarkStart w:id="8" w:name="_Hlk198715615"/>
            <w:r w:rsidRPr="002955D3">
              <w:rPr>
                <w:rFonts w:ascii="Arial" w:hAnsi="Arial" w:cs="Arial"/>
              </w:rPr>
              <w:t xml:space="preserve">SBP, </w:t>
            </w:r>
            <w:proofErr w:type="spellStart"/>
            <w:r w:rsidRPr="002955D3">
              <w:rPr>
                <w:rFonts w:ascii="Arial" w:hAnsi="Arial" w:cs="Arial"/>
              </w:rPr>
              <w:t>mean±</w:t>
            </w:r>
            <w:proofErr w:type="gramStart"/>
            <w:r w:rsidRPr="002955D3">
              <w:rPr>
                <w:rFonts w:ascii="Arial" w:hAnsi="Arial" w:cs="Arial"/>
              </w:rPr>
              <w:t>SD,mmHg</w:t>
            </w:r>
            <w:proofErr w:type="spellEnd"/>
            <w:proofErr w:type="gramEnd"/>
          </w:p>
        </w:tc>
        <w:tc>
          <w:tcPr>
            <w:tcW w:w="2283" w:type="dxa"/>
          </w:tcPr>
          <w:p w14:paraId="4F506EC6" w14:textId="77777777" w:rsidR="00B673E4" w:rsidRPr="002955D3" w:rsidRDefault="00B673E4" w:rsidP="00413A8D">
            <w:pPr>
              <w:rPr>
                <w:rFonts w:ascii="Arial" w:hAnsi="Arial" w:cs="Arial"/>
              </w:rPr>
            </w:pPr>
            <w:r w:rsidRPr="002955D3">
              <w:rPr>
                <w:rFonts w:ascii="Arial" w:hAnsi="Arial" w:cs="Arial"/>
              </w:rPr>
              <w:t>54.50±10.59</w:t>
            </w:r>
          </w:p>
        </w:tc>
        <w:tc>
          <w:tcPr>
            <w:tcW w:w="2284" w:type="dxa"/>
          </w:tcPr>
          <w:p w14:paraId="5BB672C7" w14:textId="77777777" w:rsidR="00B673E4" w:rsidRPr="002955D3" w:rsidRDefault="00B673E4" w:rsidP="00413A8D">
            <w:pPr>
              <w:rPr>
                <w:rFonts w:ascii="Arial" w:hAnsi="Arial" w:cs="Arial"/>
              </w:rPr>
            </w:pPr>
            <w:r w:rsidRPr="002955D3">
              <w:rPr>
                <w:rFonts w:ascii="Arial" w:hAnsi="Arial" w:cs="Arial"/>
              </w:rPr>
              <w:t>49.28±6.17</w:t>
            </w:r>
          </w:p>
        </w:tc>
        <w:tc>
          <w:tcPr>
            <w:tcW w:w="2140" w:type="dxa"/>
          </w:tcPr>
          <w:p w14:paraId="015E15C3" w14:textId="77777777" w:rsidR="00B673E4" w:rsidRPr="002955D3" w:rsidRDefault="00B673E4" w:rsidP="00413A8D">
            <w:pPr>
              <w:rPr>
                <w:rFonts w:ascii="Arial" w:hAnsi="Arial" w:cs="Arial"/>
              </w:rPr>
            </w:pPr>
            <w:r w:rsidRPr="002955D3">
              <w:rPr>
                <w:rFonts w:ascii="Arial" w:hAnsi="Arial" w:cs="Arial"/>
              </w:rPr>
              <w:t>0.04</w:t>
            </w:r>
          </w:p>
        </w:tc>
      </w:tr>
      <w:tr w:rsidR="00B673E4" w:rsidRPr="002955D3" w14:paraId="61A65CF0" w14:textId="77777777" w:rsidTr="00413A8D">
        <w:tc>
          <w:tcPr>
            <w:tcW w:w="2309" w:type="dxa"/>
          </w:tcPr>
          <w:p w14:paraId="6508F61D" w14:textId="77777777" w:rsidR="00B673E4" w:rsidRPr="002955D3" w:rsidRDefault="00B673E4" w:rsidP="00413A8D">
            <w:pPr>
              <w:rPr>
                <w:rFonts w:ascii="Arial" w:hAnsi="Arial" w:cs="Arial"/>
              </w:rPr>
            </w:pPr>
            <w:bookmarkStart w:id="9" w:name="_Hlk198715690"/>
            <w:bookmarkEnd w:id="8"/>
            <w:r w:rsidRPr="002955D3">
              <w:rPr>
                <w:rFonts w:ascii="Arial" w:hAnsi="Arial" w:cs="Arial"/>
              </w:rPr>
              <w:t xml:space="preserve">DBP, </w:t>
            </w:r>
            <w:proofErr w:type="spellStart"/>
            <w:r w:rsidRPr="002955D3">
              <w:rPr>
                <w:rFonts w:ascii="Arial" w:hAnsi="Arial" w:cs="Arial"/>
              </w:rPr>
              <w:t>mean±</w:t>
            </w:r>
            <w:proofErr w:type="gramStart"/>
            <w:r w:rsidRPr="002955D3">
              <w:rPr>
                <w:rFonts w:ascii="Arial" w:hAnsi="Arial" w:cs="Arial"/>
              </w:rPr>
              <w:t>SD,mmHg</w:t>
            </w:r>
            <w:proofErr w:type="spellEnd"/>
            <w:proofErr w:type="gramEnd"/>
          </w:p>
        </w:tc>
        <w:tc>
          <w:tcPr>
            <w:tcW w:w="2283" w:type="dxa"/>
          </w:tcPr>
          <w:p w14:paraId="23D6B4C1" w14:textId="77777777" w:rsidR="00B673E4" w:rsidRPr="002955D3" w:rsidRDefault="00B673E4" w:rsidP="00413A8D">
            <w:pPr>
              <w:rPr>
                <w:rFonts w:ascii="Arial" w:hAnsi="Arial" w:cs="Arial"/>
              </w:rPr>
            </w:pPr>
            <w:r w:rsidRPr="002955D3">
              <w:rPr>
                <w:rFonts w:ascii="Arial" w:hAnsi="Arial" w:cs="Arial"/>
              </w:rPr>
              <w:t>30.43±6.82</w:t>
            </w:r>
          </w:p>
        </w:tc>
        <w:tc>
          <w:tcPr>
            <w:tcW w:w="2284" w:type="dxa"/>
          </w:tcPr>
          <w:p w14:paraId="7EE115CB" w14:textId="77777777" w:rsidR="00B673E4" w:rsidRPr="002955D3" w:rsidRDefault="00B673E4" w:rsidP="00413A8D">
            <w:pPr>
              <w:rPr>
                <w:rFonts w:ascii="Arial" w:hAnsi="Arial" w:cs="Arial"/>
              </w:rPr>
            </w:pPr>
            <w:r w:rsidRPr="002955D3">
              <w:rPr>
                <w:rFonts w:ascii="Arial" w:hAnsi="Arial" w:cs="Arial"/>
              </w:rPr>
              <w:t>27.28±6.92</w:t>
            </w:r>
          </w:p>
        </w:tc>
        <w:tc>
          <w:tcPr>
            <w:tcW w:w="2140" w:type="dxa"/>
          </w:tcPr>
          <w:p w14:paraId="1C0E0A1B" w14:textId="77777777" w:rsidR="00B673E4" w:rsidRPr="002955D3" w:rsidRDefault="00B673E4" w:rsidP="00413A8D">
            <w:pPr>
              <w:rPr>
                <w:rFonts w:ascii="Arial" w:hAnsi="Arial" w:cs="Arial"/>
              </w:rPr>
            </w:pPr>
            <w:r w:rsidRPr="002955D3">
              <w:rPr>
                <w:rFonts w:ascii="Arial" w:hAnsi="Arial" w:cs="Arial"/>
              </w:rPr>
              <w:t>0.1</w:t>
            </w:r>
          </w:p>
        </w:tc>
      </w:tr>
      <w:tr w:rsidR="00B673E4" w:rsidRPr="002955D3" w14:paraId="35487904" w14:textId="77777777" w:rsidTr="00413A8D">
        <w:tc>
          <w:tcPr>
            <w:tcW w:w="2309" w:type="dxa"/>
          </w:tcPr>
          <w:p w14:paraId="464846B1" w14:textId="77777777" w:rsidR="00B673E4" w:rsidRPr="002955D3" w:rsidRDefault="00B673E4" w:rsidP="00413A8D">
            <w:pPr>
              <w:rPr>
                <w:rFonts w:ascii="Arial" w:hAnsi="Arial" w:cs="Arial"/>
              </w:rPr>
            </w:pPr>
            <w:bookmarkStart w:id="10" w:name="_Hlk198715747"/>
            <w:bookmarkEnd w:id="9"/>
            <w:r w:rsidRPr="002955D3">
              <w:rPr>
                <w:rFonts w:ascii="Arial" w:hAnsi="Arial" w:cs="Arial"/>
              </w:rPr>
              <w:t xml:space="preserve">MBP, </w:t>
            </w:r>
            <w:proofErr w:type="spellStart"/>
            <w:r w:rsidRPr="002955D3">
              <w:rPr>
                <w:rFonts w:ascii="Arial" w:hAnsi="Arial" w:cs="Arial"/>
              </w:rPr>
              <w:t>mean±</w:t>
            </w:r>
            <w:proofErr w:type="gramStart"/>
            <w:r w:rsidRPr="002955D3">
              <w:rPr>
                <w:rFonts w:ascii="Arial" w:hAnsi="Arial" w:cs="Arial"/>
              </w:rPr>
              <w:t>SD,mmHg</w:t>
            </w:r>
            <w:proofErr w:type="spellEnd"/>
            <w:proofErr w:type="gramEnd"/>
          </w:p>
        </w:tc>
        <w:tc>
          <w:tcPr>
            <w:tcW w:w="2283" w:type="dxa"/>
          </w:tcPr>
          <w:p w14:paraId="5DCCD688" w14:textId="77777777" w:rsidR="00B673E4" w:rsidRPr="002955D3" w:rsidRDefault="00B673E4" w:rsidP="00413A8D">
            <w:pPr>
              <w:rPr>
                <w:rFonts w:ascii="Arial" w:hAnsi="Arial" w:cs="Arial"/>
              </w:rPr>
            </w:pPr>
            <w:r w:rsidRPr="002955D3">
              <w:rPr>
                <w:rFonts w:ascii="Arial" w:hAnsi="Arial" w:cs="Arial"/>
              </w:rPr>
              <w:t>37.71±6.87</w:t>
            </w:r>
          </w:p>
        </w:tc>
        <w:tc>
          <w:tcPr>
            <w:tcW w:w="2284" w:type="dxa"/>
          </w:tcPr>
          <w:p w14:paraId="164EFE45" w14:textId="77777777" w:rsidR="00B673E4" w:rsidRPr="002955D3" w:rsidRDefault="00B673E4" w:rsidP="00413A8D">
            <w:pPr>
              <w:rPr>
                <w:rFonts w:ascii="Arial" w:hAnsi="Arial" w:cs="Arial"/>
              </w:rPr>
            </w:pPr>
            <w:r w:rsidRPr="002955D3">
              <w:rPr>
                <w:rFonts w:ascii="Arial" w:hAnsi="Arial" w:cs="Arial"/>
              </w:rPr>
              <w:t>32.19±6.67</w:t>
            </w:r>
          </w:p>
        </w:tc>
        <w:tc>
          <w:tcPr>
            <w:tcW w:w="2140" w:type="dxa"/>
          </w:tcPr>
          <w:p w14:paraId="6F7D4EE4" w14:textId="77777777" w:rsidR="00B673E4" w:rsidRPr="002955D3" w:rsidRDefault="00B673E4" w:rsidP="00413A8D">
            <w:pPr>
              <w:rPr>
                <w:rFonts w:ascii="Arial" w:hAnsi="Arial" w:cs="Arial"/>
              </w:rPr>
            </w:pPr>
            <w:r w:rsidRPr="002955D3">
              <w:rPr>
                <w:rFonts w:ascii="Arial" w:hAnsi="Arial" w:cs="Arial"/>
              </w:rPr>
              <w:t>0.01</w:t>
            </w:r>
          </w:p>
        </w:tc>
      </w:tr>
      <w:bookmarkEnd w:id="10"/>
      <w:tr w:rsidR="00B673E4" w:rsidRPr="002955D3" w14:paraId="68EF526B" w14:textId="77777777" w:rsidTr="00413A8D">
        <w:tc>
          <w:tcPr>
            <w:tcW w:w="2309" w:type="dxa"/>
          </w:tcPr>
          <w:p w14:paraId="38574F6B" w14:textId="77777777" w:rsidR="00B673E4" w:rsidRPr="002955D3" w:rsidRDefault="00B673E4" w:rsidP="00413A8D">
            <w:pPr>
              <w:rPr>
                <w:rFonts w:ascii="Arial" w:hAnsi="Arial" w:cs="Arial"/>
              </w:rPr>
            </w:pPr>
            <w:r w:rsidRPr="002955D3">
              <w:rPr>
                <w:rFonts w:ascii="Arial" w:hAnsi="Arial" w:cs="Arial"/>
              </w:rPr>
              <w:t xml:space="preserve">Day of treatment, </w:t>
            </w:r>
            <w:proofErr w:type="spellStart"/>
            <w:r w:rsidRPr="002955D3">
              <w:rPr>
                <w:rFonts w:ascii="Arial" w:hAnsi="Arial" w:cs="Arial"/>
              </w:rPr>
              <w:t>mean±SD</w:t>
            </w:r>
            <w:proofErr w:type="spellEnd"/>
          </w:p>
        </w:tc>
        <w:tc>
          <w:tcPr>
            <w:tcW w:w="2283" w:type="dxa"/>
          </w:tcPr>
          <w:p w14:paraId="088E81DC" w14:textId="77777777" w:rsidR="00B673E4" w:rsidRPr="002955D3" w:rsidRDefault="00B673E4" w:rsidP="00413A8D">
            <w:pPr>
              <w:rPr>
                <w:rFonts w:ascii="Arial" w:hAnsi="Arial" w:cs="Arial"/>
              </w:rPr>
            </w:pPr>
            <w:r w:rsidRPr="002955D3">
              <w:rPr>
                <w:rFonts w:ascii="Arial" w:hAnsi="Arial" w:cs="Arial"/>
              </w:rPr>
              <w:t>26.79±11.9</w:t>
            </w:r>
          </w:p>
        </w:tc>
        <w:tc>
          <w:tcPr>
            <w:tcW w:w="2284" w:type="dxa"/>
          </w:tcPr>
          <w:p w14:paraId="5E187B0F" w14:textId="77777777" w:rsidR="00B673E4" w:rsidRPr="002955D3" w:rsidRDefault="00B673E4" w:rsidP="00413A8D">
            <w:pPr>
              <w:rPr>
                <w:rFonts w:ascii="Arial" w:hAnsi="Arial" w:cs="Arial"/>
              </w:rPr>
            </w:pPr>
            <w:r w:rsidRPr="002955D3">
              <w:rPr>
                <w:rFonts w:ascii="Arial" w:hAnsi="Arial" w:cs="Arial"/>
              </w:rPr>
              <w:t>27.97±9.9</w:t>
            </w:r>
          </w:p>
        </w:tc>
        <w:tc>
          <w:tcPr>
            <w:tcW w:w="2140" w:type="dxa"/>
          </w:tcPr>
          <w:p w14:paraId="6C35D9BF" w14:textId="77777777" w:rsidR="00B673E4" w:rsidRPr="002955D3" w:rsidRDefault="00B673E4" w:rsidP="00413A8D">
            <w:pPr>
              <w:rPr>
                <w:rFonts w:ascii="Arial" w:hAnsi="Arial" w:cs="Arial"/>
              </w:rPr>
            </w:pPr>
            <w:r w:rsidRPr="002955D3">
              <w:rPr>
                <w:rFonts w:ascii="Arial" w:hAnsi="Arial" w:cs="Arial"/>
              </w:rPr>
              <w:t>0.9</w:t>
            </w:r>
          </w:p>
        </w:tc>
      </w:tr>
      <w:tr w:rsidR="00B673E4" w:rsidRPr="002955D3" w14:paraId="02C572D5" w14:textId="77777777" w:rsidTr="00413A8D">
        <w:tc>
          <w:tcPr>
            <w:tcW w:w="2309" w:type="dxa"/>
          </w:tcPr>
          <w:p w14:paraId="4039D193" w14:textId="77777777" w:rsidR="00B673E4" w:rsidRPr="002955D3" w:rsidRDefault="00B673E4" w:rsidP="00413A8D">
            <w:pPr>
              <w:rPr>
                <w:rFonts w:ascii="Arial" w:hAnsi="Arial" w:cs="Arial"/>
              </w:rPr>
            </w:pPr>
            <w:r w:rsidRPr="002955D3">
              <w:rPr>
                <w:rFonts w:ascii="Arial" w:hAnsi="Arial" w:cs="Arial"/>
              </w:rPr>
              <w:t xml:space="preserve">Previous COX Rx, </w:t>
            </w:r>
            <w:proofErr w:type="gramStart"/>
            <w:r w:rsidRPr="002955D3">
              <w:rPr>
                <w:rFonts w:ascii="Arial" w:hAnsi="Arial" w:cs="Arial"/>
              </w:rPr>
              <w:t>n(</w:t>
            </w:r>
            <w:proofErr w:type="gramEnd"/>
            <w:r w:rsidRPr="002955D3">
              <w:rPr>
                <w:rFonts w:ascii="Arial" w:hAnsi="Arial" w:cs="Arial"/>
              </w:rPr>
              <w:t>%)</w:t>
            </w:r>
          </w:p>
        </w:tc>
        <w:tc>
          <w:tcPr>
            <w:tcW w:w="2283" w:type="dxa"/>
          </w:tcPr>
          <w:p w14:paraId="0529D42A" w14:textId="77777777" w:rsidR="00B673E4" w:rsidRPr="002955D3" w:rsidRDefault="00B673E4" w:rsidP="00413A8D">
            <w:pPr>
              <w:rPr>
                <w:rFonts w:ascii="Arial" w:hAnsi="Arial" w:cs="Arial"/>
              </w:rPr>
            </w:pPr>
            <w:r w:rsidRPr="002955D3">
              <w:rPr>
                <w:rFonts w:ascii="Arial" w:hAnsi="Arial" w:cs="Arial"/>
              </w:rPr>
              <w:t>6(43)</w:t>
            </w:r>
          </w:p>
        </w:tc>
        <w:tc>
          <w:tcPr>
            <w:tcW w:w="2284" w:type="dxa"/>
          </w:tcPr>
          <w:p w14:paraId="30BD07FB" w14:textId="77777777" w:rsidR="00B673E4" w:rsidRPr="002955D3" w:rsidRDefault="00B673E4" w:rsidP="00413A8D">
            <w:pPr>
              <w:rPr>
                <w:rFonts w:ascii="Arial" w:hAnsi="Arial" w:cs="Arial"/>
              </w:rPr>
            </w:pPr>
            <w:r w:rsidRPr="002955D3">
              <w:rPr>
                <w:rFonts w:ascii="Arial" w:hAnsi="Arial" w:cs="Arial"/>
              </w:rPr>
              <w:t>17(53)</w:t>
            </w:r>
          </w:p>
        </w:tc>
        <w:tc>
          <w:tcPr>
            <w:tcW w:w="2140" w:type="dxa"/>
          </w:tcPr>
          <w:p w14:paraId="5EE7EEEA" w14:textId="77777777" w:rsidR="00B673E4" w:rsidRPr="002955D3" w:rsidRDefault="00B673E4" w:rsidP="00413A8D">
            <w:pPr>
              <w:rPr>
                <w:rFonts w:ascii="Arial" w:hAnsi="Arial" w:cs="Arial"/>
              </w:rPr>
            </w:pPr>
            <w:r w:rsidRPr="002955D3">
              <w:rPr>
                <w:rFonts w:ascii="Arial" w:hAnsi="Arial" w:cs="Arial"/>
              </w:rPr>
              <w:t>0.5</w:t>
            </w:r>
          </w:p>
        </w:tc>
      </w:tr>
    </w:tbl>
    <w:p w14:paraId="6BD31777" w14:textId="77777777" w:rsidR="00B673E4" w:rsidRPr="002955D3" w:rsidRDefault="00B673E4" w:rsidP="00B673E4">
      <w:pPr>
        <w:pStyle w:val="MDPI41tablecaption"/>
        <w:spacing w:before="0" w:after="0" w:line="240" w:lineRule="auto"/>
        <w:ind w:left="0"/>
        <w:rPr>
          <w:rFonts w:ascii="Arial" w:hAnsi="Arial" w:cs="Arial"/>
          <w:color w:val="auto"/>
          <w:sz w:val="22"/>
        </w:rPr>
      </w:pPr>
      <w:r w:rsidRPr="002955D3">
        <w:rPr>
          <w:rFonts w:ascii="Arial" w:hAnsi="Arial" w:cs="Arial"/>
          <w:color w:val="auto"/>
          <w:sz w:val="22"/>
        </w:rPr>
        <w:t>SGA-small for gestational age, RDS- respiratory distress syndrome, LA/LV- Left atrium/Left ventricle, SBP- systolic blood pressure, DBP- diastolic blood pressure, MAP- mean arterial pressure, COX Rx- cyclo-oxygenase inhibitor therapy.</w:t>
      </w:r>
    </w:p>
    <w:p w14:paraId="1C381204" w14:textId="77777777" w:rsidR="00B673E4" w:rsidRPr="002955D3" w:rsidRDefault="00B673E4" w:rsidP="00B673E4">
      <w:pPr>
        <w:rPr>
          <w:rFonts w:ascii="Arial" w:hAnsi="Arial" w:cs="Arial"/>
          <w:sz w:val="22"/>
          <w:szCs w:val="22"/>
        </w:rPr>
      </w:pPr>
    </w:p>
    <w:p w14:paraId="2E17EF82" w14:textId="77777777" w:rsidR="00B673E4" w:rsidRPr="002955D3" w:rsidRDefault="00B673E4" w:rsidP="00B673E4">
      <w:pPr>
        <w:rPr>
          <w:rFonts w:ascii="Arial" w:hAnsi="Arial" w:cs="Arial"/>
          <w:sz w:val="22"/>
          <w:szCs w:val="22"/>
        </w:rPr>
      </w:pPr>
    </w:p>
    <w:p w14:paraId="674C0FB6" w14:textId="77777777" w:rsidR="00B673E4" w:rsidRPr="002955D3" w:rsidRDefault="00B673E4" w:rsidP="00B673E4">
      <w:pPr>
        <w:rPr>
          <w:rFonts w:ascii="Arial" w:hAnsi="Arial" w:cs="Arial"/>
          <w:sz w:val="22"/>
          <w:szCs w:val="22"/>
        </w:rPr>
      </w:pPr>
      <w:r w:rsidRPr="002955D3">
        <w:rPr>
          <w:rFonts w:ascii="Arial" w:hAnsi="Arial" w:cs="Arial"/>
          <w:sz w:val="22"/>
          <w:szCs w:val="22"/>
        </w:rPr>
        <w:lastRenderedPageBreak/>
        <w:t>Table 3: Echocardiographic parameters in both early and late acetaminophen therapy.</w:t>
      </w:r>
    </w:p>
    <w:p w14:paraId="6C03AFE0" w14:textId="77777777" w:rsidR="00B673E4" w:rsidRPr="002955D3" w:rsidRDefault="00B673E4" w:rsidP="00B673E4">
      <w:pPr>
        <w:rPr>
          <w:rFonts w:ascii="Arial" w:hAnsi="Arial" w:cs="Arial"/>
          <w:sz w:val="22"/>
          <w:szCs w:val="22"/>
        </w:rPr>
      </w:pPr>
    </w:p>
    <w:tbl>
      <w:tblPr>
        <w:tblStyle w:val="TableGrid"/>
        <w:tblW w:w="0" w:type="auto"/>
        <w:tblLook w:val="04A0" w:firstRow="1" w:lastRow="0" w:firstColumn="1" w:lastColumn="0" w:noHBand="0" w:noVBand="1"/>
      </w:tblPr>
      <w:tblGrid>
        <w:gridCol w:w="2116"/>
        <w:gridCol w:w="2076"/>
        <w:gridCol w:w="2076"/>
        <w:gridCol w:w="1930"/>
      </w:tblGrid>
      <w:tr w:rsidR="00B673E4" w:rsidRPr="002955D3" w14:paraId="26B30193" w14:textId="77777777" w:rsidTr="00413A8D">
        <w:tc>
          <w:tcPr>
            <w:tcW w:w="2254" w:type="dxa"/>
          </w:tcPr>
          <w:p w14:paraId="647F20C1" w14:textId="77777777" w:rsidR="00B673E4" w:rsidRPr="002955D3" w:rsidRDefault="00B673E4" w:rsidP="00413A8D">
            <w:pPr>
              <w:rPr>
                <w:rFonts w:ascii="Arial" w:hAnsi="Arial" w:cs="Arial"/>
                <w:b/>
                <w:bCs/>
              </w:rPr>
            </w:pPr>
            <w:r w:rsidRPr="002955D3">
              <w:rPr>
                <w:rFonts w:ascii="Arial" w:hAnsi="Arial" w:cs="Arial"/>
                <w:b/>
                <w:bCs/>
              </w:rPr>
              <w:t>Early therapy</w:t>
            </w:r>
          </w:p>
        </w:tc>
        <w:tc>
          <w:tcPr>
            <w:tcW w:w="2254" w:type="dxa"/>
          </w:tcPr>
          <w:p w14:paraId="7C187A08" w14:textId="77777777" w:rsidR="00B673E4" w:rsidRPr="002955D3" w:rsidRDefault="00B673E4" w:rsidP="00413A8D">
            <w:pPr>
              <w:rPr>
                <w:rFonts w:ascii="Arial" w:hAnsi="Arial" w:cs="Arial"/>
              </w:rPr>
            </w:pPr>
            <w:r w:rsidRPr="002955D3">
              <w:rPr>
                <w:rFonts w:ascii="Arial" w:hAnsi="Arial" w:cs="Arial"/>
              </w:rPr>
              <w:t>Closed PDA</w:t>
            </w:r>
          </w:p>
          <w:p w14:paraId="520E70A7" w14:textId="77777777" w:rsidR="00B673E4" w:rsidRPr="002955D3" w:rsidRDefault="00B673E4" w:rsidP="00413A8D">
            <w:pPr>
              <w:rPr>
                <w:rFonts w:ascii="Arial" w:hAnsi="Arial" w:cs="Arial"/>
              </w:rPr>
            </w:pPr>
            <w:r w:rsidRPr="002955D3">
              <w:rPr>
                <w:rFonts w:ascii="Arial" w:hAnsi="Arial" w:cs="Arial"/>
              </w:rPr>
              <w:t>(n= 21)</w:t>
            </w:r>
          </w:p>
        </w:tc>
        <w:tc>
          <w:tcPr>
            <w:tcW w:w="2254" w:type="dxa"/>
          </w:tcPr>
          <w:p w14:paraId="0F04984E" w14:textId="77777777" w:rsidR="00B673E4" w:rsidRPr="002955D3" w:rsidRDefault="00B673E4" w:rsidP="00413A8D">
            <w:pPr>
              <w:rPr>
                <w:rFonts w:ascii="Arial" w:hAnsi="Arial" w:cs="Arial"/>
              </w:rPr>
            </w:pPr>
            <w:r w:rsidRPr="002955D3">
              <w:rPr>
                <w:rFonts w:ascii="Arial" w:hAnsi="Arial" w:cs="Arial"/>
              </w:rPr>
              <w:t>Persistent PDA (n=49)</w:t>
            </w:r>
          </w:p>
        </w:tc>
        <w:tc>
          <w:tcPr>
            <w:tcW w:w="2254" w:type="dxa"/>
          </w:tcPr>
          <w:p w14:paraId="3E538F73" w14:textId="77777777" w:rsidR="00B673E4" w:rsidRPr="002955D3" w:rsidRDefault="00B673E4" w:rsidP="00413A8D">
            <w:pPr>
              <w:rPr>
                <w:rFonts w:ascii="Arial" w:hAnsi="Arial" w:cs="Arial"/>
              </w:rPr>
            </w:pPr>
            <w:r w:rsidRPr="002955D3">
              <w:rPr>
                <w:rFonts w:ascii="Arial" w:hAnsi="Arial" w:cs="Arial"/>
              </w:rPr>
              <w:t>p</w:t>
            </w:r>
          </w:p>
        </w:tc>
      </w:tr>
      <w:tr w:rsidR="00B673E4" w:rsidRPr="002955D3" w14:paraId="0F4C25D1" w14:textId="77777777" w:rsidTr="00413A8D">
        <w:tc>
          <w:tcPr>
            <w:tcW w:w="2254" w:type="dxa"/>
          </w:tcPr>
          <w:p w14:paraId="3C50333A" w14:textId="77777777" w:rsidR="00B673E4" w:rsidRPr="002955D3" w:rsidRDefault="00B673E4" w:rsidP="00413A8D">
            <w:pPr>
              <w:rPr>
                <w:rFonts w:ascii="Arial" w:hAnsi="Arial" w:cs="Arial"/>
              </w:rPr>
            </w:pPr>
            <w:r w:rsidRPr="002955D3">
              <w:rPr>
                <w:rFonts w:ascii="Arial" w:hAnsi="Arial" w:cs="Arial"/>
              </w:rPr>
              <w:t xml:space="preserve">Pre-treatment PDA size, </w:t>
            </w:r>
            <w:proofErr w:type="spellStart"/>
            <w:r w:rsidRPr="002955D3">
              <w:rPr>
                <w:rFonts w:ascii="Arial" w:hAnsi="Arial" w:cs="Arial"/>
              </w:rPr>
              <w:t>mean±</w:t>
            </w:r>
            <w:proofErr w:type="gramStart"/>
            <w:r w:rsidRPr="002955D3">
              <w:rPr>
                <w:rFonts w:ascii="Arial" w:hAnsi="Arial" w:cs="Arial"/>
              </w:rPr>
              <w:t>SD,mm</w:t>
            </w:r>
            <w:proofErr w:type="spellEnd"/>
            <w:proofErr w:type="gramEnd"/>
          </w:p>
        </w:tc>
        <w:tc>
          <w:tcPr>
            <w:tcW w:w="2254" w:type="dxa"/>
          </w:tcPr>
          <w:p w14:paraId="6BCA1534" w14:textId="77777777" w:rsidR="00B673E4" w:rsidRPr="002955D3" w:rsidRDefault="00B673E4" w:rsidP="00413A8D">
            <w:pPr>
              <w:rPr>
                <w:rFonts w:ascii="Arial" w:hAnsi="Arial" w:cs="Arial"/>
              </w:rPr>
            </w:pPr>
            <w:r w:rsidRPr="002955D3">
              <w:rPr>
                <w:rFonts w:ascii="Arial" w:hAnsi="Arial" w:cs="Arial"/>
              </w:rPr>
              <w:t>2.7045±0.49</w:t>
            </w:r>
          </w:p>
        </w:tc>
        <w:tc>
          <w:tcPr>
            <w:tcW w:w="2254" w:type="dxa"/>
          </w:tcPr>
          <w:p w14:paraId="429C63A0" w14:textId="77777777" w:rsidR="00B673E4" w:rsidRPr="002955D3" w:rsidRDefault="00B673E4" w:rsidP="00413A8D">
            <w:pPr>
              <w:rPr>
                <w:rFonts w:ascii="Arial" w:hAnsi="Arial" w:cs="Arial"/>
              </w:rPr>
            </w:pPr>
            <w:r w:rsidRPr="002955D3">
              <w:rPr>
                <w:rFonts w:ascii="Arial" w:hAnsi="Arial" w:cs="Arial"/>
              </w:rPr>
              <w:t>2.54±0.52</w:t>
            </w:r>
          </w:p>
        </w:tc>
        <w:tc>
          <w:tcPr>
            <w:tcW w:w="2254" w:type="dxa"/>
          </w:tcPr>
          <w:p w14:paraId="04A6D529" w14:textId="77777777" w:rsidR="00B673E4" w:rsidRPr="002955D3" w:rsidRDefault="00B673E4" w:rsidP="00413A8D">
            <w:pPr>
              <w:rPr>
                <w:rFonts w:ascii="Arial" w:hAnsi="Arial" w:cs="Arial"/>
              </w:rPr>
            </w:pPr>
            <w:r w:rsidRPr="002955D3">
              <w:rPr>
                <w:rFonts w:ascii="Arial" w:hAnsi="Arial" w:cs="Arial"/>
              </w:rPr>
              <w:t>0.2</w:t>
            </w:r>
          </w:p>
        </w:tc>
      </w:tr>
      <w:tr w:rsidR="00B673E4" w:rsidRPr="002955D3" w14:paraId="4E5E9F5F" w14:textId="77777777" w:rsidTr="00413A8D">
        <w:tc>
          <w:tcPr>
            <w:tcW w:w="2254" w:type="dxa"/>
          </w:tcPr>
          <w:p w14:paraId="775384EF" w14:textId="77777777" w:rsidR="00B673E4" w:rsidRPr="002955D3" w:rsidRDefault="00B673E4" w:rsidP="00413A8D">
            <w:pPr>
              <w:rPr>
                <w:rFonts w:ascii="Arial" w:hAnsi="Arial" w:cs="Arial"/>
              </w:rPr>
            </w:pPr>
            <w:r w:rsidRPr="002955D3">
              <w:rPr>
                <w:rFonts w:ascii="Arial" w:hAnsi="Arial" w:cs="Arial"/>
              </w:rPr>
              <w:t xml:space="preserve">Pre-treatment systolic Vmax, </w:t>
            </w:r>
            <w:proofErr w:type="spellStart"/>
            <w:r w:rsidRPr="002955D3">
              <w:rPr>
                <w:rFonts w:ascii="Arial" w:hAnsi="Arial" w:cs="Arial"/>
              </w:rPr>
              <w:t>mean±SD</w:t>
            </w:r>
            <w:proofErr w:type="spellEnd"/>
            <w:r w:rsidRPr="002955D3">
              <w:rPr>
                <w:rFonts w:ascii="Arial" w:hAnsi="Arial" w:cs="Arial"/>
              </w:rPr>
              <w:t>, m/s</w:t>
            </w:r>
          </w:p>
        </w:tc>
        <w:tc>
          <w:tcPr>
            <w:tcW w:w="2254" w:type="dxa"/>
          </w:tcPr>
          <w:p w14:paraId="5A1FC600" w14:textId="77777777" w:rsidR="00B673E4" w:rsidRPr="002955D3" w:rsidRDefault="00B673E4" w:rsidP="00413A8D">
            <w:pPr>
              <w:rPr>
                <w:rFonts w:ascii="Arial" w:hAnsi="Arial" w:cs="Arial"/>
              </w:rPr>
            </w:pPr>
            <w:r w:rsidRPr="002955D3">
              <w:rPr>
                <w:rFonts w:ascii="Arial" w:hAnsi="Arial" w:cs="Arial"/>
              </w:rPr>
              <w:t>1.01±0.48</w:t>
            </w:r>
          </w:p>
        </w:tc>
        <w:tc>
          <w:tcPr>
            <w:tcW w:w="2254" w:type="dxa"/>
          </w:tcPr>
          <w:p w14:paraId="0FFBCD89" w14:textId="77777777" w:rsidR="00B673E4" w:rsidRPr="002955D3" w:rsidRDefault="00B673E4" w:rsidP="00413A8D">
            <w:pPr>
              <w:rPr>
                <w:rFonts w:ascii="Arial" w:hAnsi="Arial" w:cs="Arial"/>
              </w:rPr>
            </w:pPr>
            <w:r w:rsidRPr="002955D3">
              <w:rPr>
                <w:rFonts w:ascii="Arial" w:hAnsi="Arial" w:cs="Arial"/>
              </w:rPr>
              <w:t>1.34±0.76</w:t>
            </w:r>
          </w:p>
        </w:tc>
        <w:tc>
          <w:tcPr>
            <w:tcW w:w="2254" w:type="dxa"/>
          </w:tcPr>
          <w:p w14:paraId="4A08CAF3" w14:textId="77777777" w:rsidR="00B673E4" w:rsidRPr="002955D3" w:rsidRDefault="00B673E4" w:rsidP="00413A8D">
            <w:pPr>
              <w:rPr>
                <w:rFonts w:ascii="Arial" w:hAnsi="Arial" w:cs="Arial"/>
              </w:rPr>
            </w:pPr>
            <w:r w:rsidRPr="002955D3">
              <w:rPr>
                <w:rFonts w:ascii="Arial" w:hAnsi="Arial" w:cs="Arial"/>
              </w:rPr>
              <w:t>0.06</w:t>
            </w:r>
          </w:p>
        </w:tc>
      </w:tr>
      <w:tr w:rsidR="00B673E4" w:rsidRPr="002955D3" w14:paraId="7F6A4FA8" w14:textId="77777777" w:rsidTr="00413A8D">
        <w:tc>
          <w:tcPr>
            <w:tcW w:w="2254" w:type="dxa"/>
          </w:tcPr>
          <w:p w14:paraId="1F14EA36" w14:textId="77777777" w:rsidR="00B673E4" w:rsidRPr="002955D3" w:rsidRDefault="00B673E4" w:rsidP="00413A8D">
            <w:pPr>
              <w:rPr>
                <w:rFonts w:ascii="Arial" w:hAnsi="Arial" w:cs="Arial"/>
              </w:rPr>
            </w:pPr>
            <w:r w:rsidRPr="002955D3">
              <w:rPr>
                <w:rFonts w:ascii="Arial" w:hAnsi="Arial" w:cs="Arial"/>
              </w:rPr>
              <w:t xml:space="preserve">Pre-treatment Diastolic Vmax, </w:t>
            </w:r>
            <w:proofErr w:type="spellStart"/>
            <w:r w:rsidRPr="002955D3">
              <w:rPr>
                <w:rFonts w:ascii="Arial" w:hAnsi="Arial" w:cs="Arial"/>
              </w:rPr>
              <w:t>mean±SD</w:t>
            </w:r>
            <w:proofErr w:type="spellEnd"/>
            <w:r w:rsidRPr="002955D3">
              <w:rPr>
                <w:rFonts w:ascii="Arial" w:hAnsi="Arial" w:cs="Arial"/>
              </w:rPr>
              <w:t>, m/s</w:t>
            </w:r>
          </w:p>
        </w:tc>
        <w:tc>
          <w:tcPr>
            <w:tcW w:w="2254" w:type="dxa"/>
          </w:tcPr>
          <w:p w14:paraId="0069E646" w14:textId="77777777" w:rsidR="00B673E4" w:rsidRPr="002955D3" w:rsidRDefault="00B673E4" w:rsidP="00413A8D">
            <w:pPr>
              <w:rPr>
                <w:rFonts w:ascii="Arial" w:hAnsi="Arial" w:cs="Arial"/>
              </w:rPr>
            </w:pPr>
            <w:bookmarkStart w:id="11" w:name="_Hlk198715166"/>
            <w:r w:rsidRPr="002955D3">
              <w:rPr>
                <w:rFonts w:ascii="Arial" w:hAnsi="Arial" w:cs="Arial"/>
              </w:rPr>
              <w:t>0.36±0.17</w:t>
            </w:r>
            <w:bookmarkEnd w:id="11"/>
          </w:p>
        </w:tc>
        <w:tc>
          <w:tcPr>
            <w:tcW w:w="2254" w:type="dxa"/>
          </w:tcPr>
          <w:p w14:paraId="79B3B7EF" w14:textId="77777777" w:rsidR="00B673E4" w:rsidRPr="002955D3" w:rsidRDefault="00B673E4" w:rsidP="00413A8D">
            <w:pPr>
              <w:rPr>
                <w:rFonts w:ascii="Arial" w:hAnsi="Arial" w:cs="Arial"/>
              </w:rPr>
            </w:pPr>
            <w:bookmarkStart w:id="12" w:name="_Hlk198715186"/>
            <w:r w:rsidRPr="002955D3">
              <w:rPr>
                <w:rFonts w:ascii="Arial" w:hAnsi="Arial" w:cs="Arial"/>
              </w:rPr>
              <w:t>0.51±0.30</w:t>
            </w:r>
            <w:bookmarkEnd w:id="12"/>
          </w:p>
        </w:tc>
        <w:tc>
          <w:tcPr>
            <w:tcW w:w="2254" w:type="dxa"/>
          </w:tcPr>
          <w:p w14:paraId="7EA447FA" w14:textId="77777777" w:rsidR="00B673E4" w:rsidRPr="002955D3" w:rsidRDefault="00B673E4" w:rsidP="00413A8D">
            <w:pPr>
              <w:rPr>
                <w:rFonts w:ascii="Arial" w:hAnsi="Arial" w:cs="Arial"/>
              </w:rPr>
            </w:pPr>
            <w:r w:rsidRPr="002955D3">
              <w:rPr>
                <w:rFonts w:ascii="Arial" w:hAnsi="Arial" w:cs="Arial"/>
              </w:rPr>
              <w:t>0.02</w:t>
            </w:r>
          </w:p>
        </w:tc>
      </w:tr>
      <w:tr w:rsidR="00B673E4" w:rsidRPr="002955D3" w14:paraId="43EC351A" w14:textId="77777777" w:rsidTr="00413A8D">
        <w:tc>
          <w:tcPr>
            <w:tcW w:w="2254" w:type="dxa"/>
          </w:tcPr>
          <w:p w14:paraId="2C7EDA64" w14:textId="77777777" w:rsidR="00B673E4" w:rsidRPr="002955D3" w:rsidRDefault="00B673E4" w:rsidP="00413A8D">
            <w:pPr>
              <w:rPr>
                <w:rFonts w:ascii="Arial" w:hAnsi="Arial" w:cs="Arial"/>
              </w:rPr>
            </w:pPr>
            <w:proofErr w:type="spellStart"/>
            <w:r w:rsidRPr="002955D3">
              <w:rPr>
                <w:rFonts w:ascii="Arial" w:hAnsi="Arial" w:cs="Arial"/>
              </w:rPr>
              <w:t>LVIDd</w:t>
            </w:r>
            <w:proofErr w:type="spellEnd"/>
            <w:r w:rsidRPr="002955D3">
              <w:rPr>
                <w:rFonts w:ascii="Arial" w:hAnsi="Arial" w:cs="Arial"/>
              </w:rPr>
              <w:t xml:space="preserve">, </w:t>
            </w:r>
            <w:proofErr w:type="spellStart"/>
            <w:r w:rsidRPr="002955D3">
              <w:rPr>
                <w:rFonts w:ascii="Arial" w:hAnsi="Arial" w:cs="Arial"/>
              </w:rPr>
              <w:t>mean±SD</w:t>
            </w:r>
            <w:proofErr w:type="spellEnd"/>
          </w:p>
        </w:tc>
        <w:tc>
          <w:tcPr>
            <w:tcW w:w="2254" w:type="dxa"/>
          </w:tcPr>
          <w:p w14:paraId="198CF9A2" w14:textId="77777777" w:rsidR="00B673E4" w:rsidRPr="002955D3" w:rsidRDefault="00B673E4" w:rsidP="00413A8D">
            <w:pPr>
              <w:rPr>
                <w:rFonts w:ascii="Arial" w:hAnsi="Arial" w:cs="Arial"/>
              </w:rPr>
            </w:pPr>
            <w:r w:rsidRPr="002955D3">
              <w:rPr>
                <w:rFonts w:ascii="Arial" w:hAnsi="Arial" w:cs="Arial"/>
              </w:rPr>
              <w:t>12.01±1.88</w:t>
            </w:r>
          </w:p>
        </w:tc>
        <w:tc>
          <w:tcPr>
            <w:tcW w:w="2254" w:type="dxa"/>
          </w:tcPr>
          <w:p w14:paraId="50518462" w14:textId="77777777" w:rsidR="00B673E4" w:rsidRPr="002955D3" w:rsidRDefault="00B673E4" w:rsidP="00413A8D">
            <w:pPr>
              <w:rPr>
                <w:rFonts w:ascii="Arial" w:hAnsi="Arial" w:cs="Arial"/>
              </w:rPr>
            </w:pPr>
            <w:r w:rsidRPr="002955D3">
              <w:rPr>
                <w:rFonts w:ascii="Arial" w:hAnsi="Arial" w:cs="Arial"/>
              </w:rPr>
              <w:t>12.83±2.12</w:t>
            </w:r>
          </w:p>
        </w:tc>
        <w:tc>
          <w:tcPr>
            <w:tcW w:w="2254" w:type="dxa"/>
          </w:tcPr>
          <w:p w14:paraId="625076D8" w14:textId="77777777" w:rsidR="00B673E4" w:rsidRPr="002955D3" w:rsidRDefault="00B673E4" w:rsidP="00413A8D">
            <w:pPr>
              <w:rPr>
                <w:rFonts w:ascii="Arial" w:hAnsi="Arial" w:cs="Arial"/>
              </w:rPr>
            </w:pPr>
            <w:r w:rsidRPr="002955D3">
              <w:rPr>
                <w:rFonts w:ascii="Arial" w:hAnsi="Arial" w:cs="Arial"/>
              </w:rPr>
              <w:t>0.1</w:t>
            </w:r>
          </w:p>
        </w:tc>
      </w:tr>
      <w:tr w:rsidR="00B673E4" w:rsidRPr="002955D3" w14:paraId="142E0AD7" w14:textId="77777777" w:rsidTr="00413A8D">
        <w:tc>
          <w:tcPr>
            <w:tcW w:w="2254" w:type="dxa"/>
          </w:tcPr>
          <w:p w14:paraId="57BE1138" w14:textId="77777777" w:rsidR="00B673E4" w:rsidRPr="002955D3" w:rsidRDefault="00B673E4" w:rsidP="00413A8D">
            <w:pPr>
              <w:rPr>
                <w:rFonts w:ascii="Arial" w:hAnsi="Arial" w:cs="Arial"/>
              </w:rPr>
            </w:pPr>
            <w:bookmarkStart w:id="13" w:name="_Hlk198715215"/>
            <w:r w:rsidRPr="002955D3">
              <w:rPr>
                <w:rFonts w:ascii="Arial" w:hAnsi="Arial" w:cs="Arial"/>
              </w:rPr>
              <w:t xml:space="preserve">LVIDs, </w:t>
            </w:r>
            <w:proofErr w:type="spellStart"/>
            <w:r w:rsidRPr="002955D3">
              <w:rPr>
                <w:rFonts w:ascii="Arial" w:hAnsi="Arial" w:cs="Arial"/>
              </w:rPr>
              <w:t>mean±SD</w:t>
            </w:r>
            <w:proofErr w:type="spellEnd"/>
          </w:p>
        </w:tc>
        <w:tc>
          <w:tcPr>
            <w:tcW w:w="2254" w:type="dxa"/>
          </w:tcPr>
          <w:p w14:paraId="31A764F7" w14:textId="77777777" w:rsidR="00B673E4" w:rsidRPr="002955D3" w:rsidRDefault="00B673E4" w:rsidP="00413A8D">
            <w:pPr>
              <w:rPr>
                <w:rFonts w:ascii="Arial" w:hAnsi="Arial" w:cs="Arial"/>
              </w:rPr>
            </w:pPr>
            <w:r w:rsidRPr="002955D3">
              <w:rPr>
                <w:rFonts w:ascii="Arial" w:hAnsi="Arial" w:cs="Arial"/>
              </w:rPr>
              <w:t>7.71±1.21</w:t>
            </w:r>
          </w:p>
        </w:tc>
        <w:tc>
          <w:tcPr>
            <w:tcW w:w="2254" w:type="dxa"/>
          </w:tcPr>
          <w:p w14:paraId="7DD9267A" w14:textId="77777777" w:rsidR="00B673E4" w:rsidRPr="002955D3" w:rsidRDefault="00B673E4" w:rsidP="00413A8D">
            <w:pPr>
              <w:rPr>
                <w:rFonts w:ascii="Arial" w:hAnsi="Arial" w:cs="Arial"/>
              </w:rPr>
            </w:pPr>
            <w:bookmarkStart w:id="14" w:name="_Hlk198715231"/>
            <w:r w:rsidRPr="002955D3">
              <w:rPr>
                <w:rFonts w:ascii="Arial" w:hAnsi="Arial" w:cs="Arial"/>
              </w:rPr>
              <w:t>8.39±1.36</w:t>
            </w:r>
            <w:bookmarkEnd w:id="14"/>
          </w:p>
        </w:tc>
        <w:tc>
          <w:tcPr>
            <w:tcW w:w="2254" w:type="dxa"/>
          </w:tcPr>
          <w:p w14:paraId="0EA612DB" w14:textId="77777777" w:rsidR="00B673E4" w:rsidRPr="002955D3" w:rsidRDefault="00B673E4" w:rsidP="00413A8D">
            <w:pPr>
              <w:rPr>
                <w:rFonts w:ascii="Arial" w:hAnsi="Arial" w:cs="Arial"/>
              </w:rPr>
            </w:pPr>
            <w:r w:rsidRPr="002955D3">
              <w:rPr>
                <w:rFonts w:ascii="Arial" w:hAnsi="Arial" w:cs="Arial"/>
              </w:rPr>
              <w:t>0.04</w:t>
            </w:r>
          </w:p>
        </w:tc>
      </w:tr>
      <w:bookmarkEnd w:id="13"/>
      <w:tr w:rsidR="00B673E4" w:rsidRPr="002955D3" w14:paraId="09C9D994" w14:textId="77777777" w:rsidTr="00413A8D">
        <w:tc>
          <w:tcPr>
            <w:tcW w:w="2254" w:type="dxa"/>
          </w:tcPr>
          <w:p w14:paraId="4562A52F" w14:textId="77777777" w:rsidR="00B673E4" w:rsidRPr="002955D3" w:rsidRDefault="00B673E4" w:rsidP="00413A8D">
            <w:pPr>
              <w:rPr>
                <w:rFonts w:ascii="Arial" w:hAnsi="Arial" w:cs="Arial"/>
              </w:rPr>
            </w:pPr>
            <w:r w:rsidRPr="002955D3">
              <w:rPr>
                <w:rFonts w:ascii="Arial" w:hAnsi="Arial" w:cs="Arial"/>
              </w:rPr>
              <w:t xml:space="preserve">LV EF, </w:t>
            </w:r>
            <w:proofErr w:type="spellStart"/>
            <w:r w:rsidRPr="002955D3">
              <w:rPr>
                <w:rFonts w:ascii="Arial" w:hAnsi="Arial" w:cs="Arial"/>
              </w:rPr>
              <w:t>mean±</w:t>
            </w:r>
            <w:proofErr w:type="gramStart"/>
            <w:r w:rsidRPr="002955D3">
              <w:rPr>
                <w:rFonts w:ascii="Arial" w:hAnsi="Arial" w:cs="Arial"/>
              </w:rPr>
              <w:t>SD</w:t>
            </w:r>
            <w:proofErr w:type="spellEnd"/>
            <w:r w:rsidRPr="002955D3">
              <w:rPr>
                <w:rFonts w:ascii="Arial" w:hAnsi="Arial" w:cs="Arial"/>
              </w:rPr>
              <w:t>,%</w:t>
            </w:r>
            <w:proofErr w:type="gramEnd"/>
          </w:p>
        </w:tc>
        <w:tc>
          <w:tcPr>
            <w:tcW w:w="2254" w:type="dxa"/>
          </w:tcPr>
          <w:p w14:paraId="7467D60F" w14:textId="77777777" w:rsidR="00B673E4" w:rsidRPr="002955D3" w:rsidRDefault="00B673E4" w:rsidP="00413A8D">
            <w:pPr>
              <w:rPr>
                <w:rFonts w:ascii="Arial" w:hAnsi="Arial" w:cs="Arial"/>
              </w:rPr>
            </w:pPr>
            <w:r w:rsidRPr="002955D3">
              <w:rPr>
                <w:rFonts w:ascii="Arial" w:hAnsi="Arial" w:cs="Arial"/>
              </w:rPr>
              <w:t>69.42±6.20</w:t>
            </w:r>
          </w:p>
        </w:tc>
        <w:tc>
          <w:tcPr>
            <w:tcW w:w="2254" w:type="dxa"/>
          </w:tcPr>
          <w:p w14:paraId="4E8C036C" w14:textId="77777777" w:rsidR="00B673E4" w:rsidRPr="002955D3" w:rsidRDefault="00B673E4" w:rsidP="00413A8D">
            <w:pPr>
              <w:rPr>
                <w:rFonts w:ascii="Arial" w:hAnsi="Arial" w:cs="Arial"/>
              </w:rPr>
            </w:pPr>
            <w:r w:rsidRPr="002955D3">
              <w:rPr>
                <w:rFonts w:ascii="Arial" w:hAnsi="Arial" w:cs="Arial"/>
              </w:rPr>
              <w:t>67.63±5.79</w:t>
            </w:r>
          </w:p>
        </w:tc>
        <w:tc>
          <w:tcPr>
            <w:tcW w:w="2254" w:type="dxa"/>
          </w:tcPr>
          <w:p w14:paraId="6C6C1761" w14:textId="77777777" w:rsidR="00B673E4" w:rsidRPr="002955D3" w:rsidRDefault="00B673E4" w:rsidP="00413A8D">
            <w:pPr>
              <w:rPr>
                <w:rFonts w:ascii="Arial" w:hAnsi="Arial" w:cs="Arial"/>
              </w:rPr>
            </w:pPr>
            <w:r w:rsidRPr="002955D3">
              <w:rPr>
                <w:rFonts w:ascii="Arial" w:hAnsi="Arial" w:cs="Arial"/>
              </w:rPr>
              <w:t>0.26</w:t>
            </w:r>
          </w:p>
        </w:tc>
      </w:tr>
      <w:tr w:rsidR="00B673E4" w:rsidRPr="002955D3" w14:paraId="322B36EC" w14:textId="77777777" w:rsidTr="00413A8D">
        <w:tc>
          <w:tcPr>
            <w:tcW w:w="2254" w:type="dxa"/>
          </w:tcPr>
          <w:p w14:paraId="1FACC7A1" w14:textId="77777777" w:rsidR="00B673E4" w:rsidRPr="002955D3" w:rsidRDefault="00B673E4" w:rsidP="00413A8D">
            <w:pPr>
              <w:rPr>
                <w:rFonts w:ascii="Arial" w:hAnsi="Arial" w:cs="Arial"/>
              </w:rPr>
            </w:pPr>
            <w:bookmarkStart w:id="15" w:name="_Hlk198715252"/>
            <w:r w:rsidRPr="002955D3">
              <w:rPr>
                <w:rFonts w:ascii="Arial" w:hAnsi="Arial" w:cs="Arial"/>
              </w:rPr>
              <w:t xml:space="preserve">MPA Vmax, </w:t>
            </w:r>
            <w:proofErr w:type="spellStart"/>
            <w:r w:rsidRPr="002955D3">
              <w:rPr>
                <w:rFonts w:ascii="Arial" w:hAnsi="Arial" w:cs="Arial"/>
              </w:rPr>
              <w:t>mean±SD</w:t>
            </w:r>
            <w:proofErr w:type="spellEnd"/>
            <w:r w:rsidRPr="002955D3">
              <w:rPr>
                <w:rFonts w:ascii="Arial" w:hAnsi="Arial" w:cs="Arial"/>
              </w:rPr>
              <w:t>, m/s</w:t>
            </w:r>
          </w:p>
        </w:tc>
        <w:tc>
          <w:tcPr>
            <w:tcW w:w="2254" w:type="dxa"/>
          </w:tcPr>
          <w:p w14:paraId="42731C31" w14:textId="77777777" w:rsidR="00B673E4" w:rsidRPr="002955D3" w:rsidRDefault="00B673E4" w:rsidP="00413A8D">
            <w:pPr>
              <w:rPr>
                <w:rFonts w:ascii="Arial" w:hAnsi="Arial" w:cs="Arial"/>
              </w:rPr>
            </w:pPr>
            <w:r w:rsidRPr="002955D3">
              <w:rPr>
                <w:rFonts w:ascii="Arial" w:hAnsi="Arial" w:cs="Arial"/>
              </w:rPr>
              <w:t>0.66±0.17</w:t>
            </w:r>
          </w:p>
        </w:tc>
        <w:tc>
          <w:tcPr>
            <w:tcW w:w="2254" w:type="dxa"/>
          </w:tcPr>
          <w:p w14:paraId="550D6030" w14:textId="77777777" w:rsidR="00B673E4" w:rsidRPr="002955D3" w:rsidRDefault="00B673E4" w:rsidP="00413A8D">
            <w:pPr>
              <w:rPr>
                <w:rFonts w:ascii="Arial" w:hAnsi="Arial" w:cs="Arial"/>
              </w:rPr>
            </w:pPr>
            <w:bookmarkStart w:id="16" w:name="_Hlk198715266"/>
            <w:r w:rsidRPr="002955D3">
              <w:rPr>
                <w:rFonts w:ascii="Arial" w:hAnsi="Arial" w:cs="Arial"/>
              </w:rPr>
              <w:t>0.83±0.26</w:t>
            </w:r>
            <w:bookmarkEnd w:id="16"/>
          </w:p>
        </w:tc>
        <w:tc>
          <w:tcPr>
            <w:tcW w:w="2254" w:type="dxa"/>
          </w:tcPr>
          <w:p w14:paraId="7D2FE9D9" w14:textId="77777777" w:rsidR="00B673E4" w:rsidRPr="002955D3" w:rsidRDefault="00B673E4" w:rsidP="00413A8D">
            <w:pPr>
              <w:rPr>
                <w:rFonts w:ascii="Arial" w:hAnsi="Arial" w:cs="Arial"/>
              </w:rPr>
            </w:pPr>
            <w:r w:rsidRPr="002955D3">
              <w:rPr>
                <w:rFonts w:ascii="Arial" w:hAnsi="Arial" w:cs="Arial"/>
              </w:rPr>
              <w:t>0.003</w:t>
            </w:r>
          </w:p>
        </w:tc>
      </w:tr>
      <w:bookmarkEnd w:id="15"/>
      <w:tr w:rsidR="00B673E4" w:rsidRPr="002955D3" w14:paraId="08A4469E" w14:textId="77777777" w:rsidTr="00413A8D">
        <w:tc>
          <w:tcPr>
            <w:tcW w:w="2254" w:type="dxa"/>
          </w:tcPr>
          <w:p w14:paraId="3EE6D6C6" w14:textId="77777777" w:rsidR="00B673E4" w:rsidRPr="002955D3" w:rsidRDefault="00B673E4" w:rsidP="00413A8D">
            <w:pPr>
              <w:rPr>
                <w:rFonts w:ascii="Arial" w:hAnsi="Arial" w:cs="Arial"/>
              </w:rPr>
            </w:pPr>
            <w:proofErr w:type="spellStart"/>
            <w:r w:rsidRPr="002955D3">
              <w:rPr>
                <w:rFonts w:ascii="Arial" w:hAnsi="Arial" w:cs="Arial"/>
              </w:rPr>
              <w:t>Asc</w:t>
            </w:r>
            <w:proofErr w:type="spellEnd"/>
            <w:r w:rsidRPr="002955D3">
              <w:rPr>
                <w:rFonts w:ascii="Arial" w:hAnsi="Arial" w:cs="Arial"/>
              </w:rPr>
              <w:t xml:space="preserve"> Ao Vmax, </w:t>
            </w:r>
            <w:proofErr w:type="spellStart"/>
            <w:r w:rsidRPr="002955D3">
              <w:rPr>
                <w:rFonts w:ascii="Arial" w:hAnsi="Arial" w:cs="Arial"/>
              </w:rPr>
              <w:t>mean±SD</w:t>
            </w:r>
            <w:proofErr w:type="spellEnd"/>
            <w:r w:rsidRPr="002955D3">
              <w:rPr>
                <w:rFonts w:ascii="Arial" w:hAnsi="Arial" w:cs="Arial"/>
              </w:rPr>
              <w:t xml:space="preserve">, </w:t>
            </w:r>
            <w:proofErr w:type="spellStart"/>
            <w:r w:rsidRPr="002955D3">
              <w:rPr>
                <w:rFonts w:ascii="Arial" w:hAnsi="Arial" w:cs="Arial"/>
              </w:rPr>
              <w:t>mean±SD</w:t>
            </w:r>
            <w:proofErr w:type="spellEnd"/>
            <w:r w:rsidRPr="002955D3">
              <w:rPr>
                <w:rFonts w:ascii="Arial" w:hAnsi="Arial" w:cs="Arial"/>
              </w:rPr>
              <w:t>, m/s</w:t>
            </w:r>
          </w:p>
        </w:tc>
        <w:tc>
          <w:tcPr>
            <w:tcW w:w="2254" w:type="dxa"/>
          </w:tcPr>
          <w:p w14:paraId="38CA3801" w14:textId="77777777" w:rsidR="00B673E4" w:rsidRPr="002955D3" w:rsidRDefault="00B673E4" w:rsidP="00413A8D">
            <w:pPr>
              <w:rPr>
                <w:rFonts w:ascii="Arial" w:hAnsi="Arial" w:cs="Arial"/>
              </w:rPr>
            </w:pPr>
            <w:bookmarkStart w:id="17" w:name="_Hlk198715299"/>
            <w:r w:rsidRPr="002955D3">
              <w:rPr>
                <w:rFonts w:ascii="Arial" w:hAnsi="Arial" w:cs="Arial"/>
              </w:rPr>
              <w:t>0.82±0.21</w:t>
            </w:r>
            <w:bookmarkEnd w:id="17"/>
          </w:p>
        </w:tc>
        <w:tc>
          <w:tcPr>
            <w:tcW w:w="2254" w:type="dxa"/>
          </w:tcPr>
          <w:p w14:paraId="40D3628B" w14:textId="77777777" w:rsidR="00B673E4" w:rsidRPr="002955D3" w:rsidRDefault="00B673E4" w:rsidP="00413A8D">
            <w:pPr>
              <w:rPr>
                <w:rFonts w:ascii="Arial" w:hAnsi="Arial" w:cs="Arial"/>
              </w:rPr>
            </w:pPr>
            <w:bookmarkStart w:id="18" w:name="_Hlk198715313"/>
            <w:r w:rsidRPr="002955D3">
              <w:rPr>
                <w:rFonts w:ascii="Arial" w:hAnsi="Arial" w:cs="Arial"/>
              </w:rPr>
              <w:t>0.95±0.26</w:t>
            </w:r>
            <w:bookmarkEnd w:id="18"/>
          </w:p>
        </w:tc>
        <w:tc>
          <w:tcPr>
            <w:tcW w:w="2254" w:type="dxa"/>
          </w:tcPr>
          <w:p w14:paraId="087842B8" w14:textId="77777777" w:rsidR="00B673E4" w:rsidRPr="002955D3" w:rsidRDefault="00B673E4" w:rsidP="00413A8D">
            <w:pPr>
              <w:rPr>
                <w:rFonts w:ascii="Arial" w:hAnsi="Arial" w:cs="Arial"/>
              </w:rPr>
            </w:pPr>
            <w:r w:rsidRPr="002955D3">
              <w:rPr>
                <w:rFonts w:ascii="Arial" w:hAnsi="Arial" w:cs="Arial"/>
              </w:rPr>
              <w:t>0.03</w:t>
            </w:r>
          </w:p>
        </w:tc>
      </w:tr>
      <w:tr w:rsidR="00B673E4" w:rsidRPr="002955D3" w14:paraId="47F1AD0F" w14:textId="77777777" w:rsidTr="00413A8D">
        <w:tc>
          <w:tcPr>
            <w:tcW w:w="2254" w:type="dxa"/>
          </w:tcPr>
          <w:p w14:paraId="2135D09A" w14:textId="77777777" w:rsidR="00B673E4" w:rsidRPr="002955D3" w:rsidRDefault="00B673E4" w:rsidP="00413A8D">
            <w:pPr>
              <w:rPr>
                <w:rFonts w:ascii="Arial" w:hAnsi="Arial" w:cs="Arial"/>
              </w:rPr>
            </w:pPr>
            <w:r w:rsidRPr="002955D3">
              <w:rPr>
                <w:rFonts w:ascii="Arial" w:hAnsi="Arial" w:cs="Arial"/>
              </w:rPr>
              <w:t xml:space="preserve">Desc Ao Vmax, </w:t>
            </w:r>
            <w:proofErr w:type="spellStart"/>
            <w:r w:rsidRPr="002955D3">
              <w:rPr>
                <w:rFonts w:ascii="Arial" w:hAnsi="Arial" w:cs="Arial"/>
              </w:rPr>
              <w:t>mean±</w:t>
            </w:r>
            <w:proofErr w:type="gramStart"/>
            <w:r w:rsidRPr="002955D3">
              <w:rPr>
                <w:rFonts w:ascii="Arial" w:hAnsi="Arial" w:cs="Arial"/>
              </w:rPr>
              <w:t>SD,m</w:t>
            </w:r>
            <w:proofErr w:type="spellEnd"/>
            <w:proofErr w:type="gramEnd"/>
            <w:r w:rsidRPr="002955D3">
              <w:rPr>
                <w:rFonts w:ascii="Arial" w:hAnsi="Arial" w:cs="Arial"/>
              </w:rPr>
              <w:t>/s</w:t>
            </w:r>
          </w:p>
        </w:tc>
        <w:tc>
          <w:tcPr>
            <w:tcW w:w="2254" w:type="dxa"/>
          </w:tcPr>
          <w:p w14:paraId="28905613" w14:textId="77777777" w:rsidR="00B673E4" w:rsidRPr="002955D3" w:rsidRDefault="00B673E4" w:rsidP="00413A8D">
            <w:pPr>
              <w:rPr>
                <w:rFonts w:ascii="Arial" w:hAnsi="Arial" w:cs="Arial"/>
              </w:rPr>
            </w:pPr>
            <w:bookmarkStart w:id="19" w:name="_Hlk198715341"/>
            <w:r w:rsidRPr="002955D3">
              <w:rPr>
                <w:rFonts w:ascii="Arial" w:hAnsi="Arial" w:cs="Arial"/>
              </w:rPr>
              <w:t>0.88±0.19</w:t>
            </w:r>
            <w:bookmarkEnd w:id="19"/>
          </w:p>
        </w:tc>
        <w:tc>
          <w:tcPr>
            <w:tcW w:w="2254" w:type="dxa"/>
          </w:tcPr>
          <w:p w14:paraId="4442DE3C" w14:textId="77777777" w:rsidR="00B673E4" w:rsidRPr="002955D3" w:rsidRDefault="00B673E4" w:rsidP="00413A8D">
            <w:pPr>
              <w:rPr>
                <w:rFonts w:ascii="Arial" w:hAnsi="Arial" w:cs="Arial"/>
              </w:rPr>
            </w:pPr>
            <w:bookmarkStart w:id="20" w:name="_Hlk198715361"/>
            <w:r w:rsidRPr="002955D3">
              <w:rPr>
                <w:rFonts w:ascii="Arial" w:hAnsi="Arial" w:cs="Arial"/>
              </w:rPr>
              <w:t>1.10±0.28</w:t>
            </w:r>
            <w:bookmarkEnd w:id="20"/>
          </w:p>
        </w:tc>
        <w:tc>
          <w:tcPr>
            <w:tcW w:w="2254" w:type="dxa"/>
          </w:tcPr>
          <w:p w14:paraId="54547AA3" w14:textId="77777777" w:rsidR="00B673E4" w:rsidRPr="002955D3" w:rsidRDefault="00B673E4" w:rsidP="00413A8D">
            <w:pPr>
              <w:rPr>
                <w:rFonts w:ascii="Arial" w:hAnsi="Arial" w:cs="Arial"/>
              </w:rPr>
            </w:pPr>
            <w:r w:rsidRPr="002955D3">
              <w:rPr>
                <w:rFonts w:ascii="Arial" w:hAnsi="Arial" w:cs="Arial"/>
              </w:rPr>
              <w:t>0.001</w:t>
            </w:r>
          </w:p>
        </w:tc>
      </w:tr>
      <w:tr w:rsidR="00B673E4" w:rsidRPr="002955D3" w14:paraId="7C98B6FB" w14:textId="77777777" w:rsidTr="00413A8D">
        <w:tc>
          <w:tcPr>
            <w:tcW w:w="2254" w:type="dxa"/>
          </w:tcPr>
          <w:p w14:paraId="1D88FD3B" w14:textId="77777777" w:rsidR="00B673E4" w:rsidRPr="002955D3" w:rsidRDefault="00B673E4" w:rsidP="00413A8D">
            <w:pPr>
              <w:rPr>
                <w:rFonts w:ascii="Arial" w:hAnsi="Arial" w:cs="Arial"/>
              </w:rPr>
            </w:pPr>
            <w:r w:rsidRPr="002955D3">
              <w:rPr>
                <w:rFonts w:ascii="Arial" w:hAnsi="Arial" w:cs="Arial"/>
              </w:rPr>
              <w:t xml:space="preserve">FS, </w:t>
            </w:r>
            <w:proofErr w:type="spellStart"/>
            <w:r w:rsidRPr="002955D3">
              <w:rPr>
                <w:rFonts w:ascii="Arial" w:hAnsi="Arial" w:cs="Arial"/>
              </w:rPr>
              <w:t>mean±</w:t>
            </w:r>
            <w:proofErr w:type="gramStart"/>
            <w:r w:rsidRPr="002955D3">
              <w:rPr>
                <w:rFonts w:ascii="Arial" w:hAnsi="Arial" w:cs="Arial"/>
              </w:rPr>
              <w:t>SD</w:t>
            </w:r>
            <w:proofErr w:type="spellEnd"/>
            <w:r w:rsidRPr="002955D3">
              <w:rPr>
                <w:rFonts w:ascii="Arial" w:hAnsi="Arial" w:cs="Arial"/>
              </w:rPr>
              <w:t>,%</w:t>
            </w:r>
            <w:proofErr w:type="gramEnd"/>
          </w:p>
        </w:tc>
        <w:tc>
          <w:tcPr>
            <w:tcW w:w="2254" w:type="dxa"/>
          </w:tcPr>
          <w:p w14:paraId="2B677FAD" w14:textId="77777777" w:rsidR="00B673E4" w:rsidRPr="002955D3" w:rsidRDefault="00B673E4" w:rsidP="00413A8D">
            <w:pPr>
              <w:rPr>
                <w:rFonts w:ascii="Arial" w:hAnsi="Arial" w:cs="Arial"/>
              </w:rPr>
            </w:pPr>
            <w:r w:rsidRPr="002955D3">
              <w:rPr>
                <w:rFonts w:ascii="Arial" w:hAnsi="Arial" w:cs="Arial"/>
              </w:rPr>
              <w:t>35.75±4.98</w:t>
            </w:r>
          </w:p>
        </w:tc>
        <w:tc>
          <w:tcPr>
            <w:tcW w:w="2254" w:type="dxa"/>
          </w:tcPr>
          <w:p w14:paraId="3C99CF03" w14:textId="77777777" w:rsidR="00B673E4" w:rsidRPr="002955D3" w:rsidRDefault="00B673E4" w:rsidP="00413A8D">
            <w:pPr>
              <w:rPr>
                <w:rFonts w:ascii="Arial" w:hAnsi="Arial" w:cs="Arial"/>
              </w:rPr>
            </w:pPr>
            <w:r w:rsidRPr="002955D3">
              <w:rPr>
                <w:rFonts w:ascii="Arial" w:hAnsi="Arial" w:cs="Arial"/>
              </w:rPr>
              <w:t>34.40±4.59</w:t>
            </w:r>
          </w:p>
        </w:tc>
        <w:tc>
          <w:tcPr>
            <w:tcW w:w="2254" w:type="dxa"/>
          </w:tcPr>
          <w:p w14:paraId="73A784A6" w14:textId="77777777" w:rsidR="00B673E4" w:rsidRPr="002955D3" w:rsidRDefault="00B673E4" w:rsidP="00413A8D">
            <w:pPr>
              <w:rPr>
                <w:rFonts w:ascii="Arial" w:hAnsi="Arial" w:cs="Arial"/>
              </w:rPr>
            </w:pPr>
            <w:r w:rsidRPr="002955D3">
              <w:rPr>
                <w:rFonts w:ascii="Arial" w:hAnsi="Arial" w:cs="Arial"/>
              </w:rPr>
              <w:t>0.29</w:t>
            </w:r>
          </w:p>
        </w:tc>
      </w:tr>
      <w:tr w:rsidR="00B673E4" w:rsidRPr="002955D3" w14:paraId="01CE57CB" w14:textId="77777777" w:rsidTr="00413A8D">
        <w:tc>
          <w:tcPr>
            <w:tcW w:w="2254" w:type="dxa"/>
          </w:tcPr>
          <w:p w14:paraId="09B0C3EE" w14:textId="77777777" w:rsidR="00B673E4" w:rsidRPr="002955D3" w:rsidRDefault="00B673E4" w:rsidP="00413A8D">
            <w:pPr>
              <w:rPr>
                <w:rFonts w:ascii="Arial" w:hAnsi="Arial" w:cs="Arial"/>
              </w:rPr>
            </w:pPr>
            <w:r w:rsidRPr="002955D3">
              <w:rPr>
                <w:rFonts w:ascii="Arial" w:hAnsi="Arial" w:cs="Arial"/>
                <w:b/>
                <w:bCs/>
              </w:rPr>
              <w:t>Late therapy</w:t>
            </w:r>
          </w:p>
        </w:tc>
        <w:tc>
          <w:tcPr>
            <w:tcW w:w="2254" w:type="dxa"/>
          </w:tcPr>
          <w:p w14:paraId="5D5947F8" w14:textId="77777777" w:rsidR="00B673E4" w:rsidRPr="002955D3" w:rsidRDefault="00B673E4" w:rsidP="00413A8D">
            <w:pPr>
              <w:rPr>
                <w:rFonts w:ascii="Arial" w:hAnsi="Arial" w:cs="Arial"/>
              </w:rPr>
            </w:pPr>
          </w:p>
        </w:tc>
        <w:tc>
          <w:tcPr>
            <w:tcW w:w="2254" w:type="dxa"/>
          </w:tcPr>
          <w:p w14:paraId="452ACC03" w14:textId="77777777" w:rsidR="00B673E4" w:rsidRPr="002955D3" w:rsidRDefault="00B673E4" w:rsidP="00413A8D">
            <w:pPr>
              <w:rPr>
                <w:rFonts w:ascii="Arial" w:hAnsi="Arial" w:cs="Arial"/>
              </w:rPr>
            </w:pPr>
          </w:p>
        </w:tc>
        <w:tc>
          <w:tcPr>
            <w:tcW w:w="2254" w:type="dxa"/>
          </w:tcPr>
          <w:p w14:paraId="15E15D8B" w14:textId="77777777" w:rsidR="00B673E4" w:rsidRPr="002955D3" w:rsidRDefault="00B673E4" w:rsidP="00413A8D">
            <w:pPr>
              <w:rPr>
                <w:rFonts w:ascii="Arial" w:hAnsi="Arial" w:cs="Arial"/>
              </w:rPr>
            </w:pPr>
          </w:p>
        </w:tc>
      </w:tr>
      <w:tr w:rsidR="00B673E4" w:rsidRPr="002955D3" w14:paraId="49DC8C72" w14:textId="77777777" w:rsidTr="00413A8D">
        <w:tc>
          <w:tcPr>
            <w:tcW w:w="2254" w:type="dxa"/>
          </w:tcPr>
          <w:p w14:paraId="640AC65C" w14:textId="77777777" w:rsidR="00B673E4" w:rsidRPr="002955D3" w:rsidRDefault="00B673E4" w:rsidP="00413A8D">
            <w:pPr>
              <w:rPr>
                <w:rFonts w:ascii="Arial" w:hAnsi="Arial" w:cs="Arial"/>
              </w:rPr>
            </w:pPr>
            <w:r w:rsidRPr="002955D3">
              <w:rPr>
                <w:rFonts w:ascii="Arial" w:hAnsi="Arial" w:cs="Arial"/>
              </w:rPr>
              <w:t xml:space="preserve">Pre-treatment PDA size, </w:t>
            </w:r>
            <w:proofErr w:type="spellStart"/>
            <w:r w:rsidRPr="002955D3">
              <w:rPr>
                <w:rFonts w:ascii="Arial" w:hAnsi="Arial" w:cs="Arial"/>
              </w:rPr>
              <w:t>mean±SD</w:t>
            </w:r>
            <w:proofErr w:type="spellEnd"/>
            <w:r w:rsidRPr="002955D3">
              <w:rPr>
                <w:rFonts w:ascii="Arial" w:hAnsi="Arial" w:cs="Arial"/>
              </w:rPr>
              <w:t>, mm</w:t>
            </w:r>
          </w:p>
        </w:tc>
        <w:tc>
          <w:tcPr>
            <w:tcW w:w="2254" w:type="dxa"/>
          </w:tcPr>
          <w:p w14:paraId="0C68996F" w14:textId="77777777" w:rsidR="00B673E4" w:rsidRPr="002955D3" w:rsidRDefault="00B673E4" w:rsidP="00413A8D">
            <w:pPr>
              <w:rPr>
                <w:rFonts w:ascii="Arial" w:hAnsi="Arial" w:cs="Arial"/>
              </w:rPr>
            </w:pPr>
            <w:r w:rsidRPr="002955D3">
              <w:rPr>
                <w:rFonts w:ascii="Arial" w:hAnsi="Arial" w:cs="Arial"/>
              </w:rPr>
              <w:t>2.2521±0.48</w:t>
            </w:r>
          </w:p>
        </w:tc>
        <w:tc>
          <w:tcPr>
            <w:tcW w:w="2254" w:type="dxa"/>
          </w:tcPr>
          <w:p w14:paraId="23D2F1EC" w14:textId="77777777" w:rsidR="00B673E4" w:rsidRPr="002955D3" w:rsidRDefault="00B673E4" w:rsidP="00413A8D">
            <w:pPr>
              <w:rPr>
                <w:rFonts w:ascii="Arial" w:hAnsi="Arial" w:cs="Arial"/>
              </w:rPr>
            </w:pPr>
            <w:r w:rsidRPr="002955D3">
              <w:rPr>
                <w:rFonts w:ascii="Arial" w:hAnsi="Arial" w:cs="Arial"/>
              </w:rPr>
              <w:t>2.50±0.61</w:t>
            </w:r>
          </w:p>
        </w:tc>
        <w:tc>
          <w:tcPr>
            <w:tcW w:w="2254" w:type="dxa"/>
          </w:tcPr>
          <w:p w14:paraId="6E979FDB" w14:textId="77777777" w:rsidR="00B673E4" w:rsidRPr="002955D3" w:rsidRDefault="00B673E4" w:rsidP="00413A8D">
            <w:pPr>
              <w:rPr>
                <w:rFonts w:ascii="Arial" w:hAnsi="Arial" w:cs="Arial"/>
              </w:rPr>
            </w:pPr>
            <w:r w:rsidRPr="002955D3">
              <w:rPr>
                <w:rFonts w:ascii="Arial" w:hAnsi="Arial" w:cs="Arial"/>
              </w:rPr>
              <w:t>0.1</w:t>
            </w:r>
          </w:p>
        </w:tc>
      </w:tr>
      <w:tr w:rsidR="00B673E4" w:rsidRPr="002955D3" w14:paraId="7703DEEA" w14:textId="77777777" w:rsidTr="00413A8D">
        <w:tc>
          <w:tcPr>
            <w:tcW w:w="2254" w:type="dxa"/>
          </w:tcPr>
          <w:p w14:paraId="2D04BCDE" w14:textId="77777777" w:rsidR="00B673E4" w:rsidRPr="002955D3" w:rsidRDefault="00B673E4" w:rsidP="00413A8D">
            <w:pPr>
              <w:rPr>
                <w:rFonts w:ascii="Arial" w:hAnsi="Arial" w:cs="Arial"/>
              </w:rPr>
            </w:pPr>
            <w:r w:rsidRPr="002955D3">
              <w:rPr>
                <w:rFonts w:ascii="Arial" w:hAnsi="Arial" w:cs="Arial"/>
              </w:rPr>
              <w:t xml:space="preserve">Pre-treatment systolic V max, </w:t>
            </w:r>
            <w:proofErr w:type="spellStart"/>
            <w:r w:rsidRPr="002955D3">
              <w:rPr>
                <w:rFonts w:ascii="Arial" w:hAnsi="Arial" w:cs="Arial"/>
              </w:rPr>
              <w:t>mean±</w:t>
            </w:r>
            <w:proofErr w:type="gramStart"/>
            <w:r w:rsidRPr="002955D3">
              <w:rPr>
                <w:rFonts w:ascii="Arial" w:hAnsi="Arial" w:cs="Arial"/>
              </w:rPr>
              <w:t>SD,m</w:t>
            </w:r>
            <w:proofErr w:type="spellEnd"/>
            <w:proofErr w:type="gramEnd"/>
            <w:r w:rsidRPr="002955D3">
              <w:rPr>
                <w:rFonts w:ascii="Arial" w:hAnsi="Arial" w:cs="Arial"/>
              </w:rPr>
              <w:t>/s</w:t>
            </w:r>
          </w:p>
        </w:tc>
        <w:tc>
          <w:tcPr>
            <w:tcW w:w="2254" w:type="dxa"/>
          </w:tcPr>
          <w:p w14:paraId="29CE671E" w14:textId="77777777" w:rsidR="00B673E4" w:rsidRPr="002955D3" w:rsidRDefault="00B673E4" w:rsidP="00413A8D">
            <w:pPr>
              <w:rPr>
                <w:rFonts w:ascii="Arial" w:hAnsi="Arial" w:cs="Arial"/>
              </w:rPr>
            </w:pPr>
            <w:r w:rsidRPr="002955D3">
              <w:rPr>
                <w:rFonts w:ascii="Arial" w:hAnsi="Arial" w:cs="Arial"/>
              </w:rPr>
              <w:t>1.5478±0.67</w:t>
            </w:r>
          </w:p>
        </w:tc>
        <w:tc>
          <w:tcPr>
            <w:tcW w:w="2254" w:type="dxa"/>
          </w:tcPr>
          <w:p w14:paraId="6E56B4E6" w14:textId="77777777" w:rsidR="00B673E4" w:rsidRPr="002955D3" w:rsidRDefault="00B673E4" w:rsidP="00413A8D">
            <w:pPr>
              <w:rPr>
                <w:rFonts w:ascii="Arial" w:hAnsi="Arial" w:cs="Arial"/>
              </w:rPr>
            </w:pPr>
            <w:r w:rsidRPr="002955D3">
              <w:rPr>
                <w:rFonts w:ascii="Arial" w:hAnsi="Arial" w:cs="Arial"/>
              </w:rPr>
              <w:t>1.6921±0.81</w:t>
            </w:r>
          </w:p>
        </w:tc>
        <w:tc>
          <w:tcPr>
            <w:tcW w:w="2254" w:type="dxa"/>
          </w:tcPr>
          <w:p w14:paraId="0F66D4F1" w14:textId="77777777" w:rsidR="00B673E4" w:rsidRPr="002955D3" w:rsidRDefault="00B673E4" w:rsidP="00413A8D">
            <w:pPr>
              <w:rPr>
                <w:rFonts w:ascii="Arial" w:hAnsi="Arial" w:cs="Arial"/>
              </w:rPr>
            </w:pPr>
            <w:r w:rsidRPr="002955D3">
              <w:rPr>
                <w:rFonts w:ascii="Arial" w:hAnsi="Arial" w:cs="Arial"/>
              </w:rPr>
              <w:t>0.6</w:t>
            </w:r>
          </w:p>
        </w:tc>
      </w:tr>
      <w:tr w:rsidR="00B673E4" w:rsidRPr="002955D3" w14:paraId="496E708A" w14:textId="77777777" w:rsidTr="00413A8D">
        <w:tc>
          <w:tcPr>
            <w:tcW w:w="2254" w:type="dxa"/>
          </w:tcPr>
          <w:p w14:paraId="6A8BAE24" w14:textId="77777777" w:rsidR="00B673E4" w:rsidRPr="002955D3" w:rsidRDefault="00B673E4" w:rsidP="00413A8D">
            <w:pPr>
              <w:rPr>
                <w:rFonts w:ascii="Arial" w:hAnsi="Arial" w:cs="Arial"/>
              </w:rPr>
            </w:pPr>
            <w:r w:rsidRPr="002955D3">
              <w:rPr>
                <w:rFonts w:ascii="Arial" w:hAnsi="Arial" w:cs="Arial"/>
              </w:rPr>
              <w:t xml:space="preserve">Pre-treatment D Vmax, </w:t>
            </w:r>
            <w:proofErr w:type="spellStart"/>
            <w:r w:rsidRPr="002955D3">
              <w:rPr>
                <w:rFonts w:ascii="Arial" w:hAnsi="Arial" w:cs="Arial"/>
              </w:rPr>
              <w:t>mean±</w:t>
            </w:r>
            <w:proofErr w:type="gramStart"/>
            <w:r w:rsidRPr="002955D3">
              <w:rPr>
                <w:rFonts w:ascii="Arial" w:hAnsi="Arial" w:cs="Arial"/>
              </w:rPr>
              <w:t>SD,m</w:t>
            </w:r>
            <w:proofErr w:type="spellEnd"/>
            <w:proofErr w:type="gramEnd"/>
            <w:r w:rsidRPr="002955D3">
              <w:rPr>
                <w:rFonts w:ascii="Arial" w:hAnsi="Arial" w:cs="Arial"/>
              </w:rPr>
              <w:t>/s</w:t>
            </w:r>
          </w:p>
        </w:tc>
        <w:tc>
          <w:tcPr>
            <w:tcW w:w="2254" w:type="dxa"/>
          </w:tcPr>
          <w:p w14:paraId="0BA49417" w14:textId="77777777" w:rsidR="00B673E4" w:rsidRPr="002955D3" w:rsidRDefault="00B673E4" w:rsidP="00413A8D">
            <w:pPr>
              <w:rPr>
                <w:rFonts w:ascii="Arial" w:hAnsi="Arial" w:cs="Arial"/>
              </w:rPr>
            </w:pPr>
            <w:r w:rsidRPr="002955D3">
              <w:rPr>
                <w:rFonts w:ascii="Arial" w:hAnsi="Arial" w:cs="Arial"/>
              </w:rPr>
              <w:t>0.67±0.36</w:t>
            </w:r>
          </w:p>
        </w:tc>
        <w:tc>
          <w:tcPr>
            <w:tcW w:w="2254" w:type="dxa"/>
          </w:tcPr>
          <w:p w14:paraId="43D1F73E" w14:textId="77777777" w:rsidR="00B673E4" w:rsidRPr="002955D3" w:rsidRDefault="00B673E4" w:rsidP="00413A8D">
            <w:pPr>
              <w:rPr>
                <w:rFonts w:ascii="Arial" w:hAnsi="Arial" w:cs="Arial"/>
              </w:rPr>
            </w:pPr>
            <w:r w:rsidRPr="002955D3">
              <w:rPr>
                <w:rFonts w:ascii="Arial" w:hAnsi="Arial" w:cs="Arial"/>
              </w:rPr>
              <w:t>0.51±0.34</w:t>
            </w:r>
          </w:p>
        </w:tc>
        <w:tc>
          <w:tcPr>
            <w:tcW w:w="2254" w:type="dxa"/>
          </w:tcPr>
          <w:p w14:paraId="6906EAE6" w14:textId="77777777" w:rsidR="00B673E4" w:rsidRPr="002955D3" w:rsidRDefault="00B673E4" w:rsidP="00413A8D">
            <w:pPr>
              <w:rPr>
                <w:rFonts w:ascii="Arial" w:hAnsi="Arial" w:cs="Arial"/>
              </w:rPr>
            </w:pPr>
            <w:r w:rsidRPr="002955D3">
              <w:rPr>
                <w:rFonts w:ascii="Arial" w:hAnsi="Arial" w:cs="Arial"/>
              </w:rPr>
              <w:t>0.2</w:t>
            </w:r>
          </w:p>
        </w:tc>
      </w:tr>
      <w:tr w:rsidR="00B673E4" w:rsidRPr="002955D3" w14:paraId="34C7001D" w14:textId="77777777" w:rsidTr="00413A8D">
        <w:tc>
          <w:tcPr>
            <w:tcW w:w="2254" w:type="dxa"/>
          </w:tcPr>
          <w:p w14:paraId="2CE0490F" w14:textId="77777777" w:rsidR="00B673E4" w:rsidRPr="002955D3" w:rsidRDefault="00B673E4" w:rsidP="00413A8D">
            <w:pPr>
              <w:rPr>
                <w:rFonts w:ascii="Arial" w:hAnsi="Arial" w:cs="Arial"/>
              </w:rPr>
            </w:pPr>
            <w:proofErr w:type="spellStart"/>
            <w:proofErr w:type="gramStart"/>
            <w:r w:rsidRPr="002955D3">
              <w:rPr>
                <w:rFonts w:ascii="Arial" w:hAnsi="Arial" w:cs="Arial"/>
              </w:rPr>
              <w:t>LVIDd,mm</w:t>
            </w:r>
            <w:proofErr w:type="spellEnd"/>
            <w:proofErr w:type="gramEnd"/>
            <w:r w:rsidRPr="002955D3">
              <w:rPr>
                <w:rFonts w:ascii="Arial" w:hAnsi="Arial" w:cs="Arial"/>
              </w:rPr>
              <w:t xml:space="preserve"> </w:t>
            </w:r>
            <w:proofErr w:type="spellStart"/>
            <w:r w:rsidRPr="002955D3">
              <w:rPr>
                <w:rFonts w:ascii="Arial" w:hAnsi="Arial" w:cs="Arial"/>
              </w:rPr>
              <w:t>mean±SD</w:t>
            </w:r>
            <w:proofErr w:type="spellEnd"/>
          </w:p>
        </w:tc>
        <w:tc>
          <w:tcPr>
            <w:tcW w:w="2254" w:type="dxa"/>
          </w:tcPr>
          <w:p w14:paraId="335F7FA5" w14:textId="77777777" w:rsidR="00B673E4" w:rsidRPr="002955D3" w:rsidRDefault="00B673E4" w:rsidP="00413A8D">
            <w:pPr>
              <w:rPr>
                <w:rFonts w:ascii="Arial" w:hAnsi="Arial" w:cs="Arial"/>
              </w:rPr>
            </w:pPr>
            <w:r w:rsidRPr="002955D3">
              <w:rPr>
                <w:rFonts w:ascii="Arial" w:hAnsi="Arial" w:cs="Arial"/>
              </w:rPr>
              <w:t>15.28±4.12</w:t>
            </w:r>
          </w:p>
        </w:tc>
        <w:tc>
          <w:tcPr>
            <w:tcW w:w="2254" w:type="dxa"/>
          </w:tcPr>
          <w:p w14:paraId="71B0A372" w14:textId="77777777" w:rsidR="00B673E4" w:rsidRPr="002955D3" w:rsidRDefault="00B673E4" w:rsidP="00413A8D">
            <w:pPr>
              <w:rPr>
                <w:rFonts w:ascii="Arial" w:hAnsi="Arial" w:cs="Arial"/>
              </w:rPr>
            </w:pPr>
            <w:r w:rsidRPr="002955D3">
              <w:rPr>
                <w:rFonts w:ascii="Arial" w:hAnsi="Arial" w:cs="Arial"/>
              </w:rPr>
              <w:t>14.71±3.0</w:t>
            </w:r>
          </w:p>
        </w:tc>
        <w:tc>
          <w:tcPr>
            <w:tcW w:w="2254" w:type="dxa"/>
          </w:tcPr>
          <w:p w14:paraId="207B49B2" w14:textId="77777777" w:rsidR="00B673E4" w:rsidRPr="002955D3" w:rsidRDefault="00B673E4" w:rsidP="00413A8D">
            <w:pPr>
              <w:rPr>
                <w:rFonts w:ascii="Arial" w:hAnsi="Arial" w:cs="Arial"/>
              </w:rPr>
            </w:pPr>
            <w:r w:rsidRPr="002955D3">
              <w:rPr>
                <w:rFonts w:ascii="Arial" w:hAnsi="Arial" w:cs="Arial"/>
              </w:rPr>
              <w:t>0.68</w:t>
            </w:r>
          </w:p>
        </w:tc>
      </w:tr>
      <w:tr w:rsidR="00B673E4" w:rsidRPr="002955D3" w14:paraId="7C0A9DB9" w14:textId="77777777" w:rsidTr="00413A8D">
        <w:tc>
          <w:tcPr>
            <w:tcW w:w="2254" w:type="dxa"/>
          </w:tcPr>
          <w:p w14:paraId="515C3931" w14:textId="77777777" w:rsidR="00B673E4" w:rsidRPr="002955D3" w:rsidRDefault="00B673E4" w:rsidP="00413A8D">
            <w:pPr>
              <w:rPr>
                <w:rFonts w:ascii="Arial" w:hAnsi="Arial" w:cs="Arial"/>
              </w:rPr>
            </w:pPr>
            <w:proofErr w:type="spellStart"/>
            <w:proofErr w:type="gramStart"/>
            <w:r w:rsidRPr="002955D3">
              <w:rPr>
                <w:rFonts w:ascii="Arial" w:hAnsi="Arial" w:cs="Arial"/>
              </w:rPr>
              <w:t>LVIDs,mm</w:t>
            </w:r>
            <w:proofErr w:type="spellEnd"/>
            <w:proofErr w:type="gramEnd"/>
            <w:r w:rsidRPr="002955D3">
              <w:rPr>
                <w:rFonts w:ascii="Arial" w:hAnsi="Arial" w:cs="Arial"/>
              </w:rPr>
              <w:t xml:space="preserve"> </w:t>
            </w:r>
            <w:proofErr w:type="spellStart"/>
            <w:r w:rsidRPr="002955D3">
              <w:rPr>
                <w:rFonts w:ascii="Arial" w:hAnsi="Arial" w:cs="Arial"/>
              </w:rPr>
              <w:t>mean±SD</w:t>
            </w:r>
            <w:proofErr w:type="spellEnd"/>
          </w:p>
        </w:tc>
        <w:tc>
          <w:tcPr>
            <w:tcW w:w="2254" w:type="dxa"/>
          </w:tcPr>
          <w:p w14:paraId="5A0AF2C7" w14:textId="77777777" w:rsidR="00B673E4" w:rsidRPr="002955D3" w:rsidRDefault="00B673E4" w:rsidP="00413A8D">
            <w:pPr>
              <w:rPr>
                <w:rFonts w:ascii="Arial" w:hAnsi="Arial" w:cs="Arial"/>
              </w:rPr>
            </w:pPr>
            <w:r w:rsidRPr="002955D3">
              <w:rPr>
                <w:rFonts w:ascii="Arial" w:hAnsi="Arial" w:cs="Arial"/>
              </w:rPr>
              <w:t>10.04±2.88</w:t>
            </w:r>
          </w:p>
        </w:tc>
        <w:tc>
          <w:tcPr>
            <w:tcW w:w="2254" w:type="dxa"/>
          </w:tcPr>
          <w:p w14:paraId="71109E4C" w14:textId="77777777" w:rsidR="00B673E4" w:rsidRPr="002955D3" w:rsidRDefault="00B673E4" w:rsidP="00413A8D">
            <w:pPr>
              <w:rPr>
                <w:rFonts w:ascii="Arial" w:hAnsi="Arial" w:cs="Arial"/>
              </w:rPr>
            </w:pPr>
            <w:r w:rsidRPr="002955D3">
              <w:rPr>
                <w:rFonts w:ascii="Arial" w:hAnsi="Arial" w:cs="Arial"/>
              </w:rPr>
              <w:t>9.21±2.26</w:t>
            </w:r>
          </w:p>
        </w:tc>
        <w:tc>
          <w:tcPr>
            <w:tcW w:w="2254" w:type="dxa"/>
          </w:tcPr>
          <w:p w14:paraId="2595B9EE" w14:textId="77777777" w:rsidR="00B673E4" w:rsidRPr="002955D3" w:rsidRDefault="00B673E4" w:rsidP="00413A8D">
            <w:pPr>
              <w:rPr>
                <w:rFonts w:ascii="Arial" w:hAnsi="Arial" w:cs="Arial"/>
              </w:rPr>
            </w:pPr>
            <w:r w:rsidRPr="002955D3">
              <w:rPr>
                <w:rFonts w:ascii="Arial" w:hAnsi="Arial" w:cs="Arial"/>
              </w:rPr>
              <w:t>0.40</w:t>
            </w:r>
          </w:p>
        </w:tc>
      </w:tr>
      <w:tr w:rsidR="00B673E4" w:rsidRPr="002955D3" w14:paraId="064C8021" w14:textId="77777777" w:rsidTr="00413A8D">
        <w:tc>
          <w:tcPr>
            <w:tcW w:w="2254" w:type="dxa"/>
          </w:tcPr>
          <w:p w14:paraId="3E51C03D" w14:textId="77777777" w:rsidR="00B673E4" w:rsidRPr="002955D3" w:rsidRDefault="00B673E4" w:rsidP="00413A8D">
            <w:pPr>
              <w:rPr>
                <w:rFonts w:ascii="Arial" w:hAnsi="Arial" w:cs="Arial"/>
              </w:rPr>
            </w:pPr>
            <w:r w:rsidRPr="002955D3">
              <w:rPr>
                <w:rFonts w:ascii="Arial" w:hAnsi="Arial" w:cs="Arial"/>
              </w:rPr>
              <w:t xml:space="preserve">LV EF, </w:t>
            </w:r>
            <w:proofErr w:type="spellStart"/>
            <w:r w:rsidRPr="002955D3">
              <w:rPr>
                <w:rFonts w:ascii="Arial" w:hAnsi="Arial" w:cs="Arial"/>
              </w:rPr>
              <w:t>mean±</w:t>
            </w:r>
            <w:proofErr w:type="gramStart"/>
            <w:r w:rsidRPr="002955D3">
              <w:rPr>
                <w:rFonts w:ascii="Arial" w:hAnsi="Arial" w:cs="Arial"/>
              </w:rPr>
              <w:t>SD</w:t>
            </w:r>
            <w:proofErr w:type="spellEnd"/>
            <w:r w:rsidRPr="002955D3">
              <w:rPr>
                <w:rFonts w:ascii="Arial" w:hAnsi="Arial" w:cs="Arial"/>
              </w:rPr>
              <w:t>,%</w:t>
            </w:r>
            <w:proofErr w:type="gramEnd"/>
          </w:p>
        </w:tc>
        <w:tc>
          <w:tcPr>
            <w:tcW w:w="2254" w:type="dxa"/>
          </w:tcPr>
          <w:p w14:paraId="6148ABB7" w14:textId="77777777" w:rsidR="00B673E4" w:rsidRPr="002955D3" w:rsidRDefault="00B673E4" w:rsidP="00413A8D">
            <w:pPr>
              <w:rPr>
                <w:rFonts w:ascii="Arial" w:hAnsi="Arial" w:cs="Arial"/>
              </w:rPr>
            </w:pPr>
            <w:r w:rsidRPr="002955D3">
              <w:rPr>
                <w:rFonts w:ascii="Arial" w:hAnsi="Arial" w:cs="Arial"/>
              </w:rPr>
              <w:t>66.95±7.33</w:t>
            </w:r>
          </w:p>
        </w:tc>
        <w:tc>
          <w:tcPr>
            <w:tcW w:w="2254" w:type="dxa"/>
          </w:tcPr>
          <w:p w14:paraId="3BF0773A" w14:textId="77777777" w:rsidR="00B673E4" w:rsidRPr="002955D3" w:rsidRDefault="00B673E4" w:rsidP="00413A8D">
            <w:pPr>
              <w:rPr>
                <w:rFonts w:ascii="Arial" w:hAnsi="Arial" w:cs="Arial"/>
              </w:rPr>
            </w:pPr>
            <w:r w:rsidRPr="002955D3">
              <w:rPr>
                <w:rFonts w:ascii="Arial" w:hAnsi="Arial" w:cs="Arial"/>
              </w:rPr>
              <w:t>71.17±8.53</w:t>
            </w:r>
          </w:p>
        </w:tc>
        <w:tc>
          <w:tcPr>
            <w:tcW w:w="2254" w:type="dxa"/>
          </w:tcPr>
          <w:p w14:paraId="131ACD8E" w14:textId="77777777" w:rsidR="00B673E4" w:rsidRPr="002955D3" w:rsidRDefault="00B673E4" w:rsidP="00413A8D">
            <w:pPr>
              <w:rPr>
                <w:rFonts w:ascii="Arial" w:hAnsi="Arial" w:cs="Arial"/>
              </w:rPr>
            </w:pPr>
            <w:r w:rsidRPr="002955D3">
              <w:rPr>
                <w:rFonts w:ascii="Arial" w:hAnsi="Arial" w:cs="Arial"/>
              </w:rPr>
              <w:t>0.14</w:t>
            </w:r>
          </w:p>
        </w:tc>
      </w:tr>
      <w:tr w:rsidR="00B673E4" w:rsidRPr="002955D3" w14:paraId="52921BA0" w14:textId="77777777" w:rsidTr="00413A8D">
        <w:tc>
          <w:tcPr>
            <w:tcW w:w="2254" w:type="dxa"/>
          </w:tcPr>
          <w:p w14:paraId="3FDC26AA" w14:textId="77777777" w:rsidR="00B673E4" w:rsidRPr="002955D3" w:rsidRDefault="00B673E4" w:rsidP="00413A8D">
            <w:pPr>
              <w:rPr>
                <w:rFonts w:ascii="Arial" w:hAnsi="Arial" w:cs="Arial"/>
              </w:rPr>
            </w:pPr>
            <w:r w:rsidRPr="002955D3">
              <w:rPr>
                <w:rFonts w:ascii="Arial" w:hAnsi="Arial" w:cs="Arial"/>
              </w:rPr>
              <w:t xml:space="preserve">MPA Vmax, </w:t>
            </w:r>
            <w:proofErr w:type="spellStart"/>
            <w:r w:rsidRPr="002955D3">
              <w:rPr>
                <w:rFonts w:ascii="Arial" w:hAnsi="Arial" w:cs="Arial"/>
              </w:rPr>
              <w:t>mean±</w:t>
            </w:r>
            <w:proofErr w:type="gramStart"/>
            <w:r w:rsidRPr="002955D3">
              <w:rPr>
                <w:rFonts w:ascii="Arial" w:hAnsi="Arial" w:cs="Arial"/>
              </w:rPr>
              <w:t>SD,m</w:t>
            </w:r>
            <w:proofErr w:type="spellEnd"/>
            <w:proofErr w:type="gramEnd"/>
            <w:r w:rsidRPr="002955D3">
              <w:rPr>
                <w:rFonts w:ascii="Arial" w:hAnsi="Arial" w:cs="Arial"/>
              </w:rPr>
              <w:t>/s</w:t>
            </w:r>
          </w:p>
        </w:tc>
        <w:tc>
          <w:tcPr>
            <w:tcW w:w="2254" w:type="dxa"/>
          </w:tcPr>
          <w:p w14:paraId="7BC415D4" w14:textId="77777777" w:rsidR="00B673E4" w:rsidRPr="002955D3" w:rsidRDefault="00B673E4" w:rsidP="00413A8D">
            <w:pPr>
              <w:rPr>
                <w:rFonts w:ascii="Arial" w:hAnsi="Arial" w:cs="Arial"/>
              </w:rPr>
            </w:pPr>
            <w:r w:rsidRPr="002955D3">
              <w:rPr>
                <w:rFonts w:ascii="Arial" w:hAnsi="Arial" w:cs="Arial"/>
              </w:rPr>
              <w:t>0.89±0.29</w:t>
            </w:r>
          </w:p>
        </w:tc>
        <w:tc>
          <w:tcPr>
            <w:tcW w:w="2254" w:type="dxa"/>
          </w:tcPr>
          <w:p w14:paraId="2C86708F" w14:textId="77777777" w:rsidR="00B673E4" w:rsidRPr="002955D3" w:rsidRDefault="00B673E4" w:rsidP="00413A8D">
            <w:pPr>
              <w:rPr>
                <w:rFonts w:ascii="Arial" w:hAnsi="Arial" w:cs="Arial"/>
              </w:rPr>
            </w:pPr>
            <w:r w:rsidRPr="002955D3">
              <w:rPr>
                <w:rFonts w:ascii="Arial" w:hAnsi="Arial" w:cs="Arial"/>
              </w:rPr>
              <w:t>1.08±0.29</w:t>
            </w:r>
          </w:p>
        </w:tc>
        <w:tc>
          <w:tcPr>
            <w:tcW w:w="2254" w:type="dxa"/>
          </w:tcPr>
          <w:p w14:paraId="3C98F23E" w14:textId="77777777" w:rsidR="00B673E4" w:rsidRPr="002955D3" w:rsidRDefault="00B673E4" w:rsidP="00413A8D">
            <w:pPr>
              <w:rPr>
                <w:rFonts w:ascii="Arial" w:hAnsi="Arial" w:cs="Arial"/>
              </w:rPr>
            </w:pPr>
            <w:r w:rsidRPr="002955D3">
              <w:rPr>
                <w:rFonts w:ascii="Arial" w:hAnsi="Arial" w:cs="Arial"/>
              </w:rPr>
              <w:t>0.11</w:t>
            </w:r>
          </w:p>
        </w:tc>
      </w:tr>
      <w:tr w:rsidR="00B673E4" w:rsidRPr="002955D3" w14:paraId="0009CF8C" w14:textId="77777777" w:rsidTr="00413A8D">
        <w:tc>
          <w:tcPr>
            <w:tcW w:w="2254" w:type="dxa"/>
          </w:tcPr>
          <w:p w14:paraId="4A3AA091" w14:textId="77777777" w:rsidR="00B673E4" w:rsidRPr="002955D3" w:rsidRDefault="00B673E4" w:rsidP="00413A8D">
            <w:pPr>
              <w:rPr>
                <w:rFonts w:ascii="Arial" w:hAnsi="Arial" w:cs="Arial"/>
              </w:rPr>
            </w:pPr>
            <w:r w:rsidRPr="002955D3">
              <w:rPr>
                <w:rFonts w:ascii="Arial" w:hAnsi="Arial" w:cs="Arial"/>
              </w:rPr>
              <w:t xml:space="preserve">ASC Ao Vmax, </w:t>
            </w:r>
            <w:proofErr w:type="spellStart"/>
            <w:r w:rsidRPr="002955D3">
              <w:rPr>
                <w:rFonts w:ascii="Arial" w:hAnsi="Arial" w:cs="Arial"/>
              </w:rPr>
              <w:t>mean±</w:t>
            </w:r>
            <w:proofErr w:type="gramStart"/>
            <w:r w:rsidRPr="002955D3">
              <w:rPr>
                <w:rFonts w:ascii="Arial" w:hAnsi="Arial" w:cs="Arial"/>
              </w:rPr>
              <w:t>SD,m</w:t>
            </w:r>
            <w:proofErr w:type="spellEnd"/>
            <w:proofErr w:type="gramEnd"/>
            <w:r w:rsidRPr="002955D3">
              <w:rPr>
                <w:rFonts w:ascii="Arial" w:hAnsi="Arial" w:cs="Arial"/>
              </w:rPr>
              <w:t>/s</w:t>
            </w:r>
          </w:p>
        </w:tc>
        <w:tc>
          <w:tcPr>
            <w:tcW w:w="2254" w:type="dxa"/>
          </w:tcPr>
          <w:p w14:paraId="462EB38A" w14:textId="77777777" w:rsidR="00B673E4" w:rsidRPr="002955D3" w:rsidRDefault="00B673E4" w:rsidP="00413A8D">
            <w:pPr>
              <w:rPr>
                <w:rFonts w:ascii="Arial" w:hAnsi="Arial" w:cs="Arial"/>
              </w:rPr>
            </w:pPr>
            <w:r w:rsidRPr="002955D3">
              <w:rPr>
                <w:rFonts w:ascii="Arial" w:hAnsi="Arial" w:cs="Arial"/>
              </w:rPr>
              <w:t>1.05±0.31</w:t>
            </w:r>
          </w:p>
        </w:tc>
        <w:tc>
          <w:tcPr>
            <w:tcW w:w="2254" w:type="dxa"/>
          </w:tcPr>
          <w:p w14:paraId="08AA9F4F" w14:textId="77777777" w:rsidR="00B673E4" w:rsidRPr="002955D3" w:rsidRDefault="00B673E4" w:rsidP="00413A8D">
            <w:pPr>
              <w:rPr>
                <w:rFonts w:ascii="Arial" w:hAnsi="Arial" w:cs="Arial"/>
              </w:rPr>
            </w:pPr>
            <w:r w:rsidRPr="002955D3">
              <w:rPr>
                <w:rFonts w:ascii="Arial" w:hAnsi="Arial" w:cs="Arial"/>
              </w:rPr>
              <w:t>1.17±0.24</w:t>
            </w:r>
          </w:p>
        </w:tc>
        <w:tc>
          <w:tcPr>
            <w:tcW w:w="2254" w:type="dxa"/>
          </w:tcPr>
          <w:p w14:paraId="14AE5BF0" w14:textId="77777777" w:rsidR="00B673E4" w:rsidRPr="002955D3" w:rsidRDefault="00B673E4" w:rsidP="00413A8D">
            <w:pPr>
              <w:rPr>
                <w:rFonts w:ascii="Arial" w:hAnsi="Arial" w:cs="Arial"/>
              </w:rPr>
            </w:pPr>
            <w:r w:rsidRPr="002955D3">
              <w:rPr>
                <w:rFonts w:ascii="Arial" w:hAnsi="Arial" w:cs="Arial"/>
              </w:rPr>
              <w:t>0.31</w:t>
            </w:r>
          </w:p>
        </w:tc>
      </w:tr>
      <w:tr w:rsidR="00B673E4" w:rsidRPr="002955D3" w14:paraId="7C862AAC" w14:textId="77777777" w:rsidTr="00413A8D">
        <w:tc>
          <w:tcPr>
            <w:tcW w:w="2254" w:type="dxa"/>
          </w:tcPr>
          <w:p w14:paraId="136BDAAB" w14:textId="77777777" w:rsidR="00B673E4" w:rsidRPr="002955D3" w:rsidRDefault="00B673E4" w:rsidP="00413A8D">
            <w:pPr>
              <w:rPr>
                <w:rFonts w:ascii="Arial" w:hAnsi="Arial" w:cs="Arial"/>
              </w:rPr>
            </w:pPr>
            <w:r w:rsidRPr="002955D3">
              <w:rPr>
                <w:rFonts w:ascii="Arial" w:hAnsi="Arial" w:cs="Arial"/>
              </w:rPr>
              <w:t xml:space="preserve">Desc Ao Vmax, </w:t>
            </w:r>
            <w:proofErr w:type="spellStart"/>
            <w:r w:rsidRPr="002955D3">
              <w:rPr>
                <w:rFonts w:ascii="Arial" w:hAnsi="Arial" w:cs="Arial"/>
              </w:rPr>
              <w:t>mean±</w:t>
            </w:r>
            <w:proofErr w:type="gramStart"/>
            <w:r w:rsidRPr="002955D3">
              <w:rPr>
                <w:rFonts w:ascii="Arial" w:hAnsi="Arial" w:cs="Arial"/>
              </w:rPr>
              <w:t>SD,m</w:t>
            </w:r>
            <w:proofErr w:type="spellEnd"/>
            <w:proofErr w:type="gramEnd"/>
            <w:r w:rsidRPr="002955D3">
              <w:rPr>
                <w:rFonts w:ascii="Arial" w:hAnsi="Arial" w:cs="Arial"/>
              </w:rPr>
              <w:t>/s</w:t>
            </w:r>
          </w:p>
        </w:tc>
        <w:tc>
          <w:tcPr>
            <w:tcW w:w="2254" w:type="dxa"/>
          </w:tcPr>
          <w:p w14:paraId="2BB09D6D" w14:textId="77777777" w:rsidR="00B673E4" w:rsidRPr="002955D3" w:rsidRDefault="00B673E4" w:rsidP="00413A8D">
            <w:pPr>
              <w:rPr>
                <w:rFonts w:ascii="Arial" w:hAnsi="Arial" w:cs="Arial"/>
              </w:rPr>
            </w:pPr>
            <w:r w:rsidRPr="002955D3">
              <w:rPr>
                <w:rFonts w:ascii="Arial" w:hAnsi="Arial" w:cs="Arial"/>
              </w:rPr>
              <w:t>1.15±0.40</w:t>
            </w:r>
          </w:p>
        </w:tc>
        <w:tc>
          <w:tcPr>
            <w:tcW w:w="2254" w:type="dxa"/>
          </w:tcPr>
          <w:p w14:paraId="319434C9" w14:textId="77777777" w:rsidR="00B673E4" w:rsidRPr="002955D3" w:rsidRDefault="00B673E4" w:rsidP="00413A8D">
            <w:pPr>
              <w:rPr>
                <w:rFonts w:ascii="Arial" w:hAnsi="Arial" w:cs="Arial"/>
              </w:rPr>
            </w:pPr>
            <w:r w:rsidRPr="002955D3">
              <w:rPr>
                <w:rFonts w:ascii="Arial" w:hAnsi="Arial" w:cs="Arial"/>
              </w:rPr>
              <w:t>1.28±0.38</w:t>
            </w:r>
          </w:p>
        </w:tc>
        <w:tc>
          <w:tcPr>
            <w:tcW w:w="2254" w:type="dxa"/>
          </w:tcPr>
          <w:p w14:paraId="1DB9D0A6" w14:textId="77777777" w:rsidR="00B673E4" w:rsidRPr="002955D3" w:rsidRDefault="00B673E4" w:rsidP="00413A8D">
            <w:pPr>
              <w:rPr>
                <w:rFonts w:ascii="Arial" w:hAnsi="Arial" w:cs="Arial"/>
              </w:rPr>
            </w:pPr>
            <w:r w:rsidRPr="002955D3">
              <w:rPr>
                <w:rFonts w:ascii="Arial" w:hAnsi="Arial" w:cs="Arial"/>
              </w:rPr>
              <w:t>0.39</w:t>
            </w:r>
          </w:p>
        </w:tc>
      </w:tr>
      <w:tr w:rsidR="00B673E4" w:rsidRPr="002955D3" w14:paraId="4D1AA0F5" w14:textId="77777777" w:rsidTr="00413A8D">
        <w:tc>
          <w:tcPr>
            <w:tcW w:w="2254" w:type="dxa"/>
          </w:tcPr>
          <w:p w14:paraId="421FF56E" w14:textId="77777777" w:rsidR="00B673E4" w:rsidRPr="002955D3" w:rsidRDefault="00B673E4" w:rsidP="00413A8D">
            <w:pPr>
              <w:rPr>
                <w:rFonts w:ascii="Arial" w:hAnsi="Arial" w:cs="Arial"/>
              </w:rPr>
            </w:pPr>
            <w:r w:rsidRPr="002955D3">
              <w:rPr>
                <w:rFonts w:ascii="Arial" w:hAnsi="Arial" w:cs="Arial"/>
              </w:rPr>
              <w:lastRenderedPageBreak/>
              <w:t xml:space="preserve">FS, </w:t>
            </w:r>
            <w:proofErr w:type="spellStart"/>
            <w:r w:rsidRPr="002955D3">
              <w:rPr>
                <w:rFonts w:ascii="Arial" w:hAnsi="Arial" w:cs="Arial"/>
              </w:rPr>
              <w:t>mean±</w:t>
            </w:r>
            <w:proofErr w:type="gramStart"/>
            <w:r w:rsidRPr="002955D3">
              <w:rPr>
                <w:rFonts w:ascii="Arial" w:hAnsi="Arial" w:cs="Arial"/>
              </w:rPr>
              <w:t>SD</w:t>
            </w:r>
            <w:proofErr w:type="spellEnd"/>
            <w:r w:rsidRPr="002955D3">
              <w:rPr>
                <w:rFonts w:ascii="Arial" w:hAnsi="Arial" w:cs="Arial"/>
              </w:rPr>
              <w:t>,%</w:t>
            </w:r>
            <w:proofErr w:type="gramEnd"/>
          </w:p>
        </w:tc>
        <w:tc>
          <w:tcPr>
            <w:tcW w:w="2254" w:type="dxa"/>
          </w:tcPr>
          <w:p w14:paraId="5F175AFF" w14:textId="77777777" w:rsidR="00B673E4" w:rsidRPr="002955D3" w:rsidRDefault="00B673E4" w:rsidP="00413A8D">
            <w:pPr>
              <w:rPr>
                <w:rFonts w:ascii="Arial" w:hAnsi="Arial" w:cs="Arial"/>
              </w:rPr>
            </w:pPr>
            <w:r w:rsidRPr="002955D3">
              <w:rPr>
                <w:rFonts w:ascii="Arial" w:hAnsi="Arial" w:cs="Arial"/>
              </w:rPr>
              <w:t>34.33±5.31</w:t>
            </w:r>
          </w:p>
        </w:tc>
        <w:tc>
          <w:tcPr>
            <w:tcW w:w="2254" w:type="dxa"/>
          </w:tcPr>
          <w:p w14:paraId="1E0AC0E8" w14:textId="77777777" w:rsidR="00B673E4" w:rsidRPr="002955D3" w:rsidRDefault="00B673E4" w:rsidP="00413A8D">
            <w:pPr>
              <w:rPr>
                <w:rFonts w:ascii="Arial" w:hAnsi="Arial" w:cs="Arial"/>
              </w:rPr>
            </w:pPr>
            <w:r w:rsidRPr="002955D3">
              <w:rPr>
                <w:rFonts w:ascii="Arial" w:hAnsi="Arial" w:cs="Arial"/>
              </w:rPr>
              <w:t>37.80±7.11</w:t>
            </w:r>
          </w:p>
        </w:tc>
        <w:tc>
          <w:tcPr>
            <w:tcW w:w="2254" w:type="dxa"/>
          </w:tcPr>
          <w:p w14:paraId="1D9736B6" w14:textId="77777777" w:rsidR="00B673E4" w:rsidRPr="002955D3" w:rsidRDefault="00B673E4" w:rsidP="00413A8D">
            <w:pPr>
              <w:rPr>
                <w:rFonts w:ascii="Arial" w:hAnsi="Arial" w:cs="Arial"/>
              </w:rPr>
            </w:pPr>
            <w:r w:rsidRPr="002955D3">
              <w:rPr>
                <w:rFonts w:ascii="Arial" w:hAnsi="Arial" w:cs="Arial"/>
              </w:rPr>
              <w:t>0.11</w:t>
            </w:r>
          </w:p>
        </w:tc>
      </w:tr>
    </w:tbl>
    <w:p w14:paraId="119DC3BA" w14:textId="77777777" w:rsidR="00B673E4" w:rsidRPr="002955D3" w:rsidRDefault="00B673E4" w:rsidP="00B673E4">
      <w:pPr>
        <w:rPr>
          <w:rFonts w:ascii="Arial" w:hAnsi="Arial" w:cs="Arial"/>
          <w:sz w:val="22"/>
          <w:szCs w:val="22"/>
        </w:rPr>
      </w:pPr>
      <w:proofErr w:type="spellStart"/>
      <w:r w:rsidRPr="002955D3">
        <w:rPr>
          <w:rFonts w:ascii="Arial" w:hAnsi="Arial" w:cs="Arial"/>
          <w:sz w:val="22"/>
          <w:szCs w:val="22"/>
        </w:rPr>
        <w:t>LVIDd</w:t>
      </w:r>
      <w:proofErr w:type="spellEnd"/>
      <w:r w:rsidRPr="002955D3">
        <w:rPr>
          <w:rFonts w:ascii="Arial" w:hAnsi="Arial" w:cs="Arial"/>
          <w:sz w:val="22"/>
          <w:szCs w:val="22"/>
        </w:rPr>
        <w:t xml:space="preserve">- left ventricular internal diameter in end diastole, LVIDs- left ventricular internal diameter in end systole, LVEF- left ventricle ejection fraction, MPA Vmax- main pulmonary artery maximum velocity, </w:t>
      </w:r>
      <w:proofErr w:type="spellStart"/>
      <w:r w:rsidRPr="002955D3">
        <w:rPr>
          <w:rFonts w:ascii="Arial" w:hAnsi="Arial" w:cs="Arial"/>
          <w:sz w:val="22"/>
          <w:szCs w:val="22"/>
        </w:rPr>
        <w:t>Asc</w:t>
      </w:r>
      <w:proofErr w:type="spellEnd"/>
      <w:r w:rsidRPr="002955D3">
        <w:rPr>
          <w:rFonts w:ascii="Arial" w:hAnsi="Arial" w:cs="Arial"/>
          <w:sz w:val="22"/>
          <w:szCs w:val="22"/>
        </w:rPr>
        <w:t xml:space="preserve"> Ao Vmax- ascending aorta maximum velocity, Desc Ao Vmax- descending aorta maximum velocity, FS- fractional shortening</w:t>
      </w:r>
    </w:p>
    <w:p w14:paraId="22ABABE3" w14:textId="77777777" w:rsidR="00B673E4" w:rsidRPr="002955D3" w:rsidRDefault="00B673E4" w:rsidP="00B673E4">
      <w:pPr>
        <w:rPr>
          <w:rFonts w:ascii="Arial" w:hAnsi="Arial" w:cs="Arial"/>
          <w:sz w:val="22"/>
          <w:szCs w:val="22"/>
        </w:rPr>
      </w:pPr>
    </w:p>
    <w:p w14:paraId="5B5CAD7A" w14:textId="77777777" w:rsidR="00B673E4" w:rsidRPr="002955D3" w:rsidRDefault="00B673E4" w:rsidP="00B673E4">
      <w:pPr>
        <w:rPr>
          <w:rFonts w:ascii="Arial" w:hAnsi="Arial" w:cs="Arial"/>
          <w:sz w:val="22"/>
          <w:szCs w:val="22"/>
        </w:rPr>
      </w:pPr>
      <w:r w:rsidRPr="002955D3">
        <w:rPr>
          <w:rFonts w:ascii="Arial" w:hAnsi="Arial" w:cs="Arial"/>
          <w:sz w:val="22"/>
          <w:szCs w:val="22"/>
        </w:rPr>
        <w:t>Table 4; Regression analysis in early and late therapy group.</w:t>
      </w:r>
    </w:p>
    <w:p w14:paraId="0D77F64B" w14:textId="77777777" w:rsidR="00B673E4" w:rsidRPr="002955D3" w:rsidRDefault="00B673E4" w:rsidP="00B673E4">
      <w:pPr>
        <w:rPr>
          <w:rFonts w:ascii="Arial" w:hAnsi="Arial" w:cs="Arial"/>
          <w:sz w:val="22"/>
          <w:szCs w:val="22"/>
        </w:rPr>
      </w:pPr>
    </w:p>
    <w:tbl>
      <w:tblPr>
        <w:tblStyle w:val="TableGrid"/>
        <w:tblW w:w="0" w:type="auto"/>
        <w:tblLook w:val="04A0" w:firstRow="1" w:lastRow="0" w:firstColumn="1" w:lastColumn="0" w:noHBand="0" w:noVBand="1"/>
      </w:tblPr>
      <w:tblGrid>
        <w:gridCol w:w="2164"/>
        <w:gridCol w:w="2008"/>
        <w:gridCol w:w="2012"/>
        <w:gridCol w:w="2014"/>
      </w:tblGrid>
      <w:tr w:rsidR="00B673E4" w:rsidRPr="002955D3" w14:paraId="2EC89932" w14:textId="77777777" w:rsidTr="00413A8D">
        <w:tc>
          <w:tcPr>
            <w:tcW w:w="2308" w:type="dxa"/>
          </w:tcPr>
          <w:p w14:paraId="4E304DF9" w14:textId="77777777" w:rsidR="00B673E4" w:rsidRPr="002955D3" w:rsidRDefault="00B673E4" w:rsidP="00413A8D">
            <w:pPr>
              <w:ind w:right="60"/>
              <w:rPr>
                <w:rFonts w:ascii="Arial" w:hAnsi="Arial" w:cs="Arial"/>
              </w:rPr>
            </w:pPr>
          </w:p>
        </w:tc>
        <w:tc>
          <w:tcPr>
            <w:tcW w:w="2232" w:type="dxa"/>
          </w:tcPr>
          <w:p w14:paraId="2E2C222C" w14:textId="77777777" w:rsidR="00B673E4" w:rsidRPr="002955D3" w:rsidRDefault="00B673E4" w:rsidP="00413A8D">
            <w:pPr>
              <w:ind w:right="60"/>
              <w:rPr>
                <w:rFonts w:ascii="Arial" w:hAnsi="Arial" w:cs="Arial"/>
              </w:rPr>
            </w:pPr>
            <w:r w:rsidRPr="002955D3">
              <w:rPr>
                <w:rFonts w:ascii="Arial" w:hAnsi="Arial" w:cs="Arial"/>
              </w:rPr>
              <w:t>Odds ratio</w:t>
            </w:r>
          </w:p>
        </w:tc>
        <w:tc>
          <w:tcPr>
            <w:tcW w:w="2241" w:type="dxa"/>
          </w:tcPr>
          <w:p w14:paraId="6E27CE38" w14:textId="77777777" w:rsidR="00B673E4" w:rsidRPr="002955D3" w:rsidRDefault="00B673E4" w:rsidP="00413A8D">
            <w:pPr>
              <w:ind w:right="60"/>
              <w:rPr>
                <w:rFonts w:ascii="Arial" w:hAnsi="Arial" w:cs="Arial"/>
              </w:rPr>
            </w:pPr>
            <w:r w:rsidRPr="002955D3">
              <w:rPr>
                <w:rFonts w:ascii="Arial" w:hAnsi="Arial" w:cs="Arial"/>
              </w:rPr>
              <w:t>95% CI</w:t>
            </w:r>
          </w:p>
        </w:tc>
        <w:tc>
          <w:tcPr>
            <w:tcW w:w="2235" w:type="dxa"/>
          </w:tcPr>
          <w:p w14:paraId="081F2B31" w14:textId="77777777" w:rsidR="00B673E4" w:rsidRPr="002955D3" w:rsidRDefault="00B673E4" w:rsidP="00413A8D">
            <w:pPr>
              <w:ind w:right="60"/>
              <w:rPr>
                <w:rFonts w:ascii="Arial" w:hAnsi="Arial" w:cs="Arial"/>
              </w:rPr>
            </w:pPr>
            <w:r w:rsidRPr="002955D3">
              <w:rPr>
                <w:rFonts w:ascii="Arial" w:hAnsi="Arial" w:cs="Arial"/>
              </w:rPr>
              <w:t>P value</w:t>
            </w:r>
          </w:p>
        </w:tc>
      </w:tr>
      <w:tr w:rsidR="00B673E4" w:rsidRPr="002955D3" w14:paraId="525C2611" w14:textId="77777777" w:rsidTr="00413A8D">
        <w:tc>
          <w:tcPr>
            <w:tcW w:w="2308" w:type="dxa"/>
          </w:tcPr>
          <w:p w14:paraId="60A9D4F3" w14:textId="77777777" w:rsidR="00B673E4" w:rsidRPr="002955D3" w:rsidRDefault="00B673E4" w:rsidP="00413A8D">
            <w:pPr>
              <w:ind w:right="60"/>
              <w:rPr>
                <w:rFonts w:ascii="Arial" w:hAnsi="Arial" w:cs="Arial"/>
                <w:b/>
                <w:bCs/>
              </w:rPr>
            </w:pPr>
            <w:r w:rsidRPr="002955D3">
              <w:rPr>
                <w:rFonts w:ascii="Arial" w:hAnsi="Arial" w:cs="Arial"/>
                <w:b/>
                <w:bCs/>
              </w:rPr>
              <w:t>Early Therapy</w:t>
            </w:r>
          </w:p>
        </w:tc>
        <w:tc>
          <w:tcPr>
            <w:tcW w:w="2232" w:type="dxa"/>
          </w:tcPr>
          <w:p w14:paraId="6E5B5A8C" w14:textId="77777777" w:rsidR="00B673E4" w:rsidRPr="002955D3" w:rsidRDefault="00B673E4" w:rsidP="00413A8D">
            <w:pPr>
              <w:ind w:right="60"/>
              <w:rPr>
                <w:rFonts w:ascii="Arial" w:hAnsi="Arial" w:cs="Arial"/>
              </w:rPr>
            </w:pPr>
          </w:p>
        </w:tc>
        <w:tc>
          <w:tcPr>
            <w:tcW w:w="2241" w:type="dxa"/>
          </w:tcPr>
          <w:p w14:paraId="41AD98C2" w14:textId="77777777" w:rsidR="00B673E4" w:rsidRPr="002955D3" w:rsidRDefault="00B673E4" w:rsidP="00413A8D">
            <w:pPr>
              <w:ind w:right="60"/>
              <w:rPr>
                <w:rFonts w:ascii="Arial" w:hAnsi="Arial" w:cs="Arial"/>
              </w:rPr>
            </w:pPr>
          </w:p>
        </w:tc>
        <w:tc>
          <w:tcPr>
            <w:tcW w:w="2235" w:type="dxa"/>
          </w:tcPr>
          <w:p w14:paraId="3BCA1388" w14:textId="77777777" w:rsidR="00B673E4" w:rsidRPr="002955D3" w:rsidRDefault="00B673E4" w:rsidP="00413A8D">
            <w:pPr>
              <w:ind w:right="60"/>
              <w:rPr>
                <w:rFonts w:ascii="Arial" w:hAnsi="Arial" w:cs="Arial"/>
              </w:rPr>
            </w:pPr>
          </w:p>
        </w:tc>
      </w:tr>
      <w:tr w:rsidR="00B673E4" w:rsidRPr="002955D3" w14:paraId="77FF418E" w14:textId="77777777" w:rsidTr="00413A8D">
        <w:tc>
          <w:tcPr>
            <w:tcW w:w="2308" w:type="dxa"/>
          </w:tcPr>
          <w:p w14:paraId="342D35F7" w14:textId="77777777" w:rsidR="00B673E4" w:rsidRPr="002955D3" w:rsidRDefault="00B673E4" w:rsidP="00413A8D">
            <w:pPr>
              <w:ind w:right="60"/>
              <w:rPr>
                <w:rFonts w:ascii="Arial" w:hAnsi="Arial" w:cs="Arial"/>
              </w:rPr>
            </w:pPr>
            <w:r w:rsidRPr="002955D3">
              <w:rPr>
                <w:rFonts w:ascii="Arial" w:hAnsi="Arial" w:cs="Arial"/>
              </w:rPr>
              <w:t>Gestational age</w:t>
            </w:r>
          </w:p>
        </w:tc>
        <w:tc>
          <w:tcPr>
            <w:tcW w:w="2232" w:type="dxa"/>
          </w:tcPr>
          <w:p w14:paraId="457C0BC3" w14:textId="77777777" w:rsidR="00B673E4" w:rsidRPr="002955D3" w:rsidRDefault="00B673E4" w:rsidP="00413A8D">
            <w:pPr>
              <w:ind w:right="60"/>
              <w:rPr>
                <w:rFonts w:ascii="Arial" w:hAnsi="Arial" w:cs="Arial"/>
              </w:rPr>
            </w:pPr>
            <w:r w:rsidRPr="002955D3">
              <w:rPr>
                <w:rFonts w:ascii="Arial" w:hAnsi="Arial" w:cs="Arial"/>
              </w:rPr>
              <w:t>1.7</w:t>
            </w:r>
          </w:p>
        </w:tc>
        <w:tc>
          <w:tcPr>
            <w:tcW w:w="2241" w:type="dxa"/>
          </w:tcPr>
          <w:p w14:paraId="42DC192C" w14:textId="77777777" w:rsidR="00B673E4" w:rsidRPr="002955D3" w:rsidRDefault="00B673E4" w:rsidP="00413A8D">
            <w:pPr>
              <w:ind w:right="60"/>
              <w:rPr>
                <w:rFonts w:ascii="Arial" w:hAnsi="Arial" w:cs="Arial"/>
              </w:rPr>
            </w:pPr>
            <w:r w:rsidRPr="002955D3">
              <w:rPr>
                <w:rFonts w:ascii="Arial" w:hAnsi="Arial" w:cs="Arial"/>
              </w:rPr>
              <w:t>1.3-2.3</w:t>
            </w:r>
          </w:p>
        </w:tc>
        <w:tc>
          <w:tcPr>
            <w:tcW w:w="2235" w:type="dxa"/>
          </w:tcPr>
          <w:p w14:paraId="10BE84F4" w14:textId="77777777" w:rsidR="00B673E4" w:rsidRPr="002955D3" w:rsidRDefault="00B673E4" w:rsidP="00413A8D">
            <w:pPr>
              <w:ind w:right="60"/>
              <w:rPr>
                <w:rFonts w:ascii="Arial" w:hAnsi="Arial" w:cs="Arial"/>
              </w:rPr>
            </w:pPr>
            <w:r w:rsidRPr="002955D3">
              <w:rPr>
                <w:rFonts w:ascii="Arial" w:hAnsi="Arial" w:cs="Arial"/>
              </w:rPr>
              <w:t>0.001</w:t>
            </w:r>
          </w:p>
        </w:tc>
      </w:tr>
      <w:tr w:rsidR="00B673E4" w:rsidRPr="002955D3" w14:paraId="4691DEFD" w14:textId="77777777" w:rsidTr="00413A8D">
        <w:tc>
          <w:tcPr>
            <w:tcW w:w="2308" w:type="dxa"/>
          </w:tcPr>
          <w:p w14:paraId="1682D847" w14:textId="77777777" w:rsidR="00B673E4" w:rsidRPr="002955D3" w:rsidRDefault="00B673E4" w:rsidP="00413A8D">
            <w:pPr>
              <w:ind w:right="60"/>
              <w:rPr>
                <w:rFonts w:ascii="Arial" w:hAnsi="Arial" w:cs="Arial"/>
              </w:rPr>
            </w:pPr>
            <w:r w:rsidRPr="002955D3">
              <w:rPr>
                <w:rFonts w:ascii="Arial" w:hAnsi="Arial" w:cs="Arial"/>
              </w:rPr>
              <w:t>Small for gestational age</w:t>
            </w:r>
          </w:p>
        </w:tc>
        <w:tc>
          <w:tcPr>
            <w:tcW w:w="2232" w:type="dxa"/>
          </w:tcPr>
          <w:p w14:paraId="34AFE0A7" w14:textId="77777777" w:rsidR="00B673E4" w:rsidRPr="002955D3" w:rsidRDefault="00B673E4" w:rsidP="00413A8D">
            <w:pPr>
              <w:ind w:right="60"/>
              <w:rPr>
                <w:rFonts w:ascii="Arial" w:hAnsi="Arial" w:cs="Arial"/>
              </w:rPr>
            </w:pPr>
            <w:r w:rsidRPr="002955D3">
              <w:rPr>
                <w:rFonts w:ascii="Arial" w:hAnsi="Arial" w:cs="Arial"/>
              </w:rPr>
              <w:t>0.8</w:t>
            </w:r>
          </w:p>
        </w:tc>
        <w:tc>
          <w:tcPr>
            <w:tcW w:w="2241" w:type="dxa"/>
          </w:tcPr>
          <w:p w14:paraId="5A4A3DBC" w14:textId="77777777" w:rsidR="00B673E4" w:rsidRPr="002955D3" w:rsidRDefault="00B673E4" w:rsidP="00413A8D">
            <w:pPr>
              <w:ind w:right="60"/>
              <w:rPr>
                <w:rFonts w:ascii="Arial" w:hAnsi="Arial" w:cs="Arial"/>
              </w:rPr>
            </w:pPr>
            <w:r w:rsidRPr="002955D3">
              <w:rPr>
                <w:rFonts w:ascii="Arial" w:hAnsi="Arial" w:cs="Arial"/>
              </w:rPr>
              <w:t>0.3-2.8</w:t>
            </w:r>
          </w:p>
        </w:tc>
        <w:tc>
          <w:tcPr>
            <w:tcW w:w="2235" w:type="dxa"/>
          </w:tcPr>
          <w:p w14:paraId="6D2F31AE" w14:textId="77777777" w:rsidR="00B673E4" w:rsidRPr="002955D3" w:rsidRDefault="00B673E4" w:rsidP="00413A8D">
            <w:pPr>
              <w:ind w:right="60"/>
              <w:rPr>
                <w:rFonts w:ascii="Arial" w:hAnsi="Arial" w:cs="Arial"/>
              </w:rPr>
            </w:pPr>
            <w:r w:rsidRPr="002955D3">
              <w:rPr>
                <w:rFonts w:ascii="Arial" w:hAnsi="Arial" w:cs="Arial"/>
              </w:rPr>
              <w:t>0.6</w:t>
            </w:r>
          </w:p>
        </w:tc>
      </w:tr>
      <w:tr w:rsidR="00B673E4" w:rsidRPr="002955D3" w14:paraId="65AB97EA" w14:textId="77777777" w:rsidTr="00413A8D">
        <w:tc>
          <w:tcPr>
            <w:tcW w:w="2308" w:type="dxa"/>
          </w:tcPr>
          <w:p w14:paraId="652476A3" w14:textId="77777777" w:rsidR="00B673E4" w:rsidRPr="002955D3" w:rsidRDefault="00B673E4" w:rsidP="00413A8D">
            <w:pPr>
              <w:ind w:right="60"/>
              <w:rPr>
                <w:rFonts w:ascii="Arial" w:hAnsi="Arial" w:cs="Arial"/>
              </w:rPr>
            </w:pPr>
            <w:r w:rsidRPr="002955D3">
              <w:rPr>
                <w:rFonts w:ascii="Arial" w:hAnsi="Arial" w:cs="Arial"/>
              </w:rPr>
              <w:t>MPA Vmax</w:t>
            </w:r>
          </w:p>
        </w:tc>
        <w:tc>
          <w:tcPr>
            <w:tcW w:w="2232" w:type="dxa"/>
          </w:tcPr>
          <w:p w14:paraId="42E8262E" w14:textId="6599E2D2" w:rsidR="00B673E4" w:rsidRPr="002955D3" w:rsidRDefault="003805CD" w:rsidP="00413A8D">
            <w:pPr>
              <w:ind w:right="60"/>
              <w:rPr>
                <w:rFonts w:ascii="Arial" w:hAnsi="Arial" w:cs="Arial"/>
              </w:rPr>
            </w:pPr>
            <w:r w:rsidRPr="002955D3">
              <w:rPr>
                <w:rFonts w:ascii="Arial" w:hAnsi="Arial" w:cs="Arial"/>
              </w:rPr>
              <w:t>0.07</w:t>
            </w:r>
          </w:p>
        </w:tc>
        <w:tc>
          <w:tcPr>
            <w:tcW w:w="2241" w:type="dxa"/>
          </w:tcPr>
          <w:p w14:paraId="5F0D79D1" w14:textId="01F27B88" w:rsidR="00B673E4" w:rsidRPr="002955D3" w:rsidRDefault="003805CD" w:rsidP="00413A8D">
            <w:pPr>
              <w:ind w:right="60"/>
              <w:rPr>
                <w:rFonts w:ascii="Arial" w:hAnsi="Arial" w:cs="Arial"/>
              </w:rPr>
            </w:pPr>
            <w:r w:rsidRPr="002955D3">
              <w:rPr>
                <w:rFonts w:ascii="Arial" w:hAnsi="Arial" w:cs="Arial"/>
              </w:rPr>
              <w:t>0.01-0.45</w:t>
            </w:r>
          </w:p>
        </w:tc>
        <w:tc>
          <w:tcPr>
            <w:tcW w:w="2235" w:type="dxa"/>
          </w:tcPr>
          <w:p w14:paraId="23072F3A" w14:textId="7D61BB07" w:rsidR="00B673E4" w:rsidRPr="002955D3" w:rsidRDefault="003805CD" w:rsidP="00413A8D">
            <w:pPr>
              <w:ind w:right="60"/>
              <w:rPr>
                <w:rFonts w:ascii="Arial" w:hAnsi="Arial" w:cs="Arial"/>
              </w:rPr>
            </w:pPr>
            <w:r w:rsidRPr="002955D3">
              <w:rPr>
                <w:rFonts w:ascii="Arial" w:hAnsi="Arial" w:cs="Arial"/>
              </w:rPr>
              <w:t>0.005</w:t>
            </w:r>
          </w:p>
        </w:tc>
      </w:tr>
      <w:tr w:rsidR="00B673E4" w:rsidRPr="002955D3" w14:paraId="660FD1A4" w14:textId="77777777" w:rsidTr="00413A8D">
        <w:tc>
          <w:tcPr>
            <w:tcW w:w="2308" w:type="dxa"/>
          </w:tcPr>
          <w:p w14:paraId="02EFCFAB" w14:textId="77777777" w:rsidR="00B673E4" w:rsidRPr="002955D3" w:rsidRDefault="00B673E4" w:rsidP="00413A8D">
            <w:pPr>
              <w:ind w:right="60"/>
              <w:rPr>
                <w:rFonts w:ascii="Arial" w:hAnsi="Arial" w:cs="Arial"/>
              </w:rPr>
            </w:pPr>
            <w:r w:rsidRPr="002955D3">
              <w:rPr>
                <w:rFonts w:ascii="Arial" w:hAnsi="Arial" w:cs="Arial"/>
              </w:rPr>
              <w:t>LVIDs</w:t>
            </w:r>
          </w:p>
        </w:tc>
        <w:tc>
          <w:tcPr>
            <w:tcW w:w="2232" w:type="dxa"/>
          </w:tcPr>
          <w:p w14:paraId="44FE7690" w14:textId="77777777" w:rsidR="00B673E4" w:rsidRPr="002955D3" w:rsidRDefault="00B673E4" w:rsidP="00413A8D">
            <w:pPr>
              <w:ind w:right="60"/>
              <w:rPr>
                <w:rFonts w:ascii="Arial" w:hAnsi="Arial" w:cs="Arial"/>
              </w:rPr>
            </w:pPr>
            <w:r w:rsidRPr="002955D3">
              <w:rPr>
                <w:rFonts w:ascii="Arial" w:hAnsi="Arial" w:cs="Arial"/>
              </w:rPr>
              <w:t>1.5</w:t>
            </w:r>
          </w:p>
        </w:tc>
        <w:tc>
          <w:tcPr>
            <w:tcW w:w="2241" w:type="dxa"/>
          </w:tcPr>
          <w:p w14:paraId="711748EE" w14:textId="77777777" w:rsidR="00B673E4" w:rsidRPr="002955D3" w:rsidRDefault="00B673E4" w:rsidP="00413A8D">
            <w:pPr>
              <w:ind w:right="60"/>
              <w:rPr>
                <w:rFonts w:ascii="Arial" w:hAnsi="Arial" w:cs="Arial"/>
              </w:rPr>
            </w:pPr>
            <w:r w:rsidRPr="002955D3">
              <w:rPr>
                <w:rFonts w:ascii="Arial" w:hAnsi="Arial" w:cs="Arial"/>
              </w:rPr>
              <w:t>1.08-2.34</w:t>
            </w:r>
          </w:p>
        </w:tc>
        <w:tc>
          <w:tcPr>
            <w:tcW w:w="2235" w:type="dxa"/>
          </w:tcPr>
          <w:p w14:paraId="2555C268" w14:textId="77777777" w:rsidR="00B673E4" w:rsidRPr="002955D3" w:rsidRDefault="00B673E4" w:rsidP="00413A8D">
            <w:pPr>
              <w:ind w:right="60"/>
              <w:rPr>
                <w:rFonts w:ascii="Arial" w:hAnsi="Arial" w:cs="Arial"/>
              </w:rPr>
            </w:pPr>
            <w:r w:rsidRPr="002955D3">
              <w:rPr>
                <w:rFonts w:ascii="Arial" w:hAnsi="Arial" w:cs="Arial"/>
              </w:rPr>
              <w:t>0.057</w:t>
            </w:r>
          </w:p>
        </w:tc>
      </w:tr>
      <w:tr w:rsidR="00B673E4" w:rsidRPr="002955D3" w14:paraId="32E65F25" w14:textId="77777777" w:rsidTr="00413A8D">
        <w:tc>
          <w:tcPr>
            <w:tcW w:w="2308" w:type="dxa"/>
          </w:tcPr>
          <w:p w14:paraId="07EA73D2" w14:textId="77777777" w:rsidR="00B673E4" w:rsidRPr="002955D3" w:rsidRDefault="00B673E4" w:rsidP="00413A8D">
            <w:pPr>
              <w:ind w:right="60"/>
              <w:rPr>
                <w:rFonts w:ascii="Arial" w:hAnsi="Arial" w:cs="Arial"/>
              </w:rPr>
            </w:pPr>
            <w:r w:rsidRPr="002955D3">
              <w:rPr>
                <w:rFonts w:ascii="Arial" w:hAnsi="Arial" w:cs="Arial"/>
                <w:b/>
                <w:bCs/>
              </w:rPr>
              <w:t xml:space="preserve">Late Therapy </w:t>
            </w:r>
          </w:p>
        </w:tc>
        <w:tc>
          <w:tcPr>
            <w:tcW w:w="2232" w:type="dxa"/>
          </w:tcPr>
          <w:p w14:paraId="486A00B4" w14:textId="77777777" w:rsidR="00B673E4" w:rsidRPr="002955D3" w:rsidRDefault="00B673E4" w:rsidP="00413A8D">
            <w:pPr>
              <w:ind w:right="60"/>
              <w:rPr>
                <w:rFonts w:ascii="Arial" w:hAnsi="Arial" w:cs="Arial"/>
              </w:rPr>
            </w:pPr>
          </w:p>
        </w:tc>
        <w:tc>
          <w:tcPr>
            <w:tcW w:w="2241" w:type="dxa"/>
          </w:tcPr>
          <w:p w14:paraId="25A9C2D3" w14:textId="77777777" w:rsidR="00B673E4" w:rsidRPr="002955D3" w:rsidRDefault="00B673E4" w:rsidP="00413A8D">
            <w:pPr>
              <w:ind w:right="60"/>
              <w:rPr>
                <w:rFonts w:ascii="Arial" w:hAnsi="Arial" w:cs="Arial"/>
              </w:rPr>
            </w:pPr>
          </w:p>
        </w:tc>
        <w:tc>
          <w:tcPr>
            <w:tcW w:w="2235" w:type="dxa"/>
          </w:tcPr>
          <w:p w14:paraId="7CA3CC6D" w14:textId="77777777" w:rsidR="00B673E4" w:rsidRPr="002955D3" w:rsidRDefault="00B673E4" w:rsidP="00413A8D">
            <w:pPr>
              <w:ind w:right="60"/>
              <w:rPr>
                <w:rFonts w:ascii="Arial" w:hAnsi="Arial" w:cs="Arial"/>
              </w:rPr>
            </w:pPr>
          </w:p>
        </w:tc>
      </w:tr>
      <w:tr w:rsidR="00B673E4" w:rsidRPr="002955D3" w14:paraId="406676D3" w14:textId="77777777" w:rsidTr="00413A8D">
        <w:tc>
          <w:tcPr>
            <w:tcW w:w="2308" w:type="dxa"/>
          </w:tcPr>
          <w:p w14:paraId="4ADCD77F" w14:textId="77777777" w:rsidR="00B673E4" w:rsidRPr="002955D3" w:rsidRDefault="00B673E4" w:rsidP="00413A8D">
            <w:pPr>
              <w:ind w:right="60"/>
              <w:rPr>
                <w:rFonts w:ascii="Arial" w:hAnsi="Arial" w:cs="Arial"/>
                <w:b/>
                <w:bCs/>
              </w:rPr>
            </w:pPr>
            <w:r w:rsidRPr="002955D3">
              <w:rPr>
                <w:rFonts w:ascii="Arial" w:hAnsi="Arial" w:cs="Arial"/>
              </w:rPr>
              <w:t>Gestational age</w:t>
            </w:r>
          </w:p>
        </w:tc>
        <w:tc>
          <w:tcPr>
            <w:tcW w:w="2232" w:type="dxa"/>
          </w:tcPr>
          <w:p w14:paraId="154400CD" w14:textId="77777777" w:rsidR="00B673E4" w:rsidRPr="002955D3" w:rsidRDefault="00B673E4" w:rsidP="00413A8D">
            <w:pPr>
              <w:ind w:right="60"/>
              <w:rPr>
                <w:rFonts w:ascii="Arial" w:hAnsi="Arial" w:cs="Arial"/>
              </w:rPr>
            </w:pPr>
            <w:r w:rsidRPr="002955D3">
              <w:rPr>
                <w:rFonts w:ascii="Arial" w:hAnsi="Arial" w:cs="Arial"/>
              </w:rPr>
              <w:t>0.8</w:t>
            </w:r>
          </w:p>
        </w:tc>
        <w:tc>
          <w:tcPr>
            <w:tcW w:w="2241" w:type="dxa"/>
          </w:tcPr>
          <w:p w14:paraId="6CDF6DE5" w14:textId="77777777" w:rsidR="00B673E4" w:rsidRPr="002955D3" w:rsidRDefault="00B673E4" w:rsidP="00413A8D">
            <w:pPr>
              <w:ind w:right="60"/>
              <w:rPr>
                <w:rFonts w:ascii="Arial" w:hAnsi="Arial" w:cs="Arial"/>
              </w:rPr>
            </w:pPr>
            <w:r w:rsidRPr="002955D3">
              <w:rPr>
                <w:rFonts w:ascii="Arial" w:hAnsi="Arial" w:cs="Arial"/>
              </w:rPr>
              <w:t>0.54-1.12</w:t>
            </w:r>
          </w:p>
        </w:tc>
        <w:tc>
          <w:tcPr>
            <w:tcW w:w="2235" w:type="dxa"/>
          </w:tcPr>
          <w:p w14:paraId="5287D796" w14:textId="77777777" w:rsidR="00B673E4" w:rsidRPr="002955D3" w:rsidRDefault="00B673E4" w:rsidP="00413A8D">
            <w:pPr>
              <w:ind w:right="60"/>
              <w:rPr>
                <w:rFonts w:ascii="Arial" w:hAnsi="Arial" w:cs="Arial"/>
              </w:rPr>
            </w:pPr>
            <w:r w:rsidRPr="002955D3">
              <w:rPr>
                <w:rFonts w:ascii="Arial" w:hAnsi="Arial" w:cs="Arial"/>
              </w:rPr>
              <w:t>0.2</w:t>
            </w:r>
          </w:p>
        </w:tc>
      </w:tr>
      <w:tr w:rsidR="00B673E4" w:rsidRPr="002955D3" w14:paraId="3EAB9557" w14:textId="77777777" w:rsidTr="00413A8D">
        <w:tc>
          <w:tcPr>
            <w:tcW w:w="2308" w:type="dxa"/>
          </w:tcPr>
          <w:p w14:paraId="35E9549E" w14:textId="77777777" w:rsidR="00B673E4" w:rsidRPr="002955D3" w:rsidRDefault="00B673E4" w:rsidP="00413A8D">
            <w:pPr>
              <w:ind w:right="60"/>
              <w:rPr>
                <w:rFonts w:ascii="Arial" w:hAnsi="Arial" w:cs="Arial"/>
              </w:rPr>
            </w:pPr>
            <w:r w:rsidRPr="002955D3">
              <w:rPr>
                <w:rFonts w:ascii="Arial" w:hAnsi="Arial" w:cs="Arial"/>
              </w:rPr>
              <w:t>SBP</w:t>
            </w:r>
          </w:p>
        </w:tc>
        <w:tc>
          <w:tcPr>
            <w:tcW w:w="2232" w:type="dxa"/>
          </w:tcPr>
          <w:p w14:paraId="536014AD" w14:textId="77777777" w:rsidR="00B673E4" w:rsidRPr="002955D3" w:rsidRDefault="00B673E4" w:rsidP="00413A8D">
            <w:pPr>
              <w:ind w:right="60"/>
              <w:rPr>
                <w:rFonts w:ascii="Arial" w:hAnsi="Arial" w:cs="Arial"/>
              </w:rPr>
            </w:pPr>
            <w:r w:rsidRPr="002955D3">
              <w:rPr>
                <w:rFonts w:ascii="Arial" w:hAnsi="Arial" w:cs="Arial"/>
              </w:rPr>
              <w:t>1.10</w:t>
            </w:r>
          </w:p>
        </w:tc>
        <w:tc>
          <w:tcPr>
            <w:tcW w:w="2241" w:type="dxa"/>
          </w:tcPr>
          <w:p w14:paraId="2806248A" w14:textId="77777777" w:rsidR="00B673E4" w:rsidRPr="002955D3" w:rsidRDefault="00B673E4" w:rsidP="00413A8D">
            <w:pPr>
              <w:ind w:right="60"/>
              <w:rPr>
                <w:rFonts w:ascii="Arial" w:hAnsi="Arial" w:cs="Arial"/>
              </w:rPr>
            </w:pPr>
            <w:r w:rsidRPr="002955D3">
              <w:rPr>
                <w:rFonts w:ascii="Arial" w:hAnsi="Arial" w:cs="Arial"/>
              </w:rPr>
              <w:t>0.8-1.1</w:t>
            </w:r>
          </w:p>
        </w:tc>
        <w:tc>
          <w:tcPr>
            <w:tcW w:w="2235" w:type="dxa"/>
          </w:tcPr>
          <w:p w14:paraId="0EB486FF" w14:textId="77777777" w:rsidR="00B673E4" w:rsidRPr="002955D3" w:rsidRDefault="00B673E4" w:rsidP="00413A8D">
            <w:pPr>
              <w:ind w:right="60"/>
              <w:rPr>
                <w:rFonts w:ascii="Arial" w:hAnsi="Arial" w:cs="Arial"/>
              </w:rPr>
            </w:pPr>
            <w:r w:rsidRPr="002955D3">
              <w:rPr>
                <w:rFonts w:ascii="Arial" w:hAnsi="Arial" w:cs="Arial"/>
              </w:rPr>
              <w:t>0.8</w:t>
            </w:r>
          </w:p>
        </w:tc>
      </w:tr>
      <w:tr w:rsidR="00B673E4" w:rsidRPr="002955D3" w14:paraId="2FDB6851" w14:textId="77777777" w:rsidTr="00413A8D">
        <w:tc>
          <w:tcPr>
            <w:tcW w:w="2308" w:type="dxa"/>
          </w:tcPr>
          <w:p w14:paraId="578D06FE" w14:textId="77777777" w:rsidR="00B673E4" w:rsidRPr="002955D3" w:rsidRDefault="00B673E4" w:rsidP="00413A8D">
            <w:pPr>
              <w:ind w:right="60"/>
              <w:rPr>
                <w:rFonts w:ascii="Arial" w:hAnsi="Arial" w:cs="Arial"/>
              </w:rPr>
            </w:pPr>
            <w:r w:rsidRPr="002955D3">
              <w:rPr>
                <w:rFonts w:ascii="Arial" w:hAnsi="Arial" w:cs="Arial"/>
              </w:rPr>
              <w:t>DBP</w:t>
            </w:r>
          </w:p>
        </w:tc>
        <w:tc>
          <w:tcPr>
            <w:tcW w:w="2232" w:type="dxa"/>
          </w:tcPr>
          <w:p w14:paraId="585216B0" w14:textId="77777777" w:rsidR="00B673E4" w:rsidRPr="002955D3" w:rsidRDefault="00B673E4" w:rsidP="00413A8D">
            <w:pPr>
              <w:ind w:right="60"/>
              <w:rPr>
                <w:rFonts w:ascii="Arial" w:hAnsi="Arial" w:cs="Arial"/>
              </w:rPr>
            </w:pPr>
            <w:r w:rsidRPr="002955D3">
              <w:rPr>
                <w:rFonts w:ascii="Arial" w:hAnsi="Arial" w:cs="Arial"/>
              </w:rPr>
              <w:t>1.04</w:t>
            </w:r>
          </w:p>
        </w:tc>
        <w:tc>
          <w:tcPr>
            <w:tcW w:w="2241" w:type="dxa"/>
          </w:tcPr>
          <w:p w14:paraId="603D44AA" w14:textId="77777777" w:rsidR="00B673E4" w:rsidRPr="002955D3" w:rsidRDefault="00B673E4" w:rsidP="00413A8D">
            <w:pPr>
              <w:ind w:right="60"/>
              <w:rPr>
                <w:rFonts w:ascii="Arial" w:hAnsi="Arial" w:cs="Arial"/>
              </w:rPr>
            </w:pPr>
            <w:r w:rsidRPr="002955D3">
              <w:rPr>
                <w:rFonts w:ascii="Arial" w:hAnsi="Arial" w:cs="Arial"/>
              </w:rPr>
              <w:t>0.7-1.08</w:t>
            </w:r>
          </w:p>
        </w:tc>
        <w:tc>
          <w:tcPr>
            <w:tcW w:w="2235" w:type="dxa"/>
          </w:tcPr>
          <w:p w14:paraId="298008B9" w14:textId="77777777" w:rsidR="00B673E4" w:rsidRPr="002955D3" w:rsidRDefault="00B673E4" w:rsidP="00413A8D">
            <w:pPr>
              <w:ind w:right="60"/>
              <w:rPr>
                <w:rFonts w:ascii="Arial" w:hAnsi="Arial" w:cs="Arial"/>
              </w:rPr>
            </w:pPr>
            <w:r w:rsidRPr="002955D3">
              <w:rPr>
                <w:rFonts w:ascii="Arial" w:hAnsi="Arial" w:cs="Arial"/>
              </w:rPr>
              <w:t>0.6</w:t>
            </w:r>
          </w:p>
        </w:tc>
      </w:tr>
      <w:tr w:rsidR="00B673E4" w:rsidRPr="002955D3" w14:paraId="54345894" w14:textId="77777777" w:rsidTr="00413A8D">
        <w:tc>
          <w:tcPr>
            <w:tcW w:w="2308" w:type="dxa"/>
          </w:tcPr>
          <w:p w14:paraId="0F3DAD5E" w14:textId="77777777" w:rsidR="00B673E4" w:rsidRPr="002955D3" w:rsidRDefault="00B673E4" w:rsidP="00413A8D">
            <w:pPr>
              <w:ind w:right="60"/>
              <w:rPr>
                <w:rFonts w:ascii="Arial" w:hAnsi="Arial" w:cs="Arial"/>
              </w:rPr>
            </w:pPr>
            <w:r w:rsidRPr="002955D3">
              <w:rPr>
                <w:rFonts w:ascii="Arial" w:hAnsi="Arial" w:cs="Arial"/>
              </w:rPr>
              <w:t>MAP</w:t>
            </w:r>
          </w:p>
        </w:tc>
        <w:tc>
          <w:tcPr>
            <w:tcW w:w="2232" w:type="dxa"/>
          </w:tcPr>
          <w:p w14:paraId="4C309CA1" w14:textId="77777777" w:rsidR="00B673E4" w:rsidRPr="002955D3" w:rsidRDefault="00B673E4" w:rsidP="00413A8D">
            <w:pPr>
              <w:ind w:right="60"/>
              <w:rPr>
                <w:rFonts w:ascii="Arial" w:hAnsi="Arial" w:cs="Arial"/>
              </w:rPr>
            </w:pPr>
            <w:r w:rsidRPr="002955D3">
              <w:rPr>
                <w:rFonts w:ascii="Arial" w:hAnsi="Arial" w:cs="Arial"/>
              </w:rPr>
              <w:t>0.87</w:t>
            </w:r>
          </w:p>
        </w:tc>
        <w:tc>
          <w:tcPr>
            <w:tcW w:w="2241" w:type="dxa"/>
          </w:tcPr>
          <w:p w14:paraId="7FF5B024" w14:textId="77777777" w:rsidR="00B673E4" w:rsidRPr="002955D3" w:rsidRDefault="00B673E4" w:rsidP="00413A8D">
            <w:pPr>
              <w:ind w:right="60"/>
              <w:rPr>
                <w:rFonts w:ascii="Arial" w:hAnsi="Arial" w:cs="Arial"/>
              </w:rPr>
            </w:pPr>
            <w:r w:rsidRPr="002955D3">
              <w:rPr>
                <w:rFonts w:ascii="Arial" w:hAnsi="Arial" w:cs="Arial"/>
              </w:rPr>
              <w:t>0.7-1.8</w:t>
            </w:r>
          </w:p>
        </w:tc>
        <w:tc>
          <w:tcPr>
            <w:tcW w:w="2235" w:type="dxa"/>
          </w:tcPr>
          <w:p w14:paraId="0F734540" w14:textId="77777777" w:rsidR="00B673E4" w:rsidRPr="002955D3" w:rsidRDefault="00B673E4" w:rsidP="00413A8D">
            <w:pPr>
              <w:ind w:right="60"/>
              <w:rPr>
                <w:rFonts w:ascii="Arial" w:hAnsi="Arial" w:cs="Arial"/>
              </w:rPr>
            </w:pPr>
            <w:r w:rsidRPr="002955D3">
              <w:rPr>
                <w:rFonts w:ascii="Arial" w:hAnsi="Arial" w:cs="Arial"/>
              </w:rPr>
              <w:t>0.2</w:t>
            </w:r>
          </w:p>
        </w:tc>
      </w:tr>
    </w:tbl>
    <w:p w14:paraId="773705AC" w14:textId="77777777" w:rsidR="00B673E4" w:rsidRPr="002955D3" w:rsidRDefault="00B673E4" w:rsidP="00B673E4">
      <w:pPr>
        <w:pStyle w:val="MDPI41tablecaption"/>
        <w:spacing w:before="0" w:after="0" w:line="240" w:lineRule="auto"/>
        <w:ind w:left="0"/>
        <w:rPr>
          <w:rFonts w:ascii="Arial" w:hAnsi="Arial" w:cs="Arial"/>
          <w:color w:val="auto"/>
          <w:sz w:val="22"/>
        </w:rPr>
      </w:pPr>
      <w:r w:rsidRPr="002955D3">
        <w:rPr>
          <w:rFonts w:ascii="Arial" w:hAnsi="Arial" w:cs="Arial"/>
          <w:color w:val="auto"/>
          <w:sz w:val="22"/>
        </w:rPr>
        <w:t>MPA- main pulmonary artery, LVIDs- end systolic internal diameter, SBP- systolic blood pressure, DBP- diastolic blood pressure, MAP- mean arterial pressure</w:t>
      </w:r>
    </w:p>
    <w:p w14:paraId="17C9D639" w14:textId="77777777" w:rsidR="00B673E4" w:rsidRPr="002955D3" w:rsidRDefault="00B673E4" w:rsidP="00B673E4">
      <w:pPr>
        <w:rPr>
          <w:rFonts w:ascii="Arial" w:hAnsi="Arial" w:cs="Arial"/>
          <w:sz w:val="22"/>
          <w:szCs w:val="22"/>
        </w:rPr>
      </w:pPr>
    </w:p>
    <w:p w14:paraId="1C418AE8" w14:textId="77777777" w:rsidR="00B673E4" w:rsidRPr="002955D3" w:rsidRDefault="00B673E4" w:rsidP="00B673E4">
      <w:pPr>
        <w:rPr>
          <w:rFonts w:ascii="Arial" w:hAnsi="Arial" w:cs="Arial"/>
          <w:sz w:val="22"/>
          <w:szCs w:val="22"/>
        </w:rPr>
      </w:pPr>
    </w:p>
    <w:p w14:paraId="197AB389" w14:textId="77777777" w:rsidR="00B673E4" w:rsidRPr="002955D3" w:rsidRDefault="00B673E4" w:rsidP="00B673E4">
      <w:pPr>
        <w:rPr>
          <w:rFonts w:ascii="Arial" w:hAnsi="Arial" w:cs="Arial"/>
          <w:sz w:val="22"/>
          <w:szCs w:val="22"/>
        </w:rPr>
      </w:pPr>
      <w:r w:rsidRPr="002955D3">
        <w:rPr>
          <w:rFonts w:ascii="Arial" w:hAnsi="Arial" w:cs="Arial"/>
          <w:sz w:val="22"/>
          <w:szCs w:val="22"/>
        </w:rPr>
        <w:t>In our study, 46 infants received late acetaminophen. The PDA closure was observed in 14 infants (30%). The closed PDA group had marginally higher gestational age (26.957±2.48 vs 25.603±1.67weeks, p=0.07) and higher birth weight (907.36±400.61g vs 774.53±237.40g, p=0.2) but this was not statistically significant. 23(50%) infants in the late group received prior indomethacin prior to the acetaminophen course. The rest of the maternal and infant characteristics were not significant between the study groups and later therapy groups. The systolic blood pressure (49.28±6.17mmHg vs. 54.50±10.59mmHg, p=0.04), diastolic blood pressure (27.28±6.92 vs. 30.43±6.82mmHg, p=0.1) and mean blood pressure (32.19±6.67 vs. 37.71±6.87mmHg, p= 0.01) were lower among the group with failed medical therapy (Table 2). The echocardiogram data and Doppler parameters among the late acetaminophen group did not show any difference between the study groups (Table 3). The gestational age, systolic, and mean blood pressure were not significant in the logistic regression analysis (Table 4).</w:t>
      </w:r>
    </w:p>
    <w:p w14:paraId="13464CAA" w14:textId="77777777" w:rsidR="00B673E4" w:rsidRPr="002955D3" w:rsidRDefault="00B673E4" w:rsidP="00B673E4">
      <w:pPr>
        <w:rPr>
          <w:rFonts w:ascii="Arial" w:hAnsi="Arial" w:cs="Arial"/>
          <w:sz w:val="22"/>
          <w:szCs w:val="22"/>
        </w:rPr>
      </w:pPr>
    </w:p>
    <w:p w14:paraId="3CC99853" w14:textId="4F82EBFF" w:rsidR="00927834" w:rsidRPr="002955D3" w:rsidRDefault="00B673E4" w:rsidP="00B673E4">
      <w:pPr>
        <w:rPr>
          <w:rFonts w:ascii="Arial" w:hAnsi="Arial" w:cs="Arial"/>
          <w:sz w:val="22"/>
          <w:szCs w:val="22"/>
        </w:rPr>
      </w:pPr>
      <w:r w:rsidRPr="002955D3">
        <w:rPr>
          <w:rFonts w:ascii="Arial" w:hAnsi="Arial" w:cs="Arial"/>
          <w:sz w:val="22"/>
          <w:szCs w:val="22"/>
        </w:rPr>
        <w:t>One infant in our study cohort had transient transaminitis, and 2 had transient renal impairment in the early acetaminophen group. There were no cases of gastrointestinal side effects in our cohort. The transaminitis were resolved on subsequent liver function tests. One infant died in the early acetaminophen group. The cause of death was unrelated to PDA.</w:t>
      </w:r>
    </w:p>
    <w:p w14:paraId="74E47BC4" w14:textId="77777777" w:rsidR="00B673E4" w:rsidRPr="002955D3" w:rsidRDefault="00B673E4" w:rsidP="00B673E4">
      <w:pPr>
        <w:rPr>
          <w:rFonts w:ascii="Arial" w:hAnsi="Arial" w:cs="Arial"/>
          <w:sz w:val="22"/>
          <w:szCs w:val="22"/>
        </w:rPr>
      </w:pPr>
    </w:p>
    <w:p w14:paraId="6A4DEE8E" w14:textId="77777777" w:rsidR="00D07882" w:rsidRDefault="003805CD" w:rsidP="00D07882">
      <w:pPr>
        <w:rPr>
          <w:rFonts w:ascii="Arial" w:hAnsi="Arial" w:cs="Arial"/>
          <w:sz w:val="22"/>
          <w:szCs w:val="22"/>
          <w:lang w:val="en-SG"/>
        </w:rPr>
      </w:pPr>
      <w:r w:rsidRPr="002955D3">
        <w:rPr>
          <w:rFonts w:ascii="Arial" w:hAnsi="Arial" w:cs="Arial"/>
          <w:sz w:val="22"/>
          <w:szCs w:val="22"/>
        </w:rPr>
        <w:t xml:space="preserve">Our study found that both early and late acetaminophen therapy had similar low efficacy. </w:t>
      </w:r>
      <w:r w:rsidR="00D07882" w:rsidRPr="002955D3">
        <w:rPr>
          <w:rFonts w:ascii="Arial" w:hAnsi="Arial" w:cs="Arial"/>
          <w:sz w:val="22"/>
          <w:szCs w:val="22"/>
          <w:lang w:val="en-SG"/>
        </w:rPr>
        <w:t xml:space="preserve">Acetaminophen's efficacy has been shown to be comparable to NSAIDs </w:t>
      </w:r>
      <w:r w:rsidR="00D07882" w:rsidRPr="002955D3">
        <w:rPr>
          <w:rFonts w:ascii="Arial" w:hAnsi="Arial" w:cs="Arial"/>
          <w:sz w:val="22"/>
          <w:szCs w:val="22"/>
          <w:lang w:val="en-SG"/>
        </w:rPr>
        <w:lastRenderedPageBreak/>
        <w:t>such as indomethacin and ibuprofen</w:t>
      </w:r>
      <w:proofErr w:type="gramStart"/>
      <w:r w:rsidR="00D07882" w:rsidRPr="002955D3">
        <w:rPr>
          <w:rFonts w:ascii="Arial" w:hAnsi="Arial" w:cs="Arial"/>
          <w:sz w:val="22"/>
          <w:szCs w:val="22"/>
          <w:lang w:val="en-SG"/>
        </w:rPr>
        <w:t>⁴,⁹</w:t>
      </w:r>
      <w:proofErr w:type="gramEnd"/>
      <w:r w:rsidR="00D07882" w:rsidRPr="002955D3">
        <w:rPr>
          <w:rFonts w:ascii="Arial" w:hAnsi="Arial" w:cs="Arial"/>
          <w:sz w:val="22"/>
          <w:szCs w:val="22"/>
          <w:lang w:val="en-SG"/>
        </w:rPr>
        <w:t>–¹². However, efficacy varies across different gestational ages¹</w:t>
      </w:r>
      <w:proofErr w:type="gramStart"/>
      <w:r w:rsidR="00D07882" w:rsidRPr="002955D3">
        <w:rPr>
          <w:rFonts w:ascii="Arial" w:hAnsi="Arial" w:cs="Arial"/>
          <w:sz w:val="22"/>
          <w:szCs w:val="22"/>
          <w:lang w:val="en-SG"/>
        </w:rPr>
        <w:t>⁴,¹⁶,²</w:t>
      </w:r>
      <w:proofErr w:type="gramEnd"/>
      <w:r w:rsidR="00D07882" w:rsidRPr="002955D3">
        <w:rPr>
          <w:rFonts w:ascii="Arial" w:hAnsi="Arial" w:cs="Arial"/>
          <w:sz w:val="22"/>
          <w:szCs w:val="22"/>
          <w:lang w:val="en-SG"/>
        </w:rPr>
        <w:t>³. The recent systematic review and meta-analysis by Xiao et al. demonstrated similar efficacy of acetaminophen compared to indomethacin and ibuprofen, though the inclusion of larger gestational age infants may have influenced the outcome⁸. There is strong evidence of ductal responses depending on gestational age¹</w:t>
      </w:r>
      <w:proofErr w:type="gramStart"/>
      <w:r w:rsidR="00D07882" w:rsidRPr="002955D3">
        <w:rPr>
          <w:rFonts w:ascii="Arial" w:hAnsi="Arial" w:cs="Arial"/>
          <w:sz w:val="22"/>
          <w:szCs w:val="22"/>
          <w:lang w:val="en-SG"/>
        </w:rPr>
        <w:t>⁴,¹⁶,²</w:t>
      </w:r>
      <w:proofErr w:type="gramEnd"/>
      <w:r w:rsidR="00D07882" w:rsidRPr="002955D3">
        <w:rPr>
          <w:rFonts w:ascii="Arial" w:hAnsi="Arial" w:cs="Arial"/>
          <w:sz w:val="22"/>
          <w:szCs w:val="22"/>
          <w:lang w:val="en-SG"/>
        </w:rPr>
        <w:t>¹. In a study by El-Mashad et al., a randomized prospective study showed a ductal closure rate comparable to indomethacin and ibuprofen¹¹. Our study results are similar to the study by Mullaly et al., in which acetaminophen was inferior to indomethacin and ibuprofen, achieving a 27% constriction rate²⁴. Extremely low gestational age newborns (ELGAN) are the most resistant to pharmacologic ductus closure and seem to respond differently when compared with more mature infants¹</w:t>
      </w:r>
      <w:proofErr w:type="gramStart"/>
      <w:r w:rsidR="00D07882" w:rsidRPr="002955D3">
        <w:rPr>
          <w:rFonts w:ascii="Arial" w:hAnsi="Arial" w:cs="Arial"/>
          <w:sz w:val="22"/>
          <w:szCs w:val="22"/>
          <w:lang w:val="en-SG"/>
        </w:rPr>
        <w:t>⁴,¹⁶,²</w:t>
      </w:r>
      <w:proofErr w:type="gramEnd"/>
      <w:r w:rsidR="00D07882" w:rsidRPr="002955D3">
        <w:rPr>
          <w:rFonts w:ascii="Arial" w:hAnsi="Arial" w:cs="Arial"/>
          <w:sz w:val="22"/>
          <w:szCs w:val="22"/>
          <w:lang w:val="en-SG"/>
        </w:rPr>
        <w:t>³.</w:t>
      </w:r>
    </w:p>
    <w:p w14:paraId="5126E6A3" w14:textId="77777777" w:rsidR="002955D3" w:rsidRPr="002955D3" w:rsidRDefault="002955D3" w:rsidP="00D07882">
      <w:pPr>
        <w:rPr>
          <w:rFonts w:ascii="Arial" w:hAnsi="Arial" w:cs="Arial"/>
          <w:sz w:val="22"/>
          <w:szCs w:val="22"/>
          <w:lang w:val="en-SG"/>
        </w:rPr>
      </w:pPr>
    </w:p>
    <w:p w14:paraId="4AC5A270" w14:textId="77DE546C" w:rsidR="00D07882" w:rsidRDefault="00D07882" w:rsidP="00D07882">
      <w:pPr>
        <w:rPr>
          <w:rFonts w:ascii="Arial" w:hAnsi="Arial" w:cs="Arial"/>
          <w:sz w:val="22"/>
          <w:szCs w:val="22"/>
          <w:lang w:val="en-SG"/>
        </w:rPr>
      </w:pPr>
      <w:r w:rsidRPr="002955D3">
        <w:rPr>
          <w:rFonts w:ascii="Arial" w:hAnsi="Arial" w:cs="Arial"/>
          <w:sz w:val="22"/>
          <w:szCs w:val="22"/>
          <w:lang w:val="en-SG"/>
        </w:rPr>
        <w:t>The association between early gestational age, small-for-gestational-age (SGA) status, and the incidence and treatment response of patent ductus arteriosus (PDA) in preterm infants remains debatable. While SGA infants are known to have an increased risk of adverse outcomes such as death and bronchopulmonary dysplasia (BPD), recent evidence suggests a paradoxically lower incidence of PDA in this population¹</w:t>
      </w:r>
      <w:proofErr w:type="gramStart"/>
      <w:r w:rsidRPr="002955D3">
        <w:rPr>
          <w:rFonts w:ascii="Arial" w:hAnsi="Arial" w:cs="Arial"/>
          <w:sz w:val="22"/>
          <w:szCs w:val="22"/>
          <w:lang w:val="en-SG"/>
        </w:rPr>
        <w:t>⁶,²</w:t>
      </w:r>
      <w:proofErr w:type="gramEnd"/>
      <w:r w:rsidRPr="002955D3">
        <w:rPr>
          <w:rFonts w:ascii="Arial" w:hAnsi="Arial" w:cs="Arial"/>
          <w:sz w:val="22"/>
          <w:szCs w:val="22"/>
          <w:lang w:val="en-SG"/>
        </w:rPr>
        <w:t>⁶. In our study, favourable responses in the SGA group may be attributed to the relatively larger gestational age of the cohort.</w:t>
      </w:r>
    </w:p>
    <w:p w14:paraId="455EB2E2" w14:textId="77777777" w:rsidR="002955D3" w:rsidRPr="002955D3" w:rsidRDefault="002955D3" w:rsidP="00D07882">
      <w:pPr>
        <w:rPr>
          <w:rFonts w:ascii="Arial" w:hAnsi="Arial" w:cs="Arial"/>
          <w:sz w:val="22"/>
          <w:szCs w:val="22"/>
          <w:lang w:val="en-SG"/>
        </w:rPr>
      </w:pPr>
    </w:p>
    <w:p w14:paraId="1AF58F43" w14:textId="77777777" w:rsidR="00D07882" w:rsidRDefault="00D07882" w:rsidP="00D07882">
      <w:pPr>
        <w:rPr>
          <w:rFonts w:ascii="Arial" w:hAnsi="Arial" w:cs="Arial"/>
          <w:sz w:val="22"/>
          <w:szCs w:val="22"/>
          <w:lang w:val="en-SG"/>
        </w:rPr>
      </w:pPr>
      <w:r w:rsidRPr="002955D3">
        <w:rPr>
          <w:rFonts w:ascii="Arial" w:hAnsi="Arial" w:cs="Arial"/>
          <w:sz w:val="22"/>
          <w:szCs w:val="22"/>
          <w:lang w:val="en-SG"/>
        </w:rPr>
        <w:t>Given the close pathophysiological relationship between PDA and respiratory distress syndrome (RDS), it is not surprising that infants with PDA are more likely to receive interventions such as surfactant therapy and mechanical ventilation¹⁸. Surfactant administration improves lung compliance and oxygenation but also leads to a significant reduction in pulmonary vascular resistance²¹. This reduction may exacerbate left-to-right shunting across the ductus arteriosus, potentially worsening the hemodynamic significance of PDA²¹.</w:t>
      </w:r>
    </w:p>
    <w:p w14:paraId="0B25B89F" w14:textId="77777777" w:rsidR="002955D3" w:rsidRPr="002955D3" w:rsidRDefault="002955D3" w:rsidP="00D07882">
      <w:pPr>
        <w:rPr>
          <w:rFonts w:ascii="Arial" w:hAnsi="Arial" w:cs="Arial"/>
          <w:sz w:val="22"/>
          <w:szCs w:val="22"/>
          <w:lang w:val="en-SG"/>
        </w:rPr>
      </w:pPr>
    </w:p>
    <w:p w14:paraId="5985B862" w14:textId="77777777" w:rsidR="00D07882" w:rsidRDefault="00D07882" w:rsidP="00D07882">
      <w:pPr>
        <w:rPr>
          <w:rFonts w:ascii="Arial" w:hAnsi="Arial" w:cs="Arial"/>
          <w:sz w:val="22"/>
          <w:szCs w:val="22"/>
          <w:lang w:val="en-SG"/>
        </w:rPr>
      </w:pPr>
      <w:r w:rsidRPr="002955D3">
        <w:rPr>
          <w:rFonts w:ascii="Arial" w:hAnsi="Arial" w:cs="Arial"/>
          <w:sz w:val="22"/>
          <w:szCs w:val="22"/>
          <w:lang w:val="en-SG"/>
        </w:rPr>
        <w:t>The observed abnormal Doppler parameters, such as aortic and main pulmonary artery Doppler velocities in our study, reflect the severity of the ductal shunt, and greater shunt volume has been associated with reduced responsiveness to pharmacological therapy²¹. Pulmonary artery wave Doppler serves as a surrogate for right ventricular output, which tends to increase in the presence of higher left-to-right shunt volumes. Similarly, elevated aortic outflow velocities reflect increased left ventricular output, indirectly indicating a higher shunt burden</w:t>
      </w:r>
      <w:proofErr w:type="gramStart"/>
      <w:r w:rsidRPr="002955D3">
        <w:rPr>
          <w:rFonts w:ascii="Arial" w:hAnsi="Arial" w:cs="Arial"/>
          <w:sz w:val="22"/>
          <w:szCs w:val="22"/>
          <w:lang w:val="en-SG"/>
        </w:rPr>
        <w:t>⁵,²</w:t>
      </w:r>
      <w:proofErr w:type="gramEnd"/>
      <w:r w:rsidRPr="002955D3">
        <w:rPr>
          <w:rFonts w:ascii="Arial" w:hAnsi="Arial" w:cs="Arial"/>
          <w:sz w:val="22"/>
          <w:szCs w:val="22"/>
          <w:lang w:val="en-SG"/>
        </w:rPr>
        <w:t>⁵. The LV internal diameter indicates the degree of left heart overload, reflecting the magnitude of shunt volume</w:t>
      </w:r>
      <w:proofErr w:type="gramStart"/>
      <w:r w:rsidRPr="002955D3">
        <w:rPr>
          <w:rFonts w:ascii="Arial" w:hAnsi="Arial" w:cs="Arial"/>
          <w:sz w:val="22"/>
          <w:szCs w:val="22"/>
          <w:lang w:val="en-SG"/>
        </w:rPr>
        <w:t>⁵,²</w:t>
      </w:r>
      <w:proofErr w:type="gramEnd"/>
      <w:r w:rsidRPr="002955D3">
        <w:rPr>
          <w:rFonts w:ascii="Arial" w:hAnsi="Arial" w:cs="Arial"/>
          <w:sz w:val="22"/>
          <w:szCs w:val="22"/>
          <w:lang w:val="en-SG"/>
        </w:rPr>
        <w:t>⁵. Differences in Doppler velocities across PDA among the study group can be explained by pulmonary vascular resistance. Studies have shown the role of hemodynamic forces and pulmonary vascular resistance in modulating ductal tone and response to medications²</w:t>
      </w:r>
      <w:proofErr w:type="gramStart"/>
      <w:r w:rsidRPr="002955D3">
        <w:rPr>
          <w:rFonts w:ascii="Arial" w:hAnsi="Arial" w:cs="Arial"/>
          <w:sz w:val="22"/>
          <w:szCs w:val="22"/>
          <w:lang w:val="en-SG"/>
        </w:rPr>
        <w:t>¹,²</w:t>
      </w:r>
      <w:proofErr w:type="gramEnd"/>
      <w:r w:rsidRPr="002955D3">
        <w:rPr>
          <w:rFonts w:ascii="Arial" w:hAnsi="Arial" w:cs="Arial"/>
          <w:sz w:val="22"/>
          <w:szCs w:val="22"/>
          <w:lang w:val="en-SG"/>
        </w:rPr>
        <w:t>⁷.</w:t>
      </w:r>
    </w:p>
    <w:p w14:paraId="195C291F" w14:textId="77777777" w:rsidR="002955D3" w:rsidRPr="002955D3" w:rsidRDefault="002955D3" w:rsidP="00D07882">
      <w:pPr>
        <w:rPr>
          <w:rFonts w:ascii="Arial" w:hAnsi="Arial" w:cs="Arial"/>
          <w:sz w:val="22"/>
          <w:szCs w:val="22"/>
          <w:lang w:val="en-SG"/>
        </w:rPr>
      </w:pPr>
    </w:p>
    <w:p w14:paraId="79FF6688" w14:textId="28B30BF4" w:rsidR="00D07882" w:rsidRDefault="00D07882" w:rsidP="00D07882">
      <w:pPr>
        <w:rPr>
          <w:rFonts w:ascii="Arial" w:hAnsi="Arial" w:cs="Arial"/>
          <w:sz w:val="22"/>
          <w:szCs w:val="22"/>
          <w:lang w:val="en-SG"/>
        </w:rPr>
      </w:pPr>
      <w:r w:rsidRPr="002955D3">
        <w:rPr>
          <w:rFonts w:ascii="Arial" w:hAnsi="Arial" w:cs="Arial"/>
          <w:sz w:val="22"/>
          <w:szCs w:val="22"/>
          <w:lang w:val="en-SG"/>
        </w:rPr>
        <w:t xml:space="preserve">The significant differences in cardiac Doppler measurements among the early paracetamol group imply that favourable response to medication was likely due to the interplay of clinical factors and less severe hemodynamic impairment compared to the failed group. However, such associations were not evident in the late-treatment group. In these infants, poor therapeutic response was more prominently associated with alterations in systemic blood pressure. The hemodynamic influence </w:t>
      </w:r>
      <w:r w:rsidRPr="002955D3">
        <w:rPr>
          <w:rFonts w:ascii="Arial" w:hAnsi="Arial" w:cs="Arial"/>
          <w:sz w:val="22"/>
          <w:szCs w:val="22"/>
          <w:lang w:val="en-SG"/>
        </w:rPr>
        <w:lastRenderedPageBreak/>
        <w:t>can be attributed to hypoxia and acidosis associated with low systemic perfusion, which is known to cause vasodilation, impacting the ductal response to medications¹</w:t>
      </w:r>
      <w:proofErr w:type="gramStart"/>
      <w:r w:rsidRPr="002955D3">
        <w:rPr>
          <w:rFonts w:ascii="Arial" w:hAnsi="Arial" w:cs="Arial"/>
          <w:sz w:val="22"/>
          <w:szCs w:val="22"/>
          <w:lang w:val="en-SG"/>
        </w:rPr>
        <w:t>⁹,²⁰,²¹,²⁴,²</w:t>
      </w:r>
      <w:proofErr w:type="gramEnd"/>
      <w:r w:rsidRPr="002955D3">
        <w:rPr>
          <w:rFonts w:ascii="Arial" w:hAnsi="Arial" w:cs="Arial"/>
          <w:sz w:val="22"/>
          <w:szCs w:val="22"/>
          <w:lang w:val="en-SG"/>
        </w:rPr>
        <w:t xml:space="preserve">⁵. In a study by </w:t>
      </w:r>
      <w:proofErr w:type="spellStart"/>
      <w:r w:rsidRPr="002955D3">
        <w:rPr>
          <w:rFonts w:ascii="Arial" w:hAnsi="Arial" w:cs="Arial"/>
          <w:sz w:val="22"/>
          <w:szCs w:val="22"/>
          <w:lang w:val="en-SG"/>
        </w:rPr>
        <w:t>He</w:t>
      </w:r>
      <w:proofErr w:type="spellEnd"/>
      <w:r w:rsidRPr="002955D3">
        <w:rPr>
          <w:rFonts w:ascii="Arial" w:hAnsi="Arial" w:cs="Arial"/>
          <w:sz w:val="22"/>
          <w:szCs w:val="22"/>
          <w:lang w:val="en-SG"/>
        </w:rPr>
        <w:t xml:space="preserve"> et al., a higher base excess predicted a poor response to indomethacin²⁰.</w:t>
      </w:r>
    </w:p>
    <w:p w14:paraId="1082F22D" w14:textId="77777777" w:rsidR="002955D3" w:rsidRPr="002955D3" w:rsidRDefault="002955D3" w:rsidP="00D07882">
      <w:pPr>
        <w:rPr>
          <w:rFonts w:ascii="Arial" w:hAnsi="Arial" w:cs="Arial"/>
          <w:sz w:val="22"/>
          <w:szCs w:val="22"/>
          <w:lang w:val="en-SG"/>
        </w:rPr>
      </w:pPr>
    </w:p>
    <w:p w14:paraId="560D74ED" w14:textId="77777777" w:rsidR="00D07882" w:rsidRPr="002955D3" w:rsidRDefault="00D07882" w:rsidP="00D07882">
      <w:pPr>
        <w:rPr>
          <w:rFonts w:ascii="Arial" w:hAnsi="Arial" w:cs="Arial"/>
          <w:sz w:val="22"/>
          <w:szCs w:val="22"/>
          <w:lang w:val="en-SG"/>
        </w:rPr>
      </w:pPr>
      <w:r w:rsidRPr="002955D3">
        <w:rPr>
          <w:rFonts w:ascii="Arial" w:hAnsi="Arial" w:cs="Arial"/>
          <w:sz w:val="22"/>
          <w:szCs w:val="22"/>
          <w:lang w:val="en-SG"/>
        </w:rPr>
        <w:t>Our study findings suggest that cardiac Doppler assessments may have prognostic value in addition to clinical data in predicting pharmacologic treatment response in early PDA management and support the argument for targeted earlier treatment of hemodynamically significant PDA rather than expectant management when heart failure sets in. A similar finding was seen in the recent work by Mullaly et al.²⁴.</w:t>
      </w:r>
    </w:p>
    <w:p w14:paraId="5D4B9C4F" w14:textId="77777777" w:rsidR="00D07882" w:rsidRPr="002955D3" w:rsidRDefault="00D07882" w:rsidP="00D07882">
      <w:pPr>
        <w:rPr>
          <w:rFonts w:ascii="Arial" w:hAnsi="Arial" w:cs="Arial"/>
          <w:sz w:val="22"/>
          <w:szCs w:val="22"/>
          <w:lang w:val="en-SG"/>
        </w:rPr>
      </w:pPr>
      <w:r w:rsidRPr="002955D3">
        <w:rPr>
          <w:rFonts w:ascii="Arial" w:hAnsi="Arial" w:cs="Arial"/>
          <w:sz w:val="22"/>
          <w:szCs w:val="22"/>
          <w:lang w:val="en-SG"/>
        </w:rPr>
        <w:t>We noted similar efficacy between early and late administration. Late acetaminophen has been shown to offer some benefit in reducing surgical ligation and ductal closure, but efficacy seems to be poor in older infants</w:t>
      </w:r>
      <w:proofErr w:type="gramStart"/>
      <w:r w:rsidRPr="002955D3">
        <w:rPr>
          <w:rFonts w:ascii="Arial" w:hAnsi="Arial" w:cs="Arial"/>
          <w:sz w:val="22"/>
          <w:szCs w:val="22"/>
          <w:lang w:val="en-SG"/>
        </w:rPr>
        <w:t>⁸,¹²,¹</w:t>
      </w:r>
      <w:proofErr w:type="gramEnd"/>
      <w:r w:rsidRPr="002955D3">
        <w:rPr>
          <w:rFonts w:ascii="Arial" w:hAnsi="Arial" w:cs="Arial"/>
          <w:sz w:val="22"/>
          <w:szCs w:val="22"/>
          <w:lang w:val="en-SG"/>
        </w:rPr>
        <w:t>⁵.</w:t>
      </w:r>
    </w:p>
    <w:p w14:paraId="38B87856" w14:textId="10D09ADF" w:rsidR="00D07882" w:rsidRPr="002955D3" w:rsidRDefault="00D07882" w:rsidP="00D07882">
      <w:pPr>
        <w:rPr>
          <w:rFonts w:ascii="Arial" w:hAnsi="Arial" w:cs="Arial"/>
          <w:sz w:val="22"/>
          <w:szCs w:val="22"/>
          <w:lang w:val="en-SG"/>
        </w:rPr>
      </w:pPr>
      <w:r w:rsidRPr="002955D3">
        <w:rPr>
          <w:rFonts w:ascii="Arial" w:hAnsi="Arial" w:cs="Arial"/>
          <w:sz w:val="22"/>
          <w:szCs w:val="22"/>
          <w:lang w:val="en-SG"/>
        </w:rPr>
        <w:t>Studies on pharmacokinetics have shown high inter-individual variability in elimination, clearance, and volume of distribution of drugs in preterm infants²</w:t>
      </w:r>
      <w:proofErr w:type="gramStart"/>
      <w:r w:rsidRPr="002955D3">
        <w:rPr>
          <w:rFonts w:ascii="Arial" w:hAnsi="Arial" w:cs="Arial"/>
          <w:sz w:val="22"/>
          <w:szCs w:val="22"/>
          <w:lang w:val="en-SG"/>
        </w:rPr>
        <w:t>⁸,²</w:t>
      </w:r>
      <w:proofErr w:type="gramEnd"/>
      <w:r w:rsidRPr="002955D3">
        <w:rPr>
          <w:rFonts w:ascii="Arial" w:hAnsi="Arial" w:cs="Arial"/>
          <w:sz w:val="22"/>
          <w:szCs w:val="22"/>
          <w:lang w:val="en-SG"/>
        </w:rPr>
        <w:t>⁹. Our study population represents clinically ill, high-risk ELGAN (indomethacin contraindicated), which might represent a subgroup of infants who may not respond to any other standard prostaglandin inhibitors. This study offers the predictive ability of a few hemodynamic parameters as an additional tool to predict medication efficacy in PDA, along with other important modifiers of prostaglandin effect such as birth gestational age, race/ethnicity, growth restriction, and exposure to antenatal steroids²</w:t>
      </w:r>
      <w:proofErr w:type="gramStart"/>
      <w:r w:rsidRPr="002955D3">
        <w:rPr>
          <w:rFonts w:ascii="Arial" w:hAnsi="Arial" w:cs="Arial"/>
          <w:sz w:val="22"/>
          <w:szCs w:val="22"/>
          <w:lang w:val="en-SG"/>
        </w:rPr>
        <w:t>³,²⁸,³</w:t>
      </w:r>
      <w:proofErr w:type="gramEnd"/>
      <w:r w:rsidRPr="002955D3">
        <w:rPr>
          <w:rFonts w:ascii="Arial" w:hAnsi="Arial" w:cs="Arial"/>
          <w:sz w:val="22"/>
          <w:szCs w:val="22"/>
          <w:lang w:val="en-SG"/>
        </w:rPr>
        <w:t>⁰.</w:t>
      </w:r>
    </w:p>
    <w:p w14:paraId="0FD57287" w14:textId="17ED5BD4" w:rsidR="003805CD" w:rsidRPr="002955D3" w:rsidRDefault="003805CD" w:rsidP="00D07882">
      <w:pPr>
        <w:rPr>
          <w:rFonts w:ascii="Arial" w:hAnsi="Arial" w:cs="Arial"/>
          <w:sz w:val="22"/>
          <w:szCs w:val="22"/>
        </w:rPr>
      </w:pPr>
    </w:p>
    <w:p w14:paraId="0116E81B" w14:textId="74C87E28" w:rsidR="00E053D0" w:rsidRPr="002955D3" w:rsidRDefault="00B673E4" w:rsidP="00C22BE0">
      <w:pPr>
        <w:pStyle w:val="MDPI22heading2"/>
        <w:spacing w:before="0" w:after="0" w:line="240" w:lineRule="auto"/>
        <w:ind w:left="0"/>
        <w:rPr>
          <w:rFonts w:ascii="Arial" w:hAnsi="Arial" w:cs="Arial"/>
          <w:i w:val="0"/>
          <w:iCs/>
          <w:color w:val="auto"/>
          <w:sz w:val="22"/>
        </w:rPr>
      </w:pPr>
      <w:r w:rsidRPr="002955D3">
        <w:rPr>
          <w:rFonts w:ascii="Arial" w:hAnsi="Arial" w:cs="Arial"/>
          <w:i w:val="0"/>
          <w:iCs/>
          <w:color w:val="auto"/>
          <w:sz w:val="22"/>
        </w:rPr>
        <w:t xml:space="preserve">Limitations </w:t>
      </w:r>
    </w:p>
    <w:p w14:paraId="79E78020" w14:textId="77777777" w:rsidR="00C22BE0" w:rsidRPr="002955D3" w:rsidRDefault="00C22BE0" w:rsidP="00441B6F">
      <w:pPr>
        <w:pStyle w:val="Body"/>
        <w:spacing w:after="0"/>
        <w:rPr>
          <w:rFonts w:ascii="Arial" w:hAnsi="Arial" w:cs="Arial"/>
          <w:sz w:val="22"/>
          <w:szCs w:val="22"/>
        </w:rPr>
      </w:pPr>
    </w:p>
    <w:p w14:paraId="3619E98D" w14:textId="31B075E6" w:rsidR="00C22BE0" w:rsidRPr="002955D3" w:rsidRDefault="00C22BE0" w:rsidP="00441B6F">
      <w:pPr>
        <w:pStyle w:val="Body"/>
        <w:spacing w:after="0"/>
        <w:rPr>
          <w:rFonts w:ascii="Arial" w:hAnsi="Arial" w:cs="Arial"/>
          <w:sz w:val="22"/>
          <w:szCs w:val="22"/>
        </w:rPr>
      </w:pPr>
      <w:r w:rsidRPr="002955D3">
        <w:rPr>
          <w:rFonts w:ascii="Arial" w:hAnsi="Arial" w:cs="Arial"/>
          <w:sz w:val="22"/>
          <w:szCs w:val="22"/>
        </w:rPr>
        <w:t xml:space="preserve">Our study findings are limited by the small sample size from a single center. The inclusion of high-risk ELGAN infants introduces potential selection bias, which may limit the generalizability of our findings. In addition, the retrospective, non-randomized design increases susceptibility to confounding by indication, as treatment allocation may have been influenced by clinical severity. The lack of standardized timing of echocardiographic assessments, particularly in the late paracetamol cohort, makes interpretation of Doppler indices challenging. </w:t>
      </w:r>
      <w:r w:rsidRPr="002955D3">
        <w:rPr>
          <w:rFonts w:ascii="Arial" w:hAnsi="Arial" w:cs="Arial"/>
          <w:iCs/>
          <w:sz w:val="22"/>
          <w:szCs w:val="22"/>
        </w:rPr>
        <w:t xml:space="preserve">The strong influence of gestational age, SGA on ductal closure must be taken into consideration and needs to be verified in a larger cohort of infants.  However, this study adds the value of hemodynamic assessment and its predictive ability in treatment response in hemodynamically significant PDA. </w:t>
      </w:r>
    </w:p>
    <w:p w14:paraId="66D302C9" w14:textId="77777777" w:rsidR="00790ADA" w:rsidRPr="002955D3" w:rsidRDefault="00790ADA" w:rsidP="00441B6F">
      <w:pPr>
        <w:pStyle w:val="Body"/>
        <w:spacing w:after="0"/>
        <w:rPr>
          <w:rFonts w:ascii="Arial" w:hAnsi="Arial" w:cs="Arial"/>
          <w:sz w:val="22"/>
          <w:szCs w:val="22"/>
        </w:rPr>
      </w:pPr>
    </w:p>
    <w:p w14:paraId="481ED4F4" w14:textId="77777777" w:rsidR="00B01FCD" w:rsidRPr="002955D3" w:rsidRDefault="00000F8F" w:rsidP="00441B6F">
      <w:pPr>
        <w:pStyle w:val="ConcHead"/>
        <w:spacing w:after="0"/>
        <w:jc w:val="both"/>
        <w:rPr>
          <w:rFonts w:ascii="Arial" w:hAnsi="Arial" w:cs="Arial"/>
          <w:szCs w:val="22"/>
        </w:rPr>
      </w:pPr>
      <w:r w:rsidRPr="002955D3">
        <w:rPr>
          <w:rFonts w:ascii="Arial" w:hAnsi="Arial" w:cs="Arial"/>
          <w:szCs w:val="22"/>
        </w:rPr>
        <w:t xml:space="preserve">4. </w:t>
      </w:r>
      <w:r w:rsidR="00B01FCD" w:rsidRPr="002955D3">
        <w:rPr>
          <w:rFonts w:ascii="Arial" w:hAnsi="Arial" w:cs="Arial"/>
          <w:szCs w:val="22"/>
        </w:rPr>
        <w:t>Conclusion</w:t>
      </w:r>
    </w:p>
    <w:p w14:paraId="61DC6436" w14:textId="77777777" w:rsidR="00790ADA" w:rsidRPr="002955D3" w:rsidRDefault="00790ADA" w:rsidP="00441B6F">
      <w:pPr>
        <w:pStyle w:val="ConcHead"/>
        <w:spacing w:after="0"/>
        <w:jc w:val="both"/>
        <w:rPr>
          <w:rFonts w:ascii="Arial" w:hAnsi="Arial" w:cs="Arial"/>
          <w:szCs w:val="22"/>
        </w:rPr>
      </w:pPr>
    </w:p>
    <w:p w14:paraId="148B2399" w14:textId="77777777" w:rsidR="00B673E4" w:rsidRPr="002955D3" w:rsidRDefault="00B673E4" w:rsidP="00B673E4">
      <w:pPr>
        <w:pStyle w:val="MDPI21heading1"/>
        <w:spacing w:before="0" w:after="0" w:line="240" w:lineRule="auto"/>
        <w:ind w:left="0"/>
        <w:rPr>
          <w:rFonts w:ascii="Arial" w:hAnsi="Arial" w:cs="Arial"/>
          <w:b w:val="0"/>
          <w:bCs/>
          <w:color w:val="auto"/>
          <w:sz w:val="22"/>
        </w:rPr>
      </w:pPr>
      <w:r w:rsidRPr="002955D3">
        <w:rPr>
          <w:rFonts w:ascii="Arial" w:hAnsi="Arial" w:cs="Arial"/>
          <w:b w:val="0"/>
          <w:bCs/>
          <w:sz w:val="22"/>
        </w:rPr>
        <w:t xml:space="preserve">Cardiac functional changes representing volume overload, higher shunt volume may </w:t>
      </w:r>
      <w:r w:rsidRPr="002955D3">
        <w:rPr>
          <w:rFonts w:ascii="Arial" w:hAnsi="Arial" w:cs="Arial"/>
          <w:b w:val="0"/>
          <w:bCs/>
          <w:color w:val="auto"/>
          <w:sz w:val="22"/>
        </w:rPr>
        <w:t xml:space="preserve">influence the effectiveness of acetaminophen in patent ductus arteriosus. </w:t>
      </w:r>
      <w:r w:rsidRPr="002955D3">
        <w:rPr>
          <w:rFonts w:ascii="Arial" w:hAnsi="Arial" w:cs="Arial"/>
          <w:b w:val="0"/>
          <w:bCs/>
          <w:sz w:val="22"/>
        </w:rPr>
        <w:t xml:space="preserve">Acetaminophen shows limited efficacy in promoting PDA closure among high-risk extremely low gestational age newborns. Ductal response can be predicted by higher gestational age, small for gestational age, and lower MPA velocity in early therapy with acetaminophen. Future prospective larger sample studies are necessary to validate the hemodynamic influence on ductal response and predictors of the treatment success. </w:t>
      </w:r>
    </w:p>
    <w:p w14:paraId="3A8E6F6E" w14:textId="77777777" w:rsidR="00790ADA" w:rsidRPr="002955D3" w:rsidRDefault="00790ADA" w:rsidP="00441B6F">
      <w:pPr>
        <w:pStyle w:val="Body"/>
        <w:spacing w:after="0"/>
        <w:rPr>
          <w:rFonts w:ascii="Arial" w:hAnsi="Arial" w:cs="Arial"/>
          <w:sz w:val="22"/>
          <w:szCs w:val="22"/>
        </w:rPr>
      </w:pPr>
    </w:p>
    <w:p w14:paraId="2641E19B" w14:textId="77777777" w:rsidR="00315186" w:rsidRPr="002955D3" w:rsidRDefault="00315186" w:rsidP="00441B6F">
      <w:pPr>
        <w:rPr>
          <w:rFonts w:ascii="Arial" w:hAnsi="Arial" w:cs="Arial"/>
          <w:sz w:val="22"/>
          <w:szCs w:val="22"/>
        </w:rPr>
      </w:pPr>
    </w:p>
    <w:p w14:paraId="5A9577A9" w14:textId="4F419123" w:rsidR="00860000" w:rsidRPr="002955D3" w:rsidRDefault="00860000" w:rsidP="00441B6F">
      <w:pPr>
        <w:pStyle w:val="ReferHead"/>
        <w:spacing w:after="0"/>
        <w:jc w:val="both"/>
        <w:rPr>
          <w:rFonts w:ascii="Arial" w:hAnsi="Arial" w:cs="Arial"/>
          <w:bCs/>
          <w:szCs w:val="22"/>
        </w:rPr>
      </w:pPr>
      <w:r w:rsidRPr="002955D3">
        <w:rPr>
          <w:rFonts w:ascii="Arial" w:hAnsi="Arial" w:cs="Arial"/>
          <w:bCs/>
          <w:szCs w:val="22"/>
        </w:rPr>
        <w:t>Competing interests</w:t>
      </w:r>
    </w:p>
    <w:p w14:paraId="66EE13E7" w14:textId="5D51EFC4" w:rsidR="00371FB6" w:rsidRPr="002955D3" w:rsidRDefault="00B673E4" w:rsidP="00441B6F">
      <w:pPr>
        <w:pStyle w:val="ReferHead"/>
        <w:spacing w:after="0"/>
        <w:jc w:val="both"/>
        <w:rPr>
          <w:rFonts w:ascii="Arial" w:hAnsi="Arial" w:cs="Arial"/>
          <w:b w:val="0"/>
          <w:caps w:val="0"/>
          <w:szCs w:val="22"/>
        </w:rPr>
      </w:pPr>
      <w:r w:rsidRPr="002955D3">
        <w:rPr>
          <w:rFonts w:ascii="Arial" w:hAnsi="Arial" w:cs="Arial"/>
          <w:b w:val="0"/>
          <w:caps w:val="0"/>
          <w:szCs w:val="22"/>
        </w:rPr>
        <w:t>Nil</w:t>
      </w:r>
    </w:p>
    <w:p w14:paraId="4CB958E4" w14:textId="77777777" w:rsidR="00C22BE0" w:rsidRPr="002955D3" w:rsidRDefault="00C22BE0" w:rsidP="00441B6F">
      <w:pPr>
        <w:pStyle w:val="ReferHead"/>
        <w:spacing w:after="0"/>
        <w:jc w:val="both"/>
        <w:rPr>
          <w:rFonts w:ascii="Arial" w:hAnsi="Arial" w:cs="Arial"/>
          <w:b w:val="0"/>
          <w:caps w:val="0"/>
          <w:szCs w:val="22"/>
        </w:rPr>
      </w:pPr>
    </w:p>
    <w:p w14:paraId="6CC06094" w14:textId="24C8CA62" w:rsidR="002B685A" w:rsidRPr="002955D3" w:rsidRDefault="002B685A" w:rsidP="00441B6F">
      <w:pPr>
        <w:pStyle w:val="ReferHead"/>
        <w:spacing w:after="0"/>
        <w:jc w:val="both"/>
        <w:rPr>
          <w:rFonts w:ascii="Arial" w:hAnsi="Arial" w:cs="Arial"/>
          <w:bCs/>
          <w:szCs w:val="22"/>
        </w:rPr>
      </w:pPr>
      <w:r w:rsidRPr="002955D3">
        <w:rPr>
          <w:rFonts w:ascii="Arial" w:hAnsi="Arial" w:cs="Arial"/>
          <w:bCs/>
          <w:szCs w:val="22"/>
        </w:rPr>
        <w:t xml:space="preserve">Consent </w:t>
      </w:r>
    </w:p>
    <w:p w14:paraId="2B46002F" w14:textId="77777777" w:rsidR="002B685A" w:rsidRPr="002955D3" w:rsidRDefault="002B685A" w:rsidP="00441B6F">
      <w:pPr>
        <w:pStyle w:val="ReferHead"/>
        <w:spacing w:after="0"/>
        <w:jc w:val="both"/>
        <w:rPr>
          <w:rFonts w:ascii="Arial" w:hAnsi="Arial" w:cs="Arial"/>
          <w:bCs/>
          <w:szCs w:val="22"/>
        </w:rPr>
      </w:pPr>
    </w:p>
    <w:p w14:paraId="74012041" w14:textId="10DA421C" w:rsidR="00D83FDB" w:rsidRPr="002955D3" w:rsidRDefault="00D83FDB" w:rsidP="00D83FDB">
      <w:pPr>
        <w:rPr>
          <w:rFonts w:ascii="Arial" w:hAnsi="Arial" w:cs="Arial"/>
          <w:sz w:val="22"/>
          <w:szCs w:val="22"/>
        </w:rPr>
      </w:pPr>
      <w:r w:rsidRPr="002955D3">
        <w:rPr>
          <w:rFonts w:ascii="Arial" w:hAnsi="Arial" w:cs="Arial"/>
          <w:sz w:val="22"/>
          <w:szCs w:val="22"/>
        </w:rPr>
        <w:t xml:space="preserve">The study data was collected without patient </w:t>
      </w:r>
      <w:proofErr w:type="gramStart"/>
      <w:r w:rsidRPr="002955D3">
        <w:rPr>
          <w:rFonts w:ascii="Arial" w:hAnsi="Arial" w:cs="Arial"/>
          <w:sz w:val="22"/>
          <w:szCs w:val="22"/>
        </w:rPr>
        <w:t>identifiers,</w:t>
      </w:r>
      <w:proofErr w:type="gramEnd"/>
      <w:r w:rsidRPr="002955D3">
        <w:rPr>
          <w:rFonts w:ascii="Arial" w:hAnsi="Arial" w:cs="Arial"/>
          <w:sz w:val="22"/>
          <w:szCs w:val="22"/>
        </w:rPr>
        <w:t xml:space="preserve"> centralized institute review board (CIRB) exempts the informed consent for data collection under clinical audit under our institution guidelines.</w:t>
      </w:r>
    </w:p>
    <w:p w14:paraId="05A85519" w14:textId="77777777" w:rsidR="001A29D8" w:rsidRPr="002955D3" w:rsidRDefault="001A29D8" w:rsidP="00441B6F">
      <w:pPr>
        <w:pStyle w:val="ReferHead"/>
        <w:spacing w:after="0"/>
        <w:jc w:val="both"/>
        <w:rPr>
          <w:rFonts w:ascii="Arial" w:hAnsi="Arial" w:cs="Arial"/>
          <w:b w:val="0"/>
          <w:caps w:val="0"/>
          <w:szCs w:val="22"/>
        </w:rPr>
      </w:pPr>
    </w:p>
    <w:p w14:paraId="25D540FA" w14:textId="77777777" w:rsidR="005C784C" w:rsidRPr="002955D3" w:rsidRDefault="005C784C" w:rsidP="00441B6F">
      <w:pPr>
        <w:pStyle w:val="ReferHead"/>
        <w:spacing w:after="0"/>
        <w:jc w:val="both"/>
        <w:rPr>
          <w:rFonts w:ascii="Arial" w:hAnsi="Arial" w:cs="Arial"/>
          <w:b w:val="0"/>
          <w:caps w:val="0"/>
          <w:szCs w:val="22"/>
        </w:rPr>
      </w:pPr>
    </w:p>
    <w:p w14:paraId="012A86B3" w14:textId="7412A27A" w:rsidR="005C784C" w:rsidRPr="002955D3" w:rsidRDefault="005C784C" w:rsidP="00441B6F">
      <w:pPr>
        <w:pStyle w:val="ReferHead"/>
        <w:spacing w:after="0"/>
        <w:jc w:val="both"/>
        <w:rPr>
          <w:rFonts w:ascii="Arial" w:hAnsi="Arial" w:cs="Arial"/>
          <w:bCs/>
          <w:szCs w:val="22"/>
        </w:rPr>
      </w:pPr>
      <w:r w:rsidRPr="002955D3">
        <w:rPr>
          <w:rFonts w:ascii="Arial" w:hAnsi="Arial" w:cs="Arial"/>
          <w:bCs/>
          <w:szCs w:val="22"/>
        </w:rPr>
        <w:t xml:space="preserve">Ethical approval </w:t>
      </w:r>
    </w:p>
    <w:p w14:paraId="577E2644" w14:textId="77777777" w:rsidR="005C784C" w:rsidRPr="002955D3" w:rsidRDefault="005C784C" w:rsidP="00441B6F">
      <w:pPr>
        <w:pStyle w:val="ReferHead"/>
        <w:spacing w:after="0"/>
        <w:jc w:val="both"/>
        <w:rPr>
          <w:rFonts w:ascii="Arial" w:hAnsi="Arial" w:cs="Arial"/>
          <w:bCs/>
          <w:szCs w:val="22"/>
        </w:rPr>
      </w:pPr>
    </w:p>
    <w:p w14:paraId="18469847" w14:textId="77777777" w:rsidR="00D83FDB" w:rsidRPr="002955D3" w:rsidRDefault="00D83FDB" w:rsidP="00D83FDB">
      <w:pPr>
        <w:rPr>
          <w:rFonts w:ascii="Arial" w:hAnsi="Arial" w:cs="Arial"/>
          <w:sz w:val="22"/>
          <w:szCs w:val="22"/>
        </w:rPr>
      </w:pPr>
      <w:r w:rsidRPr="002955D3">
        <w:rPr>
          <w:rFonts w:ascii="Arial" w:hAnsi="Arial" w:cs="Arial"/>
          <w:sz w:val="22"/>
          <w:szCs w:val="22"/>
        </w:rPr>
        <w:t xml:space="preserve">The study data was collected without patient </w:t>
      </w:r>
      <w:proofErr w:type="gramStart"/>
      <w:r w:rsidRPr="002955D3">
        <w:rPr>
          <w:rFonts w:ascii="Arial" w:hAnsi="Arial" w:cs="Arial"/>
          <w:sz w:val="22"/>
          <w:szCs w:val="22"/>
        </w:rPr>
        <w:t>identifiers,</w:t>
      </w:r>
      <w:proofErr w:type="gramEnd"/>
      <w:r w:rsidRPr="002955D3">
        <w:rPr>
          <w:rFonts w:ascii="Arial" w:hAnsi="Arial" w:cs="Arial"/>
          <w:sz w:val="22"/>
          <w:szCs w:val="22"/>
        </w:rPr>
        <w:t xml:space="preserve"> centralized institute review board (CIRB) exempts the informed consent for data collection under clinical audit under our institution guidelines.</w:t>
      </w:r>
    </w:p>
    <w:p w14:paraId="55E4C2B6" w14:textId="77777777" w:rsidR="00D85735" w:rsidRPr="002955D3" w:rsidRDefault="00D85735" w:rsidP="00D83FDB">
      <w:pPr>
        <w:rPr>
          <w:rFonts w:ascii="Arial" w:hAnsi="Arial" w:cs="Arial"/>
          <w:sz w:val="22"/>
          <w:szCs w:val="22"/>
        </w:rPr>
      </w:pPr>
    </w:p>
    <w:p w14:paraId="7E0D536D" w14:textId="77777777" w:rsidR="00D85735" w:rsidRPr="002955D3" w:rsidRDefault="00D85735" w:rsidP="00D85735">
      <w:pPr>
        <w:rPr>
          <w:rFonts w:ascii="Arial" w:hAnsi="Arial" w:cs="Arial"/>
          <w:sz w:val="22"/>
          <w:szCs w:val="22"/>
        </w:rPr>
      </w:pPr>
      <w:r w:rsidRPr="002955D3">
        <w:rPr>
          <w:rFonts w:ascii="Arial" w:hAnsi="Arial" w:cs="Arial"/>
          <w:sz w:val="22"/>
          <w:szCs w:val="22"/>
        </w:rPr>
        <w:t>COMPETING INTERESTS DISCLAIMER:</w:t>
      </w:r>
    </w:p>
    <w:p w14:paraId="604675C1" w14:textId="77777777" w:rsidR="00D85735" w:rsidRPr="002955D3" w:rsidRDefault="00D85735" w:rsidP="00D85735">
      <w:pPr>
        <w:rPr>
          <w:rFonts w:ascii="Arial" w:hAnsi="Arial" w:cs="Arial"/>
          <w:sz w:val="22"/>
          <w:szCs w:val="22"/>
        </w:rPr>
      </w:pPr>
      <w:r w:rsidRPr="002955D3">
        <w:rPr>
          <w:rFonts w:ascii="Arial" w:hAnsi="Arial" w:cs="Arial"/>
          <w:sz w:val="22"/>
          <w:szCs w:val="22"/>
        </w:rPr>
        <w:t>Authors have declared that they have no known competing financial interests OR non-financial interests OR personal relationships that could have appeared to influence the work reported in this paper.</w:t>
      </w:r>
    </w:p>
    <w:p w14:paraId="0A206261" w14:textId="77777777" w:rsidR="00D85735" w:rsidRPr="002955D3" w:rsidRDefault="00D85735" w:rsidP="00D85735">
      <w:pPr>
        <w:rPr>
          <w:rFonts w:ascii="Arial" w:hAnsi="Arial" w:cs="Arial"/>
          <w:sz w:val="22"/>
          <w:szCs w:val="22"/>
        </w:rPr>
      </w:pPr>
    </w:p>
    <w:p w14:paraId="168F2ACA" w14:textId="77777777" w:rsidR="00A85E97" w:rsidRPr="002955D3" w:rsidRDefault="00A85E97" w:rsidP="00A85E97">
      <w:pPr>
        <w:pStyle w:val="NoSpacing"/>
        <w:rPr>
          <w:rFonts w:ascii="Arial" w:hAnsi="Arial" w:cs="Arial"/>
          <w:highlight w:val="yellow"/>
        </w:rPr>
      </w:pPr>
      <w:bookmarkStart w:id="21" w:name="_Hlk219284361"/>
      <w:bookmarkStart w:id="22" w:name="_Hlk198031404"/>
      <w:r w:rsidRPr="002955D3">
        <w:rPr>
          <w:rFonts w:ascii="Arial" w:hAnsi="Arial" w:cs="Arial"/>
          <w:highlight w:val="yellow"/>
        </w:rPr>
        <w:t>Disclaimer (Artificial intelligence)</w:t>
      </w:r>
    </w:p>
    <w:p w14:paraId="0D6955D6" w14:textId="77777777" w:rsidR="00A85E97" w:rsidRPr="002955D3" w:rsidRDefault="00A85E97" w:rsidP="00A85E97">
      <w:pPr>
        <w:pStyle w:val="NoSpacing"/>
        <w:rPr>
          <w:rFonts w:ascii="Arial" w:hAnsi="Arial" w:cs="Arial"/>
          <w:highlight w:val="yellow"/>
        </w:rPr>
      </w:pPr>
    </w:p>
    <w:p w14:paraId="1D0EAD0A" w14:textId="77777777" w:rsidR="00A85E97" w:rsidRPr="002955D3" w:rsidRDefault="00A85E97" w:rsidP="00A85E97">
      <w:pPr>
        <w:pStyle w:val="NoSpacing"/>
        <w:rPr>
          <w:rFonts w:ascii="Arial" w:hAnsi="Arial" w:cs="Arial"/>
          <w:highlight w:val="yellow"/>
        </w:rPr>
      </w:pPr>
      <w:r w:rsidRPr="002955D3">
        <w:rPr>
          <w:rFonts w:ascii="Arial" w:hAnsi="Arial" w:cs="Arial"/>
          <w:highlight w:val="yellow"/>
        </w:rPr>
        <w:t xml:space="preserve">Author(s) hereby </w:t>
      </w:r>
      <w:proofErr w:type="gramStart"/>
      <w:r w:rsidRPr="002955D3">
        <w:rPr>
          <w:rFonts w:ascii="Arial" w:hAnsi="Arial" w:cs="Arial"/>
          <w:highlight w:val="yellow"/>
        </w:rPr>
        <w:t>declare</w:t>
      </w:r>
      <w:proofErr w:type="gramEnd"/>
      <w:r w:rsidRPr="002955D3">
        <w:rPr>
          <w:rFonts w:ascii="Arial" w:hAnsi="Arial" w:cs="Arial"/>
          <w:highlight w:val="yellow"/>
        </w:rPr>
        <w:t xml:space="preserve"> that NO generative AI technologies such as Large Language Models (ChatGPT, COPILOT, etc.) and text-to-image generators have been used during the writing or editing of this manuscript</w:t>
      </w:r>
      <w:bookmarkEnd w:id="21"/>
      <w:r w:rsidRPr="002955D3">
        <w:rPr>
          <w:rFonts w:ascii="Arial" w:hAnsi="Arial" w:cs="Arial"/>
          <w:highlight w:val="yellow"/>
        </w:rPr>
        <w:t xml:space="preserve">. </w:t>
      </w:r>
    </w:p>
    <w:bookmarkEnd w:id="22"/>
    <w:p w14:paraId="3847AA17" w14:textId="77777777" w:rsidR="00D85735" w:rsidRPr="002955D3" w:rsidRDefault="00D85735" w:rsidP="00D83FDB">
      <w:pPr>
        <w:rPr>
          <w:rFonts w:ascii="Arial" w:hAnsi="Arial" w:cs="Arial"/>
          <w:sz w:val="22"/>
          <w:szCs w:val="22"/>
        </w:rPr>
      </w:pPr>
    </w:p>
    <w:p w14:paraId="5487D868" w14:textId="77777777" w:rsidR="00860000" w:rsidRPr="002955D3" w:rsidRDefault="00860000" w:rsidP="00441B6F">
      <w:pPr>
        <w:pStyle w:val="ReferHead"/>
        <w:spacing w:after="0"/>
        <w:jc w:val="both"/>
        <w:rPr>
          <w:rFonts w:ascii="Arial" w:hAnsi="Arial" w:cs="Arial"/>
          <w:szCs w:val="22"/>
        </w:rPr>
      </w:pPr>
    </w:p>
    <w:p w14:paraId="7A8601B1" w14:textId="77777777" w:rsidR="00B01FCD" w:rsidRPr="002955D3" w:rsidRDefault="00B01FCD" w:rsidP="00441B6F">
      <w:pPr>
        <w:pStyle w:val="ReferHead"/>
        <w:spacing w:after="0"/>
        <w:jc w:val="both"/>
        <w:rPr>
          <w:rFonts w:ascii="Arial" w:hAnsi="Arial" w:cs="Arial"/>
          <w:szCs w:val="22"/>
        </w:rPr>
      </w:pPr>
      <w:r w:rsidRPr="002955D3">
        <w:rPr>
          <w:rFonts w:ascii="Arial" w:hAnsi="Arial" w:cs="Arial"/>
          <w:szCs w:val="22"/>
        </w:rPr>
        <w:t>References</w:t>
      </w:r>
    </w:p>
    <w:p w14:paraId="01FBE36F" w14:textId="77777777" w:rsidR="00790ADA" w:rsidRPr="002955D3" w:rsidRDefault="00790ADA" w:rsidP="00441B6F">
      <w:pPr>
        <w:pStyle w:val="ReferHead"/>
        <w:spacing w:after="0"/>
        <w:jc w:val="both"/>
        <w:rPr>
          <w:rFonts w:ascii="Arial" w:hAnsi="Arial" w:cs="Arial"/>
          <w:szCs w:val="22"/>
        </w:rPr>
      </w:pPr>
    </w:p>
    <w:p w14:paraId="14FA420B" w14:textId="4A0108B5" w:rsidR="00D07882" w:rsidRPr="002955D3" w:rsidRDefault="00D07882" w:rsidP="00D07882">
      <w:pPr>
        <w:pStyle w:val="NormalWeb"/>
        <w:numPr>
          <w:ilvl w:val="0"/>
          <w:numId w:val="33"/>
        </w:numPr>
        <w:rPr>
          <w:rFonts w:ascii="Arial" w:hAnsi="Arial" w:cs="Arial"/>
          <w:sz w:val="22"/>
          <w:szCs w:val="22"/>
        </w:rPr>
      </w:pPr>
      <w:r w:rsidRPr="002955D3">
        <w:rPr>
          <w:rFonts w:ascii="Arial" w:hAnsi="Arial" w:cs="Arial"/>
          <w:sz w:val="22"/>
          <w:szCs w:val="22"/>
        </w:rPr>
        <w:t xml:space="preserve">Investigators of the Vermont-Oxford Trials Network Database Project. (1993). The Vermont-Oxford Trials Network: Very low birth weight outcomes for 1990. </w:t>
      </w:r>
      <w:proofErr w:type="spellStart"/>
      <w:r w:rsidRPr="002955D3">
        <w:rPr>
          <w:rStyle w:val="Emphasis"/>
          <w:rFonts w:ascii="Arial" w:hAnsi="Arial" w:cs="Arial"/>
          <w:sz w:val="22"/>
          <w:szCs w:val="22"/>
        </w:rPr>
        <w:t>Pediatrics</w:t>
      </w:r>
      <w:proofErr w:type="spellEnd"/>
      <w:r w:rsidRPr="002955D3">
        <w:rPr>
          <w:rStyle w:val="Emphasis"/>
          <w:rFonts w:ascii="Arial" w:hAnsi="Arial" w:cs="Arial"/>
          <w:sz w:val="22"/>
          <w:szCs w:val="22"/>
        </w:rPr>
        <w:t>, 91</w:t>
      </w:r>
      <w:r w:rsidRPr="002955D3">
        <w:rPr>
          <w:rFonts w:ascii="Arial" w:hAnsi="Arial" w:cs="Arial"/>
          <w:sz w:val="22"/>
          <w:szCs w:val="22"/>
        </w:rPr>
        <w:t>(3), 540–545.</w:t>
      </w:r>
    </w:p>
    <w:p w14:paraId="5FC469A6" w14:textId="1EA5B92E" w:rsidR="00D07882" w:rsidRPr="002955D3" w:rsidRDefault="00D07882" w:rsidP="00D07882">
      <w:pPr>
        <w:pStyle w:val="NormalWeb"/>
        <w:numPr>
          <w:ilvl w:val="0"/>
          <w:numId w:val="33"/>
        </w:numPr>
        <w:rPr>
          <w:rFonts w:ascii="Arial" w:hAnsi="Arial" w:cs="Arial"/>
          <w:sz w:val="22"/>
          <w:szCs w:val="22"/>
        </w:rPr>
      </w:pPr>
      <w:r w:rsidRPr="002955D3">
        <w:rPr>
          <w:rFonts w:ascii="Arial" w:hAnsi="Arial" w:cs="Arial"/>
          <w:sz w:val="22"/>
          <w:szCs w:val="22"/>
        </w:rPr>
        <w:t xml:space="preserve">Rolland, A., Shankar-Aguilera, S., </w:t>
      </w:r>
      <w:proofErr w:type="spellStart"/>
      <w:r w:rsidRPr="002955D3">
        <w:rPr>
          <w:rFonts w:ascii="Arial" w:hAnsi="Arial" w:cs="Arial"/>
          <w:sz w:val="22"/>
          <w:szCs w:val="22"/>
        </w:rPr>
        <w:t>Diomandé</w:t>
      </w:r>
      <w:proofErr w:type="spellEnd"/>
      <w:r w:rsidRPr="002955D3">
        <w:rPr>
          <w:rFonts w:ascii="Arial" w:hAnsi="Arial" w:cs="Arial"/>
          <w:sz w:val="22"/>
          <w:szCs w:val="22"/>
        </w:rPr>
        <w:t xml:space="preserve">, D., Zupan-Simunek, V., &amp; Boileau, P. (2015). Natural evolution of patent ductus arteriosus in the extremely preterm infant. </w:t>
      </w:r>
      <w:r w:rsidRPr="002955D3">
        <w:rPr>
          <w:rStyle w:val="Emphasis"/>
          <w:rFonts w:ascii="Arial" w:hAnsi="Arial" w:cs="Arial"/>
          <w:sz w:val="22"/>
          <w:szCs w:val="22"/>
        </w:rPr>
        <w:t xml:space="preserve">Archives of Disease in Childhood - </w:t>
      </w:r>
      <w:proofErr w:type="spellStart"/>
      <w:r w:rsidRPr="002955D3">
        <w:rPr>
          <w:rStyle w:val="Emphasis"/>
          <w:rFonts w:ascii="Arial" w:hAnsi="Arial" w:cs="Arial"/>
          <w:sz w:val="22"/>
          <w:szCs w:val="22"/>
        </w:rPr>
        <w:t>Fetal</w:t>
      </w:r>
      <w:proofErr w:type="spellEnd"/>
      <w:r w:rsidRPr="002955D3">
        <w:rPr>
          <w:rStyle w:val="Emphasis"/>
          <w:rFonts w:ascii="Arial" w:hAnsi="Arial" w:cs="Arial"/>
          <w:sz w:val="22"/>
          <w:szCs w:val="22"/>
        </w:rPr>
        <w:t xml:space="preserve"> and Neonatal Edition, 100</w:t>
      </w:r>
      <w:r w:rsidRPr="002955D3">
        <w:rPr>
          <w:rFonts w:ascii="Arial" w:hAnsi="Arial" w:cs="Arial"/>
          <w:sz w:val="22"/>
          <w:szCs w:val="22"/>
        </w:rPr>
        <w:t>(1), F55–F58.</w:t>
      </w:r>
    </w:p>
    <w:p w14:paraId="0D15F45A" w14:textId="56BDD102" w:rsidR="00D07882" w:rsidRPr="002955D3" w:rsidRDefault="00D07882" w:rsidP="00D07882">
      <w:pPr>
        <w:pStyle w:val="NormalWeb"/>
        <w:numPr>
          <w:ilvl w:val="0"/>
          <w:numId w:val="33"/>
        </w:numPr>
        <w:rPr>
          <w:rFonts w:ascii="Arial" w:hAnsi="Arial" w:cs="Arial"/>
          <w:sz w:val="22"/>
          <w:szCs w:val="22"/>
        </w:rPr>
      </w:pPr>
      <w:r w:rsidRPr="002955D3">
        <w:rPr>
          <w:rFonts w:ascii="Arial" w:hAnsi="Arial" w:cs="Arial"/>
          <w:sz w:val="22"/>
          <w:szCs w:val="22"/>
        </w:rPr>
        <w:t xml:space="preserve">Noori, S., McCoy, M., Friedlich, P., Bright, B., Gottipati, V., &amp; Seri, I., et al. (2009). Failure of ductus arteriosus closure is associated with increased mortality in preterm infants. </w:t>
      </w:r>
      <w:proofErr w:type="spellStart"/>
      <w:r w:rsidRPr="002955D3">
        <w:rPr>
          <w:rStyle w:val="Emphasis"/>
          <w:rFonts w:ascii="Arial" w:hAnsi="Arial" w:cs="Arial"/>
          <w:sz w:val="22"/>
          <w:szCs w:val="22"/>
        </w:rPr>
        <w:t>Pediatrics</w:t>
      </w:r>
      <w:proofErr w:type="spellEnd"/>
      <w:r w:rsidRPr="002955D3">
        <w:rPr>
          <w:rStyle w:val="Emphasis"/>
          <w:rFonts w:ascii="Arial" w:hAnsi="Arial" w:cs="Arial"/>
          <w:sz w:val="22"/>
          <w:szCs w:val="22"/>
        </w:rPr>
        <w:t>, 123</w:t>
      </w:r>
      <w:r w:rsidRPr="002955D3">
        <w:rPr>
          <w:rFonts w:ascii="Arial" w:hAnsi="Arial" w:cs="Arial"/>
          <w:sz w:val="22"/>
          <w:szCs w:val="22"/>
        </w:rPr>
        <w:t>(1), e138–e144.</w:t>
      </w:r>
    </w:p>
    <w:p w14:paraId="1E4BDB84" w14:textId="4B081583" w:rsidR="00D07882" w:rsidRPr="002955D3" w:rsidRDefault="00D07882" w:rsidP="00D07882">
      <w:pPr>
        <w:pStyle w:val="NormalWeb"/>
        <w:numPr>
          <w:ilvl w:val="0"/>
          <w:numId w:val="33"/>
        </w:numPr>
        <w:rPr>
          <w:rFonts w:ascii="Arial" w:hAnsi="Arial" w:cs="Arial"/>
          <w:sz w:val="22"/>
          <w:szCs w:val="22"/>
        </w:rPr>
      </w:pPr>
      <w:r w:rsidRPr="002955D3">
        <w:rPr>
          <w:rFonts w:ascii="Arial" w:hAnsi="Arial" w:cs="Arial"/>
          <w:sz w:val="22"/>
          <w:szCs w:val="22"/>
          <w:lang w:val="de-CH"/>
        </w:rPr>
        <w:t xml:space="preserve">Lin, Y. J., Chen, C. M., Rehan, V. K., Florens, A., Wu, S. Y., &amp; Tsai, M. L., et al. </w:t>
      </w:r>
      <w:r w:rsidRPr="002955D3">
        <w:rPr>
          <w:rFonts w:ascii="Arial" w:hAnsi="Arial" w:cs="Arial"/>
          <w:sz w:val="22"/>
          <w:szCs w:val="22"/>
        </w:rPr>
        <w:t xml:space="preserve">(2017). Randomized trial to compare renal function and ductal response between indomethacin and ibuprofen treatment in extremely low birth weight infants. </w:t>
      </w:r>
      <w:r w:rsidRPr="002955D3">
        <w:rPr>
          <w:rStyle w:val="Emphasis"/>
          <w:rFonts w:ascii="Arial" w:hAnsi="Arial" w:cs="Arial"/>
          <w:sz w:val="22"/>
          <w:szCs w:val="22"/>
        </w:rPr>
        <w:t>Neonatology, 111</w:t>
      </w:r>
      <w:r w:rsidRPr="002955D3">
        <w:rPr>
          <w:rFonts w:ascii="Arial" w:hAnsi="Arial" w:cs="Arial"/>
          <w:sz w:val="22"/>
          <w:szCs w:val="22"/>
        </w:rPr>
        <w:t>(3), 195–202.</w:t>
      </w:r>
    </w:p>
    <w:p w14:paraId="5F3120FB" w14:textId="102E2FFD" w:rsidR="00D07882" w:rsidRPr="002955D3" w:rsidRDefault="00D07882" w:rsidP="00D07882">
      <w:pPr>
        <w:pStyle w:val="NormalWeb"/>
        <w:numPr>
          <w:ilvl w:val="0"/>
          <w:numId w:val="33"/>
        </w:numPr>
        <w:rPr>
          <w:rFonts w:ascii="Arial" w:hAnsi="Arial" w:cs="Arial"/>
          <w:sz w:val="22"/>
          <w:szCs w:val="22"/>
        </w:rPr>
      </w:pPr>
      <w:r w:rsidRPr="002955D3">
        <w:rPr>
          <w:rFonts w:ascii="Arial" w:hAnsi="Arial" w:cs="Arial"/>
          <w:sz w:val="22"/>
          <w:szCs w:val="22"/>
        </w:rPr>
        <w:lastRenderedPageBreak/>
        <w:t xml:space="preserve">El Hajjar, M. (2005). Severity of the ductal shunt: A comparison of different markers. </w:t>
      </w:r>
      <w:r w:rsidRPr="002955D3">
        <w:rPr>
          <w:rStyle w:val="Emphasis"/>
          <w:rFonts w:ascii="Arial" w:hAnsi="Arial" w:cs="Arial"/>
          <w:sz w:val="22"/>
          <w:szCs w:val="22"/>
        </w:rPr>
        <w:t xml:space="preserve">Archives of Disease in Childhood - </w:t>
      </w:r>
      <w:proofErr w:type="spellStart"/>
      <w:r w:rsidRPr="002955D3">
        <w:rPr>
          <w:rStyle w:val="Emphasis"/>
          <w:rFonts w:ascii="Arial" w:hAnsi="Arial" w:cs="Arial"/>
          <w:sz w:val="22"/>
          <w:szCs w:val="22"/>
        </w:rPr>
        <w:t>Fetal</w:t>
      </w:r>
      <w:proofErr w:type="spellEnd"/>
      <w:r w:rsidRPr="002955D3">
        <w:rPr>
          <w:rStyle w:val="Emphasis"/>
          <w:rFonts w:ascii="Arial" w:hAnsi="Arial" w:cs="Arial"/>
          <w:sz w:val="22"/>
          <w:szCs w:val="22"/>
        </w:rPr>
        <w:t xml:space="preserve"> and Neonatal Edition, 90</w:t>
      </w:r>
      <w:r w:rsidRPr="002955D3">
        <w:rPr>
          <w:rFonts w:ascii="Arial" w:hAnsi="Arial" w:cs="Arial"/>
          <w:sz w:val="22"/>
          <w:szCs w:val="22"/>
        </w:rPr>
        <w:t>(5), F419–F422.</w:t>
      </w:r>
    </w:p>
    <w:p w14:paraId="7ACB28B4" w14:textId="56F3B7E1" w:rsidR="00D07882" w:rsidRPr="002955D3" w:rsidRDefault="00D07882" w:rsidP="00D07882">
      <w:pPr>
        <w:pStyle w:val="NormalWeb"/>
        <w:numPr>
          <w:ilvl w:val="0"/>
          <w:numId w:val="33"/>
        </w:numPr>
        <w:rPr>
          <w:rFonts w:ascii="Arial" w:hAnsi="Arial" w:cs="Arial"/>
          <w:sz w:val="22"/>
          <w:szCs w:val="22"/>
        </w:rPr>
      </w:pPr>
      <w:r w:rsidRPr="002955D3">
        <w:rPr>
          <w:rFonts w:ascii="Arial" w:hAnsi="Arial" w:cs="Arial"/>
          <w:sz w:val="22"/>
          <w:szCs w:val="22"/>
        </w:rPr>
        <w:t xml:space="preserve">Tauzin, L., Joubert, C., Noel, A., Bouissou, A., &amp; </w:t>
      </w:r>
      <w:proofErr w:type="spellStart"/>
      <w:r w:rsidRPr="002955D3">
        <w:rPr>
          <w:rFonts w:ascii="Arial" w:hAnsi="Arial" w:cs="Arial"/>
          <w:sz w:val="22"/>
          <w:szCs w:val="22"/>
        </w:rPr>
        <w:t>Moulies</w:t>
      </w:r>
      <w:proofErr w:type="spellEnd"/>
      <w:r w:rsidRPr="002955D3">
        <w:rPr>
          <w:rFonts w:ascii="Arial" w:hAnsi="Arial" w:cs="Arial"/>
          <w:sz w:val="22"/>
          <w:szCs w:val="22"/>
        </w:rPr>
        <w:t xml:space="preserve">, M. (2012). Effect of persistent patent ductus arteriosus on mortality and morbidity in very low-birthweight infants. </w:t>
      </w:r>
      <w:r w:rsidRPr="002955D3">
        <w:rPr>
          <w:rStyle w:val="Emphasis"/>
          <w:rFonts w:ascii="Arial" w:hAnsi="Arial" w:cs="Arial"/>
          <w:sz w:val="22"/>
          <w:szCs w:val="22"/>
        </w:rPr>
        <w:t xml:space="preserve">Acta </w:t>
      </w:r>
      <w:proofErr w:type="spellStart"/>
      <w:r w:rsidRPr="002955D3">
        <w:rPr>
          <w:rStyle w:val="Emphasis"/>
          <w:rFonts w:ascii="Arial" w:hAnsi="Arial" w:cs="Arial"/>
          <w:sz w:val="22"/>
          <w:szCs w:val="22"/>
        </w:rPr>
        <w:t>Paediatrica</w:t>
      </w:r>
      <w:proofErr w:type="spellEnd"/>
      <w:r w:rsidRPr="002955D3">
        <w:rPr>
          <w:rStyle w:val="Emphasis"/>
          <w:rFonts w:ascii="Arial" w:hAnsi="Arial" w:cs="Arial"/>
          <w:sz w:val="22"/>
          <w:szCs w:val="22"/>
        </w:rPr>
        <w:t>, 101</w:t>
      </w:r>
      <w:r w:rsidRPr="002955D3">
        <w:rPr>
          <w:rFonts w:ascii="Arial" w:hAnsi="Arial" w:cs="Arial"/>
          <w:sz w:val="22"/>
          <w:szCs w:val="22"/>
        </w:rPr>
        <w:t>(4), 419–423.</w:t>
      </w:r>
    </w:p>
    <w:p w14:paraId="5EE57454" w14:textId="5EE20AB4" w:rsidR="00D07882" w:rsidRPr="002955D3" w:rsidRDefault="00D07882" w:rsidP="00D07882">
      <w:pPr>
        <w:pStyle w:val="NormalWeb"/>
        <w:numPr>
          <w:ilvl w:val="0"/>
          <w:numId w:val="33"/>
        </w:numPr>
        <w:rPr>
          <w:rFonts w:ascii="Arial" w:hAnsi="Arial" w:cs="Arial"/>
          <w:sz w:val="22"/>
          <w:szCs w:val="22"/>
        </w:rPr>
      </w:pPr>
      <w:r w:rsidRPr="002955D3">
        <w:rPr>
          <w:rFonts w:ascii="Arial" w:hAnsi="Arial" w:cs="Arial"/>
          <w:sz w:val="22"/>
          <w:szCs w:val="22"/>
        </w:rPr>
        <w:t xml:space="preserve">Jones, L. J., Craven, P. D., Attia, J., </w:t>
      </w:r>
      <w:proofErr w:type="spellStart"/>
      <w:r w:rsidRPr="002955D3">
        <w:rPr>
          <w:rFonts w:ascii="Arial" w:hAnsi="Arial" w:cs="Arial"/>
          <w:sz w:val="22"/>
          <w:szCs w:val="22"/>
        </w:rPr>
        <w:t>Thakkinstian</w:t>
      </w:r>
      <w:proofErr w:type="spellEnd"/>
      <w:r w:rsidRPr="002955D3">
        <w:rPr>
          <w:rFonts w:ascii="Arial" w:hAnsi="Arial" w:cs="Arial"/>
          <w:sz w:val="22"/>
          <w:szCs w:val="22"/>
        </w:rPr>
        <w:t xml:space="preserve">, A., &amp; Wright, I. (2011). Network meta-analysis of indomethacin versus ibuprofen versus placebo for PDA in preterm infants. </w:t>
      </w:r>
      <w:r w:rsidRPr="002955D3">
        <w:rPr>
          <w:rStyle w:val="Emphasis"/>
          <w:rFonts w:ascii="Arial" w:hAnsi="Arial" w:cs="Arial"/>
          <w:sz w:val="22"/>
          <w:szCs w:val="22"/>
        </w:rPr>
        <w:t xml:space="preserve">Archives of Disease in Childhood - </w:t>
      </w:r>
      <w:proofErr w:type="spellStart"/>
      <w:r w:rsidRPr="002955D3">
        <w:rPr>
          <w:rStyle w:val="Emphasis"/>
          <w:rFonts w:ascii="Arial" w:hAnsi="Arial" w:cs="Arial"/>
          <w:sz w:val="22"/>
          <w:szCs w:val="22"/>
        </w:rPr>
        <w:t>Fetal</w:t>
      </w:r>
      <w:proofErr w:type="spellEnd"/>
      <w:r w:rsidRPr="002955D3">
        <w:rPr>
          <w:rStyle w:val="Emphasis"/>
          <w:rFonts w:ascii="Arial" w:hAnsi="Arial" w:cs="Arial"/>
          <w:sz w:val="22"/>
          <w:szCs w:val="22"/>
        </w:rPr>
        <w:t xml:space="preserve"> and Neonatal Edition, 96</w:t>
      </w:r>
      <w:r w:rsidRPr="002955D3">
        <w:rPr>
          <w:rFonts w:ascii="Arial" w:hAnsi="Arial" w:cs="Arial"/>
          <w:sz w:val="22"/>
          <w:szCs w:val="22"/>
        </w:rPr>
        <w:t>(1), F45–F52.</w:t>
      </w:r>
    </w:p>
    <w:p w14:paraId="23ACACEF" w14:textId="20C17EAC" w:rsidR="00D07882" w:rsidRPr="002955D3" w:rsidRDefault="00D07882" w:rsidP="00D07882">
      <w:pPr>
        <w:pStyle w:val="NormalWeb"/>
        <w:numPr>
          <w:ilvl w:val="0"/>
          <w:numId w:val="33"/>
        </w:numPr>
        <w:rPr>
          <w:rFonts w:ascii="Arial" w:hAnsi="Arial" w:cs="Arial"/>
          <w:sz w:val="22"/>
          <w:szCs w:val="22"/>
        </w:rPr>
      </w:pPr>
      <w:r w:rsidRPr="002955D3">
        <w:rPr>
          <w:rFonts w:ascii="Arial" w:hAnsi="Arial" w:cs="Arial"/>
          <w:sz w:val="22"/>
          <w:szCs w:val="22"/>
        </w:rPr>
        <w:t xml:space="preserve">Xiao, Y., Liu, H., Hu, R., You, Q., Zeng, M., &amp; Jiang, X. (2020). Efficacy and safety of paracetamol for patent ductus arteriosus closure in preterm infants: An updated systematic review and meta-analysis. </w:t>
      </w:r>
      <w:r w:rsidRPr="002955D3">
        <w:rPr>
          <w:rStyle w:val="Emphasis"/>
          <w:rFonts w:ascii="Arial" w:hAnsi="Arial" w:cs="Arial"/>
          <w:sz w:val="22"/>
          <w:szCs w:val="22"/>
        </w:rPr>
        <w:t xml:space="preserve">Frontiers in </w:t>
      </w:r>
      <w:proofErr w:type="spellStart"/>
      <w:r w:rsidRPr="002955D3">
        <w:rPr>
          <w:rStyle w:val="Emphasis"/>
          <w:rFonts w:ascii="Arial" w:hAnsi="Arial" w:cs="Arial"/>
          <w:sz w:val="22"/>
          <w:szCs w:val="22"/>
        </w:rPr>
        <w:t>Pediatrics</w:t>
      </w:r>
      <w:proofErr w:type="spellEnd"/>
      <w:r w:rsidRPr="002955D3">
        <w:rPr>
          <w:rStyle w:val="Emphasis"/>
          <w:rFonts w:ascii="Arial" w:hAnsi="Arial" w:cs="Arial"/>
          <w:sz w:val="22"/>
          <w:szCs w:val="22"/>
        </w:rPr>
        <w:t>, 7</w:t>
      </w:r>
      <w:r w:rsidRPr="002955D3">
        <w:rPr>
          <w:rFonts w:ascii="Arial" w:hAnsi="Arial" w:cs="Arial"/>
          <w:sz w:val="22"/>
          <w:szCs w:val="22"/>
        </w:rPr>
        <w:t>, 568.</w:t>
      </w:r>
    </w:p>
    <w:p w14:paraId="32730E50" w14:textId="3A2559D0" w:rsidR="00D07882" w:rsidRPr="002955D3" w:rsidRDefault="00D07882" w:rsidP="00D07882">
      <w:pPr>
        <w:pStyle w:val="NormalWeb"/>
        <w:numPr>
          <w:ilvl w:val="0"/>
          <w:numId w:val="33"/>
        </w:numPr>
        <w:rPr>
          <w:rFonts w:ascii="Arial" w:hAnsi="Arial" w:cs="Arial"/>
          <w:sz w:val="22"/>
          <w:szCs w:val="22"/>
        </w:rPr>
      </w:pPr>
      <w:r w:rsidRPr="002955D3">
        <w:rPr>
          <w:rFonts w:ascii="Arial" w:hAnsi="Arial" w:cs="Arial"/>
          <w:sz w:val="22"/>
          <w:szCs w:val="22"/>
          <w:lang w:val="de-CH"/>
        </w:rPr>
        <w:t xml:space="preserve">Dang, D., Wang, D., Zhang, C., Zhou, W., Zhou, Q., &amp; Wu, H. (2013). </w:t>
      </w:r>
      <w:r w:rsidRPr="002955D3">
        <w:rPr>
          <w:rFonts w:ascii="Arial" w:hAnsi="Arial" w:cs="Arial"/>
          <w:sz w:val="22"/>
          <w:szCs w:val="22"/>
        </w:rPr>
        <w:t xml:space="preserve">Comparison of oral paracetamol versus ibuprofen in premature infants with patent ductus arteriosus: A randomized controlled trial. </w:t>
      </w:r>
      <w:proofErr w:type="spellStart"/>
      <w:r w:rsidRPr="002955D3">
        <w:rPr>
          <w:rStyle w:val="Emphasis"/>
          <w:rFonts w:ascii="Arial" w:hAnsi="Arial" w:cs="Arial"/>
          <w:sz w:val="22"/>
          <w:szCs w:val="22"/>
        </w:rPr>
        <w:t>PLoS</w:t>
      </w:r>
      <w:proofErr w:type="spellEnd"/>
      <w:r w:rsidRPr="002955D3">
        <w:rPr>
          <w:rStyle w:val="Emphasis"/>
          <w:rFonts w:ascii="Arial" w:hAnsi="Arial" w:cs="Arial"/>
          <w:sz w:val="22"/>
          <w:szCs w:val="22"/>
        </w:rPr>
        <w:t xml:space="preserve"> ONE, 8</w:t>
      </w:r>
      <w:r w:rsidRPr="002955D3">
        <w:rPr>
          <w:rFonts w:ascii="Arial" w:hAnsi="Arial" w:cs="Arial"/>
          <w:sz w:val="22"/>
          <w:szCs w:val="22"/>
        </w:rPr>
        <w:t>(11), e77888.</w:t>
      </w:r>
    </w:p>
    <w:p w14:paraId="02F8E377" w14:textId="45F3456C" w:rsidR="00D07882" w:rsidRPr="002955D3" w:rsidRDefault="00D07882" w:rsidP="00D07882">
      <w:pPr>
        <w:pStyle w:val="NormalWeb"/>
        <w:numPr>
          <w:ilvl w:val="0"/>
          <w:numId w:val="33"/>
        </w:numPr>
        <w:rPr>
          <w:rFonts w:ascii="Arial" w:hAnsi="Arial" w:cs="Arial"/>
          <w:sz w:val="22"/>
          <w:szCs w:val="22"/>
        </w:rPr>
      </w:pPr>
      <w:proofErr w:type="spellStart"/>
      <w:r w:rsidRPr="002955D3">
        <w:rPr>
          <w:rFonts w:ascii="Arial" w:hAnsi="Arial" w:cs="Arial"/>
          <w:sz w:val="22"/>
          <w:szCs w:val="22"/>
        </w:rPr>
        <w:t>Oncel</w:t>
      </w:r>
      <w:proofErr w:type="spellEnd"/>
      <w:r w:rsidRPr="002955D3">
        <w:rPr>
          <w:rFonts w:ascii="Arial" w:hAnsi="Arial" w:cs="Arial"/>
          <w:sz w:val="22"/>
          <w:szCs w:val="22"/>
        </w:rPr>
        <w:t xml:space="preserve">, M. Y., </w:t>
      </w:r>
      <w:proofErr w:type="spellStart"/>
      <w:r w:rsidRPr="002955D3">
        <w:rPr>
          <w:rFonts w:ascii="Arial" w:hAnsi="Arial" w:cs="Arial"/>
          <w:sz w:val="22"/>
          <w:szCs w:val="22"/>
        </w:rPr>
        <w:t>Yurttutan</w:t>
      </w:r>
      <w:proofErr w:type="spellEnd"/>
      <w:r w:rsidRPr="002955D3">
        <w:rPr>
          <w:rFonts w:ascii="Arial" w:hAnsi="Arial" w:cs="Arial"/>
          <w:sz w:val="22"/>
          <w:szCs w:val="22"/>
        </w:rPr>
        <w:t xml:space="preserve">, S., </w:t>
      </w:r>
      <w:proofErr w:type="spellStart"/>
      <w:r w:rsidRPr="002955D3">
        <w:rPr>
          <w:rFonts w:ascii="Arial" w:hAnsi="Arial" w:cs="Arial"/>
          <w:sz w:val="22"/>
          <w:szCs w:val="22"/>
        </w:rPr>
        <w:t>Erdeve</w:t>
      </w:r>
      <w:proofErr w:type="spellEnd"/>
      <w:r w:rsidRPr="002955D3">
        <w:rPr>
          <w:rFonts w:ascii="Arial" w:hAnsi="Arial" w:cs="Arial"/>
          <w:sz w:val="22"/>
          <w:szCs w:val="22"/>
        </w:rPr>
        <w:t xml:space="preserve">, O., Uras, N., </w:t>
      </w:r>
      <w:proofErr w:type="spellStart"/>
      <w:r w:rsidRPr="002955D3">
        <w:rPr>
          <w:rFonts w:ascii="Arial" w:hAnsi="Arial" w:cs="Arial"/>
          <w:sz w:val="22"/>
          <w:szCs w:val="22"/>
        </w:rPr>
        <w:t>Altug</w:t>
      </w:r>
      <w:proofErr w:type="spellEnd"/>
      <w:r w:rsidRPr="002955D3">
        <w:rPr>
          <w:rFonts w:ascii="Arial" w:hAnsi="Arial" w:cs="Arial"/>
          <w:sz w:val="22"/>
          <w:szCs w:val="22"/>
        </w:rPr>
        <w:t xml:space="preserve">, N., &amp; Oguz, S. S., et al. (2014). Oral paracetamol versus oral ibuprofen in the management of patent ductus arteriosus in preterm infants: A randomized controlled trial. </w:t>
      </w:r>
      <w:r w:rsidRPr="002955D3">
        <w:rPr>
          <w:rStyle w:val="Emphasis"/>
          <w:rFonts w:ascii="Arial" w:hAnsi="Arial" w:cs="Arial"/>
          <w:sz w:val="22"/>
          <w:szCs w:val="22"/>
        </w:rPr>
        <w:t xml:space="preserve">The Journal of </w:t>
      </w:r>
      <w:proofErr w:type="spellStart"/>
      <w:r w:rsidRPr="002955D3">
        <w:rPr>
          <w:rStyle w:val="Emphasis"/>
          <w:rFonts w:ascii="Arial" w:hAnsi="Arial" w:cs="Arial"/>
          <w:sz w:val="22"/>
          <w:szCs w:val="22"/>
        </w:rPr>
        <w:t>Pediatrics</w:t>
      </w:r>
      <w:proofErr w:type="spellEnd"/>
      <w:r w:rsidRPr="002955D3">
        <w:rPr>
          <w:rStyle w:val="Emphasis"/>
          <w:rFonts w:ascii="Arial" w:hAnsi="Arial" w:cs="Arial"/>
          <w:sz w:val="22"/>
          <w:szCs w:val="22"/>
        </w:rPr>
        <w:t>, 164</w:t>
      </w:r>
      <w:r w:rsidRPr="002955D3">
        <w:rPr>
          <w:rFonts w:ascii="Arial" w:hAnsi="Arial" w:cs="Arial"/>
          <w:sz w:val="22"/>
          <w:szCs w:val="22"/>
        </w:rPr>
        <w:t>(3), 510–514.e1.</w:t>
      </w:r>
    </w:p>
    <w:p w14:paraId="213AFBE3" w14:textId="20BB174E" w:rsidR="00D07882" w:rsidRPr="002955D3" w:rsidRDefault="00D07882" w:rsidP="00D07882">
      <w:pPr>
        <w:pStyle w:val="NormalWeb"/>
        <w:numPr>
          <w:ilvl w:val="0"/>
          <w:numId w:val="33"/>
        </w:numPr>
        <w:rPr>
          <w:rFonts w:ascii="Arial" w:hAnsi="Arial" w:cs="Arial"/>
          <w:sz w:val="22"/>
          <w:szCs w:val="22"/>
        </w:rPr>
      </w:pPr>
      <w:r w:rsidRPr="002955D3">
        <w:rPr>
          <w:rFonts w:ascii="Arial" w:hAnsi="Arial" w:cs="Arial"/>
          <w:sz w:val="22"/>
          <w:szCs w:val="22"/>
        </w:rPr>
        <w:t xml:space="preserve">El-Mashad, A. E. R., El-Mahdy, H., El </w:t>
      </w:r>
      <w:proofErr w:type="spellStart"/>
      <w:r w:rsidRPr="002955D3">
        <w:rPr>
          <w:rFonts w:ascii="Arial" w:hAnsi="Arial" w:cs="Arial"/>
          <w:sz w:val="22"/>
          <w:szCs w:val="22"/>
        </w:rPr>
        <w:t>Amrousy</w:t>
      </w:r>
      <w:proofErr w:type="spellEnd"/>
      <w:r w:rsidRPr="002955D3">
        <w:rPr>
          <w:rFonts w:ascii="Arial" w:hAnsi="Arial" w:cs="Arial"/>
          <w:sz w:val="22"/>
          <w:szCs w:val="22"/>
        </w:rPr>
        <w:t xml:space="preserve">, D., &amp; Elgendy, M. (2017). Comparative study of the efficacy and safety of paracetamol, ibuprofen, and indomethacin in closure of patent ductus arteriosus in preterm neonates. </w:t>
      </w:r>
      <w:r w:rsidRPr="002955D3">
        <w:rPr>
          <w:rStyle w:val="Emphasis"/>
          <w:rFonts w:ascii="Arial" w:hAnsi="Arial" w:cs="Arial"/>
          <w:sz w:val="22"/>
          <w:szCs w:val="22"/>
        </w:rPr>
        <w:t xml:space="preserve">European Journal of </w:t>
      </w:r>
      <w:proofErr w:type="spellStart"/>
      <w:r w:rsidRPr="002955D3">
        <w:rPr>
          <w:rStyle w:val="Emphasis"/>
          <w:rFonts w:ascii="Arial" w:hAnsi="Arial" w:cs="Arial"/>
          <w:sz w:val="22"/>
          <w:szCs w:val="22"/>
        </w:rPr>
        <w:t>Pediatrics</w:t>
      </w:r>
      <w:proofErr w:type="spellEnd"/>
      <w:r w:rsidRPr="002955D3">
        <w:rPr>
          <w:rStyle w:val="Emphasis"/>
          <w:rFonts w:ascii="Arial" w:hAnsi="Arial" w:cs="Arial"/>
          <w:sz w:val="22"/>
          <w:szCs w:val="22"/>
        </w:rPr>
        <w:t>, 176</w:t>
      </w:r>
      <w:r w:rsidRPr="002955D3">
        <w:rPr>
          <w:rFonts w:ascii="Arial" w:hAnsi="Arial" w:cs="Arial"/>
          <w:sz w:val="22"/>
          <w:szCs w:val="22"/>
        </w:rPr>
        <w:t>(2), 233–240.</w:t>
      </w:r>
    </w:p>
    <w:p w14:paraId="6EDDFB05" w14:textId="4479C15C" w:rsidR="00D07882" w:rsidRPr="002955D3" w:rsidRDefault="00D07882" w:rsidP="00D07882">
      <w:pPr>
        <w:pStyle w:val="NormalWeb"/>
        <w:numPr>
          <w:ilvl w:val="0"/>
          <w:numId w:val="33"/>
        </w:numPr>
        <w:rPr>
          <w:rFonts w:ascii="Arial" w:hAnsi="Arial" w:cs="Arial"/>
          <w:sz w:val="22"/>
          <w:szCs w:val="22"/>
        </w:rPr>
      </w:pPr>
      <w:proofErr w:type="spellStart"/>
      <w:r w:rsidRPr="002955D3">
        <w:rPr>
          <w:rFonts w:ascii="Arial" w:hAnsi="Arial" w:cs="Arial"/>
          <w:sz w:val="22"/>
          <w:szCs w:val="22"/>
        </w:rPr>
        <w:t>Katsaras</w:t>
      </w:r>
      <w:proofErr w:type="spellEnd"/>
      <w:r w:rsidRPr="002955D3">
        <w:rPr>
          <w:rFonts w:ascii="Arial" w:hAnsi="Arial" w:cs="Arial"/>
          <w:sz w:val="22"/>
          <w:szCs w:val="22"/>
        </w:rPr>
        <w:t xml:space="preserve">, D. N., </w:t>
      </w:r>
      <w:proofErr w:type="spellStart"/>
      <w:r w:rsidRPr="002955D3">
        <w:rPr>
          <w:rFonts w:ascii="Arial" w:hAnsi="Arial" w:cs="Arial"/>
          <w:sz w:val="22"/>
          <w:szCs w:val="22"/>
        </w:rPr>
        <w:t>Katsaras</w:t>
      </w:r>
      <w:proofErr w:type="spellEnd"/>
      <w:r w:rsidRPr="002955D3">
        <w:rPr>
          <w:rFonts w:ascii="Arial" w:hAnsi="Arial" w:cs="Arial"/>
          <w:sz w:val="22"/>
          <w:szCs w:val="22"/>
        </w:rPr>
        <w:t xml:space="preserve">, G. N., </w:t>
      </w:r>
      <w:proofErr w:type="spellStart"/>
      <w:r w:rsidRPr="002955D3">
        <w:rPr>
          <w:rFonts w:ascii="Arial" w:hAnsi="Arial" w:cs="Arial"/>
          <w:sz w:val="22"/>
          <w:szCs w:val="22"/>
        </w:rPr>
        <w:t>Chatziravdeli</w:t>
      </w:r>
      <w:proofErr w:type="spellEnd"/>
      <w:r w:rsidRPr="002955D3">
        <w:rPr>
          <w:rFonts w:ascii="Arial" w:hAnsi="Arial" w:cs="Arial"/>
          <w:sz w:val="22"/>
          <w:szCs w:val="22"/>
        </w:rPr>
        <w:t xml:space="preserve">, V. I., Papavasileiou, G. N., </w:t>
      </w:r>
      <w:proofErr w:type="spellStart"/>
      <w:r w:rsidRPr="002955D3">
        <w:rPr>
          <w:rFonts w:ascii="Arial" w:hAnsi="Arial" w:cs="Arial"/>
          <w:sz w:val="22"/>
          <w:szCs w:val="22"/>
        </w:rPr>
        <w:t>Touloupaki</w:t>
      </w:r>
      <w:proofErr w:type="spellEnd"/>
      <w:r w:rsidRPr="002955D3">
        <w:rPr>
          <w:rFonts w:ascii="Arial" w:hAnsi="Arial" w:cs="Arial"/>
          <w:sz w:val="22"/>
          <w:szCs w:val="22"/>
        </w:rPr>
        <w:t xml:space="preserve">, M., &amp; </w:t>
      </w:r>
      <w:proofErr w:type="spellStart"/>
      <w:r w:rsidRPr="002955D3">
        <w:rPr>
          <w:rFonts w:ascii="Arial" w:hAnsi="Arial" w:cs="Arial"/>
          <w:sz w:val="22"/>
          <w:szCs w:val="22"/>
        </w:rPr>
        <w:t>Mitsiakos</w:t>
      </w:r>
      <w:proofErr w:type="spellEnd"/>
      <w:r w:rsidRPr="002955D3">
        <w:rPr>
          <w:rFonts w:ascii="Arial" w:hAnsi="Arial" w:cs="Arial"/>
          <w:sz w:val="22"/>
          <w:szCs w:val="22"/>
        </w:rPr>
        <w:t xml:space="preserve">, G., et al. (2022). Comparative safety and efficacy of paracetamol versus non-steroidal anti-inflammatory agents in neonates with patent ductus arteriosus: A systematic review and meta-analysis of randomized controlled trials. </w:t>
      </w:r>
      <w:r w:rsidRPr="002955D3">
        <w:rPr>
          <w:rStyle w:val="Emphasis"/>
          <w:rFonts w:ascii="Arial" w:hAnsi="Arial" w:cs="Arial"/>
          <w:sz w:val="22"/>
          <w:szCs w:val="22"/>
        </w:rPr>
        <w:t>British Journal of Clinical Pharmacology, 88</w:t>
      </w:r>
      <w:r w:rsidRPr="002955D3">
        <w:rPr>
          <w:rFonts w:ascii="Arial" w:hAnsi="Arial" w:cs="Arial"/>
          <w:sz w:val="22"/>
          <w:szCs w:val="22"/>
        </w:rPr>
        <w:t>(7), 3078–3100.</w:t>
      </w:r>
    </w:p>
    <w:p w14:paraId="54F3F191" w14:textId="0DFBBED7" w:rsidR="00D07882" w:rsidRPr="002955D3" w:rsidRDefault="00D07882" w:rsidP="00D07882">
      <w:pPr>
        <w:pStyle w:val="NormalWeb"/>
        <w:numPr>
          <w:ilvl w:val="0"/>
          <w:numId w:val="33"/>
        </w:numPr>
        <w:rPr>
          <w:rFonts w:ascii="Arial" w:hAnsi="Arial" w:cs="Arial"/>
          <w:sz w:val="22"/>
          <w:szCs w:val="22"/>
        </w:rPr>
      </w:pPr>
      <w:r w:rsidRPr="002955D3">
        <w:rPr>
          <w:rFonts w:ascii="Arial" w:hAnsi="Arial" w:cs="Arial"/>
          <w:sz w:val="22"/>
          <w:szCs w:val="22"/>
        </w:rPr>
        <w:t xml:space="preserve">Vaidya, R., Knee, A., Paris, Y., &amp; Singh, R. (2021). Predictors of successful patent ductus arteriosus closure with acetaminophen in preterm infants. </w:t>
      </w:r>
      <w:r w:rsidRPr="002955D3">
        <w:rPr>
          <w:rStyle w:val="Emphasis"/>
          <w:rFonts w:ascii="Arial" w:hAnsi="Arial" w:cs="Arial"/>
          <w:sz w:val="22"/>
          <w:szCs w:val="22"/>
        </w:rPr>
        <w:t>Journal of Perinatology, 41</w:t>
      </w:r>
      <w:r w:rsidRPr="002955D3">
        <w:rPr>
          <w:rFonts w:ascii="Arial" w:hAnsi="Arial" w:cs="Arial"/>
          <w:sz w:val="22"/>
          <w:szCs w:val="22"/>
        </w:rPr>
        <w:t>(5), 998–1006.</w:t>
      </w:r>
    </w:p>
    <w:p w14:paraId="2D87202B" w14:textId="0DD4FE79" w:rsidR="00D07882" w:rsidRPr="002955D3" w:rsidRDefault="00D07882" w:rsidP="00D07882">
      <w:pPr>
        <w:pStyle w:val="NormalWeb"/>
        <w:numPr>
          <w:ilvl w:val="0"/>
          <w:numId w:val="33"/>
        </w:numPr>
        <w:rPr>
          <w:rFonts w:ascii="Arial" w:hAnsi="Arial" w:cs="Arial"/>
          <w:sz w:val="22"/>
          <w:szCs w:val="22"/>
        </w:rPr>
      </w:pPr>
      <w:r w:rsidRPr="002955D3">
        <w:rPr>
          <w:rFonts w:ascii="Arial" w:hAnsi="Arial" w:cs="Arial"/>
          <w:sz w:val="22"/>
          <w:szCs w:val="22"/>
        </w:rPr>
        <w:t xml:space="preserve">Olsson, K. W., </w:t>
      </w:r>
      <w:proofErr w:type="spellStart"/>
      <w:r w:rsidRPr="002955D3">
        <w:rPr>
          <w:rFonts w:ascii="Arial" w:hAnsi="Arial" w:cs="Arial"/>
          <w:sz w:val="22"/>
          <w:szCs w:val="22"/>
        </w:rPr>
        <w:t>Jonzon</w:t>
      </w:r>
      <w:proofErr w:type="spellEnd"/>
      <w:r w:rsidRPr="002955D3">
        <w:rPr>
          <w:rFonts w:ascii="Arial" w:hAnsi="Arial" w:cs="Arial"/>
          <w:sz w:val="22"/>
          <w:szCs w:val="22"/>
        </w:rPr>
        <w:t xml:space="preserve">, A., &amp; Sindelar, R. (2012). A high ductal flow velocity is associated with successful pharmacological closure of patent ductus arteriosus in infants 22–27 weeks gestational age. </w:t>
      </w:r>
      <w:r w:rsidRPr="002955D3">
        <w:rPr>
          <w:rStyle w:val="Emphasis"/>
          <w:rFonts w:ascii="Arial" w:hAnsi="Arial" w:cs="Arial"/>
          <w:sz w:val="22"/>
          <w:szCs w:val="22"/>
        </w:rPr>
        <w:t>Critical Care Research and Practice, 2012</w:t>
      </w:r>
      <w:r w:rsidRPr="002955D3">
        <w:rPr>
          <w:rFonts w:ascii="Arial" w:hAnsi="Arial" w:cs="Arial"/>
          <w:sz w:val="22"/>
          <w:szCs w:val="22"/>
        </w:rPr>
        <w:t>, 1–6.</w:t>
      </w:r>
    </w:p>
    <w:p w14:paraId="33E9D8F4" w14:textId="3F331C8F" w:rsidR="00D07882" w:rsidRPr="002955D3" w:rsidRDefault="00D07882" w:rsidP="00D07882">
      <w:pPr>
        <w:pStyle w:val="NormalWeb"/>
        <w:numPr>
          <w:ilvl w:val="0"/>
          <w:numId w:val="33"/>
        </w:numPr>
        <w:rPr>
          <w:rFonts w:ascii="Arial" w:hAnsi="Arial" w:cs="Arial"/>
          <w:sz w:val="22"/>
          <w:szCs w:val="22"/>
        </w:rPr>
      </w:pPr>
      <w:r w:rsidRPr="002955D3">
        <w:rPr>
          <w:rFonts w:ascii="Arial" w:hAnsi="Arial" w:cs="Arial"/>
          <w:sz w:val="22"/>
          <w:szCs w:val="22"/>
          <w:lang w:val="de-CH"/>
        </w:rPr>
        <w:t xml:space="preserve">Liebowitz, M., Kaempf, J., Erdeve, O., Bulbul, A., Håkansson, S., &amp; Lindqvist, J., et al. </w:t>
      </w:r>
      <w:r w:rsidRPr="002955D3">
        <w:rPr>
          <w:rFonts w:ascii="Arial" w:hAnsi="Arial" w:cs="Arial"/>
          <w:sz w:val="22"/>
          <w:szCs w:val="22"/>
        </w:rPr>
        <w:t xml:space="preserve">(2019). Comparative effectiveness of drugs used to constrict the patent ductus arteriosus: A secondary analysis of the PDA-TOLERATE trial (NCT01958320). </w:t>
      </w:r>
      <w:r w:rsidRPr="002955D3">
        <w:rPr>
          <w:rStyle w:val="Emphasis"/>
          <w:rFonts w:ascii="Arial" w:hAnsi="Arial" w:cs="Arial"/>
          <w:sz w:val="22"/>
          <w:szCs w:val="22"/>
        </w:rPr>
        <w:t>Journal of Perinatology, 39</w:t>
      </w:r>
      <w:r w:rsidRPr="002955D3">
        <w:rPr>
          <w:rFonts w:ascii="Arial" w:hAnsi="Arial" w:cs="Arial"/>
          <w:sz w:val="22"/>
          <w:szCs w:val="22"/>
        </w:rPr>
        <w:t>(5), 599–607.</w:t>
      </w:r>
    </w:p>
    <w:p w14:paraId="2D34DF7C" w14:textId="26DB610F" w:rsidR="00D07882" w:rsidRPr="002955D3" w:rsidRDefault="00D07882" w:rsidP="00D07882">
      <w:pPr>
        <w:pStyle w:val="NormalWeb"/>
        <w:numPr>
          <w:ilvl w:val="0"/>
          <w:numId w:val="33"/>
        </w:numPr>
        <w:rPr>
          <w:rFonts w:ascii="Arial" w:hAnsi="Arial" w:cs="Arial"/>
          <w:sz w:val="22"/>
          <w:szCs w:val="22"/>
        </w:rPr>
      </w:pPr>
      <w:r w:rsidRPr="002955D3">
        <w:rPr>
          <w:rFonts w:ascii="Arial" w:hAnsi="Arial" w:cs="Arial"/>
          <w:sz w:val="22"/>
          <w:szCs w:val="22"/>
          <w:lang w:val="de-CH"/>
        </w:rPr>
        <w:t xml:space="preserve">Liu, C., Zhang, Z., Dong, Y., Zhang, Y., Liu, T., &amp; Li, Z., et al. </w:t>
      </w:r>
      <w:r w:rsidRPr="002955D3">
        <w:rPr>
          <w:rFonts w:ascii="Arial" w:hAnsi="Arial" w:cs="Arial"/>
          <w:sz w:val="22"/>
          <w:szCs w:val="22"/>
        </w:rPr>
        <w:t xml:space="preserve">(2020). Related factors of patent ductus arteriosus in preterm infants: A systematic review and meta-analysis. </w:t>
      </w:r>
      <w:r w:rsidRPr="002955D3">
        <w:rPr>
          <w:rStyle w:val="Emphasis"/>
          <w:rFonts w:ascii="Arial" w:hAnsi="Arial" w:cs="Arial"/>
          <w:sz w:val="22"/>
          <w:szCs w:val="22"/>
        </w:rPr>
        <w:t xml:space="preserve">Frontiers in </w:t>
      </w:r>
      <w:proofErr w:type="spellStart"/>
      <w:r w:rsidRPr="002955D3">
        <w:rPr>
          <w:rStyle w:val="Emphasis"/>
          <w:rFonts w:ascii="Arial" w:hAnsi="Arial" w:cs="Arial"/>
          <w:sz w:val="22"/>
          <w:szCs w:val="22"/>
        </w:rPr>
        <w:t>Pediatrics</w:t>
      </w:r>
      <w:proofErr w:type="spellEnd"/>
      <w:r w:rsidRPr="002955D3">
        <w:rPr>
          <w:rStyle w:val="Emphasis"/>
          <w:rFonts w:ascii="Arial" w:hAnsi="Arial" w:cs="Arial"/>
          <w:sz w:val="22"/>
          <w:szCs w:val="22"/>
        </w:rPr>
        <w:t>, 8</w:t>
      </w:r>
      <w:r w:rsidRPr="002955D3">
        <w:rPr>
          <w:rFonts w:ascii="Arial" w:hAnsi="Arial" w:cs="Arial"/>
          <w:sz w:val="22"/>
          <w:szCs w:val="22"/>
        </w:rPr>
        <w:t>, 605879.</w:t>
      </w:r>
    </w:p>
    <w:p w14:paraId="606E5F87" w14:textId="49273E63" w:rsidR="00D07882" w:rsidRPr="002955D3" w:rsidRDefault="00D07882" w:rsidP="00D07882">
      <w:pPr>
        <w:pStyle w:val="NormalWeb"/>
        <w:numPr>
          <w:ilvl w:val="0"/>
          <w:numId w:val="33"/>
        </w:numPr>
        <w:rPr>
          <w:rFonts w:ascii="Arial" w:hAnsi="Arial" w:cs="Arial"/>
          <w:sz w:val="22"/>
          <w:szCs w:val="22"/>
        </w:rPr>
      </w:pPr>
      <w:r w:rsidRPr="002955D3">
        <w:rPr>
          <w:rFonts w:ascii="Arial" w:hAnsi="Arial" w:cs="Arial"/>
          <w:sz w:val="22"/>
          <w:szCs w:val="22"/>
          <w:lang w:val="de-CH"/>
        </w:rPr>
        <w:t xml:space="preserve">Nizarali, Z., Zaidi, A. N., &amp; Bhutta, Z. A. (2011). </w:t>
      </w:r>
      <w:r w:rsidRPr="002955D3">
        <w:rPr>
          <w:rFonts w:ascii="Arial" w:hAnsi="Arial" w:cs="Arial"/>
          <w:sz w:val="22"/>
          <w:szCs w:val="22"/>
        </w:rPr>
        <w:t xml:space="preserve">Patent ductus arteriosus: Perinatal risk factors. </w:t>
      </w:r>
      <w:r w:rsidRPr="002955D3">
        <w:rPr>
          <w:rStyle w:val="Emphasis"/>
          <w:rFonts w:ascii="Arial" w:hAnsi="Arial" w:cs="Arial"/>
          <w:sz w:val="22"/>
          <w:szCs w:val="22"/>
        </w:rPr>
        <w:t>Journal of Neonatal Biology, 1</w:t>
      </w:r>
      <w:r w:rsidRPr="002955D3">
        <w:rPr>
          <w:rFonts w:ascii="Arial" w:hAnsi="Arial" w:cs="Arial"/>
          <w:sz w:val="22"/>
          <w:szCs w:val="22"/>
        </w:rPr>
        <w:t>(1), 109.</w:t>
      </w:r>
    </w:p>
    <w:p w14:paraId="0553A2D3" w14:textId="01912FD0" w:rsidR="00D07882" w:rsidRPr="002955D3" w:rsidRDefault="00D07882" w:rsidP="00D07882">
      <w:pPr>
        <w:pStyle w:val="NormalWeb"/>
        <w:numPr>
          <w:ilvl w:val="0"/>
          <w:numId w:val="33"/>
        </w:numPr>
        <w:rPr>
          <w:rFonts w:ascii="Arial" w:hAnsi="Arial" w:cs="Arial"/>
          <w:sz w:val="22"/>
          <w:szCs w:val="22"/>
        </w:rPr>
      </w:pPr>
      <w:r w:rsidRPr="002955D3">
        <w:rPr>
          <w:rFonts w:ascii="Arial" w:hAnsi="Arial" w:cs="Arial"/>
          <w:sz w:val="22"/>
          <w:szCs w:val="22"/>
          <w:lang w:val="de-CH"/>
        </w:rPr>
        <w:lastRenderedPageBreak/>
        <w:t xml:space="preserve">Sehgal, A., &amp; McNamara, P. J. (2010). </w:t>
      </w:r>
      <w:r w:rsidRPr="002955D3">
        <w:rPr>
          <w:rFonts w:ascii="Arial" w:hAnsi="Arial" w:cs="Arial"/>
          <w:sz w:val="22"/>
          <w:szCs w:val="22"/>
        </w:rPr>
        <w:t xml:space="preserve">Does echocardiography facilitate hemodynamic management in preterm infants with patent ductus arteriosus? </w:t>
      </w:r>
      <w:r w:rsidRPr="002955D3">
        <w:rPr>
          <w:rStyle w:val="Emphasis"/>
          <w:rFonts w:ascii="Arial" w:hAnsi="Arial" w:cs="Arial"/>
          <w:sz w:val="22"/>
          <w:szCs w:val="22"/>
        </w:rPr>
        <w:t xml:space="preserve">European Journal of </w:t>
      </w:r>
      <w:proofErr w:type="spellStart"/>
      <w:r w:rsidRPr="002955D3">
        <w:rPr>
          <w:rStyle w:val="Emphasis"/>
          <w:rFonts w:ascii="Arial" w:hAnsi="Arial" w:cs="Arial"/>
          <w:sz w:val="22"/>
          <w:szCs w:val="22"/>
        </w:rPr>
        <w:t>Pediatrics</w:t>
      </w:r>
      <w:proofErr w:type="spellEnd"/>
      <w:r w:rsidRPr="002955D3">
        <w:rPr>
          <w:rStyle w:val="Emphasis"/>
          <w:rFonts w:ascii="Arial" w:hAnsi="Arial" w:cs="Arial"/>
          <w:sz w:val="22"/>
          <w:szCs w:val="22"/>
        </w:rPr>
        <w:t>, 169</w:t>
      </w:r>
      <w:r w:rsidRPr="002955D3">
        <w:rPr>
          <w:rFonts w:ascii="Arial" w:hAnsi="Arial" w:cs="Arial"/>
          <w:sz w:val="22"/>
          <w:szCs w:val="22"/>
        </w:rPr>
        <w:t>(9), 983–988.</w:t>
      </w:r>
    </w:p>
    <w:p w14:paraId="749A37E4" w14:textId="39E3FBDB" w:rsidR="00D07882" w:rsidRPr="002955D3" w:rsidRDefault="00D07882" w:rsidP="00D07882">
      <w:pPr>
        <w:pStyle w:val="NormalWeb"/>
        <w:numPr>
          <w:ilvl w:val="0"/>
          <w:numId w:val="33"/>
        </w:numPr>
        <w:rPr>
          <w:rFonts w:ascii="Arial" w:hAnsi="Arial" w:cs="Arial"/>
          <w:sz w:val="22"/>
          <w:szCs w:val="22"/>
        </w:rPr>
      </w:pPr>
      <w:proofErr w:type="spellStart"/>
      <w:r w:rsidRPr="002955D3">
        <w:rPr>
          <w:rFonts w:ascii="Arial" w:hAnsi="Arial" w:cs="Arial"/>
          <w:sz w:val="22"/>
          <w:szCs w:val="22"/>
        </w:rPr>
        <w:t>Ovalı</w:t>
      </w:r>
      <w:proofErr w:type="spellEnd"/>
      <w:r w:rsidRPr="002955D3">
        <w:rPr>
          <w:rFonts w:ascii="Arial" w:hAnsi="Arial" w:cs="Arial"/>
          <w:sz w:val="22"/>
          <w:szCs w:val="22"/>
        </w:rPr>
        <w:t xml:space="preserve">, F. (2020). Molecular and mechanical mechanisms regulating ductus arteriosus closure in preterm infants. </w:t>
      </w:r>
      <w:r w:rsidRPr="002955D3">
        <w:rPr>
          <w:rStyle w:val="Emphasis"/>
          <w:rFonts w:ascii="Arial" w:hAnsi="Arial" w:cs="Arial"/>
          <w:sz w:val="22"/>
          <w:szCs w:val="22"/>
        </w:rPr>
        <w:t xml:space="preserve">Frontiers in </w:t>
      </w:r>
      <w:proofErr w:type="spellStart"/>
      <w:r w:rsidRPr="002955D3">
        <w:rPr>
          <w:rStyle w:val="Emphasis"/>
          <w:rFonts w:ascii="Arial" w:hAnsi="Arial" w:cs="Arial"/>
          <w:sz w:val="22"/>
          <w:szCs w:val="22"/>
        </w:rPr>
        <w:t>Pediatrics</w:t>
      </w:r>
      <w:proofErr w:type="spellEnd"/>
      <w:r w:rsidRPr="002955D3">
        <w:rPr>
          <w:rStyle w:val="Emphasis"/>
          <w:rFonts w:ascii="Arial" w:hAnsi="Arial" w:cs="Arial"/>
          <w:sz w:val="22"/>
          <w:szCs w:val="22"/>
        </w:rPr>
        <w:t>, 8</w:t>
      </w:r>
      <w:r w:rsidRPr="002955D3">
        <w:rPr>
          <w:rFonts w:ascii="Arial" w:hAnsi="Arial" w:cs="Arial"/>
          <w:sz w:val="22"/>
          <w:szCs w:val="22"/>
        </w:rPr>
        <w:t>, 516.</w:t>
      </w:r>
    </w:p>
    <w:p w14:paraId="5B5F0B5B" w14:textId="7A41CA5C" w:rsidR="00D07882" w:rsidRPr="002955D3" w:rsidRDefault="00D07882" w:rsidP="00D07882">
      <w:pPr>
        <w:pStyle w:val="NormalWeb"/>
        <w:numPr>
          <w:ilvl w:val="0"/>
          <w:numId w:val="33"/>
        </w:numPr>
        <w:rPr>
          <w:rFonts w:ascii="Arial" w:hAnsi="Arial" w:cs="Arial"/>
          <w:sz w:val="22"/>
          <w:szCs w:val="22"/>
        </w:rPr>
      </w:pPr>
      <w:r w:rsidRPr="002955D3">
        <w:rPr>
          <w:rFonts w:ascii="Arial" w:hAnsi="Arial" w:cs="Arial"/>
          <w:sz w:val="22"/>
          <w:szCs w:val="22"/>
        </w:rPr>
        <w:t xml:space="preserve">He, M., Yang, Z., Gan, T., Tang, J., Ran, S., &amp; Zhang, K. (2023). Echocardiographic parameters predicting spontaneous closure of ductus arteriosus in preterm infants. </w:t>
      </w:r>
      <w:r w:rsidRPr="002955D3">
        <w:rPr>
          <w:rStyle w:val="Emphasis"/>
          <w:rFonts w:ascii="Arial" w:hAnsi="Arial" w:cs="Arial"/>
          <w:sz w:val="22"/>
          <w:szCs w:val="22"/>
        </w:rPr>
        <w:t xml:space="preserve">Frontiers in </w:t>
      </w:r>
      <w:proofErr w:type="spellStart"/>
      <w:r w:rsidRPr="002955D3">
        <w:rPr>
          <w:rStyle w:val="Emphasis"/>
          <w:rFonts w:ascii="Arial" w:hAnsi="Arial" w:cs="Arial"/>
          <w:sz w:val="22"/>
          <w:szCs w:val="22"/>
        </w:rPr>
        <w:t>Pediatrics</w:t>
      </w:r>
      <w:proofErr w:type="spellEnd"/>
      <w:r w:rsidRPr="002955D3">
        <w:rPr>
          <w:rStyle w:val="Emphasis"/>
          <w:rFonts w:ascii="Arial" w:hAnsi="Arial" w:cs="Arial"/>
          <w:sz w:val="22"/>
          <w:szCs w:val="22"/>
        </w:rPr>
        <w:t>, 11</w:t>
      </w:r>
      <w:r w:rsidRPr="002955D3">
        <w:rPr>
          <w:rFonts w:ascii="Arial" w:hAnsi="Arial" w:cs="Arial"/>
          <w:sz w:val="22"/>
          <w:szCs w:val="22"/>
        </w:rPr>
        <w:t>, 1198936.</w:t>
      </w:r>
    </w:p>
    <w:p w14:paraId="684380B1" w14:textId="48FD33DE" w:rsidR="00D07882" w:rsidRPr="002955D3" w:rsidRDefault="00D07882" w:rsidP="00D07882">
      <w:pPr>
        <w:pStyle w:val="NormalWeb"/>
        <w:numPr>
          <w:ilvl w:val="0"/>
          <w:numId w:val="33"/>
        </w:numPr>
        <w:rPr>
          <w:rFonts w:ascii="Arial" w:hAnsi="Arial" w:cs="Arial"/>
          <w:sz w:val="22"/>
          <w:szCs w:val="22"/>
        </w:rPr>
      </w:pPr>
      <w:r w:rsidRPr="002955D3">
        <w:rPr>
          <w:rFonts w:ascii="Arial" w:hAnsi="Arial" w:cs="Arial"/>
          <w:sz w:val="22"/>
          <w:szCs w:val="22"/>
        </w:rPr>
        <w:t xml:space="preserve">Mandell, E., &amp; Clyman, R. I. (1980). The role of pulmonary vascular resistance in the closure of the ductus arteriosus. </w:t>
      </w:r>
      <w:proofErr w:type="spellStart"/>
      <w:r w:rsidRPr="002955D3">
        <w:rPr>
          <w:rStyle w:val="Emphasis"/>
          <w:rFonts w:ascii="Arial" w:hAnsi="Arial" w:cs="Arial"/>
          <w:sz w:val="22"/>
          <w:szCs w:val="22"/>
        </w:rPr>
        <w:t>Pediatric</w:t>
      </w:r>
      <w:proofErr w:type="spellEnd"/>
      <w:r w:rsidRPr="002955D3">
        <w:rPr>
          <w:rStyle w:val="Emphasis"/>
          <w:rFonts w:ascii="Arial" w:hAnsi="Arial" w:cs="Arial"/>
          <w:sz w:val="22"/>
          <w:szCs w:val="22"/>
        </w:rPr>
        <w:t xml:space="preserve"> Research, 14</w:t>
      </w:r>
      <w:r w:rsidRPr="002955D3">
        <w:rPr>
          <w:rFonts w:ascii="Arial" w:hAnsi="Arial" w:cs="Arial"/>
          <w:sz w:val="22"/>
          <w:szCs w:val="22"/>
        </w:rPr>
        <w:t>(10), 1214–1218.</w:t>
      </w:r>
    </w:p>
    <w:p w14:paraId="00ACEFF4" w14:textId="34BB9CA6" w:rsidR="00D07882" w:rsidRPr="002955D3" w:rsidRDefault="00D07882" w:rsidP="00D07882">
      <w:pPr>
        <w:pStyle w:val="NormalWeb"/>
        <w:numPr>
          <w:ilvl w:val="0"/>
          <w:numId w:val="33"/>
        </w:numPr>
        <w:rPr>
          <w:rFonts w:ascii="Arial" w:hAnsi="Arial" w:cs="Arial"/>
          <w:sz w:val="22"/>
          <w:szCs w:val="22"/>
        </w:rPr>
      </w:pPr>
      <w:r w:rsidRPr="002955D3">
        <w:rPr>
          <w:rFonts w:ascii="Arial" w:hAnsi="Arial" w:cs="Arial"/>
          <w:sz w:val="22"/>
          <w:szCs w:val="22"/>
          <w:lang w:val="de-CH"/>
        </w:rPr>
        <w:t xml:space="preserve">Schwarz, C. E., Preusche, A., Baden, W., et al. </w:t>
      </w:r>
      <w:r w:rsidRPr="002955D3">
        <w:rPr>
          <w:rFonts w:ascii="Arial" w:hAnsi="Arial" w:cs="Arial"/>
          <w:sz w:val="22"/>
          <w:szCs w:val="22"/>
        </w:rPr>
        <w:t xml:space="preserve">(2016). Repeatability of echocardiographic parameters to evaluate the hemodynamic relevance of patent ductus arteriosus in preterm infants: A prospective observational study. </w:t>
      </w:r>
      <w:r w:rsidRPr="002955D3">
        <w:rPr>
          <w:rStyle w:val="Emphasis"/>
          <w:rFonts w:ascii="Arial" w:hAnsi="Arial" w:cs="Arial"/>
          <w:sz w:val="22"/>
          <w:szCs w:val="22"/>
        </w:rPr>
        <w:t xml:space="preserve">BMC </w:t>
      </w:r>
      <w:proofErr w:type="spellStart"/>
      <w:r w:rsidRPr="002955D3">
        <w:rPr>
          <w:rStyle w:val="Emphasis"/>
          <w:rFonts w:ascii="Arial" w:hAnsi="Arial" w:cs="Arial"/>
          <w:sz w:val="22"/>
          <w:szCs w:val="22"/>
        </w:rPr>
        <w:t>Pediatrics</w:t>
      </w:r>
      <w:proofErr w:type="spellEnd"/>
      <w:r w:rsidRPr="002955D3">
        <w:rPr>
          <w:rStyle w:val="Emphasis"/>
          <w:rFonts w:ascii="Arial" w:hAnsi="Arial" w:cs="Arial"/>
          <w:sz w:val="22"/>
          <w:szCs w:val="22"/>
        </w:rPr>
        <w:t>, 16</w:t>
      </w:r>
      <w:r w:rsidRPr="002955D3">
        <w:rPr>
          <w:rFonts w:ascii="Arial" w:hAnsi="Arial" w:cs="Arial"/>
          <w:sz w:val="22"/>
          <w:szCs w:val="22"/>
        </w:rPr>
        <w:t>, 18.</w:t>
      </w:r>
    </w:p>
    <w:p w14:paraId="057E1B77" w14:textId="1C754D58" w:rsidR="00D07882" w:rsidRPr="002955D3" w:rsidRDefault="00D07882" w:rsidP="00D07882">
      <w:pPr>
        <w:pStyle w:val="NormalWeb"/>
        <w:numPr>
          <w:ilvl w:val="0"/>
          <w:numId w:val="33"/>
        </w:numPr>
        <w:rPr>
          <w:rFonts w:ascii="Arial" w:hAnsi="Arial" w:cs="Arial"/>
          <w:sz w:val="22"/>
          <w:szCs w:val="22"/>
        </w:rPr>
      </w:pPr>
      <w:proofErr w:type="spellStart"/>
      <w:r w:rsidRPr="002955D3">
        <w:rPr>
          <w:rFonts w:ascii="Arial" w:hAnsi="Arial" w:cs="Arial"/>
          <w:sz w:val="22"/>
          <w:szCs w:val="22"/>
        </w:rPr>
        <w:t>Waleh</w:t>
      </w:r>
      <w:proofErr w:type="spellEnd"/>
      <w:r w:rsidRPr="002955D3">
        <w:rPr>
          <w:rFonts w:ascii="Arial" w:hAnsi="Arial" w:cs="Arial"/>
          <w:sz w:val="22"/>
          <w:szCs w:val="22"/>
        </w:rPr>
        <w:t xml:space="preserve">, N., Barrette, A. M., Dagle, J. M., Momany, A., Jin, C., &amp; Hills, N. K., et al. (2015). Effects of advancing gestation and non-Caucasian race on ductus arteriosus gene expression. </w:t>
      </w:r>
      <w:r w:rsidRPr="002955D3">
        <w:rPr>
          <w:rStyle w:val="Emphasis"/>
          <w:rFonts w:ascii="Arial" w:hAnsi="Arial" w:cs="Arial"/>
          <w:sz w:val="22"/>
          <w:szCs w:val="22"/>
        </w:rPr>
        <w:t xml:space="preserve">The Journal of </w:t>
      </w:r>
      <w:proofErr w:type="spellStart"/>
      <w:r w:rsidRPr="002955D3">
        <w:rPr>
          <w:rStyle w:val="Emphasis"/>
          <w:rFonts w:ascii="Arial" w:hAnsi="Arial" w:cs="Arial"/>
          <w:sz w:val="22"/>
          <w:szCs w:val="22"/>
        </w:rPr>
        <w:t>Pediatrics</w:t>
      </w:r>
      <w:proofErr w:type="spellEnd"/>
      <w:r w:rsidRPr="002955D3">
        <w:rPr>
          <w:rStyle w:val="Emphasis"/>
          <w:rFonts w:ascii="Arial" w:hAnsi="Arial" w:cs="Arial"/>
          <w:sz w:val="22"/>
          <w:szCs w:val="22"/>
        </w:rPr>
        <w:t>, 167</w:t>
      </w:r>
      <w:r w:rsidRPr="002955D3">
        <w:rPr>
          <w:rFonts w:ascii="Arial" w:hAnsi="Arial" w:cs="Arial"/>
          <w:sz w:val="22"/>
          <w:szCs w:val="22"/>
        </w:rPr>
        <w:t>(5), 1033–1041.e2.</w:t>
      </w:r>
    </w:p>
    <w:p w14:paraId="51F06412" w14:textId="5B24F5EB" w:rsidR="00D07882" w:rsidRPr="002955D3" w:rsidRDefault="00D07882" w:rsidP="00D07882">
      <w:pPr>
        <w:pStyle w:val="NormalWeb"/>
        <w:numPr>
          <w:ilvl w:val="0"/>
          <w:numId w:val="33"/>
        </w:numPr>
        <w:rPr>
          <w:rFonts w:ascii="Arial" w:hAnsi="Arial" w:cs="Arial"/>
          <w:sz w:val="22"/>
          <w:szCs w:val="22"/>
        </w:rPr>
      </w:pPr>
      <w:r w:rsidRPr="002955D3">
        <w:rPr>
          <w:rFonts w:ascii="Arial" w:hAnsi="Arial" w:cs="Arial"/>
          <w:sz w:val="22"/>
          <w:szCs w:val="22"/>
        </w:rPr>
        <w:t>Mullaly, R., Smith, A., Franklin, O., McCallion, N., &amp; EL-</w:t>
      </w:r>
      <w:proofErr w:type="spellStart"/>
      <w:r w:rsidRPr="002955D3">
        <w:rPr>
          <w:rFonts w:ascii="Arial" w:hAnsi="Arial" w:cs="Arial"/>
          <w:sz w:val="22"/>
          <w:szCs w:val="22"/>
        </w:rPr>
        <w:t>Khuffash</w:t>
      </w:r>
      <w:proofErr w:type="spellEnd"/>
      <w:r w:rsidRPr="002955D3">
        <w:rPr>
          <w:rFonts w:ascii="Arial" w:hAnsi="Arial" w:cs="Arial"/>
          <w:sz w:val="22"/>
          <w:szCs w:val="22"/>
        </w:rPr>
        <w:t xml:space="preserve">, A. (2025). Clinical and echocardiographic predictors of medical therapy failure for patent ductus arteriosus closure in preterm infants: Insights from a risk-based treatment approach. </w:t>
      </w:r>
      <w:r w:rsidRPr="002955D3">
        <w:rPr>
          <w:rStyle w:val="Emphasis"/>
          <w:rFonts w:ascii="Arial" w:hAnsi="Arial" w:cs="Arial"/>
          <w:sz w:val="22"/>
          <w:szCs w:val="22"/>
        </w:rPr>
        <w:t>Early Human Development, 204</w:t>
      </w:r>
      <w:r w:rsidRPr="002955D3">
        <w:rPr>
          <w:rFonts w:ascii="Arial" w:hAnsi="Arial" w:cs="Arial"/>
          <w:sz w:val="22"/>
          <w:szCs w:val="22"/>
        </w:rPr>
        <w:t>, 106238.</w:t>
      </w:r>
    </w:p>
    <w:p w14:paraId="0E3BE296" w14:textId="33FB271E" w:rsidR="00D07882" w:rsidRPr="002955D3" w:rsidRDefault="00D07882" w:rsidP="00D07882">
      <w:pPr>
        <w:pStyle w:val="NormalWeb"/>
        <w:numPr>
          <w:ilvl w:val="0"/>
          <w:numId w:val="33"/>
        </w:numPr>
        <w:rPr>
          <w:rFonts w:ascii="Arial" w:hAnsi="Arial" w:cs="Arial"/>
          <w:sz w:val="22"/>
          <w:szCs w:val="22"/>
        </w:rPr>
      </w:pPr>
      <w:r w:rsidRPr="002955D3">
        <w:rPr>
          <w:rFonts w:ascii="Arial" w:hAnsi="Arial" w:cs="Arial"/>
          <w:sz w:val="22"/>
          <w:szCs w:val="22"/>
        </w:rPr>
        <w:t xml:space="preserve">Van Laere, D., van </w:t>
      </w:r>
      <w:proofErr w:type="spellStart"/>
      <w:r w:rsidRPr="002955D3">
        <w:rPr>
          <w:rFonts w:ascii="Arial" w:hAnsi="Arial" w:cs="Arial"/>
          <w:sz w:val="22"/>
          <w:szCs w:val="22"/>
        </w:rPr>
        <w:t>Overmeire</w:t>
      </w:r>
      <w:proofErr w:type="spellEnd"/>
      <w:r w:rsidRPr="002955D3">
        <w:rPr>
          <w:rFonts w:ascii="Arial" w:hAnsi="Arial" w:cs="Arial"/>
          <w:sz w:val="22"/>
          <w:szCs w:val="22"/>
        </w:rPr>
        <w:t xml:space="preserve">, B., Gupta, S., et al. (2018). Application of neonatologist performed echocardiography in the assessment of a patent ductus arteriosus. </w:t>
      </w:r>
      <w:proofErr w:type="spellStart"/>
      <w:r w:rsidRPr="002955D3">
        <w:rPr>
          <w:rStyle w:val="Emphasis"/>
          <w:rFonts w:ascii="Arial" w:hAnsi="Arial" w:cs="Arial"/>
          <w:sz w:val="22"/>
          <w:szCs w:val="22"/>
        </w:rPr>
        <w:t>Pediatric</w:t>
      </w:r>
      <w:proofErr w:type="spellEnd"/>
      <w:r w:rsidRPr="002955D3">
        <w:rPr>
          <w:rStyle w:val="Emphasis"/>
          <w:rFonts w:ascii="Arial" w:hAnsi="Arial" w:cs="Arial"/>
          <w:sz w:val="22"/>
          <w:szCs w:val="22"/>
        </w:rPr>
        <w:t xml:space="preserve"> Research, 84</w:t>
      </w:r>
      <w:r w:rsidRPr="002955D3">
        <w:rPr>
          <w:rFonts w:ascii="Arial" w:hAnsi="Arial" w:cs="Arial"/>
          <w:sz w:val="22"/>
          <w:szCs w:val="22"/>
        </w:rPr>
        <w:t>(</w:t>
      </w:r>
      <w:proofErr w:type="spellStart"/>
      <w:r w:rsidRPr="002955D3">
        <w:rPr>
          <w:rFonts w:ascii="Arial" w:hAnsi="Arial" w:cs="Arial"/>
          <w:sz w:val="22"/>
          <w:szCs w:val="22"/>
        </w:rPr>
        <w:t>Suppl</w:t>
      </w:r>
      <w:proofErr w:type="spellEnd"/>
      <w:r w:rsidRPr="002955D3">
        <w:rPr>
          <w:rFonts w:ascii="Arial" w:hAnsi="Arial" w:cs="Arial"/>
          <w:sz w:val="22"/>
          <w:szCs w:val="22"/>
        </w:rPr>
        <w:t xml:space="preserve"> 1), 46–56.</w:t>
      </w:r>
    </w:p>
    <w:p w14:paraId="2A705921" w14:textId="45186F35" w:rsidR="00D07882" w:rsidRPr="002955D3" w:rsidRDefault="00D07882" w:rsidP="00D07882">
      <w:pPr>
        <w:pStyle w:val="NormalWeb"/>
        <w:numPr>
          <w:ilvl w:val="0"/>
          <w:numId w:val="33"/>
        </w:numPr>
        <w:rPr>
          <w:rFonts w:ascii="Arial" w:hAnsi="Arial" w:cs="Arial"/>
          <w:sz w:val="22"/>
          <w:szCs w:val="22"/>
        </w:rPr>
      </w:pPr>
      <w:r w:rsidRPr="002955D3">
        <w:rPr>
          <w:rFonts w:ascii="Arial" w:hAnsi="Arial" w:cs="Arial"/>
          <w:sz w:val="22"/>
          <w:szCs w:val="22"/>
        </w:rPr>
        <w:t xml:space="preserve">Aldana-Aguirre, J. C., Toye, J., Shah, P. S., Yoon, E. W., &amp; Kumaran, K. (2019). Patent ductus arteriosus and small for gestational age infants: Treatment approaches and outcomes. </w:t>
      </w:r>
      <w:r w:rsidRPr="002955D3">
        <w:rPr>
          <w:rStyle w:val="Emphasis"/>
          <w:rFonts w:ascii="Arial" w:hAnsi="Arial" w:cs="Arial"/>
          <w:sz w:val="22"/>
          <w:szCs w:val="22"/>
        </w:rPr>
        <w:t>Early Human Development, 131</w:t>
      </w:r>
      <w:r w:rsidRPr="002955D3">
        <w:rPr>
          <w:rFonts w:ascii="Arial" w:hAnsi="Arial" w:cs="Arial"/>
          <w:sz w:val="22"/>
          <w:szCs w:val="22"/>
        </w:rPr>
        <w:t>, 10–14.</w:t>
      </w:r>
    </w:p>
    <w:p w14:paraId="33180927" w14:textId="556F1EC4" w:rsidR="00D07882" w:rsidRPr="002955D3" w:rsidRDefault="00D07882" w:rsidP="00D07882">
      <w:pPr>
        <w:pStyle w:val="NormalWeb"/>
        <w:numPr>
          <w:ilvl w:val="0"/>
          <w:numId w:val="33"/>
        </w:numPr>
        <w:rPr>
          <w:rFonts w:ascii="Arial" w:hAnsi="Arial" w:cs="Arial"/>
          <w:sz w:val="22"/>
          <w:szCs w:val="22"/>
        </w:rPr>
      </w:pPr>
      <w:r w:rsidRPr="002955D3">
        <w:rPr>
          <w:rFonts w:ascii="Arial" w:hAnsi="Arial" w:cs="Arial"/>
          <w:sz w:val="22"/>
          <w:szCs w:val="22"/>
        </w:rPr>
        <w:t xml:space="preserve">Tamimi, O., &amp; Mohammed, M. H. A. (2021). Pulmonary vascular resistance measurement remains keystone in congenital heart disease management. </w:t>
      </w:r>
      <w:r w:rsidRPr="002955D3">
        <w:rPr>
          <w:rStyle w:val="Emphasis"/>
          <w:rFonts w:ascii="Arial" w:hAnsi="Arial" w:cs="Arial"/>
          <w:sz w:val="22"/>
          <w:szCs w:val="22"/>
        </w:rPr>
        <w:t>Frontiers in Cardiovascular Medicine, 8</w:t>
      </w:r>
      <w:r w:rsidRPr="002955D3">
        <w:rPr>
          <w:rFonts w:ascii="Arial" w:hAnsi="Arial" w:cs="Arial"/>
          <w:sz w:val="22"/>
          <w:szCs w:val="22"/>
        </w:rPr>
        <w:t>, 679402.</w:t>
      </w:r>
    </w:p>
    <w:p w14:paraId="3C23DF8E" w14:textId="22FC2F3B" w:rsidR="00D07882" w:rsidRPr="002955D3" w:rsidRDefault="00D07882" w:rsidP="00D07882">
      <w:pPr>
        <w:pStyle w:val="NormalWeb"/>
        <w:numPr>
          <w:ilvl w:val="0"/>
          <w:numId w:val="33"/>
        </w:numPr>
        <w:rPr>
          <w:rFonts w:ascii="Arial" w:hAnsi="Arial" w:cs="Arial"/>
          <w:sz w:val="22"/>
          <w:szCs w:val="22"/>
        </w:rPr>
      </w:pPr>
      <w:r w:rsidRPr="002955D3">
        <w:rPr>
          <w:rFonts w:ascii="Arial" w:hAnsi="Arial" w:cs="Arial"/>
          <w:sz w:val="22"/>
          <w:szCs w:val="22"/>
        </w:rPr>
        <w:t xml:space="preserve">Bouazza, N., </w:t>
      </w:r>
      <w:proofErr w:type="spellStart"/>
      <w:r w:rsidRPr="002955D3">
        <w:rPr>
          <w:rFonts w:ascii="Arial" w:hAnsi="Arial" w:cs="Arial"/>
          <w:sz w:val="22"/>
          <w:szCs w:val="22"/>
        </w:rPr>
        <w:t>Treluyer</w:t>
      </w:r>
      <w:proofErr w:type="spellEnd"/>
      <w:r w:rsidRPr="002955D3">
        <w:rPr>
          <w:rFonts w:ascii="Arial" w:hAnsi="Arial" w:cs="Arial"/>
          <w:sz w:val="22"/>
          <w:szCs w:val="22"/>
        </w:rPr>
        <w:t xml:space="preserve">, J. M., </w:t>
      </w:r>
      <w:proofErr w:type="spellStart"/>
      <w:r w:rsidRPr="002955D3">
        <w:rPr>
          <w:rFonts w:ascii="Arial" w:hAnsi="Arial" w:cs="Arial"/>
          <w:sz w:val="22"/>
          <w:szCs w:val="22"/>
        </w:rPr>
        <w:t>Foissac</w:t>
      </w:r>
      <w:proofErr w:type="spellEnd"/>
      <w:r w:rsidRPr="002955D3">
        <w:rPr>
          <w:rFonts w:ascii="Arial" w:hAnsi="Arial" w:cs="Arial"/>
          <w:sz w:val="22"/>
          <w:szCs w:val="22"/>
        </w:rPr>
        <w:t xml:space="preserve">, F., Urien, S., </w:t>
      </w:r>
      <w:proofErr w:type="spellStart"/>
      <w:r w:rsidRPr="002955D3">
        <w:rPr>
          <w:rFonts w:ascii="Arial" w:hAnsi="Arial" w:cs="Arial"/>
          <w:sz w:val="22"/>
          <w:szCs w:val="22"/>
        </w:rPr>
        <w:t>Aikio</w:t>
      </w:r>
      <w:proofErr w:type="spellEnd"/>
      <w:r w:rsidRPr="002955D3">
        <w:rPr>
          <w:rFonts w:ascii="Arial" w:hAnsi="Arial" w:cs="Arial"/>
          <w:sz w:val="22"/>
          <w:szCs w:val="22"/>
        </w:rPr>
        <w:t xml:space="preserve">, O., &amp; Roze, J. C., et al. (2021). Pharmacokinetics of intravenous paracetamol (acetaminophen) and ductus arteriosus closure after premature birth. </w:t>
      </w:r>
      <w:r w:rsidRPr="002955D3">
        <w:rPr>
          <w:rStyle w:val="Emphasis"/>
          <w:rFonts w:ascii="Arial" w:hAnsi="Arial" w:cs="Arial"/>
          <w:sz w:val="22"/>
          <w:szCs w:val="22"/>
        </w:rPr>
        <w:t>Clinical Pharmacology &amp; Therapeutics, 110</w:t>
      </w:r>
      <w:r w:rsidRPr="002955D3">
        <w:rPr>
          <w:rFonts w:ascii="Arial" w:hAnsi="Arial" w:cs="Arial"/>
          <w:sz w:val="22"/>
          <w:szCs w:val="22"/>
        </w:rPr>
        <w:t>(4), 1087–1095.</w:t>
      </w:r>
    </w:p>
    <w:p w14:paraId="474421E1" w14:textId="3FAC9EBC" w:rsidR="00D07882" w:rsidRPr="002955D3" w:rsidRDefault="00D07882" w:rsidP="00D07882">
      <w:pPr>
        <w:pStyle w:val="NormalWeb"/>
        <w:numPr>
          <w:ilvl w:val="0"/>
          <w:numId w:val="33"/>
        </w:numPr>
        <w:rPr>
          <w:rFonts w:ascii="Arial" w:hAnsi="Arial" w:cs="Arial"/>
          <w:sz w:val="22"/>
          <w:szCs w:val="22"/>
        </w:rPr>
      </w:pPr>
      <w:r w:rsidRPr="002955D3">
        <w:rPr>
          <w:rFonts w:ascii="Arial" w:hAnsi="Arial" w:cs="Arial"/>
          <w:sz w:val="22"/>
          <w:szCs w:val="22"/>
        </w:rPr>
        <w:t xml:space="preserve">Cook, S. F., Roberts, J. K., </w:t>
      </w:r>
      <w:proofErr w:type="spellStart"/>
      <w:r w:rsidRPr="002955D3">
        <w:rPr>
          <w:rFonts w:ascii="Arial" w:hAnsi="Arial" w:cs="Arial"/>
          <w:sz w:val="22"/>
          <w:szCs w:val="22"/>
        </w:rPr>
        <w:t>Samiee-Zafarghandy</w:t>
      </w:r>
      <w:proofErr w:type="spellEnd"/>
      <w:r w:rsidRPr="002955D3">
        <w:rPr>
          <w:rFonts w:ascii="Arial" w:hAnsi="Arial" w:cs="Arial"/>
          <w:sz w:val="22"/>
          <w:szCs w:val="22"/>
        </w:rPr>
        <w:t xml:space="preserve">, S., Stockmann, C., King, A. D., &amp; Deutsch, N., et al. (2016). Population pharmacokinetics of intravenous paracetamol (acetaminophen) in preterm and term neonates: Model development and external evaluation. </w:t>
      </w:r>
      <w:r w:rsidRPr="002955D3">
        <w:rPr>
          <w:rStyle w:val="Emphasis"/>
          <w:rFonts w:ascii="Arial" w:hAnsi="Arial" w:cs="Arial"/>
          <w:sz w:val="22"/>
          <w:szCs w:val="22"/>
        </w:rPr>
        <w:t>Clinical Pharmacokinetics, 55</w:t>
      </w:r>
      <w:r w:rsidRPr="002955D3">
        <w:rPr>
          <w:rFonts w:ascii="Arial" w:hAnsi="Arial" w:cs="Arial"/>
          <w:sz w:val="22"/>
          <w:szCs w:val="22"/>
        </w:rPr>
        <w:t>(1), 107–119.</w:t>
      </w:r>
    </w:p>
    <w:p w14:paraId="1BD47FAB" w14:textId="5C5263E4" w:rsidR="00D07882" w:rsidRPr="002955D3" w:rsidRDefault="00D07882" w:rsidP="00D07882">
      <w:pPr>
        <w:pStyle w:val="NormalWeb"/>
        <w:numPr>
          <w:ilvl w:val="0"/>
          <w:numId w:val="33"/>
        </w:numPr>
        <w:rPr>
          <w:rFonts w:ascii="Arial" w:hAnsi="Arial" w:cs="Arial"/>
          <w:sz w:val="22"/>
          <w:szCs w:val="22"/>
        </w:rPr>
      </w:pPr>
      <w:r w:rsidRPr="002955D3">
        <w:rPr>
          <w:rFonts w:ascii="Arial" w:hAnsi="Arial" w:cs="Arial"/>
          <w:sz w:val="22"/>
          <w:szCs w:val="22"/>
        </w:rPr>
        <w:t xml:space="preserve">Shelton, E. L., </w:t>
      </w:r>
      <w:proofErr w:type="spellStart"/>
      <w:r w:rsidRPr="002955D3">
        <w:rPr>
          <w:rFonts w:ascii="Arial" w:hAnsi="Arial" w:cs="Arial"/>
          <w:sz w:val="22"/>
          <w:szCs w:val="22"/>
        </w:rPr>
        <w:t>Waleh</w:t>
      </w:r>
      <w:proofErr w:type="spellEnd"/>
      <w:r w:rsidRPr="002955D3">
        <w:rPr>
          <w:rFonts w:ascii="Arial" w:hAnsi="Arial" w:cs="Arial"/>
          <w:sz w:val="22"/>
          <w:szCs w:val="22"/>
        </w:rPr>
        <w:t xml:space="preserve">, N., </w:t>
      </w:r>
      <w:proofErr w:type="spellStart"/>
      <w:r w:rsidRPr="002955D3">
        <w:rPr>
          <w:rFonts w:ascii="Arial" w:hAnsi="Arial" w:cs="Arial"/>
          <w:sz w:val="22"/>
          <w:szCs w:val="22"/>
        </w:rPr>
        <w:t>Plosa</w:t>
      </w:r>
      <w:proofErr w:type="spellEnd"/>
      <w:r w:rsidRPr="002955D3">
        <w:rPr>
          <w:rFonts w:ascii="Arial" w:hAnsi="Arial" w:cs="Arial"/>
          <w:sz w:val="22"/>
          <w:szCs w:val="22"/>
        </w:rPr>
        <w:t xml:space="preserve">, E. J., Benjamin, J. T., Milne, G. L., &amp; Hooper, C. W., et al. (2018). Effects of antenatal betamethasone on preterm human and mouse ductus arteriosus: Comparison with baboon data. </w:t>
      </w:r>
      <w:proofErr w:type="spellStart"/>
      <w:r w:rsidRPr="002955D3">
        <w:rPr>
          <w:rStyle w:val="Emphasis"/>
          <w:rFonts w:ascii="Arial" w:hAnsi="Arial" w:cs="Arial"/>
          <w:sz w:val="22"/>
          <w:szCs w:val="22"/>
        </w:rPr>
        <w:t>Pediatric</w:t>
      </w:r>
      <w:proofErr w:type="spellEnd"/>
      <w:r w:rsidRPr="002955D3">
        <w:rPr>
          <w:rStyle w:val="Emphasis"/>
          <w:rFonts w:ascii="Arial" w:hAnsi="Arial" w:cs="Arial"/>
          <w:sz w:val="22"/>
          <w:szCs w:val="22"/>
        </w:rPr>
        <w:t xml:space="preserve"> Research, 84</w:t>
      </w:r>
      <w:r w:rsidRPr="002955D3">
        <w:rPr>
          <w:rFonts w:ascii="Arial" w:hAnsi="Arial" w:cs="Arial"/>
          <w:sz w:val="22"/>
          <w:szCs w:val="22"/>
        </w:rPr>
        <w:t>(3), 458–465.</w:t>
      </w:r>
    </w:p>
    <w:sectPr w:rsidR="00D07882" w:rsidRPr="002955D3" w:rsidSect="00D0788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759B0" w14:textId="77777777" w:rsidR="000C1187" w:rsidRDefault="000C1187" w:rsidP="00C37E61">
      <w:r>
        <w:separator/>
      </w:r>
    </w:p>
  </w:endnote>
  <w:endnote w:type="continuationSeparator" w:id="0">
    <w:p w14:paraId="5EC6403A" w14:textId="77777777" w:rsidR="000C1187" w:rsidRDefault="000C118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ladio Uralic">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0AE40" w14:textId="77777777" w:rsidR="00C53FA2" w:rsidRDefault="00C53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7BF5" w14:textId="77777777" w:rsidR="00C53FA2" w:rsidRDefault="00C53F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5D52E" w14:textId="77777777" w:rsidR="009E048A" w:rsidRDefault="009E048A">
    <w:pPr>
      <w:pStyle w:val="Footer"/>
      <w:rPr>
        <w:rFonts w:ascii="Arial" w:hAnsi="Arial" w:cs="Arial"/>
        <w:sz w:val="16"/>
      </w:rPr>
    </w:pPr>
  </w:p>
  <w:p w14:paraId="6E203F4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629471C" w14:textId="77777777" w:rsidR="009E048A" w:rsidRDefault="009E048A">
    <w:pPr>
      <w:pStyle w:val="Footer"/>
      <w:rPr>
        <w:rFonts w:ascii="Arial" w:hAnsi="Arial" w:cs="Arial"/>
        <w:sz w:val="16"/>
      </w:rPr>
    </w:pPr>
  </w:p>
  <w:p w14:paraId="5899EAC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8A452" w14:textId="77777777" w:rsidR="000C1187" w:rsidRDefault="000C1187" w:rsidP="00C37E61">
      <w:r>
        <w:separator/>
      </w:r>
    </w:p>
  </w:footnote>
  <w:footnote w:type="continuationSeparator" w:id="0">
    <w:p w14:paraId="6ECC2BCF" w14:textId="77777777" w:rsidR="000C1187" w:rsidRDefault="000C118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4F2E" w14:textId="693FF450" w:rsidR="00C53FA2" w:rsidRDefault="00000000">
    <w:pPr>
      <w:pStyle w:val="Header"/>
    </w:pPr>
    <w:r>
      <w:rPr>
        <w:noProof/>
      </w:rPr>
      <w:pict w14:anchorId="71085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AAC7" w14:textId="52519196" w:rsidR="00C53FA2" w:rsidRDefault="00000000">
    <w:pPr>
      <w:pStyle w:val="Header"/>
    </w:pPr>
    <w:r>
      <w:rPr>
        <w:noProof/>
      </w:rPr>
      <w:pict w14:anchorId="22E550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DEF8" w14:textId="0E5BB35E" w:rsidR="00296529" w:rsidRPr="00296529" w:rsidRDefault="00000000" w:rsidP="00296529">
    <w:pPr>
      <w:ind w:left="2160"/>
      <w:jc w:val="center"/>
      <w:rPr>
        <w:rFonts w:ascii="Times New Roman" w:eastAsia="Calibri" w:hAnsi="Times New Roman"/>
        <w:i/>
        <w:sz w:val="18"/>
        <w:szCs w:val="22"/>
      </w:rPr>
    </w:pPr>
    <w:r>
      <w:rPr>
        <w:noProof/>
      </w:rPr>
      <w:pict w14:anchorId="697D7E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EBFA92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CA48C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057499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FB0233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344CA4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110EDF3"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9E248E"/>
    <w:multiLevelType w:val="hybridMultilevel"/>
    <w:tmpl w:val="14A4337C"/>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EF004A6"/>
    <w:multiLevelType w:val="hybridMultilevel"/>
    <w:tmpl w:val="A95CB8CA"/>
    <w:lvl w:ilvl="0" w:tplc="4809000F">
      <w:start w:val="1"/>
      <w:numFmt w:val="decimal"/>
      <w:lvlText w:val="%1."/>
      <w:lvlJc w:val="left"/>
      <w:pPr>
        <w:ind w:left="36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B92733"/>
    <w:multiLevelType w:val="hybridMultilevel"/>
    <w:tmpl w:val="29EE0014"/>
    <w:lvl w:ilvl="0" w:tplc="4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BA210D3"/>
    <w:multiLevelType w:val="hybridMultilevel"/>
    <w:tmpl w:val="754421CE"/>
    <w:lvl w:ilvl="0" w:tplc="48090001">
      <w:numFmt w:val="bullet"/>
      <w:lvlText w:val=""/>
      <w:lvlJc w:val="left"/>
      <w:pPr>
        <w:ind w:left="720" w:hanging="360"/>
      </w:pPr>
      <w:rPr>
        <w:rFonts w:ascii="Symbol" w:eastAsia="Times New Roman"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6471687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3392150">
    <w:abstractNumId w:val="19"/>
  </w:num>
  <w:num w:numId="3" w16cid:durableId="484471217">
    <w:abstractNumId w:val="27"/>
  </w:num>
  <w:num w:numId="4" w16cid:durableId="162241659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86127922">
    <w:abstractNumId w:val="8"/>
  </w:num>
  <w:num w:numId="6" w16cid:durableId="1002322320">
    <w:abstractNumId w:val="6"/>
  </w:num>
  <w:num w:numId="7" w16cid:durableId="1008872228">
    <w:abstractNumId w:val="1"/>
  </w:num>
  <w:num w:numId="8" w16cid:durableId="1140655447">
    <w:abstractNumId w:val="16"/>
  </w:num>
  <w:num w:numId="9" w16cid:durableId="1681201274">
    <w:abstractNumId w:val="29"/>
  </w:num>
  <w:num w:numId="10" w16cid:durableId="616136587">
    <w:abstractNumId w:val="2"/>
  </w:num>
  <w:num w:numId="11" w16cid:durableId="192621027">
    <w:abstractNumId w:val="22"/>
  </w:num>
  <w:num w:numId="12" w16cid:durableId="167059671">
    <w:abstractNumId w:val="3"/>
  </w:num>
  <w:num w:numId="13" w16cid:durableId="283925985">
    <w:abstractNumId w:val="21"/>
  </w:num>
  <w:num w:numId="14" w16cid:durableId="873078462">
    <w:abstractNumId w:val="9"/>
  </w:num>
  <w:num w:numId="15" w16cid:durableId="731201816">
    <w:abstractNumId w:val="25"/>
  </w:num>
  <w:num w:numId="16" w16cid:durableId="809253065">
    <w:abstractNumId w:val="5"/>
  </w:num>
  <w:num w:numId="17" w16cid:durableId="1397124348">
    <w:abstractNumId w:val="26"/>
  </w:num>
  <w:num w:numId="18" w16cid:durableId="1897356976">
    <w:abstractNumId w:val="18"/>
  </w:num>
  <w:num w:numId="19" w16cid:durableId="1115907141">
    <w:abstractNumId w:val="32"/>
  </w:num>
  <w:num w:numId="20" w16cid:durableId="445974592">
    <w:abstractNumId w:val="14"/>
  </w:num>
  <w:num w:numId="21" w16cid:durableId="1439181276">
    <w:abstractNumId w:val="11"/>
  </w:num>
  <w:num w:numId="22" w16cid:durableId="2021882359">
    <w:abstractNumId w:val="17"/>
  </w:num>
  <w:num w:numId="23" w16cid:durableId="2038656953">
    <w:abstractNumId w:val="23"/>
  </w:num>
  <w:num w:numId="24" w16cid:durableId="142626395">
    <w:abstractNumId w:val="30"/>
  </w:num>
  <w:num w:numId="25" w16cid:durableId="1931041115">
    <w:abstractNumId w:val="4"/>
  </w:num>
  <w:num w:numId="26" w16cid:durableId="735661773">
    <w:abstractNumId w:val="20"/>
  </w:num>
  <w:num w:numId="27" w16cid:durableId="658272244">
    <w:abstractNumId w:val="24"/>
  </w:num>
  <w:num w:numId="28" w16cid:durableId="1279869973">
    <w:abstractNumId w:val="31"/>
  </w:num>
  <w:num w:numId="29" w16cid:durableId="1851676310">
    <w:abstractNumId w:val="28"/>
  </w:num>
  <w:num w:numId="30" w16cid:durableId="1768774225">
    <w:abstractNumId w:val="12"/>
  </w:num>
  <w:num w:numId="31" w16cid:durableId="1912159322">
    <w:abstractNumId w:val="10"/>
  </w:num>
  <w:num w:numId="32" w16cid:durableId="85928182">
    <w:abstractNumId w:val="13"/>
  </w:num>
  <w:num w:numId="33" w16cid:durableId="1454909008">
    <w:abstractNumId w:val="7"/>
  </w:num>
  <w:num w:numId="34" w16cid:durableId="8081285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5795"/>
    <w:rsid w:val="00030174"/>
    <w:rsid w:val="0004579C"/>
    <w:rsid w:val="000A47FA"/>
    <w:rsid w:val="000A65D3"/>
    <w:rsid w:val="000B1E33"/>
    <w:rsid w:val="000C1187"/>
    <w:rsid w:val="000D689F"/>
    <w:rsid w:val="000E7B7B"/>
    <w:rsid w:val="000E7D62"/>
    <w:rsid w:val="00103357"/>
    <w:rsid w:val="00123C9F"/>
    <w:rsid w:val="00126190"/>
    <w:rsid w:val="00130F17"/>
    <w:rsid w:val="001320BF"/>
    <w:rsid w:val="00163BC4"/>
    <w:rsid w:val="00191062"/>
    <w:rsid w:val="00192682"/>
    <w:rsid w:val="00192B72"/>
    <w:rsid w:val="001A29D8"/>
    <w:rsid w:val="001A5CAA"/>
    <w:rsid w:val="001B0427"/>
    <w:rsid w:val="001D3779"/>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55D3"/>
    <w:rsid w:val="00296529"/>
    <w:rsid w:val="002B27FB"/>
    <w:rsid w:val="002B685A"/>
    <w:rsid w:val="002C57D2"/>
    <w:rsid w:val="002E0D56"/>
    <w:rsid w:val="00315186"/>
    <w:rsid w:val="0033343E"/>
    <w:rsid w:val="003512C2"/>
    <w:rsid w:val="00371FB6"/>
    <w:rsid w:val="003763C1"/>
    <w:rsid w:val="00376BBE"/>
    <w:rsid w:val="003805CD"/>
    <w:rsid w:val="0039224F"/>
    <w:rsid w:val="003A43A4"/>
    <w:rsid w:val="003A7E18"/>
    <w:rsid w:val="003C4C86"/>
    <w:rsid w:val="003C6258"/>
    <w:rsid w:val="003E2904"/>
    <w:rsid w:val="003E7AD8"/>
    <w:rsid w:val="00401927"/>
    <w:rsid w:val="00401952"/>
    <w:rsid w:val="0041027F"/>
    <w:rsid w:val="00412475"/>
    <w:rsid w:val="00423789"/>
    <w:rsid w:val="00440F43"/>
    <w:rsid w:val="00441B6F"/>
    <w:rsid w:val="00443707"/>
    <w:rsid w:val="00446221"/>
    <w:rsid w:val="00450E62"/>
    <w:rsid w:val="004539DB"/>
    <w:rsid w:val="00471A80"/>
    <w:rsid w:val="004C0B2B"/>
    <w:rsid w:val="004D305E"/>
    <w:rsid w:val="004D4277"/>
    <w:rsid w:val="00502516"/>
    <w:rsid w:val="00505F06"/>
    <w:rsid w:val="00506828"/>
    <w:rsid w:val="0053056E"/>
    <w:rsid w:val="00554FDA"/>
    <w:rsid w:val="005860E4"/>
    <w:rsid w:val="005C784C"/>
    <w:rsid w:val="005D17F6"/>
    <w:rsid w:val="005E5539"/>
    <w:rsid w:val="00602BF5"/>
    <w:rsid w:val="00617FDD"/>
    <w:rsid w:val="00633614"/>
    <w:rsid w:val="00633F68"/>
    <w:rsid w:val="00636EB2"/>
    <w:rsid w:val="006375B8"/>
    <w:rsid w:val="006524C6"/>
    <w:rsid w:val="0066510A"/>
    <w:rsid w:val="00673F9F"/>
    <w:rsid w:val="00686953"/>
    <w:rsid w:val="00687DEA"/>
    <w:rsid w:val="00687E67"/>
    <w:rsid w:val="006967F7"/>
    <w:rsid w:val="006A250C"/>
    <w:rsid w:val="006B21D3"/>
    <w:rsid w:val="006B305B"/>
    <w:rsid w:val="006B57D0"/>
    <w:rsid w:val="006D30FF"/>
    <w:rsid w:val="006D6940"/>
    <w:rsid w:val="006F11EC"/>
    <w:rsid w:val="0070082C"/>
    <w:rsid w:val="007369E6"/>
    <w:rsid w:val="00746E59"/>
    <w:rsid w:val="00754C9A"/>
    <w:rsid w:val="0075599A"/>
    <w:rsid w:val="00761D52"/>
    <w:rsid w:val="0077749E"/>
    <w:rsid w:val="00790ADA"/>
    <w:rsid w:val="007A54EC"/>
    <w:rsid w:val="007D2288"/>
    <w:rsid w:val="007E088F"/>
    <w:rsid w:val="007F7B32"/>
    <w:rsid w:val="00804BC2"/>
    <w:rsid w:val="0081431A"/>
    <w:rsid w:val="00830593"/>
    <w:rsid w:val="0083216F"/>
    <w:rsid w:val="00860000"/>
    <w:rsid w:val="00863BD3"/>
    <w:rsid w:val="008641ED"/>
    <w:rsid w:val="008643A3"/>
    <w:rsid w:val="00866D66"/>
    <w:rsid w:val="008671C6"/>
    <w:rsid w:val="00875803"/>
    <w:rsid w:val="008B459E"/>
    <w:rsid w:val="008E13AE"/>
    <w:rsid w:val="008E1506"/>
    <w:rsid w:val="008E710C"/>
    <w:rsid w:val="008F69D6"/>
    <w:rsid w:val="00902823"/>
    <w:rsid w:val="00915CA6"/>
    <w:rsid w:val="00927834"/>
    <w:rsid w:val="009500A6"/>
    <w:rsid w:val="009531B0"/>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7CC"/>
    <w:rsid w:val="00A51431"/>
    <w:rsid w:val="00A539AD"/>
    <w:rsid w:val="00A85E97"/>
    <w:rsid w:val="00A94063"/>
    <w:rsid w:val="00AA6219"/>
    <w:rsid w:val="00AA74E0"/>
    <w:rsid w:val="00AB703F"/>
    <w:rsid w:val="00AC6BB8"/>
    <w:rsid w:val="00AE008F"/>
    <w:rsid w:val="00B01FCD"/>
    <w:rsid w:val="00B1776C"/>
    <w:rsid w:val="00B52583"/>
    <w:rsid w:val="00B52896"/>
    <w:rsid w:val="00B673E4"/>
    <w:rsid w:val="00B95236"/>
    <w:rsid w:val="00B96BD9"/>
    <w:rsid w:val="00BA1B01"/>
    <w:rsid w:val="00BA2641"/>
    <w:rsid w:val="00BB37AA"/>
    <w:rsid w:val="00BC53A0"/>
    <w:rsid w:val="00BE62AD"/>
    <w:rsid w:val="00BF0064"/>
    <w:rsid w:val="00BF121F"/>
    <w:rsid w:val="00BF1F80"/>
    <w:rsid w:val="00C166EF"/>
    <w:rsid w:val="00C17EB0"/>
    <w:rsid w:val="00C22BE0"/>
    <w:rsid w:val="00C27F5F"/>
    <w:rsid w:val="00C30A0F"/>
    <w:rsid w:val="00C37E61"/>
    <w:rsid w:val="00C53B6D"/>
    <w:rsid w:val="00C53FA2"/>
    <w:rsid w:val="00C70F1B"/>
    <w:rsid w:val="00C71A47"/>
    <w:rsid w:val="00C7464C"/>
    <w:rsid w:val="00C85588"/>
    <w:rsid w:val="00CD6755"/>
    <w:rsid w:val="00CD6856"/>
    <w:rsid w:val="00CE0089"/>
    <w:rsid w:val="00CE793C"/>
    <w:rsid w:val="00CF193C"/>
    <w:rsid w:val="00D07882"/>
    <w:rsid w:val="00D173F1"/>
    <w:rsid w:val="00D74CB0"/>
    <w:rsid w:val="00D8295D"/>
    <w:rsid w:val="00D83FDB"/>
    <w:rsid w:val="00D85735"/>
    <w:rsid w:val="00DC2A65"/>
    <w:rsid w:val="00DE09DC"/>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5507D"/>
    <w:rsid w:val="00F755E4"/>
    <w:rsid w:val="00F77D02"/>
    <w:rsid w:val="00FB3A86"/>
    <w:rsid w:val="00FC40A1"/>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0B75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357C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MDPI31text">
    <w:name w:val="MDPI_3.1_text"/>
    <w:qFormat/>
    <w:rsid w:val="009531B0"/>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styleId="BodyText">
    <w:name w:val="Body Text"/>
    <w:basedOn w:val="Normal"/>
    <w:link w:val="BodyTextChar"/>
    <w:semiHidden/>
    <w:unhideWhenUsed/>
    <w:rsid w:val="009531B0"/>
    <w:pPr>
      <w:spacing w:after="120"/>
    </w:pPr>
  </w:style>
  <w:style w:type="character" w:customStyle="1" w:styleId="BodyTextChar">
    <w:name w:val="Body Text Char"/>
    <w:basedOn w:val="DefaultParagraphFont"/>
    <w:link w:val="BodyText"/>
    <w:semiHidden/>
    <w:rsid w:val="009531B0"/>
    <w:rPr>
      <w:rFonts w:ascii="Helvetica" w:hAnsi="Helvetica"/>
    </w:rPr>
  </w:style>
  <w:style w:type="paragraph" w:styleId="CommentSubject">
    <w:name w:val="annotation subject"/>
    <w:basedOn w:val="CommentText"/>
    <w:next w:val="CommentText"/>
    <w:link w:val="CommentSubjectChar"/>
    <w:semiHidden/>
    <w:unhideWhenUsed/>
    <w:rsid w:val="007A54EC"/>
    <w:rPr>
      <w:rFonts w:ascii="Helvetica" w:hAnsi="Helvetica"/>
      <w:b/>
      <w:bCs/>
      <w:lang w:val="en-US" w:eastAsia="en-US"/>
    </w:rPr>
  </w:style>
  <w:style w:type="character" w:customStyle="1" w:styleId="CommentSubjectChar">
    <w:name w:val="Comment Subject Char"/>
    <w:basedOn w:val="CommentTextChar"/>
    <w:link w:val="CommentSubject"/>
    <w:semiHidden/>
    <w:rsid w:val="007A54EC"/>
    <w:rPr>
      <w:rFonts w:ascii="Helvetica" w:hAnsi="Helvetica"/>
      <w:b/>
      <w:bCs/>
      <w:lang w:val="nb-NO" w:eastAsia="nb-NO"/>
    </w:rPr>
  </w:style>
  <w:style w:type="paragraph" w:customStyle="1" w:styleId="MDPI51figurecaption">
    <w:name w:val="MDPI_5.1_figure_caption"/>
    <w:qFormat/>
    <w:rsid w:val="00B673E4"/>
    <w:pPr>
      <w:adjustRightInd w:val="0"/>
      <w:snapToGrid w:val="0"/>
      <w:spacing w:before="120" w:after="240" w:line="228" w:lineRule="auto"/>
      <w:ind w:left="2608"/>
    </w:pPr>
    <w:rPr>
      <w:rFonts w:ascii="Palatino Linotype" w:hAnsi="Palatino Linotype"/>
      <w:color w:val="000000"/>
      <w:sz w:val="18"/>
      <w:lang w:eastAsia="de-DE" w:bidi="en-US"/>
    </w:rPr>
  </w:style>
  <w:style w:type="paragraph" w:customStyle="1" w:styleId="MDPI41tablecaption">
    <w:name w:val="MDPI_4.1_table_caption"/>
    <w:qFormat/>
    <w:rsid w:val="00B673E4"/>
    <w:pPr>
      <w:adjustRightInd w:val="0"/>
      <w:snapToGrid w:val="0"/>
      <w:spacing w:before="240" w:after="120" w:line="228" w:lineRule="auto"/>
      <w:ind w:left="2608"/>
    </w:pPr>
    <w:rPr>
      <w:rFonts w:ascii="Palatino Linotype" w:hAnsi="Palatino Linotype" w:cstheme="minorBidi"/>
      <w:color w:val="000000"/>
      <w:sz w:val="18"/>
      <w:szCs w:val="22"/>
      <w:lang w:eastAsia="de-DE" w:bidi="en-US"/>
    </w:rPr>
  </w:style>
  <w:style w:type="paragraph" w:customStyle="1" w:styleId="MDPI21heading1">
    <w:name w:val="MDPI_2.1_heading1"/>
    <w:qFormat/>
    <w:rsid w:val="00B673E4"/>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MDPI22heading2">
    <w:name w:val="MDPI_2.2_heading2"/>
    <w:qFormat/>
    <w:rsid w:val="00B673E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styleId="ListParagraph">
    <w:name w:val="List Paragraph"/>
    <w:basedOn w:val="Normal"/>
    <w:uiPriority w:val="3"/>
    <w:qFormat/>
    <w:rsid w:val="00D83FDB"/>
    <w:pPr>
      <w:widowControl w:val="0"/>
      <w:autoSpaceDE w:val="0"/>
      <w:autoSpaceDN w:val="0"/>
      <w:ind w:left="720"/>
      <w:contextualSpacing/>
    </w:pPr>
    <w:rPr>
      <w:rFonts w:ascii="Palladio Uralic" w:eastAsia="Palladio Uralic" w:hAnsi="Palladio Uralic" w:cs="Palladio Uralic"/>
      <w:sz w:val="22"/>
      <w:szCs w:val="22"/>
    </w:rPr>
  </w:style>
  <w:style w:type="paragraph" w:styleId="Bibliography">
    <w:name w:val="Bibliography"/>
    <w:basedOn w:val="Normal"/>
    <w:next w:val="Normal"/>
    <w:uiPriority w:val="37"/>
    <w:unhideWhenUsed/>
    <w:rsid w:val="00D83FDB"/>
    <w:pPr>
      <w:widowControl w:val="0"/>
      <w:autoSpaceDE w:val="0"/>
      <w:autoSpaceDN w:val="0"/>
    </w:pPr>
    <w:rPr>
      <w:rFonts w:ascii="Palladio Uralic" w:eastAsia="Palladio Uralic" w:hAnsi="Palladio Uralic" w:cs="Palladio Uralic"/>
      <w:sz w:val="22"/>
      <w:szCs w:val="22"/>
    </w:rPr>
  </w:style>
  <w:style w:type="character" w:customStyle="1" w:styleId="Heading3Char">
    <w:name w:val="Heading 3 Char"/>
    <w:basedOn w:val="DefaultParagraphFont"/>
    <w:link w:val="Heading3"/>
    <w:semiHidden/>
    <w:rsid w:val="00A357CC"/>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A85E97"/>
    <w:rPr>
      <w:rFonts w:asciiTheme="minorHAnsi" w:eastAsiaTheme="minorHAnsi" w:hAnsiTheme="minorHAnsi" w:cstheme="minorBidi"/>
      <w:sz w:val="22"/>
      <w:szCs w:val="22"/>
      <w:lang w:val="en-GB"/>
    </w:rPr>
  </w:style>
  <w:style w:type="paragraph" w:styleId="NormalWeb">
    <w:name w:val="Normal (Web)"/>
    <w:basedOn w:val="Normal"/>
    <w:uiPriority w:val="99"/>
    <w:semiHidden/>
    <w:unhideWhenUsed/>
    <w:rsid w:val="00D07882"/>
    <w:pPr>
      <w:spacing w:before="100" w:beforeAutospacing="1" w:after="100" w:afterAutospacing="1"/>
    </w:pPr>
    <w:rPr>
      <w:rFonts w:ascii="Times New Roman" w:hAnsi="Times New Roman"/>
      <w:sz w:val="24"/>
      <w:szCs w:val="24"/>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F9DFFB-05C8-4D9B-857A-BD2BDDEE107B}" type="doc">
      <dgm:prSet loTypeId="urn:microsoft.com/office/officeart/2005/8/layout/hierarchy6#1" loCatId="hierarchy" qsTypeId="urn:microsoft.com/office/officeart/2005/8/quickstyle/simple1" qsCatId="simple" csTypeId="urn:microsoft.com/office/officeart/2005/8/colors/accent0_2" csCatId="mainScheme" phldr="1"/>
      <dgm:spPr/>
      <dgm:t>
        <a:bodyPr/>
        <a:lstStyle/>
        <a:p>
          <a:endParaRPr lang="en-SG"/>
        </a:p>
      </dgm:t>
    </dgm:pt>
    <dgm:pt modelId="{B0E2780E-EE4A-4BE0-9D3A-B99EAB27B02E}">
      <dgm:prSet phldrT="[Text]" custT="1"/>
      <dgm:spPr/>
      <dgm:t>
        <a:bodyPr/>
        <a:lstStyle/>
        <a:p>
          <a:r>
            <a:rPr lang="en-SG" sz="900">
              <a:latin typeface="Arial" panose="020B0604020202020204" pitchFamily="34" charset="0"/>
              <a:cs typeface="Arial" panose="020B0604020202020204" pitchFamily="34" charset="0"/>
            </a:rPr>
            <a:t>Early Acetaminophen (</a:t>
          </a:r>
          <a:r>
            <a:rPr lang="en-SG" sz="900">
              <a:latin typeface="Arial" panose="020B0604020202020204" pitchFamily="34" charset="0"/>
              <a:ea typeface="Calibri" panose="020F0502020204030204" pitchFamily="34" charset="0"/>
              <a:cs typeface="Arial" panose="020B0604020202020204" pitchFamily="34" charset="0"/>
            </a:rPr>
            <a:t>≤14days) n=70</a:t>
          </a:r>
          <a:endParaRPr lang="en-SG" sz="900">
            <a:latin typeface="Arial" panose="020B0604020202020204" pitchFamily="34" charset="0"/>
            <a:cs typeface="Arial" panose="020B0604020202020204" pitchFamily="34" charset="0"/>
          </a:endParaRPr>
        </a:p>
      </dgm:t>
    </dgm:pt>
    <dgm:pt modelId="{2BD2D785-8768-4D38-AE10-702B035E9EED}" type="parTrans" cxnId="{99F48157-C2CF-4718-BD53-C80ACCD2111A}">
      <dgm:prSet/>
      <dgm:spPr/>
      <dgm:t>
        <a:bodyPr/>
        <a:lstStyle/>
        <a:p>
          <a:endParaRPr lang="en-SG"/>
        </a:p>
      </dgm:t>
    </dgm:pt>
    <dgm:pt modelId="{8281AB0E-6623-43FA-9EB9-AB52D42CC2F3}" type="sibTrans" cxnId="{99F48157-C2CF-4718-BD53-C80ACCD2111A}">
      <dgm:prSet/>
      <dgm:spPr/>
      <dgm:t>
        <a:bodyPr/>
        <a:lstStyle/>
        <a:p>
          <a:endParaRPr lang="en-SG"/>
        </a:p>
      </dgm:t>
    </dgm:pt>
    <dgm:pt modelId="{E41D4B15-3012-4A2A-948C-60A5AD6BE097}">
      <dgm:prSet phldrT="[Text]" custT="1"/>
      <dgm:spPr/>
      <dgm:t>
        <a:bodyPr/>
        <a:lstStyle/>
        <a:p>
          <a:r>
            <a:rPr lang="en-SG" sz="900">
              <a:latin typeface="Arial" panose="020B0604020202020204" pitchFamily="34" charset="0"/>
              <a:cs typeface="Arial" panose="020B0604020202020204" pitchFamily="34" charset="0"/>
            </a:rPr>
            <a:t>PDA closed (n=21)</a:t>
          </a:r>
        </a:p>
      </dgm:t>
    </dgm:pt>
    <dgm:pt modelId="{DA712DD6-FF6E-42D8-B1D1-B9CE27D216AA}" type="parTrans" cxnId="{C288F1DF-3BE4-4853-ACD5-268AA094CFC0}">
      <dgm:prSet/>
      <dgm:spPr/>
      <dgm:t>
        <a:bodyPr/>
        <a:lstStyle/>
        <a:p>
          <a:endParaRPr lang="en-SG"/>
        </a:p>
      </dgm:t>
    </dgm:pt>
    <dgm:pt modelId="{D52F2A74-9844-4D8D-A0E7-AFE022D1791B}" type="sibTrans" cxnId="{C288F1DF-3BE4-4853-ACD5-268AA094CFC0}">
      <dgm:prSet/>
      <dgm:spPr/>
      <dgm:t>
        <a:bodyPr/>
        <a:lstStyle/>
        <a:p>
          <a:endParaRPr lang="en-SG"/>
        </a:p>
      </dgm:t>
    </dgm:pt>
    <dgm:pt modelId="{BC2E24E1-A0A1-4DCD-BF63-201C8BE294AD}">
      <dgm:prSet phldrT="[Text]" custT="1"/>
      <dgm:spPr/>
      <dgm:t>
        <a:bodyPr/>
        <a:lstStyle/>
        <a:p>
          <a:r>
            <a:rPr lang="en-SG" sz="900">
              <a:latin typeface="Arial" panose="020B0604020202020204" pitchFamily="34" charset="0"/>
              <a:cs typeface="Arial" panose="020B0604020202020204" pitchFamily="34" charset="0"/>
            </a:rPr>
            <a:t>Late Acetaminophen (&gt;14days) n=46</a:t>
          </a:r>
        </a:p>
      </dgm:t>
    </dgm:pt>
    <dgm:pt modelId="{736A05A6-893D-47B4-85C6-67E02B1211FF}" type="parTrans" cxnId="{1491B185-FA95-429D-AC72-C6F543C086AF}">
      <dgm:prSet/>
      <dgm:spPr/>
      <dgm:t>
        <a:bodyPr/>
        <a:lstStyle/>
        <a:p>
          <a:endParaRPr lang="en-SG"/>
        </a:p>
      </dgm:t>
    </dgm:pt>
    <dgm:pt modelId="{AE71A78E-7E15-4DEE-91BE-ECA52F27AD1E}" type="sibTrans" cxnId="{1491B185-FA95-429D-AC72-C6F543C086AF}">
      <dgm:prSet/>
      <dgm:spPr/>
      <dgm:t>
        <a:bodyPr/>
        <a:lstStyle/>
        <a:p>
          <a:endParaRPr lang="en-SG"/>
        </a:p>
      </dgm:t>
    </dgm:pt>
    <dgm:pt modelId="{CCAF5CBD-BF02-45B6-94F6-D689E66C39E6}">
      <dgm:prSet phldrT="[Text]" custT="1"/>
      <dgm:spPr/>
      <dgm:t>
        <a:bodyPr/>
        <a:lstStyle/>
        <a:p>
          <a:r>
            <a:rPr lang="en-SG" sz="900">
              <a:latin typeface="Arial" panose="020B0604020202020204" pitchFamily="34" charset="0"/>
              <a:cs typeface="Arial" panose="020B0604020202020204" pitchFamily="34" charset="0"/>
            </a:rPr>
            <a:t>PDA closed (n=14)</a:t>
          </a:r>
        </a:p>
      </dgm:t>
    </dgm:pt>
    <dgm:pt modelId="{A027EA32-1F90-4A35-AE56-52FAF75297FE}" type="parTrans" cxnId="{898BD1D8-483C-4B1E-8C4A-EB2A6099BD13}">
      <dgm:prSet/>
      <dgm:spPr/>
      <dgm:t>
        <a:bodyPr/>
        <a:lstStyle/>
        <a:p>
          <a:endParaRPr lang="en-SG"/>
        </a:p>
      </dgm:t>
    </dgm:pt>
    <dgm:pt modelId="{32E1C34D-52BB-461D-BDD1-EB4595153696}" type="sibTrans" cxnId="{898BD1D8-483C-4B1E-8C4A-EB2A6099BD13}">
      <dgm:prSet/>
      <dgm:spPr/>
      <dgm:t>
        <a:bodyPr/>
        <a:lstStyle/>
        <a:p>
          <a:endParaRPr lang="en-SG"/>
        </a:p>
      </dgm:t>
    </dgm:pt>
    <dgm:pt modelId="{4A622001-2022-4796-AC21-562953D7FBA4}">
      <dgm:prSet phldrT="[Text]" custT="1"/>
      <dgm:spPr/>
      <dgm:t>
        <a:bodyPr/>
        <a:lstStyle/>
        <a:p>
          <a:r>
            <a:rPr lang="en-SG" sz="900">
              <a:latin typeface="Arial" panose="020B0604020202020204" pitchFamily="34" charset="0"/>
              <a:cs typeface="Arial" panose="020B0604020202020204" pitchFamily="34" charset="0"/>
            </a:rPr>
            <a:t>Persistent PDA (n=49)</a:t>
          </a:r>
        </a:p>
      </dgm:t>
    </dgm:pt>
    <dgm:pt modelId="{DCBE0C5F-C648-42A3-974C-92E0B43D28BB}" type="parTrans" cxnId="{92D4649E-5505-4C23-AF31-A562D02331B7}">
      <dgm:prSet/>
      <dgm:spPr/>
      <dgm:t>
        <a:bodyPr/>
        <a:lstStyle/>
        <a:p>
          <a:endParaRPr lang="en-SG"/>
        </a:p>
      </dgm:t>
    </dgm:pt>
    <dgm:pt modelId="{7BD0534B-A5EA-4A28-B74B-822523056EFE}" type="sibTrans" cxnId="{92D4649E-5505-4C23-AF31-A562D02331B7}">
      <dgm:prSet/>
      <dgm:spPr/>
      <dgm:t>
        <a:bodyPr/>
        <a:lstStyle/>
        <a:p>
          <a:endParaRPr lang="en-SG"/>
        </a:p>
      </dgm:t>
    </dgm:pt>
    <dgm:pt modelId="{85F95A0A-AC4E-4C0A-83BE-FE4772001260}">
      <dgm:prSet phldrT="[Text]" custT="1"/>
      <dgm:spPr/>
      <dgm:t>
        <a:bodyPr/>
        <a:lstStyle/>
        <a:p>
          <a:r>
            <a:rPr lang="en-SG" sz="900">
              <a:latin typeface="Arial" panose="020B0604020202020204" pitchFamily="34" charset="0"/>
              <a:cs typeface="Arial" panose="020B0604020202020204" pitchFamily="34" charset="0"/>
            </a:rPr>
            <a:t>Persistent PDA (n=32)</a:t>
          </a:r>
        </a:p>
      </dgm:t>
    </dgm:pt>
    <dgm:pt modelId="{2EC3B9DC-F2EE-4EBA-BC5B-214EBC26591E}" type="parTrans" cxnId="{050AE960-EC1E-411E-ADED-0662A1D570B3}">
      <dgm:prSet/>
      <dgm:spPr/>
      <dgm:t>
        <a:bodyPr/>
        <a:lstStyle/>
        <a:p>
          <a:endParaRPr lang="en-SG"/>
        </a:p>
      </dgm:t>
    </dgm:pt>
    <dgm:pt modelId="{6C4FEA7B-CCF1-416E-A512-757D0F937373}" type="sibTrans" cxnId="{050AE960-EC1E-411E-ADED-0662A1D570B3}">
      <dgm:prSet/>
      <dgm:spPr/>
      <dgm:t>
        <a:bodyPr/>
        <a:lstStyle/>
        <a:p>
          <a:endParaRPr lang="en-SG"/>
        </a:p>
      </dgm:t>
    </dgm:pt>
    <dgm:pt modelId="{892C9B51-EF79-4DA8-8712-0D323E7C38F0}">
      <dgm:prSet phldrT="[Text]" custT="1"/>
      <dgm:spPr/>
      <dgm:t>
        <a:bodyPr/>
        <a:lstStyle/>
        <a:p>
          <a:r>
            <a:rPr lang="en-SG" sz="900">
              <a:latin typeface="Arial" panose="020B0604020202020204" pitchFamily="34" charset="0"/>
              <a:cs typeface="Arial" panose="020B0604020202020204" pitchFamily="34" charset="0"/>
            </a:rPr>
            <a:t>116 infants treated with IV Acetaminophen</a:t>
          </a:r>
        </a:p>
      </dgm:t>
    </dgm:pt>
    <dgm:pt modelId="{6903CC13-DCD8-4C3B-AAFD-56237E24887A}" type="sibTrans" cxnId="{B87C3A70-46A9-4584-B75E-B81CB3FEEB9B}">
      <dgm:prSet/>
      <dgm:spPr/>
      <dgm:t>
        <a:bodyPr/>
        <a:lstStyle/>
        <a:p>
          <a:endParaRPr lang="en-SG"/>
        </a:p>
      </dgm:t>
    </dgm:pt>
    <dgm:pt modelId="{3CB5F18A-73D8-4F4B-9C7B-302BA2629F49}" type="parTrans" cxnId="{B87C3A70-46A9-4584-B75E-B81CB3FEEB9B}">
      <dgm:prSet/>
      <dgm:spPr/>
      <dgm:t>
        <a:bodyPr/>
        <a:lstStyle/>
        <a:p>
          <a:endParaRPr lang="en-SG"/>
        </a:p>
      </dgm:t>
    </dgm:pt>
    <dgm:pt modelId="{FAE6DC41-89B4-42C2-AB42-58EA60F659DE}" type="pres">
      <dgm:prSet presAssocID="{A4F9DFFB-05C8-4D9B-857A-BD2BDDEE107B}" presName="mainComposite" presStyleCnt="0">
        <dgm:presLayoutVars>
          <dgm:chPref val="1"/>
          <dgm:dir/>
          <dgm:animOne val="branch"/>
          <dgm:animLvl val="lvl"/>
          <dgm:resizeHandles val="exact"/>
        </dgm:presLayoutVars>
      </dgm:prSet>
      <dgm:spPr/>
    </dgm:pt>
    <dgm:pt modelId="{ADEA2F7A-6BC9-48CA-911A-B2EC204C7BB6}" type="pres">
      <dgm:prSet presAssocID="{A4F9DFFB-05C8-4D9B-857A-BD2BDDEE107B}" presName="hierFlow" presStyleCnt="0"/>
      <dgm:spPr/>
    </dgm:pt>
    <dgm:pt modelId="{B4DB1FF0-39E6-488D-BC6A-CCA091AEB110}" type="pres">
      <dgm:prSet presAssocID="{A4F9DFFB-05C8-4D9B-857A-BD2BDDEE107B}" presName="hierChild1" presStyleCnt="0">
        <dgm:presLayoutVars>
          <dgm:chPref val="1"/>
          <dgm:animOne val="branch"/>
          <dgm:animLvl val="lvl"/>
        </dgm:presLayoutVars>
      </dgm:prSet>
      <dgm:spPr/>
    </dgm:pt>
    <dgm:pt modelId="{1BA2FD41-0C80-47A8-A3D9-BC4871FA5DEA}" type="pres">
      <dgm:prSet presAssocID="{892C9B51-EF79-4DA8-8712-0D323E7C38F0}" presName="Name14" presStyleCnt="0"/>
      <dgm:spPr/>
    </dgm:pt>
    <dgm:pt modelId="{A84B5217-6E5D-45B8-AB2B-ED1F0C632A60}" type="pres">
      <dgm:prSet presAssocID="{892C9B51-EF79-4DA8-8712-0D323E7C38F0}" presName="level1Shape" presStyleLbl="node0" presStyleIdx="0" presStyleCnt="1" custScaleX="113614">
        <dgm:presLayoutVars>
          <dgm:chPref val="3"/>
        </dgm:presLayoutVars>
      </dgm:prSet>
      <dgm:spPr/>
    </dgm:pt>
    <dgm:pt modelId="{E7FE248C-9AC1-4AA1-8F5C-DFEE77F990ED}" type="pres">
      <dgm:prSet presAssocID="{892C9B51-EF79-4DA8-8712-0D323E7C38F0}" presName="hierChild2" presStyleCnt="0"/>
      <dgm:spPr/>
    </dgm:pt>
    <dgm:pt modelId="{66E39D80-870B-4E7C-B811-3C3D05B4A05D}" type="pres">
      <dgm:prSet presAssocID="{2BD2D785-8768-4D38-AE10-702B035E9EED}" presName="Name19" presStyleLbl="parChTrans1D2" presStyleIdx="0" presStyleCnt="2"/>
      <dgm:spPr/>
    </dgm:pt>
    <dgm:pt modelId="{E0712675-C006-473D-8B32-894488252EE7}" type="pres">
      <dgm:prSet presAssocID="{B0E2780E-EE4A-4BE0-9D3A-B99EAB27B02E}" presName="Name21" presStyleCnt="0"/>
      <dgm:spPr/>
    </dgm:pt>
    <dgm:pt modelId="{42D91FB8-876F-4F3C-96A1-A831AF03EFF2}" type="pres">
      <dgm:prSet presAssocID="{B0E2780E-EE4A-4BE0-9D3A-B99EAB27B02E}" presName="level2Shape" presStyleLbl="node2" presStyleIdx="0" presStyleCnt="2" custScaleX="120334"/>
      <dgm:spPr/>
    </dgm:pt>
    <dgm:pt modelId="{5361D6E3-D355-485C-A2B6-6944FB939A1C}" type="pres">
      <dgm:prSet presAssocID="{B0E2780E-EE4A-4BE0-9D3A-B99EAB27B02E}" presName="hierChild3" presStyleCnt="0"/>
      <dgm:spPr/>
    </dgm:pt>
    <dgm:pt modelId="{05C9CC73-ACCC-4972-B6F6-27C76A04C979}" type="pres">
      <dgm:prSet presAssocID="{DA712DD6-FF6E-42D8-B1D1-B9CE27D216AA}" presName="Name19" presStyleLbl="parChTrans1D3" presStyleIdx="0" presStyleCnt="4"/>
      <dgm:spPr/>
    </dgm:pt>
    <dgm:pt modelId="{4F06E983-BE29-4D67-819E-FC09D5643B0F}" type="pres">
      <dgm:prSet presAssocID="{E41D4B15-3012-4A2A-948C-60A5AD6BE097}" presName="Name21" presStyleCnt="0"/>
      <dgm:spPr/>
    </dgm:pt>
    <dgm:pt modelId="{0C93D0A6-40F4-4FAE-97CD-B84ED1D4EF7B}" type="pres">
      <dgm:prSet presAssocID="{E41D4B15-3012-4A2A-948C-60A5AD6BE097}" presName="level2Shape" presStyleLbl="node3" presStyleIdx="0" presStyleCnt="4"/>
      <dgm:spPr/>
    </dgm:pt>
    <dgm:pt modelId="{0303D228-9CF8-46D6-AA05-77C49DBED83E}" type="pres">
      <dgm:prSet presAssocID="{E41D4B15-3012-4A2A-948C-60A5AD6BE097}" presName="hierChild3" presStyleCnt="0"/>
      <dgm:spPr/>
    </dgm:pt>
    <dgm:pt modelId="{7DF719ED-AAE1-4B4C-B391-083A7D4B863D}" type="pres">
      <dgm:prSet presAssocID="{DCBE0C5F-C648-42A3-974C-92E0B43D28BB}" presName="Name19" presStyleLbl="parChTrans1D3" presStyleIdx="1" presStyleCnt="4"/>
      <dgm:spPr/>
    </dgm:pt>
    <dgm:pt modelId="{5FB0288B-48D8-4F21-8DD4-A4833376920D}" type="pres">
      <dgm:prSet presAssocID="{4A622001-2022-4796-AC21-562953D7FBA4}" presName="Name21" presStyleCnt="0"/>
      <dgm:spPr/>
    </dgm:pt>
    <dgm:pt modelId="{FB0A2E8C-D224-4A76-80F1-83E2129A7CF7}" type="pres">
      <dgm:prSet presAssocID="{4A622001-2022-4796-AC21-562953D7FBA4}" presName="level2Shape" presStyleLbl="node3" presStyleIdx="1" presStyleCnt="4"/>
      <dgm:spPr/>
    </dgm:pt>
    <dgm:pt modelId="{351BBDEC-724D-4AB7-9A14-2C514A45BA9F}" type="pres">
      <dgm:prSet presAssocID="{4A622001-2022-4796-AC21-562953D7FBA4}" presName="hierChild3" presStyleCnt="0"/>
      <dgm:spPr/>
    </dgm:pt>
    <dgm:pt modelId="{6C27A40B-D279-4AC0-A58A-077A34246C29}" type="pres">
      <dgm:prSet presAssocID="{736A05A6-893D-47B4-85C6-67E02B1211FF}" presName="Name19" presStyleLbl="parChTrans1D2" presStyleIdx="1" presStyleCnt="2"/>
      <dgm:spPr/>
    </dgm:pt>
    <dgm:pt modelId="{B796B32A-01D5-4770-877B-D3AEDE028BB6}" type="pres">
      <dgm:prSet presAssocID="{BC2E24E1-A0A1-4DCD-BF63-201C8BE294AD}" presName="Name21" presStyleCnt="0"/>
      <dgm:spPr/>
    </dgm:pt>
    <dgm:pt modelId="{BDA60CF4-8F86-4A6A-8CC0-E66017DA9C6B}" type="pres">
      <dgm:prSet presAssocID="{BC2E24E1-A0A1-4DCD-BF63-201C8BE294AD}" presName="level2Shape" presStyleLbl="node2" presStyleIdx="1" presStyleCnt="2" custScaleX="120225"/>
      <dgm:spPr/>
    </dgm:pt>
    <dgm:pt modelId="{DC727225-500D-461E-AE12-416539B67096}" type="pres">
      <dgm:prSet presAssocID="{BC2E24E1-A0A1-4DCD-BF63-201C8BE294AD}" presName="hierChild3" presStyleCnt="0"/>
      <dgm:spPr/>
    </dgm:pt>
    <dgm:pt modelId="{13D79206-6602-4206-A588-176CFA348E8F}" type="pres">
      <dgm:prSet presAssocID="{A027EA32-1F90-4A35-AE56-52FAF75297FE}" presName="Name19" presStyleLbl="parChTrans1D3" presStyleIdx="2" presStyleCnt="4"/>
      <dgm:spPr/>
    </dgm:pt>
    <dgm:pt modelId="{B4E7F7C2-EB6D-4890-9848-D0304C585D6F}" type="pres">
      <dgm:prSet presAssocID="{CCAF5CBD-BF02-45B6-94F6-D689E66C39E6}" presName="Name21" presStyleCnt="0"/>
      <dgm:spPr/>
    </dgm:pt>
    <dgm:pt modelId="{60FAE64C-C72C-4E47-B060-48525EC6CBC2}" type="pres">
      <dgm:prSet presAssocID="{CCAF5CBD-BF02-45B6-94F6-D689E66C39E6}" presName="level2Shape" presStyleLbl="node3" presStyleIdx="2" presStyleCnt="4"/>
      <dgm:spPr/>
    </dgm:pt>
    <dgm:pt modelId="{C38DA065-B3EE-46F0-A295-5FD2A38E0B84}" type="pres">
      <dgm:prSet presAssocID="{CCAF5CBD-BF02-45B6-94F6-D689E66C39E6}" presName="hierChild3" presStyleCnt="0"/>
      <dgm:spPr/>
    </dgm:pt>
    <dgm:pt modelId="{3180B6AF-1CCC-460F-B2B0-BA02B8AD96B3}" type="pres">
      <dgm:prSet presAssocID="{2EC3B9DC-F2EE-4EBA-BC5B-214EBC26591E}" presName="Name19" presStyleLbl="parChTrans1D3" presStyleIdx="3" presStyleCnt="4"/>
      <dgm:spPr/>
    </dgm:pt>
    <dgm:pt modelId="{2AAD09EC-4D88-4A82-B718-BB01A3FCB122}" type="pres">
      <dgm:prSet presAssocID="{85F95A0A-AC4E-4C0A-83BE-FE4772001260}" presName="Name21" presStyleCnt="0"/>
      <dgm:spPr/>
    </dgm:pt>
    <dgm:pt modelId="{D2C6AA1A-7F19-4E52-8476-D4F5BC48FA91}" type="pres">
      <dgm:prSet presAssocID="{85F95A0A-AC4E-4C0A-83BE-FE4772001260}" presName="level2Shape" presStyleLbl="node3" presStyleIdx="3" presStyleCnt="4"/>
      <dgm:spPr/>
    </dgm:pt>
    <dgm:pt modelId="{D6C84C52-5B70-4C83-9434-FCF57E71056E}" type="pres">
      <dgm:prSet presAssocID="{85F95A0A-AC4E-4C0A-83BE-FE4772001260}" presName="hierChild3" presStyleCnt="0"/>
      <dgm:spPr/>
    </dgm:pt>
    <dgm:pt modelId="{01681F77-065B-45F7-9AA0-149CAAD30E6C}" type="pres">
      <dgm:prSet presAssocID="{A4F9DFFB-05C8-4D9B-857A-BD2BDDEE107B}" presName="bgShapesFlow" presStyleCnt="0"/>
      <dgm:spPr/>
    </dgm:pt>
  </dgm:ptLst>
  <dgm:cxnLst>
    <dgm:cxn modelId="{315C9F12-33DA-491F-90C9-6A0292353F31}" type="presOf" srcId="{BC2E24E1-A0A1-4DCD-BF63-201C8BE294AD}" destId="{BDA60CF4-8F86-4A6A-8CC0-E66017DA9C6B}" srcOrd="0" destOrd="0" presId="urn:microsoft.com/office/officeart/2005/8/layout/hierarchy6#1"/>
    <dgm:cxn modelId="{050AE960-EC1E-411E-ADED-0662A1D570B3}" srcId="{BC2E24E1-A0A1-4DCD-BF63-201C8BE294AD}" destId="{85F95A0A-AC4E-4C0A-83BE-FE4772001260}" srcOrd="1" destOrd="0" parTransId="{2EC3B9DC-F2EE-4EBA-BC5B-214EBC26591E}" sibTransId="{6C4FEA7B-CCF1-416E-A512-757D0F937373}"/>
    <dgm:cxn modelId="{91DAA468-F9AE-4FDB-9A8B-32EBFAB9286F}" type="presOf" srcId="{B0E2780E-EE4A-4BE0-9D3A-B99EAB27B02E}" destId="{42D91FB8-876F-4F3C-96A1-A831AF03EFF2}" srcOrd="0" destOrd="0" presId="urn:microsoft.com/office/officeart/2005/8/layout/hierarchy6#1"/>
    <dgm:cxn modelId="{F6D56E6B-D255-4954-A624-B3D57F911790}" type="presOf" srcId="{A027EA32-1F90-4A35-AE56-52FAF75297FE}" destId="{13D79206-6602-4206-A588-176CFA348E8F}" srcOrd="0" destOrd="0" presId="urn:microsoft.com/office/officeart/2005/8/layout/hierarchy6#1"/>
    <dgm:cxn modelId="{2AABCB4D-FC5A-4A1F-B0CA-A68B6D37632B}" type="presOf" srcId="{4A622001-2022-4796-AC21-562953D7FBA4}" destId="{FB0A2E8C-D224-4A76-80F1-83E2129A7CF7}" srcOrd="0" destOrd="0" presId="urn:microsoft.com/office/officeart/2005/8/layout/hierarchy6#1"/>
    <dgm:cxn modelId="{629CCD4F-64BA-48D9-814C-344B80E08764}" type="presOf" srcId="{E41D4B15-3012-4A2A-948C-60A5AD6BE097}" destId="{0C93D0A6-40F4-4FAE-97CD-B84ED1D4EF7B}" srcOrd="0" destOrd="0" presId="urn:microsoft.com/office/officeart/2005/8/layout/hierarchy6#1"/>
    <dgm:cxn modelId="{B87C3A70-46A9-4584-B75E-B81CB3FEEB9B}" srcId="{A4F9DFFB-05C8-4D9B-857A-BD2BDDEE107B}" destId="{892C9B51-EF79-4DA8-8712-0D323E7C38F0}" srcOrd="0" destOrd="0" parTransId="{3CB5F18A-73D8-4F4B-9C7B-302BA2629F49}" sibTransId="{6903CC13-DCD8-4C3B-AAFD-56237E24887A}"/>
    <dgm:cxn modelId="{8DEB8B52-B5DF-4C81-B09A-B4E6E441E537}" type="presOf" srcId="{736A05A6-893D-47B4-85C6-67E02B1211FF}" destId="{6C27A40B-D279-4AC0-A58A-077A34246C29}" srcOrd="0" destOrd="0" presId="urn:microsoft.com/office/officeart/2005/8/layout/hierarchy6#1"/>
    <dgm:cxn modelId="{99F48157-C2CF-4718-BD53-C80ACCD2111A}" srcId="{892C9B51-EF79-4DA8-8712-0D323E7C38F0}" destId="{B0E2780E-EE4A-4BE0-9D3A-B99EAB27B02E}" srcOrd="0" destOrd="0" parTransId="{2BD2D785-8768-4D38-AE10-702B035E9EED}" sibTransId="{8281AB0E-6623-43FA-9EB9-AB52D42CC2F3}"/>
    <dgm:cxn modelId="{F5F4FF58-5098-4D2E-9BD8-E0A149D19541}" type="presOf" srcId="{85F95A0A-AC4E-4C0A-83BE-FE4772001260}" destId="{D2C6AA1A-7F19-4E52-8476-D4F5BC48FA91}" srcOrd="0" destOrd="0" presId="urn:microsoft.com/office/officeart/2005/8/layout/hierarchy6#1"/>
    <dgm:cxn modelId="{A7DCE97E-9CB0-4513-9A86-F699FF11159D}" type="presOf" srcId="{892C9B51-EF79-4DA8-8712-0D323E7C38F0}" destId="{A84B5217-6E5D-45B8-AB2B-ED1F0C632A60}" srcOrd="0" destOrd="0" presId="urn:microsoft.com/office/officeart/2005/8/layout/hierarchy6#1"/>
    <dgm:cxn modelId="{B3831483-035C-4249-9D2B-E82447097EA9}" type="presOf" srcId="{A4F9DFFB-05C8-4D9B-857A-BD2BDDEE107B}" destId="{FAE6DC41-89B4-42C2-AB42-58EA60F659DE}" srcOrd="0" destOrd="0" presId="urn:microsoft.com/office/officeart/2005/8/layout/hierarchy6#1"/>
    <dgm:cxn modelId="{1491B185-FA95-429D-AC72-C6F543C086AF}" srcId="{892C9B51-EF79-4DA8-8712-0D323E7C38F0}" destId="{BC2E24E1-A0A1-4DCD-BF63-201C8BE294AD}" srcOrd="1" destOrd="0" parTransId="{736A05A6-893D-47B4-85C6-67E02B1211FF}" sibTransId="{AE71A78E-7E15-4DEE-91BE-ECA52F27AD1E}"/>
    <dgm:cxn modelId="{7B7CDA8B-C2FB-46DC-BCE8-4641955E2F99}" type="presOf" srcId="{CCAF5CBD-BF02-45B6-94F6-D689E66C39E6}" destId="{60FAE64C-C72C-4E47-B060-48525EC6CBC2}" srcOrd="0" destOrd="0" presId="urn:microsoft.com/office/officeart/2005/8/layout/hierarchy6#1"/>
    <dgm:cxn modelId="{92D4649E-5505-4C23-AF31-A562D02331B7}" srcId="{B0E2780E-EE4A-4BE0-9D3A-B99EAB27B02E}" destId="{4A622001-2022-4796-AC21-562953D7FBA4}" srcOrd="1" destOrd="0" parTransId="{DCBE0C5F-C648-42A3-974C-92E0B43D28BB}" sibTransId="{7BD0534B-A5EA-4A28-B74B-822523056EFE}"/>
    <dgm:cxn modelId="{01E41AB3-305D-42EE-B5F3-20EA47F5EB58}" type="presOf" srcId="{DCBE0C5F-C648-42A3-974C-92E0B43D28BB}" destId="{7DF719ED-AAE1-4B4C-B391-083A7D4B863D}" srcOrd="0" destOrd="0" presId="urn:microsoft.com/office/officeart/2005/8/layout/hierarchy6#1"/>
    <dgm:cxn modelId="{898BD1D8-483C-4B1E-8C4A-EB2A6099BD13}" srcId="{BC2E24E1-A0A1-4DCD-BF63-201C8BE294AD}" destId="{CCAF5CBD-BF02-45B6-94F6-D689E66C39E6}" srcOrd="0" destOrd="0" parTransId="{A027EA32-1F90-4A35-AE56-52FAF75297FE}" sibTransId="{32E1C34D-52BB-461D-BDD1-EB4595153696}"/>
    <dgm:cxn modelId="{C288F1DF-3BE4-4853-ACD5-268AA094CFC0}" srcId="{B0E2780E-EE4A-4BE0-9D3A-B99EAB27B02E}" destId="{E41D4B15-3012-4A2A-948C-60A5AD6BE097}" srcOrd="0" destOrd="0" parTransId="{DA712DD6-FF6E-42D8-B1D1-B9CE27D216AA}" sibTransId="{D52F2A74-9844-4D8D-A0E7-AFE022D1791B}"/>
    <dgm:cxn modelId="{6E2BA7E8-CD9E-41F6-AC9A-C8E39B27F1DC}" type="presOf" srcId="{DA712DD6-FF6E-42D8-B1D1-B9CE27D216AA}" destId="{05C9CC73-ACCC-4972-B6F6-27C76A04C979}" srcOrd="0" destOrd="0" presId="urn:microsoft.com/office/officeart/2005/8/layout/hierarchy6#1"/>
    <dgm:cxn modelId="{01E716FA-FDDB-45E6-84A2-225A6664225E}" type="presOf" srcId="{2BD2D785-8768-4D38-AE10-702B035E9EED}" destId="{66E39D80-870B-4E7C-B811-3C3D05B4A05D}" srcOrd="0" destOrd="0" presId="urn:microsoft.com/office/officeart/2005/8/layout/hierarchy6#1"/>
    <dgm:cxn modelId="{F1248AFC-D76B-4028-B0F6-3355E530E749}" type="presOf" srcId="{2EC3B9DC-F2EE-4EBA-BC5B-214EBC26591E}" destId="{3180B6AF-1CCC-460F-B2B0-BA02B8AD96B3}" srcOrd="0" destOrd="0" presId="urn:microsoft.com/office/officeart/2005/8/layout/hierarchy6#1"/>
    <dgm:cxn modelId="{66E998CC-EB9F-433B-9388-BE699CD77BF8}" type="presParOf" srcId="{FAE6DC41-89B4-42C2-AB42-58EA60F659DE}" destId="{ADEA2F7A-6BC9-48CA-911A-B2EC204C7BB6}" srcOrd="0" destOrd="0" presId="urn:microsoft.com/office/officeart/2005/8/layout/hierarchy6#1"/>
    <dgm:cxn modelId="{B040BAB0-CDEC-44DB-A015-E674457B6E87}" type="presParOf" srcId="{ADEA2F7A-6BC9-48CA-911A-B2EC204C7BB6}" destId="{B4DB1FF0-39E6-488D-BC6A-CCA091AEB110}" srcOrd="0" destOrd="0" presId="urn:microsoft.com/office/officeart/2005/8/layout/hierarchy6#1"/>
    <dgm:cxn modelId="{357DF471-13D5-4D2B-A4F0-CA81E1DA31B2}" type="presParOf" srcId="{B4DB1FF0-39E6-488D-BC6A-CCA091AEB110}" destId="{1BA2FD41-0C80-47A8-A3D9-BC4871FA5DEA}" srcOrd="0" destOrd="0" presId="urn:microsoft.com/office/officeart/2005/8/layout/hierarchy6#1"/>
    <dgm:cxn modelId="{E506FF08-C025-406F-8FF4-5F5F4A51EAED}" type="presParOf" srcId="{1BA2FD41-0C80-47A8-A3D9-BC4871FA5DEA}" destId="{A84B5217-6E5D-45B8-AB2B-ED1F0C632A60}" srcOrd="0" destOrd="0" presId="urn:microsoft.com/office/officeart/2005/8/layout/hierarchy6#1"/>
    <dgm:cxn modelId="{CDBBE033-7378-4B82-AE84-031B8345CC8C}" type="presParOf" srcId="{1BA2FD41-0C80-47A8-A3D9-BC4871FA5DEA}" destId="{E7FE248C-9AC1-4AA1-8F5C-DFEE77F990ED}" srcOrd="1" destOrd="0" presId="urn:microsoft.com/office/officeart/2005/8/layout/hierarchy6#1"/>
    <dgm:cxn modelId="{D2ACFF7E-CCDD-471E-AD9B-33C1072224C3}" type="presParOf" srcId="{E7FE248C-9AC1-4AA1-8F5C-DFEE77F990ED}" destId="{66E39D80-870B-4E7C-B811-3C3D05B4A05D}" srcOrd="0" destOrd="0" presId="urn:microsoft.com/office/officeart/2005/8/layout/hierarchy6#1"/>
    <dgm:cxn modelId="{11E2753D-995C-4521-822B-674A61990C3D}" type="presParOf" srcId="{E7FE248C-9AC1-4AA1-8F5C-DFEE77F990ED}" destId="{E0712675-C006-473D-8B32-894488252EE7}" srcOrd="1" destOrd="0" presId="urn:microsoft.com/office/officeart/2005/8/layout/hierarchy6#1"/>
    <dgm:cxn modelId="{7EFCA743-1A3C-4E5A-9791-B5A520ED717B}" type="presParOf" srcId="{E0712675-C006-473D-8B32-894488252EE7}" destId="{42D91FB8-876F-4F3C-96A1-A831AF03EFF2}" srcOrd="0" destOrd="0" presId="urn:microsoft.com/office/officeart/2005/8/layout/hierarchy6#1"/>
    <dgm:cxn modelId="{671D13A3-7AB4-4BA7-9BB1-3207A498268B}" type="presParOf" srcId="{E0712675-C006-473D-8B32-894488252EE7}" destId="{5361D6E3-D355-485C-A2B6-6944FB939A1C}" srcOrd="1" destOrd="0" presId="urn:microsoft.com/office/officeart/2005/8/layout/hierarchy6#1"/>
    <dgm:cxn modelId="{D4FACCE5-7894-41DC-9C9A-91747ECD6AD5}" type="presParOf" srcId="{5361D6E3-D355-485C-A2B6-6944FB939A1C}" destId="{05C9CC73-ACCC-4972-B6F6-27C76A04C979}" srcOrd="0" destOrd="0" presId="urn:microsoft.com/office/officeart/2005/8/layout/hierarchy6#1"/>
    <dgm:cxn modelId="{03D747BB-6E2F-4B27-9642-DE0072BC5DAE}" type="presParOf" srcId="{5361D6E3-D355-485C-A2B6-6944FB939A1C}" destId="{4F06E983-BE29-4D67-819E-FC09D5643B0F}" srcOrd="1" destOrd="0" presId="urn:microsoft.com/office/officeart/2005/8/layout/hierarchy6#1"/>
    <dgm:cxn modelId="{CEFF2DC5-EB1D-4C9B-A450-1DFB7DC1C3F6}" type="presParOf" srcId="{4F06E983-BE29-4D67-819E-FC09D5643B0F}" destId="{0C93D0A6-40F4-4FAE-97CD-B84ED1D4EF7B}" srcOrd="0" destOrd="0" presId="urn:microsoft.com/office/officeart/2005/8/layout/hierarchy6#1"/>
    <dgm:cxn modelId="{48A6483F-7013-4309-817A-1E8964CAC495}" type="presParOf" srcId="{4F06E983-BE29-4D67-819E-FC09D5643B0F}" destId="{0303D228-9CF8-46D6-AA05-77C49DBED83E}" srcOrd="1" destOrd="0" presId="urn:microsoft.com/office/officeart/2005/8/layout/hierarchy6#1"/>
    <dgm:cxn modelId="{88C3BFE4-ED75-4C0D-8A53-B3ADB6F40BC1}" type="presParOf" srcId="{5361D6E3-D355-485C-A2B6-6944FB939A1C}" destId="{7DF719ED-AAE1-4B4C-B391-083A7D4B863D}" srcOrd="2" destOrd="0" presId="urn:microsoft.com/office/officeart/2005/8/layout/hierarchy6#1"/>
    <dgm:cxn modelId="{0DCF2524-46EF-4C8E-BE62-734EB467422A}" type="presParOf" srcId="{5361D6E3-D355-485C-A2B6-6944FB939A1C}" destId="{5FB0288B-48D8-4F21-8DD4-A4833376920D}" srcOrd="3" destOrd="0" presId="urn:microsoft.com/office/officeart/2005/8/layout/hierarchy6#1"/>
    <dgm:cxn modelId="{D8784E30-2506-466B-8CA3-FA00C860C48D}" type="presParOf" srcId="{5FB0288B-48D8-4F21-8DD4-A4833376920D}" destId="{FB0A2E8C-D224-4A76-80F1-83E2129A7CF7}" srcOrd="0" destOrd="0" presId="urn:microsoft.com/office/officeart/2005/8/layout/hierarchy6#1"/>
    <dgm:cxn modelId="{6681CF56-CE22-4C82-9F09-1DB89814E662}" type="presParOf" srcId="{5FB0288B-48D8-4F21-8DD4-A4833376920D}" destId="{351BBDEC-724D-4AB7-9A14-2C514A45BA9F}" srcOrd="1" destOrd="0" presId="urn:microsoft.com/office/officeart/2005/8/layout/hierarchy6#1"/>
    <dgm:cxn modelId="{363C91D1-50B7-41ED-825C-FD592C4800A8}" type="presParOf" srcId="{E7FE248C-9AC1-4AA1-8F5C-DFEE77F990ED}" destId="{6C27A40B-D279-4AC0-A58A-077A34246C29}" srcOrd="2" destOrd="0" presId="urn:microsoft.com/office/officeart/2005/8/layout/hierarchy6#1"/>
    <dgm:cxn modelId="{D0B66A4C-BE8D-4D08-A805-1F589BCC0762}" type="presParOf" srcId="{E7FE248C-9AC1-4AA1-8F5C-DFEE77F990ED}" destId="{B796B32A-01D5-4770-877B-D3AEDE028BB6}" srcOrd="3" destOrd="0" presId="urn:microsoft.com/office/officeart/2005/8/layout/hierarchy6#1"/>
    <dgm:cxn modelId="{ECF53154-B677-49A8-AF00-DF0EB7AD4BA2}" type="presParOf" srcId="{B796B32A-01D5-4770-877B-D3AEDE028BB6}" destId="{BDA60CF4-8F86-4A6A-8CC0-E66017DA9C6B}" srcOrd="0" destOrd="0" presId="urn:microsoft.com/office/officeart/2005/8/layout/hierarchy6#1"/>
    <dgm:cxn modelId="{3ED12373-D89D-436A-8629-B422D2062E60}" type="presParOf" srcId="{B796B32A-01D5-4770-877B-D3AEDE028BB6}" destId="{DC727225-500D-461E-AE12-416539B67096}" srcOrd="1" destOrd="0" presId="urn:microsoft.com/office/officeart/2005/8/layout/hierarchy6#1"/>
    <dgm:cxn modelId="{C2511F0C-D5B2-4281-A75B-83419D189B96}" type="presParOf" srcId="{DC727225-500D-461E-AE12-416539B67096}" destId="{13D79206-6602-4206-A588-176CFA348E8F}" srcOrd="0" destOrd="0" presId="urn:microsoft.com/office/officeart/2005/8/layout/hierarchy6#1"/>
    <dgm:cxn modelId="{AC5323F7-E03B-42DF-B2F6-82623FDB8B42}" type="presParOf" srcId="{DC727225-500D-461E-AE12-416539B67096}" destId="{B4E7F7C2-EB6D-4890-9848-D0304C585D6F}" srcOrd="1" destOrd="0" presId="urn:microsoft.com/office/officeart/2005/8/layout/hierarchy6#1"/>
    <dgm:cxn modelId="{18DE83E2-9427-4396-8686-B382E5B761CE}" type="presParOf" srcId="{B4E7F7C2-EB6D-4890-9848-D0304C585D6F}" destId="{60FAE64C-C72C-4E47-B060-48525EC6CBC2}" srcOrd="0" destOrd="0" presId="urn:microsoft.com/office/officeart/2005/8/layout/hierarchy6#1"/>
    <dgm:cxn modelId="{94E57F2C-10F4-4294-BAF7-C57D47A564D5}" type="presParOf" srcId="{B4E7F7C2-EB6D-4890-9848-D0304C585D6F}" destId="{C38DA065-B3EE-46F0-A295-5FD2A38E0B84}" srcOrd="1" destOrd="0" presId="urn:microsoft.com/office/officeart/2005/8/layout/hierarchy6#1"/>
    <dgm:cxn modelId="{2D633323-1BB9-452C-B9F7-4C5FDAFE5F41}" type="presParOf" srcId="{DC727225-500D-461E-AE12-416539B67096}" destId="{3180B6AF-1CCC-460F-B2B0-BA02B8AD96B3}" srcOrd="2" destOrd="0" presId="urn:microsoft.com/office/officeart/2005/8/layout/hierarchy6#1"/>
    <dgm:cxn modelId="{823B5072-29BA-45A8-A99F-EC0803AE80D6}" type="presParOf" srcId="{DC727225-500D-461E-AE12-416539B67096}" destId="{2AAD09EC-4D88-4A82-B718-BB01A3FCB122}" srcOrd="3" destOrd="0" presId="urn:microsoft.com/office/officeart/2005/8/layout/hierarchy6#1"/>
    <dgm:cxn modelId="{1D12972D-1F15-4CAF-829A-5E5394E88633}" type="presParOf" srcId="{2AAD09EC-4D88-4A82-B718-BB01A3FCB122}" destId="{D2C6AA1A-7F19-4E52-8476-D4F5BC48FA91}" srcOrd="0" destOrd="0" presId="urn:microsoft.com/office/officeart/2005/8/layout/hierarchy6#1"/>
    <dgm:cxn modelId="{21DA8F0E-2EBE-4032-B12C-D99CF8784281}" type="presParOf" srcId="{2AAD09EC-4D88-4A82-B718-BB01A3FCB122}" destId="{D6C84C52-5B70-4C83-9434-FCF57E71056E}" srcOrd="1" destOrd="0" presId="urn:microsoft.com/office/officeart/2005/8/layout/hierarchy6#1"/>
    <dgm:cxn modelId="{D4261A8C-9C4E-42E9-921D-4EC19ACCC8D0}" type="presParOf" srcId="{FAE6DC41-89B4-42C2-AB42-58EA60F659DE}" destId="{01681F77-065B-45F7-9AA0-149CAAD30E6C}" srcOrd="1" destOrd="0" presId="urn:microsoft.com/office/officeart/2005/8/layout/hierarchy6#1"/>
  </dgm:cxnLst>
  <dgm:bg/>
  <dgm:whole>
    <a:ln w="9525"/>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4B5217-6E5D-45B8-AB2B-ED1F0C632A60}">
      <dsp:nvSpPr>
        <dsp:cNvPr id="0" name=""/>
        <dsp:cNvSpPr/>
      </dsp:nvSpPr>
      <dsp:spPr>
        <a:xfrm>
          <a:off x="2118600" y="400"/>
          <a:ext cx="974412" cy="571770"/>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SG" sz="900" kern="1200">
              <a:latin typeface="Arial" panose="020B0604020202020204" pitchFamily="34" charset="0"/>
              <a:cs typeface="Arial" panose="020B0604020202020204" pitchFamily="34" charset="0"/>
            </a:rPr>
            <a:t>116 infants treated with IV Acetaminophen</a:t>
          </a:r>
        </a:p>
      </dsp:txBody>
      <dsp:txXfrm>
        <a:off x="2135347" y="17147"/>
        <a:ext cx="940918" cy="538276"/>
      </dsp:txXfrm>
    </dsp:sp>
    <dsp:sp modelId="{66E39D80-870B-4E7C-B811-3C3D05B4A05D}">
      <dsp:nvSpPr>
        <dsp:cNvPr id="0" name=""/>
        <dsp:cNvSpPr/>
      </dsp:nvSpPr>
      <dsp:spPr>
        <a:xfrm>
          <a:off x="1491092" y="572170"/>
          <a:ext cx="1114713" cy="228708"/>
        </a:xfrm>
        <a:custGeom>
          <a:avLst/>
          <a:gdLst/>
          <a:ahLst/>
          <a:cxnLst/>
          <a:rect l="0" t="0" r="0" b="0"/>
          <a:pathLst>
            <a:path>
              <a:moveTo>
                <a:pt x="1114713" y="0"/>
              </a:moveTo>
              <a:lnTo>
                <a:pt x="1114713" y="114354"/>
              </a:lnTo>
              <a:lnTo>
                <a:pt x="0" y="114354"/>
              </a:lnTo>
              <a:lnTo>
                <a:pt x="0" y="22870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D91FB8-876F-4F3C-96A1-A831AF03EFF2}">
      <dsp:nvSpPr>
        <dsp:cNvPr id="0" name=""/>
        <dsp:cNvSpPr/>
      </dsp:nvSpPr>
      <dsp:spPr>
        <a:xfrm>
          <a:off x="975069" y="800879"/>
          <a:ext cx="1032046" cy="571770"/>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SG" sz="900" kern="1200">
              <a:latin typeface="Arial" panose="020B0604020202020204" pitchFamily="34" charset="0"/>
              <a:cs typeface="Arial" panose="020B0604020202020204" pitchFamily="34" charset="0"/>
            </a:rPr>
            <a:t>Early Acetaminophen (</a:t>
          </a:r>
          <a:r>
            <a:rPr lang="en-SG" sz="900" kern="1200">
              <a:latin typeface="Arial" panose="020B0604020202020204" pitchFamily="34" charset="0"/>
              <a:ea typeface="Calibri" panose="020F0502020204030204" pitchFamily="34" charset="0"/>
              <a:cs typeface="Arial" panose="020B0604020202020204" pitchFamily="34" charset="0"/>
            </a:rPr>
            <a:t>≤14days) n=70</a:t>
          </a:r>
          <a:endParaRPr lang="en-SG" sz="900" kern="1200">
            <a:latin typeface="Arial" panose="020B0604020202020204" pitchFamily="34" charset="0"/>
            <a:cs typeface="Arial" panose="020B0604020202020204" pitchFamily="34" charset="0"/>
          </a:endParaRPr>
        </a:p>
      </dsp:txBody>
      <dsp:txXfrm>
        <a:off x="991816" y="817626"/>
        <a:ext cx="998552" cy="538276"/>
      </dsp:txXfrm>
    </dsp:sp>
    <dsp:sp modelId="{05C9CC73-ACCC-4972-B6F6-27C76A04C979}">
      <dsp:nvSpPr>
        <dsp:cNvPr id="0" name=""/>
        <dsp:cNvSpPr/>
      </dsp:nvSpPr>
      <dsp:spPr>
        <a:xfrm>
          <a:off x="933618" y="1372649"/>
          <a:ext cx="557473" cy="228708"/>
        </a:xfrm>
        <a:custGeom>
          <a:avLst/>
          <a:gdLst/>
          <a:ahLst/>
          <a:cxnLst/>
          <a:rect l="0" t="0" r="0" b="0"/>
          <a:pathLst>
            <a:path>
              <a:moveTo>
                <a:pt x="557473" y="0"/>
              </a:moveTo>
              <a:lnTo>
                <a:pt x="557473" y="114354"/>
              </a:lnTo>
              <a:lnTo>
                <a:pt x="0" y="114354"/>
              </a:lnTo>
              <a:lnTo>
                <a:pt x="0" y="228708"/>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93D0A6-40F4-4FAE-97CD-B84ED1D4EF7B}">
      <dsp:nvSpPr>
        <dsp:cNvPr id="0" name=""/>
        <dsp:cNvSpPr/>
      </dsp:nvSpPr>
      <dsp:spPr>
        <a:xfrm>
          <a:off x="504793" y="1601358"/>
          <a:ext cx="857651" cy="571770"/>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SG" sz="900" kern="1200">
              <a:latin typeface="Arial" panose="020B0604020202020204" pitchFamily="34" charset="0"/>
              <a:cs typeface="Arial" panose="020B0604020202020204" pitchFamily="34" charset="0"/>
            </a:rPr>
            <a:t>PDA closed (n=21)</a:t>
          </a:r>
        </a:p>
      </dsp:txBody>
      <dsp:txXfrm>
        <a:off x="521540" y="1618105"/>
        <a:ext cx="824157" cy="538276"/>
      </dsp:txXfrm>
    </dsp:sp>
    <dsp:sp modelId="{7DF719ED-AAE1-4B4C-B391-083A7D4B863D}">
      <dsp:nvSpPr>
        <dsp:cNvPr id="0" name=""/>
        <dsp:cNvSpPr/>
      </dsp:nvSpPr>
      <dsp:spPr>
        <a:xfrm>
          <a:off x="1491092" y="1372649"/>
          <a:ext cx="557473" cy="228708"/>
        </a:xfrm>
        <a:custGeom>
          <a:avLst/>
          <a:gdLst/>
          <a:ahLst/>
          <a:cxnLst/>
          <a:rect l="0" t="0" r="0" b="0"/>
          <a:pathLst>
            <a:path>
              <a:moveTo>
                <a:pt x="0" y="0"/>
              </a:moveTo>
              <a:lnTo>
                <a:pt x="0" y="114354"/>
              </a:lnTo>
              <a:lnTo>
                <a:pt x="557473" y="114354"/>
              </a:lnTo>
              <a:lnTo>
                <a:pt x="557473" y="228708"/>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0A2E8C-D224-4A76-80F1-83E2129A7CF7}">
      <dsp:nvSpPr>
        <dsp:cNvPr id="0" name=""/>
        <dsp:cNvSpPr/>
      </dsp:nvSpPr>
      <dsp:spPr>
        <a:xfrm>
          <a:off x="1619740" y="1601358"/>
          <a:ext cx="857651" cy="571770"/>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SG" sz="900" kern="1200">
              <a:latin typeface="Arial" panose="020B0604020202020204" pitchFamily="34" charset="0"/>
              <a:cs typeface="Arial" panose="020B0604020202020204" pitchFamily="34" charset="0"/>
            </a:rPr>
            <a:t>Persistent PDA (n=49)</a:t>
          </a:r>
        </a:p>
      </dsp:txBody>
      <dsp:txXfrm>
        <a:off x="1636487" y="1618105"/>
        <a:ext cx="824157" cy="538276"/>
      </dsp:txXfrm>
    </dsp:sp>
    <dsp:sp modelId="{6C27A40B-D279-4AC0-A58A-077A34246C29}">
      <dsp:nvSpPr>
        <dsp:cNvPr id="0" name=""/>
        <dsp:cNvSpPr/>
      </dsp:nvSpPr>
      <dsp:spPr>
        <a:xfrm>
          <a:off x="2605806" y="572170"/>
          <a:ext cx="1115181" cy="228708"/>
        </a:xfrm>
        <a:custGeom>
          <a:avLst/>
          <a:gdLst/>
          <a:ahLst/>
          <a:cxnLst/>
          <a:rect l="0" t="0" r="0" b="0"/>
          <a:pathLst>
            <a:path>
              <a:moveTo>
                <a:pt x="0" y="0"/>
              </a:moveTo>
              <a:lnTo>
                <a:pt x="0" y="114354"/>
              </a:lnTo>
              <a:lnTo>
                <a:pt x="1115181" y="114354"/>
              </a:lnTo>
              <a:lnTo>
                <a:pt x="1115181" y="22870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A60CF4-8F86-4A6A-8CC0-E66017DA9C6B}">
      <dsp:nvSpPr>
        <dsp:cNvPr id="0" name=""/>
        <dsp:cNvSpPr/>
      </dsp:nvSpPr>
      <dsp:spPr>
        <a:xfrm>
          <a:off x="3205431" y="800879"/>
          <a:ext cx="1031111" cy="571770"/>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SG" sz="900" kern="1200">
              <a:latin typeface="Arial" panose="020B0604020202020204" pitchFamily="34" charset="0"/>
              <a:cs typeface="Arial" panose="020B0604020202020204" pitchFamily="34" charset="0"/>
            </a:rPr>
            <a:t>Late Acetaminophen (&gt;14days) n=46</a:t>
          </a:r>
        </a:p>
      </dsp:txBody>
      <dsp:txXfrm>
        <a:off x="3222178" y="817626"/>
        <a:ext cx="997617" cy="538276"/>
      </dsp:txXfrm>
    </dsp:sp>
    <dsp:sp modelId="{13D79206-6602-4206-A588-176CFA348E8F}">
      <dsp:nvSpPr>
        <dsp:cNvPr id="0" name=""/>
        <dsp:cNvSpPr/>
      </dsp:nvSpPr>
      <dsp:spPr>
        <a:xfrm>
          <a:off x="3163513" y="1372649"/>
          <a:ext cx="557473" cy="228708"/>
        </a:xfrm>
        <a:custGeom>
          <a:avLst/>
          <a:gdLst/>
          <a:ahLst/>
          <a:cxnLst/>
          <a:rect l="0" t="0" r="0" b="0"/>
          <a:pathLst>
            <a:path>
              <a:moveTo>
                <a:pt x="557473" y="0"/>
              </a:moveTo>
              <a:lnTo>
                <a:pt x="557473" y="114354"/>
              </a:lnTo>
              <a:lnTo>
                <a:pt x="0" y="114354"/>
              </a:lnTo>
              <a:lnTo>
                <a:pt x="0" y="228708"/>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FAE64C-C72C-4E47-B060-48525EC6CBC2}">
      <dsp:nvSpPr>
        <dsp:cNvPr id="0" name=""/>
        <dsp:cNvSpPr/>
      </dsp:nvSpPr>
      <dsp:spPr>
        <a:xfrm>
          <a:off x="2734687" y="1601358"/>
          <a:ext cx="857651" cy="571770"/>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SG" sz="900" kern="1200">
              <a:latin typeface="Arial" panose="020B0604020202020204" pitchFamily="34" charset="0"/>
              <a:cs typeface="Arial" panose="020B0604020202020204" pitchFamily="34" charset="0"/>
            </a:rPr>
            <a:t>PDA closed (n=14)</a:t>
          </a:r>
        </a:p>
      </dsp:txBody>
      <dsp:txXfrm>
        <a:off x="2751434" y="1618105"/>
        <a:ext cx="824157" cy="538276"/>
      </dsp:txXfrm>
    </dsp:sp>
    <dsp:sp modelId="{3180B6AF-1CCC-460F-B2B0-BA02B8AD96B3}">
      <dsp:nvSpPr>
        <dsp:cNvPr id="0" name=""/>
        <dsp:cNvSpPr/>
      </dsp:nvSpPr>
      <dsp:spPr>
        <a:xfrm>
          <a:off x="3720987" y="1372649"/>
          <a:ext cx="557473" cy="228708"/>
        </a:xfrm>
        <a:custGeom>
          <a:avLst/>
          <a:gdLst/>
          <a:ahLst/>
          <a:cxnLst/>
          <a:rect l="0" t="0" r="0" b="0"/>
          <a:pathLst>
            <a:path>
              <a:moveTo>
                <a:pt x="0" y="0"/>
              </a:moveTo>
              <a:lnTo>
                <a:pt x="0" y="114354"/>
              </a:lnTo>
              <a:lnTo>
                <a:pt x="557473" y="114354"/>
              </a:lnTo>
              <a:lnTo>
                <a:pt x="557473" y="228708"/>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C6AA1A-7F19-4E52-8476-D4F5BC48FA91}">
      <dsp:nvSpPr>
        <dsp:cNvPr id="0" name=""/>
        <dsp:cNvSpPr/>
      </dsp:nvSpPr>
      <dsp:spPr>
        <a:xfrm>
          <a:off x="3849635" y="1601358"/>
          <a:ext cx="857651" cy="571770"/>
        </a:xfrm>
        <a:prstGeom prst="roundRect">
          <a:avLst>
            <a:gd name="adj" fmla="val 1000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SG" sz="900" kern="1200">
              <a:latin typeface="Arial" panose="020B0604020202020204" pitchFamily="34" charset="0"/>
              <a:cs typeface="Arial" panose="020B0604020202020204" pitchFamily="34" charset="0"/>
            </a:rPr>
            <a:t>Persistent PDA (n=32)</a:t>
          </a:r>
        </a:p>
      </dsp:txBody>
      <dsp:txXfrm>
        <a:off x="3866382" y="1618105"/>
        <a:ext cx="824157" cy="53827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1">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horzAlign" val="ctr"/>
      <dgm:param type="vertAlign" val="mid"/>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fallback" val="2D"/>
        <dgm:param type="linDir" val="fromT"/>
        <dgm:param type="nodeHorzAlign" val="ctr"/>
        <dgm:param type="nodeVertAlign" val="t"/>
        <dgm:param type="vertAlign" val="t"/>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begPts" val="bCtr"/>
                        <dgm:param type="connRout" val="bend"/>
                        <dgm:param type="dim" val="1D"/>
                        <dgm:param type="endPts" val="tCtr"/>
                        <dgm:param type="endSty" val="noAr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HorzAlign" val="ctr"/>
        <dgm:param type="nodeVertAlign" val="t"/>
        <dgm:param type="vertAlign" val="t"/>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horzAlign" val="ctr"/>
            <dgm:param type="vertAlign" val="t"/>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horzAlign" val="ctr"/>
                <dgm:param type="vertAlign" val="t"/>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23598-67E7-4804-B982-457ABB7BB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4668</Words>
  <Characters>26613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31219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Joyce khoo</cp:lastModifiedBy>
  <cp:revision>4</cp:revision>
  <cp:lastPrinted>1999-07-06T11:00:00Z</cp:lastPrinted>
  <dcterms:created xsi:type="dcterms:W3CDTF">2026-02-24T12:42:00Z</dcterms:created>
  <dcterms:modified xsi:type="dcterms:W3CDTF">2026-02-24T12:50:00Z</dcterms:modified>
</cp:coreProperties>
</file>