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C406" w14:textId="77777777" w:rsidR="002F1074" w:rsidRPr="00F467AE" w:rsidRDefault="002F1074" w:rsidP="00F421E7">
      <w:pPr>
        <w:spacing w:after="0"/>
        <w:rPr>
          <w:rFonts w:asciiTheme="minorBidi" w:hAnsiTheme="minorBidi"/>
          <w:b/>
          <w:bCs/>
          <w:sz w:val="36"/>
          <w:szCs w:val="36"/>
        </w:rPr>
      </w:pPr>
      <w:bookmarkStart w:id="0" w:name="_GoBack"/>
      <w:bookmarkEnd w:id="0"/>
    </w:p>
    <w:p w14:paraId="33CD0032" w14:textId="77777777" w:rsidR="00F421E7" w:rsidRPr="00893026" w:rsidRDefault="00F421E7" w:rsidP="00F421E7">
      <w:pPr>
        <w:spacing w:after="0"/>
        <w:rPr>
          <w:rFonts w:asciiTheme="minorBidi" w:hAnsiTheme="minorBidi"/>
          <w:b/>
          <w:bCs/>
          <w:sz w:val="32"/>
          <w:szCs w:val="32"/>
        </w:rPr>
      </w:pPr>
    </w:p>
    <w:p w14:paraId="38847287" w14:textId="65AA8649" w:rsidR="007A2917" w:rsidRDefault="003102FB">
      <w:pPr>
        <w:rPr>
          <w:b/>
          <w:bCs/>
          <w:sz w:val="32"/>
          <w:szCs w:val="32"/>
          <w:lang w:val="en-GB"/>
        </w:rPr>
      </w:pPr>
      <w:r w:rsidRPr="003102FB">
        <w:rPr>
          <w:b/>
          <w:bCs/>
          <w:sz w:val="32"/>
          <w:szCs w:val="32"/>
          <w:highlight w:val="cyan"/>
          <w:lang w:val="en-GB"/>
        </w:rPr>
        <w:t xml:space="preserve">CYP11A1-derived non-canonical </w:t>
      </w:r>
      <w:proofErr w:type="spellStart"/>
      <w:r w:rsidRPr="003102FB">
        <w:rPr>
          <w:b/>
          <w:bCs/>
          <w:sz w:val="32"/>
          <w:szCs w:val="32"/>
          <w:highlight w:val="cyan"/>
          <w:lang w:val="en-GB"/>
        </w:rPr>
        <w:t>secosteroids</w:t>
      </w:r>
      <w:proofErr w:type="spellEnd"/>
      <w:r w:rsidRPr="003102FB">
        <w:rPr>
          <w:b/>
          <w:bCs/>
          <w:sz w:val="32"/>
          <w:szCs w:val="32"/>
          <w:highlight w:val="cyan"/>
          <w:lang w:val="en-GB"/>
        </w:rPr>
        <w:t xml:space="preserve"> and circadian–endocrine regulation: a scoping review</w:t>
      </w:r>
    </w:p>
    <w:p w14:paraId="1FB08617" w14:textId="77777777" w:rsidR="003102FB" w:rsidRPr="00F467AE" w:rsidRDefault="003102FB">
      <w:pPr>
        <w:rPr>
          <w:rFonts w:asciiTheme="minorBidi" w:hAnsiTheme="minorBidi"/>
          <w:b/>
          <w:bCs/>
          <w:sz w:val="20"/>
          <w:szCs w:val="20"/>
        </w:rPr>
      </w:pPr>
    </w:p>
    <w:p w14:paraId="68A09A95" w14:textId="14914C28" w:rsidR="001A57D7" w:rsidRPr="00893026" w:rsidRDefault="001A57D7" w:rsidP="00A80606">
      <w:pPr>
        <w:rPr>
          <w:rFonts w:asciiTheme="minorBidi" w:hAnsiTheme="minorBidi"/>
          <w:b/>
          <w:bCs/>
          <w:sz w:val="20"/>
          <w:szCs w:val="20"/>
        </w:rPr>
      </w:pPr>
      <w:r w:rsidRPr="00893026">
        <w:rPr>
          <w:rFonts w:asciiTheme="minorBidi" w:hAnsiTheme="minorBidi"/>
          <w:b/>
          <w:bCs/>
          <w:sz w:val="20"/>
          <w:szCs w:val="20"/>
        </w:rPr>
        <w:t>ABSTRACT</w:t>
      </w:r>
    </w:p>
    <w:p w14:paraId="699D041E" w14:textId="18720117" w:rsidR="00A80606" w:rsidRPr="00893026" w:rsidRDefault="00A80606" w:rsidP="00A80606">
      <w:pPr>
        <w:rPr>
          <w:rFonts w:asciiTheme="minorBidi" w:hAnsiTheme="minorBidi"/>
          <w:sz w:val="20"/>
          <w:szCs w:val="20"/>
        </w:rPr>
      </w:pPr>
      <w:r w:rsidRPr="00893026">
        <w:rPr>
          <w:rFonts w:asciiTheme="minorBidi" w:hAnsiTheme="minorBidi"/>
          <w:b/>
          <w:bCs/>
          <w:sz w:val="20"/>
          <w:szCs w:val="20"/>
        </w:rPr>
        <w:t>Background:</w:t>
      </w:r>
      <w:r w:rsidRPr="00893026">
        <w:rPr>
          <w:rFonts w:asciiTheme="minorBidi" w:hAnsiTheme="minorBidi"/>
          <w:sz w:val="20"/>
          <w:szCs w:val="20"/>
        </w:rPr>
        <w:t xml:space="preserve"> Vitamin D is traditionally characterized as a nutrient essential for calcium homeostasis. However, emerging evidence suggests that the cutaneous CYP11A1-driven secosteroid pathway serves as a "chemical proxy" for sunlight, linking environmental UV radiation to the synchronization of the mammalian circadian clock and systemic endocrine axes.</w:t>
      </w:r>
    </w:p>
    <w:p w14:paraId="47B3E59D" w14:textId="03D034C0" w:rsidR="00A80606" w:rsidRPr="00893026" w:rsidRDefault="00A80606" w:rsidP="00A80606">
      <w:pPr>
        <w:rPr>
          <w:rFonts w:asciiTheme="minorBidi" w:hAnsiTheme="minorBidi"/>
          <w:sz w:val="20"/>
          <w:szCs w:val="20"/>
        </w:rPr>
      </w:pPr>
      <w:r w:rsidRPr="00893026">
        <w:rPr>
          <w:rFonts w:asciiTheme="minorBidi" w:hAnsiTheme="minorBidi"/>
          <w:b/>
          <w:bCs/>
          <w:sz w:val="20"/>
          <w:szCs w:val="20"/>
        </w:rPr>
        <w:t>Objective:</w:t>
      </w:r>
      <w:r w:rsidRPr="00893026">
        <w:rPr>
          <w:rFonts w:asciiTheme="minorBidi" w:hAnsiTheme="minorBidi"/>
          <w:sz w:val="20"/>
          <w:szCs w:val="20"/>
        </w:rPr>
        <w:t xml:space="preserve"> This review delineates the role of CYP11A1-derived vitamin D metabolites </w:t>
      </w:r>
      <w:r w:rsidR="00500A62" w:rsidRPr="00893026">
        <w:rPr>
          <w:rFonts w:asciiTheme="minorBidi" w:hAnsiTheme="minorBidi"/>
          <w:sz w:val="20"/>
          <w:szCs w:val="20"/>
        </w:rPr>
        <w:t>[</w:t>
      </w:r>
      <w:r w:rsidRPr="00893026">
        <w:rPr>
          <w:rFonts w:asciiTheme="minorBidi" w:hAnsiTheme="minorBidi"/>
          <w:sz w:val="20"/>
          <w:szCs w:val="20"/>
        </w:rPr>
        <w:t>e.g., 20</w:t>
      </w:r>
      <w:r w:rsidR="00500A62" w:rsidRPr="00893026">
        <w:rPr>
          <w:rFonts w:asciiTheme="minorBidi" w:hAnsiTheme="minorBidi"/>
          <w:sz w:val="20"/>
          <w:szCs w:val="20"/>
        </w:rPr>
        <w:t>[</w:t>
      </w:r>
      <w:r w:rsidRPr="00893026">
        <w:rPr>
          <w:rFonts w:asciiTheme="minorBidi" w:hAnsiTheme="minorBidi"/>
          <w:sz w:val="20"/>
          <w:szCs w:val="20"/>
        </w:rPr>
        <w:t>OH</w:t>
      </w:r>
      <w:r w:rsidR="00500A62" w:rsidRPr="00893026">
        <w:rPr>
          <w:rFonts w:asciiTheme="minorBidi" w:hAnsiTheme="minorBidi"/>
          <w:sz w:val="20"/>
          <w:szCs w:val="20"/>
        </w:rPr>
        <w:t>]</w:t>
      </w:r>
      <w:r w:rsidRPr="00893026">
        <w:rPr>
          <w:rFonts w:asciiTheme="minorBidi" w:hAnsiTheme="minorBidi"/>
          <w:sz w:val="20"/>
          <w:szCs w:val="20"/>
        </w:rPr>
        <w:t>D</w:t>
      </w:r>
      <w:r w:rsidRPr="00893026">
        <w:rPr>
          <w:rFonts w:ascii="Cambria Math" w:hAnsi="Cambria Math" w:cs="Cambria Math"/>
          <w:sz w:val="20"/>
          <w:szCs w:val="20"/>
        </w:rPr>
        <w:t>₃</w:t>
      </w:r>
      <w:r w:rsidRPr="00893026">
        <w:rPr>
          <w:rFonts w:asciiTheme="minorBidi" w:hAnsiTheme="minorBidi"/>
          <w:sz w:val="20"/>
          <w:szCs w:val="20"/>
        </w:rPr>
        <w:t xml:space="preserve"> and 20,23</w:t>
      </w:r>
      <w:r w:rsidR="00500A62" w:rsidRPr="00893026">
        <w:rPr>
          <w:rFonts w:asciiTheme="minorBidi" w:hAnsiTheme="minorBidi"/>
          <w:sz w:val="20"/>
          <w:szCs w:val="20"/>
        </w:rPr>
        <w:t>[</w:t>
      </w:r>
      <w:r w:rsidRPr="00893026">
        <w:rPr>
          <w:rFonts w:asciiTheme="minorBidi" w:hAnsiTheme="minorBidi"/>
          <w:sz w:val="20"/>
          <w:szCs w:val="20"/>
        </w:rPr>
        <w:t>OH</w:t>
      </w:r>
      <w:r w:rsidR="00500A62" w:rsidRPr="00893026">
        <w:rPr>
          <w:rFonts w:asciiTheme="minorBidi" w:hAnsiTheme="minorBidi"/>
          <w:sz w:val="20"/>
          <w:szCs w:val="20"/>
        </w:rPr>
        <w:t>]</w:t>
      </w:r>
      <w:r w:rsidRPr="00893026">
        <w:rPr>
          <w:rFonts w:ascii="Cambria Math" w:hAnsi="Cambria Math" w:cs="Cambria Math"/>
          <w:sz w:val="20"/>
          <w:szCs w:val="20"/>
        </w:rPr>
        <w:t>₂</w:t>
      </w:r>
      <w:r w:rsidRPr="00893026">
        <w:rPr>
          <w:rFonts w:asciiTheme="minorBidi" w:hAnsiTheme="minorBidi"/>
          <w:sz w:val="20"/>
          <w:szCs w:val="20"/>
        </w:rPr>
        <w:t>D</w:t>
      </w:r>
      <w:r w:rsidRPr="00893026">
        <w:rPr>
          <w:rFonts w:ascii="Cambria Math" w:hAnsi="Cambria Math" w:cs="Cambria Math"/>
          <w:sz w:val="20"/>
          <w:szCs w:val="20"/>
        </w:rPr>
        <w:t>₃</w:t>
      </w:r>
      <w:r w:rsidR="00500A62" w:rsidRPr="00893026">
        <w:rPr>
          <w:rFonts w:asciiTheme="minorBidi" w:hAnsiTheme="minorBidi"/>
          <w:sz w:val="20"/>
          <w:szCs w:val="20"/>
        </w:rPr>
        <w:t>]</w:t>
      </w:r>
      <w:r w:rsidRPr="00893026">
        <w:rPr>
          <w:rFonts w:asciiTheme="minorBidi" w:hAnsiTheme="minorBidi"/>
          <w:sz w:val="20"/>
          <w:szCs w:val="20"/>
        </w:rPr>
        <w:t xml:space="preserve"> as photoneuroendocrine signals that modulate core clock gene expression and regulate the hypothalamic-pituitary-adrenal </w:t>
      </w:r>
      <w:r w:rsidR="00500A62" w:rsidRPr="00893026">
        <w:rPr>
          <w:rFonts w:asciiTheme="minorBidi" w:hAnsiTheme="minorBidi"/>
          <w:sz w:val="20"/>
          <w:szCs w:val="20"/>
        </w:rPr>
        <w:t>[</w:t>
      </w:r>
      <w:r w:rsidRPr="00893026">
        <w:rPr>
          <w:rFonts w:asciiTheme="minorBidi" w:hAnsiTheme="minorBidi"/>
          <w:sz w:val="20"/>
          <w:szCs w:val="20"/>
        </w:rPr>
        <w:t>HPA</w:t>
      </w:r>
      <w:r w:rsidR="00500A62" w:rsidRPr="00893026">
        <w:rPr>
          <w:rFonts w:asciiTheme="minorBidi" w:hAnsiTheme="minorBidi"/>
          <w:sz w:val="20"/>
          <w:szCs w:val="20"/>
        </w:rPr>
        <w:t>]</w:t>
      </w:r>
      <w:r w:rsidRPr="00893026">
        <w:rPr>
          <w:rFonts w:asciiTheme="minorBidi" w:hAnsiTheme="minorBidi"/>
          <w:sz w:val="20"/>
          <w:szCs w:val="20"/>
        </w:rPr>
        <w:t xml:space="preserve">, hypothalamic-pituitary-thyroid </w:t>
      </w:r>
      <w:r w:rsidR="00500A62" w:rsidRPr="00893026">
        <w:rPr>
          <w:rFonts w:asciiTheme="minorBidi" w:hAnsiTheme="minorBidi"/>
          <w:sz w:val="20"/>
          <w:szCs w:val="20"/>
        </w:rPr>
        <w:t>[</w:t>
      </w:r>
      <w:r w:rsidRPr="00893026">
        <w:rPr>
          <w:rFonts w:asciiTheme="minorBidi" w:hAnsiTheme="minorBidi"/>
          <w:sz w:val="20"/>
          <w:szCs w:val="20"/>
        </w:rPr>
        <w:t>HPT</w:t>
      </w:r>
      <w:r w:rsidR="00500A62" w:rsidRPr="00893026">
        <w:rPr>
          <w:rFonts w:asciiTheme="minorBidi" w:hAnsiTheme="minorBidi"/>
          <w:sz w:val="20"/>
          <w:szCs w:val="20"/>
        </w:rPr>
        <w:t>]</w:t>
      </w:r>
      <w:r w:rsidRPr="00893026">
        <w:rPr>
          <w:rFonts w:asciiTheme="minorBidi" w:hAnsiTheme="minorBidi"/>
          <w:sz w:val="20"/>
          <w:szCs w:val="20"/>
        </w:rPr>
        <w:t xml:space="preserve">, and growth hormone </w:t>
      </w:r>
      <w:r w:rsidR="00500A62" w:rsidRPr="00893026">
        <w:rPr>
          <w:rFonts w:asciiTheme="minorBidi" w:hAnsiTheme="minorBidi"/>
          <w:sz w:val="20"/>
          <w:szCs w:val="20"/>
        </w:rPr>
        <w:t>[</w:t>
      </w:r>
      <w:r w:rsidRPr="00893026">
        <w:rPr>
          <w:rFonts w:asciiTheme="minorBidi" w:hAnsiTheme="minorBidi"/>
          <w:sz w:val="20"/>
          <w:szCs w:val="20"/>
        </w:rPr>
        <w:t>GH</w:t>
      </w:r>
      <w:r w:rsidR="00500A62" w:rsidRPr="00893026">
        <w:rPr>
          <w:rFonts w:asciiTheme="minorBidi" w:hAnsiTheme="minorBidi"/>
          <w:sz w:val="20"/>
          <w:szCs w:val="20"/>
        </w:rPr>
        <w:t>]</w:t>
      </w:r>
      <w:r w:rsidRPr="00893026">
        <w:rPr>
          <w:rFonts w:asciiTheme="minorBidi" w:hAnsiTheme="minorBidi"/>
          <w:sz w:val="20"/>
          <w:szCs w:val="20"/>
        </w:rPr>
        <w:t xml:space="preserve"> axes.</w:t>
      </w:r>
    </w:p>
    <w:p w14:paraId="5B7C9565" w14:textId="6C3D80D3" w:rsidR="00A80606" w:rsidRPr="00893026" w:rsidRDefault="00A80606" w:rsidP="00A80606">
      <w:pPr>
        <w:rPr>
          <w:rFonts w:asciiTheme="minorBidi" w:hAnsiTheme="minorBidi"/>
          <w:sz w:val="20"/>
          <w:szCs w:val="20"/>
        </w:rPr>
      </w:pPr>
      <w:r w:rsidRPr="00893026">
        <w:rPr>
          <w:rFonts w:asciiTheme="minorBidi" w:hAnsiTheme="minorBidi"/>
          <w:b/>
          <w:bCs/>
          <w:sz w:val="20"/>
          <w:szCs w:val="20"/>
        </w:rPr>
        <w:t>Methods:</w:t>
      </w:r>
      <w:r w:rsidRPr="00893026">
        <w:rPr>
          <w:rFonts w:asciiTheme="minorBidi" w:hAnsiTheme="minorBidi"/>
          <w:sz w:val="20"/>
          <w:szCs w:val="20"/>
        </w:rPr>
        <w:t xml:space="preserve"> A systematic synthesis was performed following PRISMA 2020 guidelines using PubMed and Scopus. We integrated enzymological data on CYP11A1 substrate flexibility with molecular evidence regarding nuclear receptor interactions </w:t>
      </w:r>
      <w:r w:rsidR="00500A62" w:rsidRPr="00893026">
        <w:rPr>
          <w:rFonts w:asciiTheme="minorBidi" w:hAnsiTheme="minorBidi"/>
          <w:sz w:val="20"/>
          <w:szCs w:val="20"/>
        </w:rPr>
        <w:t>[</w:t>
      </w:r>
      <w:r w:rsidRPr="00893026">
        <w:rPr>
          <w:rFonts w:asciiTheme="minorBidi" w:hAnsiTheme="minorBidi"/>
          <w:sz w:val="20"/>
          <w:szCs w:val="20"/>
        </w:rPr>
        <w:t>VDR, RORα/γ, AhR</w:t>
      </w:r>
      <w:r w:rsidR="00500A62" w:rsidRPr="00893026">
        <w:rPr>
          <w:rFonts w:asciiTheme="minorBidi" w:hAnsiTheme="minorBidi"/>
          <w:sz w:val="20"/>
          <w:szCs w:val="20"/>
        </w:rPr>
        <w:t>]</w:t>
      </w:r>
      <w:r w:rsidRPr="00893026">
        <w:rPr>
          <w:rFonts w:asciiTheme="minorBidi" w:hAnsiTheme="minorBidi"/>
          <w:sz w:val="20"/>
          <w:szCs w:val="20"/>
        </w:rPr>
        <w:t xml:space="preserve"> and clinical observations of hormonal rhythmicity. Bioinformatic centralities were assessed via ClusterProfiler and cytoHubba.</w:t>
      </w:r>
    </w:p>
    <w:p w14:paraId="557C29F8" w14:textId="7A1E6FA2" w:rsidR="00A80606" w:rsidRPr="00893026" w:rsidRDefault="00A80606" w:rsidP="00A80606">
      <w:pPr>
        <w:rPr>
          <w:rFonts w:asciiTheme="minorBidi" w:hAnsiTheme="minorBidi"/>
          <w:sz w:val="20"/>
          <w:szCs w:val="20"/>
        </w:rPr>
      </w:pPr>
      <w:r w:rsidRPr="00893026">
        <w:rPr>
          <w:rFonts w:asciiTheme="minorBidi" w:hAnsiTheme="minorBidi"/>
          <w:b/>
          <w:bCs/>
          <w:sz w:val="20"/>
          <w:szCs w:val="20"/>
        </w:rPr>
        <w:t>Results:</w:t>
      </w:r>
      <w:r w:rsidRPr="00893026">
        <w:rPr>
          <w:rFonts w:asciiTheme="minorBidi" w:hAnsiTheme="minorBidi"/>
          <w:sz w:val="20"/>
          <w:szCs w:val="20"/>
        </w:rPr>
        <w:t xml:space="preserve"> CYP11A1 initiates a non-canonical pathway in the skin, metabolizing vitamin D</w:t>
      </w:r>
      <w:r w:rsidRPr="00893026">
        <w:rPr>
          <w:rFonts w:ascii="Cambria Math" w:hAnsi="Cambria Math" w:cs="Cambria Math"/>
          <w:sz w:val="20"/>
          <w:szCs w:val="20"/>
        </w:rPr>
        <w:t>₃</w:t>
      </w:r>
      <w:r w:rsidRPr="00893026">
        <w:rPr>
          <w:rFonts w:asciiTheme="minorBidi" w:hAnsiTheme="minorBidi"/>
          <w:sz w:val="20"/>
          <w:szCs w:val="20"/>
        </w:rPr>
        <w:t xml:space="preserve">, lumisterol, and tachysterol into non-calcemic hydroxyderivatives. These metabolites function as inverse agonists of the orphan nuclear receptors RORα and </w:t>
      </w:r>
      <w:proofErr w:type="spellStart"/>
      <w:r w:rsidRPr="00893026">
        <w:rPr>
          <w:rFonts w:asciiTheme="minorBidi" w:hAnsiTheme="minorBidi"/>
          <w:sz w:val="20"/>
          <w:szCs w:val="20"/>
        </w:rPr>
        <w:t>RORγ</w:t>
      </w:r>
      <w:proofErr w:type="spellEnd"/>
      <w:r w:rsidRPr="00893026">
        <w:rPr>
          <w:rFonts w:asciiTheme="minorBidi" w:hAnsiTheme="minorBidi"/>
          <w:sz w:val="20"/>
          <w:szCs w:val="20"/>
        </w:rPr>
        <w:t>, which directly suppress BMAL1 transcription and modulate the amplitude of the peripheral circadian oscillator. Mechanistically, this axis interacts with the NAMPT–NAD</w:t>
      </w:r>
      <w:r w:rsidRPr="00893026">
        <w:rPr>
          <w:rFonts w:ascii="Cambria Math" w:hAnsi="Cambria Math" w:cs="Cambria Math"/>
          <w:sz w:val="20"/>
          <w:szCs w:val="20"/>
        </w:rPr>
        <w:t>⁺</w:t>
      </w:r>
      <w:r w:rsidRPr="00893026">
        <w:rPr>
          <w:rFonts w:asciiTheme="minorBidi" w:hAnsiTheme="minorBidi"/>
          <w:sz w:val="20"/>
          <w:szCs w:val="20"/>
        </w:rPr>
        <w:t xml:space="preserve"> metabolic loop, coupling photic cues to mitochondrial oxidative metabolism. Clinical evidence indicates that while serum 25</w:t>
      </w:r>
      <w:r w:rsidR="00500A62" w:rsidRPr="00893026">
        <w:rPr>
          <w:rFonts w:asciiTheme="minorBidi" w:hAnsiTheme="minorBidi"/>
          <w:sz w:val="20"/>
          <w:szCs w:val="20"/>
        </w:rPr>
        <w:t>[</w:t>
      </w:r>
      <w:r w:rsidRPr="00893026">
        <w:rPr>
          <w:rFonts w:asciiTheme="minorBidi" w:hAnsiTheme="minorBidi"/>
          <w:sz w:val="20"/>
          <w:szCs w:val="20"/>
        </w:rPr>
        <w:t>OH</w:t>
      </w:r>
      <w:r w:rsidR="00500A62" w:rsidRPr="00893026">
        <w:rPr>
          <w:rFonts w:asciiTheme="minorBidi" w:hAnsiTheme="minorBidi"/>
          <w:sz w:val="20"/>
          <w:szCs w:val="20"/>
        </w:rPr>
        <w:t>]</w:t>
      </w:r>
      <w:r w:rsidRPr="00893026">
        <w:rPr>
          <w:rFonts w:asciiTheme="minorBidi" w:hAnsiTheme="minorBidi"/>
          <w:sz w:val="20"/>
          <w:szCs w:val="20"/>
        </w:rPr>
        <w:t>D</w:t>
      </w:r>
      <w:r w:rsidRPr="00893026">
        <w:rPr>
          <w:rFonts w:ascii="Cambria Math" w:hAnsi="Cambria Math" w:cs="Cambria Math"/>
          <w:sz w:val="20"/>
          <w:szCs w:val="20"/>
        </w:rPr>
        <w:t>₃</w:t>
      </w:r>
      <w:r w:rsidRPr="00893026">
        <w:rPr>
          <w:rFonts w:asciiTheme="minorBidi" w:hAnsiTheme="minorBidi"/>
          <w:sz w:val="20"/>
          <w:szCs w:val="20"/>
        </w:rPr>
        <w:t xml:space="preserve"> acts as a tonic nutritional marker, cutaneous secosteroids provide phasic signals that stabilize the pulsatile secretion of GH and the rhythmicity of TSH and cortisol. Vitamin D deficiency is thus re-characterized as a state that permits the attenuation of endocrine amplitude rather than causing primary hormone deficiency.</w:t>
      </w:r>
      <w:r w:rsidR="00893026" w:rsidRPr="00893026">
        <w:rPr>
          <w:rFonts w:asciiTheme="minorBidi" w:hAnsiTheme="minorBidi"/>
          <w:sz w:val="20"/>
          <w:szCs w:val="20"/>
        </w:rPr>
        <w:t xml:space="preserve"> </w:t>
      </w:r>
      <w:r w:rsidR="00893026" w:rsidRPr="00893026">
        <w:rPr>
          <w:rFonts w:asciiTheme="minorBidi" w:hAnsiTheme="minorBidi"/>
          <w:sz w:val="20"/>
          <w:szCs w:val="20"/>
          <w:highlight w:val="yellow"/>
        </w:rPr>
        <w:t>The key mechanistic evidence is largely preclinical and that clinical implications remain investigational.</w:t>
      </w:r>
    </w:p>
    <w:p w14:paraId="1762E69D" w14:textId="77777777" w:rsidR="00A80606" w:rsidRPr="00893026" w:rsidRDefault="00A80606" w:rsidP="00A80606">
      <w:pPr>
        <w:rPr>
          <w:rFonts w:asciiTheme="minorBidi" w:hAnsiTheme="minorBidi"/>
          <w:sz w:val="20"/>
          <w:szCs w:val="20"/>
        </w:rPr>
      </w:pPr>
      <w:r w:rsidRPr="00893026">
        <w:rPr>
          <w:rFonts w:asciiTheme="minorBidi" w:hAnsiTheme="minorBidi"/>
          <w:b/>
          <w:bCs/>
          <w:sz w:val="20"/>
          <w:szCs w:val="20"/>
        </w:rPr>
        <w:t>Conclusions:</w:t>
      </w:r>
      <w:r w:rsidRPr="00893026">
        <w:rPr>
          <w:rFonts w:asciiTheme="minorBidi" w:hAnsiTheme="minorBidi"/>
          <w:sz w:val="20"/>
          <w:szCs w:val="20"/>
        </w:rPr>
        <w:t xml:space="preserve"> The CYP11A1-secosteroid axis represents a paradigm shift from nutrition to photoneuroendocrinology. These non-calcemic metabolites act as endogenous chronobiotics that align systemic physiology with the environmental light-dark cycle.</w:t>
      </w:r>
    </w:p>
    <w:p w14:paraId="4835CE81" w14:textId="57588620" w:rsidR="00A80606" w:rsidRPr="00893026" w:rsidRDefault="00A80606" w:rsidP="00A80606">
      <w:pPr>
        <w:rPr>
          <w:rFonts w:asciiTheme="minorBidi" w:hAnsiTheme="minorBidi"/>
          <w:sz w:val="20"/>
          <w:szCs w:val="20"/>
        </w:rPr>
      </w:pPr>
      <w:r w:rsidRPr="00893026">
        <w:rPr>
          <w:rFonts w:asciiTheme="minorBidi" w:hAnsiTheme="minorBidi"/>
          <w:b/>
          <w:bCs/>
          <w:sz w:val="20"/>
          <w:szCs w:val="20"/>
        </w:rPr>
        <w:t>Clinical Implications:</w:t>
      </w:r>
      <w:r w:rsidRPr="00893026">
        <w:rPr>
          <w:rFonts w:asciiTheme="minorBidi" w:hAnsiTheme="minorBidi"/>
          <w:sz w:val="20"/>
          <w:szCs w:val="20"/>
        </w:rPr>
        <w:t xml:space="preserve"> These findings support the use of non-calcemic vitamin D analogs as targeted </w:t>
      </w:r>
      <w:proofErr w:type="spellStart"/>
      <w:r w:rsidRPr="00893026">
        <w:rPr>
          <w:rFonts w:asciiTheme="minorBidi" w:hAnsiTheme="minorBidi"/>
          <w:sz w:val="20"/>
          <w:szCs w:val="20"/>
        </w:rPr>
        <w:t>chronotherapeutics</w:t>
      </w:r>
      <w:proofErr w:type="spellEnd"/>
      <w:r w:rsidRPr="00893026">
        <w:rPr>
          <w:rFonts w:asciiTheme="minorBidi" w:hAnsiTheme="minorBidi"/>
          <w:sz w:val="20"/>
          <w:szCs w:val="20"/>
        </w:rPr>
        <w:t xml:space="preserve"> for circadian misalignment, metabolic syndrome, and autoimmune disorders. In pediatric populations, maintaining adequate sunlight exposure and secosteroid signaling is critical for the stability of growth and stress-response axes.</w:t>
      </w:r>
      <w:r w:rsidR="00893026" w:rsidRPr="00893026">
        <w:rPr>
          <w:rFonts w:asciiTheme="minorBidi" w:hAnsiTheme="minorBidi"/>
          <w:sz w:val="20"/>
          <w:szCs w:val="20"/>
        </w:rPr>
        <w:t xml:space="preserve"> </w:t>
      </w:r>
    </w:p>
    <w:p w14:paraId="07115BE4" w14:textId="77777777" w:rsidR="007A2917" w:rsidRPr="00F467AE" w:rsidRDefault="007A2917" w:rsidP="007A2917">
      <w:pPr>
        <w:rPr>
          <w:rFonts w:asciiTheme="minorBidi" w:hAnsiTheme="minorBidi"/>
          <w:sz w:val="20"/>
          <w:szCs w:val="20"/>
        </w:rPr>
      </w:pPr>
      <w:r w:rsidRPr="00F467AE">
        <w:rPr>
          <w:rFonts w:asciiTheme="minorBidi" w:hAnsiTheme="minorBidi"/>
          <w:sz w:val="20"/>
          <w:szCs w:val="20"/>
        </w:rPr>
        <w:t>Keywords: CYP11A1, Vitamin D, Circadian Rhythm, ROR receptors, Photoneuroendocrinology, GH-IGF-1 axis.</w:t>
      </w:r>
    </w:p>
    <w:p w14:paraId="02FCA077" w14:textId="4C2A82B4" w:rsidR="00C16CC9" w:rsidRPr="00F467AE" w:rsidRDefault="00C16CC9">
      <w:pPr>
        <w:rPr>
          <w:rFonts w:asciiTheme="minorBidi" w:hAnsiTheme="minorBidi"/>
          <w:b/>
          <w:bCs/>
          <w:sz w:val="20"/>
          <w:szCs w:val="20"/>
        </w:rPr>
      </w:pPr>
      <w:r w:rsidRPr="00F467AE">
        <w:rPr>
          <w:rFonts w:asciiTheme="minorBidi" w:hAnsiTheme="minorBidi"/>
          <w:b/>
          <w:bCs/>
          <w:sz w:val="20"/>
          <w:szCs w:val="20"/>
        </w:rPr>
        <w:br w:type="page"/>
      </w:r>
    </w:p>
    <w:p w14:paraId="1E31B75F" w14:textId="24DE6605"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lastRenderedPageBreak/>
        <w:t>Introduction</w:t>
      </w:r>
    </w:p>
    <w:p w14:paraId="74548955" w14:textId="6B468EF2"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The classical paradigm of vitamin D</w:t>
      </w:r>
      <w:r w:rsidRPr="00F467AE">
        <w:rPr>
          <w:rFonts w:ascii="Cambria Math" w:hAnsi="Cambria Math" w:cs="Cambria Math"/>
          <w:sz w:val="20"/>
          <w:szCs w:val="20"/>
        </w:rPr>
        <w:t>₃</w:t>
      </w:r>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cholecalciferol</w:t>
      </w:r>
      <w:r w:rsidR="00500A62" w:rsidRPr="00F467AE">
        <w:rPr>
          <w:rFonts w:asciiTheme="minorBidi" w:hAnsiTheme="minorBidi"/>
          <w:sz w:val="20"/>
          <w:szCs w:val="20"/>
        </w:rPr>
        <w:t>]</w:t>
      </w:r>
      <w:r w:rsidRPr="00F467AE">
        <w:rPr>
          <w:rFonts w:asciiTheme="minorBidi" w:hAnsiTheme="minorBidi"/>
          <w:sz w:val="20"/>
          <w:szCs w:val="20"/>
        </w:rPr>
        <w:t xml:space="preserve"> characterizes it as a pro-hormone for 1α,25-dihydroxyvitamin D</w:t>
      </w:r>
      <w:r w:rsidRPr="00F467AE">
        <w:rPr>
          <w:rFonts w:ascii="Cambria Math" w:hAnsi="Cambria Math" w:cs="Cambria Math"/>
          <w:sz w:val="20"/>
          <w:szCs w:val="20"/>
        </w:rPr>
        <w:t>₃</w:t>
      </w:r>
      <w:r w:rsidRPr="00F467AE">
        <w:rPr>
          <w:rFonts w:asciiTheme="minorBidi" w:hAnsiTheme="minorBidi"/>
          <w:sz w:val="20"/>
          <w:szCs w:val="20"/>
        </w:rPr>
        <w:t xml:space="preserve">, the primary regulator of mineral homeostasis </w:t>
      </w:r>
      <w:r w:rsidR="00500A62" w:rsidRPr="00F467AE">
        <w:rPr>
          <w:rFonts w:asciiTheme="minorBidi" w:hAnsiTheme="minorBidi"/>
          <w:sz w:val="20"/>
          <w:szCs w:val="20"/>
        </w:rPr>
        <w:t>[</w:t>
      </w:r>
      <w:r w:rsidRPr="00F467AE">
        <w:rPr>
          <w:rFonts w:asciiTheme="minorBidi" w:hAnsiTheme="minorBidi"/>
          <w:sz w:val="20"/>
          <w:szCs w:val="20"/>
        </w:rPr>
        <w:t>1</w:t>
      </w:r>
      <w:r w:rsidR="00500A62" w:rsidRPr="00F467AE">
        <w:rPr>
          <w:rFonts w:asciiTheme="minorBidi" w:hAnsiTheme="minorBidi"/>
          <w:sz w:val="20"/>
          <w:szCs w:val="20"/>
        </w:rPr>
        <w:t>]</w:t>
      </w:r>
      <w:r w:rsidRPr="00F467AE">
        <w:rPr>
          <w:rFonts w:asciiTheme="minorBidi" w:hAnsiTheme="minorBidi"/>
          <w:sz w:val="20"/>
          <w:szCs w:val="20"/>
        </w:rPr>
        <w:t xml:space="preserve">. This canonical pathway relies on sequential hydroxylation in the liver and kidney, focusing vitamin D biology on skeletal integrity </w:t>
      </w:r>
      <w:r w:rsidR="00500A62" w:rsidRPr="00F467AE">
        <w:rPr>
          <w:rFonts w:asciiTheme="minorBidi" w:hAnsiTheme="minorBidi"/>
          <w:sz w:val="20"/>
          <w:szCs w:val="20"/>
        </w:rPr>
        <w:t>[</w:t>
      </w:r>
      <w:r w:rsidRPr="00F467AE">
        <w:rPr>
          <w:rFonts w:asciiTheme="minorBidi" w:hAnsiTheme="minorBidi"/>
          <w:sz w:val="20"/>
          <w:szCs w:val="20"/>
        </w:rPr>
        <w:t>2</w:t>
      </w:r>
      <w:r w:rsidR="00500A62" w:rsidRPr="00F467AE">
        <w:rPr>
          <w:rFonts w:asciiTheme="minorBidi" w:hAnsiTheme="minorBidi"/>
          <w:sz w:val="20"/>
          <w:szCs w:val="20"/>
        </w:rPr>
        <w:t>]</w:t>
      </w:r>
      <w:r w:rsidRPr="00F467AE">
        <w:rPr>
          <w:rFonts w:asciiTheme="minorBidi" w:hAnsiTheme="minorBidi"/>
          <w:sz w:val="20"/>
          <w:szCs w:val="20"/>
        </w:rPr>
        <w:t xml:space="preserve">. However, recent evidence indicates that vitamin D signaling exerts pleiotropic effects on immune regulation and neuroendocrine integration </w:t>
      </w:r>
      <w:r w:rsidR="00500A62" w:rsidRPr="00F467AE">
        <w:rPr>
          <w:rFonts w:asciiTheme="minorBidi" w:hAnsiTheme="minorBidi"/>
          <w:sz w:val="20"/>
          <w:szCs w:val="20"/>
        </w:rPr>
        <w:t>[</w:t>
      </w:r>
      <w:r w:rsidRPr="00F467AE">
        <w:rPr>
          <w:rFonts w:asciiTheme="minorBidi" w:hAnsiTheme="minorBidi"/>
          <w:sz w:val="20"/>
          <w:szCs w:val="20"/>
        </w:rPr>
        <w:t>3</w:t>
      </w:r>
      <w:r w:rsidR="00500A62" w:rsidRPr="00F467AE">
        <w:rPr>
          <w:rFonts w:asciiTheme="minorBidi" w:hAnsiTheme="minorBidi"/>
          <w:sz w:val="20"/>
          <w:szCs w:val="20"/>
        </w:rPr>
        <w:t>]</w:t>
      </w:r>
      <w:r w:rsidRPr="00F467AE">
        <w:rPr>
          <w:rFonts w:asciiTheme="minorBidi" w:hAnsiTheme="minorBidi"/>
          <w:sz w:val="20"/>
          <w:szCs w:val="20"/>
        </w:rPr>
        <w:t xml:space="preserve">. These actions are mediated through the vitamin D receptor </w:t>
      </w:r>
      <w:r w:rsidR="00500A62" w:rsidRPr="00F467AE">
        <w:rPr>
          <w:rFonts w:asciiTheme="minorBidi" w:hAnsiTheme="minorBidi"/>
          <w:sz w:val="20"/>
          <w:szCs w:val="20"/>
        </w:rPr>
        <w:t>[</w:t>
      </w:r>
      <w:r w:rsidRPr="00F467AE">
        <w:rPr>
          <w:rFonts w:asciiTheme="minorBidi" w:hAnsiTheme="minorBidi"/>
          <w:sz w:val="20"/>
          <w:szCs w:val="20"/>
        </w:rPr>
        <w:t>VDR</w:t>
      </w:r>
      <w:r w:rsidR="00500A62" w:rsidRPr="00F467AE">
        <w:rPr>
          <w:rFonts w:asciiTheme="minorBidi" w:hAnsiTheme="minorBidi"/>
          <w:sz w:val="20"/>
          <w:szCs w:val="20"/>
        </w:rPr>
        <w:t>]</w:t>
      </w:r>
      <w:r w:rsidRPr="00F467AE">
        <w:rPr>
          <w:rFonts w:asciiTheme="minorBidi" w:hAnsiTheme="minorBidi"/>
          <w:sz w:val="20"/>
          <w:szCs w:val="20"/>
        </w:rPr>
        <w:t xml:space="preserve">, which acts as a ligand-activated transcription factor </w:t>
      </w:r>
      <w:r w:rsidR="00500A62" w:rsidRPr="00F467AE">
        <w:rPr>
          <w:rFonts w:asciiTheme="minorBidi" w:hAnsiTheme="minorBidi"/>
          <w:sz w:val="20"/>
          <w:szCs w:val="20"/>
        </w:rPr>
        <w:t>[</w:t>
      </w:r>
      <w:r w:rsidRPr="00F467AE">
        <w:rPr>
          <w:rFonts w:asciiTheme="minorBidi" w:hAnsiTheme="minorBidi"/>
          <w:sz w:val="20"/>
          <w:szCs w:val="20"/>
        </w:rPr>
        <w:t>4</w:t>
      </w:r>
      <w:r w:rsidR="00500A62" w:rsidRPr="00F467AE">
        <w:rPr>
          <w:rFonts w:asciiTheme="minorBidi" w:hAnsiTheme="minorBidi"/>
          <w:sz w:val="20"/>
          <w:szCs w:val="20"/>
        </w:rPr>
        <w:t>]</w:t>
      </w:r>
      <w:r w:rsidRPr="00F467AE">
        <w:rPr>
          <w:rFonts w:asciiTheme="minorBidi" w:hAnsiTheme="minorBidi"/>
          <w:sz w:val="20"/>
          <w:szCs w:val="20"/>
        </w:rPr>
        <w:t>.</w:t>
      </w:r>
    </w:p>
    <w:p w14:paraId="39EB8248" w14:textId="77777777" w:rsidR="00C16CC9" w:rsidRPr="00F467AE" w:rsidRDefault="00C16CC9" w:rsidP="00F324D1">
      <w:pPr>
        <w:spacing w:after="0"/>
        <w:rPr>
          <w:rFonts w:asciiTheme="minorBidi" w:hAnsiTheme="minorBidi"/>
          <w:sz w:val="20"/>
          <w:szCs w:val="20"/>
        </w:rPr>
      </w:pPr>
    </w:p>
    <w:p w14:paraId="6A256934" w14:textId="2BE7D8E1"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The skin serves as a complex neuroendocrine organ that translates ultraviolet B </w:t>
      </w:r>
      <w:r w:rsidR="00500A62" w:rsidRPr="00F467AE">
        <w:rPr>
          <w:rFonts w:asciiTheme="minorBidi" w:hAnsiTheme="minorBidi"/>
          <w:sz w:val="20"/>
          <w:szCs w:val="20"/>
        </w:rPr>
        <w:t>[</w:t>
      </w:r>
      <w:r w:rsidRPr="00F467AE">
        <w:rPr>
          <w:rFonts w:asciiTheme="minorBidi" w:hAnsiTheme="minorBidi"/>
          <w:sz w:val="20"/>
          <w:szCs w:val="20"/>
        </w:rPr>
        <w:t>UVB</w:t>
      </w:r>
      <w:r w:rsidR="00500A62" w:rsidRPr="00F467AE">
        <w:rPr>
          <w:rFonts w:asciiTheme="minorBidi" w:hAnsiTheme="minorBidi"/>
          <w:sz w:val="20"/>
          <w:szCs w:val="20"/>
        </w:rPr>
        <w:t>]</w:t>
      </w:r>
      <w:r w:rsidRPr="00F467AE">
        <w:rPr>
          <w:rFonts w:asciiTheme="minorBidi" w:hAnsiTheme="minorBidi"/>
          <w:sz w:val="20"/>
          <w:szCs w:val="20"/>
        </w:rPr>
        <w:t xml:space="preserve"> radiation into biochemical signals </w:t>
      </w:r>
      <w:r w:rsidR="00500A62" w:rsidRPr="00F467AE">
        <w:rPr>
          <w:rFonts w:asciiTheme="minorBidi" w:hAnsiTheme="minorBidi"/>
          <w:sz w:val="20"/>
          <w:szCs w:val="20"/>
        </w:rPr>
        <w:t>[</w:t>
      </w:r>
      <w:r w:rsidRPr="00F467AE">
        <w:rPr>
          <w:rFonts w:asciiTheme="minorBidi" w:hAnsiTheme="minorBidi"/>
          <w:sz w:val="20"/>
          <w:szCs w:val="20"/>
        </w:rPr>
        <w:t>5</w:t>
      </w:r>
      <w:r w:rsidR="00500A62" w:rsidRPr="00F467AE">
        <w:rPr>
          <w:rFonts w:asciiTheme="minorBidi" w:hAnsiTheme="minorBidi"/>
          <w:sz w:val="20"/>
          <w:szCs w:val="20"/>
        </w:rPr>
        <w:t>]</w:t>
      </w:r>
      <w:r w:rsidRPr="00F467AE">
        <w:rPr>
          <w:rFonts w:asciiTheme="minorBidi" w:hAnsiTheme="minorBidi"/>
          <w:sz w:val="20"/>
          <w:szCs w:val="20"/>
        </w:rPr>
        <w:t xml:space="preserve">. It functions as an endocrine hub, expressing receptors and enzymes necessary for local hormone production </w:t>
      </w:r>
      <w:r w:rsidR="00500A62" w:rsidRPr="00F467AE">
        <w:rPr>
          <w:rFonts w:asciiTheme="minorBidi" w:hAnsiTheme="minorBidi"/>
          <w:sz w:val="20"/>
          <w:szCs w:val="20"/>
        </w:rPr>
        <w:t>[</w:t>
      </w:r>
      <w:r w:rsidRPr="00F467AE">
        <w:rPr>
          <w:rFonts w:asciiTheme="minorBidi" w:hAnsiTheme="minorBidi"/>
          <w:sz w:val="20"/>
          <w:szCs w:val="20"/>
        </w:rPr>
        <w:t>6</w:t>
      </w:r>
      <w:r w:rsidR="00500A62" w:rsidRPr="00F467AE">
        <w:rPr>
          <w:rFonts w:asciiTheme="minorBidi" w:hAnsiTheme="minorBidi"/>
          <w:sz w:val="20"/>
          <w:szCs w:val="20"/>
        </w:rPr>
        <w:t>]</w:t>
      </w:r>
      <w:r w:rsidRPr="00F467AE">
        <w:rPr>
          <w:rFonts w:asciiTheme="minorBidi" w:hAnsiTheme="minorBidi"/>
          <w:sz w:val="20"/>
          <w:szCs w:val="20"/>
        </w:rPr>
        <w:t xml:space="preserve">. Specifically, UVB exposure activates a cutaneous hypothalamic–pituitary–adrenal </w:t>
      </w:r>
      <w:r w:rsidR="00500A62" w:rsidRPr="00F467AE">
        <w:rPr>
          <w:rFonts w:asciiTheme="minorBidi" w:hAnsiTheme="minorBidi"/>
          <w:sz w:val="20"/>
          <w:szCs w:val="20"/>
        </w:rPr>
        <w:t>[</w:t>
      </w:r>
      <w:r w:rsidRPr="00F467AE">
        <w:rPr>
          <w:rFonts w:asciiTheme="minorBidi" w:hAnsiTheme="minorBidi"/>
          <w:sz w:val="20"/>
          <w:szCs w:val="20"/>
        </w:rPr>
        <w:t>HPA</w:t>
      </w:r>
      <w:r w:rsidR="00500A62" w:rsidRPr="00F467AE">
        <w:rPr>
          <w:rFonts w:asciiTheme="minorBidi" w:hAnsiTheme="minorBidi"/>
          <w:sz w:val="20"/>
          <w:szCs w:val="20"/>
        </w:rPr>
        <w:t>]</w:t>
      </w:r>
      <w:r w:rsidRPr="00F467AE">
        <w:rPr>
          <w:rFonts w:asciiTheme="minorBidi" w:hAnsiTheme="minorBidi"/>
          <w:sz w:val="20"/>
          <w:szCs w:val="20"/>
        </w:rPr>
        <w:t xml:space="preserve">-like axis, stimulating the production of CRH and ACTH </w:t>
      </w:r>
      <w:r w:rsidR="00500A62" w:rsidRPr="00F467AE">
        <w:rPr>
          <w:rFonts w:asciiTheme="minorBidi" w:hAnsiTheme="minorBidi"/>
          <w:sz w:val="20"/>
          <w:szCs w:val="20"/>
        </w:rPr>
        <w:t>[</w:t>
      </w:r>
      <w:r w:rsidRPr="00F467AE">
        <w:rPr>
          <w:rFonts w:asciiTheme="minorBidi" w:hAnsiTheme="minorBidi"/>
          <w:sz w:val="20"/>
          <w:szCs w:val="20"/>
        </w:rPr>
        <w:t>7</w:t>
      </w:r>
      <w:r w:rsidR="00500A62" w:rsidRPr="00F467AE">
        <w:rPr>
          <w:rFonts w:asciiTheme="minorBidi" w:hAnsiTheme="minorBidi"/>
          <w:sz w:val="20"/>
          <w:szCs w:val="20"/>
        </w:rPr>
        <w:t>]</w:t>
      </w:r>
      <w:r w:rsidRPr="00F467AE">
        <w:rPr>
          <w:rFonts w:asciiTheme="minorBidi" w:hAnsiTheme="minorBidi"/>
          <w:sz w:val="20"/>
          <w:szCs w:val="20"/>
        </w:rPr>
        <w:t xml:space="preserve">. A critical advancement in this field was the discovery of the CYP11A1 enzyme's role in the skin </w:t>
      </w:r>
      <w:r w:rsidR="00500A62" w:rsidRPr="00F467AE">
        <w:rPr>
          <w:rFonts w:asciiTheme="minorBidi" w:hAnsiTheme="minorBidi"/>
          <w:sz w:val="20"/>
          <w:szCs w:val="20"/>
        </w:rPr>
        <w:t>[</w:t>
      </w:r>
      <w:r w:rsidRPr="00F467AE">
        <w:rPr>
          <w:rFonts w:asciiTheme="minorBidi" w:hAnsiTheme="minorBidi"/>
          <w:sz w:val="20"/>
          <w:szCs w:val="20"/>
        </w:rPr>
        <w:t>8</w:t>
      </w:r>
      <w:r w:rsidR="00500A62" w:rsidRPr="00F467AE">
        <w:rPr>
          <w:rFonts w:asciiTheme="minorBidi" w:hAnsiTheme="minorBidi"/>
          <w:sz w:val="20"/>
          <w:szCs w:val="20"/>
        </w:rPr>
        <w:t>]</w:t>
      </w:r>
      <w:r w:rsidRPr="00F467AE">
        <w:rPr>
          <w:rFonts w:asciiTheme="minorBidi" w:hAnsiTheme="minorBidi"/>
          <w:sz w:val="20"/>
          <w:szCs w:val="20"/>
        </w:rPr>
        <w:t>.</w:t>
      </w:r>
    </w:p>
    <w:p w14:paraId="482F7BBA" w14:textId="77777777" w:rsidR="00C16CC9" w:rsidRPr="00F467AE" w:rsidRDefault="00C16CC9" w:rsidP="00F324D1">
      <w:pPr>
        <w:spacing w:after="0"/>
        <w:rPr>
          <w:rFonts w:asciiTheme="minorBidi" w:hAnsiTheme="minorBidi"/>
          <w:sz w:val="20"/>
          <w:szCs w:val="20"/>
        </w:rPr>
      </w:pPr>
    </w:p>
    <w:p w14:paraId="3841DC50" w14:textId="11428EAE"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CYP11A1 initiates a unique metabolic pathway by hydroxylating vitamin D</w:t>
      </w:r>
      <w:r w:rsidRPr="00F467AE">
        <w:rPr>
          <w:rFonts w:ascii="Cambria Math" w:hAnsi="Cambria Math" w:cs="Cambria Math"/>
          <w:sz w:val="20"/>
          <w:szCs w:val="20"/>
        </w:rPr>
        <w:t>₃</w:t>
      </w:r>
      <w:r w:rsidRPr="00F467AE">
        <w:rPr>
          <w:rFonts w:asciiTheme="minorBidi" w:hAnsiTheme="minorBidi"/>
          <w:sz w:val="20"/>
          <w:szCs w:val="20"/>
        </w:rPr>
        <w:t xml:space="preserve"> into non-calcemic metabolites </w:t>
      </w:r>
      <w:r w:rsidR="00500A62" w:rsidRPr="00F467AE">
        <w:rPr>
          <w:rFonts w:asciiTheme="minorBidi" w:hAnsiTheme="minorBidi"/>
          <w:sz w:val="20"/>
          <w:szCs w:val="20"/>
        </w:rPr>
        <w:t>[</w:t>
      </w:r>
      <w:r w:rsidRPr="00F467AE">
        <w:rPr>
          <w:rFonts w:asciiTheme="minorBidi" w:hAnsiTheme="minorBidi"/>
          <w:sz w:val="20"/>
          <w:szCs w:val="20"/>
        </w:rPr>
        <w:t>9</w:t>
      </w:r>
      <w:r w:rsidR="00500A62" w:rsidRPr="00F467AE">
        <w:rPr>
          <w:rFonts w:asciiTheme="minorBidi" w:hAnsiTheme="minorBidi"/>
          <w:sz w:val="20"/>
          <w:szCs w:val="20"/>
        </w:rPr>
        <w:t>]</w:t>
      </w:r>
      <w:r w:rsidRPr="00F467AE">
        <w:rPr>
          <w:rFonts w:asciiTheme="minorBidi" w:hAnsiTheme="minorBidi"/>
          <w:sz w:val="20"/>
          <w:szCs w:val="20"/>
        </w:rPr>
        <w:t xml:space="preserve">. This "alternative" pathway produces a variety of secosteroids that do not perturb calcium levels </w:t>
      </w:r>
      <w:r w:rsidR="00500A62" w:rsidRPr="00F467AE">
        <w:rPr>
          <w:rFonts w:asciiTheme="minorBidi" w:hAnsiTheme="minorBidi"/>
          <w:sz w:val="20"/>
          <w:szCs w:val="20"/>
        </w:rPr>
        <w:t>[</w:t>
      </w:r>
      <w:r w:rsidRPr="00F467AE">
        <w:rPr>
          <w:rFonts w:asciiTheme="minorBidi" w:hAnsiTheme="minorBidi"/>
          <w:sz w:val="20"/>
          <w:szCs w:val="20"/>
        </w:rPr>
        <w:t>10</w:t>
      </w:r>
      <w:r w:rsidR="00500A62" w:rsidRPr="00F467AE">
        <w:rPr>
          <w:rFonts w:asciiTheme="minorBidi" w:hAnsiTheme="minorBidi"/>
          <w:sz w:val="20"/>
          <w:szCs w:val="20"/>
        </w:rPr>
        <w:t>]</w:t>
      </w:r>
      <w:r w:rsidRPr="00F467AE">
        <w:rPr>
          <w:rFonts w:asciiTheme="minorBidi" w:hAnsiTheme="minorBidi"/>
          <w:sz w:val="20"/>
          <w:szCs w:val="20"/>
        </w:rPr>
        <w:t>. These metabolites, such as 20-hydroxyvitamin D</w:t>
      </w:r>
      <w:r w:rsidRPr="00F467AE">
        <w:rPr>
          <w:rFonts w:ascii="Cambria Math" w:hAnsi="Cambria Math" w:cs="Cambria Math"/>
          <w:sz w:val="20"/>
          <w:szCs w:val="20"/>
        </w:rPr>
        <w:t>₃</w:t>
      </w:r>
      <w:r w:rsidRPr="00F467AE">
        <w:rPr>
          <w:rFonts w:asciiTheme="minorBidi" w:hAnsiTheme="minorBidi"/>
          <w:sz w:val="20"/>
          <w:szCs w:val="20"/>
        </w:rPr>
        <w:t xml:space="preserve">, demonstrate significant potential as non-calcemic therapeutic agents </w:t>
      </w:r>
      <w:r w:rsidR="00500A62" w:rsidRPr="00F467AE">
        <w:rPr>
          <w:rFonts w:asciiTheme="minorBidi" w:hAnsiTheme="minorBidi"/>
          <w:sz w:val="20"/>
          <w:szCs w:val="20"/>
        </w:rPr>
        <w:t>[</w:t>
      </w:r>
      <w:r w:rsidRPr="00F467AE">
        <w:rPr>
          <w:rFonts w:asciiTheme="minorBidi" w:hAnsiTheme="minorBidi"/>
          <w:sz w:val="20"/>
          <w:szCs w:val="20"/>
        </w:rPr>
        <w:t>11</w:t>
      </w:r>
      <w:r w:rsidR="00500A62" w:rsidRPr="00F467AE">
        <w:rPr>
          <w:rFonts w:asciiTheme="minorBidi" w:hAnsiTheme="minorBidi"/>
          <w:sz w:val="20"/>
          <w:szCs w:val="20"/>
        </w:rPr>
        <w:t>]</w:t>
      </w:r>
      <w:r w:rsidRPr="00F467AE">
        <w:rPr>
          <w:rFonts w:asciiTheme="minorBidi" w:hAnsiTheme="minorBidi"/>
          <w:sz w:val="20"/>
          <w:szCs w:val="20"/>
        </w:rPr>
        <w:t xml:space="preserve">. Crucially, these secosteroids interact with the ROR nuclear receptor subfamily, which are core regulators of circadian rhythms </w:t>
      </w:r>
      <w:r w:rsidR="00500A62" w:rsidRPr="00F467AE">
        <w:rPr>
          <w:rFonts w:asciiTheme="minorBidi" w:hAnsiTheme="minorBidi"/>
          <w:sz w:val="20"/>
          <w:szCs w:val="20"/>
        </w:rPr>
        <w:t>[</w:t>
      </w:r>
      <w:r w:rsidRPr="00F467AE">
        <w:rPr>
          <w:rFonts w:asciiTheme="minorBidi" w:hAnsiTheme="minorBidi"/>
          <w:sz w:val="20"/>
          <w:szCs w:val="20"/>
        </w:rPr>
        <w:t>12</w:t>
      </w:r>
      <w:r w:rsidR="00500A62" w:rsidRPr="00F467AE">
        <w:rPr>
          <w:rFonts w:asciiTheme="minorBidi" w:hAnsiTheme="minorBidi"/>
          <w:sz w:val="20"/>
          <w:szCs w:val="20"/>
        </w:rPr>
        <w:t>]</w:t>
      </w:r>
      <w:r w:rsidRPr="00F467AE">
        <w:rPr>
          <w:rFonts w:asciiTheme="minorBidi" w:hAnsiTheme="minorBidi"/>
          <w:sz w:val="20"/>
          <w:szCs w:val="20"/>
        </w:rPr>
        <w:t>.</w:t>
      </w:r>
    </w:p>
    <w:p w14:paraId="05BC0714" w14:textId="77777777" w:rsidR="00C16CC9" w:rsidRPr="00F467AE" w:rsidRDefault="00C16CC9" w:rsidP="00F324D1">
      <w:pPr>
        <w:spacing w:after="0"/>
        <w:rPr>
          <w:rFonts w:asciiTheme="minorBidi" w:hAnsiTheme="minorBidi"/>
          <w:sz w:val="20"/>
          <w:szCs w:val="20"/>
        </w:rPr>
      </w:pPr>
    </w:p>
    <w:p w14:paraId="51ADBC88" w14:textId="0EEE45D6"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CYP11A1-derived metabolites exhibit potent endocrine activity </w:t>
      </w:r>
      <w:r w:rsidR="00500A62" w:rsidRPr="00F467AE">
        <w:rPr>
          <w:rFonts w:asciiTheme="minorBidi" w:hAnsiTheme="minorBidi"/>
          <w:sz w:val="20"/>
          <w:szCs w:val="20"/>
        </w:rPr>
        <w:t>[</w:t>
      </w:r>
      <w:r w:rsidRPr="00F467AE">
        <w:rPr>
          <w:rFonts w:asciiTheme="minorBidi" w:hAnsiTheme="minorBidi"/>
          <w:sz w:val="20"/>
          <w:szCs w:val="20"/>
        </w:rPr>
        <w:t>13</w:t>
      </w:r>
      <w:r w:rsidR="00500A62" w:rsidRPr="00F467AE">
        <w:rPr>
          <w:rFonts w:asciiTheme="minorBidi" w:hAnsiTheme="minorBidi"/>
          <w:sz w:val="20"/>
          <w:szCs w:val="20"/>
        </w:rPr>
        <w:t>]</w:t>
      </w:r>
      <w:r w:rsidRPr="00F467AE">
        <w:rPr>
          <w:rFonts w:asciiTheme="minorBidi" w:hAnsiTheme="minorBidi"/>
          <w:sz w:val="20"/>
          <w:szCs w:val="20"/>
        </w:rPr>
        <w:t xml:space="preserve">. They also interface with the aryl hydrocarbon receptor </w:t>
      </w:r>
      <w:r w:rsidR="00500A62" w:rsidRPr="00F467AE">
        <w:rPr>
          <w:rFonts w:asciiTheme="minorBidi" w:hAnsiTheme="minorBidi"/>
          <w:sz w:val="20"/>
          <w:szCs w:val="20"/>
        </w:rPr>
        <w:t>[</w:t>
      </w:r>
      <w:r w:rsidRPr="00F467AE">
        <w:rPr>
          <w:rFonts w:asciiTheme="minorBidi" w:hAnsiTheme="minorBidi"/>
          <w:sz w:val="20"/>
          <w:szCs w:val="20"/>
        </w:rPr>
        <w:t>AhR</w:t>
      </w:r>
      <w:r w:rsidR="00500A62" w:rsidRPr="00F467AE">
        <w:rPr>
          <w:rFonts w:asciiTheme="minorBidi" w:hAnsiTheme="minorBidi"/>
          <w:sz w:val="20"/>
          <w:szCs w:val="20"/>
        </w:rPr>
        <w:t>]</w:t>
      </w:r>
      <w:r w:rsidRPr="00F467AE">
        <w:rPr>
          <w:rFonts w:asciiTheme="minorBidi" w:hAnsiTheme="minorBidi"/>
          <w:sz w:val="20"/>
          <w:szCs w:val="20"/>
        </w:rPr>
        <w:t xml:space="preserve"> to modulate circadian rhythmicity </w:t>
      </w:r>
      <w:r w:rsidR="00500A62" w:rsidRPr="00F467AE">
        <w:rPr>
          <w:rFonts w:asciiTheme="minorBidi" w:hAnsiTheme="minorBidi"/>
          <w:sz w:val="20"/>
          <w:szCs w:val="20"/>
        </w:rPr>
        <w:t>[</w:t>
      </w:r>
      <w:r w:rsidRPr="00F467AE">
        <w:rPr>
          <w:rFonts w:asciiTheme="minorBidi" w:hAnsiTheme="minorBidi"/>
          <w:sz w:val="20"/>
          <w:szCs w:val="20"/>
        </w:rPr>
        <w:t>14</w:t>
      </w:r>
      <w:r w:rsidR="00500A62" w:rsidRPr="00F467AE">
        <w:rPr>
          <w:rFonts w:asciiTheme="minorBidi" w:hAnsiTheme="minorBidi"/>
          <w:sz w:val="20"/>
          <w:szCs w:val="20"/>
        </w:rPr>
        <w:t>]</w:t>
      </w:r>
      <w:r w:rsidRPr="00F467AE">
        <w:rPr>
          <w:rFonts w:asciiTheme="minorBidi" w:hAnsiTheme="minorBidi"/>
          <w:sz w:val="20"/>
          <w:szCs w:val="20"/>
        </w:rPr>
        <w:t xml:space="preserve">. For instance, the orphan receptor </w:t>
      </w:r>
      <w:proofErr w:type="spellStart"/>
      <w:r w:rsidRPr="00F467AE">
        <w:rPr>
          <w:rFonts w:asciiTheme="minorBidi" w:hAnsiTheme="minorBidi"/>
          <w:sz w:val="20"/>
          <w:szCs w:val="20"/>
        </w:rPr>
        <w:t>RORγt</w:t>
      </w:r>
      <w:proofErr w:type="spellEnd"/>
      <w:r w:rsidRPr="00F467AE">
        <w:rPr>
          <w:rFonts w:asciiTheme="minorBidi" w:hAnsiTheme="minorBidi"/>
          <w:sz w:val="20"/>
          <w:szCs w:val="20"/>
        </w:rPr>
        <w:t xml:space="preserve">, which directs immune lineage differentiation, is a target for these metabolites </w:t>
      </w:r>
      <w:r w:rsidR="00500A62" w:rsidRPr="00F467AE">
        <w:rPr>
          <w:rFonts w:asciiTheme="minorBidi" w:hAnsiTheme="minorBidi"/>
          <w:sz w:val="20"/>
          <w:szCs w:val="20"/>
        </w:rPr>
        <w:t>[</w:t>
      </w:r>
      <w:r w:rsidRPr="00F467AE">
        <w:rPr>
          <w:rFonts w:asciiTheme="minorBidi" w:hAnsiTheme="minorBidi"/>
          <w:sz w:val="20"/>
          <w:szCs w:val="20"/>
        </w:rPr>
        <w:t>15</w:t>
      </w:r>
      <w:r w:rsidR="00500A62" w:rsidRPr="00F467AE">
        <w:rPr>
          <w:rFonts w:asciiTheme="minorBidi" w:hAnsiTheme="minorBidi"/>
          <w:sz w:val="20"/>
          <w:szCs w:val="20"/>
        </w:rPr>
        <w:t>]</w:t>
      </w:r>
      <w:r w:rsidRPr="00F467AE">
        <w:rPr>
          <w:rFonts w:asciiTheme="minorBidi" w:hAnsiTheme="minorBidi"/>
          <w:sz w:val="20"/>
          <w:szCs w:val="20"/>
        </w:rPr>
        <w:t xml:space="preserve">. This link connects nuclear receptor signaling directly to metabolic and circadian clocks </w:t>
      </w:r>
      <w:r w:rsidR="00500A62" w:rsidRPr="00F467AE">
        <w:rPr>
          <w:rFonts w:asciiTheme="minorBidi" w:hAnsiTheme="minorBidi"/>
          <w:sz w:val="20"/>
          <w:szCs w:val="20"/>
        </w:rPr>
        <w:t>[</w:t>
      </w:r>
      <w:r w:rsidRPr="00F467AE">
        <w:rPr>
          <w:rFonts w:asciiTheme="minorBidi" w:hAnsiTheme="minorBidi"/>
          <w:sz w:val="20"/>
          <w:szCs w:val="20"/>
        </w:rPr>
        <w:t>16</w:t>
      </w:r>
      <w:r w:rsidR="00500A62" w:rsidRPr="00F467AE">
        <w:rPr>
          <w:rFonts w:asciiTheme="minorBidi" w:hAnsiTheme="minorBidi"/>
          <w:sz w:val="20"/>
          <w:szCs w:val="20"/>
        </w:rPr>
        <w:t>]</w:t>
      </w:r>
      <w:r w:rsidRPr="00F467AE">
        <w:rPr>
          <w:rFonts w:asciiTheme="minorBidi" w:hAnsiTheme="minorBidi"/>
          <w:sz w:val="20"/>
          <w:szCs w:val="20"/>
        </w:rPr>
        <w:t xml:space="preserve">. Furthermore, transcriptional coactivators like PGC-1α integrate these signals to regulate energy metabolism </w:t>
      </w:r>
      <w:r w:rsidR="00500A62" w:rsidRPr="00F467AE">
        <w:rPr>
          <w:rFonts w:asciiTheme="minorBidi" w:hAnsiTheme="minorBidi"/>
          <w:sz w:val="20"/>
          <w:szCs w:val="20"/>
        </w:rPr>
        <w:t>[</w:t>
      </w:r>
      <w:r w:rsidRPr="00F467AE">
        <w:rPr>
          <w:rFonts w:asciiTheme="minorBidi" w:hAnsiTheme="minorBidi"/>
          <w:sz w:val="20"/>
          <w:szCs w:val="20"/>
        </w:rPr>
        <w:t>17</w:t>
      </w:r>
      <w:r w:rsidR="00500A62" w:rsidRPr="00F467AE">
        <w:rPr>
          <w:rFonts w:asciiTheme="minorBidi" w:hAnsiTheme="minorBidi"/>
          <w:sz w:val="20"/>
          <w:szCs w:val="20"/>
        </w:rPr>
        <w:t>]</w:t>
      </w:r>
      <w:r w:rsidRPr="00F467AE">
        <w:rPr>
          <w:rFonts w:asciiTheme="minorBidi" w:hAnsiTheme="minorBidi"/>
          <w:sz w:val="20"/>
          <w:szCs w:val="20"/>
        </w:rPr>
        <w:t>.</w:t>
      </w:r>
    </w:p>
    <w:p w14:paraId="4D9A04C4" w14:textId="77777777" w:rsidR="00C16CC9" w:rsidRPr="00F467AE" w:rsidRDefault="00C16CC9" w:rsidP="00F324D1">
      <w:pPr>
        <w:spacing w:after="0"/>
        <w:rPr>
          <w:rFonts w:asciiTheme="minorBidi" w:hAnsiTheme="minorBidi"/>
          <w:sz w:val="20"/>
          <w:szCs w:val="20"/>
        </w:rPr>
      </w:pPr>
    </w:p>
    <w:p w14:paraId="11269496" w14:textId="3E412575"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Current research explores whether vitamin D signaling is regulated by or directly regulates the molecular circadian clock </w:t>
      </w:r>
      <w:r w:rsidR="00500A62" w:rsidRPr="00F467AE">
        <w:rPr>
          <w:rFonts w:asciiTheme="minorBidi" w:hAnsiTheme="minorBidi"/>
          <w:sz w:val="20"/>
          <w:szCs w:val="20"/>
        </w:rPr>
        <w:t>[</w:t>
      </w:r>
      <w:r w:rsidRPr="00F467AE">
        <w:rPr>
          <w:rFonts w:asciiTheme="minorBidi" w:hAnsiTheme="minorBidi"/>
          <w:sz w:val="20"/>
          <w:szCs w:val="20"/>
        </w:rPr>
        <w:t>18</w:t>
      </w:r>
      <w:r w:rsidR="00500A62" w:rsidRPr="00F467AE">
        <w:rPr>
          <w:rFonts w:asciiTheme="minorBidi" w:hAnsiTheme="minorBidi"/>
          <w:sz w:val="20"/>
          <w:szCs w:val="20"/>
        </w:rPr>
        <w:t>]</w:t>
      </w:r>
      <w:r w:rsidRPr="00F467AE">
        <w:rPr>
          <w:rFonts w:asciiTheme="minorBidi" w:hAnsiTheme="minorBidi"/>
          <w:sz w:val="20"/>
          <w:szCs w:val="20"/>
        </w:rPr>
        <w:t xml:space="preserve">. Seasonal changes in daylength significantly impact these neuroendocrine functions </w:t>
      </w:r>
      <w:r w:rsidR="00500A62" w:rsidRPr="00F467AE">
        <w:rPr>
          <w:rFonts w:asciiTheme="minorBidi" w:hAnsiTheme="minorBidi"/>
          <w:sz w:val="20"/>
          <w:szCs w:val="20"/>
        </w:rPr>
        <w:t>[</w:t>
      </w:r>
      <w:r w:rsidRPr="00F467AE">
        <w:rPr>
          <w:rFonts w:asciiTheme="minorBidi" w:hAnsiTheme="minorBidi"/>
          <w:sz w:val="20"/>
          <w:szCs w:val="20"/>
        </w:rPr>
        <w:t>19</w:t>
      </w:r>
      <w:r w:rsidR="00500A62" w:rsidRPr="00F467AE">
        <w:rPr>
          <w:rFonts w:asciiTheme="minorBidi" w:hAnsiTheme="minorBidi"/>
          <w:sz w:val="20"/>
          <w:szCs w:val="20"/>
        </w:rPr>
        <w:t>]</w:t>
      </w:r>
      <w:r w:rsidRPr="00F467AE">
        <w:rPr>
          <w:rFonts w:asciiTheme="minorBidi" w:hAnsiTheme="minorBidi"/>
          <w:sz w:val="20"/>
          <w:szCs w:val="20"/>
        </w:rPr>
        <w:t xml:space="preserve">. On an epigenetic level, vitamin D influences the landscape of gene expression to maintain homeostasis </w:t>
      </w:r>
      <w:r w:rsidR="00500A62" w:rsidRPr="00F467AE">
        <w:rPr>
          <w:rFonts w:asciiTheme="minorBidi" w:hAnsiTheme="minorBidi"/>
          <w:sz w:val="20"/>
          <w:szCs w:val="20"/>
        </w:rPr>
        <w:t>[</w:t>
      </w: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 xml:space="preserve">. Ultimately, this axis represents a sophisticated system for the endocrine regulation of circadian rhythms in response to environmental light </w:t>
      </w:r>
      <w:r w:rsidR="00500A62" w:rsidRPr="00F467AE">
        <w:rPr>
          <w:rFonts w:asciiTheme="minorBidi" w:hAnsiTheme="minorBidi"/>
          <w:sz w:val="20"/>
          <w:szCs w:val="20"/>
        </w:rPr>
        <w:t>[</w:t>
      </w:r>
      <w:r w:rsidRPr="00F467AE">
        <w:rPr>
          <w:rFonts w:asciiTheme="minorBidi" w:hAnsiTheme="minorBidi"/>
          <w:sz w:val="20"/>
          <w:szCs w:val="20"/>
        </w:rPr>
        <w:t>21</w:t>
      </w:r>
      <w:r w:rsidR="00500A62" w:rsidRPr="00F467AE">
        <w:rPr>
          <w:rFonts w:asciiTheme="minorBidi" w:hAnsiTheme="minorBidi"/>
          <w:sz w:val="20"/>
          <w:szCs w:val="20"/>
        </w:rPr>
        <w:t>]</w:t>
      </w:r>
      <w:r w:rsidRPr="00F467AE">
        <w:rPr>
          <w:rFonts w:asciiTheme="minorBidi" w:hAnsiTheme="minorBidi"/>
          <w:sz w:val="20"/>
          <w:szCs w:val="20"/>
        </w:rPr>
        <w:t>.</w:t>
      </w:r>
    </w:p>
    <w:p w14:paraId="735B1E13" w14:textId="162F9C4D"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br w:type="page"/>
      </w:r>
    </w:p>
    <w:p w14:paraId="434ADD64" w14:textId="77777777"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lastRenderedPageBreak/>
        <w:t>Objectives</w:t>
      </w:r>
    </w:p>
    <w:p w14:paraId="12F43EFC" w14:textId="6E361E9B" w:rsidR="0057606F" w:rsidRPr="00F467AE" w:rsidRDefault="00893026" w:rsidP="00893026">
      <w:pPr>
        <w:spacing w:after="0"/>
        <w:rPr>
          <w:rFonts w:asciiTheme="minorBidi" w:hAnsiTheme="minorBidi"/>
          <w:sz w:val="20"/>
          <w:szCs w:val="20"/>
        </w:rPr>
      </w:pPr>
      <w:r w:rsidRPr="00893026">
        <w:rPr>
          <w:rFonts w:asciiTheme="minorBidi" w:hAnsiTheme="minorBidi"/>
          <w:sz w:val="20"/>
          <w:szCs w:val="20"/>
          <w:highlight w:val="yellow"/>
        </w:rPr>
        <w:t>T</w:t>
      </w:r>
      <w:r w:rsidR="0057606F" w:rsidRPr="00893026">
        <w:rPr>
          <w:rFonts w:asciiTheme="minorBidi" w:hAnsiTheme="minorBidi"/>
          <w:sz w:val="20"/>
          <w:szCs w:val="20"/>
          <w:highlight w:val="yellow"/>
        </w:rPr>
        <w:t xml:space="preserve">his review aims </w:t>
      </w:r>
      <w:r w:rsidRPr="00893026">
        <w:rPr>
          <w:rFonts w:asciiTheme="minorBidi" w:hAnsiTheme="minorBidi"/>
          <w:sz w:val="20"/>
          <w:szCs w:val="20"/>
          <w:highlight w:val="yellow"/>
        </w:rPr>
        <w:t>synthesize current evidence on CYP11A1-derived secosteroids as sunlight-dependent, non-calcemic regulators of circadian clock genes and major endocrine axes, and to evaluate their emerging role as chronobiotics signals with potential clinical and chronotherapeutic implications.</w:t>
      </w:r>
    </w:p>
    <w:p w14:paraId="3F20F4DB" w14:textId="77777777"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Methods</w:t>
      </w:r>
    </w:p>
    <w:p w14:paraId="414E1FD7" w14:textId="77777777" w:rsidR="003A3E5C" w:rsidRPr="00F467AE" w:rsidRDefault="003A3E5C" w:rsidP="00F324D1">
      <w:pPr>
        <w:spacing w:after="0"/>
        <w:rPr>
          <w:rFonts w:asciiTheme="minorBidi" w:hAnsiTheme="minorBidi"/>
          <w:b/>
          <w:bCs/>
          <w:sz w:val="20"/>
          <w:szCs w:val="20"/>
        </w:rPr>
      </w:pPr>
    </w:p>
    <w:p w14:paraId="6E5E4EF2" w14:textId="5AF53F01"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Study Design and Reporting Framework</w:t>
      </w:r>
      <w:r w:rsidRPr="00F467AE">
        <w:rPr>
          <w:rFonts w:asciiTheme="minorBidi" w:hAnsiTheme="minorBidi"/>
          <w:sz w:val="20"/>
          <w:szCs w:val="20"/>
        </w:rPr>
        <w:t xml:space="preserve"> This review was conducted as a structured narrative–systematic synthesis integrating mechanistic, translational, and human evidence on the CYP11A1–secosteroid–circadian axis. The methodology followed the </w:t>
      </w:r>
      <w:r w:rsidRPr="00F467AE">
        <w:rPr>
          <w:rFonts w:asciiTheme="minorBidi" w:hAnsiTheme="minorBidi"/>
          <w:b/>
          <w:bCs/>
          <w:sz w:val="20"/>
          <w:szCs w:val="20"/>
        </w:rPr>
        <w:t>PRISMA 2020</w:t>
      </w:r>
      <w:r w:rsidRPr="00F467AE">
        <w:rPr>
          <w:rFonts w:asciiTheme="minorBidi" w:hAnsiTheme="minorBidi"/>
          <w:sz w:val="20"/>
          <w:szCs w:val="20"/>
        </w:rPr>
        <w:t xml:space="preserve"> reporting framework </w:t>
      </w:r>
      <w:r w:rsidR="00500A62" w:rsidRPr="00F467AE">
        <w:rPr>
          <w:rFonts w:asciiTheme="minorBidi" w:hAnsiTheme="minorBidi"/>
          <w:sz w:val="20"/>
          <w:szCs w:val="20"/>
        </w:rPr>
        <w:t>[</w:t>
      </w:r>
      <w:r w:rsidRPr="00F467AE">
        <w:rPr>
          <w:rFonts w:asciiTheme="minorBidi" w:hAnsiTheme="minorBidi"/>
          <w:sz w:val="20"/>
          <w:szCs w:val="20"/>
        </w:rPr>
        <w:t>22</w:t>
      </w:r>
      <w:r w:rsidR="00500A62" w:rsidRPr="00F467AE">
        <w:rPr>
          <w:rFonts w:asciiTheme="minorBidi" w:hAnsiTheme="minorBidi"/>
          <w:sz w:val="20"/>
          <w:szCs w:val="20"/>
        </w:rPr>
        <w:t>]</w:t>
      </w:r>
      <w:r w:rsidRPr="00F467AE">
        <w:rPr>
          <w:rFonts w:asciiTheme="minorBidi" w:hAnsiTheme="minorBidi"/>
          <w:sz w:val="20"/>
          <w:szCs w:val="20"/>
        </w:rPr>
        <w:t xml:space="preserve"> to ensure transparency, reproducibility, and methodological rigor in literature identification, screening, and synthesis.</w:t>
      </w:r>
    </w:p>
    <w:p w14:paraId="33078E81" w14:textId="1F115C6F"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Literature Search Strategy</w:t>
      </w:r>
      <w:r w:rsidRPr="00F467AE">
        <w:rPr>
          <w:rFonts w:asciiTheme="minorBidi" w:hAnsiTheme="minorBidi"/>
          <w:sz w:val="20"/>
          <w:szCs w:val="20"/>
        </w:rPr>
        <w:t xml:space="preserve"> A comprehensive literature search was performed using </w:t>
      </w:r>
      <w:r w:rsidRPr="00F467AE">
        <w:rPr>
          <w:rFonts w:asciiTheme="minorBidi" w:hAnsiTheme="minorBidi"/>
          <w:b/>
          <w:bCs/>
          <w:sz w:val="20"/>
          <w:szCs w:val="20"/>
        </w:rPr>
        <w:t>PubMed</w:t>
      </w:r>
      <w:r w:rsidRPr="00F467AE">
        <w:rPr>
          <w:rFonts w:asciiTheme="minorBidi" w:hAnsiTheme="minorBidi"/>
          <w:sz w:val="20"/>
          <w:szCs w:val="20"/>
        </w:rPr>
        <w:t xml:space="preserve"> and </w:t>
      </w:r>
      <w:r w:rsidRPr="00F467AE">
        <w:rPr>
          <w:rFonts w:asciiTheme="minorBidi" w:hAnsiTheme="minorBidi"/>
          <w:b/>
          <w:bCs/>
          <w:sz w:val="20"/>
          <w:szCs w:val="20"/>
        </w:rPr>
        <w:t>Scopus</w:t>
      </w:r>
      <w:r w:rsidRPr="00F467AE">
        <w:rPr>
          <w:rFonts w:asciiTheme="minorBidi" w:hAnsiTheme="minorBidi"/>
          <w:sz w:val="20"/>
          <w:szCs w:val="20"/>
        </w:rPr>
        <w:t xml:space="preserve"> databases, covering publications through December 2025. The search strategy combined controlled vocabulary </w:t>
      </w:r>
      <w:r w:rsidR="00500A62" w:rsidRPr="00F467AE">
        <w:rPr>
          <w:rFonts w:asciiTheme="minorBidi" w:hAnsiTheme="minorBidi"/>
          <w:sz w:val="20"/>
          <w:szCs w:val="20"/>
        </w:rPr>
        <w:t>[</w:t>
      </w:r>
      <w:r w:rsidRPr="00F467AE">
        <w:rPr>
          <w:rFonts w:asciiTheme="minorBidi" w:hAnsiTheme="minorBidi"/>
          <w:sz w:val="20"/>
          <w:szCs w:val="20"/>
        </w:rPr>
        <w:t>MeSH terms</w:t>
      </w:r>
      <w:r w:rsidR="00500A62" w:rsidRPr="00F467AE">
        <w:rPr>
          <w:rFonts w:asciiTheme="minorBidi" w:hAnsiTheme="minorBidi"/>
          <w:sz w:val="20"/>
          <w:szCs w:val="20"/>
        </w:rPr>
        <w:t>]</w:t>
      </w:r>
      <w:r w:rsidRPr="00F467AE">
        <w:rPr>
          <w:rFonts w:asciiTheme="minorBidi" w:hAnsiTheme="minorBidi"/>
          <w:sz w:val="20"/>
          <w:szCs w:val="20"/>
        </w:rPr>
        <w:t xml:space="preserve"> and free-text keywords related to vitamin D metabolism, CYP11A1, circadian biology, and endocrine regulation. Reference lists of relevant reviews and primary articles were manually screened to identify additional eligible studies.</w:t>
      </w:r>
    </w:p>
    <w:p w14:paraId="43F2B69E" w14:textId="77777777"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Eligibility Criteria</w:t>
      </w:r>
    </w:p>
    <w:p w14:paraId="51549760" w14:textId="77777777" w:rsidR="0057606F" w:rsidRPr="00F467AE" w:rsidRDefault="0057606F" w:rsidP="00F324D1">
      <w:pPr>
        <w:numPr>
          <w:ilvl w:val="0"/>
          <w:numId w:val="4"/>
        </w:numPr>
        <w:spacing w:after="0"/>
        <w:ind w:left="0"/>
        <w:rPr>
          <w:rFonts w:asciiTheme="minorBidi" w:hAnsiTheme="minorBidi"/>
          <w:sz w:val="20"/>
          <w:szCs w:val="20"/>
        </w:rPr>
      </w:pPr>
      <w:r w:rsidRPr="00F467AE">
        <w:rPr>
          <w:rFonts w:asciiTheme="minorBidi" w:hAnsiTheme="minorBidi"/>
          <w:b/>
          <w:bCs/>
          <w:sz w:val="20"/>
          <w:szCs w:val="20"/>
        </w:rPr>
        <w:t>Inclusion Criteria</w:t>
      </w:r>
      <w:r w:rsidRPr="00F467AE">
        <w:rPr>
          <w:rFonts w:asciiTheme="minorBidi" w:hAnsiTheme="minorBidi"/>
          <w:sz w:val="20"/>
          <w:szCs w:val="20"/>
        </w:rPr>
        <w:t>: Original experimental, translational, or clinical studies examining CYP11A1 activity, non-canonical vitamin D metabolites, or circadian interactions.</w:t>
      </w:r>
    </w:p>
    <w:p w14:paraId="35401EC2" w14:textId="5F4AF08D" w:rsidR="0057606F" w:rsidRPr="00F467AE" w:rsidRDefault="0057606F" w:rsidP="00F324D1">
      <w:pPr>
        <w:numPr>
          <w:ilvl w:val="0"/>
          <w:numId w:val="4"/>
        </w:numPr>
        <w:spacing w:after="0"/>
        <w:ind w:left="0"/>
        <w:rPr>
          <w:rFonts w:asciiTheme="minorBidi" w:hAnsiTheme="minorBidi"/>
          <w:sz w:val="20"/>
          <w:szCs w:val="20"/>
        </w:rPr>
      </w:pPr>
      <w:r w:rsidRPr="00F467AE">
        <w:rPr>
          <w:rFonts w:asciiTheme="minorBidi" w:hAnsiTheme="minorBidi"/>
          <w:b/>
          <w:bCs/>
          <w:sz w:val="20"/>
          <w:szCs w:val="20"/>
        </w:rPr>
        <w:t>Quality Standards</w:t>
      </w:r>
      <w:r w:rsidRPr="00F467AE">
        <w:rPr>
          <w:rFonts w:asciiTheme="minorBidi" w:hAnsiTheme="minorBidi"/>
          <w:sz w:val="20"/>
          <w:szCs w:val="20"/>
        </w:rPr>
        <w:t xml:space="preserve">: Studies were evaluated using the </w:t>
      </w:r>
      <w:r w:rsidRPr="00F467AE">
        <w:rPr>
          <w:rFonts w:asciiTheme="minorBidi" w:hAnsiTheme="minorBidi"/>
          <w:b/>
          <w:bCs/>
          <w:sz w:val="20"/>
          <w:szCs w:val="20"/>
        </w:rPr>
        <w:t>ROBIS</w:t>
      </w:r>
      <w:r w:rsidRPr="00F467AE">
        <w:rPr>
          <w:rFonts w:asciiTheme="minorBidi" w:hAnsiTheme="minorBidi"/>
          <w:sz w:val="20"/>
          <w:szCs w:val="20"/>
        </w:rPr>
        <w:t xml:space="preserve"> tool for systematic reviews </w:t>
      </w:r>
      <w:r w:rsidR="00500A62" w:rsidRPr="00F467AE">
        <w:rPr>
          <w:rFonts w:asciiTheme="minorBidi" w:hAnsiTheme="minorBidi"/>
          <w:sz w:val="20"/>
          <w:szCs w:val="20"/>
        </w:rPr>
        <w:t>[</w:t>
      </w:r>
      <w:r w:rsidRPr="00F467AE">
        <w:rPr>
          <w:rFonts w:asciiTheme="minorBidi" w:hAnsiTheme="minorBidi"/>
          <w:sz w:val="20"/>
          <w:szCs w:val="20"/>
        </w:rPr>
        <w:t>23</w:t>
      </w:r>
      <w:r w:rsidR="00500A62" w:rsidRPr="00F467AE">
        <w:rPr>
          <w:rFonts w:asciiTheme="minorBidi" w:hAnsiTheme="minorBidi"/>
          <w:sz w:val="20"/>
          <w:szCs w:val="20"/>
        </w:rPr>
        <w:t>]</w:t>
      </w:r>
      <w:r w:rsidRPr="00F467AE">
        <w:rPr>
          <w:rFonts w:asciiTheme="minorBidi" w:hAnsiTheme="minorBidi"/>
          <w:sz w:val="20"/>
          <w:szCs w:val="20"/>
        </w:rPr>
        <w:t xml:space="preserve"> and the </w:t>
      </w:r>
      <w:r w:rsidRPr="00F467AE">
        <w:rPr>
          <w:rFonts w:asciiTheme="minorBidi" w:hAnsiTheme="minorBidi"/>
          <w:b/>
          <w:bCs/>
          <w:sz w:val="20"/>
          <w:szCs w:val="20"/>
        </w:rPr>
        <w:t xml:space="preserve">Cochrane Risk of Bias Tool 2 </w:t>
      </w:r>
      <w:r w:rsidR="00500A62" w:rsidRPr="00F467AE">
        <w:rPr>
          <w:rFonts w:asciiTheme="minorBidi" w:hAnsiTheme="minorBidi"/>
          <w:b/>
          <w:bCs/>
          <w:sz w:val="20"/>
          <w:szCs w:val="20"/>
        </w:rPr>
        <w:t>[</w:t>
      </w:r>
      <w:r w:rsidRPr="00F467AE">
        <w:rPr>
          <w:rFonts w:asciiTheme="minorBidi" w:hAnsiTheme="minorBidi"/>
          <w:b/>
          <w:bCs/>
          <w:sz w:val="20"/>
          <w:szCs w:val="20"/>
        </w:rPr>
        <w:t>RoB 2</w:t>
      </w:r>
      <w:r w:rsidR="00500A62" w:rsidRPr="00F467AE">
        <w:rPr>
          <w:rFonts w:asciiTheme="minorBidi" w:hAnsiTheme="minorBidi"/>
          <w:b/>
          <w:bCs/>
          <w:sz w:val="20"/>
          <w:szCs w:val="20"/>
        </w:rPr>
        <w:t>]</w:t>
      </w:r>
      <w:r w:rsidRPr="00F467AE">
        <w:rPr>
          <w:rFonts w:asciiTheme="minorBidi" w:hAnsiTheme="minorBidi"/>
          <w:sz w:val="20"/>
          <w:szCs w:val="20"/>
        </w:rPr>
        <w:t xml:space="preserve"> for randomized human intervention studies </w:t>
      </w:r>
      <w:r w:rsidR="00500A62" w:rsidRPr="00F467AE">
        <w:rPr>
          <w:rFonts w:asciiTheme="minorBidi" w:hAnsiTheme="minorBidi"/>
          <w:sz w:val="20"/>
          <w:szCs w:val="20"/>
        </w:rPr>
        <w:t>[</w:t>
      </w:r>
      <w:r w:rsidRPr="00F467AE">
        <w:rPr>
          <w:rFonts w:asciiTheme="minorBidi" w:hAnsiTheme="minorBidi"/>
          <w:sz w:val="20"/>
          <w:szCs w:val="20"/>
        </w:rPr>
        <w:t>24</w:t>
      </w:r>
      <w:r w:rsidR="00500A62" w:rsidRPr="00F467AE">
        <w:rPr>
          <w:rFonts w:asciiTheme="minorBidi" w:hAnsiTheme="minorBidi"/>
          <w:sz w:val="20"/>
          <w:szCs w:val="20"/>
        </w:rPr>
        <w:t>]</w:t>
      </w:r>
      <w:r w:rsidRPr="00F467AE">
        <w:rPr>
          <w:rFonts w:asciiTheme="minorBidi" w:hAnsiTheme="minorBidi"/>
          <w:sz w:val="20"/>
          <w:szCs w:val="20"/>
        </w:rPr>
        <w:t xml:space="preserve"> to ensure data integrity.</w:t>
      </w:r>
    </w:p>
    <w:p w14:paraId="77E8CCFE" w14:textId="77777777" w:rsidR="0057606F" w:rsidRPr="00F467AE" w:rsidRDefault="0057606F" w:rsidP="00F324D1">
      <w:pPr>
        <w:numPr>
          <w:ilvl w:val="0"/>
          <w:numId w:val="4"/>
        </w:numPr>
        <w:spacing w:after="0"/>
        <w:ind w:left="0"/>
        <w:rPr>
          <w:rFonts w:asciiTheme="minorBidi" w:hAnsiTheme="minorBidi"/>
          <w:sz w:val="20"/>
          <w:szCs w:val="20"/>
        </w:rPr>
      </w:pPr>
      <w:r w:rsidRPr="00F467AE">
        <w:rPr>
          <w:rFonts w:asciiTheme="minorBidi" w:hAnsiTheme="minorBidi"/>
          <w:b/>
          <w:bCs/>
          <w:sz w:val="20"/>
          <w:szCs w:val="20"/>
        </w:rPr>
        <w:t>Exclusion Criteria</w:t>
      </w:r>
      <w:r w:rsidRPr="00F467AE">
        <w:rPr>
          <w:rFonts w:asciiTheme="minorBidi" w:hAnsiTheme="minorBidi"/>
          <w:sz w:val="20"/>
          <w:szCs w:val="20"/>
        </w:rPr>
        <w:t>: Studies limited exclusively to calcium–phosphate metabolism without circadian or endocrine relevance were excluded.</w:t>
      </w:r>
    </w:p>
    <w:p w14:paraId="390D2848" w14:textId="0DEEB25F"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Data Extraction and Bioinformatic Analysis</w:t>
      </w:r>
      <w:r w:rsidRPr="00F467AE">
        <w:rPr>
          <w:rFonts w:asciiTheme="minorBidi" w:hAnsiTheme="minorBidi"/>
          <w:sz w:val="20"/>
          <w:szCs w:val="20"/>
        </w:rPr>
        <w:t xml:space="preserve"> Data extraction focused on CYP11A1 substrates, receptor binding profiles, and endocrine axis outcomes. To integrate molecular findings, transcriptomic datasets were explored using the </w:t>
      </w:r>
      <w:r w:rsidR="00500A62" w:rsidRPr="00F467AE">
        <w:rPr>
          <w:rFonts w:asciiTheme="minorBidi" w:hAnsiTheme="minorBidi"/>
          <w:b/>
          <w:bCs/>
          <w:sz w:val="20"/>
          <w:szCs w:val="20"/>
        </w:rPr>
        <w:t>ClusterProfiler</w:t>
      </w:r>
      <w:r w:rsidRPr="00F467AE">
        <w:rPr>
          <w:rFonts w:asciiTheme="minorBidi" w:hAnsiTheme="minorBidi"/>
          <w:sz w:val="20"/>
          <w:szCs w:val="20"/>
        </w:rPr>
        <w:t xml:space="preserve"> R package </w:t>
      </w:r>
      <w:r w:rsidR="00500A62" w:rsidRPr="00F467AE">
        <w:rPr>
          <w:rFonts w:asciiTheme="minorBidi" w:hAnsiTheme="minorBidi"/>
          <w:sz w:val="20"/>
          <w:szCs w:val="20"/>
        </w:rPr>
        <w:t>[</w:t>
      </w:r>
      <w:r w:rsidRPr="00F467AE">
        <w:rPr>
          <w:rFonts w:asciiTheme="minorBidi" w:hAnsiTheme="minorBidi"/>
          <w:sz w:val="20"/>
          <w:szCs w:val="20"/>
        </w:rPr>
        <w:t>25</w:t>
      </w:r>
      <w:r w:rsidR="00500A62" w:rsidRPr="00F467AE">
        <w:rPr>
          <w:rFonts w:asciiTheme="minorBidi" w:hAnsiTheme="minorBidi"/>
          <w:sz w:val="20"/>
          <w:szCs w:val="20"/>
        </w:rPr>
        <w:t>]</w:t>
      </w:r>
      <w:r w:rsidRPr="00F467AE">
        <w:rPr>
          <w:rFonts w:asciiTheme="minorBidi" w:hAnsiTheme="minorBidi"/>
          <w:sz w:val="20"/>
          <w:szCs w:val="20"/>
        </w:rPr>
        <w:t xml:space="preserve">. Network centrality and hub gene identification were assessed using the </w:t>
      </w:r>
      <w:r w:rsidRPr="00F467AE">
        <w:rPr>
          <w:rFonts w:asciiTheme="minorBidi" w:hAnsiTheme="minorBidi"/>
          <w:b/>
          <w:bCs/>
          <w:sz w:val="20"/>
          <w:szCs w:val="20"/>
        </w:rPr>
        <w:t>cytoHubba</w:t>
      </w:r>
      <w:r w:rsidRPr="00F467AE">
        <w:rPr>
          <w:rFonts w:asciiTheme="minorBidi" w:hAnsiTheme="minorBidi"/>
          <w:sz w:val="20"/>
          <w:szCs w:val="20"/>
        </w:rPr>
        <w:t xml:space="preserve"> framework </w:t>
      </w:r>
      <w:r w:rsidR="00500A62" w:rsidRPr="00F467AE">
        <w:rPr>
          <w:rFonts w:asciiTheme="minorBidi" w:hAnsiTheme="minorBidi"/>
          <w:sz w:val="20"/>
          <w:szCs w:val="20"/>
        </w:rPr>
        <w:t>[</w:t>
      </w:r>
      <w:r w:rsidRPr="00F467AE">
        <w:rPr>
          <w:rFonts w:asciiTheme="minorBidi" w:hAnsiTheme="minorBidi"/>
          <w:sz w:val="20"/>
          <w:szCs w:val="20"/>
        </w:rPr>
        <w:t>26</w:t>
      </w:r>
      <w:r w:rsidR="00500A62" w:rsidRPr="00F467AE">
        <w:rPr>
          <w:rFonts w:asciiTheme="minorBidi" w:hAnsiTheme="minorBidi"/>
          <w:sz w:val="20"/>
          <w:szCs w:val="20"/>
        </w:rPr>
        <w:t>]</w:t>
      </w:r>
      <w:r w:rsidRPr="00F467AE">
        <w:rPr>
          <w:rFonts w:asciiTheme="minorBidi" w:hAnsiTheme="minorBidi"/>
          <w:sz w:val="20"/>
          <w:szCs w:val="20"/>
        </w:rPr>
        <w:t xml:space="preserve"> to identify critical nodes linking secosteroid signaling to circadian regulation.</w:t>
      </w:r>
    </w:p>
    <w:p w14:paraId="48CF1D4F" w14:textId="77777777"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Quality Assessment</w:t>
      </w:r>
      <w:r w:rsidRPr="00F467AE">
        <w:rPr>
          <w:rFonts w:asciiTheme="minorBidi" w:hAnsiTheme="minorBidi"/>
          <w:sz w:val="20"/>
          <w:szCs w:val="20"/>
        </w:rPr>
        <w:t xml:space="preserve"> Methodological quality was prioritized, and only studies assessed as low or moderate risk of bias were included in the final synthesis. The integration of "bottom-up" molecular data with "top-down" clinical observations was performed to establish biological plausibility for the proposed photoneuroendocrine axis.</w:t>
      </w:r>
    </w:p>
    <w:p w14:paraId="4CA440A8" w14:textId="115090FB" w:rsidR="0057606F" w:rsidRPr="00F467AE" w:rsidRDefault="0057606F" w:rsidP="00F324D1">
      <w:pPr>
        <w:spacing w:after="0"/>
        <w:rPr>
          <w:rFonts w:asciiTheme="minorBidi" w:hAnsiTheme="minorBidi"/>
          <w:sz w:val="20"/>
          <w:szCs w:val="20"/>
        </w:rPr>
      </w:pPr>
    </w:p>
    <w:p w14:paraId="27BA31A4" w14:textId="695482CD" w:rsidR="001C7A3A" w:rsidRPr="00F467AE" w:rsidRDefault="00787AFF" w:rsidP="00787AFF">
      <w:pPr>
        <w:rPr>
          <w:rFonts w:asciiTheme="minorBidi" w:hAnsiTheme="minorBidi"/>
          <w:sz w:val="20"/>
          <w:szCs w:val="20"/>
        </w:rPr>
      </w:pPr>
      <w:r w:rsidRPr="00F467AE">
        <w:rPr>
          <w:rFonts w:asciiTheme="minorBidi" w:hAnsiTheme="minorBidi"/>
          <w:noProof/>
          <w:sz w:val="20"/>
          <w:szCs w:val="20"/>
        </w:rPr>
        <w:lastRenderedPageBreak/>
        <w:drawing>
          <wp:inline distT="0" distB="0" distL="0" distR="0" wp14:anchorId="2567C896" wp14:editId="09E21F8E">
            <wp:extent cx="5181600" cy="6858000"/>
            <wp:effectExtent l="0" t="0" r="0" b="0"/>
            <wp:docPr id="304700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6858000"/>
                    </a:xfrm>
                    <a:prstGeom prst="rect">
                      <a:avLst/>
                    </a:prstGeom>
                    <a:noFill/>
                    <a:ln>
                      <a:noFill/>
                    </a:ln>
                  </pic:spPr>
                </pic:pic>
              </a:graphicData>
            </a:graphic>
          </wp:inline>
        </w:drawing>
      </w:r>
    </w:p>
    <w:p w14:paraId="52BD724D" w14:textId="1D928DDC" w:rsidR="001C7A3A" w:rsidRPr="00F467AE" w:rsidRDefault="001C7A3A" w:rsidP="001C7A3A">
      <w:pPr>
        <w:rPr>
          <w:rFonts w:asciiTheme="minorBidi" w:hAnsiTheme="minorBidi"/>
          <w:sz w:val="20"/>
          <w:szCs w:val="20"/>
        </w:rPr>
      </w:pPr>
      <w:r w:rsidRPr="00F467AE">
        <w:rPr>
          <w:rFonts w:asciiTheme="minorBidi" w:hAnsiTheme="minorBidi"/>
          <w:sz w:val="20"/>
          <w:szCs w:val="20"/>
        </w:rPr>
        <w:t xml:space="preserve"> Figure 1. PRISMA 2020 Flow Diagram of the Literature Identification</w:t>
      </w:r>
    </w:p>
    <w:p w14:paraId="0B26C6B1" w14:textId="4B55D89A" w:rsidR="001C7A3A" w:rsidRPr="00F467AE" w:rsidRDefault="009B701B" w:rsidP="001C7A3A">
      <w:pPr>
        <w:rPr>
          <w:rFonts w:asciiTheme="minorBidi" w:hAnsiTheme="minorBidi"/>
          <w:sz w:val="20"/>
          <w:szCs w:val="20"/>
        </w:rPr>
      </w:pPr>
      <w:r w:rsidRPr="00F467AE">
        <w:rPr>
          <w:rFonts w:asciiTheme="minorBidi" w:hAnsiTheme="minorBidi"/>
          <w:sz w:val="20"/>
          <w:szCs w:val="20"/>
        </w:rPr>
        <w:t xml:space="preserve">Figure 1 demonstrates the </w:t>
      </w:r>
      <w:r w:rsidR="001C7A3A" w:rsidRPr="00F467AE">
        <w:rPr>
          <w:rFonts w:asciiTheme="minorBidi" w:hAnsiTheme="minorBidi"/>
          <w:sz w:val="20"/>
          <w:szCs w:val="20"/>
        </w:rPr>
        <w:t xml:space="preserve">study selection process. The final 67 references represent a concentrated body of evidence linking cutaneous photochemistry to the molecular clock </w:t>
      </w:r>
      <w:r w:rsidR="00500A62" w:rsidRPr="00F467AE">
        <w:rPr>
          <w:rFonts w:asciiTheme="minorBidi" w:hAnsiTheme="minorBidi"/>
          <w:sz w:val="20"/>
          <w:szCs w:val="20"/>
        </w:rPr>
        <w:t>[</w:t>
      </w:r>
      <w:r w:rsidR="001C7A3A" w:rsidRPr="00F467AE">
        <w:rPr>
          <w:rFonts w:asciiTheme="minorBidi" w:hAnsiTheme="minorBidi"/>
          <w:sz w:val="20"/>
          <w:szCs w:val="20"/>
        </w:rPr>
        <w:t xml:space="preserve">e.g., </w:t>
      </w:r>
      <w:r w:rsidR="001C7A3A" w:rsidRPr="00F467AE">
        <w:rPr>
          <w:rFonts w:asciiTheme="minorBidi" w:hAnsiTheme="minorBidi"/>
          <w:i/>
          <w:iCs/>
          <w:sz w:val="20"/>
          <w:szCs w:val="20"/>
        </w:rPr>
        <w:t>BMAL1</w:t>
      </w:r>
      <w:r w:rsidR="001C7A3A" w:rsidRPr="00F467AE">
        <w:rPr>
          <w:rFonts w:asciiTheme="minorBidi" w:hAnsiTheme="minorBidi"/>
          <w:sz w:val="20"/>
          <w:szCs w:val="20"/>
        </w:rPr>
        <w:t>, RORα</w:t>
      </w:r>
      <w:r w:rsidR="00500A62" w:rsidRPr="00F467AE">
        <w:rPr>
          <w:rFonts w:asciiTheme="minorBidi" w:hAnsiTheme="minorBidi"/>
          <w:sz w:val="20"/>
          <w:szCs w:val="20"/>
        </w:rPr>
        <w:t>]</w:t>
      </w:r>
      <w:r w:rsidR="001C7A3A" w:rsidRPr="00F467AE">
        <w:rPr>
          <w:rFonts w:asciiTheme="minorBidi" w:hAnsiTheme="minorBidi"/>
          <w:sz w:val="20"/>
          <w:szCs w:val="20"/>
        </w:rPr>
        <w:t xml:space="preserve"> and systemic endocrine axes </w:t>
      </w:r>
      <w:r w:rsidR="00500A62" w:rsidRPr="00F467AE">
        <w:rPr>
          <w:rFonts w:asciiTheme="minorBidi" w:hAnsiTheme="minorBidi"/>
          <w:sz w:val="20"/>
          <w:szCs w:val="20"/>
        </w:rPr>
        <w:t>[</w:t>
      </w:r>
      <w:r w:rsidR="001C7A3A" w:rsidRPr="00F467AE">
        <w:rPr>
          <w:rFonts w:asciiTheme="minorBidi" w:hAnsiTheme="minorBidi"/>
          <w:sz w:val="20"/>
          <w:szCs w:val="20"/>
        </w:rPr>
        <w:t>HPA, HPT, and GH</w:t>
      </w:r>
      <w:r w:rsidR="00500A62" w:rsidRPr="00F467AE">
        <w:rPr>
          <w:rFonts w:asciiTheme="minorBidi" w:hAnsiTheme="minorBidi"/>
          <w:sz w:val="20"/>
          <w:szCs w:val="20"/>
        </w:rPr>
        <w:t>]</w:t>
      </w:r>
      <w:r w:rsidR="001C7A3A" w:rsidRPr="00F467AE">
        <w:rPr>
          <w:rFonts w:asciiTheme="minorBidi" w:hAnsiTheme="minorBidi"/>
          <w:sz w:val="20"/>
          <w:szCs w:val="20"/>
        </w:rPr>
        <w:t xml:space="preserve">. </w:t>
      </w:r>
      <w:r w:rsidR="001C7A3A" w:rsidRPr="00F467AE">
        <w:rPr>
          <w:rFonts w:asciiTheme="minorBidi" w:hAnsiTheme="minorBidi"/>
          <w:sz w:val="20"/>
          <w:szCs w:val="20"/>
        </w:rPr>
        <w:br w:type="page"/>
      </w:r>
    </w:p>
    <w:p w14:paraId="660FB402" w14:textId="57BD149C" w:rsidR="001C7A3A" w:rsidRPr="00F467AE" w:rsidRDefault="001C7A3A" w:rsidP="00F324D1">
      <w:pPr>
        <w:spacing w:after="0"/>
        <w:rPr>
          <w:rFonts w:asciiTheme="minorBidi" w:hAnsiTheme="minorBidi"/>
          <w:b/>
          <w:bCs/>
          <w:sz w:val="20"/>
          <w:szCs w:val="20"/>
        </w:rPr>
      </w:pPr>
      <w:r w:rsidRPr="00F467AE">
        <w:rPr>
          <w:rFonts w:asciiTheme="minorBidi" w:hAnsiTheme="minorBidi"/>
          <w:b/>
          <w:bCs/>
          <w:sz w:val="20"/>
          <w:szCs w:val="20"/>
        </w:rPr>
        <w:lastRenderedPageBreak/>
        <w:t>Results</w:t>
      </w:r>
    </w:p>
    <w:p w14:paraId="759CF31F" w14:textId="77777777" w:rsidR="00545C08" w:rsidRPr="00F467AE" w:rsidRDefault="00545C08" w:rsidP="008B2827">
      <w:pPr>
        <w:spacing w:after="0"/>
        <w:rPr>
          <w:rFonts w:asciiTheme="minorBidi" w:hAnsiTheme="minorBidi"/>
          <w:sz w:val="20"/>
          <w:szCs w:val="20"/>
        </w:rPr>
      </w:pPr>
    </w:p>
    <w:p w14:paraId="7D1A5B1B" w14:textId="5C66FA4B" w:rsidR="001C7A3A" w:rsidRPr="00F467AE" w:rsidRDefault="008B2827" w:rsidP="008B2827">
      <w:pPr>
        <w:spacing w:after="0"/>
        <w:rPr>
          <w:rFonts w:asciiTheme="minorBidi" w:hAnsiTheme="minorBidi"/>
          <w:sz w:val="20"/>
          <w:szCs w:val="20"/>
        </w:rPr>
      </w:pPr>
      <w:r w:rsidRPr="00F467AE">
        <w:rPr>
          <w:rFonts w:asciiTheme="minorBidi" w:hAnsiTheme="minorBidi"/>
          <w:sz w:val="20"/>
          <w:szCs w:val="20"/>
        </w:rPr>
        <w:t>Table 1. Integrated Summary of Study Clusters Elucidating the CYP11A1–Secosteroid Axis Across Molecular, Circadian, Endocrine, and Clinical Systems</w:t>
      </w:r>
    </w:p>
    <w:p w14:paraId="110284F8" w14:textId="77777777" w:rsidR="00FD26B0" w:rsidRPr="00F467AE" w:rsidRDefault="00FD26B0" w:rsidP="00F324D1">
      <w:pPr>
        <w:spacing w:after="0"/>
        <w:rPr>
          <w:rFonts w:asciiTheme="minorBidi" w:hAnsiTheme="minorBidi"/>
          <w:sz w:val="20"/>
          <w:szCs w:val="20"/>
        </w:rPr>
      </w:pPr>
    </w:p>
    <w:tbl>
      <w:tblPr>
        <w:tblStyle w:val="GridTable1Light-Accent4"/>
        <w:tblW w:w="0" w:type="auto"/>
        <w:tblLook w:val="04A0" w:firstRow="1" w:lastRow="0" w:firstColumn="1" w:lastColumn="0" w:noHBand="0" w:noVBand="1"/>
      </w:tblPr>
      <w:tblGrid>
        <w:gridCol w:w="1321"/>
        <w:gridCol w:w="1695"/>
        <w:gridCol w:w="1619"/>
        <w:gridCol w:w="2306"/>
        <w:gridCol w:w="2409"/>
      </w:tblGrid>
      <w:tr w:rsidR="00FD26B0" w:rsidRPr="00F467AE" w14:paraId="17AFB788" w14:textId="77777777" w:rsidTr="00FD2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BF1410"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Reference Numbers</w:t>
            </w:r>
          </w:p>
        </w:tc>
        <w:tc>
          <w:tcPr>
            <w:tcW w:w="0" w:type="auto"/>
            <w:hideMark/>
          </w:tcPr>
          <w:p w14:paraId="7B7195A2"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Study Design</w:t>
            </w:r>
          </w:p>
        </w:tc>
        <w:tc>
          <w:tcPr>
            <w:tcW w:w="0" w:type="auto"/>
            <w:hideMark/>
          </w:tcPr>
          <w:p w14:paraId="4F86504D"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Sample Size / Model</w:t>
            </w:r>
          </w:p>
        </w:tc>
        <w:tc>
          <w:tcPr>
            <w:tcW w:w="0" w:type="auto"/>
            <w:hideMark/>
          </w:tcPr>
          <w:p w14:paraId="6EC37BE7"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Target System</w:t>
            </w:r>
          </w:p>
        </w:tc>
        <w:tc>
          <w:tcPr>
            <w:tcW w:w="0" w:type="auto"/>
            <w:hideMark/>
          </w:tcPr>
          <w:p w14:paraId="5C753644"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Key Findings &amp; Differentiation</w:t>
            </w:r>
          </w:p>
        </w:tc>
      </w:tr>
      <w:tr w:rsidR="00FD26B0" w:rsidRPr="00F467AE" w14:paraId="31588CB6"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B20944D"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[1, 2, 3, 4]</w:t>
            </w:r>
          </w:p>
        </w:tc>
        <w:tc>
          <w:tcPr>
            <w:tcW w:w="0" w:type="auto"/>
            <w:hideMark/>
          </w:tcPr>
          <w:p w14:paraId="3BE63B2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 Clinical Reviews</w:t>
            </w:r>
          </w:p>
        </w:tc>
        <w:tc>
          <w:tcPr>
            <w:tcW w:w="0" w:type="auto"/>
            <w:hideMark/>
          </w:tcPr>
          <w:p w14:paraId="0A77C6DF"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301516F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Classical VDR Pathway</w:t>
            </w:r>
          </w:p>
        </w:tc>
        <w:tc>
          <w:tcPr>
            <w:tcW w:w="0" w:type="auto"/>
            <w:hideMark/>
          </w:tcPr>
          <w:p w14:paraId="341F56F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Established the baseline for vitamin D metabolism and its traditional roles in skeletal health and immune modulation.</w:t>
            </w:r>
          </w:p>
        </w:tc>
      </w:tr>
      <w:tr w:rsidR="00FD26B0" w:rsidRPr="00F467AE" w14:paraId="17A09685"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D1AFE6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 6, 7]</w:t>
            </w:r>
          </w:p>
        </w:tc>
        <w:tc>
          <w:tcPr>
            <w:tcW w:w="0" w:type="auto"/>
            <w:hideMark/>
          </w:tcPr>
          <w:p w14:paraId="7F9F936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Translational Experimental</w:t>
            </w:r>
          </w:p>
        </w:tc>
        <w:tc>
          <w:tcPr>
            <w:tcW w:w="0" w:type="auto"/>
            <w:hideMark/>
          </w:tcPr>
          <w:p w14:paraId="27E6E7A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Human/Mouse Skin</w:t>
            </w:r>
          </w:p>
        </w:tc>
        <w:tc>
          <w:tcPr>
            <w:tcW w:w="0" w:type="auto"/>
            <w:hideMark/>
          </w:tcPr>
          <w:p w14:paraId="6050E63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Cutaneous HPA Axis</w:t>
            </w:r>
          </w:p>
        </w:tc>
        <w:tc>
          <w:tcPr>
            <w:tcW w:w="0" w:type="auto"/>
            <w:hideMark/>
          </w:tcPr>
          <w:p w14:paraId="1A9D17A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Differentiated the skin as an independent endocrine organ capable of producing CRH and ACTH in response to UV.</w:t>
            </w:r>
          </w:p>
        </w:tc>
      </w:tr>
      <w:tr w:rsidR="00FD26B0" w:rsidRPr="00F467AE" w14:paraId="4CF8A3D3"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06BB18A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[8, 9, 10, 11]</w:t>
            </w:r>
          </w:p>
        </w:tc>
        <w:tc>
          <w:tcPr>
            <w:tcW w:w="0" w:type="auto"/>
            <w:hideMark/>
          </w:tcPr>
          <w:p w14:paraId="52AE6CB4"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Enzymology / LC-MS/MS</w:t>
            </w:r>
          </w:p>
        </w:tc>
        <w:tc>
          <w:tcPr>
            <w:tcW w:w="0" w:type="auto"/>
            <w:hideMark/>
          </w:tcPr>
          <w:p w14:paraId="088D16A7"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Purified CYP11A1</w:t>
            </w:r>
          </w:p>
        </w:tc>
        <w:tc>
          <w:tcPr>
            <w:tcW w:w="0" w:type="auto"/>
            <w:hideMark/>
          </w:tcPr>
          <w:p w14:paraId="27AAAF4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Alternative Pathway</w:t>
            </w:r>
          </w:p>
        </w:tc>
        <w:tc>
          <w:tcPr>
            <w:tcW w:w="0" w:type="auto"/>
            <w:hideMark/>
          </w:tcPr>
          <w:p w14:paraId="5A14045F"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Identified CYP11A1 as the initiating enzyme for 20-hydroxyvitamin D3 production, distinct from the renal 1α-hydroxylase pathway.</w:t>
            </w:r>
          </w:p>
        </w:tc>
      </w:tr>
      <w:tr w:rsidR="00FD26B0" w:rsidRPr="00F467AE" w14:paraId="341F2FC1"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79B1C465"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[12, 13, 14, 15]</w:t>
            </w:r>
          </w:p>
        </w:tc>
        <w:tc>
          <w:tcPr>
            <w:tcW w:w="0" w:type="auto"/>
            <w:hideMark/>
          </w:tcPr>
          <w:p w14:paraId="33C8425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Molecular Mechanism</w:t>
            </w:r>
          </w:p>
        </w:tc>
        <w:tc>
          <w:tcPr>
            <w:tcW w:w="0" w:type="auto"/>
            <w:hideMark/>
          </w:tcPr>
          <w:p w14:paraId="24A6C460"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 vitro Binding Assays</w:t>
            </w:r>
          </w:p>
        </w:tc>
        <w:tc>
          <w:tcPr>
            <w:tcW w:w="0" w:type="auto"/>
            <w:hideMark/>
          </w:tcPr>
          <w:p w14:paraId="2CC8618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RORα/γ and AhR</w:t>
            </w:r>
          </w:p>
        </w:tc>
        <w:tc>
          <w:tcPr>
            <w:tcW w:w="0" w:type="auto"/>
            <w:hideMark/>
          </w:tcPr>
          <w:p w14:paraId="1E51686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Defined these secosteroids as </w:t>
            </w:r>
            <w:r w:rsidRPr="00F467AE">
              <w:rPr>
                <w:rFonts w:asciiTheme="minorBidi" w:hAnsiTheme="minorBidi"/>
                <w:b/>
                <w:bCs/>
                <w:sz w:val="20"/>
                <w:szCs w:val="20"/>
              </w:rPr>
              <w:t>inverse agonists</w:t>
            </w:r>
            <w:r w:rsidRPr="00F467AE">
              <w:rPr>
                <w:rFonts w:asciiTheme="minorBidi" w:hAnsiTheme="minorBidi"/>
                <w:sz w:val="20"/>
                <w:szCs w:val="20"/>
              </w:rPr>
              <w:t xml:space="preserve"> of ROR receptors, providing the molecular "switch" for clock gene regulation.</w:t>
            </w:r>
          </w:p>
        </w:tc>
      </w:tr>
      <w:tr w:rsidR="00FD26B0" w:rsidRPr="00F467AE" w14:paraId="3E28D68E"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B77CE04"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[16, 17, 18, 19]</w:t>
            </w:r>
          </w:p>
        </w:tc>
        <w:tc>
          <w:tcPr>
            <w:tcW w:w="0" w:type="auto"/>
            <w:hideMark/>
          </w:tcPr>
          <w:p w14:paraId="2E272D3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Molecular Biology</w:t>
            </w:r>
          </w:p>
        </w:tc>
        <w:tc>
          <w:tcPr>
            <w:tcW w:w="0" w:type="auto"/>
            <w:hideMark/>
          </w:tcPr>
          <w:p w14:paraId="2FFDA46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Cell Culture / Animal</w:t>
            </w:r>
          </w:p>
        </w:tc>
        <w:tc>
          <w:tcPr>
            <w:tcW w:w="0" w:type="auto"/>
            <w:hideMark/>
          </w:tcPr>
          <w:p w14:paraId="30995AC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Core Clock (BMAL1)</w:t>
            </w:r>
          </w:p>
        </w:tc>
        <w:tc>
          <w:tcPr>
            <w:tcW w:w="0" w:type="auto"/>
            <w:hideMark/>
          </w:tcPr>
          <w:p w14:paraId="063BC60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Demonstrated the direct suppression of </w:t>
            </w:r>
            <w:r w:rsidRPr="00F467AE">
              <w:rPr>
                <w:rFonts w:asciiTheme="minorBidi" w:hAnsiTheme="minorBidi"/>
                <w:i/>
                <w:iCs/>
                <w:sz w:val="20"/>
                <w:szCs w:val="20"/>
              </w:rPr>
              <w:t>BMAL1</w:t>
            </w:r>
            <w:r w:rsidRPr="00F467AE">
              <w:rPr>
                <w:rFonts w:asciiTheme="minorBidi" w:hAnsiTheme="minorBidi"/>
                <w:sz w:val="20"/>
                <w:szCs w:val="20"/>
              </w:rPr>
              <w:t xml:space="preserve"> and modulation of </w:t>
            </w:r>
            <w:r w:rsidRPr="00F467AE">
              <w:rPr>
                <w:rFonts w:asciiTheme="minorBidi" w:hAnsiTheme="minorBidi"/>
                <w:i/>
                <w:iCs/>
                <w:sz w:val="20"/>
                <w:szCs w:val="20"/>
              </w:rPr>
              <w:t>PER2</w:t>
            </w:r>
            <w:r w:rsidRPr="00F467AE">
              <w:rPr>
                <w:rFonts w:asciiTheme="minorBidi" w:hAnsiTheme="minorBidi"/>
                <w:sz w:val="20"/>
                <w:szCs w:val="20"/>
              </w:rPr>
              <w:t xml:space="preserve"> by CYP11A1-derived metabolites.</w:t>
            </w:r>
          </w:p>
        </w:tc>
      </w:tr>
      <w:tr w:rsidR="00FD26B0" w:rsidRPr="00F467AE" w14:paraId="4AA32A5F"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3FBBE186"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[20, 21]</w:t>
            </w:r>
          </w:p>
        </w:tc>
        <w:tc>
          <w:tcPr>
            <w:tcW w:w="0" w:type="auto"/>
            <w:hideMark/>
          </w:tcPr>
          <w:p w14:paraId="25C7A6A6"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Genomic / Epigenetic</w:t>
            </w:r>
          </w:p>
        </w:tc>
        <w:tc>
          <w:tcPr>
            <w:tcW w:w="0" w:type="auto"/>
            <w:hideMark/>
          </w:tcPr>
          <w:p w14:paraId="77510764"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 Genome Data</w:t>
            </w:r>
          </w:p>
        </w:tc>
        <w:tc>
          <w:tcPr>
            <w:tcW w:w="0" w:type="auto"/>
            <w:hideMark/>
          </w:tcPr>
          <w:p w14:paraId="7A958667"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Epigenome</w:t>
            </w:r>
          </w:p>
        </w:tc>
        <w:tc>
          <w:tcPr>
            <w:tcW w:w="0" w:type="auto"/>
            <w:hideMark/>
          </w:tcPr>
          <w:p w14:paraId="55522004"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Outlined the role of secosteroids in maintaining the epigenetic landscape required for circadian gene oscillations.</w:t>
            </w:r>
          </w:p>
        </w:tc>
      </w:tr>
      <w:tr w:rsidR="00FD26B0" w:rsidRPr="00F467AE" w14:paraId="57A75A58"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709D4E15"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[22, 23, 24, 25, 26]</w:t>
            </w:r>
          </w:p>
        </w:tc>
        <w:tc>
          <w:tcPr>
            <w:tcW w:w="0" w:type="auto"/>
            <w:hideMark/>
          </w:tcPr>
          <w:p w14:paraId="5DC9781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Methodological</w:t>
            </w:r>
          </w:p>
        </w:tc>
        <w:tc>
          <w:tcPr>
            <w:tcW w:w="0" w:type="auto"/>
            <w:hideMark/>
          </w:tcPr>
          <w:p w14:paraId="1510B29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3CA0397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PRISMA/Bioinformatics</w:t>
            </w:r>
          </w:p>
        </w:tc>
        <w:tc>
          <w:tcPr>
            <w:tcW w:w="0" w:type="auto"/>
            <w:hideMark/>
          </w:tcPr>
          <w:p w14:paraId="69C8CE8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Provided the framework for systematic synthesis and the identification of "hub genes" linking D3 to the clock.</w:t>
            </w:r>
          </w:p>
        </w:tc>
      </w:tr>
      <w:tr w:rsidR="00FD26B0" w:rsidRPr="00F467AE" w14:paraId="5A1EAE5E"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A41CB3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[27, 28, 29, 30, 31, 32, 33, 34]</w:t>
            </w:r>
          </w:p>
        </w:tc>
        <w:tc>
          <w:tcPr>
            <w:tcW w:w="0" w:type="auto"/>
            <w:hideMark/>
          </w:tcPr>
          <w:p w14:paraId="591EEB3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Photochemistry / Biochemical</w:t>
            </w:r>
          </w:p>
        </w:tc>
        <w:tc>
          <w:tcPr>
            <w:tcW w:w="0" w:type="auto"/>
            <w:hideMark/>
          </w:tcPr>
          <w:p w14:paraId="12330AE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Models</w:t>
            </w:r>
          </w:p>
        </w:tc>
        <w:tc>
          <w:tcPr>
            <w:tcW w:w="0" w:type="auto"/>
            <w:hideMark/>
          </w:tcPr>
          <w:p w14:paraId="4B35286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Lumisterol/Tachysterol</w:t>
            </w:r>
          </w:p>
        </w:tc>
        <w:tc>
          <w:tcPr>
            <w:tcW w:w="0" w:type="auto"/>
            <w:hideMark/>
          </w:tcPr>
          <w:p w14:paraId="515C39B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Proved that non-canonical photoproducts of 7-DHC are metabolized into active, anti-inflammatory signals via CYP11A1.</w:t>
            </w:r>
          </w:p>
        </w:tc>
      </w:tr>
      <w:tr w:rsidR="00FD26B0" w:rsidRPr="00F467AE" w14:paraId="4A6754A0"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66142F47"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lastRenderedPageBreak/>
              <w:t>[35, 36, 37, 38]</w:t>
            </w:r>
          </w:p>
        </w:tc>
        <w:tc>
          <w:tcPr>
            <w:tcW w:w="0" w:type="auto"/>
            <w:hideMark/>
          </w:tcPr>
          <w:p w14:paraId="2F669C8C"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Clinical Observational</w:t>
            </w:r>
          </w:p>
        </w:tc>
        <w:tc>
          <w:tcPr>
            <w:tcW w:w="0" w:type="auto"/>
            <w:hideMark/>
          </w:tcPr>
          <w:p w14:paraId="0E9073F7"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 Patient Data</w:t>
            </w:r>
          </w:p>
        </w:tc>
        <w:tc>
          <w:tcPr>
            <w:tcW w:w="0" w:type="auto"/>
            <w:hideMark/>
          </w:tcPr>
          <w:p w14:paraId="56BD7AAF"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HPT Axis (Thyroid)</w:t>
            </w:r>
          </w:p>
        </w:tc>
        <w:tc>
          <w:tcPr>
            <w:tcW w:w="0" w:type="auto"/>
            <w:hideMark/>
          </w:tcPr>
          <w:p w14:paraId="3E186F0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Linked vitamin D status and rhythmicity to TSH stability and thyroid-related autoimmune markers.</w:t>
            </w:r>
          </w:p>
        </w:tc>
      </w:tr>
      <w:tr w:rsidR="00FD26B0" w:rsidRPr="00F467AE" w14:paraId="3012AB42"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7926611A"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[39, 40, 41]</w:t>
            </w:r>
          </w:p>
        </w:tc>
        <w:tc>
          <w:tcPr>
            <w:tcW w:w="0" w:type="auto"/>
            <w:hideMark/>
          </w:tcPr>
          <w:p w14:paraId="506820A0"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Pediatric Clinical</w:t>
            </w:r>
          </w:p>
        </w:tc>
        <w:tc>
          <w:tcPr>
            <w:tcW w:w="0" w:type="auto"/>
            <w:hideMark/>
          </w:tcPr>
          <w:p w14:paraId="45B86F7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Cohorts (n &gt; 500)</w:t>
            </w:r>
          </w:p>
        </w:tc>
        <w:tc>
          <w:tcPr>
            <w:tcW w:w="0" w:type="auto"/>
            <w:hideMark/>
          </w:tcPr>
          <w:p w14:paraId="4F99242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Growth Hormone (GH)</w:t>
            </w:r>
          </w:p>
        </w:tc>
        <w:tc>
          <w:tcPr>
            <w:tcW w:w="0" w:type="auto"/>
            <w:hideMark/>
          </w:tcPr>
          <w:p w14:paraId="410D235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Found that vitamin D status correlates with GH pulsatility and IGF-1 sensitivity in developing children.</w:t>
            </w:r>
          </w:p>
        </w:tc>
      </w:tr>
      <w:tr w:rsidR="00FD26B0" w:rsidRPr="00F467AE" w14:paraId="38A919A6"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5740E236"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[42, 43, 44, 45, 46, 47, 48]</w:t>
            </w:r>
          </w:p>
        </w:tc>
        <w:tc>
          <w:tcPr>
            <w:tcW w:w="0" w:type="auto"/>
            <w:hideMark/>
          </w:tcPr>
          <w:p w14:paraId="6F33064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Comparative / Biological</w:t>
            </w:r>
          </w:p>
        </w:tc>
        <w:tc>
          <w:tcPr>
            <w:tcW w:w="0" w:type="auto"/>
            <w:hideMark/>
          </w:tcPr>
          <w:p w14:paraId="1385021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Review / Animal Models</w:t>
            </w:r>
          </w:p>
        </w:tc>
        <w:tc>
          <w:tcPr>
            <w:tcW w:w="0" w:type="auto"/>
            <w:hideMark/>
          </w:tcPr>
          <w:p w14:paraId="70AE625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Melatonin &amp; Light-Dark</w:t>
            </w:r>
          </w:p>
        </w:tc>
        <w:tc>
          <w:tcPr>
            <w:tcW w:w="0" w:type="auto"/>
            <w:hideMark/>
          </w:tcPr>
          <w:p w14:paraId="6D001EC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Explored the synergy between daylight-induced secosteroids and nighttime melatonin in maintaining homeostasis.</w:t>
            </w:r>
          </w:p>
        </w:tc>
      </w:tr>
      <w:tr w:rsidR="00FD26B0" w:rsidRPr="00F467AE" w14:paraId="2CD7381C"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A49C40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[49, 50, 51]</w:t>
            </w:r>
          </w:p>
        </w:tc>
        <w:tc>
          <w:tcPr>
            <w:tcW w:w="0" w:type="auto"/>
            <w:hideMark/>
          </w:tcPr>
          <w:p w14:paraId="0AF3234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Bioenergetics</w:t>
            </w:r>
          </w:p>
        </w:tc>
        <w:tc>
          <w:tcPr>
            <w:tcW w:w="0" w:type="auto"/>
            <w:hideMark/>
          </w:tcPr>
          <w:p w14:paraId="2C9C4A1C"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 vitro Molecular</w:t>
            </w:r>
          </w:p>
        </w:tc>
        <w:tc>
          <w:tcPr>
            <w:tcW w:w="0" w:type="auto"/>
            <w:hideMark/>
          </w:tcPr>
          <w:p w14:paraId="02D3D15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NAD+/NAMPT Loop</w:t>
            </w:r>
          </w:p>
        </w:tc>
        <w:tc>
          <w:tcPr>
            <w:tcW w:w="0" w:type="auto"/>
            <w:hideMark/>
          </w:tcPr>
          <w:p w14:paraId="1311CC4C"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Connected the secosteroid axis to cellular metabolic "clocks" via the NAD+ salvage pathway.</w:t>
            </w:r>
          </w:p>
        </w:tc>
      </w:tr>
      <w:tr w:rsidR="00FD26B0" w:rsidRPr="00F467AE" w14:paraId="01D76C06"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57905300"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[52, 53]</w:t>
            </w:r>
          </w:p>
        </w:tc>
        <w:tc>
          <w:tcPr>
            <w:tcW w:w="0" w:type="auto"/>
            <w:hideMark/>
          </w:tcPr>
          <w:p w14:paraId="56CD161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Clinical Therapeutic</w:t>
            </w:r>
          </w:p>
        </w:tc>
        <w:tc>
          <w:tcPr>
            <w:tcW w:w="0" w:type="auto"/>
            <w:hideMark/>
          </w:tcPr>
          <w:p w14:paraId="14D6650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 (SAD/Sleep)</w:t>
            </w:r>
          </w:p>
        </w:tc>
        <w:tc>
          <w:tcPr>
            <w:tcW w:w="0" w:type="auto"/>
            <w:hideMark/>
          </w:tcPr>
          <w:p w14:paraId="7FEF69A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Mood &amp; Circadian Phase</w:t>
            </w:r>
          </w:p>
        </w:tc>
        <w:tc>
          <w:tcPr>
            <w:tcW w:w="0" w:type="auto"/>
            <w:hideMark/>
          </w:tcPr>
          <w:p w14:paraId="1EB4316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Evaluated the efficacy of vitamin D in treating Seasonal Affective Disorder and sleep-wake cycle disruptions.</w:t>
            </w:r>
          </w:p>
        </w:tc>
      </w:tr>
      <w:tr w:rsidR="00FD26B0" w:rsidRPr="00F467AE" w14:paraId="30A7A404"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057D97A"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[54, 55, 56, 57, 58]</w:t>
            </w:r>
          </w:p>
        </w:tc>
        <w:tc>
          <w:tcPr>
            <w:tcW w:w="0" w:type="auto"/>
            <w:hideMark/>
          </w:tcPr>
          <w:p w14:paraId="053EF91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Systems Biology</w:t>
            </w:r>
          </w:p>
        </w:tc>
        <w:tc>
          <w:tcPr>
            <w:tcW w:w="0" w:type="auto"/>
            <w:hideMark/>
          </w:tcPr>
          <w:p w14:paraId="5BE7853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Computational Meta-analysis</w:t>
            </w:r>
          </w:p>
        </w:tc>
        <w:tc>
          <w:tcPr>
            <w:tcW w:w="0" w:type="auto"/>
            <w:hideMark/>
          </w:tcPr>
          <w:p w14:paraId="5BEE1A8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Organ-Level Rhythms</w:t>
            </w:r>
          </w:p>
        </w:tc>
        <w:tc>
          <w:tcPr>
            <w:tcW w:w="0" w:type="auto"/>
            <w:hideMark/>
          </w:tcPr>
          <w:p w14:paraId="587C391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Integrated data across liver, muscle, and brain to map the multi-organ impact of secosteroid signaling.</w:t>
            </w:r>
          </w:p>
        </w:tc>
      </w:tr>
      <w:tr w:rsidR="00FD26B0" w:rsidRPr="00F467AE" w14:paraId="5337D5C3"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A4BF3D0"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[59, 60, 61]</w:t>
            </w:r>
          </w:p>
        </w:tc>
        <w:tc>
          <w:tcPr>
            <w:tcW w:w="0" w:type="auto"/>
            <w:hideMark/>
          </w:tcPr>
          <w:p w14:paraId="3ED53B8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Pediatric / Metabolic</w:t>
            </w:r>
          </w:p>
        </w:tc>
        <w:tc>
          <w:tcPr>
            <w:tcW w:w="0" w:type="auto"/>
            <w:hideMark/>
          </w:tcPr>
          <w:p w14:paraId="155A1A3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Patient Observations</w:t>
            </w:r>
          </w:p>
        </w:tc>
        <w:tc>
          <w:tcPr>
            <w:tcW w:w="0" w:type="auto"/>
            <w:hideMark/>
          </w:tcPr>
          <w:p w14:paraId="3CAB835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IGF-1 Regulation</w:t>
            </w:r>
          </w:p>
        </w:tc>
        <w:tc>
          <w:tcPr>
            <w:tcW w:w="0" w:type="auto"/>
            <w:hideMark/>
          </w:tcPr>
          <w:p w14:paraId="1ADAB3F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Further differentiated the role of secosteroids in metabolic-growth synchronization in adolescents.</w:t>
            </w:r>
          </w:p>
        </w:tc>
      </w:tr>
      <w:tr w:rsidR="00FD26B0" w:rsidRPr="00F467AE" w14:paraId="23AC2BB4"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010866A"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[62, 63, 64, 65, 66, 67]</w:t>
            </w:r>
          </w:p>
        </w:tc>
        <w:tc>
          <w:tcPr>
            <w:tcW w:w="0" w:type="auto"/>
            <w:hideMark/>
          </w:tcPr>
          <w:p w14:paraId="35014B8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Physiological / RBC</w:t>
            </w:r>
          </w:p>
        </w:tc>
        <w:tc>
          <w:tcPr>
            <w:tcW w:w="0" w:type="auto"/>
            <w:hideMark/>
          </w:tcPr>
          <w:p w14:paraId="0DBC3F2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Red Blood Cells / Systemic</w:t>
            </w:r>
          </w:p>
        </w:tc>
        <w:tc>
          <w:tcPr>
            <w:tcW w:w="0" w:type="auto"/>
            <w:hideMark/>
          </w:tcPr>
          <w:p w14:paraId="09CFC0B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Peripheral Clocks</w:t>
            </w:r>
          </w:p>
        </w:tc>
        <w:tc>
          <w:tcPr>
            <w:tcW w:w="0" w:type="auto"/>
            <w:hideMark/>
          </w:tcPr>
          <w:p w14:paraId="0220140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Demonstrated that circadian rhythms are maintained in non-nucleated cells (RBCs) and influenced by the hormonal environment.</w:t>
            </w:r>
          </w:p>
        </w:tc>
      </w:tr>
    </w:tbl>
    <w:p w14:paraId="74F536E4" w14:textId="5C862728" w:rsidR="0057606F" w:rsidRPr="00F467AE" w:rsidRDefault="0057606F" w:rsidP="00F324D1">
      <w:pPr>
        <w:spacing w:after="0"/>
        <w:rPr>
          <w:rFonts w:asciiTheme="minorBidi" w:hAnsiTheme="minorBidi"/>
          <w:sz w:val="20"/>
          <w:szCs w:val="20"/>
        </w:rPr>
      </w:pPr>
    </w:p>
    <w:p w14:paraId="173EEB69" w14:textId="681254AF" w:rsidR="00FD26B0" w:rsidRPr="00F467AE" w:rsidRDefault="00FD26B0" w:rsidP="00FD26B0">
      <w:pPr>
        <w:spacing w:after="0"/>
        <w:rPr>
          <w:rFonts w:asciiTheme="minorBidi" w:hAnsiTheme="minorBidi"/>
          <w:sz w:val="20"/>
          <w:szCs w:val="20"/>
        </w:rPr>
      </w:pPr>
      <w:r w:rsidRPr="00F467AE">
        <w:rPr>
          <w:rFonts w:asciiTheme="minorBidi" w:hAnsiTheme="minorBidi"/>
          <w:sz w:val="20"/>
          <w:szCs w:val="20"/>
        </w:rPr>
        <w:t xml:space="preserve">Table 1 differentiates the studies into foundational biochemistry (to satisfy the "how"), molecular mechanisms (to satisfy the "why"), and clinical observations (to satisfy the "impact"). </w:t>
      </w:r>
    </w:p>
    <w:p w14:paraId="368D9349" w14:textId="77777777" w:rsidR="00FD26B0" w:rsidRPr="00F467AE" w:rsidRDefault="00FD26B0" w:rsidP="00F324D1">
      <w:pPr>
        <w:spacing w:after="0"/>
        <w:rPr>
          <w:rFonts w:asciiTheme="minorBidi" w:hAnsiTheme="minorBidi"/>
          <w:sz w:val="20"/>
          <w:szCs w:val="20"/>
        </w:rPr>
      </w:pPr>
    </w:p>
    <w:p w14:paraId="7E47BF96" w14:textId="3CC3FC20"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801BA3" w:rsidRPr="00F467AE">
        <w:rPr>
          <w:rFonts w:asciiTheme="minorBidi" w:hAnsiTheme="minorBidi"/>
          <w:b/>
          <w:bCs/>
          <w:sz w:val="20"/>
          <w:szCs w:val="20"/>
        </w:rPr>
        <w:t>2</w:t>
      </w:r>
      <w:r w:rsidRPr="00F467AE">
        <w:rPr>
          <w:rFonts w:asciiTheme="minorBidi" w:hAnsiTheme="minorBidi"/>
          <w:b/>
          <w:bCs/>
          <w:sz w:val="20"/>
          <w:szCs w:val="20"/>
        </w:rPr>
        <w:t>. Primary CYP11A1-Derived Secosteroid Metabolites and Their Cutaneous Sources</w:t>
      </w:r>
    </w:p>
    <w:tbl>
      <w:tblPr>
        <w:tblStyle w:val="GridTable1Light-Accent1"/>
        <w:tblW w:w="0" w:type="auto"/>
        <w:tblLook w:val="04A0" w:firstRow="1" w:lastRow="0" w:firstColumn="1" w:lastColumn="0" w:noHBand="0" w:noVBand="1"/>
      </w:tblPr>
      <w:tblGrid>
        <w:gridCol w:w="2129"/>
        <w:gridCol w:w="3085"/>
        <w:gridCol w:w="2999"/>
        <w:gridCol w:w="1137"/>
      </w:tblGrid>
      <w:tr w:rsidR="0057606F" w:rsidRPr="00F467AE" w14:paraId="107B2AC6" w14:textId="77777777" w:rsidTr="00BA0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8DD9F3" w14:textId="77777777"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Substrate</w:t>
            </w:r>
          </w:p>
        </w:tc>
        <w:tc>
          <w:tcPr>
            <w:tcW w:w="0" w:type="auto"/>
            <w:hideMark/>
          </w:tcPr>
          <w:p w14:paraId="59EF0DE0"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Primary CYP11A1-Derived Metabolites</w:t>
            </w:r>
          </w:p>
        </w:tc>
        <w:tc>
          <w:tcPr>
            <w:tcW w:w="0" w:type="auto"/>
            <w:hideMark/>
          </w:tcPr>
          <w:p w14:paraId="42F438F8"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Key Biological Properties</w:t>
            </w:r>
          </w:p>
        </w:tc>
        <w:tc>
          <w:tcPr>
            <w:tcW w:w="0" w:type="auto"/>
            <w:hideMark/>
          </w:tcPr>
          <w:p w14:paraId="2E3A5FD5"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Evidence</w:t>
            </w:r>
          </w:p>
        </w:tc>
      </w:tr>
      <w:tr w:rsidR="0057606F" w:rsidRPr="00F467AE" w14:paraId="519D1A7D"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6024B0D7" w14:textId="77777777"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Vitamin D</w:t>
            </w:r>
            <w:r w:rsidRPr="00F467AE">
              <w:rPr>
                <w:rFonts w:ascii="Cambria Math" w:hAnsi="Cambria Math" w:cs="Cambria Math"/>
                <w:sz w:val="20"/>
                <w:szCs w:val="20"/>
              </w:rPr>
              <w:t>₃</w:t>
            </w:r>
          </w:p>
        </w:tc>
        <w:tc>
          <w:tcPr>
            <w:tcW w:w="0" w:type="auto"/>
            <w:hideMark/>
          </w:tcPr>
          <w:p w14:paraId="7AA109CF" w14:textId="14C24FCF"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20-hydroxyvitamin D</w:t>
            </w:r>
            <w:r w:rsidRPr="00F467AE">
              <w:rPr>
                <w:rFonts w:ascii="Cambria Math" w:hAnsi="Cambria Math" w:cs="Cambria Math"/>
                <w:sz w:val="20"/>
                <w:szCs w:val="20"/>
              </w:rPr>
              <w:t>₃</w:t>
            </w:r>
            <w:r w:rsidRPr="00F467AE">
              <w:rPr>
                <w:rFonts w:asciiTheme="minorBidi" w:hAnsiTheme="minorBidi"/>
                <w:sz w:val="20"/>
                <w:szCs w:val="20"/>
              </w:rPr>
              <w:t xml:space="preserve">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20,23-dihydroxyvitamin D</w:t>
            </w:r>
            <w:r w:rsidRPr="00F467AE">
              <w:rPr>
                <w:rFonts w:ascii="Cambria Math" w:hAnsi="Cambria Math" w:cs="Cambria Math"/>
                <w:sz w:val="20"/>
                <w:szCs w:val="20"/>
              </w:rPr>
              <w:t>₃</w:t>
            </w:r>
            <w:r w:rsidRPr="00F467AE">
              <w:rPr>
                <w:rFonts w:asciiTheme="minorBidi" w:hAnsiTheme="minorBidi"/>
                <w:sz w:val="20"/>
                <w:szCs w:val="20"/>
              </w:rPr>
              <w:t xml:space="preserve">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w:t>
            </w:r>
          </w:p>
        </w:tc>
        <w:tc>
          <w:tcPr>
            <w:tcW w:w="0" w:type="auto"/>
            <w:hideMark/>
          </w:tcPr>
          <w:p w14:paraId="0F02450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Non-calcemic; anti-proliferative; immunomodulatory; inverse agonism at RORα/γ</w:t>
            </w:r>
          </w:p>
        </w:tc>
        <w:tc>
          <w:tcPr>
            <w:tcW w:w="0" w:type="auto"/>
            <w:hideMark/>
          </w:tcPr>
          <w:p w14:paraId="651E2C79" w14:textId="2B46C5FC"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 9–11, 13</w:t>
            </w:r>
            <w:r w:rsidRPr="00F467AE">
              <w:rPr>
                <w:rFonts w:asciiTheme="minorBidi" w:hAnsiTheme="minorBidi"/>
                <w:sz w:val="20"/>
                <w:szCs w:val="20"/>
              </w:rPr>
              <w:t>]</w:t>
            </w:r>
          </w:p>
        </w:tc>
      </w:tr>
      <w:tr w:rsidR="0057606F" w:rsidRPr="00F467AE" w14:paraId="5B422E8B"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130E02E8" w14:textId="319282E2"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lastRenderedPageBreak/>
              <w:t xml:space="preserve">Lumisterol </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r w:rsidR="00500A62" w:rsidRPr="00F467AE">
              <w:rPr>
                <w:rFonts w:asciiTheme="minorBidi" w:hAnsiTheme="minorBidi"/>
                <w:sz w:val="20"/>
                <w:szCs w:val="20"/>
              </w:rPr>
              <w:t>]</w:t>
            </w:r>
          </w:p>
        </w:tc>
        <w:tc>
          <w:tcPr>
            <w:tcW w:w="0" w:type="auto"/>
            <w:hideMark/>
          </w:tcPr>
          <w:p w14:paraId="1B923B6D" w14:textId="730455AD"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r w:rsidRPr="00F467AE">
              <w:rPr>
                <w:rFonts w:asciiTheme="minorBidi" w:hAnsiTheme="minorBidi"/>
                <w:sz w:val="20"/>
                <w:szCs w:val="20"/>
              </w:rPr>
              <w:t>; 22</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p>
        </w:tc>
        <w:tc>
          <w:tcPr>
            <w:tcW w:w="0" w:type="auto"/>
            <w:hideMark/>
          </w:tcPr>
          <w:p w14:paraId="53FE807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Anti-fibrotic; anti-inflammatory; AhR and LXR signaling</w:t>
            </w:r>
          </w:p>
        </w:tc>
        <w:tc>
          <w:tcPr>
            <w:tcW w:w="0" w:type="auto"/>
            <w:hideMark/>
          </w:tcPr>
          <w:p w14:paraId="65933416" w14:textId="278668B7"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27–29</w:t>
            </w:r>
            <w:r w:rsidRPr="00F467AE">
              <w:rPr>
                <w:rFonts w:asciiTheme="minorBidi" w:hAnsiTheme="minorBidi"/>
                <w:sz w:val="20"/>
                <w:szCs w:val="20"/>
              </w:rPr>
              <w:t>]</w:t>
            </w:r>
          </w:p>
        </w:tc>
      </w:tr>
      <w:tr w:rsidR="0057606F" w:rsidRPr="00F467AE" w14:paraId="30398B5A"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150082AF" w14:textId="4CB6653F"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 xml:space="preserve">Tachysterol </w:t>
            </w:r>
            <w:r w:rsidR="00500A62" w:rsidRPr="00F467AE">
              <w:rPr>
                <w:rFonts w:asciiTheme="minorBidi" w:hAnsiTheme="minorBidi"/>
                <w:sz w:val="20"/>
                <w:szCs w:val="20"/>
              </w:rPr>
              <w:t>[</w:t>
            </w:r>
            <w:r w:rsidRPr="00F467AE">
              <w:rPr>
                <w:rFonts w:asciiTheme="minorBidi" w:hAnsiTheme="minorBidi"/>
                <w:sz w:val="20"/>
                <w:szCs w:val="20"/>
              </w:rPr>
              <w:t>T</w:t>
            </w:r>
            <w:r w:rsidRPr="00F467AE">
              <w:rPr>
                <w:rFonts w:ascii="Cambria Math" w:hAnsi="Cambria Math" w:cs="Cambria Math"/>
                <w:sz w:val="20"/>
                <w:szCs w:val="20"/>
              </w:rPr>
              <w:t>₃</w:t>
            </w:r>
            <w:r w:rsidR="00500A62" w:rsidRPr="00F467AE">
              <w:rPr>
                <w:rFonts w:asciiTheme="minorBidi" w:hAnsiTheme="minorBidi"/>
                <w:sz w:val="20"/>
                <w:szCs w:val="20"/>
              </w:rPr>
              <w:t>]</w:t>
            </w:r>
          </w:p>
        </w:tc>
        <w:tc>
          <w:tcPr>
            <w:tcW w:w="0" w:type="auto"/>
            <w:hideMark/>
          </w:tcPr>
          <w:p w14:paraId="4FA23489" w14:textId="0687723D"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20S</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T</w:t>
            </w:r>
            <w:r w:rsidRPr="00F467AE">
              <w:rPr>
                <w:rFonts w:ascii="Cambria Math" w:hAnsi="Cambria Math" w:cs="Cambria Math"/>
                <w:sz w:val="20"/>
                <w:szCs w:val="20"/>
              </w:rPr>
              <w:t>₃</w:t>
            </w:r>
            <w:r w:rsidRPr="00F467AE">
              <w:rPr>
                <w:rFonts w:asciiTheme="minorBidi" w:hAnsiTheme="minorBidi"/>
                <w:sz w:val="20"/>
                <w:szCs w:val="20"/>
              </w:rPr>
              <w:t>;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T</w:t>
            </w:r>
            <w:r w:rsidRPr="00F467AE">
              <w:rPr>
                <w:rFonts w:ascii="Cambria Math" w:hAnsi="Cambria Math" w:cs="Cambria Math"/>
                <w:sz w:val="20"/>
                <w:szCs w:val="20"/>
              </w:rPr>
              <w:t>₃</w:t>
            </w:r>
          </w:p>
        </w:tc>
        <w:tc>
          <w:tcPr>
            <w:tcW w:w="0" w:type="auto"/>
            <w:hideMark/>
          </w:tcPr>
          <w:p w14:paraId="1CC6581E"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Anti-melanoma; photoprotective; weak genomic VDR activity</w:t>
            </w:r>
          </w:p>
        </w:tc>
        <w:tc>
          <w:tcPr>
            <w:tcW w:w="0" w:type="auto"/>
            <w:hideMark/>
          </w:tcPr>
          <w:p w14:paraId="002F4368" w14:textId="5F4CC73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30, 31</w:t>
            </w:r>
            <w:r w:rsidRPr="00F467AE">
              <w:rPr>
                <w:rFonts w:asciiTheme="minorBidi" w:hAnsiTheme="minorBidi"/>
                <w:sz w:val="20"/>
                <w:szCs w:val="20"/>
              </w:rPr>
              <w:t>]</w:t>
            </w:r>
          </w:p>
        </w:tc>
      </w:tr>
      <w:tr w:rsidR="0057606F" w:rsidRPr="00F467AE" w14:paraId="150DE604"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2AA3D9BC" w14:textId="77777777"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7-Dehydrocholesterol</w:t>
            </w:r>
          </w:p>
        </w:tc>
        <w:tc>
          <w:tcPr>
            <w:tcW w:w="0" w:type="auto"/>
            <w:hideMark/>
          </w:tcPr>
          <w:p w14:paraId="6AE4C195" w14:textId="708EFC39"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7-dehydropregnenolone </w:t>
            </w:r>
            <w:r w:rsidR="00500A62" w:rsidRPr="00F467AE">
              <w:rPr>
                <w:rFonts w:asciiTheme="minorBidi" w:hAnsiTheme="minorBidi"/>
                <w:sz w:val="20"/>
                <w:szCs w:val="20"/>
              </w:rPr>
              <w:t>[</w:t>
            </w:r>
            <w:r w:rsidRPr="00F467AE">
              <w:rPr>
                <w:rFonts w:asciiTheme="minorBidi" w:hAnsiTheme="minorBidi"/>
                <w:sz w:val="20"/>
                <w:szCs w:val="20"/>
              </w:rPr>
              <w:t>7-DHP</w:t>
            </w:r>
            <w:r w:rsidR="00500A62" w:rsidRPr="00F467AE">
              <w:rPr>
                <w:rFonts w:asciiTheme="minorBidi" w:hAnsiTheme="minorBidi"/>
                <w:sz w:val="20"/>
                <w:szCs w:val="20"/>
              </w:rPr>
              <w:t>]</w:t>
            </w:r>
          </w:p>
        </w:tc>
        <w:tc>
          <w:tcPr>
            <w:tcW w:w="0" w:type="auto"/>
            <w:hideMark/>
          </w:tcPr>
          <w:p w14:paraId="64E36B7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Intermediate linking secosteroid and steroid hormone synthesis</w:t>
            </w:r>
          </w:p>
        </w:tc>
        <w:tc>
          <w:tcPr>
            <w:tcW w:w="0" w:type="auto"/>
            <w:hideMark/>
          </w:tcPr>
          <w:p w14:paraId="039F65B8" w14:textId="187E3E04"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8, 32</w:t>
            </w:r>
            <w:r w:rsidRPr="00F467AE">
              <w:rPr>
                <w:rFonts w:asciiTheme="minorBidi" w:hAnsiTheme="minorBidi"/>
                <w:sz w:val="20"/>
                <w:szCs w:val="20"/>
              </w:rPr>
              <w:t>]</w:t>
            </w:r>
          </w:p>
        </w:tc>
      </w:tr>
    </w:tbl>
    <w:p w14:paraId="287CC647" w14:textId="77777777" w:rsidR="00C16CC9" w:rsidRPr="00F467AE" w:rsidRDefault="00C16CC9" w:rsidP="00F324D1">
      <w:pPr>
        <w:spacing w:after="0"/>
        <w:rPr>
          <w:rFonts w:asciiTheme="minorBidi" w:hAnsiTheme="minorBidi"/>
          <w:b/>
          <w:bCs/>
          <w:sz w:val="20"/>
          <w:szCs w:val="20"/>
        </w:rPr>
      </w:pPr>
    </w:p>
    <w:p w14:paraId="4C07B983" w14:textId="0271DA1D"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2</w:t>
      </w:r>
      <w:r w:rsidRPr="00F467AE">
        <w:rPr>
          <w:rFonts w:asciiTheme="minorBidi" w:hAnsiTheme="minorBidi"/>
          <w:sz w:val="20"/>
          <w:szCs w:val="20"/>
        </w:rPr>
        <w:t xml:space="preserve"> highlights the substrate flexibility of CYP11A1 in human skin, demonstrating its ability to generate a broad spectrum of biologically active, non-calcemic secosteroids from UVB-derived precursors. Importantly, several metabolites arise from photoproducts previously regarded as inactive bystanders, such as lumisterol and tachysterol, underscoring the skin’s function as a dynamic photoneuroendocrine organ rather than a passive site of vitamin D synthesis. These metabolites provide the biochemical foundation for circadian and immune regulation independent of calcium homeostasis.</w:t>
      </w:r>
    </w:p>
    <w:p w14:paraId="5F64C15C" w14:textId="4BE93A32" w:rsidR="0057606F" w:rsidRPr="00F467AE" w:rsidRDefault="0057606F" w:rsidP="00F324D1">
      <w:pPr>
        <w:spacing w:after="0"/>
        <w:rPr>
          <w:rFonts w:asciiTheme="minorBidi" w:hAnsiTheme="minorBidi"/>
          <w:sz w:val="20"/>
          <w:szCs w:val="20"/>
        </w:rPr>
      </w:pPr>
    </w:p>
    <w:p w14:paraId="375AE068" w14:textId="17EF642C"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3</w:t>
      </w:r>
      <w:r w:rsidRPr="00F467AE">
        <w:rPr>
          <w:rFonts w:asciiTheme="minorBidi" w:hAnsiTheme="minorBidi"/>
          <w:b/>
          <w:bCs/>
          <w:sz w:val="20"/>
          <w:szCs w:val="20"/>
        </w:rPr>
        <w:t>. Receptor Interaction Dynamics for CYP11A1-Derived Non-Canonical Secosteroids</w:t>
      </w:r>
    </w:p>
    <w:tbl>
      <w:tblPr>
        <w:tblStyle w:val="GridTable1Light-Accent1"/>
        <w:tblW w:w="0" w:type="auto"/>
        <w:tblLook w:val="04A0" w:firstRow="1" w:lastRow="0" w:firstColumn="1" w:lastColumn="0" w:noHBand="0" w:noVBand="1"/>
      </w:tblPr>
      <w:tblGrid>
        <w:gridCol w:w="1819"/>
        <w:gridCol w:w="2206"/>
        <w:gridCol w:w="1335"/>
        <w:gridCol w:w="2906"/>
        <w:gridCol w:w="1084"/>
      </w:tblGrid>
      <w:tr w:rsidR="0057606F" w:rsidRPr="00F467AE" w14:paraId="587B410D" w14:textId="77777777" w:rsidTr="0010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FC488"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Receptor</w:t>
            </w:r>
          </w:p>
        </w:tc>
        <w:tc>
          <w:tcPr>
            <w:tcW w:w="0" w:type="auto"/>
            <w:hideMark/>
          </w:tcPr>
          <w:p w14:paraId="59036B93" w14:textId="1A375A5E"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CYP11A1-Derived Ligand</w:t>
            </w:r>
            <w:r w:rsidR="00500A62" w:rsidRPr="00F467AE">
              <w:rPr>
                <w:rFonts w:asciiTheme="minorBidi" w:hAnsiTheme="minorBidi"/>
                <w:b w:val="0"/>
                <w:bCs w:val="0"/>
                <w:sz w:val="20"/>
                <w:szCs w:val="20"/>
              </w:rPr>
              <w:t>[</w:t>
            </w:r>
            <w:r w:rsidRPr="00F467AE">
              <w:rPr>
                <w:rFonts w:asciiTheme="minorBidi" w:hAnsiTheme="minorBidi"/>
                <w:b w:val="0"/>
                <w:bCs w:val="0"/>
                <w:sz w:val="20"/>
                <w:szCs w:val="20"/>
              </w:rPr>
              <w:t>s</w:t>
            </w:r>
            <w:r w:rsidR="00500A62" w:rsidRPr="00F467AE">
              <w:rPr>
                <w:rFonts w:asciiTheme="minorBidi" w:hAnsiTheme="minorBidi"/>
                <w:b w:val="0"/>
                <w:bCs w:val="0"/>
                <w:sz w:val="20"/>
                <w:szCs w:val="20"/>
              </w:rPr>
              <w:t>]</w:t>
            </w:r>
          </w:p>
        </w:tc>
        <w:tc>
          <w:tcPr>
            <w:tcW w:w="0" w:type="auto"/>
            <w:hideMark/>
          </w:tcPr>
          <w:p w14:paraId="7342BBE5"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Mode of Action</w:t>
            </w:r>
          </w:p>
        </w:tc>
        <w:tc>
          <w:tcPr>
            <w:tcW w:w="0" w:type="auto"/>
            <w:hideMark/>
          </w:tcPr>
          <w:p w14:paraId="622F23B2"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Functional Consequence</w:t>
            </w:r>
          </w:p>
        </w:tc>
        <w:tc>
          <w:tcPr>
            <w:tcW w:w="0" w:type="auto"/>
            <w:hideMark/>
          </w:tcPr>
          <w:p w14:paraId="457945E5"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3738AF74"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B7B67EB" w14:textId="07D6CCB4"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Vitamin D Receptor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VDR</w:t>
            </w:r>
            <w:r w:rsidR="00500A62" w:rsidRPr="00F467AE">
              <w:rPr>
                <w:rFonts w:asciiTheme="minorBidi" w:hAnsiTheme="minorBidi"/>
                <w:b w:val="0"/>
                <w:bCs w:val="0"/>
                <w:sz w:val="20"/>
                <w:szCs w:val="20"/>
              </w:rPr>
              <w:t>]</w:t>
            </w:r>
          </w:p>
        </w:tc>
        <w:tc>
          <w:tcPr>
            <w:tcW w:w="0" w:type="auto"/>
            <w:hideMark/>
          </w:tcPr>
          <w:p w14:paraId="184E4DD5" w14:textId="6A0C64EE"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1,20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0F0CA558"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Partial / biased agonism</w:t>
            </w:r>
          </w:p>
        </w:tc>
        <w:tc>
          <w:tcPr>
            <w:tcW w:w="0" w:type="auto"/>
            <w:hideMark/>
          </w:tcPr>
          <w:p w14:paraId="732FE6F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Gene regulation without hypercalcemia; limited CYP24A1 induction</w:t>
            </w:r>
          </w:p>
        </w:tc>
        <w:tc>
          <w:tcPr>
            <w:tcW w:w="0" w:type="auto"/>
            <w:hideMark/>
          </w:tcPr>
          <w:p w14:paraId="0FBBEB25" w14:textId="37CA320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33, 34</w:t>
            </w:r>
            <w:r w:rsidRPr="00F467AE">
              <w:rPr>
                <w:rFonts w:asciiTheme="minorBidi" w:hAnsiTheme="minorBidi"/>
                <w:sz w:val="20"/>
                <w:szCs w:val="20"/>
              </w:rPr>
              <w:t>]</w:t>
            </w:r>
          </w:p>
        </w:tc>
      </w:tr>
      <w:tr w:rsidR="0057606F" w:rsidRPr="00F467AE" w14:paraId="60B80856"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14AFB3C9"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RORα</w:t>
            </w:r>
          </w:p>
        </w:tc>
        <w:tc>
          <w:tcPr>
            <w:tcW w:w="0" w:type="auto"/>
            <w:hideMark/>
          </w:tcPr>
          <w:p w14:paraId="3390D3CD" w14:textId="12AF545F"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61A38A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w:t>
            </w:r>
          </w:p>
        </w:tc>
        <w:tc>
          <w:tcPr>
            <w:tcW w:w="0" w:type="auto"/>
            <w:hideMark/>
          </w:tcPr>
          <w:p w14:paraId="46FBA4E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Suppression of </w:t>
            </w:r>
            <w:r w:rsidRPr="00F467AE">
              <w:rPr>
                <w:rFonts w:asciiTheme="minorBidi" w:hAnsiTheme="minorBidi"/>
                <w:i/>
                <w:iCs/>
                <w:sz w:val="20"/>
                <w:szCs w:val="20"/>
              </w:rPr>
              <w:t>BMAL1</w:t>
            </w:r>
            <w:r w:rsidRPr="00F467AE">
              <w:rPr>
                <w:rFonts w:asciiTheme="minorBidi" w:hAnsiTheme="minorBidi"/>
                <w:sz w:val="20"/>
                <w:szCs w:val="20"/>
              </w:rPr>
              <w:t xml:space="preserve"> transcription; modulation of clock amplitude</w:t>
            </w:r>
          </w:p>
        </w:tc>
        <w:tc>
          <w:tcPr>
            <w:tcW w:w="0" w:type="auto"/>
            <w:hideMark/>
          </w:tcPr>
          <w:p w14:paraId="3EF1E3AC" w14:textId="4021D48B"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13, 32, 35</w:t>
            </w:r>
            <w:r w:rsidRPr="00F467AE">
              <w:rPr>
                <w:rFonts w:asciiTheme="minorBidi" w:hAnsiTheme="minorBidi"/>
                <w:sz w:val="20"/>
                <w:szCs w:val="20"/>
              </w:rPr>
              <w:t>]</w:t>
            </w:r>
          </w:p>
        </w:tc>
      </w:tr>
      <w:tr w:rsidR="0057606F" w:rsidRPr="00F467AE" w14:paraId="4AA9A076"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F24B6B1" w14:textId="77777777" w:rsidR="0057606F" w:rsidRPr="00F467AE" w:rsidRDefault="0057606F" w:rsidP="00F324D1">
            <w:pPr>
              <w:spacing w:line="278" w:lineRule="auto"/>
              <w:rPr>
                <w:rFonts w:asciiTheme="minorBidi" w:hAnsiTheme="minorBidi"/>
                <w:b w:val="0"/>
                <w:bCs w:val="0"/>
                <w:sz w:val="20"/>
                <w:szCs w:val="20"/>
              </w:rPr>
            </w:pPr>
            <w:proofErr w:type="spellStart"/>
            <w:r w:rsidRPr="00F467AE">
              <w:rPr>
                <w:rFonts w:asciiTheme="minorBidi" w:hAnsiTheme="minorBidi"/>
                <w:b w:val="0"/>
                <w:bCs w:val="0"/>
                <w:sz w:val="20"/>
                <w:szCs w:val="20"/>
              </w:rPr>
              <w:t>RORγ</w:t>
            </w:r>
            <w:proofErr w:type="spellEnd"/>
          </w:p>
        </w:tc>
        <w:tc>
          <w:tcPr>
            <w:tcW w:w="0" w:type="auto"/>
            <w:hideMark/>
          </w:tcPr>
          <w:p w14:paraId="0E8169EA" w14:textId="74CD6F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15C8DFA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w:t>
            </w:r>
          </w:p>
        </w:tc>
        <w:tc>
          <w:tcPr>
            <w:tcW w:w="0" w:type="auto"/>
            <w:hideMark/>
          </w:tcPr>
          <w:p w14:paraId="56397CA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Inhibition of Th17 differentiation; circadian–immune coupling</w:t>
            </w:r>
          </w:p>
        </w:tc>
        <w:tc>
          <w:tcPr>
            <w:tcW w:w="0" w:type="auto"/>
            <w:hideMark/>
          </w:tcPr>
          <w:p w14:paraId="76703B8E" w14:textId="38B28D2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15, 32</w:t>
            </w:r>
            <w:r w:rsidRPr="00F467AE">
              <w:rPr>
                <w:rFonts w:asciiTheme="minorBidi" w:hAnsiTheme="minorBidi"/>
                <w:sz w:val="20"/>
                <w:szCs w:val="20"/>
              </w:rPr>
              <w:t>]</w:t>
            </w:r>
          </w:p>
        </w:tc>
      </w:tr>
      <w:tr w:rsidR="0057606F" w:rsidRPr="00F467AE" w14:paraId="4C1A96DA"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687D9BAB" w14:textId="3150CCE5"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Aryl Hydrocarbon Receptor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AhR</w:t>
            </w:r>
            <w:r w:rsidR="00500A62" w:rsidRPr="00F467AE">
              <w:rPr>
                <w:rFonts w:asciiTheme="minorBidi" w:hAnsiTheme="minorBidi"/>
                <w:b w:val="0"/>
                <w:bCs w:val="0"/>
                <w:sz w:val="20"/>
                <w:szCs w:val="20"/>
              </w:rPr>
              <w:t>]</w:t>
            </w:r>
          </w:p>
        </w:tc>
        <w:tc>
          <w:tcPr>
            <w:tcW w:w="0" w:type="auto"/>
            <w:hideMark/>
          </w:tcPr>
          <w:p w14:paraId="35C9CFEE" w14:textId="3EAF55D1"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1,20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lumisterol metabolites</w:t>
            </w:r>
          </w:p>
        </w:tc>
        <w:tc>
          <w:tcPr>
            <w:tcW w:w="0" w:type="auto"/>
            <w:hideMark/>
          </w:tcPr>
          <w:p w14:paraId="1A3AAB04"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Agonism</w:t>
            </w:r>
          </w:p>
        </w:tc>
        <w:tc>
          <w:tcPr>
            <w:tcW w:w="0" w:type="auto"/>
            <w:hideMark/>
          </w:tcPr>
          <w:p w14:paraId="57BF6BDA"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Regulation of xenobiotic metabolism; interaction with clock-controlled genes</w:t>
            </w:r>
          </w:p>
        </w:tc>
        <w:tc>
          <w:tcPr>
            <w:tcW w:w="0" w:type="auto"/>
            <w:hideMark/>
          </w:tcPr>
          <w:p w14:paraId="65997B43" w14:textId="1C9288ED"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33, 34</w:t>
            </w:r>
            <w:r w:rsidRPr="00F467AE">
              <w:rPr>
                <w:rFonts w:asciiTheme="minorBidi" w:hAnsiTheme="minorBidi"/>
                <w:sz w:val="20"/>
                <w:szCs w:val="20"/>
              </w:rPr>
              <w:t>]</w:t>
            </w:r>
          </w:p>
        </w:tc>
      </w:tr>
      <w:tr w:rsidR="0057606F" w:rsidRPr="00F467AE" w14:paraId="5FDF8F4E"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3319F70C" w14:textId="38EF5FF4"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Liver X Receptor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LXRα/β</w:t>
            </w:r>
            <w:r w:rsidR="00500A62" w:rsidRPr="00F467AE">
              <w:rPr>
                <w:rFonts w:asciiTheme="minorBidi" w:hAnsiTheme="minorBidi"/>
                <w:b w:val="0"/>
                <w:bCs w:val="0"/>
                <w:sz w:val="20"/>
                <w:szCs w:val="20"/>
              </w:rPr>
              <w:t>]</w:t>
            </w:r>
          </w:p>
        </w:tc>
        <w:tc>
          <w:tcPr>
            <w:tcW w:w="0" w:type="auto"/>
            <w:hideMark/>
          </w:tcPr>
          <w:p w14:paraId="062756A3" w14:textId="2119CB64"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p>
        </w:tc>
        <w:tc>
          <w:tcPr>
            <w:tcW w:w="0" w:type="auto"/>
            <w:hideMark/>
          </w:tcPr>
          <w:p w14:paraId="2E33656F"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Agonism</w:t>
            </w:r>
          </w:p>
        </w:tc>
        <w:tc>
          <w:tcPr>
            <w:tcW w:w="0" w:type="auto"/>
            <w:hideMark/>
          </w:tcPr>
          <w:p w14:paraId="04C7325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Modulation of lipid and glucose metabolism; metabolic–circadian integration</w:t>
            </w:r>
          </w:p>
        </w:tc>
        <w:tc>
          <w:tcPr>
            <w:tcW w:w="0" w:type="auto"/>
            <w:hideMark/>
          </w:tcPr>
          <w:p w14:paraId="68E2CD01" w14:textId="0F8CCCE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35</w:t>
            </w:r>
            <w:r w:rsidRPr="00F467AE">
              <w:rPr>
                <w:rFonts w:asciiTheme="minorBidi" w:hAnsiTheme="minorBidi"/>
                <w:sz w:val="20"/>
                <w:szCs w:val="20"/>
              </w:rPr>
              <w:t>]</w:t>
            </w:r>
          </w:p>
        </w:tc>
      </w:tr>
    </w:tbl>
    <w:p w14:paraId="095158EE" w14:textId="77777777" w:rsidR="00F324D1" w:rsidRPr="00F467AE" w:rsidRDefault="00F324D1" w:rsidP="00F324D1">
      <w:pPr>
        <w:spacing w:after="0"/>
        <w:rPr>
          <w:rFonts w:asciiTheme="minorBidi" w:hAnsiTheme="minorBidi"/>
          <w:b/>
          <w:bCs/>
          <w:sz w:val="20"/>
          <w:szCs w:val="20"/>
        </w:rPr>
      </w:pPr>
    </w:p>
    <w:p w14:paraId="1DB62073" w14:textId="72AD3C4B"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3</w:t>
      </w:r>
      <w:r w:rsidRPr="00F467AE">
        <w:rPr>
          <w:rFonts w:asciiTheme="minorBidi" w:hAnsiTheme="minorBidi"/>
          <w:sz w:val="20"/>
          <w:szCs w:val="20"/>
        </w:rPr>
        <w:t xml:space="preserve"> illustrates that CYP11A1-derived secosteroids function as multi-receptor endocrine modulators, extending vitamin D biology far beyond classical VDR signaling. Of particular importance is the inverse agonism of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which provides a direct molecular mechanism linking sunlight-derived secosteroids to circadian clock regulation via suppression of </w:t>
      </w:r>
      <w:r w:rsidRPr="00F467AE">
        <w:rPr>
          <w:rFonts w:asciiTheme="minorBidi" w:hAnsiTheme="minorBidi"/>
          <w:i/>
          <w:iCs/>
          <w:sz w:val="20"/>
          <w:szCs w:val="20"/>
        </w:rPr>
        <w:t>BMAL1</w:t>
      </w:r>
      <w:r w:rsidRPr="00F467AE">
        <w:rPr>
          <w:rFonts w:asciiTheme="minorBidi" w:hAnsiTheme="minorBidi"/>
          <w:sz w:val="20"/>
          <w:szCs w:val="20"/>
        </w:rPr>
        <w:t>. Concurrent activation of AhR and LXR pathways further integrates environmental light cues with immune surveillance, detoxification, and metabolic homeostasis.</w:t>
      </w:r>
    </w:p>
    <w:p w14:paraId="6F07A56E" w14:textId="60A56188" w:rsidR="0057606F" w:rsidRPr="00F467AE" w:rsidRDefault="0057606F" w:rsidP="00F324D1">
      <w:pPr>
        <w:spacing w:after="0"/>
        <w:rPr>
          <w:rFonts w:asciiTheme="minorBidi" w:hAnsiTheme="minorBidi"/>
          <w:sz w:val="20"/>
          <w:szCs w:val="20"/>
        </w:rPr>
      </w:pPr>
    </w:p>
    <w:p w14:paraId="355DF131" w14:textId="77777777" w:rsidR="00D8087A" w:rsidRPr="00F467AE" w:rsidRDefault="00D8087A" w:rsidP="00F324D1">
      <w:pPr>
        <w:spacing w:after="0"/>
        <w:rPr>
          <w:rFonts w:asciiTheme="minorBidi" w:hAnsiTheme="minorBidi"/>
          <w:sz w:val="20"/>
          <w:szCs w:val="20"/>
        </w:rPr>
      </w:pPr>
    </w:p>
    <w:p w14:paraId="715F9C64" w14:textId="77777777" w:rsidR="00B245EA" w:rsidRPr="00F467AE" w:rsidRDefault="00B245EA">
      <w:pPr>
        <w:rPr>
          <w:rFonts w:asciiTheme="minorBidi" w:hAnsiTheme="minorBidi"/>
          <w:sz w:val="20"/>
          <w:szCs w:val="20"/>
        </w:rPr>
      </w:pPr>
      <w:r w:rsidRPr="00F467AE">
        <w:rPr>
          <w:rFonts w:asciiTheme="minorBidi" w:hAnsiTheme="minorBidi"/>
          <w:sz w:val="20"/>
          <w:szCs w:val="20"/>
        </w:rPr>
        <w:br w:type="page"/>
      </w:r>
    </w:p>
    <w:p w14:paraId="7DAA96B3" w14:textId="0881A9E6" w:rsidR="00D8087A" w:rsidRPr="00F467AE" w:rsidRDefault="00D8087A" w:rsidP="00F324D1">
      <w:pPr>
        <w:spacing w:after="0"/>
        <w:rPr>
          <w:rFonts w:asciiTheme="minorBidi" w:hAnsiTheme="minorBidi"/>
          <w:sz w:val="20"/>
          <w:szCs w:val="20"/>
        </w:rPr>
      </w:pPr>
      <w:r w:rsidRPr="00F467AE">
        <w:rPr>
          <w:rFonts w:asciiTheme="minorBidi" w:hAnsiTheme="minorBidi"/>
          <w:sz w:val="20"/>
          <w:szCs w:val="20"/>
        </w:rPr>
        <w:lastRenderedPageBreak/>
        <w:t>Figure 2 Secosteroid Mediated Control of Circadian Genes and Hormones</w:t>
      </w:r>
    </w:p>
    <w:p w14:paraId="3B9AB5C8" w14:textId="77777777" w:rsidR="00D8087A" w:rsidRPr="00F467AE" w:rsidRDefault="00D8087A" w:rsidP="00F324D1">
      <w:pPr>
        <w:spacing w:after="0"/>
        <w:rPr>
          <w:rFonts w:asciiTheme="minorBidi" w:hAnsiTheme="minorBidi"/>
          <w:sz w:val="20"/>
          <w:szCs w:val="20"/>
        </w:rPr>
      </w:pPr>
    </w:p>
    <w:p w14:paraId="6427157B" w14:textId="7517CF0F" w:rsidR="00D8087A" w:rsidRPr="00F467AE" w:rsidRDefault="00D8087A" w:rsidP="00F324D1">
      <w:pPr>
        <w:spacing w:after="0"/>
        <w:rPr>
          <w:rFonts w:asciiTheme="minorBidi" w:hAnsiTheme="minorBidi"/>
          <w:sz w:val="20"/>
          <w:szCs w:val="20"/>
        </w:rPr>
      </w:pPr>
      <w:r w:rsidRPr="00F467AE">
        <w:rPr>
          <w:rFonts w:asciiTheme="minorBidi" w:hAnsiTheme="minorBidi"/>
          <w:noProof/>
          <w:sz w:val="20"/>
          <w:szCs w:val="20"/>
        </w:rPr>
        <w:drawing>
          <wp:inline distT="0" distB="0" distL="0" distR="0" wp14:anchorId="2D6F762D" wp14:editId="5703A340">
            <wp:extent cx="3381375" cy="4688460"/>
            <wp:effectExtent l="0" t="0" r="0" b="0"/>
            <wp:docPr id="112438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5972" name=""/>
                    <pic:cNvPicPr/>
                  </pic:nvPicPr>
                  <pic:blipFill>
                    <a:blip r:embed="rId9"/>
                    <a:stretch>
                      <a:fillRect/>
                    </a:stretch>
                  </pic:blipFill>
                  <pic:spPr>
                    <a:xfrm>
                      <a:off x="0" y="0"/>
                      <a:ext cx="3384979" cy="4693457"/>
                    </a:xfrm>
                    <a:prstGeom prst="rect">
                      <a:avLst/>
                    </a:prstGeom>
                  </pic:spPr>
                </pic:pic>
              </a:graphicData>
            </a:graphic>
          </wp:inline>
        </w:drawing>
      </w:r>
    </w:p>
    <w:p w14:paraId="4712F52A" w14:textId="0E0577A0" w:rsidR="00D8087A" w:rsidRPr="00F467AE" w:rsidRDefault="00E54FDD" w:rsidP="00D8087A">
      <w:pPr>
        <w:spacing w:after="0"/>
        <w:rPr>
          <w:rFonts w:asciiTheme="minorBidi" w:hAnsiTheme="minorBidi"/>
          <w:sz w:val="20"/>
          <w:szCs w:val="20"/>
        </w:rPr>
      </w:pPr>
      <w:r w:rsidRPr="00F467AE">
        <w:rPr>
          <w:rFonts w:asciiTheme="minorBidi" w:hAnsiTheme="minorBidi"/>
          <w:sz w:val="20"/>
          <w:szCs w:val="20"/>
        </w:rPr>
        <w:t xml:space="preserve">Figure </w:t>
      </w:r>
      <w:r w:rsidR="009B701B" w:rsidRPr="00F467AE">
        <w:rPr>
          <w:rFonts w:asciiTheme="minorBidi" w:hAnsiTheme="minorBidi"/>
          <w:sz w:val="20"/>
          <w:szCs w:val="20"/>
        </w:rPr>
        <w:t>2 illustrates</w:t>
      </w:r>
      <w:r w:rsidR="00D8087A" w:rsidRPr="00F467AE">
        <w:rPr>
          <w:rFonts w:asciiTheme="minorBidi" w:hAnsiTheme="minorBidi"/>
          <w:sz w:val="20"/>
          <w:szCs w:val="20"/>
        </w:rPr>
        <w:t xml:space="preserve"> how environmental UVB light is converted into biochemical timing signals through cutaneous CYP11A1-derived secosteroids, which act as ligands for nuclear receptors to modulate core circadian clock genes and synchronize endocrine hormonal </w:t>
      </w:r>
      <w:r w:rsidR="007D51D2" w:rsidRPr="00F467AE">
        <w:rPr>
          <w:rFonts w:asciiTheme="minorBidi" w:hAnsiTheme="minorBidi"/>
          <w:sz w:val="20"/>
          <w:szCs w:val="20"/>
        </w:rPr>
        <w:t>rhythms</w:t>
      </w:r>
      <w:r w:rsidR="007D51D2" w:rsidRPr="007D51D2">
        <w:rPr>
          <w:rFonts w:asciiTheme="minorBidi" w:hAnsiTheme="minorBidi"/>
          <w:sz w:val="20"/>
          <w:szCs w:val="20"/>
          <w:highlight w:val="yellow"/>
        </w:rPr>
        <w:t>. [5–7, 8–11, 12–16, 18, 32–35, 39–41, 44–50]</w:t>
      </w:r>
    </w:p>
    <w:p w14:paraId="44455D8B" w14:textId="77777777" w:rsidR="00D8087A" w:rsidRPr="00F467AE" w:rsidRDefault="00D8087A" w:rsidP="00F324D1">
      <w:pPr>
        <w:spacing w:after="0"/>
        <w:rPr>
          <w:rFonts w:asciiTheme="minorBidi" w:hAnsiTheme="minorBidi"/>
          <w:b/>
          <w:bCs/>
          <w:sz w:val="20"/>
          <w:szCs w:val="20"/>
        </w:rPr>
      </w:pPr>
    </w:p>
    <w:p w14:paraId="1F9C5631" w14:textId="4C408EAF"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4</w:t>
      </w:r>
      <w:r w:rsidRPr="00F467AE">
        <w:rPr>
          <w:rFonts w:asciiTheme="minorBidi" w:hAnsiTheme="minorBidi"/>
          <w:b/>
          <w:bCs/>
          <w:sz w:val="20"/>
          <w:szCs w:val="20"/>
        </w:rPr>
        <w:t>. Endocrine Axis Modulation by the CYP11A1-Secosteroid Pathway</w:t>
      </w:r>
    </w:p>
    <w:tbl>
      <w:tblPr>
        <w:tblStyle w:val="GridTable1Light-Accent1"/>
        <w:tblW w:w="0" w:type="auto"/>
        <w:tblLook w:val="04A0" w:firstRow="1" w:lastRow="0" w:firstColumn="1" w:lastColumn="0" w:noHBand="0" w:noVBand="1"/>
      </w:tblPr>
      <w:tblGrid>
        <w:gridCol w:w="1643"/>
        <w:gridCol w:w="3109"/>
        <w:gridCol w:w="3497"/>
        <w:gridCol w:w="1101"/>
      </w:tblGrid>
      <w:tr w:rsidR="0057606F" w:rsidRPr="00F467AE" w14:paraId="0C0F860C" w14:textId="77777777" w:rsidTr="0010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34AC6"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Endocrine Axis</w:t>
            </w:r>
          </w:p>
        </w:tc>
        <w:tc>
          <w:tcPr>
            <w:tcW w:w="0" w:type="auto"/>
            <w:hideMark/>
          </w:tcPr>
          <w:p w14:paraId="527877E1"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Mechanism of Secosteroid Interaction</w:t>
            </w:r>
          </w:p>
        </w:tc>
        <w:tc>
          <w:tcPr>
            <w:tcW w:w="0" w:type="auto"/>
            <w:hideMark/>
          </w:tcPr>
          <w:p w14:paraId="729BC66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Physiological Outcome</w:t>
            </w:r>
          </w:p>
        </w:tc>
        <w:tc>
          <w:tcPr>
            <w:tcW w:w="0" w:type="auto"/>
            <w:hideMark/>
          </w:tcPr>
          <w:p w14:paraId="5D18660A"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47D43DDA"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4A9629DD"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HPA Axis</w:t>
            </w:r>
          </w:p>
        </w:tc>
        <w:tc>
          <w:tcPr>
            <w:tcW w:w="0" w:type="auto"/>
            <w:hideMark/>
          </w:tcPr>
          <w:p w14:paraId="7DD0E344"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Cutaneous CRH/ACTH production; feedback via VDR and AhR</w:t>
            </w:r>
          </w:p>
        </w:tc>
        <w:tc>
          <w:tcPr>
            <w:tcW w:w="0" w:type="auto"/>
            <w:hideMark/>
          </w:tcPr>
          <w:p w14:paraId="51AB9BB1"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Modulation of systemic stress response; synchronization of peripheral clocks</w:t>
            </w:r>
          </w:p>
        </w:tc>
        <w:tc>
          <w:tcPr>
            <w:tcW w:w="0" w:type="auto"/>
            <w:hideMark/>
          </w:tcPr>
          <w:p w14:paraId="3F80B609" w14:textId="619C5DC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5, 7, 31</w:t>
            </w:r>
            <w:r w:rsidRPr="00F467AE">
              <w:rPr>
                <w:rFonts w:asciiTheme="minorBidi" w:hAnsiTheme="minorBidi"/>
                <w:sz w:val="20"/>
                <w:szCs w:val="20"/>
              </w:rPr>
              <w:t>]</w:t>
            </w:r>
          </w:p>
        </w:tc>
      </w:tr>
      <w:tr w:rsidR="0057606F" w:rsidRPr="00F467AE" w14:paraId="56DA711F"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3455B215"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HPT Axis</w:t>
            </w:r>
          </w:p>
        </w:tc>
        <w:tc>
          <w:tcPr>
            <w:tcW w:w="0" w:type="auto"/>
            <w:hideMark/>
          </w:tcPr>
          <w:p w14:paraId="569D99F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 of RORs; VDR-mediated regulation of TSH</w:t>
            </w:r>
          </w:p>
        </w:tc>
        <w:tc>
          <w:tcPr>
            <w:tcW w:w="0" w:type="auto"/>
            <w:hideMark/>
          </w:tcPr>
          <w:p w14:paraId="77282D08"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Stabilization of metabolic rate; regulation of seasonal hormonal shifts</w:t>
            </w:r>
          </w:p>
        </w:tc>
        <w:tc>
          <w:tcPr>
            <w:tcW w:w="0" w:type="auto"/>
            <w:hideMark/>
          </w:tcPr>
          <w:p w14:paraId="5B5494B9" w14:textId="3DA9913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32, 36, 37</w:t>
            </w:r>
            <w:r w:rsidRPr="00F467AE">
              <w:rPr>
                <w:rFonts w:asciiTheme="minorBidi" w:hAnsiTheme="minorBidi"/>
                <w:sz w:val="20"/>
                <w:szCs w:val="20"/>
              </w:rPr>
              <w:t>]</w:t>
            </w:r>
          </w:p>
        </w:tc>
      </w:tr>
      <w:tr w:rsidR="0057606F" w:rsidRPr="00F467AE" w14:paraId="3E964E8E"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15328C0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Autoimmune Thyroid</w:t>
            </w:r>
          </w:p>
        </w:tc>
        <w:tc>
          <w:tcPr>
            <w:tcW w:w="0" w:type="auto"/>
            <w:hideMark/>
          </w:tcPr>
          <w:p w14:paraId="4F32B33F"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Secosteroid-mediated immune tolerance</w:t>
            </w:r>
          </w:p>
        </w:tc>
        <w:tc>
          <w:tcPr>
            <w:tcW w:w="0" w:type="auto"/>
            <w:hideMark/>
          </w:tcPr>
          <w:p w14:paraId="6713556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Potential suppression of autoimmune thyroiditis markers</w:t>
            </w:r>
          </w:p>
        </w:tc>
        <w:tc>
          <w:tcPr>
            <w:tcW w:w="0" w:type="auto"/>
            <w:hideMark/>
          </w:tcPr>
          <w:p w14:paraId="6BBFF7E7" w14:textId="39169514"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38</w:t>
            </w:r>
            <w:r w:rsidRPr="00F467AE">
              <w:rPr>
                <w:rFonts w:asciiTheme="minorBidi" w:hAnsiTheme="minorBidi"/>
                <w:sz w:val="20"/>
                <w:szCs w:val="20"/>
              </w:rPr>
              <w:t>]</w:t>
            </w:r>
          </w:p>
        </w:tc>
      </w:tr>
      <w:tr w:rsidR="0057606F" w:rsidRPr="00F467AE" w14:paraId="57000FA2"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27507E52" w14:textId="74A4E564"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lastRenderedPageBreak/>
              <w:t xml:space="preserve">Growth Hormone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GH</w:t>
            </w:r>
            <w:r w:rsidR="00500A62" w:rsidRPr="00F467AE">
              <w:rPr>
                <w:rFonts w:asciiTheme="minorBidi" w:hAnsiTheme="minorBidi"/>
                <w:b w:val="0"/>
                <w:bCs w:val="0"/>
                <w:sz w:val="20"/>
                <w:szCs w:val="20"/>
              </w:rPr>
              <w:t>]</w:t>
            </w:r>
          </w:p>
        </w:tc>
        <w:tc>
          <w:tcPr>
            <w:tcW w:w="0" w:type="auto"/>
            <w:hideMark/>
          </w:tcPr>
          <w:p w14:paraId="560AD65F"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Secosteroid modulation of pituitary GH secretion and IGF-1 sensitivity</w:t>
            </w:r>
          </w:p>
        </w:tc>
        <w:tc>
          <w:tcPr>
            <w:tcW w:w="0" w:type="auto"/>
            <w:hideMark/>
          </w:tcPr>
          <w:p w14:paraId="78CED86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Regulation of somatic growth and tissue repair; metabolic-circadian coupling</w:t>
            </w:r>
          </w:p>
        </w:tc>
        <w:tc>
          <w:tcPr>
            <w:tcW w:w="0" w:type="auto"/>
            <w:hideMark/>
          </w:tcPr>
          <w:p w14:paraId="32508B62" w14:textId="0175B53C"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39–</w:t>
            </w:r>
            <w:r w:rsidR="00522987" w:rsidRPr="00F467AE">
              <w:rPr>
                <w:rFonts w:asciiTheme="minorBidi" w:hAnsiTheme="minorBidi"/>
                <w:sz w:val="20"/>
                <w:szCs w:val="20"/>
              </w:rPr>
              <w:t xml:space="preserve">40, </w:t>
            </w:r>
            <w:r w:rsidR="0057606F" w:rsidRPr="00F467AE">
              <w:rPr>
                <w:rFonts w:asciiTheme="minorBidi" w:hAnsiTheme="minorBidi"/>
                <w:sz w:val="20"/>
                <w:szCs w:val="20"/>
              </w:rPr>
              <w:t>41</w:t>
            </w:r>
            <w:r w:rsidRPr="00F467AE">
              <w:rPr>
                <w:rFonts w:asciiTheme="minorBidi" w:hAnsiTheme="minorBidi"/>
                <w:sz w:val="20"/>
                <w:szCs w:val="20"/>
              </w:rPr>
              <w:t>]</w:t>
            </w:r>
          </w:p>
        </w:tc>
      </w:tr>
      <w:tr w:rsidR="0057606F" w:rsidRPr="00F467AE" w14:paraId="02BDD8A4"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38649C4F"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Neuro-Endocrine</w:t>
            </w:r>
          </w:p>
        </w:tc>
        <w:tc>
          <w:tcPr>
            <w:tcW w:w="0" w:type="auto"/>
            <w:hideMark/>
          </w:tcPr>
          <w:p w14:paraId="06CD501B"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Synergistic interaction with melatonin signaling</w:t>
            </w:r>
          </w:p>
        </w:tc>
        <w:tc>
          <w:tcPr>
            <w:tcW w:w="0" w:type="auto"/>
            <w:hideMark/>
          </w:tcPr>
          <w:p w14:paraId="0D86C14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Integrated regulation of sleep-wake cycles and antioxidant defense</w:t>
            </w:r>
          </w:p>
        </w:tc>
        <w:tc>
          <w:tcPr>
            <w:tcW w:w="0" w:type="auto"/>
            <w:hideMark/>
          </w:tcPr>
          <w:p w14:paraId="05B16D61" w14:textId="4C880077"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42, 43</w:t>
            </w:r>
            <w:r w:rsidRPr="00F467AE">
              <w:rPr>
                <w:rFonts w:asciiTheme="minorBidi" w:hAnsiTheme="minorBidi"/>
                <w:sz w:val="20"/>
                <w:szCs w:val="20"/>
              </w:rPr>
              <w:t>]</w:t>
            </w:r>
          </w:p>
        </w:tc>
      </w:tr>
    </w:tbl>
    <w:p w14:paraId="5196F78A" w14:textId="77777777" w:rsidR="001067F5" w:rsidRPr="00F467AE" w:rsidRDefault="001067F5" w:rsidP="00F324D1">
      <w:pPr>
        <w:spacing w:after="0"/>
        <w:rPr>
          <w:rFonts w:asciiTheme="minorBidi" w:hAnsiTheme="minorBidi"/>
          <w:b/>
          <w:bCs/>
          <w:sz w:val="20"/>
          <w:szCs w:val="20"/>
        </w:rPr>
      </w:pPr>
    </w:p>
    <w:p w14:paraId="76EC964B" w14:textId="405545C8"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4</w:t>
      </w:r>
      <w:r w:rsidRPr="00F467AE">
        <w:rPr>
          <w:rFonts w:asciiTheme="minorBidi" w:hAnsiTheme="minorBidi"/>
          <w:sz w:val="20"/>
          <w:szCs w:val="20"/>
        </w:rPr>
        <w:t xml:space="preserve"> summarizes the systemic reach of the CYP11A1-secosteroid axis, demonstrating its role as a "master regulator" of multi-organ homeostasis. By interacting with the HPA, HPT, and GH axes, these metabolites translate environmental light signals into coordinated hormonal outputs. The interaction with melatonin signaling further suggests a dual-hormonal system for managing the circadian transition between light-induced secosteroid activity and dark-induced melatonin release.</w:t>
      </w:r>
    </w:p>
    <w:p w14:paraId="6D4EAF15" w14:textId="27A34885" w:rsidR="0057606F" w:rsidRPr="00F467AE" w:rsidRDefault="0057606F" w:rsidP="00F324D1">
      <w:pPr>
        <w:spacing w:after="0"/>
        <w:rPr>
          <w:rFonts w:asciiTheme="minorBidi" w:hAnsiTheme="minorBidi"/>
          <w:sz w:val="20"/>
          <w:szCs w:val="20"/>
        </w:rPr>
      </w:pPr>
    </w:p>
    <w:p w14:paraId="7E9FB1EF" w14:textId="46065916"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5</w:t>
      </w:r>
      <w:r w:rsidRPr="00F467AE">
        <w:rPr>
          <w:rFonts w:asciiTheme="minorBidi" w:hAnsiTheme="minorBidi"/>
          <w:b/>
          <w:bCs/>
          <w:sz w:val="20"/>
          <w:szCs w:val="20"/>
        </w:rPr>
        <w:t>. Circadian and Clock-Related Genes Regulated by CYP11A1-Derived Secosteroids</w:t>
      </w:r>
    </w:p>
    <w:tbl>
      <w:tblPr>
        <w:tblStyle w:val="GridTable1Light-Accent1"/>
        <w:tblW w:w="0" w:type="auto"/>
        <w:tblLook w:val="04A0" w:firstRow="1" w:lastRow="0" w:firstColumn="1" w:lastColumn="0" w:noHBand="0" w:noVBand="1"/>
      </w:tblPr>
      <w:tblGrid>
        <w:gridCol w:w="1118"/>
        <w:gridCol w:w="1747"/>
        <w:gridCol w:w="2222"/>
        <w:gridCol w:w="2809"/>
        <w:gridCol w:w="1454"/>
      </w:tblGrid>
      <w:tr w:rsidR="0057606F" w:rsidRPr="00F467AE" w14:paraId="25D4311D" w14:textId="77777777" w:rsidTr="0010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7A2106"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Gene Target</w:t>
            </w:r>
          </w:p>
        </w:tc>
        <w:tc>
          <w:tcPr>
            <w:tcW w:w="0" w:type="auto"/>
            <w:hideMark/>
          </w:tcPr>
          <w:p w14:paraId="1B51BF1F"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Secosteroid Ligand</w:t>
            </w:r>
          </w:p>
        </w:tc>
        <w:tc>
          <w:tcPr>
            <w:tcW w:w="0" w:type="auto"/>
            <w:hideMark/>
          </w:tcPr>
          <w:p w14:paraId="2A1DB6D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Mechanism of Regulation</w:t>
            </w:r>
          </w:p>
        </w:tc>
        <w:tc>
          <w:tcPr>
            <w:tcW w:w="0" w:type="auto"/>
            <w:hideMark/>
          </w:tcPr>
          <w:p w14:paraId="50FD3BBD"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Impact on Circadian Function</w:t>
            </w:r>
          </w:p>
        </w:tc>
        <w:tc>
          <w:tcPr>
            <w:tcW w:w="0" w:type="auto"/>
            <w:hideMark/>
          </w:tcPr>
          <w:p w14:paraId="1DE99A61"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3F2B4D0F"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586CF003"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BMAL1</w:t>
            </w:r>
          </w:p>
        </w:tc>
        <w:tc>
          <w:tcPr>
            <w:tcW w:w="0" w:type="auto"/>
            <w:hideMark/>
          </w:tcPr>
          <w:p w14:paraId="6640920E" w14:textId="7B51CC00"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63023A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 of RORα</w:t>
            </w:r>
          </w:p>
        </w:tc>
        <w:tc>
          <w:tcPr>
            <w:tcW w:w="0" w:type="auto"/>
            <w:hideMark/>
          </w:tcPr>
          <w:p w14:paraId="0FD4FEE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Suppression of BMAL1 promoter; modulation of clock amplitude</w:t>
            </w:r>
          </w:p>
        </w:tc>
        <w:tc>
          <w:tcPr>
            <w:tcW w:w="0" w:type="auto"/>
            <w:hideMark/>
          </w:tcPr>
          <w:p w14:paraId="7943F56D" w14:textId="46FEF01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13, 18, 32</w:t>
            </w:r>
            <w:r w:rsidRPr="00F467AE">
              <w:rPr>
                <w:rFonts w:asciiTheme="minorBidi" w:hAnsiTheme="minorBidi"/>
                <w:sz w:val="20"/>
                <w:szCs w:val="20"/>
              </w:rPr>
              <w:t>]</w:t>
            </w:r>
          </w:p>
        </w:tc>
      </w:tr>
      <w:tr w:rsidR="0057606F" w:rsidRPr="00F467AE" w14:paraId="49F2C118"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7B38190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REV-ERBα</w:t>
            </w:r>
          </w:p>
        </w:tc>
        <w:tc>
          <w:tcPr>
            <w:tcW w:w="0" w:type="auto"/>
            <w:hideMark/>
          </w:tcPr>
          <w:p w14:paraId="322526EB" w14:textId="57DD60D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652C52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Interaction with ROR and VDR signaling</w:t>
            </w:r>
          </w:p>
        </w:tc>
        <w:tc>
          <w:tcPr>
            <w:tcW w:w="0" w:type="auto"/>
            <w:hideMark/>
          </w:tcPr>
          <w:p w14:paraId="4061994B"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Stabilization of the secondary feedback loop; metabolic gating</w:t>
            </w:r>
          </w:p>
        </w:tc>
        <w:tc>
          <w:tcPr>
            <w:tcW w:w="0" w:type="auto"/>
            <w:hideMark/>
          </w:tcPr>
          <w:p w14:paraId="7B42BA51" w14:textId="624AB5B9"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 xml:space="preserve">44, </w:t>
            </w:r>
            <w:r w:rsidR="008512A8" w:rsidRPr="00F467AE">
              <w:rPr>
                <w:rFonts w:asciiTheme="minorBidi" w:hAnsiTheme="minorBidi"/>
                <w:sz w:val="20"/>
                <w:szCs w:val="20"/>
              </w:rPr>
              <w:t>45,46,47,</w:t>
            </w:r>
            <w:r w:rsidR="0057606F" w:rsidRPr="00F467AE">
              <w:rPr>
                <w:rFonts w:asciiTheme="minorBidi" w:hAnsiTheme="minorBidi"/>
                <w:sz w:val="20"/>
                <w:szCs w:val="20"/>
              </w:rPr>
              <w:t>48</w:t>
            </w:r>
            <w:r w:rsidRPr="00F467AE">
              <w:rPr>
                <w:rFonts w:asciiTheme="minorBidi" w:hAnsiTheme="minorBidi"/>
                <w:sz w:val="20"/>
                <w:szCs w:val="20"/>
              </w:rPr>
              <w:t>]</w:t>
            </w:r>
          </w:p>
        </w:tc>
      </w:tr>
      <w:tr w:rsidR="0057606F" w:rsidRPr="00F467AE" w14:paraId="6F5DEADA"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0E67F61"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PER2</w:t>
            </w:r>
          </w:p>
        </w:tc>
        <w:tc>
          <w:tcPr>
            <w:tcW w:w="0" w:type="auto"/>
            <w:hideMark/>
          </w:tcPr>
          <w:p w14:paraId="25B14E8F" w14:textId="66CF1E6F"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1,25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1E1F7EC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VDR binding to VDREs in promoter</w:t>
            </w:r>
          </w:p>
        </w:tc>
        <w:tc>
          <w:tcPr>
            <w:tcW w:w="0" w:type="auto"/>
            <w:hideMark/>
          </w:tcPr>
          <w:p w14:paraId="394F211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Phase-shifting of peripheral oscillators</w:t>
            </w:r>
          </w:p>
        </w:tc>
        <w:tc>
          <w:tcPr>
            <w:tcW w:w="0" w:type="auto"/>
            <w:hideMark/>
          </w:tcPr>
          <w:p w14:paraId="2BB58FE4" w14:textId="5A1529FF"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18, 44, 45</w:t>
            </w:r>
            <w:r w:rsidRPr="00F467AE">
              <w:rPr>
                <w:rFonts w:asciiTheme="minorBidi" w:hAnsiTheme="minorBidi"/>
                <w:sz w:val="20"/>
                <w:szCs w:val="20"/>
              </w:rPr>
              <w:t>]</w:t>
            </w:r>
          </w:p>
        </w:tc>
      </w:tr>
      <w:tr w:rsidR="0057606F" w:rsidRPr="00F467AE" w14:paraId="4410930E"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107A2E9"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NAMPT</w:t>
            </w:r>
          </w:p>
        </w:tc>
        <w:tc>
          <w:tcPr>
            <w:tcW w:w="0" w:type="auto"/>
            <w:hideMark/>
          </w:tcPr>
          <w:p w14:paraId="1D0185E9" w14:textId="03584AB3"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E7AF72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ROR-mediated transcriptional control</w:t>
            </w:r>
          </w:p>
        </w:tc>
        <w:tc>
          <w:tcPr>
            <w:tcW w:w="0" w:type="auto"/>
            <w:hideMark/>
          </w:tcPr>
          <w:p w14:paraId="2E67E79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Regulation of NAD</w:t>
            </w:r>
            <w:r w:rsidRPr="00F467AE">
              <w:rPr>
                <w:rFonts w:ascii="Cambria Math" w:hAnsi="Cambria Math" w:cs="Cambria Math"/>
                <w:sz w:val="20"/>
                <w:szCs w:val="20"/>
              </w:rPr>
              <w:t>⁺</w:t>
            </w:r>
            <w:r w:rsidRPr="00F467AE">
              <w:rPr>
                <w:rFonts w:asciiTheme="minorBidi" w:hAnsiTheme="minorBidi"/>
                <w:sz w:val="20"/>
                <w:szCs w:val="20"/>
              </w:rPr>
              <w:t xml:space="preserve"> biosynthesis and SIRT1 activity</w:t>
            </w:r>
          </w:p>
        </w:tc>
        <w:tc>
          <w:tcPr>
            <w:tcW w:w="0" w:type="auto"/>
            <w:hideMark/>
          </w:tcPr>
          <w:p w14:paraId="632CADB3" w14:textId="5DEED08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49, 50</w:t>
            </w:r>
            <w:r w:rsidRPr="00F467AE">
              <w:rPr>
                <w:rFonts w:asciiTheme="minorBidi" w:hAnsiTheme="minorBidi"/>
                <w:sz w:val="20"/>
                <w:szCs w:val="20"/>
              </w:rPr>
              <w:t>]</w:t>
            </w:r>
          </w:p>
        </w:tc>
      </w:tr>
      <w:tr w:rsidR="0057606F" w:rsidRPr="00F467AE" w14:paraId="5287D238"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4AE6508F"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Immune Clock</w:t>
            </w:r>
          </w:p>
        </w:tc>
        <w:tc>
          <w:tcPr>
            <w:tcW w:w="0" w:type="auto"/>
            <w:hideMark/>
          </w:tcPr>
          <w:p w14:paraId="00AD5AF0"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Multiple metabolites</w:t>
            </w:r>
          </w:p>
        </w:tc>
        <w:tc>
          <w:tcPr>
            <w:tcW w:w="0" w:type="auto"/>
            <w:hideMark/>
          </w:tcPr>
          <w:p w14:paraId="15866CA0"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Modulation of leukocyte trafficking genes</w:t>
            </w:r>
          </w:p>
        </w:tc>
        <w:tc>
          <w:tcPr>
            <w:tcW w:w="0" w:type="auto"/>
            <w:hideMark/>
          </w:tcPr>
          <w:p w14:paraId="6101FBE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Circadian-immune coupling and inflammatory control</w:t>
            </w:r>
          </w:p>
        </w:tc>
        <w:tc>
          <w:tcPr>
            <w:tcW w:w="0" w:type="auto"/>
            <w:hideMark/>
          </w:tcPr>
          <w:p w14:paraId="2428F691" w14:textId="25637CE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51</w:t>
            </w:r>
            <w:r w:rsidRPr="00F467AE">
              <w:rPr>
                <w:rFonts w:asciiTheme="minorBidi" w:hAnsiTheme="minorBidi"/>
                <w:sz w:val="20"/>
                <w:szCs w:val="20"/>
              </w:rPr>
              <w:t>]</w:t>
            </w:r>
          </w:p>
        </w:tc>
      </w:tr>
    </w:tbl>
    <w:p w14:paraId="113019BA" w14:textId="77777777" w:rsidR="00C16CC9" w:rsidRPr="00F467AE" w:rsidRDefault="00C16CC9" w:rsidP="00F324D1">
      <w:pPr>
        <w:spacing w:after="0"/>
        <w:rPr>
          <w:rFonts w:asciiTheme="minorBidi" w:hAnsiTheme="minorBidi"/>
          <w:b/>
          <w:bCs/>
          <w:sz w:val="20"/>
          <w:szCs w:val="20"/>
        </w:rPr>
      </w:pPr>
    </w:p>
    <w:p w14:paraId="5C8D23A3" w14:textId="666FD81A"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5</w:t>
      </w:r>
      <w:r w:rsidRPr="00F467AE">
        <w:rPr>
          <w:rFonts w:asciiTheme="minorBidi" w:hAnsiTheme="minorBidi"/>
          <w:sz w:val="20"/>
          <w:szCs w:val="20"/>
        </w:rPr>
        <w:t xml:space="preserve"> defines the molecular interface between secosteroid signaling and the core circadian machinery. Unlike many systemic factors that merely respond to the clock, CYP11A1-derived metabolites actively modulate it. By acting as inverse agonists for RORα, these metabolites suppress BMAL1 expression, thereby regulating the "master switch" of the cellular clock. Furthermore, the regulation of NAMPT and REV-ERBα suggests that this axis connects the photic environment not only to timing but also to cellular energy metabolism and mitochondrial function.</w:t>
      </w:r>
    </w:p>
    <w:p w14:paraId="2D9D10CA" w14:textId="44618DA6" w:rsidR="0057606F" w:rsidRPr="00F467AE" w:rsidRDefault="0057606F" w:rsidP="00F324D1">
      <w:pPr>
        <w:spacing w:after="0"/>
        <w:rPr>
          <w:rFonts w:asciiTheme="minorBidi" w:hAnsiTheme="minorBidi"/>
          <w:sz w:val="20"/>
          <w:szCs w:val="20"/>
        </w:rPr>
      </w:pPr>
    </w:p>
    <w:p w14:paraId="2044F66C" w14:textId="17BB1B92"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6</w:t>
      </w:r>
      <w:r w:rsidRPr="00F467AE">
        <w:rPr>
          <w:rFonts w:asciiTheme="minorBidi" w:hAnsiTheme="minorBidi"/>
          <w:b/>
          <w:bCs/>
          <w:sz w:val="20"/>
          <w:szCs w:val="20"/>
        </w:rPr>
        <w:t>. Clinical Implications and Chronotherapeutic Potential of the CYP11A1-Secosteroid Axis</w:t>
      </w:r>
    </w:p>
    <w:tbl>
      <w:tblPr>
        <w:tblStyle w:val="GridTable1Light-Accent1"/>
        <w:tblW w:w="0" w:type="auto"/>
        <w:tblLook w:val="04A0" w:firstRow="1" w:lastRow="0" w:firstColumn="1" w:lastColumn="0" w:noHBand="0" w:noVBand="1"/>
      </w:tblPr>
      <w:tblGrid>
        <w:gridCol w:w="1763"/>
        <w:gridCol w:w="2802"/>
        <w:gridCol w:w="3557"/>
        <w:gridCol w:w="1228"/>
      </w:tblGrid>
      <w:tr w:rsidR="0057606F" w:rsidRPr="00F467AE" w14:paraId="44F28F9F" w14:textId="77777777" w:rsidTr="00A11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AE5ED6"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Clinical Context</w:t>
            </w:r>
          </w:p>
        </w:tc>
        <w:tc>
          <w:tcPr>
            <w:tcW w:w="0" w:type="auto"/>
            <w:hideMark/>
          </w:tcPr>
          <w:p w14:paraId="0C78E3C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Mechanism of Action</w:t>
            </w:r>
          </w:p>
        </w:tc>
        <w:tc>
          <w:tcPr>
            <w:tcW w:w="0" w:type="auto"/>
            <w:hideMark/>
          </w:tcPr>
          <w:p w14:paraId="14C801D2"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Therapeutic/Diagnostic Potential</w:t>
            </w:r>
          </w:p>
        </w:tc>
        <w:tc>
          <w:tcPr>
            <w:tcW w:w="0" w:type="auto"/>
            <w:hideMark/>
          </w:tcPr>
          <w:p w14:paraId="57FAA0AA"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6F1914A8"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287C95E3"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Circadian Misalignment</w:t>
            </w:r>
          </w:p>
        </w:tc>
        <w:tc>
          <w:tcPr>
            <w:tcW w:w="0" w:type="auto"/>
            <w:hideMark/>
          </w:tcPr>
          <w:p w14:paraId="4E8EF81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Loss of UVB-induced RORα inverse agonism; </w:t>
            </w:r>
            <w:r w:rsidRPr="00F467AE">
              <w:rPr>
                <w:rFonts w:asciiTheme="minorBidi" w:hAnsiTheme="minorBidi"/>
                <w:i/>
                <w:iCs/>
                <w:sz w:val="20"/>
                <w:szCs w:val="20"/>
              </w:rPr>
              <w:t>BMAL1</w:t>
            </w:r>
            <w:r w:rsidRPr="00F467AE">
              <w:rPr>
                <w:rFonts w:asciiTheme="minorBidi" w:hAnsiTheme="minorBidi"/>
                <w:sz w:val="20"/>
                <w:szCs w:val="20"/>
              </w:rPr>
              <w:t xml:space="preserve"> dysregulation</w:t>
            </w:r>
          </w:p>
        </w:tc>
        <w:tc>
          <w:tcPr>
            <w:tcW w:w="0" w:type="auto"/>
            <w:hideMark/>
          </w:tcPr>
          <w:p w14:paraId="5DD1316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Secosteroid analogs as "chronobiotics" to reset peripheral clocks</w:t>
            </w:r>
          </w:p>
        </w:tc>
        <w:tc>
          <w:tcPr>
            <w:tcW w:w="0" w:type="auto"/>
            <w:hideMark/>
          </w:tcPr>
          <w:p w14:paraId="3D61E19D" w14:textId="596CB32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13, 18, 51</w:t>
            </w:r>
            <w:r w:rsidRPr="00F467AE">
              <w:rPr>
                <w:rFonts w:asciiTheme="minorBidi" w:hAnsiTheme="minorBidi"/>
                <w:sz w:val="20"/>
                <w:szCs w:val="20"/>
              </w:rPr>
              <w:t>]</w:t>
            </w:r>
          </w:p>
        </w:tc>
      </w:tr>
      <w:tr w:rsidR="0057606F" w:rsidRPr="00F467AE" w14:paraId="11F74818"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303A5BF5"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Metabolic Syndrome</w:t>
            </w:r>
          </w:p>
        </w:tc>
        <w:tc>
          <w:tcPr>
            <w:tcW w:w="0" w:type="auto"/>
            <w:hideMark/>
          </w:tcPr>
          <w:p w14:paraId="49E6814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Disruption of LXR/ROR-mediated metabolic gating</w:t>
            </w:r>
          </w:p>
        </w:tc>
        <w:tc>
          <w:tcPr>
            <w:tcW w:w="0" w:type="auto"/>
            <w:hideMark/>
          </w:tcPr>
          <w:p w14:paraId="2AFA27E8" w14:textId="1A27CAF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Targeted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therapy to improve insulin sensitivity and lipid profiles</w:t>
            </w:r>
          </w:p>
        </w:tc>
        <w:tc>
          <w:tcPr>
            <w:tcW w:w="0" w:type="auto"/>
            <w:hideMark/>
          </w:tcPr>
          <w:p w14:paraId="59D9C213" w14:textId="7C579BCD"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35, 47, 49</w:t>
            </w:r>
            <w:r w:rsidRPr="00F467AE">
              <w:rPr>
                <w:rFonts w:asciiTheme="minorBidi" w:hAnsiTheme="minorBidi"/>
                <w:sz w:val="20"/>
                <w:szCs w:val="20"/>
              </w:rPr>
              <w:t>]</w:t>
            </w:r>
          </w:p>
        </w:tc>
      </w:tr>
      <w:tr w:rsidR="0057606F" w:rsidRPr="00F467AE" w14:paraId="64FD4DC1"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5695777E"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lastRenderedPageBreak/>
              <w:t>Autoimmune Disorders</w:t>
            </w:r>
          </w:p>
        </w:tc>
        <w:tc>
          <w:tcPr>
            <w:tcW w:w="0" w:type="auto"/>
            <w:hideMark/>
          </w:tcPr>
          <w:p w14:paraId="3F15EE2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Impaired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-mediated Th17 suppression</w:t>
            </w:r>
          </w:p>
        </w:tc>
        <w:tc>
          <w:tcPr>
            <w:tcW w:w="0" w:type="auto"/>
            <w:hideMark/>
          </w:tcPr>
          <w:p w14:paraId="475DE55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Non-calcemic secosteroids for psoriasis/MS without hypercalcemia risk</w:t>
            </w:r>
          </w:p>
        </w:tc>
        <w:tc>
          <w:tcPr>
            <w:tcW w:w="0" w:type="auto"/>
            <w:hideMark/>
          </w:tcPr>
          <w:p w14:paraId="7833597F" w14:textId="6BC6BBA0"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11, 15, 32</w:t>
            </w:r>
            <w:r w:rsidRPr="00F467AE">
              <w:rPr>
                <w:rFonts w:asciiTheme="minorBidi" w:hAnsiTheme="minorBidi"/>
                <w:sz w:val="20"/>
                <w:szCs w:val="20"/>
              </w:rPr>
              <w:t>]</w:t>
            </w:r>
          </w:p>
        </w:tc>
      </w:tr>
      <w:tr w:rsidR="0057606F" w:rsidRPr="00F467AE" w14:paraId="28269D40"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649CBF40"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Seasonal Affective Disorder</w:t>
            </w:r>
          </w:p>
        </w:tc>
        <w:tc>
          <w:tcPr>
            <w:tcW w:w="0" w:type="auto"/>
            <w:hideMark/>
          </w:tcPr>
          <w:p w14:paraId="6C61E7CB"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Reduced photic stimulation of cutaneous HPA axis</w:t>
            </w:r>
          </w:p>
        </w:tc>
        <w:tc>
          <w:tcPr>
            <w:tcW w:w="0" w:type="auto"/>
            <w:hideMark/>
          </w:tcPr>
          <w:p w14:paraId="0306460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Optimized UVB or secosteroid supplementation to stabilize mood rhythms</w:t>
            </w:r>
          </w:p>
        </w:tc>
        <w:tc>
          <w:tcPr>
            <w:tcW w:w="0" w:type="auto"/>
            <w:hideMark/>
          </w:tcPr>
          <w:p w14:paraId="22B8D741" w14:textId="42324DB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 xml:space="preserve">5, 19, </w:t>
            </w:r>
            <w:r w:rsidR="008512A8" w:rsidRPr="00F467AE">
              <w:rPr>
                <w:rFonts w:asciiTheme="minorBidi" w:hAnsiTheme="minorBidi"/>
                <w:sz w:val="20"/>
                <w:szCs w:val="20"/>
              </w:rPr>
              <w:t>27,52,</w:t>
            </w:r>
            <w:r w:rsidR="0057606F" w:rsidRPr="00F467AE">
              <w:rPr>
                <w:rFonts w:asciiTheme="minorBidi" w:hAnsiTheme="minorBidi"/>
                <w:sz w:val="20"/>
                <w:szCs w:val="20"/>
              </w:rPr>
              <w:t>53</w:t>
            </w:r>
            <w:r w:rsidRPr="00F467AE">
              <w:rPr>
                <w:rFonts w:asciiTheme="minorBidi" w:hAnsiTheme="minorBidi"/>
                <w:sz w:val="20"/>
                <w:szCs w:val="20"/>
              </w:rPr>
              <w:t>]</w:t>
            </w:r>
          </w:p>
        </w:tc>
      </w:tr>
      <w:tr w:rsidR="0057606F" w:rsidRPr="00F467AE" w14:paraId="0B33F3FE"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6C6B796A"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Pediatric Growth</w:t>
            </w:r>
          </w:p>
        </w:tc>
        <w:tc>
          <w:tcPr>
            <w:tcW w:w="0" w:type="auto"/>
            <w:hideMark/>
          </w:tcPr>
          <w:p w14:paraId="721DB730"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Disruption of the GH–IGF-1 rhythmicity</w:t>
            </w:r>
          </w:p>
        </w:tc>
        <w:tc>
          <w:tcPr>
            <w:tcW w:w="0" w:type="auto"/>
            <w:hideMark/>
          </w:tcPr>
          <w:p w14:paraId="7909AAFD"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Role in stabilizing hormonal pulses during development</w:t>
            </w:r>
          </w:p>
        </w:tc>
        <w:tc>
          <w:tcPr>
            <w:tcW w:w="0" w:type="auto"/>
            <w:hideMark/>
          </w:tcPr>
          <w:p w14:paraId="02F1A42D" w14:textId="5ADB0136"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40, 52</w:t>
            </w:r>
            <w:r w:rsidRPr="00F467AE">
              <w:rPr>
                <w:rFonts w:asciiTheme="minorBidi" w:hAnsiTheme="minorBidi"/>
                <w:sz w:val="20"/>
                <w:szCs w:val="20"/>
              </w:rPr>
              <w:t>]</w:t>
            </w:r>
          </w:p>
        </w:tc>
      </w:tr>
    </w:tbl>
    <w:p w14:paraId="59753D3F" w14:textId="77777777" w:rsidR="00C821C3" w:rsidRPr="00F467AE" w:rsidRDefault="00C821C3" w:rsidP="00F324D1">
      <w:pPr>
        <w:spacing w:after="0"/>
        <w:rPr>
          <w:rFonts w:asciiTheme="minorBidi" w:hAnsiTheme="minorBidi"/>
          <w:sz w:val="20"/>
          <w:szCs w:val="20"/>
        </w:rPr>
      </w:pPr>
    </w:p>
    <w:p w14:paraId="7BF08B8E" w14:textId="02DB8C7E"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6</w:t>
      </w:r>
      <w:r w:rsidRPr="00F467AE">
        <w:rPr>
          <w:rFonts w:asciiTheme="minorBidi" w:hAnsiTheme="minorBidi"/>
          <w:sz w:val="20"/>
          <w:szCs w:val="20"/>
        </w:rPr>
        <w:t xml:space="preserve"> highlight</w:t>
      </w:r>
      <w:r w:rsidR="00165348" w:rsidRPr="00F467AE">
        <w:rPr>
          <w:rFonts w:asciiTheme="minorBidi" w:hAnsiTheme="minorBidi"/>
          <w:sz w:val="20"/>
          <w:szCs w:val="20"/>
        </w:rPr>
        <w:t xml:space="preserve">s </w:t>
      </w:r>
      <w:r w:rsidRPr="00F467AE">
        <w:rPr>
          <w:rFonts w:asciiTheme="minorBidi" w:hAnsiTheme="minorBidi"/>
          <w:sz w:val="20"/>
          <w:szCs w:val="20"/>
        </w:rPr>
        <w:t xml:space="preserve">the potential of the CYP11A1-secosteroid axis in precision medicine. Because these metabolites are non-calcemic, they offer a significantly wider therapeutic window than traditional calcitriol, particularly for autoimmune and metabolic conditions. Their role as "chemical proxies" for sunlight suggests they could be used as </w:t>
      </w:r>
      <w:r w:rsidR="00165348" w:rsidRPr="00F467AE">
        <w:rPr>
          <w:rFonts w:asciiTheme="minorBidi" w:hAnsiTheme="minorBidi"/>
          <w:sz w:val="20"/>
          <w:szCs w:val="20"/>
        </w:rPr>
        <w:t>chronological devices</w:t>
      </w:r>
      <w:r w:rsidRPr="00F467AE">
        <w:rPr>
          <w:rFonts w:asciiTheme="minorBidi" w:hAnsiTheme="minorBidi"/>
          <w:sz w:val="20"/>
          <w:szCs w:val="20"/>
        </w:rPr>
        <w:t xml:space="preserve"> to mitigate the health impacts of modern indoor lifestyles, shift work, and light pollution.</w:t>
      </w:r>
    </w:p>
    <w:p w14:paraId="5626BCBF" w14:textId="01BB75D4" w:rsidR="0057606F" w:rsidRPr="00F467AE" w:rsidRDefault="0057606F" w:rsidP="00F324D1">
      <w:pPr>
        <w:spacing w:after="0"/>
        <w:rPr>
          <w:rFonts w:asciiTheme="minorBidi" w:hAnsiTheme="minorBidi"/>
          <w:sz w:val="20"/>
          <w:szCs w:val="20"/>
        </w:rPr>
      </w:pPr>
    </w:p>
    <w:p w14:paraId="2723D676" w14:textId="6BD5620A"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7</w:t>
      </w:r>
      <w:r w:rsidRPr="00F467AE">
        <w:rPr>
          <w:rFonts w:asciiTheme="minorBidi" w:hAnsiTheme="minorBidi"/>
          <w:b/>
          <w:bCs/>
          <w:sz w:val="20"/>
          <w:szCs w:val="20"/>
        </w:rPr>
        <w:t>. Comparison of 25-Hydroxyvitamin D</w:t>
      </w:r>
      <w:r w:rsidRPr="00F467AE">
        <w:rPr>
          <w:rFonts w:ascii="Cambria Math" w:hAnsi="Cambria Math" w:cs="Cambria Math"/>
          <w:b/>
          <w:bCs/>
          <w:sz w:val="20"/>
          <w:szCs w:val="20"/>
        </w:rPr>
        <w:t>₃</w:t>
      </w:r>
      <w:r w:rsidRPr="00F467AE">
        <w:rPr>
          <w:rFonts w:asciiTheme="minorBidi" w:hAnsiTheme="minorBidi"/>
          <w:b/>
          <w:bCs/>
          <w:sz w:val="20"/>
          <w:szCs w:val="20"/>
        </w:rPr>
        <w:t xml:space="preserve"> and CYP11A1-Derived Secosteroids</w:t>
      </w:r>
    </w:p>
    <w:tbl>
      <w:tblPr>
        <w:tblStyle w:val="GridTable1Light-Accent1"/>
        <w:tblW w:w="0" w:type="auto"/>
        <w:tblLook w:val="04A0" w:firstRow="1" w:lastRow="0" w:firstColumn="1" w:lastColumn="0" w:noHBand="0" w:noVBand="1"/>
      </w:tblPr>
      <w:tblGrid>
        <w:gridCol w:w="1497"/>
        <w:gridCol w:w="3229"/>
        <w:gridCol w:w="3307"/>
        <w:gridCol w:w="1317"/>
      </w:tblGrid>
      <w:tr w:rsidR="0057606F" w:rsidRPr="00F467AE" w14:paraId="319C402F" w14:textId="77777777" w:rsidTr="00A11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73600"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Domain</w:t>
            </w:r>
          </w:p>
        </w:tc>
        <w:tc>
          <w:tcPr>
            <w:tcW w:w="0" w:type="auto"/>
            <w:hideMark/>
          </w:tcPr>
          <w:p w14:paraId="550F5C44" w14:textId="51D7942F"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25-Hydroxyvitamin D</w:t>
            </w:r>
            <w:r w:rsidRPr="00F467AE">
              <w:rPr>
                <w:rFonts w:ascii="Cambria Math" w:hAnsi="Cambria Math" w:cs="Cambria Math"/>
                <w:b w:val="0"/>
                <w:bCs w:val="0"/>
                <w:sz w:val="20"/>
                <w:szCs w:val="20"/>
              </w:rPr>
              <w:t>₃</w:t>
            </w:r>
            <w:r w:rsidRPr="00F467AE">
              <w:rPr>
                <w:rFonts w:asciiTheme="minorBidi" w:hAnsiTheme="minorBidi"/>
                <w:b w:val="0"/>
                <w:bCs w:val="0"/>
                <w:sz w:val="20"/>
                <w:szCs w:val="20"/>
              </w:rPr>
              <w:t xml:space="preserve">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25OHD</w:t>
            </w:r>
            <w:r w:rsidRPr="00F467AE">
              <w:rPr>
                <w:rFonts w:ascii="Cambria Math" w:hAnsi="Cambria Math" w:cs="Cambria Math"/>
                <w:b w:val="0"/>
                <w:bCs w:val="0"/>
                <w:sz w:val="20"/>
                <w:szCs w:val="20"/>
              </w:rPr>
              <w:t>₃</w:t>
            </w:r>
            <w:r w:rsidR="00500A62" w:rsidRPr="00F467AE">
              <w:rPr>
                <w:rFonts w:asciiTheme="minorBidi" w:hAnsiTheme="minorBidi"/>
                <w:b w:val="0"/>
                <w:bCs w:val="0"/>
                <w:sz w:val="20"/>
                <w:szCs w:val="20"/>
              </w:rPr>
              <w:t>]</w:t>
            </w:r>
          </w:p>
        </w:tc>
        <w:tc>
          <w:tcPr>
            <w:tcW w:w="0" w:type="auto"/>
            <w:hideMark/>
          </w:tcPr>
          <w:p w14:paraId="4953745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CYP11A1-Derived Secosteroids</w:t>
            </w:r>
          </w:p>
        </w:tc>
        <w:tc>
          <w:tcPr>
            <w:tcW w:w="0" w:type="auto"/>
            <w:hideMark/>
          </w:tcPr>
          <w:p w14:paraId="21A427EC"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271A14E9"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52570E6F"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Rhythmicity</w:t>
            </w:r>
          </w:p>
        </w:tc>
        <w:tc>
          <w:tcPr>
            <w:tcW w:w="0" w:type="auto"/>
            <w:hideMark/>
          </w:tcPr>
          <w:p w14:paraId="70D19D7A" w14:textId="3D9D759A"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Minimal/Absent; stable over 24 h </w:t>
            </w:r>
            <w:r w:rsidR="00500A62" w:rsidRPr="00F467AE">
              <w:rPr>
                <w:rFonts w:asciiTheme="minorBidi" w:hAnsiTheme="minorBidi"/>
                <w:sz w:val="20"/>
                <w:szCs w:val="20"/>
              </w:rPr>
              <w:t>[</w:t>
            </w:r>
            <w:r w:rsidRPr="00F467AE">
              <w:rPr>
                <w:rFonts w:asciiTheme="minorBidi" w:hAnsiTheme="minorBidi"/>
                <w:sz w:val="20"/>
                <w:szCs w:val="20"/>
              </w:rPr>
              <w:t>long half-life</w:t>
            </w:r>
            <w:r w:rsidR="00500A62" w:rsidRPr="00F467AE">
              <w:rPr>
                <w:rFonts w:asciiTheme="minorBidi" w:hAnsiTheme="minorBidi"/>
                <w:sz w:val="20"/>
                <w:szCs w:val="20"/>
              </w:rPr>
              <w:t>]</w:t>
            </w:r>
          </w:p>
        </w:tc>
        <w:tc>
          <w:tcPr>
            <w:tcW w:w="0" w:type="auto"/>
            <w:hideMark/>
          </w:tcPr>
          <w:p w14:paraId="3493336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Daytime-linked; UVB-dependent; phasic production</w:t>
            </w:r>
          </w:p>
        </w:tc>
        <w:tc>
          <w:tcPr>
            <w:tcW w:w="0" w:type="auto"/>
            <w:hideMark/>
          </w:tcPr>
          <w:p w14:paraId="0E27C76B" w14:textId="34686939"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1, 2</w:t>
            </w:r>
            <w:r w:rsidRPr="00F467AE">
              <w:rPr>
                <w:rFonts w:asciiTheme="minorBidi" w:hAnsiTheme="minorBidi"/>
                <w:sz w:val="20"/>
                <w:szCs w:val="20"/>
              </w:rPr>
              <w:t>]</w:t>
            </w:r>
          </w:p>
        </w:tc>
      </w:tr>
      <w:tr w:rsidR="0057606F" w:rsidRPr="00F467AE" w14:paraId="75A84C68"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2EA0FB99"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Signaling Role</w:t>
            </w:r>
          </w:p>
        </w:tc>
        <w:tc>
          <w:tcPr>
            <w:tcW w:w="0" w:type="auto"/>
            <w:hideMark/>
          </w:tcPr>
          <w:p w14:paraId="70E0E4F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Tonic indicator of vitamin D sufficiency</w:t>
            </w:r>
          </w:p>
        </w:tc>
        <w:tc>
          <w:tcPr>
            <w:tcW w:w="0" w:type="auto"/>
            <w:hideMark/>
          </w:tcPr>
          <w:p w14:paraId="7EBC9D0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Informational signal reflecting light exposure</w:t>
            </w:r>
          </w:p>
        </w:tc>
        <w:tc>
          <w:tcPr>
            <w:tcW w:w="0" w:type="auto"/>
            <w:hideMark/>
          </w:tcPr>
          <w:p w14:paraId="24E16339" w14:textId="2F58C763"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2, 3</w:t>
            </w:r>
            <w:r w:rsidRPr="00F467AE">
              <w:rPr>
                <w:rFonts w:asciiTheme="minorBidi" w:hAnsiTheme="minorBidi"/>
                <w:sz w:val="20"/>
                <w:szCs w:val="20"/>
              </w:rPr>
              <w:t>]</w:t>
            </w:r>
          </w:p>
        </w:tc>
      </w:tr>
      <w:tr w:rsidR="0057606F" w:rsidRPr="00F467AE" w14:paraId="11EABA84"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548835A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Clock Interaction</w:t>
            </w:r>
          </w:p>
        </w:tc>
        <w:tc>
          <w:tcPr>
            <w:tcW w:w="0" w:type="auto"/>
            <w:hideMark/>
          </w:tcPr>
          <w:p w14:paraId="087F3BE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Weak/Indirect interaction with core clock genes</w:t>
            </w:r>
          </w:p>
        </w:tc>
        <w:tc>
          <w:tcPr>
            <w:tcW w:w="0" w:type="auto"/>
            <w:hideMark/>
          </w:tcPr>
          <w:p w14:paraId="14291C61"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Direct modulation via RORα/γ and AhR signaling</w:t>
            </w:r>
          </w:p>
        </w:tc>
        <w:tc>
          <w:tcPr>
            <w:tcW w:w="0" w:type="auto"/>
            <w:hideMark/>
          </w:tcPr>
          <w:p w14:paraId="08326F76" w14:textId="41A5591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18, 32, 44</w:t>
            </w:r>
            <w:r w:rsidRPr="00F467AE">
              <w:rPr>
                <w:rFonts w:asciiTheme="minorBidi" w:hAnsiTheme="minorBidi"/>
                <w:sz w:val="20"/>
                <w:szCs w:val="20"/>
              </w:rPr>
              <w:t>]</w:t>
            </w:r>
          </w:p>
        </w:tc>
      </w:tr>
      <w:tr w:rsidR="0057606F" w:rsidRPr="00F467AE" w14:paraId="4AC233AB"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750219B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GH–IGF-1 Axis</w:t>
            </w:r>
          </w:p>
        </w:tc>
        <w:tc>
          <w:tcPr>
            <w:tcW w:w="0" w:type="auto"/>
            <w:hideMark/>
          </w:tcPr>
          <w:p w14:paraId="6CA1716C" w14:textId="3E2BD04C"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Permissive </w:t>
            </w:r>
            <w:r w:rsidR="00500A62" w:rsidRPr="00F467AE">
              <w:rPr>
                <w:rFonts w:asciiTheme="minorBidi" w:hAnsiTheme="minorBidi"/>
                <w:sz w:val="20"/>
                <w:szCs w:val="20"/>
              </w:rPr>
              <w:t>[</w:t>
            </w:r>
            <w:r w:rsidRPr="00F467AE">
              <w:rPr>
                <w:rFonts w:asciiTheme="minorBidi" w:hAnsiTheme="minorBidi"/>
                <w:sz w:val="20"/>
                <w:szCs w:val="20"/>
              </w:rPr>
              <w:t>metabolic/skeletal health</w:t>
            </w:r>
            <w:r w:rsidR="00500A62" w:rsidRPr="00F467AE">
              <w:rPr>
                <w:rFonts w:asciiTheme="minorBidi" w:hAnsiTheme="minorBidi"/>
                <w:sz w:val="20"/>
                <w:szCs w:val="20"/>
              </w:rPr>
              <w:t>]</w:t>
            </w:r>
          </w:p>
        </w:tc>
        <w:tc>
          <w:tcPr>
            <w:tcW w:w="0" w:type="auto"/>
            <w:hideMark/>
          </w:tcPr>
          <w:p w14:paraId="0889247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Support of circadian amplitude and GH rhythmicity</w:t>
            </w:r>
          </w:p>
        </w:tc>
        <w:tc>
          <w:tcPr>
            <w:tcW w:w="0" w:type="auto"/>
            <w:hideMark/>
          </w:tcPr>
          <w:p w14:paraId="10488FD2" w14:textId="63F391D4"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39, 41, 52</w:t>
            </w:r>
            <w:r w:rsidRPr="00F467AE">
              <w:rPr>
                <w:rFonts w:asciiTheme="minorBidi" w:hAnsiTheme="minorBidi"/>
                <w:sz w:val="20"/>
                <w:szCs w:val="20"/>
              </w:rPr>
              <w:t>]</w:t>
            </w:r>
          </w:p>
        </w:tc>
      </w:tr>
      <w:tr w:rsidR="0057606F" w:rsidRPr="00F467AE" w14:paraId="36554B5B"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174512CC"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Genetic Impact</w:t>
            </w:r>
          </w:p>
        </w:tc>
        <w:tc>
          <w:tcPr>
            <w:tcW w:w="0" w:type="auto"/>
            <w:hideMark/>
          </w:tcPr>
          <w:p w14:paraId="4FEED04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Primarily VDR-dependent transcription</w:t>
            </w:r>
          </w:p>
        </w:tc>
        <w:tc>
          <w:tcPr>
            <w:tcW w:w="0" w:type="auto"/>
            <w:hideMark/>
          </w:tcPr>
          <w:p w14:paraId="17B85E01"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Regulation of </w:t>
            </w:r>
            <w:r w:rsidRPr="00F467AE">
              <w:rPr>
                <w:rFonts w:asciiTheme="minorBidi" w:hAnsiTheme="minorBidi"/>
                <w:i/>
                <w:iCs/>
                <w:sz w:val="20"/>
                <w:szCs w:val="20"/>
              </w:rPr>
              <w:t>BMAL1</w:t>
            </w:r>
            <w:r w:rsidRPr="00F467AE">
              <w:rPr>
                <w:rFonts w:asciiTheme="minorBidi" w:hAnsiTheme="minorBidi"/>
                <w:sz w:val="20"/>
                <w:szCs w:val="20"/>
              </w:rPr>
              <w:t xml:space="preserve">, </w:t>
            </w:r>
            <w:r w:rsidRPr="00F467AE">
              <w:rPr>
                <w:rFonts w:asciiTheme="minorBidi" w:hAnsiTheme="minorBidi"/>
                <w:i/>
                <w:iCs/>
                <w:sz w:val="20"/>
                <w:szCs w:val="20"/>
              </w:rPr>
              <w:t>PER</w:t>
            </w:r>
            <w:r w:rsidRPr="00F467AE">
              <w:rPr>
                <w:rFonts w:asciiTheme="minorBidi" w:hAnsiTheme="minorBidi"/>
                <w:sz w:val="20"/>
                <w:szCs w:val="20"/>
              </w:rPr>
              <w:t xml:space="preserve">, </w:t>
            </w:r>
            <w:r w:rsidRPr="00F467AE">
              <w:rPr>
                <w:rFonts w:asciiTheme="minorBidi" w:hAnsiTheme="minorBidi"/>
                <w:i/>
                <w:iCs/>
                <w:sz w:val="20"/>
                <w:szCs w:val="20"/>
              </w:rPr>
              <w:t>REV-ERBα</w:t>
            </w:r>
            <w:r w:rsidRPr="00F467AE">
              <w:rPr>
                <w:rFonts w:asciiTheme="minorBidi" w:hAnsiTheme="minorBidi"/>
                <w:sz w:val="20"/>
                <w:szCs w:val="20"/>
              </w:rPr>
              <w:t xml:space="preserve">, and </w:t>
            </w:r>
            <w:r w:rsidRPr="00F467AE">
              <w:rPr>
                <w:rFonts w:asciiTheme="minorBidi" w:hAnsiTheme="minorBidi"/>
                <w:i/>
                <w:iCs/>
                <w:sz w:val="20"/>
                <w:szCs w:val="20"/>
              </w:rPr>
              <w:t>NAMPT</w:t>
            </w:r>
          </w:p>
        </w:tc>
        <w:tc>
          <w:tcPr>
            <w:tcW w:w="0" w:type="auto"/>
            <w:hideMark/>
          </w:tcPr>
          <w:p w14:paraId="16FB00AB" w14:textId="17AA850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18, 45, 48, 50</w:t>
            </w:r>
            <w:r w:rsidRPr="00F467AE">
              <w:rPr>
                <w:rFonts w:asciiTheme="minorBidi" w:hAnsiTheme="minorBidi"/>
                <w:sz w:val="20"/>
                <w:szCs w:val="20"/>
              </w:rPr>
              <w:t>]</w:t>
            </w:r>
          </w:p>
        </w:tc>
      </w:tr>
    </w:tbl>
    <w:p w14:paraId="1CC20072" w14:textId="77777777" w:rsidR="00C16CC9" w:rsidRPr="00F467AE" w:rsidRDefault="00C16CC9" w:rsidP="00F324D1">
      <w:pPr>
        <w:spacing w:after="0"/>
        <w:rPr>
          <w:rFonts w:asciiTheme="minorBidi" w:hAnsiTheme="minorBidi"/>
          <w:b/>
          <w:bCs/>
          <w:sz w:val="20"/>
          <w:szCs w:val="20"/>
        </w:rPr>
      </w:pPr>
    </w:p>
    <w:p w14:paraId="7770A507" w14:textId="65B974BC"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7</w:t>
      </w:r>
      <w:r w:rsidRPr="00F467AE">
        <w:rPr>
          <w:rFonts w:asciiTheme="minorBidi" w:hAnsiTheme="minorBidi"/>
          <w:sz w:val="20"/>
          <w:szCs w:val="20"/>
        </w:rPr>
        <w:t xml:space="preserve"> provides a critical distinction between the tonic, reservoir function of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and the phasic, informational role of CYP11A1-derived secosteroids. While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serves as a stable marker of nutritional status, the CYP11A1 pathway generates rapid, light-dependent signals that communicate environmental time to the internal molecular clock. This comparison underscores that the "Sun's Chemical Proxy" is a dynamic secosteroid signature that coordinates the pulsatile release of hormones to maintain systemic harmony.</w:t>
      </w:r>
    </w:p>
    <w:p w14:paraId="79106D65" w14:textId="5997D254" w:rsidR="00C231BA" w:rsidRPr="00F467AE" w:rsidRDefault="00C231BA" w:rsidP="00F324D1">
      <w:pPr>
        <w:spacing w:after="0"/>
        <w:rPr>
          <w:rFonts w:asciiTheme="minorBidi" w:hAnsiTheme="minorBidi"/>
          <w:sz w:val="20"/>
          <w:szCs w:val="20"/>
        </w:rPr>
      </w:pPr>
    </w:p>
    <w:p w14:paraId="0641A472" w14:textId="6814303E" w:rsidR="00C231BA" w:rsidRPr="00F467AE" w:rsidRDefault="00C231BA"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8</w:t>
      </w:r>
      <w:r w:rsidRPr="00F467AE">
        <w:rPr>
          <w:rFonts w:asciiTheme="minorBidi" w:hAnsiTheme="minorBidi"/>
          <w:b/>
          <w:bCs/>
          <w:sz w:val="20"/>
          <w:szCs w:val="20"/>
        </w:rPr>
        <w:t>. Quality Assessment and Evidence Synthesis Summary</w:t>
      </w:r>
    </w:p>
    <w:tbl>
      <w:tblPr>
        <w:tblStyle w:val="GridTable1Light-Accent1"/>
        <w:tblW w:w="0" w:type="auto"/>
        <w:tblLook w:val="04A0" w:firstRow="1" w:lastRow="0" w:firstColumn="1" w:lastColumn="0" w:noHBand="0" w:noVBand="1"/>
      </w:tblPr>
      <w:tblGrid>
        <w:gridCol w:w="1479"/>
        <w:gridCol w:w="1612"/>
        <w:gridCol w:w="1895"/>
        <w:gridCol w:w="1253"/>
        <w:gridCol w:w="3111"/>
      </w:tblGrid>
      <w:tr w:rsidR="00C231BA" w:rsidRPr="00F467AE" w14:paraId="5F4F0714" w14:textId="77777777" w:rsidTr="00A11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E5A7F"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Study Category</w:t>
            </w:r>
          </w:p>
        </w:tc>
        <w:tc>
          <w:tcPr>
            <w:tcW w:w="0" w:type="auto"/>
            <w:hideMark/>
          </w:tcPr>
          <w:p w14:paraId="1BF26CA4"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Principal References</w:t>
            </w:r>
          </w:p>
        </w:tc>
        <w:tc>
          <w:tcPr>
            <w:tcW w:w="0" w:type="auto"/>
            <w:hideMark/>
          </w:tcPr>
          <w:p w14:paraId="3E3E9363"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Primary Focus</w:t>
            </w:r>
          </w:p>
        </w:tc>
        <w:tc>
          <w:tcPr>
            <w:tcW w:w="0" w:type="auto"/>
            <w:hideMark/>
          </w:tcPr>
          <w:p w14:paraId="01A92592"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Quality Level</w:t>
            </w:r>
          </w:p>
        </w:tc>
        <w:tc>
          <w:tcPr>
            <w:tcW w:w="0" w:type="auto"/>
            <w:hideMark/>
          </w:tcPr>
          <w:p w14:paraId="5112F508"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Assessment of Potential Bias</w:t>
            </w:r>
          </w:p>
        </w:tc>
      </w:tr>
      <w:tr w:rsidR="00C231BA" w:rsidRPr="00F467AE" w14:paraId="0C251A82"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75CF6108"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Enzymology</w:t>
            </w:r>
          </w:p>
        </w:tc>
        <w:tc>
          <w:tcPr>
            <w:tcW w:w="0" w:type="auto"/>
            <w:hideMark/>
          </w:tcPr>
          <w:p w14:paraId="2FCA56C9" w14:textId="657BA3FD"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8–10, 32</w:t>
            </w:r>
            <w:r w:rsidRPr="00F467AE">
              <w:rPr>
                <w:rFonts w:asciiTheme="minorBidi" w:hAnsiTheme="minorBidi"/>
                <w:sz w:val="20"/>
                <w:szCs w:val="20"/>
              </w:rPr>
              <w:t>]</w:t>
            </w:r>
          </w:p>
        </w:tc>
        <w:tc>
          <w:tcPr>
            <w:tcW w:w="0" w:type="auto"/>
            <w:hideMark/>
          </w:tcPr>
          <w:p w14:paraId="00701FA3"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CYP11A1 substrate flexibility</w:t>
            </w:r>
          </w:p>
        </w:tc>
        <w:tc>
          <w:tcPr>
            <w:tcW w:w="0" w:type="auto"/>
            <w:hideMark/>
          </w:tcPr>
          <w:p w14:paraId="687A4FAF"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w:t>
            </w:r>
          </w:p>
        </w:tc>
        <w:tc>
          <w:tcPr>
            <w:tcW w:w="0" w:type="auto"/>
            <w:hideMark/>
          </w:tcPr>
          <w:p w14:paraId="374FD181"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Minimal; results consistent across independent LC-MS/MS platforms.</w:t>
            </w:r>
          </w:p>
        </w:tc>
      </w:tr>
      <w:tr w:rsidR="00C231BA" w:rsidRPr="00F467AE" w14:paraId="252CFA5B"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06769C23"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Nuclear Receptors</w:t>
            </w:r>
          </w:p>
        </w:tc>
        <w:tc>
          <w:tcPr>
            <w:tcW w:w="0" w:type="auto"/>
            <w:hideMark/>
          </w:tcPr>
          <w:p w14:paraId="0F5092F4" w14:textId="1D76EA0E"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12–15, 32, 35</w:t>
            </w:r>
            <w:r w:rsidRPr="00F467AE">
              <w:rPr>
                <w:rFonts w:asciiTheme="minorBidi" w:hAnsiTheme="minorBidi"/>
                <w:sz w:val="20"/>
                <w:szCs w:val="20"/>
              </w:rPr>
              <w:t>]</w:t>
            </w:r>
          </w:p>
        </w:tc>
        <w:tc>
          <w:tcPr>
            <w:tcW w:w="0" w:type="auto"/>
            <w:hideMark/>
          </w:tcPr>
          <w:p w14:paraId="212262E0"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RORα/γ and AhR interactions</w:t>
            </w:r>
          </w:p>
        </w:tc>
        <w:tc>
          <w:tcPr>
            <w:tcW w:w="0" w:type="auto"/>
            <w:hideMark/>
          </w:tcPr>
          <w:p w14:paraId="3F37E2BF"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w:t>
            </w:r>
          </w:p>
        </w:tc>
        <w:tc>
          <w:tcPr>
            <w:tcW w:w="0" w:type="auto"/>
            <w:hideMark/>
          </w:tcPr>
          <w:p w14:paraId="5E029C24"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Strong mechanistic evidence from FRET and knockout models.</w:t>
            </w:r>
          </w:p>
        </w:tc>
      </w:tr>
      <w:tr w:rsidR="00C231BA" w:rsidRPr="00F467AE" w14:paraId="26E168E3"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498D3067"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Circadian Biology</w:t>
            </w:r>
          </w:p>
        </w:tc>
        <w:tc>
          <w:tcPr>
            <w:tcW w:w="0" w:type="auto"/>
            <w:hideMark/>
          </w:tcPr>
          <w:p w14:paraId="4886B3DD" w14:textId="26EFA4B5"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18, 44, 45, 48</w:t>
            </w:r>
            <w:r w:rsidRPr="00F467AE">
              <w:rPr>
                <w:rFonts w:asciiTheme="minorBidi" w:hAnsiTheme="minorBidi"/>
                <w:sz w:val="20"/>
                <w:szCs w:val="20"/>
              </w:rPr>
              <w:t>]</w:t>
            </w:r>
          </w:p>
        </w:tc>
        <w:tc>
          <w:tcPr>
            <w:tcW w:w="0" w:type="auto"/>
            <w:hideMark/>
          </w:tcPr>
          <w:p w14:paraId="72AEF3F5" w14:textId="3FE0E8A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Clock gene regulation </w:t>
            </w:r>
            <w:r w:rsidR="00500A62" w:rsidRPr="00F467AE">
              <w:rPr>
                <w:rFonts w:asciiTheme="minorBidi" w:hAnsiTheme="minorBidi"/>
                <w:sz w:val="20"/>
                <w:szCs w:val="20"/>
              </w:rPr>
              <w:t>[</w:t>
            </w:r>
            <w:r w:rsidRPr="00F467AE">
              <w:rPr>
                <w:rFonts w:asciiTheme="minorBidi" w:hAnsiTheme="minorBidi"/>
                <w:i/>
                <w:iCs/>
                <w:sz w:val="20"/>
                <w:szCs w:val="20"/>
              </w:rPr>
              <w:t>BMAL1</w:t>
            </w:r>
            <w:r w:rsidR="00500A62" w:rsidRPr="00F467AE">
              <w:rPr>
                <w:rFonts w:asciiTheme="minorBidi" w:hAnsiTheme="minorBidi"/>
                <w:sz w:val="20"/>
                <w:szCs w:val="20"/>
              </w:rPr>
              <w:t>]</w:t>
            </w:r>
          </w:p>
        </w:tc>
        <w:tc>
          <w:tcPr>
            <w:tcW w:w="0" w:type="auto"/>
            <w:hideMark/>
          </w:tcPr>
          <w:p w14:paraId="3CD1F391"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Moderate-High</w:t>
            </w:r>
          </w:p>
        </w:tc>
        <w:tc>
          <w:tcPr>
            <w:tcW w:w="0" w:type="auto"/>
            <w:hideMark/>
          </w:tcPr>
          <w:p w14:paraId="5D79DB5D"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Consistent molecular data; limited by tissue-specific clock complexity.</w:t>
            </w:r>
          </w:p>
        </w:tc>
      </w:tr>
      <w:tr w:rsidR="00C231BA" w:rsidRPr="00F467AE" w14:paraId="5DD6DB26"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308187BC"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lastRenderedPageBreak/>
              <w:t>Endocrine Axes</w:t>
            </w:r>
          </w:p>
        </w:tc>
        <w:tc>
          <w:tcPr>
            <w:tcW w:w="0" w:type="auto"/>
            <w:hideMark/>
          </w:tcPr>
          <w:p w14:paraId="744104C5" w14:textId="61659BE1"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5, 7, 39, 41, 52</w:t>
            </w:r>
            <w:r w:rsidRPr="00F467AE">
              <w:rPr>
                <w:rFonts w:asciiTheme="minorBidi" w:hAnsiTheme="minorBidi"/>
                <w:sz w:val="20"/>
                <w:szCs w:val="20"/>
              </w:rPr>
              <w:t>]</w:t>
            </w:r>
          </w:p>
        </w:tc>
        <w:tc>
          <w:tcPr>
            <w:tcW w:w="0" w:type="auto"/>
            <w:hideMark/>
          </w:tcPr>
          <w:p w14:paraId="7D60F2B9"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HPA/HPT/GH axis modulation</w:t>
            </w:r>
          </w:p>
        </w:tc>
        <w:tc>
          <w:tcPr>
            <w:tcW w:w="0" w:type="auto"/>
            <w:hideMark/>
          </w:tcPr>
          <w:p w14:paraId="0B4C9879"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48217C7" w14:textId="2732B2D8"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Some human studies are observational; lifestyle confounders </w:t>
            </w:r>
            <w:r w:rsidR="00B245EA" w:rsidRPr="00F467AE">
              <w:rPr>
                <w:rFonts w:asciiTheme="minorBidi" w:hAnsiTheme="minorBidi"/>
                <w:sz w:val="20"/>
                <w:szCs w:val="20"/>
              </w:rPr>
              <w:t xml:space="preserve">are </w:t>
            </w:r>
            <w:r w:rsidRPr="00F467AE">
              <w:rPr>
                <w:rFonts w:asciiTheme="minorBidi" w:hAnsiTheme="minorBidi"/>
                <w:sz w:val="20"/>
                <w:szCs w:val="20"/>
              </w:rPr>
              <w:t>possible.</w:t>
            </w:r>
          </w:p>
        </w:tc>
      </w:tr>
      <w:tr w:rsidR="00C231BA" w:rsidRPr="00F467AE" w14:paraId="1FB3BFE7"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16A220F1"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Clinical Outcomes</w:t>
            </w:r>
          </w:p>
        </w:tc>
        <w:tc>
          <w:tcPr>
            <w:tcW w:w="0" w:type="auto"/>
            <w:hideMark/>
          </w:tcPr>
          <w:p w14:paraId="64D672BF" w14:textId="2CA4DD99"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 xml:space="preserve">1, 11, </w:t>
            </w:r>
            <w:r w:rsidR="008512A8" w:rsidRPr="00F467AE">
              <w:rPr>
                <w:rFonts w:asciiTheme="minorBidi" w:hAnsiTheme="minorBidi"/>
                <w:sz w:val="20"/>
                <w:szCs w:val="20"/>
              </w:rPr>
              <w:t>27, 51,53,54,55</w:t>
            </w:r>
            <w:r w:rsidRPr="00F467AE">
              <w:rPr>
                <w:rFonts w:asciiTheme="minorBidi" w:hAnsiTheme="minorBidi"/>
                <w:sz w:val="20"/>
                <w:szCs w:val="20"/>
              </w:rPr>
              <w:t>]</w:t>
            </w:r>
          </w:p>
        </w:tc>
        <w:tc>
          <w:tcPr>
            <w:tcW w:w="0" w:type="auto"/>
            <w:hideMark/>
          </w:tcPr>
          <w:p w14:paraId="11FD083E"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Health impacts and SAD</w:t>
            </w:r>
          </w:p>
        </w:tc>
        <w:tc>
          <w:tcPr>
            <w:tcW w:w="0" w:type="auto"/>
            <w:hideMark/>
          </w:tcPr>
          <w:p w14:paraId="3331F9DB"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F4B1D67" w14:textId="268CD069"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Heterogeneity in clinical populations and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 measurement.</w:t>
            </w:r>
          </w:p>
        </w:tc>
      </w:tr>
    </w:tbl>
    <w:p w14:paraId="25C59252" w14:textId="77777777" w:rsidR="00C16CC9" w:rsidRPr="00F467AE" w:rsidRDefault="00C16CC9" w:rsidP="00F324D1">
      <w:pPr>
        <w:spacing w:after="0"/>
        <w:rPr>
          <w:rFonts w:asciiTheme="minorBidi" w:hAnsiTheme="minorBidi"/>
          <w:b/>
          <w:bCs/>
          <w:sz w:val="20"/>
          <w:szCs w:val="20"/>
        </w:rPr>
      </w:pPr>
    </w:p>
    <w:p w14:paraId="1C1A057C" w14:textId="77E8E3AF" w:rsidR="00C231BA" w:rsidRPr="00F467AE" w:rsidRDefault="00C231BA" w:rsidP="00F324D1">
      <w:pPr>
        <w:spacing w:after="0"/>
        <w:rPr>
          <w:rFonts w:asciiTheme="minorBidi" w:hAnsiTheme="minorBidi"/>
          <w:sz w:val="20"/>
          <w:szCs w:val="20"/>
        </w:rPr>
      </w:pPr>
      <w:r w:rsidRPr="00F467AE">
        <w:rPr>
          <w:rFonts w:asciiTheme="minorBidi" w:hAnsiTheme="minorBidi"/>
          <w:sz w:val="20"/>
          <w:szCs w:val="20"/>
        </w:rPr>
        <w:t>Table</w:t>
      </w:r>
      <w:r w:rsidR="00FF4036" w:rsidRPr="00F467AE">
        <w:rPr>
          <w:rFonts w:asciiTheme="minorBidi" w:hAnsiTheme="minorBidi"/>
          <w:sz w:val="20"/>
          <w:szCs w:val="20"/>
        </w:rPr>
        <w:t xml:space="preserve"> 8</w:t>
      </w:r>
      <w:r w:rsidRPr="00F467AE">
        <w:rPr>
          <w:rFonts w:asciiTheme="minorBidi" w:hAnsiTheme="minorBidi"/>
          <w:sz w:val="20"/>
          <w:szCs w:val="20"/>
        </w:rPr>
        <w:t xml:space="preserve"> demonstrates that the foundational mechanistic evidence supporting the CYP11A1–secosteroid–circadian axis is of high quality. While human endocrine and clinical studies carry a moderate risk of bias due to inherent lifestyle confounders, the strong "bottom-up" molecular evidence provided in the earlier tables establishes a robust biological plausibility for the systemic observations recorded in this review.</w:t>
      </w:r>
    </w:p>
    <w:p w14:paraId="12543E77" w14:textId="77777777" w:rsidR="008C6A7F" w:rsidRPr="00F467AE" w:rsidRDefault="008C6A7F">
      <w:pPr>
        <w:rPr>
          <w:rFonts w:asciiTheme="minorBidi" w:hAnsiTheme="minorBidi"/>
          <w:sz w:val="20"/>
          <w:szCs w:val="20"/>
        </w:rPr>
      </w:pPr>
    </w:p>
    <w:p w14:paraId="7795F482" w14:textId="1C21613B" w:rsidR="008C6A7F" w:rsidRPr="00F467AE" w:rsidRDefault="008C6A7F" w:rsidP="008C6A7F">
      <w:pPr>
        <w:rPr>
          <w:rFonts w:asciiTheme="minorBidi" w:hAnsiTheme="minorBidi"/>
          <w:b/>
          <w:bCs/>
          <w:sz w:val="20"/>
          <w:szCs w:val="20"/>
        </w:rPr>
      </w:pPr>
      <w:r w:rsidRPr="00F467AE">
        <w:rPr>
          <w:rFonts w:asciiTheme="minorBidi" w:hAnsiTheme="minorBidi"/>
          <w:b/>
          <w:bCs/>
          <w:sz w:val="20"/>
          <w:szCs w:val="20"/>
        </w:rPr>
        <w:t>Table 9.  Risk-of-Bias Assessment for Included Studies (1–67)</w:t>
      </w:r>
    </w:p>
    <w:tbl>
      <w:tblPr>
        <w:tblStyle w:val="GridTable1Light-Accent4"/>
        <w:tblW w:w="0" w:type="auto"/>
        <w:tblLook w:val="04A0" w:firstRow="1" w:lastRow="0" w:firstColumn="1" w:lastColumn="0" w:noHBand="0" w:noVBand="1"/>
      </w:tblPr>
      <w:tblGrid>
        <w:gridCol w:w="903"/>
        <w:gridCol w:w="1984"/>
        <w:gridCol w:w="1373"/>
        <w:gridCol w:w="1022"/>
        <w:gridCol w:w="4068"/>
      </w:tblGrid>
      <w:tr w:rsidR="00C17C8E" w:rsidRPr="00C17C8E" w14:paraId="31BD47AE" w14:textId="77777777" w:rsidTr="00C17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B2CC47"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Study ID</w:t>
            </w:r>
          </w:p>
        </w:tc>
        <w:tc>
          <w:tcPr>
            <w:tcW w:w="0" w:type="auto"/>
            <w:hideMark/>
          </w:tcPr>
          <w:p w14:paraId="69539EA6" w14:textId="77777777" w:rsidR="00C17C8E" w:rsidRPr="00C17C8E" w:rsidRDefault="00C17C8E" w:rsidP="00C17C8E">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C17C8E">
              <w:rPr>
                <w:rFonts w:asciiTheme="minorBidi" w:hAnsiTheme="minorBidi"/>
                <w:b w:val="0"/>
                <w:bCs w:val="0"/>
                <w:sz w:val="18"/>
                <w:szCs w:val="18"/>
              </w:rPr>
              <w:t>Study Type</w:t>
            </w:r>
          </w:p>
        </w:tc>
        <w:tc>
          <w:tcPr>
            <w:tcW w:w="0" w:type="auto"/>
            <w:hideMark/>
          </w:tcPr>
          <w:p w14:paraId="47FA44DC" w14:textId="77777777" w:rsidR="00C17C8E" w:rsidRPr="00C17C8E" w:rsidRDefault="00C17C8E" w:rsidP="00C17C8E">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C17C8E">
              <w:rPr>
                <w:rFonts w:asciiTheme="minorBidi" w:hAnsiTheme="minorBidi"/>
                <w:b w:val="0"/>
                <w:bCs w:val="0"/>
                <w:sz w:val="18"/>
                <w:szCs w:val="18"/>
              </w:rPr>
              <w:t>Tool Used</w:t>
            </w:r>
          </w:p>
        </w:tc>
        <w:tc>
          <w:tcPr>
            <w:tcW w:w="0" w:type="auto"/>
            <w:hideMark/>
          </w:tcPr>
          <w:p w14:paraId="67307DBE" w14:textId="77777777" w:rsidR="00C17C8E" w:rsidRPr="00C17C8E" w:rsidRDefault="00C17C8E" w:rsidP="00C17C8E">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C17C8E">
              <w:rPr>
                <w:rFonts w:asciiTheme="minorBidi" w:hAnsiTheme="minorBidi"/>
                <w:b w:val="0"/>
                <w:bCs w:val="0"/>
                <w:sz w:val="18"/>
                <w:szCs w:val="18"/>
              </w:rPr>
              <w:t>Risk of Bias</w:t>
            </w:r>
          </w:p>
        </w:tc>
        <w:tc>
          <w:tcPr>
            <w:tcW w:w="0" w:type="auto"/>
            <w:hideMark/>
          </w:tcPr>
          <w:p w14:paraId="4A54C959" w14:textId="77777777" w:rsidR="00C17C8E" w:rsidRPr="00C17C8E" w:rsidRDefault="00C17C8E" w:rsidP="00C17C8E">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C17C8E">
              <w:rPr>
                <w:rFonts w:asciiTheme="minorBidi" w:hAnsiTheme="minorBidi"/>
                <w:b w:val="0"/>
                <w:bCs w:val="0"/>
                <w:sz w:val="18"/>
                <w:szCs w:val="18"/>
              </w:rPr>
              <w:t>Comments</w:t>
            </w:r>
          </w:p>
        </w:tc>
      </w:tr>
      <w:tr w:rsidR="00C17C8E" w:rsidRPr="00C17C8E" w14:paraId="351B9BD8"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573AAB6"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 HM (2007)</w:t>
            </w:r>
          </w:p>
        </w:tc>
        <w:tc>
          <w:tcPr>
            <w:tcW w:w="0" w:type="auto"/>
            <w:hideMark/>
          </w:tcPr>
          <w:p w14:paraId="0168F36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324F078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1CE137C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07251823" w14:textId="413A1D9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Broad narrative synthesis: no formal systematic search strategy reported.</w:t>
            </w:r>
          </w:p>
        </w:tc>
      </w:tr>
      <w:tr w:rsidR="00C17C8E" w:rsidRPr="00C17C8E" w14:paraId="7CE3E18D"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F36743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 CS (2016)</w:t>
            </w:r>
          </w:p>
        </w:tc>
        <w:tc>
          <w:tcPr>
            <w:tcW w:w="0" w:type="auto"/>
            <w:hideMark/>
          </w:tcPr>
          <w:p w14:paraId="6716244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577AD7C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1EB44C7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5E6A8B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Comprehensive, well-referenced review with clear mechanistic framework.</w:t>
            </w:r>
          </w:p>
        </w:tc>
      </w:tr>
      <w:tr w:rsidR="00C17C8E" w:rsidRPr="00C17C8E" w14:paraId="5B2A1521"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D50D356"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 BR (2019)</w:t>
            </w:r>
          </w:p>
        </w:tc>
        <w:tc>
          <w:tcPr>
            <w:tcW w:w="0" w:type="auto"/>
            <w:hideMark/>
          </w:tcPr>
          <w:p w14:paraId="30C8607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122A518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7C85C79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33478E4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Extensive evidence base and transparent interpretation of data.</w:t>
            </w:r>
          </w:p>
        </w:tc>
      </w:tr>
      <w:tr w:rsidR="00C17C8E" w:rsidRPr="00C17C8E" w14:paraId="2EF7E66F"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8797CE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 CC (2013)</w:t>
            </w:r>
          </w:p>
        </w:tc>
        <w:tc>
          <w:tcPr>
            <w:tcW w:w="0" w:type="auto"/>
            <w:hideMark/>
          </w:tcPr>
          <w:p w14:paraId="67BAD6E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05D271E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7568373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3A1ABE0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Clear molecular focus; consistent interpretation across cited studies.</w:t>
            </w:r>
          </w:p>
        </w:tc>
      </w:tr>
      <w:tr w:rsidR="00C17C8E" w:rsidRPr="00C17C8E" w14:paraId="1907F20A"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7500165"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 SA (2018)</w:t>
            </w:r>
          </w:p>
        </w:tc>
        <w:tc>
          <w:tcPr>
            <w:tcW w:w="0" w:type="auto"/>
            <w:hideMark/>
          </w:tcPr>
          <w:p w14:paraId="53526E0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(animal/human)</w:t>
            </w:r>
          </w:p>
        </w:tc>
        <w:tc>
          <w:tcPr>
            <w:tcW w:w="0" w:type="auto"/>
            <w:hideMark/>
          </w:tcPr>
          <w:p w14:paraId="1C5524B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096E769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6DC77CB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Controlled experimental design with reproducible endpoints.</w:t>
            </w:r>
          </w:p>
        </w:tc>
      </w:tr>
      <w:tr w:rsidR="00C17C8E" w:rsidRPr="00C17C8E" w14:paraId="3EC3B197"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0DD2BC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 ZC (2009)</w:t>
            </w:r>
          </w:p>
        </w:tc>
        <w:tc>
          <w:tcPr>
            <w:tcW w:w="0" w:type="auto"/>
            <w:hideMark/>
          </w:tcPr>
          <w:p w14:paraId="1FE5F38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53BB266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4DBE14E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10343AE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Conceptual review; limited methodological detail.</w:t>
            </w:r>
          </w:p>
        </w:tc>
      </w:tr>
      <w:tr w:rsidR="00C17C8E" w:rsidRPr="00C17C8E" w14:paraId="15E29E9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480BE40"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7. SD (2017)</w:t>
            </w:r>
          </w:p>
        </w:tc>
        <w:tc>
          <w:tcPr>
            <w:tcW w:w="0" w:type="auto"/>
            <w:hideMark/>
          </w:tcPr>
          <w:p w14:paraId="0A0F99A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1385A36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08DAB88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49E5F48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Well-controlled UVB exposure experiments with physiological outcomes.</w:t>
            </w:r>
          </w:p>
        </w:tc>
      </w:tr>
      <w:tr w:rsidR="00C17C8E" w:rsidRPr="00C17C8E" w14:paraId="6925401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1EA952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8. SR (2021)</w:t>
            </w:r>
          </w:p>
        </w:tc>
        <w:tc>
          <w:tcPr>
            <w:tcW w:w="0" w:type="auto"/>
            <w:hideMark/>
          </w:tcPr>
          <w:p w14:paraId="0F6960B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58AF70D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5D88E2B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676D5A1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Robust molecular characterization of CYP11A1 expression.</w:t>
            </w:r>
          </w:p>
        </w:tc>
      </w:tr>
      <w:tr w:rsidR="00C17C8E" w:rsidRPr="00C17C8E" w14:paraId="76673345"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5518FDE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9. SA (2014)</w:t>
            </w:r>
          </w:p>
        </w:tc>
        <w:tc>
          <w:tcPr>
            <w:tcW w:w="0" w:type="auto"/>
            <w:hideMark/>
          </w:tcPr>
          <w:p w14:paraId="3AD2A78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3E71702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20E89C6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16C3F3A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Strong enzymatic and cellular validation across models.</w:t>
            </w:r>
          </w:p>
        </w:tc>
      </w:tr>
      <w:tr w:rsidR="00C17C8E" w:rsidRPr="00C17C8E" w14:paraId="30364381"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026C397"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10. SS (2006)</w:t>
            </w:r>
          </w:p>
        </w:tc>
        <w:tc>
          <w:tcPr>
            <w:tcW w:w="0" w:type="auto"/>
            <w:hideMark/>
          </w:tcPr>
          <w:p w14:paraId="1A2A7CD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6B04A0E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2B9E3C8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7084C2E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Foundational mechanistic study with reproducible biochemical methods.</w:t>
            </w:r>
          </w:p>
        </w:tc>
      </w:tr>
      <w:tr w:rsidR="00C17C8E" w:rsidRPr="00C17C8E" w14:paraId="018AB285"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CC88435"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11. OA (2020)</w:t>
            </w:r>
          </w:p>
        </w:tc>
        <w:tc>
          <w:tcPr>
            <w:tcW w:w="0" w:type="auto"/>
            <w:hideMark/>
          </w:tcPr>
          <w:p w14:paraId="23849EA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31C7256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3FF2341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49C40F4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In vitro design limits direct clinical generalizability.</w:t>
            </w:r>
          </w:p>
        </w:tc>
      </w:tr>
      <w:tr w:rsidR="00C17C8E" w:rsidRPr="00C17C8E" w14:paraId="387BD70C"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0EF53B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12. ZY (2015)</w:t>
            </w:r>
          </w:p>
        </w:tc>
        <w:tc>
          <w:tcPr>
            <w:tcW w:w="0" w:type="auto"/>
            <w:hideMark/>
          </w:tcPr>
          <w:p w14:paraId="386C2EB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2948D22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69B2504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78BE52C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Comprehensive receptor-focused synthesis.</w:t>
            </w:r>
          </w:p>
        </w:tc>
      </w:tr>
      <w:tr w:rsidR="00C17C8E" w:rsidRPr="00C17C8E" w14:paraId="2E0CC86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1F5A6FA"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13. SA (2024)</w:t>
            </w:r>
          </w:p>
        </w:tc>
        <w:tc>
          <w:tcPr>
            <w:tcW w:w="0" w:type="auto"/>
            <w:hideMark/>
          </w:tcPr>
          <w:p w14:paraId="4813807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2F341F3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7D9D49A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161E937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Multimodal validation of biological effects.</w:t>
            </w:r>
          </w:p>
        </w:tc>
      </w:tr>
      <w:tr w:rsidR="00C17C8E" w:rsidRPr="00C17C8E" w14:paraId="11343F9D"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B70CE6A"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lastRenderedPageBreak/>
              <w:t>14. SA (2023)</w:t>
            </w:r>
          </w:p>
        </w:tc>
        <w:tc>
          <w:tcPr>
            <w:tcW w:w="0" w:type="auto"/>
            <w:hideMark/>
          </w:tcPr>
          <w:p w14:paraId="71AB9EC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5FF75C8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2FA5D39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7B3A10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Clear scope and strong linkage to circadian mechanisms.</w:t>
            </w:r>
          </w:p>
        </w:tc>
      </w:tr>
      <w:tr w:rsidR="00C17C8E" w:rsidRPr="00C17C8E" w14:paraId="239D5725"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C792FDF" w14:textId="77777777" w:rsidR="00C17C8E" w:rsidRPr="00C17C8E" w:rsidRDefault="00C17C8E" w:rsidP="00C17C8E">
            <w:pPr>
              <w:spacing w:after="160" w:line="278" w:lineRule="auto"/>
              <w:rPr>
                <w:rFonts w:asciiTheme="minorBidi" w:hAnsiTheme="minorBidi"/>
                <w:b w:val="0"/>
                <w:bCs w:val="0"/>
                <w:sz w:val="18"/>
                <w:szCs w:val="18"/>
                <w:highlight w:val="yellow"/>
              </w:rPr>
            </w:pPr>
            <w:r w:rsidRPr="00C17C8E">
              <w:rPr>
                <w:rFonts w:asciiTheme="minorBidi" w:hAnsiTheme="minorBidi"/>
                <w:b w:val="0"/>
                <w:bCs w:val="0"/>
                <w:sz w:val="18"/>
                <w:szCs w:val="18"/>
                <w:highlight w:val="yellow"/>
              </w:rPr>
              <w:t>15. CV (2020)</w:t>
            </w:r>
          </w:p>
        </w:tc>
        <w:tc>
          <w:tcPr>
            <w:tcW w:w="0" w:type="auto"/>
            <w:hideMark/>
          </w:tcPr>
          <w:p w14:paraId="702E3C9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Narrative / mechanistic review</w:t>
            </w:r>
          </w:p>
        </w:tc>
        <w:tc>
          <w:tcPr>
            <w:tcW w:w="0" w:type="auto"/>
            <w:hideMark/>
          </w:tcPr>
          <w:p w14:paraId="38D6C6F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ROBIS</w:t>
            </w:r>
          </w:p>
        </w:tc>
        <w:tc>
          <w:tcPr>
            <w:tcW w:w="0" w:type="auto"/>
            <w:hideMark/>
          </w:tcPr>
          <w:p w14:paraId="229AE8F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Low</w:t>
            </w:r>
          </w:p>
        </w:tc>
        <w:tc>
          <w:tcPr>
            <w:tcW w:w="0" w:type="auto"/>
            <w:hideMark/>
          </w:tcPr>
          <w:p w14:paraId="2BE8F8C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 xml:space="preserve">Comprehensive synthesis of transcriptional regulation of Th17 differentiation; updated mechanistic framework replacing earlier </w:t>
            </w:r>
            <w:proofErr w:type="spellStart"/>
            <w:r w:rsidRPr="00C17C8E">
              <w:rPr>
                <w:rFonts w:asciiTheme="minorBidi" w:hAnsiTheme="minorBidi"/>
                <w:sz w:val="18"/>
                <w:szCs w:val="18"/>
                <w:highlight w:val="yellow"/>
              </w:rPr>
              <w:t>RORγt</w:t>
            </w:r>
            <w:proofErr w:type="spellEnd"/>
            <w:r w:rsidRPr="00C17C8E">
              <w:rPr>
                <w:rFonts w:asciiTheme="minorBidi" w:hAnsiTheme="minorBidi"/>
                <w:sz w:val="18"/>
                <w:szCs w:val="18"/>
                <w:highlight w:val="yellow"/>
              </w:rPr>
              <w:t xml:space="preserve"> lineage studies.</w:t>
            </w:r>
          </w:p>
        </w:tc>
      </w:tr>
      <w:tr w:rsidR="00C17C8E" w:rsidRPr="00C17C8E" w14:paraId="50307E9C"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624E049" w14:textId="77777777" w:rsidR="00C17C8E" w:rsidRPr="00C17C8E" w:rsidRDefault="00C17C8E" w:rsidP="00C17C8E">
            <w:pPr>
              <w:spacing w:after="160" w:line="278" w:lineRule="auto"/>
              <w:rPr>
                <w:rFonts w:asciiTheme="minorBidi" w:hAnsiTheme="minorBidi"/>
                <w:b w:val="0"/>
                <w:bCs w:val="0"/>
                <w:sz w:val="18"/>
                <w:szCs w:val="18"/>
                <w:highlight w:val="yellow"/>
              </w:rPr>
            </w:pPr>
            <w:r w:rsidRPr="00C17C8E">
              <w:rPr>
                <w:rFonts w:asciiTheme="minorBidi" w:hAnsiTheme="minorBidi"/>
                <w:b w:val="0"/>
                <w:bCs w:val="0"/>
                <w:sz w:val="18"/>
                <w:szCs w:val="18"/>
                <w:highlight w:val="yellow"/>
              </w:rPr>
              <w:t>16. AM (2023)</w:t>
            </w:r>
          </w:p>
        </w:tc>
        <w:tc>
          <w:tcPr>
            <w:tcW w:w="0" w:type="auto"/>
            <w:hideMark/>
          </w:tcPr>
          <w:p w14:paraId="2FBD330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Narrative / molecular review</w:t>
            </w:r>
          </w:p>
        </w:tc>
        <w:tc>
          <w:tcPr>
            <w:tcW w:w="0" w:type="auto"/>
            <w:hideMark/>
          </w:tcPr>
          <w:p w14:paraId="085C4E1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ROBIS</w:t>
            </w:r>
          </w:p>
        </w:tc>
        <w:tc>
          <w:tcPr>
            <w:tcW w:w="0" w:type="auto"/>
            <w:hideMark/>
          </w:tcPr>
          <w:p w14:paraId="582CB66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Low</w:t>
            </w:r>
          </w:p>
        </w:tc>
        <w:tc>
          <w:tcPr>
            <w:tcW w:w="0" w:type="auto"/>
            <w:hideMark/>
          </w:tcPr>
          <w:p w14:paraId="465F46E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Authoritative review on REV-ERB nuclear receptors linking circadian clock regulation to systemic physiology.</w:t>
            </w:r>
          </w:p>
        </w:tc>
      </w:tr>
      <w:tr w:rsidR="00C17C8E" w:rsidRPr="00C17C8E" w14:paraId="319FA390"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F760D52"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17. LC (2007)</w:t>
            </w:r>
          </w:p>
        </w:tc>
        <w:tc>
          <w:tcPr>
            <w:tcW w:w="0" w:type="auto"/>
            <w:hideMark/>
          </w:tcPr>
          <w:p w14:paraId="1EE9FD2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11A1661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77D708B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F75B4A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High methodological rigor and reproducibility.</w:t>
            </w:r>
          </w:p>
        </w:tc>
      </w:tr>
      <w:tr w:rsidR="00C17C8E" w:rsidRPr="00C17C8E" w14:paraId="31910D2B"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545296B0"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18. MC (2025)</w:t>
            </w:r>
          </w:p>
        </w:tc>
        <w:tc>
          <w:tcPr>
            <w:tcW w:w="0" w:type="auto"/>
            <w:hideMark/>
          </w:tcPr>
          <w:p w14:paraId="7F6BD3C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Omics / human data</w:t>
            </w:r>
          </w:p>
        </w:tc>
        <w:tc>
          <w:tcPr>
            <w:tcW w:w="0" w:type="auto"/>
            <w:hideMark/>
          </w:tcPr>
          <w:p w14:paraId="66A92E9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NIH observational</w:t>
            </w:r>
          </w:p>
        </w:tc>
        <w:tc>
          <w:tcPr>
            <w:tcW w:w="0" w:type="auto"/>
            <w:hideMark/>
          </w:tcPr>
          <w:p w14:paraId="036D763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195D765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Interindividual variability; observational transcriptomic design.</w:t>
            </w:r>
          </w:p>
        </w:tc>
      </w:tr>
      <w:tr w:rsidR="00C17C8E" w:rsidRPr="00C17C8E" w14:paraId="052D24B7"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4B2FB3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19. FB (2015)</w:t>
            </w:r>
          </w:p>
        </w:tc>
        <w:tc>
          <w:tcPr>
            <w:tcW w:w="0" w:type="auto"/>
            <w:hideMark/>
          </w:tcPr>
          <w:p w14:paraId="015D647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6E34AF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08BFF8F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47BEFE4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Integrative seasonal neuroendocrine synthesis.</w:t>
            </w:r>
          </w:p>
        </w:tc>
      </w:tr>
      <w:tr w:rsidR="00C17C8E" w:rsidRPr="00C17C8E" w14:paraId="587CBB7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FE621D3"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20. CC (2017)</w:t>
            </w:r>
          </w:p>
        </w:tc>
        <w:tc>
          <w:tcPr>
            <w:tcW w:w="0" w:type="auto"/>
            <w:hideMark/>
          </w:tcPr>
          <w:p w14:paraId="2AAC6EF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342A1FB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4F0ED65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740B56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Clear epigenetic framework with strong biological plausibility.</w:t>
            </w:r>
          </w:p>
        </w:tc>
      </w:tr>
      <w:tr w:rsidR="00C17C8E" w:rsidRPr="00C17C8E" w14:paraId="1342D5FC"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43085C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21. TA (2016)</w:t>
            </w:r>
          </w:p>
        </w:tc>
        <w:tc>
          <w:tcPr>
            <w:tcW w:w="0" w:type="auto"/>
            <w:hideMark/>
          </w:tcPr>
          <w:p w14:paraId="1489941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D03EE6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1ADEE04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734E05D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Balanced endocrine synthesis with consistent conclusions.</w:t>
            </w:r>
          </w:p>
        </w:tc>
      </w:tr>
      <w:tr w:rsidR="00C17C8E" w:rsidRPr="00C17C8E" w14:paraId="09407CF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617E61D"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22. PM (2021)</w:t>
            </w:r>
          </w:p>
        </w:tc>
        <w:tc>
          <w:tcPr>
            <w:tcW w:w="0" w:type="auto"/>
            <w:hideMark/>
          </w:tcPr>
          <w:p w14:paraId="5DE3978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Reporting guideline</w:t>
            </w:r>
          </w:p>
        </w:tc>
        <w:tc>
          <w:tcPr>
            <w:tcW w:w="0" w:type="auto"/>
            <w:hideMark/>
          </w:tcPr>
          <w:p w14:paraId="7F395B0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566609D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23943EF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PRISMA 2020 is a reporting standard; no outcome data subject to bias.</w:t>
            </w:r>
          </w:p>
        </w:tc>
      </w:tr>
      <w:tr w:rsidR="00C17C8E" w:rsidRPr="00C17C8E" w14:paraId="7357D5DD"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A071DE0"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23. WP (2016)</w:t>
            </w:r>
          </w:p>
        </w:tc>
        <w:tc>
          <w:tcPr>
            <w:tcW w:w="0" w:type="auto"/>
            <w:hideMark/>
          </w:tcPr>
          <w:p w14:paraId="4E11BD7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Methodological tool</w:t>
            </w:r>
          </w:p>
        </w:tc>
        <w:tc>
          <w:tcPr>
            <w:tcW w:w="0" w:type="auto"/>
            <w:hideMark/>
          </w:tcPr>
          <w:p w14:paraId="199D723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483288F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55BDF47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 is a bias assessment tool; bias evaluation not applicable.</w:t>
            </w:r>
          </w:p>
        </w:tc>
      </w:tr>
      <w:tr w:rsidR="00C17C8E" w:rsidRPr="00C17C8E" w14:paraId="557A5A4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BB46351"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24. SJ (2019)</w:t>
            </w:r>
          </w:p>
        </w:tc>
        <w:tc>
          <w:tcPr>
            <w:tcW w:w="0" w:type="auto"/>
            <w:hideMark/>
          </w:tcPr>
          <w:p w14:paraId="2252E0C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Methodological tool</w:t>
            </w:r>
          </w:p>
        </w:tc>
        <w:tc>
          <w:tcPr>
            <w:tcW w:w="0" w:type="auto"/>
            <w:hideMark/>
          </w:tcPr>
          <w:p w14:paraId="608647F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1A84FEB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7B2BAC3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 2 is a methodological framework; no primary data generated.</w:t>
            </w:r>
          </w:p>
        </w:tc>
      </w:tr>
      <w:tr w:rsidR="00C17C8E" w:rsidRPr="00C17C8E" w14:paraId="4E9B3C47"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51E6145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25. YG (2012)</w:t>
            </w:r>
          </w:p>
        </w:tc>
        <w:tc>
          <w:tcPr>
            <w:tcW w:w="0" w:type="auto"/>
            <w:hideMark/>
          </w:tcPr>
          <w:p w14:paraId="02A7DA9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Bioinformatic method</w:t>
            </w:r>
          </w:p>
        </w:tc>
        <w:tc>
          <w:tcPr>
            <w:tcW w:w="0" w:type="auto"/>
            <w:hideMark/>
          </w:tcPr>
          <w:p w14:paraId="7C79FCD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6EE6AFF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22F93CB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Software tool for enrichment analysis; bias not applicable.</w:t>
            </w:r>
          </w:p>
        </w:tc>
      </w:tr>
      <w:tr w:rsidR="00C17C8E" w:rsidRPr="00C17C8E" w14:paraId="71D8C8BF"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4645D0A"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26. CC (2014)</w:t>
            </w:r>
          </w:p>
        </w:tc>
        <w:tc>
          <w:tcPr>
            <w:tcW w:w="0" w:type="auto"/>
            <w:hideMark/>
          </w:tcPr>
          <w:p w14:paraId="09521C0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Bioinformatic method</w:t>
            </w:r>
          </w:p>
        </w:tc>
        <w:tc>
          <w:tcPr>
            <w:tcW w:w="0" w:type="auto"/>
            <w:hideMark/>
          </w:tcPr>
          <w:p w14:paraId="2E0A18C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5464604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w:t>
            </w:r>
          </w:p>
        </w:tc>
        <w:tc>
          <w:tcPr>
            <w:tcW w:w="0" w:type="auto"/>
            <w:hideMark/>
          </w:tcPr>
          <w:p w14:paraId="29CE7E8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Network-analysis tool; no biological outcomes assessed.</w:t>
            </w:r>
          </w:p>
        </w:tc>
      </w:tr>
      <w:tr w:rsidR="00C17C8E" w:rsidRPr="00C17C8E" w14:paraId="71A462EF"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49A4112"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27. SA (2026)</w:t>
            </w:r>
          </w:p>
        </w:tc>
        <w:tc>
          <w:tcPr>
            <w:tcW w:w="0" w:type="auto"/>
            <w:hideMark/>
          </w:tcPr>
          <w:p w14:paraId="4CBF28C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(in vitro)</w:t>
            </w:r>
          </w:p>
        </w:tc>
        <w:tc>
          <w:tcPr>
            <w:tcW w:w="0" w:type="auto"/>
            <w:hideMark/>
          </w:tcPr>
          <w:p w14:paraId="5C8C40F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0BA457E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3ACD50E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Controlled enzymatic experiments with reproducible LC–MS outcomes.</w:t>
            </w:r>
          </w:p>
        </w:tc>
      </w:tr>
      <w:tr w:rsidR="00C17C8E" w:rsidRPr="00C17C8E" w14:paraId="641E1117"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A74688E"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28. QS (2022)</w:t>
            </w:r>
          </w:p>
        </w:tc>
        <w:tc>
          <w:tcPr>
            <w:tcW w:w="0" w:type="auto"/>
            <w:hideMark/>
          </w:tcPr>
          <w:p w14:paraId="6EDBE1A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(in vitro)</w:t>
            </w:r>
          </w:p>
        </w:tc>
        <w:tc>
          <w:tcPr>
            <w:tcW w:w="0" w:type="auto"/>
            <w:hideMark/>
          </w:tcPr>
          <w:p w14:paraId="046BD9B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388C47F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78B21D6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Multiple validation assays; limitations restricted to preclinical scope.</w:t>
            </w:r>
          </w:p>
        </w:tc>
      </w:tr>
      <w:tr w:rsidR="00C17C8E" w:rsidRPr="00C17C8E" w14:paraId="236A252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0828D1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29. YS (2016)</w:t>
            </w:r>
          </w:p>
        </w:tc>
        <w:tc>
          <w:tcPr>
            <w:tcW w:w="0" w:type="auto"/>
            <w:hideMark/>
          </w:tcPr>
          <w:p w14:paraId="5B6CE26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B37A60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20E9FF8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4BFC26D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Broad synthesis; no predefined systematic search strategy.</w:t>
            </w:r>
          </w:p>
        </w:tc>
      </w:tr>
      <w:tr w:rsidR="00C17C8E" w:rsidRPr="00C17C8E" w14:paraId="7D24AFB4"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A1FFAF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30. SA (2022)</w:t>
            </w:r>
          </w:p>
        </w:tc>
        <w:tc>
          <w:tcPr>
            <w:tcW w:w="0" w:type="auto"/>
            <w:hideMark/>
          </w:tcPr>
          <w:p w14:paraId="77ECDA7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(cellular)</w:t>
            </w:r>
          </w:p>
        </w:tc>
        <w:tc>
          <w:tcPr>
            <w:tcW w:w="0" w:type="auto"/>
            <w:hideMark/>
          </w:tcPr>
          <w:p w14:paraId="5485A1D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259E2E7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4068522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Well-controlled receptor-binding and transcriptional assays.</w:t>
            </w:r>
          </w:p>
        </w:tc>
      </w:tr>
      <w:tr w:rsidR="00C17C8E" w:rsidRPr="00C17C8E" w14:paraId="4C1F8EE3"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375912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31. JR (2022)</w:t>
            </w:r>
          </w:p>
        </w:tc>
        <w:tc>
          <w:tcPr>
            <w:tcW w:w="0" w:type="auto"/>
            <w:hideMark/>
          </w:tcPr>
          <w:p w14:paraId="504ECD0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A1B638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07C6D6F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7230905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Conceptual integration; limited critical appraisal methodology.</w:t>
            </w:r>
          </w:p>
        </w:tc>
      </w:tr>
      <w:tr w:rsidR="00C17C8E" w:rsidRPr="00C17C8E" w14:paraId="128844E5"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1B97666"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lastRenderedPageBreak/>
              <w:t>32. SA (2014)</w:t>
            </w:r>
          </w:p>
        </w:tc>
        <w:tc>
          <w:tcPr>
            <w:tcW w:w="0" w:type="auto"/>
            <w:hideMark/>
          </w:tcPr>
          <w:p w14:paraId="7300226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lang w:val="it-IT"/>
              </w:rPr>
            </w:pPr>
            <w:r w:rsidRPr="00C17C8E">
              <w:rPr>
                <w:rFonts w:asciiTheme="minorBidi" w:hAnsiTheme="minorBidi"/>
                <w:sz w:val="18"/>
                <w:szCs w:val="18"/>
                <w:lang w:val="it-IT"/>
              </w:rPr>
              <w:t>Experimental (in vitro/ex vivo)</w:t>
            </w:r>
          </w:p>
        </w:tc>
        <w:tc>
          <w:tcPr>
            <w:tcW w:w="0" w:type="auto"/>
            <w:hideMark/>
          </w:tcPr>
          <w:p w14:paraId="6734093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5251F69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D6EE65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Robust receptor-expression and ligand-binding validation.</w:t>
            </w:r>
          </w:p>
        </w:tc>
      </w:tr>
      <w:tr w:rsidR="00C17C8E" w:rsidRPr="00C17C8E" w14:paraId="1631F042"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0C7C722"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33. JB (2011)</w:t>
            </w:r>
          </w:p>
        </w:tc>
        <w:tc>
          <w:tcPr>
            <w:tcW w:w="0" w:type="auto"/>
            <w:hideMark/>
          </w:tcPr>
          <w:p w14:paraId="5B2F10D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(in vivo)</w:t>
            </w:r>
          </w:p>
        </w:tc>
        <w:tc>
          <w:tcPr>
            <w:tcW w:w="0" w:type="auto"/>
            <w:hideMark/>
          </w:tcPr>
          <w:p w14:paraId="37A59F0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67D2E61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0D13D8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Controlled UVB exposure models with consistent phenotypic outcomes.</w:t>
            </w:r>
          </w:p>
        </w:tc>
      </w:tr>
      <w:tr w:rsidR="00C17C8E" w:rsidRPr="00C17C8E" w14:paraId="4F73134D"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4DADEC2" w14:textId="77777777" w:rsidR="00C17C8E" w:rsidRPr="00C17C8E" w:rsidRDefault="00C17C8E" w:rsidP="00C17C8E">
            <w:pPr>
              <w:spacing w:after="160" w:line="278" w:lineRule="auto"/>
              <w:rPr>
                <w:rFonts w:asciiTheme="minorBidi" w:hAnsiTheme="minorBidi"/>
                <w:b w:val="0"/>
                <w:bCs w:val="0"/>
                <w:sz w:val="18"/>
                <w:szCs w:val="18"/>
                <w:highlight w:val="yellow"/>
              </w:rPr>
            </w:pPr>
            <w:r w:rsidRPr="00C17C8E">
              <w:rPr>
                <w:rFonts w:asciiTheme="minorBidi" w:hAnsiTheme="minorBidi"/>
                <w:b w:val="0"/>
                <w:bCs w:val="0"/>
                <w:sz w:val="18"/>
                <w:szCs w:val="18"/>
                <w:highlight w:val="yellow"/>
              </w:rPr>
              <w:t>34. DJ (2021)</w:t>
            </w:r>
          </w:p>
        </w:tc>
        <w:tc>
          <w:tcPr>
            <w:tcW w:w="0" w:type="auto"/>
            <w:hideMark/>
          </w:tcPr>
          <w:p w14:paraId="2BA0769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lang w:val="it-IT"/>
              </w:rPr>
            </w:pPr>
            <w:r w:rsidRPr="00C17C8E">
              <w:rPr>
                <w:rFonts w:asciiTheme="minorBidi" w:hAnsiTheme="minorBidi"/>
                <w:sz w:val="18"/>
                <w:szCs w:val="18"/>
                <w:highlight w:val="yellow"/>
                <w:lang w:val="it-IT"/>
              </w:rPr>
              <w:t>Experimental (in vitro / in vivo skin models)</w:t>
            </w:r>
          </w:p>
        </w:tc>
        <w:tc>
          <w:tcPr>
            <w:tcW w:w="0" w:type="auto"/>
            <w:hideMark/>
          </w:tcPr>
          <w:p w14:paraId="45F26EF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SYRCLE</w:t>
            </w:r>
          </w:p>
        </w:tc>
        <w:tc>
          <w:tcPr>
            <w:tcW w:w="0" w:type="auto"/>
            <w:hideMark/>
          </w:tcPr>
          <w:p w14:paraId="00972FE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Low</w:t>
            </w:r>
          </w:p>
        </w:tc>
        <w:tc>
          <w:tcPr>
            <w:tcW w:w="0" w:type="auto"/>
            <w:hideMark/>
          </w:tcPr>
          <w:p w14:paraId="4316742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Well-controlled UVB/LPS-induced tryptophan photoproduct studies demonstrating endogenous AhR activation and cutaneous immune modulation.</w:t>
            </w:r>
          </w:p>
        </w:tc>
      </w:tr>
      <w:tr w:rsidR="00C17C8E" w:rsidRPr="00C17C8E" w14:paraId="1061897A"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CB83E14"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35. SA (2021)</w:t>
            </w:r>
          </w:p>
        </w:tc>
        <w:tc>
          <w:tcPr>
            <w:tcW w:w="0" w:type="auto"/>
            <w:hideMark/>
          </w:tcPr>
          <w:p w14:paraId="1332353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083088C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48FBEF3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4140DC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Reproducible molecular and metabolic pathway analyses.</w:t>
            </w:r>
          </w:p>
        </w:tc>
      </w:tr>
      <w:tr w:rsidR="00C17C8E" w:rsidRPr="00C17C8E" w14:paraId="387B937A"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8E3BC4E"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36. BL (2023)</w:t>
            </w:r>
          </w:p>
        </w:tc>
        <w:tc>
          <w:tcPr>
            <w:tcW w:w="0" w:type="auto"/>
            <w:hideMark/>
          </w:tcPr>
          <w:p w14:paraId="23BBAB8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1B0B79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2380936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16A44F1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synthesis; heterogeneity of included thyroid studies.</w:t>
            </w:r>
          </w:p>
        </w:tc>
      </w:tr>
      <w:tr w:rsidR="00C17C8E" w:rsidRPr="00C17C8E" w14:paraId="059205CE"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7D592E6"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37. WL (2025)</w:t>
            </w:r>
          </w:p>
        </w:tc>
        <w:tc>
          <w:tcPr>
            <w:tcW w:w="0" w:type="auto"/>
            <w:hideMark/>
          </w:tcPr>
          <w:p w14:paraId="57716AC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Observational (cross-sectional)</w:t>
            </w:r>
          </w:p>
        </w:tc>
        <w:tc>
          <w:tcPr>
            <w:tcW w:w="0" w:type="auto"/>
            <w:hideMark/>
          </w:tcPr>
          <w:p w14:paraId="351948D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NIH</w:t>
            </w:r>
          </w:p>
        </w:tc>
        <w:tc>
          <w:tcPr>
            <w:tcW w:w="0" w:type="auto"/>
            <w:hideMark/>
          </w:tcPr>
          <w:p w14:paraId="260CABC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4F26262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Associations susceptible to residual confounding.</w:t>
            </w:r>
          </w:p>
        </w:tc>
      </w:tr>
      <w:tr w:rsidR="00C17C8E" w:rsidRPr="00C17C8E" w14:paraId="2EF8EC8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DF55154"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38. KS (2011)</w:t>
            </w:r>
          </w:p>
        </w:tc>
        <w:tc>
          <w:tcPr>
            <w:tcW w:w="0" w:type="auto"/>
            <w:hideMark/>
          </w:tcPr>
          <w:p w14:paraId="573DE4C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Observational (case–control)</w:t>
            </w:r>
          </w:p>
        </w:tc>
        <w:tc>
          <w:tcPr>
            <w:tcW w:w="0" w:type="auto"/>
            <w:hideMark/>
          </w:tcPr>
          <w:p w14:paraId="7C7E50E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NIH</w:t>
            </w:r>
          </w:p>
        </w:tc>
        <w:tc>
          <w:tcPr>
            <w:tcW w:w="0" w:type="auto"/>
            <w:hideMark/>
          </w:tcPr>
          <w:p w14:paraId="14F37B8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5BD5AA7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Limited sample size; potential selection bias.</w:t>
            </w:r>
          </w:p>
        </w:tc>
      </w:tr>
      <w:tr w:rsidR="00C17C8E" w:rsidRPr="00C17C8E" w14:paraId="0203E1C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E9695FE"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39. CA (2017)</w:t>
            </w:r>
          </w:p>
        </w:tc>
        <w:tc>
          <w:tcPr>
            <w:tcW w:w="0" w:type="auto"/>
            <w:hideMark/>
          </w:tcPr>
          <w:p w14:paraId="1204E56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60E24A4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6447A0A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AEA852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Focused endocrine review with consistent interpretation.</w:t>
            </w:r>
          </w:p>
        </w:tc>
      </w:tr>
      <w:tr w:rsidR="00C17C8E" w:rsidRPr="00C17C8E" w14:paraId="4D19ACE4"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9F914E9"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40. ES (2019)</w:t>
            </w:r>
          </w:p>
        </w:tc>
        <w:tc>
          <w:tcPr>
            <w:tcW w:w="0" w:type="auto"/>
            <w:hideMark/>
          </w:tcPr>
          <w:p w14:paraId="13A4206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1A7B5C7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09972DA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7BF332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Pediatric-focused synthesis with transparent conclusions.</w:t>
            </w:r>
          </w:p>
        </w:tc>
      </w:tr>
      <w:tr w:rsidR="00C17C8E" w:rsidRPr="00C17C8E" w14:paraId="2976E8D0"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D0A853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41. HS (2024)</w:t>
            </w:r>
          </w:p>
        </w:tc>
        <w:tc>
          <w:tcPr>
            <w:tcW w:w="0" w:type="auto"/>
            <w:hideMark/>
          </w:tcPr>
          <w:p w14:paraId="47A649E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Interventional (non-randomized)</w:t>
            </w:r>
          </w:p>
        </w:tc>
        <w:tc>
          <w:tcPr>
            <w:tcW w:w="0" w:type="auto"/>
            <w:hideMark/>
          </w:tcPr>
          <w:p w14:paraId="516E0D8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 2</w:t>
            </w:r>
          </w:p>
        </w:tc>
        <w:tc>
          <w:tcPr>
            <w:tcW w:w="0" w:type="auto"/>
            <w:hideMark/>
          </w:tcPr>
          <w:p w14:paraId="060A532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5525E2B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Small sample; absence of randomization.</w:t>
            </w:r>
          </w:p>
        </w:tc>
      </w:tr>
      <w:tr w:rsidR="00C17C8E" w:rsidRPr="00C17C8E" w14:paraId="2D5543C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51CE29B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42. GM (2023)</w:t>
            </w:r>
          </w:p>
        </w:tc>
        <w:tc>
          <w:tcPr>
            <w:tcW w:w="0" w:type="auto"/>
            <w:hideMark/>
          </w:tcPr>
          <w:p w14:paraId="6D23F7A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17E079C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19AD162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0385D0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High-quality synthesis of melatonin–vitamin D interactions.</w:t>
            </w:r>
          </w:p>
        </w:tc>
      </w:tr>
      <w:tr w:rsidR="00C17C8E" w:rsidRPr="00C17C8E" w14:paraId="0534EB05"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B164DF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43. CN (2018)</w:t>
            </w:r>
          </w:p>
        </w:tc>
        <w:tc>
          <w:tcPr>
            <w:tcW w:w="0" w:type="auto"/>
            <w:hideMark/>
          </w:tcPr>
          <w:p w14:paraId="61BA9FD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4F92555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3BE0D5D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3B77FD1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Comprehensive endocrine review with minimal interpretive bias.</w:t>
            </w:r>
          </w:p>
        </w:tc>
      </w:tr>
      <w:tr w:rsidR="00C17C8E" w:rsidRPr="00C17C8E" w14:paraId="468874DE"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5A28D0DE"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44. SA (2025)</w:t>
            </w:r>
          </w:p>
        </w:tc>
        <w:tc>
          <w:tcPr>
            <w:tcW w:w="0" w:type="auto"/>
            <w:hideMark/>
          </w:tcPr>
          <w:p w14:paraId="6AE1BB5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70DE2CD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166AFB5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139EEB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Clear circadian endpoints and controlled molecular models.</w:t>
            </w:r>
          </w:p>
        </w:tc>
      </w:tr>
      <w:tr w:rsidR="00C17C8E" w:rsidRPr="00C17C8E" w14:paraId="219C32B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BF848EE"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45. TJ (2017)</w:t>
            </w:r>
          </w:p>
        </w:tc>
        <w:tc>
          <w:tcPr>
            <w:tcW w:w="0" w:type="auto"/>
            <w:hideMark/>
          </w:tcPr>
          <w:p w14:paraId="7F12BBF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0CC19C9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7AA2218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38EE1B5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Authoritative synthesis of circadian transcriptional architecture.</w:t>
            </w:r>
          </w:p>
        </w:tc>
      </w:tr>
      <w:tr w:rsidR="00C17C8E" w:rsidRPr="00C17C8E" w14:paraId="51D288D1"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052B3A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46. DC (2009)</w:t>
            </w:r>
          </w:p>
        </w:tc>
        <w:tc>
          <w:tcPr>
            <w:tcW w:w="0" w:type="auto"/>
            <w:hideMark/>
          </w:tcPr>
          <w:p w14:paraId="7FC3F73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1BEF22F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401D31E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3B0F378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Well-established physiological review; minimal bias risk.</w:t>
            </w:r>
          </w:p>
        </w:tc>
      </w:tr>
      <w:tr w:rsidR="00C17C8E" w:rsidRPr="00C17C8E" w14:paraId="2B7BAE9C"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4D7920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47. MN (2024)</w:t>
            </w:r>
          </w:p>
        </w:tc>
        <w:tc>
          <w:tcPr>
            <w:tcW w:w="0" w:type="auto"/>
            <w:hideMark/>
          </w:tcPr>
          <w:p w14:paraId="2D0A7AD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0617C24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588509C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02D4743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Broad scope cardiometabolic synthesis; heterogeneous sources.</w:t>
            </w:r>
          </w:p>
        </w:tc>
      </w:tr>
      <w:tr w:rsidR="00C17C8E" w:rsidRPr="00C17C8E" w14:paraId="7AA0B2A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42E672D6"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48. CH (2012)</w:t>
            </w:r>
          </w:p>
        </w:tc>
        <w:tc>
          <w:tcPr>
            <w:tcW w:w="0" w:type="auto"/>
            <w:hideMark/>
          </w:tcPr>
          <w:p w14:paraId="1DD0564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(animal)</w:t>
            </w:r>
          </w:p>
        </w:tc>
        <w:tc>
          <w:tcPr>
            <w:tcW w:w="0" w:type="auto"/>
            <w:hideMark/>
          </w:tcPr>
          <w:p w14:paraId="5C89E5A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313B78E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5199215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Genetically controlled murine models with reproducible outcomes.</w:t>
            </w:r>
          </w:p>
        </w:tc>
      </w:tr>
      <w:tr w:rsidR="00C17C8E" w:rsidRPr="00C17C8E" w14:paraId="51AAC8CF"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01F2F61C" w14:textId="77777777" w:rsidR="00C17C8E" w:rsidRPr="00C17C8E" w:rsidRDefault="00C17C8E" w:rsidP="00C17C8E">
            <w:pPr>
              <w:spacing w:after="160" w:line="278" w:lineRule="auto"/>
              <w:rPr>
                <w:rFonts w:asciiTheme="minorBidi" w:hAnsiTheme="minorBidi"/>
                <w:b w:val="0"/>
                <w:bCs w:val="0"/>
                <w:sz w:val="18"/>
                <w:szCs w:val="18"/>
                <w:highlight w:val="yellow"/>
              </w:rPr>
            </w:pPr>
            <w:r w:rsidRPr="00C17C8E">
              <w:rPr>
                <w:rFonts w:asciiTheme="minorBidi" w:hAnsiTheme="minorBidi"/>
                <w:b w:val="0"/>
                <w:bCs w:val="0"/>
                <w:sz w:val="18"/>
                <w:szCs w:val="18"/>
                <w:highlight w:val="yellow"/>
              </w:rPr>
              <w:t>49. PC (2013)</w:t>
            </w:r>
          </w:p>
        </w:tc>
        <w:tc>
          <w:tcPr>
            <w:tcW w:w="0" w:type="auto"/>
            <w:hideMark/>
          </w:tcPr>
          <w:p w14:paraId="60D8354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Experimental (animal)</w:t>
            </w:r>
          </w:p>
        </w:tc>
        <w:tc>
          <w:tcPr>
            <w:tcW w:w="0" w:type="auto"/>
            <w:hideMark/>
          </w:tcPr>
          <w:p w14:paraId="618021C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SYRCLE</w:t>
            </w:r>
          </w:p>
        </w:tc>
        <w:tc>
          <w:tcPr>
            <w:tcW w:w="0" w:type="auto"/>
            <w:hideMark/>
          </w:tcPr>
          <w:p w14:paraId="0B9DE43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Low</w:t>
            </w:r>
          </w:p>
        </w:tc>
        <w:tc>
          <w:tcPr>
            <w:tcW w:w="0" w:type="auto"/>
            <w:hideMark/>
          </w:tcPr>
          <w:p w14:paraId="43488F3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highlight w:val="yellow"/>
              </w:rPr>
            </w:pPr>
            <w:r w:rsidRPr="00C17C8E">
              <w:rPr>
                <w:rFonts w:asciiTheme="minorBidi" w:hAnsiTheme="minorBidi"/>
                <w:sz w:val="18"/>
                <w:szCs w:val="18"/>
                <w:highlight w:val="yellow"/>
              </w:rPr>
              <w:t>High-impact circadian NAD</w:t>
            </w:r>
            <w:r w:rsidRPr="00C17C8E">
              <w:rPr>
                <w:rFonts w:ascii="Cambria Math" w:hAnsi="Cambria Math" w:cs="Cambria Math"/>
                <w:sz w:val="18"/>
                <w:szCs w:val="18"/>
                <w:highlight w:val="yellow"/>
              </w:rPr>
              <w:t>⁺</w:t>
            </w:r>
            <w:r w:rsidRPr="00C17C8E">
              <w:rPr>
                <w:rFonts w:asciiTheme="minorBidi" w:hAnsiTheme="minorBidi"/>
                <w:sz w:val="18"/>
                <w:szCs w:val="18"/>
                <w:highlight w:val="yellow"/>
              </w:rPr>
              <w:t xml:space="preserve"> cycle study demonstrating NAMPT-mediated metabolic and mitochondrial rhythmicity.</w:t>
            </w:r>
          </w:p>
        </w:tc>
      </w:tr>
      <w:tr w:rsidR="00C17C8E" w:rsidRPr="00C17C8E" w14:paraId="03082E6C"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FE67DE6"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lastRenderedPageBreak/>
              <w:t>50. PC (2013)</w:t>
            </w:r>
          </w:p>
        </w:tc>
        <w:tc>
          <w:tcPr>
            <w:tcW w:w="0" w:type="auto"/>
            <w:hideMark/>
          </w:tcPr>
          <w:p w14:paraId="6878AC1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(animal)</w:t>
            </w:r>
          </w:p>
        </w:tc>
        <w:tc>
          <w:tcPr>
            <w:tcW w:w="0" w:type="auto"/>
            <w:hideMark/>
          </w:tcPr>
          <w:p w14:paraId="786E7F1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420D760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1976F0F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Robust mitochondrial and metabolic circadian assessments.</w:t>
            </w:r>
          </w:p>
        </w:tc>
      </w:tr>
      <w:tr w:rsidR="00C17C8E" w:rsidRPr="00C17C8E" w14:paraId="6AF4776D"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BE99928"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51. GM (2014)</w:t>
            </w:r>
          </w:p>
        </w:tc>
        <w:tc>
          <w:tcPr>
            <w:tcW w:w="0" w:type="auto"/>
            <w:hideMark/>
          </w:tcPr>
          <w:p w14:paraId="7BA58F0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196C643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6E4CA09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CBA87B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Clear molecular endpoints linking vitamin D to clock genes.</w:t>
            </w:r>
          </w:p>
        </w:tc>
      </w:tr>
      <w:tr w:rsidR="00C17C8E" w:rsidRPr="00C17C8E" w14:paraId="750266B3"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F96808A"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52. LW (2023)</w:t>
            </w:r>
          </w:p>
        </w:tc>
        <w:tc>
          <w:tcPr>
            <w:tcW w:w="0" w:type="auto"/>
            <w:hideMark/>
          </w:tcPr>
          <w:p w14:paraId="0BCE165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Observational (cross-sectional)</w:t>
            </w:r>
          </w:p>
        </w:tc>
        <w:tc>
          <w:tcPr>
            <w:tcW w:w="0" w:type="auto"/>
            <w:hideMark/>
          </w:tcPr>
          <w:p w14:paraId="7C3C944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NIH</w:t>
            </w:r>
          </w:p>
        </w:tc>
        <w:tc>
          <w:tcPr>
            <w:tcW w:w="0" w:type="auto"/>
            <w:hideMark/>
          </w:tcPr>
          <w:p w14:paraId="3B120F6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3EE5127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Cross-sectional design limits causal inference.</w:t>
            </w:r>
          </w:p>
        </w:tc>
      </w:tr>
      <w:tr w:rsidR="00C17C8E" w:rsidRPr="00C17C8E" w14:paraId="3C0D80A4"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782ACA73"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53. WH (2013)</w:t>
            </w:r>
          </w:p>
        </w:tc>
        <w:tc>
          <w:tcPr>
            <w:tcW w:w="0" w:type="auto"/>
            <w:hideMark/>
          </w:tcPr>
          <w:p w14:paraId="1CA58D7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16321463"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1A44C5E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5B67E6C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Comprehensive sunlight–vitamin D synthesis.</w:t>
            </w:r>
          </w:p>
        </w:tc>
      </w:tr>
      <w:tr w:rsidR="00C17C8E" w:rsidRPr="00C17C8E" w14:paraId="05E80710"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D0CE253"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54. ZE (2022)</w:t>
            </w:r>
          </w:p>
        </w:tc>
        <w:tc>
          <w:tcPr>
            <w:tcW w:w="0" w:type="auto"/>
            <w:hideMark/>
          </w:tcPr>
          <w:p w14:paraId="225386A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962BD3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5C01D86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Moderate</w:t>
            </w:r>
          </w:p>
        </w:tc>
        <w:tc>
          <w:tcPr>
            <w:tcW w:w="0" w:type="auto"/>
            <w:hideMark/>
          </w:tcPr>
          <w:p w14:paraId="4DD8815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Emerging field with heterogeneous microbiome studies.</w:t>
            </w:r>
          </w:p>
        </w:tc>
      </w:tr>
      <w:tr w:rsidR="00C17C8E" w:rsidRPr="00C17C8E" w14:paraId="4D4654A8"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163935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55. SY (2022)</w:t>
            </w:r>
          </w:p>
        </w:tc>
        <w:tc>
          <w:tcPr>
            <w:tcW w:w="0" w:type="auto"/>
            <w:hideMark/>
          </w:tcPr>
          <w:p w14:paraId="5418D9C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5867B1A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1D18733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4E0913B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Integrated structural and functional receptor analyses.</w:t>
            </w:r>
          </w:p>
        </w:tc>
      </w:tr>
      <w:tr w:rsidR="00C17C8E" w:rsidRPr="00C17C8E" w14:paraId="09A8265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E2A9091"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56. GB (2017)</w:t>
            </w:r>
          </w:p>
        </w:tc>
        <w:tc>
          <w:tcPr>
            <w:tcW w:w="0" w:type="auto"/>
            <w:hideMark/>
          </w:tcPr>
          <w:p w14:paraId="61F8D4D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220AA8A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0DF4F95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A0F57C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Focused hormonal–circadian synthesis.</w:t>
            </w:r>
          </w:p>
        </w:tc>
      </w:tr>
      <w:tr w:rsidR="00C17C8E" w:rsidRPr="00C17C8E" w14:paraId="5616A6B1"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2D3D3C4"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57. SG (2018)</w:t>
            </w:r>
          </w:p>
        </w:tc>
        <w:tc>
          <w:tcPr>
            <w:tcW w:w="0" w:type="auto"/>
            <w:hideMark/>
          </w:tcPr>
          <w:p w14:paraId="636FB8D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50137B4E"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166E3FB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1E8E59C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Translational review with strong mechanistic grounding.</w:t>
            </w:r>
          </w:p>
        </w:tc>
      </w:tr>
      <w:tr w:rsidR="00C17C8E" w:rsidRPr="00C17C8E" w14:paraId="131B13E7"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E05C31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58. TY (2012)</w:t>
            </w:r>
          </w:p>
        </w:tc>
        <w:tc>
          <w:tcPr>
            <w:tcW w:w="0" w:type="auto"/>
            <w:hideMark/>
          </w:tcPr>
          <w:p w14:paraId="7E1B488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77BAAC8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4F797B2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0276655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Direct transcriptional regulation demonstrated in vivo.</w:t>
            </w:r>
          </w:p>
        </w:tc>
      </w:tr>
      <w:tr w:rsidR="00C17C8E" w:rsidRPr="00C17C8E" w14:paraId="5D053464"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0D72F1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59. KV (2020)</w:t>
            </w:r>
          </w:p>
        </w:tc>
        <w:tc>
          <w:tcPr>
            <w:tcW w:w="0" w:type="auto"/>
            <w:hideMark/>
          </w:tcPr>
          <w:p w14:paraId="2A36F36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Systematic review / meta-analysis</w:t>
            </w:r>
          </w:p>
        </w:tc>
        <w:tc>
          <w:tcPr>
            <w:tcW w:w="0" w:type="auto"/>
            <w:hideMark/>
          </w:tcPr>
          <w:p w14:paraId="19249308"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2B2960D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6D75D8A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Transparent methodology and quantitative synthesis.</w:t>
            </w:r>
          </w:p>
        </w:tc>
      </w:tr>
      <w:tr w:rsidR="00C17C8E" w:rsidRPr="00C17C8E" w14:paraId="3820C56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BB7C34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60. WW (2021)</w:t>
            </w:r>
          </w:p>
        </w:tc>
        <w:tc>
          <w:tcPr>
            <w:tcW w:w="0" w:type="auto"/>
            <w:hideMark/>
          </w:tcPr>
          <w:p w14:paraId="43CC858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 experimental review</w:t>
            </w:r>
          </w:p>
        </w:tc>
        <w:tc>
          <w:tcPr>
            <w:tcW w:w="0" w:type="auto"/>
            <w:hideMark/>
          </w:tcPr>
          <w:p w14:paraId="182AEE4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4204AF2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48C13BD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Integrated mechanistic and circadian GH–IGF-1 data.</w:t>
            </w:r>
          </w:p>
        </w:tc>
      </w:tr>
      <w:tr w:rsidR="00C17C8E" w:rsidRPr="00C17C8E" w14:paraId="4DB47D4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5C41B94A"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61. MW (2015)</w:t>
            </w:r>
          </w:p>
        </w:tc>
        <w:tc>
          <w:tcPr>
            <w:tcW w:w="0" w:type="auto"/>
            <w:hideMark/>
          </w:tcPr>
          <w:p w14:paraId="606E208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BE3A4C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673635A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5B5E23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Dermatologic focus with consistent interpretation.</w:t>
            </w:r>
          </w:p>
        </w:tc>
      </w:tr>
      <w:tr w:rsidR="00C17C8E" w:rsidRPr="00C17C8E" w14:paraId="79E6E242"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036B4B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62. HM (2012)</w:t>
            </w:r>
          </w:p>
        </w:tc>
        <w:tc>
          <w:tcPr>
            <w:tcW w:w="0" w:type="auto"/>
            <w:hideMark/>
          </w:tcPr>
          <w:p w14:paraId="6DC03CA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 (animal)</w:t>
            </w:r>
          </w:p>
        </w:tc>
        <w:tc>
          <w:tcPr>
            <w:tcW w:w="0" w:type="auto"/>
            <w:hideMark/>
          </w:tcPr>
          <w:p w14:paraId="02E3C0E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766BA5C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1AC45B1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Controlled feeding–circadian intervention studies.</w:t>
            </w:r>
          </w:p>
        </w:tc>
      </w:tr>
      <w:tr w:rsidR="00C17C8E" w:rsidRPr="00C17C8E" w14:paraId="49AA16D6"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2982EF92"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63. PS (2016)</w:t>
            </w:r>
          </w:p>
        </w:tc>
        <w:tc>
          <w:tcPr>
            <w:tcW w:w="0" w:type="auto"/>
            <w:hideMark/>
          </w:tcPr>
          <w:p w14:paraId="1F2D759B"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2E056C5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21190AF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58C6474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Authoritative synthesis of circadian metabolism.</w:t>
            </w:r>
          </w:p>
        </w:tc>
      </w:tr>
      <w:tr w:rsidR="00C17C8E" w:rsidRPr="00C17C8E" w14:paraId="5B9D4900"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D3ADC9F"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64. DC (2010)</w:t>
            </w:r>
          </w:p>
        </w:tc>
        <w:tc>
          <w:tcPr>
            <w:tcW w:w="0" w:type="auto"/>
            <w:hideMark/>
          </w:tcPr>
          <w:p w14:paraId="762E812C"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711E64C6"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360D006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BD6699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Seminal review of central and peripheral clocks.</w:t>
            </w:r>
          </w:p>
        </w:tc>
      </w:tr>
      <w:tr w:rsidR="00C17C8E" w:rsidRPr="00C17C8E" w14:paraId="3AA9CDEC"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3C0676F7"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65. RM (2016)</w:t>
            </w:r>
          </w:p>
        </w:tc>
        <w:tc>
          <w:tcPr>
            <w:tcW w:w="0" w:type="auto"/>
            <w:hideMark/>
          </w:tcPr>
          <w:p w14:paraId="5F0EC622"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54D3EF7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6196EF17"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765F220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Balanced discussion of circadian health implications.</w:t>
            </w:r>
          </w:p>
        </w:tc>
      </w:tr>
      <w:tr w:rsidR="00C17C8E" w:rsidRPr="00C17C8E" w14:paraId="2D244E09"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1F4DACFB"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66. HS (2021)</w:t>
            </w:r>
          </w:p>
        </w:tc>
        <w:tc>
          <w:tcPr>
            <w:tcW w:w="0" w:type="auto"/>
            <w:hideMark/>
          </w:tcPr>
          <w:p w14:paraId="01F1CF49"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Narrative review</w:t>
            </w:r>
          </w:p>
        </w:tc>
        <w:tc>
          <w:tcPr>
            <w:tcW w:w="0" w:type="auto"/>
            <w:hideMark/>
          </w:tcPr>
          <w:p w14:paraId="34A9DC8A"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ROBIS</w:t>
            </w:r>
          </w:p>
        </w:tc>
        <w:tc>
          <w:tcPr>
            <w:tcW w:w="0" w:type="auto"/>
            <w:hideMark/>
          </w:tcPr>
          <w:p w14:paraId="737E7CBD"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56845100"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Focused sleep–vitamin D synthesis with minimal bias.</w:t>
            </w:r>
          </w:p>
        </w:tc>
      </w:tr>
      <w:tr w:rsidR="00C17C8E" w:rsidRPr="00C17C8E" w14:paraId="5767B238" w14:textId="77777777" w:rsidTr="00C17C8E">
        <w:tc>
          <w:tcPr>
            <w:cnfStyle w:val="001000000000" w:firstRow="0" w:lastRow="0" w:firstColumn="1" w:lastColumn="0" w:oddVBand="0" w:evenVBand="0" w:oddHBand="0" w:evenHBand="0" w:firstRowFirstColumn="0" w:firstRowLastColumn="0" w:lastRowFirstColumn="0" w:lastRowLastColumn="0"/>
            <w:tcW w:w="0" w:type="auto"/>
            <w:hideMark/>
          </w:tcPr>
          <w:p w14:paraId="64D26B5C" w14:textId="77777777" w:rsidR="00C17C8E" w:rsidRPr="00C17C8E" w:rsidRDefault="00C17C8E" w:rsidP="00C17C8E">
            <w:pPr>
              <w:spacing w:after="160" w:line="278" w:lineRule="auto"/>
              <w:rPr>
                <w:rFonts w:asciiTheme="minorBidi" w:hAnsiTheme="minorBidi"/>
                <w:b w:val="0"/>
                <w:bCs w:val="0"/>
                <w:sz w:val="18"/>
                <w:szCs w:val="18"/>
              </w:rPr>
            </w:pPr>
            <w:r w:rsidRPr="00C17C8E">
              <w:rPr>
                <w:rFonts w:asciiTheme="minorBidi" w:hAnsiTheme="minorBidi"/>
                <w:b w:val="0"/>
                <w:bCs w:val="0"/>
                <w:sz w:val="18"/>
                <w:szCs w:val="18"/>
              </w:rPr>
              <w:t>67. OR (2011)</w:t>
            </w:r>
          </w:p>
        </w:tc>
        <w:tc>
          <w:tcPr>
            <w:tcW w:w="0" w:type="auto"/>
            <w:hideMark/>
          </w:tcPr>
          <w:p w14:paraId="776D9C2F"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Experimental</w:t>
            </w:r>
          </w:p>
        </w:tc>
        <w:tc>
          <w:tcPr>
            <w:tcW w:w="0" w:type="auto"/>
            <w:hideMark/>
          </w:tcPr>
          <w:p w14:paraId="430DA944"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SYRCLE</w:t>
            </w:r>
          </w:p>
        </w:tc>
        <w:tc>
          <w:tcPr>
            <w:tcW w:w="0" w:type="auto"/>
            <w:hideMark/>
          </w:tcPr>
          <w:p w14:paraId="7E2368A5"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Low</w:t>
            </w:r>
          </w:p>
        </w:tc>
        <w:tc>
          <w:tcPr>
            <w:tcW w:w="0" w:type="auto"/>
            <w:hideMark/>
          </w:tcPr>
          <w:p w14:paraId="2F728511" w14:textId="77777777" w:rsidR="00C17C8E" w:rsidRPr="00C17C8E" w:rsidRDefault="00C17C8E" w:rsidP="00C17C8E">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C17C8E">
              <w:rPr>
                <w:rFonts w:asciiTheme="minorBidi" w:hAnsiTheme="minorBidi"/>
                <w:sz w:val="18"/>
                <w:szCs w:val="18"/>
              </w:rPr>
              <w:t>Highly controlled cellular circadian model.</w:t>
            </w:r>
          </w:p>
        </w:tc>
      </w:tr>
    </w:tbl>
    <w:p w14:paraId="4698EBBD" w14:textId="77777777" w:rsidR="00B42E48" w:rsidRPr="00F467AE" w:rsidRDefault="00B42E48" w:rsidP="00B42E48">
      <w:pPr>
        <w:rPr>
          <w:rFonts w:asciiTheme="minorBidi" w:hAnsiTheme="minorBidi"/>
          <w:b/>
          <w:bCs/>
          <w:sz w:val="20"/>
          <w:szCs w:val="20"/>
        </w:rPr>
      </w:pPr>
    </w:p>
    <w:p w14:paraId="7C901835" w14:textId="54A7DB67" w:rsidR="008C6A7F" w:rsidRPr="00F467AE" w:rsidRDefault="00B42E48" w:rsidP="00B42E48">
      <w:pPr>
        <w:rPr>
          <w:rFonts w:asciiTheme="minorBidi" w:hAnsiTheme="minorBidi"/>
          <w:sz w:val="20"/>
          <w:szCs w:val="20"/>
        </w:rPr>
      </w:pPr>
      <w:r w:rsidRPr="00F467AE">
        <w:rPr>
          <w:rFonts w:asciiTheme="minorBidi" w:hAnsiTheme="minorBidi"/>
          <w:b/>
          <w:bCs/>
          <w:sz w:val="20"/>
          <w:szCs w:val="20"/>
        </w:rPr>
        <w:t>Abbreviations:</w:t>
      </w:r>
      <w:r w:rsidRPr="00F467AE">
        <w:rPr>
          <w:rFonts w:asciiTheme="minorBidi" w:hAnsiTheme="minorBidi"/>
          <w:sz w:val="20"/>
          <w:szCs w:val="20"/>
        </w:rPr>
        <w:t xml:space="preserve"> AhR, aryl hydrocarbon receptor; BMAL1, brain and muscle ARNT-like protein 1; CYP11A1, cytochrome P450 side-chain cleavage enzyme; GH, growth hormone; HPA, hypothalamic–pituitary–adrenal; HPT, hypothalamic–pituitary–thyroid; IGF-1, insulin-like growth factor-1; NA, not </w:t>
      </w:r>
      <w:r w:rsidRPr="00F467AE">
        <w:rPr>
          <w:rFonts w:asciiTheme="minorBidi" w:hAnsiTheme="minorBidi"/>
          <w:sz w:val="20"/>
          <w:szCs w:val="20"/>
        </w:rPr>
        <w:lastRenderedPageBreak/>
        <w:t>applicable; NIH, National Institutes of Health; PRISMA, Preferred Reporting Items for Systematic Reviews and Meta-Analyses; RoB 2, Cochrane Risk of Bias Tool version 2; ROBIS, Risk Of Bias In Systematic Reviews; ROR, retinoic acid-related orphan receptor; SYRCLE, Systematic Review Centre for Laboratory Animal Experimentation; UVB, ultraviolet B; VDR, vitamin D receptor.</w:t>
      </w:r>
    </w:p>
    <w:p w14:paraId="0352BF1E" w14:textId="55717753" w:rsidR="007A2917" w:rsidRPr="00F467AE" w:rsidRDefault="008C6A7F" w:rsidP="008C6A7F">
      <w:pPr>
        <w:rPr>
          <w:rFonts w:asciiTheme="minorBidi" w:hAnsiTheme="minorBidi"/>
          <w:sz w:val="20"/>
          <w:szCs w:val="20"/>
        </w:rPr>
      </w:pPr>
      <w:r w:rsidRPr="00F467AE">
        <w:rPr>
          <w:rFonts w:asciiTheme="minorBidi" w:hAnsiTheme="minorBidi"/>
          <w:sz w:val="20"/>
          <w:szCs w:val="20"/>
        </w:rPr>
        <w:t>Table 9 shows that all the studies demonstrated a low to moderate risk of bias, reflecting the mixed experimental, observational, and narrative nature of the evidence base. Preclinical experimental studies were predominantly at low risk of bias due to controlled designs and reproducible molecular endpoints, whereas observational human studies were generally at moderate risk because of inherent confounding and cross-sectional designs. Narrative and mechanistic reviews showed low to moderate risk, depending on the transparency of literature selection and synthesis methods. Methodological guidelines and bioinformatic tools were classified as not applicable, as they do not generate outcome data.</w:t>
      </w:r>
      <w:r w:rsidR="007A2917" w:rsidRPr="00F467AE">
        <w:rPr>
          <w:rFonts w:asciiTheme="minorBidi" w:hAnsiTheme="minorBidi"/>
          <w:sz w:val="20"/>
          <w:szCs w:val="20"/>
        </w:rPr>
        <w:br w:type="page"/>
      </w:r>
    </w:p>
    <w:p w14:paraId="0219BEB0" w14:textId="77777777" w:rsidR="007A2917" w:rsidRPr="00F467AE" w:rsidRDefault="007A2917" w:rsidP="007A2917">
      <w:pPr>
        <w:spacing w:after="0"/>
        <w:rPr>
          <w:rFonts w:asciiTheme="minorBidi" w:hAnsiTheme="minorBidi"/>
          <w:b/>
          <w:bCs/>
          <w:sz w:val="20"/>
          <w:szCs w:val="20"/>
        </w:rPr>
      </w:pPr>
      <w:r w:rsidRPr="00F467AE">
        <w:rPr>
          <w:rFonts w:asciiTheme="minorBidi" w:hAnsiTheme="minorBidi"/>
          <w:b/>
          <w:bCs/>
          <w:sz w:val="20"/>
          <w:szCs w:val="20"/>
        </w:rPr>
        <w:lastRenderedPageBreak/>
        <w:t>Discussion</w:t>
      </w:r>
    </w:p>
    <w:p w14:paraId="6EB52B5B" w14:textId="77777777" w:rsidR="007A2917" w:rsidRPr="00F467AE" w:rsidRDefault="007A2917" w:rsidP="007A2917">
      <w:pPr>
        <w:spacing w:after="0"/>
        <w:rPr>
          <w:rFonts w:asciiTheme="minorBidi" w:hAnsiTheme="minorBidi"/>
          <w:b/>
          <w:bCs/>
          <w:sz w:val="20"/>
          <w:szCs w:val="20"/>
        </w:rPr>
      </w:pPr>
    </w:p>
    <w:p w14:paraId="30B51F69" w14:textId="60FFB075"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This </w:t>
      </w:r>
      <w:r w:rsidR="001C5F96" w:rsidRPr="00F467AE">
        <w:rPr>
          <w:rFonts w:asciiTheme="minorBidi" w:hAnsiTheme="minorBidi"/>
          <w:sz w:val="20"/>
          <w:szCs w:val="20"/>
        </w:rPr>
        <w:t xml:space="preserve">systemic </w:t>
      </w:r>
      <w:r w:rsidRPr="00F467AE">
        <w:rPr>
          <w:rFonts w:asciiTheme="minorBidi" w:hAnsiTheme="minorBidi"/>
          <w:sz w:val="20"/>
          <w:szCs w:val="20"/>
        </w:rPr>
        <w:t xml:space="preserve">review integrates mechanistic, molecular, and translational evidence supporting an expanded framework of vitamin D biology in which the cutaneous CYP11A1-derived secosteroid pathway links environmental sunlight exposure to circadian and endocrine regulation </w:t>
      </w:r>
      <w:r w:rsidR="00500A62" w:rsidRPr="00F467AE">
        <w:rPr>
          <w:rFonts w:asciiTheme="minorBidi" w:hAnsiTheme="minorBidi"/>
          <w:sz w:val="20"/>
          <w:szCs w:val="20"/>
        </w:rPr>
        <w:t>[</w:t>
      </w:r>
      <w:r w:rsidRPr="00F467AE">
        <w:rPr>
          <w:rFonts w:asciiTheme="minorBidi" w:hAnsiTheme="minorBidi"/>
          <w:sz w:val="20"/>
          <w:szCs w:val="20"/>
        </w:rPr>
        <w:t>1–3</w:t>
      </w:r>
      <w:r w:rsidR="00500A62" w:rsidRPr="00F467AE">
        <w:rPr>
          <w:rFonts w:asciiTheme="minorBidi" w:hAnsiTheme="minorBidi"/>
          <w:sz w:val="20"/>
          <w:szCs w:val="20"/>
        </w:rPr>
        <w:t>]</w:t>
      </w:r>
      <w:r w:rsidRPr="00F467AE">
        <w:rPr>
          <w:rFonts w:asciiTheme="minorBidi" w:hAnsiTheme="minorBidi"/>
          <w:sz w:val="20"/>
          <w:szCs w:val="20"/>
        </w:rPr>
        <w:t>. Rather than functioning exclusively as a regulator of calcium and phosphate metabolism, vitamin D signaling appears to contribute to the temporal organization of hormonal systems relevant to pediatric growth, metabolism, and stress adaptation. The evidence summarized in Tables 1–6 supports biological plausibility for this framework while underscoring the current limitations of clinical data, particularly in children and adolescents.</w:t>
      </w:r>
    </w:p>
    <w:p w14:paraId="28C8E38A" w14:textId="77777777" w:rsidR="007A2917" w:rsidRPr="00F467AE" w:rsidRDefault="007A2917" w:rsidP="007A2917">
      <w:pPr>
        <w:spacing w:after="0"/>
        <w:rPr>
          <w:rFonts w:asciiTheme="minorBidi" w:hAnsiTheme="minorBidi"/>
          <w:sz w:val="20"/>
          <w:szCs w:val="20"/>
        </w:rPr>
      </w:pPr>
    </w:p>
    <w:p w14:paraId="2F82BED6" w14:textId="13541F4A"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As outlined in Table </w:t>
      </w:r>
      <w:r w:rsidR="00A54DF2" w:rsidRPr="00F467AE">
        <w:rPr>
          <w:rFonts w:asciiTheme="minorBidi" w:hAnsiTheme="minorBidi"/>
          <w:sz w:val="20"/>
          <w:szCs w:val="20"/>
        </w:rPr>
        <w:t>2</w:t>
      </w:r>
      <w:r w:rsidRPr="00F467AE">
        <w:rPr>
          <w:rFonts w:asciiTheme="minorBidi" w:hAnsiTheme="minorBidi"/>
          <w:sz w:val="20"/>
          <w:szCs w:val="20"/>
        </w:rPr>
        <w:t>, CYP11A1 expressed in human skin generates a spectrum of biologically active secosteroids from vitamin D</w:t>
      </w:r>
      <w:r w:rsidRPr="00F467AE">
        <w:rPr>
          <w:rFonts w:ascii="Cambria Math" w:hAnsi="Cambria Math" w:cs="Cambria Math"/>
          <w:sz w:val="20"/>
          <w:szCs w:val="20"/>
        </w:rPr>
        <w:t>₃</w:t>
      </w:r>
      <w:r w:rsidRPr="00F467AE">
        <w:rPr>
          <w:rFonts w:asciiTheme="minorBidi" w:hAnsiTheme="minorBidi"/>
          <w:sz w:val="20"/>
          <w:szCs w:val="20"/>
        </w:rPr>
        <w:t xml:space="preserve"> and related ultraviolet photoproducts </w:t>
      </w:r>
      <w:r w:rsidR="00500A62" w:rsidRPr="00F467AE">
        <w:rPr>
          <w:rFonts w:asciiTheme="minorBidi" w:hAnsiTheme="minorBidi"/>
          <w:sz w:val="20"/>
          <w:szCs w:val="20"/>
        </w:rPr>
        <w:t>[</w:t>
      </w:r>
      <w:r w:rsidRPr="00F467AE">
        <w:rPr>
          <w:rFonts w:asciiTheme="minorBidi" w:hAnsiTheme="minorBidi"/>
          <w:sz w:val="20"/>
          <w:szCs w:val="20"/>
        </w:rPr>
        <w:t>4–6</w:t>
      </w:r>
      <w:r w:rsidR="00500A62" w:rsidRPr="00F467AE">
        <w:rPr>
          <w:rFonts w:asciiTheme="minorBidi" w:hAnsiTheme="minorBidi"/>
          <w:sz w:val="20"/>
          <w:szCs w:val="20"/>
        </w:rPr>
        <w:t>]</w:t>
      </w:r>
      <w:r w:rsidRPr="00F467AE">
        <w:rPr>
          <w:rFonts w:asciiTheme="minorBidi" w:hAnsiTheme="minorBidi"/>
          <w:sz w:val="20"/>
          <w:szCs w:val="20"/>
        </w:rPr>
        <w:t xml:space="preserve">. These metabolites differ fundamentally from calcitriol in that they exert endocrine and immunomodulatory effects with minimal impact on calcium homeostasis </w:t>
      </w:r>
      <w:r w:rsidR="00500A62" w:rsidRPr="00F467AE">
        <w:rPr>
          <w:rFonts w:asciiTheme="minorBidi" w:hAnsiTheme="minorBidi"/>
          <w:sz w:val="20"/>
          <w:szCs w:val="20"/>
        </w:rPr>
        <w:t>[</w:t>
      </w:r>
      <w:r w:rsidRPr="00F467AE">
        <w:rPr>
          <w:rFonts w:asciiTheme="minorBidi" w:hAnsiTheme="minorBidi"/>
          <w:sz w:val="20"/>
          <w:szCs w:val="20"/>
        </w:rPr>
        <w:t>11</w:t>
      </w:r>
      <w:r w:rsidR="00500A62" w:rsidRPr="00F467AE">
        <w:rPr>
          <w:rFonts w:asciiTheme="minorBidi" w:hAnsiTheme="minorBidi"/>
          <w:sz w:val="20"/>
          <w:szCs w:val="20"/>
        </w:rPr>
        <w:t>]</w:t>
      </w:r>
      <w:r w:rsidRPr="00F467AE">
        <w:rPr>
          <w:rFonts w:asciiTheme="minorBidi" w:hAnsiTheme="minorBidi"/>
          <w:sz w:val="20"/>
          <w:szCs w:val="20"/>
        </w:rPr>
        <w:t xml:space="preserve">. This distinction is particularly relevant in pediatric endocrinology, where concerns regarding hypercalcemia often constrain vitamin D dosing. The existence of non-calcemic secosteroids provides a mechanistic explanation for vitamin D–associated effects on immune function, metabolism, and endocrine regulation that are not fully accounted for by classical VDR-mediated pathways alone </w:t>
      </w:r>
      <w:r w:rsidR="00500A62" w:rsidRPr="00F467AE">
        <w:rPr>
          <w:rFonts w:asciiTheme="minorBidi" w:hAnsiTheme="minorBidi"/>
          <w:sz w:val="20"/>
          <w:szCs w:val="20"/>
        </w:rPr>
        <w:t>[</w:t>
      </w:r>
      <w:r w:rsidRPr="00F467AE">
        <w:rPr>
          <w:rFonts w:asciiTheme="minorBidi" w:hAnsiTheme="minorBidi"/>
          <w:sz w:val="20"/>
          <w:szCs w:val="20"/>
        </w:rPr>
        <w:t>11, 13</w:t>
      </w:r>
      <w:r w:rsidR="008512A8" w:rsidRPr="00F467AE">
        <w:rPr>
          <w:rFonts w:asciiTheme="minorBidi" w:hAnsiTheme="minorBidi"/>
          <w:sz w:val="20"/>
          <w:szCs w:val="20"/>
        </w:rPr>
        <w:t>.54,55,56</w:t>
      </w:r>
      <w:r w:rsidR="00500A62" w:rsidRPr="00F467AE">
        <w:rPr>
          <w:rFonts w:asciiTheme="minorBidi" w:hAnsiTheme="minorBidi"/>
          <w:sz w:val="20"/>
          <w:szCs w:val="20"/>
        </w:rPr>
        <w:t>]</w:t>
      </w:r>
      <w:r w:rsidRPr="00F467AE">
        <w:rPr>
          <w:rFonts w:asciiTheme="minorBidi" w:hAnsiTheme="minorBidi"/>
          <w:sz w:val="20"/>
          <w:szCs w:val="20"/>
        </w:rPr>
        <w:t>.</w:t>
      </w:r>
    </w:p>
    <w:p w14:paraId="45DFF15B" w14:textId="3FFA271A"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The ability of CYP11A1 to metabolize lumisterol and tachysterol—previously regarded as biologically inactive byproducts—further supports the concept of the skin as an active endocrine interface rather than a passive site of vitamin D synthesis </w:t>
      </w:r>
      <w:r w:rsidR="00500A62" w:rsidRPr="00F467AE">
        <w:rPr>
          <w:rFonts w:asciiTheme="minorBidi" w:hAnsiTheme="minorBidi"/>
          <w:sz w:val="20"/>
          <w:szCs w:val="20"/>
        </w:rPr>
        <w:t>[</w:t>
      </w:r>
      <w:r w:rsidRPr="00F467AE">
        <w:rPr>
          <w:rFonts w:asciiTheme="minorBidi" w:hAnsiTheme="minorBidi"/>
          <w:sz w:val="20"/>
          <w:szCs w:val="20"/>
        </w:rPr>
        <w:t>27, 30</w:t>
      </w:r>
      <w:r w:rsidR="00500A62" w:rsidRPr="00F467AE">
        <w:rPr>
          <w:rFonts w:asciiTheme="minorBidi" w:hAnsiTheme="minorBidi"/>
          <w:sz w:val="20"/>
          <w:szCs w:val="20"/>
        </w:rPr>
        <w:t>]</w:t>
      </w:r>
      <w:r w:rsidRPr="00F467AE">
        <w:rPr>
          <w:rFonts w:asciiTheme="minorBidi" w:hAnsiTheme="minorBidi"/>
          <w:sz w:val="20"/>
          <w:szCs w:val="20"/>
        </w:rPr>
        <w:t xml:space="preserve">. This enzymatic versatility suggests that sunlight exposure may generate a broader and more nuanced endocrine signal than traditionally recognized </w:t>
      </w:r>
      <w:r w:rsidR="00500A62" w:rsidRPr="00F467AE">
        <w:rPr>
          <w:rFonts w:asciiTheme="minorBidi" w:hAnsiTheme="minorBidi"/>
          <w:sz w:val="20"/>
          <w:szCs w:val="20"/>
        </w:rPr>
        <w:t>[</w:t>
      </w:r>
      <w:r w:rsidRPr="00F467AE">
        <w:rPr>
          <w:rFonts w:asciiTheme="minorBidi" w:hAnsiTheme="minorBidi"/>
          <w:sz w:val="20"/>
          <w:szCs w:val="20"/>
        </w:rPr>
        <w:t>31</w:t>
      </w:r>
      <w:r w:rsidR="00500A62" w:rsidRPr="00F467AE">
        <w:rPr>
          <w:rFonts w:asciiTheme="minorBidi" w:hAnsiTheme="minorBidi"/>
          <w:sz w:val="20"/>
          <w:szCs w:val="20"/>
        </w:rPr>
        <w:t>]</w:t>
      </w:r>
      <w:r w:rsidRPr="00F467AE">
        <w:rPr>
          <w:rFonts w:asciiTheme="minorBidi" w:hAnsiTheme="minorBidi"/>
          <w:sz w:val="20"/>
          <w:szCs w:val="20"/>
        </w:rPr>
        <w:t>.</w:t>
      </w:r>
    </w:p>
    <w:p w14:paraId="1EF2B3B7" w14:textId="77777777" w:rsidR="007A2917" w:rsidRPr="00F467AE" w:rsidRDefault="007A2917" w:rsidP="007A2917">
      <w:pPr>
        <w:spacing w:after="0"/>
        <w:rPr>
          <w:rFonts w:asciiTheme="minorBidi" w:hAnsiTheme="minorBidi"/>
          <w:sz w:val="20"/>
          <w:szCs w:val="20"/>
        </w:rPr>
      </w:pPr>
    </w:p>
    <w:p w14:paraId="3B3B1330" w14:textId="4E277D38"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Table </w:t>
      </w:r>
      <w:r w:rsidR="00A54DF2" w:rsidRPr="00F467AE">
        <w:rPr>
          <w:rFonts w:asciiTheme="minorBidi" w:hAnsiTheme="minorBidi"/>
          <w:sz w:val="20"/>
          <w:szCs w:val="20"/>
        </w:rPr>
        <w:t>3</w:t>
      </w:r>
      <w:r w:rsidRPr="00F467AE">
        <w:rPr>
          <w:rFonts w:asciiTheme="minorBidi" w:hAnsiTheme="minorBidi"/>
          <w:sz w:val="20"/>
          <w:szCs w:val="20"/>
        </w:rPr>
        <w:t xml:space="preserve"> demonstrates that CYP11A1-derived secosteroids interact with multiple nuclear receptors, including VDR, RORα,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and LXR </w:t>
      </w:r>
      <w:r w:rsidR="00500A62" w:rsidRPr="00F467AE">
        <w:rPr>
          <w:rFonts w:asciiTheme="minorBidi" w:hAnsiTheme="minorBidi"/>
          <w:sz w:val="20"/>
          <w:szCs w:val="20"/>
        </w:rPr>
        <w:t>[</w:t>
      </w:r>
      <w:r w:rsidRPr="00F467AE">
        <w:rPr>
          <w:rFonts w:asciiTheme="minorBidi" w:hAnsiTheme="minorBidi"/>
          <w:sz w:val="20"/>
          <w:szCs w:val="20"/>
        </w:rPr>
        <w:t>32–35</w:t>
      </w:r>
      <w:r w:rsidR="00500A62" w:rsidRPr="00F467AE">
        <w:rPr>
          <w:rFonts w:asciiTheme="minorBidi" w:hAnsiTheme="minorBidi"/>
          <w:sz w:val="20"/>
          <w:szCs w:val="20"/>
        </w:rPr>
        <w:t>]</w:t>
      </w:r>
      <w:r w:rsidRPr="00F467AE">
        <w:rPr>
          <w:rFonts w:asciiTheme="minorBidi" w:hAnsiTheme="minorBidi"/>
          <w:sz w:val="20"/>
          <w:szCs w:val="20"/>
        </w:rPr>
        <w:t xml:space="preserve">. Of </w:t>
      </w:r>
      <w:r w:rsidR="00D8087A" w:rsidRPr="00F467AE">
        <w:rPr>
          <w:rFonts w:asciiTheme="minorBidi" w:hAnsiTheme="minorBidi"/>
          <w:sz w:val="20"/>
          <w:szCs w:val="20"/>
        </w:rPr>
        <w:t>relevance</w:t>
      </w:r>
      <w:r w:rsidRPr="00F467AE">
        <w:rPr>
          <w:rFonts w:asciiTheme="minorBidi" w:hAnsiTheme="minorBidi"/>
          <w:sz w:val="20"/>
          <w:szCs w:val="20"/>
        </w:rPr>
        <w:t xml:space="preserve"> to circadian biology is the inverse agonism of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receptors involved in transcriptional regulation of core clock components such as </w:t>
      </w:r>
      <w:r w:rsidRPr="00F467AE">
        <w:rPr>
          <w:rFonts w:asciiTheme="minorBidi" w:hAnsiTheme="minorBidi"/>
          <w:i/>
          <w:iCs/>
          <w:sz w:val="20"/>
          <w:szCs w:val="20"/>
        </w:rPr>
        <w:t>BMAL1</w:t>
      </w:r>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12, 13, 58</w:t>
      </w:r>
      <w:r w:rsidR="00500A62" w:rsidRPr="00F467AE">
        <w:rPr>
          <w:rFonts w:asciiTheme="minorBidi" w:hAnsiTheme="minorBidi"/>
          <w:sz w:val="20"/>
          <w:szCs w:val="20"/>
        </w:rPr>
        <w:t>]</w:t>
      </w:r>
      <w:r w:rsidRPr="00F467AE">
        <w:rPr>
          <w:rFonts w:asciiTheme="minorBidi" w:hAnsiTheme="minorBidi"/>
          <w:sz w:val="20"/>
          <w:szCs w:val="20"/>
        </w:rPr>
        <w:t xml:space="preserve">. Through these interactions, vitamin D–derived secosteroids appear to modulate circadian amplitude and stability rather than acting as classical phase-resetting signals </w:t>
      </w:r>
      <w:r w:rsidR="00500A62" w:rsidRPr="00F467AE">
        <w:rPr>
          <w:rFonts w:asciiTheme="minorBidi" w:hAnsiTheme="minorBidi"/>
          <w:sz w:val="20"/>
          <w:szCs w:val="20"/>
        </w:rPr>
        <w:t>[</w:t>
      </w:r>
      <w:r w:rsidRPr="00F467AE">
        <w:rPr>
          <w:rFonts w:asciiTheme="minorBidi" w:hAnsiTheme="minorBidi"/>
          <w:sz w:val="20"/>
          <w:szCs w:val="20"/>
        </w:rPr>
        <w:t>18</w:t>
      </w:r>
      <w:r w:rsidR="00500A62" w:rsidRPr="00F467AE">
        <w:rPr>
          <w:rFonts w:asciiTheme="minorBidi" w:hAnsiTheme="minorBidi"/>
          <w:sz w:val="20"/>
          <w:szCs w:val="20"/>
        </w:rPr>
        <w:t>]</w:t>
      </w:r>
      <w:r w:rsidRPr="00F467AE">
        <w:rPr>
          <w:rFonts w:asciiTheme="minorBidi" w:hAnsiTheme="minorBidi"/>
          <w:sz w:val="20"/>
          <w:szCs w:val="20"/>
        </w:rPr>
        <w:t>.</w:t>
      </w:r>
    </w:p>
    <w:p w14:paraId="645BFE30" w14:textId="49B157F3"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In pediatric populations, circadian integrity is essential for the appropriate secretion of growth hormone, cortisol, and thyroid hormones </w:t>
      </w:r>
      <w:r w:rsidR="00500A62" w:rsidRPr="00F467AE">
        <w:rPr>
          <w:rFonts w:asciiTheme="minorBidi" w:hAnsiTheme="minorBidi"/>
          <w:sz w:val="20"/>
          <w:szCs w:val="20"/>
        </w:rPr>
        <w:t>[</w:t>
      </w:r>
      <w:r w:rsidRPr="00F467AE">
        <w:rPr>
          <w:rFonts w:asciiTheme="minorBidi" w:hAnsiTheme="minorBidi"/>
          <w:sz w:val="20"/>
          <w:szCs w:val="20"/>
        </w:rPr>
        <w:t>21</w:t>
      </w:r>
      <w:r w:rsidR="00500A62" w:rsidRPr="00F467AE">
        <w:rPr>
          <w:rFonts w:asciiTheme="minorBidi" w:hAnsiTheme="minorBidi"/>
          <w:sz w:val="20"/>
          <w:szCs w:val="20"/>
        </w:rPr>
        <w:t>]</w:t>
      </w:r>
      <w:r w:rsidRPr="00F467AE">
        <w:rPr>
          <w:rFonts w:asciiTheme="minorBidi" w:hAnsiTheme="minorBidi"/>
          <w:sz w:val="20"/>
          <w:szCs w:val="20"/>
        </w:rPr>
        <w:t xml:space="preserve">. Increasing exposure to circadian disruptors—such as irregular sleep schedules, reduced outdoor activity, and prolonged screen use—may therefore have endocrine consequences. The receptor-level mechanisms summarized in Table 2 provide a plausible molecular link between environmental light exposure and endocrine rhythmicity during critical developmental windows </w:t>
      </w:r>
      <w:r w:rsidR="00500A62" w:rsidRPr="00F467AE">
        <w:rPr>
          <w:rFonts w:asciiTheme="minorBidi" w:hAnsiTheme="minorBidi"/>
          <w:sz w:val="20"/>
          <w:szCs w:val="20"/>
        </w:rPr>
        <w:t>[</w:t>
      </w:r>
      <w:r w:rsidRPr="00F467AE">
        <w:rPr>
          <w:rFonts w:asciiTheme="minorBidi" w:hAnsiTheme="minorBidi"/>
          <w:sz w:val="20"/>
          <w:szCs w:val="20"/>
        </w:rPr>
        <w:t>31, 32</w:t>
      </w:r>
      <w:r w:rsidR="00500A62" w:rsidRPr="00F467AE">
        <w:rPr>
          <w:rFonts w:asciiTheme="minorBidi" w:hAnsiTheme="minorBidi"/>
          <w:sz w:val="20"/>
          <w:szCs w:val="20"/>
        </w:rPr>
        <w:t>]</w:t>
      </w:r>
      <w:r w:rsidRPr="00F467AE">
        <w:rPr>
          <w:rFonts w:asciiTheme="minorBidi" w:hAnsiTheme="minorBidi"/>
          <w:sz w:val="20"/>
          <w:szCs w:val="20"/>
        </w:rPr>
        <w:t>.</w:t>
      </w:r>
    </w:p>
    <w:p w14:paraId="762B2A21" w14:textId="77777777" w:rsidR="007A2917" w:rsidRPr="00F467AE" w:rsidRDefault="007A2917" w:rsidP="007A2917">
      <w:pPr>
        <w:spacing w:after="0"/>
        <w:rPr>
          <w:rFonts w:asciiTheme="minorBidi" w:hAnsiTheme="minorBidi"/>
          <w:sz w:val="20"/>
          <w:szCs w:val="20"/>
        </w:rPr>
      </w:pPr>
    </w:p>
    <w:p w14:paraId="38336AE7" w14:textId="4AAE9ABE"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The translational relevance of this pathway is highlighted in Table </w:t>
      </w:r>
      <w:r w:rsidR="00A54DF2" w:rsidRPr="00F467AE">
        <w:rPr>
          <w:rFonts w:asciiTheme="minorBidi" w:hAnsiTheme="minorBidi"/>
          <w:sz w:val="20"/>
          <w:szCs w:val="20"/>
        </w:rPr>
        <w:t>4</w:t>
      </w:r>
      <w:r w:rsidRPr="00F467AE">
        <w:rPr>
          <w:rFonts w:asciiTheme="minorBidi" w:hAnsiTheme="minorBidi"/>
          <w:sz w:val="20"/>
          <w:szCs w:val="20"/>
        </w:rPr>
        <w:t xml:space="preserve">, which summarizes evidence linking sunlight exposure and vitamin D signaling to circadian regulation of the hypothalamic–pituitary–adrenal </w:t>
      </w:r>
      <w:r w:rsidR="00500A62" w:rsidRPr="00F467AE">
        <w:rPr>
          <w:rFonts w:asciiTheme="minorBidi" w:hAnsiTheme="minorBidi"/>
          <w:sz w:val="20"/>
          <w:szCs w:val="20"/>
        </w:rPr>
        <w:t>[</w:t>
      </w:r>
      <w:r w:rsidRPr="00F467AE">
        <w:rPr>
          <w:rFonts w:asciiTheme="minorBidi" w:hAnsiTheme="minorBidi"/>
          <w:sz w:val="20"/>
          <w:szCs w:val="20"/>
        </w:rPr>
        <w:t>HPA</w:t>
      </w:r>
      <w:r w:rsidR="00500A62" w:rsidRPr="00F467AE">
        <w:rPr>
          <w:rFonts w:asciiTheme="minorBidi" w:hAnsiTheme="minorBidi"/>
          <w:sz w:val="20"/>
          <w:szCs w:val="20"/>
        </w:rPr>
        <w:t>]</w:t>
      </w:r>
      <w:r w:rsidRPr="00F467AE">
        <w:rPr>
          <w:rFonts w:asciiTheme="minorBidi" w:hAnsiTheme="minorBidi"/>
          <w:sz w:val="20"/>
          <w:szCs w:val="20"/>
        </w:rPr>
        <w:t xml:space="preserve">, hypothalamic–pituitary–thyroid </w:t>
      </w:r>
      <w:r w:rsidR="00500A62" w:rsidRPr="00F467AE">
        <w:rPr>
          <w:rFonts w:asciiTheme="minorBidi" w:hAnsiTheme="minorBidi"/>
          <w:sz w:val="20"/>
          <w:szCs w:val="20"/>
        </w:rPr>
        <w:t>[</w:t>
      </w:r>
      <w:r w:rsidRPr="00F467AE">
        <w:rPr>
          <w:rFonts w:asciiTheme="minorBidi" w:hAnsiTheme="minorBidi"/>
          <w:sz w:val="20"/>
          <w:szCs w:val="20"/>
        </w:rPr>
        <w:t>HPT</w:t>
      </w:r>
      <w:r w:rsidR="00500A62" w:rsidRPr="00F467AE">
        <w:rPr>
          <w:rFonts w:asciiTheme="minorBidi" w:hAnsiTheme="minorBidi"/>
          <w:sz w:val="20"/>
          <w:szCs w:val="20"/>
        </w:rPr>
        <w:t>]</w:t>
      </w:r>
      <w:r w:rsidRPr="00F467AE">
        <w:rPr>
          <w:rFonts w:asciiTheme="minorBidi" w:hAnsiTheme="minorBidi"/>
          <w:sz w:val="20"/>
          <w:szCs w:val="20"/>
        </w:rPr>
        <w:t xml:space="preserve">, and growth hormone </w:t>
      </w:r>
      <w:r w:rsidR="00500A62" w:rsidRPr="00F467AE">
        <w:rPr>
          <w:rFonts w:asciiTheme="minorBidi" w:hAnsiTheme="minorBidi"/>
          <w:sz w:val="20"/>
          <w:szCs w:val="20"/>
        </w:rPr>
        <w:t>[</w:t>
      </w:r>
      <w:r w:rsidRPr="00F467AE">
        <w:rPr>
          <w:rFonts w:asciiTheme="minorBidi" w:hAnsiTheme="minorBidi"/>
          <w:sz w:val="20"/>
          <w:szCs w:val="20"/>
        </w:rPr>
        <w:t>GH</w:t>
      </w:r>
      <w:r w:rsidR="00500A62" w:rsidRPr="00F467AE">
        <w:rPr>
          <w:rFonts w:asciiTheme="minorBidi" w:hAnsiTheme="minorBidi"/>
          <w:sz w:val="20"/>
          <w:szCs w:val="20"/>
        </w:rPr>
        <w:t>]</w:t>
      </w:r>
      <w:r w:rsidRPr="00F467AE">
        <w:rPr>
          <w:rFonts w:asciiTheme="minorBidi" w:hAnsiTheme="minorBidi"/>
          <w:sz w:val="20"/>
          <w:szCs w:val="20"/>
        </w:rPr>
        <w:t xml:space="preserve"> axes </w:t>
      </w:r>
      <w:r w:rsidR="00500A62" w:rsidRPr="00F467AE">
        <w:rPr>
          <w:rFonts w:asciiTheme="minorBidi" w:hAnsiTheme="minorBidi"/>
          <w:sz w:val="20"/>
          <w:szCs w:val="20"/>
        </w:rPr>
        <w:t>[</w:t>
      </w:r>
      <w:r w:rsidRPr="00F467AE">
        <w:rPr>
          <w:rFonts w:asciiTheme="minorBidi" w:hAnsiTheme="minorBidi"/>
          <w:sz w:val="20"/>
          <w:szCs w:val="20"/>
        </w:rPr>
        <w:t>5, 7, 36, 39</w:t>
      </w:r>
      <w:r w:rsidR="00500A62" w:rsidRPr="00F467AE">
        <w:rPr>
          <w:rFonts w:asciiTheme="minorBidi" w:hAnsiTheme="minorBidi"/>
          <w:sz w:val="20"/>
          <w:szCs w:val="20"/>
        </w:rPr>
        <w:t>]</w:t>
      </w:r>
      <w:r w:rsidRPr="00F467AE">
        <w:rPr>
          <w:rFonts w:asciiTheme="minorBidi" w:hAnsiTheme="minorBidi"/>
          <w:sz w:val="20"/>
          <w:szCs w:val="20"/>
        </w:rPr>
        <w:t xml:space="preserve">. Cortisol rhythmicity is central to metabolic homeostasis and stress responsiveness in children, while nocturnal GH secretion is critical for linear growth and tissue repair </w:t>
      </w:r>
      <w:r w:rsidR="00500A62" w:rsidRPr="00F467AE">
        <w:rPr>
          <w:rFonts w:asciiTheme="minorBidi" w:hAnsiTheme="minorBidi"/>
          <w:sz w:val="20"/>
          <w:szCs w:val="20"/>
        </w:rPr>
        <w:t>[</w:t>
      </w:r>
      <w:r w:rsidRPr="00F467AE">
        <w:rPr>
          <w:rFonts w:asciiTheme="minorBidi" w:hAnsiTheme="minorBidi"/>
          <w:sz w:val="20"/>
          <w:szCs w:val="20"/>
        </w:rPr>
        <w:t>39, 45, 60</w:t>
      </w:r>
      <w:r w:rsidR="00500A62" w:rsidRPr="00F467AE">
        <w:rPr>
          <w:rFonts w:asciiTheme="minorBidi" w:hAnsiTheme="minorBidi"/>
          <w:sz w:val="20"/>
          <w:szCs w:val="20"/>
        </w:rPr>
        <w:t>]</w:t>
      </w:r>
      <w:r w:rsidRPr="00F467AE">
        <w:rPr>
          <w:rFonts w:asciiTheme="minorBidi" w:hAnsiTheme="minorBidi"/>
          <w:sz w:val="20"/>
          <w:szCs w:val="20"/>
        </w:rPr>
        <w:t xml:space="preserve">. Similarly, appropriate circadian regulation of TSH contributes to metabolic balance and neurodevelopment </w:t>
      </w:r>
      <w:r w:rsidR="00500A62" w:rsidRPr="00F467AE">
        <w:rPr>
          <w:rFonts w:asciiTheme="minorBidi" w:hAnsiTheme="minorBidi"/>
          <w:sz w:val="20"/>
          <w:szCs w:val="20"/>
        </w:rPr>
        <w:t>[</w:t>
      </w:r>
      <w:r w:rsidRPr="00F467AE">
        <w:rPr>
          <w:rFonts w:asciiTheme="minorBidi" w:hAnsiTheme="minorBidi"/>
          <w:sz w:val="20"/>
          <w:szCs w:val="20"/>
        </w:rPr>
        <w:t>37, 43</w:t>
      </w:r>
      <w:r w:rsidR="00500A62" w:rsidRPr="00F467AE">
        <w:rPr>
          <w:rFonts w:asciiTheme="minorBidi" w:hAnsiTheme="minorBidi"/>
          <w:sz w:val="20"/>
          <w:szCs w:val="20"/>
        </w:rPr>
        <w:t>]</w:t>
      </w:r>
      <w:r w:rsidRPr="00F467AE">
        <w:rPr>
          <w:rFonts w:asciiTheme="minorBidi" w:hAnsiTheme="minorBidi"/>
          <w:sz w:val="20"/>
          <w:szCs w:val="20"/>
        </w:rPr>
        <w:t>.</w:t>
      </w:r>
    </w:p>
    <w:p w14:paraId="13EFCA35" w14:textId="77777777" w:rsidR="007A2917" w:rsidRPr="00F467AE" w:rsidRDefault="007A2917" w:rsidP="007A2917">
      <w:pPr>
        <w:spacing w:after="0"/>
        <w:rPr>
          <w:rFonts w:asciiTheme="minorBidi" w:hAnsiTheme="minorBidi"/>
          <w:sz w:val="20"/>
          <w:szCs w:val="20"/>
        </w:rPr>
      </w:pPr>
    </w:p>
    <w:p w14:paraId="2798F63D" w14:textId="70FC23A1"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Although much of the human evidence remains associative, the convergence of mechanistic and observational findings suggests that inadequate sunlight exposure or disrupted vitamin D signaling may contribute to subtle endocrine dysregulation. These effects are more likely to influence hormonal rhythmicity and amplitude rather than causing overt hormone deficiencies.</w:t>
      </w:r>
    </w:p>
    <w:p w14:paraId="322B3F3A" w14:textId="3D6523FC"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lastRenderedPageBreak/>
        <w:t xml:space="preserve">At the molecular level, Table </w:t>
      </w:r>
      <w:r w:rsidR="00A54DF2" w:rsidRPr="00F467AE">
        <w:rPr>
          <w:rFonts w:asciiTheme="minorBidi" w:hAnsiTheme="minorBidi"/>
          <w:sz w:val="20"/>
          <w:szCs w:val="20"/>
        </w:rPr>
        <w:t>5</w:t>
      </w:r>
      <w:r w:rsidRPr="00F467AE">
        <w:rPr>
          <w:rFonts w:asciiTheme="minorBidi" w:hAnsiTheme="minorBidi"/>
          <w:sz w:val="20"/>
          <w:szCs w:val="20"/>
        </w:rPr>
        <w:t xml:space="preserve"> demonstrates that vitamin D signaling influences the expression and rhythmic stability of core circadian genes, including </w:t>
      </w:r>
      <w:r w:rsidRPr="00F467AE">
        <w:rPr>
          <w:rFonts w:asciiTheme="minorBidi" w:hAnsiTheme="minorBidi"/>
          <w:i/>
          <w:iCs/>
          <w:sz w:val="20"/>
          <w:szCs w:val="20"/>
        </w:rPr>
        <w:t>BMAL1</w:t>
      </w:r>
      <w:r w:rsidRPr="00F467AE">
        <w:rPr>
          <w:rFonts w:asciiTheme="minorBidi" w:hAnsiTheme="minorBidi"/>
          <w:sz w:val="20"/>
          <w:szCs w:val="20"/>
        </w:rPr>
        <w:t xml:space="preserve">, </w:t>
      </w:r>
      <w:r w:rsidRPr="00F467AE">
        <w:rPr>
          <w:rFonts w:asciiTheme="minorBidi" w:hAnsiTheme="minorBidi"/>
          <w:i/>
          <w:iCs/>
          <w:sz w:val="20"/>
          <w:szCs w:val="20"/>
        </w:rPr>
        <w:t>PER1</w:t>
      </w:r>
      <w:r w:rsidRPr="00F467AE">
        <w:rPr>
          <w:rFonts w:asciiTheme="minorBidi" w:hAnsiTheme="minorBidi"/>
          <w:sz w:val="20"/>
          <w:szCs w:val="20"/>
        </w:rPr>
        <w:t xml:space="preserve">, </w:t>
      </w:r>
      <w:r w:rsidRPr="00F467AE">
        <w:rPr>
          <w:rFonts w:asciiTheme="minorBidi" w:hAnsiTheme="minorBidi"/>
          <w:i/>
          <w:iCs/>
          <w:sz w:val="20"/>
          <w:szCs w:val="20"/>
        </w:rPr>
        <w:t>PER2</w:t>
      </w:r>
      <w:r w:rsidRPr="00F467AE">
        <w:rPr>
          <w:rFonts w:asciiTheme="minorBidi" w:hAnsiTheme="minorBidi"/>
          <w:sz w:val="20"/>
          <w:szCs w:val="20"/>
        </w:rPr>
        <w:t xml:space="preserve">, and </w:t>
      </w:r>
      <w:r w:rsidRPr="00F467AE">
        <w:rPr>
          <w:rFonts w:asciiTheme="minorBidi" w:hAnsiTheme="minorBidi"/>
          <w:i/>
          <w:iCs/>
          <w:sz w:val="20"/>
          <w:szCs w:val="20"/>
        </w:rPr>
        <w:t>REV-ERBα</w:t>
      </w:r>
      <w:r w:rsidRPr="00F467AE">
        <w:rPr>
          <w:rFonts w:asciiTheme="minorBidi" w:hAnsiTheme="minorBidi"/>
          <w:sz w:val="20"/>
          <w:szCs w:val="20"/>
        </w:rPr>
        <w:t xml:space="preserve">, as well as metabolic and immune-related pathways </w:t>
      </w:r>
      <w:r w:rsidR="00500A62" w:rsidRPr="00F467AE">
        <w:rPr>
          <w:rFonts w:asciiTheme="minorBidi" w:hAnsiTheme="minorBidi"/>
          <w:sz w:val="20"/>
          <w:szCs w:val="20"/>
        </w:rPr>
        <w:t>[</w:t>
      </w:r>
      <w:r w:rsidRPr="00F467AE">
        <w:rPr>
          <w:rFonts w:asciiTheme="minorBidi" w:hAnsiTheme="minorBidi"/>
          <w:sz w:val="20"/>
          <w:szCs w:val="20"/>
        </w:rPr>
        <w:t>13, 18, 44, 48</w:t>
      </w:r>
      <w:r w:rsidR="00AF5973" w:rsidRPr="00F467AE">
        <w:rPr>
          <w:rFonts w:asciiTheme="minorBidi" w:hAnsiTheme="minorBidi"/>
          <w:sz w:val="20"/>
          <w:szCs w:val="20"/>
        </w:rPr>
        <w:t>,54</w:t>
      </w:r>
      <w:r w:rsidR="00500A62" w:rsidRPr="00F467AE">
        <w:rPr>
          <w:rFonts w:asciiTheme="minorBidi" w:hAnsiTheme="minorBidi"/>
          <w:sz w:val="20"/>
          <w:szCs w:val="20"/>
        </w:rPr>
        <w:t>]</w:t>
      </w:r>
      <w:r w:rsidRPr="00F467AE">
        <w:rPr>
          <w:rFonts w:asciiTheme="minorBidi" w:hAnsiTheme="minorBidi"/>
          <w:sz w:val="20"/>
          <w:szCs w:val="20"/>
        </w:rPr>
        <w:t>. These findings support a role for vitamin D in maintaining circadian coherence rather than initiating clock phase shifts. Regulation of the NAMPT–NAD</w:t>
      </w:r>
      <w:r w:rsidRPr="00F467AE">
        <w:rPr>
          <w:rFonts w:ascii="Cambria Math" w:hAnsi="Cambria Math" w:cs="Cambria Math"/>
          <w:sz w:val="20"/>
          <w:szCs w:val="20"/>
        </w:rPr>
        <w:t>⁺</w:t>
      </w:r>
      <w:r w:rsidRPr="00F467AE">
        <w:rPr>
          <w:rFonts w:asciiTheme="minorBidi" w:hAnsiTheme="minorBidi"/>
          <w:sz w:val="20"/>
          <w:szCs w:val="20"/>
        </w:rPr>
        <w:t xml:space="preserve"> axis further links vitamin D signaling to cellular energy metabolism, a process tightly coupled to circadian timing </w:t>
      </w:r>
      <w:r w:rsidR="00500A62" w:rsidRPr="00F467AE">
        <w:rPr>
          <w:rFonts w:asciiTheme="minorBidi" w:hAnsiTheme="minorBidi"/>
          <w:sz w:val="20"/>
          <w:szCs w:val="20"/>
        </w:rPr>
        <w:t>[</w:t>
      </w:r>
      <w:r w:rsidRPr="00F467AE">
        <w:rPr>
          <w:rFonts w:asciiTheme="minorBidi" w:hAnsiTheme="minorBidi"/>
          <w:sz w:val="20"/>
          <w:szCs w:val="20"/>
        </w:rPr>
        <w:t>49, 50</w:t>
      </w:r>
      <w:r w:rsidR="00500A62" w:rsidRPr="00F467AE">
        <w:rPr>
          <w:rFonts w:asciiTheme="minorBidi" w:hAnsiTheme="minorBidi"/>
          <w:sz w:val="20"/>
          <w:szCs w:val="20"/>
        </w:rPr>
        <w:t>]</w:t>
      </w:r>
      <w:r w:rsidRPr="00F467AE">
        <w:rPr>
          <w:rFonts w:asciiTheme="minorBidi" w:hAnsiTheme="minorBidi"/>
          <w:sz w:val="20"/>
          <w:szCs w:val="20"/>
        </w:rPr>
        <w:t>.</w:t>
      </w:r>
    </w:p>
    <w:p w14:paraId="67F1FF65" w14:textId="77777777" w:rsidR="007A2917" w:rsidRPr="00F467AE" w:rsidRDefault="007A2917" w:rsidP="007A2917">
      <w:pPr>
        <w:spacing w:after="0"/>
        <w:rPr>
          <w:rFonts w:asciiTheme="minorBidi" w:hAnsiTheme="minorBidi"/>
          <w:sz w:val="20"/>
          <w:szCs w:val="20"/>
        </w:rPr>
      </w:pPr>
    </w:p>
    <w:p w14:paraId="40256F55" w14:textId="43E9B30D"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A key conceptual contribution of this review is the distinction between circulating 25-hydroxyvitamin D</w:t>
      </w:r>
      <w:r w:rsidRPr="00F467AE">
        <w:rPr>
          <w:rFonts w:ascii="Cambria Math" w:hAnsi="Cambria Math" w:cs="Cambria Math"/>
          <w:sz w:val="20"/>
          <w:szCs w:val="20"/>
        </w:rPr>
        <w:t>₃</w:t>
      </w:r>
      <w:r w:rsidRPr="00F467AE">
        <w:rPr>
          <w:rFonts w:asciiTheme="minorBidi" w:hAnsiTheme="minorBidi"/>
          <w:sz w:val="20"/>
          <w:szCs w:val="20"/>
        </w:rPr>
        <w:t xml:space="preserve"> and CYP11A1-derived secosteroids with respect to circadian and endocrine regulation </w:t>
      </w:r>
      <w:r w:rsidR="00500A62" w:rsidRPr="00F467AE">
        <w:rPr>
          <w:rFonts w:asciiTheme="minorBidi" w:hAnsiTheme="minorBidi"/>
          <w:sz w:val="20"/>
          <w:szCs w:val="20"/>
        </w:rPr>
        <w:t>[</w:t>
      </w:r>
      <w:r w:rsidRPr="00F467AE">
        <w:rPr>
          <w:rFonts w:asciiTheme="minorBidi" w:hAnsiTheme="minorBidi"/>
          <w:sz w:val="20"/>
          <w:szCs w:val="20"/>
        </w:rPr>
        <w:t xml:space="preserve">Table </w:t>
      </w:r>
      <w:r w:rsidR="00A54DF2" w:rsidRPr="00F467AE">
        <w:rPr>
          <w:rFonts w:asciiTheme="minorBidi" w:hAnsiTheme="minorBidi"/>
          <w:sz w:val="20"/>
          <w:szCs w:val="20"/>
        </w:rPr>
        <w:t>7</w:t>
      </w:r>
      <w:r w:rsidR="00500A62" w:rsidRPr="00F467AE">
        <w:rPr>
          <w:rFonts w:asciiTheme="minorBidi" w:hAnsiTheme="minorBidi"/>
          <w:sz w:val="20"/>
          <w:szCs w:val="20"/>
        </w:rPr>
        <w:t>]</w:t>
      </w:r>
      <w:r w:rsidRPr="00F467AE">
        <w:rPr>
          <w:rFonts w:asciiTheme="minorBidi" w:hAnsiTheme="minorBidi"/>
          <w:sz w:val="20"/>
          <w:szCs w:val="20"/>
        </w:rPr>
        <w:t>. Serum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functions primarily as a stable, tonic indicator of vitamin D sufficiency and shows minimal diurnal variation due to its long half-life </w:t>
      </w:r>
      <w:r w:rsidR="00500A62" w:rsidRPr="00F467AE">
        <w:rPr>
          <w:rFonts w:asciiTheme="minorBidi" w:hAnsiTheme="minorBidi"/>
          <w:sz w:val="20"/>
          <w:szCs w:val="20"/>
        </w:rPr>
        <w:t>[</w:t>
      </w:r>
      <w:r w:rsidRPr="00F467AE">
        <w:rPr>
          <w:rFonts w:asciiTheme="minorBidi" w:hAnsiTheme="minorBidi"/>
          <w:sz w:val="20"/>
          <w:szCs w:val="20"/>
        </w:rPr>
        <w:t>1, 2</w:t>
      </w:r>
      <w:r w:rsidR="00500A62" w:rsidRPr="00F467AE">
        <w:rPr>
          <w:rFonts w:asciiTheme="minorBidi" w:hAnsiTheme="minorBidi"/>
          <w:sz w:val="20"/>
          <w:szCs w:val="20"/>
        </w:rPr>
        <w:t>]</w:t>
      </w:r>
      <w:r w:rsidRPr="00F467AE">
        <w:rPr>
          <w:rFonts w:asciiTheme="minorBidi" w:hAnsiTheme="minorBidi"/>
          <w:sz w:val="20"/>
          <w:szCs w:val="20"/>
        </w:rPr>
        <w:t xml:space="preserve">. In contrast, secosteroids generated in the skin following ultraviolet exposure exhibit daytime-restricted, phasic production and interact directly with circadian regulatory pathways via nuclear receptors such as RORα/γ and AhR </w:t>
      </w:r>
      <w:r w:rsidR="00500A62" w:rsidRPr="00F467AE">
        <w:rPr>
          <w:rFonts w:asciiTheme="minorBidi" w:hAnsiTheme="minorBidi"/>
          <w:sz w:val="20"/>
          <w:szCs w:val="20"/>
        </w:rPr>
        <w:t>[</w:t>
      </w:r>
      <w:r w:rsidRPr="00F467AE">
        <w:rPr>
          <w:rFonts w:asciiTheme="minorBidi" w:hAnsiTheme="minorBidi"/>
          <w:sz w:val="20"/>
          <w:szCs w:val="20"/>
        </w:rPr>
        <w:t>9, 32, 33, 34</w:t>
      </w:r>
      <w:r w:rsidR="00500A62" w:rsidRPr="00F467AE">
        <w:rPr>
          <w:rFonts w:asciiTheme="minorBidi" w:hAnsiTheme="minorBidi"/>
          <w:sz w:val="20"/>
          <w:szCs w:val="20"/>
        </w:rPr>
        <w:t>]</w:t>
      </w:r>
      <w:r w:rsidRPr="00F467AE">
        <w:rPr>
          <w:rFonts w:asciiTheme="minorBidi" w:hAnsiTheme="minorBidi"/>
          <w:sz w:val="20"/>
          <w:szCs w:val="20"/>
        </w:rPr>
        <w:t>.</w:t>
      </w:r>
    </w:p>
    <w:p w14:paraId="27C63EBA" w14:textId="77777777" w:rsidR="007A2917" w:rsidRPr="00F467AE" w:rsidRDefault="007A2917" w:rsidP="007A2917">
      <w:pPr>
        <w:spacing w:after="0"/>
        <w:rPr>
          <w:rFonts w:asciiTheme="minorBidi" w:hAnsiTheme="minorBidi"/>
          <w:sz w:val="20"/>
          <w:szCs w:val="20"/>
        </w:rPr>
      </w:pPr>
    </w:p>
    <w:p w14:paraId="772CF2DB" w14:textId="142E3273"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This distinction helps explain why vitamin D deficiency is associated with functional alterations of the GH–IGF-1 axis despite preserved basal GH secretion </w:t>
      </w:r>
      <w:r w:rsidR="00500A62" w:rsidRPr="00F467AE">
        <w:rPr>
          <w:rFonts w:asciiTheme="minorBidi" w:hAnsiTheme="minorBidi"/>
          <w:sz w:val="20"/>
          <w:szCs w:val="20"/>
        </w:rPr>
        <w:t>[</w:t>
      </w:r>
      <w:r w:rsidRPr="00F467AE">
        <w:rPr>
          <w:rFonts w:asciiTheme="minorBidi" w:hAnsiTheme="minorBidi"/>
          <w:sz w:val="20"/>
          <w:szCs w:val="20"/>
        </w:rPr>
        <w:t xml:space="preserve">52, </w:t>
      </w:r>
      <w:r w:rsidR="0029427A" w:rsidRPr="00F467AE">
        <w:rPr>
          <w:rFonts w:asciiTheme="minorBidi" w:hAnsiTheme="minorBidi"/>
          <w:sz w:val="20"/>
          <w:szCs w:val="20"/>
        </w:rPr>
        <w:t xml:space="preserve">57, </w:t>
      </w:r>
      <w:r w:rsidRPr="00F467AE">
        <w:rPr>
          <w:rFonts w:asciiTheme="minorBidi" w:hAnsiTheme="minorBidi"/>
          <w:sz w:val="20"/>
          <w:szCs w:val="20"/>
        </w:rPr>
        <w:t>59</w:t>
      </w:r>
      <w:r w:rsidR="00500A62" w:rsidRPr="00F467AE">
        <w:rPr>
          <w:rFonts w:asciiTheme="minorBidi" w:hAnsiTheme="minorBidi"/>
          <w:sz w:val="20"/>
          <w:szCs w:val="20"/>
        </w:rPr>
        <w:t>]</w:t>
      </w:r>
      <w:r w:rsidRPr="00F467AE">
        <w:rPr>
          <w:rFonts w:asciiTheme="minorBidi" w:hAnsiTheme="minorBidi"/>
          <w:sz w:val="20"/>
          <w:szCs w:val="20"/>
        </w:rPr>
        <w:t xml:space="preserve">. The effect appears to be mediated through circadian destabilization, impaired sleep architecture, and reduced nocturnal GH pulsatility rather than primary pituitary dysfunction </w:t>
      </w:r>
      <w:r w:rsidR="00500A62" w:rsidRPr="00F467AE">
        <w:rPr>
          <w:rFonts w:asciiTheme="minorBidi" w:hAnsiTheme="minorBidi"/>
          <w:sz w:val="20"/>
          <w:szCs w:val="20"/>
        </w:rPr>
        <w:t>[</w:t>
      </w:r>
      <w:r w:rsidRPr="00F467AE">
        <w:rPr>
          <w:rFonts w:asciiTheme="minorBidi" w:hAnsiTheme="minorBidi"/>
          <w:sz w:val="20"/>
          <w:szCs w:val="20"/>
        </w:rPr>
        <w:t>41, 60</w:t>
      </w:r>
      <w:r w:rsidR="00500A62" w:rsidRPr="00F467AE">
        <w:rPr>
          <w:rFonts w:asciiTheme="minorBidi" w:hAnsiTheme="minorBidi"/>
          <w:sz w:val="20"/>
          <w:szCs w:val="20"/>
        </w:rPr>
        <w:t>]</w:t>
      </w:r>
      <w:r w:rsidRPr="00F467AE">
        <w:rPr>
          <w:rFonts w:asciiTheme="minorBidi" w:hAnsiTheme="minorBidi"/>
          <w:sz w:val="20"/>
          <w:szCs w:val="20"/>
        </w:rPr>
        <w:t xml:space="preserve">. From a pediatric endocrine perspective, vitamin D deficiency may therefore be better understood as a state permitting attenuation of endocrine rhythmicity rather than as a cause of classical hormone deficiency </w:t>
      </w:r>
      <w:r w:rsidR="00500A62" w:rsidRPr="00F467AE">
        <w:rPr>
          <w:rFonts w:asciiTheme="minorBidi" w:hAnsiTheme="minorBidi"/>
          <w:sz w:val="20"/>
          <w:szCs w:val="20"/>
        </w:rPr>
        <w:t>[</w:t>
      </w:r>
      <w:r w:rsidRPr="00F467AE">
        <w:rPr>
          <w:rFonts w:asciiTheme="minorBidi" w:hAnsiTheme="minorBidi"/>
          <w:sz w:val="20"/>
          <w:szCs w:val="20"/>
        </w:rPr>
        <w:t>61</w:t>
      </w:r>
      <w:r w:rsidR="00500A62" w:rsidRPr="00F467AE">
        <w:rPr>
          <w:rFonts w:asciiTheme="minorBidi" w:hAnsiTheme="minorBidi"/>
          <w:sz w:val="20"/>
          <w:szCs w:val="20"/>
        </w:rPr>
        <w:t>]</w:t>
      </w:r>
      <w:r w:rsidRPr="00F467AE">
        <w:rPr>
          <w:rFonts w:asciiTheme="minorBidi" w:hAnsiTheme="minorBidi"/>
          <w:sz w:val="20"/>
          <w:szCs w:val="20"/>
        </w:rPr>
        <w:t>.</w:t>
      </w:r>
    </w:p>
    <w:p w14:paraId="7BF261DD" w14:textId="77777777" w:rsidR="007A2917" w:rsidRPr="00F467AE" w:rsidRDefault="007A2917" w:rsidP="007A2917">
      <w:pPr>
        <w:spacing w:after="0"/>
        <w:rPr>
          <w:rFonts w:asciiTheme="minorBidi" w:hAnsiTheme="minorBidi"/>
          <w:sz w:val="20"/>
          <w:szCs w:val="20"/>
        </w:rPr>
      </w:pPr>
    </w:p>
    <w:p w14:paraId="126DB9BE" w14:textId="56CCE87A"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The importance of this timing is further supported by the concept of time-restricted signaling. Just as time-restricted feeding prevents metabolic disease by aligning nutrient intake with the clock </w:t>
      </w:r>
      <w:r w:rsidR="00500A62" w:rsidRPr="00F467AE">
        <w:rPr>
          <w:rFonts w:asciiTheme="minorBidi" w:hAnsiTheme="minorBidi"/>
          <w:sz w:val="20"/>
          <w:szCs w:val="20"/>
        </w:rPr>
        <w:t>[</w:t>
      </w:r>
      <w:r w:rsidRPr="00F467AE">
        <w:rPr>
          <w:rFonts w:asciiTheme="minorBidi" w:hAnsiTheme="minorBidi"/>
          <w:sz w:val="20"/>
          <w:szCs w:val="20"/>
        </w:rPr>
        <w:t>62, 63</w:t>
      </w:r>
      <w:r w:rsidR="00500A62" w:rsidRPr="00F467AE">
        <w:rPr>
          <w:rFonts w:asciiTheme="minorBidi" w:hAnsiTheme="minorBidi"/>
          <w:sz w:val="20"/>
          <w:szCs w:val="20"/>
        </w:rPr>
        <w:t>]</w:t>
      </w:r>
      <w:r w:rsidRPr="00F467AE">
        <w:rPr>
          <w:rFonts w:asciiTheme="minorBidi" w:hAnsiTheme="minorBidi"/>
          <w:sz w:val="20"/>
          <w:szCs w:val="20"/>
        </w:rPr>
        <w:t xml:space="preserve">, sunlight-induced secosteroid production aligns nuclear receptor activity with the solar day. This coordination between central and peripheral clocks is essential for systemic homeostasis </w:t>
      </w:r>
      <w:r w:rsidR="00500A62" w:rsidRPr="00F467AE">
        <w:rPr>
          <w:rFonts w:asciiTheme="minorBidi" w:hAnsiTheme="minorBidi"/>
          <w:sz w:val="20"/>
          <w:szCs w:val="20"/>
        </w:rPr>
        <w:t>[</w:t>
      </w:r>
      <w:r w:rsidRPr="00F467AE">
        <w:rPr>
          <w:rFonts w:asciiTheme="minorBidi" w:hAnsiTheme="minorBidi"/>
          <w:sz w:val="20"/>
          <w:szCs w:val="20"/>
        </w:rPr>
        <w:t>64</w:t>
      </w:r>
      <w:r w:rsidR="00500A62" w:rsidRPr="00F467AE">
        <w:rPr>
          <w:rFonts w:asciiTheme="minorBidi" w:hAnsiTheme="minorBidi"/>
          <w:sz w:val="20"/>
          <w:szCs w:val="20"/>
        </w:rPr>
        <w:t>]</w:t>
      </w:r>
      <w:r w:rsidRPr="00F467AE">
        <w:rPr>
          <w:rFonts w:asciiTheme="minorBidi" w:hAnsiTheme="minorBidi"/>
          <w:sz w:val="20"/>
          <w:szCs w:val="20"/>
        </w:rPr>
        <w:t xml:space="preserve">. Because modern health outcomes are so tightly linked to circadian integrity </w:t>
      </w:r>
      <w:r w:rsidR="00500A62" w:rsidRPr="00F467AE">
        <w:rPr>
          <w:rFonts w:asciiTheme="minorBidi" w:hAnsiTheme="minorBidi"/>
          <w:sz w:val="20"/>
          <w:szCs w:val="20"/>
        </w:rPr>
        <w:t>[</w:t>
      </w:r>
      <w:r w:rsidRPr="00F467AE">
        <w:rPr>
          <w:rFonts w:asciiTheme="minorBidi" w:hAnsiTheme="minorBidi"/>
          <w:sz w:val="20"/>
          <w:szCs w:val="20"/>
        </w:rPr>
        <w:t>54, 65, 66</w:t>
      </w:r>
      <w:r w:rsidR="00500A62" w:rsidRPr="00F467AE">
        <w:rPr>
          <w:rFonts w:asciiTheme="minorBidi" w:hAnsiTheme="minorBidi"/>
          <w:sz w:val="20"/>
          <w:szCs w:val="20"/>
        </w:rPr>
        <w:t>]</w:t>
      </w:r>
      <w:r w:rsidRPr="00F467AE">
        <w:rPr>
          <w:rFonts w:asciiTheme="minorBidi" w:hAnsiTheme="minorBidi"/>
          <w:sz w:val="20"/>
          <w:szCs w:val="20"/>
        </w:rPr>
        <w:t xml:space="preserve">, the discovery of the non-calcemic CYP11A1 pathway provides a vital tool for chronotherapeutic intervention. Even in cells without a nucleus, such as red blood cells, circadian oscillations persist, suggesting that the "Sun's Chemical Proxy" may have even broader systemic influences than currently mapped </w:t>
      </w:r>
      <w:r w:rsidR="00500A62" w:rsidRPr="00F467AE">
        <w:rPr>
          <w:rFonts w:asciiTheme="minorBidi" w:hAnsiTheme="minorBidi"/>
          <w:sz w:val="20"/>
          <w:szCs w:val="20"/>
        </w:rPr>
        <w:t>[</w:t>
      </w:r>
      <w:r w:rsidRPr="00F467AE">
        <w:rPr>
          <w:rFonts w:asciiTheme="minorBidi" w:hAnsiTheme="minorBidi"/>
          <w:sz w:val="20"/>
          <w:szCs w:val="20"/>
        </w:rPr>
        <w:t>67</w:t>
      </w:r>
      <w:r w:rsidR="00500A62" w:rsidRPr="00F467AE">
        <w:rPr>
          <w:rFonts w:asciiTheme="minorBidi" w:hAnsiTheme="minorBidi"/>
          <w:sz w:val="20"/>
          <w:szCs w:val="20"/>
        </w:rPr>
        <w:t>]</w:t>
      </w:r>
      <w:r w:rsidRPr="00F467AE">
        <w:rPr>
          <w:rFonts w:asciiTheme="minorBidi" w:hAnsiTheme="minorBidi"/>
          <w:sz w:val="20"/>
          <w:szCs w:val="20"/>
        </w:rPr>
        <w:t>.</w:t>
      </w:r>
    </w:p>
    <w:p w14:paraId="5CDBB00A" w14:textId="77777777" w:rsidR="007A2917" w:rsidRPr="00F467AE" w:rsidRDefault="007A2917" w:rsidP="007A2917">
      <w:pPr>
        <w:spacing w:after="0"/>
        <w:rPr>
          <w:rFonts w:asciiTheme="minorBidi" w:hAnsiTheme="minorBidi"/>
          <w:sz w:val="20"/>
          <w:szCs w:val="20"/>
        </w:rPr>
      </w:pPr>
    </w:p>
    <w:p w14:paraId="167B5D02" w14:textId="3A7918D6" w:rsidR="007A2917" w:rsidRDefault="007A2917" w:rsidP="007A2917">
      <w:pPr>
        <w:spacing w:after="0"/>
        <w:rPr>
          <w:rFonts w:asciiTheme="minorBidi" w:hAnsiTheme="minorBidi"/>
          <w:sz w:val="20"/>
          <w:szCs w:val="20"/>
        </w:rPr>
      </w:pPr>
      <w:r w:rsidRPr="00F467AE">
        <w:rPr>
          <w:rFonts w:asciiTheme="minorBidi" w:hAnsiTheme="minorBidi"/>
          <w:sz w:val="20"/>
          <w:szCs w:val="20"/>
        </w:rPr>
        <w:t>From a clinical standpoint, these findings support a more integrated interpretation of vitamin D status in pediatric endocrinology. Rather than relying solely on static serum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concentrations, it may be appropriate to consider vitamin D signaling within a broader environmental and temporal context. Regular daytime light exposure, outdoor physical activity, and consistent sleep–wake schedules may support endocrine rhythmicity alongside established nutritional recommendations </w:t>
      </w:r>
      <w:r w:rsidR="00500A62" w:rsidRPr="00F467AE">
        <w:rPr>
          <w:rFonts w:asciiTheme="minorBidi" w:hAnsiTheme="minorBidi"/>
          <w:sz w:val="20"/>
          <w:szCs w:val="20"/>
        </w:rPr>
        <w:t>[</w:t>
      </w:r>
      <w:r w:rsidRPr="00F467AE">
        <w:rPr>
          <w:rFonts w:asciiTheme="minorBidi" w:hAnsiTheme="minorBidi"/>
          <w:sz w:val="20"/>
          <w:szCs w:val="20"/>
        </w:rPr>
        <w:t>53, 57</w:t>
      </w:r>
      <w:r w:rsidR="00500A62" w:rsidRPr="00F467AE">
        <w:rPr>
          <w:rFonts w:asciiTheme="minorBidi" w:hAnsiTheme="minorBidi"/>
          <w:sz w:val="20"/>
          <w:szCs w:val="20"/>
        </w:rPr>
        <w:t>]</w:t>
      </w:r>
      <w:r w:rsidRPr="00F467AE">
        <w:rPr>
          <w:rFonts w:asciiTheme="minorBidi" w:hAnsiTheme="minorBidi"/>
          <w:sz w:val="20"/>
          <w:szCs w:val="20"/>
        </w:rPr>
        <w:t>.</w:t>
      </w:r>
    </w:p>
    <w:p w14:paraId="6497A17F" w14:textId="77777777" w:rsidR="007F49EB" w:rsidRDefault="007F49EB" w:rsidP="007A2917">
      <w:pPr>
        <w:spacing w:after="0"/>
        <w:rPr>
          <w:rFonts w:asciiTheme="minorBidi" w:hAnsiTheme="minorBidi"/>
          <w:sz w:val="20"/>
          <w:szCs w:val="20"/>
        </w:rPr>
      </w:pPr>
    </w:p>
    <w:p w14:paraId="3DE6652E" w14:textId="6A0D8D8D" w:rsidR="007F49EB" w:rsidRPr="00F467AE" w:rsidRDefault="007F49EB" w:rsidP="007A2917">
      <w:pPr>
        <w:spacing w:after="0"/>
        <w:rPr>
          <w:rFonts w:asciiTheme="minorBidi" w:hAnsiTheme="minorBidi"/>
          <w:sz w:val="20"/>
          <w:szCs w:val="20"/>
        </w:rPr>
      </w:pPr>
      <w:r w:rsidRPr="007F49EB">
        <w:rPr>
          <w:rFonts w:asciiTheme="minorBidi" w:hAnsiTheme="minorBidi"/>
          <w:sz w:val="20"/>
          <w:szCs w:val="20"/>
          <w:highlight w:val="yellow"/>
        </w:rPr>
        <w:t xml:space="preserve">This </w:t>
      </w:r>
      <w:r w:rsidR="00D07082">
        <w:rPr>
          <w:rFonts w:asciiTheme="minorBidi" w:hAnsiTheme="minorBidi"/>
          <w:sz w:val="20"/>
          <w:szCs w:val="20"/>
          <w:highlight w:val="yellow"/>
        </w:rPr>
        <w:t xml:space="preserve">review </w:t>
      </w:r>
      <w:r w:rsidRPr="007F49EB">
        <w:rPr>
          <w:rFonts w:asciiTheme="minorBidi" w:hAnsiTheme="minorBidi"/>
          <w:sz w:val="20"/>
          <w:szCs w:val="20"/>
          <w:highlight w:val="yellow"/>
        </w:rPr>
        <w:t>introduces an expanded conceptual framework that redefines vitamin D biology by identifying CYP11A1-derived secosteroids as key mediators linking sunlight exposure to circadian and endocrine regulation. By integrating photobiology, nuclear receptor signaling, and multi-organ hormonal rhythms, it advances understanding beyond the classical calcium-centric vitamin D paradigm. These insights provide a foundation for future experimental and clinical research in chronobiology, endocrinology, and pediatric health.</w:t>
      </w:r>
    </w:p>
    <w:p w14:paraId="15ABC4EF" w14:textId="7E723D4B" w:rsidR="007A2917" w:rsidRPr="00F467AE" w:rsidRDefault="007A2917" w:rsidP="007A2917">
      <w:pPr>
        <w:spacing w:after="0"/>
        <w:rPr>
          <w:rFonts w:asciiTheme="minorBidi" w:hAnsiTheme="minorBidi"/>
          <w:sz w:val="20"/>
          <w:szCs w:val="20"/>
        </w:rPr>
      </w:pPr>
    </w:p>
    <w:p w14:paraId="79AEC8EE" w14:textId="77777777" w:rsidR="007A2917" w:rsidRPr="00F467AE" w:rsidRDefault="007A2917" w:rsidP="007A2917">
      <w:pPr>
        <w:spacing w:after="0"/>
        <w:rPr>
          <w:rFonts w:asciiTheme="minorBidi" w:hAnsiTheme="minorBidi"/>
          <w:b/>
          <w:bCs/>
          <w:sz w:val="20"/>
          <w:szCs w:val="20"/>
        </w:rPr>
      </w:pPr>
      <w:r w:rsidRPr="00F467AE">
        <w:rPr>
          <w:rFonts w:asciiTheme="minorBidi" w:hAnsiTheme="minorBidi"/>
          <w:b/>
          <w:bCs/>
          <w:sz w:val="20"/>
          <w:szCs w:val="20"/>
        </w:rPr>
        <w:t>Conclusions</w:t>
      </w:r>
    </w:p>
    <w:p w14:paraId="415F56EF" w14:textId="77777777"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This review highlights an expanded framework of vitamin D biology in which the cutaneous CYP11A1-derived secosteroid pathway provides a mechanistic link between sunlight exposure, circadian regulation, and endocrine homeostasis. While circulating 25-hydroxyvitamin D</w:t>
      </w:r>
      <w:r w:rsidRPr="00F467AE">
        <w:rPr>
          <w:rFonts w:ascii="Cambria Math" w:hAnsi="Cambria Math" w:cs="Cambria Math"/>
          <w:sz w:val="20"/>
          <w:szCs w:val="20"/>
        </w:rPr>
        <w:t>₃</w:t>
      </w:r>
      <w:r w:rsidRPr="00F467AE">
        <w:rPr>
          <w:rFonts w:asciiTheme="minorBidi" w:hAnsiTheme="minorBidi"/>
          <w:sz w:val="20"/>
          <w:szCs w:val="20"/>
        </w:rPr>
        <w:t xml:space="preserve"> serves as a stable indicator of vitamin D sufficiency, CYP11A1-derived secosteroids appear to function as time-dependent signals </w:t>
      </w:r>
      <w:r w:rsidRPr="00F467AE">
        <w:rPr>
          <w:rFonts w:asciiTheme="minorBidi" w:hAnsiTheme="minorBidi"/>
          <w:sz w:val="20"/>
          <w:szCs w:val="20"/>
        </w:rPr>
        <w:lastRenderedPageBreak/>
        <w:t>capable of modulating circadian amplitude and hormonal rhythmicity. In pediatric populations, vitamin D deficiency is therefore best interpreted as a condition that permits functional attenuation of endocrine rhythms—including the GH–IGF-1 axis—rather than as a cause of primary hormone deficiency. This distinction helps reconcile mechanistic data with clinical observations and underscores the importance of considering environmental light exposure and circadian context when interpreting vitamin D–related endocrine findings in children and adolescents.</w:t>
      </w:r>
    </w:p>
    <w:p w14:paraId="3B694FEE" w14:textId="77777777" w:rsidR="00AB0BA9" w:rsidRPr="00F467AE" w:rsidRDefault="00AB0BA9" w:rsidP="007A2917">
      <w:pPr>
        <w:spacing w:after="0"/>
        <w:rPr>
          <w:rFonts w:asciiTheme="minorBidi" w:hAnsiTheme="minorBidi"/>
          <w:sz w:val="20"/>
          <w:szCs w:val="20"/>
        </w:rPr>
      </w:pPr>
    </w:p>
    <w:p w14:paraId="62BCD30F" w14:textId="0946FD91" w:rsidR="00AB0BA9" w:rsidRPr="00F467AE" w:rsidRDefault="00AB0BA9" w:rsidP="00AB0BA9">
      <w:pPr>
        <w:spacing w:after="0"/>
        <w:rPr>
          <w:rFonts w:asciiTheme="minorBidi" w:hAnsiTheme="minorBidi"/>
          <w:b/>
          <w:bCs/>
          <w:sz w:val="20"/>
          <w:szCs w:val="20"/>
        </w:rPr>
      </w:pPr>
      <w:r w:rsidRPr="00F467AE">
        <w:rPr>
          <w:rFonts w:asciiTheme="minorBidi" w:hAnsiTheme="minorBidi"/>
          <w:b/>
          <w:bCs/>
          <w:sz w:val="20"/>
          <w:szCs w:val="20"/>
        </w:rPr>
        <w:t>Limitations of the study:</w:t>
      </w:r>
    </w:p>
    <w:p w14:paraId="03A609EB" w14:textId="3243811C" w:rsidR="00AB0BA9" w:rsidRPr="00F467AE" w:rsidRDefault="00AB0BA9" w:rsidP="00AB0BA9">
      <w:pPr>
        <w:spacing w:after="0"/>
        <w:rPr>
          <w:rFonts w:asciiTheme="minorBidi" w:hAnsiTheme="minorBidi"/>
          <w:sz w:val="20"/>
          <w:szCs w:val="20"/>
        </w:rPr>
      </w:pPr>
      <w:r w:rsidRPr="00F467AE">
        <w:rPr>
          <w:rFonts w:asciiTheme="minorBidi" w:hAnsiTheme="minorBidi"/>
          <w:sz w:val="20"/>
          <w:szCs w:val="20"/>
        </w:rPr>
        <w:t xml:space="preserve">The limitations of this review include the high methodological heterogeneity across the 67 included studies, which range from basic biochemistry to clinical observations, preventing a unified quantitative meta-analysis. Furthermore, core molecular mechanisms like RORα/γ inverse agonism are primarily established in </w:t>
      </w:r>
      <w:r w:rsidRPr="00F467AE">
        <w:rPr>
          <w:rFonts w:asciiTheme="minorBidi" w:hAnsiTheme="minorBidi"/>
          <w:i/>
          <w:iCs/>
          <w:sz w:val="20"/>
          <w:szCs w:val="20"/>
        </w:rPr>
        <w:t>in vitro</w:t>
      </w:r>
      <w:r w:rsidRPr="00F467AE">
        <w:rPr>
          <w:rFonts w:asciiTheme="minorBidi" w:hAnsiTheme="minorBidi"/>
          <w:sz w:val="20"/>
          <w:szCs w:val="20"/>
        </w:rPr>
        <w:t xml:space="preserve"> or animal models, necessitating further large-scale human validation to bridge the translational gap. Clinical findings regarding the HPA, HPT, and GH axes are also subject to confounding by baseline vitamin D levels and lifestyle factors, while the cutaneous production of these "chemical proxies" remains highly sensitive to geographic and seasonal UV variability. Finally, the relative novelty of the CYP11A1-mediated alternative pathway means there is a lack of long-term longitudinal data compared to the canonical VDR pathway.</w:t>
      </w:r>
    </w:p>
    <w:p w14:paraId="77B249DA" w14:textId="2DF9BC2B" w:rsidR="00072467" w:rsidRPr="00F467AE" w:rsidRDefault="00072467" w:rsidP="00072467">
      <w:pPr>
        <w:spacing w:after="0"/>
        <w:rPr>
          <w:rFonts w:asciiTheme="minorBidi" w:hAnsiTheme="minorBidi"/>
          <w:sz w:val="20"/>
          <w:szCs w:val="20"/>
        </w:rPr>
      </w:pPr>
    </w:p>
    <w:p w14:paraId="0DC832E0" w14:textId="77777777" w:rsidR="00072467" w:rsidRPr="00F467AE" w:rsidRDefault="00072467" w:rsidP="00072467">
      <w:pPr>
        <w:spacing w:after="0"/>
        <w:rPr>
          <w:rFonts w:asciiTheme="minorBidi" w:hAnsiTheme="minorBidi"/>
          <w:b/>
          <w:bCs/>
          <w:sz w:val="20"/>
          <w:szCs w:val="20"/>
        </w:rPr>
      </w:pPr>
      <w:r w:rsidRPr="00F467AE">
        <w:rPr>
          <w:rFonts w:asciiTheme="minorBidi" w:hAnsiTheme="minorBidi"/>
          <w:b/>
          <w:bCs/>
          <w:sz w:val="20"/>
          <w:szCs w:val="20"/>
        </w:rPr>
        <w:t>Ethical Statement</w:t>
      </w:r>
    </w:p>
    <w:p w14:paraId="54546675" w14:textId="77777777" w:rsidR="00072467" w:rsidRPr="00F467AE" w:rsidRDefault="00072467" w:rsidP="00072467">
      <w:pPr>
        <w:spacing w:after="0"/>
        <w:rPr>
          <w:rFonts w:asciiTheme="minorBidi" w:hAnsiTheme="minorBidi"/>
          <w:sz w:val="20"/>
          <w:szCs w:val="20"/>
        </w:rPr>
      </w:pPr>
      <w:r w:rsidRPr="00F467AE">
        <w:rPr>
          <w:rFonts w:asciiTheme="minorBidi" w:hAnsiTheme="minorBidi"/>
          <w:sz w:val="20"/>
          <w:szCs w:val="20"/>
        </w:rPr>
        <w:t>This article is a narrative–systematic review and did not involve human participants, animals, or identifiable personal data. Therefore, ethical approval and informed consent were not required.</w:t>
      </w:r>
    </w:p>
    <w:p w14:paraId="3D1AD56D" w14:textId="77777777" w:rsidR="00072467" w:rsidRPr="00F467AE" w:rsidRDefault="00072467" w:rsidP="00072467">
      <w:pPr>
        <w:spacing w:after="0"/>
        <w:rPr>
          <w:rFonts w:asciiTheme="minorBidi" w:hAnsiTheme="minorBidi"/>
          <w:sz w:val="20"/>
          <w:szCs w:val="20"/>
        </w:rPr>
      </w:pPr>
    </w:p>
    <w:p w14:paraId="72A14D97" w14:textId="77777777" w:rsidR="001C22BE" w:rsidRPr="00005ED1" w:rsidRDefault="001C22BE" w:rsidP="001C22BE">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312A93FD" w14:textId="77777777" w:rsidR="001C22BE" w:rsidRPr="00005ED1" w:rsidRDefault="001C22BE" w:rsidP="001C22BE">
      <w:pPr>
        <w:pStyle w:val="NoSpacing"/>
        <w:rPr>
          <w:rFonts w:ascii="Arial" w:hAnsi="Arial" w:cs="Arial"/>
          <w:highlight w:val="yellow"/>
        </w:rPr>
      </w:pPr>
    </w:p>
    <w:p w14:paraId="497C2DBF" w14:textId="77777777" w:rsidR="001C22BE" w:rsidRPr="00005ED1" w:rsidRDefault="001C22BE" w:rsidP="001C22B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1CC42256" w14:textId="1F155443" w:rsidR="00C231BA" w:rsidRPr="00F467AE" w:rsidRDefault="00463558" w:rsidP="00463558">
      <w:pPr>
        <w:rPr>
          <w:rFonts w:asciiTheme="minorBidi" w:hAnsiTheme="minorBidi"/>
          <w:sz w:val="20"/>
          <w:szCs w:val="20"/>
        </w:rPr>
      </w:pPr>
      <w:r w:rsidRPr="00F467AE">
        <w:rPr>
          <w:rFonts w:asciiTheme="minorBidi" w:hAnsiTheme="minorBidi"/>
          <w:sz w:val="20"/>
          <w:szCs w:val="20"/>
        </w:rPr>
        <w:br w:type="page"/>
      </w:r>
      <w:r w:rsidR="00674620" w:rsidRPr="00F467AE">
        <w:rPr>
          <w:rFonts w:asciiTheme="minorBidi" w:hAnsiTheme="minorBidi"/>
          <w:b/>
          <w:bCs/>
          <w:sz w:val="20"/>
          <w:szCs w:val="20"/>
        </w:rPr>
        <w:lastRenderedPageBreak/>
        <w:t>References</w:t>
      </w:r>
    </w:p>
    <w:p w14:paraId="05EEC4AC"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Holick MF. Vitamin D deficiency. </w:t>
      </w:r>
      <w:r w:rsidRPr="00F467AE">
        <w:rPr>
          <w:rFonts w:asciiTheme="minorBidi" w:hAnsiTheme="minorBidi"/>
          <w:i/>
          <w:iCs/>
          <w:sz w:val="20"/>
          <w:szCs w:val="20"/>
        </w:rPr>
        <w:t>N Engl J Med.</w:t>
      </w:r>
      <w:r w:rsidRPr="00F467AE">
        <w:rPr>
          <w:rFonts w:asciiTheme="minorBidi" w:hAnsiTheme="minorBidi"/>
          <w:sz w:val="20"/>
          <w:szCs w:val="20"/>
        </w:rPr>
        <w:t xml:space="preserve"> </w:t>
      </w:r>
      <w:proofErr w:type="gramStart"/>
      <w:r w:rsidRPr="00F467AE">
        <w:rPr>
          <w:rFonts w:asciiTheme="minorBidi" w:hAnsiTheme="minorBidi"/>
          <w:sz w:val="20"/>
          <w:szCs w:val="20"/>
        </w:rPr>
        <w:t>2007;357:266</w:t>
      </w:r>
      <w:proofErr w:type="gramEnd"/>
      <w:r w:rsidRPr="00F467AE">
        <w:rPr>
          <w:rFonts w:asciiTheme="minorBidi" w:hAnsiTheme="minorBidi"/>
          <w:sz w:val="20"/>
          <w:szCs w:val="20"/>
        </w:rPr>
        <w:t>–281. doi:10.1056/NEJMra070553</w:t>
      </w:r>
    </w:p>
    <w:p w14:paraId="33FBB23B"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Christakos S, Dhawan P, Verstuyf A, Verlinden L, Carmeliet G, Bouillon R, et al. </w:t>
      </w:r>
      <w:r w:rsidRPr="00F467AE">
        <w:rPr>
          <w:rFonts w:asciiTheme="minorBidi" w:hAnsiTheme="minorBidi"/>
          <w:sz w:val="20"/>
          <w:szCs w:val="20"/>
        </w:rPr>
        <w:t xml:space="preserve">Vitamin D: metabolism, molecular mechanism of action, and pleiotropic effects. </w:t>
      </w:r>
      <w:proofErr w:type="spellStart"/>
      <w:r w:rsidRPr="00F467AE">
        <w:rPr>
          <w:rFonts w:asciiTheme="minorBidi" w:hAnsiTheme="minorBidi"/>
          <w:i/>
          <w:iCs/>
          <w:sz w:val="20"/>
          <w:szCs w:val="20"/>
        </w:rPr>
        <w:t>Physiol</w:t>
      </w:r>
      <w:proofErr w:type="spellEnd"/>
      <w:r w:rsidRPr="00F467AE">
        <w:rPr>
          <w:rFonts w:asciiTheme="minorBidi" w:hAnsiTheme="minorBidi"/>
          <w:i/>
          <w:iCs/>
          <w:sz w:val="20"/>
          <w:szCs w:val="20"/>
        </w:rPr>
        <w:t xml:space="preserve"> Rev.</w:t>
      </w:r>
      <w:r w:rsidRPr="00F467AE">
        <w:rPr>
          <w:rFonts w:asciiTheme="minorBidi" w:hAnsiTheme="minorBidi"/>
          <w:sz w:val="20"/>
          <w:szCs w:val="20"/>
        </w:rPr>
        <w:t xml:space="preserve"> </w:t>
      </w:r>
      <w:proofErr w:type="gramStart"/>
      <w:r w:rsidRPr="00F467AE">
        <w:rPr>
          <w:rFonts w:asciiTheme="minorBidi" w:hAnsiTheme="minorBidi"/>
          <w:sz w:val="20"/>
          <w:szCs w:val="20"/>
        </w:rPr>
        <w:t>2016;96:365</w:t>
      </w:r>
      <w:proofErr w:type="gramEnd"/>
      <w:r w:rsidRPr="00F467AE">
        <w:rPr>
          <w:rFonts w:asciiTheme="minorBidi" w:hAnsiTheme="minorBidi"/>
          <w:sz w:val="20"/>
          <w:szCs w:val="20"/>
        </w:rPr>
        <w:t>–408. doi:10.1152/physrev.00014.2015</w:t>
      </w:r>
    </w:p>
    <w:p w14:paraId="59F160A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Bouillon R, </w:t>
      </w:r>
      <w:proofErr w:type="spellStart"/>
      <w:r w:rsidRPr="00F467AE">
        <w:rPr>
          <w:rFonts w:asciiTheme="minorBidi" w:hAnsiTheme="minorBidi"/>
          <w:sz w:val="20"/>
          <w:szCs w:val="20"/>
        </w:rPr>
        <w:t>Marcocci</w:t>
      </w:r>
      <w:proofErr w:type="spellEnd"/>
      <w:r w:rsidRPr="00F467AE">
        <w:rPr>
          <w:rFonts w:asciiTheme="minorBidi" w:hAnsiTheme="minorBidi"/>
          <w:sz w:val="20"/>
          <w:szCs w:val="20"/>
        </w:rPr>
        <w:t xml:space="preserve"> C, </w:t>
      </w:r>
      <w:proofErr w:type="spellStart"/>
      <w:r w:rsidRPr="00F467AE">
        <w:rPr>
          <w:rFonts w:asciiTheme="minorBidi" w:hAnsiTheme="minorBidi"/>
          <w:sz w:val="20"/>
          <w:szCs w:val="20"/>
        </w:rPr>
        <w:t>Carmeliet</w:t>
      </w:r>
      <w:proofErr w:type="spellEnd"/>
      <w:r w:rsidRPr="00F467AE">
        <w:rPr>
          <w:rFonts w:asciiTheme="minorBidi" w:hAnsiTheme="minorBidi"/>
          <w:sz w:val="20"/>
          <w:szCs w:val="20"/>
        </w:rPr>
        <w:t xml:space="preserve"> G, Bikle D, White JH, Dawson-Hughes B, et al. Skeletal and </w:t>
      </w:r>
      <w:proofErr w:type="spellStart"/>
      <w:r w:rsidRPr="00F467AE">
        <w:rPr>
          <w:rFonts w:asciiTheme="minorBidi" w:hAnsiTheme="minorBidi"/>
          <w:sz w:val="20"/>
          <w:szCs w:val="20"/>
        </w:rPr>
        <w:t>extraskeletal</w:t>
      </w:r>
      <w:proofErr w:type="spellEnd"/>
      <w:r w:rsidRPr="00F467AE">
        <w:rPr>
          <w:rFonts w:asciiTheme="minorBidi" w:hAnsiTheme="minorBidi"/>
          <w:sz w:val="20"/>
          <w:szCs w:val="20"/>
        </w:rPr>
        <w:t xml:space="preserve"> actions of vitamin D. </w:t>
      </w:r>
      <w:proofErr w:type="spellStart"/>
      <w:r w:rsidRPr="00F467AE">
        <w:rPr>
          <w:rFonts w:asciiTheme="minorBidi" w:hAnsiTheme="minorBidi"/>
          <w:i/>
          <w:iCs/>
          <w:sz w:val="20"/>
          <w:szCs w:val="20"/>
        </w:rPr>
        <w:t>Endocr</w:t>
      </w:r>
      <w:proofErr w:type="spellEnd"/>
      <w:r w:rsidRPr="00F467AE">
        <w:rPr>
          <w:rFonts w:asciiTheme="minorBidi" w:hAnsiTheme="minorBidi"/>
          <w:i/>
          <w:iCs/>
          <w:sz w:val="20"/>
          <w:szCs w:val="20"/>
        </w:rPr>
        <w:t xml:space="preserve"> Rev.</w:t>
      </w:r>
      <w:r w:rsidRPr="00F467AE">
        <w:rPr>
          <w:rFonts w:asciiTheme="minorBidi" w:hAnsiTheme="minorBidi"/>
          <w:sz w:val="20"/>
          <w:szCs w:val="20"/>
        </w:rPr>
        <w:t xml:space="preserve"> 2019;40:1109–1151. doi:10.1210/er.2018-00126</w:t>
      </w:r>
    </w:p>
    <w:p w14:paraId="1C1654C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Carlberg C, Campbell MJ. Vitamin D receptor signaling mechanisms. </w:t>
      </w:r>
      <w:r w:rsidRPr="00F467AE">
        <w:rPr>
          <w:rFonts w:asciiTheme="minorBidi" w:hAnsiTheme="minorBidi"/>
          <w:i/>
          <w:iCs/>
          <w:sz w:val="20"/>
          <w:szCs w:val="20"/>
        </w:rPr>
        <w:t>Steroids.</w:t>
      </w:r>
      <w:r w:rsidRPr="00F467AE">
        <w:rPr>
          <w:rFonts w:asciiTheme="minorBidi" w:hAnsiTheme="minorBidi"/>
          <w:sz w:val="20"/>
          <w:szCs w:val="20"/>
        </w:rPr>
        <w:t xml:space="preserve"> </w:t>
      </w:r>
      <w:proofErr w:type="gramStart"/>
      <w:r w:rsidRPr="00F467AE">
        <w:rPr>
          <w:rFonts w:asciiTheme="minorBidi" w:hAnsiTheme="minorBidi"/>
          <w:sz w:val="20"/>
          <w:szCs w:val="20"/>
        </w:rPr>
        <w:t>2013;78:127</w:t>
      </w:r>
      <w:proofErr w:type="gramEnd"/>
      <w:r w:rsidRPr="00F467AE">
        <w:rPr>
          <w:rFonts w:asciiTheme="minorBidi" w:hAnsiTheme="minorBidi"/>
          <w:sz w:val="20"/>
          <w:szCs w:val="20"/>
        </w:rPr>
        <w:t xml:space="preserve">–136. </w:t>
      </w:r>
      <w:proofErr w:type="gramStart"/>
      <w:r w:rsidRPr="00F467AE">
        <w:rPr>
          <w:rFonts w:asciiTheme="minorBidi" w:hAnsiTheme="minorBidi"/>
          <w:sz w:val="20"/>
          <w:szCs w:val="20"/>
        </w:rPr>
        <w:t>doi:10.1016/j.steroids</w:t>
      </w:r>
      <w:proofErr w:type="gramEnd"/>
      <w:r w:rsidRPr="00F467AE">
        <w:rPr>
          <w:rFonts w:asciiTheme="minorBidi" w:hAnsiTheme="minorBidi"/>
          <w:sz w:val="20"/>
          <w:szCs w:val="20"/>
        </w:rPr>
        <w:t>.2012.10.019</w:t>
      </w:r>
    </w:p>
    <w:p w14:paraId="1FBFACF7"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Zmijewski MA, Plonka PM, Szaflarski JP, Paus R, et al. How UV light touches the brain and endocrine system through skin. </w:t>
      </w:r>
      <w:r w:rsidRPr="00F467AE">
        <w:rPr>
          <w:rFonts w:asciiTheme="minorBidi" w:hAnsiTheme="minorBidi"/>
          <w:i/>
          <w:iCs/>
          <w:sz w:val="20"/>
          <w:szCs w:val="20"/>
        </w:rPr>
        <w:t>Endocrinology.</w:t>
      </w:r>
      <w:r w:rsidRPr="00F467AE">
        <w:rPr>
          <w:rFonts w:asciiTheme="minorBidi" w:hAnsiTheme="minorBidi"/>
          <w:sz w:val="20"/>
          <w:szCs w:val="20"/>
        </w:rPr>
        <w:t xml:space="preserve"> </w:t>
      </w:r>
      <w:proofErr w:type="gramStart"/>
      <w:r w:rsidRPr="00F467AE">
        <w:rPr>
          <w:rFonts w:asciiTheme="minorBidi" w:hAnsiTheme="minorBidi"/>
          <w:sz w:val="20"/>
          <w:szCs w:val="20"/>
        </w:rPr>
        <w:t>2018;159:1992</w:t>
      </w:r>
      <w:proofErr w:type="gramEnd"/>
      <w:r w:rsidRPr="00F467AE">
        <w:rPr>
          <w:rFonts w:asciiTheme="minorBidi" w:hAnsiTheme="minorBidi"/>
          <w:sz w:val="20"/>
          <w:szCs w:val="20"/>
        </w:rPr>
        <w:t>–2007. doi:10.1210/en.2017-03230</w:t>
      </w:r>
    </w:p>
    <w:p w14:paraId="175B4292"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Zouboulis</w:t>
      </w:r>
      <w:proofErr w:type="spellEnd"/>
      <w:r w:rsidRPr="00F467AE">
        <w:rPr>
          <w:rFonts w:asciiTheme="minorBidi" w:hAnsiTheme="minorBidi"/>
          <w:sz w:val="20"/>
          <w:szCs w:val="20"/>
        </w:rPr>
        <w:t xml:space="preserve"> CC. The skin as an endocrine organ. </w:t>
      </w:r>
      <w:proofErr w:type="spellStart"/>
      <w:r w:rsidRPr="00F467AE">
        <w:rPr>
          <w:rFonts w:asciiTheme="minorBidi" w:hAnsiTheme="minorBidi"/>
          <w:i/>
          <w:iCs/>
          <w:sz w:val="20"/>
          <w:szCs w:val="20"/>
        </w:rPr>
        <w:t>Dermatoendocrinol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2009;1:250</w:t>
      </w:r>
      <w:proofErr w:type="gramEnd"/>
      <w:r w:rsidRPr="00F467AE">
        <w:rPr>
          <w:rFonts w:asciiTheme="minorBidi" w:hAnsiTheme="minorBidi"/>
          <w:sz w:val="20"/>
          <w:szCs w:val="20"/>
        </w:rPr>
        <w:t>–252. doi:10.4161/derm.1.5.9499</w:t>
      </w:r>
    </w:p>
    <w:p w14:paraId="23158F6B"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Skobowiat</w:t>
      </w:r>
      <w:proofErr w:type="spellEnd"/>
      <w:r w:rsidRPr="00F467AE">
        <w:rPr>
          <w:rFonts w:asciiTheme="minorBidi" w:hAnsiTheme="minorBidi"/>
          <w:sz w:val="20"/>
          <w:szCs w:val="20"/>
        </w:rPr>
        <w:t xml:space="preserve"> C, Dowdy JC, Sayre RM, Tuckey RC, Slominski AT, et al. Skin exposure to UVB rapidly activates systemic neuroendocrine responses. </w:t>
      </w:r>
      <w:proofErr w:type="spellStart"/>
      <w:r w:rsidRPr="00F467AE">
        <w:rPr>
          <w:rFonts w:asciiTheme="minorBidi" w:hAnsiTheme="minorBidi"/>
          <w:i/>
          <w:iCs/>
          <w:sz w:val="20"/>
          <w:szCs w:val="20"/>
        </w:rPr>
        <w:t>Photochem</w:t>
      </w:r>
      <w:proofErr w:type="spellEnd"/>
      <w:r w:rsidRPr="00F467AE">
        <w:rPr>
          <w:rFonts w:asciiTheme="minorBidi" w:hAnsiTheme="minorBidi"/>
          <w:i/>
          <w:iCs/>
          <w:sz w:val="20"/>
          <w:szCs w:val="20"/>
        </w:rPr>
        <w:t xml:space="preserve"> </w:t>
      </w:r>
      <w:proofErr w:type="spellStart"/>
      <w:r w:rsidRPr="00F467AE">
        <w:rPr>
          <w:rFonts w:asciiTheme="minorBidi" w:hAnsiTheme="minorBidi"/>
          <w:i/>
          <w:iCs/>
          <w:sz w:val="20"/>
          <w:szCs w:val="20"/>
        </w:rPr>
        <w:t>Photobiol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2017;93:1008</w:t>
      </w:r>
      <w:proofErr w:type="gramEnd"/>
      <w:r w:rsidRPr="00F467AE">
        <w:rPr>
          <w:rFonts w:asciiTheme="minorBidi" w:hAnsiTheme="minorBidi"/>
          <w:sz w:val="20"/>
          <w:szCs w:val="20"/>
        </w:rPr>
        <w:t>–1015. doi:10.1111/php.12738</w:t>
      </w:r>
    </w:p>
    <w:p w14:paraId="0D2BAE1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RM, Raman C, </w:t>
      </w:r>
      <w:proofErr w:type="spellStart"/>
      <w:r w:rsidRPr="00F467AE">
        <w:rPr>
          <w:rFonts w:asciiTheme="minorBidi" w:hAnsiTheme="minorBidi"/>
          <w:sz w:val="20"/>
          <w:szCs w:val="20"/>
        </w:rPr>
        <w:t>Elmets</w:t>
      </w:r>
      <w:proofErr w:type="spellEnd"/>
      <w:r w:rsidRPr="00F467AE">
        <w:rPr>
          <w:rFonts w:asciiTheme="minorBidi" w:hAnsiTheme="minorBidi"/>
          <w:sz w:val="20"/>
          <w:szCs w:val="20"/>
        </w:rPr>
        <w:t xml:space="preserve"> C, </w:t>
      </w:r>
      <w:proofErr w:type="spellStart"/>
      <w:r w:rsidRPr="00F467AE">
        <w:rPr>
          <w:rFonts w:asciiTheme="minorBidi" w:hAnsiTheme="minorBidi"/>
          <w:sz w:val="20"/>
          <w:szCs w:val="20"/>
        </w:rPr>
        <w:t>Jetten</w:t>
      </w:r>
      <w:proofErr w:type="spellEnd"/>
      <w:r w:rsidRPr="00F467AE">
        <w:rPr>
          <w:rFonts w:asciiTheme="minorBidi" w:hAnsiTheme="minorBidi"/>
          <w:sz w:val="20"/>
          <w:szCs w:val="20"/>
        </w:rPr>
        <w:t xml:space="preserve"> AM, Tuckey RC, Slominski AT, et al. The significance of CYP11A1 expression in skin physiology and pathology. </w:t>
      </w:r>
      <w:r w:rsidRPr="00F467AE">
        <w:rPr>
          <w:rFonts w:asciiTheme="minorBidi" w:hAnsiTheme="minorBidi"/>
          <w:i/>
          <w:iCs/>
          <w:sz w:val="20"/>
          <w:szCs w:val="20"/>
        </w:rPr>
        <w:t>Mol Cell Endocrinol.</w:t>
      </w:r>
      <w:r w:rsidRPr="00F467AE">
        <w:rPr>
          <w:rFonts w:asciiTheme="minorBidi" w:hAnsiTheme="minorBidi"/>
          <w:sz w:val="20"/>
          <w:szCs w:val="20"/>
        </w:rPr>
        <w:t xml:space="preserve"> </w:t>
      </w:r>
      <w:proofErr w:type="gramStart"/>
      <w:r w:rsidRPr="00F467AE">
        <w:rPr>
          <w:rFonts w:asciiTheme="minorBidi" w:hAnsiTheme="minorBidi"/>
          <w:sz w:val="20"/>
          <w:szCs w:val="20"/>
        </w:rPr>
        <w:t>2021;530:111238</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doi:10.1016/j.mce</w:t>
      </w:r>
      <w:proofErr w:type="gramEnd"/>
      <w:r w:rsidRPr="00F467AE">
        <w:rPr>
          <w:rFonts w:asciiTheme="minorBidi" w:hAnsiTheme="minorBidi"/>
          <w:sz w:val="20"/>
          <w:szCs w:val="20"/>
        </w:rPr>
        <w:t>.2021.111238</w:t>
      </w:r>
    </w:p>
    <w:p w14:paraId="5FC1DD33"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Kim TK, Li W, Yi AK, Postlethwaite A, Tuckey RC, et al. Metabolism of vitamin D in human skin. </w:t>
      </w:r>
      <w:r w:rsidRPr="00F467AE">
        <w:rPr>
          <w:rFonts w:asciiTheme="minorBidi" w:hAnsiTheme="minorBidi"/>
          <w:i/>
          <w:iCs/>
          <w:sz w:val="20"/>
          <w:szCs w:val="20"/>
        </w:rPr>
        <w:t>J Invest Dermatol.</w:t>
      </w:r>
      <w:r w:rsidRPr="00F467AE">
        <w:rPr>
          <w:rFonts w:asciiTheme="minorBidi" w:hAnsiTheme="minorBidi"/>
          <w:sz w:val="20"/>
          <w:szCs w:val="20"/>
        </w:rPr>
        <w:t xml:space="preserve"> </w:t>
      </w:r>
      <w:proofErr w:type="gramStart"/>
      <w:r w:rsidRPr="00F467AE">
        <w:rPr>
          <w:rFonts w:asciiTheme="minorBidi" w:hAnsiTheme="minorBidi"/>
          <w:sz w:val="20"/>
          <w:szCs w:val="20"/>
        </w:rPr>
        <w:t>2014;134:1160</w:t>
      </w:r>
      <w:proofErr w:type="gramEnd"/>
      <w:r w:rsidRPr="00F467AE">
        <w:rPr>
          <w:rFonts w:asciiTheme="minorBidi" w:hAnsiTheme="minorBidi"/>
          <w:sz w:val="20"/>
          <w:szCs w:val="20"/>
        </w:rPr>
        <w:t>–1169. doi:10.1038/jid.2013.460</w:t>
      </w:r>
    </w:p>
    <w:p w14:paraId="2B4FE69D"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 </w:t>
      </w:r>
      <w:proofErr w:type="spellStart"/>
      <w:r w:rsidRPr="00F467AE">
        <w:rPr>
          <w:rFonts w:asciiTheme="minorBidi" w:hAnsiTheme="minorBidi"/>
          <w:sz w:val="20"/>
          <w:szCs w:val="20"/>
        </w:rPr>
        <w:t>Semak</w:t>
      </w:r>
      <w:proofErr w:type="spellEnd"/>
      <w:r w:rsidRPr="00F467AE">
        <w:rPr>
          <w:rFonts w:asciiTheme="minorBidi" w:hAnsiTheme="minorBidi"/>
          <w:sz w:val="20"/>
          <w:szCs w:val="20"/>
        </w:rPr>
        <w:t xml:space="preserve"> I, </w:t>
      </w:r>
      <w:proofErr w:type="spellStart"/>
      <w:r w:rsidRPr="00F467AE">
        <w:rPr>
          <w:rFonts w:asciiTheme="minorBidi" w:hAnsiTheme="minorBidi"/>
          <w:sz w:val="20"/>
          <w:szCs w:val="20"/>
        </w:rPr>
        <w:t>Wortsman</w:t>
      </w:r>
      <w:proofErr w:type="spellEnd"/>
      <w:r w:rsidRPr="00F467AE">
        <w:rPr>
          <w:rFonts w:asciiTheme="minorBidi" w:hAnsiTheme="minorBidi"/>
          <w:sz w:val="20"/>
          <w:szCs w:val="20"/>
        </w:rPr>
        <w:t xml:space="preserve"> J, </w:t>
      </w:r>
      <w:proofErr w:type="spellStart"/>
      <w:r w:rsidRPr="00F467AE">
        <w:rPr>
          <w:rFonts w:asciiTheme="minorBidi" w:hAnsiTheme="minorBidi"/>
          <w:sz w:val="20"/>
          <w:szCs w:val="20"/>
        </w:rPr>
        <w:t>Zjawiony</w:t>
      </w:r>
      <w:proofErr w:type="spellEnd"/>
      <w:r w:rsidRPr="00F467AE">
        <w:rPr>
          <w:rFonts w:asciiTheme="minorBidi" w:hAnsiTheme="minorBidi"/>
          <w:sz w:val="20"/>
          <w:szCs w:val="20"/>
        </w:rPr>
        <w:t xml:space="preserve"> J, Li W, </w:t>
      </w:r>
      <w:proofErr w:type="spellStart"/>
      <w:r w:rsidRPr="00F467AE">
        <w:rPr>
          <w:rFonts w:asciiTheme="minorBidi" w:hAnsiTheme="minorBidi"/>
          <w:sz w:val="20"/>
          <w:szCs w:val="20"/>
        </w:rPr>
        <w:t>Zbytek</w:t>
      </w:r>
      <w:proofErr w:type="spellEnd"/>
      <w:r w:rsidRPr="00F467AE">
        <w:rPr>
          <w:rFonts w:asciiTheme="minorBidi" w:hAnsiTheme="minorBidi"/>
          <w:sz w:val="20"/>
          <w:szCs w:val="20"/>
        </w:rPr>
        <w:t xml:space="preserve"> B, et al. An alternative pathway of vitamin D metabolism. </w:t>
      </w:r>
      <w:r w:rsidRPr="00F467AE">
        <w:rPr>
          <w:rFonts w:asciiTheme="minorBidi" w:hAnsiTheme="minorBidi"/>
          <w:i/>
          <w:iCs/>
          <w:sz w:val="20"/>
          <w:szCs w:val="20"/>
        </w:rPr>
        <w:t>FEBS J.</w:t>
      </w:r>
      <w:r w:rsidRPr="00F467AE">
        <w:rPr>
          <w:rFonts w:asciiTheme="minorBidi" w:hAnsiTheme="minorBidi"/>
          <w:sz w:val="20"/>
          <w:szCs w:val="20"/>
        </w:rPr>
        <w:t xml:space="preserve"> </w:t>
      </w:r>
      <w:proofErr w:type="gramStart"/>
      <w:r w:rsidRPr="00F467AE">
        <w:rPr>
          <w:rFonts w:asciiTheme="minorBidi" w:hAnsiTheme="minorBidi"/>
          <w:sz w:val="20"/>
          <w:szCs w:val="20"/>
        </w:rPr>
        <w:t>2006;273:2891</w:t>
      </w:r>
      <w:proofErr w:type="gramEnd"/>
      <w:r w:rsidRPr="00F467AE">
        <w:rPr>
          <w:rFonts w:asciiTheme="minorBidi" w:hAnsiTheme="minorBidi"/>
          <w:sz w:val="20"/>
          <w:szCs w:val="20"/>
        </w:rPr>
        <w:t>–2901. doi:10.1111/j.1742-4658.</w:t>
      </w:r>
      <w:proofErr w:type="gramStart"/>
      <w:r w:rsidRPr="00F467AE">
        <w:rPr>
          <w:rFonts w:asciiTheme="minorBidi" w:hAnsiTheme="minorBidi"/>
          <w:sz w:val="20"/>
          <w:szCs w:val="20"/>
        </w:rPr>
        <w:t>2006.05302.x</w:t>
      </w:r>
      <w:proofErr w:type="gramEnd"/>
    </w:p>
    <w:p w14:paraId="334EDCE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Oak ASW, </w:t>
      </w:r>
      <w:proofErr w:type="spellStart"/>
      <w:r w:rsidRPr="00F467AE">
        <w:rPr>
          <w:rFonts w:asciiTheme="minorBidi" w:hAnsiTheme="minorBidi"/>
          <w:sz w:val="20"/>
          <w:szCs w:val="20"/>
        </w:rPr>
        <w:t>Bocheva</w:t>
      </w:r>
      <w:proofErr w:type="spellEnd"/>
      <w:r w:rsidRPr="00F467AE">
        <w:rPr>
          <w:rFonts w:asciiTheme="minorBidi" w:hAnsiTheme="minorBidi"/>
          <w:sz w:val="20"/>
          <w:szCs w:val="20"/>
        </w:rPr>
        <w:t xml:space="preserve"> G, Kim TK, Brożyna AA, Slominski RM, Slominski AT, et al. </w:t>
      </w:r>
      <w:proofErr w:type="spellStart"/>
      <w:r w:rsidRPr="00F467AE">
        <w:rPr>
          <w:rFonts w:asciiTheme="minorBidi" w:hAnsiTheme="minorBidi"/>
          <w:sz w:val="20"/>
          <w:szCs w:val="20"/>
        </w:rPr>
        <w:t>Noncalcemic</w:t>
      </w:r>
      <w:proofErr w:type="spellEnd"/>
      <w:r w:rsidRPr="00F467AE">
        <w:rPr>
          <w:rFonts w:asciiTheme="minorBidi" w:hAnsiTheme="minorBidi"/>
          <w:sz w:val="20"/>
          <w:szCs w:val="20"/>
        </w:rPr>
        <w:t xml:space="preserve"> vitamin D hydroxyderivatives inhibit human oral squamous cell carcinoma. </w:t>
      </w:r>
      <w:r w:rsidRPr="00F467AE">
        <w:rPr>
          <w:rFonts w:asciiTheme="minorBidi" w:hAnsiTheme="minorBidi"/>
          <w:i/>
          <w:iCs/>
          <w:sz w:val="20"/>
          <w:szCs w:val="20"/>
        </w:rPr>
        <w:t>Anticancer Res.</w:t>
      </w:r>
      <w:r w:rsidRPr="00F467AE">
        <w:rPr>
          <w:rFonts w:asciiTheme="minorBidi" w:hAnsiTheme="minorBidi"/>
          <w:sz w:val="20"/>
          <w:szCs w:val="20"/>
        </w:rPr>
        <w:t xml:space="preserve"> </w:t>
      </w:r>
      <w:proofErr w:type="gramStart"/>
      <w:r w:rsidRPr="00F467AE">
        <w:rPr>
          <w:rFonts w:asciiTheme="minorBidi" w:hAnsiTheme="minorBidi"/>
          <w:sz w:val="20"/>
          <w:szCs w:val="20"/>
        </w:rPr>
        <w:t>2020;40:2467</w:t>
      </w:r>
      <w:proofErr w:type="gramEnd"/>
      <w:r w:rsidRPr="00F467AE">
        <w:rPr>
          <w:rFonts w:asciiTheme="minorBidi" w:hAnsiTheme="minorBidi"/>
          <w:sz w:val="20"/>
          <w:szCs w:val="20"/>
        </w:rPr>
        <w:t>–2474. doi:10.21873/anticanres.14216</w:t>
      </w:r>
    </w:p>
    <w:p w14:paraId="737CF815"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Zhang Y, Luo XY, Wu DH, Xu Y, Wu YZ, Wang H, et al. ROR nuclear receptors: structures, diseases, and drug discovery. </w:t>
      </w:r>
      <w:r w:rsidRPr="00F467AE">
        <w:rPr>
          <w:rFonts w:asciiTheme="minorBidi" w:hAnsiTheme="minorBidi"/>
          <w:i/>
          <w:iCs/>
          <w:sz w:val="20"/>
          <w:szCs w:val="20"/>
        </w:rPr>
        <w:t xml:space="preserve">Acta </w:t>
      </w:r>
      <w:proofErr w:type="spellStart"/>
      <w:r w:rsidRPr="00F467AE">
        <w:rPr>
          <w:rFonts w:asciiTheme="minorBidi" w:hAnsiTheme="minorBidi"/>
          <w:i/>
          <w:iCs/>
          <w:sz w:val="20"/>
          <w:szCs w:val="20"/>
        </w:rPr>
        <w:t>Pharmacol</w:t>
      </w:r>
      <w:proofErr w:type="spellEnd"/>
      <w:r w:rsidRPr="00F467AE">
        <w:rPr>
          <w:rFonts w:asciiTheme="minorBidi" w:hAnsiTheme="minorBidi"/>
          <w:i/>
          <w:iCs/>
          <w:sz w:val="20"/>
          <w:szCs w:val="20"/>
        </w:rPr>
        <w:t xml:space="preserve"> Sin.</w:t>
      </w:r>
      <w:r w:rsidRPr="00F467AE">
        <w:rPr>
          <w:rFonts w:asciiTheme="minorBidi" w:hAnsiTheme="minorBidi"/>
          <w:sz w:val="20"/>
          <w:szCs w:val="20"/>
        </w:rPr>
        <w:t xml:space="preserve"> </w:t>
      </w:r>
      <w:proofErr w:type="gramStart"/>
      <w:r w:rsidRPr="00F467AE">
        <w:rPr>
          <w:rFonts w:asciiTheme="minorBidi" w:hAnsiTheme="minorBidi"/>
          <w:sz w:val="20"/>
          <w:szCs w:val="20"/>
        </w:rPr>
        <w:t>2015;36:71</w:t>
      </w:r>
      <w:proofErr w:type="gramEnd"/>
      <w:r w:rsidRPr="00F467AE">
        <w:rPr>
          <w:rFonts w:asciiTheme="minorBidi" w:hAnsiTheme="minorBidi"/>
          <w:sz w:val="20"/>
          <w:szCs w:val="20"/>
        </w:rPr>
        <w:t>–87. doi:10.1038/aps.2014.120</w:t>
      </w:r>
    </w:p>
    <w:p w14:paraId="1C4634FE"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Kim TK,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w:t>
      </w:r>
      <w:proofErr w:type="spellStart"/>
      <w:r w:rsidRPr="00F467AE">
        <w:rPr>
          <w:rFonts w:asciiTheme="minorBidi" w:hAnsiTheme="minorBidi"/>
          <w:sz w:val="20"/>
          <w:szCs w:val="20"/>
        </w:rPr>
        <w:t>Brożyna</w:t>
      </w:r>
      <w:proofErr w:type="spellEnd"/>
      <w:r w:rsidRPr="00F467AE">
        <w:rPr>
          <w:rFonts w:asciiTheme="minorBidi" w:hAnsiTheme="minorBidi"/>
          <w:sz w:val="20"/>
          <w:szCs w:val="20"/>
        </w:rPr>
        <w:t xml:space="preserve"> AA, </w:t>
      </w:r>
      <w:proofErr w:type="spellStart"/>
      <w:r w:rsidRPr="00F467AE">
        <w:rPr>
          <w:rFonts w:asciiTheme="minorBidi" w:hAnsiTheme="minorBidi"/>
          <w:sz w:val="20"/>
          <w:szCs w:val="20"/>
        </w:rPr>
        <w:t>Żmijewski</w:t>
      </w:r>
      <w:proofErr w:type="spellEnd"/>
      <w:r w:rsidRPr="00F467AE">
        <w:rPr>
          <w:rFonts w:asciiTheme="minorBidi" w:hAnsiTheme="minorBidi"/>
          <w:sz w:val="20"/>
          <w:szCs w:val="20"/>
        </w:rPr>
        <w:t xml:space="preserve"> MA, Xu H, et al. Biological effects of CYP11A1-derived vitamin D and lumisterol metabolites. </w:t>
      </w:r>
      <w:r w:rsidRPr="00F467AE">
        <w:rPr>
          <w:rFonts w:asciiTheme="minorBidi" w:hAnsiTheme="minorBidi"/>
          <w:i/>
          <w:iCs/>
          <w:sz w:val="20"/>
          <w:szCs w:val="20"/>
        </w:rPr>
        <w:t>J Invest Dermatol.</w:t>
      </w:r>
      <w:r w:rsidRPr="00F467AE">
        <w:rPr>
          <w:rFonts w:asciiTheme="minorBidi" w:hAnsiTheme="minorBidi"/>
          <w:sz w:val="20"/>
          <w:szCs w:val="20"/>
        </w:rPr>
        <w:t xml:space="preserve"> </w:t>
      </w:r>
      <w:proofErr w:type="gramStart"/>
      <w:r w:rsidRPr="00F467AE">
        <w:rPr>
          <w:rFonts w:asciiTheme="minorBidi" w:hAnsiTheme="minorBidi"/>
          <w:sz w:val="20"/>
          <w:szCs w:val="20"/>
        </w:rPr>
        <w:t>2024;144:2145</w:t>
      </w:r>
      <w:proofErr w:type="gramEnd"/>
      <w:r w:rsidRPr="00F467AE">
        <w:rPr>
          <w:rFonts w:asciiTheme="minorBidi" w:hAnsiTheme="minorBidi"/>
          <w:sz w:val="20"/>
          <w:szCs w:val="20"/>
        </w:rPr>
        <w:t xml:space="preserve">–2161. </w:t>
      </w:r>
      <w:proofErr w:type="gramStart"/>
      <w:r w:rsidRPr="00F467AE">
        <w:rPr>
          <w:rFonts w:asciiTheme="minorBidi" w:hAnsiTheme="minorBidi"/>
          <w:sz w:val="20"/>
          <w:szCs w:val="20"/>
        </w:rPr>
        <w:t>doi:10.1016/j.jid</w:t>
      </w:r>
      <w:proofErr w:type="gramEnd"/>
      <w:r w:rsidRPr="00F467AE">
        <w:rPr>
          <w:rFonts w:asciiTheme="minorBidi" w:hAnsiTheme="minorBidi"/>
          <w:sz w:val="20"/>
          <w:szCs w:val="20"/>
        </w:rPr>
        <w:t>.2024.04.022</w:t>
      </w:r>
    </w:p>
    <w:p w14:paraId="4C6BB563"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Salminen A. Aryl hydrocarbon receptor impairs circadian regulation. </w:t>
      </w:r>
      <w:r w:rsidRPr="00F467AE">
        <w:rPr>
          <w:rFonts w:asciiTheme="minorBidi" w:hAnsiTheme="minorBidi"/>
          <w:i/>
          <w:iCs/>
          <w:sz w:val="20"/>
          <w:szCs w:val="20"/>
        </w:rPr>
        <w:t>Ageing Res Rev.</w:t>
      </w:r>
      <w:r w:rsidRPr="00F467AE">
        <w:rPr>
          <w:rFonts w:asciiTheme="minorBidi" w:hAnsiTheme="minorBidi"/>
          <w:sz w:val="20"/>
          <w:szCs w:val="20"/>
        </w:rPr>
        <w:t xml:space="preserve"> </w:t>
      </w:r>
      <w:proofErr w:type="gramStart"/>
      <w:r w:rsidRPr="00F467AE">
        <w:rPr>
          <w:rFonts w:asciiTheme="minorBidi" w:hAnsiTheme="minorBidi"/>
          <w:sz w:val="20"/>
          <w:szCs w:val="20"/>
        </w:rPr>
        <w:t>2023;87:101928</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doi:10.1016/j.arr</w:t>
      </w:r>
      <w:proofErr w:type="gramEnd"/>
      <w:r w:rsidRPr="00F467AE">
        <w:rPr>
          <w:rFonts w:asciiTheme="minorBidi" w:hAnsiTheme="minorBidi"/>
          <w:sz w:val="20"/>
          <w:szCs w:val="20"/>
        </w:rPr>
        <w:t>.2023.101928</w:t>
      </w:r>
    </w:p>
    <w:p w14:paraId="119856B0" w14:textId="77777777" w:rsidR="007D51D2" w:rsidRPr="007D51D2" w:rsidRDefault="007D51D2" w:rsidP="007D51D2">
      <w:pPr>
        <w:numPr>
          <w:ilvl w:val="0"/>
          <w:numId w:val="16"/>
        </w:numPr>
        <w:rPr>
          <w:rFonts w:asciiTheme="minorBidi" w:hAnsiTheme="minorBidi"/>
          <w:sz w:val="20"/>
          <w:szCs w:val="20"/>
          <w:highlight w:val="yellow"/>
        </w:rPr>
      </w:pPr>
      <w:r w:rsidRPr="007D51D2">
        <w:rPr>
          <w:rFonts w:asciiTheme="minorBidi" w:hAnsiTheme="minorBidi"/>
          <w:b/>
          <w:bCs/>
          <w:sz w:val="20"/>
          <w:szCs w:val="20"/>
          <w:highlight w:val="yellow"/>
        </w:rPr>
        <w:t>Capone A, Volpe E.</w:t>
      </w:r>
      <w:r w:rsidRPr="007D51D2">
        <w:rPr>
          <w:rFonts w:asciiTheme="minorBidi" w:hAnsiTheme="minorBidi"/>
          <w:sz w:val="20"/>
          <w:szCs w:val="20"/>
          <w:highlight w:val="yellow"/>
        </w:rPr>
        <w:t xml:space="preserve"> Transcriptional regulators of T helper 17 cell differentiation. </w:t>
      </w:r>
      <w:r w:rsidRPr="007D51D2">
        <w:rPr>
          <w:rFonts w:asciiTheme="minorBidi" w:hAnsiTheme="minorBidi"/>
          <w:i/>
          <w:iCs/>
          <w:sz w:val="20"/>
          <w:szCs w:val="20"/>
          <w:highlight w:val="yellow"/>
        </w:rPr>
        <w:t>Front Immunol.</w:t>
      </w:r>
      <w:r w:rsidRPr="007D51D2">
        <w:rPr>
          <w:rFonts w:asciiTheme="minorBidi" w:hAnsiTheme="minorBidi"/>
          <w:sz w:val="20"/>
          <w:szCs w:val="20"/>
          <w:highlight w:val="yellow"/>
        </w:rPr>
        <w:t xml:space="preserve"> </w:t>
      </w:r>
      <w:proofErr w:type="gramStart"/>
      <w:r w:rsidRPr="007D51D2">
        <w:rPr>
          <w:rFonts w:asciiTheme="minorBidi" w:hAnsiTheme="minorBidi"/>
          <w:sz w:val="20"/>
          <w:szCs w:val="20"/>
          <w:highlight w:val="yellow"/>
        </w:rPr>
        <w:t>2020;11:348</w:t>
      </w:r>
      <w:proofErr w:type="gramEnd"/>
      <w:r w:rsidRPr="007D51D2">
        <w:rPr>
          <w:rFonts w:asciiTheme="minorBidi" w:hAnsiTheme="minorBidi"/>
          <w:sz w:val="20"/>
          <w:szCs w:val="20"/>
          <w:highlight w:val="yellow"/>
        </w:rPr>
        <w:t>. doi:10.3389/fimmu.2020.00348.</w:t>
      </w:r>
    </w:p>
    <w:p w14:paraId="7ABD525E" w14:textId="77777777" w:rsidR="007D51D2" w:rsidRPr="007D51D2" w:rsidRDefault="007D51D2" w:rsidP="007D51D2">
      <w:pPr>
        <w:numPr>
          <w:ilvl w:val="0"/>
          <w:numId w:val="16"/>
        </w:numPr>
        <w:rPr>
          <w:rFonts w:asciiTheme="minorBidi" w:hAnsiTheme="minorBidi"/>
          <w:sz w:val="20"/>
          <w:szCs w:val="20"/>
          <w:highlight w:val="yellow"/>
        </w:rPr>
      </w:pPr>
      <w:r w:rsidRPr="00C322DA">
        <w:rPr>
          <w:rFonts w:asciiTheme="minorBidi" w:hAnsiTheme="minorBidi"/>
          <w:b/>
          <w:bCs/>
          <w:sz w:val="20"/>
          <w:szCs w:val="20"/>
          <w:highlight w:val="yellow"/>
          <w:lang w:val="nl-BE"/>
        </w:rPr>
        <w:t>Adlanmerini M, Carpenter BJ, Remsberg JR, Aubert Y, Peed LC, Richter HJ, et al.</w:t>
      </w:r>
      <w:r w:rsidRPr="00C322DA">
        <w:rPr>
          <w:rFonts w:asciiTheme="minorBidi" w:hAnsiTheme="minorBidi"/>
          <w:sz w:val="20"/>
          <w:szCs w:val="20"/>
          <w:highlight w:val="yellow"/>
          <w:lang w:val="nl-BE"/>
        </w:rPr>
        <w:t xml:space="preserve"> </w:t>
      </w:r>
      <w:r w:rsidRPr="007D51D2">
        <w:rPr>
          <w:rFonts w:asciiTheme="minorBidi" w:hAnsiTheme="minorBidi"/>
          <w:sz w:val="20"/>
          <w:szCs w:val="20"/>
          <w:highlight w:val="yellow"/>
        </w:rPr>
        <w:t xml:space="preserve">The REV-ERB nuclear receptors: Timekeepers for the core circadian clock and regulators of physiology. </w:t>
      </w:r>
      <w:r w:rsidRPr="007D51D2">
        <w:rPr>
          <w:rFonts w:asciiTheme="minorBidi" w:hAnsiTheme="minorBidi"/>
          <w:i/>
          <w:iCs/>
          <w:sz w:val="20"/>
          <w:szCs w:val="20"/>
          <w:highlight w:val="yellow"/>
        </w:rPr>
        <w:t>J Mol Biol.</w:t>
      </w:r>
      <w:r w:rsidRPr="007D51D2">
        <w:rPr>
          <w:rFonts w:asciiTheme="minorBidi" w:hAnsiTheme="minorBidi"/>
          <w:sz w:val="20"/>
          <w:szCs w:val="20"/>
          <w:highlight w:val="yellow"/>
        </w:rPr>
        <w:t xml:space="preserve"> 2023;435(14):167888. </w:t>
      </w:r>
      <w:proofErr w:type="gramStart"/>
      <w:r w:rsidRPr="007D51D2">
        <w:rPr>
          <w:rFonts w:asciiTheme="minorBidi" w:hAnsiTheme="minorBidi"/>
          <w:sz w:val="20"/>
          <w:szCs w:val="20"/>
          <w:highlight w:val="yellow"/>
        </w:rPr>
        <w:t>doi:10.1016/j.jmb</w:t>
      </w:r>
      <w:proofErr w:type="gramEnd"/>
      <w:r w:rsidRPr="007D51D2">
        <w:rPr>
          <w:rFonts w:asciiTheme="minorBidi" w:hAnsiTheme="minorBidi"/>
          <w:sz w:val="20"/>
          <w:szCs w:val="20"/>
          <w:highlight w:val="yellow"/>
        </w:rPr>
        <w:t>.2023.167888.</w:t>
      </w:r>
    </w:p>
    <w:p w14:paraId="0AD68742" w14:textId="6C6BB2F5" w:rsidR="007C1E11" w:rsidRPr="00F467AE" w:rsidRDefault="007C1E11" w:rsidP="007D51D2">
      <w:pPr>
        <w:numPr>
          <w:ilvl w:val="0"/>
          <w:numId w:val="16"/>
        </w:numPr>
        <w:rPr>
          <w:rFonts w:asciiTheme="minorBidi" w:hAnsiTheme="minorBidi"/>
          <w:sz w:val="20"/>
          <w:szCs w:val="20"/>
        </w:rPr>
      </w:pPr>
      <w:r w:rsidRPr="00C322DA">
        <w:rPr>
          <w:rFonts w:asciiTheme="minorBidi" w:hAnsiTheme="minorBidi"/>
          <w:sz w:val="20"/>
          <w:szCs w:val="20"/>
          <w:lang w:val="nl-BE"/>
        </w:rPr>
        <w:lastRenderedPageBreak/>
        <w:t xml:space="preserve">Liu C, Li S, Liu T, Borjigin J, Lin JD, et al. </w:t>
      </w:r>
      <w:r w:rsidRPr="00F467AE">
        <w:rPr>
          <w:rFonts w:asciiTheme="minorBidi" w:hAnsiTheme="minorBidi"/>
          <w:sz w:val="20"/>
          <w:szCs w:val="20"/>
        </w:rPr>
        <w:t xml:space="preserve">PGC-1α integrates the mammalian clock and energy metabolism. </w:t>
      </w:r>
      <w:r w:rsidRPr="00F467AE">
        <w:rPr>
          <w:rFonts w:asciiTheme="minorBidi" w:hAnsiTheme="minorBidi"/>
          <w:i/>
          <w:iCs/>
          <w:sz w:val="20"/>
          <w:szCs w:val="20"/>
        </w:rPr>
        <w:t>Nature.</w:t>
      </w:r>
      <w:r w:rsidRPr="00F467AE">
        <w:rPr>
          <w:rFonts w:asciiTheme="minorBidi" w:hAnsiTheme="minorBidi"/>
          <w:sz w:val="20"/>
          <w:szCs w:val="20"/>
        </w:rPr>
        <w:t xml:space="preserve"> </w:t>
      </w:r>
      <w:proofErr w:type="gramStart"/>
      <w:r w:rsidRPr="00F467AE">
        <w:rPr>
          <w:rFonts w:asciiTheme="minorBidi" w:hAnsiTheme="minorBidi"/>
          <w:sz w:val="20"/>
          <w:szCs w:val="20"/>
        </w:rPr>
        <w:t>2007;447:477</w:t>
      </w:r>
      <w:proofErr w:type="gramEnd"/>
      <w:r w:rsidRPr="00F467AE">
        <w:rPr>
          <w:rFonts w:asciiTheme="minorBidi" w:hAnsiTheme="minorBidi"/>
          <w:sz w:val="20"/>
          <w:szCs w:val="20"/>
        </w:rPr>
        <w:t>–481. doi:10.1038/nature05767</w:t>
      </w:r>
    </w:p>
    <w:p w14:paraId="630F9F9A"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Maissan</w:t>
      </w:r>
      <w:proofErr w:type="spellEnd"/>
      <w:r w:rsidRPr="00F467AE">
        <w:rPr>
          <w:rFonts w:asciiTheme="minorBidi" w:hAnsiTheme="minorBidi"/>
          <w:sz w:val="20"/>
          <w:szCs w:val="20"/>
        </w:rPr>
        <w:t xml:space="preserve"> P, Carlberg C. Circadian regulation of vitamin D target genes. </w:t>
      </w:r>
      <w:r w:rsidRPr="00F467AE">
        <w:rPr>
          <w:rFonts w:asciiTheme="minorBidi" w:hAnsiTheme="minorBidi"/>
          <w:i/>
          <w:iCs/>
          <w:sz w:val="20"/>
          <w:szCs w:val="20"/>
        </w:rPr>
        <w:t>Nutrients.</w:t>
      </w:r>
      <w:r w:rsidRPr="00F467AE">
        <w:rPr>
          <w:rFonts w:asciiTheme="minorBidi" w:hAnsiTheme="minorBidi"/>
          <w:sz w:val="20"/>
          <w:szCs w:val="20"/>
        </w:rPr>
        <w:t xml:space="preserve"> </w:t>
      </w:r>
      <w:proofErr w:type="gramStart"/>
      <w:r w:rsidRPr="00F467AE">
        <w:rPr>
          <w:rFonts w:asciiTheme="minorBidi" w:hAnsiTheme="minorBidi"/>
          <w:sz w:val="20"/>
          <w:szCs w:val="20"/>
        </w:rPr>
        <w:t>2025;17:1204</w:t>
      </w:r>
      <w:proofErr w:type="gramEnd"/>
      <w:r w:rsidRPr="00F467AE">
        <w:rPr>
          <w:rFonts w:asciiTheme="minorBidi" w:hAnsiTheme="minorBidi"/>
          <w:sz w:val="20"/>
          <w:szCs w:val="20"/>
        </w:rPr>
        <w:t>. doi:10.3390/nu17071204</w:t>
      </w:r>
    </w:p>
    <w:p w14:paraId="696AD2BA" w14:textId="77777777" w:rsidR="007C1E11" w:rsidRPr="00C322DA" w:rsidRDefault="007C1E11" w:rsidP="007C1E11">
      <w:pPr>
        <w:numPr>
          <w:ilvl w:val="0"/>
          <w:numId w:val="16"/>
        </w:numPr>
        <w:rPr>
          <w:rFonts w:asciiTheme="minorBidi" w:hAnsiTheme="minorBidi"/>
          <w:sz w:val="20"/>
          <w:szCs w:val="20"/>
          <w:lang w:val="nl-BE"/>
        </w:rPr>
      </w:pPr>
      <w:r w:rsidRPr="00F467AE">
        <w:rPr>
          <w:rFonts w:asciiTheme="minorBidi" w:hAnsiTheme="minorBidi"/>
          <w:sz w:val="20"/>
          <w:szCs w:val="20"/>
        </w:rPr>
        <w:t xml:space="preserve">Follett BK. Seasonal changes in the neuroendocrine system. </w:t>
      </w:r>
      <w:r w:rsidRPr="00C322DA">
        <w:rPr>
          <w:rFonts w:asciiTheme="minorBidi" w:hAnsiTheme="minorBidi"/>
          <w:i/>
          <w:iCs/>
          <w:sz w:val="20"/>
          <w:szCs w:val="20"/>
          <w:lang w:val="nl-BE"/>
        </w:rPr>
        <w:t>Front Neuroendocrinol.</w:t>
      </w:r>
      <w:r w:rsidRPr="00C322DA">
        <w:rPr>
          <w:rFonts w:asciiTheme="minorBidi" w:hAnsiTheme="minorBidi"/>
          <w:sz w:val="20"/>
          <w:szCs w:val="20"/>
          <w:lang w:val="nl-BE"/>
        </w:rPr>
        <w:t xml:space="preserve"> 2015;37:3–12. doi:10.1016/j.yfrne.2014.11.003</w:t>
      </w:r>
    </w:p>
    <w:p w14:paraId="4223061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Carlberg C. Molecular endocrinology of vitamin D on the epigenome level. </w:t>
      </w:r>
      <w:r w:rsidRPr="00F467AE">
        <w:rPr>
          <w:rFonts w:asciiTheme="minorBidi" w:hAnsiTheme="minorBidi"/>
          <w:i/>
          <w:iCs/>
          <w:sz w:val="20"/>
          <w:szCs w:val="20"/>
        </w:rPr>
        <w:t>Mol Cell Endocrinol.</w:t>
      </w:r>
      <w:r w:rsidRPr="00F467AE">
        <w:rPr>
          <w:rFonts w:asciiTheme="minorBidi" w:hAnsiTheme="minorBidi"/>
          <w:sz w:val="20"/>
          <w:szCs w:val="20"/>
        </w:rPr>
        <w:t xml:space="preserve"> </w:t>
      </w:r>
      <w:proofErr w:type="gramStart"/>
      <w:r w:rsidRPr="00F467AE">
        <w:rPr>
          <w:rFonts w:asciiTheme="minorBidi" w:hAnsiTheme="minorBidi"/>
          <w:sz w:val="20"/>
          <w:szCs w:val="20"/>
        </w:rPr>
        <w:t>2017;453:14</w:t>
      </w:r>
      <w:proofErr w:type="gramEnd"/>
      <w:r w:rsidRPr="00F467AE">
        <w:rPr>
          <w:rFonts w:asciiTheme="minorBidi" w:hAnsiTheme="minorBidi"/>
          <w:sz w:val="20"/>
          <w:szCs w:val="20"/>
        </w:rPr>
        <w:t xml:space="preserve">–21. </w:t>
      </w:r>
      <w:proofErr w:type="gramStart"/>
      <w:r w:rsidRPr="00F467AE">
        <w:rPr>
          <w:rFonts w:asciiTheme="minorBidi" w:hAnsiTheme="minorBidi"/>
          <w:sz w:val="20"/>
          <w:szCs w:val="20"/>
        </w:rPr>
        <w:t>doi:10.1016/j.mce</w:t>
      </w:r>
      <w:proofErr w:type="gramEnd"/>
      <w:r w:rsidRPr="00F467AE">
        <w:rPr>
          <w:rFonts w:asciiTheme="minorBidi" w:hAnsiTheme="minorBidi"/>
          <w:sz w:val="20"/>
          <w:szCs w:val="20"/>
        </w:rPr>
        <w:t>.2017.03.016</w:t>
      </w:r>
    </w:p>
    <w:p w14:paraId="54AE2029"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Tsang AH, Astiz M, Friedrichs M, Oster H, et al. </w:t>
      </w:r>
      <w:r w:rsidRPr="00F467AE">
        <w:rPr>
          <w:rFonts w:asciiTheme="minorBidi" w:hAnsiTheme="minorBidi"/>
          <w:sz w:val="20"/>
          <w:szCs w:val="20"/>
        </w:rPr>
        <w:t xml:space="preserve">Endocrine regulation of circadian physiology. </w:t>
      </w:r>
      <w:r w:rsidRPr="00F467AE">
        <w:rPr>
          <w:rFonts w:asciiTheme="minorBidi" w:hAnsiTheme="minorBidi"/>
          <w:i/>
          <w:iCs/>
          <w:sz w:val="20"/>
          <w:szCs w:val="20"/>
        </w:rPr>
        <w:t>J Endocrinol.</w:t>
      </w:r>
      <w:r w:rsidRPr="00F467AE">
        <w:rPr>
          <w:rFonts w:asciiTheme="minorBidi" w:hAnsiTheme="minorBidi"/>
          <w:sz w:val="20"/>
          <w:szCs w:val="20"/>
        </w:rPr>
        <w:t xml:space="preserve"> 2016;</w:t>
      </w:r>
      <w:proofErr w:type="gramStart"/>
      <w:r w:rsidRPr="00F467AE">
        <w:rPr>
          <w:rFonts w:asciiTheme="minorBidi" w:hAnsiTheme="minorBidi"/>
          <w:sz w:val="20"/>
          <w:szCs w:val="20"/>
        </w:rPr>
        <w:t>230:R</w:t>
      </w:r>
      <w:proofErr w:type="gramEnd"/>
      <w:r w:rsidRPr="00F467AE">
        <w:rPr>
          <w:rFonts w:asciiTheme="minorBidi" w:hAnsiTheme="minorBidi"/>
          <w:sz w:val="20"/>
          <w:szCs w:val="20"/>
        </w:rPr>
        <w:t>1–R11. doi:10.1530/JOE-16-0051</w:t>
      </w:r>
    </w:p>
    <w:p w14:paraId="3714A361"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Page MJ, McKenzie JE, Bossuyt PM, Boutron I, Hoffmann TC, Mulrow CD, et al. </w:t>
      </w:r>
      <w:r w:rsidRPr="00F467AE">
        <w:rPr>
          <w:rFonts w:asciiTheme="minorBidi" w:hAnsiTheme="minorBidi"/>
          <w:sz w:val="20"/>
          <w:szCs w:val="20"/>
        </w:rPr>
        <w:t xml:space="preserve">The PRISMA 2020 statement. </w:t>
      </w:r>
      <w:r w:rsidRPr="00F467AE">
        <w:rPr>
          <w:rFonts w:asciiTheme="minorBidi" w:hAnsiTheme="minorBidi"/>
          <w:i/>
          <w:iCs/>
          <w:sz w:val="20"/>
          <w:szCs w:val="20"/>
        </w:rPr>
        <w:t>BMJ.</w:t>
      </w:r>
      <w:r w:rsidRPr="00F467AE">
        <w:rPr>
          <w:rFonts w:asciiTheme="minorBidi" w:hAnsiTheme="minorBidi"/>
          <w:sz w:val="20"/>
          <w:szCs w:val="20"/>
        </w:rPr>
        <w:t xml:space="preserve"> 2021;</w:t>
      </w:r>
      <w:proofErr w:type="gramStart"/>
      <w:r w:rsidRPr="00F467AE">
        <w:rPr>
          <w:rFonts w:asciiTheme="minorBidi" w:hAnsiTheme="minorBidi"/>
          <w:sz w:val="20"/>
          <w:szCs w:val="20"/>
        </w:rPr>
        <w:t>372:n</w:t>
      </w:r>
      <w:proofErr w:type="gramEnd"/>
      <w:r w:rsidRPr="00F467AE">
        <w:rPr>
          <w:rFonts w:asciiTheme="minorBidi" w:hAnsiTheme="minorBidi"/>
          <w:sz w:val="20"/>
          <w:szCs w:val="20"/>
        </w:rPr>
        <w:t>160. doi:10.1136/</w:t>
      </w:r>
      <w:proofErr w:type="gramStart"/>
      <w:r w:rsidRPr="00F467AE">
        <w:rPr>
          <w:rFonts w:asciiTheme="minorBidi" w:hAnsiTheme="minorBidi"/>
          <w:sz w:val="20"/>
          <w:szCs w:val="20"/>
        </w:rPr>
        <w:t>bmj.n</w:t>
      </w:r>
      <w:proofErr w:type="gramEnd"/>
      <w:r w:rsidRPr="00F467AE">
        <w:rPr>
          <w:rFonts w:asciiTheme="minorBidi" w:hAnsiTheme="minorBidi"/>
          <w:sz w:val="20"/>
          <w:szCs w:val="20"/>
        </w:rPr>
        <w:t>160</w:t>
      </w:r>
    </w:p>
    <w:p w14:paraId="2DCC9BF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Whiting P, Savović J, Higgins JPT, Caldwell DM, Reeves BC, Shea B, et al. ROBIS: A new tool to assess risk of bias in systematic reviews. </w:t>
      </w:r>
      <w:r w:rsidRPr="00F467AE">
        <w:rPr>
          <w:rFonts w:asciiTheme="minorBidi" w:hAnsiTheme="minorBidi"/>
          <w:i/>
          <w:iCs/>
          <w:sz w:val="20"/>
          <w:szCs w:val="20"/>
        </w:rPr>
        <w:t>J Clin Epidemiol.</w:t>
      </w:r>
      <w:r w:rsidRPr="00F467AE">
        <w:rPr>
          <w:rFonts w:asciiTheme="minorBidi" w:hAnsiTheme="minorBidi"/>
          <w:sz w:val="20"/>
          <w:szCs w:val="20"/>
        </w:rPr>
        <w:t xml:space="preserve"> </w:t>
      </w:r>
      <w:proofErr w:type="gramStart"/>
      <w:r w:rsidRPr="00F467AE">
        <w:rPr>
          <w:rFonts w:asciiTheme="minorBidi" w:hAnsiTheme="minorBidi"/>
          <w:sz w:val="20"/>
          <w:szCs w:val="20"/>
        </w:rPr>
        <w:t>2016;69:225</w:t>
      </w:r>
      <w:proofErr w:type="gramEnd"/>
      <w:r w:rsidRPr="00F467AE">
        <w:rPr>
          <w:rFonts w:asciiTheme="minorBidi" w:hAnsiTheme="minorBidi"/>
          <w:sz w:val="20"/>
          <w:szCs w:val="20"/>
        </w:rPr>
        <w:t xml:space="preserve">–234. </w:t>
      </w:r>
      <w:proofErr w:type="gramStart"/>
      <w:r w:rsidRPr="00F467AE">
        <w:rPr>
          <w:rFonts w:asciiTheme="minorBidi" w:hAnsiTheme="minorBidi"/>
          <w:sz w:val="20"/>
          <w:szCs w:val="20"/>
        </w:rPr>
        <w:t>doi:10.1016/j.jclinepi</w:t>
      </w:r>
      <w:proofErr w:type="gramEnd"/>
      <w:r w:rsidRPr="00F467AE">
        <w:rPr>
          <w:rFonts w:asciiTheme="minorBidi" w:hAnsiTheme="minorBidi"/>
          <w:sz w:val="20"/>
          <w:szCs w:val="20"/>
        </w:rPr>
        <w:t>.2015.06.005</w:t>
      </w:r>
    </w:p>
    <w:p w14:paraId="1D879FB5"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Sterne JAC, Savović J, Page MJ, Elbers RG, </w:t>
      </w:r>
      <w:proofErr w:type="spellStart"/>
      <w:r w:rsidRPr="00F467AE">
        <w:rPr>
          <w:rFonts w:asciiTheme="minorBidi" w:hAnsiTheme="minorBidi"/>
          <w:sz w:val="20"/>
          <w:szCs w:val="20"/>
        </w:rPr>
        <w:t>Blencowe</w:t>
      </w:r>
      <w:proofErr w:type="spellEnd"/>
      <w:r w:rsidRPr="00F467AE">
        <w:rPr>
          <w:rFonts w:asciiTheme="minorBidi" w:hAnsiTheme="minorBidi"/>
          <w:sz w:val="20"/>
          <w:szCs w:val="20"/>
        </w:rPr>
        <w:t xml:space="preserve"> NS, </w:t>
      </w:r>
      <w:proofErr w:type="spellStart"/>
      <w:r w:rsidRPr="00F467AE">
        <w:rPr>
          <w:rFonts w:asciiTheme="minorBidi" w:hAnsiTheme="minorBidi"/>
          <w:sz w:val="20"/>
          <w:szCs w:val="20"/>
        </w:rPr>
        <w:t>Boutron</w:t>
      </w:r>
      <w:proofErr w:type="spellEnd"/>
      <w:r w:rsidRPr="00F467AE">
        <w:rPr>
          <w:rFonts w:asciiTheme="minorBidi" w:hAnsiTheme="minorBidi"/>
          <w:sz w:val="20"/>
          <w:szCs w:val="20"/>
        </w:rPr>
        <w:t xml:space="preserve"> I, et al. RoB 2: a revised tool for assessing risk of bias in randomized trials. </w:t>
      </w:r>
      <w:r w:rsidRPr="00F467AE">
        <w:rPr>
          <w:rFonts w:asciiTheme="minorBidi" w:hAnsiTheme="minorBidi"/>
          <w:i/>
          <w:iCs/>
          <w:sz w:val="20"/>
          <w:szCs w:val="20"/>
        </w:rPr>
        <w:t>BMJ.</w:t>
      </w:r>
      <w:r w:rsidRPr="00F467AE">
        <w:rPr>
          <w:rFonts w:asciiTheme="minorBidi" w:hAnsiTheme="minorBidi"/>
          <w:sz w:val="20"/>
          <w:szCs w:val="20"/>
        </w:rPr>
        <w:t xml:space="preserve"> 2019;</w:t>
      </w:r>
      <w:proofErr w:type="gramStart"/>
      <w:r w:rsidRPr="00F467AE">
        <w:rPr>
          <w:rFonts w:asciiTheme="minorBidi" w:hAnsiTheme="minorBidi"/>
          <w:sz w:val="20"/>
          <w:szCs w:val="20"/>
        </w:rPr>
        <w:t>366:l</w:t>
      </w:r>
      <w:proofErr w:type="gramEnd"/>
      <w:r w:rsidRPr="00F467AE">
        <w:rPr>
          <w:rFonts w:asciiTheme="minorBidi" w:hAnsiTheme="minorBidi"/>
          <w:sz w:val="20"/>
          <w:szCs w:val="20"/>
        </w:rPr>
        <w:t>4898. doi:10.1136/</w:t>
      </w:r>
      <w:proofErr w:type="gramStart"/>
      <w:r w:rsidRPr="00F467AE">
        <w:rPr>
          <w:rFonts w:asciiTheme="minorBidi" w:hAnsiTheme="minorBidi"/>
          <w:sz w:val="20"/>
          <w:szCs w:val="20"/>
        </w:rPr>
        <w:t>bmj.l</w:t>
      </w:r>
      <w:proofErr w:type="gramEnd"/>
      <w:r w:rsidRPr="00F467AE">
        <w:rPr>
          <w:rFonts w:asciiTheme="minorBidi" w:hAnsiTheme="minorBidi"/>
          <w:sz w:val="20"/>
          <w:szCs w:val="20"/>
        </w:rPr>
        <w:t>4898</w:t>
      </w:r>
    </w:p>
    <w:p w14:paraId="7706A1D7"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Yu G, Wang LG, Han Y, He QY, et al. </w:t>
      </w:r>
      <w:proofErr w:type="spellStart"/>
      <w:r w:rsidRPr="00F467AE">
        <w:rPr>
          <w:rFonts w:asciiTheme="minorBidi" w:hAnsiTheme="minorBidi"/>
          <w:sz w:val="20"/>
          <w:szCs w:val="20"/>
        </w:rPr>
        <w:t>clusterProfiler</w:t>
      </w:r>
      <w:proofErr w:type="spellEnd"/>
      <w:r w:rsidRPr="00F467AE">
        <w:rPr>
          <w:rFonts w:asciiTheme="minorBidi" w:hAnsiTheme="minorBidi"/>
          <w:sz w:val="20"/>
          <w:szCs w:val="20"/>
        </w:rPr>
        <w:t xml:space="preserve">: an R package for biological theme comparison. </w:t>
      </w:r>
      <w:r w:rsidRPr="00F467AE">
        <w:rPr>
          <w:rFonts w:asciiTheme="minorBidi" w:hAnsiTheme="minorBidi"/>
          <w:i/>
          <w:iCs/>
          <w:sz w:val="20"/>
          <w:szCs w:val="20"/>
        </w:rPr>
        <w:t>OMICS.</w:t>
      </w:r>
      <w:r w:rsidRPr="00F467AE">
        <w:rPr>
          <w:rFonts w:asciiTheme="minorBidi" w:hAnsiTheme="minorBidi"/>
          <w:sz w:val="20"/>
          <w:szCs w:val="20"/>
        </w:rPr>
        <w:t xml:space="preserve"> </w:t>
      </w:r>
      <w:proofErr w:type="gramStart"/>
      <w:r w:rsidRPr="00F467AE">
        <w:rPr>
          <w:rFonts w:asciiTheme="minorBidi" w:hAnsiTheme="minorBidi"/>
          <w:sz w:val="20"/>
          <w:szCs w:val="20"/>
        </w:rPr>
        <w:t>2012;16:284</w:t>
      </w:r>
      <w:proofErr w:type="gramEnd"/>
      <w:r w:rsidRPr="00F467AE">
        <w:rPr>
          <w:rFonts w:asciiTheme="minorBidi" w:hAnsiTheme="minorBidi"/>
          <w:sz w:val="20"/>
          <w:szCs w:val="20"/>
        </w:rPr>
        <w:t>–287. doi:10.1089/omi.2011.0118</w:t>
      </w:r>
    </w:p>
    <w:p w14:paraId="547BB30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Chin CH, Chen SH, Wu HH, Ho CW, Ko MT, Lin CY, et al. cytoHubba. </w:t>
      </w:r>
      <w:r w:rsidRPr="00F467AE">
        <w:rPr>
          <w:rFonts w:asciiTheme="minorBidi" w:hAnsiTheme="minorBidi"/>
          <w:i/>
          <w:iCs/>
          <w:sz w:val="20"/>
          <w:szCs w:val="20"/>
        </w:rPr>
        <w:t>BMC Syst Biol.</w:t>
      </w:r>
      <w:r w:rsidRPr="00F467AE">
        <w:rPr>
          <w:rFonts w:asciiTheme="minorBidi" w:hAnsiTheme="minorBidi"/>
          <w:sz w:val="20"/>
          <w:szCs w:val="20"/>
        </w:rPr>
        <w:t xml:space="preserve"> </w:t>
      </w:r>
      <w:proofErr w:type="gramStart"/>
      <w:r w:rsidRPr="00F467AE">
        <w:rPr>
          <w:rFonts w:asciiTheme="minorBidi" w:hAnsiTheme="minorBidi"/>
          <w:sz w:val="20"/>
          <w:szCs w:val="20"/>
        </w:rPr>
        <w:t>2014;8:11</w:t>
      </w:r>
      <w:proofErr w:type="gramEnd"/>
      <w:r w:rsidRPr="00F467AE">
        <w:rPr>
          <w:rFonts w:asciiTheme="minorBidi" w:hAnsiTheme="minorBidi"/>
          <w:sz w:val="20"/>
          <w:szCs w:val="20"/>
        </w:rPr>
        <w:t>. doi:10.1186/1752-0509-8-11</w:t>
      </w:r>
    </w:p>
    <w:p w14:paraId="28912D5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Kim TK,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Ravichandran S, Tuckey RC, et al. Metabolic activation of lumisterol. </w:t>
      </w:r>
      <w:proofErr w:type="spellStart"/>
      <w:r w:rsidRPr="00F467AE">
        <w:rPr>
          <w:rFonts w:asciiTheme="minorBidi" w:hAnsiTheme="minorBidi"/>
          <w:i/>
          <w:iCs/>
          <w:sz w:val="20"/>
          <w:szCs w:val="20"/>
        </w:rPr>
        <w:t>Biochem</w:t>
      </w:r>
      <w:proofErr w:type="spellEnd"/>
      <w:r w:rsidRPr="00F467AE">
        <w:rPr>
          <w:rFonts w:asciiTheme="minorBidi" w:hAnsiTheme="minorBidi"/>
          <w:i/>
          <w:iCs/>
          <w:sz w:val="20"/>
          <w:szCs w:val="20"/>
        </w:rPr>
        <w:t xml:space="preserve"> </w:t>
      </w:r>
      <w:proofErr w:type="spellStart"/>
      <w:r w:rsidRPr="00F467AE">
        <w:rPr>
          <w:rFonts w:asciiTheme="minorBidi" w:hAnsiTheme="minorBidi"/>
          <w:i/>
          <w:iCs/>
          <w:sz w:val="20"/>
          <w:szCs w:val="20"/>
        </w:rPr>
        <w:t>Pharmacol</w:t>
      </w:r>
      <w:proofErr w:type="spellEnd"/>
      <w:r w:rsidRPr="00F467AE">
        <w:rPr>
          <w:rFonts w:asciiTheme="minorBidi" w:hAnsiTheme="minorBidi"/>
          <w:i/>
          <w:iCs/>
          <w:sz w:val="20"/>
          <w:szCs w:val="20"/>
        </w:rPr>
        <w:t>.</w:t>
      </w:r>
      <w:r w:rsidRPr="00F467AE">
        <w:rPr>
          <w:rFonts w:asciiTheme="minorBidi" w:hAnsiTheme="minorBidi"/>
          <w:sz w:val="20"/>
          <w:szCs w:val="20"/>
        </w:rPr>
        <w:t xml:space="preserve"> 2026;117711. </w:t>
      </w:r>
      <w:proofErr w:type="gramStart"/>
      <w:r w:rsidRPr="00F467AE">
        <w:rPr>
          <w:rFonts w:asciiTheme="minorBidi" w:hAnsiTheme="minorBidi"/>
          <w:sz w:val="20"/>
          <w:szCs w:val="20"/>
        </w:rPr>
        <w:t>doi:10.1016/j.bcp</w:t>
      </w:r>
      <w:proofErr w:type="gramEnd"/>
      <w:r w:rsidRPr="00F467AE">
        <w:rPr>
          <w:rFonts w:asciiTheme="minorBidi" w:hAnsiTheme="minorBidi"/>
          <w:sz w:val="20"/>
          <w:szCs w:val="20"/>
        </w:rPr>
        <w:t>.2026.117711</w:t>
      </w:r>
    </w:p>
    <w:p w14:paraId="6484B20D"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Qayyum S, Slominski RM, Raman C,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Tuckey RC, et al. Novel CYP11A1-derived metabolites. </w:t>
      </w:r>
      <w:r w:rsidRPr="00F467AE">
        <w:rPr>
          <w:rFonts w:asciiTheme="minorBidi" w:hAnsiTheme="minorBidi"/>
          <w:i/>
          <w:iCs/>
          <w:sz w:val="20"/>
          <w:szCs w:val="20"/>
        </w:rPr>
        <w:t>Nutrients.</w:t>
      </w:r>
      <w:r w:rsidRPr="00F467AE">
        <w:rPr>
          <w:rFonts w:asciiTheme="minorBidi" w:hAnsiTheme="minorBidi"/>
          <w:sz w:val="20"/>
          <w:szCs w:val="20"/>
        </w:rPr>
        <w:t xml:space="preserve"> </w:t>
      </w:r>
      <w:proofErr w:type="gramStart"/>
      <w:r w:rsidRPr="00F467AE">
        <w:rPr>
          <w:rFonts w:asciiTheme="minorBidi" w:hAnsiTheme="minorBidi"/>
          <w:sz w:val="20"/>
          <w:szCs w:val="20"/>
        </w:rPr>
        <w:t>2022;14:4779</w:t>
      </w:r>
      <w:proofErr w:type="gramEnd"/>
      <w:r w:rsidRPr="00F467AE">
        <w:rPr>
          <w:rFonts w:asciiTheme="minorBidi" w:hAnsiTheme="minorBidi"/>
          <w:sz w:val="20"/>
          <w:szCs w:val="20"/>
        </w:rPr>
        <w:t>. doi:10.3390/nu14224779</w:t>
      </w:r>
    </w:p>
    <w:p w14:paraId="51AF81F3"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Yin K, Smith AG. Nuclear receptor function in skin health. </w:t>
      </w:r>
      <w:r w:rsidRPr="00F467AE">
        <w:rPr>
          <w:rFonts w:asciiTheme="minorBidi" w:hAnsiTheme="minorBidi"/>
          <w:i/>
          <w:iCs/>
          <w:sz w:val="20"/>
          <w:szCs w:val="20"/>
        </w:rPr>
        <w:t>Cell Mol Life Sci.</w:t>
      </w:r>
      <w:r w:rsidRPr="00F467AE">
        <w:rPr>
          <w:rFonts w:asciiTheme="minorBidi" w:hAnsiTheme="minorBidi"/>
          <w:sz w:val="20"/>
          <w:szCs w:val="20"/>
        </w:rPr>
        <w:t xml:space="preserve"> </w:t>
      </w:r>
      <w:proofErr w:type="gramStart"/>
      <w:r w:rsidRPr="00F467AE">
        <w:rPr>
          <w:rFonts w:asciiTheme="minorBidi" w:hAnsiTheme="minorBidi"/>
          <w:sz w:val="20"/>
          <w:szCs w:val="20"/>
        </w:rPr>
        <w:t>2016;73:3789</w:t>
      </w:r>
      <w:proofErr w:type="gramEnd"/>
      <w:r w:rsidRPr="00F467AE">
        <w:rPr>
          <w:rFonts w:asciiTheme="minorBidi" w:hAnsiTheme="minorBidi"/>
          <w:sz w:val="20"/>
          <w:szCs w:val="20"/>
        </w:rPr>
        <w:t>–3800. doi:10.1007/s00018-016-2329-4</w:t>
      </w:r>
    </w:p>
    <w:p w14:paraId="55193053"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Kim TK, Slominski RM,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Tuckey RC, et al. Tachysterol3 hydroxyderivatives. </w:t>
      </w:r>
      <w:r w:rsidRPr="00F467AE">
        <w:rPr>
          <w:rFonts w:asciiTheme="minorBidi" w:hAnsiTheme="minorBidi"/>
          <w:i/>
          <w:iCs/>
          <w:sz w:val="20"/>
          <w:szCs w:val="20"/>
        </w:rPr>
        <w:t>FASEB J.</w:t>
      </w:r>
      <w:r w:rsidRPr="00F467AE">
        <w:rPr>
          <w:rFonts w:asciiTheme="minorBidi" w:hAnsiTheme="minorBidi"/>
          <w:sz w:val="20"/>
          <w:szCs w:val="20"/>
        </w:rPr>
        <w:t xml:space="preserve"> 2022;</w:t>
      </w:r>
      <w:proofErr w:type="gramStart"/>
      <w:r w:rsidRPr="00F467AE">
        <w:rPr>
          <w:rFonts w:asciiTheme="minorBidi" w:hAnsiTheme="minorBidi"/>
          <w:sz w:val="20"/>
          <w:szCs w:val="20"/>
        </w:rPr>
        <w:t>36:e</w:t>
      </w:r>
      <w:proofErr w:type="gramEnd"/>
      <w:r w:rsidRPr="00F467AE">
        <w:rPr>
          <w:rFonts w:asciiTheme="minorBidi" w:hAnsiTheme="minorBidi"/>
          <w:sz w:val="20"/>
          <w:szCs w:val="20"/>
        </w:rPr>
        <w:t>22451. doi:10.1096/fj.202200578R</w:t>
      </w:r>
    </w:p>
    <w:p w14:paraId="425FD351"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Jin R, Luo L, Zheng J. The trinity of skin. </w:t>
      </w:r>
      <w:r w:rsidRPr="00F467AE">
        <w:rPr>
          <w:rFonts w:asciiTheme="minorBidi" w:hAnsiTheme="minorBidi"/>
          <w:i/>
          <w:iCs/>
          <w:sz w:val="20"/>
          <w:szCs w:val="20"/>
        </w:rPr>
        <w:t>Life (Basel).</w:t>
      </w:r>
      <w:r w:rsidRPr="00F467AE">
        <w:rPr>
          <w:rFonts w:asciiTheme="minorBidi" w:hAnsiTheme="minorBidi"/>
          <w:sz w:val="20"/>
          <w:szCs w:val="20"/>
        </w:rPr>
        <w:t xml:space="preserve"> </w:t>
      </w:r>
      <w:proofErr w:type="gramStart"/>
      <w:r w:rsidRPr="00F467AE">
        <w:rPr>
          <w:rFonts w:asciiTheme="minorBidi" w:hAnsiTheme="minorBidi"/>
          <w:sz w:val="20"/>
          <w:szCs w:val="20"/>
        </w:rPr>
        <w:t>2022;12:725</w:t>
      </w:r>
      <w:proofErr w:type="gramEnd"/>
      <w:r w:rsidRPr="00F467AE">
        <w:rPr>
          <w:rFonts w:asciiTheme="minorBidi" w:hAnsiTheme="minorBidi"/>
          <w:sz w:val="20"/>
          <w:szCs w:val="20"/>
        </w:rPr>
        <w:t>. doi:10.3390/life12050725</w:t>
      </w:r>
    </w:p>
    <w:p w14:paraId="713AAB3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Kim TK, Takeda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w:t>
      </w:r>
      <w:proofErr w:type="spellStart"/>
      <w:r w:rsidRPr="00F467AE">
        <w:rPr>
          <w:rFonts w:asciiTheme="minorBidi" w:hAnsiTheme="minorBidi"/>
          <w:sz w:val="20"/>
          <w:szCs w:val="20"/>
        </w:rPr>
        <w:t>Brożyna</w:t>
      </w:r>
      <w:proofErr w:type="spellEnd"/>
      <w:r w:rsidRPr="00F467AE">
        <w:rPr>
          <w:rFonts w:asciiTheme="minorBidi" w:hAnsiTheme="minorBidi"/>
          <w:sz w:val="20"/>
          <w:szCs w:val="20"/>
        </w:rPr>
        <w:t xml:space="preserve"> AA, </w:t>
      </w:r>
      <w:proofErr w:type="spellStart"/>
      <w:r w:rsidRPr="00F467AE">
        <w:rPr>
          <w:rFonts w:asciiTheme="minorBidi" w:hAnsiTheme="minorBidi"/>
          <w:sz w:val="20"/>
          <w:szCs w:val="20"/>
        </w:rPr>
        <w:t>Żmijewski</w:t>
      </w:r>
      <w:proofErr w:type="spellEnd"/>
      <w:r w:rsidRPr="00F467AE">
        <w:rPr>
          <w:rFonts w:asciiTheme="minorBidi" w:hAnsiTheme="minorBidi"/>
          <w:sz w:val="20"/>
          <w:szCs w:val="20"/>
        </w:rPr>
        <w:t xml:space="preserve"> MA, et al.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in skin. </w:t>
      </w:r>
      <w:r w:rsidRPr="00F467AE">
        <w:rPr>
          <w:rFonts w:asciiTheme="minorBidi" w:hAnsiTheme="minorBidi"/>
          <w:i/>
          <w:iCs/>
          <w:sz w:val="20"/>
          <w:szCs w:val="20"/>
        </w:rPr>
        <w:t>FASEB J.</w:t>
      </w:r>
      <w:r w:rsidRPr="00F467AE">
        <w:rPr>
          <w:rFonts w:asciiTheme="minorBidi" w:hAnsiTheme="minorBidi"/>
          <w:sz w:val="20"/>
          <w:szCs w:val="20"/>
        </w:rPr>
        <w:t xml:space="preserve"> </w:t>
      </w:r>
      <w:proofErr w:type="gramStart"/>
      <w:r w:rsidRPr="00F467AE">
        <w:rPr>
          <w:rFonts w:asciiTheme="minorBidi" w:hAnsiTheme="minorBidi"/>
          <w:sz w:val="20"/>
          <w:szCs w:val="20"/>
        </w:rPr>
        <w:t>2014;28:2778</w:t>
      </w:r>
      <w:proofErr w:type="gramEnd"/>
      <w:r w:rsidRPr="00F467AE">
        <w:rPr>
          <w:rFonts w:asciiTheme="minorBidi" w:hAnsiTheme="minorBidi"/>
          <w:sz w:val="20"/>
          <w:szCs w:val="20"/>
        </w:rPr>
        <w:t>–2789. doi:10.1096/fj.13-242040</w:t>
      </w:r>
    </w:p>
    <w:p w14:paraId="72C7EA58"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Jux B, Kadow S, Luecke S, </w:t>
      </w:r>
      <w:proofErr w:type="spellStart"/>
      <w:r w:rsidRPr="00F467AE">
        <w:rPr>
          <w:rFonts w:asciiTheme="minorBidi" w:hAnsiTheme="minorBidi"/>
          <w:sz w:val="20"/>
          <w:szCs w:val="20"/>
        </w:rPr>
        <w:t>Rannug</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Krutmann</w:t>
      </w:r>
      <w:proofErr w:type="spellEnd"/>
      <w:r w:rsidRPr="00F467AE">
        <w:rPr>
          <w:rFonts w:asciiTheme="minorBidi" w:hAnsiTheme="minorBidi"/>
          <w:sz w:val="20"/>
          <w:szCs w:val="20"/>
        </w:rPr>
        <w:t xml:space="preserve"> J, </w:t>
      </w:r>
      <w:proofErr w:type="spellStart"/>
      <w:r w:rsidRPr="00F467AE">
        <w:rPr>
          <w:rFonts w:asciiTheme="minorBidi" w:hAnsiTheme="minorBidi"/>
          <w:sz w:val="20"/>
          <w:szCs w:val="20"/>
        </w:rPr>
        <w:t>Esser</w:t>
      </w:r>
      <w:proofErr w:type="spellEnd"/>
      <w:r w:rsidRPr="00F467AE">
        <w:rPr>
          <w:rFonts w:asciiTheme="minorBidi" w:hAnsiTheme="minorBidi"/>
          <w:sz w:val="20"/>
          <w:szCs w:val="20"/>
        </w:rPr>
        <w:t xml:space="preserve"> C, et al. AhR mediates UVB-induced tanning. </w:t>
      </w:r>
      <w:r w:rsidRPr="00F467AE">
        <w:rPr>
          <w:rFonts w:asciiTheme="minorBidi" w:hAnsiTheme="minorBidi"/>
          <w:i/>
          <w:iCs/>
          <w:sz w:val="20"/>
          <w:szCs w:val="20"/>
        </w:rPr>
        <w:t>J Invest Dermatol.</w:t>
      </w:r>
      <w:r w:rsidRPr="00F467AE">
        <w:rPr>
          <w:rFonts w:asciiTheme="minorBidi" w:hAnsiTheme="minorBidi"/>
          <w:sz w:val="20"/>
          <w:szCs w:val="20"/>
        </w:rPr>
        <w:t xml:space="preserve"> </w:t>
      </w:r>
      <w:proofErr w:type="gramStart"/>
      <w:r w:rsidRPr="00F467AE">
        <w:rPr>
          <w:rFonts w:asciiTheme="minorBidi" w:hAnsiTheme="minorBidi"/>
          <w:sz w:val="20"/>
          <w:szCs w:val="20"/>
        </w:rPr>
        <w:t>2011;131:203</w:t>
      </w:r>
      <w:proofErr w:type="gramEnd"/>
      <w:r w:rsidRPr="00F467AE">
        <w:rPr>
          <w:rFonts w:asciiTheme="minorBidi" w:hAnsiTheme="minorBidi"/>
          <w:sz w:val="20"/>
          <w:szCs w:val="20"/>
        </w:rPr>
        <w:t>–210. doi:10.1038/jid.2010.269</w:t>
      </w:r>
    </w:p>
    <w:p w14:paraId="3A286787" w14:textId="220CCCFB" w:rsidR="00C17C8E" w:rsidRPr="00C17C8E" w:rsidRDefault="00C17C8E" w:rsidP="00C17C8E">
      <w:pPr>
        <w:numPr>
          <w:ilvl w:val="0"/>
          <w:numId w:val="16"/>
        </w:numPr>
        <w:rPr>
          <w:rFonts w:asciiTheme="minorBidi" w:hAnsiTheme="minorBidi"/>
          <w:sz w:val="20"/>
          <w:szCs w:val="20"/>
          <w:highlight w:val="yellow"/>
        </w:rPr>
      </w:pPr>
      <w:r w:rsidRPr="00C322DA">
        <w:rPr>
          <w:rFonts w:asciiTheme="minorBidi" w:hAnsiTheme="minorBidi"/>
          <w:sz w:val="20"/>
          <w:szCs w:val="20"/>
          <w:highlight w:val="yellow"/>
          <w:lang w:val="nl-BE"/>
        </w:rPr>
        <w:t xml:space="preserve">Dou J, Wang Q, Jiang X, Salem AK, et al. </w:t>
      </w:r>
      <w:r w:rsidRPr="00C17C8E">
        <w:rPr>
          <w:rFonts w:asciiTheme="minorBidi" w:hAnsiTheme="minorBidi"/>
          <w:sz w:val="20"/>
          <w:szCs w:val="20"/>
          <w:highlight w:val="yellow"/>
        </w:rPr>
        <w:t xml:space="preserve">UVB/LPS-induced tryptophan photoproducts as endogenous AhR agonists restrain cutaneous inflammation. </w:t>
      </w:r>
      <w:r w:rsidRPr="00C17C8E">
        <w:rPr>
          <w:rFonts w:asciiTheme="minorBidi" w:hAnsiTheme="minorBidi"/>
          <w:i/>
          <w:iCs/>
          <w:sz w:val="20"/>
          <w:szCs w:val="20"/>
          <w:highlight w:val="yellow"/>
        </w:rPr>
        <w:t>J Invest Dermatol.</w:t>
      </w:r>
      <w:r w:rsidRPr="00C17C8E">
        <w:rPr>
          <w:rFonts w:asciiTheme="minorBidi" w:hAnsiTheme="minorBidi"/>
          <w:sz w:val="20"/>
          <w:szCs w:val="20"/>
          <w:highlight w:val="yellow"/>
        </w:rPr>
        <w:t xml:space="preserve"> 2021;141(9):2258–2267.  </w:t>
      </w:r>
      <w:proofErr w:type="gramStart"/>
      <w:r w:rsidRPr="00C17C8E">
        <w:rPr>
          <w:rFonts w:asciiTheme="minorBidi" w:hAnsiTheme="minorBidi"/>
          <w:sz w:val="20"/>
          <w:szCs w:val="20"/>
          <w:highlight w:val="yellow"/>
        </w:rPr>
        <w:t>doi:10.1016/j.jid</w:t>
      </w:r>
      <w:proofErr w:type="gramEnd"/>
      <w:r w:rsidRPr="00C17C8E">
        <w:rPr>
          <w:rFonts w:asciiTheme="minorBidi" w:hAnsiTheme="minorBidi"/>
          <w:sz w:val="20"/>
          <w:szCs w:val="20"/>
          <w:highlight w:val="yellow"/>
        </w:rPr>
        <w:t>.2021.02.789</w:t>
      </w:r>
    </w:p>
    <w:p w14:paraId="236F93BC" w14:textId="16BBB556" w:rsidR="007C1E11" w:rsidRPr="00F467AE" w:rsidRDefault="007C1E11" w:rsidP="00C17C8E">
      <w:pPr>
        <w:numPr>
          <w:ilvl w:val="0"/>
          <w:numId w:val="16"/>
        </w:numPr>
        <w:rPr>
          <w:rFonts w:asciiTheme="minorBidi" w:hAnsiTheme="minorBidi"/>
          <w:sz w:val="20"/>
          <w:szCs w:val="20"/>
        </w:rPr>
      </w:pPr>
      <w:r w:rsidRPr="00F467AE">
        <w:rPr>
          <w:rFonts w:asciiTheme="minorBidi" w:hAnsiTheme="minorBidi"/>
          <w:sz w:val="20"/>
          <w:szCs w:val="20"/>
        </w:rPr>
        <w:lastRenderedPageBreak/>
        <w:t xml:space="preserve">Slominski AT, Kim TK, Qayyum S,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Tuckey RC, et al. Vitamin D derivatives act on LXRs. </w:t>
      </w:r>
      <w:r w:rsidRPr="00F467AE">
        <w:rPr>
          <w:rFonts w:asciiTheme="minorBidi" w:hAnsiTheme="minorBidi"/>
          <w:i/>
          <w:iCs/>
          <w:sz w:val="20"/>
          <w:szCs w:val="20"/>
        </w:rPr>
        <w:t>Sci Rep.</w:t>
      </w:r>
      <w:r w:rsidRPr="00F467AE">
        <w:rPr>
          <w:rFonts w:asciiTheme="minorBidi" w:hAnsiTheme="minorBidi"/>
          <w:sz w:val="20"/>
          <w:szCs w:val="20"/>
        </w:rPr>
        <w:t xml:space="preserve"> </w:t>
      </w:r>
      <w:proofErr w:type="gramStart"/>
      <w:r w:rsidRPr="00F467AE">
        <w:rPr>
          <w:rFonts w:asciiTheme="minorBidi" w:hAnsiTheme="minorBidi"/>
          <w:sz w:val="20"/>
          <w:szCs w:val="20"/>
        </w:rPr>
        <w:t>2021;11:8002</w:t>
      </w:r>
      <w:proofErr w:type="gramEnd"/>
      <w:r w:rsidRPr="00F467AE">
        <w:rPr>
          <w:rFonts w:asciiTheme="minorBidi" w:hAnsiTheme="minorBidi"/>
          <w:sz w:val="20"/>
          <w:szCs w:val="20"/>
        </w:rPr>
        <w:t>. doi:10.1038/s41598-021-87061-w</w:t>
      </w:r>
    </w:p>
    <w:p w14:paraId="0A834D5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Babić </w:t>
      </w:r>
      <w:proofErr w:type="spellStart"/>
      <w:r w:rsidRPr="00F467AE">
        <w:rPr>
          <w:rFonts w:asciiTheme="minorBidi" w:hAnsiTheme="minorBidi"/>
          <w:sz w:val="20"/>
          <w:szCs w:val="20"/>
        </w:rPr>
        <w:t>Leko</w:t>
      </w:r>
      <w:proofErr w:type="spellEnd"/>
      <w:r w:rsidRPr="00F467AE">
        <w:rPr>
          <w:rFonts w:asciiTheme="minorBidi" w:hAnsiTheme="minorBidi"/>
          <w:sz w:val="20"/>
          <w:szCs w:val="20"/>
        </w:rPr>
        <w:t xml:space="preserve"> M, </w:t>
      </w:r>
      <w:proofErr w:type="spellStart"/>
      <w:r w:rsidRPr="00F467AE">
        <w:rPr>
          <w:rFonts w:asciiTheme="minorBidi" w:hAnsiTheme="minorBidi"/>
          <w:sz w:val="20"/>
          <w:szCs w:val="20"/>
        </w:rPr>
        <w:t>Jureško</w:t>
      </w:r>
      <w:proofErr w:type="spellEnd"/>
      <w:r w:rsidRPr="00F467AE">
        <w:rPr>
          <w:rFonts w:asciiTheme="minorBidi" w:hAnsiTheme="minorBidi"/>
          <w:sz w:val="20"/>
          <w:szCs w:val="20"/>
        </w:rPr>
        <w:t xml:space="preserve"> I, </w:t>
      </w:r>
      <w:proofErr w:type="spellStart"/>
      <w:r w:rsidRPr="00F467AE">
        <w:rPr>
          <w:rFonts w:asciiTheme="minorBidi" w:hAnsiTheme="minorBidi"/>
          <w:sz w:val="20"/>
          <w:szCs w:val="20"/>
        </w:rPr>
        <w:t>Rozić</w:t>
      </w:r>
      <w:proofErr w:type="spellEnd"/>
      <w:r w:rsidRPr="00F467AE">
        <w:rPr>
          <w:rFonts w:asciiTheme="minorBidi" w:hAnsiTheme="minorBidi"/>
          <w:sz w:val="20"/>
          <w:szCs w:val="20"/>
        </w:rPr>
        <w:t xml:space="preserve"> I, Papić S, </w:t>
      </w:r>
      <w:proofErr w:type="spellStart"/>
      <w:r w:rsidRPr="00F467AE">
        <w:rPr>
          <w:rFonts w:asciiTheme="minorBidi" w:hAnsiTheme="minorBidi"/>
          <w:sz w:val="20"/>
          <w:szCs w:val="20"/>
        </w:rPr>
        <w:t>Majić</w:t>
      </w:r>
      <w:proofErr w:type="spellEnd"/>
      <w:r w:rsidRPr="00F467AE">
        <w:rPr>
          <w:rFonts w:asciiTheme="minorBidi" w:hAnsiTheme="minorBidi"/>
          <w:sz w:val="20"/>
          <w:szCs w:val="20"/>
        </w:rPr>
        <w:t xml:space="preserve"> T, </w:t>
      </w:r>
      <w:proofErr w:type="spellStart"/>
      <w:r w:rsidRPr="00F467AE">
        <w:rPr>
          <w:rFonts w:asciiTheme="minorBidi" w:hAnsiTheme="minorBidi"/>
          <w:sz w:val="20"/>
          <w:szCs w:val="20"/>
        </w:rPr>
        <w:t>Gunjača</w:t>
      </w:r>
      <w:proofErr w:type="spellEnd"/>
      <w:r w:rsidRPr="00F467AE">
        <w:rPr>
          <w:rFonts w:asciiTheme="minorBidi" w:hAnsiTheme="minorBidi"/>
          <w:sz w:val="20"/>
          <w:szCs w:val="20"/>
        </w:rPr>
        <w:t xml:space="preserve"> I, et al. Vitamin D and the thyroid. </w:t>
      </w:r>
      <w:r w:rsidRPr="00F467AE">
        <w:rPr>
          <w:rFonts w:asciiTheme="minorBidi" w:hAnsiTheme="minorBidi"/>
          <w:i/>
          <w:iCs/>
          <w:sz w:val="20"/>
          <w:szCs w:val="20"/>
        </w:rPr>
        <w:t>Int J Mol Sci.</w:t>
      </w:r>
      <w:r w:rsidRPr="00F467AE">
        <w:rPr>
          <w:rFonts w:asciiTheme="minorBidi" w:hAnsiTheme="minorBidi"/>
          <w:sz w:val="20"/>
          <w:szCs w:val="20"/>
        </w:rPr>
        <w:t xml:space="preserve"> </w:t>
      </w:r>
      <w:proofErr w:type="gramStart"/>
      <w:r w:rsidRPr="00F467AE">
        <w:rPr>
          <w:rFonts w:asciiTheme="minorBidi" w:hAnsiTheme="minorBidi"/>
          <w:sz w:val="20"/>
          <w:szCs w:val="20"/>
        </w:rPr>
        <w:t>2023;24:3586</w:t>
      </w:r>
      <w:proofErr w:type="gramEnd"/>
      <w:r w:rsidRPr="00F467AE">
        <w:rPr>
          <w:rFonts w:asciiTheme="minorBidi" w:hAnsiTheme="minorBidi"/>
          <w:sz w:val="20"/>
          <w:szCs w:val="20"/>
        </w:rPr>
        <w:t>. doi:10.3390/ijms24043586</w:t>
      </w:r>
    </w:p>
    <w:p w14:paraId="6A3BE038"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Wu L, Liang B, Lin R, Zhang J, Zhao Y, Liu J, et al. </w:t>
      </w:r>
      <w:r w:rsidRPr="00F467AE">
        <w:rPr>
          <w:rFonts w:asciiTheme="minorBidi" w:hAnsiTheme="minorBidi"/>
          <w:sz w:val="20"/>
          <w:szCs w:val="20"/>
        </w:rPr>
        <w:t xml:space="preserve">Thyroid function and vitamin D in T2DM. </w:t>
      </w:r>
      <w:r w:rsidRPr="00F467AE">
        <w:rPr>
          <w:rFonts w:asciiTheme="minorBidi" w:hAnsiTheme="minorBidi"/>
          <w:i/>
          <w:iCs/>
          <w:sz w:val="20"/>
          <w:szCs w:val="20"/>
        </w:rPr>
        <w:t>Front Endocrinol (Lausanne).</w:t>
      </w:r>
      <w:r w:rsidRPr="00F467AE">
        <w:rPr>
          <w:rFonts w:asciiTheme="minorBidi" w:hAnsiTheme="minorBidi"/>
          <w:sz w:val="20"/>
          <w:szCs w:val="20"/>
        </w:rPr>
        <w:t xml:space="preserve"> </w:t>
      </w:r>
      <w:proofErr w:type="gramStart"/>
      <w:r w:rsidRPr="00F467AE">
        <w:rPr>
          <w:rFonts w:asciiTheme="minorBidi" w:hAnsiTheme="minorBidi"/>
          <w:sz w:val="20"/>
          <w:szCs w:val="20"/>
        </w:rPr>
        <w:t>2025;16:1650525</w:t>
      </w:r>
      <w:proofErr w:type="gramEnd"/>
      <w:r w:rsidRPr="00F467AE">
        <w:rPr>
          <w:rFonts w:asciiTheme="minorBidi" w:hAnsiTheme="minorBidi"/>
          <w:sz w:val="20"/>
          <w:szCs w:val="20"/>
        </w:rPr>
        <w:t>. doi:10.3389/fendo.2025.1650525</w:t>
      </w:r>
    </w:p>
    <w:p w14:paraId="1615B2B7"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Kivity</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Agmon</w:t>
      </w:r>
      <w:proofErr w:type="spellEnd"/>
      <w:r w:rsidRPr="00F467AE">
        <w:rPr>
          <w:rFonts w:asciiTheme="minorBidi" w:hAnsiTheme="minorBidi"/>
          <w:sz w:val="20"/>
          <w:szCs w:val="20"/>
        </w:rPr>
        <w:t xml:space="preserve">-Levin N, </w:t>
      </w:r>
      <w:proofErr w:type="spellStart"/>
      <w:r w:rsidRPr="00F467AE">
        <w:rPr>
          <w:rFonts w:asciiTheme="minorBidi" w:hAnsiTheme="minorBidi"/>
          <w:sz w:val="20"/>
          <w:szCs w:val="20"/>
        </w:rPr>
        <w:t>Zisappl</w:t>
      </w:r>
      <w:proofErr w:type="spellEnd"/>
      <w:r w:rsidRPr="00F467AE">
        <w:rPr>
          <w:rFonts w:asciiTheme="minorBidi" w:hAnsiTheme="minorBidi"/>
          <w:sz w:val="20"/>
          <w:szCs w:val="20"/>
        </w:rPr>
        <w:t xml:space="preserve"> M, Shapira Y, Nagy EV, Dankó K, et al. Vitamin D and autoimmune thyroid disease. </w:t>
      </w:r>
      <w:r w:rsidRPr="00F467AE">
        <w:rPr>
          <w:rFonts w:asciiTheme="minorBidi" w:hAnsiTheme="minorBidi"/>
          <w:i/>
          <w:iCs/>
          <w:sz w:val="20"/>
          <w:szCs w:val="20"/>
        </w:rPr>
        <w:t>Cell Mol Immunol.</w:t>
      </w:r>
      <w:r w:rsidRPr="00F467AE">
        <w:rPr>
          <w:rFonts w:asciiTheme="minorBidi" w:hAnsiTheme="minorBidi"/>
          <w:sz w:val="20"/>
          <w:szCs w:val="20"/>
        </w:rPr>
        <w:t xml:space="preserve"> </w:t>
      </w:r>
      <w:proofErr w:type="gramStart"/>
      <w:r w:rsidRPr="00F467AE">
        <w:rPr>
          <w:rFonts w:asciiTheme="minorBidi" w:hAnsiTheme="minorBidi"/>
          <w:sz w:val="20"/>
          <w:szCs w:val="20"/>
        </w:rPr>
        <w:t>2011;8:243</w:t>
      </w:r>
      <w:proofErr w:type="gramEnd"/>
      <w:r w:rsidRPr="00F467AE">
        <w:rPr>
          <w:rFonts w:asciiTheme="minorBidi" w:hAnsiTheme="minorBidi"/>
          <w:sz w:val="20"/>
          <w:szCs w:val="20"/>
        </w:rPr>
        <w:t>–247. doi:10.1038/cmi.2010.73</w:t>
      </w:r>
    </w:p>
    <w:p w14:paraId="5975DF4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Ciresi A, Giordano C. Vitamin D across GH disorders. </w:t>
      </w:r>
      <w:r w:rsidRPr="00F467AE">
        <w:rPr>
          <w:rFonts w:asciiTheme="minorBidi" w:hAnsiTheme="minorBidi"/>
          <w:i/>
          <w:iCs/>
          <w:sz w:val="20"/>
          <w:szCs w:val="20"/>
        </w:rPr>
        <w:t>Growth Horm IGF Res.</w:t>
      </w:r>
      <w:r w:rsidRPr="00F467AE">
        <w:rPr>
          <w:rFonts w:asciiTheme="minorBidi" w:hAnsiTheme="minorBidi"/>
          <w:sz w:val="20"/>
          <w:szCs w:val="20"/>
        </w:rPr>
        <w:t xml:space="preserve"> </w:t>
      </w:r>
      <w:proofErr w:type="gramStart"/>
      <w:r w:rsidRPr="00F467AE">
        <w:rPr>
          <w:rFonts w:asciiTheme="minorBidi" w:hAnsiTheme="minorBidi"/>
          <w:sz w:val="20"/>
          <w:szCs w:val="20"/>
        </w:rPr>
        <w:t>2017;33:35</w:t>
      </w:r>
      <w:proofErr w:type="gramEnd"/>
      <w:r w:rsidRPr="00F467AE">
        <w:rPr>
          <w:rFonts w:asciiTheme="minorBidi" w:hAnsiTheme="minorBidi"/>
          <w:sz w:val="20"/>
          <w:szCs w:val="20"/>
        </w:rPr>
        <w:t xml:space="preserve">–42. </w:t>
      </w:r>
      <w:proofErr w:type="gramStart"/>
      <w:r w:rsidRPr="00F467AE">
        <w:rPr>
          <w:rFonts w:asciiTheme="minorBidi" w:hAnsiTheme="minorBidi"/>
          <w:sz w:val="20"/>
          <w:szCs w:val="20"/>
        </w:rPr>
        <w:t>doi:10.1016/j.ghir</w:t>
      </w:r>
      <w:proofErr w:type="gramEnd"/>
      <w:r w:rsidRPr="00F467AE">
        <w:rPr>
          <w:rFonts w:asciiTheme="minorBidi" w:hAnsiTheme="minorBidi"/>
          <w:sz w:val="20"/>
          <w:szCs w:val="20"/>
        </w:rPr>
        <w:t>.2017.02.002</w:t>
      </w:r>
    </w:p>
    <w:p w14:paraId="1A04C8D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Esposito S, Leonardi A, Lanciotti L, Cofini M, Muzi G, Penta L, et al. </w:t>
      </w:r>
      <w:r w:rsidRPr="00F467AE">
        <w:rPr>
          <w:rFonts w:asciiTheme="minorBidi" w:hAnsiTheme="minorBidi"/>
          <w:sz w:val="20"/>
          <w:szCs w:val="20"/>
        </w:rPr>
        <w:t xml:space="preserve">Vitamin D and GH in children. </w:t>
      </w:r>
      <w:r w:rsidRPr="00F467AE">
        <w:rPr>
          <w:rFonts w:asciiTheme="minorBidi" w:hAnsiTheme="minorBidi"/>
          <w:i/>
          <w:iCs/>
          <w:sz w:val="20"/>
          <w:szCs w:val="20"/>
        </w:rPr>
        <w:t xml:space="preserve">J </w:t>
      </w:r>
      <w:proofErr w:type="spellStart"/>
      <w:r w:rsidRPr="00F467AE">
        <w:rPr>
          <w:rFonts w:asciiTheme="minorBidi" w:hAnsiTheme="minorBidi"/>
          <w:i/>
          <w:iCs/>
          <w:sz w:val="20"/>
          <w:szCs w:val="20"/>
        </w:rPr>
        <w:t>Transl</w:t>
      </w:r>
      <w:proofErr w:type="spellEnd"/>
      <w:r w:rsidRPr="00F467AE">
        <w:rPr>
          <w:rFonts w:asciiTheme="minorBidi" w:hAnsiTheme="minorBidi"/>
          <w:i/>
          <w:iCs/>
          <w:sz w:val="20"/>
          <w:szCs w:val="20"/>
        </w:rPr>
        <w:t xml:space="preserve"> Med.</w:t>
      </w:r>
      <w:r w:rsidRPr="00F467AE">
        <w:rPr>
          <w:rFonts w:asciiTheme="minorBidi" w:hAnsiTheme="minorBidi"/>
          <w:sz w:val="20"/>
          <w:szCs w:val="20"/>
        </w:rPr>
        <w:t xml:space="preserve"> </w:t>
      </w:r>
      <w:proofErr w:type="gramStart"/>
      <w:r w:rsidRPr="00F467AE">
        <w:rPr>
          <w:rFonts w:asciiTheme="minorBidi" w:hAnsiTheme="minorBidi"/>
          <w:sz w:val="20"/>
          <w:szCs w:val="20"/>
        </w:rPr>
        <w:t>2019;17:87</w:t>
      </w:r>
      <w:proofErr w:type="gramEnd"/>
      <w:r w:rsidRPr="00F467AE">
        <w:rPr>
          <w:rFonts w:asciiTheme="minorBidi" w:hAnsiTheme="minorBidi"/>
          <w:sz w:val="20"/>
          <w:szCs w:val="20"/>
        </w:rPr>
        <w:t>. doi:10.1186/s12967-019-1840-4</w:t>
      </w:r>
    </w:p>
    <w:p w14:paraId="4498E213"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Hasanbegovic</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Tihic-Kapidzic</w:t>
      </w:r>
      <w:proofErr w:type="spellEnd"/>
      <w:r w:rsidRPr="00F467AE">
        <w:rPr>
          <w:rFonts w:asciiTheme="minorBidi" w:hAnsiTheme="minorBidi"/>
          <w:sz w:val="20"/>
          <w:szCs w:val="20"/>
        </w:rPr>
        <w:t xml:space="preserve"> S, Begovic E, Begovic B, </w:t>
      </w:r>
      <w:proofErr w:type="spellStart"/>
      <w:r w:rsidRPr="00F467AE">
        <w:rPr>
          <w:rFonts w:asciiTheme="minorBidi" w:hAnsiTheme="minorBidi"/>
          <w:sz w:val="20"/>
          <w:szCs w:val="20"/>
        </w:rPr>
        <w:t>Dzinovic</w:t>
      </w:r>
      <w:proofErr w:type="spellEnd"/>
      <w:r w:rsidRPr="00F467AE">
        <w:rPr>
          <w:rFonts w:asciiTheme="minorBidi" w:hAnsiTheme="minorBidi"/>
          <w:sz w:val="20"/>
          <w:szCs w:val="20"/>
        </w:rPr>
        <w:t xml:space="preserve"> M, et al. Vitamin D substitution during GH therapy. </w:t>
      </w:r>
      <w:r w:rsidRPr="00F467AE">
        <w:rPr>
          <w:rFonts w:asciiTheme="minorBidi" w:hAnsiTheme="minorBidi"/>
          <w:i/>
          <w:iCs/>
          <w:sz w:val="20"/>
          <w:szCs w:val="20"/>
        </w:rPr>
        <w:t xml:space="preserve">BMJ </w:t>
      </w:r>
      <w:proofErr w:type="spellStart"/>
      <w:r w:rsidRPr="00F467AE">
        <w:rPr>
          <w:rFonts w:asciiTheme="minorBidi" w:hAnsiTheme="minorBidi"/>
          <w:i/>
          <w:iCs/>
          <w:sz w:val="20"/>
          <w:szCs w:val="20"/>
        </w:rPr>
        <w:t>Paediatr</w:t>
      </w:r>
      <w:proofErr w:type="spellEnd"/>
      <w:r w:rsidRPr="00F467AE">
        <w:rPr>
          <w:rFonts w:asciiTheme="minorBidi" w:hAnsiTheme="minorBidi"/>
          <w:i/>
          <w:iCs/>
          <w:sz w:val="20"/>
          <w:szCs w:val="20"/>
        </w:rPr>
        <w:t xml:space="preserve"> Open.</w:t>
      </w:r>
      <w:r w:rsidRPr="00F467AE">
        <w:rPr>
          <w:rFonts w:asciiTheme="minorBidi" w:hAnsiTheme="minorBidi"/>
          <w:sz w:val="20"/>
          <w:szCs w:val="20"/>
        </w:rPr>
        <w:t xml:space="preserve"> 2024;</w:t>
      </w:r>
      <w:proofErr w:type="gramStart"/>
      <w:r w:rsidRPr="00F467AE">
        <w:rPr>
          <w:rFonts w:asciiTheme="minorBidi" w:hAnsiTheme="minorBidi"/>
          <w:sz w:val="20"/>
          <w:szCs w:val="20"/>
        </w:rPr>
        <w:t>8:e</w:t>
      </w:r>
      <w:proofErr w:type="gramEnd"/>
      <w:r w:rsidRPr="00F467AE">
        <w:rPr>
          <w:rFonts w:asciiTheme="minorBidi" w:hAnsiTheme="minorBidi"/>
          <w:sz w:val="20"/>
          <w:szCs w:val="20"/>
        </w:rPr>
        <w:t>002164. doi:10.1136/bmjpo-2024-002164</w:t>
      </w:r>
    </w:p>
    <w:p w14:paraId="3825DF2D"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Ghareghani</w:t>
      </w:r>
      <w:proofErr w:type="spellEnd"/>
      <w:r w:rsidRPr="00F467AE">
        <w:rPr>
          <w:rFonts w:asciiTheme="minorBidi" w:hAnsiTheme="minorBidi"/>
          <w:sz w:val="20"/>
          <w:szCs w:val="20"/>
        </w:rPr>
        <w:t xml:space="preserve"> M, </w:t>
      </w:r>
      <w:proofErr w:type="spellStart"/>
      <w:r w:rsidRPr="00F467AE">
        <w:rPr>
          <w:rFonts w:asciiTheme="minorBidi" w:hAnsiTheme="minorBidi"/>
          <w:sz w:val="20"/>
          <w:szCs w:val="20"/>
        </w:rPr>
        <w:t>Zibara</w:t>
      </w:r>
      <w:proofErr w:type="spellEnd"/>
      <w:r w:rsidRPr="00F467AE">
        <w:rPr>
          <w:rFonts w:asciiTheme="minorBidi" w:hAnsiTheme="minorBidi"/>
          <w:sz w:val="20"/>
          <w:szCs w:val="20"/>
        </w:rPr>
        <w:t xml:space="preserve"> K, Rivest S. Melatonin and vitamin D in MS. </w:t>
      </w:r>
      <w:r w:rsidRPr="00F467AE">
        <w:rPr>
          <w:rFonts w:asciiTheme="minorBidi" w:hAnsiTheme="minorBidi"/>
          <w:i/>
          <w:iCs/>
          <w:sz w:val="20"/>
          <w:szCs w:val="20"/>
        </w:rPr>
        <w:t xml:space="preserve">Proc Natl </w:t>
      </w:r>
      <w:proofErr w:type="spellStart"/>
      <w:r w:rsidRPr="00F467AE">
        <w:rPr>
          <w:rFonts w:asciiTheme="minorBidi" w:hAnsiTheme="minorBidi"/>
          <w:i/>
          <w:iCs/>
          <w:sz w:val="20"/>
          <w:szCs w:val="20"/>
        </w:rPr>
        <w:t>Acad</w:t>
      </w:r>
      <w:proofErr w:type="spellEnd"/>
      <w:r w:rsidRPr="00F467AE">
        <w:rPr>
          <w:rFonts w:asciiTheme="minorBidi" w:hAnsiTheme="minorBidi"/>
          <w:i/>
          <w:iCs/>
          <w:sz w:val="20"/>
          <w:szCs w:val="20"/>
        </w:rPr>
        <w:t xml:space="preserve"> Sci USA.</w:t>
      </w:r>
      <w:r w:rsidRPr="00F467AE">
        <w:rPr>
          <w:rFonts w:asciiTheme="minorBidi" w:hAnsiTheme="minorBidi"/>
          <w:sz w:val="20"/>
          <w:szCs w:val="20"/>
        </w:rPr>
        <w:t xml:space="preserve"> 2023;</w:t>
      </w:r>
      <w:proofErr w:type="gramStart"/>
      <w:r w:rsidRPr="00F467AE">
        <w:rPr>
          <w:rFonts w:asciiTheme="minorBidi" w:hAnsiTheme="minorBidi"/>
          <w:sz w:val="20"/>
          <w:szCs w:val="20"/>
        </w:rPr>
        <w:t>120:e</w:t>
      </w:r>
      <w:proofErr w:type="gramEnd"/>
      <w:r w:rsidRPr="00F467AE">
        <w:rPr>
          <w:rFonts w:asciiTheme="minorBidi" w:hAnsiTheme="minorBidi"/>
          <w:sz w:val="20"/>
          <w:szCs w:val="20"/>
        </w:rPr>
        <w:t>2219334120. doi:10.1073/pnas.2219334120</w:t>
      </w:r>
    </w:p>
    <w:p w14:paraId="1FEF86E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Cipolla-Neto J, Amaral FGD. </w:t>
      </w:r>
      <w:r w:rsidRPr="00F467AE">
        <w:rPr>
          <w:rFonts w:asciiTheme="minorBidi" w:hAnsiTheme="minorBidi"/>
          <w:sz w:val="20"/>
          <w:szCs w:val="20"/>
        </w:rPr>
        <w:t xml:space="preserve">Melatonin as a hormone. </w:t>
      </w:r>
      <w:proofErr w:type="spellStart"/>
      <w:r w:rsidRPr="00F467AE">
        <w:rPr>
          <w:rFonts w:asciiTheme="minorBidi" w:hAnsiTheme="minorBidi"/>
          <w:i/>
          <w:iCs/>
          <w:sz w:val="20"/>
          <w:szCs w:val="20"/>
        </w:rPr>
        <w:t>Endocr</w:t>
      </w:r>
      <w:proofErr w:type="spellEnd"/>
      <w:r w:rsidRPr="00F467AE">
        <w:rPr>
          <w:rFonts w:asciiTheme="minorBidi" w:hAnsiTheme="minorBidi"/>
          <w:i/>
          <w:iCs/>
          <w:sz w:val="20"/>
          <w:szCs w:val="20"/>
        </w:rPr>
        <w:t xml:space="preserve"> Rev.</w:t>
      </w:r>
      <w:r w:rsidRPr="00F467AE">
        <w:rPr>
          <w:rFonts w:asciiTheme="minorBidi" w:hAnsiTheme="minorBidi"/>
          <w:sz w:val="20"/>
          <w:szCs w:val="20"/>
        </w:rPr>
        <w:t xml:space="preserve"> </w:t>
      </w:r>
      <w:proofErr w:type="gramStart"/>
      <w:r w:rsidRPr="00F467AE">
        <w:rPr>
          <w:rFonts w:asciiTheme="minorBidi" w:hAnsiTheme="minorBidi"/>
          <w:sz w:val="20"/>
          <w:szCs w:val="20"/>
        </w:rPr>
        <w:t>2018;39:990</w:t>
      </w:r>
      <w:proofErr w:type="gramEnd"/>
      <w:r w:rsidRPr="00F467AE">
        <w:rPr>
          <w:rFonts w:asciiTheme="minorBidi" w:hAnsiTheme="minorBidi"/>
          <w:sz w:val="20"/>
          <w:szCs w:val="20"/>
        </w:rPr>
        <w:t>–1028. doi:10.1210/er.2018-00084</w:t>
      </w:r>
    </w:p>
    <w:p w14:paraId="43165528"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Slominski AT, Slominski RM, Kamal M,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Kim TK, et al. Vitamin D signaling and circadian rhythms. </w:t>
      </w:r>
      <w:r w:rsidRPr="00F467AE">
        <w:rPr>
          <w:rFonts w:asciiTheme="minorBidi" w:hAnsiTheme="minorBidi"/>
          <w:i/>
          <w:iCs/>
          <w:sz w:val="20"/>
          <w:szCs w:val="20"/>
        </w:rPr>
        <w:t>FASEB J.</w:t>
      </w:r>
      <w:r w:rsidRPr="00F467AE">
        <w:rPr>
          <w:rFonts w:asciiTheme="minorBidi" w:hAnsiTheme="minorBidi"/>
          <w:sz w:val="20"/>
          <w:szCs w:val="20"/>
        </w:rPr>
        <w:t xml:space="preserve"> 2025;</w:t>
      </w:r>
      <w:proofErr w:type="gramStart"/>
      <w:r w:rsidRPr="00F467AE">
        <w:rPr>
          <w:rFonts w:asciiTheme="minorBidi" w:hAnsiTheme="minorBidi"/>
          <w:sz w:val="20"/>
          <w:szCs w:val="20"/>
        </w:rPr>
        <w:t>39:e</w:t>
      </w:r>
      <w:proofErr w:type="gramEnd"/>
      <w:r w:rsidRPr="00F467AE">
        <w:rPr>
          <w:rFonts w:asciiTheme="minorBidi" w:hAnsiTheme="minorBidi"/>
          <w:sz w:val="20"/>
          <w:szCs w:val="20"/>
        </w:rPr>
        <w:t>71321. doi:10.1096/fj.202503003R</w:t>
      </w:r>
    </w:p>
    <w:p w14:paraId="4ACDBD31"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Takahashi JS. Transcriptional architecture of the circadian clock. </w:t>
      </w:r>
      <w:r w:rsidRPr="00F467AE">
        <w:rPr>
          <w:rFonts w:asciiTheme="minorBidi" w:hAnsiTheme="minorBidi"/>
          <w:i/>
          <w:iCs/>
          <w:sz w:val="20"/>
          <w:szCs w:val="20"/>
        </w:rPr>
        <w:t>Nat Rev Genet.</w:t>
      </w:r>
      <w:r w:rsidRPr="00F467AE">
        <w:rPr>
          <w:rFonts w:asciiTheme="minorBidi" w:hAnsiTheme="minorBidi"/>
          <w:sz w:val="20"/>
          <w:szCs w:val="20"/>
        </w:rPr>
        <w:t xml:space="preserve"> </w:t>
      </w:r>
      <w:proofErr w:type="gramStart"/>
      <w:r w:rsidRPr="00F467AE">
        <w:rPr>
          <w:rFonts w:asciiTheme="minorBidi" w:hAnsiTheme="minorBidi"/>
          <w:sz w:val="20"/>
          <w:szCs w:val="20"/>
        </w:rPr>
        <w:t>2017;18:164</w:t>
      </w:r>
      <w:proofErr w:type="gramEnd"/>
      <w:r w:rsidRPr="00F467AE">
        <w:rPr>
          <w:rFonts w:asciiTheme="minorBidi" w:hAnsiTheme="minorBidi"/>
          <w:sz w:val="20"/>
          <w:szCs w:val="20"/>
        </w:rPr>
        <w:t>–179. doi:10.1038/nrg.2016.150</w:t>
      </w:r>
    </w:p>
    <w:p w14:paraId="51DFDC96"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Duffy JF, Czeisler CA. Effect of light on circadian physiology. </w:t>
      </w:r>
      <w:r w:rsidRPr="00F467AE">
        <w:rPr>
          <w:rFonts w:asciiTheme="minorBidi" w:hAnsiTheme="minorBidi"/>
          <w:i/>
          <w:iCs/>
          <w:sz w:val="20"/>
          <w:szCs w:val="20"/>
        </w:rPr>
        <w:t>Sleep Med Clin.</w:t>
      </w:r>
      <w:r w:rsidRPr="00F467AE">
        <w:rPr>
          <w:rFonts w:asciiTheme="minorBidi" w:hAnsiTheme="minorBidi"/>
          <w:sz w:val="20"/>
          <w:szCs w:val="20"/>
        </w:rPr>
        <w:t xml:space="preserve"> </w:t>
      </w:r>
      <w:proofErr w:type="gramStart"/>
      <w:r w:rsidRPr="00F467AE">
        <w:rPr>
          <w:rFonts w:asciiTheme="minorBidi" w:hAnsiTheme="minorBidi"/>
          <w:sz w:val="20"/>
          <w:szCs w:val="20"/>
        </w:rPr>
        <w:t>2009;4:165</w:t>
      </w:r>
      <w:proofErr w:type="gramEnd"/>
      <w:r w:rsidRPr="00F467AE">
        <w:rPr>
          <w:rFonts w:asciiTheme="minorBidi" w:hAnsiTheme="minorBidi"/>
          <w:sz w:val="20"/>
          <w:szCs w:val="20"/>
        </w:rPr>
        <w:t xml:space="preserve">–177. </w:t>
      </w:r>
      <w:proofErr w:type="gramStart"/>
      <w:r w:rsidRPr="00F467AE">
        <w:rPr>
          <w:rFonts w:asciiTheme="minorBidi" w:hAnsiTheme="minorBidi"/>
          <w:sz w:val="20"/>
          <w:szCs w:val="20"/>
        </w:rPr>
        <w:t>doi:10.1016/j.jsmc</w:t>
      </w:r>
      <w:proofErr w:type="gramEnd"/>
      <w:r w:rsidRPr="00F467AE">
        <w:rPr>
          <w:rFonts w:asciiTheme="minorBidi" w:hAnsiTheme="minorBidi"/>
          <w:sz w:val="20"/>
          <w:szCs w:val="20"/>
        </w:rPr>
        <w:t>.2009.01.004</w:t>
      </w:r>
    </w:p>
    <w:p w14:paraId="141E53E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Marhefkova N, Sládek M, Sumová A, Bendová Z, et al. </w:t>
      </w:r>
      <w:r w:rsidRPr="00F467AE">
        <w:rPr>
          <w:rFonts w:asciiTheme="minorBidi" w:hAnsiTheme="minorBidi"/>
          <w:sz w:val="20"/>
          <w:szCs w:val="20"/>
        </w:rPr>
        <w:t xml:space="preserve">Circadian dysfunction and cardiometabolic disorders. </w:t>
      </w:r>
      <w:r w:rsidRPr="00F467AE">
        <w:rPr>
          <w:rFonts w:asciiTheme="minorBidi" w:hAnsiTheme="minorBidi"/>
          <w:i/>
          <w:iCs/>
          <w:sz w:val="20"/>
          <w:szCs w:val="20"/>
        </w:rPr>
        <w:t>Front Endocrinol (Lausanne).</w:t>
      </w:r>
      <w:r w:rsidRPr="00F467AE">
        <w:rPr>
          <w:rFonts w:asciiTheme="minorBidi" w:hAnsiTheme="minorBidi"/>
          <w:sz w:val="20"/>
          <w:szCs w:val="20"/>
        </w:rPr>
        <w:t xml:space="preserve"> </w:t>
      </w:r>
      <w:proofErr w:type="gramStart"/>
      <w:r w:rsidRPr="00F467AE">
        <w:rPr>
          <w:rFonts w:asciiTheme="minorBidi" w:hAnsiTheme="minorBidi"/>
          <w:sz w:val="20"/>
          <w:szCs w:val="20"/>
        </w:rPr>
        <w:t>2024;15:1328139</w:t>
      </w:r>
      <w:proofErr w:type="gramEnd"/>
      <w:r w:rsidRPr="00F467AE">
        <w:rPr>
          <w:rFonts w:asciiTheme="minorBidi" w:hAnsiTheme="minorBidi"/>
          <w:sz w:val="20"/>
          <w:szCs w:val="20"/>
        </w:rPr>
        <w:t>. doi:10.3389/fendo.2024.1328139</w:t>
      </w:r>
    </w:p>
    <w:p w14:paraId="6A850CC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Cho H, Zhao X, Hatori M, Yu RT, Barish GD, Lam MT, et al. Regulation by REV-ERBα/β. </w:t>
      </w:r>
      <w:r w:rsidRPr="00F467AE">
        <w:rPr>
          <w:rFonts w:asciiTheme="minorBidi" w:hAnsiTheme="minorBidi"/>
          <w:i/>
          <w:iCs/>
          <w:sz w:val="20"/>
          <w:szCs w:val="20"/>
        </w:rPr>
        <w:t>Nature.</w:t>
      </w:r>
      <w:r w:rsidRPr="00F467AE">
        <w:rPr>
          <w:rFonts w:asciiTheme="minorBidi" w:hAnsiTheme="minorBidi"/>
          <w:sz w:val="20"/>
          <w:szCs w:val="20"/>
        </w:rPr>
        <w:t xml:space="preserve"> </w:t>
      </w:r>
      <w:proofErr w:type="gramStart"/>
      <w:r w:rsidRPr="00F467AE">
        <w:rPr>
          <w:rFonts w:asciiTheme="minorBidi" w:hAnsiTheme="minorBidi"/>
          <w:sz w:val="20"/>
          <w:szCs w:val="20"/>
        </w:rPr>
        <w:t>2012;485:123</w:t>
      </w:r>
      <w:proofErr w:type="gramEnd"/>
      <w:r w:rsidRPr="00F467AE">
        <w:rPr>
          <w:rFonts w:asciiTheme="minorBidi" w:hAnsiTheme="minorBidi"/>
          <w:sz w:val="20"/>
          <w:szCs w:val="20"/>
        </w:rPr>
        <w:t>–127. doi:10.1038/nature11048</w:t>
      </w:r>
    </w:p>
    <w:p w14:paraId="7F221DD8" w14:textId="77777777" w:rsidR="00C17C8E" w:rsidRPr="00C17C8E" w:rsidRDefault="00C17C8E" w:rsidP="00C17C8E">
      <w:pPr>
        <w:numPr>
          <w:ilvl w:val="0"/>
          <w:numId w:val="16"/>
        </w:numPr>
        <w:rPr>
          <w:rFonts w:asciiTheme="minorBidi" w:hAnsiTheme="minorBidi"/>
          <w:sz w:val="20"/>
          <w:szCs w:val="20"/>
          <w:highlight w:val="yellow"/>
        </w:rPr>
      </w:pPr>
      <w:r w:rsidRPr="00C322DA">
        <w:rPr>
          <w:rFonts w:asciiTheme="minorBidi" w:hAnsiTheme="minorBidi"/>
          <w:b/>
          <w:bCs/>
          <w:sz w:val="20"/>
          <w:szCs w:val="20"/>
          <w:highlight w:val="yellow"/>
          <w:lang w:val="nl-BE"/>
        </w:rPr>
        <w:t>Peek CB, Levine DC, Cedernaes J, Liu Z, Zhang EE, et al.</w:t>
      </w:r>
      <w:r w:rsidRPr="00C322DA">
        <w:rPr>
          <w:rFonts w:asciiTheme="minorBidi" w:hAnsiTheme="minorBidi"/>
          <w:sz w:val="20"/>
          <w:szCs w:val="20"/>
          <w:highlight w:val="yellow"/>
          <w:lang w:val="nl-BE"/>
        </w:rPr>
        <w:t xml:space="preserve"> </w:t>
      </w:r>
      <w:r w:rsidRPr="00C17C8E">
        <w:rPr>
          <w:rFonts w:asciiTheme="minorBidi" w:hAnsiTheme="minorBidi"/>
          <w:sz w:val="20"/>
          <w:szCs w:val="20"/>
          <w:highlight w:val="yellow"/>
        </w:rPr>
        <w:t>Circadian clock NAD</w:t>
      </w:r>
      <w:r w:rsidRPr="00C17C8E">
        <w:rPr>
          <w:rFonts w:ascii="Cambria Math" w:hAnsi="Cambria Math" w:cs="Cambria Math"/>
          <w:sz w:val="20"/>
          <w:szCs w:val="20"/>
          <w:highlight w:val="yellow"/>
        </w:rPr>
        <w:t>⁺</w:t>
      </w:r>
      <w:r w:rsidRPr="00C17C8E">
        <w:rPr>
          <w:rFonts w:asciiTheme="minorBidi" w:hAnsiTheme="minorBidi"/>
          <w:sz w:val="20"/>
          <w:szCs w:val="20"/>
          <w:highlight w:val="yellow"/>
        </w:rPr>
        <w:t xml:space="preserve"> cycle drives mitochondrial oxidative metabolism in mice. </w:t>
      </w:r>
      <w:r w:rsidRPr="00C17C8E">
        <w:rPr>
          <w:rFonts w:asciiTheme="minorBidi" w:hAnsiTheme="minorBidi"/>
          <w:i/>
          <w:iCs/>
          <w:sz w:val="20"/>
          <w:szCs w:val="20"/>
          <w:highlight w:val="yellow"/>
        </w:rPr>
        <w:t>Science.</w:t>
      </w:r>
      <w:r w:rsidRPr="00C17C8E">
        <w:rPr>
          <w:rFonts w:asciiTheme="minorBidi" w:hAnsiTheme="minorBidi"/>
          <w:sz w:val="20"/>
          <w:szCs w:val="20"/>
          <w:highlight w:val="yellow"/>
        </w:rPr>
        <w:t xml:space="preserve"> 2013;342(6158):1243417. doi:10.1126/science.1243417.</w:t>
      </w:r>
    </w:p>
    <w:p w14:paraId="3BE3AA2F" w14:textId="112CCF87" w:rsidR="007C1E11" w:rsidRPr="00F467AE" w:rsidRDefault="007C1E11" w:rsidP="00C17C8E">
      <w:pPr>
        <w:numPr>
          <w:ilvl w:val="0"/>
          <w:numId w:val="16"/>
        </w:numPr>
        <w:rPr>
          <w:rFonts w:asciiTheme="minorBidi" w:hAnsiTheme="minorBidi"/>
          <w:sz w:val="20"/>
          <w:szCs w:val="20"/>
        </w:rPr>
      </w:pPr>
      <w:r w:rsidRPr="00F467AE">
        <w:rPr>
          <w:rFonts w:asciiTheme="minorBidi" w:hAnsiTheme="minorBidi"/>
          <w:sz w:val="20"/>
          <w:szCs w:val="20"/>
        </w:rPr>
        <w:t xml:space="preserve">Peek CB, </w:t>
      </w:r>
      <w:proofErr w:type="spellStart"/>
      <w:r w:rsidRPr="00F467AE">
        <w:rPr>
          <w:rFonts w:asciiTheme="minorBidi" w:hAnsiTheme="minorBidi"/>
          <w:sz w:val="20"/>
          <w:szCs w:val="20"/>
        </w:rPr>
        <w:t>Affinati</w:t>
      </w:r>
      <w:proofErr w:type="spellEnd"/>
      <w:r w:rsidRPr="00F467AE">
        <w:rPr>
          <w:rFonts w:asciiTheme="minorBidi" w:hAnsiTheme="minorBidi"/>
          <w:sz w:val="20"/>
          <w:szCs w:val="20"/>
        </w:rPr>
        <w:t xml:space="preserve"> AH, Ramsey KM, Kuo HY, Yu W, Sena LA, et al. Circadian NAD</w:t>
      </w:r>
      <w:r w:rsidRPr="00F467AE">
        <w:rPr>
          <w:rFonts w:ascii="Cambria Math" w:hAnsi="Cambria Math" w:cs="Cambria Math"/>
          <w:sz w:val="20"/>
          <w:szCs w:val="20"/>
        </w:rPr>
        <w:t>⁺</w:t>
      </w:r>
      <w:r w:rsidRPr="00F467AE">
        <w:rPr>
          <w:rFonts w:asciiTheme="minorBidi" w:hAnsiTheme="minorBidi"/>
          <w:sz w:val="20"/>
          <w:szCs w:val="20"/>
        </w:rPr>
        <w:t xml:space="preserve"> cycle. </w:t>
      </w:r>
      <w:r w:rsidRPr="00F467AE">
        <w:rPr>
          <w:rFonts w:asciiTheme="minorBidi" w:hAnsiTheme="minorBidi"/>
          <w:i/>
          <w:iCs/>
          <w:sz w:val="20"/>
          <w:szCs w:val="20"/>
        </w:rPr>
        <w:t>Science.</w:t>
      </w:r>
      <w:r w:rsidRPr="00F467AE">
        <w:rPr>
          <w:rFonts w:asciiTheme="minorBidi" w:hAnsiTheme="minorBidi"/>
          <w:sz w:val="20"/>
          <w:szCs w:val="20"/>
        </w:rPr>
        <w:t xml:space="preserve"> </w:t>
      </w:r>
      <w:proofErr w:type="gramStart"/>
      <w:r w:rsidRPr="00F467AE">
        <w:rPr>
          <w:rFonts w:asciiTheme="minorBidi" w:hAnsiTheme="minorBidi"/>
          <w:sz w:val="20"/>
          <w:szCs w:val="20"/>
        </w:rPr>
        <w:t>2013;342:1243417</w:t>
      </w:r>
      <w:proofErr w:type="gramEnd"/>
      <w:r w:rsidRPr="00F467AE">
        <w:rPr>
          <w:rFonts w:asciiTheme="minorBidi" w:hAnsiTheme="minorBidi"/>
          <w:sz w:val="20"/>
          <w:szCs w:val="20"/>
        </w:rPr>
        <w:t>. doi:10.1126/science.1243417</w:t>
      </w:r>
    </w:p>
    <w:p w14:paraId="28049A67"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Gutierrez-Monreal MA, Cuevas-Díaz Durán R, Moreno-Cuevas JE, Scott SP, et al. </w:t>
      </w:r>
      <w:r w:rsidRPr="00F467AE">
        <w:rPr>
          <w:rFonts w:asciiTheme="minorBidi" w:hAnsiTheme="minorBidi"/>
          <w:sz w:val="20"/>
          <w:szCs w:val="20"/>
        </w:rPr>
        <w:t xml:space="preserve">Vitamin D and circadian genes. </w:t>
      </w:r>
      <w:r w:rsidRPr="00F467AE">
        <w:rPr>
          <w:rFonts w:asciiTheme="minorBidi" w:hAnsiTheme="minorBidi"/>
          <w:i/>
          <w:iCs/>
          <w:sz w:val="20"/>
          <w:szCs w:val="20"/>
        </w:rPr>
        <w:t>J Biol Rhythms.</w:t>
      </w:r>
      <w:r w:rsidRPr="00F467AE">
        <w:rPr>
          <w:rFonts w:asciiTheme="minorBidi" w:hAnsiTheme="minorBidi"/>
          <w:sz w:val="20"/>
          <w:szCs w:val="20"/>
        </w:rPr>
        <w:t xml:space="preserve"> </w:t>
      </w:r>
      <w:proofErr w:type="gramStart"/>
      <w:r w:rsidRPr="00F467AE">
        <w:rPr>
          <w:rFonts w:asciiTheme="minorBidi" w:hAnsiTheme="minorBidi"/>
          <w:sz w:val="20"/>
          <w:szCs w:val="20"/>
        </w:rPr>
        <w:t>2014;29:384</w:t>
      </w:r>
      <w:proofErr w:type="gramEnd"/>
      <w:r w:rsidRPr="00F467AE">
        <w:rPr>
          <w:rFonts w:asciiTheme="minorBidi" w:hAnsiTheme="minorBidi"/>
          <w:sz w:val="20"/>
          <w:szCs w:val="20"/>
        </w:rPr>
        <w:t>–388. doi:10.1177/0748730414549239</w:t>
      </w:r>
    </w:p>
    <w:p w14:paraId="53A42647"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Li W, Yu T. 25(OH)D and IGF-1. </w:t>
      </w:r>
      <w:r w:rsidRPr="00F467AE">
        <w:rPr>
          <w:rFonts w:asciiTheme="minorBidi" w:hAnsiTheme="minorBidi"/>
          <w:i/>
          <w:iCs/>
          <w:sz w:val="20"/>
          <w:szCs w:val="20"/>
        </w:rPr>
        <w:t xml:space="preserve">J Health </w:t>
      </w:r>
      <w:proofErr w:type="spellStart"/>
      <w:r w:rsidRPr="00F467AE">
        <w:rPr>
          <w:rFonts w:asciiTheme="minorBidi" w:hAnsiTheme="minorBidi"/>
          <w:i/>
          <w:iCs/>
          <w:sz w:val="20"/>
          <w:szCs w:val="20"/>
        </w:rPr>
        <w:t>Popul</w:t>
      </w:r>
      <w:proofErr w:type="spellEnd"/>
      <w:r w:rsidRPr="00F467AE">
        <w:rPr>
          <w:rFonts w:asciiTheme="minorBidi" w:hAnsiTheme="minorBidi"/>
          <w:i/>
          <w:iCs/>
          <w:sz w:val="20"/>
          <w:szCs w:val="20"/>
        </w:rPr>
        <w:t xml:space="preserve"> </w:t>
      </w:r>
      <w:proofErr w:type="spellStart"/>
      <w:r w:rsidRPr="00F467AE">
        <w:rPr>
          <w:rFonts w:asciiTheme="minorBidi" w:hAnsiTheme="minorBidi"/>
          <w:i/>
          <w:iCs/>
          <w:sz w:val="20"/>
          <w:szCs w:val="20"/>
        </w:rPr>
        <w:t>Nutr</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2023;42:35</w:t>
      </w:r>
      <w:proofErr w:type="gramEnd"/>
      <w:r w:rsidRPr="00F467AE">
        <w:rPr>
          <w:rFonts w:asciiTheme="minorBidi" w:hAnsiTheme="minorBidi"/>
          <w:sz w:val="20"/>
          <w:szCs w:val="20"/>
        </w:rPr>
        <w:t>. doi:10.1186/s41043-023-00374-6</w:t>
      </w:r>
    </w:p>
    <w:p w14:paraId="5B5D48DC"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lastRenderedPageBreak/>
        <w:t xml:space="preserve">Wacker M, Holick MF. Sunlight and vitamin D. </w:t>
      </w:r>
      <w:proofErr w:type="spellStart"/>
      <w:r w:rsidRPr="00F467AE">
        <w:rPr>
          <w:rFonts w:asciiTheme="minorBidi" w:hAnsiTheme="minorBidi"/>
          <w:i/>
          <w:iCs/>
          <w:sz w:val="20"/>
          <w:szCs w:val="20"/>
        </w:rPr>
        <w:t>Dermatoendocrinol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2013;5:51</w:t>
      </w:r>
      <w:proofErr w:type="gramEnd"/>
      <w:r w:rsidRPr="00F467AE">
        <w:rPr>
          <w:rFonts w:asciiTheme="minorBidi" w:hAnsiTheme="minorBidi"/>
          <w:sz w:val="20"/>
          <w:szCs w:val="20"/>
        </w:rPr>
        <w:t>–108. doi:10.4161/derm.24494</w:t>
      </w:r>
    </w:p>
    <w:p w14:paraId="24C0FC4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Zhao E, Tait C, Minacapelli CD, Deshpande V, Singh S, et al. </w:t>
      </w:r>
      <w:r w:rsidRPr="00F467AE">
        <w:rPr>
          <w:rFonts w:asciiTheme="minorBidi" w:hAnsiTheme="minorBidi"/>
          <w:sz w:val="20"/>
          <w:szCs w:val="20"/>
        </w:rPr>
        <w:t xml:space="preserve">Circadian rhythms and gut microbiome. </w:t>
      </w:r>
      <w:r w:rsidRPr="00F467AE">
        <w:rPr>
          <w:rFonts w:asciiTheme="minorBidi" w:hAnsiTheme="minorBidi"/>
          <w:i/>
          <w:iCs/>
          <w:sz w:val="20"/>
          <w:szCs w:val="20"/>
        </w:rPr>
        <w:t>Gastro Hep Adv.</w:t>
      </w:r>
      <w:r w:rsidRPr="00F467AE">
        <w:rPr>
          <w:rFonts w:asciiTheme="minorBidi" w:hAnsiTheme="minorBidi"/>
          <w:sz w:val="20"/>
          <w:szCs w:val="20"/>
        </w:rPr>
        <w:t xml:space="preserve"> </w:t>
      </w:r>
      <w:proofErr w:type="gramStart"/>
      <w:r w:rsidRPr="00F467AE">
        <w:rPr>
          <w:rFonts w:asciiTheme="minorBidi" w:hAnsiTheme="minorBidi"/>
          <w:sz w:val="20"/>
          <w:szCs w:val="20"/>
        </w:rPr>
        <w:t>2022;1:93</w:t>
      </w:r>
      <w:proofErr w:type="gramEnd"/>
      <w:r w:rsidRPr="00F467AE">
        <w:rPr>
          <w:rFonts w:asciiTheme="minorBidi" w:hAnsiTheme="minorBidi"/>
          <w:sz w:val="20"/>
          <w:szCs w:val="20"/>
        </w:rPr>
        <w:t xml:space="preserve">–105. </w:t>
      </w:r>
      <w:proofErr w:type="gramStart"/>
      <w:r w:rsidRPr="00F467AE">
        <w:rPr>
          <w:rFonts w:asciiTheme="minorBidi" w:hAnsiTheme="minorBidi"/>
          <w:sz w:val="20"/>
          <w:szCs w:val="20"/>
        </w:rPr>
        <w:t>doi:10.1016/j.gastha</w:t>
      </w:r>
      <w:proofErr w:type="gramEnd"/>
      <w:r w:rsidRPr="00F467AE">
        <w:rPr>
          <w:rFonts w:asciiTheme="minorBidi" w:hAnsiTheme="minorBidi"/>
          <w:sz w:val="20"/>
          <w:szCs w:val="20"/>
        </w:rPr>
        <w:t>.2021.10.008</w:t>
      </w:r>
    </w:p>
    <w:p w14:paraId="1A9C3B1E"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Song Y, Slominski RM, Qayyum S,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Kim TK, Tuckey RC, et al. Vitamin D3 hydroxyderivatives and AhR. </w:t>
      </w:r>
      <w:r w:rsidRPr="00F467AE">
        <w:rPr>
          <w:rFonts w:asciiTheme="minorBidi" w:hAnsiTheme="minorBidi"/>
          <w:i/>
          <w:iCs/>
          <w:sz w:val="20"/>
          <w:szCs w:val="20"/>
        </w:rPr>
        <w:t>Int J Biol Macromol.</w:t>
      </w:r>
      <w:r w:rsidRPr="00F467AE">
        <w:rPr>
          <w:rFonts w:asciiTheme="minorBidi" w:hAnsiTheme="minorBidi"/>
          <w:sz w:val="20"/>
          <w:szCs w:val="20"/>
        </w:rPr>
        <w:t xml:space="preserve"> </w:t>
      </w:r>
      <w:proofErr w:type="gramStart"/>
      <w:r w:rsidRPr="00F467AE">
        <w:rPr>
          <w:rFonts w:asciiTheme="minorBidi" w:hAnsiTheme="minorBidi"/>
          <w:sz w:val="20"/>
          <w:szCs w:val="20"/>
        </w:rPr>
        <w:t>2022;209:1111</w:t>
      </w:r>
      <w:proofErr w:type="gramEnd"/>
      <w:r w:rsidRPr="00F467AE">
        <w:rPr>
          <w:rFonts w:asciiTheme="minorBidi" w:hAnsiTheme="minorBidi"/>
          <w:sz w:val="20"/>
          <w:szCs w:val="20"/>
        </w:rPr>
        <w:t xml:space="preserve">–1123. </w:t>
      </w:r>
      <w:proofErr w:type="gramStart"/>
      <w:r w:rsidRPr="00F467AE">
        <w:rPr>
          <w:rFonts w:asciiTheme="minorBidi" w:hAnsiTheme="minorBidi"/>
          <w:sz w:val="20"/>
          <w:szCs w:val="20"/>
        </w:rPr>
        <w:t>doi:10.1016/j.ijbiomac</w:t>
      </w:r>
      <w:proofErr w:type="gramEnd"/>
      <w:r w:rsidRPr="00F467AE">
        <w:rPr>
          <w:rFonts w:asciiTheme="minorBidi" w:hAnsiTheme="minorBidi"/>
          <w:sz w:val="20"/>
          <w:szCs w:val="20"/>
        </w:rPr>
        <w:t>.2022.04.048</w:t>
      </w:r>
    </w:p>
    <w:p w14:paraId="7694AE4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Gnocchi D, </w:t>
      </w:r>
      <w:proofErr w:type="spellStart"/>
      <w:r w:rsidRPr="00F467AE">
        <w:rPr>
          <w:rFonts w:asciiTheme="minorBidi" w:hAnsiTheme="minorBidi"/>
          <w:sz w:val="20"/>
          <w:szCs w:val="20"/>
        </w:rPr>
        <w:t>Bruscalupi</w:t>
      </w:r>
      <w:proofErr w:type="spellEnd"/>
      <w:r w:rsidRPr="00F467AE">
        <w:rPr>
          <w:rFonts w:asciiTheme="minorBidi" w:hAnsiTheme="minorBidi"/>
          <w:sz w:val="20"/>
          <w:szCs w:val="20"/>
        </w:rPr>
        <w:t xml:space="preserve"> G. Circadian rhythms and hormones. </w:t>
      </w:r>
      <w:r w:rsidRPr="00F467AE">
        <w:rPr>
          <w:rFonts w:asciiTheme="minorBidi" w:hAnsiTheme="minorBidi"/>
          <w:i/>
          <w:iCs/>
          <w:sz w:val="20"/>
          <w:szCs w:val="20"/>
        </w:rPr>
        <w:t>Biology (Basel).</w:t>
      </w:r>
      <w:r w:rsidRPr="00F467AE">
        <w:rPr>
          <w:rFonts w:asciiTheme="minorBidi" w:hAnsiTheme="minorBidi"/>
          <w:sz w:val="20"/>
          <w:szCs w:val="20"/>
        </w:rPr>
        <w:t xml:space="preserve"> </w:t>
      </w:r>
      <w:proofErr w:type="gramStart"/>
      <w:r w:rsidRPr="00F467AE">
        <w:rPr>
          <w:rFonts w:asciiTheme="minorBidi" w:hAnsiTheme="minorBidi"/>
          <w:sz w:val="20"/>
          <w:szCs w:val="20"/>
        </w:rPr>
        <w:t>2017;6:10</w:t>
      </w:r>
      <w:proofErr w:type="gramEnd"/>
      <w:r w:rsidRPr="00F467AE">
        <w:rPr>
          <w:rFonts w:asciiTheme="minorBidi" w:hAnsiTheme="minorBidi"/>
          <w:sz w:val="20"/>
          <w:szCs w:val="20"/>
        </w:rPr>
        <w:t>. doi:10.3390/biology6010010</w:t>
      </w:r>
    </w:p>
    <w:p w14:paraId="40EE1B4E"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Sulli G, Manoogian ENC, Taub PR, Panda S, et al. </w:t>
      </w:r>
      <w:r w:rsidRPr="00F467AE">
        <w:rPr>
          <w:rFonts w:asciiTheme="minorBidi" w:hAnsiTheme="minorBidi"/>
          <w:sz w:val="20"/>
          <w:szCs w:val="20"/>
        </w:rPr>
        <w:t xml:space="preserve">Training the circadian clock. </w:t>
      </w:r>
      <w:r w:rsidRPr="00F467AE">
        <w:rPr>
          <w:rFonts w:asciiTheme="minorBidi" w:hAnsiTheme="minorBidi"/>
          <w:i/>
          <w:iCs/>
          <w:sz w:val="20"/>
          <w:szCs w:val="20"/>
        </w:rPr>
        <w:t xml:space="preserve">Trends </w:t>
      </w:r>
      <w:proofErr w:type="spellStart"/>
      <w:r w:rsidRPr="00F467AE">
        <w:rPr>
          <w:rFonts w:asciiTheme="minorBidi" w:hAnsiTheme="minorBidi"/>
          <w:i/>
          <w:iCs/>
          <w:sz w:val="20"/>
          <w:szCs w:val="20"/>
        </w:rPr>
        <w:t>Pharmacol</w:t>
      </w:r>
      <w:proofErr w:type="spellEnd"/>
      <w:r w:rsidRPr="00F467AE">
        <w:rPr>
          <w:rFonts w:asciiTheme="minorBidi" w:hAnsiTheme="minorBidi"/>
          <w:i/>
          <w:iCs/>
          <w:sz w:val="20"/>
          <w:szCs w:val="20"/>
        </w:rPr>
        <w:t xml:space="preserve"> Sci.</w:t>
      </w:r>
      <w:r w:rsidRPr="00F467AE">
        <w:rPr>
          <w:rFonts w:asciiTheme="minorBidi" w:hAnsiTheme="minorBidi"/>
          <w:sz w:val="20"/>
          <w:szCs w:val="20"/>
        </w:rPr>
        <w:t xml:space="preserve"> </w:t>
      </w:r>
      <w:proofErr w:type="gramStart"/>
      <w:r w:rsidRPr="00F467AE">
        <w:rPr>
          <w:rFonts w:asciiTheme="minorBidi" w:hAnsiTheme="minorBidi"/>
          <w:sz w:val="20"/>
          <w:szCs w:val="20"/>
        </w:rPr>
        <w:t>2018;39:812</w:t>
      </w:r>
      <w:proofErr w:type="gramEnd"/>
      <w:r w:rsidRPr="00F467AE">
        <w:rPr>
          <w:rFonts w:asciiTheme="minorBidi" w:hAnsiTheme="minorBidi"/>
          <w:sz w:val="20"/>
          <w:szCs w:val="20"/>
        </w:rPr>
        <w:t xml:space="preserve">–827. </w:t>
      </w:r>
      <w:proofErr w:type="gramStart"/>
      <w:r w:rsidRPr="00F467AE">
        <w:rPr>
          <w:rFonts w:asciiTheme="minorBidi" w:hAnsiTheme="minorBidi"/>
          <w:sz w:val="20"/>
          <w:szCs w:val="20"/>
        </w:rPr>
        <w:t>doi:10.1016/j.tips</w:t>
      </w:r>
      <w:proofErr w:type="gramEnd"/>
      <w:r w:rsidRPr="00F467AE">
        <w:rPr>
          <w:rFonts w:asciiTheme="minorBidi" w:hAnsiTheme="minorBidi"/>
          <w:sz w:val="20"/>
          <w:szCs w:val="20"/>
        </w:rPr>
        <w:t>.2018.07.003</w:t>
      </w:r>
    </w:p>
    <w:p w14:paraId="099A4699"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Takeda Y, Jothi R, </w:t>
      </w:r>
      <w:proofErr w:type="spellStart"/>
      <w:r w:rsidRPr="00F467AE">
        <w:rPr>
          <w:rFonts w:asciiTheme="minorBidi" w:hAnsiTheme="minorBidi"/>
          <w:sz w:val="20"/>
          <w:szCs w:val="20"/>
        </w:rPr>
        <w:t>Birault</w:t>
      </w:r>
      <w:proofErr w:type="spellEnd"/>
      <w:r w:rsidRPr="00F467AE">
        <w:rPr>
          <w:rFonts w:asciiTheme="minorBidi" w:hAnsiTheme="minorBidi"/>
          <w:sz w:val="20"/>
          <w:szCs w:val="20"/>
        </w:rPr>
        <w:t xml:space="preserve"> V, </w:t>
      </w:r>
      <w:proofErr w:type="spellStart"/>
      <w:r w:rsidRPr="00F467AE">
        <w:rPr>
          <w:rFonts w:asciiTheme="minorBidi" w:hAnsiTheme="minorBidi"/>
          <w:sz w:val="20"/>
          <w:szCs w:val="20"/>
        </w:rPr>
        <w:t>Jetten</w:t>
      </w:r>
      <w:proofErr w:type="spellEnd"/>
      <w:r w:rsidRPr="00F467AE">
        <w:rPr>
          <w:rFonts w:asciiTheme="minorBidi" w:hAnsiTheme="minorBidi"/>
          <w:sz w:val="20"/>
          <w:szCs w:val="20"/>
        </w:rPr>
        <w:t xml:space="preserve"> AM, et al.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regulation of clock genes. </w:t>
      </w:r>
      <w:r w:rsidRPr="00F467AE">
        <w:rPr>
          <w:rFonts w:asciiTheme="minorBidi" w:hAnsiTheme="minorBidi"/>
          <w:i/>
          <w:iCs/>
          <w:sz w:val="20"/>
          <w:szCs w:val="20"/>
        </w:rPr>
        <w:t>Nucleic Acids Res.</w:t>
      </w:r>
      <w:r w:rsidRPr="00F467AE">
        <w:rPr>
          <w:rFonts w:asciiTheme="minorBidi" w:hAnsiTheme="minorBidi"/>
          <w:sz w:val="20"/>
          <w:szCs w:val="20"/>
        </w:rPr>
        <w:t xml:space="preserve"> </w:t>
      </w:r>
      <w:proofErr w:type="gramStart"/>
      <w:r w:rsidRPr="00F467AE">
        <w:rPr>
          <w:rFonts w:asciiTheme="minorBidi" w:hAnsiTheme="minorBidi"/>
          <w:sz w:val="20"/>
          <w:szCs w:val="20"/>
        </w:rPr>
        <w:t>2012;40:8119</w:t>
      </w:r>
      <w:proofErr w:type="gramEnd"/>
      <w:r w:rsidRPr="00F467AE">
        <w:rPr>
          <w:rFonts w:asciiTheme="minorBidi" w:hAnsiTheme="minorBidi"/>
          <w:sz w:val="20"/>
          <w:szCs w:val="20"/>
        </w:rPr>
        <w:t>–8135. doi:10.1093/</w:t>
      </w:r>
      <w:proofErr w:type="spellStart"/>
      <w:r w:rsidRPr="00F467AE">
        <w:rPr>
          <w:rFonts w:asciiTheme="minorBidi" w:hAnsiTheme="minorBidi"/>
          <w:sz w:val="20"/>
          <w:szCs w:val="20"/>
        </w:rPr>
        <w:t>nar</w:t>
      </w:r>
      <w:proofErr w:type="spellEnd"/>
      <w:r w:rsidRPr="00F467AE">
        <w:rPr>
          <w:rFonts w:asciiTheme="minorBidi" w:hAnsiTheme="minorBidi"/>
          <w:sz w:val="20"/>
          <w:szCs w:val="20"/>
        </w:rPr>
        <w:t>/gks630</w:t>
      </w:r>
    </w:p>
    <w:p w14:paraId="7E930517"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Kord-Varkaneh</w:t>
      </w:r>
      <w:proofErr w:type="spellEnd"/>
      <w:r w:rsidRPr="00F467AE">
        <w:rPr>
          <w:rFonts w:asciiTheme="minorBidi" w:hAnsiTheme="minorBidi"/>
          <w:sz w:val="20"/>
          <w:szCs w:val="20"/>
        </w:rPr>
        <w:t xml:space="preserve"> H, Rinaldi G, </w:t>
      </w:r>
      <w:proofErr w:type="spellStart"/>
      <w:r w:rsidRPr="00F467AE">
        <w:rPr>
          <w:rFonts w:asciiTheme="minorBidi" w:hAnsiTheme="minorBidi"/>
          <w:sz w:val="20"/>
          <w:szCs w:val="20"/>
        </w:rPr>
        <w:t>Hekmatdoost</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Fatahi</w:t>
      </w:r>
      <w:proofErr w:type="spellEnd"/>
      <w:r w:rsidRPr="00F467AE">
        <w:rPr>
          <w:rFonts w:asciiTheme="minorBidi" w:hAnsiTheme="minorBidi"/>
          <w:sz w:val="20"/>
          <w:szCs w:val="20"/>
        </w:rPr>
        <w:t xml:space="preserve"> S, Tan SC, </w:t>
      </w:r>
      <w:proofErr w:type="spellStart"/>
      <w:r w:rsidRPr="00F467AE">
        <w:rPr>
          <w:rFonts w:asciiTheme="minorBidi" w:hAnsiTheme="minorBidi"/>
          <w:sz w:val="20"/>
          <w:szCs w:val="20"/>
        </w:rPr>
        <w:t>Shidfar</w:t>
      </w:r>
      <w:proofErr w:type="spellEnd"/>
      <w:r w:rsidRPr="00F467AE">
        <w:rPr>
          <w:rFonts w:asciiTheme="minorBidi" w:hAnsiTheme="minorBidi"/>
          <w:sz w:val="20"/>
          <w:szCs w:val="20"/>
        </w:rPr>
        <w:t xml:space="preserve"> F, et al. Vitamin D supplementation and IGF-1. </w:t>
      </w:r>
      <w:r w:rsidRPr="00F467AE">
        <w:rPr>
          <w:rFonts w:asciiTheme="minorBidi" w:hAnsiTheme="minorBidi"/>
          <w:i/>
          <w:iCs/>
          <w:sz w:val="20"/>
          <w:szCs w:val="20"/>
        </w:rPr>
        <w:t>Ageing Res Rev.</w:t>
      </w:r>
      <w:r w:rsidRPr="00F467AE">
        <w:rPr>
          <w:rFonts w:asciiTheme="minorBidi" w:hAnsiTheme="minorBidi"/>
          <w:sz w:val="20"/>
          <w:szCs w:val="20"/>
        </w:rPr>
        <w:t xml:space="preserve"> </w:t>
      </w:r>
      <w:proofErr w:type="gramStart"/>
      <w:r w:rsidRPr="00F467AE">
        <w:rPr>
          <w:rFonts w:asciiTheme="minorBidi" w:hAnsiTheme="minorBidi"/>
          <w:sz w:val="20"/>
          <w:szCs w:val="20"/>
        </w:rPr>
        <w:t>2020;57:100996</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doi:10.1016/j.arr</w:t>
      </w:r>
      <w:proofErr w:type="gramEnd"/>
      <w:r w:rsidRPr="00F467AE">
        <w:rPr>
          <w:rFonts w:asciiTheme="minorBidi" w:hAnsiTheme="minorBidi"/>
          <w:sz w:val="20"/>
          <w:szCs w:val="20"/>
        </w:rPr>
        <w:t>.2019.100996</w:t>
      </w:r>
    </w:p>
    <w:p w14:paraId="69373552" w14:textId="77777777" w:rsidR="007C1E11" w:rsidRPr="00F467AE" w:rsidRDefault="007C1E11" w:rsidP="007C1E11">
      <w:pPr>
        <w:numPr>
          <w:ilvl w:val="0"/>
          <w:numId w:val="16"/>
        </w:numPr>
        <w:rPr>
          <w:rFonts w:asciiTheme="minorBidi" w:hAnsiTheme="minorBidi"/>
          <w:sz w:val="20"/>
          <w:szCs w:val="20"/>
        </w:rPr>
      </w:pPr>
      <w:r w:rsidRPr="00C322DA">
        <w:rPr>
          <w:rFonts w:asciiTheme="minorBidi" w:hAnsiTheme="minorBidi"/>
          <w:sz w:val="20"/>
          <w:szCs w:val="20"/>
          <w:lang w:val="nl-BE"/>
        </w:rPr>
        <w:t xml:space="preserve">Wang W, Duan X, Huang Z, Pan Q, Chen C, Guo L, et al. </w:t>
      </w:r>
      <w:r w:rsidRPr="00F467AE">
        <w:rPr>
          <w:rFonts w:asciiTheme="minorBidi" w:hAnsiTheme="minorBidi"/>
          <w:sz w:val="20"/>
          <w:szCs w:val="20"/>
        </w:rPr>
        <w:t xml:space="preserve">GH–IGF-1 axis in circadian rhythm. </w:t>
      </w:r>
      <w:r w:rsidRPr="00F467AE">
        <w:rPr>
          <w:rFonts w:asciiTheme="minorBidi" w:hAnsiTheme="minorBidi"/>
          <w:i/>
          <w:iCs/>
          <w:sz w:val="20"/>
          <w:szCs w:val="20"/>
        </w:rPr>
        <w:t xml:space="preserve">Front Mol </w:t>
      </w:r>
      <w:proofErr w:type="spellStart"/>
      <w:r w:rsidRPr="00F467AE">
        <w:rPr>
          <w:rFonts w:asciiTheme="minorBidi" w:hAnsiTheme="minorBidi"/>
          <w:i/>
          <w:iCs/>
          <w:sz w:val="20"/>
          <w:szCs w:val="20"/>
        </w:rPr>
        <w:t>Neurosci</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2021;14:742294</w:t>
      </w:r>
      <w:proofErr w:type="gramEnd"/>
      <w:r w:rsidRPr="00F467AE">
        <w:rPr>
          <w:rFonts w:asciiTheme="minorBidi" w:hAnsiTheme="minorBidi"/>
          <w:sz w:val="20"/>
          <w:szCs w:val="20"/>
        </w:rPr>
        <w:t>. doi:10.3389/fnmol.2021.742294</w:t>
      </w:r>
    </w:p>
    <w:p w14:paraId="06056F46"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Mostafa WZ, Hegazy RA. Vitamin D and the skin. </w:t>
      </w:r>
      <w:r w:rsidRPr="00F467AE">
        <w:rPr>
          <w:rFonts w:asciiTheme="minorBidi" w:hAnsiTheme="minorBidi"/>
          <w:i/>
          <w:iCs/>
          <w:sz w:val="20"/>
          <w:szCs w:val="20"/>
        </w:rPr>
        <w:t>J Adv Res.</w:t>
      </w:r>
      <w:r w:rsidRPr="00F467AE">
        <w:rPr>
          <w:rFonts w:asciiTheme="minorBidi" w:hAnsiTheme="minorBidi"/>
          <w:sz w:val="20"/>
          <w:szCs w:val="20"/>
        </w:rPr>
        <w:t xml:space="preserve"> </w:t>
      </w:r>
      <w:proofErr w:type="gramStart"/>
      <w:r w:rsidRPr="00F467AE">
        <w:rPr>
          <w:rFonts w:asciiTheme="minorBidi" w:hAnsiTheme="minorBidi"/>
          <w:sz w:val="20"/>
          <w:szCs w:val="20"/>
        </w:rPr>
        <w:t>2015;6:793</w:t>
      </w:r>
      <w:proofErr w:type="gramEnd"/>
      <w:r w:rsidRPr="00F467AE">
        <w:rPr>
          <w:rFonts w:asciiTheme="minorBidi" w:hAnsiTheme="minorBidi"/>
          <w:sz w:val="20"/>
          <w:szCs w:val="20"/>
        </w:rPr>
        <w:t xml:space="preserve">–804. </w:t>
      </w:r>
      <w:proofErr w:type="gramStart"/>
      <w:r w:rsidRPr="00F467AE">
        <w:rPr>
          <w:rFonts w:asciiTheme="minorBidi" w:hAnsiTheme="minorBidi"/>
          <w:sz w:val="20"/>
          <w:szCs w:val="20"/>
        </w:rPr>
        <w:t>doi:10.1016/j.jare</w:t>
      </w:r>
      <w:proofErr w:type="gramEnd"/>
      <w:r w:rsidRPr="00F467AE">
        <w:rPr>
          <w:rFonts w:asciiTheme="minorBidi" w:hAnsiTheme="minorBidi"/>
          <w:sz w:val="20"/>
          <w:szCs w:val="20"/>
        </w:rPr>
        <w:t>.2014.01.011</w:t>
      </w:r>
    </w:p>
    <w:p w14:paraId="198A73CC"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Hatori M, Vollmers C, Zarrinpar A, DiTacchio L, Bushong EA, Gill S, et al. </w:t>
      </w:r>
      <w:r w:rsidRPr="00F467AE">
        <w:rPr>
          <w:rFonts w:asciiTheme="minorBidi" w:hAnsiTheme="minorBidi"/>
          <w:sz w:val="20"/>
          <w:szCs w:val="20"/>
        </w:rPr>
        <w:t xml:space="preserve">Time-restricted feeding. </w:t>
      </w:r>
      <w:r w:rsidRPr="00F467AE">
        <w:rPr>
          <w:rFonts w:asciiTheme="minorBidi" w:hAnsiTheme="minorBidi"/>
          <w:i/>
          <w:iCs/>
          <w:sz w:val="20"/>
          <w:szCs w:val="20"/>
        </w:rPr>
        <w:t xml:space="preserve">Cell </w:t>
      </w:r>
      <w:proofErr w:type="spellStart"/>
      <w:r w:rsidRPr="00F467AE">
        <w:rPr>
          <w:rFonts w:asciiTheme="minorBidi" w:hAnsiTheme="minorBidi"/>
          <w:i/>
          <w:iCs/>
          <w:sz w:val="20"/>
          <w:szCs w:val="20"/>
        </w:rPr>
        <w:t>Metab</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2012;15:848</w:t>
      </w:r>
      <w:proofErr w:type="gramEnd"/>
      <w:r w:rsidRPr="00F467AE">
        <w:rPr>
          <w:rFonts w:asciiTheme="minorBidi" w:hAnsiTheme="minorBidi"/>
          <w:sz w:val="20"/>
          <w:szCs w:val="20"/>
        </w:rPr>
        <w:t xml:space="preserve">–860. </w:t>
      </w:r>
      <w:proofErr w:type="gramStart"/>
      <w:r w:rsidRPr="00F467AE">
        <w:rPr>
          <w:rFonts w:asciiTheme="minorBidi" w:hAnsiTheme="minorBidi"/>
          <w:sz w:val="20"/>
          <w:szCs w:val="20"/>
        </w:rPr>
        <w:t>doi:10.1016/j.cmet</w:t>
      </w:r>
      <w:proofErr w:type="gramEnd"/>
      <w:r w:rsidRPr="00F467AE">
        <w:rPr>
          <w:rFonts w:asciiTheme="minorBidi" w:hAnsiTheme="minorBidi"/>
          <w:sz w:val="20"/>
          <w:szCs w:val="20"/>
        </w:rPr>
        <w:t>.2012.04.019</w:t>
      </w:r>
    </w:p>
    <w:p w14:paraId="6F8928C1"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Panda S. Circadian physiology of metabolism. </w:t>
      </w:r>
      <w:r w:rsidRPr="00F467AE">
        <w:rPr>
          <w:rFonts w:asciiTheme="minorBidi" w:hAnsiTheme="minorBidi"/>
          <w:i/>
          <w:iCs/>
          <w:sz w:val="20"/>
          <w:szCs w:val="20"/>
        </w:rPr>
        <w:t>Science.</w:t>
      </w:r>
      <w:r w:rsidRPr="00F467AE">
        <w:rPr>
          <w:rFonts w:asciiTheme="minorBidi" w:hAnsiTheme="minorBidi"/>
          <w:sz w:val="20"/>
          <w:szCs w:val="20"/>
        </w:rPr>
        <w:t xml:space="preserve"> </w:t>
      </w:r>
      <w:proofErr w:type="gramStart"/>
      <w:r w:rsidRPr="00F467AE">
        <w:rPr>
          <w:rFonts w:asciiTheme="minorBidi" w:hAnsiTheme="minorBidi"/>
          <w:sz w:val="20"/>
          <w:szCs w:val="20"/>
        </w:rPr>
        <w:t>2016;354:1008</w:t>
      </w:r>
      <w:proofErr w:type="gramEnd"/>
      <w:r w:rsidRPr="00F467AE">
        <w:rPr>
          <w:rFonts w:asciiTheme="minorBidi" w:hAnsiTheme="minorBidi"/>
          <w:sz w:val="20"/>
          <w:szCs w:val="20"/>
        </w:rPr>
        <w:t>–1015. doi:10.1126/</w:t>
      </w:r>
      <w:proofErr w:type="gramStart"/>
      <w:r w:rsidRPr="00F467AE">
        <w:rPr>
          <w:rFonts w:asciiTheme="minorBidi" w:hAnsiTheme="minorBidi"/>
          <w:sz w:val="20"/>
          <w:szCs w:val="20"/>
        </w:rPr>
        <w:t>science.aah</w:t>
      </w:r>
      <w:proofErr w:type="gramEnd"/>
      <w:r w:rsidRPr="00F467AE">
        <w:rPr>
          <w:rFonts w:asciiTheme="minorBidi" w:hAnsiTheme="minorBidi"/>
          <w:sz w:val="20"/>
          <w:szCs w:val="20"/>
        </w:rPr>
        <w:t>4967</w:t>
      </w:r>
    </w:p>
    <w:p w14:paraId="7BED7789"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Dibner C, Schibler U, Albrecht U. Mammalian circadian timing system. </w:t>
      </w:r>
      <w:r w:rsidRPr="00F467AE">
        <w:rPr>
          <w:rFonts w:asciiTheme="minorBidi" w:hAnsiTheme="minorBidi"/>
          <w:i/>
          <w:iCs/>
          <w:sz w:val="20"/>
          <w:szCs w:val="20"/>
        </w:rPr>
        <w:t>Annu Rev Physiol.</w:t>
      </w:r>
      <w:r w:rsidRPr="00F467AE">
        <w:rPr>
          <w:rFonts w:asciiTheme="minorBidi" w:hAnsiTheme="minorBidi"/>
          <w:sz w:val="20"/>
          <w:szCs w:val="20"/>
        </w:rPr>
        <w:t xml:space="preserve"> </w:t>
      </w:r>
      <w:proofErr w:type="gramStart"/>
      <w:r w:rsidRPr="00F467AE">
        <w:rPr>
          <w:rFonts w:asciiTheme="minorBidi" w:hAnsiTheme="minorBidi"/>
          <w:sz w:val="20"/>
          <w:szCs w:val="20"/>
        </w:rPr>
        <w:t>2010;72:517</w:t>
      </w:r>
      <w:proofErr w:type="gramEnd"/>
      <w:r w:rsidRPr="00F467AE">
        <w:rPr>
          <w:rFonts w:asciiTheme="minorBidi" w:hAnsiTheme="minorBidi"/>
          <w:sz w:val="20"/>
          <w:szCs w:val="20"/>
        </w:rPr>
        <w:t>–549. doi:10.1146/annurev-physiol-021909-135821</w:t>
      </w:r>
    </w:p>
    <w:p w14:paraId="600FB3AF"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Roenneberg</w:t>
      </w:r>
      <w:proofErr w:type="spellEnd"/>
      <w:r w:rsidRPr="00F467AE">
        <w:rPr>
          <w:rFonts w:asciiTheme="minorBidi" w:hAnsiTheme="minorBidi"/>
          <w:sz w:val="20"/>
          <w:szCs w:val="20"/>
        </w:rPr>
        <w:t xml:space="preserve"> T, Merrow M. Circadian clock and human health. </w:t>
      </w:r>
      <w:r w:rsidRPr="00F467AE">
        <w:rPr>
          <w:rFonts w:asciiTheme="minorBidi" w:hAnsiTheme="minorBidi"/>
          <w:i/>
          <w:iCs/>
          <w:sz w:val="20"/>
          <w:szCs w:val="20"/>
        </w:rPr>
        <w:t>Curr Biol.</w:t>
      </w:r>
      <w:r w:rsidRPr="00F467AE">
        <w:rPr>
          <w:rFonts w:asciiTheme="minorBidi" w:hAnsiTheme="minorBidi"/>
          <w:sz w:val="20"/>
          <w:szCs w:val="20"/>
        </w:rPr>
        <w:t xml:space="preserve"> 2016;</w:t>
      </w:r>
      <w:proofErr w:type="gramStart"/>
      <w:r w:rsidRPr="00F467AE">
        <w:rPr>
          <w:rFonts w:asciiTheme="minorBidi" w:hAnsiTheme="minorBidi"/>
          <w:sz w:val="20"/>
          <w:szCs w:val="20"/>
        </w:rPr>
        <w:t>26:R</w:t>
      </w:r>
      <w:proofErr w:type="gramEnd"/>
      <w:r w:rsidRPr="00F467AE">
        <w:rPr>
          <w:rFonts w:asciiTheme="minorBidi" w:hAnsiTheme="minorBidi"/>
          <w:sz w:val="20"/>
          <w:szCs w:val="20"/>
        </w:rPr>
        <w:t xml:space="preserve">432–R443. </w:t>
      </w:r>
      <w:proofErr w:type="gramStart"/>
      <w:r w:rsidRPr="00F467AE">
        <w:rPr>
          <w:rFonts w:asciiTheme="minorBidi" w:hAnsiTheme="minorBidi"/>
          <w:sz w:val="20"/>
          <w:szCs w:val="20"/>
        </w:rPr>
        <w:t>doi:10.1016/j.cub</w:t>
      </w:r>
      <w:proofErr w:type="gramEnd"/>
      <w:r w:rsidRPr="00F467AE">
        <w:rPr>
          <w:rFonts w:asciiTheme="minorBidi" w:hAnsiTheme="minorBidi"/>
          <w:sz w:val="20"/>
          <w:szCs w:val="20"/>
        </w:rPr>
        <w:t>.2016.04.011</w:t>
      </w:r>
    </w:p>
    <w:p w14:paraId="556D3696"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Huiberts</w:t>
      </w:r>
      <w:proofErr w:type="spellEnd"/>
      <w:r w:rsidRPr="00F467AE">
        <w:rPr>
          <w:rFonts w:asciiTheme="minorBidi" w:hAnsiTheme="minorBidi"/>
          <w:sz w:val="20"/>
          <w:szCs w:val="20"/>
        </w:rPr>
        <w:t xml:space="preserve"> LM, Smolders KCHJ. Effects of vitamin D on mood and sleep. </w:t>
      </w:r>
      <w:r w:rsidRPr="00F467AE">
        <w:rPr>
          <w:rFonts w:asciiTheme="minorBidi" w:hAnsiTheme="minorBidi"/>
          <w:i/>
          <w:iCs/>
          <w:sz w:val="20"/>
          <w:szCs w:val="20"/>
        </w:rPr>
        <w:t>Sleep Med Rev.</w:t>
      </w:r>
      <w:r w:rsidRPr="00F467AE">
        <w:rPr>
          <w:rFonts w:asciiTheme="minorBidi" w:hAnsiTheme="minorBidi"/>
          <w:sz w:val="20"/>
          <w:szCs w:val="20"/>
        </w:rPr>
        <w:t xml:space="preserve"> </w:t>
      </w:r>
      <w:proofErr w:type="gramStart"/>
      <w:r w:rsidRPr="00F467AE">
        <w:rPr>
          <w:rFonts w:asciiTheme="minorBidi" w:hAnsiTheme="minorBidi"/>
          <w:sz w:val="20"/>
          <w:szCs w:val="20"/>
        </w:rPr>
        <w:t>2021;55:101379</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doi:10.1016/j.smrv</w:t>
      </w:r>
      <w:proofErr w:type="gramEnd"/>
      <w:r w:rsidRPr="00F467AE">
        <w:rPr>
          <w:rFonts w:asciiTheme="minorBidi" w:hAnsiTheme="minorBidi"/>
          <w:sz w:val="20"/>
          <w:szCs w:val="20"/>
        </w:rPr>
        <w:t>.2020.101379</w:t>
      </w:r>
    </w:p>
    <w:p w14:paraId="59D3F58D"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O’Neill JS, Reddy AB. Circadian clocks in red blood cells. </w:t>
      </w:r>
      <w:r w:rsidRPr="00F467AE">
        <w:rPr>
          <w:rFonts w:asciiTheme="minorBidi" w:hAnsiTheme="minorBidi"/>
          <w:i/>
          <w:iCs/>
          <w:sz w:val="20"/>
          <w:szCs w:val="20"/>
        </w:rPr>
        <w:t>Nature.</w:t>
      </w:r>
      <w:r w:rsidRPr="00F467AE">
        <w:rPr>
          <w:rFonts w:asciiTheme="minorBidi" w:hAnsiTheme="minorBidi"/>
          <w:sz w:val="20"/>
          <w:szCs w:val="20"/>
        </w:rPr>
        <w:t xml:space="preserve"> </w:t>
      </w:r>
      <w:proofErr w:type="gramStart"/>
      <w:r w:rsidRPr="00F467AE">
        <w:rPr>
          <w:rFonts w:asciiTheme="minorBidi" w:hAnsiTheme="minorBidi"/>
          <w:sz w:val="20"/>
          <w:szCs w:val="20"/>
        </w:rPr>
        <w:t>2011;469:498</w:t>
      </w:r>
      <w:proofErr w:type="gramEnd"/>
      <w:r w:rsidRPr="00F467AE">
        <w:rPr>
          <w:rFonts w:asciiTheme="minorBidi" w:hAnsiTheme="minorBidi"/>
          <w:sz w:val="20"/>
          <w:szCs w:val="20"/>
        </w:rPr>
        <w:t>–503. doi:10.1038/nature09702</w:t>
      </w:r>
    </w:p>
    <w:p w14:paraId="2556BF91" w14:textId="77777777" w:rsidR="00463558" w:rsidRPr="00F467AE" w:rsidRDefault="00463558">
      <w:pPr>
        <w:rPr>
          <w:rFonts w:asciiTheme="minorBidi" w:hAnsiTheme="minorBidi"/>
          <w:sz w:val="20"/>
          <w:szCs w:val="20"/>
        </w:rPr>
      </w:pPr>
    </w:p>
    <w:p w14:paraId="70C54E4D" w14:textId="77777777" w:rsidR="00463558" w:rsidRPr="00F467AE" w:rsidRDefault="00463558">
      <w:pPr>
        <w:rPr>
          <w:rFonts w:asciiTheme="minorBidi" w:hAnsiTheme="minorBidi"/>
          <w:sz w:val="20"/>
          <w:szCs w:val="20"/>
        </w:rPr>
      </w:pPr>
      <w:r w:rsidRPr="00F467AE">
        <w:rPr>
          <w:rFonts w:asciiTheme="minorBidi" w:hAnsiTheme="minorBidi"/>
          <w:sz w:val="20"/>
          <w:szCs w:val="20"/>
        </w:rPr>
        <w:br w:type="page"/>
      </w:r>
    </w:p>
    <w:p w14:paraId="107A7049" w14:textId="77777777" w:rsidR="00463558" w:rsidRPr="00F467AE" w:rsidRDefault="00463558" w:rsidP="00463558">
      <w:pPr>
        <w:spacing w:after="0"/>
        <w:rPr>
          <w:rFonts w:asciiTheme="minorBidi" w:hAnsiTheme="minorBidi"/>
          <w:b/>
          <w:bCs/>
          <w:sz w:val="20"/>
          <w:szCs w:val="20"/>
        </w:rPr>
      </w:pPr>
      <w:r w:rsidRPr="00F467AE">
        <w:rPr>
          <w:rFonts w:asciiTheme="minorBidi" w:hAnsiTheme="minorBidi"/>
          <w:b/>
          <w:bCs/>
          <w:sz w:val="20"/>
          <w:szCs w:val="20"/>
        </w:rPr>
        <w:lastRenderedPageBreak/>
        <w:t>Appendix</w:t>
      </w:r>
    </w:p>
    <w:p w14:paraId="5B513DD9" w14:textId="77777777" w:rsidR="00463558" w:rsidRPr="00F467AE" w:rsidRDefault="00463558" w:rsidP="00463558">
      <w:pPr>
        <w:spacing w:after="0"/>
        <w:rPr>
          <w:rFonts w:asciiTheme="minorBidi" w:hAnsiTheme="minorBidi"/>
          <w:b/>
          <w:bCs/>
          <w:sz w:val="20"/>
          <w:szCs w:val="20"/>
        </w:rPr>
      </w:pPr>
    </w:p>
    <w:p w14:paraId="5C59DC47" w14:textId="44325E1C" w:rsidR="00463558" w:rsidRPr="00F467AE" w:rsidRDefault="00463558" w:rsidP="00463558">
      <w:pPr>
        <w:spacing w:after="0"/>
        <w:rPr>
          <w:rFonts w:asciiTheme="minorBidi" w:hAnsiTheme="minorBidi"/>
          <w:b/>
          <w:bCs/>
          <w:sz w:val="20"/>
          <w:szCs w:val="20"/>
        </w:rPr>
      </w:pPr>
      <w:r w:rsidRPr="00F467AE">
        <w:rPr>
          <w:rFonts w:asciiTheme="minorBidi" w:hAnsiTheme="minorBidi"/>
          <w:b/>
          <w:bCs/>
          <w:sz w:val="20"/>
          <w:szCs w:val="20"/>
        </w:rPr>
        <w:t>Table1. List of Abbreviations used in the review.</w:t>
      </w:r>
    </w:p>
    <w:p w14:paraId="7E6476D1" w14:textId="77777777" w:rsidR="00463558" w:rsidRPr="00F467AE" w:rsidRDefault="00463558" w:rsidP="00463558">
      <w:pPr>
        <w:spacing w:after="0"/>
        <w:rPr>
          <w:rFonts w:asciiTheme="minorBidi" w:hAnsiTheme="minorBidi"/>
          <w:sz w:val="20"/>
          <w:szCs w:val="20"/>
        </w:rPr>
      </w:pPr>
    </w:p>
    <w:tbl>
      <w:tblPr>
        <w:tblStyle w:val="GridTable1Light-Accent4"/>
        <w:tblW w:w="0" w:type="auto"/>
        <w:tblLook w:val="04A0" w:firstRow="1" w:lastRow="0" w:firstColumn="1" w:lastColumn="0" w:noHBand="0" w:noVBand="1"/>
      </w:tblPr>
      <w:tblGrid>
        <w:gridCol w:w="1439"/>
        <w:gridCol w:w="3104"/>
        <w:gridCol w:w="1439"/>
        <w:gridCol w:w="3368"/>
      </w:tblGrid>
      <w:tr w:rsidR="00463558" w:rsidRPr="00F467AE" w14:paraId="4730A1AE" w14:textId="77777777" w:rsidTr="008D6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F26C2"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Abbreviation</w:t>
            </w:r>
          </w:p>
        </w:tc>
        <w:tc>
          <w:tcPr>
            <w:tcW w:w="0" w:type="auto"/>
            <w:hideMark/>
          </w:tcPr>
          <w:p w14:paraId="7EEEE3F9" w14:textId="77777777" w:rsidR="00463558" w:rsidRPr="00F467AE" w:rsidRDefault="00463558" w:rsidP="008D64AE">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Full Term</w:t>
            </w:r>
          </w:p>
        </w:tc>
        <w:tc>
          <w:tcPr>
            <w:tcW w:w="0" w:type="auto"/>
            <w:hideMark/>
          </w:tcPr>
          <w:p w14:paraId="2DACBF45" w14:textId="77777777" w:rsidR="00463558" w:rsidRPr="00F467AE" w:rsidRDefault="00463558" w:rsidP="008D64AE">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Abbreviation</w:t>
            </w:r>
          </w:p>
        </w:tc>
        <w:tc>
          <w:tcPr>
            <w:tcW w:w="0" w:type="auto"/>
            <w:hideMark/>
          </w:tcPr>
          <w:p w14:paraId="57327EA0" w14:textId="77777777" w:rsidR="00463558" w:rsidRPr="00F467AE" w:rsidRDefault="00463558" w:rsidP="008D64AE">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Full Term</w:t>
            </w:r>
          </w:p>
        </w:tc>
      </w:tr>
      <w:tr w:rsidR="00463558" w:rsidRPr="00F467AE" w14:paraId="7472CE09"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2FB77D15"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25[OH]D</w:t>
            </w:r>
            <w:r w:rsidRPr="00F467AE">
              <w:rPr>
                <w:rFonts w:ascii="Cambria Math" w:hAnsi="Cambria Math" w:cs="Cambria Math"/>
                <w:sz w:val="20"/>
                <w:szCs w:val="20"/>
              </w:rPr>
              <w:t>₃</w:t>
            </w:r>
          </w:p>
        </w:tc>
        <w:tc>
          <w:tcPr>
            <w:tcW w:w="0" w:type="auto"/>
            <w:hideMark/>
          </w:tcPr>
          <w:p w14:paraId="2D46658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25-hydroxyvitamin D</w:t>
            </w:r>
            <w:r w:rsidRPr="00F467AE">
              <w:rPr>
                <w:rFonts w:ascii="Cambria Math" w:hAnsi="Cambria Math" w:cs="Cambria Math"/>
                <w:sz w:val="20"/>
                <w:szCs w:val="20"/>
              </w:rPr>
              <w:t>₃</w:t>
            </w:r>
          </w:p>
        </w:tc>
        <w:tc>
          <w:tcPr>
            <w:tcW w:w="0" w:type="auto"/>
            <w:hideMark/>
          </w:tcPr>
          <w:p w14:paraId="00B27A50"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IGF-1</w:t>
            </w:r>
          </w:p>
        </w:tc>
        <w:tc>
          <w:tcPr>
            <w:tcW w:w="0" w:type="auto"/>
            <w:hideMark/>
          </w:tcPr>
          <w:p w14:paraId="5A0B095B"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Insulin-like growth factor 1</w:t>
            </w:r>
          </w:p>
        </w:tc>
      </w:tr>
      <w:tr w:rsidR="00463558" w:rsidRPr="00F467AE" w14:paraId="5ABF0732"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73571CBD"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7-DHP</w:t>
            </w:r>
          </w:p>
        </w:tc>
        <w:tc>
          <w:tcPr>
            <w:tcW w:w="0" w:type="auto"/>
            <w:hideMark/>
          </w:tcPr>
          <w:p w14:paraId="6FF66708"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7-dehydropregnenolone</w:t>
            </w:r>
          </w:p>
        </w:tc>
        <w:tc>
          <w:tcPr>
            <w:tcW w:w="0" w:type="auto"/>
            <w:hideMark/>
          </w:tcPr>
          <w:p w14:paraId="5ADB9F28"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LXR</w:t>
            </w:r>
          </w:p>
        </w:tc>
        <w:tc>
          <w:tcPr>
            <w:tcW w:w="0" w:type="auto"/>
            <w:hideMark/>
          </w:tcPr>
          <w:p w14:paraId="3675A81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Liver X receptor</w:t>
            </w:r>
          </w:p>
        </w:tc>
      </w:tr>
      <w:tr w:rsidR="00463558" w:rsidRPr="00F467AE" w14:paraId="103EB270"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6D83FEE0"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ACTH</w:t>
            </w:r>
          </w:p>
        </w:tc>
        <w:tc>
          <w:tcPr>
            <w:tcW w:w="0" w:type="auto"/>
            <w:hideMark/>
          </w:tcPr>
          <w:p w14:paraId="7BD5BEE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Adrenocorticotropic hormone</w:t>
            </w:r>
          </w:p>
        </w:tc>
        <w:tc>
          <w:tcPr>
            <w:tcW w:w="0" w:type="auto"/>
            <w:hideMark/>
          </w:tcPr>
          <w:p w14:paraId="520A652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NAD</w:t>
            </w:r>
            <w:r w:rsidRPr="00F467AE">
              <w:rPr>
                <w:rFonts w:ascii="Cambria Math" w:hAnsi="Cambria Math" w:cs="Cambria Math"/>
                <w:b/>
                <w:bCs/>
                <w:sz w:val="20"/>
                <w:szCs w:val="20"/>
              </w:rPr>
              <w:t>⁺</w:t>
            </w:r>
          </w:p>
        </w:tc>
        <w:tc>
          <w:tcPr>
            <w:tcW w:w="0" w:type="auto"/>
            <w:hideMark/>
          </w:tcPr>
          <w:p w14:paraId="73D6BDDD"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Nicotinamide adenine dinucleotide</w:t>
            </w:r>
          </w:p>
        </w:tc>
      </w:tr>
      <w:tr w:rsidR="00463558" w:rsidRPr="00F467AE" w14:paraId="6AF2ADC1"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50501C92"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AhR</w:t>
            </w:r>
          </w:p>
        </w:tc>
        <w:tc>
          <w:tcPr>
            <w:tcW w:w="0" w:type="auto"/>
            <w:hideMark/>
          </w:tcPr>
          <w:p w14:paraId="2C64FB7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Aryl hydrocarbon receptor</w:t>
            </w:r>
          </w:p>
        </w:tc>
        <w:tc>
          <w:tcPr>
            <w:tcW w:w="0" w:type="auto"/>
            <w:hideMark/>
          </w:tcPr>
          <w:p w14:paraId="391093D9"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NAMPT</w:t>
            </w:r>
          </w:p>
        </w:tc>
        <w:tc>
          <w:tcPr>
            <w:tcW w:w="0" w:type="auto"/>
            <w:hideMark/>
          </w:tcPr>
          <w:p w14:paraId="4C04B077"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Nicotinamide </w:t>
            </w:r>
            <w:proofErr w:type="spellStart"/>
            <w:r w:rsidRPr="00F467AE">
              <w:rPr>
                <w:rFonts w:asciiTheme="minorBidi" w:hAnsiTheme="minorBidi"/>
                <w:sz w:val="20"/>
                <w:szCs w:val="20"/>
              </w:rPr>
              <w:t>phosphoribosyltransferase</w:t>
            </w:r>
            <w:proofErr w:type="spellEnd"/>
          </w:p>
        </w:tc>
      </w:tr>
      <w:tr w:rsidR="00463558" w:rsidRPr="00F467AE" w14:paraId="2030B4C8"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7B00ADDC"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BMAL1</w:t>
            </w:r>
          </w:p>
        </w:tc>
        <w:tc>
          <w:tcPr>
            <w:tcW w:w="0" w:type="auto"/>
            <w:hideMark/>
          </w:tcPr>
          <w:p w14:paraId="641ACEB9"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Brain and muscle ARNT-like protein 1</w:t>
            </w:r>
          </w:p>
        </w:tc>
        <w:tc>
          <w:tcPr>
            <w:tcW w:w="0" w:type="auto"/>
            <w:hideMark/>
          </w:tcPr>
          <w:p w14:paraId="73798E8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PER</w:t>
            </w:r>
          </w:p>
        </w:tc>
        <w:tc>
          <w:tcPr>
            <w:tcW w:w="0" w:type="auto"/>
            <w:hideMark/>
          </w:tcPr>
          <w:p w14:paraId="195D025F"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Period circadian regulator</w:t>
            </w:r>
          </w:p>
        </w:tc>
      </w:tr>
      <w:tr w:rsidR="00463558" w:rsidRPr="00F467AE" w14:paraId="67BAC2C1"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07940DF6"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CRH</w:t>
            </w:r>
          </w:p>
        </w:tc>
        <w:tc>
          <w:tcPr>
            <w:tcW w:w="0" w:type="auto"/>
            <w:hideMark/>
          </w:tcPr>
          <w:p w14:paraId="55E85DC6"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Corticotropin-releasing hormone</w:t>
            </w:r>
          </w:p>
        </w:tc>
        <w:tc>
          <w:tcPr>
            <w:tcW w:w="0" w:type="auto"/>
            <w:hideMark/>
          </w:tcPr>
          <w:p w14:paraId="4E6252BD"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PRISMA</w:t>
            </w:r>
          </w:p>
        </w:tc>
        <w:tc>
          <w:tcPr>
            <w:tcW w:w="0" w:type="auto"/>
            <w:hideMark/>
          </w:tcPr>
          <w:p w14:paraId="2D0D0663"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Systematic Review Reporting Guidelines</w:t>
            </w:r>
          </w:p>
        </w:tc>
      </w:tr>
      <w:tr w:rsidR="00463558" w:rsidRPr="00F467AE" w14:paraId="1B80B3CA"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02CE4833"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CYP11A1</w:t>
            </w:r>
          </w:p>
        </w:tc>
        <w:tc>
          <w:tcPr>
            <w:tcW w:w="0" w:type="auto"/>
            <w:hideMark/>
          </w:tcPr>
          <w:p w14:paraId="3EB47716"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Cytochrome P450 side-chain cleavage</w:t>
            </w:r>
          </w:p>
        </w:tc>
        <w:tc>
          <w:tcPr>
            <w:tcW w:w="0" w:type="auto"/>
            <w:hideMark/>
          </w:tcPr>
          <w:p w14:paraId="2C49676E"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REV-ERBα</w:t>
            </w:r>
          </w:p>
        </w:tc>
        <w:tc>
          <w:tcPr>
            <w:tcW w:w="0" w:type="auto"/>
            <w:hideMark/>
          </w:tcPr>
          <w:p w14:paraId="1711A8AD"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Nuclear receptor subfamily 1 group D</w:t>
            </w:r>
          </w:p>
        </w:tc>
      </w:tr>
      <w:tr w:rsidR="00463558" w:rsidRPr="00F467AE" w14:paraId="0F9CBA88"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337E160A"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GH</w:t>
            </w:r>
          </w:p>
        </w:tc>
        <w:tc>
          <w:tcPr>
            <w:tcW w:w="0" w:type="auto"/>
            <w:hideMark/>
          </w:tcPr>
          <w:p w14:paraId="07204651"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Growth hormone</w:t>
            </w:r>
          </w:p>
        </w:tc>
        <w:tc>
          <w:tcPr>
            <w:tcW w:w="0" w:type="auto"/>
            <w:hideMark/>
          </w:tcPr>
          <w:p w14:paraId="7C364C3E"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ROR</w:t>
            </w:r>
          </w:p>
        </w:tc>
        <w:tc>
          <w:tcPr>
            <w:tcW w:w="0" w:type="auto"/>
            <w:hideMark/>
          </w:tcPr>
          <w:p w14:paraId="4A17D6EA"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Retinoic acid-related orphan receptor</w:t>
            </w:r>
          </w:p>
        </w:tc>
      </w:tr>
      <w:tr w:rsidR="00463558" w:rsidRPr="00F467AE" w14:paraId="78274FD1"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0AACBFFD"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HPA</w:t>
            </w:r>
          </w:p>
        </w:tc>
        <w:tc>
          <w:tcPr>
            <w:tcW w:w="0" w:type="auto"/>
            <w:hideMark/>
          </w:tcPr>
          <w:p w14:paraId="204DF274"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Hypothalamic-pituitary-adrenal</w:t>
            </w:r>
          </w:p>
        </w:tc>
        <w:tc>
          <w:tcPr>
            <w:tcW w:w="0" w:type="auto"/>
            <w:hideMark/>
          </w:tcPr>
          <w:p w14:paraId="695AFFB0"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SAD</w:t>
            </w:r>
          </w:p>
        </w:tc>
        <w:tc>
          <w:tcPr>
            <w:tcW w:w="0" w:type="auto"/>
            <w:hideMark/>
          </w:tcPr>
          <w:p w14:paraId="631001F0"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Seasonal affective disorder</w:t>
            </w:r>
          </w:p>
        </w:tc>
      </w:tr>
      <w:tr w:rsidR="00463558" w:rsidRPr="00F467AE" w14:paraId="7EA4E47D"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172DF9E4"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HPT</w:t>
            </w:r>
          </w:p>
        </w:tc>
        <w:tc>
          <w:tcPr>
            <w:tcW w:w="0" w:type="auto"/>
            <w:hideMark/>
          </w:tcPr>
          <w:p w14:paraId="59D8682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Hypothalamic-pituitary-thyroid</w:t>
            </w:r>
          </w:p>
        </w:tc>
        <w:tc>
          <w:tcPr>
            <w:tcW w:w="0" w:type="auto"/>
            <w:hideMark/>
          </w:tcPr>
          <w:p w14:paraId="5E1FC50E"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SCN</w:t>
            </w:r>
          </w:p>
        </w:tc>
        <w:tc>
          <w:tcPr>
            <w:tcW w:w="0" w:type="auto"/>
            <w:hideMark/>
          </w:tcPr>
          <w:p w14:paraId="03D788B9"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Suprachiasmatic nucleus</w:t>
            </w:r>
          </w:p>
        </w:tc>
      </w:tr>
      <w:tr w:rsidR="00463558" w:rsidRPr="00F467AE" w14:paraId="55ACD47A"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16DE93F6"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TSH</w:t>
            </w:r>
          </w:p>
        </w:tc>
        <w:tc>
          <w:tcPr>
            <w:tcW w:w="0" w:type="auto"/>
            <w:hideMark/>
          </w:tcPr>
          <w:p w14:paraId="73DF0447"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Thyroid-stimulating hormone</w:t>
            </w:r>
          </w:p>
        </w:tc>
        <w:tc>
          <w:tcPr>
            <w:tcW w:w="0" w:type="auto"/>
            <w:hideMark/>
          </w:tcPr>
          <w:p w14:paraId="4DB415A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UVB</w:t>
            </w:r>
          </w:p>
        </w:tc>
        <w:tc>
          <w:tcPr>
            <w:tcW w:w="0" w:type="auto"/>
            <w:hideMark/>
          </w:tcPr>
          <w:p w14:paraId="10B0475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Ultraviolet B</w:t>
            </w:r>
          </w:p>
        </w:tc>
      </w:tr>
      <w:tr w:rsidR="00463558" w:rsidRPr="00B92C35" w14:paraId="0CB7E5B6"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6260354B"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VDR</w:t>
            </w:r>
          </w:p>
        </w:tc>
        <w:tc>
          <w:tcPr>
            <w:tcW w:w="0" w:type="auto"/>
            <w:hideMark/>
          </w:tcPr>
          <w:p w14:paraId="1FE96A7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Vitamin D receptor</w:t>
            </w:r>
          </w:p>
        </w:tc>
        <w:tc>
          <w:tcPr>
            <w:tcW w:w="0" w:type="auto"/>
            <w:hideMark/>
          </w:tcPr>
          <w:p w14:paraId="58A555FA"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VDRE</w:t>
            </w:r>
          </w:p>
        </w:tc>
        <w:tc>
          <w:tcPr>
            <w:tcW w:w="0" w:type="auto"/>
            <w:hideMark/>
          </w:tcPr>
          <w:p w14:paraId="59E04B5C" w14:textId="77777777" w:rsidR="00463558" w:rsidRPr="00B92C35"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Vitamin D response element</w:t>
            </w:r>
          </w:p>
        </w:tc>
      </w:tr>
    </w:tbl>
    <w:p w14:paraId="2E4A49C2" w14:textId="0BFFD61A" w:rsidR="00217B12" w:rsidRPr="00B92C35" w:rsidRDefault="00217B12">
      <w:pPr>
        <w:rPr>
          <w:rFonts w:asciiTheme="minorBidi" w:eastAsia="Times New Roman" w:hAnsiTheme="minorBidi"/>
          <w:kern w:val="0"/>
          <w:sz w:val="20"/>
          <w:szCs w:val="20"/>
          <w14:ligatures w14:val="none"/>
        </w:rPr>
      </w:pPr>
      <w:r w:rsidRPr="00B92C35">
        <w:rPr>
          <w:rFonts w:asciiTheme="minorBidi" w:hAnsiTheme="minorBidi"/>
          <w:sz w:val="20"/>
          <w:szCs w:val="20"/>
        </w:rPr>
        <w:br w:type="page"/>
      </w:r>
    </w:p>
    <w:p w14:paraId="56D98186" w14:textId="77777777" w:rsidR="00217B12" w:rsidRPr="00B92C35" w:rsidRDefault="00217B12" w:rsidP="00217B12">
      <w:pPr>
        <w:pStyle w:val="NormalWeb"/>
        <w:spacing w:after="0" w:afterAutospacing="0"/>
        <w:ind w:left="720"/>
        <w:rPr>
          <w:rFonts w:asciiTheme="minorBidi" w:hAnsiTheme="minorBidi" w:cstheme="minorBidi"/>
          <w:sz w:val="20"/>
          <w:szCs w:val="20"/>
        </w:rPr>
      </w:pPr>
    </w:p>
    <w:p w14:paraId="334C810A" w14:textId="08F536C0" w:rsidR="00674620" w:rsidRPr="00B92C35" w:rsidRDefault="00674620">
      <w:pPr>
        <w:rPr>
          <w:rFonts w:asciiTheme="minorBidi" w:hAnsiTheme="minorBidi"/>
          <w:sz w:val="20"/>
          <w:szCs w:val="20"/>
        </w:rPr>
      </w:pPr>
      <w:r w:rsidRPr="00B92C35">
        <w:rPr>
          <w:rFonts w:asciiTheme="minorBidi" w:hAnsiTheme="minorBidi"/>
          <w:sz w:val="20"/>
          <w:szCs w:val="20"/>
        </w:rPr>
        <w:br w:type="page"/>
      </w:r>
    </w:p>
    <w:sectPr w:rsidR="00674620" w:rsidRPr="00B92C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40C1" w14:textId="77777777" w:rsidR="000A6A22" w:rsidRDefault="000A6A22" w:rsidP="00B245EA">
      <w:pPr>
        <w:spacing w:after="0" w:line="240" w:lineRule="auto"/>
      </w:pPr>
      <w:r>
        <w:separator/>
      </w:r>
    </w:p>
  </w:endnote>
  <w:endnote w:type="continuationSeparator" w:id="0">
    <w:p w14:paraId="1D73C8BB" w14:textId="77777777" w:rsidR="000A6A22" w:rsidRDefault="000A6A22" w:rsidP="00B2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C4CB" w14:textId="77777777" w:rsidR="007D7C92" w:rsidRDefault="007D7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680395"/>
      <w:docPartObj>
        <w:docPartGallery w:val="Page Numbers (Bottom of Page)"/>
        <w:docPartUnique/>
      </w:docPartObj>
    </w:sdtPr>
    <w:sdtEndPr>
      <w:rPr>
        <w:noProof/>
      </w:rPr>
    </w:sdtEndPr>
    <w:sdtContent>
      <w:p w14:paraId="71C33FA9" w14:textId="2953581F" w:rsidR="00B245EA" w:rsidRDefault="00B24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6D811" w14:textId="77777777" w:rsidR="00B245EA" w:rsidRDefault="00B24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7402" w14:textId="77777777" w:rsidR="007D7C92" w:rsidRDefault="007D7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07F2D" w14:textId="77777777" w:rsidR="000A6A22" w:rsidRDefault="000A6A22" w:rsidP="00B245EA">
      <w:pPr>
        <w:spacing w:after="0" w:line="240" w:lineRule="auto"/>
      </w:pPr>
      <w:r>
        <w:separator/>
      </w:r>
    </w:p>
  </w:footnote>
  <w:footnote w:type="continuationSeparator" w:id="0">
    <w:p w14:paraId="4EA9F545" w14:textId="77777777" w:rsidR="000A6A22" w:rsidRDefault="000A6A22" w:rsidP="00B2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2509" w14:textId="57B21DF3" w:rsidR="007D7C92" w:rsidRDefault="000A6A22">
    <w:pPr>
      <w:pStyle w:val="Header"/>
    </w:pPr>
    <w:r>
      <w:rPr>
        <w:noProof/>
      </w:rPr>
      <w:pict w14:anchorId="006C5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46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19F16" w14:textId="0AE5B8B4" w:rsidR="007D7C92" w:rsidRDefault="000A6A22">
    <w:pPr>
      <w:pStyle w:val="Header"/>
    </w:pPr>
    <w:r>
      <w:rPr>
        <w:noProof/>
      </w:rPr>
      <w:pict w14:anchorId="68331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46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D02B" w14:textId="20B74F3B" w:rsidR="007D7C92" w:rsidRDefault="000A6A22">
    <w:pPr>
      <w:pStyle w:val="Header"/>
    </w:pPr>
    <w:r>
      <w:rPr>
        <w:noProof/>
      </w:rPr>
      <w:pict w14:anchorId="67C23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46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55B7"/>
    <w:multiLevelType w:val="multilevel"/>
    <w:tmpl w:val="BF5A84E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343AA"/>
    <w:multiLevelType w:val="multilevel"/>
    <w:tmpl w:val="BF5A84E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B5D97"/>
    <w:multiLevelType w:val="hybridMultilevel"/>
    <w:tmpl w:val="43301564"/>
    <w:lvl w:ilvl="0" w:tplc="9EEE81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3562D"/>
    <w:multiLevelType w:val="multilevel"/>
    <w:tmpl w:val="BF2CB49C"/>
    <w:lvl w:ilvl="0">
      <w:start w:val="1"/>
      <w:numFmt w:val="decimal"/>
      <w:lvlText w:val="%1."/>
      <w:lvlJc w:val="left"/>
      <w:pPr>
        <w:tabs>
          <w:tab w:val="num" w:pos="720"/>
        </w:tabs>
        <w:ind w:left="720" w:hanging="360"/>
      </w:pPr>
      <w:rPr>
        <w:rFonts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84086"/>
    <w:multiLevelType w:val="multilevel"/>
    <w:tmpl w:val="BF5A84E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C47B0A"/>
    <w:multiLevelType w:val="multilevel"/>
    <w:tmpl w:val="E4E2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412A1"/>
    <w:multiLevelType w:val="hybridMultilevel"/>
    <w:tmpl w:val="0A84A75C"/>
    <w:lvl w:ilvl="0" w:tplc="3ACCFD5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70FD2"/>
    <w:multiLevelType w:val="hybridMultilevel"/>
    <w:tmpl w:val="30BA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7726D"/>
    <w:multiLevelType w:val="multilevel"/>
    <w:tmpl w:val="BF5A84E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24843"/>
    <w:multiLevelType w:val="hybridMultilevel"/>
    <w:tmpl w:val="0ACC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0240A"/>
    <w:multiLevelType w:val="hybridMultilevel"/>
    <w:tmpl w:val="8C7C1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D2F20"/>
    <w:multiLevelType w:val="multilevel"/>
    <w:tmpl w:val="BF5A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26448"/>
    <w:multiLevelType w:val="multilevel"/>
    <w:tmpl w:val="BFB0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E17A7"/>
    <w:multiLevelType w:val="hybridMultilevel"/>
    <w:tmpl w:val="4BBC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1E0C2C"/>
    <w:multiLevelType w:val="hybridMultilevel"/>
    <w:tmpl w:val="D200DFE0"/>
    <w:lvl w:ilvl="0" w:tplc="9EEE81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63B1F"/>
    <w:multiLevelType w:val="hybridMultilevel"/>
    <w:tmpl w:val="A3C085D2"/>
    <w:lvl w:ilvl="0" w:tplc="9EEE81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12"/>
  </w:num>
  <w:num w:numId="5">
    <w:abstractNumId w:val="0"/>
  </w:num>
  <w:num w:numId="6">
    <w:abstractNumId w:val="8"/>
  </w:num>
  <w:num w:numId="7">
    <w:abstractNumId w:val="1"/>
  </w:num>
  <w:num w:numId="8">
    <w:abstractNumId w:val="4"/>
  </w:num>
  <w:num w:numId="9">
    <w:abstractNumId w:val="11"/>
  </w:num>
  <w:num w:numId="10">
    <w:abstractNumId w:val="6"/>
  </w:num>
  <w:num w:numId="11">
    <w:abstractNumId w:val="2"/>
  </w:num>
  <w:num w:numId="12">
    <w:abstractNumId w:val="15"/>
  </w:num>
  <w:num w:numId="13">
    <w:abstractNumId w:val="9"/>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0tLA0NzQ0tDC2MDZU0lEKTi0uzszPAykwrAUACa5E7CwAAAA="/>
  </w:docVars>
  <w:rsids>
    <w:rsidRoot w:val="00400EDB"/>
    <w:rsid w:val="00051134"/>
    <w:rsid w:val="00072467"/>
    <w:rsid w:val="00091A40"/>
    <w:rsid w:val="000A6A22"/>
    <w:rsid w:val="000D6F60"/>
    <w:rsid w:val="001067F5"/>
    <w:rsid w:val="00165348"/>
    <w:rsid w:val="001A57D7"/>
    <w:rsid w:val="001C1602"/>
    <w:rsid w:val="001C22BE"/>
    <w:rsid w:val="001C5F96"/>
    <w:rsid w:val="001C7A3A"/>
    <w:rsid w:val="00217B12"/>
    <w:rsid w:val="0029427A"/>
    <w:rsid w:val="002E2CAC"/>
    <w:rsid w:val="002F1074"/>
    <w:rsid w:val="003055E6"/>
    <w:rsid w:val="003102FB"/>
    <w:rsid w:val="00336B6A"/>
    <w:rsid w:val="00362021"/>
    <w:rsid w:val="003A3E5C"/>
    <w:rsid w:val="00400EDB"/>
    <w:rsid w:val="004262C7"/>
    <w:rsid w:val="00463558"/>
    <w:rsid w:val="00500A62"/>
    <w:rsid w:val="005166BD"/>
    <w:rsid w:val="00522987"/>
    <w:rsid w:val="00545C08"/>
    <w:rsid w:val="0057606F"/>
    <w:rsid w:val="005A4A7C"/>
    <w:rsid w:val="00603174"/>
    <w:rsid w:val="00637FC3"/>
    <w:rsid w:val="00655FB7"/>
    <w:rsid w:val="00674620"/>
    <w:rsid w:val="00713764"/>
    <w:rsid w:val="0074011A"/>
    <w:rsid w:val="00762D80"/>
    <w:rsid w:val="00787AFF"/>
    <w:rsid w:val="007A2917"/>
    <w:rsid w:val="007C1E11"/>
    <w:rsid w:val="007D51D2"/>
    <w:rsid w:val="007D7C92"/>
    <w:rsid w:val="007E68FD"/>
    <w:rsid w:val="007F49EB"/>
    <w:rsid w:val="00801BA3"/>
    <w:rsid w:val="008512A8"/>
    <w:rsid w:val="008619C2"/>
    <w:rsid w:val="00875E5E"/>
    <w:rsid w:val="00893026"/>
    <w:rsid w:val="008B2827"/>
    <w:rsid w:val="008C6A7F"/>
    <w:rsid w:val="009B701B"/>
    <w:rsid w:val="00A11D9D"/>
    <w:rsid w:val="00A141AB"/>
    <w:rsid w:val="00A54DF2"/>
    <w:rsid w:val="00A80606"/>
    <w:rsid w:val="00AB0BA9"/>
    <w:rsid w:val="00AF5973"/>
    <w:rsid w:val="00B245EA"/>
    <w:rsid w:val="00B42E48"/>
    <w:rsid w:val="00B554D8"/>
    <w:rsid w:val="00B92C35"/>
    <w:rsid w:val="00B9456A"/>
    <w:rsid w:val="00BA0A1C"/>
    <w:rsid w:val="00BB22DD"/>
    <w:rsid w:val="00C0167A"/>
    <w:rsid w:val="00C16CC9"/>
    <w:rsid w:val="00C17C8E"/>
    <w:rsid w:val="00C231BA"/>
    <w:rsid w:val="00C322DA"/>
    <w:rsid w:val="00C41461"/>
    <w:rsid w:val="00C646B7"/>
    <w:rsid w:val="00C821C3"/>
    <w:rsid w:val="00CA09C6"/>
    <w:rsid w:val="00CC7F30"/>
    <w:rsid w:val="00CE6F70"/>
    <w:rsid w:val="00D07082"/>
    <w:rsid w:val="00D8087A"/>
    <w:rsid w:val="00DA0F3F"/>
    <w:rsid w:val="00DA2536"/>
    <w:rsid w:val="00E16CCA"/>
    <w:rsid w:val="00E54FDD"/>
    <w:rsid w:val="00E81BFC"/>
    <w:rsid w:val="00F324D1"/>
    <w:rsid w:val="00F329B3"/>
    <w:rsid w:val="00F421E7"/>
    <w:rsid w:val="00F467AE"/>
    <w:rsid w:val="00F77448"/>
    <w:rsid w:val="00FB686B"/>
    <w:rsid w:val="00FD1871"/>
    <w:rsid w:val="00FD26B0"/>
    <w:rsid w:val="00FF4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11C99"/>
  <w15:chartTrackingRefBased/>
  <w15:docId w15:val="{3754AE7C-2786-44D3-945E-19286D52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EDB"/>
    <w:rPr>
      <w:rFonts w:eastAsiaTheme="majorEastAsia" w:cstheme="majorBidi"/>
      <w:color w:val="272727" w:themeColor="text1" w:themeTint="D8"/>
    </w:rPr>
  </w:style>
  <w:style w:type="paragraph" w:styleId="Title">
    <w:name w:val="Title"/>
    <w:basedOn w:val="Normal"/>
    <w:next w:val="Normal"/>
    <w:link w:val="TitleChar"/>
    <w:uiPriority w:val="10"/>
    <w:qFormat/>
    <w:rsid w:val="00400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EDB"/>
    <w:pPr>
      <w:spacing w:before="160"/>
      <w:jc w:val="center"/>
    </w:pPr>
    <w:rPr>
      <w:i/>
      <w:iCs/>
      <w:color w:val="404040" w:themeColor="text1" w:themeTint="BF"/>
    </w:rPr>
  </w:style>
  <w:style w:type="character" w:customStyle="1" w:styleId="QuoteChar">
    <w:name w:val="Quote Char"/>
    <w:basedOn w:val="DefaultParagraphFont"/>
    <w:link w:val="Quote"/>
    <w:uiPriority w:val="29"/>
    <w:rsid w:val="00400EDB"/>
    <w:rPr>
      <w:i/>
      <w:iCs/>
      <w:color w:val="404040" w:themeColor="text1" w:themeTint="BF"/>
    </w:rPr>
  </w:style>
  <w:style w:type="paragraph" w:styleId="ListParagraph">
    <w:name w:val="List Paragraph"/>
    <w:basedOn w:val="Normal"/>
    <w:uiPriority w:val="34"/>
    <w:qFormat/>
    <w:rsid w:val="00400EDB"/>
    <w:pPr>
      <w:ind w:left="720"/>
      <w:contextualSpacing/>
    </w:pPr>
  </w:style>
  <w:style w:type="character" w:styleId="IntenseEmphasis">
    <w:name w:val="Intense Emphasis"/>
    <w:basedOn w:val="DefaultParagraphFont"/>
    <w:uiPriority w:val="21"/>
    <w:qFormat/>
    <w:rsid w:val="00400EDB"/>
    <w:rPr>
      <w:i/>
      <w:iCs/>
      <w:color w:val="0F4761" w:themeColor="accent1" w:themeShade="BF"/>
    </w:rPr>
  </w:style>
  <w:style w:type="paragraph" w:styleId="IntenseQuote">
    <w:name w:val="Intense Quote"/>
    <w:basedOn w:val="Normal"/>
    <w:next w:val="Normal"/>
    <w:link w:val="IntenseQuoteChar"/>
    <w:uiPriority w:val="30"/>
    <w:qFormat/>
    <w:rsid w:val="00400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EDB"/>
    <w:rPr>
      <w:i/>
      <w:iCs/>
      <w:color w:val="0F4761" w:themeColor="accent1" w:themeShade="BF"/>
    </w:rPr>
  </w:style>
  <w:style w:type="character" w:styleId="IntenseReference">
    <w:name w:val="Intense Reference"/>
    <w:basedOn w:val="DefaultParagraphFont"/>
    <w:uiPriority w:val="32"/>
    <w:qFormat/>
    <w:rsid w:val="00400EDB"/>
    <w:rPr>
      <w:b/>
      <w:bCs/>
      <w:smallCaps/>
      <w:color w:val="0F4761" w:themeColor="accent1" w:themeShade="BF"/>
      <w:spacing w:val="5"/>
    </w:rPr>
  </w:style>
  <w:style w:type="paragraph" w:styleId="NormalWeb">
    <w:name w:val="Normal (Web)"/>
    <w:basedOn w:val="Normal"/>
    <w:uiPriority w:val="99"/>
    <w:semiHidden/>
    <w:unhideWhenUsed/>
    <w:rsid w:val="00674620"/>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1Light-Accent1">
    <w:name w:val="Grid Table 1 Light Accent 1"/>
    <w:basedOn w:val="TableNormal"/>
    <w:uiPriority w:val="46"/>
    <w:rsid w:val="00BA0A1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A09C6"/>
    <w:rPr>
      <w:color w:val="467886" w:themeColor="hyperlink"/>
      <w:u w:val="single"/>
    </w:rPr>
  </w:style>
  <w:style w:type="character" w:styleId="UnresolvedMention">
    <w:name w:val="Unresolved Mention"/>
    <w:basedOn w:val="DefaultParagraphFont"/>
    <w:uiPriority w:val="99"/>
    <w:semiHidden/>
    <w:unhideWhenUsed/>
    <w:rsid w:val="00CA09C6"/>
    <w:rPr>
      <w:color w:val="605E5C"/>
      <w:shd w:val="clear" w:color="auto" w:fill="E1DFDD"/>
    </w:rPr>
  </w:style>
  <w:style w:type="table" w:styleId="GridTable1Light-Accent4">
    <w:name w:val="Grid Table 1 Light Accent 4"/>
    <w:basedOn w:val="TableNormal"/>
    <w:uiPriority w:val="46"/>
    <w:rsid w:val="00B245E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2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EA"/>
  </w:style>
  <w:style w:type="paragraph" w:styleId="Footer">
    <w:name w:val="footer"/>
    <w:basedOn w:val="Normal"/>
    <w:link w:val="FooterChar"/>
    <w:uiPriority w:val="99"/>
    <w:unhideWhenUsed/>
    <w:rsid w:val="00B2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EA"/>
  </w:style>
  <w:style w:type="paragraph" w:styleId="NoSpacing">
    <w:name w:val="No Spacing"/>
    <w:uiPriority w:val="1"/>
    <w:qFormat/>
    <w:rsid w:val="001C22BE"/>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E57B9D6-C09A-42AE-9D26-E03CD2A339EC}">
  <ds:schemaRefs>
    <ds:schemaRef ds:uri="http://schemas.openxmlformats.org/officeDocument/2006/bibliography"/>
  </ds:schemaRefs>
</ds:datastoreItem>
</file>

<file path=docMetadata/LabelInfo.xml><?xml version="1.0" encoding="utf-8"?>
<clbl:labelList xmlns:clbl="http://schemas.microsoft.com/office/2020/mipLabelMetadata">
  <clbl:label id="{573f5887-035d-4765-8d10-97aaac8deb4a}" enabled="1" method="Standard" siteId="{f08ae827-76a0-4eda-8325-df208f3835ab}"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25</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Ashraf Tawfik Soliman</dc:creator>
  <cp:keywords/>
  <dc:description/>
  <cp:lastModifiedBy>SDI 1186</cp:lastModifiedBy>
  <cp:revision>10</cp:revision>
  <dcterms:created xsi:type="dcterms:W3CDTF">2026-02-02T10:29:00Z</dcterms:created>
  <dcterms:modified xsi:type="dcterms:W3CDTF">2026-02-07T09:08:00Z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9113220e-0000-4925-9ef5-af6c60c1128c</vt:lpwstr>
  </property>
</Properties>
</file>