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60E4E1" w14:textId="10402ABC" w:rsidR="006343D5" w:rsidRPr="00825131" w:rsidRDefault="006343D5">
      <w:pPr>
        <w:pStyle w:val="NormalWeb"/>
        <w:ind w:right="720"/>
        <w:jc w:val="both"/>
        <w:rPr>
          <w:rStyle w:val="Strong"/>
          <w:b w:val="0"/>
          <w:bCs/>
          <w:sz w:val="32"/>
          <w:szCs w:val="32"/>
        </w:rPr>
      </w:pPr>
      <w:r w:rsidRPr="00825131">
        <w:rPr>
          <w:b/>
          <w:bCs/>
        </w:rPr>
        <w:t>Method Article</w:t>
      </w:r>
    </w:p>
    <w:p w14:paraId="4B1983E0" w14:textId="708235B2" w:rsidR="00F6000B" w:rsidRPr="00825131" w:rsidRDefault="00F6000B">
      <w:pPr>
        <w:pStyle w:val="NormalWeb"/>
        <w:ind w:right="720"/>
        <w:jc w:val="both"/>
        <w:rPr>
          <w:rStyle w:val="Strong"/>
          <w:b w:val="0"/>
          <w:bCs/>
          <w:sz w:val="32"/>
          <w:szCs w:val="32"/>
        </w:rPr>
      </w:pPr>
      <w:r w:rsidRPr="00825131">
        <w:rPr>
          <w:b/>
          <w:bCs/>
          <w:sz w:val="32"/>
          <w:szCs w:val="32"/>
        </w:rPr>
        <w:t>Decision Epistemic Strength: A Credibility Weighted Framework for Decision Governance Under Uncertainty</w:t>
      </w:r>
    </w:p>
    <w:p w14:paraId="6ECAEFE9" w14:textId="77777777" w:rsidR="00F5002B" w:rsidRPr="00825131" w:rsidRDefault="00F5002B">
      <w:pPr>
        <w:pStyle w:val="Heading2"/>
        <w:jc w:val="both"/>
        <w:rPr>
          <w:rStyle w:val="Strong"/>
          <w:rFonts w:ascii="Times New Roman" w:hAnsi="Times New Roman" w:hint="eastAsia"/>
          <w:b/>
          <w:bCs/>
        </w:rPr>
      </w:pPr>
    </w:p>
    <w:p w14:paraId="47FF6907" w14:textId="796D3D05"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b/>
          <w:bCs/>
        </w:rPr>
        <w:t>Abstract</w:t>
      </w:r>
    </w:p>
    <w:p w14:paraId="5090C2D4" w14:textId="77777777" w:rsidR="00451201" w:rsidRPr="00825131" w:rsidRDefault="00451201" w:rsidP="00451201">
      <w:pPr>
        <w:jc w:val="both"/>
      </w:pPr>
      <w:r w:rsidRPr="00825131">
        <w:rPr>
          <w:rFonts w:ascii="Times New Roman" w:hAnsi="Times New Roman"/>
        </w:rPr>
        <w:t xml:space="preserve">Decision-making in complex systems often requires converting heterogeneous, noisy, and partially conflicting evidence into actionable choices under epistemic uncertainty. Although statistical inference and predictive modeling quantify uncertainty and prediction error, they do not directly quantify the epistemic legitimacy or dominance of competing actions after evidence credibility is considered. This Method Article introduces </w:t>
      </w:r>
      <w:r w:rsidRPr="00825131">
        <w:rPr>
          <w:rFonts w:ascii="Times New Roman" w:hAnsi="Times New Roman"/>
          <w:b/>
          <w:bCs/>
        </w:rPr>
        <w:t>Decision Epistemic Strength (DES)</w:t>
      </w:r>
      <w:r w:rsidRPr="00825131">
        <w:rPr>
          <w:rFonts w:ascii="Times New Roman" w:hAnsi="Times New Roman"/>
        </w:rPr>
        <w:t>, a deterministic, credibility-weighted metric designed to govern decisions explicitly in decision space rather than hypothesis-testing space.</w:t>
      </w:r>
    </w:p>
    <w:p w14:paraId="5C8F2032" w14:textId="30E2491C" w:rsidR="00451201" w:rsidRPr="00825131" w:rsidRDefault="00451201" w:rsidP="00451201">
      <w:pPr>
        <w:jc w:val="both"/>
      </w:pPr>
      <w:r w:rsidRPr="00825131">
        <w:rPr>
          <w:rFonts w:ascii="Times New Roman" w:hAnsi="Times New Roman"/>
        </w:rPr>
        <w:t xml:space="preserve">The DES framework follows a four-layer pipeline: (i) epistemic zoning of evidence using standard-error-based or reliability-defined partitions, (ii) local characterization within zones using conservative stability-aware (iii) zone-specific decision assignment using predefined decision rules, and (iv) credibility-weighted fusion of decision votes followed by dominance quantification. For each candidate action d in D, a cumulative credibility score is computed as </w:t>
      </w:r>
      <w:proofErr w:type="spellStart"/>
      <w:r w:rsidRPr="00825131">
        <w:rPr>
          <w:rFonts w:ascii="Times New Roman" w:hAnsi="Times New Roman"/>
        </w:rPr>
        <w:t>S_d</w:t>
      </w:r>
      <w:proofErr w:type="spellEnd"/>
      <w:r w:rsidRPr="00825131">
        <w:rPr>
          <w:rFonts w:ascii="Times New Roman" w:hAnsi="Times New Roman"/>
        </w:rPr>
        <w:t xml:space="preserve"> = sum_{</w:t>
      </w:r>
      <w:proofErr w:type="spellStart"/>
      <w:r w:rsidRPr="00825131">
        <w:rPr>
          <w:rFonts w:ascii="Times New Roman" w:hAnsi="Times New Roman"/>
        </w:rPr>
        <w:t>i</w:t>
      </w:r>
      <w:proofErr w:type="spellEnd"/>
      <w:r w:rsidRPr="00825131">
        <w:rPr>
          <w:rFonts w:ascii="Times New Roman" w:hAnsi="Times New Roman"/>
        </w:rPr>
        <w:t xml:space="preserve">: </w:t>
      </w:r>
      <w:proofErr w:type="spellStart"/>
      <w:r w:rsidRPr="00825131">
        <w:rPr>
          <w:rFonts w:ascii="Times New Roman" w:hAnsi="Times New Roman"/>
        </w:rPr>
        <w:t>d_i</w:t>
      </w:r>
      <w:proofErr w:type="spellEnd"/>
      <w:r w:rsidRPr="00825131">
        <w:rPr>
          <w:rFonts w:ascii="Times New Roman" w:hAnsi="Times New Roman"/>
        </w:rPr>
        <w:t xml:space="preserve"> = d} w_{</w:t>
      </w:r>
      <w:proofErr w:type="spellStart"/>
      <w:r w:rsidRPr="00825131">
        <w:rPr>
          <w:rFonts w:ascii="Times New Roman" w:hAnsi="Times New Roman"/>
        </w:rPr>
        <w:t>z_i</w:t>
      </w:r>
      <w:proofErr w:type="spellEnd"/>
      <w:r w:rsidRPr="00825131">
        <w:rPr>
          <w:rFonts w:ascii="Times New Roman" w:hAnsi="Times New Roman"/>
        </w:rPr>
        <w:t>}, and DES is formally defined as the normalized dominance margin between the winning action and the strongest competitor: DES = (</w:t>
      </w:r>
      <w:proofErr w:type="spellStart"/>
      <w:r w:rsidRPr="00825131">
        <w:rPr>
          <w:rFonts w:ascii="Times New Roman" w:hAnsi="Times New Roman"/>
        </w:rPr>
        <w:t>S_win</w:t>
      </w:r>
      <w:proofErr w:type="spellEnd"/>
      <w:r w:rsidRPr="00825131">
        <w:rPr>
          <w:rFonts w:ascii="Times New Roman" w:hAnsi="Times New Roman"/>
        </w:rPr>
        <w:t xml:space="preserve"> - </w:t>
      </w:r>
      <w:proofErr w:type="spellStart"/>
      <w:r w:rsidRPr="00825131">
        <w:rPr>
          <w:rFonts w:ascii="Times New Roman" w:hAnsi="Times New Roman"/>
        </w:rPr>
        <w:t>S_lose</w:t>
      </w:r>
      <w:proofErr w:type="spellEnd"/>
      <w:r w:rsidRPr="00825131">
        <w:rPr>
          <w:rFonts w:ascii="Times New Roman" w:hAnsi="Times New Roman"/>
        </w:rPr>
        <w:t xml:space="preserve">) / </w:t>
      </w:r>
      <w:proofErr w:type="spellStart"/>
      <w:r w:rsidRPr="00825131">
        <w:rPr>
          <w:rFonts w:ascii="Times New Roman" w:hAnsi="Times New Roman"/>
        </w:rPr>
        <w:t>W_total</w:t>
      </w:r>
      <w:proofErr w:type="spellEnd"/>
      <w:r w:rsidRPr="00825131">
        <w:rPr>
          <w:rFonts w:ascii="Times New Roman" w:hAnsi="Times New Roman"/>
        </w:rPr>
        <w:t xml:space="preserve">, where </w:t>
      </w:r>
      <w:proofErr w:type="spellStart"/>
      <w:r w:rsidRPr="00825131">
        <w:rPr>
          <w:rFonts w:ascii="Times New Roman" w:hAnsi="Times New Roman"/>
        </w:rPr>
        <w:t>W_total</w:t>
      </w:r>
      <w:proofErr w:type="spellEnd"/>
      <w:r w:rsidRPr="00825131">
        <w:rPr>
          <w:rFonts w:ascii="Times New Roman" w:hAnsi="Times New Roman"/>
        </w:rPr>
        <w:t xml:space="preserve"> = sum_{d in D} </w:t>
      </w:r>
      <w:proofErr w:type="spellStart"/>
      <w:r w:rsidRPr="00825131">
        <w:rPr>
          <w:rFonts w:ascii="Times New Roman" w:hAnsi="Times New Roman"/>
        </w:rPr>
        <w:t>S_d</w:t>
      </w:r>
      <w:proofErr w:type="spellEnd"/>
      <w:r w:rsidRPr="00825131">
        <w:rPr>
          <w:rFonts w:ascii="Times New Roman" w:hAnsi="Times New Roman"/>
        </w:rPr>
        <w:t>, yielding a bounded score in [0,1] that supports graded governance states (Decisive, Conditional, Deferred).</w:t>
      </w:r>
    </w:p>
    <w:p w14:paraId="7FFE1239" w14:textId="16E709CB" w:rsidR="00451201" w:rsidRPr="00825131" w:rsidRDefault="00451201" w:rsidP="005165BF">
      <w:pPr>
        <w:jc w:val="both"/>
      </w:pPr>
      <w:r w:rsidRPr="00825131">
        <w:rPr>
          <w:rFonts w:ascii="Times New Roman" w:hAnsi="Times New Roman"/>
        </w:rPr>
        <w:t>Mathematical verification establishes deterministic reproducibility, boundedness, monotonicity, and robustness to weak-signal dominance. The method is demonstrated using simulated clinical and epidemic policy scenarios and illustrative real-data governance examples (ICU monitoring and clinical AI), showing coherent behavior under evidence conflict, perturbation, and credibility variation. DES complements inferential and predictive methods by providing a transparent, auditable governance layer for accountable decision authorization under epistemic uncertainty.</w:t>
      </w:r>
    </w:p>
    <w:p w14:paraId="6F1837BC" w14:textId="77777777" w:rsidR="00C852A7" w:rsidRPr="00825131" w:rsidRDefault="00B17446">
      <w:pPr>
        <w:pStyle w:val="NormalWeb"/>
        <w:jc w:val="both"/>
      </w:pPr>
      <w:r w:rsidRPr="00825131">
        <w:rPr>
          <w:b/>
        </w:rPr>
        <w:t>Keywords</w:t>
      </w:r>
    </w:p>
    <w:p w14:paraId="0F1F239B" w14:textId="77777777" w:rsidR="00C852A7" w:rsidRPr="00825131" w:rsidRDefault="00B17446">
      <w:pPr>
        <w:pStyle w:val="Heading1"/>
        <w:jc w:val="both"/>
        <w:rPr>
          <w:rFonts w:ascii="Times New Roman" w:hAnsi="Times New Roman" w:hint="default"/>
          <w:b w:val="0"/>
          <w:bCs/>
          <w:sz w:val="24"/>
          <w:szCs w:val="24"/>
        </w:rPr>
      </w:pPr>
      <w:r w:rsidRPr="00825131">
        <w:rPr>
          <w:rFonts w:ascii="Times New Roman" w:hAnsi="Times New Roman" w:hint="default"/>
          <w:b w:val="0"/>
          <w:bCs/>
          <w:sz w:val="24"/>
          <w:szCs w:val="24"/>
        </w:rPr>
        <w:t>Decision Epistemic Strength; Epistemic Uncertainty; Credibility-Weighted Decision Making; Evidence Fusion; Decision Governance; Epistemic Zoning; Decision Dominance; Explainable Decision Systems</w:t>
      </w:r>
    </w:p>
    <w:p w14:paraId="38A5B1F9" w14:textId="77777777" w:rsidR="00C852A7" w:rsidRPr="00825131" w:rsidRDefault="00B17446">
      <w:pPr>
        <w:pStyle w:val="Heading1"/>
        <w:jc w:val="both"/>
        <w:rPr>
          <w:rFonts w:ascii="Times New Roman" w:hAnsi="Times New Roman" w:hint="default"/>
          <w:bCs/>
          <w:sz w:val="24"/>
          <w:szCs w:val="24"/>
        </w:rPr>
      </w:pPr>
      <w:r w:rsidRPr="00825131">
        <w:rPr>
          <w:rStyle w:val="Strong"/>
          <w:rFonts w:ascii="Times New Roman" w:hAnsi="Times New Roman" w:hint="eastAsia"/>
          <w:b/>
          <w:bCs/>
        </w:rPr>
        <w:t>1. Introduction</w:t>
      </w:r>
    </w:p>
    <w:p w14:paraId="47A96DEE" w14:textId="77777777" w:rsidR="00C852A7" w:rsidRPr="00825131" w:rsidRDefault="00B17446">
      <w:pPr>
        <w:pStyle w:val="NormalWeb"/>
        <w:jc w:val="both"/>
      </w:pPr>
      <w:r w:rsidRPr="00825131">
        <w:t xml:space="preserve">Decision-making in complex systems increasingly operates under heterogeneous uncertainty, fragmented evidence quality, and high operational consequences. Clinical triage, public health policy, financial risk management, and intelligent system </w:t>
      </w:r>
      <w:r w:rsidRPr="00825131">
        <w:lastRenderedPageBreak/>
        <w:t>governance frequently require translating incomplete, noisy, and partially conflicting evidence into actionable decisions. While statistical inference and predictive modeling provide essential tools for estimating uncertainty and forecasting outcomes, they do not directly encode the epistemic legitimacy of competing actions.</w:t>
      </w:r>
    </w:p>
    <w:p w14:paraId="49EB2072" w14:textId="77777777" w:rsidR="00C852A7" w:rsidRPr="00825131" w:rsidRDefault="00B17446">
      <w:pPr>
        <w:pStyle w:val="NormalWeb"/>
        <w:jc w:val="both"/>
      </w:pPr>
      <w:r w:rsidRPr="00825131">
        <w:t>Classical decision theory formalizes rational choice under uncertainty using probabilistic beliefs and utility maximization (Savage, 1954; Parmigiani, 2001). These normative models provide mathematical foundations for decision rationality but assume well-specified probability structures and stable information environments. In real-world operational systems, however, decision contexts increasingly exhibit deep and epistemic uncertainty, where model assumptions are fragile, data integrity is uneven, and system behavior is non-stationary (</w:t>
      </w:r>
      <w:proofErr w:type="spellStart"/>
      <w:r w:rsidRPr="00825131">
        <w:t>Marchau</w:t>
      </w:r>
      <w:proofErr w:type="spellEnd"/>
      <w:r w:rsidRPr="00825131">
        <w:t xml:space="preserve"> et al., 2019; Bonjean &amp; </w:t>
      </w:r>
      <w:proofErr w:type="spellStart"/>
      <w:r w:rsidRPr="00825131">
        <w:t>Roelich</w:t>
      </w:r>
      <w:proofErr w:type="spellEnd"/>
      <w:r w:rsidRPr="00825131">
        <w:t>, 2021).</w:t>
      </w:r>
    </w:p>
    <w:p w14:paraId="5C489F36" w14:textId="77777777" w:rsidR="00C852A7" w:rsidRPr="00825131" w:rsidRDefault="00B17446">
      <w:pPr>
        <w:pStyle w:val="NormalWeb"/>
        <w:jc w:val="both"/>
      </w:pPr>
      <w:r w:rsidRPr="00825131">
        <w:t>In classical predictive and decision-theoretic pipelines, probabilistic optimality is typically obtained by maximizing an expected utility or likelihood objective of the form</w:t>
      </w:r>
    </w:p>
    <w:p w14:paraId="6910C6BD" w14:textId="77777777" w:rsidR="00C852A7" w:rsidRPr="00825131" w:rsidRDefault="00B17446">
      <w:pPr>
        <w:pStyle w:val="NormalWeb"/>
        <w:jc w:val="both"/>
        <w:rPr>
          <w:rFonts w:ascii="SimSun" w:hAnsi="SimSun"/>
          <w:oMath/>
        </w:rPr>
      </w:pPr>
      <m:oMathPara>
        <m:oMath>
          <m:r>
            <m:rPr>
              <m:sty m:val="p"/>
            </m:rPr>
            <w:rPr>
              <w:rFonts w:ascii="SimSun" w:hAnsi="SimSun"/>
            </w:rPr>
            <m:t>d* = argmax_d E[U(d | θ)] = argmax_d Σ_y p(y | x, θ̂) U(d, y)</m:t>
          </m:r>
        </m:oMath>
      </m:oMathPara>
    </w:p>
    <w:p w14:paraId="43A51E9F" w14:textId="77777777" w:rsidR="00C852A7" w:rsidRPr="00825131" w:rsidRDefault="00B17446">
      <w:pPr>
        <w:pStyle w:val="NormalWeb"/>
        <w:jc w:val="both"/>
      </w:pPr>
      <w:r w:rsidRPr="00825131">
        <w:t>where p(y∣</w:t>
      </w:r>
      <w:proofErr w:type="gramStart"/>
      <w:r w:rsidRPr="00825131">
        <w:t>x,θ</w:t>
      </w:r>
      <w:proofErr w:type="gramEnd"/>
      <w:r w:rsidRPr="00825131">
        <w:t>^) denotes model-estimated probabilities derived from fitted parameters θ^ under assumed data-generating distributions, and U(d,y) represents a utility function. These probabilities are computed through statistical estimation or machine-learning optimization (e.g., maximum likelihood, Bayesian posterior inference, or empirical risk minimization) and primarily reflect internal model fit rather than external epistemic reliability of the underlying evidence. Consequently, identical probability values may arise under heterogeneous regimes of data quality, model instability, distributional shift, or structural misspecification, despite representing materially different levels of operational risk and decision credibility. Under such conditions, numerical probabilistic optimality alone provides limited guidance for responsible action.</w:t>
      </w:r>
    </w:p>
    <w:p w14:paraId="30948B0F" w14:textId="77777777" w:rsidR="00C852A7" w:rsidRPr="00825131" w:rsidRDefault="00B17446">
      <w:pPr>
        <w:pStyle w:val="NormalWeb"/>
        <w:jc w:val="both"/>
      </w:pPr>
      <w:r w:rsidRPr="00825131">
        <w:t>Traditional statistical paradigms further compress evidence into binary significance thresholds or scalar probabilities. Statistically significant findings may remain epistemically fragile, while non-significant results may still support stable operational decisions depending on evidence credibility, robustness, and contextual risk. Global aggregation metrics may obscure local evidence reliability, enabling weak or noisy signals to exert disproportionate influence on downstream decisions.</w:t>
      </w:r>
    </w:p>
    <w:p w14:paraId="4DA79B5C" w14:textId="27867C24" w:rsidR="00C852A7" w:rsidRPr="00825131" w:rsidRDefault="00B17446" w:rsidP="00B128C9">
      <w:pPr>
        <w:pStyle w:val="NormalWeb"/>
        <w:jc w:val="both"/>
      </w:pPr>
      <w:r w:rsidRPr="00825131">
        <w:rPr>
          <w:rFonts w:asciiTheme="majorBidi" w:hAnsiTheme="majorBidi" w:cstheme="majorBidi"/>
        </w:rPr>
        <w:t>Multi-criteria decision analysis and evidential reasoning frameworks partially address this limitation by explicitly weighting heterogeneous evidence sources during integration (</w:t>
      </w:r>
      <w:proofErr w:type="spellStart"/>
      <w:r w:rsidRPr="00825131">
        <w:rPr>
          <w:rFonts w:asciiTheme="majorBidi" w:hAnsiTheme="majorBidi" w:cstheme="majorBidi"/>
        </w:rPr>
        <w:t>Mosadeghi</w:t>
      </w:r>
      <w:proofErr w:type="spellEnd"/>
      <w:r w:rsidRPr="00825131">
        <w:rPr>
          <w:rFonts w:asciiTheme="majorBidi" w:hAnsiTheme="majorBidi" w:cstheme="majorBidi"/>
        </w:rPr>
        <w:t xml:space="preserve"> et al., 2012; Scholten, 2015; Evidential Reasoning Approach, 2025).</w:t>
      </w:r>
      <w:r w:rsidR="005B02C0" w:rsidRPr="00825131">
        <w:rPr>
          <w:rFonts w:asciiTheme="majorBidi" w:hAnsiTheme="majorBidi" w:cstheme="majorBidi"/>
        </w:rPr>
        <w:t xml:space="preserve"> Recent advances in applied mathematics and computational modeling further demonstrate how structured numerical frameworks can stabilize heterogeneous information fusion and improve robustness under noisy and ill-posed conditions. </w:t>
      </w:r>
      <w:r w:rsidR="00B128C9" w:rsidRPr="00825131">
        <w:rPr>
          <w:rFonts w:asciiTheme="majorBidi" w:eastAsia="DengXian" w:hAnsiTheme="majorBidi" w:cstheme="majorBidi"/>
        </w:rPr>
        <w:t xml:space="preserve">Partial differential equation (PDE)–based fusion methods and multi-scale numerical schemes have been shown to enhance stability, consistency, and noise suppression in complex signal integration problems (e.g., Adaptive Finite Difference Image Fusion, 2021; Mathematical Modeling and Numerical Analysis of Diffusion Processes in Image Processing, 2023; Infrared and Visible Image Fusion Using Multi-scale </w:t>
      </w:r>
      <w:r w:rsidR="00B128C9" w:rsidRPr="00825131">
        <w:rPr>
          <w:rFonts w:asciiTheme="majorBidi" w:eastAsia="DengXian" w:hAnsiTheme="majorBidi" w:cstheme="majorBidi"/>
        </w:rPr>
        <w:lastRenderedPageBreak/>
        <w:t>Decomposition and PDEs, 2024; MNSCT: A Novel Modified NSCT-Based Algorithm for Enhanced Medical Image Fusion, 2023). Although these approaches originate in image processing and numerical analysis, they reflect a broader methodological trend toward mathematically governed fusion, robustness control, and deterministic computational stability—principles that conceptually align with credibility-weighted decision aggregation and governance architectures.</w:t>
      </w:r>
      <w:r w:rsidRPr="00825131">
        <w:t xml:space="preserve"> While these approaches improve transparency and acknowledge evidence heterogeneity, they typically lack a unified, interpretable metric that directly quantifies how strongly one action epistemically dominates alternatives after credibility stratification and weighted fusion.</w:t>
      </w:r>
    </w:p>
    <w:p w14:paraId="31FFFB41" w14:textId="47246FC0" w:rsidR="00C852A7" w:rsidRPr="00825131" w:rsidRDefault="00B17446">
      <w:pPr>
        <w:pStyle w:val="NormalWeb"/>
        <w:jc w:val="both"/>
      </w:pPr>
      <w:r w:rsidRPr="00825131">
        <w:t>Prior work addresses uncertainty primar</w:t>
      </w:r>
      <w:r w:rsidRPr="00825131">
        <w:rPr>
          <w:rFonts w:asciiTheme="majorBidi" w:hAnsiTheme="majorBidi" w:cstheme="majorBidi"/>
        </w:rPr>
        <w:t xml:space="preserve">ily at the level of measurement, modeling, and estimation rather than at the level of decision governance. </w:t>
      </w:r>
      <w:r w:rsidR="00FE47D0" w:rsidRPr="00825131">
        <w:rPr>
          <w:rFonts w:asciiTheme="majorBidi" w:eastAsia="DengXian" w:hAnsiTheme="majorBidi" w:cstheme="majorBidi"/>
        </w:rPr>
        <w:t xml:space="preserve">Complementary developments in mathematical modeling and numerical simulation further emphasize the importance of formally structured algorithms, stability analysis, and deterministic behavior under perturbation in complex systems ( </w:t>
      </w:r>
      <w:r w:rsidR="00FE47D0" w:rsidRPr="00825131">
        <w:rPr>
          <w:rFonts w:asciiTheme="majorBidi" w:eastAsia="DengXian" w:hAnsiTheme="majorBidi" w:cstheme="majorBidi"/>
          <w:i/>
          <w:iCs/>
        </w:rPr>
        <w:t>Mathematical Modeling and Numerical Analysis of Diffusion Processes in Image Processing</w:t>
      </w:r>
      <w:r w:rsidR="00FE47D0" w:rsidRPr="00825131">
        <w:rPr>
          <w:rFonts w:asciiTheme="majorBidi" w:eastAsia="DengXian" w:hAnsiTheme="majorBidi" w:cstheme="majorBidi"/>
        </w:rPr>
        <w:t>, 2023), reinforcing the need for decision frameworks that explicitly encode robustness and operational interpretability rather than</w:t>
      </w:r>
      <w:r w:rsidR="00FE47D0" w:rsidRPr="00825131">
        <w:rPr>
          <w:rFonts w:ascii="Calibri" w:eastAsia="DengXian" w:hAnsi="Calibri"/>
        </w:rPr>
        <w:t xml:space="preserve"> relying solely on probabilistic abstraction. </w:t>
      </w:r>
      <w:proofErr w:type="spellStart"/>
      <w:r w:rsidRPr="00825131">
        <w:t>Lele</w:t>
      </w:r>
      <w:proofErr w:type="spellEnd"/>
      <w:r w:rsidRPr="00825131">
        <w:t xml:space="preserve"> (2020) formalizes uncertainty quantification by examining how sampling variability, model assumptions, and inferential procedures influence parameter estimates and confidence statements, emphasizing principled interpretation of statistical uncertainty. Gruber et al. (2023) decompose predictive uncertainty in machine-learning systems into epistemic and aleatoric components, focusing on how model uncertainty, data scarcity, and noise contribute to prediction dispersion and calibration behavior. These contributions enhance diagnostic understanding of uncertainty sources but remain anchored in predictive or inferential space.</w:t>
      </w:r>
    </w:p>
    <w:p w14:paraId="4456B67E" w14:textId="77777777" w:rsidR="00C852A7" w:rsidRPr="00825131" w:rsidRDefault="00B17446">
      <w:pPr>
        <w:pStyle w:val="NormalWeb"/>
        <w:jc w:val="both"/>
      </w:pPr>
      <w:r w:rsidRPr="00825131">
        <w:t>Ezell (2021) and related decision-weighting frameworks address heterogeneous evidence integration by assigning weights to multiple criteria or indicators during aggregation, typically within multi-criteria decision analysis or evidential reasoning paradigms. While such approaches improve transparency and support explicit weighting of heterogeneous inputs, they do not formalize epistemic stratification, localized stability assessment, or dominance quantification in decision space.</w:t>
      </w:r>
    </w:p>
    <w:p w14:paraId="4DA3DD5C" w14:textId="26AF7FA2" w:rsidR="00C852A7" w:rsidRPr="00825131" w:rsidRDefault="00F955EC">
      <w:pPr>
        <w:pStyle w:val="NormalWeb"/>
        <w:jc w:val="both"/>
      </w:pPr>
      <w:r w:rsidRPr="00825131">
        <w:t>More recently, standard-error–based partitions of the inferential scale and robustness-aware inter</w:t>
      </w:r>
      <w:r w:rsidR="001021C3" w:rsidRPr="00825131">
        <w:t xml:space="preserve">val formulations have been </w:t>
      </w:r>
      <w:proofErr w:type="spellStart"/>
      <w:r w:rsidR="001021C3" w:rsidRPr="00825131">
        <w:t>intr</w:t>
      </w:r>
      <w:r w:rsidRPr="00825131">
        <w:t>duced</w:t>
      </w:r>
      <w:proofErr w:type="spellEnd"/>
      <w:r w:rsidRPr="00825131">
        <w:t xml:space="preserve"> to stratify statistical variability into epistemic credibility regions and quantify stability under heterogeneous sampling structures (</w:t>
      </w:r>
      <w:proofErr w:type="spellStart"/>
      <w:r w:rsidRPr="00825131">
        <w:t>Raham</w:t>
      </w:r>
      <w:proofErr w:type="spellEnd"/>
      <w:r w:rsidRPr="00825131">
        <w:t xml:space="preserve">, 2025a; </w:t>
      </w:r>
      <w:proofErr w:type="spellStart"/>
      <w:r w:rsidRPr="00825131">
        <w:t>Raham</w:t>
      </w:r>
      <w:proofErr w:type="spellEnd"/>
      <w:r w:rsidRPr="00825131">
        <w:t xml:space="preserve">, 2025b; </w:t>
      </w:r>
      <w:proofErr w:type="spellStart"/>
      <w:r w:rsidRPr="00825131">
        <w:t>Raham</w:t>
      </w:r>
      <w:proofErr w:type="spellEnd"/>
      <w:r w:rsidRPr="00825131">
        <w:t xml:space="preserve">, 2026; </w:t>
      </w:r>
      <w:proofErr w:type="spellStart"/>
      <w:r w:rsidRPr="00825131">
        <w:t>Raham</w:t>
      </w:r>
      <w:proofErr w:type="spellEnd"/>
      <w:r w:rsidRPr="00825131">
        <w:t xml:space="preserve"> et al., 2024). </w:t>
      </w:r>
      <w:r w:rsidR="00B17446" w:rsidRPr="00825131">
        <w:t>Although these frameworks advance uncertainty stratification and structured evidence aggregation, they remain confined to inferential characterization and do not provide a formal mechanism for translating epistemic structure into an explicit, quantitative measure of decision dominance or operational legitimacy. In particular, existing approaches neither operationalize inferential partitions directly in decision space nor quantify the dominance margin between competing actions following credibility-weighted fusion.</w:t>
      </w:r>
    </w:p>
    <w:p w14:paraId="226FE73E" w14:textId="77777777" w:rsidR="00C852A7" w:rsidRPr="00825131" w:rsidRDefault="00B17446">
      <w:pPr>
        <w:pStyle w:val="NormalWeb"/>
        <w:jc w:val="both"/>
      </w:pPr>
      <w:r w:rsidRPr="00825131">
        <w:t xml:space="preserve">To address this unresolved methodological gap, the present study introduces </w:t>
      </w:r>
      <w:r w:rsidRPr="00825131">
        <w:rPr>
          <w:rStyle w:val="Strong"/>
        </w:rPr>
        <w:t>Decision Epistemic Strength (DES)</w:t>
      </w:r>
      <w:r w:rsidRPr="00825131">
        <w:t xml:space="preserve"> as a credibility-weighted metric for governing decisions under epistemic uncertainty. Rather than refining uncertainty estimation or optimizing </w:t>
      </w:r>
      <w:r w:rsidRPr="00825131">
        <w:lastRenderedPageBreak/>
        <w:t>predictive accuracy, DES operates explicitly in decision space and quantifies the epistemic separation between competing actions after zonal evidence stratification and reliability-aware aggregation. By encoding evidence credibility prior to fusion, DES suppresses weak-signal dominance, preserves local epistemic structure, and supports graded governance rather than binary decision thresholds.</w:t>
      </w:r>
    </w:p>
    <w:p w14:paraId="3A0700AD" w14:textId="77777777" w:rsidR="00C852A7" w:rsidRPr="00825131" w:rsidRDefault="00B17446">
      <w:pPr>
        <w:pStyle w:val="NormalWeb"/>
        <w:jc w:val="both"/>
      </w:pPr>
      <w:r w:rsidRPr="00825131">
        <w:t>The DES framework constructs epistemic zoning from standard-error–defined partitions of the inferential scale, transforming continuous statistical variability into operational credibility strata reflecting stability, sensitivity to perturbation, and uncertainty amplification. These zonal partitions are operationalized directly in decision space through deterministic credibility-weighted fusion and normalized dominance quantification, enabling reproducible, auditable, and interpretable decision legitimacy assessment.</w:t>
      </w:r>
    </w:p>
    <w:p w14:paraId="39B1CDCE" w14:textId="77777777" w:rsidR="00C852A7" w:rsidRPr="00825131" w:rsidRDefault="00B17446">
      <w:pPr>
        <w:pStyle w:val="NormalWeb"/>
        <w:jc w:val="both"/>
        <w:rPr>
          <w:rStyle w:val="Strong"/>
        </w:rPr>
      </w:pPr>
      <w:r w:rsidRPr="00825131">
        <w:t>The contributions of this work are threefold. First, DES provides a formally defined deterministic metric that quantifies decision dominance independently of probabilistic interpretation. Second, the framework establishes transparent mechanisms for integrating heterogeneous evidence while preserving auditability and governance accountability. Third, verification analyses demonstrate mathematical consistency, stability under perturbation, and coherent behavioral response across simulated and illustrative real-world scenarios spanning clinical, policy, and financial domains.</w:t>
      </w:r>
    </w:p>
    <w:p w14:paraId="75313352" w14:textId="77777777" w:rsidR="00C852A7" w:rsidRPr="00825131" w:rsidRDefault="00B17446">
      <w:pPr>
        <w:pStyle w:val="Heading1"/>
        <w:jc w:val="both"/>
        <w:rPr>
          <w:rFonts w:ascii="Times New Roman" w:hAnsi="Times New Roman" w:hint="default"/>
          <w:bCs/>
          <w:sz w:val="24"/>
          <w:szCs w:val="24"/>
        </w:rPr>
      </w:pPr>
      <w:r w:rsidRPr="00825131">
        <w:rPr>
          <w:rStyle w:val="Strong"/>
          <w:rFonts w:ascii="Times New Roman" w:hAnsi="Times New Roman" w:hint="eastAsia"/>
          <w:b/>
          <w:bCs/>
        </w:rPr>
        <w:t>3. Methodology</w:t>
      </w:r>
    </w:p>
    <w:p w14:paraId="7B8AC8AC"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3.1 Conceptual Overview</w:t>
      </w:r>
    </w:p>
    <w:p w14:paraId="1641604E" w14:textId="77777777" w:rsidR="00C852A7" w:rsidRPr="00825131" w:rsidRDefault="00B17446">
      <w:pPr>
        <w:pStyle w:val="NormalWeb"/>
        <w:jc w:val="both"/>
      </w:pPr>
      <w:r w:rsidRPr="00825131">
        <w:t xml:space="preserve">The proposed framework introduces </w:t>
      </w:r>
      <w:r w:rsidRPr="00825131">
        <w:rPr>
          <w:rStyle w:val="Strong"/>
        </w:rPr>
        <w:t>Decision Epistemic Strength (DES)</w:t>
      </w:r>
      <w:r w:rsidRPr="00825131">
        <w:t xml:space="preserve"> as a quantitative metric for governing decisions under epistemic uncertainty. Rather than estimating probabilistic correctness or statistical significance, DES evaluates the </w:t>
      </w:r>
      <w:r w:rsidRPr="00825131">
        <w:rPr>
          <w:rStyle w:val="Strong"/>
        </w:rPr>
        <w:t>epistemic legitimacy of competing decisions</w:t>
      </w:r>
      <w:r w:rsidRPr="00825131">
        <w:t xml:space="preserve"> by aggregating credibility-weighted evidence across epistemically stratified zones.</w:t>
      </w:r>
    </w:p>
    <w:p w14:paraId="65184083" w14:textId="77777777" w:rsidR="00C852A7" w:rsidRPr="00825131" w:rsidRDefault="00B17446">
      <w:pPr>
        <w:pStyle w:val="NormalWeb"/>
        <w:jc w:val="both"/>
      </w:pPr>
      <w:r w:rsidRPr="00825131">
        <w:t>The architecture is organized into four sequential layers:</w:t>
      </w:r>
      <w:r w:rsidRPr="00825131">
        <w:br/>
        <w:t>(i) epistemic zoning of evidence,</w:t>
      </w:r>
      <w:r w:rsidRPr="00825131">
        <w:br/>
        <w:t>(ii) local statistical characterization,</w:t>
      </w:r>
      <w:r w:rsidRPr="00825131">
        <w:br/>
        <w:t>(iii) zone-specific decision generation, and</w:t>
      </w:r>
      <w:r w:rsidRPr="00825131">
        <w:br/>
        <w:t>(iv) credibility-weighted fusion and dominance quantification.</w:t>
      </w:r>
    </w:p>
    <w:p w14:paraId="6E6FD9EC" w14:textId="77777777" w:rsidR="00C852A7" w:rsidRPr="00825131" w:rsidRDefault="00B17446">
      <w:pPr>
        <w:pStyle w:val="NormalWeb"/>
        <w:jc w:val="both"/>
      </w:pPr>
      <w:r w:rsidRPr="00825131">
        <w:t xml:space="preserve">This layered design explicitly separates </w:t>
      </w:r>
      <w:r w:rsidRPr="00825131">
        <w:rPr>
          <w:rStyle w:val="Strong"/>
        </w:rPr>
        <w:t>descriptive inference</w:t>
      </w:r>
      <w:r w:rsidRPr="00825131">
        <w:t xml:space="preserve"> from </w:t>
      </w:r>
      <w:r w:rsidRPr="00825131">
        <w:rPr>
          <w:rStyle w:val="Strong"/>
        </w:rPr>
        <w:t>action governance</w:t>
      </w:r>
      <w:r w:rsidRPr="00825131">
        <w:t>, enabling graded decision control and transparent dominance assessment rather than binary accept–reject thresholds.</w:t>
      </w:r>
    </w:p>
    <w:p w14:paraId="540827FF"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3.2 Epistemic Zoning and Credibility Weights</w:t>
      </w:r>
    </w:p>
    <w:p w14:paraId="57F345D1" w14:textId="77777777" w:rsidR="00C852A7" w:rsidRPr="00825131" w:rsidRDefault="00B17446">
      <w:pPr>
        <w:pStyle w:val="NormalWeb"/>
        <w:jc w:val="both"/>
      </w:pPr>
      <w:r w:rsidRPr="00825131">
        <w:t xml:space="preserve">Epistemic zoning follows the principles of the </w:t>
      </w:r>
      <w:r w:rsidRPr="00825131">
        <w:rPr>
          <w:rStyle w:val="Strong"/>
        </w:rPr>
        <w:t>Epistemic Zonal Statistics (EZS)</w:t>
      </w:r>
      <w:r w:rsidRPr="00825131">
        <w:t xml:space="preserve"> framework (Raham, 2025a; Raham, 2025b; Raham ,2026), which stratifies evidence into credibility-defined regions based on stability, uncertainty, and noise sensitivity. This zonal partitioning preserves local epistemic structure and prevents global averaging artifacts by explicitly encoding evidence quality prior to aggregation. The </w:t>
      </w:r>
      <w:r w:rsidRPr="00825131">
        <w:lastRenderedPageBreak/>
        <w:t>present work operationalizes this principle for decision governance through zone-weighted fusion and dominance analysis (Raham, 2025a).</w:t>
      </w:r>
    </w:p>
    <w:p w14:paraId="2ACA3726" w14:textId="77777777" w:rsidR="00C852A7" w:rsidRPr="00825131" w:rsidRDefault="00B17446">
      <w:pPr>
        <w:pStyle w:val="NormalWeb"/>
        <w:jc w:val="both"/>
      </w:pPr>
      <w:r w:rsidRPr="00825131">
        <w:t xml:space="preserve">Let each observation or evidence unit </w:t>
      </w:r>
      <w:proofErr w:type="spellStart"/>
      <w:r w:rsidRPr="00825131">
        <w:t>xix_ixi</w:t>
      </w:r>
      <w:proofErr w:type="spellEnd"/>
      <w:r w:rsidRPr="00825131">
        <w:t xml:space="preserve">​ be mapped into an epistemic zone </w:t>
      </w:r>
      <w:proofErr w:type="spellStart"/>
      <w:r w:rsidRPr="00825131">
        <w:t>zi∈Zz_i</w:t>
      </w:r>
      <w:proofErr w:type="spellEnd"/>
      <w:r w:rsidRPr="00825131">
        <w:t xml:space="preserve"> \in \</w:t>
      </w:r>
      <w:proofErr w:type="spellStart"/>
      <w:r w:rsidRPr="00825131">
        <w:t>mathcal</w:t>
      </w:r>
      <w:proofErr w:type="spellEnd"/>
      <w:r w:rsidRPr="00825131">
        <w:t>{Z}</w:t>
      </w:r>
      <w:proofErr w:type="spellStart"/>
      <w:r w:rsidRPr="00825131">
        <w:t>zi</w:t>
      </w:r>
      <w:proofErr w:type="spellEnd"/>
      <w:r w:rsidRPr="00825131">
        <w:t xml:space="preserve">​∈Z using predefined partitioning rules derived from the underlying uncertainty structure (e.g., RAMI thresholds, standard-error–based partitions, or domain-specific reliability bands). Each zone </w:t>
      </w:r>
      <w:proofErr w:type="spellStart"/>
      <w:r w:rsidRPr="00825131">
        <w:t>z∈Zz</w:t>
      </w:r>
      <w:proofErr w:type="spellEnd"/>
      <w:r w:rsidRPr="00825131">
        <w:t xml:space="preserve"> \in \</w:t>
      </w:r>
      <w:proofErr w:type="spellStart"/>
      <w:r w:rsidRPr="00825131">
        <w:t>mathcal</w:t>
      </w:r>
      <w:proofErr w:type="spellEnd"/>
      <w:r w:rsidRPr="00825131">
        <w:t>{Z}</w:t>
      </w:r>
      <w:proofErr w:type="spellStart"/>
      <w:r w:rsidRPr="00825131">
        <w:t>z∈Z</w:t>
      </w:r>
      <w:proofErr w:type="spellEnd"/>
      <w:r w:rsidRPr="00825131">
        <w:t xml:space="preserve"> is assigned a credibility weight </w:t>
      </w:r>
      <w:proofErr w:type="spellStart"/>
      <w:r w:rsidRPr="00825131">
        <w:t>wz</w:t>
      </w:r>
      <w:proofErr w:type="spellEnd"/>
      <w:proofErr w:type="gramStart"/>
      <w:r w:rsidRPr="00825131">
        <w:t>∈[</w:t>
      </w:r>
      <w:proofErr w:type="gramEnd"/>
      <w:r w:rsidRPr="00825131">
        <w:t>0,1]</w:t>
      </w:r>
      <w:proofErr w:type="spellStart"/>
      <w:r w:rsidRPr="00825131">
        <w:t>w_z</w:t>
      </w:r>
      <w:proofErr w:type="spellEnd"/>
      <w:r w:rsidRPr="00825131">
        <w:t xml:space="preserve"> \in [0,1]</w:t>
      </w:r>
      <w:proofErr w:type="spellStart"/>
      <w:r w:rsidRPr="00825131">
        <w:t>wz</w:t>
      </w:r>
      <w:proofErr w:type="spellEnd"/>
      <w:r w:rsidRPr="00825131">
        <w:t>​∈[0,1], reflecting the epistemic reliability, stability, and robustness of evidence originating from that zone.</w:t>
      </w:r>
    </w:p>
    <w:p w14:paraId="2AB26693" w14:textId="77777777" w:rsidR="00C852A7" w:rsidRPr="00825131" w:rsidRDefault="00B17446">
      <w:pPr>
        <w:pStyle w:val="NormalWeb"/>
        <w:jc w:val="both"/>
      </w:pPr>
      <w:r w:rsidRPr="00825131">
        <w:t>A typical credibility-weight ordering satisfies:</w:t>
      </w:r>
    </w:p>
    <w:p w14:paraId="1915F0F8" w14:textId="77777777" w:rsidR="00C852A7" w:rsidRPr="00825131" w:rsidRDefault="00B17446">
      <w:pPr>
        <w:pStyle w:val="NormalWeb"/>
        <w:jc w:val="both"/>
      </w:pPr>
      <w:proofErr w:type="spellStart"/>
      <w:r w:rsidRPr="00825131">
        <w:rPr>
          <w:rStyle w:val="Strong"/>
        </w:rPr>
        <w:t>wTrusted</w:t>
      </w:r>
      <w:proofErr w:type="spellEnd"/>
      <w:r w:rsidRPr="00825131">
        <w:rPr>
          <w:rStyle w:val="Strong"/>
        </w:rPr>
        <w:t xml:space="preserve"> &gt; </w:t>
      </w:r>
      <w:proofErr w:type="spellStart"/>
      <w:r w:rsidRPr="00825131">
        <w:rPr>
          <w:rStyle w:val="Strong"/>
        </w:rPr>
        <w:t>wLower</w:t>
      </w:r>
      <w:proofErr w:type="spellEnd"/>
      <w:r w:rsidRPr="00825131">
        <w:rPr>
          <w:rStyle w:val="Strong"/>
        </w:rPr>
        <w:t xml:space="preserve">-Plausible ≈ </w:t>
      </w:r>
      <w:proofErr w:type="spellStart"/>
      <w:r w:rsidRPr="00825131">
        <w:rPr>
          <w:rStyle w:val="Strong"/>
        </w:rPr>
        <w:t>wUpper</w:t>
      </w:r>
      <w:proofErr w:type="spellEnd"/>
      <w:r w:rsidRPr="00825131">
        <w:rPr>
          <w:rStyle w:val="Strong"/>
        </w:rPr>
        <w:t xml:space="preserve">-Plausible &gt; </w:t>
      </w:r>
      <w:proofErr w:type="spellStart"/>
      <w:r w:rsidRPr="00825131">
        <w:rPr>
          <w:rStyle w:val="Strong"/>
        </w:rPr>
        <w:t>wRecessive</w:t>
      </w:r>
      <w:proofErr w:type="spellEnd"/>
      <w:r w:rsidRPr="00825131">
        <w:rPr>
          <w:rStyle w:val="Strong"/>
        </w:rPr>
        <w:t xml:space="preserve"> ≈ </w:t>
      </w:r>
      <w:proofErr w:type="spellStart"/>
      <w:r w:rsidRPr="00825131">
        <w:rPr>
          <w:rStyle w:val="Strong"/>
        </w:rPr>
        <w:t>wInflated</w:t>
      </w:r>
      <w:proofErr w:type="spellEnd"/>
      <w:r w:rsidRPr="00825131">
        <w:rPr>
          <w:lang w:bidi="ar"/>
        </w:rPr>
        <w:t xml:space="preserve"> </w:t>
      </w:r>
    </w:p>
    <w:p w14:paraId="79CA0C38" w14:textId="77777777" w:rsidR="00C852A7" w:rsidRPr="00825131" w:rsidRDefault="00B17446">
      <w:pPr>
        <w:pStyle w:val="NormalWeb"/>
        <w:jc w:val="both"/>
      </w:pPr>
      <w:r w:rsidRPr="00825131">
        <w:t>Trusted-zone evidence receives the highest credibility, Plausible zones receive intermediate credibility, and both Recessive and Inflated zones are down-weighted to suppress epistemically unstable or distorted signals. Weights may be calibrated empirically or defined through governance policy depending on application context.</w:t>
      </w:r>
    </w:p>
    <w:p w14:paraId="5743AE0A"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3.3 Local Statistical Characterization</w:t>
      </w:r>
    </w:p>
    <w:p w14:paraId="5A788C79" w14:textId="77777777" w:rsidR="00C852A7" w:rsidRPr="00825131" w:rsidRDefault="00B17446">
      <w:pPr>
        <w:pStyle w:val="NormalWeb"/>
        <w:jc w:val="both"/>
      </w:pPr>
      <w:r w:rsidRPr="00825131">
        <w:t>Within each epistemic zone, local statistical descriptors are computed, including:</w:t>
      </w:r>
    </w:p>
    <w:p w14:paraId="5DB1EBCD" w14:textId="77777777" w:rsidR="00C852A7" w:rsidRPr="00825131" w:rsidRDefault="00B17446">
      <w:pPr>
        <w:pStyle w:val="NormalWeb"/>
        <w:jc w:val="both"/>
      </w:pPr>
      <w:r w:rsidRPr="00825131">
        <w:rPr>
          <w:rStyle w:val="Strong"/>
        </w:rPr>
        <w:t>Robust Adjusted Mean Estimate (RAME)</w:t>
      </w:r>
      <w:r w:rsidRPr="00825131">
        <w:t xml:space="preserve"> — a conservative uncertainty-penalized central value computed as</w:t>
      </w:r>
    </w:p>
    <w:p w14:paraId="0DAFFC41" w14:textId="77777777" w:rsidR="00C852A7" w:rsidRPr="00825131" w:rsidRDefault="00B17446">
      <w:pPr>
        <w:jc w:val="both"/>
        <w:rPr>
          <w:rFonts w:ascii="Times New Roman" w:hAnsi="Times New Roman"/>
        </w:rPr>
      </w:pPr>
      <w:r w:rsidRPr="00825131">
        <w:rPr>
          <w:rFonts w:ascii="Times New Roman" w:eastAsia="SimSun" w:hAnsi="Times New Roman"/>
          <w:lang w:bidi="ar"/>
        </w:rPr>
        <w:t>RAME=xˉ−</w:t>
      </w:r>
      <w:proofErr w:type="spellStart"/>
      <w:r w:rsidRPr="00825131">
        <w:rPr>
          <w:rFonts w:ascii="Times New Roman" w:eastAsia="SimSun" w:hAnsi="Times New Roman"/>
          <w:lang w:bidi="ar"/>
        </w:rPr>
        <w:t>k⋅SE</w:t>
      </w:r>
      <w:proofErr w:type="spellEnd"/>
      <w:r w:rsidRPr="00825131">
        <w:rPr>
          <w:rFonts w:ascii="Times New Roman" w:eastAsia="SimSun" w:hAnsi="Times New Roman"/>
          <w:lang w:bidi="ar"/>
        </w:rPr>
        <w:t xml:space="preserve">, </w:t>
      </w:r>
    </w:p>
    <w:p w14:paraId="336D08DB" w14:textId="77777777" w:rsidR="00C852A7" w:rsidRPr="00825131" w:rsidRDefault="00B17446">
      <w:pPr>
        <w:pStyle w:val="NormalWeb"/>
        <w:jc w:val="both"/>
      </w:pPr>
      <w:r w:rsidRPr="00825131">
        <w:t>where xˉ is the local mean, SE is the standard error, and k≥1 controls conservatism.</w:t>
      </w:r>
    </w:p>
    <w:p w14:paraId="78F978B8" w14:textId="77777777" w:rsidR="00C852A7" w:rsidRPr="00825131" w:rsidRDefault="00B17446">
      <w:pPr>
        <w:pStyle w:val="NormalWeb"/>
        <w:jc w:val="both"/>
      </w:pPr>
      <w:r w:rsidRPr="00825131">
        <w:rPr>
          <w:rStyle w:val="Strong"/>
        </w:rPr>
        <w:t>Robust Adjusted Mean Interval (RAMI)</w:t>
      </w:r>
      <w:r w:rsidRPr="00825131">
        <w:t xml:space="preserve"> — an uncertainty interval or interval width reflecting the stability and dispersion of the adjusted estimate, typically derived from standard-error–scaled bounds.</w:t>
      </w:r>
    </w:p>
    <w:p w14:paraId="15992FC5" w14:textId="77777777" w:rsidR="00C852A7" w:rsidRPr="00825131" w:rsidRDefault="00B17446">
      <w:pPr>
        <w:pStyle w:val="NormalWeb"/>
        <w:jc w:val="both"/>
      </w:pPr>
      <w:r w:rsidRPr="00825131">
        <w:t>Additional descriptors may include dispersion metrics and domain-specific reliability indicators. These localized statistics preserve heterogeneity across epistemic regions and prevent distortion arising from global averaging or aggregation artifacts.</w:t>
      </w:r>
    </w:p>
    <w:p w14:paraId="30CA5509"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3.4 Zone-Specific Decision Assignment</w:t>
      </w:r>
    </w:p>
    <w:p w14:paraId="5D2D0426" w14:textId="77777777" w:rsidR="00C852A7" w:rsidRPr="00825131" w:rsidRDefault="00B17446">
      <w:pPr>
        <w:pStyle w:val="NormalWeb"/>
        <w:jc w:val="both"/>
      </w:pPr>
      <w:r w:rsidRPr="00825131">
        <w:t xml:space="preserve">Each evidence unit produces a local decision recommendation </w:t>
      </w:r>
      <w:proofErr w:type="spellStart"/>
      <w:r w:rsidRPr="00825131">
        <w:t>di∈D</w:t>
      </w:r>
      <w:proofErr w:type="spellEnd"/>
      <w:r w:rsidRPr="00825131">
        <w:t xml:space="preserve">, where D denotes the admissible decision set, which may be binary (e.g., </w:t>
      </w:r>
      <w:r w:rsidRPr="00825131">
        <w:rPr>
          <w:rStyle w:val="Emphasis"/>
        </w:rPr>
        <w:t>act</w:t>
      </w:r>
      <w:r w:rsidRPr="00825131">
        <w:t xml:space="preserve"> vs </w:t>
      </w:r>
      <w:r w:rsidRPr="00825131">
        <w:rPr>
          <w:rStyle w:val="Emphasis"/>
        </w:rPr>
        <w:t>defer</w:t>
      </w:r>
      <w:r w:rsidRPr="00825131">
        <w:t xml:space="preserve">) or multi-action (e.g., </w:t>
      </w:r>
      <w:r w:rsidRPr="00825131">
        <w:rPr>
          <w:rStyle w:val="Emphasis"/>
        </w:rPr>
        <w:t>treat</w:t>
      </w:r>
      <w:r w:rsidRPr="00825131">
        <w:t xml:space="preserve">, </w:t>
      </w:r>
      <w:r w:rsidRPr="00825131">
        <w:rPr>
          <w:rStyle w:val="Emphasis"/>
        </w:rPr>
        <w:t>monitor</w:t>
      </w:r>
      <w:r w:rsidRPr="00825131">
        <w:t xml:space="preserve">, </w:t>
      </w:r>
      <w:r w:rsidRPr="00825131">
        <w:rPr>
          <w:rStyle w:val="Emphasis"/>
        </w:rPr>
        <w:t>escalate</w:t>
      </w:r>
      <w:r w:rsidRPr="00825131">
        <w:t xml:space="preserve">, </w:t>
      </w:r>
      <w:r w:rsidRPr="00825131">
        <w:rPr>
          <w:rStyle w:val="Emphasis"/>
        </w:rPr>
        <w:t>observe</w:t>
      </w:r>
      <w:r w:rsidRPr="00825131">
        <w:t>).</w:t>
      </w:r>
    </w:p>
    <w:p w14:paraId="23050364" w14:textId="77777777" w:rsidR="00C852A7" w:rsidRPr="00825131" w:rsidRDefault="00B17446">
      <w:pPr>
        <w:pStyle w:val="NormalWeb"/>
        <w:jc w:val="both"/>
      </w:pPr>
      <w:r w:rsidRPr="00825131">
        <w:t xml:space="preserve">A deterministic or probabilistic decision rule </w:t>
      </w:r>
      <w:proofErr w:type="gramStart"/>
      <w:r w:rsidRPr="00825131">
        <w:t>fz(</w:t>
      </w:r>
      <w:proofErr w:type="gramEnd"/>
      <w:r w:rsidRPr="00825131">
        <w:t>⋅) is applied independently within each epistemic zone to generate local decision outputs from the corresponding zone-specific evidence and statistics. Decision rules may incorporate clinical thresholds, operational policies, or learned models, but remain constrained by the epistemic reliability characteristics of each zone.</w:t>
      </w:r>
    </w:p>
    <w:p w14:paraId="125FE826" w14:textId="77777777" w:rsidR="00C852A7" w:rsidRPr="00825131" w:rsidRDefault="00B17446">
      <w:pPr>
        <w:pStyle w:val="NormalWeb"/>
        <w:jc w:val="both"/>
      </w:pPr>
      <w:r w:rsidRPr="00825131">
        <w:lastRenderedPageBreak/>
        <w:t>Each local decision inherits the credibility weight associated with its originating zone, ensuring that downstream aggregation reflects epistemic reliability rather than raw evidence volume or signal magnitude.</w:t>
      </w:r>
    </w:p>
    <w:p w14:paraId="0459C4F6"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3.5 Credibility-Weighted Fusion</w:t>
      </w:r>
    </w:p>
    <w:p w14:paraId="02E5CBF7" w14:textId="77777777" w:rsidR="00C852A7" w:rsidRPr="00825131" w:rsidRDefault="00B17446">
      <w:pPr>
        <w:pStyle w:val="NormalWeb"/>
        <w:jc w:val="both"/>
      </w:pPr>
      <w:r w:rsidRPr="00825131">
        <w:t xml:space="preserve">For each candidate decision </w:t>
      </w:r>
      <w:proofErr w:type="spellStart"/>
      <w:r w:rsidRPr="00825131">
        <w:t>d∈Dd</w:t>
      </w:r>
      <w:proofErr w:type="spellEnd"/>
      <w:r w:rsidRPr="00825131">
        <w:t xml:space="preserve"> \in \</w:t>
      </w:r>
      <w:proofErr w:type="spellStart"/>
      <w:r w:rsidRPr="00825131">
        <w:t>mathcal</w:t>
      </w:r>
      <w:proofErr w:type="spellEnd"/>
      <w:r w:rsidRPr="00825131">
        <w:t>{D}</w:t>
      </w:r>
      <w:proofErr w:type="spellStart"/>
      <w:r w:rsidRPr="00825131">
        <w:t>d∈D</w:t>
      </w:r>
      <w:proofErr w:type="spellEnd"/>
      <w:r w:rsidRPr="00825131">
        <w:t>, a cumulative credibility score is computed as:</w:t>
      </w:r>
    </w:p>
    <w:p w14:paraId="44CE77DB" w14:textId="77777777" w:rsidR="00C852A7" w:rsidRPr="00825131" w:rsidRDefault="000A1B86">
      <w:pPr>
        <w:pStyle w:val="NormalWeb"/>
        <w:jc w:val="both"/>
      </w:pPr>
      <m:oMathPara>
        <m:oMathParaPr>
          <m:jc m:val="left"/>
        </m:oMathParaPr>
        <m:oMath>
          <m:m>
            <m:mPr>
              <m:mcs>
                <m:mc>
                  <m:mcPr>
                    <m:count m:val="1"/>
                    <m:mcJc m:val="left"/>
                  </m:mcPr>
                </m:mc>
              </m:mcs>
              <m:ctrlPr>
                <w:rPr>
                  <w:rFonts w:ascii="Cambria Math" w:hAnsi="Cambria Math"/>
                  <w:i/>
                  <w:lang w:bidi="ar"/>
                </w:rPr>
              </m:ctrlPr>
            </m:mPr>
            <m:mr>
              <m:e>
                <m:r>
                  <m:rPr>
                    <m:nor/>
                  </m:rPr>
                  <w:rPr>
                    <w:rFonts w:ascii="Cambria Math" w:hAnsi="Cambria Math"/>
                    <w:i/>
                  </w:rPr>
                  <m:t>S</m:t>
                </m:r>
                <m:r>
                  <m:rPr>
                    <m:nor/>
                  </m:rPr>
                  <w:rPr>
                    <w:rFonts w:ascii="Cambria Math" w:hAnsi="Cambria Math"/>
                  </w:rPr>
                  <m:t>_</m:t>
                </m:r>
                <m:r>
                  <m:rPr>
                    <m:nor/>
                  </m:rPr>
                  <w:rPr>
                    <w:rFonts w:ascii="Cambria Math" w:hAnsi="Cambria Math"/>
                    <w:i/>
                  </w:rPr>
                  <m:t>d</m:t>
                </m:r>
                <m:r>
                  <m:rPr>
                    <m:nor/>
                  </m:rPr>
                  <w:rPr>
                    <w:rFonts w:ascii="Cambria Math" w:hAnsi="Cambria Math"/>
                  </w:rPr>
                  <m:t xml:space="preserve"> = \</m:t>
                </m:r>
                <m:r>
                  <m:rPr>
                    <m:nor/>
                  </m:rPr>
                  <w:rPr>
                    <w:rFonts w:ascii="Cambria Math" w:hAnsi="Cambria Math"/>
                    <w:i/>
                  </w:rPr>
                  <m:t>sum</m:t>
                </m:r>
                <m:r>
                  <m:rPr>
                    <m:nor/>
                  </m:rPr>
                  <w:rPr>
                    <w:rFonts w:ascii="Cambria Math" w:hAnsi="Cambria Math"/>
                  </w:rPr>
                  <m:t>_{</m:t>
                </m:r>
                <m:r>
                  <m:rPr>
                    <m:nor/>
                  </m:rPr>
                  <w:rPr>
                    <w:rFonts w:ascii="Cambria Math" w:hAnsi="Cambria Math"/>
                    <w:i/>
                  </w:rPr>
                  <m:t>i</m:t>
                </m:r>
                <m:r>
                  <m:rPr>
                    <m:nor/>
                  </m:rPr>
                  <w:rPr>
                    <w:rFonts w:ascii="Cambria Math" w:hAnsi="Cambria Math"/>
                  </w:rPr>
                  <m:t xml:space="preserve"> : </m:t>
                </m:r>
                <m:r>
                  <m:rPr>
                    <m:nor/>
                  </m:rPr>
                  <w:rPr>
                    <w:rFonts w:ascii="Cambria Math" w:hAnsi="Cambria Math"/>
                    <w:i/>
                  </w:rPr>
                  <m:t>d</m:t>
                </m:r>
                <m:r>
                  <m:rPr>
                    <m:nor/>
                  </m:rPr>
                  <w:rPr>
                    <w:rFonts w:ascii="Cambria Math" w:hAnsi="Cambria Math"/>
                  </w:rPr>
                  <m:t>_</m:t>
                </m:r>
                <m:r>
                  <m:rPr>
                    <m:nor/>
                  </m:rPr>
                  <w:rPr>
                    <w:rFonts w:ascii="Cambria Math" w:hAnsi="Cambria Math"/>
                    <w:i/>
                  </w:rPr>
                  <m:t>i</m:t>
                </m:r>
                <m:r>
                  <m:rPr>
                    <m:nor/>
                  </m:rPr>
                  <w:rPr>
                    <w:rFonts w:ascii="Cambria Math" w:hAnsi="Cambria Math"/>
                  </w:rPr>
                  <m:t xml:space="preserve"> = </m:t>
                </m:r>
                <m:r>
                  <m:rPr>
                    <m:nor/>
                  </m:rPr>
                  <w:rPr>
                    <w:rFonts w:ascii="Cambria Math" w:hAnsi="Cambria Math"/>
                    <w:i/>
                  </w:rPr>
                  <m:t>d</m:t>
                </m:r>
                <m:r>
                  <m:rPr>
                    <m:nor/>
                  </m:rPr>
                  <w:rPr>
                    <w:rFonts w:ascii="Cambria Math" w:hAnsi="Cambria Math"/>
                  </w:rPr>
                  <m:t xml:space="preserve">} </m:t>
                </m:r>
                <m:r>
                  <m:rPr>
                    <m:nor/>
                  </m:rPr>
                  <w:rPr>
                    <w:rFonts w:ascii="Cambria Math" w:hAnsi="Cambria Math"/>
                    <w:i/>
                  </w:rPr>
                  <m:t>w</m:t>
                </m:r>
                <m:r>
                  <m:rPr>
                    <m:nor/>
                  </m:rPr>
                  <w:rPr>
                    <w:rFonts w:ascii="Cambria Math" w:hAnsi="Cambria Math"/>
                  </w:rPr>
                  <m:t>_{</m:t>
                </m:r>
                <m:r>
                  <m:rPr>
                    <m:nor/>
                  </m:rPr>
                  <w:rPr>
                    <w:rFonts w:ascii="Cambria Math" w:hAnsi="Cambria Math"/>
                    <w:i/>
                  </w:rPr>
                  <m:t>z</m:t>
                </m:r>
                <m:r>
                  <m:rPr>
                    <m:nor/>
                  </m:rPr>
                  <w:rPr>
                    <w:rFonts w:ascii="Cambria Math" w:hAnsi="Cambria Math"/>
                  </w:rPr>
                  <m:t>_</m:t>
                </m:r>
                <m:r>
                  <m:rPr>
                    <m:nor/>
                  </m:rPr>
                  <w:rPr>
                    <w:rFonts w:ascii="Cambria Math" w:hAnsi="Cambria Math"/>
                    <w:i/>
                  </w:rPr>
                  <m:t>i</m:t>
                </m:r>
                <m:r>
                  <m:rPr>
                    <m:nor/>
                  </m:rPr>
                  <w:rPr>
                    <w:rFonts w:ascii="Cambria Math" w:hAnsi="Cambria Math"/>
                  </w:rPr>
                  <m:t>}</m:t>
                </m:r>
              </m:e>
            </m:mr>
          </m:m>
        </m:oMath>
      </m:oMathPara>
    </w:p>
    <w:p w14:paraId="3FD8DE15" w14:textId="77777777" w:rsidR="00C852A7" w:rsidRPr="00825131" w:rsidRDefault="00B17446">
      <w:pPr>
        <w:pStyle w:val="NormalWeb"/>
        <w:jc w:val="both"/>
      </w:pPr>
      <w:r w:rsidRPr="00825131">
        <w:t xml:space="preserve">Sd​ denotes the total weighted score for class d, obtained by summing the zone weights </w:t>
      </w:r>
      <w:proofErr w:type="spellStart"/>
      <w:r w:rsidRPr="00825131">
        <w:t>wzi</w:t>
      </w:r>
      <w:proofErr w:type="spellEnd"/>
      <w:r w:rsidRPr="00825131">
        <w:t>​​ over all observations iii such that di=d.</w:t>
      </w:r>
    </w:p>
    <w:p w14:paraId="7DCCAE15" w14:textId="77777777" w:rsidR="00C852A7" w:rsidRPr="00825131" w:rsidRDefault="00B17446">
      <w:pPr>
        <w:pStyle w:val="NormalWeb"/>
        <w:jc w:val="both"/>
      </w:pPr>
      <w:r w:rsidRPr="00825131">
        <w:t>The winning score is defined as:</w:t>
      </w:r>
    </w:p>
    <w:p w14:paraId="303F4F65" w14:textId="77777777" w:rsidR="00C852A7" w:rsidRPr="00825131" w:rsidRDefault="00B17446">
      <w:pPr>
        <w:jc w:val="both"/>
        <w:rPr>
          <w:rFonts w:ascii="Times New Roman" w:eastAsia="SimSun" w:hAnsi="Times New Roman"/>
          <w:oMath/>
        </w:rPr>
      </w:pPr>
      <m:oMathPara>
        <m:oMath>
          <m:r>
            <m:rPr>
              <m:sty m:val="p"/>
            </m:rPr>
            <w:rPr>
              <w:rFonts w:ascii="Times New Roman" w:eastAsia="SimSun" w:hAnsi="Times New Roman"/>
            </w:rPr>
            <m:t>S_win = max_{d ∈ D} S_d</m:t>
          </m:r>
        </m:oMath>
      </m:oMathPara>
    </w:p>
    <w:p w14:paraId="07D5A199" w14:textId="77777777" w:rsidR="00C852A7" w:rsidRPr="00825131" w:rsidRDefault="00B17446">
      <w:pPr>
        <w:pStyle w:val="NormalWeb"/>
        <w:jc w:val="both"/>
      </w:pPr>
      <w:r w:rsidRPr="00825131">
        <w:t>and the strongest competing (losing) score is:</w:t>
      </w:r>
    </w:p>
    <w:p w14:paraId="29A51E22" w14:textId="77777777" w:rsidR="00C852A7" w:rsidRPr="00825131" w:rsidRDefault="00B17446">
      <w:pPr>
        <w:pStyle w:val="NormalWeb"/>
        <w:jc w:val="both"/>
        <w:rPr>
          <w:oMath/>
        </w:rPr>
      </w:pPr>
      <m:oMathPara>
        <m:oMath>
          <m:r>
            <m:rPr>
              <m:sty m:val="p"/>
            </m:rPr>
            <w:rPr>
              <w:rFonts w:ascii="Cambria Math" w:hAnsi="Cambria Math"/>
            </w:rPr>
            <m:t>S_lose = max_{d in D, d ≠ d_win} S_d</m:t>
          </m:r>
        </m:oMath>
      </m:oMathPara>
    </w:p>
    <w:p w14:paraId="3E81D6FE" w14:textId="77777777" w:rsidR="00C852A7" w:rsidRPr="00825131" w:rsidRDefault="00B17446">
      <w:pPr>
        <w:pStyle w:val="NormalWeb"/>
        <w:jc w:val="both"/>
      </w:pPr>
      <w:r w:rsidRPr="00825131">
        <w:t>The total epistemic weight is:</w:t>
      </w:r>
    </w:p>
    <w:p w14:paraId="1621A38B" w14:textId="77777777" w:rsidR="00C852A7" w:rsidRPr="00825131" w:rsidRDefault="00B17446">
      <w:pPr>
        <w:pStyle w:val="NormalWeb"/>
        <w:jc w:val="both"/>
      </w:pPr>
      <w:proofErr w:type="spellStart"/>
      <m:oMathPara>
        <m:oMath>
          <m:r>
            <m:rPr>
              <m:nor/>
            </m:rPr>
            <w:rPr>
              <w:rFonts w:ascii="Cambria Math" w:hAnsi="Cambria Math"/>
            </w:rPr>
            <m:t>Wtotal</m:t>
          </m:r>
          <w:proofErr w:type="spellEnd"/>
          <m:r>
            <m:rPr>
              <m:nor/>
            </m:rPr>
            <w:rPr>
              <w:rFonts w:ascii="Cambria Math" w:hAnsi="Cambria Math"/>
            </w:rPr>
            <m:t>​=∑</m:t>
          </m:r>
          <w:proofErr w:type="spellStart"/>
          <m:r>
            <m:rPr>
              <m:nor/>
            </m:rPr>
            <w:rPr>
              <w:rFonts w:ascii="Cambria Math" w:hAnsi="Cambria Math"/>
            </w:rPr>
            <m:t>d∈D</m:t>
          </m:r>
          <w:proofErr w:type="spellEnd"/>
          <m:r>
            <m:rPr>
              <m:nor/>
            </m:rPr>
            <w:rPr>
              <w:rFonts w:ascii="Cambria Math" w:hAnsi="Cambria Math"/>
            </w:rPr>
            <m:t>​Sd​</m:t>
          </m:r>
        </m:oMath>
      </m:oMathPara>
    </w:p>
    <w:p w14:paraId="238BDA19" w14:textId="77777777" w:rsidR="00C852A7" w:rsidRPr="00825131" w:rsidRDefault="00B17446">
      <w:pPr>
        <w:pStyle w:val="NormalWeb"/>
        <w:jc w:val="both"/>
      </w:pPr>
      <w:r w:rsidRPr="00825131">
        <w:t>representing the total available epistemic credibility and serving as the normalization basis for dominance computation.</w:t>
      </w:r>
    </w:p>
    <w:p w14:paraId="473AB950"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3.6 Decision Epistemic Strength (DES)</w:t>
      </w:r>
    </w:p>
    <w:p w14:paraId="32E40FCD" w14:textId="77777777" w:rsidR="00C852A7" w:rsidRPr="00825131" w:rsidRDefault="00B17446">
      <w:pPr>
        <w:pStyle w:val="NormalWeb"/>
        <w:jc w:val="both"/>
      </w:pPr>
      <w:r w:rsidRPr="00825131">
        <w:t>Decision Epistemic Strength (DES) is defined as the normalized dominance margin between the winning decision and its nearest competitor:</w:t>
      </w:r>
    </w:p>
    <w:p w14:paraId="723EE7DD" w14:textId="77777777" w:rsidR="00C852A7" w:rsidRPr="00825131" w:rsidRDefault="000A1B86">
      <w:pPr>
        <w:pStyle w:val="NormalWeb"/>
        <w:jc w:val="both"/>
      </w:pPr>
      <m:oMathPara>
        <m:oMath>
          <m:m>
            <m:mPr>
              <m:mcs>
                <m:mc>
                  <m:mcPr>
                    <m:count m:val="1"/>
                    <m:mcJc m:val="left"/>
                  </m:mcPr>
                </m:mc>
              </m:mcs>
              <m:ctrlPr>
                <w:rPr>
                  <w:rFonts w:ascii="Cambria Math" w:hAnsi="Cambria Math"/>
                  <w:i/>
                  <w:lang w:bidi="ar"/>
                </w:rPr>
              </m:ctrlPr>
            </m:mPr>
            <m:mr>
              <m:e>
                <m:r>
                  <m:rPr>
                    <m:nor/>
                  </m:rPr>
                  <w:rPr>
                    <w:rFonts w:ascii="Cambria Math" w:hAnsi="Cambria Math"/>
                    <w:i/>
                  </w:rPr>
                  <m:t>DES</m:t>
                </m:r>
                <m:r>
                  <m:rPr>
                    <m:nor/>
                  </m:rPr>
                  <w:rPr>
                    <w:rFonts w:ascii="Cambria Math" w:hAnsi="Cambria Math"/>
                  </w:rPr>
                  <m:t xml:space="preserve"> = (</m:t>
                </m:r>
                <m:r>
                  <m:rPr>
                    <m:nor/>
                  </m:rPr>
                  <w:rPr>
                    <w:rFonts w:ascii="Cambria Math" w:hAnsi="Cambria Math"/>
                    <w:i/>
                  </w:rPr>
                  <m:t>S</m:t>
                </m:r>
                <m:r>
                  <m:rPr>
                    <m:nor/>
                  </m:rPr>
                  <w:rPr>
                    <w:rFonts w:ascii="Cambria Math" w:hAnsi="Cambria Math"/>
                  </w:rPr>
                  <m:t>_</m:t>
                </m:r>
                <m:r>
                  <m:rPr>
                    <m:nor/>
                  </m:rPr>
                  <w:rPr>
                    <w:rFonts w:ascii="Cambria Math" w:hAnsi="Cambria Math"/>
                    <w:i/>
                  </w:rPr>
                  <m:t>win</m:t>
                </m:r>
                <m:r>
                  <m:rPr>
                    <m:nor/>
                  </m:rPr>
                  <w:rPr>
                    <w:rFonts w:ascii="Cambria Math" w:hAnsi="Cambria Math"/>
                  </w:rPr>
                  <m:t xml:space="preserve"> - </m:t>
                </m:r>
                <m:r>
                  <m:rPr>
                    <m:nor/>
                  </m:rPr>
                  <w:rPr>
                    <w:rFonts w:ascii="Cambria Math" w:hAnsi="Cambria Math"/>
                    <w:i/>
                  </w:rPr>
                  <m:t>S</m:t>
                </m:r>
                <m:r>
                  <m:rPr>
                    <m:nor/>
                  </m:rPr>
                  <w:rPr>
                    <w:rFonts w:ascii="Cambria Math" w:hAnsi="Cambria Math"/>
                  </w:rPr>
                  <m:t>_</m:t>
                </m:r>
                <m:r>
                  <m:rPr>
                    <m:nor/>
                  </m:rPr>
                  <w:rPr>
                    <w:rFonts w:ascii="Cambria Math" w:hAnsi="Cambria Math"/>
                    <w:i/>
                  </w:rPr>
                  <m:t>lose</m:t>
                </m:r>
                <m:r>
                  <m:rPr>
                    <m:nor/>
                  </m:rPr>
                  <w:rPr>
                    <w:rFonts w:ascii="Cambria Math" w:hAnsi="Cambria Math"/>
                  </w:rPr>
                  <m:t xml:space="preserve">) / </m:t>
                </m:r>
                <m:r>
                  <m:rPr>
                    <m:nor/>
                  </m:rPr>
                  <w:rPr>
                    <w:rFonts w:ascii="Cambria Math" w:hAnsi="Cambria Math"/>
                    <w:i/>
                  </w:rPr>
                  <m:t>W</m:t>
                </m:r>
                <m:r>
                  <m:rPr>
                    <m:nor/>
                  </m:rPr>
                  <w:rPr>
                    <w:rFonts w:ascii="Cambria Math" w:hAnsi="Cambria Math"/>
                  </w:rPr>
                  <m:t>_</m:t>
                </m:r>
                <m:r>
                  <m:rPr>
                    <m:nor/>
                  </m:rPr>
                  <w:rPr>
                    <w:rFonts w:ascii="Cambria Math" w:hAnsi="Cambria Math"/>
                    <w:i/>
                  </w:rPr>
                  <m:t>total</m:t>
                </m:r>
              </m:e>
            </m:mr>
          </m:m>
        </m:oMath>
      </m:oMathPara>
    </w:p>
    <w:p w14:paraId="7251F28F" w14:textId="77777777" w:rsidR="00C852A7" w:rsidRPr="00825131" w:rsidRDefault="00B17446">
      <w:pPr>
        <w:pStyle w:val="NormalWeb"/>
        <w:jc w:val="both"/>
      </w:pPr>
      <w:r w:rsidRPr="00825131">
        <w:t>DES lies in the interval [0,</w:t>
      </w:r>
      <w:proofErr w:type="gramStart"/>
      <w:r w:rsidRPr="00825131">
        <w:t>1][</w:t>
      </w:r>
      <w:proofErr w:type="gramEnd"/>
      <w:r w:rsidRPr="00825131">
        <w:t>0,1][0,1], where larger values indicate stronger epistemic separation and higher legitimacy of the selected decision. Values near zero indicate weak dominance or epistemic ambiguity, whereas values approaching unity reflect strong, stable decision dominance.</w:t>
      </w:r>
    </w:p>
    <w:p w14:paraId="4CD339BB" w14:textId="77777777" w:rsidR="00C852A7" w:rsidRPr="00825131" w:rsidRDefault="00B17446">
      <w:pPr>
        <w:pStyle w:val="NormalWeb"/>
        <w:jc w:val="both"/>
      </w:pPr>
      <w:r w:rsidRPr="00825131">
        <w:t>A typical interpretive scale is:</w:t>
      </w:r>
    </w:p>
    <w:p w14:paraId="5E5A966B" w14:textId="77777777" w:rsidR="00C852A7" w:rsidRPr="00825131" w:rsidRDefault="00B17446">
      <w:pPr>
        <w:pStyle w:val="NormalWeb"/>
        <w:jc w:val="both"/>
        <w:rPr>
          <w:bCs/>
        </w:rPr>
      </w:pPr>
      <w:r w:rsidRPr="00825131">
        <w:rPr>
          <w:rStyle w:val="Strong"/>
          <w:b w:val="0"/>
          <w:bCs/>
        </w:rPr>
        <w:t>DES ≥ 0.60</w:t>
      </w:r>
      <w:r w:rsidRPr="00825131">
        <w:rPr>
          <w:bCs/>
        </w:rPr>
        <w:t xml:space="preserve"> → Decisive</w:t>
      </w:r>
    </w:p>
    <w:p w14:paraId="54497EC1" w14:textId="77777777" w:rsidR="00C852A7" w:rsidRPr="00825131" w:rsidRDefault="00B17446">
      <w:pPr>
        <w:pStyle w:val="NormalWeb"/>
        <w:jc w:val="both"/>
        <w:rPr>
          <w:bCs/>
        </w:rPr>
      </w:pPr>
      <w:r w:rsidRPr="00825131">
        <w:rPr>
          <w:rStyle w:val="Strong"/>
          <w:b w:val="0"/>
          <w:bCs/>
        </w:rPr>
        <w:t>0.30 ≤ DES &lt; 0.60</w:t>
      </w:r>
      <w:r w:rsidRPr="00825131">
        <w:rPr>
          <w:bCs/>
        </w:rPr>
        <w:t xml:space="preserve"> → Conditional</w:t>
      </w:r>
    </w:p>
    <w:p w14:paraId="2290A3EE" w14:textId="77777777" w:rsidR="00C852A7" w:rsidRPr="00825131" w:rsidRDefault="00B17446">
      <w:pPr>
        <w:pStyle w:val="NormalWeb"/>
        <w:jc w:val="both"/>
        <w:rPr>
          <w:bCs/>
        </w:rPr>
      </w:pPr>
      <w:r w:rsidRPr="00825131">
        <w:rPr>
          <w:rStyle w:val="Strong"/>
          <w:b w:val="0"/>
          <w:bCs/>
        </w:rPr>
        <w:t>DES &lt; 0.30</w:t>
      </w:r>
      <w:r w:rsidRPr="00825131">
        <w:rPr>
          <w:bCs/>
        </w:rPr>
        <w:t xml:space="preserve"> → Deferred / insufficient evidence</w:t>
      </w:r>
    </w:p>
    <w:p w14:paraId="21EDB7EE"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3.7 Governance Interpretation</w:t>
      </w:r>
    </w:p>
    <w:p w14:paraId="37B5F077" w14:textId="77777777" w:rsidR="00C852A7" w:rsidRPr="00825131" w:rsidRDefault="00B17446">
      <w:pPr>
        <w:jc w:val="both"/>
        <w:rPr>
          <w:rFonts w:ascii="Times New Roman" w:hAnsi="Times New Roman"/>
        </w:rPr>
      </w:pPr>
      <w:r w:rsidRPr="00825131">
        <w:rPr>
          <w:rStyle w:val="Strong"/>
          <w:rFonts w:ascii="Times New Roman" w:eastAsia="SimSun" w:hAnsi="Times New Roman"/>
          <w:b w:val="0"/>
          <w:bCs/>
        </w:rPr>
        <w:lastRenderedPageBreak/>
        <w:t>Decision Evidence Strength (DES) supports graded decision governance rather than binary thresholds.</w:t>
      </w:r>
      <w:r w:rsidRPr="00825131">
        <w:rPr>
          <w:rFonts w:ascii="Times New Roman" w:eastAsia="SimSun" w:hAnsi="Times New Roman"/>
        </w:rPr>
        <w:br/>
        <w:t xml:space="preserve">When the DES value is </w:t>
      </w:r>
      <w:r w:rsidRPr="00825131">
        <w:rPr>
          <w:rStyle w:val="Strong"/>
          <w:rFonts w:ascii="Times New Roman" w:eastAsia="SimSun" w:hAnsi="Times New Roman"/>
        </w:rPr>
        <w:t>≥ 0.60</w:t>
      </w:r>
      <w:r w:rsidRPr="00825131">
        <w:rPr>
          <w:rFonts w:ascii="Times New Roman" w:eastAsia="SimSun" w:hAnsi="Times New Roman"/>
        </w:rPr>
        <w:t xml:space="preserve">, the decision is classified as </w:t>
      </w:r>
      <w:r w:rsidRPr="00825131">
        <w:rPr>
          <w:rStyle w:val="Emphasis"/>
          <w:rFonts w:ascii="Times New Roman" w:eastAsia="SimSun" w:hAnsi="Times New Roman"/>
        </w:rPr>
        <w:t>Decisive</w:t>
      </w:r>
      <w:r w:rsidRPr="00825131">
        <w:rPr>
          <w:rFonts w:ascii="Times New Roman" w:eastAsia="SimSun" w:hAnsi="Times New Roman"/>
        </w:rPr>
        <w:t>, indicating that operational action is authorized with high epistemic confidence.</w:t>
      </w:r>
      <w:r w:rsidRPr="00825131">
        <w:rPr>
          <w:rFonts w:ascii="Times New Roman" w:eastAsia="SimSun" w:hAnsi="Times New Roman"/>
        </w:rPr>
        <w:br/>
        <w:t xml:space="preserve">Values in the range </w:t>
      </w:r>
      <w:r w:rsidRPr="00825131">
        <w:rPr>
          <w:rStyle w:val="Strong"/>
          <w:rFonts w:ascii="Times New Roman" w:eastAsia="SimSun" w:hAnsi="Times New Roman"/>
        </w:rPr>
        <w:t>0.30–0.59</w:t>
      </w:r>
      <w:r w:rsidRPr="00825131">
        <w:rPr>
          <w:rFonts w:ascii="Times New Roman" w:eastAsia="SimSun" w:hAnsi="Times New Roman"/>
        </w:rPr>
        <w:t xml:space="preserve"> correspond to a </w:t>
      </w:r>
      <w:r w:rsidRPr="00825131">
        <w:rPr>
          <w:rStyle w:val="Emphasis"/>
          <w:rFonts w:ascii="Times New Roman" w:eastAsia="SimSun" w:hAnsi="Times New Roman"/>
        </w:rPr>
        <w:t>Conditional</w:t>
      </w:r>
      <w:r w:rsidRPr="00825131">
        <w:rPr>
          <w:rFonts w:ascii="Times New Roman" w:eastAsia="SimSun" w:hAnsi="Times New Roman"/>
        </w:rPr>
        <w:t xml:space="preserve"> governance state, where execution may proceed only under safeguards, secondary verification, or supervisory oversight.</w:t>
      </w:r>
      <w:r w:rsidRPr="00825131">
        <w:rPr>
          <w:rFonts w:ascii="Times New Roman" w:eastAsia="SimSun" w:hAnsi="Times New Roman"/>
        </w:rPr>
        <w:br/>
        <w:t xml:space="preserve">A DES value </w:t>
      </w:r>
      <w:r w:rsidRPr="00825131">
        <w:rPr>
          <w:rStyle w:val="Strong"/>
          <w:rFonts w:ascii="Times New Roman" w:eastAsia="SimSun" w:hAnsi="Times New Roman"/>
        </w:rPr>
        <w:t>&lt; 0.30</w:t>
      </w:r>
      <w:r w:rsidRPr="00825131">
        <w:rPr>
          <w:rFonts w:ascii="Times New Roman" w:eastAsia="SimSun" w:hAnsi="Times New Roman"/>
        </w:rPr>
        <w:t xml:space="preserve"> is considered </w:t>
      </w:r>
      <w:r w:rsidRPr="00825131">
        <w:rPr>
          <w:rStyle w:val="Emphasis"/>
          <w:rFonts w:ascii="Times New Roman" w:eastAsia="SimSun" w:hAnsi="Times New Roman"/>
        </w:rPr>
        <w:t>Deferred</w:t>
      </w:r>
      <w:r w:rsidRPr="00825131">
        <w:rPr>
          <w:rFonts w:ascii="Times New Roman" w:eastAsia="SimSun" w:hAnsi="Times New Roman"/>
        </w:rPr>
        <w:t>, reflecting insufficient epistemic legitimacy to justify operational commitment.</w:t>
      </w:r>
      <w:r w:rsidRPr="00825131">
        <w:rPr>
          <w:rFonts w:ascii="Times New Roman" w:eastAsia="SimSun" w:hAnsi="Times New Roman"/>
        </w:rPr>
        <w:br/>
        <w:t>Thresholds may be calibrated according to domain-specific risk tolerance, regulatory requirements, and operational criticality.</w:t>
      </w:r>
    </w:p>
    <w:p w14:paraId="59D6D840"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3.8 Domain Scope and Applicability</w:t>
      </w:r>
    </w:p>
    <w:p w14:paraId="2232F2FB" w14:textId="77777777" w:rsidR="00C852A7" w:rsidRPr="00825131" w:rsidRDefault="00B17446">
      <w:pPr>
        <w:pStyle w:val="NormalWeb"/>
        <w:jc w:val="both"/>
      </w:pPr>
      <w:r w:rsidRPr="00825131">
        <w:t>DES applies whenever competing actions exist and available evidence can be epistemically stratified into credibility-defined zones. In purely descriptive or observational systems lacking actionable alternatives, DES is undefined and should not be applied.</w:t>
      </w:r>
    </w:p>
    <w:p w14:paraId="17A057F6" w14:textId="77777777" w:rsidR="00C852A7" w:rsidRPr="00825131" w:rsidRDefault="00B17446">
      <w:pPr>
        <w:pStyle w:val="NormalWeb"/>
        <w:jc w:val="both"/>
      </w:pPr>
      <w:r w:rsidRPr="00825131">
        <w:t>The framework supports both individual-level decisions (e.g., clinical triage, diagnostic escalation) and population-level governance (e.g., public health interventions, policy deployment, financial controls).</w:t>
      </w:r>
    </w:p>
    <w:p w14:paraId="7D5B247F" w14:textId="77777777" w:rsidR="00C852A7" w:rsidRPr="00825131" w:rsidRDefault="00B17446">
      <w:pPr>
        <w:pStyle w:val="NormalWeb"/>
        <w:jc w:val="both"/>
        <w:rPr>
          <w:rFonts w:asciiTheme="majorBidi" w:hAnsiTheme="majorBidi" w:cstheme="majorBidi"/>
        </w:rPr>
      </w:pPr>
      <w:r w:rsidRPr="00825131">
        <w:t xml:space="preserve">DES is not a probabilistic quantity analogous to p-values or predictive probabilities. Instead, it quantifies </w:t>
      </w:r>
      <w:r w:rsidRPr="00825131">
        <w:rPr>
          <w:rStyle w:val="Strong"/>
          <w:b w:val="0"/>
        </w:rPr>
        <w:t>epistemic dominance in decision space</w:t>
      </w:r>
      <w:r w:rsidRPr="00825131">
        <w:t xml:space="preserve"> following credibility-weighted evidence fusion, providing a governance-oriented assessment of decision legitimacy rather than statistical significance or outcome </w:t>
      </w:r>
      <w:r w:rsidRPr="00825131">
        <w:rPr>
          <w:rFonts w:asciiTheme="majorBidi" w:hAnsiTheme="majorBidi" w:cstheme="majorBidi"/>
        </w:rPr>
        <w:t>likelihood.</w:t>
      </w:r>
    </w:p>
    <w:p w14:paraId="1902012C" w14:textId="77777777" w:rsidR="005B07B2" w:rsidRPr="00825131" w:rsidRDefault="005B07B2" w:rsidP="005B07B2">
      <w:pPr>
        <w:pStyle w:val="Heading1"/>
        <w:jc w:val="both"/>
        <w:rPr>
          <w:rFonts w:asciiTheme="majorBidi" w:hAnsiTheme="majorBidi" w:cstheme="majorBidi" w:hint="default"/>
          <w:sz w:val="24"/>
          <w:szCs w:val="24"/>
        </w:rPr>
      </w:pPr>
      <w:r w:rsidRPr="00825131">
        <w:rPr>
          <w:rFonts w:asciiTheme="majorBidi" w:hAnsiTheme="majorBidi" w:cstheme="majorBidi" w:hint="default"/>
          <w:sz w:val="24"/>
          <w:szCs w:val="24"/>
        </w:rPr>
        <w:t>3.9 Algorithmic Summary and Implementation Workflow</w:t>
      </w:r>
    </w:p>
    <w:p w14:paraId="7CF3B425" w14:textId="77777777" w:rsidR="005B07B2" w:rsidRPr="00825131" w:rsidRDefault="005B07B2" w:rsidP="005B07B2">
      <w:pPr>
        <w:jc w:val="both"/>
        <w:rPr>
          <w:rFonts w:asciiTheme="majorBidi" w:hAnsiTheme="majorBidi" w:cstheme="majorBidi"/>
        </w:rPr>
      </w:pPr>
      <w:r w:rsidRPr="00825131">
        <w:rPr>
          <w:rFonts w:asciiTheme="majorBidi" w:hAnsiTheme="majorBidi" w:cstheme="majorBidi"/>
        </w:rPr>
        <w:t>Inputs</w:t>
      </w:r>
    </w:p>
    <w:p w14:paraId="2C52F45E" w14:textId="77777777" w:rsidR="005B07B2" w:rsidRPr="00825131" w:rsidRDefault="005B07B2" w:rsidP="005B07B2">
      <w:pPr>
        <w:jc w:val="both"/>
        <w:rPr>
          <w:rFonts w:asciiTheme="majorBidi" w:hAnsiTheme="majorBidi" w:cstheme="majorBidi"/>
        </w:rPr>
      </w:pPr>
      <w:r w:rsidRPr="00825131">
        <w:rPr>
          <w:rFonts w:asciiTheme="majorBidi" w:hAnsiTheme="majorBidi" w:cstheme="majorBidi"/>
        </w:rPr>
        <w:t>- Evidence units: {</w:t>
      </w:r>
      <w:proofErr w:type="spellStart"/>
      <w:r w:rsidRPr="00825131">
        <w:rPr>
          <w:rFonts w:asciiTheme="majorBidi" w:hAnsiTheme="majorBidi" w:cstheme="majorBidi"/>
        </w:rPr>
        <w:t>x_</w:t>
      </w:r>
      <w:proofErr w:type="gramStart"/>
      <w:r w:rsidRPr="00825131">
        <w:rPr>
          <w:rFonts w:asciiTheme="majorBidi" w:hAnsiTheme="majorBidi" w:cstheme="majorBidi"/>
        </w:rPr>
        <w:t>i</w:t>
      </w:r>
      <w:proofErr w:type="spellEnd"/>
      <w:r w:rsidRPr="00825131">
        <w:rPr>
          <w:rFonts w:asciiTheme="majorBidi" w:hAnsiTheme="majorBidi" w:cstheme="majorBidi"/>
        </w:rPr>
        <w:t>}_</w:t>
      </w:r>
      <w:proofErr w:type="gramEnd"/>
      <w:r w:rsidRPr="00825131">
        <w:rPr>
          <w:rFonts w:asciiTheme="majorBidi" w:hAnsiTheme="majorBidi" w:cstheme="majorBidi"/>
        </w:rPr>
        <w:t>{</w:t>
      </w:r>
      <w:proofErr w:type="spellStart"/>
      <w:r w:rsidRPr="00825131">
        <w:rPr>
          <w:rFonts w:asciiTheme="majorBidi" w:hAnsiTheme="majorBidi" w:cstheme="majorBidi"/>
        </w:rPr>
        <w:t>i</w:t>
      </w:r>
      <w:proofErr w:type="spellEnd"/>
      <w:r w:rsidRPr="00825131">
        <w:rPr>
          <w:rFonts w:asciiTheme="majorBidi" w:hAnsiTheme="majorBidi" w:cstheme="majorBidi"/>
        </w:rPr>
        <w:t>=1}^N</w:t>
      </w:r>
    </w:p>
    <w:p w14:paraId="0575769F" w14:textId="77777777" w:rsidR="005B07B2" w:rsidRPr="00825131" w:rsidRDefault="005B07B2" w:rsidP="005B07B2">
      <w:pPr>
        <w:jc w:val="both"/>
      </w:pPr>
      <w:r w:rsidRPr="00825131">
        <w:rPr>
          <w:rFonts w:asciiTheme="majorBidi" w:hAnsiTheme="majorBidi" w:cstheme="majorBidi"/>
        </w:rPr>
        <w:t>- Epistemic zone assignment rule: g(</w:t>
      </w:r>
      <w:proofErr w:type="spellStart"/>
      <w:r w:rsidRPr="00825131">
        <w:rPr>
          <w:rFonts w:asciiTheme="majorBidi" w:hAnsiTheme="majorBidi" w:cstheme="majorBidi"/>
        </w:rPr>
        <w:t>x_i</w:t>
      </w:r>
      <w:proofErr w:type="spellEnd"/>
      <w:r w:rsidRPr="00825131">
        <w:rPr>
          <w:rFonts w:asciiTheme="majorBidi" w:hAnsiTheme="majorBidi" w:cstheme="majorBidi"/>
        </w:rPr>
        <w:t xml:space="preserve">) → </w:t>
      </w:r>
      <w:proofErr w:type="spellStart"/>
      <w:r w:rsidRPr="00825131">
        <w:rPr>
          <w:rFonts w:asciiTheme="majorBidi" w:hAnsiTheme="majorBidi" w:cstheme="majorBidi"/>
        </w:rPr>
        <w:t>z_i</w:t>
      </w:r>
      <w:proofErr w:type="spellEnd"/>
      <w:r w:rsidRPr="00825131">
        <w:rPr>
          <w:rFonts w:asciiTheme="majorBidi" w:hAnsiTheme="majorBidi" w:cstheme="majorBidi"/>
        </w:rPr>
        <w:t xml:space="preserve"> </w:t>
      </w:r>
      <w:r w:rsidRPr="00825131">
        <w:rPr>
          <w:rFonts w:ascii="Cambria Math" w:hAnsi="Cambria Math" w:cs="Cambria Math"/>
        </w:rPr>
        <w:t>∈</w:t>
      </w:r>
      <w:r w:rsidRPr="00825131">
        <w:rPr>
          <w:rFonts w:ascii="Times New Roman" w:hAnsi="Times New Roman"/>
        </w:rPr>
        <w:t xml:space="preserve"> Z</w:t>
      </w:r>
    </w:p>
    <w:p w14:paraId="06545548" w14:textId="77777777" w:rsidR="005B07B2" w:rsidRPr="00825131" w:rsidRDefault="005B07B2" w:rsidP="005B07B2">
      <w:pPr>
        <w:jc w:val="both"/>
      </w:pPr>
      <w:r w:rsidRPr="00825131">
        <w:rPr>
          <w:rFonts w:ascii="Times New Roman" w:hAnsi="Times New Roman"/>
        </w:rPr>
        <w:t xml:space="preserve">- Credibility weights: </w:t>
      </w:r>
      <w:proofErr w:type="spellStart"/>
      <w:r w:rsidRPr="00825131">
        <w:rPr>
          <w:rFonts w:ascii="Times New Roman" w:hAnsi="Times New Roman"/>
        </w:rPr>
        <w:t>w_z</w:t>
      </w:r>
      <w:proofErr w:type="spellEnd"/>
      <w:r w:rsidRPr="00825131">
        <w:rPr>
          <w:rFonts w:ascii="Times New Roman" w:hAnsi="Times New Roman"/>
        </w:rPr>
        <w:t xml:space="preserve"> ∈ [0,1] for each zone z ∈ Z</w:t>
      </w:r>
    </w:p>
    <w:p w14:paraId="6C586260" w14:textId="77777777" w:rsidR="005B07B2" w:rsidRPr="00825131" w:rsidRDefault="005B07B2" w:rsidP="005B07B2">
      <w:pPr>
        <w:jc w:val="both"/>
      </w:pPr>
      <w:r w:rsidRPr="00825131">
        <w:rPr>
          <w:rFonts w:ascii="Times New Roman" w:hAnsi="Times New Roman"/>
        </w:rPr>
        <w:t xml:space="preserve">- Zone-specific decision rule: </w:t>
      </w:r>
      <w:proofErr w:type="spellStart"/>
      <w:r w:rsidRPr="00825131">
        <w:rPr>
          <w:rFonts w:ascii="Times New Roman" w:hAnsi="Times New Roman"/>
        </w:rPr>
        <w:t>f_</w:t>
      </w:r>
      <w:proofErr w:type="gramStart"/>
      <w:r w:rsidRPr="00825131">
        <w:rPr>
          <w:rFonts w:ascii="Times New Roman" w:hAnsi="Times New Roman"/>
        </w:rPr>
        <w:t>z</w:t>
      </w:r>
      <w:proofErr w:type="spellEnd"/>
      <w:r w:rsidRPr="00825131">
        <w:rPr>
          <w:rFonts w:ascii="Times New Roman" w:hAnsi="Times New Roman"/>
        </w:rPr>
        <w:t>(</w:t>
      </w:r>
      <w:proofErr w:type="gramEnd"/>
      <w:r w:rsidRPr="00825131">
        <w:rPr>
          <w:rFonts w:ascii="Times New Roman" w:hAnsi="Times New Roman"/>
        </w:rPr>
        <w:t xml:space="preserve">·) → </w:t>
      </w:r>
      <w:proofErr w:type="spellStart"/>
      <w:r w:rsidRPr="00825131">
        <w:rPr>
          <w:rFonts w:ascii="Times New Roman" w:hAnsi="Times New Roman"/>
        </w:rPr>
        <w:t>d_i</w:t>
      </w:r>
      <w:proofErr w:type="spellEnd"/>
      <w:r w:rsidRPr="00825131">
        <w:rPr>
          <w:rFonts w:ascii="Times New Roman" w:hAnsi="Times New Roman"/>
        </w:rPr>
        <w:t xml:space="preserve"> ∈ D</w:t>
      </w:r>
    </w:p>
    <w:p w14:paraId="73B32299" w14:textId="5143EF32" w:rsidR="005B07B2" w:rsidRPr="00825131" w:rsidRDefault="005B07B2" w:rsidP="005B07B2">
      <w:pPr>
        <w:jc w:val="both"/>
      </w:pPr>
      <w:r w:rsidRPr="00825131">
        <w:rPr>
          <w:rFonts w:ascii="Times New Roman" w:hAnsi="Times New Roman"/>
        </w:rPr>
        <w:t xml:space="preserve">- Decision set: D = {d1, d2, …, </w:t>
      </w:r>
      <w:proofErr w:type="spellStart"/>
      <w:r w:rsidRPr="00825131">
        <w:rPr>
          <w:rFonts w:ascii="Times New Roman" w:hAnsi="Times New Roman"/>
        </w:rPr>
        <w:t>dK</w:t>
      </w:r>
      <w:proofErr w:type="spellEnd"/>
      <w:r w:rsidRPr="00825131">
        <w:rPr>
          <w:rFonts w:ascii="Times New Roman" w:hAnsi="Times New Roman"/>
        </w:rPr>
        <w:t>}</w:t>
      </w:r>
    </w:p>
    <w:p w14:paraId="3A434EE7" w14:textId="77777777" w:rsidR="005B07B2" w:rsidRPr="00825131" w:rsidRDefault="005B07B2" w:rsidP="005B07B2">
      <w:pPr>
        <w:jc w:val="both"/>
      </w:pPr>
      <w:r w:rsidRPr="00825131">
        <w:rPr>
          <w:rFonts w:ascii="Times New Roman" w:hAnsi="Times New Roman"/>
        </w:rPr>
        <w:t>Step 1 — Epistemic Zoning</w:t>
      </w:r>
    </w:p>
    <w:p w14:paraId="4336CF8E" w14:textId="77777777" w:rsidR="005B07B2" w:rsidRPr="00825131" w:rsidRDefault="005B07B2" w:rsidP="005B07B2">
      <w:pPr>
        <w:jc w:val="both"/>
      </w:pPr>
      <w:r w:rsidRPr="00825131">
        <w:rPr>
          <w:rFonts w:ascii="Times New Roman" w:hAnsi="Times New Roman"/>
        </w:rPr>
        <w:t xml:space="preserve">For each evidence unit </w:t>
      </w:r>
      <w:proofErr w:type="spellStart"/>
      <w:r w:rsidRPr="00825131">
        <w:rPr>
          <w:rFonts w:ascii="Times New Roman" w:hAnsi="Times New Roman"/>
        </w:rPr>
        <w:t>x_i</w:t>
      </w:r>
      <w:proofErr w:type="spellEnd"/>
      <w:r w:rsidRPr="00825131">
        <w:rPr>
          <w:rFonts w:ascii="Times New Roman" w:hAnsi="Times New Roman"/>
        </w:rPr>
        <w:t>, assign an epistemic zone:</w:t>
      </w:r>
    </w:p>
    <w:p w14:paraId="361C4192" w14:textId="363C1FC4" w:rsidR="005B07B2" w:rsidRPr="00825131" w:rsidRDefault="005B07B2" w:rsidP="005B07B2">
      <w:pPr>
        <w:jc w:val="both"/>
      </w:pPr>
      <w:proofErr w:type="spellStart"/>
      <w:r w:rsidRPr="00825131">
        <w:rPr>
          <w:rFonts w:ascii="Times New Roman" w:hAnsi="Times New Roman"/>
        </w:rPr>
        <w:t>z_i</w:t>
      </w:r>
      <w:proofErr w:type="spellEnd"/>
      <w:r w:rsidRPr="00825131">
        <w:rPr>
          <w:rFonts w:ascii="Times New Roman" w:hAnsi="Times New Roman"/>
        </w:rPr>
        <w:t xml:space="preserve"> = g(</w:t>
      </w:r>
      <w:proofErr w:type="spellStart"/>
      <w:r w:rsidRPr="00825131">
        <w:rPr>
          <w:rFonts w:ascii="Times New Roman" w:hAnsi="Times New Roman"/>
        </w:rPr>
        <w:t>x_i</w:t>
      </w:r>
      <w:proofErr w:type="spellEnd"/>
      <w:r w:rsidRPr="00825131">
        <w:rPr>
          <w:rFonts w:ascii="Times New Roman" w:hAnsi="Times New Roman"/>
        </w:rPr>
        <w:t>)</w:t>
      </w:r>
    </w:p>
    <w:p w14:paraId="750C5541" w14:textId="4BA752E5" w:rsidR="005B07B2" w:rsidRPr="00825131" w:rsidRDefault="005B07B2" w:rsidP="00D87ABF">
      <w:pPr>
        <w:jc w:val="both"/>
      </w:pPr>
      <w:r w:rsidRPr="00825131">
        <w:rPr>
          <w:rFonts w:ascii="Times New Roman" w:hAnsi="Times New Roman"/>
        </w:rPr>
        <w:t xml:space="preserve">Step 2 — Local Statistical Characterization </w:t>
      </w:r>
    </w:p>
    <w:p w14:paraId="752F88EF" w14:textId="77777777" w:rsidR="005B07B2" w:rsidRPr="00825131" w:rsidRDefault="005B07B2" w:rsidP="005B07B2">
      <w:pPr>
        <w:jc w:val="both"/>
      </w:pPr>
      <w:r w:rsidRPr="00825131">
        <w:rPr>
          <w:rFonts w:ascii="Times New Roman" w:hAnsi="Times New Roman"/>
        </w:rPr>
        <w:lastRenderedPageBreak/>
        <w:t>Within each zone, compute stability-aware descriptors such as:</w:t>
      </w:r>
    </w:p>
    <w:p w14:paraId="4B19A3D8" w14:textId="3B9B6A6F" w:rsidR="005B07B2" w:rsidRPr="00825131" w:rsidRDefault="005B07B2" w:rsidP="005B07B2">
      <w:pPr>
        <w:jc w:val="both"/>
      </w:pPr>
      <w:r w:rsidRPr="00825131">
        <w:rPr>
          <w:rFonts w:ascii="Times New Roman" w:hAnsi="Times New Roman"/>
        </w:rPr>
        <w:t xml:space="preserve">RAME = x̄ − </w:t>
      </w:r>
      <w:proofErr w:type="spellStart"/>
      <w:r w:rsidRPr="00825131">
        <w:rPr>
          <w:rFonts w:ascii="Times New Roman" w:hAnsi="Times New Roman"/>
        </w:rPr>
        <w:t>k·SE</w:t>
      </w:r>
      <w:proofErr w:type="spellEnd"/>
    </w:p>
    <w:p w14:paraId="31AF6C3D" w14:textId="77777777" w:rsidR="005B07B2" w:rsidRPr="00825131" w:rsidRDefault="005B07B2" w:rsidP="005B07B2">
      <w:pPr>
        <w:jc w:val="both"/>
      </w:pPr>
      <w:r w:rsidRPr="00825131">
        <w:rPr>
          <w:rFonts w:ascii="Times New Roman" w:hAnsi="Times New Roman"/>
        </w:rPr>
        <w:t>Step 3 — Zone-Specific Decision Assignment</w:t>
      </w:r>
    </w:p>
    <w:p w14:paraId="31D820AD" w14:textId="77777777" w:rsidR="005B07B2" w:rsidRPr="00825131" w:rsidRDefault="005B07B2" w:rsidP="005B07B2">
      <w:pPr>
        <w:jc w:val="both"/>
      </w:pPr>
      <w:r w:rsidRPr="00825131">
        <w:rPr>
          <w:rFonts w:ascii="Times New Roman" w:hAnsi="Times New Roman"/>
        </w:rPr>
        <w:t>Generate a local decision for each evidence unit:</w:t>
      </w:r>
    </w:p>
    <w:p w14:paraId="487447D4" w14:textId="544F020F" w:rsidR="005B07B2" w:rsidRPr="00825131" w:rsidRDefault="005B07B2" w:rsidP="005B07B2">
      <w:pPr>
        <w:jc w:val="both"/>
      </w:pPr>
      <w:proofErr w:type="spellStart"/>
      <w:r w:rsidRPr="00825131">
        <w:rPr>
          <w:rFonts w:ascii="Times New Roman" w:hAnsi="Times New Roman"/>
        </w:rPr>
        <w:t>d_i</w:t>
      </w:r>
      <w:proofErr w:type="spellEnd"/>
      <w:r w:rsidRPr="00825131">
        <w:rPr>
          <w:rFonts w:ascii="Times New Roman" w:hAnsi="Times New Roman"/>
        </w:rPr>
        <w:t xml:space="preserve"> = f_{</w:t>
      </w:r>
      <w:proofErr w:type="spellStart"/>
      <w:r w:rsidRPr="00825131">
        <w:rPr>
          <w:rFonts w:ascii="Times New Roman" w:hAnsi="Times New Roman"/>
        </w:rPr>
        <w:t>z_</w:t>
      </w:r>
      <w:proofErr w:type="gramStart"/>
      <w:r w:rsidRPr="00825131">
        <w:rPr>
          <w:rFonts w:ascii="Times New Roman" w:hAnsi="Times New Roman"/>
        </w:rPr>
        <w:t>i</w:t>
      </w:r>
      <w:proofErr w:type="spellEnd"/>
      <w:r w:rsidRPr="00825131">
        <w:rPr>
          <w:rFonts w:ascii="Times New Roman" w:hAnsi="Times New Roman"/>
        </w:rPr>
        <w:t>}(</w:t>
      </w:r>
      <w:proofErr w:type="spellStart"/>
      <w:proofErr w:type="gramEnd"/>
      <w:r w:rsidRPr="00825131">
        <w:rPr>
          <w:rFonts w:ascii="Times New Roman" w:hAnsi="Times New Roman"/>
        </w:rPr>
        <w:t>x_i</w:t>
      </w:r>
      <w:proofErr w:type="spellEnd"/>
      <w:r w:rsidRPr="00825131">
        <w:rPr>
          <w:rFonts w:ascii="Times New Roman" w:hAnsi="Times New Roman"/>
        </w:rPr>
        <w:t>)</w:t>
      </w:r>
    </w:p>
    <w:p w14:paraId="2FF47911" w14:textId="77777777" w:rsidR="005B07B2" w:rsidRPr="00825131" w:rsidRDefault="005B07B2" w:rsidP="005B07B2">
      <w:pPr>
        <w:jc w:val="both"/>
      </w:pPr>
      <w:r w:rsidRPr="00825131">
        <w:rPr>
          <w:rFonts w:ascii="Times New Roman" w:hAnsi="Times New Roman"/>
        </w:rPr>
        <w:t>Step 4 — Credibility-Weighted Aggregation</w:t>
      </w:r>
    </w:p>
    <w:p w14:paraId="50D54DFA" w14:textId="77777777" w:rsidR="005B07B2" w:rsidRPr="00825131" w:rsidRDefault="005B07B2" w:rsidP="005B07B2">
      <w:pPr>
        <w:jc w:val="both"/>
      </w:pPr>
      <w:r w:rsidRPr="00825131">
        <w:rPr>
          <w:rFonts w:ascii="Times New Roman" w:hAnsi="Times New Roman"/>
        </w:rPr>
        <w:t>For each decision d ∈ D, compute:</w:t>
      </w:r>
    </w:p>
    <w:p w14:paraId="59AAFE0A" w14:textId="760EDC34" w:rsidR="005B07B2" w:rsidRPr="00825131" w:rsidRDefault="005B07B2" w:rsidP="005B07B2">
      <w:pPr>
        <w:jc w:val="both"/>
      </w:pPr>
      <w:proofErr w:type="spellStart"/>
      <w:r w:rsidRPr="00825131">
        <w:rPr>
          <w:rFonts w:ascii="Times New Roman" w:hAnsi="Times New Roman"/>
        </w:rPr>
        <w:t>S_d</w:t>
      </w:r>
      <w:proofErr w:type="spellEnd"/>
      <w:r w:rsidRPr="00825131">
        <w:rPr>
          <w:rFonts w:ascii="Times New Roman" w:hAnsi="Times New Roman"/>
        </w:rPr>
        <w:t xml:space="preserve"> = Σ</w:t>
      </w:r>
      <w:proofErr w:type="gramStart"/>
      <w:r w:rsidRPr="00825131">
        <w:rPr>
          <w:rFonts w:ascii="Times New Roman" w:hAnsi="Times New Roman"/>
        </w:rPr>
        <w:t>_{</w:t>
      </w:r>
      <w:proofErr w:type="spellStart"/>
      <w:proofErr w:type="gramEnd"/>
      <w:r w:rsidRPr="00825131">
        <w:rPr>
          <w:rFonts w:ascii="Times New Roman" w:hAnsi="Times New Roman"/>
        </w:rPr>
        <w:t>i</w:t>
      </w:r>
      <w:proofErr w:type="spellEnd"/>
      <w:r w:rsidRPr="00825131">
        <w:rPr>
          <w:rFonts w:ascii="Times New Roman" w:hAnsi="Times New Roman"/>
        </w:rPr>
        <w:t xml:space="preserve">: </w:t>
      </w:r>
      <w:proofErr w:type="spellStart"/>
      <w:r w:rsidRPr="00825131">
        <w:rPr>
          <w:rFonts w:ascii="Times New Roman" w:hAnsi="Times New Roman"/>
        </w:rPr>
        <w:t>d_i</w:t>
      </w:r>
      <w:proofErr w:type="spellEnd"/>
      <w:r w:rsidRPr="00825131">
        <w:rPr>
          <w:rFonts w:ascii="Times New Roman" w:hAnsi="Times New Roman"/>
        </w:rPr>
        <w:t xml:space="preserve"> = d} w_{</w:t>
      </w:r>
      <w:proofErr w:type="spellStart"/>
      <w:r w:rsidRPr="00825131">
        <w:rPr>
          <w:rFonts w:ascii="Times New Roman" w:hAnsi="Times New Roman"/>
        </w:rPr>
        <w:t>z_i</w:t>
      </w:r>
      <w:proofErr w:type="spellEnd"/>
      <w:r w:rsidRPr="00825131">
        <w:rPr>
          <w:rFonts w:ascii="Times New Roman" w:hAnsi="Times New Roman"/>
        </w:rPr>
        <w:t>}</w:t>
      </w:r>
    </w:p>
    <w:p w14:paraId="0FE09F66" w14:textId="77777777" w:rsidR="005B07B2" w:rsidRPr="00825131" w:rsidRDefault="005B07B2" w:rsidP="005B07B2">
      <w:pPr>
        <w:jc w:val="both"/>
      </w:pPr>
      <w:r w:rsidRPr="00825131">
        <w:rPr>
          <w:rFonts w:ascii="Times New Roman" w:hAnsi="Times New Roman"/>
        </w:rPr>
        <w:t>Step 5 — Dominance Identification</w:t>
      </w:r>
    </w:p>
    <w:p w14:paraId="374FD6C2" w14:textId="77777777" w:rsidR="005B07B2" w:rsidRPr="00825131" w:rsidRDefault="005B07B2" w:rsidP="005B07B2">
      <w:pPr>
        <w:jc w:val="both"/>
      </w:pPr>
      <w:proofErr w:type="spellStart"/>
      <w:r w:rsidRPr="00825131">
        <w:rPr>
          <w:rFonts w:ascii="Times New Roman" w:hAnsi="Times New Roman"/>
        </w:rPr>
        <w:t>S_win</w:t>
      </w:r>
      <w:proofErr w:type="spellEnd"/>
      <w:r w:rsidRPr="00825131">
        <w:rPr>
          <w:rFonts w:ascii="Times New Roman" w:hAnsi="Times New Roman"/>
        </w:rPr>
        <w:t xml:space="preserve"> = </w:t>
      </w:r>
      <w:proofErr w:type="spellStart"/>
      <w:r w:rsidRPr="00825131">
        <w:rPr>
          <w:rFonts w:ascii="Times New Roman" w:hAnsi="Times New Roman"/>
        </w:rPr>
        <w:t>max_d</w:t>
      </w:r>
      <w:proofErr w:type="spellEnd"/>
      <w:r w:rsidRPr="00825131">
        <w:rPr>
          <w:rFonts w:ascii="Times New Roman" w:hAnsi="Times New Roman"/>
        </w:rPr>
        <w:t xml:space="preserve"> </w:t>
      </w:r>
      <w:proofErr w:type="spellStart"/>
      <w:r w:rsidRPr="00825131">
        <w:rPr>
          <w:rFonts w:ascii="Times New Roman" w:hAnsi="Times New Roman"/>
        </w:rPr>
        <w:t>S_d</w:t>
      </w:r>
      <w:proofErr w:type="spellEnd"/>
    </w:p>
    <w:p w14:paraId="0CEEADFE" w14:textId="77777777" w:rsidR="005B07B2" w:rsidRPr="00825131" w:rsidRDefault="005B07B2" w:rsidP="005B07B2">
      <w:pPr>
        <w:jc w:val="both"/>
      </w:pPr>
      <w:proofErr w:type="spellStart"/>
      <w:r w:rsidRPr="00825131">
        <w:rPr>
          <w:rFonts w:ascii="Times New Roman" w:hAnsi="Times New Roman"/>
        </w:rPr>
        <w:t>S_lose</w:t>
      </w:r>
      <w:proofErr w:type="spellEnd"/>
      <w:r w:rsidRPr="00825131">
        <w:rPr>
          <w:rFonts w:ascii="Times New Roman" w:hAnsi="Times New Roman"/>
        </w:rPr>
        <w:t xml:space="preserve"> = max</w:t>
      </w:r>
      <w:proofErr w:type="gramStart"/>
      <w:r w:rsidRPr="00825131">
        <w:rPr>
          <w:rFonts w:ascii="Times New Roman" w:hAnsi="Times New Roman"/>
        </w:rPr>
        <w:t>_{</w:t>
      </w:r>
      <w:proofErr w:type="gramEnd"/>
      <w:r w:rsidRPr="00825131">
        <w:rPr>
          <w:rFonts w:ascii="Times New Roman" w:hAnsi="Times New Roman"/>
        </w:rPr>
        <w:t xml:space="preserve">d ≠ </w:t>
      </w:r>
      <w:proofErr w:type="spellStart"/>
      <w:r w:rsidRPr="00825131">
        <w:rPr>
          <w:rFonts w:ascii="Times New Roman" w:hAnsi="Times New Roman"/>
        </w:rPr>
        <w:t>d_win</w:t>
      </w:r>
      <w:proofErr w:type="spellEnd"/>
      <w:r w:rsidRPr="00825131">
        <w:rPr>
          <w:rFonts w:ascii="Times New Roman" w:hAnsi="Times New Roman"/>
        </w:rPr>
        <w:t xml:space="preserve">} </w:t>
      </w:r>
      <w:proofErr w:type="spellStart"/>
      <w:r w:rsidRPr="00825131">
        <w:rPr>
          <w:rFonts w:ascii="Times New Roman" w:hAnsi="Times New Roman"/>
        </w:rPr>
        <w:t>S_d</w:t>
      </w:r>
      <w:proofErr w:type="spellEnd"/>
    </w:p>
    <w:p w14:paraId="73DF581C" w14:textId="3322A02A" w:rsidR="005B07B2" w:rsidRPr="00825131" w:rsidRDefault="005B07B2" w:rsidP="005B07B2">
      <w:pPr>
        <w:jc w:val="both"/>
      </w:pPr>
      <w:proofErr w:type="spellStart"/>
      <w:r w:rsidRPr="00825131">
        <w:rPr>
          <w:rFonts w:ascii="Times New Roman" w:hAnsi="Times New Roman"/>
        </w:rPr>
        <w:t>W_total</w:t>
      </w:r>
      <w:proofErr w:type="spellEnd"/>
      <w:r w:rsidRPr="00825131">
        <w:rPr>
          <w:rFonts w:ascii="Times New Roman" w:hAnsi="Times New Roman"/>
        </w:rPr>
        <w:t xml:space="preserve"> = </w:t>
      </w:r>
      <w:proofErr w:type="spellStart"/>
      <w:r w:rsidRPr="00825131">
        <w:rPr>
          <w:rFonts w:ascii="Times New Roman" w:hAnsi="Times New Roman"/>
        </w:rPr>
        <w:t>Σ_d</w:t>
      </w:r>
      <w:proofErr w:type="spellEnd"/>
      <w:r w:rsidRPr="00825131">
        <w:rPr>
          <w:rFonts w:ascii="Times New Roman" w:hAnsi="Times New Roman"/>
        </w:rPr>
        <w:t xml:space="preserve"> </w:t>
      </w:r>
      <w:proofErr w:type="spellStart"/>
      <w:r w:rsidRPr="00825131">
        <w:rPr>
          <w:rFonts w:ascii="Times New Roman" w:hAnsi="Times New Roman"/>
        </w:rPr>
        <w:t>S_d</w:t>
      </w:r>
      <w:proofErr w:type="spellEnd"/>
    </w:p>
    <w:p w14:paraId="5A44311E" w14:textId="77777777" w:rsidR="005B07B2" w:rsidRPr="00825131" w:rsidRDefault="005B07B2" w:rsidP="005B07B2">
      <w:pPr>
        <w:jc w:val="both"/>
      </w:pPr>
      <w:r w:rsidRPr="00825131">
        <w:rPr>
          <w:rFonts w:ascii="Times New Roman" w:hAnsi="Times New Roman"/>
        </w:rPr>
        <w:t>Step 6 — Decision Epistemic Strength</w:t>
      </w:r>
    </w:p>
    <w:p w14:paraId="051D2AFD" w14:textId="77777777" w:rsidR="005B07B2" w:rsidRPr="00825131" w:rsidRDefault="005B07B2" w:rsidP="005B07B2">
      <w:pPr>
        <w:jc w:val="both"/>
      </w:pPr>
      <w:r w:rsidRPr="00825131">
        <w:rPr>
          <w:rFonts w:ascii="Times New Roman" w:hAnsi="Times New Roman"/>
        </w:rPr>
        <w:t>DES = (</w:t>
      </w:r>
      <w:proofErr w:type="spellStart"/>
      <w:r w:rsidRPr="00825131">
        <w:rPr>
          <w:rFonts w:ascii="Times New Roman" w:hAnsi="Times New Roman"/>
        </w:rPr>
        <w:t>S_win</w:t>
      </w:r>
      <w:proofErr w:type="spellEnd"/>
      <w:r w:rsidRPr="00825131">
        <w:rPr>
          <w:rFonts w:ascii="Times New Roman" w:hAnsi="Times New Roman"/>
        </w:rPr>
        <w:t xml:space="preserve"> − </w:t>
      </w:r>
      <w:proofErr w:type="spellStart"/>
      <w:r w:rsidRPr="00825131">
        <w:rPr>
          <w:rFonts w:ascii="Times New Roman" w:hAnsi="Times New Roman"/>
        </w:rPr>
        <w:t>S_lose</w:t>
      </w:r>
      <w:proofErr w:type="spellEnd"/>
      <w:r w:rsidRPr="00825131">
        <w:rPr>
          <w:rFonts w:ascii="Times New Roman" w:hAnsi="Times New Roman"/>
        </w:rPr>
        <w:t xml:space="preserve">) / </w:t>
      </w:r>
      <w:proofErr w:type="spellStart"/>
      <w:r w:rsidRPr="00825131">
        <w:rPr>
          <w:rFonts w:ascii="Times New Roman" w:hAnsi="Times New Roman"/>
        </w:rPr>
        <w:t>W_total</w:t>
      </w:r>
      <w:proofErr w:type="spellEnd"/>
    </w:p>
    <w:p w14:paraId="5ED7AB9D" w14:textId="77777777" w:rsidR="005B07B2" w:rsidRPr="00825131" w:rsidRDefault="005B07B2" w:rsidP="005B07B2">
      <w:pPr>
        <w:jc w:val="both"/>
      </w:pPr>
      <w:r w:rsidRPr="00825131">
        <w:rPr>
          <w:rFonts w:ascii="Times New Roman" w:hAnsi="Times New Roman"/>
        </w:rPr>
        <w:t>Step 7 — Governance Classification</w:t>
      </w:r>
    </w:p>
    <w:p w14:paraId="12DF8E7D" w14:textId="77777777" w:rsidR="005B07B2" w:rsidRPr="00825131" w:rsidRDefault="005B07B2" w:rsidP="005B07B2">
      <w:pPr>
        <w:jc w:val="both"/>
      </w:pPr>
      <w:r w:rsidRPr="00825131">
        <w:rPr>
          <w:rFonts w:ascii="Times New Roman" w:hAnsi="Times New Roman"/>
        </w:rPr>
        <w:t>DES ≥ 0.60 → Decisive</w:t>
      </w:r>
    </w:p>
    <w:p w14:paraId="256A0CD5" w14:textId="77777777" w:rsidR="005B07B2" w:rsidRPr="00825131" w:rsidRDefault="005B07B2" w:rsidP="005B07B2">
      <w:pPr>
        <w:jc w:val="both"/>
      </w:pPr>
      <w:r w:rsidRPr="00825131">
        <w:rPr>
          <w:rFonts w:ascii="Times New Roman" w:hAnsi="Times New Roman"/>
        </w:rPr>
        <w:t>0.30 ≤ DES &lt; 0.60 → Conditional</w:t>
      </w:r>
    </w:p>
    <w:p w14:paraId="3932D284" w14:textId="52674D0A" w:rsidR="005B07B2" w:rsidRPr="00825131" w:rsidRDefault="005B07B2" w:rsidP="005B07B2">
      <w:pPr>
        <w:jc w:val="both"/>
      </w:pPr>
      <w:r w:rsidRPr="00825131">
        <w:rPr>
          <w:rFonts w:ascii="Times New Roman" w:hAnsi="Times New Roman"/>
        </w:rPr>
        <w:t>DES &lt; 0.30 → Deferred</w:t>
      </w:r>
    </w:p>
    <w:p w14:paraId="6DC2E199" w14:textId="77777777" w:rsidR="005B07B2" w:rsidRPr="00825131" w:rsidRDefault="005B07B2" w:rsidP="005B07B2">
      <w:pPr>
        <w:jc w:val="both"/>
      </w:pPr>
      <w:r w:rsidRPr="00825131">
        <w:rPr>
          <w:rFonts w:ascii="Times New Roman" w:hAnsi="Times New Roman"/>
        </w:rPr>
        <w:t>Algorithm Summary</w:t>
      </w:r>
    </w:p>
    <w:p w14:paraId="6855AE01" w14:textId="77777777" w:rsidR="005B07B2" w:rsidRPr="00825131" w:rsidRDefault="005B07B2" w:rsidP="005B07B2">
      <w:pPr>
        <w:jc w:val="both"/>
      </w:pPr>
      <w:r w:rsidRPr="00825131">
        <w:rPr>
          <w:rFonts w:ascii="Times New Roman" w:hAnsi="Times New Roman"/>
        </w:rPr>
        <w:t>Input: Evidence {</w:t>
      </w:r>
      <w:proofErr w:type="spellStart"/>
      <w:r w:rsidRPr="00825131">
        <w:rPr>
          <w:rFonts w:ascii="Times New Roman" w:hAnsi="Times New Roman"/>
        </w:rPr>
        <w:t>x_i</w:t>
      </w:r>
      <w:proofErr w:type="spellEnd"/>
      <w:r w:rsidRPr="00825131">
        <w:rPr>
          <w:rFonts w:ascii="Times New Roman" w:hAnsi="Times New Roman"/>
        </w:rPr>
        <w:t xml:space="preserve">}, zone mapping g(.), weights </w:t>
      </w:r>
      <w:proofErr w:type="spellStart"/>
      <w:r w:rsidRPr="00825131">
        <w:rPr>
          <w:rFonts w:ascii="Times New Roman" w:hAnsi="Times New Roman"/>
        </w:rPr>
        <w:t>w_z</w:t>
      </w:r>
      <w:proofErr w:type="spellEnd"/>
      <w:r w:rsidRPr="00825131">
        <w:rPr>
          <w:rFonts w:ascii="Times New Roman" w:hAnsi="Times New Roman"/>
        </w:rPr>
        <w:t xml:space="preserve">, decision rules </w:t>
      </w:r>
      <w:proofErr w:type="spellStart"/>
      <w:r w:rsidRPr="00825131">
        <w:rPr>
          <w:rFonts w:ascii="Times New Roman" w:hAnsi="Times New Roman"/>
        </w:rPr>
        <w:t>f_z</w:t>
      </w:r>
      <w:proofErr w:type="spellEnd"/>
    </w:p>
    <w:p w14:paraId="3A014D48" w14:textId="77777777" w:rsidR="005B07B2" w:rsidRPr="00825131" w:rsidRDefault="005B07B2" w:rsidP="005B07B2">
      <w:pPr>
        <w:jc w:val="both"/>
      </w:pPr>
      <w:r w:rsidRPr="00825131">
        <w:rPr>
          <w:rFonts w:ascii="Times New Roman" w:hAnsi="Times New Roman"/>
        </w:rPr>
        <w:t xml:space="preserve">For each </w:t>
      </w:r>
      <w:proofErr w:type="spellStart"/>
      <w:r w:rsidRPr="00825131">
        <w:rPr>
          <w:rFonts w:ascii="Times New Roman" w:hAnsi="Times New Roman"/>
        </w:rPr>
        <w:t>x_i</w:t>
      </w:r>
      <w:proofErr w:type="spellEnd"/>
      <w:r w:rsidRPr="00825131">
        <w:rPr>
          <w:rFonts w:ascii="Times New Roman" w:hAnsi="Times New Roman"/>
        </w:rPr>
        <w:t>:</w:t>
      </w:r>
    </w:p>
    <w:p w14:paraId="5EFE92BB" w14:textId="77777777" w:rsidR="005B07B2" w:rsidRPr="00825131" w:rsidRDefault="005B07B2" w:rsidP="005B07B2">
      <w:pPr>
        <w:jc w:val="both"/>
      </w:pPr>
      <w:r w:rsidRPr="00825131">
        <w:rPr>
          <w:rFonts w:ascii="Times New Roman" w:hAnsi="Times New Roman"/>
        </w:rPr>
        <w:t xml:space="preserve">  Assign </w:t>
      </w:r>
      <w:proofErr w:type="spellStart"/>
      <w:r w:rsidRPr="00825131">
        <w:rPr>
          <w:rFonts w:ascii="Times New Roman" w:hAnsi="Times New Roman"/>
        </w:rPr>
        <w:t>z_i</w:t>
      </w:r>
      <w:proofErr w:type="spellEnd"/>
      <w:r w:rsidRPr="00825131">
        <w:rPr>
          <w:rFonts w:ascii="Times New Roman" w:hAnsi="Times New Roman"/>
        </w:rPr>
        <w:t xml:space="preserve"> = g(</w:t>
      </w:r>
      <w:proofErr w:type="spellStart"/>
      <w:r w:rsidRPr="00825131">
        <w:rPr>
          <w:rFonts w:ascii="Times New Roman" w:hAnsi="Times New Roman"/>
        </w:rPr>
        <w:t>x_i</w:t>
      </w:r>
      <w:proofErr w:type="spellEnd"/>
      <w:r w:rsidRPr="00825131">
        <w:rPr>
          <w:rFonts w:ascii="Times New Roman" w:hAnsi="Times New Roman"/>
        </w:rPr>
        <w:t>)</w:t>
      </w:r>
    </w:p>
    <w:p w14:paraId="674FE606" w14:textId="77777777" w:rsidR="005B07B2" w:rsidRPr="00825131" w:rsidRDefault="005B07B2" w:rsidP="005B07B2">
      <w:pPr>
        <w:jc w:val="both"/>
      </w:pPr>
      <w:r w:rsidRPr="00825131">
        <w:rPr>
          <w:rFonts w:ascii="Times New Roman" w:hAnsi="Times New Roman"/>
        </w:rPr>
        <w:t xml:space="preserve">  Assign </w:t>
      </w:r>
      <w:proofErr w:type="spellStart"/>
      <w:r w:rsidRPr="00825131">
        <w:rPr>
          <w:rFonts w:ascii="Times New Roman" w:hAnsi="Times New Roman"/>
        </w:rPr>
        <w:t>d_i</w:t>
      </w:r>
      <w:proofErr w:type="spellEnd"/>
      <w:r w:rsidRPr="00825131">
        <w:rPr>
          <w:rFonts w:ascii="Times New Roman" w:hAnsi="Times New Roman"/>
        </w:rPr>
        <w:t xml:space="preserve"> = f_{</w:t>
      </w:r>
      <w:proofErr w:type="spellStart"/>
      <w:r w:rsidRPr="00825131">
        <w:rPr>
          <w:rFonts w:ascii="Times New Roman" w:hAnsi="Times New Roman"/>
        </w:rPr>
        <w:t>z_</w:t>
      </w:r>
      <w:proofErr w:type="gramStart"/>
      <w:r w:rsidRPr="00825131">
        <w:rPr>
          <w:rFonts w:ascii="Times New Roman" w:hAnsi="Times New Roman"/>
        </w:rPr>
        <w:t>i</w:t>
      </w:r>
      <w:proofErr w:type="spellEnd"/>
      <w:r w:rsidRPr="00825131">
        <w:rPr>
          <w:rFonts w:ascii="Times New Roman" w:hAnsi="Times New Roman"/>
        </w:rPr>
        <w:t>}(</w:t>
      </w:r>
      <w:proofErr w:type="spellStart"/>
      <w:proofErr w:type="gramEnd"/>
      <w:r w:rsidRPr="00825131">
        <w:rPr>
          <w:rFonts w:ascii="Times New Roman" w:hAnsi="Times New Roman"/>
        </w:rPr>
        <w:t>x_i</w:t>
      </w:r>
      <w:proofErr w:type="spellEnd"/>
      <w:r w:rsidRPr="00825131">
        <w:rPr>
          <w:rFonts w:ascii="Times New Roman" w:hAnsi="Times New Roman"/>
        </w:rPr>
        <w:t>)</w:t>
      </w:r>
    </w:p>
    <w:p w14:paraId="7F386910" w14:textId="77777777" w:rsidR="005B07B2" w:rsidRPr="00825131" w:rsidRDefault="005B07B2" w:rsidP="005B07B2">
      <w:pPr>
        <w:jc w:val="both"/>
      </w:pPr>
      <w:r w:rsidRPr="00825131">
        <w:rPr>
          <w:rFonts w:ascii="Times New Roman" w:hAnsi="Times New Roman"/>
        </w:rPr>
        <w:t>For each decision d:</w:t>
      </w:r>
    </w:p>
    <w:p w14:paraId="322398CE" w14:textId="77777777" w:rsidR="005B07B2" w:rsidRPr="00825131" w:rsidRDefault="005B07B2" w:rsidP="005B07B2">
      <w:pPr>
        <w:jc w:val="both"/>
      </w:pPr>
      <w:r w:rsidRPr="00825131">
        <w:rPr>
          <w:rFonts w:ascii="Times New Roman" w:hAnsi="Times New Roman"/>
        </w:rPr>
        <w:t xml:space="preserve">  Compute </w:t>
      </w:r>
      <w:proofErr w:type="spellStart"/>
      <w:r w:rsidRPr="00825131">
        <w:rPr>
          <w:rFonts w:ascii="Times New Roman" w:hAnsi="Times New Roman"/>
        </w:rPr>
        <w:t>S_d</w:t>
      </w:r>
      <w:proofErr w:type="spellEnd"/>
    </w:p>
    <w:p w14:paraId="1AA9D268" w14:textId="77777777" w:rsidR="005B07B2" w:rsidRPr="00825131" w:rsidRDefault="005B07B2" w:rsidP="005B07B2">
      <w:pPr>
        <w:jc w:val="both"/>
      </w:pPr>
      <w:r w:rsidRPr="00825131">
        <w:rPr>
          <w:rFonts w:ascii="Times New Roman" w:hAnsi="Times New Roman"/>
        </w:rPr>
        <w:lastRenderedPageBreak/>
        <w:t>Compute DES</w:t>
      </w:r>
    </w:p>
    <w:p w14:paraId="61D08EC5" w14:textId="6003540B" w:rsidR="005B07B2" w:rsidRPr="00825131" w:rsidRDefault="005B07B2" w:rsidP="005B07B2">
      <w:pPr>
        <w:jc w:val="both"/>
      </w:pPr>
      <w:r w:rsidRPr="00825131">
        <w:rPr>
          <w:rFonts w:ascii="Times New Roman" w:hAnsi="Times New Roman"/>
        </w:rPr>
        <w:t>Return DES and governance class</w:t>
      </w:r>
    </w:p>
    <w:p w14:paraId="2C941BD1" w14:textId="77777777" w:rsidR="00C852A7" w:rsidRPr="00825131" w:rsidRDefault="00B17446">
      <w:pPr>
        <w:pStyle w:val="Heading2"/>
        <w:jc w:val="both"/>
        <w:rPr>
          <w:rStyle w:val="Strong"/>
          <w:rFonts w:ascii="Times New Roman" w:hAnsi="Times New Roman" w:hint="eastAsia"/>
          <w:b/>
          <w:bCs/>
        </w:rPr>
      </w:pPr>
      <w:r w:rsidRPr="00825131">
        <w:rPr>
          <w:rStyle w:val="Strong"/>
          <w:rFonts w:ascii="Times New Roman" w:hAnsi="Times New Roman" w:hint="eastAsia"/>
          <w:b/>
          <w:bCs/>
        </w:rPr>
        <w:t xml:space="preserve">4.1 Simulated Clinical Example: Pediatric Pneumonia </w:t>
      </w:r>
      <w:r w:rsidRPr="00825131">
        <w:rPr>
          <w:rStyle w:val="Strong"/>
          <w:rFonts w:ascii="Times New Roman" w:hAnsi="Times New Roman" w:hint="eastAsia"/>
          <w:b/>
          <w:bCs/>
        </w:rPr>
        <w:t>—</w:t>
      </w:r>
      <w:r w:rsidRPr="00825131">
        <w:rPr>
          <w:rStyle w:val="Strong"/>
          <w:rFonts w:ascii="Times New Roman" w:hAnsi="Times New Roman" w:hint="eastAsia"/>
          <w:b/>
          <w:bCs/>
        </w:rPr>
        <w:t xml:space="preserve"> Antibiotics vs Observation (Table 1)</w:t>
      </w:r>
    </w:p>
    <w:p w14:paraId="48FBE82F" w14:textId="77777777"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rPr>
        <w:t>(A) Single-Patient Simulated Case</w:t>
      </w:r>
    </w:p>
    <w:p w14:paraId="030722F4" w14:textId="77777777" w:rsidR="00C852A7" w:rsidRPr="00825131" w:rsidRDefault="00B17446">
      <w:pPr>
        <w:pStyle w:val="Heading3"/>
        <w:jc w:val="both"/>
        <w:rPr>
          <w:rFonts w:ascii="Times New Roman" w:hAnsi="Times New Roman" w:hint="default"/>
          <w:sz w:val="24"/>
          <w:szCs w:val="24"/>
        </w:rPr>
      </w:pPr>
      <w:r w:rsidRPr="00825131">
        <w:rPr>
          <w:rStyle w:val="Strong"/>
          <w:rFonts w:ascii="Times New Roman" w:hAnsi="Times New Roman" w:hint="eastAsia"/>
        </w:rPr>
        <w:t>Clinical Question (Binary Decision Set D)</w:t>
      </w:r>
    </w:p>
    <w:p w14:paraId="43D48FE1" w14:textId="77777777" w:rsidR="00C852A7" w:rsidRPr="00825131" w:rsidRDefault="00B17446">
      <w:pPr>
        <w:pStyle w:val="NormalWeb"/>
        <w:jc w:val="both"/>
        <w:rPr>
          <w:bCs/>
        </w:rPr>
      </w:pPr>
      <w:r w:rsidRPr="00825131">
        <w:rPr>
          <w:rStyle w:val="Strong"/>
          <w:b w:val="0"/>
          <w:bCs/>
        </w:rPr>
        <w:t>d1 = Treat:</w:t>
      </w:r>
      <w:r w:rsidRPr="00825131">
        <w:rPr>
          <w:bCs/>
        </w:rPr>
        <w:t xml:space="preserve"> initiate antibiotics for suspected bacterial pneumonia</w:t>
      </w:r>
    </w:p>
    <w:p w14:paraId="4CA08F25" w14:textId="77777777" w:rsidR="00C852A7" w:rsidRPr="00825131" w:rsidRDefault="00B17446">
      <w:pPr>
        <w:pStyle w:val="NormalWeb"/>
        <w:jc w:val="both"/>
        <w:rPr>
          <w:bCs/>
        </w:rPr>
      </w:pPr>
      <w:r w:rsidRPr="00825131">
        <w:rPr>
          <w:rStyle w:val="Strong"/>
          <w:b w:val="0"/>
          <w:bCs/>
        </w:rPr>
        <w:t>d2 = Observe:</w:t>
      </w:r>
      <w:r w:rsidRPr="00825131">
        <w:rPr>
          <w:bCs/>
        </w:rPr>
        <w:t xml:space="preserve"> supportive care with close follow-up</w:t>
      </w:r>
    </w:p>
    <w:p w14:paraId="46A05835" w14:textId="77777777" w:rsidR="00C852A7" w:rsidRPr="00825131" w:rsidRDefault="00B17446">
      <w:pPr>
        <w:jc w:val="both"/>
        <w:rPr>
          <w:rFonts w:ascii="Times New Roman" w:hAnsi="Times New Roman"/>
        </w:rPr>
      </w:pPr>
      <w:r w:rsidRPr="00825131">
        <w:rPr>
          <w:rStyle w:val="Strong"/>
          <w:rFonts w:ascii="Times New Roman" w:hAnsi="Times New Roman"/>
        </w:rPr>
        <w:t>Evidence Signals (Per Child)</w:t>
      </w:r>
    </w:p>
    <w:p w14:paraId="1064B3F6" w14:textId="77777777" w:rsidR="00C852A7" w:rsidRPr="00825131" w:rsidRDefault="00B17446">
      <w:pPr>
        <w:pStyle w:val="NormalWeb"/>
        <w:jc w:val="both"/>
      </w:pPr>
      <w:r w:rsidRPr="00825131">
        <w:t>Four commonly used clinical indicators are simulated and mapped to epistemic zones with fixed credibility weights.</w:t>
      </w:r>
    </w:p>
    <w:p w14:paraId="02589B85" w14:textId="77777777" w:rsidR="00C852A7" w:rsidRPr="00825131" w:rsidRDefault="00B17446">
      <w:pPr>
        <w:pStyle w:val="Heading4"/>
        <w:jc w:val="both"/>
        <w:rPr>
          <w:rFonts w:ascii="Times New Roman" w:hAnsi="Times New Roman" w:hint="default"/>
        </w:rPr>
      </w:pPr>
      <w:r w:rsidRPr="00825131">
        <w:rPr>
          <w:rStyle w:val="Strong"/>
          <w:rFonts w:ascii="Times New Roman" w:hAnsi="Times New Roman" w:hint="eastAsia"/>
        </w:rPr>
        <w:t>Epistemic Zone Weights</w:t>
      </w:r>
    </w:p>
    <w:p w14:paraId="1C52E4CE" w14:textId="77777777" w:rsidR="00C852A7" w:rsidRPr="00825131" w:rsidRDefault="00B17446">
      <w:pPr>
        <w:pStyle w:val="NormalWeb"/>
        <w:jc w:val="both"/>
        <w:rPr>
          <w:bCs/>
        </w:rPr>
      </w:pPr>
      <w:r w:rsidRPr="00825131">
        <w:rPr>
          <w:rStyle w:val="Strong"/>
          <w:b w:val="0"/>
          <w:bCs/>
        </w:rPr>
        <w:t>Trusted (T):</w:t>
      </w:r>
      <w:r w:rsidRPr="00825131">
        <w:rPr>
          <w:bCs/>
        </w:rPr>
        <w:t xml:space="preserve"> 1.0</w:t>
      </w:r>
    </w:p>
    <w:p w14:paraId="3320821D" w14:textId="77777777" w:rsidR="00C852A7" w:rsidRPr="00825131" w:rsidRDefault="00B17446">
      <w:pPr>
        <w:pStyle w:val="NormalWeb"/>
        <w:jc w:val="both"/>
        <w:rPr>
          <w:bCs/>
        </w:rPr>
      </w:pPr>
      <w:r w:rsidRPr="00825131">
        <w:rPr>
          <w:rStyle w:val="Strong"/>
          <w:b w:val="0"/>
          <w:bCs/>
        </w:rPr>
        <w:t>Plausible (P):</w:t>
      </w:r>
      <w:r w:rsidRPr="00825131">
        <w:rPr>
          <w:bCs/>
        </w:rPr>
        <w:t xml:space="preserve"> 0.6</w:t>
      </w:r>
    </w:p>
    <w:p w14:paraId="012C63C3" w14:textId="77777777" w:rsidR="00C852A7" w:rsidRPr="00825131" w:rsidRDefault="00B17446">
      <w:pPr>
        <w:pStyle w:val="NormalWeb"/>
        <w:jc w:val="both"/>
        <w:rPr>
          <w:bCs/>
        </w:rPr>
      </w:pPr>
      <w:r w:rsidRPr="00825131">
        <w:rPr>
          <w:rStyle w:val="Strong"/>
          <w:b w:val="0"/>
          <w:bCs/>
        </w:rPr>
        <w:t>Weak (W):</w:t>
      </w:r>
      <w:r w:rsidRPr="00825131">
        <w:rPr>
          <w:bCs/>
        </w:rPr>
        <w:t xml:space="preserve"> 0.3</w:t>
      </w:r>
    </w:p>
    <w:p w14:paraId="1EFBDF6C" w14:textId="77777777" w:rsidR="00C852A7" w:rsidRPr="00825131" w:rsidRDefault="00B17446">
      <w:pPr>
        <w:jc w:val="both"/>
        <w:rPr>
          <w:rFonts w:ascii="Times New Roman" w:hAnsi="Times New Roman"/>
        </w:rPr>
      </w:pPr>
      <w:r w:rsidRPr="00825131">
        <w:rPr>
          <w:rStyle w:val="Strong"/>
          <w:rFonts w:ascii="Times New Roman" w:hAnsi="Times New Roman"/>
        </w:rPr>
        <w:t>Local Decision Rules (Per Signal)</w:t>
      </w:r>
    </w:p>
    <w:p w14:paraId="3FB6F2D3" w14:textId="77777777" w:rsidR="00C852A7" w:rsidRPr="00825131" w:rsidRDefault="00B17446">
      <w:pPr>
        <w:pStyle w:val="NormalWeb"/>
        <w:jc w:val="both"/>
        <w:rPr>
          <w:bCs/>
        </w:rPr>
      </w:pPr>
      <w:r w:rsidRPr="00825131">
        <w:rPr>
          <w:rStyle w:val="Strong"/>
          <w:b w:val="0"/>
          <w:bCs/>
        </w:rPr>
        <w:t>Chest X-ray (CXR):</w:t>
      </w:r>
      <w:r w:rsidRPr="00825131">
        <w:rPr>
          <w:bCs/>
        </w:rPr>
        <w:t xml:space="preserve"> consolidation present → Treat</w:t>
      </w:r>
    </w:p>
    <w:p w14:paraId="688E5DA8" w14:textId="77777777" w:rsidR="00C852A7" w:rsidRPr="00825131" w:rsidRDefault="00B17446">
      <w:pPr>
        <w:pStyle w:val="NormalWeb"/>
        <w:jc w:val="both"/>
        <w:rPr>
          <w:bCs/>
        </w:rPr>
      </w:pPr>
      <w:r w:rsidRPr="00825131">
        <w:rPr>
          <w:rStyle w:val="Strong"/>
          <w:b w:val="0"/>
          <w:bCs/>
        </w:rPr>
        <w:t>C-reactive protein (CRP):</w:t>
      </w:r>
    </w:p>
    <w:p w14:paraId="38ABE5D3" w14:textId="77777777" w:rsidR="00C852A7" w:rsidRPr="00825131" w:rsidRDefault="00B17446">
      <w:pPr>
        <w:pStyle w:val="NormalWeb"/>
        <w:jc w:val="both"/>
      </w:pPr>
      <w:r w:rsidRPr="00825131">
        <w:t>≥ 80 mg/L → Treat (Trusted)</w:t>
      </w:r>
    </w:p>
    <w:p w14:paraId="359CA9CB" w14:textId="77777777" w:rsidR="00C852A7" w:rsidRPr="00825131" w:rsidRDefault="00B17446">
      <w:pPr>
        <w:pStyle w:val="NormalWeb"/>
        <w:jc w:val="both"/>
      </w:pPr>
      <w:r w:rsidRPr="00825131">
        <w:t>40–79 mg/L → Treat (Plausible)</w:t>
      </w:r>
    </w:p>
    <w:p w14:paraId="562A97ED" w14:textId="77777777" w:rsidR="00C852A7" w:rsidRPr="00825131" w:rsidRDefault="00B17446">
      <w:pPr>
        <w:pStyle w:val="NormalWeb"/>
        <w:jc w:val="both"/>
      </w:pPr>
      <w:r w:rsidRPr="00825131">
        <w:t>&lt; 40 mg/L → Observe</w:t>
      </w:r>
    </w:p>
    <w:p w14:paraId="3B134E5E" w14:textId="77777777" w:rsidR="00C852A7" w:rsidRPr="00825131" w:rsidRDefault="00B17446">
      <w:pPr>
        <w:pStyle w:val="NormalWeb"/>
        <w:jc w:val="both"/>
        <w:rPr>
          <w:bCs/>
        </w:rPr>
      </w:pPr>
      <w:r w:rsidRPr="00825131">
        <w:rPr>
          <w:rStyle w:val="Strong"/>
          <w:b w:val="0"/>
          <w:bCs/>
        </w:rPr>
        <w:t>Respiratory rate (RR):</w:t>
      </w:r>
      <w:r w:rsidRPr="00825131">
        <w:rPr>
          <w:bCs/>
        </w:rPr>
        <w:t xml:space="preserve"> above age-adjusted threshold → Treat (Plausible)</w:t>
      </w:r>
    </w:p>
    <w:p w14:paraId="6EB23BDF" w14:textId="77777777" w:rsidR="00C852A7" w:rsidRPr="00825131" w:rsidRDefault="00B17446">
      <w:pPr>
        <w:pStyle w:val="NormalWeb"/>
        <w:jc w:val="both"/>
        <w:rPr>
          <w:bCs/>
        </w:rPr>
      </w:pPr>
      <w:r w:rsidRPr="00825131">
        <w:rPr>
          <w:rStyle w:val="Strong"/>
          <w:b w:val="0"/>
          <w:bCs/>
        </w:rPr>
        <w:t>Oxygen saturation (SpO₂):</w:t>
      </w:r>
    </w:p>
    <w:p w14:paraId="46AFBE0A" w14:textId="77777777" w:rsidR="00C852A7" w:rsidRPr="00825131" w:rsidRDefault="00B17446">
      <w:pPr>
        <w:pStyle w:val="NormalWeb"/>
        <w:jc w:val="both"/>
      </w:pPr>
      <w:r w:rsidRPr="00825131">
        <w:t>&lt; 92% → Treat</w:t>
      </w:r>
    </w:p>
    <w:p w14:paraId="5F1A725A" w14:textId="77777777" w:rsidR="00C852A7" w:rsidRPr="00825131" w:rsidRDefault="00B17446">
      <w:pPr>
        <w:pStyle w:val="NormalWeb"/>
        <w:jc w:val="both"/>
      </w:pPr>
      <w:r w:rsidRPr="00825131">
        <w:t>≥ 92% → Observe</w:t>
      </w:r>
    </w:p>
    <w:p w14:paraId="14A1D60B" w14:textId="77777777" w:rsidR="00C852A7" w:rsidRPr="00825131" w:rsidRDefault="00B17446">
      <w:pPr>
        <w:pStyle w:val="NormalWeb"/>
        <w:jc w:val="both"/>
        <w:rPr>
          <w:rStyle w:val="Emphasis"/>
        </w:rPr>
      </w:pPr>
      <w:r w:rsidRPr="00825131">
        <w:rPr>
          <w:rStyle w:val="Emphasis"/>
        </w:rPr>
        <w:t>(Thresholds may be adapted to local guidelines; the DES computation remains invariant.)</w:t>
      </w:r>
    </w:p>
    <w:p w14:paraId="1F9D1454" w14:textId="77777777" w:rsidR="00C852A7" w:rsidRPr="00825131" w:rsidRDefault="00B17446">
      <w:pPr>
        <w:pStyle w:val="NormalWeb"/>
        <w:ind w:right="720"/>
        <w:jc w:val="both"/>
        <w:rPr>
          <w:rStyle w:val="Emphasis"/>
        </w:rPr>
      </w:pPr>
      <w:r w:rsidRPr="00825131">
        <w:rPr>
          <w:rStyle w:val="Strong"/>
        </w:rPr>
        <w:lastRenderedPageBreak/>
        <w:t>Table 1. Child A: Simulated Measurements and Credibility-Weighted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2160"/>
        <w:gridCol w:w="940"/>
        <w:gridCol w:w="1560"/>
        <w:gridCol w:w="822"/>
      </w:tblGrid>
      <w:tr w:rsidR="00C852A7" w:rsidRPr="00825131" w14:paraId="2E3EF05C" w14:textId="77777777">
        <w:trPr>
          <w:tblHeader/>
          <w:tblCellSpacing w:w="15" w:type="dxa"/>
        </w:trPr>
        <w:tc>
          <w:tcPr>
            <w:tcW w:w="1570" w:type="dxa"/>
            <w:tcBorders>
              <w:top w:val="nil"/>
              <w:left w:val="nil"/>
              <w:bottom w:val="nil"/>
              <w:right w:val="nil"/>
              <w:tl2br w:val="nil"/>
              <w:tr2bl w:val="nil"/>
            </w:tcBorders>
            <w:vAlign w:val="center"/>
          </w:tcPr>
          <w:p w14:paraId="6821940F" w14:textId="77777777" w:rsidR="00C852A7" w:rsidRPr="00825131" w:rsidRDefault="00B17446">
            <w:pPr>
              <w:jc w:val="both"/>
              <w:rPr>
                <w:rFonts w:ascii="Times New Roman" w:hAnsi="Times New Roman"/>
                <w:b/>
              </w:rPr>
            </w:pPr>
            <w:r w:rsidRPr="00825131">
              <w:rPr>
                <w:rFonts w:ascii="Times New Roman" w:eastAsia="SimSun" w:hAnsi="Times New Roman"/>
                <w:b/>
                <w:lang w:bidi="ar"/>
              </w:rPr>
              <w:t>Indicator</w:t>
            </w:r>
          </w:p>
        </w:tc>
        <w:tc>
          <w:tcPr>
            <w:tcW w:w="2130" w:type="dxa"/>
            <w:tcBorders>
              <w:top w:val="nil"/>
              <w:left w:val="nil"/>
              <w:bottom w:val="nil"/>
              <w:right w:val="nil"/>
              <w:tl2br w:val="nil"/>
              <w:tr2bl w:val="nil"/>
            </w:tcBorders>
            <w:vAlign w:val="center"/>
          </w:tcPr>
          <w:p w14:paraId="6B39F078" w14:textId="77777777" w:rsidR="00C852A7" w:rsidRPr="00825131" w:rsidRDefault="00B17446">
            <w:pPr>
              <w:jc w:val="both"/>
              <w:rPr>
                <w:rFonts w:ascii="Times New Roman" w:hAnsi="Times New Roman"/>
                <w:b/>
              </w:rPr>
            </w:pPr>
            <w:r w:rsidRPr="00825131">
              <w:rPr>
                <w:rFonts w:ascii="Times New Roman" w:eastAsia="SimSun" w:hAnsi="Times New Roman"/>
                <w:b/>
                <w:lang w:bidi="ar"/>
              </w:rPr>
              <w:t>Observation</w:t>
            </w:r>
          </w:p>
        </w:tc>
        <w:tc>
          <w:tcPr>
            <w:tcW w:w="0" w:type="auto"/>
            <w:tcBorders>
              <w:top w:val="nil"/>
              <w:left w:val="nil"/>
              <w:bottom w:val="nil"/>
              <w:right w:val="nil"/>
              <w:tl2br w:val="nil"/>
              <w:tr2bl w:val="nil"/>
            </w:tcBorders>
            <w:vAlign w:val="center"/>
          </w:tcPr>
          <w:p w14:paraId="28CB1073" w14:textId="77777777" w:rsidR="00C852A7" w:rsidRPr="00825131" w:rsidRDefault="00B17446">
            <w:pPr>
              <w:jc w:val="both"/>
              <w:rPr>
                <w:rFonts w:ascii="Times New Roman" w:hAnsi="Times New Roman"/>
                <w:b/>
              </w:rPr>
            </w:pPr>
            <w:r w:rsidRPr="00825131">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1142D223" w14:textId="77777777" w:rsidR="00C852A7" w:rsidRPr="00825131" w:rsidRDefault="00B17446">
            <w:pPr>
              <w:jc w:val="both"/>
              <w:rPr>
                <w:rFonts w:ascii="Times New Roman" w:hAnsi="Times New Roman"/>
                <w:b/>
              </w:rPr>
            </w:pPr>
            <w:r w:rsidRPr="00825131">
              <w:rPr>
                <w:rFonts w:ascii="Times New Roman" w:eastAsia="SimSun" w:hAnsi="Times New Roman"/>
                <w:b/>
                <w:lang w:bidi="ar"/>
              </w:rPr>
              <w:t>Local Decision</w:t>
            </w:r>
          </w:p>
        </w:tc>
        <w:tc>
          <w:tcPr>
            <w:tcW w:w="0" w:type="auto"/>
            <w:tcBorders>
              <w:top w:val="nil"/>
              <w:left w:val="nil"/>
              <w:bottom w:val="nil"/>
              <w:right w:val="nil"/>
              <w:tl2br w:val="nil"/>
              <w:tr2bl w:val="nil"/>
            </w:tcBorders>
            <w:vAlign w:val="center"/>
          </w:tcPr>
          <w:p w14:paraId="4B8451B2" w14:textId="77777777" w:rsidR="00C852A7" w:rsidRPr="00825131" w:rsidRDefault="00B17446">
            <w:pPr>
              <w:jc w:val="both"/>
              <w:rPr>
                <w:rFonts w:ascii="Times New Roman" w:hAnsi="Times New Roman"/>
                <w:b/>
              </w:rPr>
            </w:pPr>
            <w:r w:rsidRPr="00825131">
              <w:rPr>
                <w:rFonts w:ascii="Times New Roman" w:eastAsia="SimSun" w:hAnsi="Times New Roman"/>
                <w:b/>
                <w:lang w:bidi="ar"/>
              </w:rPr>
              <w:t>Weight</w:t>
            </w:r>
          </w:p>
        </w:tc>
      </w:tr>
      <w:tr w:rsidR="00C852A7" w:rsidRPr="00825131" w14:paraId="726F195A" w14:textId="77777777">
        <w:trPr>
          <w:tblCellSpacing w:w="15" w:type="dxa"/>
        </w:trPr>
        <w:tc>
          <w:tcPr>
            <w:tcW w:w="1570" w:type="dxa"/>
            <w:tcBorders>
              <w:top w:val="nil"/>
              <w:left w:val="nil"/>
              <w:bottom w:val="nil"/>
              <w:right w:val="nil"/>
              <w:tl2br w:val="nil"/>
              <w:tr2bl w:val="nil"/>
            </w:tcBorders>
            <w:vAlign w:val="center"/>
          </w:tcPr>
          <w:p w14:paraId="3F97B2F8" w14:textId="77777777" w:rsidR="00C852A7" w:rsidRPr="00825131" w:rsidRDefault="00B17446">
            <w:pPr>
              <w:jc w:val="both"/>
              <w:rPr>
                <w:rFonts w:ascii="Times New Roman" w:hAnsi="Times New Roman"/>
              </w:rPr>
            </w:pPr>
            <w:r w:rsidRPr="00825131">
              <w:rPr>
                <w:rFonts w:ascii="Times New Roman" w:eastAsia="SimSun" w:hAnsi="Times New Roman"/>
                <w:lang w:bidi="ar"/>
              </w:rPr>
              <w:t>CXR</w:t>
            </w:r>
          </w:p>
        </w:tc>
        <w:tc>
          <w:tcPr>
            <w:tcW w:w="2130" w:type="dxa"/>
            <w:tcBorders>
              <w:top w:val="nil"/>
              <w:left w:val="nil"/>
              <w:bottom w:val="nil"/>
              <w:right w:val="nil"/>
              <w:tl2br w:val="nil"/>
              <w:tr2bl w:val="nil"/>
            </w:tcBorders>
            <w:vAlign w:val="center"/>
          </w:tcPr>
          <w:p w14:paraId="39B99AC0" w14:textId="77777777" w:rsidR="00C852A7" w:rsidRPr="00825131" w:rsidRDefault="00B17446">
            <w:pPr>
              <w:jc w:val="both"/>
              <w:rPr>
                <w:rFonts w:ascii="Times New Roman" w:hAnsi="Times New Roman"/>
              </w:rPr>
            </w:pPr>
            <w:r w:rsidRPr="00825131">
              <w:rPr>
                <w:rFonts w:ascii="Times New Roman" w:eastAsia="SimSun" w:hAnsi="Times New Roman"/>
                <w:lang w:bidi="ar"/>
              </w:rPr>
              <w:t>Consolidation present</w:t>
            </w:r>
          </w:p>
        </w:tc>
        <w:tc>
          <w:tcPr>
            <w:tcW w:w="0" w:type="auto"/>
            <w:tcBorders>
              <w:top w:val="nil"/>
              <w:left w:val="nil"/>
              <w:bottom w:val="nil"/>
              <w:right w:val="nil"/>
              <w:tl2br w:val="nil"/>
              <w:tr2bl w:val="nil"/>
            </w:tcBorders>
            <w:vAlign w:val="center"/>
          </w:tcPr>
          <w:p w14:paraId="20729C9B"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67EEAC84" w14:textId="77777777" w:rsidR="00C852A7" w:rsidRPr="00825131" w:rsidRDefault="00B17446">
            <w:pPr>
              <w:jc w:val="both"/>
              <w:rPr>
                <w:rFonts w:ascii="Times New Roman" w:hAnsi="Times New Roman"/>
              </w:rPr>
            </w:pPr>
            <w:r w:rsidRPr="00825131">
              <w:rPr>
                <w:rFonts w:ascii="Times New Roman" w:eastAsia="SimSun" w:hAnsi="Times New Roman"/>
                <w:lang w:bidi="ar"/>
              </w:rPr>
              <w:t>Treat</w:t>
            </w:r>
          </w:p>
        </w:tc>
        <w:tc>
          <w:tcPr>
            <w:tcW w:w="0" w:type="auto"/>
            <w:tcBorders>
              <w:top w:val="nil"/>
              <w:left w:val="nil"/>
              <w:bottom w:val="nil"/>
              <w:right w:val="nil"/>
              <w:tl2br w:val="nil"/>
              <w:tr2bl w:val="nil"/>
            </w:tcBorders>
            <w:vAlign w:val="center"/>
          </w:tcPr>
          <w:p w14:paraId="4A5D255C"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42B62C08" w14:textId="77777777">
        <w:trPr>
          <w:tblCellSpacing w:w="15" w:type="dxa"/>
        </w:trPr>
        <w:tc>
          <w:tcPr>
            <w:tcW w:w="1570" w:type="dxa"/>
            <w:tcBorders>
              <w:top w:val="nil"/>
              <w:left w:val="nil"/>
              <w:bottom w:val="nil"/>
              <w:right w:val="nil"/>
              <w:tl2br w:val="nil"/>
              <w:tr2bl w:val="nil"/>
            </w:tcBorders>
            <w:vAlign w:val="center"/>
          </w:tcPr>
          <w:p w14:paraId="2B2C9738" w14:textId="77777777" w:rsidR="00C852A7" w:rsidRPr="00825131" w:rsidRDefault="00B17446">
            <w:pPr>
              <w:jc w:val="both"/>
              <w:rPr>
                <w:rFonts w:ascii="Times New Roman" w:hAnsi="Times New Roman"/>
              </w:rPr>
            </w:pPr>
            <w:r w:rsidRPr="00825131">
              <w:rPr>
                <w:rFonts w:ascii="Times New Roman" w:eastAsia="SimSun" w:hAnsi="Times New Roman"/>
                <w:lang w:bidi="ar"/>
              </w:rPr>
              <w:t>CRP</w:t>
            </w:r>
          </w:p>
        </w:tc>
        <w:tc>
          <w:tcPr>
            <w:tcW w:w="2130" w:type="dxa"/>
            <w:tcBorders>
              <w:top w:val="nil"/>
              <w:left w:val="nil"/>
              <w:bottom w:val="nil"/>
              <w:right w:val="nil"/>
              <w:tl2br w:val="nil"/>
              <w:tr2bl w:val="nil"/>
            </w:tcBorders>
            <w:vAlign w:val="center"/>
          </w:tcPr>
          <w:p w14:paraId="68B20D31" w14:textId="77777777" w:rsidR="00C852A7" w:rsidRPr="00825131" w:rsidRDefault="00B17446">
            <w:pPr>
              <w:jc w:val="both"/>
              <w:rPr>
                <w:rFonts w:ascii="Times New Roman" w:hAnsi="Times New Roman"/>
              </w:rPr>
            </w:pPr>
            <w:r w:rsidRPr="00825131">
              <w:rPr>
                <w:rFonts w:ascii="Times New Roman" w:eastAsia="SimSun" w:hAnsi="Times New Roman"/>
                <w:lang w:bidi="ar"/>
              </w:rPr>
              <w:t>95 mg/L</w:t>
            </w:r>
          </w:p>
        </w:tc>
        <w:tc>
          <w:tcPr>
            <w:tcW w:w="0" w:type="auto"/>
            <w:tcBorders>
              <w:top w:val="nil"/>
              <w:left w:val="nil"/>
              <w:bottom w:val="nil"/>
              <w:right w:val="nil"/>
              <w:tl2br w:val="nil"/>
              <w:tr2bl w:val="nil"/>
            </w:tcBorders>
            <w:vAlign w:val="center"/>
          </w:tcPr>
          <w:p w14:paraId="11B10671"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4F50D745" w14:textId="77777777" w:rsidR="00C852A7" w:rsidRPr="00825131" w:rsidRDefault="00B17446">
            <w:pPr>
              <w:jc w:val="both"/>
              <w:rPr>
                <w:rFonts w:ascii="Times New Roman" w:hAnsi="Times New Roman"/>
              </w:rPr>
            </w:pPr>
            <w:r w:rsidRPr="00825131">
              <w:rPr>
                <w:rFonts w:ascii="Times New Roman" w:eastAsia="SimSun" w:hAnsi="Times New Roman"/>
                <w:lang w:bidi="ar"/>
              </w:rPr>
              <w:t>Treat</w:t>
            </w:r>
          </w:p>
        </w:tc>
        <w:tc>
          <w:tcPr>
            <w:tcW w:w="0" w:type="auto"/>
            <w:tcBorders>
              <w:top w:val="nil"/>
              <w:left w:val="nil"/>
              <w:bottom w:val="nil"/>
              <w:right w:val="nil"/>
              <w:tl2br w:val="nil"/>
              <w:tr2bl w:val="nil"/>
            </w:tcBorders>
            <w:vAlign w:val="center"/>
          </w:tcPr>
          <w:p w14:paraId="6B5F5113"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30CDDE0A" w14:textId="77777777">
        <w:trPr>
          <w:tblCellSpacing w:w="15" w:type="dxa"/>
        </w:trPr>
        <w:tc>
          <w:tcPr>
            <w:tcW w:w="1570" w:type="dxa"/>
            <w:tcBorders>
              <w:top w:val="nil"/>
              <w:left w:val="nil"/>
              <w:bottom w:val="nil"/>
              <w:right w:val="nil"/>
              <w:tl2br w:val="nil"/>
              <w:tr2bl w:val="nil"/>
            </w:tcBorders>
            <w:vAlign w:val="center"/>
          </w:tcPr>
          <w:p w14:paraId="61C3F88F" w14:textId="77777777" w:rsidR="00C852A7" w:rsidRPr="00825131" w:rsidRDefault="00B17446">
            <w:pPr>
              <w:jc w:val="both"/>
              <w:rPr>
                <w:rFonts w:ascii="Times New Roman" w:hAnsi="Times New Roman"/>
              </w:rPr>
            </w:pPr>
            <w:r w:rsidRPr="00825131">
              <w:rPr>
                <w:rFonts w:ascii="Times New Roman" w:eastAsia="SimSun" w:hAnsi="Times New Roman"/>
                <w:lang w:bidi="ar"/>
              </w:rPr>
              <w:t>Respiratory rate</w:t>
            </w:r>
          </w:p>
        </w:tc>
        <w:tc>
          <w:tcPr>
            <w:tcW w:w="2130" w:type="dxa"/>
            <w:tcBorders>
              <w:top w:val="nil"/>
              <w:left w:val="nil"/>
              <w:bottom w:val="nil"/>
              <w:right w:val="nil"/>
              <w:tl2br w:val="nil"/>
              <w:tr2bl w:val="nil"/>
            </w:tcBorders>
            <w:vAlign w:val="center"/>
          </w:tcPr>
          <w:p w14:paraId="362374FE" w14:textId="77777777" w:rsidR="00C852A7" w:rsidRPr="00825131" w:rsidRDefault="00B17446">
            <w:pPr>
              <w:jc w:val="both"/>
              <w:rPr>
                <w:rFonts w:ascii="Times New Roman" w:hAnsi="Times New Roman"/>
              </w:rPr>
            </w:pPr>
            <w:r w:rsidRPr="00825131">
              <w:rPr>
                <w:rFonts w:ascii="Times New Roman" w:eastAsia="SimSun" w:hAnsi="Times New Roman"/>
                <w:lang w:bidi="ar"/>
              </w:rPr>
              <w:t>Mildly elevated</w:t>
            </w:r>
          </w:p>
        </w:tc>
        <w:tc>
          <w:tcPr>
            <w:tcW w:w="0" w:type="auto"/>
            <w:tcBorders>
              <w:top w:val="nil"/>
              <w:left w:val="nil"/>
              <w:bottom w:val="nil"/>
              <w:right w:val="nil"/>
              <w:tl2br w:val="nil"/>
              <w:tr2bl w:val="nil"/>
            </w:tcBorders>
            <w:vAlign w:val="center"/>
          </w:tcPr>
          <w:p w14:paraId="094C1576"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46DFF388" w14:textId="77777777" w:rsidR="00C852A7" w:rsidRPr="00825131" w:rsidRDefault="00B17446">
            <w:pPr>
              <w:jc w:val="both"/>
              <w:rPr>
                <w:rFonts w:ascii="Times New Roman" w:hAnsi="Times New Roman"/>
              </w:rPr>
            </w:pPr>
            <w:r w:rsidRPr="00825131">
              <w:rPr>
                <w:rFonts w:ascii="Times New Roman" w:eastAsia="SimSun" w:hAnsi="Times New Roman"/>
                <w:lang w:bidi="ar"/>
              </w:rPr>
              <w:t>Treat</w:t>
            </w:r>
          </w:p>
        </w:tc>
        <w:tc>
          <w:tcPr>
            <w:tcW w:w="0" w:type="auto"/>
            <w:tcBorders>
              <w:top w:val="nil"/>
              <w:left w:val="nil"/>
              <w:bottom w:val="nil"/>
              <w:right w:val="nil"/>
              <w:tl2br w:val="nil"/>
              <w:tr2bl w:val="nil"/>
            </w:tcBorders>
            <w:vAlign w:val="center"/>
          </w:tcPr>
          <w:p w14:paraId="188E93EE" w14:textId="77777777" w:rsidR="00C852A7" w:rsidRPr="00825131" w:rsidRDefault="00B17446">
            <w:pPr>
              <w:jc w:val="both"/>
              <w:rPr>
                <w:rFonts w:ascii="Times New Roman" w:hAnsi="Times New Roman"/>
              </w:rPr>
            </w:pPr>
            <w:r w:rsidRPr="00825131">
              <w:rPr>
                <w:rFonts w:ascii="Times New Roman" w:eastAsia="SimSun" w:hAnsi="Times New Roman"/>
                <w:lang w:bidi="ar"/>
              </w:rPr>
              <w:t>0.6</w:t>
            </w:r>
          </w:p>
        </w:tc>
      </w:tr>
      <w:tr w:rsidR="00C852A7" w:rsidRPr="00825131" w14:paraId="2F0F0130" w14:textId="77777777">
        <w:trPr>
          <w:tblCellSpacing w:w="15" w:type="dxa"/>
        </w:trPr>
        <w:tc>
          <w:tcPr>
            <w:tcW w:w="1570" w:type="dxa"/>
            <w:tcBorders>
              <w:top w:val="nil"/>
              <w:left w:val="nil"/>
              <w:bottom w:val="nil"/>
              <w:right w:val="nil"/>
              <w:tl2br w:val="nil"/>
              <w:tr2bl w:val="nil"/>
            </w:tcBorders>
            <w:vAlign w:val="center"/>
          </w:tcPr>
          <w:p w14:paraId="64CBF189" w14:textId="77777777" w:rsidR="00C852A7" w:rsidRPr="00825131" w:rsidRDefault="00B17446">
            <w:pPr>
              <w:jc w:val="both"/>
              <w:rPr>
                <w:rFonts w:ascii="Times New Roman" w:hAnsi="Times New Roman"/>
              </w:rPr>
            </w:pPr>
            <w:r w:rsidRPr="00825131">
              <w:rPr>
                <w:rFonts w:ascii="Times New Roman" w:eastAsia="SimSun" w:hAnsi="Times New Roman"/>
                <w:lang w:bidi="ar"/>
              </w:rPr>
              <w:t>SpO₂</w:t>
            </w:r>
          </w:p>
        </w:tc>
        <w:tc>
          <w:tcPr>
            <w:tcW w:w="2130" w:type="dxa"/>
            <w:tcBorders>
              <w:top w:val="nil"/>
              <w:left w:val="nil"/>
              <w:bottom w:val="nil"/>
              <w:right w:val="nil"/>
              <w:tl2br w:val="nil"/>
              <w:tr2bl w:val="nil"/>
            </w:tcBorders>
            <w:vAlign w:val="center"/>
          </w:tcPr>
          <w:p w14:paraId="7EFDEEAE" w14:textId="77777777" w:rsidR="00C852A7" w:rsidRPr="00825131" w:rsidRDefault="00B17446">
            <w:pPr>
              <w:jc w:val="both"/>
              <w:rPr>
                <w:rFonts w:ascii="Times New Roman" w:hAnsi="Times New Roman"/>
              </w:rPr>
            </w:pPr>
            <w:r w:rsidRPr="00825131">
              <w:rPr>
                <w:rFonts w:ascii="Times New Roman" w:eastAsia="SimSun" w:hAnsi="Times New Roman"/>
                <w:lang w:bidi="ar"/>
              </w:rPr>
              <w:t>96%</w:t>
            </w:r>
          </w:p>
        </w:tc>
        <w:tc>
          <w:tcPr>
            <w:tcW w:w="0" w:type="auto"/>
            <w:tcBorders>
              <w:top w:val="nil"/>
              <w:left w:val="nil"/>
              <w:bottom w:val="nil"/>
              <w:right w:val="nil"/>
              <w:tl2br w:val="nil"/>
              <w:tr2bl w:val="nil"/>
            </w:tcBorders>
            <w:vAlign w:val="center"/>
          </w:tcPr>
          <w:p w14:paraId="6EBA8836"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05087B54" w14:textId="77777777" w:rsidR="00C852A7" w:rsidRPr="00825131" w:rsidRDefault="00B17446">
            <w:pPr>
              <w:jc w:val="both"/>
              <w:rPr>
                <w:rFonts w:ascii="Times New Roman" w:hAnsi="Times New Roman"/>
              </w:rPr>
            </w:pPr>
            <w:r w:rsidRPr="00825131">
              <w:rPr>
                <w:rFonts w:ascii="Times New Roman" w:eastAsia="SimSun" w:hAnsi="Times New Roman"/>
                <w:lang w:bidi="ar"/>
              </w:rPr>
              <w:t>Observe</w:t>
            </w:r>
          </w:p>
        </w:tc>
        <w:tc>
          <w:tcPr>
            <w:tcW w:w="0" w:type="auto"/>
            <w:tcBorders>
              <w:top w:val="nil"/>
              <w:left w:val="nil"/>
              <w:bottom w:val="nil"/>
              <w:right w:val="nil"/>
              <w:tl2br w:val="nil"/>
              <w:tr2bl w:val="nil"/>
            </w:tcBorders>
            <w:vAlign w:val="center"/>
          </w:tcPr>
          <w:p w14:paraId="316FF4CC"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bl>
    <w:p w14:paraId="6DAD686D"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 xml:space="preserve">Credibility-Weighted Fusion </w:t>
      </w:r>
    </w:p>
    <w:p w14:paraId="308BFD35" w14:textId="77777777" w:rsidR="00C852A7" w:rsidRPr="00825131" w:rsidRDefault="00B17446">
      <w:pPr>
        <w:pStyle w:val="NormalWeb"/>
        <w:jc w:val="both"/>
        <w:rPr>
          <w:bCs/>
        </w:rPr>
      </w:pPr>
      <w:r w:rsidRPr="00825131">
        <w:rPr>
          <w:rStyle w:val="Strong"/>
          <w:b w:val="0"/>
          <w:bCs/>
        </w:rPr>
        <w:t>Decision Scores</w:t>
      </w:r>
    </w:p>
    <w:p w14:paraId="057DAB68" w14:textId="77777777" w:rsidR="00C852A7" w:rsidRPr="00825131" w:rsidRDefault="00B17446">
      <w:pPr>
        <w:pStyle w:val="NormalWeb"/>
        <w:jc w:val="both"/>
        <w:rPr>
          <w:bCs/>
        </w:rPr>
      </w:pPr>
      <w:proofErr w:type="spellStart"/>
      <w:r w:rsidRPr="00825131">
        <w:rPr>
          <w:rStyle w:val="Strong"/>
          <w:b w:val="0"/>
          <w:bCs/>
        </w:rPr>
        <w:t>S_treat</w:t>
      </w:r>
      <w:proofErr w:type="spellEnd"/>
      <w:r w:rsidRPr="00825131">
        <w:rPr>
          <w:rStyle w:val="Strong"/>
          <w:b w:val="0"/>
          <w:bCs/>
        </w:rPr>
        <w:t xml:space="preserve"> = 1.0 + 1.0 + 0.6 = 2.6</w:t>
      </w:r>
    </w:p>
    <w:p w14:paraId="41255D65" w14:textId="77777777" w:rsidR="00C852A7" w:rsidRPr="00825131" w:rsidRDefault="00B17446">
      <w:pPr>
        <w:pStyle w:val="NormalWeb"/>
        <w:jc w:val="both"/>
        <w:rPr>
          <w:bCs/>
        </w:rPr>
      </w:pPr>
      <w:proofErr w:type="spellStart"/>
      <w:r w:rsidRPr="00825131">
        <w:rPr>
          <w:rStyle w:val="Strong"/>
          <w:b w:val="0"/>
          <w:bCs/>
        </w:rPr>
        <w:t>S_observe</w:t>
      </w:r>
      <w:proofErr w:type="spellEnd"/>
      <w:r w:rsidRPr="00825131">
        <w:rPr>
          <w:rStyle w:val="Strong"/>
          <w:b w:val="0"/>
          <w:bCs/>
        </w:rPr>
        <w:t xml:space="preserve"> = 0.3</w:t>
      </w:r>
    </w:p>
    <w:p w14:paraId="517CB066" w14:textId="77777777" w:rsidR="00C852A7" w:rsidRPr="00825131" w:rsidRDefault="00B17446">
      <w:pPr>
        <w:pStyle w:val="NormalWeb"/>
        <w:jc w:val="both"/>
        <w:rPr>
          <w:bCs/>
        </w:rPr>
      </w:pPr>
      <w:r w:rsidRPr="00825131">
        <w:rPr>
          <w:rStyle w:val="Strong"/>
          <w:b w:val="0"/>
          <w:bCs/>
        </w:rPr>
        <w:t>Total Epistemic Weight</w:t>
      </w:r>
    </w:p>
    <w:p w14:paraId="3788288C" w14:textId="77777777" w:rsidR="00C852A7" w:rsidRPr="00825131" w:rsidRDefault="00B17446">
      <w:pPr>
        <w:pStyle w:val="NormalWeb"/>
        <w:jc w:val="both"/>
        <w:rPr>
          <w:bCs/>
        </w:rPr>
      </w:pPr>
      <w:proofErr w:type="spellStart"/>
      <w:r w:rsidRPr="00825131">
        <w:rPr>
          <w:rStyle w:val="Strong"/>
          <w:b w:val="0"/>
          <w:bCs/>
        </w:rPr>
        <w:t>W_total</w:t>
      </w:r>
      <w:proofErr w:type="spellEnd"/>
      <w:r w:rsidRPr="00825131">
        <w:rPr>
          <w:rStyle w:val="Strong"/>
          <w:b w:val="0"/>
          <w:bCs/>
        </w:rPr>
        <w:t xml:space="preserve"> = 2.6 + 0.3 = 2.9</w:t>
      </w:r>
    </w:p>
    <w:p w14:paraId="7D88677C" w14:textId="77777777" w:rsidR="00C852A7" w:rsidRPr="00825131" w:rsidRDefault="00B17446">
      <w:pPr>
        <w:pStyle w:val="NormalWeb"/>
        <w:jc w:val="both"/>
        <w:rPr>
          <w:bCs/>
        </w:rPr>
      </w:pPr>
      <w:r w:rsidRPr="00825131">
        <w:rPr>
          <w:rStyle w:val="Strong"/>
          <w:b w:val="0"/>
          <w:bCs/>
        </w:rPr>
        <w:t>Winning and Losing Scores</w:t>
      </w:r>
    </w:p>
    <w:p w14:paraId="74F6FE13" w14:textId="77777777" w:rsidR="00C852A7" w:rsidRPr="00825131" w:rsidRDefault="00B17446">
      <w:pPr>
        <w:pStyle w:val="NormalWeb"/>
        <w:jc w:val="both"/>
        <w:rPr>
          <w:bCs/>
        </w:rPr>
      </w:pPr>
      <w:proofErr w:type="spellStart"/>
      <w:r w:rsidRPr="00825131">
        <w:rPr>
          <w:rStyle w:val="Strong"/>
          <w:b w:val="0"/>
          <w:bCs/>
        </w:rPr>
        <w:t>S_win</w:t>
      </w:r>
      <w:proofErr w:type="spellEnd"/>
      <w:r w:rsidRPr="00825131">
        <w:rPr>
          <w:rStyle w:val="Strong"/>
          <w:b w:val="0"/>
          <w:bCs/>
        </w:rPr>
        <w:t xml:space="preserve"> = 2.6 (Treat)</w:t>
      </w:r>
    </w:p>
    <w:p w14:paraId="427E0CD3" w14:textId="77777777" w:rsidR="00C852A7" w:rsidRPr="00825131" w:rsidRDefault="00B17446">
      <w:pPr>
        <w:pStyle w:val="NormalWeb"/>
        <w:jc w:val="both"/>
        <w:rPr>
          <w:bCs/>
        </w:rPr>
      </w:pPr>
      <w:proofErr w:type="spellStart"/>
      <w:r w:rsidRPr="00825131">
        <w:rPr>
          <w:rStyle w:val="Strong"/>
          <w:b w:val="0"/>
          <w:bCs/>
        </w:rPr>
        <w:t>S_lose</w:t>
      </w:r>
      <w:proofErr w:type="spellEnd"/>
      <w:r w:rsidRPr="00825131">
        <w:rPr>
          <w:rStyle w:val="Strong"/>
          <w:b w:val="0"/>
          <w:bCs/>
        </w:rPr>
        <w:t xml:space="preserve"> = 0.3 (Observe)</w:t>
      </w:r>
    </w:p>
    <w:p w14:paraId="78BEC01C" w14:textId="77777777" w:rsidR="00C852A7" w:rsidRPr="00825131" w:rsidRDefault="00B17446">
      <w:pPr>
        <w:pStyle w:val="NormalWeb"/>
        <w:jc w:val="both"/>
        <w:rPr>
          <w:bCs/>
        </w:rPr>
      </w:pPr>
      <w:r w:rsidRPr="00825131">
        <w:rPr>
          <w:rStyle w:val="Strong"/>
          <w:b w:val="0"/>
          <w:bCs/>
        </w:rPr>
        <w:t>DES = (</w:t>
      </w:r>
      <w:proofErr w:type="spellStart"/>
      <w:r w:rsidRPr="00825131">
        <w:rPr>
          <w:rStyle w:val="Strong"/>
          <w:b w:val="0"/>
          <w:bCs/>
        </w:rPr>
        <w:t>Swin</w:t>
      </w:r>
      <w:proofErr w:type="spellEnd"/>
      <w:r w:rsidRPr="00825131">
        <w:rPr>
          <w:rStyle w:val="Strong"/>
          <w:b w:val="0"/>
          <w:bCs/>
        </w:rPr>
        <w:t xml:space="preserve"> − </w:t>
      </w:r>
      <w:proofErr w:type="spellStart"/>
      <w:r w:rsidRPr="00825131">
        <w:rPr>
          <w:rStyle w:val="Strong"/>
          <w:b w:val="0"/>
          <w:bCs/>
        </w:rPr>
        <w:t>Slose</w:t>
      </w:r>
      <w:proofErr w:type="spellEnd"/>
      <w:r w:rsidRPr="00825131">
        <w:rPr>
          <w:rStyle w:val="Strong"/>
          <w:b w:val="0"/>
          <w:bCs/>
        </w:rPr>
        <w:t xml:space="preserve">) / </w:t>
      </w:r>
      <w:proofErr w:type="spellStart"/>
      <w:r w:rsidRPr="00825131">
        <w:rPr>
          <w:rStyle w:val="Strong"/>
          <w:b w:val="0"/>
          <w:bCs/>
        </w:rPr>
        <w:t>Wtotal</w:t>
      </w:r>
      <w:proofErr w:type="spellEnd"/>
      <w:r w:rsidRPr="00825131">
        <w:rPr>
          <w:rStyle w:val="Strong"/>
          <w:b w:val="0"/>
          <w:bCs/>
        </w:rPr>
        <w:t xml:space="preserve"> = (2.6 − 0.3) / 2.9 = 2.3 / 2.9 = 0.79.</w:t>
      </w:r>
    </w:p>
    <w:p w14:paraId="48DCDA9F" w14:textId="77777777" w:rsidR="00C852A7" w:rsidRPr="00825131" w:rsidRDefault="00B17446">
      <w:pPr>
        <w:pStyle w:val="Heading3"/>
        <w:jc w:val="both"/>
        <w:rPr>
          <w:rFonts w:ascii="Times New Roman" w:hAnsi="Times New Roman" w:hint="default"/>
          <w:sz w:val="24"/>
          <w:szCs w:val="24"/>
        </w:rPr>
      </w:pPr>
      <w:r w:rsidRPr="00825131">
        <w:rPr>
          <w:rStyle w:val="Strong"/>
          <w:rFonts w:ascii="Times New Roman" w:hAnsi="Times New Roman" w:hint="eastAsia"/>
          <w:b/>
          <w:bCs/>
        </w:rPr>
        <w:t>Interpretation</w:t>
      </w:r>
    </w:p>
    <w:p w14:paraId="5BBBE7B1" w14:textId="77777777" w:rsidR="00C852A7" w:rsidRPr="00825131" w:rsidRDefault="00B17446">
      <w:pPr>
        <w:pStyle w:val="NormalWeb"/>
        <w:jc w:val="both"/>
        <w:rPr>
          <w:bCs/>
        </w:rPr>
      </w:pPr>
      <w:r w:rsidRPr="00825131">
        <w:rPr>
          <w:rStyle w:val="Strong"/>
          <w:b w:val="0"/>
          <w:bCs/>
        </w:rPr>
        <w:t>DES = 0.79 → Decisive governance state.</w:t>
      </w:r>
      <w:r w:rsidRPr="00825131">
        <w:rPr>
          <w:bCs/>
        </w:rPr>
        <w:br/>
        <w:t>The aggregated evidence strongly supports initiating antibiotics. High-credibility indicators dominate the decision, and the weak opposing signal does not materially undermine epistemic legitimacy.</w:t>
      </w:r>
    </w:p>
    <w:p w14:paraId="52B45AA6" w14:textId="77777777" w:rsidR="00C852A7" w:rsidRPr="00825131" w:rsidRDefault="00B17446">
      <w:pPr>
        <w:pStyle w:val="Heading1"/>
        <w:jc w:val="both"/>
        <w:rPr>
          <w:rFonts w:ascii="Times New Roman" w:hAnsi="Times New Roman" w:hint="default"/>
          <w:bCs/>
          <w:sz w:val="24"/>
          <w:szCs w:val="24"/>
        </w:rPr>
      </w:pPr>
      <w:r w:rsidRPr="00825131">
        <w:rPr>
          <w:rStyle w:val="Strong"/>
          <w:rFonts w:ascii="Times New Roman" w:hAnsi="Times New Roman" w:hint="eastAsia"/>
          <w:b/>
          <w:bCs/>
        </w:rPr>
        <w:t xml:space="preserve">4.2 Whole-Sample DES (Simulated Cohort Decision): Epidemic </w:t>
      </w:r>
      <w:r w:rsidRPr="00825131">
        <w:rPr>
          <w:rStyle w:val="Strong"/>
          <w:rFonts w:ascii="Times New Roman" w:hAnsi="Times New Roman" w:hint="eastAsia"/>
          <w:b/>
          <w:bCs/>
        </w:rPr>
        <w:t>“</w:t>
      </w:r>
      <w:r w:rsidRPr="00825131">
        <w:rPr>
          <w:rStyle w:val="Strong"/>
          <w:rFonts w:ascii="Times New Roman" w:hAnsi="Times New Roman" w:hint="eastAsia"/>
          <w:b/>
          <w:bCs/>
        </w:rPr>
        <w:t xml:space="preserve">Lockdown vs No </w:t>
      </w:r>
      <w:proofErr w:type="gramStart"/>
      <w:r w:rsidRPr="00825131">
        <w:rPr>
          <w:rStyle w:val="Strong"/>
          <w:rFonts w:ascii="Times New Roman" w:hAnsi="Times New Roman" w:hint="eastAsia"/>
          <w:b/>
          <w:bCs/>
        </w:rPr>
        <w:t>Lockdown</w:t>
      </w:r>
      <w:r w:rsidRPr="00825131">
        <w:rPr>
          <w:rStyle w:val="Strong"/>
          <w:rFonts w:ascii="Times New Roman" w:hAnsi="Times New Roman" w:hint="eastAsia"/>
          <w:b/>
          <w:bCs/>
        </w:rPr>
        <w:t>”</w:t>
      </w:r>
      <w:r w:rsidRPr="00825131">
        <w:rPr>
          <w:rStyle w:val="Strong"/>
          <w:rFonts w:ascii="Times New Roman" w:hAnsi="Times New Roman" w:hint="eastAsia"/>
          <w:b/>
          <w:bCs/>
        </w:rPr>
        <w:t>(</w:t>
      </w:r>
      <w:proofErr w:type="gramEnd"/>
      <w:r w:rsidRPr="00825131">
        <w:rPr>
          <w:rStyle w:val="Strong"/>
          <w:rFonts w:ascii="Times New Roman" w:hAnsi="Times New Roman" w:hint="eastAsia"/>
          <w:b/>
        </w:rPr>
        <w:t>Table 2.)</w:t>
      </w:r>
    </w:p>
    <w:p w14:paraId="6C067AFA" w14:textId="77777777" w:rsidR="00C852A7" w:rsidRPr="00825131" w:rsidRDefault="00B17446">
      <w:pPr>
        <w:pStyle w:val="Heading3"/>
        <w:jc w:val="both"/>
        <w:rPr>
          <w:rFonts w:ascii="Times New Roman" w:hAnsi="Times New Roman" w:hint="default"/>
          <w:b w:val="0"/>
          <w:bCs/>
          <w:sz w:val="24"/>
          <w:szCs w:val="24"/>
        </w:rPr>
      </w:pPr>
      <w:r w:rsidRPr="00825131">
        <w:rPr>
          <w:rStyle w:val="Strong"/>
          <w:rFonts w:ascii="Times New Roman" w:hAnsi="Times New Roman" w:hint="eastAsia"/>
          <w:b/>
          <w:bCs/>
        </w:rPr>
        <w:t>Decision Set :</w:t>
      </w:r>
      <w:r w:rsidRPr="00825131">
        <w:rPr>
          <w:rFonts w:ascii="Times New Roman" w:hAnsi="Times New Roman" w:hint="default"/>
          <w:b w:val="0"/>
          <w:bCs/>
          <w:sz w:val="24"/>
          <w:szCs w:val="24"/>
        </w:rPr>
        <w:t xml:space="preserve">D = {Lockdown, </w:t>
      </w:r>
      <w:proofErr w:type="spellStart"/>
      <w:r w:rsidRPr="00825131">
        <w:rPr>
          <w:rFonts w:ascii="Times New Roman" w:hAnsi="Times New Roman" w:hint="default"/>
          <w:b w:val="0"/>
          <w:bCs/>
          <w:sz w:val="24"/>
          <w:szCs w:val="24"/>
        </w:rPr>
        <w:t>NoLockdown</w:t>
      </w:r>
      <w:proofErr w:type="spellEnd"/>
      <w:r w:rsidRPr="00825131">
        <w:rPr>
          <w:rFonts w:ascii="Times New Roman" w:hAnsi="Times New Roman" w:hint="default"/>
          <w:b w:val="0"/>
          <w:bCs/>
          <w:sz w:val="24"/>
          <w:szCs w:val="24"/>
        </w:rPr>
        <w:t>}</w:t>
      </w:r>
    </w:p>
    <w:p w14:paraId="4FA8BF82" w14:textId="77777777" w:rsidR="00C852A7" w:rsidRPr="00825131" w:rsidRDefault="00B17446">
      <w:pPr>
        <w:pStyle w:val="Heading3"/>
        <w:jc w:val="both"/>
        <w:rPr>
          <w:rFonts w:ascii="Times New Roman" w:hAnsi="Times New Roman" w:hint="default"/>
          <w:sz w:val="24"/>
          <w:szCs w:val="24"/>
        </w:rPr>
      </w:pPr>
      <w:r w:rsidRPr="00825131">
        <w:rPr>
          <w:rStyle w:val="Strong"/>
          <w:rFonts w:ascii="Times New Roman" w:hAnsi="Times New Roman" w:hint="eastAsia"/>
          <w:b/>
          <w:bCs/>
        </w:rPr>
        <w:t>Evidence Streams</w:t>
      </w:r>
      <w:r w:rsidRPr="00825131">
        <w:rPr>
          <w:rStyle w:val="Strong"/>
          <w:rFonts w:ascii="Times New Roman" w:hAnsi="Times New Roman" w:hint="eastAsia"/>
        </w:rPr>
        <w:t xml:space="preserve"> :(Population Level, Simulated)</w:t>
      </w:r>
    </w:p>
    <w:p w14:paraId="17C7AD47" w14:textId="77777777" w:rsidR="00C852A7" w:rsidRPr="00825131" w:rsidRDefault="00B17446">
      <w:pPr>
        <w:pStyle w:val="NormalWeb"/>
        <w:jc w:val="both"/>
        <w:rPr>
          <w:b/>
          <w:bCs/>
        </w:rPr>
      </w:pPr>
      <w:r w:rsidRPr="00825131">
        <w:rPr>
          <w:b/>
          <w:bCs/>
        </w:rPr>
        <w:t>Five policy-relevant indicators are simulated for a region over the preceding 7–14 days:</w:t>
      </w:r>
    </w:p>
    <w:p w14:paraId="624F4878" w14:textId="77777777" w:rsidR="00C852A7" w:rsidRPr="00825131" w:rsidRDefault="00B17446">
      <w:pPr>
        <w:pStyle w:val="NormalWeb"/>
        <w:jc w:val="both"/>
      </w:pPr>
      <w:r w:rsidRPr="00825131">
        <w:t xml:space="preserve">Case growth trend (e.g., the effective reproduction </w:t>
      </w:r>
      <w:proofErr w:type="gramStart"/>
      <w:r w:rsidRPr="00825131">
        <w:t>number(</w:t>
      </w:r>
      <w:proofErr w:type="gramEnd"/>
      <w:r w:rsidRPr="00825131">
        <w:t>Rt) or week-over-week growth)</w:t>
      </w:r>
    </w:p>
    <w:p w14:paraId="169C0EF8" w14:textId="77777777" w:rsidR="00C852A7" w:rsidRPr="00825131" w:rsidRDefault="00B17446">
      <w:pPr>
        <w:pStyle w:val="NormalWeb"/>
        <w:jc w:val="both"/>
      </w:pPr>
      <w:r w:rsidRPr="00825131">
        <w:lastRenderedPageBreak/>
        <w:t>Test positivity rate (%)</w:t>
      </w:r>
    </w:p>
    <w:p w14:paraId="7BF6FEBB" w14:textId="77777777" w:rsidR="00C852A7" w:rsidRPr="00825131" w:rsidRDefault="00B17446">
      <w:pPr>
        <w:pStyle w:val="NormalWeb"/>
        <w:jc w:val="both"/>
      </w:pPr>
      <w:r w:rsidRPr="00825131">
        <w:t>Hospital bed or ICU occupancy (%)</w:t>
      </w:r>
    </w:p>
    <w:p w14:paraId="4D974671" w14:textId="77777777" w:rsidR="00C852A7" w:rsidRPr="00825131" w:rsidRDefault="00B17446">
      <w:pPr>
        <w:pStyle w:val="NormalWeb"/>
        <w:jc w:val="both"/>
      </w:pPr>
      <w:r w:rsidRPr="00825131">
        <w:t>Severe outcomes or excess mortality trend</w:t>
      </w:r>
    </w:p>
    <w:p w14:paraId="3F76364A" w14:textId="77777777" w:rsidR="00C852A7" w:rsidRPr="00825131" w:rsidRDefault="00B17446">
      <w:pPr>
        <w:pStyle w:val="NormalWeb"/>
        <w:jc w:val="both"/>
      </w:pPr>
      <w:r w:rsidRPr="00825131">
        <w:t xml:space="preserve">Wastewater or sentinel surveillance signal </w:t>
      </w:r>
    </w:p>
    <w:p w14:paraId="350D9B89" w14:textId="77777777" w:rsidR="00C852A7" w:rsidRPr="00825131" w:rsidRDefault="00B17446">
      <w:pPr>
        <w:pStyle w:val="Heading3"/>
        <w:jc w:val="both"/>
        <w:rPr>
          <w:rFonts w:ascii="Times New Roman" w:hAnsi="Times New Roman" w:hint="default"/>
          <w:b w:val="0"/>
          <w:sz w:val="24"/>
          <w:szCs w:val="24"/>
        </w:rPr>
      </w:pPr>
      <w:r w:rsidRPr="00825131">
        <w:rPr>
          <w:rStyle w:val="Strong"/>
          <w:rFonts w:ascii="Times New Roman" w:hAnsi="Times New Roman" w:hint="eastAsia"/>
        </w:rPr>
        <w:t>Epistemic Zones and Credibility Weights (Example)</w:t>
      </w:r>
    </w:p>
    <w:p w14:paraId="6614AAC3" w14:textId="77777777" w:rsidR="00C852A7" w:rsidRPr="00825131" w:rsidRDefault="00B17446">
      <w:pPr>
        <w:pStyle w:val="NormalWeb"/>
        <w:jc w:val="both"/>
      </w:pPr>
      <w:r w:rsidRPr="00825131">
        <w:rPr>
          <w:rStyle w:val="Strong"/>
          <w:b w:val="0"/>
        </w:rPr>
        <w:t>Trusted (T):</w:t>
      </w:r>
      <w:r w:rsidRPr="00825131">
        <w:t xml:space="preserve"> w = 1.0</w:t>
      </w:r>
    </w:p>
    <w:p w14:paraId="41E7EC6E" w14:textId="77777777" w:rsidR="00C852A7" w:rsidRPr="00825131" w:rsidRDefault="00B17446">
      <w:pPr>
        <w:pStyle w:val="NormalWeb"/>
        <w:jc w:val="both"/>
      </w:pPr>
      <w:r w:rsidRPr="00825131">
        <w:rPr>
          <w:rStyle w:val="Strong"/>
          <w:b w:val="0"/>
        </w:rPr>
        <w:t>Plausible (P):</w:t>
      </w:r>
      <w:r w:rsidRPr="00825131">
        <w:t xml:space="preserve"> w = 0.6</w:t>
      </w:r>
    </w:p>
    <w:p w14:paraId="79661FE2" w14:textId="77777777" w:rsidR="00C852A7" w:rsidRPr="00825131" w:rsidRDefault="00B17446">
      <w:pPr>
        <w:pStyle w:val="NormalWeb"/>
        <w:jc w:val="both"/>
      </w:pPr>
      <w:r w:rsidRPr="00825131">
        <w:rPr>
          <w:rStyle w:val="Strong"/>
          <w:b w:val="0"/>
        </w:rPr>
        <w:t>Weak (W):</w:t>
      </w:r>
      <w:r w:rsidRPr="00825131">
        <w:t xml:space="preserve"> w = 0.3</w:t>
      </w:r>
    </w:p>
    <w:p w14:paraId="5DE21ED4" w14:textId="77777777" w:rsidR="00C852A7" w:rsidRPr="00825131" w:rsidRDefault="00B17446">
      <w:pPr>
        <w:pStyle w:val="NormalWeb"/>
        <w:jc w:val="both"/>
      </w:pPr>
      <w:r w:rsidRPr="00825131">
        <w:rPr>
          <w:rStyle w:val="Strong"/>
          <w:b w:val="0"/>
        </w:rPr>
        <w:t>Abstain:</w:t>
      </w:r>
      <w:r w:rsidRPr="00825131">
        <w:t xml:space="preserve"> w = 0.0 (signal excluded due to excessive noise or unreliability)</w:t>
      </w:r>
    </w:p>
    <w:p w14:paraId="46C5A36D"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Local Policy Decision Rule</w:t>
      </w:r>
    </w:p>
    <w:p w14:paraId="271B6278" w14:textId="77777777" w:rsidR="00C852A7" w:rsidRPr="00825131" w:rsidRDefault="00B17446">
      <w:pPr>
        <w:pStyle w:val="NormalWeb"/>
        <w:jc w:val="both"/>
      </w:pPr>
      <w:r w:rsidRPr="00825131">
        <w:t xml:space="preserve">Signals indicating increasing transmission or system strain vote </w:t>
      </w:r>
      <w:r w:rsidRPr="00825131">
        <w:rPr>
          <w:rStyle w:val="Strong"/>
          <w:b w:val="0"/>
        </w:rPr>
        <w:t>Lockdown</w:t>
      </w:r>
      <w:r w:rsidRPr="00825131">
        <w:t>.</w:t>
      </w:r>
    </w:p>
    <w:p w14:paraId="609D4F36" w14:textId="77777777" w:rsidR="00C852A7" w:rsidRPr="00825131" w:rsidRDefault="00B17446">
      <w:pPr>
        <w:pStyle w:val="NormalWeb"/>
        <w:jc w:val="both"/>
      </w:pPr>
      <w:r w:rsidRPr="00825131">
        <w:t xml:space="preserve">Signals indicating stability or control vote </w:t>
      </w:r>
      <w:r w:rsidRPr="00825131">
        <w:rPr>
          <w:rStyle w:val="Strong"/>
          <w:b w:val="0"/>
        </w:rPr>
        <w:t>No Lockdown</w:t>
      </w:r>
      <w:r w:rsidRPr="00825131">
        <w:t>.</w:t>
      </w:r>
    </w:p>
    <w:p w14:paraId="0DF4BE9C" w14:textId="77777777" w:rsidR="00C852A7" w:rsidRPr="00825131" w:rsidRDefault="00B17446">
      <w:pPr>
        <w:pStyle w:val="NormalWeb"/>
        <w:ind w:right="720"/>
        <w:jc w:val="both"/>
        <w:rPr>
          <w:b/>
        </w:rPr>
      </w:pPr>
      <w:r w:rsidRPr="00825131">
        <w:rPr>
          <w:rStyle w:val="Strong"/>
        </w:rPr>
        <w:t>Table 2. Simulated Dataset (Single Region): Five Epidemiological Signals and Local Governance Votes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8"/>
        <w:gridCol w:w="2187"/>
        <w:gridCol w:w="940"/>
        <w:gridCol w:w="1395"/>
      </w:tblGrid>
      <w:tr w:rsidR="00C852A7" w:rsidRPr="00825131" w14:paraId="234523E2" w14:textId="77777777">
        <w:trPr>
          <w:tblHeader/>
          <w:tblCellSpacing w:w="15" w:type="dxa"/>
        </w:trPr>
        <w:tc>
          <w:tcPr>
            <w:tcW w:w="0" w:type="auto"/>
            <w:tcBorders>
              <w:top w:val="nil"/>
              <w:left w:val="nil"/>
              <w:bottom w:val="nil"/>
              <w:right w:val="nil"/>
              <w:tl2br w:val="nil"/>
              <w:tr2bl w:val="nil"/>
            </w:tcBorders>
            <w:vAlign w:val="center"/>
          </w:tcPr>
          <w:p w14:paraId="0141210C" w14:textId="77777777" w:rsidR="00C852A7" w:rsidRPr="00825131" w:rsidRDefault="00B17446">
            <w:pPr>
              <w:jc w:val="both"/>
              <w:rPr>
                <w:rFonts w:ascii="Times New Roman" w:hAnsi="Times New Roman"/>
                <w:b/>
              </w:rPr>
            </w:pPr>
            <w:r w:rsidRPr="00825131">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3A9D6994" w14:textId="77777777" w:rsidR="00C852A7" w:rsidRPr="00825131" w:rsidRDefault="00B17446">
            <w:pPr>
              <w:jc w:val="both"/>
              <w:rPr>
                <w:rFonts w:ascii="Times New Roman" w:hAnsi="Times New Roman"/>
                <w:b/>
              </w:rPr>
            </w:pPr>
            <w:r w:rsidRPr="00825131">
              <w:rPr>
                <w:rFonts w:ascii="Times New Roman" w:eastAsia="SimSun" w:hAnsi="Times New Roman"/>
                <w:b/>
                <w:lang w:bidi="ar"/>
              </w:rPr>
              <w:t>Observed Pattern</w:t>
            </w:r>
          </w:p>
        </w:tc>
        <w:tc>
          <w:tcPr>
            <w:tcW w:w="0" w:type="auto"/>
            <w:tcBorders>
              <w:top w:val="nil"/>
              <w:left w:val="nil"/>
              <w:bottom w:val="nil"/>
              <w:right w:val="nil"/>
              <w:tl2br w:val="nil"/>
              <w:tr2bl w:val="nil"/>
            </w:tcBorders>
            <w:vAlign w:val="center"/>
          </w:tcPr>
          <w:p w14:paraId="43E830A7" w14:textId="77777777" w:rsidR="00C852A7" w:rsidRPr="00825131" w:rsidRDefault="00B17446">
            <w:pPr>
              <w:jc w:val="both"/>
              <w:rPr>
                <w:rFonts w:ascii="Times New Roman" w:hAnsi="Times New Roman"/>
                <w:b/>
              </w:rPr>
            </w:pPr>
            <w:r w:rsidRPr="00825131">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3D9F4C76" w14:textId="77777777" w:rsidR="00C852A7" w:rsidRPr="00825131" w:rsidRDefault="00B17446">
            <w:pPr>
              <w:jc w:val="both"/>
              <w:rPr>
                <w:rFonts w:ascii="Times New Roman" w:hAnsi="Times New Roman"/>
                <w:b/>
              </w:rPr>
            </w:pPr>
            <w:r w:rsidRPr="00825131">
              <w:rPr>
                <w:rFonts w:ascii="Times New Roman" w:eastAsia="SimSun" w:hAnsi="Times New Roman"/>
                <w:b/>
                <w:lang w:bidi="ar"/>
              </w:rPr>
              <w:t>Local Vote</w:t>
            </w:r>
          </w:p>
        </w:tc>
      </w:tr>
      <w:tr w:rsidR="00C852A7" w:rsidRPr="00825131" w14:paraId="16F4FC9A" w14:textId="77777777">
        <w:trPr>
          <w:tblCellSpacing w:w="15" w:type="dxa"/>
        </w:trPr>
        <w:tc>
          <w:tcPr>
            <w:tcW w:w="0" w:type="auto"/>
            <w:tcBorders>
              <w:top w:val="nil"/>
              <w:left w:val="nil"/>
              <w:bottom w:val="nil"/>
              <w:right w:val="nil"/>
              <w:tl2br w:val="nil"/>
              <w:tr2bl w:val="nil"/>
            </w:tcBorders>
            <w:vAlign w:val="center"/>
          </w:tcPr>
          <w:p w14:paraId="2E7E66DA" w14:textId="77777777" w:rsidR="00C852A7" w:rsidRPr="00825131" w:rsidRDefault="00B17446">
            <w:pPr>
              <w:jc w:val="both"/>
              <w:rPr>
                <w:rFonts w:ascii="Times New Roman" w:hAnsi="Times New Roman"/>
              </w:rPr>
            </w:pPr>
            <w:r w:rsidRPr="00825131">
              <w:rPr>
                <w:rFonts w:ascii="Times New Roman" w:eastAsia="SimSun" w:hAnsi="Times New Roman"/>
                <w:lang w:bidi="ar"/>
              </w:rPr>
              <w:t>Rt / growth</w:t>
            </w:r>
          </w:p>
        </w:tc>
        <w:tc>
          <w:tcPr>
            <w:tcW w:w="0" w:type="auto"/>
            <w:tcBorders>
              <w:top w:val="nil"/>
              <w:left w:val="nil"/>
              <w:bottom w:val="nil"/>
              <w:right w:val="nil"/>
              <w:tl2br w:val="nil"/>
              <w:tr2bl w:val="nil"/>
            </w:tcBorders>
            <w:vAlign w:val="center"/>
          </w:tcPr>
          <w:p w14:paraId="423C7331" w14:textId="77777777" w:rsidR="00C852A7" w:rsidRPr="00825131" w:rsidRDefault="00B17446">
            <w:pPr>
              <w:jc w:val="both"/>
              <w:rPr>
                <w:rFonts w:ascii="Times New Roman" w:hAnsi="Times New Roman"/>
              </w:rPr>
            </w:pPr>
            <w:r w:rsidRPr="00825131">
              <w:rPr>
                <w:rFonts w:ascii="Times New Roman" w:eastAsia="SimSun" w:hAnsi="Times New Roman"/>
                <w:lang w:bidi="ar"/>
              </w:rPr>
              <w:t>Rt = 1.35 (rapid rise)</w:t>
            </w:r>
          </w:p>
        </w:tc>
        <w:tc>
          <w:tcPr>
            <w:tcW w:w="0" w:type="auto"/>
            <w:tcBorders>
              <w:top w:val="nil"/>
              <w:left w:val="nil"/>
              <w:bottom w:val="nil"/>
              <w:right w:val="nil"/>
              <w:tl2br w:val="nil"/>
              <w:tr2bl w:val="nil"/>
            </w:tcBorders>
            <w:vAlign w:val="center"/>
          </w:tcPr>
          <w:p w14:paraId="241BE8E8"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5DC2D868" w14:textId="77777777" w:rsidR="00C852A7" w:rsidRPr="00825131" w:rsidRDefault="00B17446">
            <w:pPr>
              <w:jc w:val="both"/>
              <w:rPr>
                <w:rFonts w:ascii="Times New Roman" w:hAnsi="Times New Roman"/>
              </w:rPr>
            </w:pPr>
            <w:r w:rsidRPr="00825131">
              <w:rPr>
                <w:rFonts w:ascii="Times New Roman" w:eastAsia="SimSun" w:hAnsi="Times New Roman"/>
                <w:lang w:bidi="ar"/>
              </w:rPr>
              <w:t>Lockdown</w:t>
            </w:r>
          </w:p>
        </w:tc>
      </w:tr>
      <w:tr w:rsidR="00C852A7" w:rsidRPr="00825131" w14:paraId="751A5501" w14:textId="77777777">
        <w:trPr>
          <w:tblCellSpacing w:w="15" w:type="dxa"/>
        </w:trPr>
        <w:tc>
          <w:tcPr>
            <w:tcW w:w="0" w:type="auto"/>
            <w:tcBorders>
              <w:top w:val="nil"/>
              <w:left w:val="nil"/>
              <w:bottom w:val="nil"/>
              <w:right w:val="nil"/>
              <w:tl2br w:val="nil"/>
              <w:tr2bl w:val="nil"/>
            </w:tcBorders>
            <w:vAlign w:val="center"/>
          </w:tcPr>
          <w:p w14:paraId="4F8B6C39" w14:textId="77777777" w:rsidR="00C852A7" w:rsidRPr="00825131" w:rsidRDefault="00B17446">
            <w:pPr>
              <w:jc w:val="both"/>
              <w:rPr>
                <w:rFonts w:ascii="Times New Roman" w:hAnsi="Times New Roman"/>
              </w:rPr>
            </w:pPr>
            <w:r w:rsidRPr="00825131">
              <w:rPr>
                <w:rFonts w:ascii="Times New Roman" w:eastAsia="SimSun" w:hAnsi="Times New Roman"/>
                <w:lang w:bidi="ar"/>
              </w:rPr>
              <w:t>Test positivity</w:t>
            </w:r>
          </w:p>
        </w:tc>
        <w:tc>
          <w:tcPr>
            <w:tcW w:w="0" w:type="auto"/>
            <w:tcBorders>
              <w:top w:val="nil"/>
              <w:left w:val="nil"/>
              <w:bottom w:val="nil"/>
              <w:right w:val="nil"/>
              <w:tl2br w:val="nil"/>
              <w:tr2bl w:val="nil"/>
            </w:tcBorders>
            <w:vAlign w:val="center"/>
          </w:tcPr>
          <w:p w14:paraId="32C39D1A" w14:textId="77777777" w:rsidR="00C852A7" w:rsidRPr="00825131" w:rsidRDefault="00B17446">
            <w:pPr>
              <w:jc w:val="both"/>
              <w:rPr>
                <w:rFonts w:ascii="Times New Roman" w:hAnsi="Times New Roman"/>
              </w:rPr>
            </w:pPr>
            <w:r w:rsidRPr="00825131">
              <w:rPr>
                <w:rFonts w:ascii="Times New Roman" w:eastAsia="SimSun" w:hAnsi="Times New Roman"/>
                <w:lang w:bidi="ar"/>
              </w:rPr>
              <w:t>18% (rising)</w:t>
            </w:r>
          </w:p>
        </w:tc>
        <w:tc>
          <w:tcPr>
            <w:tcW w:w="0" w:type="auto"/>
            <w:tcBorders>
              <w:top w:val="nil"/>
              <w:left w:val="nil"/>
              <w:bottom w:val="nil"/>
              <w:right w:val="nil"/>
              <w:tl2br w:val="nil"/>
              <w:tr2bl w:val="nil"/>
            </w:tcBorders>
            <w:vAlign w:val="center"/>
          </w:tcPr>
          <w:p w14:paraId="156EB27C"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52C1EFD3" w14:textId="77777777" w:rsidR="00C852A7" w:rsidRPr="00825131" w:rsidRDefault="00B17446">
            <w:pPr>
              <w:jc w:val="both"/>
              <w:rPr>
                <w:rFonts w:ascii="Times New Roman" w:hAnsi="Times New Roman"/>
              </w:rPr>
            </w:pPr>
            <w:r w:rsidRPr="00825131">
              <w:rPr>
                <w:rFonts w:ascii="Times New Roman" w:eastAsia="SimSun" w:hAnsi="Times New Roman"/>
                <w:lang w:bidi="ar"/>
              </w:rPr>
              <w:t>Lockdown</w:t>
            </w:r>
          </w:p>
        </w:tc>
      </w:tr>
      <w:tr w:rsidR="00C852A7" w:rsidRPr="00825131" w14:paraId="51CFE20C" w14:textId="77777777">
        <w:trPr>
          <w:tblCellSpacing w:w="15" w:type="dxa"/>
        </w:trPr>
        <w:tc>
          <w:tcPr>
            <w:tcW w:w="0" w:type="auto"/>
            <w:tcBorders>
              <w:top w:val="nil"/>
              <w:left w:val="nil"/>
              <w:bottom w:val="nil"/>
              <w:right w:val="nil"/>
              <w:tl2br w:val="nil"/>
              <w:tr2bl w:val="nil"/>
            </w:tcBorders>
            <w:vAlign w:val="center"/>
          </w:tcPr>
          <w:p w14:paraId="0E3C0206" w14:textId="77777777" w:rsidR="00C852A7" w:rsidRPr="00825131" w:rsidRDefault="00B17446">
            <w:pPr>
              <w:jc w:val="both"/>
              <w:rPr>
                <w:rFonts w:ascii="Times New Roman" w:hAnsi="Times New Roman"/>
              </w:rPr>
            </w:pPr>
            <w:r w:rsidRPr="00825131">
              <w:rPr>
                <w:rFonts w:ascii="Times New Roman" w:eastAsia="SimSun" w:hAnsi="Times New Roman"/>
                <w:lang w:bidi="ar"/>
              </w:rPr>
              <w:t>ICU occupancy</w:t>
            </w:r>
          </w:p>
        </w:tc>
        <w:tc>
          <w:tcPr>
            <w:tcW w:w="0" w:type="auto"/>
            <w:tcBorders>
              <w:top w:val="nil"/>
              <w:left w:val="nil"/>
              <w:bottom w:val="nil"/>
              <w:right w:val="nil"/>
              <w:tl2br w:val="nil"/>
              <w:tr2bl w:val="nil"/>
            </w:tcBorders>
            <w:vAlign w:val="center"/>
          </w:tcPr>
          <w:p w14:paraId="2F2660FE" w14:textId="77777777" w:rsidR="00C852A7" w:rsidRPr="00825131" w:rsidRDefault="00B17446">
            <w:pPr>
              <w:jc w:val="both"/>
              <w:rPr>
                <w:rFonts w:ascii="Times New Roman" w:hAnsi="Times New Roman"/>
              </w:rPr>
            </w:pPr>
            <w:r w:rsidRPr="00825131">
              <w:rPr>
                <w:rFonts w:ascii="Times New Roman" w:eastAsia="SimSun" w:hAnsi="Times New Roman"/>
                <w:lang w:bidi="ar"/>
              </w:rPr>
              <w:t>92%</w:t>
            </w:r>
          </w:p>
        </w:tc>
        <w:tc>
          <w:tcPr>
            <w:tcW w:w="0" w:type="auto"/>
            <w:tcBorders>
              <w:top w:val="nil"/>
              <w:left w:val="nil"/>
              <w:bottom w:val="nil"/>
              <w:right w:val="nil"/>
              <w:tl2br w:val="nil"/>
              <w:tr2bl w:val="nil"/>
            </w:tcBorders>
            <w:vAlign w:val="center"/>
          </w:tcPr>
          <w:p w14:paraId="6E63CEAE"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05FCE452" w14:textId="77777777" w:rsidR="00C852A7" w:rsidRPr="00825131" w:rsidRDefault="00B17446">
            <w:pPr>
              <w:jc w:val="both"/>
              <w:rPr>
                <w:rFonts w:ascii="Times New Roman" w:hAnsi="Times New Roman"/>
              </w:rPr>
            </w:pPr>
            <w:r w:rsidRPr="00825131">
              <w:rPr>
                <w:rFonts w:ascii="Times New Roman" w:eastAsia="SimSun" w:hAnsi="Times New Roman"/>
                <w:lang w:bidi="ar"/>
              </w:rPr>
              <w:t>Lockdown</w:t>
            </w:r>
          </w:p>
        </w:tc>
      </w:tr>
      <w:tr w:rsidR="00C852A7" w:rsidRPr="00825131" w14:paraId="12212C01" w14:textId="77777777">
        <w:trPr>
          <w:tblCellSpacing w:w="15" w:type="dxa"/>
        </w:trPr>
        <w:tc>
          <w:tcPr>
            <w:tcW w:w="0" w:type="auto"/>
            <w:tcBorders>
              <w:top w:val="nil"/>
              <w:left w:val="nil"/>
              <w:bottom w:val="nil"/>
              <w:right w:val="nil"/>
              <w:tl2br w:val="nil"/>
              <w:tr2bl w:val="nil"/>
            </w:tcBorders>
            <w:vAlign w:val="center"/>
          </w:tcPr>
          <w:p w14:paraId="2F1FD268" w14:textId="77777777" w:rsidR="00C852A7" w:rsidRPr="00825131" w:rsidRDefault="00B17446">
            <w:pPr>
              <w:jc w:val="both"/>
              <w:rPr>
                <w:rFonts w:ascii="Times New Roman" w:hAnsi="Times New Roman"/>
              </w:rPr>
            </w:pPr>
            <w:r w:rsidRPr="00825131">
              <w:rPr>
                <w:rFonts w:ascii="Times New Roman" w:eastAsia="SimSun" w:hAnsi="Times New Roman"/>
                <w:lang w:bidi="ar"/>
              </w:rPr>
              <w:t>Severe outcomes</w:t>
            </w:r>
          </w:p>
        </w:tc>
        <w:tc>
          <w:tcPr>
            <w:tcW w:w="0" w:type="auto"/>
            <w:tcBorders>
              <w:top w:val="nil"/>
              <w:left w:val="nil"/>
              <w:bottom w:val="nil"/>
              <w:right w:val="nil"/>
              <w:tl2br w:val="nil"/>
              <w:tr2bl w:val="nil"/>
            </w:tcBorders>
            <w:vAlign w:val="center"/>
          </w:tcPr>
          <w:p w14:paraId="72D7B6C5" w14:textId="77777777" w:rsidR="00C852A7" w:rsidRPr="00825131" w:rsidRDefault="00B17446">
            <w:pPr>
              <w:jc w:val="both"/>
              <w:rPr>
                <w:rFonts w:ascii="Times New Roman" w:hAnsi="Times New Roman"/>
              </w:rPr>
            </w:pPr>
            <w:r w:rsidRPr="00825131">
              <w:rPr>
                <w:rFonts w:ascii="Times New Roman" w:eastAsia="SimSun" w:hAnsi="Times New Roman"/>
                <w:lang w:bidi="ar"/>
              </w:rPr>
              <w:t>Increasing admissions</w:t>
            </w:r>
          </w:p>
        </w:tc>
        <w:tc>
          <w:tcPr>
            <w:tcW w:w="0" w:type="auto"/>
            <w:tcBorders>
              <w:top w:val="nil"/>
              <w:left w:val="nil"/>
              <w:bottom w:val="nil"/>
              <w:right w:val="nil"/>
              <w:tl2br w:val="nil"/>
              <w:tr2bl w:val="nil"/>
            </w:tcBorders>
            <w:vAlign w:val="center"/>
          </w:tcPr>
          <w:p w14:paraId="588B9F59"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7F6CF5DD" w14:textId="77777777" w:rsidR="00C852A7" w:rsidRPr="00825131" w:rsidRDefault="00B17446">
            <w:pPr>
              <w:jc w:val="both"/>
              <w:rPr>
                <w:rFonts w:ascii="Times New Roman" w:hAnsi="Times New Roman"/>
              </w:rPr>
            </w:pPr>
            <w:r w:rsidRPr="00825131">
              <w:rPr>
                <w:rFonts w:ascii="Times New Roman" w:eastAsia="SimSun" w:hAnsi="Times New Roman"/>
                <w:lang w:bidi="ar"/>
              </w:rPr>
              <w:t>Lockdown</w:t>
            </w:r>
          </w:p>
        </w:tc>
      </w:tr>
      <w:tr w:rsidR="00C852A7" w:rsidRPr="00825131" w14:paraId="65133BD7" w14:textId="77777777">
        <w:trPr>
          <w:tblCellSpacing w:w="15" w:type="dxa"/>
        </w:trPr>
        <w:tc>
          <w:tcPr>
            <w:tcW w:w="0" w:type="auto"/>
            <w:tcBorders>
              <w:top w:val="nil"/>
              <w:left w:val="nil"/>
              <w:bottom w:val="nil"/>
              <w:right w:val="nil"/>
              <w:tl2br w:val="nil"/>
              <w:tr2bl w:val="nil"/>
            </w:tcBorders>
            <w:vAlign w:val="center"/>
          </w:tcPr>
          <w:p w14:paraId="1DA1DAA3" w14:textId="77777777" w:rsidR="00C852A7" w:rsidRPr="00825131" w:rsidRDefault="00B17446">
            <w:pPr>
              <w:jc w:val="both"/>
              <w:rPr>
                <w:rFonts w:ascii="Times New Roman" w:hAnsi="Times New Roman"/>
              </w:rPr>
            </w:pPr>
            <w:r w:rsidRPr="00825131">
              <w:rPr>
                <w:rFonts w:ascii="Times New Roman" w:eastAsia="SimSun" w:hAnsi="Times New Roman"/>
                <w:lang w:bidi="ar"/>
              </w:rPr>
              <w:t>Wastewater</w:t>
            </w:r>
          </w:p>
        </w:tc>
        <w:tc>
          <w:tcPr>
            <w:tcW w:w="0" w:type="auto"/>
            <w:tcBorders>
              <w:top w:val="nil"/>
              <w:left w:val="nil"/>
              <w:bottom w:val="nil"/>
              <w:right w:val="nil"/>
              <w:tl2br w:val="nil"/>
              <w:tr2bl w:val="nil"/>
            </w:tcBorders>
            <w:vAlign w:val="center"/>
          </w:tcPr>
          <w:p w14:paraId="654D6280" w14:textId="77777777" w:rsidR="00C852A7" w:rsidRPr="00825131" w:rsidRDefault="00B17446">
            <w:pPr>
              <w:jc w:val="both"/>
              <w:rPr>
                <w:rFonts w:ascii="Times New Roman" w:hAnsi="Times New Roman"/>
              </w:rPr>
            </w:pPr>
            <w:r w:rsidRPr="00825131">
              <w:rPr>
                <w:rFonts w:ascii="Times New Roman" w:eastAsia="SimSun" w:hAnsi="Times New Roman"/>
                <w:lang w:bidi="ar"/>
              </w:rPr>
              <w:t>Mixed / uncertain</w:t>
            </w:r>
          </w:p>
        </w:tc>
        <w:tc>
          <w:tcPr>
            <w:tcW w:w="0" w:type="auto"/>
            <w:tcBorders>
              <w:top w:val="nil"/>
              <w:left w:val="nil"/>
              <w:bottom w:val="nil"/>
              <w:right w:val="nil"/>
              <w:tl2br w:val="nil"/>
              <w:tr2bl w:val="nil"/>
            </w:tcBorders>
            <w:vAlign w:val="center"/>
          </w:tcPr>
          <w:p w14:paraId="64C8A6AF"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00AF6DC8" w14:textId="77777777" w:rsidR="00C852A7" w:rsidRPr="00825131" w:rsidRDefault="00B17446">
            <w:pPr>
              <w:jc w:val="both"/>
              <w:rPr>
                <w:rFonts w:ascii="Times New Roman" w:hAnsi="Times New Roman"/>
              </w:rPr>
            </w:pPr>
            <w:proofErr w:type="spellStart"/>
            <w:r w:rsidRPr="00825131">
              <w:rPr>
                <w:rFonts w:ascii="Times New Roman" w:eastAsia="SimSun" w:hAnsi="Times New Roman"/>
                <w:lang w:bidi="ar"/>
              </w:rPr>
              <w:t>NoLockdown</w:t>
            </w:r>
            <w:proofErr w:type="spellEnd"/>
          </w:p>
        </w:tc>
      </w:tr>
    </w:tbl>
    <w:p w14:paraId="2DEB8B10"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Credibility-Weighted Fusion</w:t>
      </w:r>
    </w:p>
    <w:p w14:paraId="4042AF97" w14:textId="77777777" w:rsidR="00C852A7" w:rsidRPr="00825131" w:rsidRDefault="00B17446">
      <w:pPr>
        <w:pStyle w:val="NormalWeb"/>
        <w:jc w:val="both"/>
        <w:rPr>
          <w:bCs/>
        </w:rPr>
      </w:pPr>
      <w:r w:rsidRPr="00825131">
        <w:rPr>
          <w:rStyle w:val="Strong"/>
          <w:b w:val="0"/>
          <w:bCs/>
        </w:rPr>
        <w:t>Lockdown weights:</w:t>
      </w:r>
      <w:r w:rsidRPr="00825131">
        <w:rPr>
          <w:bCs/>
        </w:rPr>
        <w:br/>
        <w:t xml:space="preserve">1.0 + 0.6 + 1.0 + 0.6 = </w:t>
      </w:r>
      <w:r w:rsidRPr="00825131">
        <w:rPr>
          <w:rStyle w:val="Strong"/>
          <w:b w:val="0"/>
          <w:bCs/>
        </w:rPr>
        <w:t>3.2</w:t>
      </w:r>
    </w:p>
    <w:p w14:paraId="59571855" w14:textId="77777777" w:rsidR="00C852A7" w:rsidRPr="00825131" w:rsidRDefault="00B17446">
      <w:pPr>
        <w:pStyle w:val="NormalWeb"/>
        <w:jc w:val="both"/>
        <w:rPr>
          <w:bCs/>
        </w:rPr>
      </w:pPr>
      <w:r w:rsidRPr="00825131">
        <w:rPr>
          <w:rStyle w:val="Strong"/>
          <w:b w:val="0"/>
          <w:bCs/>
        </w:rPr>
        <w:t>No Lockdown weights:</w:t>
      </w:r>
      <w:r w:rsidRPr="00825131">
        <w:rPr>
          <w:bCs/>
        </w:rPr>
        <w:br/>
        <w:t>0.3</w:t>
      </w:r>
    </w:p>
    <w:p w14:paraId="7D4D64F8" w14:textId="77777777" w:rsidR="00C852A7" w:rsidRPr="00825131" w:rsidRDefault="00B17446">
      <w:pPr>
        <w:pStyle w:val="NormalWeb"/>
        <w:jc w:val="both"/>
      </w:pPr>
      <w:r w:rsidRPr="00825131">
        <w:t>Therefore:</w:t>
      </w:r>
    </w:p>
    <w:p w14:paraId="1D27741C" w14:textId="77777777" w:rsidR="00C852A7" w:rsidRPr="00825131" w:rsidRDefault="00B17446">
      <w:pPr>
        <w:pStyle w:val="NormalWeb"/>
        <w:jc w:val="both"/>
        <w:rPr>
          <w:bCs/>
        </w:rPr>
      </w:pPr>
      <w:proofErr w:type="spellStart"/>
      <w:r w:rsidRPr="00825131">
        <w:rPr>
          <w:rStyle w:val="Strong"/>
          <w:b w:val="0"/>
          <w:bCs/>
        </w:rPr>
        <w:t>S_lockdown</w:t>
      </w:r>
      <w:proofErr w:type="spellEnd"/>
      <w:r w:rsidRPr="00825131">
        <w:rPr>
          <w:rStyle w:val="Strong"/>
          <w:b w:val="0"/>
          <w:bCs/>
        </w:rPr>
        <w:t xml:space="preserve"> = 3.2</w:t>
      </w:r>
    </w:p>
    <w:p w14:paraId="0D9E0CF3" w14:textId="77777777" w:rsidR="00C852A7" w:rsidRPr="00825131" w:rsidRDefault="00B17446">
      <w:pPr>
        <w:pStyle w:val="NormalWeb"/>
        <w:jc w:val="both"/>
        <w:rPr>
          <w:bCs/>
        </w:rPr>
      </w:pPr>
      <w:proofErr w:type="spellStart"/>
      <w:r w:rsidRPr="00825131">
        <w:rPr>
          <w:rStyle w:val="Strong"/>
          <w:b w:val="0"/>
          <w:bCs/>
        </w:rPr>
        <w:t>S_nolockdown</w:t>
      </w:r>
      <w:proofErr w:type="spellEnd"/>
      <w:r w:rsidRPr="00825131">
        <w:rPr>
          <w:rStyle w:val="Strong"/>
          <w:b w:val="0"/>
          <w:bCs/>
        </w:rPr>
        <w:t xml:space="preserve"> = 0.3</w:t>
      </w:r>
    </w:p>
    <w:p w14:paraId="0363714A" w14:textId="77777777" w:rsidR="00C852A7" w:rsidRPr="00825131" w:rsidRDefault="00B17446">
      <w:pPr>
        <w:pStyle w:val="NormalWeb"/>
        <w:jc w:val="both"/>
        <w:rPr>
          <w:bCs/>
        </w:rPr>
      </w:pPr>
      <w:proofErr w:type="spellStart"/>
      <w:r w:rsidRPr="00825131">
        <w:rPr>
          <w:rStyle w:val="Strong"/>
          <w:b w:val="0"/>
          <w:bCs/>
        </w:rPr>
        <w:lastRenderedPageBreak/>
        <w:t>W_total</w:t>
      </w:r>
      <w:proofErr w:type="spellEnd"/>
      <w:r w:rsidRPr="00825131">
        <w:rPr>
          <w:rStyle w:val="Strong"/>
          <w:b w:val="0"/>
          <w:bCs/>
        </w:rPr>
        <w:t xml:space="preserve"> = 3.2 + 0.3 = 3.5</w:t>
      </w:r>
    </w:p>
    <w:p w14:paraId="18FDE167" w14:textId="77777777" w:rsidR="00C852A7" w:rsidRPr="00825131" w:rsidRDefault="00B17446">
      <w:pPr>
        <w:pStyle w:val="NormalWeb"/>
        <w:jc w:val="both"/>
        <w:rPr>
          <w:bCs/>
        </w:rPr>
      </w:pPr>
      <w:r w:rsidRPr="00825131">
        <w:rPr>
          <w:rStyle w:val="Strong"/>
          <w:b w:val="0"/>
          <w:bCs/>
        </w:rPr>
        <w:t>Winning and Losing Scores</w:t>
      </w:r>
    </w:p>
    <w:p w14:paraId="5EBCE4C3" w14:textId="77777777" w:rsidR="00C852A7" w:rsidRPr="00825131" w:rsidRDefault="00B17446">
      <w:pPr>
        <w:pStyle w:val="NormalWeb"/>
        <w:jc w:val="both"/>
        <w:rPr>
          <w:bCs/>
        </w:rPr>
      </w:pPr>
      <w:proofErr w:type="spellStart"/>
      <w:r w:rsidRPr="00825131">
        <w:rPr>
          <w:rStyle w:val="Strong"/>
          <w:b w:val="0"/>
          <w:bCs/>
        </w:rPr>
        <w:t>S_win</w:t>
      </w:r>
      <w:proofErr w:type="spellEnd"/>
      <w:r w:rsidRPr="00825131">
        <w:rPr>
          <w:rStyle w:val="Strong"/>
          <w:b w:val="0"/>
          <w:bCs/>
        </w:rPr>
        <w:t xml:space="preserve"> = 3.2 (Lockdown)</w:t>
      </w:r>
    </w:p>
    <w:p w14:paraId="0FA0FD76" w14:textId="77777777" w:rsidR="00C852A7" w:rsidRPr="00825131" w:rsidRDefault="00B17446">
      <w:pPr>
        <w:pStyle w:val="NormalWeb"/>
        <w:jc w:val="both"/>
        <w:rPr>
          <w:bCs/>
        </w:rPr>
      </w:pPr>
      <w:proofErr w:type="spellStart"/>
      <w:r w:rsidRPr="00825131">
        <w:rPr>
          <w:rStyle w:val="Strong"/>
          <w:b w:val="0"/>
          <w:bCs/>
        </w:rPr>
        <w:t>S_lose</w:t>
      </w:r>
      <w:proofErr w:type="spellEnd"/>
      <w:r w:rsidRPr="00825131">
        <w:rPr>
          <w:rStyle w:val="Strong"/>
          <w:b w:val="0"/>
          <w:bCs/>
        </w:rPr>
        <w:t xml:space="preserve"> = 0.3 (</w:t>
      </w:r>
      <w:proofErr w:type="spellStart"/>
      <w:r w:rsidRPr="00825131">
        <w:rPr>
          <w:rStyle w:val="Strong"/>
          <w:b w:val="0"/>
          <w:bCs/>
        </w:rPr>
        <w:t>NoLockdown</w:t>
      </w:r>
      <w:proofErr w:type="spellEnd"/>
      <w:r w:rsidRPr="00825131">
        <w:rPr>
          <w:rStyle w:val="Strong"/>
          <w:b w:val="0"/>
          <w:bCs/>
        </w:rPr>
        <w:t>)</w:t>
      </w:r>
    </w:p>
    <w:p w14:paraId="2E284B92" w14:textId="77777777" w:rsidR="00C852A7" w:rsidRPr="00825131" w:rsidRDefault="00B17446">
      <w:pPr>
        <w:jc w:val="both"/>
        <w:rPr>
          <w:rFonts w:ascii="Times New Roman" w:hAnsi="Times New Roman"/>
        </w:rPr>
      </w:pPr>
      <w:r w:rsidRPr="00825131">
        <w:rPr>
          <w:rStyle w:val="Strong"/>
          <w:rFonts w:ascii="Times New Roman" w:hAnsi="Times New Roman"/>
          <w:b w:val="0"/>
          <w:bCs/>
        </w:rPr>
        <w:t>Decision Epistemic Strength</w:t>
      </w:r>
    </w:p>
    <w:p w14:paraId="5AE7E040" w14:textId="77777777" w:rsidR="00C852A7" w:rsidRPr="00825131" w:rsidRDefault="00B17446">
      <w:pPr>
        <w:pStyle w:val="NormalWeb"/>
        <w:jc w:val="both"/>
      </w:pPr>
      <w:r w:rsidRPr="00825131">
        <w:t>DES = (</w:t>
      </w:r>
      <w:proofErr w:type="spellStart"/>
      <w:r w:rsidRPr="00825131">
        <w:t>Swin</w:t>
      </w:r>
      <w:proofErr w:type="spellEnd"/>
      <w:r w:rsidRPr="00825131">
        <w:t xml:space="preserve"> − </w:t>
      </w:r>
      <w:proofErr w:type="spellStart"/>
      <w:r w:rsidRPr="00825131">
        <w:t>Slose</w:t>
      </w:r>
      <w:proofErr w:type="spellEnd"/>
      <w:r w:rsidRPr="00825131">
        <w:t xml:space="preserve">) / </w:t>
      </w:r>
      <w:proofErr w:type="spellStart"/>
      <w:r w:rsidRPr="00825131">
        <w:t>Wtotal</w:t>
      </w:r>
      <w:proofErr w:type="spellEnd"/>
      <w:r w:rsidRPr="00825131">
        <w:br/>
        <w:t>DES = (3.2 − 0.3) / 3.5</w:t>
      </w:r>
      <w:r w:rsidRPr="00825131">
        <w:br/>
        <w:t>DES = 2.9 / 3.5</w:t>
      </w:r>
      <w:r w:rsidRPr="00825131">
        <w:br/>
        <w:t xml:space="preserve">DES = </w:t>
      </w:r>
      <w:r w:rsidRPr="00825131">
        <w:rPr>
          <w:rStyle w:val="Strong"/>
        </w:rPr>
        <w:t>0.83</w:t>
      </w:r>
    </w:p>
    <w:p w14:paraId="0C92EAA5" w14:textId="77777777" w:rsidR="00C852A7" w:rsidRPr="00825131" w:rsidRDefault="00B17446">
      <w:pPr>
        <w:jc w:val="both"/>
        <w:rPr>
          <w:rFonts w:ascii="Times New Roman" w:hAnsi="Times New Roman"/>
        </w:rPr>
      </w:pPr>
      <w:r w:rsidRPr="00825131">
        <w:rPr>
          <w:rStyle w:val="Strong"/>
          <w:rFonts w:ascii="Times New Roman" w:hAnsi="Times New Roman"/>
        </w:rPr>
        <w:t>Interpretation</w:t>
      </w:r>
    </w:p>
    <w:p w14:paraId="7B4064ED" w14:textId="77777777" w:rsidR="00C852A7" w:rsidRPr="00825131" w:rsidRDefault="00B17446">
      <w:pPr>
        <w:pStyle w:val="NormalWeb"/>
        <w:jc w:val="both"/>
        <w:rPr>
          <w:bCs/>
        </w:rPr>
      </w:pPr>
      <w:r w:rsidRPr="00825131">
        <w:rPr>
          <w:rStyle w:val="Strong"/>
          <w:b w:val="0"/>
          <w:bCs/>
        </w:rPr>
        <w:t>DES = 0.83 → Decisive governance state.</w:t>
      </w:r>
      <w:r w:rsidRPr="00825131">
        <w:rPr>
          <w:bCs/>
        </w:rPr>
        <w:br/>
        <w:t>High-credibility evidence consistently supports lockdown or strong restrictive measures. Weak opposing signals do not materially challenge epistemic legitimacy.</w:t>
      </w:r>
    </w:p>
    <w:p w14:paraId="706CBFA5" w14:textId="77777777" w:rsidR="00C852A7" w:rsidRPr="00825131" w:rsidRDefault="00B17446">
      <w:pPr>
        <w:pStyle w:val="Heading2"/>
        <w:jc w:val="both"/>
        <w:rPr>
          <w:rFonts w:ascii="Times New Roman" w:hAnsi="Times New Roman" w:hint="default"/>
          <w:sz w:val="24"/>
          <w:szCs w:val="24"/>
        </w:rPr>
      </w:pPr>
      <w:r w:rsidRPr="00825131">
        <w:rPr>
          <w:rFonts w:ascii="Times New Roman" w:hAnsi="Times New Roman" w:hint="default"/>
          <w:sz w:val="24"/>
          <w:szCs w:val="24"/>
        </w:rPr>
        <w:t>5.Real Public Data Example</w:t>
      </w:r>
    </w:p>
    <w:p w14:paraId="17011E58" w14:textId="77777777" w:rsidR="00C852A7" w:rsidRPr="00825131" w:rsidRDefault="00B17446">
      <w:pPr>
        <w:pStyle w:val="Heading1"/>
        <w:jc w:val="both"/>
        <w:rPr>
          <w:rFonts w:ascii="Times New Roman" w:hAnsi="Times New Roman" w:hint="default"/>
          <w:bCs/>
          <w:sz w:val="24"/>
          <w:szCs w:val="24"/>
        </w:rPr>
      </w:pPr>
      <w:r w:rsidRPr="00825131">
        <w:rPr>
          <w:rStyle w:val="Strong"/>
          <w:rFonts w:ascii="Times New Roman" w:hAnsi="Times New Roman" w:hint="eastAsia"/>
          <w:b/>
          <w:bCs/>
        </w:rPr>
        <w:t>5.1. Real Data Example (Clinical Monitoring): Early Sepsis Escalation Governance Using DES</w:t>
      </w:r>
    </w:p>
    <w:p w14:paraId="20F5E41F" w14:textId="77777777"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b/>
          <w:bCs/>
        </w:rPr>
        <w:t>Dataset</w:t>
      </w:r>
    </w:p>
    <w:p w14:paraId="143D3E0D" w14:textId="77777777" w:rsidR="00C852A7" w:rsidRPr="00825131" w:rsidRDefault="00B17446">
      <w:pPr>
        <w:pStyle w:val="NormalWeb"/>
        <w:jc w:val="both"/>
      </w:pPr>
      <w:r w:rsidRPr="00825131">
        <w:t xml:space="preserve">This demonstration is based on the publicly available PhysioNet MIMIC-III and MIMIC-IV Critical Care Databases, which </w:t>
      </w:r>
      <w:proofErr w:type="gramStart"/>
      <w:r w:rsidRPr="00825131">
        <w:t>is  a</w:t>
      </w:r>
      <w:proofErr w:type="gramEnd"/>
      <w:r w:rsidRPr="00825131">
        <w:t xml:space="preserve"> freely accessible critical care database of ICU patients with detailed physiological and clinical data. used for early sepsis </w:t>
      </w:r>
      <w:proofErr w:type="gramStart"/>
      <w:r w:rsidRPr="00825131">
        <w:t>prediction  (</w:t>
      </w:r>
      <w:proofErr w:type="gramEnd"/>
      <w:r w:rsidRPr="00825131">
        <w:t xml:space="preserve">Johnson </w:t>
      </w:r>
      <w:r w:rsidRPr="00825131">
        <w:rPr>
          <w:rStyle w:val="Emphasis"/>
        </w:rPr>
        <w:t>et al</w:t>
      </w:r>
      <w:r w:rsidRPr="00825131">
        <w:t xml:space="preserve">., 2016).  </w:t>
      </w:r>
    </w:p>
    <w:p w14:paraId="0C822276"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Decision Objective</w:t>
      </w:r>
    </w:p>
    <w:p w14:paraId="7770C302" w14:textId="77777777" w:rsidR="00C852A7" w:rsidRPr="00825131" w:rsidRDefault="00B17446">
      <w:pPr>
        <w:pStyle w:val="NormalWeb"/>
        <w:jc w:val="both"/>
      </w:pPr>
      <w:r w:rsidRPr="00825131">
        <w:t xml:space="preserve">The operational goal is to decide whether a patient requires </w:t>
      </w:r>
      <w:r w:rsidRPr="00825131">
        <w:rPr>
          <w:rStyle w:val="Strong"/>
          <w:b w:val="0"/>
        </w:rPr>
        <w:t>immediate sepsis escalation</w:t>
      </w:r>
      <w:r w:rsidRPr="00825131">
        <w:t xml:space="preserve"> or continued routine monitoring.</w:t>
      </w:r>
    </w:p>
    <w:p w14:paraId="3BF62222" w14:textId="77777777" w:rsidR="00C852A7" w:rsidRPr="00825131" w:rsidRDefault="00B17446">
      <w:pPr>
        <w:jc w:val="both"/>
        <w:rPr>
          <w:rFonts w:ascii="Times New Roman" w:hAnsi="Times New Roman"/>
        </w:rPr>
      </w:pPr>
      <w:r w:rsidRPr="00825131">
        <w:rPr>
          <w:rFonts w:ascii="Times New Roman" w:eastAsia="SimSun" w:hAnsi="Times New Roman"/>
          <w:lang w:bidi="ar"/>
        </w:rPr>
        <w:t>D</w:t>
      </w:r>
      <w:r w:rsidRPr="00825131">
        <w:rPr>
          <w:rStyle w:val="HTMLCode"/>
          <w:rFonts w:ascii="Times New Roman" w:hAnsi="Times New Roman" w:cs="Times New Roman"/>
          <w:sz w:val="24"/>
          <w:szCs w:val="24"/>
          <w:lang w:bidi="ar"/>
        </w:rPr>
        <w:t xml:space="preserve"> = {Escalate Care, Continue Monitoring}</w:t>
      </w:r>
    </w:p>
    <w:p w14:paraId="6C88364F" w14:textId="77777777" w:rsidR="00C852A7" w:rsidRPr="00825131" w:rsidRDefault="00B17446">
      <w:pPr>
        <w:pStyle w:val="NormalWeb"/>
        <w:jc w:val="both"/>
      </w:pPr>
      <w:r w:rsidRPr="00825131">
        <w:t>This reflects real hospital governance: unnecessary escalation causes alarm fatigue and resource waste, while delayed escalation risks harm.</w:t>
      </w:r>
    </w:p>
    <w:p w14:paraId="40986B3C"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Evidence Signals (Real ICU Indicators)</w:t>
      </w:r>
    </w:p>
    <w:p w14:paraId="3256C46D" w14:textId="77777777" w:rsidR="00C852A7" w:rsidRPr="00825131" w:rsidRDefault="00B17446">
      <w:pPr>
        <w:pStyle w:val="Heading2"/>
        <w:jc w:val="both"/>
        <w:rPr>
          <w:rStyle w:val="Strong"/>
          <w:rFonts w:ascii="Times New Roman" w:hAnsi="Times New Roman" w:hint="eastAsia"/>
          <w:bCs/>
        </w:rPr>
      </w:pPr>
      <w:r w:rsidRPr="00825131">
        <w:rPr>
          <w:rFonts w:ascii="Times New Roman" w:hAnsi="Times New Roman" w:hint="default"/>
          <w:b w:val="0"/>
          <w:bCs/>
          <w:sz w:val="24"/>
          <w:szCs w:val="24"/>
        </w:rPr>
        <w:t xml:space="preserve">Four routinely documented physiological indicators are analyzed: heart rate (HR) measured via bedside monitoring as an indicator of hemodynamic stress; respiratory rate (RR) obtained from bedside monitoring reflecting respiratory instability; serum lactate concentration derived from laboratory testing as a marker of tissue </w:t>
      </w:r>
      <w:r w:rsidRPr="00825131">
        <w:rPr>
          <w:rFonts w:ascii="Times New Roman" w:hAnsi="Times New Roman" w:hint="default"/>
          <w:b w:val="0"/>
          <w:bCs/>
          <w:sz w:val="24"/>
          <w:szCs w:val="24"/>
        </w:rPr>
        <w:lastRenderedPageBreak/>
        <w:t>hypoperfusion; and white blood cell count (WBC) obtained from laboratory measurements indicating inflammatory or infectious response.</w:t>
      </w:r>
    </w:p>
    <w:p w14:paraId="45BA4517" w14:textId="348C9E60" w:rsidR="00C852A7" w:rsidRPr="00825131" w:rsidRDefault="0082106E">
      <w:pPr>
        <w:pStyle w:val="Heading3"/>
        <w:jc w:val="both"/>
        <w:rPr>
          <w:rStyle w:val="Strong"/>
          <w:rFonts w:ascii="Times New Roman" w:hAnsi="Times New Roman" w:hint="eastAsia"/>
          <w:b/>
          <w:bCs/>
        </w:rPr>
      </w:pPr>
      <w:r w:rsidRPr="00825131">
        <w:rPr>
          <w:rStyle w:val="Strong"/>
          <w:rFonts w:ascii="Times New Roman" w:hAnsi="Times New Roman" w:hint="eastAsia"/>
          <w:b/>
          <w:bCs/>
        </w:rPr>
        <w:t xml:space="preserve">Table 3- Epistemic Zones and Credibility Weights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4246"/>
        <w:gridCol w:w="2002"/>
      </w:tblGrid>
      <w:tr w:rsidR="00C852A7" w:rsidRPr="00825131" w14:paraId="350CD4B1" w14:textId="77777777">
        <w:trPr>
          <w:tblHeader/>
          <w:tblCellSpacing w:w="15" w:type="dxa"/>
        </w:trPr>
        <w:tc>
          <w:tcPr>
            <w:tcW w:w="0" w:type="auto"/>
            <w:vAlign w:val="center"/>
          </w:tcPr>
          <w:p w14:paraId="15F965BD" w14:textId="77777777" w:rsidR="00C852A7" w:rsidRPr="00825131" w:rsidRDefault="00B17446">
            <w:pPr>
              <w:jc w:val="both"/>
              <w:rPr>
                <w:rFonts w:ascii="Times New Roman" w:hAnsi="Times New Roman"/>
                <w:b/>
                <w:bCs/>
              </w:rPr>
            </w:pPr>
            <w:r w:rsidRPr="00825131">
              <w:rPr>
                <w:rFonts w:ascii="Times New Roman" w:eastAsia="SimSun" w:hAnsi="Times New Roman"/>
                <w:b/>
                <w:bCs/>
                <w:lang w:bidi="ar"/>
              </w:rPr>
              <w:t>Epistemic Zone</w:t>
            </w:r>
          </w:p>
        </w:tc>
        <w:tc>
          <w:tcPr>
            <w:tcW w:w="0" w:type="auto"/>
            <w:vAlign w:val="center"/>
          </w:tcPr>
          <w:p w14:paraId="1BC0CA18" w14:textId="77777777" w:rsidR="00C852A7" w:rsidRPr="00825131" w:rsidRDefault="00B17446">
            <w:pPr>
              <w:jc w:val="both"/>
              <w:rPr>
                <w:rFonts w:ascii="Times New Roman" w:hAnsi="Times New Roman"/>
                <w:b/>
                <w:bCs/>
              </w:rPr>
            </w:pPr>
            <w:r w:rsidRPr="00825131">
              <w:rPr>
                <w:rFonts w:ascii="Times New Roman" w:eastAsia="SimSun" w:hAnsi="Times New Roman"/>
                <w:b/>
                <w:bCs/>
                <w:lang w:bidi="ar"/>
              </w:rPr>
              <w:t>Interpretation</w:t>
            </w:r>
          </w:p>
        </w:tc>
        <w:tc>
          <w:tcPr>
            <w:tcW w:w="0" w:type="auto"/>
            <w:vAlign w:val="center"/>
          </w:tcPr>
          <w:p w14:paraId="4E15CAAB" w14:textId="77777777" w:rsidR="00C852A7" w:rsidRPr="00825131" w:rsidRDefault="00B17446">
            <w:pPr>
              <w:jc w:val="both"/>
              <w:rPr>
                <w:rFonts w:ascii="Times New Roman" w:hAnsi="Times New Roman"/>
                <w:b/>
                <w:bCs/>
              </w:rPr>
            </w:pPr>
            <w:r w:rsidRPr="00825131">
              <w:rPr>
                <w:rFonts w:ascii="Times New Roman" w:eastAsia="SimSun" w:hAnsi="Times New Roman"/>
                <w:b/>
                <w:bCs/>
                <w:lang w:bidi="ar"/>
              </w:rPr>
              <w:t>Credibility Weight</w:t>
            </w:r>
          </w:p>
        </w:tc>
      </w:tr>
      <w:tr w:rsidR="00C852A7" w:rsidRPr="00825131" w14:paraId="232241BE" w14:textId="77777777">
        <w:trPr>
          <w:tblCellSpacing w:w="15" w:type="dxa"/>
        </w:trPr>
        <w:tc>
          <w:tcPr>
            <w:tcW w:w="0" w:type="auto"/>
            <w:vAlign w:val="center"/>
          </w:tcPr>
          <w:p w14:paraId="48486A95"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vAlign w:val="center"/>
          </w:tcPr>
          <w:p w14:paraId="1D2DBFA1" w14:textId="77777777" w:rsidR="00C852A7" w:rsidRPr="00825131" w:rsidRDefault="00B17446">
            <w:pPr>
              <w:jc w:val="both"/>
              <w:rPr>
                <w:rFonts w:ascii="Times New Roman" w:hAnsi="Times New Roman"/>
              </w:rPr>
            </w:pPr>
            <w:r w:rsidRPr="00825131">
              <w:rPr>
                <w:rFonts w:ascii="Times New Roman" w:eastAsia="SimSun" w:hAnsi="Times New Roman"/>
                <w:lang w:bidi="ar"/>
              </w:rPr>
              <w:t>Clear abnormality with stable measurement</w:t>
            </w:r>
          </w:p>
        </w:tc>
        <w:tc>
          <w:tcPr>
            <w:tcW w:w="0" w:type="auto"/>
            <w:vAlign w:val="center"/>
          </w:tcPr>
          <w:p w14:paraId="7F1D53BC"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32A9F7F8" w14:textId="77777777">
        <w:trPr>
          <w:tblCellSpacing w:w="15" w:type="dxa"/>
        </w:trPr>
        <w:tc>
          <w:tcPr>
            <w:tcW w:w="0" w:type="auto"/>
            <w:vAlign w:val="center"/>
          </w:tcPr>
          <w:p w14:paraId="7440E5F8"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vAlign w:val="center"/>
          </w:tcPr>
          <w:p w14:paraId="78C35406" w14:textId="77777777" w:rsidR="00C852A7" w:rsidRPr="00825131" w:rsidRDefault="00B17446">
            <w:pPr>
              <w:jc w:val="both"/>
              <w:rPr>
                <w:rFonts w:ascii="Times New Roman" w:hAnsi="Times New Roman"/>
              </w:rPr>
            </w:pPr>
            <w:r w:rsidRPr="00825131">
              <w:rPr>
                <w:rFonts w:ascii="Times New Roman" w:eastAsia="SimSun" w:hAnsi="Times New Roman"/>
                <w:lang w:bidi="ar"/>
              </w:rPr>
              <w:t>Borderline or equivocal abnormality</w:t>
            </w:r>
          </w:p>
        </w:tc>
        <w:tc>
          <w:tcPr>
            <w:tcW w:w="0" w:type="auto"/>
            <w:vAlign w:val="center"/>
          </w:tcPr>
          <w:p w14:paraId="787B70F9" w14:textId="77777777" w:rsidR="00C852A7" w:rsidRPr="00825131" w:rsidRDefault="00B17446">
            <w:pPr>
              <w:jc w:val="both"/>
              <w:rPr>
                <w:rFonts w:ascii="Times New Roman" w:hAnsi="Times New Roman"/>
              </w:rPr>
            </w:pPr>
            <w:r w:rsidRPr="00825131">
              <w:rPr>
                <w:rFonts w:ascii="Times New Roman" w:eastAsia="SimSun" w:hAnsi="Times New Roman"/>
                <w:lang w:bidi="ar"/>
              </w:rPr>
              <w:t>0.6</w:t>
            </w:r>
          </w:p>
        </w:tc>
      </w:tr>
      <w:tr w:rsidR="00C852A7" w:rsidRPr="00825131" w14:paraId="276D9126" w14:textId="77777777">
        <w:trPr>
          <w:tblCellSpacing w:w="15" w:type="dxa"/>
        </w:trPr>
        <w:tc>
          <w:tcPr>
            <w:tcW w:w="0" w:type="auto"/>
            <w:vAlign w:val="center"/>
          </w:tcPr>
          <w:p w14:paraId="3D9AB425"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vAlign w:val="center"/>
          </w:tcPr>
          <w:p w14:paraId="72FDBB1E" w14:textId="77777777" w:rsidR="00C852A7" w:rsidRPr="00825131" w:rsidRDefault="00B17446">
            <w:pPr>
              <w:jc w:val="both"/>
              <w:rPr>
                <w:rFonts w:ascii="Times New Roman" w:hAnsi="Times New Roman"/>
              </w:rPr>
            </w:pPr>
            <w:r w:rsidRPr="00825131">
              <w:rPr>
                <w:rFonts w:ascii="Times New Roman" w:eastAsia="SimSun" w:hAnsi="Times New Roman"/>
                <w:lang w:bidi="ar"/>
              </w:rPr>
              <w:t>Noisy or transient signal</w:t>
            </w:r>
          </w:p>
        </w:tc>
        <w:tc>
          <w:tcPr>
            <w:tcW w:w="0" w:type="auto"/>
            <w:vAlign w:val="center"/>
          </w:tcPr>
          <w:p w14:paraId="0B005946"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r w:rsidR="00C852A7" w:rsidRPr="00825131" w14:paraId="34DD2A74" w14:textId="77777777">
        <w:trPr>
          <w:tblCellSpacing w:w="15" w:type="dxa"/>
        </w:trPr>
        <w:tc>
          <w:tcPr>
            <w:tcW w:w="0" w:type="auto"/>
            <w:vAlign w:val="center"/>
          </w:tcPr>
          <w:p w14:paraId="3166138E" w14:textId="77777777" w:rsidR="00C852A7" w:rsidRPr="00825131" w:rsidRDefault="00B17446">
            <w:pPr>
              <w:jc w:val="both"/>
              <w:rPr>
                <w:rFonts w:ascii="Times New Roman" w:hAnsi="Times New Roman"/>
              </w:rPr>
            </w:pPr>
            <w:r w:rsidRPr="00825131">
              <w:rPr>
                <w:rFonts w:ascii="Times New Roman" w:eastAsia="SimSun" w:hAnsi="Times New Roman"/>
                <w:lang w:bidi="ar"/>
              </w:rPr>
              <w:t>Abstain</w:t>
            </w:r>
          </w:p>
        </w:tc>
        <w:tc>
          <w:tcPr>
            <w:tcW w:w="0" w:type="auto"/>
            <w:vAlign w:val="center"/>
          </w:tcPr>
          <w:p w14:paraId="340903A1" w14:textId="77777777" w:rsidR="00C852A7" w:rsidRPr="00825131" w:rsidRDefault="00B17446">
            <w:pPr>
              <w:jc w:val="both"/>
              <w:rPr>
                <w:rFonts w:ascii="Times New Roman" w:hAnsi="Times New Roman"/>
              </w:rPr>
            </w:pPr>
            <w:r w:rsidRPr="00825131">
              <w:rPr>
                <w:rFonts w:ascii="Times New Roman" w:eastAsia="SimSun" w:hAnsi="Times New Roman"/>
                <w:lang w:bidi="ar"/>
              </w:rPr>
              <w:t>Missing or corrupted data</w:t>
            </w:r>
          </w:p>
        </w:tc>
        <w:tc>
          <w:tcPr>
            <w:tcW w:w="0" w:type="auto"/>
            <w:vAlign w:val="center"/>
          </w:tcPr>
          <w:p w14:paraId="58DD178C" w14:textId="77777777" w:rsidR="00C852A7" w:rsidRPr="00825131" w:rsidRDefault="00B17446">
            <w:pPr>
              <w:jc w:val="both"/>
              <w:rPr>
                <w:rFonts w:ascii="Times New Roman" w:hAnsi="Times New Roman"/>
              </w:rPr>
            </w:pPr>
            <w:r w:rsidRPr="00825131">
              <w:rPr>
                <w:rFonts w:ascii="Times New Roman" w:eastAsia="SimSun" w:hAnsi="Times New Roman"/>
                <w:lang w:bidi="ar"/>
              </w:rPr>
              <w:t>0.0</w:t>
            </w:r>
          </w:p>
        </w:tc>
      </w:tr>
    </w:tbl>
    <w:p w14:paraId="23B280C1" w14:textId="77777777" w:rsidR="00C852A7" w:rsidRPr="00825131" w:rsidRDefault="00B17446">
      <w:pPr>
        <w:pStyle w:val="NormalWeb"/>
        <w:jc w:val="both"/>
      </w:pPr>
      <w:r w:rsidRPr="00825131">
        <w:t>These weights encode epistemic reliability rather than signal magnitude and govern downstream evidence fusion and dominance evaluation.</w:t>
      </w:r>
    </w:p>
    <w:p w14:paraId="12023313" w14:textId="16F7D3DD" w:rsidR="00C852A7" w:rsidRPr="00825131" w:rsidRDefault="0082106E">
      <w:pPr>
        <w:pStyle w:val="Heading2"/>
        <w:jc w:val="both"/>
        <w:rPr>
          <w:rFonts w:ascii="Times New Roman" w:hAnsi="Times New Roman" w:hint="default"/>
          <w:bCs/>
          <w:sz w:val="24"/>
          <w:szCs w:val="24"/>
        </w:rPr>
      </w:pPr>
      <w:r w:rsidRPr="00825131">
        <w:rPr>
          <w:rStyle w:val="Strong"/>
          <w:rFonts w:ascii="Times New Roman" w:hAnsi="Times New Roman" w:hint="eastAsia"/>
          <w:b/>
          <w:bCs/>
        </w:rPr>
        <w:t xml:space="preserve">Table 4- Zone Assignment Rules (Illustrative)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1124"/>
        <w:gridCol w:w="994"/>
        <w:gridCol w:w="809"/>
      </w:tblGrid>
      <w:tr w:rsidR="00C852A7" w:rsidRPr="00825131" w14:paraId="5E4A755D" w14:textId="77777777">
        <w:trPr>
          <w:tblHeader/>
          <w:tblCellSpacing w:w="15" w:type="dxa"/>
        </w:trPr>
        <w:tc>
          <w:tcPr>
            <w:tcW w:w="0" w:type="auto"/>
            <w:tcBorders>
              <w:top w:val="nil"/>
              <w:left w:val="nil"/>
              <w:bottom w:val="nil"/>
              <w:right w:val="nil"/>
              <w:tl2br w:val="nil"/>
              <w:tr2bl w:val="nil"/>
            </w:tcBorders>
            <w:vAlign w:val="center"/>
          </w:tcPr>
          <w:p w14:paraId="796E13E6" w14:textId="77777777" w:rsidR="00C852A7" w:rsidRPr="00825131" w:rsidRDefault="00B17446">
            <w:pPr>
              <w:jc w:val="both"/>
              <w:rPr>
                <w:rFonts w:ascii="Times New Roman" w:hAnsi="Times New Roman"/>
                <w:b/>
              </w:rPr>
            </w:pPr>
            <w:r w:rsidRPr="00825131">
              <w:rPr>
                <w:rFonts w:ascii="Times New Roman" w:eastAsia="SimSun" w:hAnsi="Times New Roman"/>
                <w:b/>
                <w:lang w:bidi="ar"/>
              </w:rPr>
              <w:t>Indicator</w:t>
            </w:r>
          </w:p>
        </w:tc>
        <w:tc>
          <w:tcPr>
            <w:tcW w:w="0" w:type="auto"/>
            <w:tcBorders>
              <w:top w:val="nil"/>
              <w:left w:val="nil"/>
              <w:bottom w:val="nil"/>
              <w:right w:val="nil"/>
              <w:tl2br w:val="nil"/>
              <w:tr2bl w:val="nil"/>
            </w:tcBorders>
            <w:vAlign w:val="center"/>
          </w:tcPr>
          <w:p w14:paraId="0EFE6102" w14:textId="77777777" w:rsidR="00C852A7" w:rsidRPr="00825131" w:rsidRDefault="00B17446">
            <w:pPr>
              <w:jc w:val="both"/>
              <w:rPr>
                <w:rFonts w:ascii="Times New Roman" w:hAnsi="Times New Roman"/>
                <w:b/>
              </w:rPr>
            </w:pPr>
            <w:r w:rsidRPr="00825131">
              <w:rPr>
                <w:rFonts w:ascii="Times New Roman" w:eastAsia="SimSun" w:hAnsi="Times New Roman"/>
                <w:b/>
                <w:lang w:bidi="ar"/>
              </w:rPr>
              <w:t>Trusted</w:t>
            </w:r>
          </w:p>
        </w:tc>
        <w:tc>
          <w:tcPr>
            <w:tcW w:w="0" w:type="auto"/>
            <w:tcBorders>
              <w:top w:val="nil"/>
              <w:left w:val="nil"/>
              <w:bottom w:val="nil"/>
              <w:right w:val="nil"/>
              <w:tl2br w:val="nil"/>
              <w:tr2bl w:val="nil"/>
            </w:tcBorders>
            <w:vAlign w:val="center"/>
          </w:tcPr>
          <w:p w14:paraId="4FDC4658" w14:textId="77777777" w:rsidR="00C852A7" w:rsidRPr="00825131" w:rsidRDefault="00B17446">
            <w:pPr>
              <w:jc w:val="both"/>
              <w:rPr>
                <w:rFonts w:ascii="Times New Roman" w:hAnsi="Times New Roman"/>
                <w:b/>
              </w:rPr>
            </w:pPr>
            <w:r w:rsidRPr="00825131">
              <w:rPr>
                <w:rFonts w:ascii="Times New Roman" w:eastAsia="SimSun" w:hAnsi="Times New Roman"/>
                <w:b/>
                <w:lang w:bidi="ar"/>
              </w:rPr>
              <w:t>Plausible</w:t>
            </w:r>
          </w:p>
        </w:tc>
        <w:tc>
          <w:tcPr>
            <w:tcW w:w="0" w:type="auto"/>
            <w:tcBorders>
              <w:top w:val="nil"/>
              <w:left w:val="nil"/>
              <w:bottom w:val="nil"/>
              <w:right w:val="nil"/>
              <w:tl2br w:val="nil"/>
              <w:tr2bl w:val="nil"/>
            </w:tcBorders>
            <w:vAlign w:val="center"/>
          </w:tcPr>
          <w:p w14:paraId="508375C9" w14:textId="77777777" w:rsidR="00C852A7" w:rsidRPr="00825131" w:rsidRDefault="00B17446">
            <w:pPr>
              <w:jc w:val="both"/>
              <w:rPr>
                <w:rFonts w:ascii="Times New Roman" w:hAnsi="Times New Roman"/>
                <w:b/>
              </w:rPr>
            </w:pPr>
            <w:r w:rsidRPr="00825131">
              <w:rPr>
                <w:rFonts w:ascii="Times New Roman" w:eastAsia="SimSun" w:hAnsi="Times New Roman"/>
                <w:b/>
                <w:lang w:bidi="ar"/>
              </w:rPr>
              <w:t>Weak</w:t>
            </w:r>
          </w:p>
        </w:tc>
      </w:tr>
      <w:tr w:rsidR="00C852A7" w:rsidRPr="00825131" w14:paraId="115CA74B" w14:textId="77777777">
        <w:trPr>
          <w:tblCellSpacing w:w="15" w:type="dxa"/>
        </w:trPr>
        <w:tc>
          <w:tcPr>
            <w:tcW w:w="0" w:type="auto"/>
            <w:tcBorders>
              <w:top w:val="nil"/>
              <w:left w:val="nil"/>
              <w:bottom w:val="nil"/>
              <w:right w:val="nil"/>
              <w:tl2br w:val="nil"/>
              <w:tr2bl w:val="nil"/>
            </w:tcBorders>
            <w:vAlign w:val="center"/>
          </w:tcPr>
          <w:p w14:paraId="6985465A" w14:textId="77777777" w:rsidR="00C852A7" w:rsidRPr="00825131" w:rsidRDefault="00B17446">
            <w:pPr>
              <w:jc w:val="both"/>
              <w:rPr>
                <w:rFonts w:ascii="Times New Roman" w:hAnsi="Times New Roman"/>
              </w:rPr>
            </w:pPr>
            <w:r w:rsidRPr="00825131">
              <w:rPr>
                <w:rFonts w:ascii="Times New Roman" w:eastAsia="SimSun" w:hAnsi="Times New Roman"/>
                <w:lang w:bidi="ar"/>
              </w:rPr>
              <w:t>HR (bpm)</w:t>
            </w:r>
          </w:p>
        </w:tc>
        <w:tc>
          <w:tcPr>
            <w:tcW w:w="0" w:type="auto"/>
            <w:tcBorders>
              <w:top w:val="nil"/>
              <w:left w:val="nil"/>
              <w:bottom w:val="nil"/>
              <w:right w:val="nil"/>
              <w:tl2br w:val="nil"/>
              <w:tr2bl w:val="nil"/>
            </w:tcBorders>
            <w:vAlign w:val="center"/>
          </w:tcPr>
          <w:p w14:paraId="38E8D52B" w14:textId="77777777" w:rsidR="00C852A7" w:rsidRPr="00825131" w:rsidRDefault="00B17446">
            <w:pPr>
              <w:jc w:val="both"/>
              <w:rPr>
                <w:rFonts w:ascii="Times New Roman" w:hAnsi="Times New Roman"/>
              </w:rPr>
            </w:pPr>
            <w:r w:rsidRPr="00825131">
              <w:rPr>
                <w:rFonts w:ascii="Times New Roman" w:eastAsia="SimSun" w:hAnsi="Times New Roman"/>
                <w:lang w:bidi="ar"/>
              </w:rPr>
              <w:t>≥ 120</w:t>
            </w:r>
          </w:p>
        </w:tc>
        <w:tc>
          <w:tcPr>
            <w:tcW w:w="0" w:type="auto"/>
            <w:tcBorders>
              <w:top w:val="nil"/>
              <w:left w:val="nil"/>
              <w:bottom w:val="nil"/>
              <w:right w:val="nil"/>
              <w:tl2br w:val="nil"/>
              <w:tr2bl w:val="nil"/>
            </w:tcBorders>
            <w:vAlign w:val="center"/>
          </w:tcPr>
          <w:p w14:paraId="5746B0BB" w14:textId="77777777" w:rsidR="00C852A7" w:rsidRPr="00825131" w:rsidRDefault="00B17446">
            <w:pPr>
              <w:jc w:val="both"/>
              <w:rPr>
                <w:rFonts w:ascii="Times New Roman" w:hAnsi="Times New Roman"/>
              </w:rPr>
            </w:pPr>
            <w:r w:rsidRPr="00825131">
              <w:rPr>
                <w:rFonts w:ascii="Times New Roman" w:eastAsia="SimSun" w:hAnsi="Times New Roman"/>
                <w:lang w:bidi="ar"/>
              </w:rPr>
              <w:t>100–119</w:t>
            </w:r>
          </w:p>
        </w:tc>
        <w:tc>
          <w:tcPr>
            <w:tcW w:w="0" w:type="auto"/>
            <w:tcBorders>
              <w:top w:val="nil"/>
              <w:left w:val="nil"/>
              <w:bottom w:val="nil"/>
              <w:right w:val="nil"/>
              <w:tl2br w:val="nil"/>
              <w:tr2bl w:val="nil"/>
            </w:tcBorders>
            <w:vAlign w:val="center"/>
          </w:tcPr>
          <w:p w14:paraId="4DF6D52B" w14:textId="77777777" w:rsidR="00C852A7" w:rsidRPr="00825131" w:rsidRDefault="00B17446">
            <w:pPr>
              <w:jc w:val="both"/>
              <w:rPr>
                <w:rFonts w:ascii="Times New Roman" w:hAnsi="Times New Roman"/>
              </w:rPr>
            </w:pPr>
            <w:r w:rsidRPr="00825131">
              <w:rPr>
                <w:rFonts w:ascii="Times New Roman" w:eastAsia="SimSun" w:hAnsi="Times New Roman"/>
                <w:lang w:bidi="ar"/>
              </w:rPr>
              <w:t>&lt; 100</w:t>
            </w:r>
          </w:p>
        </w:tc>
      </w:tr>
      <w:tr w:rsidR="00C852A7" w:rsidRPr="00825131" w14:paraId="29723DB4" w14:textId="77777777">
        <w:trPr>
          <w:tblCellSpacing w:w="15" w:type="dxa"/>
        </w:trPr>
        <w:tc>
          <w:tcPr>
            <w:tcW w:w="0" w:type="auto"/>
            <w:tcBorders>
              <w:top w:val="nil"/>
              <w:left w:val="nil"/>
              <w:bottom w:val="nil"/>
              <w:right w:val="nil"/>
              <w:tl2br w:val="nil"/>
              <w:tr2bl w:val="nil"/>
            </w:tcBorders>
            <w:vAlign w:val="center"/>
          </w:tcPr>
          <w:p w14:paraId="2A8AA577" w14:textId="77777777" w:rsidR="00C852A7" w:rsidRPr="00825131" w:rsidRDefault="00B17446">
            <w:pPr>
              <w:jc w:val="both"/>
              <w:rPr>
                <w:rFonts w:ascii="Times New Roman" w:hAnsi="Times New Roman"/>
              </w:rPr>
            </w:pPr>
            <w:r w:rsidRPr="00825131">
              <w:rPr>
                <w:rFonts w:ascii="Times New Roman" w:eastAsia="SimSun" w:hAnsi="Times New Roman"/>
                <w:lang w:bidi="ar"/>
              </w:rPr>
              <w:t>RR (breaths/min)</w:t>
            </w:r>
          </w:p>
        </w:tc>
        <w:tc>
          <w:tcPr>
            <w:tcW w:w="0" w:type="auto"/>
            <w:tcBorders>
              <w:top w:val="nil"/>
              <w:left w:val="nil"/>
              <w:bottom w:val="nil"/>
              <w:right w:val="nil"/>
              <w:tl2br w:val="nil"/>
              <w:tr2bl w:val="nil"/>
            </w:tcBorders>
            <w:vAlign w:val="center"/>
          </w:tcPr>
          <w:p w14:paraId="23FA8912" w14:textId="77777777" w:rsidR="00C852A7" w:rsidRPr="00825131" w:rsidRDefault="00B17446">
            <w:pPr>
              <w:jc w:val="both"/>
              <w:rPr>
                <w:rFonts w:ascii="Times New Roman" w:hAnsi="Times New Roman"/>
              </w:rPr>
            </w:pPr>
            <w:r w:rsidRPr="00825131">
              <w:rPr>
                <w:rFonts w:ascii="Times New Roman" w:eastAsia="SimSun" w:hAnsi="Times New Roman"/>
                <w:lang w:bidi="ar"/>
              </w:rPr>
              <w:t>≥ 28</w:t>
            </w:r>
          </w:p>
        </w:tc>
        <w:tc>
          <w:tcPr>
            <w:tcW w:w="0" w:type="auto"/>
            <w:tcBorders>
              <w:top w:val="nil"/>
              <w:left w:val="nil"/>
              <w:bottom w:val="nil"/>
              <w:right w:val="nil"/>
              <w:tl2br w:val="nil"/>
              <w:tr2bl w:val="nil"/>
            </w:tcBorders>
            <w:vAlign w:val="center"/>
          </w:tcPr>
          <w:p w14:paraId="5D692BEA" w14:textId="77777777" w:rsidR="00C852A7" w:rsidRPr="00825131" w:rsidRDefault="00B17446">
            <w:pPr>
              <w:jc w:val="both"/>
              <w:rPr>
                <w:rFonts w:ascii="Times New Roman" w:hAnsi="Times New Roman"/>
              </w:rPr>
            </w:pPr>
            <w:r w:rsidRPr="00825131">
              <w:rPr>
                <w:rFonts w:ascii="Times New Roman" w:eastAsia="SimSun" w:hAnsi="Times New Roman"/>
                <w:lang w:bidi="ar"/>
              </w:rPr>
              <w:t>22–27</w:t>
            </w:r>
          </w:p>
        </w:tc>
        <w:tc>
          <w:tcPr>
            <w:tcW w:w="0" w:type="auto"/>
            <w:tcBorders>
              <w:top w:val="nil"/>
              <w:left w:val="nil"/>
              <w:bottom w:val="nil"/>
              <w:right w:val="nil"/>
              <w:tl2br w:val="nil"/>
              <w:tr2bl w:val="nil"/>
            </w:tcBorders>
            <w:vAlign w:val="center"/>
          </w:tcPr>
          <w:p w14:paraId="26C68893" w14:textId="77777777" w:rsidR="00C852A7" w:rsidRPr="00825131" w:rsidRDefault="00B17446">
            <w:pPr>
              <w:jc w:val="both"/>
              <w:rPr>
                <w:rFonts w:ascii="Times New Roman" w:hAnsi="Times New Roman"/>
              </w:rPr>
            </w:pPr>
            <w:r w:rsidRPr="00825131">
              <w:rPr>
                <w:rFonts w:ascii="Times New Roman" w:eastAsia="SimSun" w:hAnsi="Times New Roman"/>
                <w:lang w:bidi="ar"/>
              </w:rPr>
              <w:t>&lt; 22</w:t>
            </w:r>
          </w:p>
        </w:tc>
      </w:tr>
      <w:tr w:rsidR="00C852A7" w:rsidRPr="00825131" w14:paraId="22930BD0" w14:textId="77777777">
        <w:trPr>
          <w:tblCellSpacing w:w="15" w:type="dxa"/>
        </w:trPr>
        <w:tc>
          <w:tcPr>
            <w:tcW w:w="0" w:type="auto"/>
            <w:tcBorders>
              <w:top w:val="nil"/>
              <w:left w:val="nil"/>
              <w:bottom w:val="nil"/>
              <w:right w:val="nil"/>
              <w:tl2br w:val="nil"/>
              <w:tr2bl w:val="nil"/>
            </w:tcBorders>
            <w:vAlign w:val="center"/>
          </w:tcPr>
          <w:p w14:paraId="1EB5F51D" w14:textId="77777777" w:rsidR="00C852A7" w:rsidRPr="00825131" w:rsidRDefault="00B17446">
            <w:pPr>
              <w:jc w:val="both"/>
              <w:rPr>
                <w:rFonts w:ascii="Times New Roman" w:hAnsi="Times New Roman"/>
              </w:rPr>
            </w:pPr>
            <w:r w:rsidRPr="00825131">
              <w:rPr>
                <w:rFonts w:ascii="Times New Roman" w:eastAsia="SimSun" w:hAnsi="Times New Roman"/>
                <w:lang w:bidi="ar"/>
              </w:rPr>
              <w:t>Lactate (mmol/L)</w:t>
            </w:r>
          </w:p>
        </w:tc>
        <w:tc>
          <w:tcPr>
            <w:tcW w:w="0" w:type="auto"/>
            <w:tcBorders>
              <w:top w:val="nil"/>
              <w:left w:val="nil"/>
              <w:bottom w:val="nil"/>
              <w:right w:val="nil"/>
              <w:tl2br w:val="nil"/>
              <w:tr2bl w:val="nil"/>
            </w:tcBorders>
            <w:vAlign w:val="center"/>
          </w:tcPr>
          <w:p w14:paraId="45892164" w14:textId="77777777" w:rsidR="00C852A7" w:rsidRPr="00825131" w:rsidRDefault="00B17446">
            <w:pPr>
              <w:jc w:val="both"/>
              <w:rPr>
                <w:rFonts w:ascii="Times New Roman" w:hAnsi="Times New Roman"/>
              </w:rPr>
            </w:pPr>
            <w:r w:rsidRPr="00825131">
              <w:rPr>
                <w:rFonts w:ascii="Times New Roman" w:eastAsia="SimSun" w:hAnsi="Times New Roman"/>
                <w:lang w:bidi="ar"/>
              </w:rPr>
              <w:t>≥ 4.0</w:t>
            </w:r>
          </w:p>
        </w:tc>
        <w:tc>
          <w:tcPr>
            <w:tcW w:w="0" w:type="auto"/>
            <w:tcBorders>
              <w:top w:val="nil"/>
              <w:left w:val="nil"/>
              <w:bottom w:val="nil"/>
              <w:right w:val="nil"/>
              <w:tl2br w:val="nil"/>
              <w:tr2bl w:val="nil"/>
            </w:tcBorders>
            <w:vAlign w:val="center"/>
          </w:tcPr>
          <w:p w14:paraId="38D2DA96" w14:textId="77777777" w:rsidR="00C852A7" w:rsidRPr="00825131" w:rsidRDefault="00B17446">
            <w:pPr>
              <w:jc w:val="both"/>
              <w:rPr>
                <w:rFonts w:ascii="Times New Roman" w:hAnsi="Times New Roman"/>
              </w:rPr>
            </w:pPr>
            <w:r w:rsidRPr="00825131">
              <w:rPr>
                <w:rFonts w:ascii="Times New Roman" w:eastAsia="SimSun" w:hAnsi="Times New Roman"/>
                <w:lang w:bidi="ar"/>
              </w:rPr>
              <w:t>2.0–3.9</w:t>
            </w:r>
          </w:p>
        </w:tc>
        <w:tc>
          <w:tcPr>
            <w:tcW w:w="0" w:type="auto"/>
            <w:tcBorders>
              <w:top w:val="nil"/>
              <w:left w:val="nil"/>
              <w:bottom w:val="nil"/>
              <w:right w:val="nil"/>
              <w:tl2br w:val="nil"/>
              <w:tr2bl w:val="nil"/>
            </w:tcBorders>
            <w:vAlign w:val="center"/>
          </w:tcPr>
          <w:p w14:paraId="0C187D7E" w14:textId="77777777" w:rsidR="00C852A7" w:rsidRPr="00825131" w:rsidRDefault="00B17446">
            <w:pPr>
              <w:jc w:val="both"/>
              <w:rPr>
                <w:rFonts w:ascii="Times New Roman" w:hAnsi="Times New Roman"/>
              </w:rPr>
            </w:pPr>
            <w:r w:rsidRPr="00825131">
              <w:rPr>
                <w:rFonts w:ascii="Times New Roman" w:eastAsia="SimSun" w:hAnsi="Times New Roman"/>
                <w:lang w:bidi="ar"/>
              </w:rPr>
              <w:t>&lt; 2.0</w:t>
            </w:r>
          </w:p>
        </w:tc>
      </w:tr>
      <w:tr w:rsidR="00C852A7" w:rsidRPr="00825131" w14:paraId="6E827819" w14:textId="77777777">
        <w:trPr>
          <w:tblCellSpacing w:w="15" w:type="dxa"/>
        </w:trPr>
        <w:tc>
          <w:tcPr>
            <w:tcW w:w="0" w:type="auto"/>
            <w:tcBorders>
              <w:top w:val="nil"/>
              <w:left w:val="nil"/>
              <w:bottom w:val="nil"/>
              <w:right w:val="nil"/>
              <w:tl2br w:val="nil"/>
              <w:tr2bl w:val="nil"/>
            </w:tcBorders>
            <w:vAlign w:val="center"/>
          </w:tcPr>
          <w:p w14:paraId="7E38F783" w14:textId="77777777" w:rsidR="00C852A7" w:rsidRPr="00825131" w:rsidRDefault="00B17446">
            <w:pPr>
              <w:jc w:val="both"/>
              <w:rPr>
                <w:rFonts w:ascii="Times New Roman" w:hAnsi="Times New Roman"/>
              </w:rPr>
            </w:pPr>
            <w:r w:rsidRPr="00825131">
              <w:rPr>
                <w:rFonts w:ascii="Times New Roman" w:eastAsia="SimSun" w:hAnsi="Times New Roman"/>
                <w:lang w:bidi="ar"/>
              </w:rPr>
              <w:t>WBC (×10⁹/L)</w:t>
            </w:r>
          </w:p>
        </w:tc>
        <w:tc>
          <w:tcPr>
            <w:tcW w:w="0" w:type="auto"/>
            <w:tcBorders>
              <w:top w:val="nil"/>
              <w:left w:val="nil"/>
              <w:bottom w:val="nil"/>
              <w:right w:val="nil"/>
              <w:tl2br w:val="nil"/>
              <w:tr2bl w:val="nil"/>
            </w:tcBorders>
            <w:vAlign w:val="center"/>
          </w:tcPr>
          <w:p w14:paraId="6A7C4B55" w14:textId="77777777" w:rsidR="00C852A7" w:rsidRPr="00825131" w:rsidRDefault="00B17446">
            <w:pPr>
              <w:jc w:val="both"/>
              <w:rPr>
                <w:rFonts w:ascii="Times New Roman" w:hAnsi="Times New Roman"/>
              </w:rPr>
            </w:pPr>
            <w:r w:rsidRPr="00825131">
              <w:rPr>
                <w:rFonts w:ascii="Times New Roman" w:eastAsia="SimSun" w:hAnsi="Times New Roman"/>
                <w:lang w:bidi="ar"/>
              </w:rPr>
              <w:t>≥ 15 or ≤ 3</w:t>
            </w:r>
          </w:p>
        </w:tc>
        <w:tc>
          <w:tcPr>
            <w:tcW w:w="0" w:type="auto"/>
            <w:tcBorders>
              <w:top w:val="nil"/>
              <w:left w:val="nil"/>
              <w:bottom w:val="nil"/>
              <w:right w:val="nil"/>
              <w:tl2br w:val="nil"/>
              <w:tr2bl w:val="nil"/>
            </w:tcBorders>
            <w:vAlign w:val="center"/>
          </w:tcPr>
          <w:p w14:paraId="3D62E7B4" w14:textId="77777777" w:rsidR="00C852A7" w:rsidRPr="00825131" w:rsidRDefault="00B17446">
            <w:pPr>
              <w:jc w:val="both"/>
              <w:rPr>
                <w:rFonts w:ascii="Times New Roman" w:hAnsi="Times New Roman"/>
              </w:rPr>
            </w:pPr>
            <w:r w:rsidRPr="00825131">
              <w:rPr>
                <w:rFonts w:ascii="Times New Roman" w:eastAsia="SimSun" w:hAnsi="Times New Roman"/>
                <w:lang w:bidi="ar"/>
              </w:rPr>
              <w:t>12–14.9</w:t>
            </w:r>
          </w:p>
        </w:tc>
        <w:tc>
          <w:tcPr>
            <w:tcW w:w="0" w:type="auto"/>
            <w:tcBorders>
              <w:top w:val="nil"/>
              <w:left w:val="nil"/>
              <w:bottom w:val="nil"/>
              <w:right w:val="nil"/>
              <w:tl2br w:val="nil"/>
              <w:tr2bl w:val="nil"/>
            </w:tcBorders>
            <w:vAlign w:val="center"/>
          </w:tcPr>
          <w:p w14:paraId="165FA67B" w14:textId="77777777" w:rsidR="00C852A7" w:rsidRPr="00825131" w:rsidRDefault="00B17446">
            <w:pPr>
              <w:jc w:val="both"/>
              <w:rPr>
                <w:rFonts w:ascii="Times New Roman" w:hAnsi="Times New Roman"/>
              </w:rPr>
            </w:pPr>
            <w:r w:rsidRPr="00825131">
              <w:rPr>
                <w:rFonts w:ascii="Times New Roman" w:eastAsia="SimSun" w:hAnsi="Times New Roman"/>
                <w:lang w:bidi="ar"/>
              </w:rPr>
              <w:t>Normal</w:t>
            </w:r>
          </w:p>
        </w:tc>
      </w:tr>
    </w:tbl>
    <w:p w14:paraId="1E4658DC" w14:textId="77777777" w:rsidR="00C852A7" w:rsidRPr="00825131" w:rsidRDefault="00B17446">
      <w:pPr>
        <w:pStyle w:val="NormalWeb"/>
        <w:jc w:val="both"/>
        <w:rPr>
          <w:bCs/>
        </w:rPr>
      </w:pPr>
      <w:r w:rsidRPr="00825131">
        <w:rPr>
          <w:rStyle w:val="Strong"/>
          <w:b w:val="0"/>
          <w:bCs/>
        </w:rPr>
        <w:t>Table 4 illustrates representative threshold rules used to assign each physiological indicator into Trusted, Plausible, or Weak epistemic zones based on commonly applied clinical risk stratification ranges. These rules operationalize how continuous measurements are discretized into credibility strata for downstream credibility weighting and decision fusion within the DES framework.</w:t>
      </w:r>
    </w:p>
    <w:p w14:paraId="0BCBBA7B" w14:textId="77777777" w:rsidR="00C852A7" w:rsidRPr="00825131" w:rsidRDefault="00B17446">
      <w:pPr>
        <w:pStyle w:val="Heading2"/>
        <w:jc w:val="both"/>
        <w:rPr>
          <w:rFonts w:ascii="Times New Roman" w:hAnsi="Times New Roman" w:hint="default"/>
          <w:b w:val="0"/>
          <w:bCs/>
          <w:sz w:val="24"/>
          <w:szCs w:val="24"/>
        </w:rPr>
      </w:pPr>
      <w:r w:rsidRPr="00825131">
        <w:rPr>
          <w:rFonts w:ascii="Times New Roman" w:hAnsi="Times New Roman" w:hint="default"/>
          <w:b w:val="0"/>
          <w:bCs/>
          <w:sz w:val="24"/>
          <w:szCs w:val="24"/>
        </w:rPr>
        <w:t>Thresholds are illustrative and reflect commonly used clinical risk stratification ranges rather than diagnostic criteria, as the objective is to demonstrate epistemic zoning behavior rather than establish validated clinical decision rules.</w:t>
      </w:r>
    </w:p>
    <w:p w14:paraId="21BDA9E5" w14:textId="77777777" w:rsidR="00C852A7" w:rsidRPr="00825131" w:rsidRDefault="00B17446">
      <w:pPr>
        <w:pStyle w:val="Heading3"/>
        <w:jc w:val="both"/>
        <w:rPr>
          <w:rStyle w:val="Strong"/>
          <w:rFonts w:ascii="Times New Roman" w:hAnsi="Times New Roman" w:hint="eastAsia"/>
          <w:b/>
          <w:bCs/>
        </w:rPr>
      </w:pPr>
      <w:r w:rsidRPr="00825131">
        <w:rPr>
          <w:rStyle w:val="Strong"/>
          <w:rFonts w:ascii="Times New Roman" w:hAnsi="Times New Roman" w:hint="eastAsia"/>
          <w:b/>
          <w:bCs/>
        </w:rPr>
        <w:t xml:space="preserve">Single-Patient Realistic Illustrative Example (Synthetic) </w:t>
      </w:r>
    </w:p>
    <w:p w14:paraId="042B8C4A" w14:textId="77777777" w:rsidR="00C852A7" w:rsidRPr="00825131" w:rsidRDefault="00B17446">
      <w:pPr>
        <w:pStyle w:val="NormalWeb"/>
        <w:ind w:right="720"/>
        <w:jc w:val="both"/>
        <w:rPr>
          <w:bCs/>
        </w:rPr>
      </w:pPr>
      <w:r w:rsidRPr="00825131">
        <w:rPr>
          <w:rStyle w:val="Strong"/>
          <w:b w:val="0"/>
          <w:bCs/>
        </w:rPr>
        <w:t>Table 5 demonstrates how individual physiological signals for a single patient are mapped into epistemic zones, translated into local decision recommendations, and assigned credibility weights prior to credibility-weighted fusion and DES computation.</w:t>
      </w:r>
    </w:p>
    <w:p w14:paraId="15B19B0C"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 xml:space="preserve">Table 5: Single-Patient Realistic Illustrative Example (Synthetic)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1707"/>
        <w:gridCol w:w="940"/>
        <w:gridCol w:w="1174"/>
        <w:gridCol w:w="822"/>
      </w:tblGrid>
      <w:tr w:rsidR="00C852A7" w:rsidRPr="00825131" w14:paraId="45E5AFE8" w14:textId="77777777">
        <w:trPr>
          <w:tblHeader/>
          <w:tblCellSpacing w:w="15" w:type="dxa"/>
        </w:trPr>
        <w:tc>
          <w:tcPr>
            <w:tcW w:w="0" w:type="auto"/>
            <w:tcBorders>
              <w:top w:val="nil"/>
              <w:left w:val="nil"/>
              <w:bottom w:val="nil"/>
              <w:right w:val="nil"/>
              <w:tl2br w:val="nil"/>
              <w:tr2bl w:val="nil"/>
            </w:tcBorders>
            <w:vAlign w:val="center"/>
          </w:tcPr>
          <w:p w14:paraId="5995DC9F" w14:textId="77777777" w:rsidR="00C852A7" w:rsidRPr="00825131" w:rsidRDefault="00B17446">
            <w:pPr>
              <w:jc w:val="both"/>
              <w:rPr>
                <w:rFonts w:ascii="Times New Roman" w:hAnsi="Times New Roman"/>
                <w:b/>
              </w:rPr>
            </w:pPr>
            <w:r w:rsidRPr="00825131">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653DA19E" w14:textId="77777777" w:rsidR="00C852A7" w:rsidRPr="00825131" w:rsidRDefault="00B17446">
            <w:pPr>
              <w:jc w:val="both"/>
              <w:rPr>
                <w:rFonts w:ascii="Times New Roman" w:hAnsi="Times New Roman"/>
                <w:b/>
              </w:rPr>
            </w:pPr>
            <w:r w:rsidRPr="00825131">
              <w:rPr>
                <w:rFonts w:ascii="Times New Roman" w:eastAsia="SimSun" w:hAnsi="Times New Roman"/>
                <w:b/>
                <w:lang w:bidi="ar"/>
              </w:rPr>
              <w:t>Observed Value</w:t>
            </w:r>
          </w:p>
        </w:tc>
        <w:tc>
          <w:tcPr>
            <w:tcW w:w="0" w:type="auto"/>
            <w:tcBorders>
              <w:top w:val="nil"/>
              <w:left w:val="nil"/>
              <w:bottom w:val="nil"/>
              <w:right w:val="nil"/>
              <w:tl2br w:val="nil"/>
              <w:tr2bl w:val="nil"/>
            </w:tcBorders>
            <w:vAlign w:val="center"/>
          </w:tcPr>
          <w:p w14:paraId="086E0CC8" w14:textId="77777777" w:rsidR="00C852A7" w:rsidRPr="00825131" w:rsidRDefault="00B17446">
            <w:pPr>
              <w:jc w:val="both"/>
              <w:rPr>
                <w:rFonts w:ascii="Times New Roman" w:hAnsi="Times New Roman"/>
                <w:b/>
              </w:rPr>
            </w:pPr>
            <w:r w:rsidRPr="00825131">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00ED1B18" w14:textId="77777777" w:rsidR="00C852A7" w:rsidRPr="00825131" w:rsidRDefault="00B17446">
            <w:pPr>
              <w:jc w:val="both"/>
              <w:rPr>
                <w:rFonts w:ascii="Times New Roman" w:hAnsi="Times New Roman"/>
                <w:b/>
              </w:rPr>
            </w:pPr>
            <w:r w:rsidRPr="00825131">
              <w:rPr>
                <w:rFonts w:ascii="Times New Roman" w:eastAsia="SimSun" w:hAnsi="Times New Roman"/>
                <w:b/>
                <w:lang w:bidi="ar"/>
              </w:rPr>
              <w:t>Local Vote</w:t>
            </w:r>
          </w:p>
        </w:tc>
        <w:tc>
          <w:tcPr>
            <w:tcW w:w="0" w:type="auto"/>
            <w:tcBorders>
              <w:top w:val="nil"/>
              <w:left w:val="nil"/>
              <w:bottom w:val="nil"/>
              <w:right w:val="nil"/>
              <w:tl2br w:val="nil"/>
              <w:tr2bl w:val="nil"/>
            </w:tcBorders>
            <w:vAlign w:val="center"/>
          </w:tcPr>
          <w:p w14:paraId="2335114E" w14:textId="77777777" w:rsidR="00C852A7" w:rsidRPr="00825131" w:rsidRDefault="00B17446">
            <w:pPr>
              <w:jc w:val="both"/>
              <w:rPr>
                <w:rFonts w:ascii="Times New Roman" w:hAnsi="Times New Roman"/>
                <w:b/>
              </w:rPr>
            </w:pPr>
            <w:r w:rsidRPr="00825131">
              <w:rPr>
                <w:rFonts w:ascii="Times New Roman" w:eastAsia="SimSun" w:hAnsi="Times New Roman"/>
                <w:b/>
                <w:lang w:bidi="ar"/>
              </w:rPr>
              <w:t>Weight</w:t>
            </w:r>
          </w:p>
        </w:tc>
      </w:tr>
      <w:tr w:rsidR="00C852A7" w:rsidRPr="00825131" w14:paraId="743C367A" w14:textId="77777777">
        <w:trPr>
          <w:tblCellSpacing w:w="15" w:type="dxa"/>
        </w:trPr>
        <w:tc>
          <w:tcPr>
            <w:tcW w:w="0" w:type="auto"/>
            <w:tcBorders>
              <w:top w:val="nil"/>
              <w:left w:val="nil"/>
              <w:bottom w:val="nil"/>
              <w:right w:val="nil"/>
              <w:tl2br w:val="nil"/>
              <w:tr2bl w:val="nil"/>
            </w:tcBorders>
            <w:vAlign w:val="center"/>
          </w:tcPr>
          <w:p w14:paraId="179A4312" w14:textId="77777777" w:rsidR="00C852A7" w:rsidRPr="00825131" w:rsidRDefault="00B17446">
            <w:pPr>
              <w:jc w:val="both"/>
              <w:rPr>
                <w:rFonts w:ascii="Times New Roman" w:hAnsi="Times New Roman"/>
              </w:rPr>
            </w:pPr>
            <w:r w:rsidRPr="00825131">
              <w:rPr>
                <w:rFonts w:ascii="Times New Roman" w:eastAsia="SimSun" w:hAnsi="Times New Roman"/>
                <w:lang w:bidi="ar"/>
              </w:rPr>
              <w:t>HR</w:t>
            </w:r>
          </w:p>
        </w:tc>
        <w:tc>
          <w:tcPr>
            <w:tcW w:w="0" w:type="auto"/>
            <w:tcBorders>
              <w:top w:val="nil"/>
              <w:left w:val="nil"/>
              <w:bottom w:val="nil"/>
              <w:right w:val="nil"/>
              <w:tl2br w:val="nil"/>
              <w:tr2bl w:val="nil"/>
            </w:tcBorders>
            <w:vAlign w:val="center"/>
          </w:tcPr>
          <w:p w14:paraId="140BB500" w14:textId="77777777" w:rsidR="00C852A7" w:rsidRPr="00825131" w:rsidRDefault="00B17446">
            <w:pPr>
              <w:jc w:val="both"/>
              <w:rPr>
                <w:rFonts w:ascii="Times New Roman" w:hAnsi="Times New Roman"/>
              </w:rPr>
            </w:pPr>
            <w:r w:rsidRPr="00825131">
              <w:rPr>
                <w:rFonts w:ascii="Times New Roman" w:eastAsia="SimSun" w:hAnsi="Times New Roman"/>
                <w:lang w:bidi="ar"/>
              </w:rPr>
              <w:t>128 bpm</w:t>
            </w:r>
          </w:p>
        </w:tc>
        <w:tc>
          <w:tcPr>
            <w:tcW w:w="0" w:type="auto"/>
            <w:tcBorders>
              <w:top w:val="nil"/>
              <w:left w:val="nil"/>
              <w:bottom w:val="nil"/>
              <w:right w:val="nil"/>
              <w:tl2br w:val="nil"/>
              <w:tr2bl w:val="nil"/>
            </w:tcBorders>
            <w:vAlign w:val="center"/>
          </w:tcPr>
          <w:p w14:paraId="202B81F7"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4025A6B7" w14:textId="77777777" w:rsidR="00C852A7" w:rsidRPr="00825131" w:rsidRDefault="00B17446">
            <w:pPr>
              <w:jc w:val="both"/>
              <w:rPr>
                <w:rFonts w:ascii="Times New Roman" w:hAnsi="Times New Roman"/>
              </w:rPr>
            </w:pPr>
            <w:r w:rsidRPr="00825131">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7F7986FB"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74694130" w14:textId="77777777">
        <w:trPr>
          <w:tblCellSpacing w:w="15" w:type="dxa"/>
        </w:trPr>
        <w:tc>
          <w:tcPr>
            <w:tcW w:w="0" w:type="auto"/>
            <w:tcBorders>
              <w:top w:val="nil"/>
              <w:left w:val="nil"/>
              <w:bottom w:val="nil"/>
              <w:right w:val="nil"/>
              <w:tl2br w:val="nil"/>
              <w:tr2bl w:val="nil"/>
            </w:tcBorders>
            <w:vAlign w:val="center"/>
          </w:tcPr>
          <w:p w14:paraId="4502EAB8" w14:textId="77777777" w:rsidR="00C852A7" w:rsidRPr="00825131" w:rsidRDefault="00B17446">
            <w:pPr>
              <w:jc w:val="both"/>
              <w:rPr>
                <w:rFonts w:ascii="Times New Roman" w:hAnsi="Times New Roman"/>
              </w:rPr>
            </w:pPr>
            <w:r w:rsidRPr="00825131">
              <w:rPr>
                <w:rFonts w:ascii="Times New Roman" w:eastAsia="SimSun" w:hAnsi="Times New Roman"/>
                <w:lang w:bidi="ar"/>
              </w:rPr>
              <w:t>RR</w:t>
            </w:r>
          </w:p>
        </w:tc>
        <w:tc>
          <w:tcPr>
            <w:tcW w:w="0" w:type="auto"/>
            <w:tcBorders>
              <w:top w:val="nil"/>
              <w:left w:val="nil"/>
              <w:bottom w:val="nil"/>
              <w:right w:val="nil"/>
              <w:tl2br w:val="nil"/>
              <w:tr2bl w:val="nil"/>
            </w:tcBorders>
            <w:vAlign w:val="center"/>
          </w:tcPr>
          <w:p w14:paraId="1BF36D30" w14:textId="77777777" w:rsidR="00C852A7" w:rsidRPr="00825131" w:rsidRDefault="00B17446">
            <w:pPr>
              <w:jc w:val="both"/>
              <w:rPr>
                <w:rFonts w:ascii="Times New Roman" w:hAnsi="Times New Roman"/>
              </w:rPr>
            </w:pPr>
            <w:r w:rsidRPr="00825131">
              <w:rPr>
                <w:rFonts w:ascii="Times New Roman" w:eastAsia="SimSun" w:hAnsi="Times New Roman"/>
                <w:lang w:bidi="ar"/>
              </w:rPr>
              <w:t>26 /min</w:t>
            </w:r>
          </w:p>
        </w:tc>
        <w:tc>
          <w:tcPr>
            <w:tcW w:w="0" w:type="auto"/>
            <w:tcBorders>
              <w:top w:val="nil"/>
              <w:left w:val="nil"/>
              <w:bottom w:val="nil"/>
              <w:right w:val="nil"/>
              <w:tl2br w:val="nil"/>
              <w:tr2bl w:val="nil"/>
            </w:tcBorders>
            <w:vAlign w:val="center"/>
          </w:tcPr>
          <w:p w14:paraId="64B083D5"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62BE6176" w14:textId="77777777" w:rsidR="00C852A7" w:rsidRPr="00825131" w:rsidRDefault="00B17446">
            <w:pPr>
              <w:jc w:val="both"/>
              <w:rPr>
                <w:rFonts w:ascii="Times New Roman" w:hAnsi="Times New Roman"/>
              </w:rPr>
            </w:pPr>
            <w:r w:rsidRPr="00825131">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3CADD8F7" w14:textId="77777777" w:rsidR="00C852A7" w:rsidRPr="00825131" w:rsidRDefault="00B17446">
            <w:pPr>
              <w:jc w:val="both"/>
              <w:rPr>
                <w:rFonts w:ascii="Times New Roman" w:hAnsi="Times New Roman"/>
              </w:rPr>
            </w:pPr>
            <w:r w:rsidRPr="00825131">
              <w:rPr>
                <w:rFonts w:ascii="Times New Roman" w:eastAsia="SimSun" w:hAnsi="Times New Roman"/>
                <w:lang w:bidi="ar"/>
              </w:rPr>
              <w:t>0.6</w:t>
            </w:r>
          </w:p>
        </w:tc>
      </w:tr>
      <w:tr w:rsidR="00C852A7" w:rsidRPr="00825131" w14:paraId="33B2883B" w14:textId="77777777">
        <w:trPr>
          <w:tblCellSpacing w:w="15" w:type="dxa"/>
        </w:trPr>
        <w:tc>
          <w:tcPr>
            <w:tcW w:w="0" w:type="auto"/>
            <w:tcBorders>
              <w:top w:val="nil"/>
              <w:left w:val="nil"/>
              <w:bottom w:val="nil"/>
              <w:right w:val="nil"/>
              <w:tl2br w:val="nil"/>
              <w:tr2bl w:val="nil"/>
            </w:tcBorders>
            <w:vAlign w:val="center"/>
          </w:tcPr>
          <w:p w14:paraId="04F6B6E4" w14:textId="77777777" w:rsidR="00C852A7" w:rsidRPr="00825131" w:rsidRDefault="00B17446">
            <w:pPr>
              <w:jc w:val="both"/>
              <w:rPr>
                <w:rFonts w:ascii="Times New Roman" w:hAnsi="Times New Roman"/>
              </w:rPr>
            </w:pPr>
            <w:r w:rsidRPr="00825131">
              <w:rPr>
                <w:rFonts w:ascii="Times New Roman" w:eastAsia="SimSun" w:hAnsi="Times New Roman"/>
                <w:lang w:bidi="ar"/>
              </w:rPr>
              <w:t>Lactate</w:t>
            </w:r>
          </w:p>
        </w:tc>
        <w:tc>
          <w:tcPr>
            <w:tcW w:w="0" w:type="auto"/>
            <w:tcBorders>
              <w:top w:val="nil"/>
              <w:left w:val="nil"/>
              <w:bottom w:val="nil"/>
              <w:right w:val="nil"/>
              <w:tl2br w:val="nil"/>
              <w:tr2bl w:val="nil"/>
            </w:tcBorders>
            <w:vAlign w:val="center"/>
          </w:tcPr>
          <w:p w14:paraId="07D30466" w14:textId="77777777" w:rsidR="00C852A7" w:rsidRPr="00825131" w:rsidRDefault="00B17446">
            <w:pPr>
              <w:jc w:val="both"/>
              <w:rPr>
                <w:rFonts w:ascii="Times New Roman" w:hAnsi="Times New Roman"/>
              </w:rPr>
            </w:pPr>
            <w:r w:rsidRPr="00825131">
              <w:rPr>
                <w:rFonts w:ascii="Times New Roman" w:eastAsia="SimSun" w:hAnsi="Times New Roman"/>
                <w:lang w:bidi="ar"/>
              </w:rPr>
              <w:t>4.5 mmol/L</w:t>
            </w:r>
          </w:p>
        </w:tc>
        <w:tc>
          <w:tcPr>
            <w:tcW w:w="0" w:type="auto"/>
            <w:tcBorders>
              <w:top w:val="nil"/>
              <w:left w:val="nil"/>
              <w:bottom w:val="nil"/>
              <w:right w:val="nil"/>
              <w:tl2br w:val="nil"/>
              <w:tr2bl w:val="nil"/>
            </w:tcBorders>
            <w:vAlign w:val="center"/>
          </w:tcPr>
          <w:p w14:paraId="455C800A"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08A8E850" w14:textId="77777777" w:rsidR="00C852A7" w:rsidRPr="00825131" w:rsidRDefault="00B17446">
            <w:pPr>
              <w:jc w:val="both"/>
              <w:rPr>
                <w:rFonts w:ascii="Times New Roman" w:hAnsi="Times New Roman"/>
              </w:rPr>
            </w:pPr>
            <w:r w:rsidRPr="00825131">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52E4EF06"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71A45D7D" w14:textId="77777777">
        <w:trPr>
          <w:tblCellSpacing w:w="15" w:type="dxa"/>
        </w:trPr>
        <w:tc>
          <w:tcPr>
            <w:tcW w:w="0" w:type="auto"/>
            <w:tcBorders>
              <w:top w:val="nil"/>
              <w:left w:val="nil"/>
              <w:bottom w:val="nil"/>
              <w:right w:val="nil"/>
              <w:tl2br w:val="nil"/>
              <w:tr2bl w:val="nil"/>
            </w:tcBorders>
            <w:vAlign w:val="center"/>
          </w:tcPr>
          <w:p w14:paraId="63210B1C" w14:textId="77777777" w:rsidR="00C852A7" w:rsidRPr="00825131" w:rsidRDefault="00B17446">
            <w:pPr>
              <w:jc w:val="both"/>
              <w:rPr>
                <w:rFonts w:ascii="Times New Roman" w:hAnsi="Times New Roman"/>
              </w:rPr>
            </w:pPr>
            <w:r w:rsidRPr="00825131">
              <w:rPr>
                <w:rFonts w:ascii="Times New Roman" w:eastAsia="SimSun" w:hAnsi="Times New Roman"/>
                <w:lang w:bidi="ar"/>
              </w:rPr>
              <w:t>WBC</w:t>
            </w:r>
          </w:p>
        </w:tc>
        <w:tc>
          <w:tcPr>
            <w:tcW w:w="0" w:type="auto"/>
            <w:tcBorders>
              <w:top w:val="nil"/>
              <w:left w:val="nil"/>
              <w:bottom w:val="nil"/>
              <w:right w:val="nil"/>
              <w:tl2br w:val="nil"/>
              <w:tr2bl w:val="nil"/>
            </w:tcBorders>
            <w:vAlign w:val="center"/>
          </w:tcPr>
          <w:p w14:paraId="05B41C8C" w14:textId="77777777" w:rsidR="00C852A7" w:rsidRPr="00825131" w:rsidRDefault="00B17446">
            <w:pPr>
              <w:jc w:val="both"/>
              <w:rPr>
                <w:rFonts w:ascii="Times New Roman" w:hAnsi="Times New Roman"/>
              </w:rPr>
            </w:pPr>
            <w:r w:rsidRPr="00825131">
              <w:rPr>
                <w:rFonts w:ascii="Times New Roman" w:eastAsia="SimSun" w:hAnsi="Times New Roman"/>
                <w:lang w:bidi="ar"/>
              </w:rPr>
              <w:t>11 ×10⁹/L</w:t>
            </w:r>
          </w:p>
        </w:tc>
        <w:tc>
          <w:tcPr>
            <w:tcW w:w="0" w:type="auto"/>
            <w:tcBorders>
              <w:top w:val="nil"/>
              <w:left w:val="nil"/>
              <w:bottom w:val="nil"/>
              <w:right w:val="nil"/>
              <w:tl2br w:val="nil"/>
              <w:tr2bl w:val="nil"/>
            </w:tcBorders>
            <w:vAlign w:val="center"/>
          </w:tcPr>
          <w:p w14:paraId="69B7E57F"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4EEC33A5" w14:textId="77777777" w:rsidR="00C852A7" w:rsidRPr="00825131" w:rsidRDefault="00B17446">
            <w:pPr>
              <w:jc w:val="both"/>
              <w:rPr>
                <w:rFonts w:ascii="Times New Roman" w:hAnsi="Times New Roman"/>
              </w:rPr>
            </w:pPr>
            <w:r w:rsidRPr="00825131">
              <w:rPr>
                <w:rFonts w:ascii="Times New Roman" w:eastAsia="SimSun" w:hAnsi="Times New Roman"/>
                <w:lang w:bidi="ar"/>
              </w:rPr>
              <w:t>Monitor</w:t>
            </w:r>
          </w:p>
        </w:tc>
        <w:tc>
          <w:tcPr>
            <w:tcW w:w="0" w:type="auto"/>
            <w:tcBorders>
              <w:top w:val="nil"/>
              <w:left w:val="nil"/>
              <w:bottom w:val="nil"/>
              <w:right w:val="nil"/>
              <w:tl2br w:val="nil"/>
              <w:tr2bl w:val="nil"/>
            </w:tcBorders>
            <w:vAlign w:val="center"/>
          </w:tcPr>
          <w:p w14:paraId="56861A1B"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bl>
    <w:p w14:paraId="49A382E4" w14:textId="77777777" w:rsidR="00C852A7" w:rsidRPr="00825131" w:rsidRDefault="00B17446">
      <w:pPr>
        <w:pStyle w:val="Heading2"/>
        <w:jc w:val="both"/>
        <w:rPr>
          <w:rStyle w:val="Strong"/>
          <w:rFonts w:ascii="Times New Roman" w:hAnsi="Times New Roman" w:hint="eastAsia"/>
          <w:bCs/>
        </w:rPr>
      </w:pPr>
      <w:r w:rsidRPr="00825131">
        <w:rPr>
          <w:rFonts w:ascii="Times New Roman" w:hAnsi="Times New Roman" w:hint="default"/>
          <w:b w:val="0"/>
          <w:bCs/>
          <w:sz w:val="24"/>
          <w:szCs w:val="24"/>
        </w:rPr>
        <w:lastRenderedPageBreak/>
        <w:t>The values shown in Table 5 represent a synthetic but clinically realistic scenario intended solely for methodological illustration of the DES framework.</w:t>
      </w:r>
    </w:p>
    <w:p w14:paraId="20E12FAF"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Credibility-Weighted Fusion</w:t>
      </w:r>
    </w:p>
    <w:p w14:paraId="79EF11A8" w14:textId="77777777" w:rsidR="00C852A7" w:rsidRPr="00825131" w:rsidRDefault="00B17446">
      <w:pPr>
        <w:pStyle w:val="NormalWeb"/>
        <w:jc w:val="both"/>
        <w:rPr>
          <w:bCs/>
        </w:rPr>
      </w:pPr>
      <w:r w:rsidRPr="00825131">
        <w:rPr>
          <w:rStyle w:val="Strong"/>
          <w:b w:val="0"/>
          <w:bCs/>
        </w:rPr>
        <w:t>Escalate:</w:t>
      </w:r>
      <w:r w:rsidRPr="00825131">
        <w:rPr>
          <w:bCs/>
        </w:rPr>
        <w:br/>
        <w:t xml:space="preserve">1.0 + 0.6 + 1.0 = </w:t>
      </w:r>
      <w:r w:rsidRPr="00825131">
        <w:rPr>
          <w:rStyle w:val="Strong"/>
          <w:b w:val="0"/>
          <w:bCs/>
        </w:rPr>
        <w:t>2.6</w:t>
      </w:r>
    </w:p>
    <w:p w14:paraId="63854600" w14:textId="77777777" w:rsidR="00C852A7" w:rsidRPr="00825131" w:rsidRDefault="00B17446">
      <w:pPr>
        <w:pStyle w:val="NormalWeb"/>
        <w:jc w:val="both"/>
        <w:rPr>
          <w:bCs/>
        </w:rPr>
      </w:pPr>
      <w:r w:rsidRPr="00825131">
        <w:rPr>
          <w:rStyle w:val="Strong"/>
          <w:b w:val="0"/>
          <w:bCs/>
        </w:rPr>
        <w:t>Monitor:</w:t>
      </w:r>
      <w:r w:rsidRPr="00825131">
        <w:rPr>
          <w:bCs/>
        </w:rPr>
        <w:br/>
        <w:t>0.3</w:t>
      </w:r>
    </w:p>
    <w:p w14:paraId="0ADB6477" w14:textId="77777777" w:rsidR="00C852A7" w:rsidRPr="00825131" w:rsidRDefault="00B17446">
      <w:pPr>
        <w:pStyle w:val="NormalWeb"/>
        <w:jc w:val="both"/>
      </w:pPr>
      <w:proofErr w:type="spellStart"/>
      <w:r w:rsidRPr="00825131">
        <w:rPr>
          <w:rStyle w:val="Strong"/>
          <w:b w:val="0"/>
          <w:bCs/>
        </w:rPr>
        <w:t>Wtotal</w:t>
      </w:r>
      <w:proofErr w:type="spellEnd"/>
      <w:r w:rsidRPr="00825131">
        <w:rPr>
          <w:rStyle w:val="Strong"/>
          <w:b w:val="0"/>
          <w:bCs/>
        </w:rPr>
        <w:t xml:space="preserve"> = 2.9</w:t>
      </w:r>
    </w:p>
    <w:p w14:paraId="1DA9E361"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Decision Epistemic Strength</w:t>
      </w:r>
    </w:p>
    <w:p w14:paraId="1984B1EB" w14:textId="77777777" w:rsidR="00C852A7" w:rsidRPr="00825131" w:rsidRDefault="00B17446">
      <w:pPr>
        <w:pStyle w:val="NormalWeb"/>
        <w:jc w:val="both"/>
      </w:pPr>
      <w:r w:rsidRPr="00825131">
        <w:t>DES = (2.6 − 0.3) / 2.9</w:t>
      </w:r>
      <w:r w:rsidRPr="00825131">
        <w:br/>
        <w:t xml:space="preserve">DES = </w:t>
      </w:r>
      <w:r w:rsidRPr="00825131">
        <w:rPr>
          <w:rStyle w:val="Strong"/>
        </w:rPr>
        <w:t>0.79</w:t>
      </w:r>
    </w:p>
    <w:p w14:paraId="12AA4842" w14:textId="77777777"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b/>
          <w:bCs/>
        </w:rPr>
        <w:t>Interpretation</w:t>
      </w:r>
    </w:p>
    <w:p w14:paraId="29A2D52F" w14:textId="77777777" w:rsidR="00C852A7" w:rsidRPr="00825131" w:rsidRDefault="00B17446">
      <w:pPr>
        <w:pStyle w:val="NormalWeb"/>
        <w:jc w:val="both"/>
        <w:rPr>
          <w:bCs/>
        </w:rPr>
      </w:pPr>
      <w:r w:rsidRPr="00825131">
        <w:rPr>
          <w:rStyle w:val="Strong"/>
          <w:b w:val="0"/>
          <w:bCs/>
        </w:rPr>
        <w:t>DES = 0.79 → Decisive escalation.</w:t>
      </w:r>
      <w:r w:rsidRPr="00825131">
        <w:rPr>
          <w:bCs/>
        </w:rPr>
        <w:br/>
        <w:t>High-credibility physiological abnormalities dominate weak counter-signals, justifying immediate clinical escalation.</w:t>
      </w:r>
    </w:p>
    <w:p w14:paraId="66D9314E" w14:textId="77777777" w:rsidR="00C852A7" w:rsidRPr="00825131" w:rsidRDefault="00B17446">
      <w:pPr>
        <w:pStyle w:val="Heading2"/>
        <w:jc w:val="both"/>
        <w:rPr>
          <w:rStyle w:val="Strong"/>
          <w:rFonts w:ascii="Times New Roman" w:hAnsi="Times New Roman" w:hint="eastAsia"/>
          <w:b/>
          <w:bCs/>
        </w:rPr>
      </w:pPr>
      <w:r w:rsidRPr="00825131">
        <w:rPr>
          <w:rStyle w:val="Strong"/>
          <w:rFonts w:ascii="Times New Roman" w:hAnsi="Times New Roman" w:hint="eastAsia"/>
          <w:b/>
          <w:bCs/>
        </w:rPr>
        <w:t>Contrast Case (Borderline Patient) (Table 6)</w:t>
      </w:r>
    </w:p>
    <w:p w14:paraId="3545773F" w14:textId="77777777" w:rsidR="00C852A7" w:rsidRPr="00825131" w:rsidRDefault="00B17446">
      <w:pPr>
        <w:jc w:val="both"/>
        <w:rPr>
          <w:rFonts w:ascii="Times New Roman" w:hAnsi="Times New Roman"/>
        </w:rPr>
      </w:pPr>
      <w:r w:rsidRPr="00825131">
        <w:rPr>
          <w:rFonts w:ascii="Times New Roman" w:eastAsia="SimSun" w:hAnsi="Times New Roman"/>
        </w:rPr>
        <w:t xml:space="preserve">The synthetic example in </w:t>
      </w:r>
      <w:r w:rsidRPr="00825131">
        <w:rPr>
          <w:rStyle w:val="Strong"/>
          <w:rFonts w:ascii="Times New Roman" w:hAnsi="Times New Roman"/>
          <w:b w:val="0"/>
        </w:rPr>
        <w:t>Table 6</w:t>
      </w:r>
      <w:r w:rsidRPr="00825131">
        <w:rPr>
          <w:rFonts w:ascii="Times New Roman" w:eastAsia="SimSun" w:hAnsi="Times New Roman"/>
        </w:rPr>
        <w:t xml:space="preserve"> illustrates a mixed-evidence scenario in which Plausible and Weak signals generate competing local recommendations, enabling demonstration of conditional dominance behavior under credibility-weighted fusion.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660"/>
        <w:gridCol w:w="940"/>
        <w:gridCol w:w="860"/>
        <w:gridCol w:w="822"/>
      </w:tblGrid>
      <w:tr w:rsidR="00C852A7" w:rsidRPr="00825131" w14:paraId="237F5DC0" w14:textId="77777777">
        <w:trPr>
          <w:tblHeader/>
          <w:tblCellSpacing w:w="15" w:type="dxa"/>
        </w:trPr>
        <w:tc>
          <w:tcPr>
            <w:tcW w:w="0" w:type="auto"/>
            <w:tcBorders>
              <w:top w:val="nil"/>
              <w:left w:val="nil"/>
              <w:bottom w:val="nil"/>
              <w:right w:val="nil"/>
              <w:tl2br w:val="nil"/>
              <w:tr2bl w:val="nil"/>
            </w:tcBorders>
            <w:vAlign w:val="center"/>
          </w:tcPr>
          <w:p w14:paraId="44FC73AB" w14:textId="77777777" w:rsidR="00C852A7" w:rsidRPr="00825131" w:rsidRDefault="00B17446">
            <w:pPr>
              <w:jc w:val="both"/>
              <w:rPr>
                <w:rFonts w:ascii="Times New Roman" w:hAnsi="Times New Roman"/>
                <w:b/>
              </w:rPr>
            </w:pPr>
            <w:r w:rsidRPr="00825131">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23EE4169" w14:textId="77777777" w:rsidR="00C852A7" w:rsidRPr="00825131" w:rsidRDefault="00B17446">
            <w:pPr>
              <w:jc w:val="both"/>
              <w:rPr>
                <w:rFonts w:ascii="Times New Roman" w:hAnsi="Times New Roman"/>
                <w:b/>
              </w:rPr>
            </w:pPr>
            <w:r w:rsidRPr="00825131">
              <w:rPr>
                <w:rFonts w:ascii="Times New Roman" w:eastAsia="SimSun" w:hAnsi="Times New Roman"/>
                <w:b/>
                <w:lang w:bidi="ar"/>
              </w:rPr>
              <w:t>Value</w:t>
            </w:r>
          </w:p>
        </w:tc>
        <w:tc>
          <w:tcPr>
            <w:tcW w:w="0" w:type="auto"/>
            <w:tcBorders>
              <w:top w:val="nil"/>
              <w:left w:val="nil"/>
              <w:bottom w:val="nil"/>
              <w:right w:val="nil"/>
              <w:tl2br w:val="nil"/>
              <w:tr2bl w:val="nil"/>
            </w:tcBorders>
            <w:vAlign w:val="center"/>
          </w:tcPr>
          <w:p w14:paraId="06502E44" w14:textId="77777777" w:rsidR="00C852A7" w:rsidRPr="00825131" w:rsidRDefault="00B17446">
            <w:pPr>
              <w:jc w:val="both"/>
              <w:rPr>
                <w:rFonts w:ascii="Times New Roman" w:hAnsi="Times New Roman"/>
                <w:b/>
              </w:rPr>
            </w:pPr>
            <w:r w:rsidRPr="00825131">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4D0BA75E" w14:textId="77777777" w:rsidR="00C852A7" w:rsidRPr="00825131" w:rsidRDefault="00B17446">
            <w:pPr>
              <w:jc w:val="both"/>
              <w:rPr>
                <w:rFonts w:ascii="Times New Roman" w:hAnsi="Times New Roman"/>
                <w:b/>
              </w:rPr>
            </w:pPr>
            <w:r w:rsidRPr="00825131">
              <w:rPr>
                <w:rFonts w:ascii="Times New Roman" w:eastAsia="SimSun" w:hAnsi="Times New Roman"/>
                <w:b/>
                <w:lang w:bidi="ar"/>
              </w:rPr>
              <w:t>Vote</w:t>
            </w:r>
          </w:p>
        </w:tc>
        <w:tc>
          <w:tcPr>
            <w:tcW w:w="0" w:type="auto"/>
            <w:tcBorders>
              <w:top w:val="nil"/>
              <w:left w:val="nil"/>
              <w:bottom w:val="nil"/>
              <w:right w:val="nil"/>
              <w:tl2br w:val="nil"/>
              <w:tr2bl w:val="nil"/>
            </w:tcBorders>
            <w:vAlign w:val="center"/>
          </w:tcPr>
          <w:p w14:paraId="5320919F" w14:textId="77777777" w:rsidR="00C852A7" w:rsidRPr="00825131" w:rsidRDefault="00B17446">
            <w:pPr>
              <w:jc w:val="both"/>
              <w:rPr>
                <w:rFonts w:ascii="Times New Roman" w:hAnsi="Times New Roman"/>
                <w:b/>
              </w:rPr>
            </w:pPr>
            <w:r w:rsidRPr="00825131">
              <w:rPr>
                <w:rFonts w:ascii="Times New Roman" w:eastAsia="SimSun" w:hAnsi="Times New Roman"/>
                <w:b/>
                <w:lang w:bidi="ar"/>
              </w:rPr>
              <w:t>Weight</w:t>
            </w:r>
          </w:p>
        </w:tc>
      </w:tr>
      <w:tr w:rsidR="00C852A7" w:rsidRPr="00825131" w14:paraId="74D93B7F" w14:textId="77777777">
        <w:trPr>
          <w:tblCellSpacing w:w="15" w:type="dxa"/>
        </w:trPr>
        <w:tc>
          <w:tcPr>
            <w:tcW w:w="0" w:type="auto"/>
            <w:tcBorders>
              <w:top w:val="nil"/>
              <w:left w:val="nil"/>
              <w:bottom w:val="nil"/>
              <w:right w:val="nil"/>
              <w:tl2br w:val="nil"/>
              <w:tr2bl w:val="nil"/>
            </w:tcBorders>
            <w:vAlign w:val="center"/>
          </w:tcPr>
          <w:p w14:paraId="683C522F" w14:textId="77777777" w:rsidR="00C852A7" w:rsidRPr="00825131" w:rsidRDefault="00B17446">
            <w:pPr>
              <w:jc w:val="both"/>
              <w:rPr>
                <w:rFonts w:ascii="Times New Roman" w:hAnsi="Times New Roman"/>
              </w:rPr>
            </w:pPr>
            <w:r w:rsidRPr="00825131">
              <w:rPr>
                <w:rFonts w:ascii="Times New Roman" w:eastAsia="SimSun" w:hAnsi="Times New Roman"/>
                <w:lang w:bidi="ar"/>
              </w:rPr>
              <w:t>HR</w:t>
            </w:r>
          </w:p>
        </w:tc>
        <w:tc>
          <w:tcPr>
            <w:tcW w:w="0" w:type="auto"/>
            <w:tcBorders>
              <w:top w:val="nil"/>
              <w:left w:val="nil"/>
              <w:bottom w:val="nil"/>
              <w:right w:val="nil"/>
              <w:tl2br w:val="nil"/>
              <w:tr2bl w:val="nil"/>
            </w:tcBorders>
            <w:vAlign w:val="center"/>
          </w:tcPr>
          <w:p w14:paraId="6D29C131" w14:textId="77777777" w:rsidR="00C852A7" w:rsidRPr="00825131" w:rsidRDefault="00B17446">
            <w:pPr>
              <w:jc w:val="both"/>
              <w:rPr>
                <w:rFonts w:ascii="Times New Roman" w:hAnsi="Times New Roman"/>
              </w:rPr>
            </w:pPr>
            <w:r w:rsidRPr="00825131">
              <w:rPr>
                <w:rFonts w:ascii="Times New Roman" w:eastAsia="SimSun" w:hAnsi="Times New Roman"/>
                <w:lang w:bidi="ar"/>
              </w:rPr>
              <w:t>104</w:t>
            </w:r>
          </w:p>
        </w:tc>
        <w:tc>
          <w:tcPr>
            <w:tcW w:w="0" w:type="auto"/>
            <w:tcBorders>
              <w:top w:val="nil"/>
              <w:left w:val="nil"/>
              <w:bottom w:val="nil"/>
              <w:right w:val="nil"/>
              <w:tl2br w:val="nil"/>
              <w:tr2bl w:val="nil"/>
            </w:tcBorders>
            <w:vAlign w:val="center"/>
          </w:tcPr>
          <w:p w14:paraId="75E5791F"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7F649212" w14:textId="77777777" w:rsidR="00C852A7" w:rsidRPr="00825131" w:rsidRDefault="00B17446">
            <w:pPr>
              <w:jc w:val="both"/>
              <w:rPr>
                <w:rFonts w:ascii="Times New Roman" w:hAnsi="Times New Roman"/>
              </w:rPr>
            </w:pPr>
            <w:r w:rsidRPr="00825131">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5044A776" w14:textId="77777777" w:rsidR="00C852A7" w:rsidRPr="00825131" w:rsidRDefault="00B17446">
            <w:pPr>
              <w:jc w:val="both"/>
              <w:rPr>
                <w:rFonts w:ascii="Times New Roman" w:hAnsi="Times New Roman"/>
              </w:rPr>
            </w:pPr>
            <w:r w:rsidRPr="00825131">
              <w:rPr>
                <w:rFonts w:ascii="Times New Roman" w:eastAsia="SimSun" w:hAnsi="Times New Roman"/>
                <w:lang w:bidi="ar"/>
              </w:rPr>
              <w:t>0.6</w:t>
            </w:r>
          </w:p>
        </w:tc>
      </w:tr>
      <w:tr w:rsidR="00C852A7" w:rsidRPr="00825131" w14:paraId="35C4E3B9" w14:textId="77777777">
        <w:trPr>
          <w:tblCellSpacing w:w="15" w:type="dxa"/>
        </w:trPr>
        <w:tc>
          <w:tcPr>
            <w:tcW w:w="0" w:type="auto"/>
            <w:tcBorders>
              <w:top w:val="nil"/>
              <w:left w:val="nil"/>
              <w:bottom w:val="nil"/>
              <w:right w:val="nil"/>
              <w:tl2br w:val="nil"/>
              <w:tr2bl w:val="nil"/>
            </w:tcBorders>
            <w:vAlign w:val="center"/>
          </w:tcPr>
          <w:p w14:paraId="4CCC6AFA" w14:textId="77777777" w:rsidR="00C852A7" w:rsidRPr="00825131" w:rsidRDefault="00B17446">
            <w:pPr>
              <w:jc w:val="both"/>
              <w:rPr>
                <w:rFonts w:ascii="Times New Roman" w:hAnsi="Times New Roman"/>
              </w:rPr>
            </w:pPr>
            <w:r w:rsidRPr="00825131">
              <w:rPr>
                <w:rFonts w:ascii="Times New Roman" w:eastAsia="SimSun" w:hAnsi="Times New Roman"/>
                <w:lang w:bidi="ar"/>
              </w:rPr>
              <w:t>RR</w:t>
            </w:r>
          </w:p>
        </w:tc>
        <w:tc>
          <w:tcPr>
            <w:tcW w:w="0" w:type="auto"/>
            <w:tcBorders>
              <w:top w:val="nil"/>
              <w:left w:val="nil"/>
              <w:bottom w:val="nil"/>
              <w:right w:val="nil"/>
              <w:tl2br w:val="nil"/>
              <w:tr2bl w:val="nil"/>
            </w:tcBorders>
            <w:vAlign w:val="center"/>
          </w:tcPr>
          <w:p w14:paraId="5930CBC4" w14:textId="77777777" w:rsidR="00C852A7" w:rsidRPr="00825131" w:rsidRDefault="00B17446">
            <w:pPr>
              <w:jc w:val="both"/>
              <w:rPr>
                <w:rFonts w:ascii="Times New Roman" w:hAnsi="Times New Roman"/>
              </w:rPr>
            </w:pPr>
            <w:r w:rsidRPr="00825131">
              <w:rPr>
                <w:rFonts w:ascii="Times New Roman" w:eastAsia="SimSun" w:hAnsi="Times New Roman"/>
                <w:lang w:bidi="ar"/>
              </w:rPr>
              <w:t>21</w:t>
            </w:r>
          </w:p>
        </w:tc>
        <w:tc>
          <w:tcPr>
            <w:tcW w:w="0" w:type="auto"/>
            <w:tcBorders>
              <w:top w:val="nil"/>
              <w:left w:val="nil"/>
              <w:bottom w:val="nil"/>
              <w:right w:val="nil"/>
              <w:tl2br w:val="nil"/>
              <w:tr2bl w:val="nil"/>
            </w:tcBorders>
            <w:vAlign w:val="center"/>
          </w:tcPr>
          <w:p w14:paraId="4005FAF7"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4079AAA0" w14:textId="77777777" w:rsidR="00C852A7" w:rsidRPr="00825131" w:rsidRDefault="00B17446">
            <w:pPr>
              <w:jc w:val="both"/>
              <w:rPr>
                <w:rFonts w:ascii="Times New Roman" w:hAnsi="Times New Roman"/>
              </w:rPr>
            </w:pPr>
            <w:r w:rsidRPr="00825131">
              <w:rPr>
                <w:rFonts w:ascii="Times New Roman" w:eastAsia="SimSun" w:hAnsi="Times New Roman"/>
                <w:lang w:bidi="ar"/>
              </w:rPr>
              <w:t>Monitor</w:t>
            </w:r>
          </w:p>
        </w:tc>
        <w:tc>
          <w:tcPr>
            <w:tcW w:w="0" w:type="auto"/>
            <w:tcBorders>
              <w:top w:val="nil"/>
              <w:left w:val="nil"/>
              <w:bottom w:val="nil"/>
              <w:right w:val="nil"/>
              <w:tl2br w:val="nil"/>
              <w:tr2bl w:val="nil"/>
            </w:tcBorders>
            <w:vAlign w:val="center"/>
          </w:tcPr>
          <w:p w14:paraId="16938E40"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r w:rsidR="00C852A7" w:rsidRPr="00825131" w14:paraId="16842097" w14:textId="77777777">
        <w:trPr>
          <w:tblCellSpacing w:w="15" w:type="dxa"/>
        </w:trPr>
        <w:tc>
          <w:tcPr>
            <w:tcW w:w="0" w:type="auto"/>
            <w:tcBorders>
              <w:top w:val="nil"/>
              <w:left w:val="nil"/>
              <w:bottom w:val="nil"/>
              <w:right w:val="nil"/>
              <w:tl2br w:val="nil"/>
              <w:tr2bl w:val="nil"/>
            </w:tcBorders>
            <w:vAlign w:val="center"/>
          </w:tcPr>
          <w:p w14:paraId="5D610C11" w14:textId="77777777" w:rsidR="00C852A7" w:rsidRPr="00825131" w:rsidRDefault="00B17446">
            <w:pPr>
              <w:jc w:val="both"/>
              <w:rPr>
                <w:rFonts w:ascii="Times New Roman" w:hAnsi="Times New Roman"/>
              </w:rPr>
            </w:pPr>
            <w:r w:rsidRPr="00825131">
              <w:rPr>
                <w:rFonts w:ascii="Times New Roman" w:eastAsia="SimSun" w:hAnsi="Times New Roman"/>
                <w:lang w:bidi="ar"/>
              </w:rPr>
              <w:t>Lactate</w:t>
            </w:r>
          </w:p>
        </w:tc>
        <w:tc>
          <w:tcPr>
            <w:tcW w:w="0" w:type="auto"/>
            <w:tcBorders>
              <w:top w:val="nil"/>
              <w:left w:val="nil"/>
              <w:bottom w:val="nil"/>
              <w:right w:val="nil"/>
              <w:tl2br w:val="nil"/>
              <w:tr2bl w:val="nil"/>
            </w:tcBorders>
            <w:vAlign w:val="center"/>
          </w:tcPr>
          <w:p w14:paraId="6F18DC89" w14:textId="77777777" w:rsidR="00C852A7" w:rsidRPr="00825131" w:rsidRDefault="00B17446">
            <w:pPr>
              <w:jc w:val="both"/>
              <w:rPr>
                <w:rFonts w:ascii="Times New Roman" w:hAnsi="Times New Roman"/>
              </w:rPr>
            </w:pPr>
            <w:r w:rsidRPr="00825131">
              <w:rPr>
                <w:rFonts w:ascii="Times New Roman" w:eastAsia="SimSun" w:hAnsi="Times New Roman"/>
                <w:lang w:bidi="ar"/>
              </w:rPr>
              <w:t>2.1</w:t>
            </w:r>
          </w:p>
        </w:tc>
        <w:tc>
          <w:tcPr>
            <w:tcW w:w="0" w:type="auto"/>
            <w:tcBorders>
              <w:top w:val="nil"/>
              <w:left w:val="nil"/>
              <w:bottom w:val="nil"/>
              <w:right w:val="nil"/>
              <w:tl2br w:val="nil"/>
              <w:tr2bl w:val="nil"/>
            </w:tcBorders>
            <w:vAlign w:val="center"/>
          </w:tcPr>
          <w:p w14:paraId="27D17758"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29DC4350" w14:textId="77777777" w:rsidR="00C852A7" w:rsidRPr="00825131" w:rsidRDefault="00B17446">
            <w:pPr>
              <w:jc w:val="both"/>
              <w:rPr>
                <w:rFonts w:ascii="Times New Roman" w:hAnsi="Times New Roman"/>
              </w:rPr>
            </w:pPr>
            <w:r w:rsidRPr="00825131">
              <w:rPr>
                <w:rFonts w:ascii="Times New Roman" w:eastAsia="SimSun" w:hAnsi="Times New Roman"/>
                <w:lang w:bidi="ar"/>
              </w:rPr>
              <w:t>Escalate</w:t>
            </w:r>
          </w:p>
        </w:tc>
        <w:tc>
          <w:tcPr>
            <w:tcW w:w="0" w:type="auto"/>
            <w:tcBorders>
              <w:top w:val="nil"/>
              <w:left w:val="nil"/>
              <w:bottom w:val="nil"/>
              <w:right w:val="nil"/>
              <w:tl2br w:val="nil"/>
              <w:tr2bl w:val="nil"/>
            </w:tcBorders>
            <w:vAlign w:val="center"/>
          </w:tcPr>
          <w:p w14:paraId="020F0D76" w14:textId="77777777" w:rsidR="00C852A7" w:rsidRPr="00825131" w:rsidRDefault="00B17446">
            <w:pPr>
              <w:jc w:val="both"/>
              <w:rPr>
                <w:rFonts w:ascii="Times New Roman" w:hAnsi="Times New Roman"/>
              </w:rPr>
            </w:pPr>
            <w:r w:rsidRPr="00825131">
              <w:rPr>
                <w:rFonts w:ascii="Times New Roman" w:eastAsia="SimSun" w:hAnsi="Times New Roman"/>
                <w:lang w:bidi="ar"/>
              </w:rPr>
              <w:t>0.6</w:t>
            </w:r>
          </w:p>
        </w:tc>
      </w:tr>
      <w:tr w:rsidR="00C852A7" w:rsidRPr="00825131" w14:paraId="243804EF" w14:textId="77777777">
        <w:trPr>
          <w:tblCellSpacing w:w="15" w:type="dxa"/>
        </w:trPr>
        <w:tc>
          <w:tcPr>
            <w:tcW w:w="0" w:type="auto"/>
            <w:tcBorders>
              <w:top w:val="nil"/>
              <w:left w:val="nil"/>
              <w:bottom w:val="nil"/>
              <w:right w:val="nil"/>
              <w:tl2br w:val="nil"/>
              <w:tr2bl w:val="nil"/>
            </w:tcBorders>
            <w:vAlign w:val="center"/>
          </w:tcPr>
          <w:p w14:paraId="65E30797" w14:textId="77777777" w:rsidR="00C852A7" w:rsidRPr="00825131" w:rsidRDefault="00B17446">
            <w:pPr>
              <w:jc w:val="both"/>
              <w:rPr>
                <w:rFonts w:ascii="Times New Roman" w:hAnsi="Times New Roman"/>
              </w:rPr>
            </w:pPr>
            <w:r w:rsidRPr="00825131">
              <w:rPr>
                <w:rFonts w:ascii="Times New Roman" w:eastAsia="SimSun" w:hAnsi="Times New Roman"/>
                <w:lang w:bidi="ar"/>
              </w:rPr>
              <w:t>WBC</w:t>
            </w:r>
          </w:p>
        </w:tc>
        <w:tc>
          <w:tcPr>
            <w:tcW w:w="0" w:type="auto"/>
            <w:tcBorders>
              <w:top w:val="nil"/>
              <w:left w:val="nil"/>
              <w:bottom w:val="nil"/>
              <w:right w:val="nil"/>
              <w:tl2br w:val="nil"/>
              <w:tr2bl w:val="nil"/>
            </w:tcBorders>
            <w:vAlign w:val="center"/>
          </w:tcPr>
          <w:p w14:paraId="51A70851"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c>
          <w:tcPr>
            <w:tcW w:w="0" w:type="auto"/>
            <w:tcBorders>
              <w:top w:val="nil"/>
              <w:left w:val="nil"/>
              <w:bottom w:val="nil"/>
              <w:right w:val="nil"/>
              <w:tl2br w:val="nil"/>
              <w:tr2bl w:val="nil"/>
            </w:tcBorders>
            <w:vAlign w:val="center"/>
          </w:tcPr>
          <w:p w14:paraId="0FF6EAD0"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0E9AE9CF" w14:textId="77777777" w:rsidR="00C852A7" w:rsidRPr="00825131" w:rsidRDefault="00B17446">
            <w:pPr>
              <w:jc w:val="both"/>
              <w:rPr>
                <w:rFonts w:ascii="Times New Roman" w:hAnsi="Times New Roman"/>
              </w:rPr>
            </w:pPr>
            <w:r w:rsidRPr="00825131">
              <w:rPr>
                <w:rFonts w:ascii="Times New Roman" w:eastAsia="SimSun" w:hAnsi="Times New Roman"/>
                <w:lang w:bidi="ar"/>
              </w:rPr>
              <w:t>Monitor</w:t>
            </w:r>
          </w:p>
        </w:tc>
        <w:tc>
          <w:tcPr>
            <w:tcW w:w="0" w:type="auto"/>
            <w:tcBorders>
              <w:top w:val="nil"/>
              <w:left w:val="nil"/>
              <w:bottom w:val="nil"/>
              <w:right w:val="nil"/>
              <w:tl2br w:val="nil"/>
              <w:tr2bl w:val="nil"/>
            </w:tcBorders>
            <w:vAlign w:val="center"/>
          </w:tcPr>
          <w:p w14:paraId="68085F2C"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bl>
    <w:p w14:paraId="14221886" w14:textId="77777777"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b/>
          <w:bCs/>
        </w:rPr>
        <w:t>Credibility-Weighted Fusion</w:t>
      </w:r>
    </w:p>
    <w:p w14:paraId="7B137C08" w14:textId="77777777" w:rsidR="00C852A7" w:rsidRPr="00825131" w:rsidRDefault="00B17446">
      <w:pPr>
        <w:pStyle w:val="NormalWeb"/>
        <w:jc w:val="both"/>
      </w:pPr>
      <w:r w:rsidRPr="00825131">
        <w:t>Escalate = 1.2</w:t>
      </w:r>
      <w:r w:rsidRPr="00825131">
        <w:br/>
        <w:t>Monitor = 0.6</w:t>
      </w:r>
      <w:r w:rsidRPr="00825131">
        <w:br/>
      </w:r>
      <w:proofErr w:type="spellStart"/>
      <w:r w:rsidRPr="00825131">
        <w:t>Wtotal</w:t>
      </w:r>
      <w:proofErr w:type="spellEnd"/>
      <w:r w:rsidRPr="00825131">
        <w:t xml:space="preserve"> = 1.8</w:t>
      </w:r>
    </w:p>
    <w:p w14:paraId="358A3751" w14:textId="77777777" w:rsidR="00C852A7" w:rsidRPr="00825131" w:rsidRDefault="00B17446">
      <w:pPr>
        <w:pStyle w:val="NormalWeb"/>
        <w:jc w:val="both"/>
      </w:pPr>
      <w:r w:rsidRPr="00825131">
        <w:t xml:space="preserve">DES = (1.2 − 0.6) / 1.8 = </w:t>
      </w:r>
      <w:r w:rsidRPr="00825131">
        <w:rPr>
          <w:rStyle w:val="Strong"/>
          <w:b w:val="0"/>
        </w:rPr>
        <w:t>0.33 → Conditional</w:t>
      </w:r>
    </w:p>
    <w:p w14:paraId="1278F45F" w14:textId="77777777" w:rsidR="00C852A7" w:rsidRPr="00825131" w:rsidRDefault="00B17446">
      <w:pPr>
        <w:pStyle w:val="NormalWeb"/>
        <w:jc w:val="both"/>
      </w:pPr>
      <w:r w:rsidRPr="00825131">
        <w:rPr>
          <w:b/>
          <w:bCs/>
        </w:rPr>
        <w:t>Meaning</w:t>
      </w:r>
      <w:r w:rsidRPr="00825131">
        <w:t>: Enhanced monitoring and repeat labs rather than immediate escalation.</w:t>
      </w:r>
    </w:p>
    <w:p w14:paraId="4543A11A" w14:textId="77777777" w:rsidR="00C852A7" w:rsidRPr="00825131" w:rsidRDefault="00B17446">
      <w:pPr>
        <w:pStyle w:val="NormalWeb"/>
        <w:ind w:right="720"/>
        <w:jc w:val="both"/>
      </w:pPr>
      <w:r w:rsidRPr="00825131">
        <w:rPr>
          <w:rStyle w:val="Emphasis"/>
          <w:b/>
          <w:bCs/>
          <w:i w:val="0"/>
          <w:iCs/>
        </w:rPr>
        <w:t>5.2.</w:t>
      </w:r>
      <w:r w:rsidRPr="00825131">
        <w:rPr>
          <w:rStyle w:val="Strong"/>
          <w:bCs/>
          <w:iCs/>
        </w:rPr>
        <w:t xml:space="preserve"> </w:t>
      </w:r>
      <w:r w:rsidRPr="00825131">
        <w:rPr>
          <w:rStyle w:val="Strong"/>
        </w:rPr>
        <w:t>Real Data Example (Clinical AI): Breast Cancer Diagnosis Governance Using DES</w:t>
      </w:r>
    </w:p>
    <w:p w14:paraId="4E882BF3" w14:textId="77777777" w:rsidR="00C852A7" w:rsidRPr="00825131" w:rsidRDefault="00B17446">
      <w:pPr>
        <w:pStyle w:val="Heading2"/>
        <w:jc w:val="both"/>
        <w:rPr>
          <w:rFonts w:ascii="Times New Roman" w:hAnsi="Times New Roman" w:hint="default"/>
          <w:sz w:val="24"/>
          <w:szCs w:val="24"/>
        </w:rPr>
      </w:pPr>
      <w:proofErr w:type="gramStart"/>
      <w:r w:rsidRPr="00825131">
        <w:rPr>
          <w:rStyle w:val="Strong"/>
          <w:rFonts w:ascii="Times New Roman" w:hAnsi="Times New Roman" w:hint="eastAsia"/>
          <w:b/>
          <w:bCs/>
        </w:rPr>
        <w:lastRenderedPageBreak/>
        <w:t>Dataset :</w:t>
      </w:r>
      <w:r w:rsidRPr="00825131">
        <w:rPr>
          <w:rFonts w:ascii="Times New Roman" w:hAnsi="Times New Roman" w:hint="default"/>
          <w:b w:val="0"/>
          <w:bCs/>
          <w:sz w:val="24"/>
          <w:szCs w:val="24"/>
        </w:rPr>
        <w:t>This</w:t>
      </w:r>
      <w:proofErr w:type="gramEnd"/>
      <w:r w:rsidRPr="00825131">
        <w:rPr>
          <w:rFonts w:ascii="Times New Roman" w:hAnsi="Times New Roman" w:hint="default"/>
          <w:b w:val="0"/>
          <w:bCs/>
          <w:sz w:val="24"/>
          <w:szCs w:val="24"/>
        </w:rPr>
        <w:t xml:space="preserve"> demonstration uses the publicly available </w:t>
      </w:r>
      <w:r w:rsidRPr="00825131">
        <w:rPr>
          <w:rStyle w:val="Strong"/>
          <w:rFonts w:ascii="Times New Roman" w:hAnsi="Times New Roman" w:hint="eastAsia"/>
          <w:bCs/>
        </w:rPr>
        <w:t>Breast Cancer Wisconsin Diagnostic (WBCD)</w:t>
      </w:r>
      <w:r w:rsidRPr="00825131">
        <w:rPr>
          <w:rFonts w:ascii="Times New Roman" w:hAnsi="Times New Roman" w:hint="default"/>
          <w:b w:val="0"/>
          <w:bCs/>
          <w:sz w:val="24"/>
          <w:szCs w:val="24"/>
        </w:rPr>
        <w:t xml:space="preserve"> dataset(Wolberg,1995), which contains 569 patient samples with 30 quantitative cytological features derived from fine-needle aspirate images of breast masses. Each case is labeled as </w:t>
      </w:r>
      <w:r w:rsidRPr="00825131">
        <w:rPr>
          <w:rStyle w:val="Strong"/>
          <w:rFonts w:ascii="Times New Roman" w:hAnsi="Times New Roman" w:hint="eastAsia"/>
          <w:bCs/>
        </w:rPr>
        <w:t>Malignant</w:t>
      </w:r>
      <w:r w:rsidRPr="00825131">
        <w:rPr>
          <w:rFonts w:ascii="Times New Roman" w:hAnsi="Times New Roman" w:hint="default"/>
          <w:b w:val="0"/>
          <w:bCs/>
          <w:sz w:val="24"/>
          <w:szCs w:val="24"/>
        </w:rPr>
        <w:t xml:space="preserve"> or </w:t>
      </w:r>
      <w:r w:rsidRPr="00825131">
        <w:rPr>
          <w:rStyle w:val="Strong"/>
          <w:rFonts w:ascii="Times New Roman" w:hAnsi="Times New Roman" w:hint="eastAsia"/>
          <w:bCs/>
        </w:rPr>
        <w:t>Benign</w:t>
      </w:r>
      <w:r w:rsidRPr="00825131">
        <w:rPr>
          <w:rFonts w:ascii="Times New Roman" w:hAnsi="Times New Roman" w:hint="default"/>
          <w:b w:val="0"/>
          <w:bCs/>
          <w:sz w:val="24"/>
          <w:szCs w:val="24"/>
        </w:rPr>
        <w:t>. The dataset is widely used for evaluating diagnostic classifiers and uncertainty modeling.</w:t>
      </w:r>
    </w:p>
    <w:p w14:paraId="590AEA62" w14:textId="77777777" w:rsidR="00C852A7" w:rsidRPr="00825131" w:rsidRDefault="00B17446">
      <w:pPr>
        <w:pStyle w:val="NormalWeb"/>
        <w:jc w:val="both"/>
      </w:pPr>
      <w:r w:rsidRPr="00825131">
        <w:t>A supervised machine learning classifier (e.g., logistic regression or random forest) is assumed to be trained using standard cross-validation procedures. For each patient prediction, probabilistic outputs and auxiliary uncertainty indicators are extracted.</w:t>
      </w:r>
    </w:p>
    <w:p w14:paraId="12CE9B07" w14:textId="77777777"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b/>
          <w:bCs/>
        </w:rPr>
        <w:t xml:space="preserve">Decision </w:t>
      </w:r>
      <w:proofErr w:type="gramStart"/>
      <w:r w:rsidRPr="00825131">
        <w:rPr>
          <w:rStyle w:val="Strong"/>
          <w:rFonts w:ascii="Times New Roman" w:hAnsi="Times New Roman" w:hint="eastAsia"/>
          <w:b/>
          <w:bCs/>
        </w:rPr>
        <w:t>Objective :</w:t>
      </w:r>
      <w:r w:rsidRPr="00825131">
        <w:rPr>
          <w:rFonts w:ascii="Times New Roman" w:hAnsi="Times New Roman" w:hint="default"/>
          <w:b w:val="0"/>
          <w:bCs/>
          <w:sz w:val="24"/>
          <w:szCs w:val="24"/>
        </w:rPr>
        <w:t>The</w:t>
      </w:r>
      <w:proofErr w:type="gramEnd"/>
      <w:r w:rsidRPr="00825131">
        <w:rPr>
          <w:rFonts w:ascii="Times New Roman" w:hAnsi="Times New Roman" w:hint="default"/>
          <w:b w:val="0"/>
          <w:bCs/>
          <w:sz w:val="24"/>
          <w:szCs w:val="24"/>
        </w:rPr>
        <w:t xml:space="preserve"> governance objective is not to classify malignancy directly, but to determine whether the AI prediction may be </w:t>
      </w:r>
      <w:r w:rsidRPr="00825131">
        <w:rPr>
          <w:rStyle w:val="Strong"/>
          <w:rFonts w:ascii="Times New Roman" w:hAnsi="Times New Roman" w:hint="eastAsia"/>
          <w:bCs/>
        </w:rPr>
        <w:t>automatically trusted</w:t>
      </w:r>
      <w:r w:rsidRPr="00825131">
        <w:rPr>
          <w:rFonts w:ascii="Times New Roman" w:hAnsi="Times New Roman" w:hint="default"/>
          <w:b w:val="0"/>
          <w:bCs/>
          <w:sz w:val="24"/>
          <w:szCs w:val="24"/>
        </w:rPr>
        <w:t xml:space="preserve"> or should be </w:t>
      </w:r>
      <w:r w:rsidRPr="00825131">
        <w:rPr>
          <w:rStyle w:val="Strong"/>
          <w:rFonts w:ascii="Times New Roman" w:hAnsi="Times New Roman" w:hint="eastAsia"/>
          <w:bCs/>
        </w:rPr>
        <w:t>escalated for specialist review</w:t>
      </w:r>
      <w:r w:rsidRPr="00825131">
        <w:rPr>
          <w:rFonts w:ascii="Times New Roman" w:hAnsi="Times New Roman" w:hint="default"/>
          <w:b w:val="0"/>
          <w:bCs/>
          <w:sz w:val="24"/>
          <w:szCs w:val="24"/>
        </w:rPr>
        <w:t>.</w:t>
      </w:r>
    </w:p>
    <w:p w14:paraId="1B1E24D3" w14:textId="77777777" w:rsidR="00C852A7" w:rsidRPr="00825131" w:rsidRDefault="00B17446">
      <w:pPr>
        <w:jc w:val="both"/>
        <w:rPr>
          <w:rFonts w:ascii="Times New Roman" w:hAnsi="Times New Roman"/>
        </w:rPr>
      </w:pPr>
      <w:r w:rsidRPr="00825131">
        <w:rPr>
          <w:rFonts w:ascii="Times New Roman" w:eastAsia="SimSun" w:hAnsi="Times New Roman"/>
          <w:lang w:bidi="ar"/>
        </w:rPr>
        <w:t>D</w:t>
      </w:r>
      <w:r w:rsidRPr="00825131">
        <w:rPr>
          <w:rStyle w:val="HTMLCode"/>
          <w:rFonts w:ascii="Times New Roman" w:hAnsi="Times New Roman" w:cs="Times New Roman"/>
          <w:sz w:val="24"/>
          <w:szCs w:val="24"/>
          <w:lang w:bidi="ar"/>
        </w:rPr>
        <w:t xml:space="preserve"> = {Auto-Confirm Diagnosis, Refer for Expert Review}</w:t>
      </w:r>
    </w:p>
    <w:p w14:paraId="6E777EDA" w14:textId="10FFB940" w:rsidR="00C852A7" w:rsidRPr="00825131" w:rsidRDefault="00B17446">
      <w:pPr>
        <w:pStyle w:val="NormalWeb"/>
        <w:jc w:val="both"/>
        <w:rPr>
          <w:rStyle w:val="Strong"/>
          <w:b w:val="0"/>
          <w:bCs/>
        </w:rPr>
      </w:pPr>
      <w:r w:rsidRPr="00825131">
        <w:rPr>
          <w:rStyle w:val="Strong"/>
          <w:bCs/>
        </w:rPr>
        <w:t xml:space="preserve">Evidence </w:t>
      </w:r>
      <w:proofErr w:type="gramStart"/>
      <w:r w:rsidRPr="00825131">
        <w:rPr>
          <w:rStyle w:val="Strong"/>
          <w:bCs/>
        </w:rPr>
        <w:t>Signals :</w:t>
      </w:r>
      <w:r w:rsidRPr="00825131">
        <w:rPr>
          <w:rStyle w:val="Strong"/>
          <w:b w:val="0"/>
          <w:bCs/>
        </w:rPr>
        <w:t>Each</w:t>
      </w:r>
      <w:proofErr w:type="gramEnd"/>
      <w:r w:rsidRPr="00825131">
        <w:rPr>
          <w:rStyle w:val="Strong"/>
          <w:b w:val="0"/>
          <w:bCs/>
        </w:rPr>
        <w:t xml:space="preserve"> operational evidence signal is handled as a separate prediction channel as in Table </w:t>
      </w:r>
      <w:r w:rsidR="00DC2A39">
        <w:rPr>
          <w:rStyle w:val="Strong"/>
          <w:b w:val="0"/>
          <w:bCs/>
        </w:rPr>
        <w:t>7</w:t>
      </w:r>
      <w:r w:rsidRPr="00825131">
        <w:rPr>
          <w:rStyle w:val="Strong"/>
          <w:b w:val="0"/>
          <w:bCs/>
        </w:rPr>
        <w:t>.</w:t>
      </w:r>
    </w:p>
    <w:p w14:paraId="794A66FB" w14:textId="6BF6FB9D" w:rsidR="00C852A7" w:rsidRPr="00825131" w:rsidRDefault="00B17446">
      <w:pPr>
        <w:pStyle w:val="NormalWeb"/>
        <w:jc w:val="both"/>
        <w:rPr>
          <w:rStyle w:val="Strong"/>
          <w:bCs/>
        </w:rPr>
      </w:pPr>
      <w:r w:rsidRPr="00825131">
        <w:rPr>
          <w:b/>
          <w:bCs/>
        </w:rPr>
        <w:t xml:space="preserve">Table </w:t>
      </w:r>
      <w:r w:rsidR="00DC2A39">
        <w:rPr>
          <w:b/>
          <w:bCs/>
        </w:rPr>
        <w:t>7</w:t>
      </w:r>
      <w:r w:rsidRPr="00825131">
        <w:rPr>
          <w:b/>
          <w:bCs/>
        </w:rPr>
        <w:t>. Operational Evidence Signals Used for Prediction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3400"/>
        <w:gridCol w:w="2322"/>
      </w:tblGrid>
      <w:tr w:rsidR="00C852A7" w:rsidRPr="00825131" w14:paraId="5E6C6692" w14:textId="77777777">
        <w:trPr>
          <w:tblHeader/>
          <w:tblCellSpacing w:w="15" w:type="dxa"/>
        </w:trPr>
        <w:tc>
          <w:tcPr>
            <w:tcW w:w="0" w:type="auto"/>
            <w:tcBorders>
              <w:top w:val="nil"/>
              <w:left w:val="nil"/>
              <w:bottom w:val="nil"/>
              <w:right w:val="nil"/>
              <w:tl2br w:val="nil"/>
              <w:tr2bl w:val="nil"/>
            </w:tcBorders>
            <w:vAlign w:val="center"/>
          </w:tcPr>
          <w:p w14:paraId="365D99B4" w14:textId="77777777" w:rsidR="00C852A7" w:rsidRPr="00825131" w:rsidRDefault="00B17446">
            <w:pPr>
              <w:jc w:val="both"/>
              <w:rPr>
                <w:rFonts w:ascii="Times New Roman" w:hAnsi="Times New Roman"/>
                <w:b/>
              </w:rPr>
            </w:pPr>
            <w:r w:rsidRPr="00825131">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3FDE653C" w14:textId="77777777" w:rsidR="00C852A7" w:rsidRPr="00825131" w:rsidRDefault="00B17446">
            <w:pPr>
              <w:jc w:val="both"/>
              <w:rPr>
                <w:rFonts w:ascii="Times New Roman" w:hAnsi="Times New Roman"/>
                <w:b/>
              </w:rPr>
            </w:pPr>
            <w:r w:rsidRPr="00825131">
              <w:rPr>
                <w:rFonts w:ascii="Times New Roman" w:eastAsia="SimSun" w:hAnsi="Times New Roman"/>
                <w:b/>
                <w:lang w:bidi="ar"/>
              </w:rPr>
              <w:t>Description</w:t>
            </w:r>
          </w:p>
        </w:tc>
        <w:tc>
          <w:tcPr>
            <w:tcW w:w="0" w:type="auto"/>
            <w:tcBorders>
              <w:top w:val="nil"/>
              <w:left w:val="nil"/>
              <w:bottom w:val="nil"/>
              <w:right w:val="nil"/>
              <w:tl2br w:val="nil"/>
              <w:tr2bl w:val="nil"/>
            </w:tcBorders>
            <w:vAlign w:val="center"/>
          </w:tcPr>
          <w:p w14:paraId="51DE7647" w14:textId="77777777" w:rsidR="00C852A7" w:rsidRPr="00825131" w:rsidRDefault="00B17446">
            <w:pPr>
              <w:jc w:val="both"/>
              <w:rPr>
                <w:rFonts w:ascii="Times New Roman" w:hAnsi="Times New Roman"/>
                <w:b/>
              </w:rPr>
            </w:pPr>
            <w:r w:rsidRPr="00825131">
              <w:rPr>
                <w:rFonts w:ascii="Times New Roman" w:eastAsia="SimSun" w:hAnsi="Times New Roman"/>
                <w:b/>
                <w:lang w:bidi="ar"/>
              </w:rPr>
              <w:t>Clinical Meaning</w:t>
            </w:r>
          </w:p>
        </w:tc>
      </w:tr>
      <w:tr w:rsidR="00C852A7" w:rsidRPr="00825131" w14:paraId="0CA6FFB4" w14:textId="77777777">
        <w:trPr>
          <w:tblCellSpacing w:w="15" w:type="dxa"/>
        </w:trPr>
        <w:tc>
          <w:tcPr>
            <w:tcW w:w="0" w:type="auto"/>
            <w:tcBorders>
              <w:top w:val="nil"/>
              <w:left w:val="nil"/>
              <w:bottom w:val="nil"/>
              <w:right w:val="nil"/>
              <w:tl2br w:val="nil"/>
              <w:tr2bl w:val="nil"/>
            </w:tcBorders>
            <w:vAlign w:val="center"/>
          </w:tcPr>
          <w:p w14:paraId="7FA7D4A3" w14:textId="77777777" w:rsidR="00C852A7" w:rsidRPr="00825131" w:rsidRDefault="00B17446">
            <w:pPr>
              <w:jc w:val="both"/>
              <w:rPr>
                <w:rFonts w:ascii="Times New Roman" w:hAnsi="Times New Roman"/>
              </w:rPr>
            </w:pPr>
            <w:r w:rsidRPr="00825131">
              <w:rPr>
                <w:rFonts w:ascii="Times New Roman" w:eastAsia="SimSun" w:hAnsi="Times New Roman"/>
                <w:lang w:bidi="ar"/>
              </w:rPr>
              <w:t>Predicted Probability</w:t>
            </w:r>
          </w:p>
        </w:tc>
        <w:tc>
          <w:tcPr>
            <w:tcW w:w="0" w:type="auto"/>
            <w:tcBorders>
              <w:top w:val="nil"/>
              <w:left w:val="nil"/>
              <w:bottom w:val="nil"/>
              <w:right w:val="nil"/>
              <w:tl2br w:val="nil"/>
              <w:tr2bl w:val="nil"/>
            </w:tcBorders>
            <w:vAlign w:val="center"/>
          </w:tcPr>
          <w:p w14:paraId="64957D1B" w14:textId="77777777" w:rsidR="00C852A7" w:rsidRPr="00825131" w:rsidRDefault="00B17446">
            <w:pPr>
              <w:jc w:val="both"/>
              <w:rPr>
                <w:rFonts w:ascii="Times New Roman" w:hAnsi="Times New Roman"/>
              </w:rPr>
            </w:pPr>
            <w:r w:rsidRPr="00825131">
              <w:rPr>
                <w:rFonts w:ascii="Times New Roman" w:eastAsia="SimSun" w:hAnsi="Times New Roman"/>
                <w:lang w:bidi="ar"/>
              </w:rPr>
              <w:t>Probability of predicted class</w:t>
            </w:r>
          </w:p>
        </w:tc>
        <w:tc>
          <w:tcPr>
            <w:tcW w:w="0" w:type="auto"/>
            <w:tcBorders>
              <w:top w:val="nil"/>
              <w:left w:val="nil"/>
              <w:bottom w:val="nil"/>
              <w:right w:val="nil"/>
              <w:tl2br w:val="nil"/>
              <w:tr2bl w:val="nil"/>
            </w:tcBorders>
            <w:vAlign w:val="center"/>
          </w:tcPr>
          <w:p w14:paraId="55ED5371" w14:textId="77777777" w:rsidR="00C852A7" w:rsidRPr="00825131" w:rsidRDefault="00B17446">
            <w:pPr>
              <w:jc w:val="both"/>
              <w:rPr>
                <w:rFonts w:ascii="Times New Roman" w:hAnsi="Times New Roman"/>
              </w:rPr>
            </w:pPr>
            <w:r w:rsidRPr="00825131">
              <w:rPr>
                <w:rFonts w:ascii="Times New Roman" w:eastAsia="SimSun" w:hAnsi="Times New Roman"/>
                <w:lang w:bidi="ar"/>
              </w:rPr>
              <w:t>Confidence strength</w:t>
            </w:r>
          </w:p>
        </w:tc>
      </w:tr>
      <w:tr w:rsidR="00C852A7" w:rsidRPr="00825131" w14:paraId="643466B2" w14:textId="77777777">
        <w:trPr>
          <w:tblCellSpacing w:w="15" w:type="dxa"/>
        </w:trPr>
        <w:tc>
          <w:tcPr>
            <w:tcW w:w="0" w:type="auto"/>
            <w:tcBorders>
              <w:top w:val="nil"/>
              <w:left w:val="nil"/>
              <w:bottom w:val="nil"/>
              <w:right w:val="nil"/>
              <w:tl2br w:val="nil"/>
              <w:tr2bl w:val="nil"/>
            </w:tcBorders>
            <w:vAlign w:val="center"/>
          </w:tcPr>
          <w:p w14:paraId="7DAC5435" w14:textId="77777777" w:rsidR="00C852A7" w:rsidRPr="00825131" w:rsidRDefault="00B17446">
            <w:pPr>
              <w:jc w:val="both"/>
              <w:rPr>
                <w:rFonts w:ascii="Times New Roman" w:hAnsi="Times New Roman"/>
              </w:rPr>
            </w:pPr>
            <w:r w:rsidRPr="00825131">
              <w:rPr>
                <w:rFonts w:ascii="Times New Roman" w:eastAsia="SimSun" w:hAnsi="Times New Roman"/>
                <w:lang w:bidi="ar"/>
              </w:rPr>
              <w:t>Ensemble Agreement</w:t>
            </w:r>
          </w:p>
        </w:tc>
        <w:tc>
          <w:tcPr>
            <w:tcW w:w="0" w:type="auto"/>
            <w:tcBorders>
              <w:top w:val="nil"/>
              <w:left w:val="nil"/>
              <w:bottom w:val="nil"/>
              <w:right w:val="nil"/>
              <w:tl2br w:val="nil"/>
              <w:tr2bl w:val="nil"/>
            </w:tcBorders>
            <w:vAlign w:val="center"/>
          </w:tcPr>
          <w:p w14:paraId="572781D1" w14:textId="77777777" w:rsidR="00C852A7" w:rsidRPr="00825131" w:rsidRDefault="00B17446">
            <w:pPr>
              <w:jc w:val="both"/>
              <w:rPr>
                <w:rFonts w:ascii="Times New Roman" w:hAnsi="Times New Roman"/>
              </w:rPr>
            </w:pPr>
            <w:r w:rsidRPr="00825131">
              <w:rPr>
                <w:rFonts w:ascii="Times New Roman" w:eastAsia="SimSun" w:hAnsi="Times New Roman"/>
                <w:lang w:bidi="ar"/>
              </w:rPr>
              <w:t>% of models agreeing</w:t>
            </w:r>
          </w:p>
        </w:tc>
        <w:tc>
          <w:tcPr>
            <w:tcW w:w="0" w:type="auto"/>
            <w:tcBorders>
              <w:top w:val="nil"/>
              <w:left w:val="nil"/>
              <w:bottom w:val="nil"/>
              <w:right w:val="nil"/>
              <w:tl2br w:val="nil"/>
              <w:tr2bl w:val="nil"/>
            </w:tcBorders>
            <w:vAlign w:val="center"/>
          </w:tcPr>
          <w:p w14:paraId="21AC25D7" w14:textId="77777777" w:rsidR="00C852A7" w:rsidRPr="00825131" w:rsidRDefault="00B17446">
            <w:pPr>
              <w:jc w:val="both"/>
              <w:rPr>
                <w:rFonts w:ascii="Times New Roman" w:hAnsi="Times New Roman"/>
              </w:rPr>
            </w:pPr>
            <w:r w:rsidRPr="00825131">
              <w:rPr>
                <w:rFonts w:ascii="Times New Roman" w:eastAsia="SimSun" w:hAnsi="Times New Roman"/>
                <w:lang w:bidi="ar"/>
              </w:rPr>
              <w:t>Prediction stability</w:t>
            </w:r>
          </w:p>
        </w:tc>
      </w:tr>
      <w:tr w:rsidR="00C852A7" w:rsidRPr="00825131" w14:paraId="54456A28" w14:textId="77777777">
        <w:trPr>
          <w:tblCellSpacing w:w="15" w:type="dxa"/>
        </w:trPr>
        <w:tc>
          <w:tcPr>
            <w:tcW w:w="0" w:type="auto"/>
            <w:tcBorders>
              <w:top w:val="nil"/>
              <w:left w:val="nil"/>
              <w:bottom w:val="nil"/>
              <w:right w:val="nil"/>
              <w:tl2br w:val="nil"/>
              <w:tr2bl w:val="nil"/>
            </w:tcBorders>
            <w:vAlign w:val="center"/>
          </w:tcPr>
          <w:p w14:paraId="4954A057" w14:textId="77777777" w:rsidR="00C852A7" w:rsidRPr="00825131" w:rsidRDefault="00B17446">
            <w:pPr>
              <w:jc w:val="both"/>
              <w:rPr>
                <w:rFonts w:ascii="Times New Roman" w:hAnsi="Times New Roman"/>
              </w:rPr>
            </w:pPr>
            <w:r w:rsidRPr="00825131">
              <w:rPr>
                <w:rFonts w:ascii="Times New Roman" w:eastAsia="SimSun" w:hAnsi="Times New Roman"/>
                <w:lang w:bidi="ar"/>
              </w:rPr>
              <w:t>Prediction Entropy</w:t>
            </w:r>
          </w:p>
        </w:tc>
        <w:tc>
          <w:tcPr>
            <w:tcW w:w="0" w:type="auto"/>
            <w:tcBorders>
              <w:top w:val="nil"/>
              <w:left w:val="nil"/>
              <w:bottom w:val="nil"/>
              <w:right w:val="nil"/>
              <w:tl2br w:val="nil"/>
              <w:tr2bl w:val="nil"/>
            </w:tcBorders>
            <w:vAlign w:val="center"/>
          </w:tcPr>
          <w:p w14:paraId="4E98161A" w14:textId="77777777" w:rsidR="00C852A7" w:rsidRPr="00825131" w:rsidRDefault="00B17446">
            <w:pPr>
              <w:jc w:val="both"/>
              <w:rPr>
                <w:rFonts w:ascii="Times New Roman" w:hAnsi="Times New Roman"/>
              </w:rPr>
            </w:pPr>
            <w:r w:rsidRPr="00825131">
              <w:rPr>
                <w:rFonts w:ascii="Times New Roman" w:eastAsia="SimSun" w:hAnsi="Times New Roman"/>
                <w:lang w:bidi="ar"/>
              </w:rPr>
              <w:t>Output uncertainty</w:t>
            </w:r>
          </w:p>
        </w:tc>
        <w:tc>
          <w:tcPr>
            <w:tcW w:w="0" w:type="auto"/>
            <w:tcBorders>
              <w:top w:val="nil"/>
              <w:left w:val="nil"/>
              <w:bottom w:val="nil"/>
              <w:right w:val="nil"/>
              <w:tl2br w:val="nil"/>
              <w:tr2bl w:val="nil"/>
            </w:tcBorders>
            <w:vAlign w:val="center"/>
          </w:tcPr>
          <w:p w14:paraId="3B94BDE2" w14:textId="77777777" w:rsidR="00C852A7" w:rsidRPr="00825131" w:rsidRDefault="00B17446">
            <w:pPr>
              <w:jc w:val="both"/>
              <w:rPr>
                <w:rFonts w:ascii="Times New Roman" w:hAnsi="Times New Roman"/>
              </w:rPr>
            </w:pPr>
            <w:r w:rsidRPr="00825131">
              <w:rPr>
                <w:rFonts w:ascii="Times New Roman" w:eastAsia="SimSun" w:hAnsi="Times New Roman"/>
                <w:lang w:bidi="ar"/>
              </w:rPr>
              <w:t>Ambiguity</w:t>
            </w:r>
          </w:p>
        </w:tc>
      </w:tr>
      <w:tr w:rsidR="00C852A7" w:rsidRPr="00825131" w14:paraId="34E0E4D7" w14:textId="77777777">
        <w:trPr>
          <w:tblCellSpacing w:w="15" w:type="dxa"/>
        </w:trPr>
        <w:tc>
          <w:tcPr>
            <w:tcW w:w="0" w:type="auto"/>
            <w:tcBorders>
              <w:top w:val="nil"/>
              <w:left w:val="nil"/>
              <w:bottom w:val="nil"/>
              <w:right w:val="nil"/>
              <w:tl2br w:val="nil"/>
              <w:tr2bl w:val="nil"/>
            </w:tcBorders>
            <w:vAlign w:val="center"/>
          </w:tcPr>
          <w:p w14:paraId="06065F52" w14:textId="77777777" w:rsidR="00C852A7" w:rsidRPr="00825131" w:rsidRDefault="00B17446">
            <w:pPr>
              <w:jc w:val="both"/>
              <w:rPr>
                <w:rFonts w:ascii="Times New Roman" w:hAnsi="Times New Roman"/>
              </w:rPr>
            </w:pPr>
            <w:r w:rsidRPr="00825131">
              <w:rPr>
                <w:rFonts w:ascii="Times New Roman" w:eastAsia="SimSun" w:hAnsi="Times New Roman"/>
                <w:lang w:bidi="ar"/>
              </w:rPr>
              <w:t>Feature Distance</w:t>
            </w:r>
          </w:p>
        </w:tc>
        <w:tc>
          <w:tcPr>
            <w:tcW w:w="0" w:type="auto"/>
            <w:tcBorders>
              <w:top w:val="nil"/>
              <w:left w:val="nil"/>
              <w:bottom w:val="nil"/>
              <w:right w:val="nil"/>
              <w:tl2br w:val="nil"/>
              <w:tr2bl w:val="nil"/>
            </w:tcBorders>
            <w:vAlign w:val="center"/>
          </w:tcPr>
          <w:p w14:paraId="3D8377A6" w14:textId="77777777" w:rsidR="00C852A7" w:rsidRPr="00825131" w:rsidRDefault="00B17446">
            <w:pPr>
              <w:jc w:val="both"/>
              <w:rPr>
                <w:rFonts w:ascii="Times New Roman" w:hAnsi="Times New Roman"/>
              </w:rPr>
            </w:pPr>
            <w:r w:rsidRPr="00825131">
              <w:rPr>
                <w:rFonts w:ascii="Times New Roman" w:eastAsia="SimSun" w:hAnsi="Times New Roman"/>
                <w:lang w:bidi="ar"/>
              </w:rPr>
              <w:t>Distance from training distribution</w:t>
            </w:r>
          </w:p>
        </w:tc>
        <w:tc>
          <w:tcPr>
            <w:tcW w:w="0" w:type="auto"/>
            <w:tcBorders>
              <w:top w:val="nil"/>
              <w:left w:val="nil"/>
              <w:bottom w:val="nil"/>
              <w:right w:val="nil"/>
              <w:tl2br w:val="nil"/>
              <w:tr2bl w:val="nil"/>
            </w:tcBorders>
            <w:vAlign w:val="center"/>
          </w:tcPr>
          <w:p w14:paraId="7791F13F" w14:textId="77777777" w:rsidR="00C852A7" w:rsidRPr="00825131" w:rsidRDefault="00B17446">
            <w:pPr>
              <w:jc w:val="both"/>
              <w:rPr>
                <w:rFonts w:ascii="Times New Roman" w:hAnsi="Times New Roman"/>
              </w:rPr>
            </w:pPr>
            <w:r w:rsidRPr="00825131">
              <w:rPr>
                <w:rFonts w:ascii="Times New Roman" w:eastAsia="SimSun" w:hAnsi="Times New Roman"/>
                <w:lang w:bidi="ar"/>
              </w:rPr>
              <w:t>Out-of-distribution risk</w:t>
            </w:r>
          </w:p>
        </w:tc>
      </w:tr>
    </w:tbl>
    <w:p w14:paraId="32B7D5C3"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Epistemic Zones and Credibility Weights</w:t>
      </w:r>
    </w:p>
    <w:p w14:paraId="51906285" w14:textId="77777777" w:rsidR="00C852A7" w:rsidRPr="00825131" w:rsidRDefault="00B17446">
      <w:pPr>
        <w:pStyle w:val="NormalWeb"/>
        <w:jc w:val="both"/>
      </w:pPr>
      <w:r w:rsidRPr="00825131">
        <w:t xml:space="preserve">Evidence signals are stratified into four epistemic zones representing graded levels of reliability, stability, and operational interpretability. The </w:t>
      </w:r>
      <w:r w:rsidRPr="00825131">
        <w:rPr>
          <w:rStyle w:val="Strong"/>
          <w:b w:val="0"/>
        </w:rPr>
        <w:t>Trusted Zone</w:t>
      </w:r>
      <w:r w:rsidRPr="00825131">
        <w:t xml:space="preserve"> corresponds to high-confidence and stable evidence and receives full credibility weight (w=1). The </w:t>
      </w:r>
      <w:r w:rsidRPr="00825131">
        <w:rPr>
          <w:rStyle w:val="Strong"/>
          <w:b w:val="0"/>
        </w:rPr>
        <w:t>Plausible Zone</w:t>
      </w:r>
      <w:r w:rsidRPr="00825131">
        <w:t xml:space="preserve"> represents evidence subject to moderate uncertainty or borderline reliability and is assigned intermediate credibility (w=0.6). The </w:t>
      </w:r>
      <w:r w:rsidRPr="00825131">
        <w:rPr>
          <w:rStyle w:val="Strong"/>
          <w:b w:val="0"/>
        </w:rPr>
        <w:t>Weak Zone</w:t>
      </w:r>
      <w:r w:rsidRPr="00825131">
        <w:t xml:space="preserve"> captures noisy, unstable, or transient signals and is down-weighted to reflect reduced epistemic reliability (w=0.3). The </w:t>
      </w:r>
      <w:r w:rsidRPr="00825131">
        <w:rPr>
          <w:rStyle w:val="Strong"/>
          <w:b w:val="0"/>
        </w:rPr>
        <w:t>Abstain Zone</w:t>
      </w:r>
      <w:r w:rsidRPr="00825131">
        <w:t xml:space="preserve"> represents invalid, missing, or corrupted evidence and carries zero credibility weight (w=0.0), ensuring that unreliable inputs do not influence downstream aggregation or decision dominance.</w:t>
      </w:r>
    </w:p>
    <w:p w14:paraId="2B206980" w14:textId="77777777" w:rsidR="00C852A7" w:rsidRPr="00825131" w:rsidRDefault="00B17446">
      <w:pPr>
        <w:pStyle w:val="NormalWeb"/>
        <w:jc w:val="both"/>
      </w:pPr>
      <w:r w:rsidRPr="00825131">
        <w:t>These credibility weights encode epistemic reliability rather than signal magnitude and govern how strongly each evidence source contributes during credibility-weighted fusion and Decision Epistemic Strength (DES) computation. Weight values may be calibrated empirically or defined through governance policy depending on application context, provided that the monotonic credibility ordering is preserved.</w:t>
      </w:r>
    </w:p>
    <w:p w14:paraId="157C1D88"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Zone Assignment Rules</w:t>
      </w:r>
    </w:p>
    <w:p w14:paraId="5585AF90" w14:textId="77777777" w:rsidR="00C852A7" w:rsidRPr="00825131" w:rsidRDefault="00B17446">
      <w:pPr>
        <w:pStyle w:val="NormalWeb"/>
        <w:jc w:val="both"/>
      </w:pPr>
      <w:r w:rsidRPr="00825131">
        <w:t xml:space="preserve">Operational evidence signals are mapped into epistemic zones using predefined threshold rules reflecting confidence strength, stability, uncertainty exposure, and </w:t>
      </w:r>
      <w:r w:rsidRPr="00825131">
        <w:lastRenderedPageBreak/>
        <w:t xml:space="preserve">distributional validity. Predicted probability values at or above 0.90 are assigned to the </w:t>
      </w:r>
      <w:r w:rsidRPr="00825131">
        <w:rPr>
          <w:rStyle w:val="Strong"/>
        </w:rPr>
        <w:t>Trusted Zone</w:t>
      </w:r>
      <w:r w:rsidRPr="00825131">
        <w:t xml:space="preserve">, values between 0.75 and 0.89 to the </w:t>
      </w:r>
      <w:r w:rsidRPr="00825131">
        <w:rPr>
          <w:rStyle w:val="Strong"/>
        </w:rPr>
        <w:t>Plausible Zone</w:t>
      </w:r>
      <w:r w:rsidRPr="00825131">
        <w:t xml:space="preserve">, and values below 0.75 to the </w:t>
      </w:r>
      <w:r w:rsidRPr="00825131">
        <w:rPr>
          <w:rStyle w:val="Strong"/>
        </w:rPr>
        <w:t>Weak Zone</w:t>
      </w:r>
      <w:r w:rsidRPr="00825131">
        <w:t xml:space="preserve">. Ensemble agreement values of 90% or higher are classified as </w:t>
      </w:r>
      <w:r w:rsidRPr="00825131">
        <w:rPr>
          <w:rStyle w:val="Strong"/>
        </w:rPr>
        <w:t>Trusted</w:t>
      </w:r>
      <w:r w:rsidRPr="00825131">
        <w:t xml:space="preserve">, values between 70% and 89% as </w:t>
      </w:r>
      <w:r w:rsidRPr="00825131">
        <w:rPr>
          <w:rStyle w:val="Strong"/>
        </w:rPr>
        <w:t>Plausible</w:t>
      </w:r>
      <w:r w:rsidRPr="00825131">
        <w:t xml:space="preserve">, and values below 70% as </w:t>
      </w:r>
      <w:r w:rsidRPr="00825131">
        <w:rPr>
          <w:rStyle w:val="Strong"/>
        </w:rPr>
        <w:t>Weak</w:t>
      </w:r>
      <w:r w:rsidRPr="00825131">
        <w:t>, reflecting decreasing prediction stability.</w:t>
      </w:r>
    </w:p>
    <w:p w14:paraId="04AD1A42" w14:textId="77777777" w:rsidR="00C852A7" w:rsidRPr="00825131" w:rsidRDefault="00B17446">
      <w:pPr>
        <w:pStyle w:val="NormalWeb"/>
        <w:jc w:val="both"/>
      </w:pPr>
      <w:r w:rsidRPr="00825131">
        <w:t xml:space="preserve">Prediction entropy values of 0.20 or lower are assigned to the </w:t>
      </w:r>
      <w:r w:rsidRPr="00825131">
        <w:rPr>
          <w:rStyle w:val="Strong"/>
        </w:rPr>
        <w:t>Trusted Zone</w:t>
      </w:r>
      <w:r w:rsidRPr="00825131">
        <w:t xml:space="preserve">, values between 0.21 and 0.40 to the </w:t>
      </w:r>
      <w:r w:rsidRPr="00825131">
        <w:rPr>
          <w:rStyle w:val="Strong"/>
        </w:rPr>
        <w:t>Plausible Zone</w:t>
      </w:r>
      <w:r w:rsidRPr="00825131">
        <w:t xml:space="preserve">, and values exceeding 0.40 to the </w:t>
      </w:r>
      <w:r w:rsidRPr="00825131">
        <w:rPr>
          <w:rStyle w:val="Strong"/>
        </w:rPr>
        <w:t>Weak Zone</w:t>
      </w:r>
      <w:r w:rsidRPr="00825131">
        <w:t xml:space="preserve">, capturing increasing output ambiguity. Feature distance relative to the training distribution is categorized as </w:t>
      </w:r>
      <w:r w:rsidRPr="00825131">
        <w:rPr>
          <w:rStyle w:val="Strong"/>
        </w:rPr>
        <w:t>Trusted</w:t>
      </w:r>
      <w:r w:rsidRPr="00825131">
        <w:t xml:space="preserve"> when below a predefined in-distribution threshold, </w:t>
      </w:r>
      <w:r w:rsidRPr="00825131">
        <w:rPr>
          <w:rStyle w:val="Strong"/>
        </w:rPr>
        <w:t>Plausible</w:t>
      </w:r>
      <w:r w:rsidRPr="00825131">
        <w:t xml:space="preserve"> under mild distributional drift, and </w:t>
      </w:r>
      <w:r w:rsidRPr="00825131">
        <w:rPr>
          <w:rStyle w:val="Strong"/>
        </w:rPr>
        <w:t>Weak</w:t>
      </w:r>
      <w:r w:rsidRPr="00825131">
        <w:t xml:space="preserve"> under strong drift or out-of-distribution conditions.</w:t>
      </w:r>
    </w:p>
    <w:p w14:paraId="7FD4FB83" w14:textId="77777777" w:rsidR="00C852A7" w:rsidRPr="00825131" w:rsidRDefault="00B17446">
      <w:pPr>
        <w:pStyle w:val="NormalWeb"/>
        <w:jc w:val="both"/>
      </w:pPr>
      <w:r w:rsidRPr="00825131">
        <w:t>These thresholds are illustrative and serve to demonstrate epistemic zoning behavior rather than establish validated diagnostic or regulatory criteria. Threshold values may be adapted according to domain requirements, data characteristics, and governance policy.</w:t>
      </w:r>
    </w:p>
    <w:p w14:paraId="28C1D0DE" w14:textId="7D1EA95E" w:rsidR="00C852A7" w:rsidRPr="00825131" w:rsidRDefault="00B17446">
      <w:pPr>
        <w:pStyle w:val="Heading2"/>
        <w:jc w:val="both"/>
        <w:rPr>
          <w:rStyle w:val="Strong"/>
          <w:rFonts w:ascii="Times New Roman" w:hAnsi="Times New Roman" w:hint="eastAsia"/>
          <w:b/>
          <w:bCs/>
        </w:rPr>
      </w:pPr>
      <w:r w:rsidRPr="00825131">
        <w:rPr>
          <w:rStyle w:val="Strong"/>
          <w:rFonts w:ascii="Times New Roman" w:hAnsi="Times New Roman" w:hint="eastAsia"/>
          <w:b/>
          <w:bCs/>
        </w:rPr>
        <w:t xml:space="preserve">Single-Patient Realistic Example (Table </w:t>
      </w:r>
      <w:r w:rsidR="00D52079">
        <w:rPr>
          <w:rStyle w:val="Strong"/>
          <w:rFonts w:ascii="Times New Roman" w:hAnsi="Times New Roman" w:hint="eastAsia"/>
          <w:b/>
          <w:bCs/>
        </w:rPr>
        <w:t>8</w:t>
      </w:r>
      <w:r w:rsidRPr="00825131">
        <w:rPr>
          <w:rStyle w:val="Strong"/>
          <w:rFonts w:ascii="Times New Roman" w:hAnsi="Times New Roman" w:hint="eastAsia"/>
          <w:b/>
          <w:bCs/>
        </w:rPr>
        <w:t>)</w:t>
      </w:r>
    </w:p>
    <w:p w14:paraId="2E76AD4A" w14:textId="6E0794B8" w:rsidR="00C852A7" w:rsidRPr="00825131" w:rsidRDefault="00B17446">
      <w:pPr>
        <w:jc w:val="both"/>
        <w:rPr>
          <w:rFonts w:ascii="Times New Roman" w:hAnsi="Times New Roman"/>
        </w:rPr>
      </w:pPr>
      <w:r w:rsidRPr="00825131">
        <w:rPr>
          <w:rFonts w:ascii="Times New Roman" w:eastAsia="SimSun" w:hAnsi="Times New Roman"/>
        </w:rPr>
        <w:t xml:space="preserve">Table </w:t>
      </w:r>
      <w:r w:rsidR="00D52079">
        <w:rPr>
          <w:rFonts w:ascii="Times New Roman" w:eastAsia="SimSun" w:hAnsi="Times New Roman"/>
        </w:rPr>
        <w:t>8</w:t>
      </w:r>
      <w:r w:rsidRPr="00825131">
        <w:rPr>
          <w:rFonts w:ascii="Times New Roman" w:eastAsia="SimSun" w:hAnsi="Times New Roman"/>
        </w:rPr>
        <w:t xml:space="preserve"> presents a synthetic single-case example in which multiple operational evidence signals consistently support automatic confirmation, while a mild out-of-distribution signal introduces moderate epistemic caution. The example illustrates how credibility-weighted fusion preserves strong dominance while appropriately moderating influence from plausibility-level uncertainty.</w:t>
      </w:r>
    </w:p>
    <w:p w14:paraId="19E2C527" w14:textId="63FDF9E6"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 xml:space="preserve">Table </w:t>
      </w:r>
      <w:r w:rsidR="00D52079">
        <w:rPr>
          <w:rStyle w:val="Strong"/>
          <w:rFonts w:ascii="Times New Roman" w:hAnsi="Times New Roman" w:hint="eastAsia"/>
          <w:b/>
          <w:bCs/>
        </w:rPr>
        <w:t>8</w:t>
      </w:r>
      <w:r w:rsidRPr="00825131">
        <w:rPr>
          <w:rStyle w:val="Strong"/>
          <w:rFonts w:ascii="Times New Roman" w:hAnsi="Times New Roman" w:hint="eastAsia"/>
          <w:b/>
          <w:bCs/>
        </w:rPr>
        <w:t>. High-Confidence Single-Case Example with Mild Distributional Caution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1707"/>
        <w:gridCol w:w="940"/>
        <w:gridCol w:w="1434"/>
        <w:gridCol w:w="822"/>
      </w:tblGrid>
      <w:tr w:rsidR="00C852A7" w:rsidRPr="00825131" w14:paraId="4A50ABC8" w14:textId="77777777">
        <w:trPr>
          <w:tblHeader/>
          <w:tblCellSpacing w:w="15" w:type="dxa"/>
        </w:trPr>
        <w:tc>
          <w:tcPr>
            <w:tcW w:w="0" w:type="auto"/>
            <w:tcBorders>
              <w:top w:val="nil"/>
              <w:left w:val="nil"/>
              <w:bottom w:val="nil"/>
              <w:right w:val="nil"/>
              <w:tl2br w:val="nil"/>
              <w:tr2bl w:val="nil"/>
            </w:tcBorders>
            <w:vAlign w:val="center"/>
          </w:tcPr>
          <w:p w14:paraId="2BB237C5" w14:textId="77777777" w:rsidR="00C852A7" w:rsidRPr="00825131" w:rsidRDefault="00B17446">
            <w:pPr>
              <w:jc w:val="both"/>
              <w:rPr>
                <w:rFonts w:ascii="Times New Roman" w:hAnsi="Times New Roman"/>
                <w:b/>
              </w:rPr>
            </w:pPr>
            <w:r w:rsidRPr="00825131">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6F1248CB" w14:textId="77777777" w:rsidR="00C852A7" w:rsidRPr="00825131" w:rsidRDefault="00B17446">
            <w:pPr>
              <w:jc w:val="both"/>
              <w:rPr>
                <w:rFonts w:ascii="Times New Roman" w:hAnsi="Times New Roman"/>
                <w:b/>
              </w:rPr>
            </w:pPr>
            <w:r w:rsidRPr="00825131">
              <w:rPr>
                <w:rFonts w:ascii="Times New Roman" w:eastAsia="SimSun" w:hAnsi="Times New Roman"/>
                <w:b/>
                <w:lang w:bidi="ar"/>
              </w:rPr>
              <w:t>Observed Value</w:t>
            </w:r>
          </w:p>
        </w:tc>
        <w:tc>
          <w:tcPr>
            <w:tcW w:w="0" w:type="auto"/>
            <w:tcBorders>
              <w:top w:val="nil"/>
              <w:left w:val="nil"/>
              <w:bottom w:val="nil"/>
              <w:right w:val="nil"/>
              <w:tl2br w:val="nil"/>
              <w:tr2bl w:val="nil"/>
            </w:tcBorders>
            <w:vAlign w:val="center"/>
          </w:tcPr>
          <w:p w14:paraId="2B7F97D9" w14:textId="77777777" w:rsidR="00C852A7" w:rsidRPr="00825131" w:rsidRDefault="00B17446">
            <w:pPr>
              <w:jc w:val="both"/>
              <w:rPr>
                <w:rFonts w:ascii="Times New Roman" w:hAnsi="Times New Roman"/>
                <w:b/>
              </w:rPr>
            </w:pPr>
            <w:r w:rsidRPr="00825131">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58F11C4C" w14:textId="77777777" w:rsidR="00C852A7" w:rsidRPr="00825131" w:rsidRDefault="00B17446">
            <w:pPr>
              <w:jc w:val="both"/>
              <w:rPr>
                <w:rFonts w:ascii="Times New Roman" w:hAnsi="Times New Roman"/>
                <w:b/>
              </w:rPr>
            </w:pPr>
            <w:r w:rsidRPr="00825131">
              <w:rPr>
                <w:rFonts w:ascii="Times New Roman" w:eastAsia="SimSun" w:hAnsi="Times New Roman"/>
                <w:b/>
                <w:lang w:bidi="ar"/>
              </w:rPr>
              <w:t>Local Vote</w:t>
            </w:r>
          </w:p>
        </w:tc>
        <w:tc>
          <w:tcPr>
            <w:tcW w:w="0" w:type="auto"/>
            <w:tcBorders>
              <w:top w:val="nil"/>
              <w:left w:val="nil"/>
              <w:bottom w:val="nil"/>
              <w:right w:val="nil"/>
              <w:tl2br w:val="nil"/>
              <w:tr2bl w:val="nil"/>
            </w:tcBorders>
            <w:vAlign w:val="center"/>
          </w:tcPr>
          <w:p w14:paraId="34D77FDA" w14:textId="77777777" w:rsidR="00C852A7" w:rsidRPr="00825131" w:rsidRDefault="00B17446">
            <w:pPr>
              <w:jc w:val="both"/>
              <w:rPr>
                <w:rFonts w:ascii="Times New Roman" w:hAnsi="Times New Roman"/>
                <w:b/>
              </w:rPr>
            </w:pPr>
            <w:r w:rsidRPr="00825131">
              <w:rPr>
                <w:rFonts w:ascii="Times New Roman" w:eastAsia="SimSun" w:hAnsi="Times New Roman"/>
                <w:b/>
                <w:lang w:bidi="ar"/>
              </w:rPr>
              <w:t>Weight</w:t>
            </w:r>
          </w:p>
        </w:tc>
      </w:tr>
      <w:tr w:rsidR="00C852A7" w:rsidRPr="00825131" w14:paraId="78F548D8" w14:textId="77777777">
        <w:trPr>
          <w:tblCellSpacing w:w="15" w:type="dxa"/>
        </w:trPr>
        <w:tc>
          <w:tcPr>
            <w:tcW w:w="0" w:type="auto"/>
            <w:tcBorders>
              <w:top w:val="nil"/>
              <w:left w:val="nil"/>
              <w:bottom w:val="nil"/>
              <w:right w:val="nil"/>
              <w:tl2br w:val="nil"/>
              <w:tr2bl w:val="nil"/>
            </w:tcBorders>
            <w:vAlign w:val="center"/>
          </w:tcPr>
          <w:p w14:paraId="13DAEC7A" w14:textId="77777777" w:rsidR="00C852A7" w:rsidRPr="00825131" w:rsidRDefault="00B17446">
            <w:pPr>
              <w:jc w:val="both"/>
              <w:rPr>
                <w:rFonts w:ascii="Times New Roman" w:hAnsi="Times New Roman"/>
              </w:rPr>
            </w:pPr>
            <w:r w:rsidRPr="00825131">
              <w:rPr>
                <w:rFonts w:ascii="Times New Roman" w:eastAsia="SimSun" w:hAnsi="Times New Roman"/>
                <w:lang w:bidi="ar"/>
              </w:rPr>
              <w:t>Probability</w:t>
            </w:r>
          </w:p>
        </w:tc>
        <w:tc>
          <w:tcPr>
            <w:tcW w:w="0" w:type="auto"/>
            <w:tcBorders>
              <w:top w:val="nil"/>
              <w:left w:val="nil"/>
              <w:bottom w:val="nil"/>
              <w:right w:val="nil"/>
              <w:tl2br w:val="nil"/>
              <w:tr2bl w:val="nil"/>
            </w:tcBorders>
            <w:vAlign w:val="center"/>
          </w:tcPr>
          <w:p w14:paraId="50AECF79" w14:textId="77777777" w:rsidR="00C852A7" w:rsidRPr="00825131" w:rsidRDefault="00B17446">
            <w:pPr>
              <w:jc w:val="both"/>
              <w:rPr>
                <w:rFonts w:ascii="Times New Roman" w:hAnsi="Times New Roman"/>
              </w:rPr>
            </w:pPr>
            <w:r w:rsidRPr="00825131">
              <w:rPr>
                <w:rFonts w:ascii="Times New Roman" w:eastAsia="SimSun" w:hAnsi="Times New Roman"/>
                <w:lang w:bidi="ar"/>
              </w:rPr>
              <w:t>0.96 (Malignant)</w:t>
            </w:r>
          </w:p>
        </w:tc>
        <w:tc>
          <w:tcPr>
            <w:tcW w:w="0" w:type="auto"/>
            <w:tcBorders>
              <w:top w:val="nil"/>
              <w:left w:val="nil"/>
              <w:bottom w:val="nil"/>
              <w:right w:val="nil"/>
              <w:tl2br w:val="nil"/>
              <w:tr2bl w:val="nil"/>
            </w:tcBorders>
            <w:vAlign w:val="center"/>
          </w:tcPr>
          <w:p w14:paraId="5D5A35EA"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68D32D7E" w14:textId="77777777" w:rsidR="00C852A7" w:rsidRPr="00825131" w:rsidRDefault="00B17446">
            <w:pPr>
              <w:jc w:val="both"/>
              <w:rPr>
                <w:rFonts w:ascii="Times New Roman" w:hAnsi="Times New Roman"/>
              </w:rPr>
            </w:pPr>
            <w:r w:rsidRPr="00825131">
              <w:rPr>
                <w:rFonts w:ascii="Times New Roman" w:eastAsia="SimSun" w:hAnsi="Times New Roman"/>
                <w:lang w:bidi="ar"/>
              </w:rPr>
              <w:t>Auto-Confirm</w:t>
            </w:r>
          </w:p>
        </w:tc>
        <w:tc>
          <w:tcPr>
            <w:tcW w:w="0" w:type="auto"/>
            <w:tcBorders>
              <w:top w:val="nil"/>
              <w:left w:val="nil"/>
              <w:bottom w:val="nil"/>
              <w:right w:val="nil"/>
              <w:tl2br w:val="nil"/>
              <w:tr2bl w:val="nil"/>
            </w:tcBorders>
            <w:vAlign w:val="center"/>
          </w:tcPr>
          <w:p w14:paraId="088532AA"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24199848" w14:textId="77777777">
        <w:trPr>
          <w:tblCellSpacing w:w="15" w:type="dxa"/>
        </w:trPr>
        <w:tc>
          <w:tcPr>
            <w:tcW w:w="0" w:type="auto"/>
            <w:tcBorders>
              <w:top w:val="nil"/>
              <w:left w:val="nil"/>
              <w:bottom w:val="nil"/>
              <w:right w:val="nil"/>
              <w:tl2br w:val="nil"/>
              <w:tr2bl w:val="nil"/>
            </w:tcBorders>
            <w:vAlign w:val="center"/>
          </w:tcPr>
          <w:p w14:paraId="74F8834C" w14:textId="77777777" w:rsidR="00C852A7" w:rsidRPr="00825131" w:rsidRDefault="00B17446">
            <w:pPr>
              <w:jc w:val="both"/>
              <w:rPr>
                <w:rFonts w:ascii="Times New Roman" w:hAnsi="Times New Roman"/>
              </w:rPr>
            </w:pPr>
            <w:r w:rsidRPr="00825131">
              <w:rPr>
                <w:rFonts w:ascii="Times New Roman" w:eastAsia="SimSun" w:hAnsi="Times New Roman"/>
                <w:lang w:bidi="ar"/>
              </w:rPr>
              <w:t>Ensemble Agreement</w:t>
            </w:r>
          </w:p>
        </w:tc>
        <w:tc>
          <w:tcPr>
            <w:tcW w:w="0" w:type="auto"/>
            <w:tcBorders>
              <w:top w:val="nil"/>
              <w:left w:val="nil"/>
              <w:bottom w:val="nil"/>
              <w:right w:val="nil"/>
              <w:tl2br w:val="nil"/>
              <w:tr2bl w:val="nil"/>
            </w:tcBorders>
            <w:vAlign w:val="center"/>
          </w:tcPr>
          <w:p w14:paraId="7CD1EC1F" w14:textId="77777777" w:rsidR="00C852A7" w:rsidRPr="00825131" w:rsidRDefault="00B17446">
            <w:pPr>
              <w:jc w:val="both"/>
              <w:rPr>
                <w:rFonts w:ascii="Times New Roman" w:hAnsi="Times New Roman"/>
              </w:rPr>
            </w:pPr>
            <w:r w:rsidRPr="00825131">
              <w:rPr>
                <w:rFonts w:ascii="Times New Roman" w:eastAsia="SimSun" w:hAnsi="Times New Roman"/>
                <w:lang w:bidi="ar"/>
              </w:rPr>
              <w:t>92%</w:t>
            </w:r>
          </w:p>
        </w:tc>
        <w:tc>
          <w:tcPr>
            <w:tcW w:w="0" w:type="auto"/>
            <w:tcBorders>
              <w:top w:val="nil"/>
              <w:left w:val="nil"/>
              <w:bottom w:val="nil"/>
              <w:right w:val="nil"/>
              <w:tl2br w:val="nil"/>
              <w:tr2bl w:val="nil"/>
            </w:tcBorders>
            <w:vAlign w:val="center"/>
          </w:tcPr>
          <w:p w14:paraId="1C5C68A9"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2027D790" w14:textId="77777777" w:rsidR="00C852A7" w:rsidRPr="00825131" w:rsidRDefault="00B17446">
            <w:pPr>
              <w:jc w:val="both"/>
              <w:rPr>
                <w:rFonts w:ascii="Times New Roman" w:hAnsi="Times New Roman"/>
              </w:rPr>
            </w:pPr>
            <w:r w:rsidRPr="00825131">
              <w:rPr>
                <w:rFonts w:ascii="Times New Roman" w:eastAsia="SimSun" w:hAnsi="Times New Roman"/>
                <w:lang w:bidi="ar"/>
              </w:rPr>
              <w:t>Auto-Confirm</w:t>
            </w:r>
          </w:p>
        </w:tc>
        <w:tc>
          <w:tcPr>
            <w:tcW w:w="0" w:type="auto"/>
            <w:tcBorders>
              <w:top w:val="nil"/>
              <w:left w:val="nil"/>
              <w:bottom w:val="nil"/>
              <w:right w:val="nil"/>
              <w:tl2br w:val="nil"/>
              <w:tr2bl w:val="nil"/>
            </w:tcBorders>
            <w:vAlign w:val="center"/>
          </w:tcPr>
          <w:p w14:paraId="338583AF"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343F2738" w14:textId="77777777">
        <w:trPr>
          <w:tblCellSpacing w:w="15" w:type="dxa"/>
        </w:trPr>
        <w:tc>
          <w:tcPr>
            <w:tcW w:w="0" w:type="auto"/>
            <w:tcBorders>
              <w:top w:val="nil"/>
              <w:left w:val="nil"/>
              <w:bottom w:val="nil"/>
              <w:right w:val="nil"/>
              <w:tl2br w:val="nil"/>
              <w:tr2bl w:val="nil"/>
            </w:tcBorders>
            <w:vAlign w:val="center"/>
          </w:tcPr>
          <w:p w14:paraId="04F3D57B" w14:textId="77777777" w:rsidR="00C852A7" w:rsidRPr="00825131" w:rsidRDefault="00B17446">
            <w:pPr>
              <w:jc w:val="both"/>
              <w:rPr>
                <w:rFonts w:ascii="Times New Roman" w:hAnsi="Times New Roman"/>
              </w:rPr>
            </w:pPr>
            <w:r w:rsidRPr="00825131">
              <w:rPr>
                <w:rFonts w:ascii="Times New Roman" w:eastAsia="SimSun" w:hAnsi="Times New Roman"/>
                <w:lang w:bidi="ar"/>
              </w:rPr>
              <w:t>Entropy</w:t>
            </w:r>
          </w:p>
        </w:tc>
        <w:tc>
          <w:tcPr>
            <w:tcW w:w="0" w:type="auto"/>
            <w:tcBorders>
              <w:top w:val="nil"/>
              <w:left w:val="nil"/>
              <w:bottom w:val="nil"/>
              <w:right w:val="nil"/>
              <w:tl2br w:val="nil"/>
              <w:tr2bl w:val="nil"/>
            </w:tcBorders>
            <w:vAlign w:val="center"/>
          </w:tcPr>
          <w:p w14:paraId="19518290" w14:textId="77777777" w:rsidR="00C852A7" w:rsidRPr="00825131" w:rsidRDefault="00B17446">
            <w:pPr>
              <w:jc w:val="both"/>
              <w:rPr>
                <w:rFonts w:ascii="Times New Roman" w:hAnsi="Times New Roman"/>
              </w:rPr>
            </w:pPr>
            <w:r w:rsidRPr="00825131">
              <w:rPr>
                <w:rFonts w:ascii="Times New Roman" w:eastAsia="SimSun" w:hAnsi="Times New Roman"/>
                <w:lang w:bidi="ar"/>
              </w:rPr>
              <w:t>0.14</w:t>
            </w:r>
          </w:p>
        </w:tc>
        <w:tc>
          <w:tcPr>
            <w:tcW w:w="0" w:type="auto"/>
            <w:tcBorders>
              <w:top w:val="nil"/>
              <w:left w:val="nil"/>
              <w:bottom w:val="nil"/>
              <w:right w:val="nil"/>
              <w:tl2br w:val="nil"/>
              <w:tr2bl w:val="nil"/>
            </w:tcBorders>
            <w:vAlign w:val="center"/>
          </w:tcPr>
          <w:p w14:paraId="670A8E99" w14:textId="77777777" w:rsidR="00C852A7" w:rsidRPr="00825131" w:rsidRDefault="00B17446">
            <w:pPr>
              <w:jc w:val="both"/>
              <w:rPr>
                <w:rFonts w:ascii="Times New Roman" w:hAnsi="Times New Roman"/>
              </w:rPr>
            </w:pPr>
            <w:r w:rsidRPr="00825131">
              <w:rPr>
                <w:rFonts w:ascii="Times New Roman" w:eastAsia="SimSun" w:hAnsi="Times New Roman"/>
                <w:lang w:bidi="ar"/>
              </w:rPr>
              <w:t>Trusted</w:t>
            </w:r>
          </w:p>
        </w:tc>
        <w:tc>
          <w:tcPr>
            <w:tcW w:w="0" w:type="auto"/>
            <w:tcBorders>
              <w:top w:val="nil"/>
              <w:left w:val="nil"/>
              <w:bottom w:val="nil"/>
              <w:right w:val="nil"/>
              <w:tl2br w:val="nil"/>
              <w:tr2bl w:val="nil"/>
            </w:tcBorders>
            <w:vAlign w:val="center"/>
          </w:tcPr>
          <w:p w14:paraId="1B0D7DF1" w14:textId="77777777" w:rsidR="00C852A7" w:rsidRPr="00825131" w:rsidRDefault="00B17446">
            <w:pPr>
              <w:jc w:val="both"/>
              <w:rPr>
                <w:rFonts w:ascii="Times New Roman" w:hAnsi="Times New Roman"/>
              </w:rPr>
            </w:pPr>
            <w:r w:rsidRPr="00825131">
              <w:rPr>
                <w:rFonts w:ascii="Times New Roman" w:eastAsia="SimSun" w:hAnsi="Times New Roman"/>
                <w:lang w:bidi="ar"/>
              </w:rPr>
              <w:t>Auto-Confirm</w:t>
            </w:r>
          </w:p>
        </w:tc>
        <w:tc>
          <w:tcPr>
            <w:tcW w:w="0" w:type="auto"/>
            <w:tcBorders>
              <w:top w:val="nil"/>
              <w:left w:val="nil"/>
              <w:bottom w:val="nil"/>
              <w:right w:val="nil"/>
              <w:tl2br w:val="nil"/>
              <w:tr2bl w:val="nil"/>
            </w:tcBorders>
            <w:vAlign w:val="center"/>
          </w:tcPr>
          <w:p w14:paraId="6FA551C7" w14:textId="77777777" w:rsidR="00C852A7" w:rsidRPr="00825131" w:rsidRDefault="00B17446">
            <w:pPr>
              <w:jc w:val="both"/>
              <w:rPr>
                <w:rFonts w:ascii="Times New Roman" w:hAnsi="Times New Roman"/>
              </w:rPr>
            </w:pPr>
            <w:r w:rsidRPr="00825131">
              <w:rPr>
                <w:rFonts w:ascii="Times New Roman" w:eastAsia="SimSun" w:hAnsi="Times New Roman"/>
                <w:lang w:bidi="ar"/>
              </w:rPr>
              <w:t>1.0</w:t>
            </w:r>
          </w:p>
        </w:tc>
      </w:tr>
      <w:tr w:rsidR="00C852A7" w:rsidRPr="00825131" w14:paraId="634E1CFD" w14:textId="77777777">
        <w:trPr>
          <w:tblCellSpacing w:w="15" w:type="dxa"/>
        </w:trPr>
        <w:tc>
          <w:tcPr>
            <w:tcW w:w="0" w:type="auto"/>
            <w:tcBorders>
              <w:top w:val="nil"/>
              <w:left w:val="nil"/>
              <w:bottom w:val="nil"/>
              <w:right w:val="nil"/>
              <w:tl2br w:val="nil"/>
              <w:tr2bl w:val="nil"/>
            </w:tcBorders>
            <w:vAlign w:val="center"/>
          </w:tcPr>
          <w:p w14:paraId="75D066C8" w14:textId="77777777" w:rsidR="00C852A7" w:rsidRPr="00825131" w:rsidRDefault="00B17446">
            <w:pPr>
              <w:jc w:val="both"/>
              <w:rPr>
                <w:rFonts w:ascii="Times New Roman" w:hAnsi="Times New Roman"/>
              </w:rPr>
            </w:pPr>
            <w:r w:rsidRPr="00825131">
              <w:rPr>
                <w:rFonts w:ascii="Times New Roman" w:eastAsia="SimSun" w:hAnsi="Times New Roman"/>
                <w:lang w:bidi="ar"/>
              </w:rPr>
              <w:t>Feature Distance</w:t>
            </w:r>
          </w:p>
        </w:tc>
        <w:tc>
          <w:tcPr>
            <w:tcW w:w="0" w:type="auto"/>
            <w:tcBorders>
              <w:top w:val="nil"/>
              <w:left w:val="nil"/>
              <w:bottom w:val="nil"/>
              <w:right w:val="nil"/>
              <w:tl2br w:val="nil"/>
              <w:tr2bl w:val="nil"/>
            </w:tcBorders>
            <w:vAlign w:val="center"/>
          </w:tcPr>
          <w:p w14:paraId="570405E2" w14:textId="77777777" w:rsidR="00C852A7" w:rsidRPr="00825131" w:rsidRDefault="00B17446">
            <w:pPr>
              <w:jc w:val="both"/>
              <w:rPr>
                <w:rFonts w:ascii="Times New Roman" w:hAnsi="Times New Roman"/>
              </w:rPr>
            </w:pPr>
            <w:r w:rsidRPr="00825131">
              <w:rPr>
                <w:rFonts w:ascii="Times New Roman" w:eastAsia="SimSun" w:hAnsi="Times New Roman"/>
                <w:lang w:bidi="ar"/>
              </w:rPr>
              <w:t>Mild drift</w:t>
            </w:r>
          </w:p>
        </w:tc>
        <w:tc>
          <w:tcPr>
            <w:tcW w:w="0" w:type="auto"/>
            <w:tcBorders>
              <w:top w:val="nil"/>
              <w:left w:val="nil"/>
              <w:bottom w:val="nil"/>
              <w:right w:val="nil"/>
              <w:tl2br w:val="nil"/>
              <w:tr2bl w:val="nil"/>
            </w:tcBorders>
            <w:vAlign w:val="center"/>
          </w:tcPr>
          <w:p w14:paraId="5062996D"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71A4BAC5" w14:textId="77777777" w:rsidR="00C852A7" w:rsidRPr="00825131" w:rsidRDefault="00B17446">
            <w:pPr>
              <w:jc w:val="both"/>
              <w:rPr>
                <w:rFonts w:ascii="Times New Roman" w:hAnsi="Times New Roman"/>
              </w:rPr>
            </w:pPr>
            <w:r w:rsidRPr="00825131">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579DFF0B" w14:textId="77777777" w:rsidR="00C852A7" w:rsidRPr="00825131" w:rsidRDefault="00B17446">
            <w:pPr>
              <w:jc w:val="both"/>
              <w:rPr>
                <w:rFonts w:ascii="Times New Roman" w:hAnsi="Times New Roman"/>
              </w:rPr>
            </w:pPr>
            <w:r w:rsidRPr="00825131">
              <w:rPr>
                <w:rFonts w:ascii="Times New Roman" w:eastAsia="SimSun" w:hAnsi="Times New Roman"/>
                <w:lang w:bidi="ar"/>
              </w:rPr>
              <w:t>0.6</w:t>
            </w:r>
          </w:p>
        </w:tc>
      </w:tr>
    </w:tbl>
    <w:p w14:paraId="46BB0780"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Credibility-Weighted Fusion</w:t>
      </w:r>
    </w:p>
    <w:p w14:paraId="101BA16E" w14:textId="77777777" w:rsidR="00C852A7" w:rsidRPr="00825131" w:rsidRDefault="00B17446">
      <w:pPr>
        <w:pStyle w:val="NormalWeb"/>
        <w:jc w:val="both"/>
      </w:pPr>
      <w:r w:rsidRPr="00825131">
        <w:rPr>
          <w:rStyle w:val="Strong"/>
        </w:rPr>
        <w:t>Auto-Confirm:</w:t>
      </w:r>
      <w:r w:rsidRPr="00825131">
        <w:br/>
        <w:t xml:space="preserve">1.0 + 1.0 + 1.0 = </w:t>
      </w:r>
      <w:r w:rsidRPr="00825131">
        <w:rPr>
          <w:rStyle w:val="Strong"/>
        </w:rPr>
        <w:t>3.0</w:t>
      </w:r>
    </w:p>
    <w:p w14:paraId="0F0CA9F8" w14:textId="77777777" w:rsidR="00C852A7" w:rsidRPr="00825131" w:rsidRDefault="00B17446">
      <w:pPr>
        <w:pStyle w:val="NormalWeb"/>
        <w:jc w:val="both"/>
        <w:rPr>
          <w:bCs/>
        </w:rPr>
      </w:pPr>
      <w:r w:rsidRPr="00825131">
        <w:rPr>
          <w:rStyle w:val="Strong"/>
          <w:b w:val="0"/>
          <w:bCs/>
        </w:rPr>
        <w:t>Review:</w:t>
      </w:r>
      <w:r w:rsidRPr="00825131">
        <w:rPr>
          <w:bCs/>
        </w:rPr>
        <w:br/>
        <w:t>0.6</w:t>
      </w:r>
    </w:p>
    <w:p w14:paraId="73E13AA0" w14:textId="77777777" w:rsidR="00C852A7" w:rsidRPr="00825131" w:rsidRDefault="00B17446">
      <w:pPr>
        <w:pStyle w:val="NormalWeb"/>
        <w:jc w:val="both"/>
        <w:rPr>
          <w:bCs/>
        </w:rPr>
      </w:pPr>
      <w:proofErr w:type="spellStart"/>
      <w:r w:rsidRPr="00825131">
        <w:rPr>
          <w:rStyle w:val="Strong"/>
          <w:b w:val="0"/>
          <w:bCs/>
        </w:rPr>
        <w:t>Wtotal</w:t>
      </w:r>
      <w:proofErr w:type="spellEnd"/>
      <w:r w:rsidRPr="00825131">
        <w:rPr>
          <w:rStyle w:val="Strong"/>
          <w:b w:val="0"/>
          <w:bCs/>
        </w:rPr>
        <w:t xml:space="preserve"> = 3.6</w:t>
      </w:r>
    </w:p>
    <w:p w14:paraId="2292FA6C" w14:textId="77777777"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rPr>
        <w:t>Decision Epistemic Strength</w:t>
      </w:r>
    </w:p>
    <w:p w14:paraId="7B9DC318" w14:textId="77777777" w:rsidR="00C852A7" w:rsidRPr="00825131" w:rsidRDefault="00B17446">
      <w:pPr>
        <w:pStyle w:val="NormalWeb"/>
        <w:jc w:val="both"/>
      </w:pPr>
      <w:r w:rsidRPr="00825131">
        <w:lastRenderedPageBreak/>
        <w:t>DES = (3.0 − 0.6) / 3.6</w:t>
      </w:r>
      <w:r w:rsidRPr="00825131">
        <w:br/>
        <w:t>DES = 2.4 / 3.6</w:t>
      </w:r>
      <w:r w:rsidRPr="00825131">
        <w:br/>
        <w:t xml:space="preserve">DES = </w:t>
      </w:r>
      <w:r w:rsidRPr="00825131">
        <w:rPr>
          <w:rStyle w:val="Strong"/>
        </w:rPr>
        <w:t>0.67</w:t>
      </w:r>
    </w:p>
    <w:p w14:paraId="6E5262F5" w14:textId="77777777" w:rsidR="00C852A7" w:rsidRPr="00825131" w:rsidRDefault="00B17446">
      <w:pPr>
        <w:pStyle w:val="Heading2"/>
        <w:jc w:val="both"/>
        <w:rPr>
          <w:rFonts w:ascii="Times New Roman" w:hAnsi="Times New Roman" w:hint="default"/>
          <w:sz w:val="24"/>
          <w:szCs w:val="24"/>
        </w:rPr>
      </w:pPr>
      <w:r w:rsidRPr="00825131">
        <w:rPr>
          <w:rStyle w:val="Strong"/>
          <w:rFonts w:ascii="Times New Roman" w:hAnsi="Times New Roman" w:hint="eastAsia"/>
          <w:b/>
          <w:bCs/>
        </w:rPr>
        <w:t>Interpretation</w:t>
      </w:r>
    </w:p>
    <w:p w14:paraId="69AB38ED" w14:textId="77777777" w:rsidR="00C852A7" w:rsidRPr="00825131" w:rsidRDefault="00B17446">
      <w:pPr>
        <w:pStyle w:val="NormalWeb"/>
        <w:jc w:val="both"/>
      </w:pPr>
      <w:r w:rsidRPr="00825131">
        <w:rPr>
          <w:rStyle w:val="Strong"/>
          <w:b w:val="0"/>
          <w:bCs/>
        </w:rPr>
        <w:t>DES = 0.67 → Decisive governance state</w:t>
      </w:r>
      <w:r w:rsidRPr="00825131">
        <w:rPr>
          <w:rStyle w:val="Strong"/>
        </w:rPr>
        <w:t>.</w:t>
      </w:r>
      <w:r w:rsidRPr="00825131">
        <w:br/>
        <w:t>The AI diagnosis demonstrates sufficient epistemic legitimacy to permit automated confirmation under controlled clinical policy.</w:t>
      </w:r>
    </w:p>
    <w:p w14:paraId="68B3D9E6" w14:textId="0F0EA981" w:rsidR="00C852A7" w:rsidRPr="00825131" w:rsidRDefault="00B17446">
      <w:pPr>
        <w:pStyle w:val="Heading2"/>
        <w:jc w:val="both"/>
        <w:rPr>
          <w:rStyle w:val="Strong"/>
          <w:rFonts w:ascii="Times New Roman" w:hAnsi="Times New Roman" w:hint="eastAsia"/>
          <w:b/>
          <w:bCs/>
        </w:rPr>
      </w:pPr>
      <w:r w:rsidRPr="00825131">
        <w:rPr>
          <w:rStyle w:val="Strong"/>
          <w:rFonts w:ascii="Times New Roman" w:hAnsi="Times New Roman" w:hint="eastAsia"/>
          <w:b/>
          <w:bCs/>
        </w:rPr>
        <w:t xml:space="preserve">Contrast Example (Ambiguous Case) (Table </w:t>
      </w:r>
      <w:r w:rsidR="00DF4643">
        <w:rPr>
          <w:rStyle w:val="Strong"/>
          <w:rFonts w:ascii="Times New Roman" w:hAnsi="Times New Roman" w:hint="eastAsia"/>
          <w:b/>
          <w:bCs/>
        </w:rPr>
        <w:t>9</w:t>
      </w:r>
      <w:r w:rsidRPr="00825131">
        <w:rPr>
          <w:rStyle w:val="Strong"/>
          <w:rFonts w:ascii="Times New Roman" w:hAnsi="Times New Roman" w:hint="eastAsia"/>
          <w:b/>
          <w:bCs/>
        </w:rPr>
        <w:t>)</w:t>
      </w:r>
    </w:p>
    <w:p w14:paraId="56BB4BC8" w14:textId="76C0CB68" w:rsidR="00C852A7" w:rsidRPr="00825131" w:rsidRDefault="00B17446">
      <w:pPr>
        <w:jc w:val="both"/>
        <w:rPr>
          <w:rFonts w:ascii="Times New Roman" w:eastAsia="SimSun" w:hAnsi="Times New Roman"/>
        </w:rPr>
      </w:pPr>
      <w:r w:rsidRPr="00825131">
        <w:rPr>
          <w:rFonts w:ascii="Times New Roman" w:eastAsia="SimSun" w:hAnsi="Times New Roman"/>
        </w:rPr>
        <w:t xml:space="preserve">Table </w:t>
      </w:r>
      <w:r w:rsidR="00DF4643">
        <w:rPr>
          <w:rFonts w:ascii="Times New Roman" w:eastAsia="SimSun" w:hAnsi="Times New Roman"/>
        </w:rPr>
        <w:t>9</w:t>
      </w:r>
      <w:r w:rsidRPr="00825131">
        <w:rPr>
          <w:rFonts w:ascii="Times New Roman" w:eastAsia="SimSun" w:hAnsi="Times New Roman"/>
        </w:rPr>
        <w:t xml:space="preserve"> presents a synthetic contrast case characterized by weak predictive confidence, low ensemble agreement, elevated entropy, and moderate distributional drift. All signals converge toward a review recommendation with limited epistemic credibility, illustrating how the DES framework appropriately suppresses premature automation and supports deferred or safeguarded governance under ambiguous evidence conditions.</w:t>
      </w:r>
    </w:p>
    <w:p w14:paraId="6A5721D4" w14:textId="3B305673" w:rsidR="00C852A7" w:rsidRPr="00825131" w:rsidRDefault="00B17446">
      <w:pPr>
        <w:jc w:val="both"/>
        <w:rPr>
          <w:rFonts w:ascii="Times New Roman" w:eastAsia="SimSun" w:hAnsi="Times New Roman"/>
          <w:b/>
          <w:bCs/>
        </w:rPr>
      </w:pPr>
      <w:r w:rsidRPr="00825131">
        <w:rPr>
          <w:rFonts w:ascii="Times New Roman" w:eastAsia="SimSun" w:hAnsi="Times New Roman"/>
          <w:b/>
          <w:bCs/>
        </w:rPr>
        <w:t xml:space="preserve">Table </w:t>
      </w:r>
      <w:r w:rsidR="00DF4643">
        <w:rPr>
          <w:rFonts w:ascii="Times New Roman" w:eastAsia="SimSun" w:hAnsi="Times New Roman"/>
          <w:b/>
          <w:bCs/>
        </w:rPr>
        <w:t>9</w:t>
      </w:r>
      <w:bookmarkStart w:id="0" w:name="_GoBack"/>
      <w:bookmarkEnd w:id="0"/>
      <w:r w:rsidRPr="00825131">
        <w:rPr>
          <w:rFonts w:ascii="Times New Roman" w:eastAsia="SimSun" w:hAnsi="Times New Roman"/>
          <w:b/>
          <w:bCs/>
        </w:rPr>
        <w:t>. Ambiguous Single-Case Example with Weak Evidence Dominance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453"/>
        <w:gridCol w:w="940"/>
        <w:gridCol w:w="794"/>
        <w:gridCol w:w="822"/>
      </w:tblGrid>
      <w:tr w:rsidR="00C852A7" w:rsidRPr="00825131" w14:paraId="67318F51" w14:textId="77777777">
        <w:trPr>
          <w:tblHeader/>
          <w:tblCellSpacing w:w="15" w:type="dxa"/>
        </w:trPr>
        <w:tc>
          <w:tcPr>
            <w:tcW w:w="0" w:type="auto"/>
            <w:tcBorders>
              <w:top w:val="nil"/>
              <w:left w:val="nil"/>
              <w:bottom w:val="nil"/>
              <w:right w:val="nil"/>
              <w:tl2br w:val="nil"/>
              <w:tr2bl w:val="nil"/>
            </w:tcBorders>
            <w:vAlign w:val="center"/>
          </w:tcPr>
          <w:p w14:paraId="2BB9AA9E" w14:textId="77777777" w:rsidR="00C852A7" w:rsidRPr="00825131" w:rsidRDefault="00B17446">
            <w:pPr>
              <w:jc w:val="both"/>
              <w:rPr>
                <w:rFonts w:ascii="Times New Roman" w:hAnsi="Times New Roman"/>
                <w:b/>
              </w:rPr>
            </w:pPr>
            <w:r w:rsidRPr="00825131">
              <w:rPr>
                <w:rFonts w:ascii="Times New Roman" w:eastAsia="SimSun" w:hAnsi="Times New Roman"/>
                <w:b/>
                <w:lang w:bidi="ar"/>
              </w:rPr>
              <w:t>Signal</w:t>
            </w:r>
          </w:p>
        </w:tc>
        <w:tc>
          <w:tcPr>
            <w:tcW w:w="0" w:type="auto"/>
            <w:tcBorders>
              <w:top w:val="nil"/>
              <w:left w:val="nil"/>
              <w:bottom w:val="nil"/>
              <w:right w:val="nil"/>
              <w:tl2br w:val="nil"/>
              <w:tr2bl w:val="nil"/>
            </w:tcBorders>
            <w:vAlign w:val="center"/>
          </w:tcPr>
          <w:p w14:paraId="0CD338C2" w14:textId="77777777" w:rsidR="00C852A7" w:rsidRPr="00825131" w:rsidRDefault="00B17446">
            <w:pPr>
              <w:jc w:val="both"/>
              <w:rPr>
                <w:rFonts w:ascii="Times New Roman" w:hAnsi="Times New Roman"/>
                <w:b/>
              </w:rPr>
            </w:pPr>
            <w:r w:rsidRPr="00825131">
              <w:rPr>
                <w:rFonts w:ascii="Times New Roman" w:eastAsia="SimSun" w:hAnsi="Times New Roman"/>
                <w:b/>
                <w:lang w:bidi="ar"/>
              </w:rPr>
              <w:t>Value</w:t>
            </w:r>
          </w:p>
        </w:tc>
        <w:tc>
          <w:tcPr>
            <w:tcW w:w="0" w:type="auto"/>
            <w:tcBorders>
              <w:top w:val="nil"/>
              <w:left w:val="nil"/>
              <w:bottom w:val="nil"/>
              <w:right w:val="nil"/>
              <w:tl2br w:val="nil"/>
              <w:tr2bl w:val="nil"/>
            </w:tcBorders>
            <w:vAlign w:val="center"/>
          </w:tcPr>
          <w:p w14:paraId="1E351749" w14:textId="77777777" w:rsidR="00C852A7" w:rsidRPr="00825131" w:rsidRDefault="00B17446">
            <w:pPr>
              <w:jc w:val="both"/>
              <w:rPr>
                <w:rFonts w:ascii="Times New Roman" w:hAnsi="Times New Roman"/>
                <w:b/>
              </w:rPr>
            </w:pPr>
            <w:r w:rsidRPr="00825131">
              <w:rPr>
                <w:rFonts w:ascii="Times New Roman" w:eastAsia="SimSun" w:hAnsi="Times New Roman"/>
                <w:b/>
                <w:lang w:bidi="ar"/>
              </w:rPr>
              <w:t>Zone</w:t>
            </w:r>
          </w:p>
        </w:tc>
        <w:tc>
          <w:tcPr>
            <w:tcW w:w="0" w:type="auto"/>
            <w:tcBorders>
              <w:top w:val="nil"/>
              <w:left w:val="nil"/>
              <w:bottom w:val="nil"/>
              <w:right w:val="nil"/>
              <w:tl2br w:val="nil"/>
              <w:tr2bl w:val="nil"/>
            </w:tcBorders>
            <w:vAlign w:val="center"/>
          </w:tcPr>
          <w:p w14:paraId="75CB16D2" w14:textId="77777777" w:rsidR="00C852A7" w:rsidRPr="00825131" w:rsidRDefault="00B17446">
            <w:pPr>
              <w:jc w:val="both"/>
              <w:rPr>
                <w:rFonts w:ascii="Times New Roman" w:hAnsi="Times New Roman"/>
                <w:b/>
              </w:rPr>
            </w:pPr>
            <w:r w:rsidRPr="00825131">
              <w:rPr>
                <w:rFonts w:ascii="Times New Roman" w:eastAsia="SimSun" w:hAnsi="Times New Roman"/>
                <w:b/>
                <w:lang w:bidi="ar"/>
              </w:rPr>
              <w:t>Vote</w:t>
            </w:r>
          </w:p>
        </w:tc>
        <w:tc>
          <w:tcPr>
            <w:tcW w:w="0" w:type="auto"/>
            <w:tcBorders>
              <w:top w:val="nil"/>
              <w:left w:val="nil"/>
              <w:bottom w:val="nil"/>
              <w:right w:val="nil"/>
              <w:tl2br w:val="nil"/>
              <w:tr2bl w:val="nil"/>
            </w:tcBorders>
            <w:vAlign w:val="center"/>
          </w:tcPr>
          <w:p w14:paraId="0B376530" w14:textId="77777777" w:rsidR="00C852A7" w:rsidRPr="00825131" w:rsidRDefault="00B17446">
            <w:pPr>
              <w:jc w:val="both"/>
              <w:rPr>
                <w:rFonts w:ascii="Times New Roman" w:hAnsi="Times New Roman"/>
                <w:b/>
              </w:rPr>
            </w:pPr>
            <w:r w:rsidRPr="00825131">
              <w:rPr>
                <w:rFonts w:ascii="Times New Roman" w:eastAsia="SimSun" w:hAnsi="Times New Roman"/>
                <w:b/>
                <w:lang w:bidi="ar"/>
              </w:rPr>
              <w:t>Weight</w:t>
            </w:r>
          </w:p>
        </w:tc>
      </w:tr>
      <w:tr w:rsidR="00C852A7" w:rsidRPr="00825131" w14:paraId="067E5879" w14:textId="77777777">
        <w:trPr>
          <w:tblCellSpacing w:w="15" w:type="dxa"/>
        </w:trPr>
        <w:tc>
          <w:tcPr>
            <w:tcW w:w="0" w:type="auto"/>
            <w:tcBorders>
              <w:top w:val="nil"/>
              <w:left w:val="nil"/>
              <w:bottom w:val="nil"/>
              <w:right w:val="nil"/>
              <w:tl2br w:val="nil"/>
              <w:tr2bl w:val="nil"/>
            </w:tcBorders>
            <w:vAlign w:val="center"/>
          </w:tcPr>
          <w:p w14:paraId="73540F0F" w14:textId="77777777" w:rsidR="00C852A7" w:rsidRPr="00825131" w:rsidRDefault="00B17446">
            <w:pPr>
              <w:jc w:val="both"/>
              <w:rPr>
                <w:rFonts w:ascii="Times New Roman" w:hAnsi="Times New Roman"/>
              </w:rPr>
            </w:pPr>
            <w:r w:rsidRPr="00825131">
              <w:rPr>
                <w:rFonts w:ascii="Times New Roman" w:eastAsia="SimSun" w:hAnsi="Times New Roman"/>
                <w:lang w:bidi="ar"/>
              </w:rPr>
              <w:t>Probability</w:t>
            </w:r>
          </w:p>
        </w:tc>
        <w:tc>
          <w:tcPr>
            <w:tcW w:w="0" w:type="auto"/>
            <w:tcBorders>
              <w:top w:val="nil"/>
              <w:left w:val="nil"/>
              <w:bottom w:val="nil"/>
              <w:right w:val="nil"/>
              <w:tl2br w:val="nil"/>
              <w:tr2bl w:val="nil"/>
            </w:tcBorders>
            <w:vAlign w:val="center"/>
          </w:tcPr>
          <w:p w14:paraId="7AD29D38" w14:textId="77777777" w:rsidR="00C852A7" w:rsidRPr="00825131" w:rsidRDefault="00B17446">
            <w:pPr>
              <w:jc w:val="both"/>
              <w:rPr>
                <w:rFonts w:ascii="Times New Roman" w:hAnsi="Times New Roman"/>
              </w:rPr>
            </w:pPr>
            <w:r w:rsidRPr="00825131">
              <w:rPr>
                <w:rFonts w:ascii="Times New Roman" w:eastAsia="SimSun" w:hAnsi="Times New Roman"/>
                <w:lang w:bidi="ar"/>
              </w:rPr>
              <w:t>0.74</w:t>
            </w:r>
          </w:p>
        </w:tc>
        <w:tc>
          <w:tcPr>
            <w:tcW w:w="0" w:type="auto"/>
            <w:tcBorders>
              <w:top w:val="nil"/>
              <w:left w:val="nil"/>
              <w:bottom w:val="nil"/>
              <w:right w:val="nil"/>
              <w:tl2br w:val="nil"/>
              <w:tr2bl w:val="nil"/>
            </w:tcBorders>
            <w:vAlign w:val="center"/>
          </w:tcPr>
          <w:p w14:paraId="7CE66766"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2E19B036" w14:textId="77777777" w:rsidR="00C852A7" w:rsidRPr="00825131" w:rsidRDefault="00B17446">
            <w:pPr>
              <w:jc w:val="both"/>
              <w:rPr>
                <w:rFonts w:ascii="Times New Roman" w:hAnsi="Times New Roman"/>
              </w:rPr>
            </w:pPr>
            <w:r w:rsidRPr="00825131">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2A89E0B5"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r w:rsidR="00C852A7" w:rsidRPr="00825131" w14:paraId="6CB605C5" w14:textId="77777777">
        <w:trPr>
          <w:tblCellSpacing w:w="15" w:type="dxa"/>
        </w:trPr>
        <w:tc>
          <w:tcPr>
            <w:tcW w:w="0" w:type="auto"/>
            <w:tcBorders>
              <w:top w:val="nil"/>
              <w:left w:val="nil"/>
              <w:bottom w:val="nil"/>
              <w:right w:val="nil"/>
              <w:tl2br w:val="nil"/>
              <w:tr2bl w:val="nil"/>
            </w:tcBorders>
            <w:vAlign w:val="center"/>
          </w:tcPr>
          <w:p w14:paraId="3814CFD5" w14:textId="77777777" w:rsidR="00C852A7" w:rsidRPr="00825131" w:rsidRDefault="00B17446">
            <w:pPr>
              <w:jc w:val="both"/>
              <w:rPr>
                <w:rFonts w:ascii="Times New Roman" w:hAnsi="Times New Roman"/>
              </w:rPr>
            </w:pPr>
            <w:r w:rsidRPr="00825131">
              <w:rPr>
                <w:rFonts w:ascii="Times New Roman" w:eastAsia="SimSun" w:hAnsi="Times New Roman"/>
                <w:lang w:bidi="ar"/>
              </w:rPr>
              <w:t>Agreement</w:t>
            </w:r>
          </w:p>
        </w:tc>
        <w:tc>
          <w:tcPr>
            <w:tcW w:w="0" w:type="auto"/>
            <w:tcBorders>
              <w:top w:val="nil"/>
              <w:left w:val="nil"/>
              <w:bottom w:val="nil"/>
              <w:right w:val="nil"/>
              <w:tl2br w:val="nil"/>
              <w:tr2bl w:val="nil"/>
            </w:tcBorders>
            <w:vAlign w:val="center"/>
          </w:tcPr>
          <w:p w14:paraId="1175E8DC" w14:textId="77777777" w:rsidR="00C852A7" w:rsidRPr="00825131" w:rsidRDefault="00B17446">
            <w:pPr>
              <w:jc w:val="both"/>
              <w:rPr>
                <w:rFonts w:ascii="Times New Roman" w:hAnsi="Times New Roman"/>
              </w:rPr>
            </w:pPr>
            <w:r w:rsidRPr="00825131">
              <w:rPr>
                <w:rFonts w:ascii="Times New Roman" w:eastAsia="SimSun" w:hAnsi="Times New Roman"/>
                <w:lang w:bidi="ar"/>
              </w:rPr>
              <w:t>68%</w:t>
            </w:r>
          </w:p>
        </w:tc>
        <w:tc>
          <w:tcPr>
            <w:tcW w:w="0" w:type="auto"/>
            <w:tcBorders>
              <w:top w:val="nil"/>
              <w:left w:val="nil"/>
              <w:bottom w:val="nil"/>
              <w:right w:val="nil"/>
              <w:tl2br w:val="nil"/>
              <w:tr2bl w:val="nil"/>
            </w:tcBorders>
            <w:vAlign w:val="center"/>
          </w:tcPr>
          <w:p w14:paraId="73730886"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1F1AFD42" w14:textId="77777777" w:rsidR="00C852A7" w:rsidRPr="00825131" w:rsidRDefault="00B17446">
            <w:pPr>
              <w:jc w:val="both"/>
              <w:rPr>
                <w:rFonts w:ascii="Times New Roman" w:hAnsi="Times New Roman"/>
              </w:rPr>
            </w:pPr>
            <w:r w:rsidRPr="00825131">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69729B20"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r w:rsidR="00C852A7" w:rsidRPr="00825131" w14:paraId="0C65D312" w14:textId="77777777">
        <w:trPr>
          <w:tblCellSpacing w:w="15" w:type="dxa"/>
        </w:trPr>
        <w:tc>
          <w:tcPr>
            <w:tcW w:w="0" w:type="auto"/>
            <w:tcBorders>
              <w:top w:val="nil"/>
              <w:left w:val="nil"/>
              <w:bottom w:val="nil"/>
              <w:right w:val="nil"/>
              <w:tl2br w:val="nil"/>
              <w:tr2bl w:val="nil"/>
            </w:tcBorders>
            <w:vAlign w:val="center"/>
          </w:tcPr>
          <w:p w14:paraId="1E084D08" w14:textId="77777777" w:rsidR="00C852A7" w:rsidRPr="00825131" w:rsidRDefault="00B17446">
            <w:pPr>
              <w:jc w:val="both"/>
              <w:rPr>
                <w:rFonts w:ascii="Times New Roman" w:hAnsi="Times New Roman"/>
              </w:rPr>
            </w:pPr>
            <w:r w:rsidRPr="00825131">
              <w:rPr>
                <w:rFonts w:ascii="Times New Roman" w:eastAsia="SimSun" w:hAnsi="Times New Roman"/>
                <w:lang w:bidi="ar"/>
              </w:rPr>
              <w:t>Entropy</w:t>
            </w:r>
          </w:p>
        </w:tc>
        <w:tc>
          <w:tcPr>
            <w:tcW w:w="0" w:type="auto"/>
            <w:tcBorders>
              <w:top w:val="nil"/>
              <w:left w:val="nil"/>
              <w:bottom w:val="nil"/>
              <w:right w:val="nil"/>
              <w:tl2br w:val="nil"/>
              <w:tr2bl w:val="nil"/>
            </w:tcBorders>
            <w:vAlign w:val="center"/>
          </w:tcPr>
          <w:p w14:paraId="3F7FE620" w14:textId="77777777" w:rsidR="00C852A7" w:rsidRPr="00825131" w:rsidRDefault="00B17446">
            <w:pPr>
              <w:jc w:val="both"/>
              <w:rPr>
                <w:rFonts w:ascii="Times New Roman" w:hAnsi="Times New Roman"/>
              </w:rPr>
            </w:pPr>
            <w:r w:rsidRPr="00825131">
              <w:rPr>
                <w:rFonts w:ascii="Times New Roman" w:eastAsia="SimSun" w:hAnsi="Times New Roman"/>
                <w:lang w:bidi="ar"/>
              </w:rPr>
              <w:t>0.42</w:t>
            </w:r>
          </w:p>
        </w:tc>
        <w:tc>
          <w:tcPr>
            <w:tcW w:w="0" w:type="auto"/>
            <w:tcBorders>
              <w:top w:val="nil"/>
              <w:left w:val="nil"/>
              <w:bottom w:val="nil"/>
              <w:right w:val="nil"/>
              <w:tl2br w:val="nil"/>
              <w:tr2bl w:val="nil"/>
            </w:tcBorders>
            <w:vAlign w:val="center"/>
          </w:tcPr>
          <w:p w14:paraId="28AC38A3" w14:textId="77777777" w:rsidR="00C852A7" w:rsidRPr="00825131" w:rsidRDefault="00B17446">
            <w:pPr>
              <w:jc w:val="both"/>
              <w:rPr>
                <w:rFonts w:ascii="Times New Roman" w:hAnsi="Times New Roman"/>
              </w:rPr>
            </w:pPr>
            <w:r w:rsidRPr="00825131">
              <w:rPr>
                <w:rFonts w:ascii="Times New Roman" w:eastAsia="SimSun" w:hAnsi="Times New Roman"/>
                <w:lang w:bidi="ar"/>
              </w:rPr>
              <w:t>Weak</w:t>
            </w:r>
          </w:p>
        </w:tc>
        <w:tc>
          <w:tcPr>
            <w:tcW w:w="0" w:type="auto"/>
            <w:tcBorders>
              <w:top w:val="nil"/>
              <w:left w:val="nil"/>
              <w:bottom w:val="nil"/>
              <w:right w:val="nil"/>
              <w:tl2br w:val="nil"/>
              <w:tr2bl w:val="nil"/>
            </w:tcBorders>
            <w:vAlign w:val="center"/>
          </w:tcPr>
          <w:p w14:paraId="720584FA" w14:textId="77777777" w:rsidR="00C852A7" w:rsidRPr="00825131" w:rsidRDefault="00B17446">
            <w:pPr>
              <w:jc w:val="both"/>
              <w:rPr>
                <w:rFonts w:ascii="Times New Roman" w:hAnsi="Times New Roman"/>
              </w:rPr>
            </w:pPr>
            <w:r w:rsidRPr="00825131">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58CB5AC3" w14:textId="77777777" w:rsidR="00C852A7" w:rsidRPr="00825131" w:rsidRDefault="00B17446">
            <w:pPr>
              <w:jc w:val="both"/>
              <w:rPr>
                <w:rFonts w:ascii="Times New Roman" w:hAnsi="Times New Roman"/>
              </w:rPr>
            </w:pPr>
            <w:r w:rsidRPr="00825131">
              <w:rPr>
                <w:rFonts w:ascii="Times New Roman" w:eastAsia="SimSun" w:hAnsi="Times New Roman"/>
                <w:lang w:bidi="ar"/>
              </w:rPr>
              <w:t>0.3</w:t>
            </w:r>
          </w:p>
        </w:tc>
      </w:tr>
      <w:tr w:rsidR="00C852A7" w:rsidRPr="00825131" w14:paraId="3786BAE5" w14:textId="77777777">
        <w:trPr>
          <w:tblCellSpacing w:w="15" w:type="dxa"/>
        </w:trPr>
        <w:tc>
          <w:tcPr>
            <w:tcW w:w="0" w:type="auto"/>
            <w:tcBorders>
              <w:top w:val="nil"/>
              <w:left w:val="nil"/>
              <w:bottom w:val="nil"/>
              <w:right w:val="nil"/>
              <w:tl2br w:val="nil"/>
              <w:tr2bl w:val="nil"/>
            </w:tcBorders>
            <w:vAlign w:val="center"/>
          </w:tcPr>
          <w:p w14:paraId="395F000E" w14:textId="77777777" w:rsidR="00C852A7" w:rsidRPr="00825131" w:rsidRDefault="00B17446">
            <w:pPr>
              <w:jc w:val="both"/>
              <w:rPr>
                <w:rFonts w:ascii="Times New Roman" w:hAnsi="Times New Roman"/>
              </w:rPr>
            </w:pPr>
            <w:r w:rsidRPr="00825131">
              <w:rPr>
                <w:rFonts w:ascii="Times New Roman" w:eastAsia="SimSun" w:hAnsi="Times New Roman"/>
                <w:lang w:bidi="ar"/>
              </w:rPr>
              <w:t>Distance</w:t>
            </w:r>
          </w:p>
        </w:tc>
        <w:tc>
          <w:tcPr>
            <w:tcW w:w="0" w:type="auto"/>
            <w:tcBorders>
              <w:top w:val="nil"/>
              <w:left w:val="nil"/>
              <w:bottom w:val="nil"/>
              <w:right w:val="nil"/>
              <w:tl2br w:val="nil"/>
              <w:tr2bl w:val="nil"/>
            </w:tcBorders>
            <w:vAlign w:val="center"/>
          </w:tcPr>
          <w:p w14:paraId="0C91DA80" w14:textId="77777777" w:rsidR="00C852A7" w:rsidRPr="00825131" w:rsidRDefault="00B17446">
            <w:pPr>
              <w:jc w:val="both"/>
              <w:rPr>
                <w:rFonts w:ascii="Times New Roman" w:hAnsi="Times New Roman"/>
              </w:rPr>
            </w:pPr>
            <w:r w:rsidRPr="00825131">
              <w:rPr>
                <w:rFonts w:ascii="Times New Roman" w:eastAsia="SimSun" w:hAnsi="Times New Roman"/>
                <w:lang w:bidi="ar"/>
              </w:rPr>
              <w:t>Moderate drift</w:t>
            </w:r>
          </w:p>
        </w:tc>
        <w:tc>
          <w:tcPr>
            <w:tcW w:w="0" w:type="auto"/>
            <w:tcBorders>
              <w:top w:val="nil"/>
              <w:left w:val="nil"/>
              <w:bottom w:val="nil"/>
              <w:right w:val="nil"/>
              <w:tl2br w:val="nil"/>
              <w:tr2bl w:val="nil"/>
            </w:tcBorders>
            <w:vAlign w:val="center"/>
          </w:tcPr>
          <w:p w14:paraId="527829EE" w14:textId="77777777" w:rsidR="00C852A7" w:rsidRPr="00825131" w:rsidRDefault="00B17446">
            <w:pPr>
              <w:jc w:val="both"/>
              <w:rPr>
                <w:rFonts w:ascii="Times New Roman" w:hAnsi="Times New Roman"/>
              </w:rPr>
            </w:pPr>
            <w:r w:rsidRPr="00825131">
              <w:rPr>
                <w:rFonts w:ascii="Times New Roman" w:eastAsia="SimSun" w:hAnsi="Times New Roman"/>
                <w:lang w:bidi="ar"/>
              </w:rPr>
              <w:t>Plausible</w:t>
            </w:r>
          </w:p>
        </w:tc>
        <w:tc>
          <w:tcPr>
            <w:tcW w:w="0" w:type="auto"/>
            <w:tcBorders>
              <w:top w:val="nil"/>
              <w:left w:val="nil"/>
              <w:bottom w:val="nil"/>
              <w:right w:val="nil"/>
              <w:tl2br w:val="nil"/>
              <w:tr2bl w:val="nil"/>
            </w:tcBorders>
            <w:vAlign w:val="center"/>
          </w:tcPr>
          <w:p w14:paraId="66ED6999" w14:textId="77777777" w:rsidR="00C852A7" w:rsidRPr="00825131" w:rsidRDefault="00B17446">
            <w:pPr>
              <w:jc w:val="both"/>
              <w:rPr>
                <w:rFonts w:ascii="Times New Roman" w:hAnsi="Times New Roman"/>
              </w:rPr>
            </w:pPr>
            <w:r w:rsidRPr="00825131">
              <w:rPr>
                <w:rFonts w:ascii="Times New Roman" w:eastAsia="SimSun" w:hAnsi="Times New Roman"/>
                <w:lang w:bidi="ar"/>
              </w:rPr>
              <w:t>Review</w:t>
            </w:r>
          </w:p>
        </w:tc>
        <w:tc>
          <w:tcPr>
            <w:tcW w:w="0" w:type="auto"/>
            <w:tcBorders>
              <w:top w:val="nil"/>
              <w:left w:val="nil"/>
              <w:bottom w:val="nil"/>
              <w:right w:val="nil"/>
              <w:tl2br w:val="nil"/>
              <w:tr2bl w:val="nil"/>
            </w:tcBorders>
            <w:vAlign w:val="center"/>
          </w:tcPr>
          <w:p w14:paraId="3CF90021" w14:textId="77777777" w:rsidR="00C852A7" w:rsidRPr="00825131" w:rsidRDefault="00B17446">
            <w:pPr>
              <w:jc w:val="both"/>
              <w:rPr>
                <w:rFonts w:ascii="Times New Roman" w:hAnsi="Times New Roman"/>
              </w:rPr>
            </w:pPr>
            <w:r w:rsidRPr="00825131">
              <w:rPr>
                <w:rFonts w:ascii="Times New Roman" w:eastAsia="SimSun" w:hAnsi="Times New Roman"/>
                <w:lang w:bidi="ar"/>
              </w:rPr>
              <w:t>0.6</w:t>
            </w:r>
          </w:p>
        </w:tc>
      </w:tr>
    </w:tbl>
    <w:p w14:paraId="46BCB2EA" w14:textId="77777777" w:rsidR="00C852A7" w:rsidRPr="00825131" w:rsidRDefault="00B17446">
      <w:pPr>
        <w:pStyle w:val="NormalWeb"/>
        <w:jc w:val="both"/>
        <w:rPr>
          <w:bCs/>
        </w:rPr>
      </w:pPr>
      <w:r w:rsidRPr="00825131">
        <w:rPr>
          <w:rStyle w:val="Strong"/>
          <w:b w:val="0"/>
          <w:bCs/>
        </w:rPr>
        <w:t>Review = 1.5</w:t>
      </w:r>
      <w:r w:rsidRPr="00825131">
        <w:rPr>
          <w:bCs/>
        </w:rPr>
        <w:br/>
      </w:r>
      <w:r w:rsidRPr="00825131">
        <w:rPr>
          <w:rStyle w:val="Strong"/>
          <w:b w:val="0"/>
          <w:bCs/>
        </w:rPr>
        <w:t>Auto-Confirm = 0.0</w:t>
      </w:r>
      <w:r w:rsidRPr="00825131">
        <w:rPr>
          <w:bCs/>
        </w:rPr>
        <w:br/>
      </w:r>
      <w:r w:rsidRPr="00825131">
        <w:rPr>
          <w:rStyle w:val="Strong"/>
          <w:b w:val="0"/>
          <w:bCs/>
        </w:rPr>
        <w:t>DES = 1.0 → Mandatory referral</w:t>
      </w:r>
    </w:p>
    <w:p w14:paraId="50289F09" w14:textId="77777777" w:rsidR="00C852A7" w:rsidRPr="00825131" w:rsidRDefault="00B17446" w:rsidP="00E32B92">
      <w:pPr>
        <w:pStyle w:val="NormalWeb"/>
        <w:jc w:val="both"/>
        <w:rPr>
          <w:rStyle w:val="Emphasis"/>
          <w:rFonts w:asciiTheme="majorBidi" w:hAnsiTheme="majorBidi" w:cstheme="majorBidi"/>
        </w:rPr>
      </w:pPr>
      <w:r w:rsidRPr="00825131">
        <w:rPr>
          <w:rFonts w:asciiTheme="majorBidi" w:hAnsiTheme="majorBidi" w:cstheme="majorBidi"/>
        </w:rPr>
        <w:t>This example demonstrates how DES governs diagnostic automation using real clinical AI outputs rather than relying solely on probabilistic predictions or accuracy metrics.</w:t>
      </w:r>
    </w:p>
    <w:p w14:paraId="336D07C8" w14:textId="77777777" w:rsidR="00E32B92" w:rsidRPr="00825131" w:rsidRDefault="00E32B92" w:rsidP="00E32B92">
      <w:pPr>
        <w:pStyle w:val="Heading2"/>
        <w:jc w:val="both"/>
        <w:rPr>
          <w:rFonts w:asciiTheme="majorBidi" w:hAnsiTheme="majorBidi" w:cstheme="majorBidi" w:hint="default"/>
        </w:rPr>
      </w:pPr>
      <w:r w:rsidRPr="00825131">
        <w:rPr>
          <w:rStyle w:val="Strong"/>
          <w:rFonts w:asciiTheme="majorBidi" w:hAnsiTheme="majorBidi" w:cstheme="majorBidi" w:hint="eastAsia"/>
          <w:b/>
          <w:bCs/>
        </w:rPr>
        <w:t>6. Validation, Deterministic Stability, and Sensitivity Robustness (Revised)</w:t>
      </w:r>
    </w:p>
    <w:p w14:paraId="78D056E6"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Decision Epistemic Strength (DES) is designed as a governance-grade decision metric operating in decision space rather than as a probabilistic or inferential estimator. Accordingly, validation focuses on mathematical soundness, deterministic stability, sensitivity behavior, and comparative decision coherence rather than on classical statistical criteria such as calibration, likelihood optimality, or sampling-based variance estimation.</w:t>
      </w:r>
    </w:p>
    <w:p w14:paraId="6BA2AE30" w14:textId="77777777" w:rsidR="00E32B92" w:rsidRPr="00825131" w:rsidRDefault="00E32B92" w:rsidP="00E32B92">
      <w:pPr>
        <w:pStyle w:val="Heading3"/>
        <w:jc w:val="both"/>
        <w:rPr>
          <w:rFonts w:asciiTheme="majorBidi" w:hAnsiTheme="majorBidi" w:cstheme="majorBidi" w:hint="default"/>
        </w:rPr>
      </w:pPr>
      <w:r w:rsidRPr="00825131">
        <w:rPr>
          <w:rStyle w:val="Strong"/>
          <w:rFonts w:asciiTheme="majorBidi" w:hAnsiTheme="majorBidi" w:cstheme="majorBidi" w:hint="eastAsia"/>
          <w:b/>
          <w:bCs/>
        </w:rPr>
        <w:t>6.1 Mathematical Properties and Formal Verification</w:t>
      </w:r>
    </w:p>
    <w:p w14:paraId="5B01525C"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 xml:space="preserve">DES satisfies key mathematical properties required for interpretable and reliable decision governance. By construction, DES is </w:t>
      </w:r>
      <w:r w:rsidRPr="00825131">
        <w:rPr>
          <w:rStyle w:val="Strong"/>
          <w:rFonts w:asciiTheme="majorBidi" w:hAnsiTheme="majorBidi" w:cstheme="majorBidi"/>
        </w:rPr>
        <w:t>bounded</w:t>
      </w:r>
      <w:r w:rsidRPr="00825131">
        <w:rPr>
          <w:rFonts w:asciiTheme="majorBidi" w:hAnsiTheme="majorBidi" w:cstheme="majorBidi"/>
        </w:rPr>
        <w:t xml:space="preserve"> in the interval </w:t>
      </w:r>
      <w:r w:rsidRPr="00825131">
        <w:rPr>
          <w:rStyle w:val="katex-mathml"/>
          <w:rFonts w:asciiTheme="majorBidi" w:hAnsiTheme="majorBidi" w:cstheme="majorBidi"/>
        </w:rPr>
        <w:t>[0,</w:t>
      </w:r>
      <w:proofErr w:type="gramStart"/>
      <w:r w:rsidRPr="00825131">
        <w:rPr>
          <w:rStyle w:val="katex-mathml"/>
          <w:rFonts w:asciiTheme="majorBidi" w:hAnsiTheme="majorBidi" w:cstheme="majorBidi"/>
        </w:rPr>
        <w:t>1][</w:t>
      </w:r>
      <w:proofErr w:type="gramEnd"/>
      <w:r w:rsidRPr="00825131">
        <w:rPr>
          <w:rStyle w:val="katex-mathml"/>
          <w:rFonts w:asciiTheme="majorBidi" w:hAnsiTheme="majorBidi" w:cstheme="majorBidi"/>
        </w:rPr>
        <w:t>0,1]</w:t>
      </w:r>
      <w:r w:rsidRPr="00825131">
        <w:rPr>
          <w:rStyle w:val="mopen"/>
          <w:rFonts w:asciiTheme="majorBidi" w:hAnsiTheme="majorBidi" w:cstheme="majorBidi"/>
        </w:rPr>
        <w:t>[</w:t>
      </w:r>
      <w:r w:rsidRPr="00825131">
        <w:rPr>
          <w:rStyle w:val="mord"/>
          <w:rFonts w:asciiTheme="majorBidi" w:hAnsiTheme="majorBidi" w:cstheme="majorBidi"/>
        </w:rPr>
        <w:t>0</w:t>
      </w:r>
      <w:r w:rsidRPr="00825131">
        <w:rPr>
          <w:rStyle w:val="mpunct"/>
          <w:rFonts w:asciiTheme="majorBidi" w:hAnsiTheme="majorBidi" w:cstheme="majorBidi"/>
        </w:rPr>
        <w:t>,</w:t>
      </w:r>
      <w:r w:rsidRPr="00825131">
        <w:rPr>
          <w:rStyle w:val="mord"/>
          <w:rFonts w:asciiTheme="majorBidi" w:hAnsiTheme="majorBidi" w:cstheme="majorBidi"/>
        </w:rPr>
        <w:t>1</w:t>
      </w:r>
      <w:r w:rsidRPr="00825131">
        <w:rPr>
          <w:rStyle w:val="mclose"/>
          <w:rFonts w:asciiTheme="majorBidi" w:hAnsiTheme="majorBidi" w:cstheme="majorBidi"/>
        </w:rPr>
        <w:t>]</w:t>
      </w:r>
      <w:r w:rsidRPr="00825131">
        <w:rPr>
          <w:rFonts w:asciiTheme="majorBidi" w:hAnsiTheme="majorBidi" w:cstheme="majorBidi"/>
        </w:rPr>
        <w:t xml:space="preserve">, ensuring normalized interpretability across decision contexts. </w:t>
      </w:r>
      <w:r w:rsidRPr="00825131">
        <w:rPr>
          <w:rStyle w:val="Strong"/>
          <w:rFonts w:asciiTheme="majorBidi" w:hAnsiTheme="majorBidi" w:cstheme="majorBidi"/>
        </w:rPr>
        <w:t>Monotonicity</w:t>
      </w:r>
      <w:r w:rsidRPr="00825131">
        <w:rPr>
          <w:rFonts w:asciiTheme="majorBidi" w:hAnsiTheme="majorBidi" w:cstheme="majorBidi"/>
        </w:rPr>
        <w:t xml:space="preserve"> is </w:t>
      </w:r>
      <w:r w:rsidRPr="00825131">
        <w:rPr>
          <w:rFonts w:asciiTheme="majorBidi" w:hAnsiTheme="majorBidi" w:cstheme="majorBidi"/>
        </w:rPr>
        <w:lastRenderedPageBreak/>
        <w:t xml:space="preserve">guaranteed with respect to credibility-weighted evidence: increasing epistemic support for the winning decision strictly increases DES, while increasing support for competing decisions strictly decreases it. </w:t>
      </w:r>
      <w:r w:rsidRPr="00825131">
        <w:rPr>
          <w:rStyle w:val="Strong"/>
          <w:rFonts w:asciiTheme="majorBidi" w:hAnsiTheme="majorBidi" w:cstheme="majorBidi"/>
        </w:rPr>
        <w:t>Normalization</w:t>
      </w:r>
      <w:r w:rsidRPr="00825131">
        <w:rPr>
          <w:rFonts w:asciiTheme="majorBidi" w:hAnsiTheme="majorBidi" w:cstheme="majorBidi"/>
        </w:rPr>
        <w:t xml:space="preserve"> ensures scale invariance across differing numbers of evidence sources or zones. Finally, DES is </w:t>
      </w:r>
      <w:r w:rsidRPr="00825131">
        <w:rPr>
          <w:rStyle w:val="Strong"/>
          <w:rFonts w:asciiTheme="majorBidi" w:hAnsiTheme="majorBidi" w:cstheme="majorBidi"/>
        </w:rPr>
        <w:t>deterministic</w:t>
      </w:r>
      <w:r w:rsidRPr="00825131">
        <w:rPr>
          <w:rFonts w:asciiTheme="majorBidi" w:hAnsiTheme="majorBidi" w:cstheme="majorBidi"/>
        </w:rPr>
        <w:t>, such that identical inputs yield identical outputs, enabling reproducibility, auditability, and version-controlled governance deployment.</w:t>
      </w:r>
    </w:p>
    <w:p w14:paraId="5CC1750D"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These properties were analytically verified from the formal definition of DES and its aggregation operators, ensuring that decision dominance behaves consistently under evidence aggregation and does not exhibit pathological discontinuities or unbounded amplification.</w:t>
      </w:r>
    </w:p>
    <w:p w14:paraId="04B46791" w14:textId="77777777" w:rsidR="00E32B92" w:rsidRPr="00825131" w:rsidRDefault="00E32B92" w:rsidP="00E32B92">
      <w:pPr>
        <w:pStyle w:val="Heading3"/>
        <w:jc w:val="both"/>
        <w:rPr>
          <w:rFonts w:asciiTheme="majorBidi" w:hAnsiTheme="majorBidi" w:cstheme="majorBidi" w:hint="default"/>
        </w:rPr>
      </w:pPr>
      <w:r w:rsidRPr="00825131">
        <w:rPr>
          <w:rStyle w:val="Strong"/>
          <w:rFonts w:asciiTheme="majorBidi" w:hAnsiTheme="majorBidi" w:cstheme="majorBidi" w:hint="eastAsia"/>
          <w:b/>
          <w:bCs/>
        </w:rPr>
        <w:t>6.2 Deterministic Stability and Sensitivity Analysis</w:t>
      </w:r>
    </w:p>
    <w:p w14:paraId="17F5D21C"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 xml:space="preserve">Because DES contains no stochastic components, validation does not rely on repeated sampling or resampling schemes. Instead, stability was evaluated through </w:t>
      </w:r>
      <w:r w:rsidRPr="00825131">
        <w:rPr>
          <w:rStyle w:val="Strong"/>
          <w:rFonts w:asciiTheme="majorBidi" w:hAnsiTheme="majorBidi" w:cstheme="majorBidi"/>
        </w:rPr>
        <w:t>controlled perturbation analysis</w:t>
      </w:r>
      <w:r w:rsidRPr="00825131">
        <w:rPr>
          <w:rFonts w:asciiTheme="majorBidi" w:hAnsiTheme="majorBidi" w:cstheme="majorBidi"/>
        </w:rPr>
        <w:t>, in which credibility weights, zone assignments, and local decision configurations were systematically varied within plausible operational ranges. Across these perturbations, DES exhibited smooth and monotonic response behavior, bounded sensitivity, and resistance to noise-driven dominance or weak-signal amplification.</w:t>
      </w:r>
    </w:p>
    <w:p w14:paraId="4C8A4AFF"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In particular, scenarios involving multiple low-credibility signals opposing fewer high-credibility indicators confirmed that dominance inversion does not occur unless cumulative epistemic weight justifies it. This behavior distinguishes DES from unweighted voting, score aggregation, or probability averaging schemes, which are known to be vulnerable to signal proliferation artifacts.</w:t>
      </w:r>
    </w:p>
    <w:p w14:paraId="706BF5C5" w14:textId="77777777" w:rsidR="00E32B92" w:rsidRPr="00825131" w:rsidRDefault="00E32B92" w:rsidP="00E32B92">
      <w:pPr>
        <w:pStyle w:val="Heading3"/>
        <w:jc w:val="both"/>
        <w:rPr>
          <w:rFonts w:asciiTheme="majorBidi" w:hAnsiTheme="majorBidi" w:cstheme="majorBidi" w:hint="default"/>
        </w:rPr>
      </w:pPr>
      <w:r w:rsidRPr="00825131">
        <w:rPr>
          <w:rStyle w:val="Strong"/>
          <w:rFonts w:asciiTheme="majorBidi" w:hAnsiTheme="majorBidi" w:cstheme="majorBidi" w:hint="eastAsia"/>
          <w:b/>
          <w:bCs/>
        </w:rPr>
        <w:t>6.3 Behavioral Validation via Simulated and Applied Scenarios</w:t>
      </w:r>
    </w:p>
    <w:p w14:paraId="78C07E4C"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Behavioral validity was assessed through a series of simulated and illustrative real-world scenarios spanning clinical decision-making, epidemic policy governance, and clinical AI oversight. These examples demonstrate that DES produces coherent governance outcomes across distinct evidence regimes: decisive dominance under high-credibility concordant evidence, conditional governance under mixed credibility, and principled deferral under epistemic insufficiency.</w:t>
      </w:r>
    </w:p>
    <w:p w14:paraId="0BBA3401"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 xml:space="preserve">Importantly, these scenarios serve not as performance benchmarks but as </w:t>
      </w:r>
      <w:r w:rsidRPr="00825131">
        <w:rPr>
          <w:rStyle w:val="Strong"/>
          <w:rFonts w:asciiTheme="majorBidi" w:hAnsiTheme="majorBidi" w:cstheme="majorBidi"/>
        </w:rPr>
        <w:t>construct validation</w:t>
      </w:r>
      <w:r w:rsidRPr="00825131">
        <w:rPr>
          <w:rFonts w:asciiTheme="majorBidi" w:hAnsiTheme="majorBidi" w:cstheme="majorBidi"/>
        </w:rPr>
        <w:t>, illustrating that DES responds in a manner consistent with its intended epistemic interpretation and governance role.</w:t>
      </w:r>
    </w:p>
    <w:p w14:paraId="0169D0BA" w14:textId="77777777" w:rsidR="00E32B92" w:rsidRPr="00825131" w:rsidRDefault="00E32B92" w:rsidP="00E32B92">
      <w:pPr>
        <w:pStyle w:val="Heading3"/>
        <w:jc w:val="both"/>
        <w:rPr>
          <w:rFonts w:asciiTheme="majorBidi" w:hAnsiTheme="majorBidi" w:cstheme="majorBidi" w:hint="default"/>
        </w:rPr>
      </w:pPr>
      <w:r w:rsidRPr="00825131">
        <w:rPr>
          <w:rStyle w:val="Strong"/>
          <w:rFonts w:asciiTheme="majorBidi" w:hAnsiTheme="majorBidi" w:cstheme="majorBidi" w:hint="eastAsia"/>
          <w:b/>
          <w:bCs/>
        </w:rPr>
        <w:t>6.4 Relation to and Distinction from Existing Methods</w:t>
      </w:r>
    </w:p>
    <w:p w14:paraId="53791230"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 xml:space="preserve">DES is not intended to compete with probabilistic classifiers, hypothesis tests, or multi-criteria ranking methods on predictive accuracy or statistical efficiency. Rather, it complements these approaches by operating downstream of inference and prediction to evaluate </w:t>
      </w:r>
      <w:r w:rsidRPr="00825131">
        <w:rPr>
          <w:rStyle w:val="Strong"/>
          <w:rFonts w:asciiTheme="majorBidi" w:hAnsiTheme="majorBidi" w:cstheme="majorBidi"/>
        </w:rPr>
        <w:t>epistemic dominance between actions</w:t>
      </w:r>
      <w:r w:rsidRPr="00825131">
        <w:rPr>
          <w:rFonts w:asciiTheme="majorBidi" w:hAnsiTheme="majorBidi" w:cstheme="majorBidi"/>
        </w:rPr>
        <w:t xml:space="preserve"> after credibility stratification. Unlike classical multi-criteria decision analysis, which typically produces ordinal rankings or composite scores, DES yields a normalized dominance margin that directly encodes decision legitimacy.</w:t>
      </w:r>
    </w:p>
    <w:p w14:paraId="66BB9221"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lastRenderedPageBreak/>
        <w:t>Compared with probability-based decision rules, DES explicitly decouples epistemic strength from numerical likelihood, avoiding false certainty arising from model-dependent probability estimates under fragile or heterogeneous evidence conditions.</w:t>
      </w:r>
    </w:p>
    <w:p w14:paraId="44E1E75C" w14:textId="77777777" w:rsidR="00E32B92" w:rsidRPr="00825131" w:rsidRDefault="00E32B92" w:rsidP="00E32B92">
      <w:pPr>
        <w:pStyle w:val="Heading3"/>
        <w:jc w:val="both"/>
        <w:rPr>
          <w:rFonts w:asciiTheme="majorBidi" w:hAnsiTheme="majorBidi" w:cstheme="majorBidi" w:hint="default"/>
        </w:rPr>
      </w:pPr>
      <w:r w:rsidRPr="00825131">
        <w:rPr>
          <w:rStyle w:val="Strong"/>
          <w:rFonts w:asciiTheme="majorBidi" w:hAnsiTheme="majorBidi" w:cstheme="majorBidi" w:hint="eastAsia"/>
          <w:b/>
          <w:bCs/>
        </w:rPr>
        <w:t>6.5 Scope and Validation Limits</w:t>
      </w:r>
    </w:p>
    <w:p w14:paraId="2975996D"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 xml:space="preserve">The validation strategy adopted here is appropriate for a deterministic governance metric but does not assess causal correctness, outcome optimality, or ethical appropriateness. DES quantifies epistemic dominance conditional on the chosen zoning scheme, credibility weights, and decision rules. Consequently, validation emphasizes </w:t>
      </w:r>
      <w:r w:rsidRPr="00825131">
        <w:rPr>
          <w:rStyle w:val="Strong"/>
          <w:rFonts w:asciiTheme="majorBidi" w:hAnsiTheme="majorBidi" w:cstheme="majorBidi"/>
        </w:rPr>
        <w:t>structural consistency, stability under perturbation, interpretability, and governance coherence</w:t>
      </w:r>
      <w:r w:rsidRPr="00825131">
        <w:rPr>
          <w:rFonts w:asciiTheme="majorBidi" w:hAnsiTheme="majorBidi" w:cstheme="majorBidi"/>
        </w:rPr>
        <w:t>, rather than probabilistic correctness.</w:t>
      </w:r>
    </w:p>
    <w:p w14:paraId="1F8BBEBF" w14:textId="77777777" w:rsidR="00E32B92" w:rsidRPr="00825131" w:rsidRDefault="00E32B92" w:rsidP="00E32B92">
      <w:pPr>
        <w:pStyle w:val="NormalWeb"/>
        <w:jc w:val="both"/>
        <w:rPr>
          <w:rFonts w:asciiTheme="majorBidi" w:hAnsiTheme="majorBidi" w:cstheme="majorBidi"/>
        </w:rPr>
      </w:pPr>
      <w:r w:rsidRPr="00825131">
        <w:rPr>
          <w:rFonts w:asciiTheme="majorBidi" w:hAnsiTheme="majorBidi" w:cstheme="majorBidi"/>
        </w:rPr>
        <w:t xml:space="preserve">This validation philosophy aligns with DES’s intended role as a </w:t>
      </w:r>
      <w:r w:rsidRPr="00825131">
        <w:rPr>
          <w:rStyle w:val="Strong"/>
          <w:rFonts w:asciiTheme="majorBidi" w:hAnsiTheme="majorBidi" w:cstheme="majorBidi"/>
        </w:rPr>
        <w:t>decision governance control signal</w:t>
      </w:r>
      <w:r w:rsidRPr="00825131">
        <w:rPr>
          <w:rFonts w:asciiTheme="majorBidi" w:hAnsiTheme="majorBidi" w:cstheme="majorBidi"/>
        </w:rPr>
        <w:t xml:space="preserve"> rather than a predictive or inferential estimator.</w:t>
      </w:r>
    </w:p>
    <w:p w14:paraId="443D667B" w14:textId="7FE85429" w:rsidR="000D75A0" w:rsidRPr="00825131" w:rsidRDefault="000D75A0" w:rsidP="00E32B92">
      <w:pPr>
        <w:pStyle w:val="NormalWeb"/>
        <w:jc w:val="both"/>
        <w:rPr>
          <w:rFonts w:asciiTheme="majorBidi" w:hAnsiTheme="majorBidi" w:cstheme="majorBidi"/>
          <w:b/>
          <w:bCs/>
        </w:rPr>
      </w:pPr>
      <w:r w:rsidRPr="00825131">
        <w:rPr>
          <w:b/>
          <w:bCs/>
        </w:rPr>
        <w:t>7. Discussion and Conceptual Integration</w:t>
      </w:r>
    </w:p>
    <w:p w14:paraId="4A6B8D0B" w14:textId="77777777" w:rsidR="00C852A7" w:rsidRPr="00825131" w:rsidRDefault="00B17446">
      <w:pPr>
        <w:pStyle w:val="Heading2"/>
        <w:jc w:val="both"/>
        <w:rPr>
          <w:rFonts w:ascii="Times New Roman" w:hAnsi="Times New Roman" w:hint="default"/>
          <w:b w:val="0"/>
          <w:bCs/>
          <w:sz w:val="24"/>
          <w:szCs w:val="24"/>
        </w:rPr>
      </w:pPr>
      <w:r w:rsidRPr="00825131">
        <w:rPr>
          <w:rStyle w:val="Strong"/>
          <w:rFonts w:ascii="Times New Roman" w:hAnsi="Times New Roman" w:hint="eastAsia"/>
          <w:b/>
          <w:bCs/>
        </w:rPr>
        <w:t>7.1 Conceptual Positioning of Decision Epistemic Strength</w:t>
      </w:r>
    </w:p>
    <w:p w14:paraId="1B0EA92D" w14:textId="77777777" w:rsidR="00C852A7" w:rsidRPr="00825131" w:rsidRDefault="00B17446">
      <w:pPr>
        <w:pStyle w:val="NormalWeb"/>
        <w:jc w:val="both"/>
      </w:pPr>
      <w:r w:rsidRPr="00825131">
        <w:t xml:space="preserve">Decision Epistemic Strength (DES) is introduced as a governance-oriented metric operating in </w:t>
      </w:r>
      <w:r w:rsidRPr="00825131">
        <w:rPr>
          <w:rStyle w:val="Strong"/>
        </w:rPr>
        <w:t>decision space rather than hypothesis-testing space</w:t>
      </w:r>
      <w:r w:rsidRPr="00825131">
        <w:t xml:space="preserve">. Unlike probabilistic measures such as p-values, confidence intervals, or predictive accuracy metrics, DES does not quantify uncertainty about parameters or outcome likelihoods. Instead, it quantifies the </w:t>
      </w:r>
      <w:r w:rsidRPr="00825131">
        <w:rPr>
          <w:rStyle w:val="Strong"/>
        </w:rPr>
        <w:t>epistemic dominance between competing actions</w:t>
      </w:r>
      <w:r w:rsidRPr="00825131">
        <w:t xml:space="preserve"> following credibility-weighted evidence fusion.</w:t>
      </w:r>
    </w:p>
    <w:p w14:paraId="1C7CF672" w14:textId="77777777" w:rsidR="00C852A7" w:rsidRPr="00825131" w:rsidRDefault="00B17446" w:rsidP="00701256">
      <w:pPr>
        <w:pStyle w:val="NormalWeb"/>
        <w:jc w:val="both"/>
        <w:rPr>
          <w:rFonts w:asciiTheme="majorBidi" w:hAnsiTheme="majorBidi" w:cstheme="majorBidi"/>
        </w:rPr>
      </w:pPr>
      <w:r w:rsidRPr="00825131">
        <w:t>Classical decision theory formalizes rational choice under uncertainty through explicit probability models and utility maximization (Savage, 1954; Parmigiani, 2001). While these frameworks provide rigorous normative foundations, real-world operational environments increasingly exhibit heterogeneous evidence quality, partial observability, and epistemic instability. Under such conditions, purely probabilistic optimality offers limited guidance for responsible governance. DES formalizes a structured analogue of expert reasoning: evidence with higher epistemic credibility exerts proportionally greater influence on decisions, weak or noisy signals are explicitly down-weighted, and dominance is expressed continuously rather than through binary accept–</w:t>
      </w:r>
      <w:r w:rsidRPr="00825131">
        <w:rPr>
          <w:rFonts w:asciiTheme="majorBidi" w:hAnsiTheme="majorBidi" w:cstheme="majorBidi"/>
        </w:rPr>
        <w:t>reject thresholds.</w:t>
      </w:r>
    </w:p>
    <w:p w14:paraId="010737C1" w14:textId="77777777" w:rsidR="00C852A7" w:rsidRPr="00825131" w:rsidRDefault="00B17446" w:rsidP="00701256">
      <w:pPr>
        <w:pStyle w:val="NormalWeb"/>
        <w:jc w:val="both"/>
        <w:rPr>
          <w:rFonts w:asciiTheme="majorBidi" w:hAnsiTheme="majorBidi" w:cstheme="majorBidi"/>
        </w:rPr>
      </w:pPr>
      <w:r w:rsidRPr="00825131">
        <w:rPr>
          <w:rFonts w:asciiTheme="majorBidi" w:hAnsiTheme="majorBidi" w:cstheme="majorBidi"/>
        </w:rPr>
        <w:t>DES therefore complements — rather than replaces — inferential statistics and predictive modeling. It provides a governance layer that translates heterogeneous evidence into interpretable assessments of action legitimacy, without conflating epistemic strength with probabilistic correctness or predictive performance.</w:t>
      </w:r>
    </w:p>
    <w:p w14:paraId="6665B609" w14:textId="77777777" w:rsidR="00701256" w:rsidRPr="00825131" w:rsidRDefault="00701256" w:rsidP="00701256">
      <w:pPr>
        <w:pStyle w:val="Heading2"/>
        <w:jc w:val="both"/>
        <w:rPr>
          <w:rFonts w:asciiTheme="majorBidi" w:hAnsiTheme="majorBidi" w:cstheme="majorBidi" w:hint="default"/>
        </w:rPr>
      </w:pPr>
      <w:r w:rsidRPr="00825131">
        <w:rPr>
          <w:rStyle w:val="Strong"/>
          <w:rFonts w:asciiTheme="majorBidi" w:hAnsiTheme="majorBidi" w:cstheme="majorBidi" w:hint="eastAsia"/>
          <w:b/>
          <w:bCs/>
        </w:rPr>
        <w:t>7.2 Relation to Statistical Significance and Decision Paradigms (Revised)</w:t>
      </w:r>
    </w:p>
    <w:p w14:paraId="670567BC" w14:textId="77777777" w:rsidR="00701256" w:rsidRPr="00825131" w:rsidRDefault="00701256" w:rsidP="00701256">
      <w:pPr>
        <w:pStyle w:val="NormalWeb"/>
        <w:jc w:val="both"/>
        <w:rPr>
          <w:rFonts w:asciiTheme="majorBidi" w:hAnsiTheme="majorBidi" w:cstheme="majorBidi"/>
        </w:rPr>
      </w:pPr>
      <w:r w:rsidRPr="00825131">
        <w:rPr>
          <w:rFonts w:asciiTheme="majorBidi" w:hAnsiTheme="majorBidi" w:cstheme="majorBidi"/>
        </w:rPr>
        <w:t xml:space="preserve">Traditional null-hypothesis significance testing summarizes tail incompatibility under assumed statistical models but does not directly encode decision legitimacy, operational dominance, or governance admissibility (Killeen, 2006). A statistically significant result may remain epistemically fragile due to instability, sensitivity to perturbation, or model dependence, whereas a non-significant result may still support </w:t>
      </w:r>
      <w:r w:rsidRPr="00825131">
        <w:rPr>
          <w:rFonts w:asciiTheme="majorBidi" w:hAnsiTheme="majorBidi" w:cstheme="majorBidi"/>
        </w:rPr>
        <w:lastRenderedPageBreak/>
        <w:t>stable operational decisions when evidence structure and risk context are favorable (</w:t>
      </w:r>
      <w:proofErr w:type="spellStart"/>
      <w:r w:rsidRPr="00825131">
        <w:rPr>
          <w:rFonts w:asciiTheme="majorBidi" w:hAnsiTheme="majorBidi" w:cstheme="majorBidi"/>
        </w:rPr>
        <w:t>Lele</w:t>
      </w:r>
      <w:proofErr w:type="spellEnd"/>
      <w:r w:rsidRPr="00825131">
        <w:rPr>
          <w:rFonts w:asciiTheme="majorBidi" w:hAnsiTheme="majorBidi" w:cstheme="majorBidi"/>
        </w:rPr>
        <w:t>, 2020).</w:t>
      </w:r>
    </w:p>
    <w:p w14:paraId="556989C9" w14:textId="77777777" w:rsidR="00701256" w:rsidRPr="00825131" w:rsidRDefault="00701256" w:rsidP="00701256">
      <w:pPr>
        <w:pStyle w:val="NormalWeb"/>
        <w:jc w:val="both"/>
        <w:rPr>
          <w:rFonts w:asciiTheme="majorBidi" w:hAnsiTheme="majorBidi" w:cstheme="majorBidi"/>
        </w:rPr>
      </w:pPr>
      <w:r w:rsidRPr="00825131">
        <w:rPr>
          <w:rFonts w:asciiTheme="majorBidi" w:hAnsiTheme="majorBidi" w:cstheme="majorBidi"/>
        </w:rPr>
        <w:t>Similarly, probabilistic risk models estimate outcome likelihoods but do not quantify how strongly one action epistemically dominates competing alternatives after evidence credibility is considered. DES explicitly separates evidence aggregation, credibility weighting, and dominance evaluation, enabling graded governance rather than binary accept–reject thresholds. This separation aligns with broader calls for robustness-aware and stability-preserving decision mechanisms in complex systems operating under deep uncertainty (</w:t>
      </w:r>
      <w:proofErr w:type="spellStart"/>
      <w:r w:rsidRPr="00825131">
        <w:rPr>
          <w:rFonts w:asciiTheme="majorBidi" w:hAnsiTheme="majorBidi" w:cstheme="majorBidi"/>
        </w:rPr>
        <w:t>Marchau</w:t>
      </w:r>
      <w:proofErr w:type="spellEnd"/>
      <w:r w:rsidRPr="00825131">
        <w:rPr>
          <w:rFonts w:asciiTheme="majorBidi" w:hAnsiTheme="majorBidi" w:cstheme="majorBidi"/>
        </w:rPr>
        <w:t xml:space="preserve"> et al., 2019; Bonjean &amp; </w:t>
      </w:r>
      <w:proofErr w:type="spellStart"/>
      <w:r w:rsidRPr="00825131">
        <w:rPr>
          <w:rFonts w:asciiTheme="majorBidi" w:hAnsiTheme="majorBidi" w:cstheme="majorBidi"/>
        </w:rPr>
        <w:t>Roelich</w:t>
      </w:r>
      <w:proofErr w:type="spellEnd"/>
      <w:r w:rsidRPr="00825131">
        <w:rPr>
          <w:rFonts w:asciiTheme="majorBidi" w:hAnsiTheme="majorBidi" w:cstheme="majorBidi"/>
        </w:rPr>
        <w:t>, 2021).</w:t>
      </w:r>
    </w:p>
    <w:p w14:paraId="5B67510C" w14:textId="4A8389AC" w:rsidR="00C852A7" w:rsidRPr="00825131" w:rsidRDefault="00701256" w:rsidP="004A10A3">
      <w:pPr>
        <w:pStyle w:val="NormalWeb"/>
        <w:jc w:val="both"/>
        <w:rPr>
          <w:rFonts w:asciiTheme="majorBidi" w:hAnsiTheme="majorBidi" w:cstheme="majorBidi"/>
        </w:rPr>
      </w:pPr>
      <w:r w:rsidRPr="00825131">
        <w:rPr>
          <w:rFonts w:asciiTheme="majorBidi" w:hAnsiTheme="majorBidi" w:cstheme="majorBidi"/>
        </w:rPr>
        <w:t>This distinction is particularly important in safety-critical and regulated domains, where decisions must remain auditable, conservative, interpretable, and resistant to noise-driven amplification or spurious optimization. Recent work in structured mathematical modeling and deterministic numerical frameworks further underscores the importance of stability under perturbation and formal algorithmic governance, reinforcing the need for decision metrics that prioritize robustness and operational interpretability over purely probabilistic abstraction (Mathematical Modeling and Numerical Analysis of Diffusion Processes in Image Processing, 2023).</w:t>
      </w:r>
    </w:p>
    <w:p w14:paraId="6F5A83A5" w14:textId="77777777" w:rsidR="004A10A3" w:rsidRPr="00825131" w:rsidRDefault="004A10A3" w:rsidP="004A10A3">
      <w:pPr>
        <w:pStyle w:val="Heading2"/>
        <w:jc w:val="both"/>
        <w:rPr>
          <w:rFonts w:asciiTheme="majorBidi" w:hAnsiTheme="majorBidi" w:cstheme="majorBidi" w:hint="default"/>
        </w:rPr>
      </w:pPr>
      <w:r w:rsidRPr="00825131">
        <w:rPr>
          <w:rStyle w:val="Strong"/>
          <w:rFonts w:asciiTheme="majorBidi" w:hAnsiTheme="majorBidi" w:cstheme="majorBidi" w:hint="eastAsia"/>
          <w:b/>
          <w:bCs/>
        </w:rPr>
        <w:t>7.3 Epistemic Statistics Versus Classical Heuristics (Revised)</w:t>
      </w:r>
    </w:p>
    <w:p w14:paraId="7E793F62"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Classical heuristics originate from philosophical and cognitive traditions as informal rules of thumb designed to support human judgment under bounded rationality and incomplete information. While such heuristics often encode valuable experiential knowledge, they remain qualitative, operator-dependent, non-reproducible, and difficult to audit or formalize. Their behavior cannot be systematically calibrated, stress-tested, or reliably integrated into scalable and accountable governance systems.</w:t>
      </w:r>
    </w:p>
    <w:p w14:paraId="0C81944E"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In contrast, the epistemic statistical framework underlying DES transforms epistemic judgment into a fully quantitative and operationalizable process. Concepts traditionally treated qualitatively—including evidence credibility, stability, uncertainty exposure, noise sensitivity, and dominance—are formally encoded through epistemic zoning, credibility weighting, deterministic aggregation, and normalized dominance metrics. This formalization renders epistemic reasoning reproducible, auditable, and computationally tractable rather than intuitive or anecdotal.</w:t>
      </w:r>
    </w:p>
    <w:p w14:paraId="622337FF"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Rather than replacing expert judgment, epistemic statistics disciplines and formalizes it. Subjective intuition is translated into explicit structural rules and quantitative parameters that can be inspected, challenged, stress-tested, and governed. DES therefore does not function as a heuristic shortcut, but as a statistically grounded control signal for decision legitimacy.</w:t>
      </w:r>
    </w:p>
    <w:p w14:paraId="7C280C4C"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By converting epistemic reasoning from informal human cognition into a measurable and verifiable statistical architecture, the proposed framework establishes a new methodological layer bridging philosophy, statistics, and decision governance. This shift enables epistemic transparency, regulatory accountability, and scalable deployment across clinical, policy, financial, and intelligent systems.</w:t>
      </w:r>
    </w:p>
    <w:p w14:paraId="1F3052CE" w14:textId="161893ED" w:rsidR="004A10A3" w:rsidRPr="00825131" w:rsidRDefault="004A10A3" w:rsidP="004A10A3">
      <w:pPr>
        <w:pStyle w:val="Heading2"/>
        <w:jc w:val="both"/>
        <w:rPr>
          <w:rFonts w:asciiTheme="majorBidi" w:hAnsiTheme="majorBidi" w:cstheme="majorBidi" w:hint="default"/>
        </w:rPr>
      </w:pPr>
      <w:r w:rsidRPr="00825131">
        <w:rPr>
          <w:rStyle w:val="Strong"/>
          <w:rFonts w:asciiTheme="majorBidi" w:hAnsiTheme="majorBidi" w:cstheme="majorBidi" w:hint="eastAsia"/>
          <w:b/>
          <w:bCs/>
        </w:rPr>
        <w:lastRenderedPageBreak/>
        <w:t xml:space="preserve">7.4 Relation to Evidence Weighting and Multi-Criteria Decision Frameworks </w:t>
      </w:r>
    </w:p>
    <w:p w14:paraId="1BE569CD"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 xml:space="preserve">Explicit evidence weighting is widely employed in multi-criteria decision analysis and evidential reasoning frameworks to integrate heterogeneous indicators under uncertainty (Ezell, 2021; </w:t>
      </w:r>
      <w:proofErr w:type="spellStart"/>
      <w:r w:rsidRPr="00825131">
        <w:rPr>
          <w:rFonts w:asciiTheme="majorBidi" w:hAnsiTheme="majorBidi" w:cstheme="majorBidi"/>
        </w:rPr>
        <w:t>Mosadeghi</w:t>
      </w:r>
      <w:proofErr w:type="spellEnd"/>
      <w:r w:rsidRPr="00825131">
        <w:rPr>
          <w:rFonts w:asciiTheme="majorBidi" w:hAnsiTheme="majorBidi" w:cstheme="majorBidi"/>
        </w:rPr>
        <w:t xml:space="preserve"> et al., 2012; Scholten, 2015). These approaches emphasize transparency, traceability, and structured aggregation when combining qualitative and quantitative evidence streams, thereby improving interpretability and stakeholder accountability in complex decision settings.</w:t>
      </w:r>
    </w:p>
    <w:p w14:paraId="4B18A375"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DES extends this philosophy by embedding evidence weighting within a zonal epistemic architecture rather than treating weights as purely exogenous coefficients. Evidence reliability, stability, and noise sensitivity are explicitly encoded through epistemic stratification prior to aggregation, enabling credibility-aware fusion and principled dominance assessment. This structured stratification suppresses global averaging artifacts, preserves local uncertainty structure, and yields interpretable governance signals rather than opaque composite scores.</w:t>
      </w:r>
    </w:p>
    <w:p w14:paraId="0B438C02"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Unlike conventional multi-criteria weighting schemes, which typically produce rankings or aggregate scores, DES explicitly quantifies epistemic dominance between competing actions. This transformation converts weighted evidence integration into a continuous, normalized measure of decision legitimacy, supporting graded governance decisions rather than heuristic ranking or threshold-based selection.</w:t>
      </w:r>
    </w:p>
    <w:p w14:paraId="31F8E2A0" w14:textId="77777777" w:rsidR="004A10A3" w:rsidRPr="00825131" w:rsidRDefault="004A10A3" w:rsidP="004A10A3">
      <w:pPr>
        <w:pStyle w:val="Heading2"/>
        <w:jc w:val="both"/>
        <w:rPr>
          <w:rFonts w:asciiTheme="majorBidi" w:hAnsiTheme="majorBidi" w:cstheme="majorBidi" w:hint="default"/>
        </w:rPr>
      </w:pPr>
      <w:r w:rsidRPr="00825131">
        <w:rPr>
          <w:rStyle w:val="Strong"/>
          <w:rFonts w:asciiTheme="majorBidi" w:hAnsiTheme="majorBidi" w:cstheme="majorBidi" w:hint="eastAsia"/>
          <w:b/>
          <w:bCs/>
        </w:rPr>
        <w:t>7.5 Decision Making Under Epistemic and Deep Uncertainty (Revised)</w:t>
      </w:r>
    </w:p>
    <w:p w14:paraId="341AE1C0"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Contemporary policy, medical, and financial systems increasingly operate under deep uncertainty, where probabilities are poorly specified, models are incomplete, evidence quality is heterogeneous, and system behavior is non-stationary (</w:t>
      </w:r>
      <w:proofErr w:type="spellStart"/>
      <w:r w:rsidRPr="00825131">
        <w:rPr>
          <w:rFonts w:asciiTheme="majorBidi" w:hAnsiTheme="majorBidi" w:cstheme="majorBidi"/>
        </w:rPr>
        <w:t>Marchau</w:t>
      </w:r>
      <w:proofErr w:type="spellEnd"/>
      <w:r w:rsidRPr="00825131">
        <w:rPr>
          <w:rFonts w:asciiTheme="majorBidi" w:hAnsiTheme="majorBidi" w:cstheme="majorBidi"/>
        </w:rPr>
        <w:t xml:space="preserve"> et al., 2019; Bonjean &amp; </w:t>
      </w:r>
      <w:proofErr w:type="spellStart"/>
      <w:r w:rsidRPr="00825131">
        <w:rPr>
          <w:rFonts w:asciiTheme="majorBidi" w:hAnsiTheme="majorBidi" w:cstheme="majorBidi"/>
        </w:rPr>
        <w:t>Roelich</w:t>
      </w:r>
      <w:proofErr w:type="spellEnd"/>
      <w:r w:rsidRPr="00825131">
        <w:rPr>
          <w:rFonts w:asciiTheme="majorBidi" w:hAnsiTheme="majorBidi" w:cstheme="majorBidi"/>
        </w:rPr>
        <w:t>, 2021). In such environments, decision quality depends less on precise probabilistic optimization and more on governance mechanisms that remain robust to epistemic fragility, structural uncertainty, and noisy or partially conflicting signals.</w:t>
      </w:r>
    </w:p>
    <w:p w14:paraId="0653637C"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DES aligns naturally with this paradigm by enabling graded assessments of decision legitimacy, principled deferral when epistemic support is insufficient, and explicit resistance to weak-signal dominance or noise-driven amplification. Rather than enforcing artificial certainty, DES preserves uncertainty visibility through explicit epistemic zoning and credibility-weighted dominance evaluation, while still supporting structured, auditable control of actions. This balance supports safer and more accountable decision-making in high-stakes, dynamically evolving operational contexts.</w:t>
      </w:r>
    </w:p>
    <w:p w14:paraId="55C31A68" w14:textId="77777777" w:rsidR="004A10A3" w:rsidRPr="00825131" w:rsidRDefault="004A10A3" w:rsidP="004A10A3">
      <w:pPr>
        <w:pStyle w:val="Heading2"/>
        <w:jc w:val="both"/>
        <w:rPr>
          <w:rFonts w:asciiTheme="majorBidi" w:hAnsiTheme="majorBidi" w:cstheme="majorBidi" w:hint="default"/>
        </w:rPr>
      </w:pPr>
      <w:r w:rsidRPr="00825131">
        <w:rPr>
          <w:rStyle w:val="Strong"/>
          <w:rFonts w:asciiTheme="majorBidi" w:hAnsiTheme="majorBidi" w:cstheme="majorBidi" w:hint="eastAsia"/>
          <w:b/>
          <w:bCs/>
        </w:rPr>
        <w:t>7.6 Decision Making Under Epistemic and Deep Uncertainty (Revised)</w:t>
      </w:r>
    </w:p>
    <w:p w14:paraId="38D8E571"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Contemporary clinical, policy, and financial systems increasingly operate under deep uncertainty, where probabilities are poorly specified, models are incomplete, evidence quality is heterogeneous, and system behavior is non-stationary (</w:t>
      </w:r>
      <w:proofErr w:type="spellStart"/>
      <w:r w:rsidRPr="00825131">
        <w:rPr>
          <w:rFonts w:asciiTheme="majorBidi" w:hAnsiTheme="majorBidi" w:cstheme="majorBidi"/>
        </w:rPr>
        <w:t>Marchau</w:t>
      </w:r>
      <w:proofErr w:type="spellEnd"/>
      <w:r w:rsidRPr="00825131">
        <w:rPr>
          <w:rFonts w:asciiTheme="majorBidi" w:hAnsiTheme="majorBidi" w:cstheme="majorBidi"/>
        </w:rPr>
        <w:t xml:space="preserve"> et al., 2019; Bonjean &amp; </w:t>
      </w:r>
      <w:proofErr w:type="spellStart"/>
      <w:r w:rsidRPr="00825131">
        <w:rPr>
          <w:rFonts w:asciiTheme="majorBidi" w:hAnsiTheme="majorBidi" w:cstheme="majorBidi"/>
        </w:rPr>
        <w:t>Roelich</w:t>
      </w:r>
      <w:proofErr w:type="spellEnd"/>
      <w:r w:rsidRPr="00825131">
        <w:rPr>
          <w:rFonts w:asciiTheme="majorBidi" w:hAnsiTheme="majorBidi" w:cstheme="majorBidi"/>
        </w:rPr>
        <w:t xml:space="preserve">, 2021). In such environments, decision quality depends less on precise probabilistic optimization and more on governance mechanisms that remain </w:t>
      </w:r>
      <w:r w:rsidRPr="00825131">
        <w:rPr>
          <w:rFonts w:asciiTheme="majorBidi" w:hAnsiTheme="majorBidi" w:cstheme="majorBidi"/>
        </w:rPr>
        <w:lastRenderedPageBreak/>
        <w:t>robust to epistemic fragility, distributional shift, and noisy or partially conflicting signals.</w:t>
      </w:r>
    </w:p>
    <w:p w14:paraId="73E6FBD6"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The simulated pediatric pneumonia and epidemic policy examples, together with the real-data sepsis monitoring and clinical AI demonstrations, illustrate how DES operationalizes these governance requirements in practice. High-credibility concordant evidence yields large dominance margins and decisive governance states, whereas mixed or weak evidence appropriately suppresses dominance and triggers conditional or deferred decisions. Importantly, multiple low-credibility signals cannot overwhelm fewer high-credibility indicators unless their cumulative epistemic weight justifies dominance, thereby preventing noise-driven escalation or premature automation.</w:t>
      </w:r>
    </w:p>
    <w:p w14:paraId="7F582E22" w14:textId="77777777" w:rsidR="004A10A3" w:rsidRPr="00825131" w:rsidRDefault="004A10A3" w:rsidP="004A10A3">
      <w:pPr>
        <w:pStyle w:val="NormalWeb"/>
        <w:jc w:val="both"/>
        <w:rPr>
          <w:rFonts w:asciiTheme="majorBidi" w:hAnsiTheme="majorBidi" w:cstheme="majorBidi"/>
        </w:rPr>
      </w:pPr>
      <w:r w:rsidRPr="00825131">
        <w:rPr>
          <w:rFonts w:asciiTheme="majorBidi" w:hAnsiTheme="majorBidi" w:cstheme="majorBidi"/>
        </w:rPr>
        <w:t>Rather than enforcing artificial certainty, DES preserves uncertainty visibility through explicit epistemic zoning, credibility weighting, and normalized dominance quantification, while still enabling structured and auditable control of actions. This balance supports safer and more accountable decision-making in high-stakes, dynamically evolving operational contexts where classical probability-driven optimization alone provides insufficient governance assurance.</w:t>
      </w:r>
    </w:p>
    <w:p w14:paraId="75D3ABB7"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7.7 Limitations and Governance Responsibility</w:t>
      </w:r>
    </w:p>
    <w:p w14:paraId="546F89A9" w14:textId="77777777" w:rsidR="00C852A7" w:rsidRPr="00825131" w:rsidRDefault="00B17446">
      <w:pPr>
        <w:pStyle w:val="NormalWeb"/>
        <w:jc w:val="both"/>
      </w:pPr>
      <w:r w:rsidRPr="00825131">
        <w:t>DES depends critically on the specification of epistemic zones, credibility weights, and local decision rules. These components require domain expertise, transparent governance policies, and periodic recalibration as data distributions, operational objectives, and risk tolerances evolve. Improper zoning, misaligned weight assignment, or unvalidated decision rules may distort dominance interpretation and therefore must remain fully auditable, version-controlled, and subject to institutional oversight.</w:t>
      </w:r>
    </w:p>
    <w:p w14:paraId="5600EDBD" w14:textId="77777777" w:rsidR="00C852A7" w:rsidRPr="00825131" w:rsidRDefault="00B17446">
      <w:pPr>
        <w:pStyle w:val="NormalWeb"/>
        <w:jc w:val="both"/>
      </w:pPr>
      <w:r w:rsidRPr="00825131">
        <w:t>DES does not evaluate causal validity, predictive accuracy, ethical appropriateness, regulatory compliance, or outcome optimality. It quantifies epistemic dominance conditional on the selected evidence representation and governance configuration. Accordingly, DES should be embedded within broader organizational decision governance frameworks rather than treated as an autonomous or self-justifying decision authority.</w:t>
      </w:r>
    </w:p>
    <w:p w14:paraId="7CAD413A" w14:textId="77777777" w:rsidR="00C852A7" w:rsidRPr="00825131" w:rsidRDefault="00B17446">
      <w:pPr>
        <w:pStyle w:val="NormalWeb"/>
        <w:jc w:val="both"/>
      </w:pPr>
      <w:r w:rsidRPr="00825131">
        <w:t>Because DES is fully deterministic, classical statistical validation paradigms based on sampling variability, confidence intervals, or stochastic uncertainty estimation are not applicable. Verification appropriately focuses on mathematical consistency, boundedness, monotonicity, sensitivity behavior, edge-case handling, and reproducibility across controlled perturbations rather than probabilistic reliability metrics. This distinction reinforces DES as a governance-control instrument rather than a predictive or inferential estimator.</w:t>
      </w:r>
    </w:p>
    <w:p w14:paraId="1DAC388C"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7.8 Extensions and Future Directions</w:t>
      </w:r>
    </w:p>
    <w:p w14:paraId="73020AAE" w14:textId="77777777" w:rsidR="00C852A7" w:rsidRPr="00825131" w:rsidRDefault="00B17446">
      <w:pPr>
        <w:pStyle w:val="NormalWeb"/>
        <w:jc w:val="both"/>
      </w:pPr>
      <w:r w:rsidRPr="00825131">
        <w:t xml:space="preserve">Several extensions naturally arise from the DES framework. Temporal tracking of DES trajectories enables early detection of instability, regime transitions, and epistemic drift, supporting proactive governance and recalibration. Extension to </w:t>
      </w:r>
      <w:r w:rsidRPr="00825131">
        <w:lastRenderedPageBreak/>
        <w:t>multi-action decision spaces allows DES to govern complex operational portfolios beyond binary choices. Adaptive calibration of credibility weights based on empirical reliability, longitudinal performance, or environmental shift may further enhance robustness and contextual sensitivity.</w:t>
      </w:r>
    </w:p>
    <w:p w14:paraId="30609B6A" w14:textId="77777777" w:rsidR="00C852A7" w:rsidRPr="00825131" w:rsidRDefault="00B17446">
      <w:pPr>
        <w:pStyle w:val="NormalWeb"/>
        <w:jc w:val="both"/>
      </w:pPr>
      <w:r w:rsidRPr="00825131">
        <w:t>Integration with explainable AI systems, regulatory auditing pipelines, and safety-critical deployment architectures represents a promising direction for operationalization. Coupling DES with traceable evidence provenance, automated compliance monitoring, and continuous validation pipelines may strengthen accountability and trustworthiness in high-stakes environments.</w:t>
      </w:r>
    </w:p>
    <w:p w14:paraId="0537020F" w14:textId="77777777" w:rsidR="00C852A7" w:rsidRPr="00825131" w:rsidRDefault="00B17446">
      <w:pPr>
        <w:pStyle w:val="NormalWeb"/>
        <w:jc w:val="both"/>
      </w:pPr>
      <w:r w:rsidRPr="00825131">
        <w:t>Within the broader Epistemic Zonal Statistics (EZS</w:t>
      </w:r>
      <w:proofErr w:type="gramStart"/>
      <w:r w:rsidRPr="00825131">
        <w:t>) ,</w:t>
      </w:r>
      <w:proofErr w:type="gramEnd"/>
      <w:r w:rsidRPr="00825131">
        <w:t xml:space="preserve"> DES functions as a structural bridge between epistemic measurement and actionable governance, enabling systematic translation of uncertainty-aware analytics into controlled decision authority.</w:t>
      </w:r>
    </w:p>
    <w:p w14:paraId="2A56B70B" w14:textId="77777777" w:rsidR="00C852A7" w:rsidRPr="00825131" w:rsidRDefault="00B17446">
      <w:pPr>
        <w:pStyle w:val="Heading2"/>
        <w:jc w:val="both"/>
        <w:rPr>
          <w:rFonts w:ascii="Times New Roman" w:hAnsi="Times New Roman" w:hint="default"/>
          <w:bCs/>
          <w:sz w:val="24"/>
          <w:szCs w:val="24"/>
        </w:rPr>
      </w:pPr>
      <w:r w:rsidRPr="00825131">
        <w:rPr>
          <w:rStyle w:val="Strong"/>
          <w:rFonts w:ascii="Times New Roman" w:hAnsi="Times New Roman" w:hint="eastAsia"/>
          <w:b/>
          <w:bCs/>
        </w:rPr>
        <w:t>8. Conclusions</w:t>
      </w:r>
    </w:p>
    <w:p w14:paraId="5BB8E04F" w14:textId="77777777" w:rsidR="00C852A7" w:rsidRPr="00825131" w:rsidRDefault="00B17446">
      <w:pPr>
        <w:pStyle w:val="NormalWeb"/>
        <w:jc w:val="both"/>
      </w:pPr>
      <w:r w:rsidRPr="00825131">
        <w:t xml:space="preserve">This study introduces </w:t>
      </w:r>
      <w:r w:rsidRPr="00825131">
        <w:rPr>
          <w:rStyle w:val="Strong"/>
        </w:rPr>
        <w:t>Decision Epistemic Strength (DES)</w:t>
      </w:r>
      <w:r w:rsidRPr="00825131">
        <w:t xml:space="preserve"> as a credibility-weighted metric for governing decisions under epistemic uncertainty. Operating in decision space rather than hypothesis-testing space, DES quantifies epistemic dominance following zonal evidence stratification and credibility-weighted fusion. The framework demonstrates mathematical consistency, deterministic stability, and coherent behavioral response across simulated and applied scenarios.</w:t>
      </w:r>
    </w:p>
    <w:p w14:paraId="5E822332" w14:textId="77777777" w:rsidR="00C852A7" w:rsidRPr="00825131" w:rsidRDefault="00B17446">
      <w:pPr>
        <w:pStyle w:val="NormalWeb"/>
        <w:jc w:val="both"/>
      </w:pPr>
      <w:r w:rsidRPr="00825131">
        <w:t>DES complements existing inferential and predictive methodologies by enabling graded, transparent, and auditable decision governance without conflating epistemic legitimacy with probabilistic likelihood or statistical significance. Unlike classical heuristics, which originate as philosophical or cognitive constructs, the proposed epistemic framework formalizes epistemic judgment into a fully quantitative, statistically governed decision mechanism suitable for scalable deployment and institutional oversight.</w:t>
      </w:r>
    </w:p>
    <w:p w14:paraId="418D0F9A" w14:textId="77777777" w:rsidR="00C852A7" w:rsidRPr="00825131" w:rsidRDefault="00B17446">
      <w:pPr>
        <w:pStyle w:val="NormalWeb"/>
        <w:jc w:val="both"/>
      </w:pPr>
      <w:r w:rsidRPr="00825131">
        <w:t>Future extensions will address temporal monitoring of epistemic stability, multi-action decision control, adaptive governance calibration, and integration with regulatory and safety-critical deployment frameworks.</w:t>
      </w:r>
    </w:p>
    <w:p w14:paraId="5B9C6A00" w14:textId="77777777" w:rsidR="00C852A7" w:rsidRPr="00825131" w:rsidRDefault="00B17446">
      <w:pPr>
        <w:pStyle w:val="Heading1"/>
        <w:jc w:val="both"/>
        <w:rPr>
          <w:rFonts w:ascii="Times New Roman" w:hAnsi="Times New Roman" w:hint="default"/>
          <w:sz w:val="24"/>
          <w:szCs w:val="24"/>
        </w:rPr>
      </w:pPr>
      <w:r w:rsidRPr="00825131">
        <w:rPr>
          <w:rStyle w:val="Strong"/>
          <w:rFonts w:ascii="Times New Roman" w:hAnsi="Times New Roman" w:hint="eastAsia"/>
          <w:b/>
          <w:bCs/>
        </w:rPr>
        <w:t>Declarations</w:t>
      </w:r>
    </w:p>
    <w:p w14:paraId="1A9B60C9"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Ethics Approval and Consent to Participate</w:t>
      </w:r>
    </w:p>
    <w:p w14:paraId="55DCD03E" w14:textId="77777777" w:rsidR="00C852A7" w:rsidRPr="00825131" w:rsidRDefault="00B17446">
      <w:pPr>
        <w:pStyle w:val="NormalWeb"/>
        <w:jc w:val="both"/>
      </w:pPr>
      <w:r w:rsidRPr="00825131">
        <w:t>Not applicable. This study presents a methodological framework and does not involve human participants, animals, or identifiable personal data.</w:t>
      </w:r>
    </w:p>
    <w:p w14:paraId="132DB078"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Consent for Publication</w:t>
      </w:r>
    </w:p>
    <w:p w14:paraId="5AD7AC2E" w14:textId="77777777" w:rsidR="00C852A7" w:rsidRPr="00825131" w:rsidRDefault="00B17446">
      <w:pPr>
        <w:pStyle w:val="NormalWeb"/>
        <w:jc w:val="both"/>
      </w:pPr>
      <w:r w:rsidRPr="00825131">
        <w:t>Not applicable.</w:t>
      </w:r>
    </w:p>
    <w:p w14:paraId="1EF55095" w14:textId="77777777" w:rsidR="00C852A7" w:rsidRPr="00825131" w:rsidRDefault="00B17446">
      <w:pPr>
        <w:pStyle w:val="Heading3"/>
        <w:jc w:val="both"/>
        <w:rPr>
          <w:rFonts w:ascii="Times New Roman" w:hAnsi="Times New Roman" w:hint="default"/>
          <w:bCs/>
          <w:sz w:val="24"/>
          <w:szCs w:val="24"/>
        </w:rPr>
      </w:pPr>
      <w:r w:rsidRPr="00825131">
        <w:rPr>
          <w:rStyle w:val="Strong"/>
          <w:rFonts w:ascii="Times New Roman" w:hAnsi="Times New Roman" w:hint="eastAsia"/>
          <w:b/>
          <w:bCs/>
        </w:rPr>
        <w:t>Availability of Data and Materials</w:t>
      </w:r>
    </w:p>
    <w:p w14:paraId="44211EDF" w14:textId="77777777" w:rsidR="00C852A7" w:rsidRPr="00825131" w:rsidRDefault="00B17446">
      <w:pPr>
        <w:pStyle w:val="NormalWeb"/>
        <w:jc w:val="both"/>
      </w:pPr>
      <w:r w:rsidRPr="00825131">
        <w:lastRenderedPageBreak/>
        <w:t>All simulated examples and publicly available datasets used for illustrative purposes are referenced within the manuscript. No proprietary or restricted datasets were used.</w:t>
      </w:r>
    </w:p>
    <w:p w14:paraId="67DB774B" w14:textId="77777777" w:rsidR="00C852A7" w:rsidRPr="00825131" w:rsidRDefault="00B17446">
      <w:pPr>
        <w:pStyle w:val="Heading1"/>
        <w:jc w:val="both"/>
        <w:rPr>
          <w:rFonts w:ascii="Times New Roman" w:hAnsi="Times New Roman" w:hint="default"/>
          <w:bCs/>
          <w:sz w:val="24"/>
          <w:szCs w:val="24"/>
        </w:rPr>
      </w:pPr>
      <w:r w:rsidRPr="00825131">
        <w:rPr>
          <w:rStyle w:val="Strong"/>
          <w:rFonts w:ascii="Times New Roman" w:hAnsi="Times New Roman" w:hint="eastAsia"/>
          <w:b/>
          <w:bCs/>
        </w:rPr>
        <w:t>Novelty Statement</w:t>
      </w:r>
    </w:p>
    <w:p w14:paraId="697C5D79" w14:textId="3D8A30C0" w:rsidR="00C852A7" w:rsidRPr="00825131" w:rsidRDefault="00B17446">
      <w:pPr>
        <w:pStyle w:val="NormalWeb"/>
        <w:ind w:right="720"/>
        <w:jc w:val="both"/>
      </w:pPr>
      <w:r w:rsidRPr="00825131">
        <w:t>This work proposes Decision Epistemic Strength (DES), a new metric that quantifies epistemic dominance between competing decisions using credibility-weighted evidence fusion. Unlike probabilistic measures, DES governs decisions in action space and supports graded legitimacy rather than binary thresholds. The framework introduces transparent epistemic zoning, deterministic aggregation, and robustness verification for accountable decision governance.</w:t>
      </w:r>
    </w:p>
    <w:p w14:paraId="68BA00B0" w14:textId="77777777" w:rsidR="00091BC0" w:rsidRPr="00825131" w:rsidRDefault="00091BC0" w:rsidP="008A59B8">
      <w:pPr>
        <w:jc w:val="both"/>
        <w:rPr>
          <w:b/>
        </w:rPr>
      </w:pPr>
      <w:r w:rsidRPr="00825131">
        <w:rPr>
          <w:b/>
        </w:rPr>
        <w:t>Disclaimer (Artificial intelligence)</w:t>
      </w:r>
    </w:p>
    <w:p w14:paraId="42B946BD" w14:textId="77777777" w:rsidR="00091BC0" w:rsidRPr="00825131" w:rsidRDefault="00091BC0" w:rsidP="008A59B8">
      <w:pPr>
        <w:jc w:val="both"/>
      </w:pPr>
      <w:r w:rsidRPr="00825131">
        <w:t>Author(s) hereby declare that NO generative AI technologies such as Large Language Models (</w:t>
      </w:r>
      <w:proofErr w:type="spellStart"/>
      <w:r w:rsidRPr="00825131">
        <w:t>ChatGPT</w:t>
      </w:r>
      <w:proofErr w:type="spellEnd"/>
      <w:r w:rsidRPr="00825131">
        <w:t xml:space="preserve">, COPILOT, etc.) and text-to-image generators have been used during the writing or editing of this manuscript. </w:t>
      </w:r>
    </w:p>
    <w:p w14:paraId="797D03AC" w14:textId="77777777" w:rsidR="00091BC0" w:rsidRPr="00825131" w:rsidRDefault="00091BC0">
      <w:pPr>
        <w:pStyle w:val="NormalWeb"/>
        <w:ind w:right="720"/>
        <w:jc w:val="both"/>
      </w:pPr>
    </w:p>
    <w:p w14:paraId="631AD401" w14:textId="77777777" w:rsidR="00C852A7" w:rsidRPr="00825131" w:rsidRDefault="00B17446">
      <w:pPr>
        <w:pStyle w:val="NormalWeb"/>
        <w:jc w:val="both"/>
        <w:rPr>
          <w:b/>
          <w:bCs/>
        </w:rPr>
      </w:pPr>
      <w:r w:rsidRPr="00825131">
        <w:rPr>
          <w:b/>
          <w:bCs/>
        </w:rPr>
        <w:t xml:space="preserve">References </w:t>
      </w:r>
    </w:p>
    <w:p w14:paraId="17441D88" w14:textId="77777777" w:rsidR="00C852A7" w:rsidRPr="00825131" w:rsidRDefault="00B17446">
      <w:pPr>
        <w:pStyle w:val="NormalWeb"/>
      </w:pPr>
      <w:r w:rsidRPr="00825131">
        <w:rPr>
          <w:rStyle w:val="Strong"/>
        </w:rPr>
        <w:t xml:space="preserve">Bonjean, M.C. and Roelich, K. (2021). </w:t>
      </w:r>
      <w:r w:rsidRPr="00825131">
        <w:t xml:space="preserve">Decision making under deep uncertainties: A review of the applicability of methods in practice. </w:t>
      </w:r>
      <w:r w:rsidRPr="00825131">
        <w:rPr>
          <w:rStyle w:val="Emphasis"/>
        </w:rPr>
        <w:t>Technological Forecasting and Social Change</w:t>
      </w:r>
      <w:r w:rsidRPr="00825131">
        <w:t>, 171, 120939.</w:t>
      </w:r>
      <w:r w:rsidRPr="00825131">
        <w:br/>
      </w:r>
      <w:hyperlink r:id="rId8" w:tgtFrame="_new" w:history="1">
        <w:r w:rsidR="00C852A7" w:rsidRPr="00825131">
          <w:rPr>
            <w:rStyle w:val="Hyperlink"/>
          </w:rPr>
          <w:t>https://doi.org/10.1016/j.techfore.2021.120939</w:t>
        </w:r>
      </w:hyperlink>
    </w:p>
    <w:p w14:paraId="2B2DA4DA" w14:textId="77777777" w:rsidR="00C852A7" w:rsidRPr="00825131" w:rsidRDefault="00B17446">
      <w:pPr>
        <w:pStyle w:val="NormalWeb"/>
      </w:pPr>
      <w:r w:rsidRPr="00825131">
        <w:rPr>
          <w:rStyle w:val="Strong"/>
        </w:rPr>
        <w:t xml:space="preserve">Evidential reasoning approach (2025). </w:t>
      </w:r>
      <w:r w:rsidRPr="00825131">
        <w:t xml:space="preserve">In </w:t>
      </w:r>
      <w:r w:rsidRPr="00825131">
        <w:rPr>
          <w:rStyle w:val="Emphasis"/>
        </w:rPr>
        <w:t>Wikipedia</w:t>
      </w:r>
      <w:r w:rsidRPr="00825131">
        <w:t xml:space="preserve">. Available at: </w:t>
      </w:r>
      <w:hyperlink r:id="rId9" w:tgtFrame="_new" w:history="1">
        <w:r w:rsidR="00C852A7" w:rsidRPr="00825131">
          <w:rPr>
            <w:rStyle w:val="Hyperlink"/>
          </w:rPr>
          <w:t>https://en.wikipedia.org/wiki/Evidential_reasoning_approach</w:t>
        </w:r>
      </w:hyperlink>
    </w:p>
    <w:p w14:paraId="111A0CC0" w14:textId="77777777" w:rsidR="00C852A7" w:rsidRPr="00825131" w:rsidRDefault="00B17446">
      <w:pPr>
        <w:pStyle w:val="NormalWeb"/>
      </w:pPr>
      <w:r w:rsidRPr="00825131">
        <w:rPr>
          <w:rStyle w:val="Strong"/>
        </w:rPr>
        <w:t xml:space="preserve">Ezell, B. (2021). </w:t>
      </w:r>
      <w:r w:rsidRPr="00825131">
        <w:t xml:space="preserve">Methods for weighting decisions to assist modelers and practitioners. </w:t>
      </w:r>
      <w:r w:rsidRPr="00825131">
        <w:rPr>
          <w:rStyle w:val="Emphasis"/>
        </w:rPr>
        <w:t>Applied Sciences</w:t>
      </w:r>
      <w:r w:rsidRPr="00825131">
        <w:t>, 11(21), 10397.</w:t>
      </w:r>
      <w:r w:rsidRPr="00825131">
        <w:br/>
      </w:r>
      <w:hyperlink r:id="rId10" w:tgtFrame="_new" w:history="1">
        <w:r w:rsidR="00C852A7" w:rsidRPr="00825131">
          <w:rPr>
            <w:rStyle w:val="Hyperlink"/>
          </w:rPr>
          <w:t>https://doi.org/10.3390/app112110397</w:t>
        </w:r>
      </w:hyperlink>
    </w:p>
    <w:p w14:paraId="2F67D527" w14:textId="77777777" w:rsidR="00C852A7" w:rsidRPr="00825131" w:rsidRDefault="00B17446">
      <w:pPr>
        <w:pStyle w:val="NormalWeb"/>
      </w:pPr>
      <w:r w:rsidRPr="00825131">
        <w:rPr>
          <w:rStyle w:val="Strong"/>
        </w:rPr>
        <w:t xml:space="preserve">Gruber, C., et al. (2023). </w:t>
      </w:r>
      <w:r w:rsidRPr="00825131">
        <w:t xml:space="preserve">Sources of uncertainty in supervised machine learning – A statistician’s view. </w:t>
      </w:r>
      <w:proofErr w:type="spellStart"/>
      <w:r w:rsidRPr="00825131">
        <w:rPr>
          <w:rStyle w:val="Emphasis"/>
        </w:rPr>
        <w:t>arXiv</w:t>
      </w:r>
      <w:proofErr w:type="spellEnd"/>
      <w:r w:rsidRPr="00825131">
        <w:rPr>
          <w:rStyle w:val="Emphasis"/>
        </w:rPr>
        <w:t xml:space="preserve"> preprint</w:t>
      </w:r>
      <w:r w:rsidRPr="00825131">
        <w:t>.</w:t>
      </w:r>
    </w:p>
    <w:p w14:paraId="5E9B7DCD" w14:textId="4966ED2E" w:rsidR="009C1C61" w:rsidRPr="00825131" w:rsidRDefault="009C1C61" w:rsidP="009C1C61">
      <w:pPr>
        <w:jc w:val="left"/>
        <w:rPr>
          <w:rFonts w:ascii="Times New Roman" w:eastAsia="Times New Roman" w:hAnsi="Times New Roman"/>
          <w:lang w:eastAsia="en-US"/>
        </w:rPr>
      </w:pPr>
      <w:r w:rsidRPr="00825131">
        <w:rPr>
          <w:rFonts w:ascii="Times New Roman" w:eastAsia="Times New Roman" w:hAnsi="Times New Roman"/>
          <w:b/>
          <w:bCs/>
          <w:lang w:eastAsia="en-US"/>
        </w:rPr>
        <w:t>Infrared and Visible Image Fusion Using Multi-</w:t>
      </w:r>
      <w:proofErr w:type="gramStart"/>
      <w:r w:rsidRPr="00825131">
        <w:rPr>
          <w:rFonts w:ascii="Times New Roman" w:eastAsia="Times New Roman" w:hAnsi="Times New Roman"/>
          <w:b/>
          <w:bCs/>
          <w:lang w:eastAsia="en-US"/>
        </w:rPr>
        <w:t>scale</w:t>
      </w:r>
      <w:proofErr w:type="gramEnd"/>
      <w:r w:rsidRPr="00825131">
        <w:rPr>
          <w:rFonts w:ascii="Times New Roman" w:eastAsia="Times New Roman" w:hAnsi="Times New Roman"/>
          <w:b/>
          <w:bCs/>
          <w:lang w:eastAsia="en-US"/>
        </w:rPr>
        <w:t xml:space="preserve"> Decomposition and PDEs (2024).</w:t>
      </w:r>
      <w:r w:rsidRPr="00825131">
        <w:rPr>
          <w:rFonts w:ascii="Times New Roman" w:eastAsia="Times New Roman" w:hAnsi="Times New Roman"/>
          <w:lang w:eastAsia="en-US"/>
        </w:rPr>
        <w:t xml:space="preserve"> </w:t>
      </w:r>
      <w:r w:rsidRPr="00825131">
        <w:rPr>
          <w:rFonts w:ascii="Times New Roman" w:eastAsia="Times New Roman" w:hAnsi="Times New Roman"/>
          <w:i/>
          <w:iCs/>
          <w:lang w:eastAsia="en-US"/>
        </w:rPr>
        <w:t>International Journal of Applied and Computational Mathematics</w:t>
      </w:r>
      <w:r w:rsidRPr="00825131">
        <w:rPr>
          <w:rFonts w:ascii="Times New Roman" w:eastAsia="Times New Roman" w:hAnsi="Times New Roman"/>
          <w:lang w:eastAsia="en-US"/>
        </w:rPr>
        <w:t>.</w:t>
      </w:r>
      <w:r w:rsidRPr="00825131">
        <w:rPr>
          <w:rFonts w:ascii="Times New Roman" w:eastAsia="Times New Roman" w:hAnsi="Times New Roman"/>
          <w:lang w:eastAsia="en-US"/>
        </w:rPr>
        <w:br/>
        <w:t>https://doi.org/10.1007/s40819-024-01768-8</w:t>
      </w:r>
    </w:p>
    <w:p w14:paraId="3D6903DF" w14:textId="77777777" w:rsidR="00C852A7" w:rsidRPr="00825131" w:rsidRDefault="00B17446">
      <w:pPr>
        <w:pStyle w:val="NormalWeb"/>
      </w:pPr>
      <w:r w:rsidRPr="00825131">
        <w:rPr>
          <w:rStyle w:val="Strong"/>
        </w:rPr>
        <w:t xml:space="preserve">Johnson, A.E.W., Pollard, T.J., Shen, L., Lehman, L.H., Feng, M., Ghassemi, M., Moody, B., </w:t>
      </w:r>
      <w:proofErr w:type="spellStart"/>
      <w:r w:rsidRPr="00825131">
        <w:rPr>
          <w:rStyle w:val="Strong"/>
        </w:rPr>
        <w:t>Szolovits</w:t>
      </w:r>
      <w:proofErr w:type="spellEnd"/>
      <w:r w:rsidRPr="00825131">
        <w:rPr>
          <w:rStyle w:val="Strong"/>
        </w:rPr>
        <w:t>, P., Celi, L.A. and Mark, R.G. (2016).</w:t>
      </w:r>
      <w:r w:rsidRPr="00825131">
        <w:br/>
        <w:t xml:space="preserve">MIMIC-III Clinical Database (version 1.4). </w:t>
      </w:r>
      <w:r w:rsidRPr="00825131">
        <w:rPr>
          <w:rStyle w:val="Emphasis"/>
        </w:rPr>
        <w:t>PhysioNet</w:t>
      </w:r>
      <w:r w:rsidRPr="00825131">
        <w:t>.</w:t>
      </w:r>
      <w:r w:rsidRPr="00825131">
        <w:br/>
      </w:r>
      <w:hyperlink r:id="rId11" w:tgtFrame="_new" w:history="1">
        <w:r w:rsidR="00C852A7" w:rsidRPr="00825131">
          <w:rPr>
            <w:rStyle w:val="Hyperlink"/>
          </w:rPr>
          <w:t>https://doi.org/10.13026/C2XW26</w:t>
        </w:r>
      </w:hyperlink>
    </w:p>
    <w:p w14:paraId="00C65F87" w14:textId="77777777" w:rsidR="00C852A7" w:rsidRPr="00825131" w:rsidRDefault="00B17446">
      <w:pPr>
        <w:pStyle w:val="NormalWeb"/>
      </w:pPr>
      <w:r w:rsidRPr="00825131">
        <w:rPr>
          <w:rStyle w:val="Strong"/>
        </w:rPr>
        <w:t xml:space="preserve">Killeen, P.R. (2006). </w:t>
      </w:r>
      <w:r w:rsidRPr="00825131">
        <w:t xml:space="preserve">Beyond statistical inference: A decision theory for science. </w:t>
      </w:r>
      <w:r w:rsidRPr="00825131">
        <w:rPr>
          <w:rStyle w:val="Emphasis"/>
        </w:rPr>
        <w:t>Psychonomic Bulletin &amp; Review</w:t>
      </w:r>
      <w:r w:rsidRPr="00825131">
        <w:t>, 13(2), 247–254.</w:t>
      </w:r>
      <w:r w:rsidRPr="00825131">
        <w:br/>
      </w:r>
      <w:hyperlink r:id="rId12" w:tgtFrame="_new" w:history="1">
        <w:r w:rsidR="00C852A7" w:rsidRPr="00825131">
          <w:rPr>
            <w:rStyle w:val="Hyperlink"/>
          </w:rPr>
          <w:t>https://doi.org/10.3758/BF03193841</w:t>
        </w:r>
      </w:hyperlink>
    </w:p>
    <w:p w14:paraId="554B6587" w14:textId="77777777" w:rsidR="00C852A7" w:rsidRPr="00825131" w:rsidRDefault="00B17446">
      <w:pPr>
        <w:pStyle w:val="NormalWeb"/>
      </w:pPr>
      <w:r w:rsidRPr="00825131">
        <w:rPr>
          <w:rStyle w:val="Strong"/>
        </w:rPr>
        <w:lastRenderedPageBreak/>
        <w:t xml:space="preserve">Lele, S.R. (2020). </w:t>
      </w:r>
      <w:r w:rsidRPr="00825131">
        <w:t xml:space="preserve">How should we quantify uncertainty in statistical inference? </w:t>
      </w:r>
      <w:r w:rsidRPr="00825131">
        <w:rPr>
          <w:rStyle w:val="Emphasis"/>
        </w:rPr>
        <w:t>Frontiers in Ecology and Evolution</w:t>
      </w:r>
      <w:r w:rsidRPr="00825131">
        <w:t>.</w:t>
      </w:r>
    </w:p>
    <w:p w14:paraId="4882E1AE" w14:textId="77777777" w:rsidR="00C852A7" w:rsidRPr="00825131" w:rsidRDefault="00B17446">
      <w:pPr>
        <w:pStyle w:val="NormalWeb"/>
        <w:rPr>
          <w:rStyle w:val="Hyperlink"/>
        </w:rPr>
      </w:pPr>
      <w:proofErr w:type="spellStart"/>
      <w:r w:rsidRPr="00825131">
        <w:rPr>
          <w:rStyle w:val="Strong"/>
        </w:rPr>
        <w:t>Marchau</w:t>
      </w:r>
      <w:proofErr w:type="spellEnd"/>
      <w:r w:rsidRPr="00825131">
        <w:rPr>
          <w:rStyle w:val="Strong"/>
        </w:rPr>
        <w:t>, V.A.W.J., Walker, W.E., Bloemen, P.J.T.M. and Popper, S.W. (2019).</w:t>
      </w:r>
      <w:r w:rsidRPr="00825131">
        <w:br/>
      </w:r>
      <w:r w:rsidRPr="00825131">
        <w:rPr>
          <w:rStyle w:val="Emphasis"/>
        </w:rPr>
        <w:t>Decision Making under Deep Uncertainty: From Theory to Practice</w:t>
      </w:r>
      <w:r w:rsidRPr="00825131">
        <w:t>. Cham: Springer.</w:t>
      </w:r>
      <w:r w:rsidRPr="00825131">
        <w:br/>
      </w:r>
      <w:hyperlink r:id="rId13" w:tgtFrame="_new" w:history="1">
        <w:r w:rsidR="00C852A7" w:rsidRPr="00825131">
          <w:rPr>
            <w:rStyle w:val="Hyperlink"/>
          </w:rPr>
          <w:t>https://doi.org/10.1007/978-3-030-05252-2</w:t>
        </w:r>
      </w:hyperlink>
    </w:p>
    <w:p w14:paraId="67F17D8D" w14:textId="5C8151B3" w:rsidR="009C1C61" w:rsidRPr="00825131" w:rsidRDefault="009C1C61" w:rsidP="009C1C61">
      <w:pPr>
        <w:jc w:val="left"/>
        <w:rPr>
          <w:rFonts w:ascii="Times New Roman" w:eastAsia="Times New Roman" w:hAnsi="Times New Roman"/>
          <w:lang w:eastAsia="en-US"/>
        </w:rPr>
      </w:pPr>
      <w:r w:rsidRPr="00825131">
        <w:rPr>
          <w:rFonts w:ascii="Times New Roman" w:eastAsia="Times New Roman" w:hAnsi="Times New Roman"/>
          <w:b/>
          <w:bCs/>
          <w:lang w:eastAsia="en-US"/>
        </w:rPr>
        <w:t>Mathematical Modeling and Numerical Analysis of Diffusion Processes in Image Processing (2023).</w:t>
      </w:r>
      <w:r w:rsidRPr="00825131">
        <w:rPr>
          <w:rFonts w:ascii="Times New Roman" w:eastAsia="Times New Roman" w:hAnsi="Times New Roman"/>
          <w:lang w:eastAsia="en-US"/>
        </w:rPr>
        <w:t xml:space="preserve"> </w:t>
      </w:r>
      <w:r w:rsidRPr="00825131">
        <w:rPr>
          <w:rFonts w:ascii="Times New Roman" w:eastAsia="Times New Roman" w:hAnsi="Times New Roman"/>
          <w:i/>
          <w:iCs/>
          <w:lang w:eastAsia="en-US"/>
        </w:rPr>
        <w:t>Journal of Applied Mathematics</w:t>
      </w:r>
      <w:r w:rsidRPr="00825131">
        <w:rPr>
          <w:rFonts w:ascii="Times New Roman" w:eastAsia="Times New Roman" w:hAnsi="Times New Roman"/>
          <w:lang w:eastAsia="en-US"/>
        </w:rPr>
        <w:t xml:space="preserve">. </w:t>
      </w:r>
      <w:hyperlink r:id="rId14" w:history="1">
        <w:r w:rsidR="00432F92" w:rsidRPr="00825131">
          <w:rPr>
            <w:rStyle w:val="Hyperlink"/>
            <w:rFonts w:ascii="Times New Roman" w:eastAsia="Times New Roman" w:hAnsi="Times New Roman"/>
            <w:lang w:eastAsia="en-US"/>
          </w:rPr>
          <w:t>https://doi.org/10.59400/jam2736</w:t>
        </w:r>
      </w:hyperlink>
    </w:p>
    <w:p w14:paraId="3D4E2707" w14:textId="6985BC81" w:rsidR="00432F92" w:rsidRPr="00825131" w:rsidRDefault="00432F92" w:rsidP="00432F92">
      <w:pPr>
        <w:jc w:val="left"/>
        <w:rPr>
          <w:rFonts w:ascii="Times New Roman" w:eastAsia="Times New Roman" w:hAnsi="Times New Roman"/>
          <w:lang w:eastAsia="en-US"/>
        </w:rPr>
      </w:pPr>
      <w:r w:rsidRPr="00825131">
        <w:rPr>
          <w:rFonts w:ascii="Times New Roman" w:eastAsia="Times New Roman" w:hAnsi="Times New Roman"/>
          <w:b/>
          <w:bCs/>
          <w:lang w:eastAsia="en-US"/>
        </w:rPr>
        <w:t>MNSCT: A Novel Modified NSCT-Based Algorithm for Enhanced Medical Image Fusion (2023).</w:t>
      </w:r>
      <w:r w:rsidRPr="00825131">
        <w:rPr>
          <w:rFonts w:ascii="Times New Roman" w:eastAsia="Times New Roman" w:hAnsi="Times New Roman"/>
          <w:lang w:eastAsia="en-US"/>
        </w:rPr>
        <w:t xml:space="preserve"> </w:t>
      </w:r>
      <w:r w:rsidRPr="00825131">
        <w:rPr>
          <w:rFonts w:ascii="Times New Roman" w:eastAsia="Times New Roman" w:hAnsi="Times New Roman"/>
          <w:i/>
          <w:iCs/>
          <w:lang w:eastAsia="en-US"/>
        </w:rPr>
        <w:t>Medical Imaging Process &amp; Technology</w:t>
      </w:r>
      <w:r w:rsidRPr="00825131">
        <w:rPr>
          <w:rFonts w:ascii="Times New Roman" w:eastAsia="Times New Roman" w:hAnsi="Times New Roman"/>
          <w:lang w:eastAsia="en-US"/>
        </w:rPr>
        <w:t>.</w:t>
      </w:r>
      <w:r w:rsidRPr="00825131">
        <w:rPr>
          <w:rFonts w:ascii="Times New Roman" w:eastAsia="Times New Roman" w:hAnsi="Times New Roman"/>
          <w:lang w:eastAsia="en-US"/>
        </w:rPr>
        <w:br/>
      </w:r>
      <w:hyperlink r:id="rId15" w:history="1">
        <w:r w:rsidRPr="00825131">
          <w:rPr>
            <w:rStyle w:val="Hyperlink"/>
            <w:rFonts w:ascii="Times New Roman" w:eastAsia="Times New Roman" w:hAnsi="Times New Roman"/>
            <w:lang w:eastAsia="en-US"/>
          </w:rPr>
          <w:t>https://doi.org/10.24294/mipt10655</w:t>
        </w:r>
      </w:hyperlink>
    </w:p>
    <w:p w14:paraId="6018BC42" w14:textId="77777777" w:rsidR="00C852A7" w:rsidRPr="00825131" w:rsidRDefault="00B17446">
      <w:pPr>
        <w:pStyle w:val="NormalWeb"/>
      </w:pPr>
      <w:r w:rsidRPr="00825131">
        <w:rPr>
          <w:rStyle w:val="Strong"/>
        </w:rPr>
        <w:t xml:space="preserve">Mooney, P. (2018). </w:t>
      </w:r>
      <w:r w:rsidRPr="00825131">
        <w:rPr>
          <w:rStyle w:val="Emphasis"/>
        </w:rPr>
        <w:t>Chest X-Ray Images (Pneumonia) Dataset</w:t>
      </w:r>
      <w:r w:rsidRPr="00825131">
        <w:t xml:space="preserve"> [Dataset]. Kaggle.</w:t>
      </w:r>
    </w:p>
    <w:p w14:paraId="2FFB06F8" w14:textId="77777777" w:rsidR="00C852A7" w:rsidRPr="00825131" w:rsidRDefault="00B17446">
      <w:pPr>
        <w:pStyle w:val="NormalWeb"/>
      </w:pPr>
      <w:proofErr w:type="spellStart"/>
      <w:r w:rsidRPr="00825131">
        <w:rPr>
          <w:rStyle w:val="Strong"/>
        </w:rPr>
        <w:t>Mosadeghi</w:t>
      </w:r>
      <w:proofErr w:type="spellEnd"/>
      <w:r w:rsidRPr="00825131">
        <w:rPr>
          <w:rStyle w:val="Strong"/>
        </w:rPr>
        <w:t xml:space="preserve">, R., Warnken, J., Tomlinson, R. and </w:t>
      </w:r>
      <w:proofErr w:type="spellStart"/>
      <w:r w:rsidRPr="00825131">
        <w:rPr>
          <w:rStyle w:val="Strong"/>
        </w:rPr>
        <w:t>Mirfenderesk</w:t>
      </w:r>
      <w:proofErr w:type="spellEnd"/>
      <w:r w:rsidRPr="00825131">
        <w:rPr>
          <w:rStyle w:val="Strong"/>
        </w:rPr>
        <w:t>, H. (2012).</w:t>
      </w:r>
      <w:r w:rsidRPr="00825131">
        <w:br/>
        <w:t xml:space="preserve">Uncertainty analysis in the application of multi-criteria decision-making methods in Australian strategic environmental decisions. </w:t>
      </w:r>
      <w:r w:rsidRPr="00825131">
        <w:rPr>
          <w:rStyle w:val="Emphasis"/>
        </w:rPr>
        <w:t>Journal of Environmental Planning and Management</w:t>
      </w:r>
      <w:r w:rsidRPr="00825131">
        <w:t>, 56(8), 1097–1123.</w:t>
      </w:r>
      <w:r w:rsidRPr="00825131">
        <w:br/>
      </w:r>
      <w:hyperlink r:id="rId16" w:tgtFrame="_new" w:history="1">
        <w:r w:rsidR="00C852A7" w:rsidRPr="00825131">
          <w:rPr>
            <w:rStyle w:val="Hyperlink"/>
          </w:rPr>
          <w:t>https://doi.org/10.1080/09640568.2012.717886</w:t>
        </w:r>
      </w:hyperlink>
    </w:p>
    <w:p w14:paraId="4C472D83" w14:textId="77777777" w:rsidR="00C852A7" w:rsidRPr="00825131" w:rsidRDefault="00B17446">
      <w:pPr>
        <w:pStyle w:val="NormalWeb"/>
      </w:pPr>
      <w:r w:rsidRPr="00825131">
        <w:rPr>
          <w:rStyle w:val="Strong"/>
        </w:rPr>
        <w:t xml:space="preserve">Parmigiani, G. (2001). </w:t>
      </w:r>
      <w:r w:rsidRPr="00825131">
        <w:t xml:space="preserve">Decision theory. In: Smelser, N.J. and Baltes, P.B. (eds.), </w:t>
      </w:r>
      <w:r w:rsidRPr="00825131">
        <w:rPr>
          <w:rStyle w:val="Emphasis"/>
        </w:rPr>
        <w:t>International Encyclopedia of the Social &amp; Behavioral Sciences</w:t>
      </w:r>
      <w:r w:rsidRPr="00825131">
        <w:t>, pp. 3309–3315. Amsterdam: Elsevier.</w:t>
      </w:r>
    </w:p>
    <w:p w14:paraId="10F98BAA" w14:textId="666054C7" w:rsidR="00432F92" w:rsidRPr="00825131" w:rsidRDefault="00432F92" w:rsidP="00432F92">
      <w:pPr>
        <w:pStyle w:val="NormalWeb"/>
        <w:jc w:val="both"/>
      </w:pPr>
      <w:proofErr w:type="spellStart"/>
      <w:r w:rsidRPr="00825131">
        <w:rPr>
          <w:rStyle w:val="Strong"/>
        </w:rPr>
        <w:t>Raham</w:t>
      </w:r>
      <w:proofErr w:type="spellEnd"/>
      <w:r w:rsidRPr="00825131">
        <w:rPr>
          <w:rStyle w:val="Strong"/>
        </w:rPr>
        <w:t xml:space="preserve">, T. F., </w:t>
      </w:r>
      <w:proofErr w:type="spellStart"/>
      <w:r w:rsidRPr="00825131">
        <w:rPr>
          <w:rStyle w:val="Strong"/>
        </w:rPr>
        <w:t>Raham</w:t>
      </w:r>
      <w:proofErr w:type="spellEnd"/>
      <w:r w:rsidRPr="00825131">
        <w:rPr>
          <w:rStyle w:val="Strong"/>
        </w:rPr>
        <w:t>, Z. F., &amp; Al-</w:t>
      </w:r>
      <w:proofErr w:type="spellStart"/>
      <w:r w:rsidRPr="00825131">
        <w:rPr>
          <w:rStyle w:val="Strong"/>
        </w:rPr>
        <w:t>Naqeeb</w:t>
      </w:r>
      <w:proofErr w:type="spellEnd"/>
      <w:r w:rsidRPr="00825131">
        <w:rPr>
          <w:rStyle w:val="Strong"/>
        </w:rPr>
        <w:t>, A. A. A. G. (2024).</w:t>
      </w:r>
      <w:r w:rsidRPr="00825131">
        <w:br/>
        <w:t xml:space="preserve">Robust neighborhood confidence interval and width to evaluate the outcome of a binary random variable of unequal cluster sizes. </w:t>
      </w:r>
      <w:r w:rsidRPr="00825131">
        <w:rPr>
          <w:rStyle w:val="Emphasis"/>
        </w:rPr>
        <w:t>Journal of Biomedical Engineering</w:t>
      </w:r>
      <w:r w:rsidRPr="00825131">
        <w:t xml:space="preserve">, 11(1). </w:t>
      </w:r>
      <w:hyperlink r:id="rId17" w:tgtFrame="_new" w:history="1">
        <w:r w:rsidRPr="00825131">
          <w:rPr>
            <w:rStyle w:val="Hyperlink"/>
          </w:rPr>
          <w:t>https://doi.org/10.18502/jbe.v11i1.19321</w:t>
        </w:r>
      </w:hyperlink>
    </w:p>
    <w:p w14:paraId="61A9D720" w14:textId="77777777" w:rsidR="00C852A7" w:rsidRPr="00825131" w:rsidRDefault="00B17446">
      <w:pPr>
        <w:shd w:val="clear" w:color="auto" w:fill="FFFFFF"/>
        <w:spacing w:before="0" w:beforeAutospacing="0" w:after="120" w:afterAutospacing="0"/>
        <w:jc w:val="left"/>
        <w:rPr>
          <w:rFonts w:ascii="Times New Roman" w:hAnsi="Times New Roman"/>
          <w:color w:val="39393A"/>
          <w:shd w:val="clear" w:color="auto" w:fill="FFFFFF"/>
        </w:rPr>
      </w:pPr>
      <w:r w:rsidRPr="00825131">
        <w:rPr>
          <w:rStyle w:val="Emphasis"/>
          <w:rFonts w:ascii="Times New Roman" w:eastAsia="SimSun" w:hAnsi="Times New Roman"/>
          <w:i w:val="0"/>
        </w:rPr>
        <w:t xml:space="preserve">Raham, 2025a): </w:t>
      </w:r>
      <w:r w:rsidRPr="00825131">
        <w:rPr>
          <w:rFonts w:ascii="Times New Roman" w:hAnsi="Times New Roman"/>
          <w:color w:val="131314"/>
          <w:shd w:val="clear" w:color="auto" w:fill="FFFFFF"/>
          <w:lang w:bidi="ar"/>
        </w:rPr>
        <w:t xml:space="preserve">Foundational Core Constructs in Epistemic Zonal </w:t>
      </w:r>
      <w:proofErr w:type="gramStart"/>
      <w:r w:rsidRPr="00825131">
        <w:rPr>
          <w:rFonts w:ascii="Times New Roman" w:hAnsi="Times New Roman"/>
          <w:color w:val="131314"/>
          <w:shd w:val="clear" w:color="auto" w:fill="FFFFFF"/>
          <w:lang w:bidi="ar"/>
        </w:rPr>
        <w:t>Statistics .</w:t>
      </w:r>
      <w:proofErr w:type="gramEnd"/>
      <w:r w:rsidRPr="00825131">
        <w:rPr>
          <w:rFonts w:ascii="Times New Roman" w:hAnsi="Times New Roman"/>
          <w:color w:val="131314"/>
          <w:shd w:val="clear" w:color="auto" w:fill="FFFFFF"/>
          <w:lang w:bidi="ar"/>
        </w:rPr>
        <w:t xml:space="preserve"> </w:t>
      </w:r>
      <w:r w:rsidRPr="00825131">
        <w:rPr>
          <w:rFonts w:ascii="Times New Roman" w:hAnsi="Times New Roman"/>
          <w:color w:val="39393A"/>
          <w:shd w:val="clear" w:color="auto" w:fill="FFFFFF"/>
        </w:rPr>
        <w:t>Epistemic Zonal Statistics Series 1. Publisher: EZEF Research Publications .ISBN: 1230009446779</w:t>
      </w:r>
    </w:p>
    <w:p w14:paraId="4BAECCFA" w14:textId="77777777" w:rsidR="00C852A7" w:rsidRPr="00825131" w:rsidRDefault="00B17446">
      <w:pPr>
        <w:shd w:val="clear" w:color="auto" w:fill="FFFFFF"/>
        <w:spacing w:before="0" w:beforeAutospacing="0" w:after="120" w:afterAutospacing="0"/>
        <w:jc w:val="left"/>
        <w:rPr>
          <w:rFonts w:ascii="Times New Roman" w:hAnsi="Times New Roman"/>
          <w:color w:val="39393A"/>
          <w:shd w:val="clear" w:color="auto" w:fill="FFFFFF"/>
        </w:rPr>
      </w:pPr>
      <w:proofErr w:type="spellStart"/>
      <w:r w:rsidRPr="00825131">
        <w:rPr>
          <w:rStyle w:val="Emphasis"/>
          <w:rFonts w:ascii="Times New Roman" w:eastAsia="SimSun" w:hAnsi="Times New Roman"/>
          <w:i w:val="0"/>
        </w:rPr>
        <w:t>Raham,T,F</w:t>
      </w:r>
      <w:proofErr w:type="spellEnd"/>
      <w:r w:rsidRPr="00825131">
        <w:rPr>
          <w:rStyle w:val="Emphasis"/>
          <w:rFonts w:ascii="Times New Roman" w:eastAsia="SimSun" w:hAnsi="Times New Roman"/>
          <w:i w:val="0"/>
        </w:rPr>
        <w:t xml:space="preserve">.(2025b) </w:t>
      </w:r>
      <w:r w:rsidRPr="00825131">
        <w:rPr>
          <w:rFonts w:ascii="Times New Roman" w:eastAsia="NexusSansWebPro" w:hAnsi="Times New Roman"/>
          <w:color w:val="505050"/>
          <w:shd w:val="clear" w:color="auto" w:fill="FFFFFF"/>
        </w:rPr>
        <w:t>Letter to the Editor: Zonal Statistics -Beyond the Boundaries of Classical Inference .Available at SSRN: </w:t>
      </w:r>
      <w:hyperlink r:id="rId18" w:tgtFrame="https://papers.ssrn.com/sol3/_blank" w:history="1">
        <w:r w:rsidR="00C852A7" w:rsidRPr="00825131">
          <w:rPr>
            <w:rStyle w:val="Hyperlink"/>
            <w:rFonts w:ascii="Times New Roman" w:eastAsia="NexusSansWebPro" w:hAnsi="Times New Roman"/>
            <w:color w:val="505050"/>
            <w:shd w:val="clear" w:color="auto" w:fill="FFFFFF"/>
          </w:rPr>
          <w:t>https://ssrn.com/abstract=5608617</w:t>
        </w:r>
      </w:hyperlink>
      <w:r w:rsidRPr="00825131">
        <w:rPr>
          <w:rFonts w:ascii="Times New Roman" w:eastAsia="NexusSansWebPro" w:hAnsi="Times New Roman"/>
          <w:color w:val="505050"/>
          <w:shd w:val="clear" w:color="auto" w:fill="FFFFFF"/>
        </w:rPr>
        <w:t> or </w:t>
      </w:r>
      <w:hyperlink r:id="rId19" w:tgtFrame="https://papers.ssrn.com/sol3/_blank" w:history="1">
        <w:r w:rsidR="00C852A7" w:rsidRPr="00825131">
          <w:rPr>
            <w:rStyle w:val="Hyperlink"/>
            <w:rFonts w:ascii="Times New Roman" w:eastAsia="NexusSansWebPro" w:hAnsi="Times New Roman"/>
            <w:color w:val="505050"/>
            <w:shd w:val="clear" w:color="auto" w:fill="FFFFFF"/>
          </w:rPr>
          <w:t>http://dx.doi.org/10.2139/ssrn.5608617</w:t>
        </w:r>
      </w:hyperlink>
    </w:p>
    <w:p w14:paraId="0BFA714F" w14:textId="77777777" w:rsidR="00C852A7" w:rsidRPr="00825131" w:rsidRDefault="00B17446">
      <w:pPr>
        <w:pStyle w:val="NormalWeb"/>
        <w:jc w:val="both"/>
      </w:pPr>
      <w:proofErr w:type="spellStart"/>
      <w:proofErr w:type="gramStart"/>
      <w:r w:rsidRPr="00825131">
        <w:rPr>
          <w:rStyle w:val="Emphasis"/>
          <w:i w:val="0"/>
        </w:rPr>
        <w:t>Raham,T</w:t>
      </w:r>
      <w:proofErr w:type="gramEnd"/>
      <w:r w:rsidRPr="00825131">
        <w:rPr>
          <w:rStyle w:val="Emphasis"/>
          <w:i w:val="0"/>
        </w:rPr>
        <w:t>,F</w:t>
      </w:r>
      <w:proofErr w:type="spellEnd"/>
      <w:r w:rsidRPr="00825131">
        <w:rPr>
          <w:rStyle w:val="Emphasis"/>
          <w:i w:val="0"/>
        </w:rPr>
        <w:t>.(</w:t>
      </w:r>
      <w:r w:rsidRPr="00825131">
        <w:rPr>
          <w:rFonts w:eastAsia="sans-serif"/>
          <w:color w:val="333333"/>
          <w:shd w:val="clear" w:color="auto" w:fill="FFFFFF"/>
        </w:rPr>
        <w:t xml:space="preserve"> 2026). Revealing Hidden Local Variability: SD Estimation Using SE-Defined Partitions. Asian Journal of Probability and Statistics 28 (1):13-22. </w:t>
      </w:r>
      <w:hyperlink r:id="rId20" w:history="1">
        <w:r w:rsidR="00C852A7" w:rsidRPr="00825131">
          <w:rPr>
            <w:rStyle w:val="Hyperlink"/>
            <w:rFonts w:eastAsia="sans-serif"/>
            <w:shd w:val="clear" w:color="auto" w:fill="FFFFFF"/>
          </w:rPr>
          <w:t>https://doi.org/10.9734/ajpas/2026/v28i1851.</w:t>
        </w:r>
      </w:hyperlink>
    </w:p>
    <w:p w14:paraId="21D9990D" w14:textId="77777777" w:rsidR="00C852A7" w:rsidRPr="00825131" w:rsidRDefault="00B17446">
      <w:pPr>
        <w:pStyle w:val="NormalWeb"/>
      </w:pPr>
      <w:r w:rsidRPr="00825131">
        <w:rPr>
          <w:rStyle w:val="Strong"/>
        </w:rPr>
        <w:t>Savage, L.J. (1954</w:t>
      </w:r>
      <w:proofErr w:type="gramStart"/>
      <w:r w:rsidRPr="00825131">
        <w:rPr>
          <w:rStyle w:val="Strong"/>
        </w:rPr>
        <w:t>).</w:t>
      </w:r>
      <w:r w:rsidRPr="00825131">
        <w:rPr>
          <w:rStyle w:val="Emphasis"/>
        </w:rPr>
        <w:t>The</w:t>
      </w:r>
      <w:proofErr w:type="gramEnd"/>
      <w:r w:rsidRPr="00825131">
        <w:rPr>
          <w:rStyle w:val="Emphasis"/>
        </w:rPr>
        <w:t xml:space="preserve"> Foundations of Statistics</w:t>
      </w:r>
      <w:r w:rsidRPr="00825131">
        <w:t>. New York: John Wiley &amp; Sons.</w:t>
      </w:r>
    </w:p>
    <w:p w14:paraId="33D147CA" w14:textId="77777777" w:rsidR="00C852A7" w:rsidRPr="00825131" w:rsidRDefault="00B17446">
      <w:pPr>
        <w:pStyle w:val="NormalWeb"/>
      </w:pPr>
      <w:r w:rsidRPr="00825131">
        <w:rPr>
          <w:rStyle w:val="Strong"/>
        </w:rPr>
        <w:t xml:space="preserve">Scholten, L., </w:t>
      </w:r>
      <w:proofErr w:type="spellStart"/>
      <w:r w:rsidRPr="00825131">
        <w:rPr>
          <w:rStyle w:val="Strong"/>
        </w:rPr>
        <w:t>Schuwirth</w:t>
      </w:r>
      <w:proofErr w:type="spellEnd"/>
      <w:r w:rsidRPr="00825131">
        <w:rPr>
          <w:rStyle w:val="Strong"/>
        </w:rPr>
        <w:t xml:space="preserve">, N., Reichert, P. and Lienert, J. (2015). </w:t>
      </w:r>
      <w:r w:rsidRPr="00825131">
        <w:t xml:space="preserve">Tackling uncertainty in multi-criteria decision analysis. </w:t>
      </w:r>
      <w:r w:rsidRPr="00825131">
        <w:rPr>
          <w:rStyle w:val="Emphasis"/>
        </w:rPr>
        <w:t>Omega</w:t>
      </w:r>
      <w:r w:rsidRPr="00825131">
        <w:t>, 52, 1–14.</w:t>
      </w:r>
      <w:r w:rsidRPr="00825131">
        <w:br/>
      </w:r>
      <w:hyperlink r:id="rId21" w:tgtFrame="_new" w:history="1">
        <w:r w:rsidR="00C852A7" w:rsidRPr="00825131">
          <w:rPr>
            <w:rStyle w:val="Hyperlink"/>
          </w:rPr>
          <w:t>https://doi.org/10.1016/j.omega.2014.10.001</w:t>
        </w:r>
      </w:hyperlink>
    </w:p>
    <w:p w14:paraId="7EBBCF78" w14:textId="77777777" w:rsidR="00C852A7" w:rsidRPr="00825131" w:rsidRDefault="00B17446">
      <w:pPr>
        <w:pStyle w:val="NormalWeb"/>
      </w:pPr>
      <w:r w:rsidRPr="00825131">
        <w:rPr>
          <w:rStyle w:val="Strong"/>
        </w:rPr>
        <w:lastRenderedPageBreak/>
        <w:t xml:space="preserve">Wolberg, W.H., Street, W.N. and Mangasarian, O.L. (1995). </w:t>
      </w:r>
      <w:r w:rsidRPr="00825131">
        <w:t xml:space="preserve">Breast Cancer Wisconsin (Diagnostic) Data Set. </w:t>
      </w:r>
      <w:r w:rsidRPr="00825131">
        <w:rPr>
          <w:rStyle w:val="Emphasis"/>
        </w:rPr>
        <w:t>UCI Machine Learning Repository</w:t>
      </w:r>
      <w:r w:rsidRPr="00825131">
        <w:t>. Available at:</w:t>
      </w:r>
      <w:r w:rsidRPr="00825131">
        <w:br/>
      </w:r>
      <w:hyperlink r:id="rId22" w:tgtFrame="_new" w:history="1">
        <w:r w:rsidR="00C852A7" w:rsidRPr="00825131">
          <w:rPr>
            <w:rStyle w:val="Hyperlink"/>
          </w:rPr>
          <w:t>https://archive.ics.uci.edu/ml/datasets/Breast+Cancer+Wisconsin+(Diagnostic)</w:t>
        </w:r>
      </w:hyperlink>
    </w:p>
    <w:p w14:paraId="5771A2E6" w14:textId="70046EDA" w:rsidR="00FD1106" w:rsidRPr="00432F92" w:rsidRDefault="00411AA5" w:rsidP="00432F92">
      <w:pPr>
        <w:jc w:val="left"/>
        <w:rPr>
          <w:rFonts w:ascii="Times New Roman" w:eastAsia="Times New Roman" w:hAnsi="Times New Roman"/>
          <w:lang w:eastAsia="en-US"/>
        </w:rPr>
      </w:pPr>
      <w:r w:rsidRPr="00825131">
        <w:rPr>
          <w:rFonts w:ascii="Times New Roman" w:eastAsia="Times New Roman" w:hAnsi="Times New Roman"/>
          <w:b/>
          <w:bCs/>
          <w:lang w:eastAsia="en-US"/>
        </w:rPr>
        <w:t>Adaptive Finite Difference Image Fusion (2021).</w:t>
      </w:r>
      <w:r w:rsidRPr="00825131">
        <w:rPr>
          <w:rFonts w:ascii="Times New Roman" w:eastAsia="Times New Roman" w:hAnsi="Times New Roman"/>
          <w:lang w:eastAsia="en-US"/>
        </w:rPr>
        <w:br/>
        <w:t xml:space="preserve">Adaptive finite difference image fusion: A novel PDE-based approach. </w:t>
      </w:r>
      <w:r w:rsidRPr="00825131">
        <w:rPr>
          <w:rFonts w:ascii="Times New Roman" w:eastAsia="Times New Roman" w:hAnsi="Times New Roman"/>
          <w:i/>
          <w:iCs/>
          <w:lang w:eastAsia="en-US"/>
        </w:rPr>
        <w:t>Mathematical Methods in the Applied Sciences</w:t>
      </w:r>
      <w:r w:rsidRPr="00825131">
        <w:rPr>
          <w:rFonts w:ascii="Times New Roman" w:eastAsia="Times New Roman" w:hAnsi="Times New Roman"/>
          <w:lang w:eastAsia="en-US"/>
        </w:rPr>
        <w:t>.</w:t>
      </w:r>
      <w:r w:rsidRPr="00825131">
        <w:rPr>
          <w:rFonts w:ascii="Times New Roman" w:eastAsia="Times New Roman" w:hAnsi="Times New Roman"/>
          <w:lang w:eastAsia="en-US"/>
        </w:rPr>
        <w:br/>
        <w:t>https://doi.org/10.1002/mma.70297</w:t>
      </w:r>
    </w:p>
    <w:sectPr w:rsidR="00FD1106" w:rsidRPr="00432F92">
      <w:headerReference w:type="even" r:id="rId23"/>
      <w:headerReference w:type="default" r:id="rId24"/>
      <w:footerReference w:type="default" r:id="rId25"/>
      <w:headerReference w:type="first" r:id="rId2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22509" w14:textId="77777777" w:rsidR="000A1B86" w:rsidRDefault="000A1B86">
      <w:pPr>
        <w:spacing w:before="0" w:after="0"/>
      </w:pPr>
      <w:r>
        <w:separator/>
      </w:r>
    </w:p>
  </w:endnote>
  <w:endnote w:type="continuationSeparator" w:id="0">
    <w:p w14:paraId="75DBB8F3" w14:textId="77777777" w:rsidR="000A1B86" w:rsidRDefault="000A1B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xusSansWebPro">
    <w:altName w:val="Segoe Print"/>
    <w:charset w:val="00"/>
    <w:family w:val="auto"/>
    <w:pitch w:val="default"/>
    <w:sig w:usb0="00000000" w:usb1="00000000" w:usb2="00000000" w:usb3="00000000" w:csb0="00000001" w:csb1="00000000"/>
  </w:font>
  <w:font w:name="sans-serif">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7ECD" w14:textId="77777777" w:rsidR="005B02C0" w:rsidRDefault="005B02C0">
    <w:pPr>
      <w:pStyle w:val="Footer"/>
    </w:pPr>
    <w:r>
      <w:rPr>
        <w:noProof/>
        <w:lang w:eastAsia="en-US"/>
      </w:rPr>
      <mc:AlternateContent>
        <mc:Choice Requires="wps">
          <w:drawing>
            <wp:anchor distT="0" distB="0" distL="114300" distR="114300" simplePos="0" relativeHeight="251659264" behindDoc="0" locked="0" layoutInCell="1" allowOverlap="1" wp14:anchorId="1CA3C52F" wp14:editId="51D054B8">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EFCF9" w14:textId="77777777" w:rsidR="005B02C0" w:rsidRDefault="005B02C0">
                          <w:pPr>
                            <w:pStyle w:val="Footer"/>
                          </w:pPr>
                          <w:r>
                            <w:fldChar w:fldCharType="begin"/>
                          </w:r>
                          <w:r>
                            <w:instrText xml:space="preserve"> PAGE  \* MERGEFORMAT </w:instrText>
                          </w:r>
                          <w:r>
                            <w:fldChar w:fldCharType="separate"/>
                          </w:r>
                          <w:r w:rsidR="00432F92">
                            <w:rPr>
                              <w:noProof/>
                            </w:rPr>
                            <w:t>26</w:t>
                          </w:r>
                          <w:r>
                            <w:fldChar w:fldCharType="end"/>
                          </w:r>
                        </w:p>
                      </w:txbxContent>
                    </wps:txbx>
                    <wps:bodyPr vert="horz" wrap="none" lIns="0" tIns="0" rIns="0" bIns="0" anchor="t" anchorCtr="0" upright="1">
                      <a:spAutoFit/>
                    </wps:bodyPr>
                  </wps:wsp>
                </a:graphicData>
              </a:graphic>
            </wp:anchor>
          </w:drawing>
        </mc:Choice>
        <mc:Fallback>
          <w:pict>
            <v:shapetype w14:anchorId="1CA3C52F"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u3RJ66AQAAbwMAAA4AAAAAAAAAAAAAAAAALgIAAGRycy9lMm9Eb2Mu&#10;eG1sUEsBAi0AFAAGAAgAAAAhAAxK8O7WAAAABQEAAA8AAAAAAAAAAAAAAAAAFAQAAGRycy9kb3du&#10;cmV2LnhtbFBLBQYAAAAABAAEAPMAAAAXBQAAAAA=&#10;" filled="f" stroked="f">
              <v:textbox style="mso-fit-shape-to-text:t" inset="0,0,0,0">
                <w:txbxContent>
                  <w:p w14:paraId="404EFCF9" w14:textId="77777777" w:rsidR="005B02C0" w:rsidRDefault="005B02C0">
                    <w:pPr>
                      <w:pStyle w:val="Footer"/>
                    </w:pPr>
                    <w:r>
                      <w:fldChar w:fldCharType="begin"/>
                    </w:r>
                    <w:r>
                      <w:instrText xml:space="preserve"> PAGE  \* MERGEFORMAT </w:instrText>
                    </w:r>
                    <w:r>
                      <w:fldChar w:fldCharType="separate"/>
                    </w:r>
                    <w:r w:rsidR="00432F92">
                      <w:rPr>
                        <w:noProof/>
                      </w:rP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44363" w14:textId="77777777" w:rsidR="000A1B86" w:rsidRDefault="000A1B86">
      <w:pPr>
        <w:spacing w:before="0" w:after="0"/>
      </w:pPr>
      <w:r>
        <w:separator/>
      </w:r>
    </w:p>
  </w:footnote>
  <w:footnote w:type="continuationSeparator" w:id="0">
    <w:p w14:paraId="63DECCCE" w14:textId="77777777" w:rsidR="000A1B86" w:rsidRDefault="000A1B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20B0" w14:textId="1E729338" w:rsidR="005B02C0" w:rsidRDefault="000A1B86">
    <w:pPr>
      <w:pStyle w:val="Header"/>
    </w:pPr>
    <w:r>
      <w:rPr>
        <w:noProof/>
      </w:rPr>
      <w:pict w14:anchorId="2982E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049219" o:spid="_x0000_s2050"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8EB2" w14:textId="66FCD2A4" w:rsidR="005B02C0" w:rsidRDefault="000A1B86">
    <w:pPr>
      <w:pStyle w:val="Header"/>
    </w:pPr>
    <w:r>
      <w:rPr>
        <w:noProof/>
      </w:rPr>
      <w:pict w14:anchorId="08B6C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049220"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6E6F" w14:textId="5696C695" w:rsidR="005B02C0" w:rsidRDefault="000A1B86">
    <w:pPr>
      <w:pStyle w:val="Header"/>
    </w:pPr>
    <w:r>
      <w:rPr>
        <w:noProof/>
      </w:rPr>
      <w:pict w14:anchorId="72AC4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049218" o:spid="_x0000_s2049"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FFFFF7C"/>
    <w:lvl w:ilvl="0">
      <w:start w:val="1"/>
      <w:numFmt w:val="decimal"/>
      <w:pStyle w:val="ListNumber5"/>
      <w:lvlText w:val="%1."/>
      <w:lvlJc w:val="left"/>
      <w:pPr>
        <w:tabs>
          <w:tab w:val="left" w:pos="2040"/>
        </w:tabs>
        <w:ind w:left="204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FFFFFF7D"/>
    <w:multiLevelType w:val="multilevel"/>
    <w:tmpl w:val="FFFFFF7D"/>
    <w:lvl w:ilvl="0">
      <w:start w:val="1"/>
      <w:numFmt w:val="decimal"/>
      <w:pStyle w:val="ListNumber4"/>
      <w:lvlText w:val="%1."/>
      <w:lvlJc w:val="left"/>
      <w:pPr>
        <w:tabs>
          <w:tab w:val="left" w:pos="1620"/>
        </w:tabs>
        <w:ind w:left="162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FFFFFF7E"/>
    <w:multiLevelType w:val="multilevel"/>
    <w:tmpl w:val="FFFFFF7E"/>
    <w:lvl w:ilvl="0">
      <w:start w:val="1"/>
      <w:numFmt w:val="decimal"/>
      <w:pStyle w:val="ListNumber3"/>
      <w:lvlText w:val="%1."/>
      <w:lvlJc w:val="left"/>
      <w:pPr>
        <w:tabs>
          <w:tab w:val="left" w:pos="1200"/>
        </w:tabs>
        <w:ind w:left="120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FFFFFF7F"/>
    <w:multiLevelType w:val="multilevel"/>
    <w:tmpl w:val="FFFFFF7F"/>
    <w:lvl w:ilvl="0">
      <w:start w:val="1"/>
      <w:numFmt w:val="decimal"/>
      <w:pStyle w:val="ListNumber2"/>
      <w:lvlText w:val="%1."/>
      <w:lvlJc w:val="left"/>
      <w:pPr>
        <w:tabs>
          <w:tab w:val="left" w:pos="780"/>
        </w:tabs>
        <w:ind w:left="78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FFFFFF80"/>
    <w:multiLevelType w:val="multilevel"/>
    <w:tmpl w:val="FFFFFF80"/>
    <w:lvl w:ilvl="0">
      <w:start w:val="1"/>
      <w:numFmt w:val="bullet"/>
      <w:pStyle w:val="ListBullet5"/>
      <w:lvlText w:val=""/>
      <w:lvlJc w:val="left"/>
      <w:pPr>
        <w:tabs>
          <w:tab w:val="left" w:pos="2040"/>
        </w:tabs>
        <w:ind w:left="204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FFFFFF81"/>
    <w:multiLevelType w:val="multilevel"/>
    <w:tmpl w:val="FFFFFF81"/>
    <w:lvl w:ilvl="0">
      <w:start w:val="1"/>
      <w:numFmt w:val="bullet"/>
      <w:pStyle w:val="ListBullet4"/>
      <w:lvlText w:val=""/>
      <w:lvlJc w:val="left"/>
      <w:pPr>
        <w:tabs>
          <w:tab w:val="left" w:pos="1620"/>
        </w:tabs>
        <w:ind w:left="162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FFFFFF82"/>
    <w:multiLevelType w:val="multilevel"/>
    <w:tmpl w:val="FFFFFF82"/>
    <w:lvl w:ilvl="0">
      <w:start w:val="1"/>
      <w:numFmt w:val="bullet"/>
      <w:pStyle w:val="ListBullet3"/>
      <w:lvlText w:val=""/>
      <w:lvlJc w:val="left"/>
      <w:pPr>
        <w:tabs>
          <w:tab w:val="left" w:pos="1200"/>
        </w:tabs>
        <w:ind w:left="120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FFFFFF83"/>
    <w:multiLevelType w:val="multilevel"/>
    <w:tmpl w:val="FFFFFF83"/>
    <w:lvl w:ilvl="0">
      <w:start w:val="1"/>
      <w:numFmt w:val="bullet"/>
      <w:pStyle w:val="ListBullet2"/>
      <w:lvlText w:val=""/>
      <w:lvlJc w:val="left"/>
      <w:pPr>
        <w:tabs>
          <w:tab w:val="left" w:pos="780"/>
        </w:tabs>
        <w:ind w:left="78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FFFFFF88"/>
    <w:multiLevelType w:val="multilevel"/>
    <w:tmpl w:val="FFFFFF88"/>
    <w:lvl w:ilvl="0">
      <w:start w:val="1"/>
      <w:numFmt w:val="decimal"/>
      <w:pStyle w:val="ListNumber"/>
      <w:lvlText w:val="%1."/>
      <w:lvlJc w:val="left"/>
      <w:pPr>
        <w:tabs>
          <w:tab w:val="left" w:pos="360"/>
        </w:tabs>
        <w:ind w:left="360" w:hanging="36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FFFFFF89"/>
    <w:multiLevelType w:val="multilevel"/>
    <w:tmpl w:val="FFFFFF89"/>
    <w:lvl w:ilvl="0">
      <w:start w:val="1"/>
      <w:numFmt w:val="bullet"/>
      <w:pStyle w:val="ListBullet"/>
      <w:lvlText w:val=""/>
      <w:lvlJc w:val="left"/>
      <w:pPr>
        <w:tabs>
          <w:tab w:val="left" w:pos="360"/>
        </w:tabs>
        <w:ind w:left="360" w:hanging="360"/>
      </w:pPr>
      <w:rPr>
        <w:rFonts w:ascii="Wingdings" w:eastAsia="SimSun"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91BC0"/>
    <w:rsid w:val="000A1B86"/>
    <w:rsid w:val="000D75A0"/>
    <w:rsid w:val="001021C3"/>
    <w:rsid w:val="00172A27"/>
    <w:rsid w:val="002C252C"/>
    <w:rsid w:val="00411AA5"/>
    <w:rsid w:val="00432F92"/>
    <w:rsid w:val="00451201"/>
    <w:rsid w:val="004A10A3"/>
    <w:rsid w:val="005165BF"/>
    <w:rsid w:val="00576CAB"/>
    <w:rsid w:val="005B02C0"/>
    <w:rsid w:val="005B07B2"/>
    <w:rsid w:val="006343D5"/>
    <w:rsid w:val="00701256"/>
    <w:rsid w:val="00810506"/>
    <w:rsid w:val="0082106E"/>
    <w:rsid w:val="00825131"/>
    <w:rsid w:val="008A59B8"/>
    <w:rsid w:val="009C1C61"/>
    <w:rsid w:val="00A36289"/>
    <w:rsid w:val="00B061CA"/>
    <w:rsid w:val="00B128C9"/>
    <w:rsid w:val="00B156D3"/>
    <w:rsid w:val="00B17446"/>
    <w:rsid w:val="00C67D50"/>
    <w:rsid w:val="00C852A7"/>
    <w:rsid w:val="00D47224"/>
    <w:rsid w:val="00D52079"/>
    <w:rsid w:val="00D87ABF"/>
    <w:rsid w:val="00DC2A39"/>
    <w:rsid w:val="00DF4643"/>
    <w:rsid w:val="00E209CE"/>
    <w:rsid w:val="00E32B92"/>
    <w:rsid w:val="00F15DA6"/>
    <w:rsid w:val="00F5002B"/>
    <w:rsid w:val="00F6000B"/>
    <w:rsid w:val="00F955EC"/>
    <w:rsid w:val="00FD1106"/>
    <w:rsid w:val="00FD4625"/>
    <w:rsid w:val="00FE1826"/>
    <w:rsid w:val="00FE47D0"/>
    <w:rsid w:val="0646793D"/>
    <w:rsid w:val="0AC568B6"/>
    <w:rsid w:val="0B503872"/>
    <w:rsid w:val="0D887189"/>
    <w:rsid w:val="10123CEB"/>
    <w:rsid w:val="119C3A87"/>
    <w:rsid w:val="19A20419"/>
    <w:rsid w:val="1E4C5316"/>
    <w:rsid w:val="1FBD74F6"/>
    <w:rsid w:val="228C7025"/>
    <w:rsid w:val="24B9619E"/>
    <w:rsid w:val="2F7E3AF9"/>
    <w:rsid w:val="31F353A0"/>
    <w:rsid w:val="37D63DB6"/>
    <w:rsid w:val="38BB436D"/>
    <w:rsid w:val="3DC23CEB"/>
    <w:rsid w:val="3F995D91"/>
    <w:rsid w:val="411C6A34"/>
    <w:rsid w:val="44A233F9"/>
    <w:rsid w:val="45CD3798"/>
    <w:rsid w:val="47F409C6"/>
    <w:rsid w:val="4C6905BC"/>
    <w:rsid w:val="4D7E259D"/>
    <w:rsid w:val="4EB057A1"/>
    <w:rsid w:val="4FB1165A"/>
    <w:rsid w:val="552E69F8"/>
    <w:rsid w:val="5BC533C4"/>
    <w:rsid w:val="5F3C686D"/>
    <w:rsid w:val="60886641"/>
    <w:rsid w:val="66146A07"/>
    <w:rsid w:val="682B2F6C"/>
    <w:rsid w:val="6C3702BA"/>
    <w:rsid w:val="72C54C9C"/>
    <w:rsid w:val="7C6918D3"/>
    <w:rsid w:val="7CA21C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072F15"/>
  <w15:docId w15:val="{9B80C01B-BE29-4A2F-9AA1-76A6E97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375">
    <w:lsdException w:name="Normal" w:unhideWhenUsed="1"/>
    <w:lsdException w:name="heading 1" w:unhideWhenUsed="1"/>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qFormat="0"/>
    <w:lsdException w:name="index 3" w:semiHidden="1" w:unhideWhenUsed="1" w:qFormat="0"/>
    <w:lsdException w:name="index 4" w:semiHidden="1" w:unhideWhenUsed="1" w:qFormat="0"/>
    <w:lsdException w:name="index 5" w:semiHidden="1" w:unhideWhenUsed="1" w:qFormat="0"/>
    <w:lsdException w:name="index 6" w:semiHidden="1" w:unhideWhenUsed="1" w:qFormat="0"/>
    <w:lsdException w:name="index 7" w:semiHidden="1" w:unhideWhenUsed="1" w:qFormat="0"/>
    <w:lsdException w:name="index 8" w:semiHidden="1" w:unhideWhenUsed="1" w:qFormat="0"/>
    <w:lsdException w:name="index 9" w:semiHidden="1" w:unhideWhenUsed="1" w:qFormat="0"/>
    <w:lsdException w:name="toc 1" w:semiHidden="1" w:unhideWhenUsed="1"/>
    <w:lsdException w:name="toc 2" w:semiHidden="1" w:unhideWhenUsed="1"/>
    <w:lsdException w:name="toc 3" w:semiHidden="1" w:unhideWhenUsed="1" w:qFormat="0"/>
    <w:lsdException w:name="toc 4" w:semiHidden="1" w:unhideWhenUsed="1" w:qFormat="0"/>
    <w:lsdException w:name="toc 5" w:semiHidden="1" w:unhideWhenUsed="1"/>
    <w:lsdException w:name="toc 6" w:semiHidden="1" w:unhideWhenUsed="1" w:qFormat="0"/>
    <w:lsdException w:name="toc 7" w:semiHidden="1" w:unhideWhenUsed="1"/>
    <w:lsdException w:name="toc 8" w:semiHidden="1" w:unhideWhenUsed="1" w:qFormat="0"/>
    <w:lsdException w:name="toc 9" w:semiHidden="1" w:unhideWhenUsed="1"/>
    <w:lsdException w:name="Normal Indent" w:semiHidden="1" w:unhideWhenUsed="1" w:qFormat="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qFormat="0"/>
    <w:lsdException w:name="envelope address" w:semiHidden="1" w:unhideWhenUsed="1"/>
    <w:lsdException w:name="envelope return" w:semiHidden="1" w:unhideWhenUsed="1"/>
    <w:lsdException w:name="footnote reference" w:semiHidden="1" w:unhideWhenUsed="1" w:qFormat="0"/>
    <w:lsdException w:name="annotation reference" w:semiHidden="1" w:unhideWhenUsed="1"/>
    <w:lsdException w:name="line number" w:semiHidden="1" w:unhideWhenUsed="1"/>
    <w:lsdException w:name="page number" w:semiHidden="1" w:unhideWhenUsed="1" w:qFormat="0"/>
    <w:lsdException w:name="endnote reference" w:semiHidden="1" w:unhideWhenUsed="1"/>
    <w:lsdException w:name="endnote text" w:semiHidden="1" w:unhideWhenUsed="1"/>
    <w:lsdException w:name="table of authorities" w:semiHidden="1" w:unhideWhenUsed="1"/>
    <w:lsdException w:name="macro" w:unhideWhenUsed="1" w:qFormat="0"/>
    <w:lsdException w:name="toa heading" w:semiHidden="1" w:unhideWhenUsed="1" w:qFormat="0"/>
    <w:lsdException w:name="List" w:semiHidden="1" w:unhideWhenUsed="1" w:qFormat="0"/>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0"/>
    <w:lsdException w:name="List Bullet 4" w:semiHidden="1" w:unhideWhenUsed="1"/>
    <w:lsdException w:name="List Bullet 5" w:semiHidden="1" w:unhideWhenUsed="1" w:qFormat="0"/>
    <w:lsdException w:name="List Number 2" w:semiHidden="1" w:unhideWhenUsed="1"/>
    <w:lsdException w:name="List Number 3" w:semiHidden="1" w:unhideWhenUsed="1"/>
    <w:lsdException w:name="List Number 4" w:semiHidden="1" w:unhideWhenUsed="1" w:qFormat="0"/>
    <w:lsdException w:name="List Number 5" w:semiHidden="1" w:unhideWhenUsed="1"/>
    <w:lsdException w:name="Closing" w:semiHidden="1" w:unhideWhenUsed="1" w:qFormat="0"/>
    <w:lsdException w:name="Signature" w:semiHidden="1" w:unhideWhenUsed="1" w:qFormat="0"/>
    <w:lsdException w:name="Default Paragraph Font" w:semiHidden="1" w:unhideWhenUsed="1" w:qFormat="0"/>
    <w:lsdException w:name="Body Text" w:semiHidden="1" w:unhideWhenUsed="1" w:qFormat="0"/>
    <w:lsdException w:name="Body Text Indent" w:semiHidden="1" w:unhideWhenUsed="1" w:qFormat="0"/>
    <w:lsdException w:name="List Continue" w:semiHidden="1" w:unhideWhenUsed="1" w:qFormat="0"/>
    <w:lsdException w:name="List Continue 2" w:semiHidden="1" w:unhideWhenUsed="1" w:qFormat="0"/>
    <w:lsdException w:name="List Continue 3" w:unhideWhenUsed="1" w:qFormat="0"/>
    <w:lsdException w:name="List Continue 4" w:unhideWhenUsed="1" w:qFormat="0"/>
    <w:lsdException w:name="List Continue 5" w:unhideWhenUsed="1"/>
    <w:lsdException w:name="Message Header" w:unhideWhenUsed="1"/>
    <w:lsdException w:name="Salutation" w:semiHidden="1" w:unhideWhenUsed="1" w:qFormat="0"/>
    <w:lsdException w:name="Date" w:semiHidden="1" w:unhideWhenUsed="1"/>
    <w:lsdException w:name="Body Text First Indent" w:semiHidden="1" w:unhideWhenUsed="1" w:qFormat="0"/>
    <w:lsdException w:name="Body Text First Indent 2" w:semiHidden="1" w:unhideWhenUsed="1" w:qFormat="0"/>
    <w:lsdException w:name="Note Heading" w:semiHidden="1" w:unhideWhenUsed="1"/>
    <w:lsdException w:name="Body Text 2" w:semiHidden="1" w:unhideWhenUsed="1" w:qFormat="0"/>
    <w:lsdException w:name="Body Text 3" w:semiHidden="1" w:unhideWhenUsed="1"/>
    <w:lsdException w:name="Body Text Indent 2" w:semiHidden="1" w:unhideWhenUsed="1" w:qFormat="0"/>
    <w:lsdException w:name="Body Text Indent 3" w:semiHidden="1" w:unhideWhenUsed="1" w:qFormat="0"/>
    <w:lsdException w:name="Block Text" w:semiHidden="1" w:unhideWhenUsed="1" w:qFormat="0"/>
    <w:lsdException w:name="Hyperlink" w:semiHidden="1" w:unhideWhenUsed="1" w:qFormat="0"/>
    <w:lsdException w:name="FollowedHyperlink" w:semiHidden="1" w:unhideWhenUsed="1" w:qFormat="0"/>
    <w:lsdException w:name="Strong" w:uiPriority="22"/>
    <w:lsdException w:name="Emphasis" w:uiPriority="20"/>
    <w:lsdException w:name="Document Map" w:semiHidden="1" w:unhideWhenUsed="1"/>
    <w:lsdException w:name="Plain Text" w:semiHidden="1" w:unhideWhenUsed="1"/>
    <w:lsdException w:name="E-mail Signature" w:semiHidden="1" w:unhideWhenUsed="1" w:qFormat="0"/>
    <w:lsdException w:name="HTML Top of Form" w:semiHidden="1" w:uiPriority="99" w:unhideWhenUsed="1" w:qFormat="0"/>
    <w:lsdException w:name="HTML Bottom of Form" w:semiHidden="1" w:uiPriority="99" w:unhideWhenUsed="1" w:qFormat="0"/>
    <w:lsdException w:name="Normal (Web)" w:semiHidden="1" w:uiPriority="99" w:unhideWhenUsed="1" w:qFormat="0"/>
    <w:lsdException w:name="HTML Acronym" w:semiHidden="1" w:unhideWhenUsed="1" w:qFormat="0"/>
    <w:lsdException w:name="HTML Address" w:semiHidden="1" w:unhideWhenUsed="1" w:qFormat="0"/>
    <w:lsdException w:name="HTML Cite" w:semiHidden="1" w:unhideWhenUsed="1"/>
    <w:lsdException w:name="HTML Code" w:semiHidden="1" w:unhideWhenUsed="1" w:qFormat="0"/>
    <w:lsdException w:name="HTML Definition" w:semiHidden="1" w:unhideWhenUsed="1" w:qFormat="0"/>
    <w:lsdException w:name="HTML Keyboard" w:semiHidden="1" w:unhideWhenUsed="1"/>
    <w:lsdException w:name="HTML Preformatted" w:semiHidden="1" w:unhideWhenUsed="1" w:qFormat="0"/>
    <w:lsdException w:name="HTML Sample" w:semiHidden="1" w:unhideWhenUsed="1" w:qFormat="0"/>
    <w:lsdException w:name="HTML Typewriter" w:semiHidden="1" w:unhideWhenUsed="1" w:qFormat="0"/>
    <w:lsdException w:name="HTML Variable" w:semiHidden="1" w:unhideWhenUsed="1" w:qFormat="0"/>
    <w:lsdException w:name="Normal Table" w:semiHidden="1" w:unhideWhenUsed="1"/>
    <w:lsdException w:name="annotation subject"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unhideWhenUsed="1"/>
    <w:lsdException w:name="Balloon Text" w:unhideWhenUsed="1"/>
    <w:lsdException w:name="Table Grid" w:unhideWhenUsed="1"/>
    <w:lsdException w:name="Table Theme"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semiHidden="1" w:uiPriority="99" w:qFormat="0"/>
    <w:lsdException w:name="Quote" w:semiHidden="1" w:uiPriority="99" w:qFormat="0"/>
    <w:lsdException w:name="Intense Quote" w:semiHidden="1"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unhideWhenUsed/>
    <w:qFormat/>
    <w:pPr>
      <w:spacing w:before="100" w:beforeAutospacing="1" w:after="100" w:afterAutospacing="1"/>
      <w:jc w:val="right"/>
    </w:pPr>
    <w:rPr>
      <w:rFonts w:ascii="Calibri" w:eastAsia="DengXian" w:hAnsi="Calibri"/>
      <w:sz w:val="24"/>
      <w:szCs w:val="24"/>
      <w:lang w:val="en-US" w:eastAsia="zh-CN"/>
    </w:rPr>
  </w:style>
  <w:style w:type="paragraph" w:styleId="Heading1">
    <w:name w:val="heading 1"/>
    <w:next w:val="Normal"/>
    <w:unhideWhenUsed/>
    <w:qFormat/>
    <w:pPr>
      <w:spacing w:before="100" w:beforeAutospacing="1" w:after="100" w:afterAutospacing="1"/>
      <w:outlineLvl w:val="0"/>
    </w:pPr>
    <w:rPr>
      <w:rFonts w:ascii="SimSun" w:hAnsi="SimSun" w:hint="eastAsia"/>
      <w:b/>
      <w:kern w:val="44"/>
      <w:sz w:val="48"/>
      <w:szCs w:val="48"/>
      <w:lang w:val="en-US" w:eastAsia="zh-CN"/>
    </w:rPr>
  </w:style>
  <w:style w:type="paragraph" w:styleId="Heading2">
    <w:name w:val="heading 2"/>
    <w:next w:val="Normal"/>
    <w:unhideWhenUsed/>
    <w:qFormat/>
    <w:pPr>
      <w:spacing w:before="100" w:beforeAutospacing="1" w:after="100" w:afterAutospacing="1"/>
      <w:outlineLvl w:val="1"/>
    </w:pPr>
    <w:rPr>
      <w:rFonts w:ascii="SimSun" w:hAnsi="SimSun" w:hint="eastAsia"/>
      <w:b/>
      <w:sz w:val="36"/>
      <w:szCs w:val="36"/>
      <w:lang w:val="en-US" w:eastAsia="zh-CN"/>
    </w:rPr>
  </w:style>
  <w:style w:type="paragraph" w:styleId="Heading3">
    <w:name w:val="heading 3"/>
    <w:next w:val="Normal"/>
    <w:unhideWhenUsed/>
    <w:qFormat/>
    <w:pPr>
      <w:spacing w:before="100" w:beforeAutospacing="1" w:after="100" w:afterAutospacing="1"/>
      <w:outlineLvl w:val="2"/>
    </w:pPr>
    <w:rPr>
      <w:rFonts w:ascii="SimSun" w:hAnsi="SimSun" w:hint="eastAsia"/>
      <w:b/>
      <w:sz w:val="27"/>
      <w:szCs w:val="27"/>
      <w:lang w:val="en-US" w:eastAsia="zh-CN"/>
    </w:rPr>
  </w:style>
  <w:style w:type="paragraph" w:styleId="Heading4">
    <w:name w:val="heading 4"/>
    <w:next w:val="Normal"/>
    <w:unhideWhenUsed/>
    <w:qFormat/>
    <w:pPr>
      <w:spacing w:before="100" w:beforeAutospacing="1" w:after="100" w:afterAutospacing="1"/>
      <w:outlineLvl w:val="3"/>
    </w:pPr>
    <w:rPr>
      <w:rFonts w:ascii="SimSun" w:hAnsi="SimSun" w:hint="eastAsia"/>
      <w:b/>
      <w:sz w:val="24"/>
      <w:szCs w:val="24"/>
      <w:lang w:val="en-US" w:eastAsia="zh-CN"/>
    </w:rPr>
  </w:style>
  <w:style w:type="paragraph" w:styleId="Heading5">
    <w:name w:val="heading 5"/>
    <w:basedOn w:val="Normal"/>
    <w:next w:val="Normal"/>
    <w:unhideWhenUsed/>
    <w:qFormat/>
    <w:pPr>
      <w:keepNext/>
      <w:keepLines/>
      <w:spacing w:before="280" w:after="290" w:line="376" w:lineRule="auto"/>
      <w:outlineLvl w:val="4"/>
    </w:pPr>
    <w:rPr>
      <w:b/>
      <w:sz w:val="28"/>
      <w:szCs w:val="28"/>
    </w:rPr>
  </w:style>
  <w:style w:type="paragraph" w:styleId="Heading6">
    <w:name w:val="heading 6"/>
    <w:basedOn w:val="Normal"/>
    <w:next w:val="Normal"/>
    <w:unhideWhenUsed/>
    <w:qFormat/>
    <w:pPr>
      <w:keepNext/>
      <w:keepLines/>
      <w:spacing w:before="240" w:after="64" w:line="320" w:lineRule="auto"/>
      <w:outlineLvl w:val="5"/>
    </w:pPr>
    <w:rPr>
      <w:b/>
    </w:rPr>
  </w:style>
  <w:style w:type="paragraph" w:styleId="Heading7">
    <w:name w:val="heading 7"/>
    <w:basedOn w:val="Normal"/>
    <w:next w:val="Normal"/>
    <w:unhideWhenUsed/>
    <w:qFormat/>
    <w:pPr>
      <w:keepNext/>
      <w:keepLines/>
      <w:spacing w:before="240" w:after="64" w:line="320" w:lineRule="auto"/>
      <w:outlineLvl w:val="6"/>
    </w:pPr>
    <w:rPr>
      <w:b/>
    </w:rPr>
  </w:style>
  <w:style w:type="paragraph" w:styleId="Heading8">
    <w:name w:val="heading 8"/>
    <w:basedOn w:val="Normal"/>
    <w:next w:val="Normal"/>
    <w:unhideWhenUsed/>
    <w:qFormat/>
    <w:pPr>
      <w:keepNext/>
      <w:keepLines/>
      <w:spacing w:before="240" w:after="64" w:line="320" w:lineRule="auto"/>
      <w:outlineLvl w:val="7"/>
    </w:pPr>
  </w:style>
  <w:style w:type="paragraph" w:styleId="Heading9">
    <w:name w:val="heading 9"/>
    <w:basedOn w:val="Normal"/>
    <w:next w:val="Normal"/>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qFormat/>
    <w:rPr>
      <w:sz w:val="16"/>
      <w:szCs w:val="16"/>
    </w:rPr>
  </w:style>
  <w:style w:type="paragraph" w:styleId="BlockText">
    <w:name w:val="Block Text"/>
    <w:basedOn w:val="Normal"/>
    <w:unhideWhenUsed/>
    <w:pPr>
      <w:spacing w:after="120"/>
      <w:ind w:leftChars="700" w:left="1440" w:rightChars="700" w:right="1440"/>
    </w:pPr>
  </w:style>
  <w:style w:type="paragraph" w:styleId="BodyText">
    <w:name w:val="Body Text"/>
    <w:basedOn w:val="Normal"/>
    <w:unhideWhenUsed/>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qFormat/>
    <w:pPr>
      <w:spacing w:after="120"/>
    </w:pPr>
    <w:rPr>
      <w:sz w:val="16"/>
      <w:szCs w:val="16"/>
    </w:rPr>
  </w:style>
  <w:style w:type="paragraph" w:styleId="BodyTextFirstIndent">
    <w:name w:val="Body Text First Indent"/>
    <w:basedOn w:val="BodyText"/>
    <w:unhideWhenUsed/>
    <w:pPr>
      <w:ind w:firstLineChars="100" w:firstLine="420"/>
    </w:pPr>
  </w:style>
  <w:style w:type="paragraph" w:styleId="BodyTextIndent">
    <w:name w:val="Body Text Indent"/>
    <w:basedOn w:val="Normal"/>
    <w:unhideWhenUsed/>
    <w:pPr>
      <w:spacing w:after="120"/>
      <w:ind w:leftChars="200" w:left="420"/>
    </w:pPr>
  </w:style>
  <w:style w:type="paragraph" w:styleId="BodyTextFirstIndent2">
    <w:name w:val="Body Text First Indent 2"/>
    <w:basedOn w:val="BodyTextIndent"/>
    <w:unhideWhenUsed/>
    <w:pPr>
      <w:ind w:firstLineChars="200" w:firstLine="420"/>
    </w:pPr>
  </w:style>
  <w:style w:type="paragraph" w:styleId="BodyTextIndent2">
    <w:name w:val="Body Text Indent 2"/>
    <w:basedOn w:val="Normal"/>
    <w:unhideWhenUsed/>
    <w:pPr>
      <w:spacing w:after="120" w:line="480" w:lineRule="auto"/>
      <w:ind w:leftChars="200" w:left="420"/>
    </w:pPr>
  </w:style>
  <w:style w:type="paragraph" w:styleId="BodyTextIndent3">
    <w:name w:val="Body Text Indent 3"/>
    <w:basedOn w:val="Normal"/>
    <w:unhideWhenUsed/>
    <w:pPr>
      <w:spacing w:after="120"/>
      <w:ind w:leftChars="200" w:left="420"/>
    </w:pPr>
    <w:rPr>
      <w:sz w:val="16"/>
      <w:szCs w:val="16"/>
    </w:rPr>
  </w:style>
  <w:style w:type="paragraph" w:styleId="Caption">
    <w:name w:val="caption"/>
    <w:basedOn w:val="Normal"/>
    <w:next w:val="Normal"/>
    <w:unhideWhenUsed/>
    <w:qFormat/>
    <w:rPr>
      <w:rFonts w:ascii="Arial" w:eastAsia="SimHei" w:hAnsi="Arial" w:cs="Arial"/>
      <w:sz w:val="20"/>
    </w:rPr>
  </w:style>
  <w:style w:type="paragraph" w:styleId="Closing">
    <w:name w:val="Closing"/>
    <w:basedOn w:val="Normal"/>
    <w:unhideWhenUsed/>
    <w:pPr>
      <w:ind w:leftChars="2100" w:left="100"/>
    </w:pPr>
  </w:style>
  <w:style w:type="character" w:styleId="CommentReference">
    <w:name w:val="annotation reference"/>
    <w:basedOn w:val="DefaultParagraphFont"/>
    <w:unhideWhenUsed/>
    <w:qFormat/>
    <w:rPr>
      <w:rFonts w:hint="default"/>
      <w:sz w:val="21"/>
      <w:szCs w:val="24"/>
    </w:rPr>
  </w:style>
  <w:style w:type="paragraph" w:styleId="CommentText">
    <w:name w:val="annotation text"/>
    <w:basedOn w:val="Normal"/>
    <w:unhideWhenUsed/>
    <w:qFormat/>
    <w:pPr>
      <w:jc w:val="left"/>
    </w:pPr>
  </w:style>
  <w:style w:type="paragraph" w:styleId="CommentSubject">
    <w:name w:val="annotation subject"/>
    <w:basedOn w:val="CommentText"/>
    <w:next w:val="CommentText"/>
    <w:unhideWhenUsed/>
    <w:rPr>
      <w:b/>
    </w:rPr>
  </w:style>
  <w:style w:type="paragraph" w:styleId="Date">
    <w:name w:val="Date"/>
    <w:basedOn w:val="Normal"/>
    <w:next w:val="Normal"/>
    <w:unhideWhenUsed/>
    <w:qFormat/>
    <w:pPr>
      <w:ind w:leftChars="2500" w:left="100"/>
    </w:pPr>
  </w:style>
  <w:style w:type="paragraph" w:styleId="DocumentMap">
    <w:name w:val="Document Map"/>
    <w:basedOn w:val="Normal"/>
    <w:unhideWhenUsed/>
    <w:qFormat/>
    <w:pPr>
      <w:shd w:val="clear" w:color="auto" w:fill="000080"/>
    </w:pPr>
  </w:style>
  <w:style w:type="paragraph" w:styleId="E-mailSignature">
    <w:name w:val="E-mail Signature"/>
    <w:basedOn w:val="Normal"/>
    <w:unhideWhenUsed/>
  </w:style>
  <w:style w:type="character" w:styleId="Emphasis">
    <w:name w:val="Emphasis"/>
    <w:basedOn w:val="DefaultParagraphFont"/>
    <w:uiPriority w:val="20"/>
    <w:unhideWhenUsed/>
    <w:qFormat/>
    <w:rPr>
      <w:rFonts w:hint="default"/>
      <w:i/>
      <w:sz w:val="24"/>
      <w:szCs w:val="24"/>
    </w:rPr>
  </w:style>
  <w:style w:type="character" w:styleId="EndnoteReference">
    <w:name w:val="endnote reference"/>
    <w:basedOn w:val="DefaultParagraphFont"/>
    <w:unhideWhenUsed/>
    <w:qFormat/>
    <w:rPr>
      <w:rFonts w:hint="default"/>
      <w:sz w:val="24"/>
      <w:szCs w:val="24"/>
      <w:vertAlign w:val="superscript"/>
    </w:rPr>
  </w:style>
  <w:style w:type="paragraph" w:styleId="EndnoteText">
    <w:name w:val="endnote text"/>
    <w:basedOn w:val="Normal"/>
    <w:unhideWhenUsed/>
    <w:qFormat/>
    <w:pPr>
      <w:snapToGrid w:val="0"/>
      <w:jc w:val="left"/>
    </w:pPr>
  </w:style>
  <w:style w:type="paragraph" w:styleId="EnvelopeAddress">
    <w:name w:val="envelope address"/>
    <w:basedOn w:val="Normal"/>
    <w:unhideWhenUsed/>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unhideWhenUsed/>
    <w:qFormat/>
    <w:pPr>
      <w:snapToGrid w:val="0"/>
    </w:pPr>
    <w:rPr>
      <w:rFonts w:ascii="Arial" w:hAnsi="Arial" w:cs="Arial"/>
    </w:rPr>
  </w:style>
  <w:style w:type="character" w:styleId="FollowedHyperlink">
    <w:name w:val="FollowedHyperlink"/>
    <w:basedOn w:val="DefaultParagraphFont"/>
    <w:unhideWhenUsed/>
    <w:rPr>
      <w:rFonts w:hint="default"/>
      <w:color w:val="800080"/>
      <w:sz w:val="24"/>
      <w:szCs w:val="24"/>
      <w:u w:val="single"/>
    </w:rPr>
  </w:style>
  <w:style w:type="paragraph" w:styleId="Footer">
    <w:name w:val="footer"/>
    <w:basedOn w:val="Normal"/>
    <w:unhideWhenUsed/>
    <w:qFormat/>
    <w:pPr>
      <w:tabs>
        <w:tab w:val="center" w:pos="4153"/>
        <w:tab w:val="right" w:pos="8306"/>
      </w:tabs>
      <w:snapToGrid w:val="0"/>
      <w:jc w:val="left"/>
    </w:pPr>
    <w:rPr>
      <w:sz w:val="18"/>
      <w:szCs w:val="18"/>
    </w:rPr>
  </w:style>
  <w:style w:type="character" w:styleId="FootnoteReference">
    <w:name w:val="footnote reference"/>
    <w:basedOn w:val="DefaultParagraphFont"/>
    <w:unhideWhenUsed/>
    <w:rPr>
      <w:rFonts w:hint="default"/>
      <w:sz w:val="24"/>
      <w:szCs w:val="24"/>
      <w:vertAlign w:val="superscript"/>
    </w:rPr>
  </w:style>
  <w:style w:type="paragraph" w:styleId="FootnoteText">
    <w:name w:val="footnote text"/>
    <w:basedOn w:val="Normal"/>
    <w:unhideWhenUsed/>
    <w:qFormat/>
    <w:pPr>
      <w:snapToGrid w:val="0"/>
      <w:jc w:val="left"/>
    </w:pPr>
    <w:rPr>
      <w:sz w:val="18"/>
      <w:szCs w:val="18"/>
    </w:rPr>
  </w:style>
  <w:style w:type="paragraph" w:styleId="Header">
    <w:name w:val="header"/>
    <w:basedOn w:val="Normal"/>
    <w:unhideWhenUsed/>
    <w:qFormat/>
    <w:pPr>
      <w:tabs>
        <w:tab w:val="center" w:pos="4153"/>
        <w:tab w:val="right" w:pos="8306"/>
      </w:tabs>
      <w:snapToGrid w:val="0"/>
    </w:pPr>
    <w:rPr>
      <w:sz w:val="18"/>
      <w:szCs w:val="18"/>
    </w:rPr>
  </w:style>
  <w:style w:type="character" w:styleId="HTMLAcronym">
    <w:name w:val="HTML Acronym"/>
    <w:basedOn w:val="DefaultParagraphFont"/>
    <w:unhideWhenUsed/>
    <w:rPr>
      <w:rFonts w:hint="default"/>
      <w:sz w:val="24"/>
      <w:szCs w:val="24"/>
    </w:rPr>
  </w:style>
  <w:style w:type="paragraph" w:styleId="HTMLAddress">
    <w:name w:val="HTML Address"/>
    <w:basedOn w:val="Normal"/>
    <w:unhideWhenUsed/>
    <w:rPr>
      <w:i/>
    </w:rPr>
  </w:style>
  <w:style w:type="character" w:styleId="HTMLCite">
    <w:name w:val="HTML Cite"/>
    <w:basedOn w:val="DefaultParagraphFont"/>
    <w:unhideWhenUsed/>
    <w:qFormat/>
    <w:rPr>
      <w:rFonts w:hint="default"/>
      <w:i/>
      <w:sz w:val="24"/>
      <w:szCs w:val="24"/>
    </w:rPr>
  </w:style>
  <w:style w:type="character" w:styleId="HTMLCode">
    <w:name w:val="HTML Code"/>
    <w:basedOn w:val="DefaultParagraphFont"/>
    <w:unhideWhenUsed/>
    <w:rPr>
      <w:rFonts w:ascii="Courier New" w:eastAsia="SimSun" w:hAnsi="Courier New" w:cs="Courier New" w:hint="default"/>
      <w:sz w:val="20"/>
      <w:szCs w:val="20"/>
    </w:rPr>
  </w:style>
  <w:style w:type="character" w:styleId="HTMLDefinition">
    <w:name w:val="HTML Definition"/>
    <w:basedOn w:val="DefaultParagraphFont"/>
    <w:unhideWhenUsed/>
    <w:rPr>
      <w:rFonts w:hint="default"/>
      <w:i/>
      <w:sz w:val="24"/>
      <w:szCs w:val="24"/>
    </w:rPr>
  </w:style>
  <w:style w:type="character" w:styleId="HTMLKeyboard">
    <w:name w:val="HTML Keyboard"/>
    <w:basedOn w:val="DefaultParagraphFont"/>
    <w:unhideWhenUsed/>
    <w:qFormat/>
    <w:rPr>
      <w:rFonts w:ascii="Courier New" w:eastAsia="SimSun" w:hAnsi="Courier New" w:cs="Courier New" w:hint="default"/>
      <w:sz w:val="20"/>
      <w:szCs w:val="20"/>
    </w:rPr>
  </w:style>
  <w:style w:type="paragraph" w:styleId="HTMLPreformatted">
    <w:name w:val="HTML Preformatted"/>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TMLSample">
    <w:name w:val="HTML Sample"/>
    <w:basedOn w:val="DefaultParagraphFont"/>
    <w:unhideWhenUsed/>
    <w:rPr>
      <w:rFonts w:ascii="Courier New" w:eastAsia="SimSun" w:hAnsi="Courier New" w:cs="Courier New" w:hint="default"/>
      <w:sz w:val="24"/>
      <w:szCs w:val="24"/>
    </w:rPr>
  </w:style>
  <w:style w:type="character" w:styleId="HTMLTypewriter">
    <w:name w:val="HTML Typewriter"/>
    <w:basedOn w:val="DefaultParagraphFont"/>
    <w:unhideWhenUsed/>
    <w:rPr>
      <w:rFonts w:ascii="Courier New" w:eastAsia="SimSun" w:hAnsi="Courier New" w:cs="Courier New" w:hint="default"/>
      <w:sz w:val="20"/>
      <w:szCs w:val="20"/>
    </w:rPr>
  </w:style>
  <w:style w:type="character" w:styleId="HTMLVariable">
    <w:name w:val="HTML Variable"/>
    <w:basedOn w:val="DefaultParagraphFont"/>
    <w:unhideWhenUsed/>
    <w:rPr>
      <w:rFonts w:hint="default"/>
      <w:i/>
      <w:sz w:val="24"/>
      <w:szCs w:val="24"/>
    </w:rPr>
  </w:style>
  <w:style w:type="character" w:styleId="Hyperlink">
    <w:name w:val="Hyperlink"/>
    <w:basedOn w:val="DefaultParagraphFont"/>
    <w:unhideWhenUsed/>
    <w:rPr>
      <w:rFonts w:hint="default"/>
      <w:color w:val="0000FF"/>
      <w:sz w:val="24"/>
      <w:szCs w:val="24"/>
      <w:u w:val="single"/>
    </w:rPr>
  </w:style>
  <w:style w:type="paragraph" w:styleId="Index1">
    <w:name w:val="index 1"/>
    <w:basedOn w:val="Normal"/>
    <w:next w:val="Normal"/>
    <w:unhideWhenUsed/>
    <w:qFormat/>
  </w:style>
  <w:style w:type="paragraph" w:styleId="Index2">
    <w:name w:val="index 2"/>
    <w:basedOn w:val="Normal"/>
    <w:next w:val="Normal"/>
    <w:unhideWhenUsed/>
    <w:pPr>
      <w:ind w:leftChars="200" w:left="200"/>
    </w:pPr>
  </w:style>
  <w:style w:type="paragraph" w:styleId="Index3">
    <w:name w:val="index 3"/>
    <w:basedOn w:val="Normal"/>
    <w:next w:val="Normal"/>
    <w:unhideWhenUsed/>
    <w:pPr>
      <w:ind w:leftChars="400" w:left="400"/>
    </w:pPr>
  </w:style>
  <w:style w:type="paragraph" w:styleId="Index4">
    <w:name w:val="index 4"/>
    <w:basedOn w:val="Normal"/>
    <w:next w:val="Normal"/>
    <w:unhideWhenUsed/>
    <w:pPr>
      <w:ind w:leftChars="600" w:left="600"/>
    </w:pPr>
  </w:style>
  <w:style w:type="paragraph" w:styleId="Index5">
    <w:name w:val="index 5"/>
    <w:basedOn w:val="Normal"/>
    <w:next w:val="Normal"/>
    <w:unhideWhenUsed/>
    <w:pPr>
      <w:ind w:leftChars="800" w:left="800"/>
    </w:pPr>
  </w:style>
  <w:style w:type="paragraph" w:styleId="Index6">
    <w:name w:val="index 6"/>
    <w:basedOn w:val="Normal"/>
    <w:next w:val="Normal"/>
    <w:unhideWhenUsed/>
    <w:pPr>
      <w:ind w:leftChars="1000" w:left="1000"/>
    </w:pPr>
  </w:style>
  <w:style w:type="paragraph" w:styleId="Index7">
    <w:name w:val="index 7"/>
    <w:basedOn w:val="Normal"/>
    <w:next w:val="Normal"/>
    <w:unhideWhenUsed/>
    <w:pPr>
      <w:ind w:leftChars="1200" w:left="1200"/>
    </w:pPr>
  </w:style>
  <w:style w:type="paragraph" w:styleId="Index8">
    <w:name w:val="index 8"/>
    <w:basedOn w:val="Normal"/>
    <w:next w:val="Normal"/>
    <w:unhideWhenUsed/>
    <w:pPr>
      <w:ind w:leftChars="1400" w:left="1400"/>
    </w:pPr>
  </w:style>
  <w:style w:type="paragraph" w:styleId="Index9">
    <w:name w:val="index 9"/>
    <w:basedOn w:val="Normal"/>
    <w:next w:val="Normal"/>
    <w:unhideWhenUsed/>
    <w:pPr>
      <w:ind w:leftChars="1600" w:left="1600"/>
    </w:pPr>
  </w:style>
  <w:style w:type="paragraph" w:styleId="IndexHeading">
    <w:name w:val="index heading"/>
    <w:basedOn w:val="Normal"/>
    <w:next w:val="Index1"/>
    <w:unhideWhenUsed/>
    <w:qFormat/>
    <w:rPr>
      <w:rFonts w:ascii="Arial" w:hAnsi="Arial" w:cs="Arial"/>
      <w:b/>
    </w:rPr>
  </w:style>
  <w:style w:type="character" w:styleId="LineNumber">
    <w:name w:val="line number"/>
    <w:basedOn w:val="DefaultParagraphFont"/>
    <w:unhideWhenUsed/>
    <w:qFormat/>
    <w:rPr>
      <w:rFonts w:hint="default"/>
      <w:sz w:val="24"/>
      <w:szCs w:val="24"/>
    </w:rPr>
  </w:style>
  <w:style w:type="paragraph" w:styleId="List">
    <w:name w:val="List"/>
    <w:basedOn w:val="Normal"/>
    <w:unhideWhenUsed/>
    <w:pPr>
      <w:ind w:left="200" w:hangingChars="200" w:hanging="200"/>
    </w:pPr>
  </w:style>
  <w:style w:type="paragraph" w:styleId="List2">
    <w:name w:val="List 2"/>
    <w:basedOn w:val="Normal"/>
    <w:unhideWhenUsed/>
    <w:qFormat/>
    <w:pPr>
      <w:ind w:leftChars="200" w:left="100" w:hangingChars="200" w:hanging="200"/>
    </w:pPr>
  </w:style>
  <w:style w:type="paragraph" w:styleId="List3">
    <w:name w:val="List 3"/>
    <w:basedOn w:val="Normal"/>
    <w:unhideWhenUsed/>
    <w:qFormat/>
    <w:pPr>
      <w:ind w:leftChars="400" w:left="100" w:hangingChars="200" w:hanging="200"/>
    </w:pPr>
  </w:style>
  <w:style w:type="paragraph" w:styleId="List4">
    <w:name w:val="List 4"/>
    <w:basedOn w:val="Normal"/>
    <w:unhideWhenUsed/>
    <w:qFormat/>
    <w:pPr>
      <w:ind w:leftChars="600" w:left="100" w:hangingChars="200" w:hanging="200"/>
    </w:pPr>
  </w:style>
  <w:style w:type="paragraph" w:styleId="List5">
    <w:name w:val="List 5"/>
    <w:basedOn w:val="Normal"/>
    <w:unhideWhenUsed/>
    <w:qFormat/>
    <w:pPr>
      <w:ind w:leftChars="800" w:left="100" w:hangingChars="200" w:hanging="200"/>
    </w:pPr>
  </w:style>
  <w:style w:type="paragraph" w:styleId="ListBullet">
    <w:name w:val="List Bullet"/>
    <w:basedOn w:val="Normal"/>
    <w:unhideWhenUsed/>
    <w:qFormat/>
    <w:pPr>
      <w:numPr>
        <w:numId w:val="1"/>
      </w:numPr>
    </w:pPr>
  </w:style>
  <w:style w:type="paragraph" w:styleId="ListBullet2">
    <w:name w:val="List Bullet 2"/>
    <w:basedOn w:val="Normal"/>
    <w:unhideWhenUsed/>
    <w:qFormat/>
    <w:pPr>
      <w:numPr>
        <w:numId w:val="2"/>
      </w:numPr>
    </w:pPr>
  </w:style>
  <w:style w:type="paragraph" w:styleId="ListBullet3">
    <w:name w:val="List Bullet 3"/>
    <w:basedOn w:val="Normal"/>
    <w:unhideWhenUsed/>
    <w:pPr>
      <w:numPr>
        <w:numId w:val="3"/>
      </w:numPr>
    </w:pPr>
  </w:style>
  <w:style w:type="paragraph" w:styleId="ListBullet4">
    <w:name w:val="List Bullet 4"/>
    <w:basedOn w:val="Normal"/>
    <w:unhideWhenUsed/>
    <w:qFormat/>
    <w:pPr>
      <w:numPr>
        <w:numId w:val="4"/>
      </w:numPr>
    </w:pPr>
  </w:style>
  <w:style w:type="paragraph" w:styleId="ListBullet5">
    <w:name w:val="List Bullet 5"/>
    <w:basedOn w:val="Normal"/>
    <w:unhideWhenUsed/>
    <w:pPr>
      <w:numPr>
        <w:numId w:val="5"/>
      </w:numPr>
    </w:pPr>
  </w:style>
  <w:style w:type="paragraph" w:styleId="ListContinue">
    <w:name w:val="List Continue"/>
    <w:basedOn w:val="Normal"/>
    <w:unhideWhenUsed/>
    <w:pPr>
      <w:spacing w:after="120"/>
      <w:ind w:leftChars="200" w:left="420"/>
    </w:pPr>
  </w:style>
  <w:style w:type="paragraph" w:styleId="ListContinue2">
    <w:name w:val="List Continue 2"/>
    <w:basedOn w:val="Normal"/>
    <w:unhideWhenUsed/>
    <w:pPr>
      <w:spacing w:after="120"/>
      <w:ind w:leftChars="400" w:left="840"/>
    </w:pPr>
  </w:style>
  <w:style w:type="paragraph" w:styleId="ListContinue3">
    <w:name w:val="List Continue 3"/>
    <w:basedOn w:val="Normal"/>
    <w:unhideWhenUsed/>
    <w:pPr>
      <w:spacing w:after="120"/>
      <w:ind w:leftChars="600" w:left="1260"/>
    </w:pPr>
  </w:style>
  <w:style w:type="paragraph" w:styleId="ListContinue4">
    <w:name w:val="List Continue 4"/>
    <w:basedOn w:val="Normal"/>
    <w:unhideWhenUsed/>
    <w:pPr>
      <w:spacing w:after="120"/>
      <w:ind w:leftChars="800" w:left="1680"/>
    </w:pPr>
  </w:style>
  <w:style w:type="paragraph" w:styleId="ListContinue5">
    <w:name w:val="List Continue 5"/>
    <w:basedOn w:val="Normal"/>
    <w:unhideWhenUsed/>
    <w:qFormat/>
    <w:pPr>
      <w:spacing w:after="120"/>
      <w:ind w:leftChars="1000" w:left="2100"/>
    </w:pPr>
  </w:style>
  <w:style w:type="paragraph" w:styleId="ListNumber">
    <w:name w:val="List Number"/>
    <w:basedOn w:val="Normal"/>
    <w:unhideWhenUsed/>
    <w:qFormat/>
    <w:pPr>
      <w:numPr>
        <w:numId w:val="6"/>
      </w:numPr>
    </w:pPr>
  </w:style>
  <w:style w:type="paragraph" w:styleId="ListNumber2">
    <w:name w:val="List Number 2"/>
    <w:basedOn w:val="Normal"/>
    <w:unhideWhenUsed/>
    <w:qFormat/>
    <w:pPr>
      <w:numPr>
        <w:numId w:val="7"/>
      </w:numPr>
    </w:pPr>
  </w:style>
  <w:style w:type="paragraph" w:styleId="ListNumber3">
    <w:name w:val="List Number 3"/>
    <w:basedOn w:val="Normal"/>
    <w:unhideWhenUsed/>
    <w:qFormat/>
    <w:pPr>
      <w:numPr>
        <w:numId w:val="8"/>
      </w:numPr>
    </w:pPr>
  </w:style>
  <w:style w:type="paragraph" w:styleId="ListNumber4">
    <w:name w:val="List Number 4"/>
    <w:basedOn w:val="Normal"/>
    <w:unhideWhenUsed/>
    <w:pPr>
      <w:numPr>
        <w:numId w:val="9"/>
      </w:numPr>
    </w:pPr>
  </w:style>
  <w:style w:type="paragraph" w:styleId="ListNumber5">
    <w:name w:val="List Number 5"/>
    <w:basedOn w:val="Normal"/>
    <w:unhideWhenUsed/>
    <w:qFormat/>
    <w:pPr>
      <w:numPr>
        <w:numId w:val="10"/>
      </w:numPr>
    </w:pPr>
  </w:style>
  <w:style w:type="paragraph" w:styleId="MacroText">
    <w:name w:val="macro"/>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00" w:beforeAutospacing="1" w:after="100" w:afterAutospacing="1"/>
      <w:jc w:val="right"/>
    </w:pPr>
    <w:rPr>
      <w:rFonts w:ascii="Courier New" w:eastAsia="DengXian" w:hAnsi="Courier New" w:cs="Courier New"/>
      <w:kern w:val="2"/>
      <w:sz w:val="24"/>
      <w:szCs w:val="24"/>
      <w:lang w:val="en-US" w:eastAsia="zh-CN"/>
    </w:rPr>
  </w:style>
  <w:style w:type="paragraph" w:styleId="MessageHeader">
    <w:name w:val="Message Header"/>
    <w:basedOn w:val="Normal"/>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uiPriority w:val="99"/>
    <w:unhideWhenUsed/>
    <w:pPr>
      <w:spacing w:before="100" w:beforeAutospacing="1" w:after="100" w:afterAutospacing="1"/>
    </w:pPr>
    <w:rPr>
      <w:sz w:val="24"/>
      <w:szCs w:val="24"/>
      <w:lang w:val="en-US" w:eastAsia="zh-CN"/>
    </w:rPr>
  </w:style>
  <w:style w:type="paragraph" w:styleId="NormalIndent">
    <w:name w:val="Normal Indent"/>
    <w:basedOn w:val="Normal"/>
    <w:unhideWhenUsed/>
    <w:pPr>
      <w:ind w:firstLineChars="200" w:firstLine="420"/>
    </w:pPr>
  </w:style>
  <w:style w:type="paragraph" w:styleId="NoteHeading">
    <w:name w:val="Note Heading"/>
    <w:basedOn w:val="Normal"/>
    <w:next w:val="Normal"/>
    <w:unhideWhenUsed/>
    <w:qFormat/>
    <w:pPr>
      <w:jc w:val="center"/>
    </w:pPr>
  </w:style>
  <w:style w:type="character" w:styleId="PageNumber">
    <w:name w:val="page number"/>
    <w:basedOn w:val="DefaultParagraphFont"/>
    <w:unhideWhenUsed/>
    <w:rPr>
      <w:rFonts w:hint="default"/>
      <w:sz w:val="24"/>
      <w:szCs w:val="24"/>
    </w:rPr>
  </w:style>
  <w:style w:type="paragraph" w:styleId="PlainText">
    <w:name w:val="Plain Text"/>
    <w:basedOn w:val="Normal"/>
    <w:unhideWhenUsed/>
    <w:qFormat/>
    <w:rPr>
      <w:rFonts w:ascii="SimSun" w:eastAsia="SimSun" w:hAnsi="Courier New" w:cs="Courier New" w:hint="eastAsia"/>
      <w:szCs w:val="21"/>
    </w:rPr>
  </w:style>
  <w:style w:type="paragraph" w:styleId="Salutation">
    <w:name w:val="Salutation"/>
    <w:basedOn w:val="Normal"/>
    <w:next w:val="Normal"/>
    <w:unhideWhenUsed/>
  </w:style>
  <w:style w:type="paragraph" w:styleId="Signature">
    <w:name w:val="Signature"/>
    <w:basedOn w:val="Normal"/>
    <w:unhideWhenUsed/>
    <w:pPr>
      <w:ind w:leftChars="2100" w:left="100"/>
    </w:pPr>
  </w:style>
  <w:style w:type="character" w:styleId="Strong">
    <w:name w:val="Strong"/>
    <w:basedOn w:val="DefaultParagraphFont"/>
    <w:uiPriority w:val="22"/>
    <w:unhideWhenUsed/>
    <w:qFormat/>
    <w:rPr>
      <w:rFonts w:hint="default"/>
      <w:b/>
      <w:sz w:val="24"/>
      <w:szCs w:val="24"/>
    </w:rPr>
  </w:style>
  <w:style w:type="paragraph" w:styleId="Subtitle">
    <w:name w:val="Subtitle"/>
    <w:basedOn w:val="Normal"/>
    <w:unhideWhenUsed/>
    <w:qFormat/>
    <w:pPr>
      <w:spacing w:before="240" w:after="60" w:line="312" w:lineRule="auto"/>
      <w:jc w:val="center"/>
      <w:outlineLvl w:val="1"/>
    </w:pPr>
    <w:rPr>
      <w:rFonts w:ascii="Arial" w:hAnsi="Arial" w:cs="Arial"/>
      <w:b/>
      <w:kern w:val="28"/>
      <w:sz w:val="32"/>
      <w:szCs w:val="32"/>
    </w:rPr>
  </w:style>
  <w:style w:type="paragraph" w:styleId="TableofAuthorities">
    <w:name w:val="table of authorities"/>
    <w:basedOn w:val="Normal"/>
    <w:next w:val="Normal"/>
    <w:unhideWhenUsed/>
    <w:qFormat/>
    <w:pPr>
      <w:ind w:leftChars="200" w:left="420"/>
    </w:pPr>
  </w:style>
  <w:style w:type="paragraph" w:styleId="TableofFigures">
    <w:name w:val="table of figures"/>
    <w:basedOn w:val="Normal"/>
    <w:next w:val="Normal"/>
    <w:unhideWhenUsed/>
    <w:pPr>
      <w:ind w:leftChars="200" w:left="200" w:hangingChars="200" w:hanging="200"/>
    </w:pPr>
  </w:style>
  <w:style w:type="paragraph" w:styleId="Title">
    <w:name w:val="Title"/>
    <w:basedOn w:val="Normal"/>
    <w:unhideWhenUsed/>
    <w:qFormat/>
    <w:pPr>
      <w:spacing w:before="240" w:after="60"/>
      <w:jc w:val="center"/>
      <w:outlineLvl w:val="0"/>
    </w:pPr>
    <w:rPr>
      <w:rFonts w:ascii="Arial" w:hAnsi="Arial" w:cs="Arial"/>
      <w:b/>
      <w:sz w:val="32"/>
      <w:szCs w:val="32"/>
    </w:rPr>
  </w:style>
  <w:style w:type="paragraph" w:styleId="TOAHeading">
    <w:name w:val="toa heading"/>
    <w:basedOn w:val="Normal"/>
    <w:next w:val="Normal"/>
    <w:unhideWhenUsed/>
    <w:pPr>
      <w:spacing w:before="120"/>
    </w:pPr>
    <w:rPr>
      <w:rFonts w:ascii="Arial" w:hAnsi="Arial" w:cs="Arial"/>
    </w:rPr>
  </w:style>
  <w:style w:type="paragraph" w:styleId="TOC1">
    <w:name w:val="toc 1"/>
    <w:basedOn w:val="Normal"/>
    <w:next w:val="Normal"/>
    <w:unhideWhenUsed/>
    <w:qFormat/>
  </w:style>
  <w:style w:type="paragraph" w:styleId="TOC2">
    <w:name w:val="toc 2"/>
    <w:basedOn w:val="Normal"/>
    <w:next w:val="Normal"/>
    <w:unhideWhenUsed/>
    <w:qFormat/>
    <w:pPr>
      <w:ind w:leftChars="200" w:left="420"/>
    </w:pPr>
  </w:style>
  <w:style w:type="paragraph" w:styleId="TOC3">
    <w:name w:val="toc 3"/>
    <w:basedOn w:val="Normal"/>
    <w:next w:val="Normal"/>
    <w:unhideWhenUsed/>
    <w:pPr>
      <w:ind w:leftChars="400" w:left="840"/>
    </w:pPr>
  </w:style>
  <w:style w:type="paragraph" w:styleId="TOC4">
    <w:name w:val="toc 4"/>
    <w:basedOn w:val="Normal"/>
    <w:next w:val="Normal"/>
    <w:unhideWhenUsed/>
    <w:pPr>
      <w:ind w:leftChars="600" w:left="1260"/>
    </w:pPr>
  </w:style>
  <w:style w:type="paragraph" w:styleId="TOC5">
    <w:name w:val="toc 5"/>
    <w:basedOn w:val="Normal"/>
    <w:next w:val="Normal"/>
    <w:unhideWhenUsed/>
    <w:qFormat/>
    <w:pPr>
      <w:ind w:leftChars="800" w:left="1680"/>
    </w:pPr>
  </w:style>
  <w:style w:type="paragraph" w:styleId="TOC6">
    <w:name w:val="toc 6"/>
    <w:basedOn w:val="Normal"/>
    <w:next w:val="Normal"/>
    <w:unhideWhenUsed/>
    <w:pPr>
      <w:ind w:leftChars="1000" w:left="2100"/>
    </w:pPr>
  </w:style>
  <w:style w:type="paragraph" w:styleId="TOC7">
    <w:name w:val="toc 7"/>
    <w:basedOn w:val="Normal"/>
    <w:next w:val="Normal"/>
    <w:unhideWhenUsed/>
    <w:qFormat/>
    <w:pPr>
      <w:ind w:leftChars="1200" w:left="2520"/>
    </w:pPr>
  </w:style>
  <w:style w:type="paragraph" w:styleId="TOC8">
    <w:name w:val="toc 8"/>
    <w:basedOn w:val="Normal"/>
    <w:next w:val="Normal"/>
    <w:unhideWhenUsed/>
    <w:pPr>
      <w:ind w:leftChars="1400" w:left="2940"/>
    </w:pPr>
  </w:style>
  <w:style w:type="paragraph" w:styleId="TOC9">
    <w:name w:val="toc 9"/>
    <w:basedOn w:val="Normal"/>
    <w:next w:val="Normal"/>
    <w:unhideWhenUsed/>
    <w:qFormat/>
    <w:pPr>
      <w:ind w:leftChars="1600" w:left="3360"/>
    </w:pPr>
  </w:style>
  <w:style w:type="paragraph" w:customStyle="1" w:styleId="z-">
    <w:name w:val="z-窗体顶端"/>
    <w:basedOn w:val="Normal"/>
    <w:next w:val="Normal"/>
    <w:unhideWhenUsed/>
    <w:pPr>
      <w:pBdr>
        <w:bottom w:val="single" w:sz="6" w:space="1" w:color="auto"/>
      </w:pBdr>
      <w:jc w:val="center"/>
    </w:pPr>
    <w:rPr>
      <w:rFonts w:ascii="Arial" w:eastAsia="SimSun"/>
      <w:vanish/>
      <w:sz w:val="16"/>
    </w:rPr>
  </w:style>
  <w:style w:type="paragraph" w:customStyle="1" w:styleId="z-0">
    <w:name w:val="z-窗体底端"/>
    <w:basedOn w:val="Normal"/>
    <w:next w:val="Normal"/>
    <w:unhideWhenUsed/>
    <w:pPr>
      <w:pBdr>
        <w:top w:val="single" w:sz="6" w:space="1" w:color="auto"/>
      </w:pBdr>
      <w:jc w:val="center"/>
    </w:pPr>
    <w:rPr>
      <w:rFonts w:ascii="Arial" w:eastAsia="SimSun"/>
      <w:vanish/>
      <w:sz w:val="16"/>
    </w:rPr>
  </w:style>
  <w:style w:type="character" w:customStyle="1" w:styleId="katex-mathml">
    <w:name w:val="katex-mathml"/>
    <w:basedOn w:val="DefaultParagraphFont"/>
    <w:rsid w:val="00E32B92"/>
  </w:style>
  <w:style w:type="character" w:customStyle="1" w:styleId="mopen">
    <w:name w:val="mopen"/>
    <w:basedOn w:val="DefaultParagraphFont"/>
    <w:rsid w:val="00E32B92"/>
  </w:style>
  <w:style w:type="character" w:customStyle="1" w:styleId="mord">
    <w:name w:val="mord"/>
    <w:basedOn w:val="DefaultParagraphFont"/>
    <w:rsid w:val="00E32B92"/>
  </w:style>
  <w:style w:type="character" w:customStyle="1" w:styleId="mpunct">
    <w:name w:val="mpunct"/>
    <w:basedOn w:val="DefaultParagraphFont"/>
    <w:rsid w:val="00E32B92"/>
  </w:style>
  <w:style w:type="character" w:customStyle="1" w:styleId="mclose">
    <w:name w:val="mclose"/>
    <w:basedOn w:val="DefaultParagraphFont"/>
    <w:rsid w:val="00E32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817">
      <w:bodyDiv w:val="1"/>
      <w:marLeft w:val="0"/>
      <w:marRight w:val="0"/>
      <w:marTop w:val="0"/>
      <w:marBottom w:val="0"/>
      <w:divBdr>
        <w:top w:val="none" w:sz="0" w:space="0" w:color="auto"/>
        <w:left w:val="none" w:sz="0" w:space="0" w:color="auto"/>
        <w:bottom w:val="none" w:sz="0" w:space="0" w:color="auto"/>
        <w:right w:val="none" w:sz="0" w:space="0" w:color="auto"/>
      </w:divBdr>
    </w:div>
    <w:div w:id="94055651">
      <w:bodyDiv w:val="1"/>
      <w:marLeft w:val="0"/>
      <w:marRight w:val="0"/>
      <w:marTop w:val="0"/>
      <w:marBottom w:val="0"/>
      <w:divBdr>
        <w:top w:val="none" w:sz="0" w:space="0" w:color="auto"/>
        <w:left w:val="none" w:sz="0" w:space="0" w:color="auto"/>
        <w:bottom w:val="none" w:sz="0" w:space="0" w:color="auto"/>
        <w:right w:val="none" w:sz="0" w:space="0" w:color="auto"/>
      </w:divBdr>
    </w:div>
    <w:div w:id="234363496">
      <w:bodyDiv w:val="1"/>
      <w:marLeft w:val="0"/>
      <w:marRight w:val="0"/>
      <w:marTop w:val="0"/>
      <w:marBottom w:val="0"/>
      <w:divBdr>
        <w:top w:val="none" w:sz="0" w:space="0" w:color="auto"/>
        <w:left w:val="none" w:sz="0" w:space="0" w:color="auto"/>
        <w:bottom w:val="none" w:sz="0" w:space="0" w:color="auto"/>
        <w:right w:val="none" w:sz="0" w:space="0" w:color="auto"/>
      </w:divBdr>
    </w:div>
    <w:div w:id="733117591">
      <w:bodyDiv w:val="1"/>
      <w:marLeft w:val="0"/>
      <w:marRight w:val="0"/>
      <w:marTop w:val="0"/>
      <w:marBottom w:val="0"/>
      <w:divBdr>
        <w:top w:val="none" w:sz="0" w:space="0" w:color="auto"/>
        <w:left w:val="none" w:sz="0" w:space="0" w:color="auto"/>
        <w:bottom w:val="none" w:sz="0" w:space="0" w:color="auto"/>
        <w:right w:val="none" w:sz="0" w:space="0" w:color="auto"/>
      </w:divBdr>
    </w:div>
    <w:div w:id="831525807">
      <w:bodyDiv w:val="1"/>
      <w:marLeft w:val="0"/>
      <w:marRight w:val="0"/>
      <w:marTop w:val="0"/>
      <w:marBottom w:val="0"/>
      <w:divBdr>
        <w:top w:val="none" w:sz="0" w:space="0" w:color="auto"/>
        <w:left w:val="none" w:sz="0" w:space="0" w:color="auto"/>
        <w:bottom w:val="none" w:sz="0" w:space="0" w:color="auto"/>
        <w:right w:val="none" w:sz="0" w:space="0" w:color="auto"/>
      </w:divBdr>
    </w:div>
    <w:div w:id="1699577315">
      <w:bodyDiv w:val="1"/>
      <w:marLeft w:val="0"/>
      <w:marRight w:val="0"/>
      <w:marTop w:val="0"/>
      <w:marBottom w:val="0"/>
      <w:divBdr>
        <w:top w:val="none" w:sz="0" w:space="0" w:color="auto"/>
        <w:left w:val="none" w:sz="0" w:space="0" w:color="auto"/>
        <w:bottom w:val="none" w:sz="0" w:space="0" w:color="auto"/>
        <w:right w:val="none" w:sz="0" w:space="0" w:color="auto"/>
      </w:divBdr>
    </w:div>
    <w:div w:id="2001274107">
      <w:bodyDiv w:val="1"/>
      <w:marLeft w:val="0"/>
      <w:marRight w:val="0"/>
      <w:marTop w:val="0"/>
      <w:marBottom w:val="0"/>
      <w:divBdr>
        <w:top w:val="none" w:sz="0" w:space="0" w:color="auto"/>
        <w:left w:val="none" w:sz="0" w:space="0" w:color="auto"/>
        <w:bottom w:val="none" w:sz="0" w:space="0" w:color="auto"/>
        <w:right w:val="none" w:sz="0" w:space="0" w:color="auto"/>
      </w:divBdr>
    </w:div>
    <w:div w:id="204159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chfore.2021.120939" TargetMode="External"/><Relationship Id="rId13" Type="http://schemas.openxmlformats.org/officeDocument/2006/relationships/hyperlink" Target="https://doi.org/10.1007/978-3-030-05252-2" TargetMode="External"/><Relationship Id="rId18" Type="http://schemas.openxmlformats.org/officeDocument/2006/relationships/hyperlink" Target="https://ssrn.com/abstract=560861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j.omega.2014.10.001" TargetMode="External"/><Relationship Id="rId7" Type="http://schemas.openxmlformats.org/officeDocument/2006/relationships/endnotes" Target="endnotes.xml"/><Relationship Id="rId12" Type="http://schemas.openxmlformats.org/officeDocument/2006/relationships/hyperlink" Target="https://doi.org/10.3758/BF03193841" TargetMode="External"/><Relationship Id="rId17" Type="http://schemas.openxmlformats.org/officeDocument/2006/relationships/hyperlink" Target="https://doi.org/10.18502/jbe.v11i1.1932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9640568.2012.717886" TargetMode="External"/><Relationship Id="rId20" Type="http://schemas.openxmlformats.org/officeDocument/2006/relationships/hyperlink" Target="https://doi.org/10.9734/ajpas/2026/v28i18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026/C2XW2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4294/mipt1065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oi.org/10.3390/app112110397" TargetMode="External"/><Relationship Id="rId19" Type="http://schemas.openxmlformats.org/officeDocument/2006/relationships/hyperlink" Target="https://dx.doi.org/10.2139/ssrn.5608617" TargetMode="External"/><Relationship Id="rId4" Type="http://schemas.openxmlformats.org/officeDocument/2006/relationships/settings" Target="settings.xml"/><Relationship Id="rId9" Type="http://schemas.openxmlformats.org/officeDocument/2006/relationships/hyperlink" Target="https://en.wikipedia.org/wiki/Evidential_reasoning_approach" TargetMode="External"/><Relationship Id="rId14" Type="http://schemas.openxmlformats.org/officeDocument/2006/relationships/hyperlink" Target="https://doi.org/10.59400/jam2736" TargetMode="External"/><Relationship Id="rId22" Type="http://schemas.openxmlformats.org/officeDocument/2006/relationships/hyperlink" Target="https://archive.ics.uci.edu/ml/datasets/Breast+Cancer+Wisconsin+(Diagnostic)"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26</Pages>
  <Words>8556</Words>
  <Characters>48771</Characters>
  <Application>Microsoft Office Word</Application>
  <DocSecurity>0</DocSecurity>
  <Lines>406</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57213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ZBOOK</dc:creator>
  <cp:lastModifiedBy>SDI 1158</cp:lastModifiedBy>
  <cp:revision>26</cp:revision>
  <dcterms:created xsi:type="dcterms:W3CDTF">2026-01-29T16:46:00Z</dcterms:created>
  <dcterms:modified xsi:type="dcterms:W3CDTF">2026-01-31T08:03:00Z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1C1FC1F6BFC7452998933EA11008E7E3_13</vt:lpwstr>
  </property>
</Properties>
</file>