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CEC4E" w14:textId="12DFD540"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Radial Head Excision Versus Arthroplasty: A Review of Functional Outcomes and Complications in Traumatic Radial Head Fractures</w:t>
      </w:r>
    </w:p>
    <w:p w14:paraId="362231CC"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Abstract</w:t>
      </w:r>
    </w:p>
    <w:p w14:paraId="58DD2132"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Traumatic radial head fractures are common elbow injuries and frequently coexist with ligament disruption, coronoid fractures, elbow dislocation, or longitudinal forearm instability. In these complex settings, the radial head acts as an important secondary stabilizer against valgus and posterolateral rotatory instability and contributes to axial load transmission across the </w:t>
      </w:r>
      <w:proofErr w:type="spellStart"/>
      <w:r w:rsidRPr="00C5683C">
        <w:rPr>
          <w:rFonts w:ascii="Times New Roman" w:eastAsia="Times New Roman" w:hAnsi="Times New Roman" w:cs="Times New Roman"/>
          <w:sz w:val="24"/>
          <w:szCs w:val="24"/>
          <w:lang w:val="en-US"/>
        </w:rPr>
        <w:t>radiocapitellar</w:t>
      </w:r>
      <w:proofErr w:type="spellEnd"/>
      <w:r w:rsidRPr="00C5683C">
        <w:rPr>
          <w:rFonts w:ascii="Times New Roman" w:eastAsia="Times New Roman" w:hAnsi="Times New Roman" w:cs="Times New Roman"/>
          <w:sz w:val="24"/>
          <w:szCs w:val="24"/>
          <w:lang w:val="en-US"/>
        </w:rPr>
        <w:t xml:space="preserve"> joint. When fixation is not feasible—most often in comminuted Mason type III and selected type IV patterns—surgeons must choose between radial head excision and radial head arthroplasty. Historically, excision offered pain relief and improved motion in selected patients, but concerns persist regarding proximal radial migration, valgus instability, late degenerative change, and compromised forearm mechanics, particularly when occult interosseous membrane or distal radioulnar joint injury is present. Arthroplasty has evolved substantially with modular designs and improved sizing strategies, aiming to restore elbow and forearm stability in fracture-dislocation patterns; however, it introduces implant-specific complications such as loosening, overstuffing, stiffness, heterotopic ossification, and reoperation for pain or limited motion. This review synthesizes contemporary evidence on indications, functional outcomes, complications, and revision patterns after radial head excision versus arthroplasty in traumatic radial head fractures, emphasizing injury-pattern–based decision-making and technical pitfalls that influence prognosis.</w:t>
      </w:r>
    </w:p>
    <w:p w14:paraId="364F5CF2" w14:textId="13C367C4"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FF7CC4">
        <w:rPr>
          <w:rFonts w:ascii="Times New Roman" w:eastAsia="Times New Roman" w:hAnsi="Times New Roman" w:cs="Times New Roman"/>
          <w:b/>
          <w:bCs/>
          <w:sz w:val="24"/>
          <w:szCs w:val="24"/>
          <w:highlight w:val="yellow"/>
          <w:lang w:val="en-US"/>
        </w:rPr>
        <w:t>Keywords:</w:t>
      </w:r>
      <w:r w:rsidRPr="00FF7CC4">
        <w:rPr>
          <w:rFonts w:ascii="Times New Roman" w:eastAsia="Times New Roman" w:hAnsi="Times New Roman" w:cs="Times New Roman"/>
          <w:sz w:val="24"/>
          <w:szCs w:val="24"/>
          <w:highlight w:val="yellow"/>
          <w:lang w:val="en-US"/>
        </w:rPr>
        <w:t xml:space="preserve"> </w:t>
      </w:r>
      <w:r w:rsidR="00FF7CC4">
        <w:rPr>
          <w:rFonts w:ascii="Times New Roman" w:eastAsia="Times New Roman" w:hAnsi="Times New Roman" w:cs="Times New Roman"/>
          <w:sz w:val="24"/>
          <w:szCs w:val="24"/>
          <w:highlight w:val="yellow"/>
          <w:lang w:val="en-US"/>
        </w:rPr>
        <w:t>R</w:t>
      </w:r>
      <w:r w:rsidRPr="00FF7CC4">
        <w:rPr>
          <w:rFonts w:ascii="Times New Roman" w:eastAsia="Times New Roman" w:hAnsi="Times New Roman" w:cs="Times New Roman"/>
          <w:sz w:val="24"/>
          <w:szCs w:val="24"/>
          <w:highlight w:val="yellow"/>
          <w:lang w:val="en-US"/>
        </w:rPr>
        <w:t>adial head fracture; radial head excision; radial head arthroplasty; Essex-</w:t>
      </w:r>
      <w:proofErr w:type="spellStart"/>
      <w:r w:rsidRPr="00FF7CC4">
        <w:rPr>
          <w:rFonts w:ascii="Times New Roman" w:eastAsia="Times New Roman" w:hAnsi="Times New Roman" w:cs="Times New Roman"/>
          <w:sz w:val="24"/>
          <w:szCs w:val="24"/>
          <w:highlight w:val="yellow"/>
          <w:lang w:val="en-US"/>
        </w:rPr>
        <w:t>Lopresti</w:t>
      </w:r>
      <w:proofErr w:type="spellEnd"/>
      <w:r w:rsidRPr="00FF7CC4">
        <w:rPr>
          <w:rFonts w:ascii="Times New Roman" w:eastAsia="Times New Roman" w:hAnsi="Times New Roman" w:cs="Times New Roman"/>
          <w:sz w:val="24"/>
          <w:szCs w:val="24"/>
          <w:highlight w:val="yellow"/>
          <w:lang w:val="en-US"/>
        </w:rPr>
        <w:t>; revision surgery</w:t>
      </w:r>
    </w:p>
    <w:p w14:paraId="1DAD8B54"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598EE21D"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1. Introduction</w:t>
      </w:r>
    </w:p>
    <w:p w14:paraId="598548A0"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1.1 Clinical context and relevance</w:t>
      </w:r>
    </w:p>
    <w:p w14:paraId="69401703" w14:textId="6FCEED27" w:rsidR="00C5683C" w:rsidRPr="003B3A7F" w:rsidRDefault="007414F9" w:rsidP="00F93E0B">
      <w:pPr>
        <w:spacing w:before="100" w:beforeAutospacing="1" w:after="100" w:afterAutospacing="1" w:line="240" w:lineRule="auto"/>
        <w:jc w:val="both"/>
        <w:rPr>
          <w:rFonts w:ascii="Times New Roman" w:eastAsia="Times New Roman" w:hAnsi="Times New Roman" w:cs="Times New Roman"/>
          <w:sz w:val="20"/>
          <w:szCs w:val="24"/>
          <w:lang w:val="en-US"/>
        </w:rPr>
      </w:pPr>
      <w:r w:rsidRPr="00F34B91">
        <w:rPr>
          <w:rFonts w:ascii="Georgia" w:hAnsi="Georgia"/>
          <w:color w:val="1F1F1F"/>
          <w:highlight w:val="yellow"/>
        </w:rPr>
        <w:t>There has been a recent increase in the incidence of radial head fractures, and as a result, the utilization of radial head arthroplasty has also increased. The decision for radial head fixation versus arthroplasty can be straightforward in the setting of simple fractures and highly </w:t>
      </w:r>
      <w:proofErr w:type="spellStart"/>
      <w:r w:rsidRPr="00F34B91">
        <w:rPr>
          <w:highlight w:val="yellow"/>
        </w:rPr>
        <w:fldChar w:fldCharType="begin"/>
      </w:r>
      <w:r w:rsidRPr="00F34B91">
        <w:rPr>
          <w:highlight w:val="yellow"/>
        </w:rPr>
        <w:instrText xml:space="preserve"> HYPERLINK "https://www.sciencedirect.com/topics/medicine-and-dentistry/comminuted-fracture" \o "Learn more about comminuted fractures from ScienceDirect's AI-generated Topic Pages" </w:instrText>
      </w:r>
      <w:r w:rsidRPr="00F34B91">
        <w:rPr>
          <w:highlight w:val="yellow"/>
        </w:rPr>
        <w:fldChar w:fldCharType="separate"/>
      </w:r>
      <w:r w:rsidRPr="00F34B91">
        <w:rPr>
          <w:rStyle w:val="Hyperlink"/>
          <w:rFonts w:ascii="Georgia" w:hAnsi="Georgia"/>
          <w:color w:val="1F1F1F"/>
          <w:highlight w:val="yellow"/>
        </w:rPr>
        <w:t>comminuted</w:t>
      </w:r>
      <w:proofErr w:type="spellEnd"/>
      <w:r w:rsidRPr="00F34B91">
        <w:rPr>
          <w:rStyle w:val="Hyperlink"/>
          <w:rFonts w:ascii="Georgia" w:hAnsi="Georgia"/>
          <w:color w:val="1F1F1F"/>
          <w:highlight w:val="yellow"/>
        </w:rPr>
        <w:t xml:space="preserve"> fractures</w:t>
      </w:r>
      <w:r w:rsidRPr="00F34B91">
        <w:rPr>
          <w:highlight w:val="yellow"/>
        </w:rPr>
        <w:fldChar w:fldCharType="end"/>
      </w:r>
      <w:r w:rsidRPr="00F34B91">
        <w:rPr>
          <w:rFonts w:ascii="Georgia" w:hAnsi="Georgia"/>
          <w:color w:val="1F1F1F"/>
          <w:highlight w:val="yellow"/>
        </w:rPr>
        <w:t>. The surgical decision is more challenging in cases which fall in the middle of the spectrum of fracture complexity</w:t>
      </w:r>
      <w:r>
        <w:rPr>
          <w:rFonts w:ascii="Georgia" w:hAnsi="Georgia"/>
          <w:color w:val="1F1F1F"/>
          <w:highlight w:val="yellow"/>
        </w:rPr>
        <w:t xml:space="preserve"> (</w:t>
      </w:r>
      <w:proofErr w:type="spellStart"/>
      <w:r w:rsidRPr="00173D37">
        <w:rPr>
          <w:rFonts w:ascii="Arial" w:hAnsi="Arial" w:cs="Arial"/>
          <w:color w:val="222222"/>
          <w:sz w:val="20"/>
          <w:szCs w:val="20"/>
          <w:highlight w:val="yellow"/>
          <w:shd w:val="clear" w:color="auto" w:fill="FFFFFF"/>
        </w:rPr>
        <w:t>Heifner</w:t>
      </w:r>
      <w:proofErr w:type="spellEnd"/>
      <w:r>
        <w:rPr>
          <w:rFonts w:ascii="Arial" w:hAnsi="Arial" w:cs="Arial"/>
          <w:color w:val="222222"/>
          <w:sz w:val="20"/>
          <w:szCs w:val="20"/>
          <w:highlight w:val="yellow"/>
          <w:shd w:val="clear" w:color="auto" w:fill="FFFFFF"/>
        </w:rPr>
        <w:t xml:space="preserve"> et al., 2023</w:t>
      </w:r>
      <w:r>
        <w:rPr>
          <w:rFonts w:ascii="Georgia" w:hAnsi="Georgia"/>
          <w:color w:val="1F1F1F"/>
          <w:highlight w:val="yellow"/>
        </w:rPr>
        <w:t>)</w:t>
      </w:r>
      <w:r w:rsidRPr="00F34B91">
        <w:rPr>
          <w:rFonts w:ascii="Georgia" w:hAnsi="Georgia"/>
          <w:color w:val="1F1F1F"/>
          <w:highlight w:val="yellow"/>
        </w:rPr>
        <w:t>.</w:t>
      </w:r>
      <w:r>
        <w:rPr>
          <w:rFonts w:ascii="Georgia" w:hAnsi="Georgia"/>
          <w:color w:val="1F1F1F"/>
        </w:rPr>
        <w:t xml:space="preserve"> </w:t>
      </w:r>
      <w:r w:rsidR="00C5683C" w:rsidRPr="00C5683C">
        <w:rPr>
          <w:rFonts w:ascii="Times New Roman" w:eastAsia="Times New Roman" w:hAnsi="Times New Roman" w:cs="Times New Roman"/>
          <w:sz w:val="24"/>
          <w:szCs w:val="24"/>
          <w:lang w:val="en-US"/>
        </w:rPr>
        <w:t xml:space="preserve">Radial head fractures represent a substantial proportion of adult elbow fractures and may occur as isolated injuries after a fall on an outstretched hand or as part of higher-energy fracture-dislocation patterns. Contemporary management has shifted from treating the radial head as a “dispensable” structure toward recognizing its </w:t>
      </w:r>
      <w:proofErr w:type="spellStart"/>
      <w:r w:rsidR="00DF1EB1" w:rsidRPr="003B3A7F">
        <w:rPr>
          <w:rFonts w:ascii="Times New Roman" w:eastAsia="Times New Roman" w:hAnsi="Times New Roman" w:cs="Times New Roman"/>
          <w:sz w:val="24"/>
          <w:szCs w:val="24"/>
          <w:highlight w:val="yellow"/>
          <w:lang w:val="en-US"/>
        </w:rPr>
        <w:t>stabilising</w:t>
      </w:r>
      <w:proofErr w:type="spellEnd"/>
      <w:r w:rsidR="00DF1EB1" w:rsidRPr="003B3A7F">
        <w:rPr>
          <w:rFonts w:ascii="Times New Roman" w:eastAsia="Times New Roman" w:hAnsi="Times New Roman" w:cs="Times New Roman"/>
          <w:sz w:val="24"/>
          <w:szCs w:val="24"/>
          <w:highlight w:val="yellow"/>
          <w:lang w:val="en-US"/>
        </w:rPr>
        <w:t xml:space="preserve"> </w:t>
      </w:r>
      <w:r w:rsidR="00C5683C" w:rsidRPr="003B3A7F">
        <w:rPr>
          <w:rFonts w:ascii="Times New Roman" w:eastAsia="Times New Roman" w:hAnsi="Times New Roman" w:cs="Times New Roman"/>
          <w:sz w:val="24"/>
          <w:szCs w:val="24"/>
          <w:highlight w:val="yellow"/>
          <w:lang w:val="en-US"/>
        </w:rPr>
        <w:t>role</w:t>
      </w:r>
      <w:r w:rsidR="00C5683C" w:rsidRPr="00C5683C">
        <w:rPr>
          <w:rFonts w:ascii="Times New Roman" w:eastAsia="Times New Roman" w:hAnsi="Times New Roman" w:cs="Times New Roman"/>
          <w:sz w:val="24"/>
          <w:szCs w:val="24"/>
          <w:lang w:val="en-US"/>
        </w:rPr>
        <w:t>, especially in the setting of collateral ligament injury, coronoid fracture, or disrupted forearm longitudinal stability. A central challenge is that the radial head is not only a local articular surface but also a contributor to global elbow–forearm mechanics. Consequently, the appropriateness of radial head excision depends less on the fracture comminution alone and more on whether the elbow and forearm can remain stable without the radial head.</w:t>
      </w:r>
      <w:r w:rsidR="00B3446A">
        <w:rPr>
          <w:rFonts w:ascii="Times New Roman" w:eastAsia="Times New Roman" w:hAnsi="Times New Roman" w:cs="Times New Roman"/>
          <w:sz w:val="24"/>
          <w:szCs w:val="24"/>
          <w:lang w:val="en-US"/>
        </w:rPr>
        <w:t xml:space="preserve"> </w:t>
      </w:r>
      <w:r w:rsidR="005D3089" w:rsidRPr="00F34B91">
        <w:rPr>
          <w:rFonts w:ascii="Cambria" w:hAnsi="Cambria"/>
          <w:color w:val="1B1B1B"/>
          <w:szCs w:val="28"/>
          <w:highlight w:val="yellow"/>
          <w:shd w:val="clear" w:color="auto" w:fill="FFFFFF"/>
        </w:rPr>
        <w:t>R</w:t>
      </w:r>
      <w:r w:rsidR="00B3446A" w:rsidRPr="00F34B91">
        <w:rPr>
          <w:rFonts w:ascii="Cambria" w:hAnsi="Cambria"/>
          <w:color w:val="1B1B1B"/>
          <w:szCs w:val="28"/>
          <w:highlight w:val="yellow"/>
          <w:shd w:val="clear" w:color="auto" w:fill="FFFFFF"/>
        </w:rPr>
        <w:t xml:space="preserve">adial head arthroplasty has obtained a large consensus in orthopaedic surgeons as primary option of treatment in fractures Mason types III and IV. It </w:t>
      </w:r>
      <w:r w:rsidR="00B3446A" w:rsidRPr="00F34B91">
        <w:rPr>
          <w:rFonts w:ascii="Cambria" w:hAnsi="Cambria"/>
          <w:color w:val="1B1B1B"/>
          <w:szCs w:val="28"/>
          <w:highlight w:val="yellow"/>
          <w:shd w:val="clear" w:color="auto" w:fill="FFFFFF"/>
        </w:rPr>
        <w:lastRenderedPageBreak/>
        <w:t xml:space="preserve">allows an anatomical reconstruction and it maintains stability and physiologic kinematics of the elbow if associated with ligament reconstruction. However, oversizing or overstuffing of radial head prosthesis, </w:t>
      </w:r>
      <w:proofErr w:type="spellStart"/>
      <w:r w:rsidR="00B3446A" w:rsidRPr="00F34B91">
        <w:rPr>
          <w:rFonts w:ascii="Cambria" w:hAnsi="Cambria"/>
          <w:color w:val="1B1B1B"/>
          <w:szCs w:val="28"/>
          <w:highlight w:val="yellow"/>
          <w:shd w:val="clear" w:color="auto" w:fill="FFFFFF"/>
        </w:rPr>
        <w:t>malpositioning</w:t>
      </w:r>
      <w:proofErr w:type="spellEnd"/>
      <w:r w:rsidR="00B3446A" w:rsidRPr="00F34B91">
        <w:rPr>
          <w:rFonts w:ascii="Cambria" w:hAnsi="Cambria"/>
          <w:color w:val="1B1B1B"/>
          <w:szCs w:val="28"/>
          <w:highlight w:val="yellow"/>
          <w:shd w:val="clear" w:color="auto" w:fill="FFFFFF"/>
        </w:rPr>
        <w:t>, and aseptic mobilization may lead to a high rate of complications and failure of this surgical procedure</w:t>
      </w:r>
      <w:r w:rsidR="005D3089" w:rsidRPr="00F34B91">
        <w:rPr>
          <w:rFonts w:ascii="Cambria" w:hAnsi="Cambria"/>
          <w:color w:val="1B1B1B"/>
          <w:szCs w:val="28"/>
          <w:highlight w:val="yellow"/>
          <w:shd w:val="clear" w:color="auto" w:fill="FFFFFF"/>
        </w:rPr>
        <w:t xml:space="preserve"> </w:t>
      </w:r>
      <w:r w:rsidR="005D3089">
        <w:rPr>
          <w:rFonts w:ascii="Cambria" w:hAnsi="Cambria"/>
          <w:color w:val="1B1B1B"/>
          <w:sz w:val="20"/>
          <w:szCs w:val="28"/>
          <w:highlight w:val="yellow"/>
          <w:shd w:val="clear" w:color="auto" w:fill="FFFFFF"/>
        </w:rPr>
        <w:t>(</w:t>
      </w:r>
      <w:proofErr w:type="spellStart"/>
      <w:r w:rsidR="005D3089" w:rsidRPr="003B3A7F">
        <w:rPr>
          <w:rStyle w:val="HTMLCite"/>
          <w:rFonts w:ascii="Cambria" w:hAnsi="Cambria"/>
          <w:i w:val="0"/>
          <w:iCs w:val="0"/>
          <w:color w:val="1B1B1B"/>
          <w:szCs w:val="26"/>
          <w:highlight w:val="yellow"/>
        </w:rPr>
        <w:t>Solarino</w:t>
      </w:r>
      <w:proofErr w:type="spellEnd"/>
      <w:r w:rsidR="005D3089" w:rsidRPr="003B3A7F">
        <w:rPr>
          <w:rStyle w:val="HTMLCite"/>
          <w:rFonts w:ascii="Cambria" w:hAnsi="Cambria"/>
          <w:i w:val="0"/>
          <w:iCs w:val="0"/>
          <w:color w:val="1B1B1B"/>
          <w:szCs w:val="26"/>
          <w:highlight w:val="yellow"/>
        </w:rPr>
        <w:t xml:space="preserve"> et al., 2015</w:t>
      </w:r>
      <w:r w:rsidR="005D3089" w:rsidRPr="003B3A7F">
        <w:rPr>
          <w:rFonts w:ascii="Cambria" w:hAnsi="Cambria"/>
          <w:color w:val="1B1B1B"/>
          <w:sz w:val="16"/>
          <w:szCs w:val="28"/>
          <w:highlight w:val="yellow"/>
          <w:shd w:val="clear" w:color="auto" w:fill="FFFFFF"/>
        </w:rPr>
        <w:t>).</w:t>
      </w:r>
    </w:p>
    <w:p w14:paraId="5ABFB5B7" w14:textId="3B96C9DE"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In clinical practice, the decision between excision and arthroplasty most often arises when open reduction and internal fixation (ORIF) is not technically reliable, typically due to severe comminution, poor bone quality, or non-</w:t>
      </w:r>
      <w:proofErr w:type="spellStart"/>
      <w:r w:rsidRPr="00C5683C">
        <w:rPr>
          <w:rFonts w:ascii="Times New Roman" w:eastAsia="Times New Roman" w:hAnsi="Times New Roman" w:cs="Times New Roman"/>
          <w:sz w:val="24"/>
          <w:szCs w:val="24"/>
          <w:lang w:val="en-US"/>
        </w:rPr>
        <w:t>reconstructible</w:t>
      </w:r>
      <w:proofErr w:type="spellEnd"/>
      <w:r w:rsidRPr="00C5683C">
        <w:rPr>
          <w:rFonts w:ascii="Times New Roman" w:eastAsia="Times New Roman" w:hAnsi="Times New Roman" w:cs="Times New Roman"/>
          <w:sz w:val="24"/>
          <w:szCs w:val="24"/>
          <w:lang w:val="en-US"/>
        </w:rPr>
        <w:t xml:space="preserve"> articular fragmentation. In these circumstances, excision may appear attractive because it avoids implant complications, while arthroplasty may be </w:t>
      </w:r>
      <w:proofErr w:type="spellStart"/>
      <w:r w:rsidRPr="003B3A7F">
        <w:rPr>
          <w:rFonts w:ascii="Times New Roman" w:eastAsia="Times New Roman" w:hAnsi="Times New Roman" w:cs="Times New Roman"/>
          <w:sz w:val="24"/>
          <w:szCs w:val="24"/>
          <w:highlight w:val="yellow"/>
          <w:lang w:val="en-US"/>
        </w:rPr>
        <w:t>favo</w:t>
      </w:r>
      <w:r w:rsidR="00DF1EB1" w:rsidRPr="003B3A7F">
        <w:rPr>
          <w:rFonts w:ascii="Times New Roman" w:eastAsia="Times New Roman" w:hAnsi="Times New Roman" w:cs="Times New Roman"/>
          <w:sz w:val="24"/>
          <w:szCs w:val="24"/>
          <w:highlight w:val="yellow"/>
          <w:lang w:val="en-US"/>
        </w:rPr>
        <w:t>u</w:t>
      </w:r>
      <w:r w:rsidRPr="003B3A7F">
        <w:rPr>
          <w:rFonts w:ascii="Times New Roman" w:eastAsia="Times New Roman" w:hAnsi="Times New Roman" w:cs="Times New Roman"/>
          <w:sz w:val="24"/>
          <w:szCs w:val="24"/>
          <w:highlight w:val="yellow"/>
          <w:lang w:val="en-US"/>
        </w:rPr>
        <w:t>red</w:t>
      </w:r>
      <w:proofErr w:type="spellEnd"/>
      <w:r w:rsidRPr="003B3A7F">
        <w:rPr>
          <w:rFonts w:ascii="Times New Roman" w:eastAsia="Times New Roman" w:hAnsi="Times New Roman" w:cs="Times New Roman"/>
          <w:sz w:val="24"/>
          <w:szCs w:val="24"/>
          <w:highlight w:val="yellow"/>
          <w:lang w:val="en-US"/>
        </w:rPr>
        <w:t xml:space="preserve"> to restore</w:t>
      </w:r>
      <w:r w:rsidRPr="00C5683C">
        <w:rPr>
          <w:rFonts w:ascii="Times New Roman" w:eastAsia="Times New Roman" w:hAnsi="Times New Roman" w:cs="Times New Roman"/>
          <w:sz w:val="24"/>
          <w:szCs w:val="24"/>
          <w:lang w:val="en-US"/>
        </w:rPr>
        <w:t xml:space="preserve"> stability. The evidence base, however, is heterogeneous: studies vary in injury severity, associated lesions, implant type, rehabilitation protocols, outcome metrics, and follow-up duration. Recent systematic reviews suggest that arthroplasty tends to produce more reliable stability and functional restoration in complex injuries, whereas excision remains a reasonable option in carefully selected isolated fractures without instability and in low-demand patients (</w:t>
      </w:r>
      <w:proofErr w:type="spellStart"/>
      <w:r w:rsidRPr="00C5683C">
        <w:rPr>
          <w:rFonts w:ascii="Times New Roman" w:eastAsia="Times New Roman" w:hAnsi="Times New Roman" w:cs="Times New Roman"/>
          <w:sz w:val="24"/>
          <w:szCs w:val="24"/>
          <w:lang w:val="en-US"/>
        </w:rPr>
        <w:t>Catellani</w:t>
      </w:r>
      <w:proofErr w:type="spellEnd"/>
      <w:r w:rsidRPr="00C5683C">
        <w:rPr>
          <w:rFonts w:ascii="Times New Roman" w:eastAsia="Times New Roman" w:hAnsi="Times New Roman" w:cs="Times New Roman"/>
          <w:sz w:val="24"/>
          <w:szCs w:val="24"/>
          <w:lang w:val="en-US"/>
        </w:rPr>
        <w:t xml:space="preserve"> et al., 2018; Hildebrand et al., 2020). </w:t>
      </w:r>
    </w:p>
    <w:p w14:paraId="07AB0F57"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1.2 Biomechanical and biological rationale</w:t>
      </w:r>
    </w:p>
    <w:p w14:paraId="4878389F"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The radial head contributes to valgus stability and serves as a secondary stabilizer when the medial collateral ligament is compromised. It also helps resist posterolateral rotatory instability together with the lateral ulnar collateral ligament complex. Axially, the </w:t>
      </w:r>
      <w:proofErr w:type="spellStart"/>
      <w:r w:rsidRPr="00C5683C">
        <w:rPr>
          <w:rFonts w:ascii="Times New Roman" w:eastAsia="Times New Roman" w:hAnsi="Times New Roman" w:cs="Times New Roman"/>
          <w:sz w:val="24"/>
          <w:szCs w:val="24"/>
          <w:lang w:val="en-US"/>
        </w:rPr>
        <w:t>radiocapitellar</w:t>
      </w:r>
      <w:proofErr w:type="spellEnd"/>
      <w:r w:rsidRPr="00C5683C">
        <w:rPr>
          <w:rFonts w:ascii="Times New Roman" w:eastAsia="Times New Roman" w:hAnsi="Times New Roman" w:cs="Times New Roman"/>
          <w:sz w:val="24"/>
          <w:szCs w:val="24"/>
          <w:lang w:val="en-US"/>
        </w:rPr>
        <w:t xml:space="preserve"> articulation transmits load; removing the radial head can shift force distribution, potentially accelerating </w:t>
      </w:r>
      <w:proofErr w:type="spellStart"/>
      <w:r w:rsidRPr="00C5683C">
        <w:rPr>
          <w:rFonts w:ascii="Times New Roman" w:eastAsia="Times New Roman" w:hAnsi="Times New Roman" w:cs="Times New Roman"/>
          <w:sz w:val="24"/>
          <w:szCs w:val="24"/>
          <w:lang w:val="en-US"/>
        </w:rPr>
        <w:t>ulnohumeral</w:t>
      </w:r>
      <w:proofErr w:type="spellEnd"/>
      <w:r w:rsidRPr="00C5683C">
        <w:rPr>
          <w:rFonts w:ascii="Times New Roman" w:eastAsia="Times New Roman" w:hAnsi="Times New Roman" w:cs="Times New Roman"/>
          <w:sz w:val="24"/>
          <w:szCs w:val="24"/>
          <w:lang w:val="en-US"/>
        </w:rPr>
        <w:t xml:space="preserve"> and </w:t>
      </w:r>
      <w:proofErr w:type="spellStart"/>
      <w:r w:rsidRPr="00C5683C">
        <w:rPr>
          <w:rFonts w:ascii="Times New Roman" w:eastAsia="Times New Roman" w:hAnsi="Times New Roman" w:cs="Times New Roman"/>
          <w:sz w:val="24"/>
          <w:szCs w:val="24"/>
          <w:lang w:val="en-US"/>
        </w:rPr>
        <w:t>radiocapitellar</w:t>
      </w:r>
      <w:proofErr w:type="spellEnd"/>
      <w:r w:rsidRPr="00C5683C">
        <w:rPr>
          <w:rFonts w:ascii="Times New Roman" w:eastAsia="Times New Roman" w:hAnsi="Times New Roman" w:cs="Times New Roman"/>
          <w:sz w:val="24"/>
          <w:szCs w:val="24"/>
          <w:lang w:val="en-US"/>
        </w:rPr>
        <w:t xml:space="preserve"> degeneration and enabling proximal migration of the radius if the interosseous membrane and distal radioulnar joint (DRUJ) are injured. These considerations explain why excision may be well tolerated in a truly isolated fracture with intact soft tissues yet hazardous in subtle Essex-</w:t>
      </w:r>
      <w:proofErr w:type="spellStart"/>
      <w:r w:rsidRPr="00C5683C">
        <w:rPr>
          <w:rFonts w:ascii="Times New Roman" w:eastAsia="Times New Roman" w:hAnsi="Times New Roman" w:cs="Times New Roman"/>
          <w:sz w:val="24"/>
          <w:szCs w:val="24"/>
          <w:lang w:val="en-US"/>
        </w:rPr>
        <w:t>Lopresti</w:t>
      </w:r>
      <w:proofErr w:type="spellEnd"/>
      <w:r w:rsidRPr="00C5683C">
        <w:rPr>
          <w:rFonts w:ascii="Times New Roman" w:eastAsia="Times New Roman" w:hAnsi="Times New Roman" w:cs="Times New Roman"/>
          <w:sz w:val="24"/>
          <w:szCs w:val="24"/>
          <w:lang w:val="en-US"/>
        </w:rPr>
        <w:t xml:space="preserve"> injuries or elbow fracture-dislocations, where instability may be underestimated at presentation.</w:t>
      </w:r>
    </w:p>
    <w:p w14:paraId="4721188F"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1.3 Injury patterns and the “stability first” paradigm</w:t>
      </w:r>
    </w:p>
    <w:p w14:paraId="5BB7F5E5"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A helpful clinical frame is to categorize traumatic radial head fractures into (</w:t>
      </w:r>
      <w:proofErr w:type="spellStart"/>
      <w:r w:rsidRPr="00C5683C">
        <w:rPr>
          <w:rFonts w:ascii="Times New Roman" w:eastAsia="Times New Roman" w:hAnsi="Times New Roman" w:cs="Times New Roman"/>
          <w:sz w:val="24"/>
          <w:szCs w:val="24"/>
          <w:lang w:val="en-US"/>
        </w:rPr>
        <w:t>i</w:t>
      </w:r>
      <w:proofErr w:type="spellEnd"/>
      <w:r w:rsidRPr="00C5683C">
        <w:rPr>
          <w:rFonts w:ascii="Times New Roman" w:eastAsia="Times New Roman" w:hAnsi="Times New Roman" w:cs="Times New Roman"/>
          <w:sz w:val="24"/>
          <w:szCs w:val="24"/>
          <w:lang w:val="en-US"/>
        </w:rPr>
        <w:t>) isolated stable fractures, (ii) unstable elbow fracture-dislocation patterns (including terrible triad variants), and (iii) longitudinal forearm instability patterns (Essex-</w:t>
      </w:r>
      <w:proofErr w:type="spellStart"/>
      <w:r w:rsidRPr="00C5683C">
        <w:rPr>
          <w:rFonts w:ascii="Times New Roman" w:eastAsia="Times New Roman" w:hAnsi="Times New Roman" w:cs="Times New Roman"/>
          <w:sz w:val="24"/>
          <w:szCs w:val="24"/>
          <w:lang w:val="en-US"/>
        </w:rPr>
        <w:t>Lopresti</w:t>
      </w:r>
      <w:proofErr w:type="spellEnd"/>
      <w:r w:rsidRPr="00C5683C">
        <w:rPr>
          <w:rFonts w:ascii="Times New Roman" w:eastAsia="Times New Roman" w:hAnsi="Times New Roman" w:cs="Times New Roman"/>
          <w:sz w:val="24"/>
          <w:szCs w:val="24"/>
          <w:lang w:val="en-US"/>
        </w:rPr>
        <w:t xml:space="preserve"> spectrum). The last two categories represent scenarios where the radial head is often critical for stability and load sharing; therefore, arthroplasty commonly becomes the reconstructive option when fixation is not feasible. The Essex-</w:t>
      </w:r>
      <w:proofErr w:type="spellStart"/>
      <w:r w:rsidRPr="00C5683C">
        <w:rPr>
          <w:rFonts w:ascii="Times New Roman" w:eastAsia="Times New Roman" w:hAnsi="Times New Roman" w:cs="Times New Roman"/>
          <w:sz w:val="24"/>
          <w:szCs w:val="24"/>
          <w:lang w:val="en-US"/>
        </w:rPr>
        <w:t>Lopresti</w:t>
      </w:r>
      <w:proofErr w:type="spellEnd"/>
      <w:r w:rsidRPr="00C5683C">
        <w:rPr>
          <w:rFonts w:ascii="Times New Roman" w:eastAsia="Times New Roman" w:hAnsi="Times New Roman" w:cs="Times New Roman"/>
          <w:sz w:val="24"/>
          <w:szCs w:val="24"/>
          <w:lang w:val="en-US"/>
        </w:rPr>
        <w:t xml:space="preserve"> p</w:t>
      </w:r>
      <w:bookmarkStart w:id="0" w:name="_GoBack"/>
      <w:bookmarkEnd w:id="0"/>
      <w:r w:rsidRPr="00C5683C">
        <w:rPr>
          <w:rFonts w:ascii="Times New Roman" w:eastAsia="Times New Roman" w:hAnsi="Times New Roman" w:cs="Times New Roman"/>
          <w:sz w:val="24"/>
          <w:szCs w:val="24"/>
          <w:lang w:val="en-US"/>
        </w:rPr>
        <w:t>attern, in particular, is classically associated with radial head fracture, disruption of the interosseous membrane, and DRUJ injury; missed diagnosis may lead to proximal radial migration, ulnar-positive variance, wrist pain, and late arthrosis. Contemporary reviews emphasize persistent diagnostic challenges and highlight the risk of adverse outcomes after radial head excision in unrecognized longitudinal instability (</w:t>
      </w:r>
      <w:proofErr w:type="spellStart"/>
      <w:r w:rsidRPr="00C5683C">
        <w:rPr>
          <w:rFonts w:ascii="Times New Roman" w:eastAsia="Times New Roman" w:hAnsi="Times New Roman" w:cs="Times New Roman"/>
          <w:sz w:val="24"/>
          <w:szCs w:val="24"/>
          <w:lang w:val="en-US"/>
        </w:rPr>
        <w:t>Masouros</w:t>
      </w:r>
      <w:proofErr w:type="spellEnd"/>
      <w:r w:rsidRPr="00C5683C">
        <w:rPr>
          <w:rFonts w:ascii="Times New Roman" w:eastAsia="Times New Roman" w:hAnsi="Times New Roman" w:cs="Times New Roman"/>
          <w:sz w:val="24"/>
          <w:szCs w:val="24"/>
          <w:lang w:val="en-US"/>
        </w:rPr>
        <w:t xml:space="preserve"> et al., 2019). </w:t>
      </w:r>
    </w:p>
    <w:p w14:paraId="3B614B20"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1.4 Scope and objectives</w:t>
      </w:r>
    </w:p>
    <w:p w14:paraId="1E8BEAE9"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This review focuses on adult traumatic radial head fractures in which excision or arthroplasty is considered, with emphasis on: (</w:t>
      </w:r>
      <w:proofErr w:type="spellStart"/>
      <w:r w:rsidRPr="00C5683C">
        <w:rPr>
          <w:rFonts w:ascii="Times New Roman" w:eastAsia="Times New Roman" w:hAnsi="Times New Roman" w:cs="Times New Roman"/>
          <w:sz w:val="24"/>
          <w:szCs w:val="24"/>
          <w:lang w:val="en-US"/>
        </w:rPr>
        <w:t>i</w:t>
      </w:r>
      <w:proofErr w:type="spellEnd"/>
      <w:r w:rsidRPr="00C5683C">
        <w:rPr>
          <w:rFonts w:ascii="Times New Roman" w:eastAsia="Times New Roman" w:hAnsi="Times New Roman" w:cs="Times New Roman"/>
          <w:sz w:val="24"/>
          <w:szCs w:val="24"/>
          <w:lang w:val="en-US"/>
        </w:rPr>
        <w:t xml:space="preserve">) injury-pattern–based indications and contraindications, (ii) comparative functional outcomes, (iii) complication profiles (including instability, arthrosis, implant failure, stiffness, heterotopic ossification, and nerve symptoms), and (iv) reoperation and revision trends. We additionally synthesize technical factors—such as </w:t>
      </w:r>
      <w:r w:rsidRPr="00C5683C">
        <w:rPr>
          <w:rFonts w:ascii="Times New Roman" w:eastAsia="Times New Roman" w:hAnsi="Times New Roman" w:cs="Times New Roman"/>
          <w:sz w:val="24"/>
          <w:szCs w:val="24"/>
          <w:lang w:val="en-US"/>
        </w:rPr>
        <w:lastRenderedPageBreak/>
        <w:t>implant sizing and avoidance of overstuffing—that modulate outcomes and may explain variability across studies.</w:t>
      </w:r>
    </w:p>
    <w:p w14:paraId="78BFAFC7"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6CC75BE7"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2. Methods for literature selection</w:t>
      </w:r>
    </w:p>
    <w:p w14:paraId="371D9B70"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2.1 Databases and search strategy</w:t>
      </w:r>
    </w:p>
    <w:p w14:paraId="05E0EE89"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A structured literature search was designed to capture contemporary evidence comparing radial head excision and radial head arthroplasty for traumatic radial head fractures and related instability patterns. The following databases were targeted: PubMed/MEDLINE, </w:t>
      </w:r>
      <w:proofErr w:type="spellStart"/>
      <w:r w:rsidRPr="00C5683C">
        <w:rPr>
          <w:rFonts w:ascii="Times New Roman" w:eastAsia="Times New Roman" w:hAnsi="Times New Roman" w:cs="Times New Roman"/>
          <w:sz w:val="24"/>
          <w:szCs w:val="24"/>
          <w:lang w:val="en-US"/>
        </w:rPr>
        <w:t>Embase</w:t>
      </w:r>
      <w:proofErr w:type="spellEnd"/>
      <w:r w:rsidRPr="00C5683C">
        <w:rPr>
          <w:rFonts w:ascii="Times New Roman" w:eastAsia="Times New Roman" w:hAnsi="Times New Roman" w:cs="Times New Roman"/>
          <w:sz w:val="24"/>
          <w:szCs w:val="24"/>
          <w:lang w:val="en-US"/>
        </w:rPr>
        <w:t>, Web of Science, and major orthopedic journal archives where necessary. The search strategy combined controlled vocabulary and free-text terms, including: “radial head fracture,” “radial head excision,” “radial head resection,” “radial head arthroplasty,” “radial head replacement,” “Mason type III,” “Mason type IV,” “terrible triad,” “elbow fracture-dislocation,” “Essex-</w:t>
      </w:r>
      <w:proofErr w:type="spellStart"/>
      <w:r w:rsidRPr="00C5683C">
        <w:rPr>
          <w:rFonts w:ascii="Times New Roman" w:eastAsia="Times New Roman" w:hAnsi="Times New Roman" w:cs="Times New Roman"/>
          <w:sz w:val="24"/>
          <w:szCs w:val="24"/>
          <w:lang w:val="en-US"/>
        </w:rPr>
        <w:t>Lopresti</w:t>
      </w:r>
      <w:proofErr w:type="spellEnd"/>
      <w:r w:rsidRPr="00C5683C">
        <w:rPr>
          <w:rFonts w:ascii="Times New Roman" w:eastAsia="Times New Roman" w:hAnsi="Times New Roman" w:cs="Times New Roman"/>
          <w:sz w:val="24"/>
          <w:szCs w:val="24"/>
          <w:lang w:val="en-US"/>
        </w:rPr>
        <w:t>,” “forearm instability,” “functional outcome,” “complication,” and “revision.” Search strings were adapted per database (for example, in PubMed: (“radial head” AND fracture) AND (excision OR resection OR arthroplasty OR replacement) AND (outcome OR complication OR revision)).</w:t>
      </w:r>
    </w:p>
    <w:p w14:paraId="212B9EE4"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2.2 Date range and study types</w:t>
      </w:r>
    </w:p>
    <w:p w14:paraId="217B4F3F" w14:textId="63A29F1D"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The primary date range emphasized recent literature (approximately 2016–2025) while allowing inclusion of key earlier comparative or foundational studies when necessary to contextualize outcomes. Eligible designs included systematic reviews, meta-analyses, randomized or </w:t>
      </w:r>
      <w:r w:rsidRPr="003B3A7F">
        <w:rPr>
          <w:rFonts w:ascii="Times New Roman" w:eastAsia="Times New Roman" w:hAnsi="Times New Roman" w:cs="Times New Roman"/>
          <w:sz w:val="24"/>
          <w:szCs w:val="24"/>
          <w:highlight w:val="yellow"/>
          <w:lang w:val="en-US"/>
        </w:rPr>
        <w:t>non-</w:t>
      </w:r>
      <w:proofErr w:type="spellStart"/>
      <w:r w:rsidR="00DF1EB1" w:rsidRPr="003B3A7F">
        <w:rPr>
          <w:rFonts w:ascii="Times New Roman" w:eastAsia="Times New Roman" w:hAnsi="Times New Roman" w:cs="Times New Roman"/>
          <w:sz w:val="24"/>
          <w:szCs w:val="24"/>
          <w:highlight w:val="yellow"/>
          <w:lang w:val="en-US"/>
        </w:rPr>
        <w:t>randomised</w:t>
      </w:r>
      <w:proofErr w:type="spellEnd"/>
      <w:r w:rsidR="00DF1EB1" w:rsidRPr="003B3A7F">
        <w:rPr>
          <w:rFonts w:ascii="Times New Roman" w:eastAsia="Times New Roman" w:hAnsi="Times New Roman" w:cs="Times New Roman"/>
          <w:sz w:val="24"/>
          <w:szCs w:val="24"/>
          <w:highlight w:val="yellow"/>
          <w:lang w:val="en-US"/>
        </w:rPr>
        <w:t xml:space="preserve"> </w:t>
      </w:r>
      <w:r w:rsidRPr="003B3A7F">
        <w:rPr>
          <w:rFonts w:ascii="Times New Roman" w:eastAsia="Times New Roman" w:hAnsi="Times New Roman" w:cs="Times New Roman"/>
          <w:sz w:val="24"/>
          <w:szCs w:val="24"/>
          <w:highlight w:val="yellow"/>
          <w:lang w:val="en-US"/>
        </w:rPr>
        <w:t>comparative</w:t>
      </w:r>
      <w:r w:rsidRPr="00C5683C">
        <w:rPr>
          <w:rFonts w:ascii="Times New Roman" w:eastAsia="Times New Roman" w:hAnsi="Times New Roman" w:cs="Times New Roman"/>
          <w:sz w:val="24"/>
          <w:szCs w:val="24"/>
          <w:lang w:val="en-US"/>
        </w:rPr>
        <w:t xml:space="preserve"> studies, registry or large cohort studies, and focused case series reporting standardized functional outcomes with explicit complication and reoperation reporting.</w:t>
      </w:r>
    </w:p>
    <w:p w14:paraId="129BE321"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2.3 Inclusion and exclusion logic</w:t>
      </w:r>
    </w:p>
    <w:p w14:paraId="01652828" w14:textId="4FE1E4DA"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Included studies met the following logic: adult patients with acute traumatic radial head fractures where treatment involved radial head excision or radial head arthroplasty (primary procedures), with reporting of functional outcomes (e.g., Mayo Elbow Performance Score, </w:t>
      </w:r>
      <w:proofErr w:type="spellStart"/>
      <w:r w:rsidRPr="00C5683C">
        <w:rPr>
          <w:rFonts w:ascii="Times New Roman" w:eastAsia="Times New Roman" w:hAnsi="Times New Roman" w:cs="Times New Roman"/>
          <w:sz w:val="24"/>
          <w:szCs w:val="24"/>
          <w:lang w:val="en-US"/>
        </w:rPr>
        <w:t>QuickDASH</w:t>
      </w:r>
      <w:proofErr w:type="spellEnd"/>
      <w:r w:rsidRPr="00C5683C">
        <w:rPr>
          <w:rFonts w:ascii="Times New Roman" w:eastAsia="Times New Roman" w:hAnsi="Times New Roman" w:cs="Times New Roman"/>
          <w:sz w:val="24"/>
          <w:szCs w:val="24"/>
          <w:lang w:val="en-US"/>
        </w:rPr>
        <w:t xml:space="preserve">/DASH, pain, range of motion) and/or complication endpoints (instability, revision/removal, arthrosis, heterotopic ossification, stiffness, nerve symptoms). Exclusions included: pediatric populations, non-traumatic pathology as the primary indication (e.g., inflammatory arthritis), isolated chronic sequelae </w:t>
      </w:r>
      <w:r w:rsidRPr="003B3A7F">
        <w:rPr>
          <w:rFonts w:ascii="Times New Roman" w:eastAsia="Times New Roman" w:hAnsi="Times New Roman" w:cs="Times New Roman"/>
          <w:sz w:val="24"/>
          <w:szCs w:val="24"/>
          <w:highlight w:val="yellow"/>
          <w:lang w:val="en-US"/>
        </w:rPr>
        <w:t xml:space="preserve">without </w:t>
      </w:r>
      <w:r w:rsidR="00DF1EB1" w:rsidRPr="003B3A7F">
        <w:rPr>
          <w:rFonts w:ascii="Times New Roman" w:eastAsia="Times New Roman" w:hAnsi="Times New Roman" w:cs="Times New Roman"/>
          <w:sz w:val="24"/>
          <w:szCs w:val="24"/>
          <w:highlight w:val="yellow"/>
          <w:lang w:val="en-US"/>
        </w:rPr>
        <w:t xml:space="preserve">a </w:t>
      </w:r>
      <w:r w:rsidRPr="003B3A7F">
        <w:rPr>
          <w:rFonts w:ascii="Times New Roman" w:eastAsia="Times New Roman" w:hAnsi="Times New Roman" w:cs="Times New Roman"/>
          <w:sz w:val="24"/>
          <w:szCs w:val="24"/>
          <w:highlight w:val="yellow"/>
          <w:lang w:val="en-US"/>
        </w:rPr>
        <w:t>clear link</w:t>
      </w:r>
      <w:r w:rsidRPr="00C5683C">
        <w:rPr>
          <w:rFonts w:ascii="Times New Roman" w:eastAsia="Times New Roman" w:hAnsi="Times New Roman" w:cs="Times New Roman"/>
          <w:sz w:val="24"/>
          <w:szCs w:val="24"/>
          <w:lang w:val="en-US"/>
        </w:rPr>
        <w:t xml:space="preserve"> to index traumatic fracture management, and articles lacking extractable outcome or complication data.</w:t>
      </w:r>
    </w:p>
    <w:p w14:paraId="20C23EBB"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2.4 Evidence synthesis approach</w:t>
      </w:r>
    </w:p>
    <w:p w14:paraId="56ED4840"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Given heterogeneity in injury patterns and outcome definitions, evidence was synthesized narratively with structured comparison across (</w:t>
      </w:r>
      <w:proofErr w:type="spellStart"/>
      <w:r w:rsidRPr="00C5683C">
        <w:rPr>
          <w:rFonts w:ascii="Times New Roman" w:eastAsia="Times New Roman" w:hAnsi="Times New Roman" w:cs="Times New Roman"/>
          <w:sz w:val="24"/>
          <w:szCs w:val="24"/>
          <w:lang w:val="en-US"/>
        </w:rPr>
        <w:t>i</w:t>
      </w:r>
      <w:proofErr w:type="spellEnd"/>
      <w:r w:rsidRPr="00C5683C">
        <w:rPr>
          <w:rFonts w:ascii="Times New Roman" w:eastAsia="Times New Roman" w:hAnsi="Times New Roman" w:cs="Times New Roman"/>
          <w:sz w:val="24"/>
          <w:szCs w:val="24"/>
          <w:lang w:val="en-US"/>
        </w:rPr>
        <w:t>) isolated fractures, (ii) elbow fracture-dislocation patterns, and (iii) longitudinal forearm instability. Findings from systematic reviews and meta-analyses were prioritized for overarching trends, while cohort and case series data were used to illustrate complication mechanisms, implant-related failure modes, and technical pitfalls.</w:t>
      </w:r>
    </w:p>
    <w:p w14:paraId="67F9AD0E"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7070E686" w14:textId="77777777" w:rsidR="000E67D1" w:rsidRPr="000E67D1" w:rsidRDefault="000E67D1"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0E67D1">
        <w:rPr>
          <w:rFonts w:ascii="Times New Roman" w:eastAsia="Times New Roman" w:hAnsi="Times New Roman" w:cs="Times New Roman"/>
          <w:b/>
          <w:bCs/>
          <w:sz w:val="36"/>
          <w:szCs w:val="36"/>
          <w:lang w:val="en-US"/>
        </w:rPr>
        <w:t>3. Treatment concepts: excision and arthroplasty in modern practice</w:t>
      </w:r>
    </w:p>
    <w:p w14:paraId="364886DC"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3.1. Where excision and arthroplasty “fit” in today’s decision-making</w:t>
      </w:r>
    </w:p>
    <w:p w14:paraId="176A7A38"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Modern treatment algorithms for traumatic radial head fractures are less “fracture-pattern only” and more “stability-first.” Current concepts emphasize that the radial head functions as an important secondary stabilizer of the elbow and forearm, so the operative goal is not merely bony union (or removal of fragments) but restoration of a stable, congruent </w:t>
      </w:r>
      <w:proofErr w:type="spellStart"/>
      <w:r w:rsidRPr="000E67D1">
        <w:rPr>
          <w:rFonts w:ascii="Times New Roman" w:eastAsia="Times New Roman" w:hAnsi="Times New Roman" w:cs="Times New Roman"/>
          <w:sz w:val="24"/>
          <w:szCs w:val="24"/>
          <w:lang w:val="en-US"/>
        </w:rPr>
        <w:t>radiocapitellar</w:t>
      </w:r>
      <w:proofErr w:type="spellEnd"/>
      <w:r w:rsidRPr="000E67D1">
        <w:rPr>
          <w:rFonts w:ascii="Times New Roman" w:eastAsia="Times New Roman" w:hAnsi="Times New Roman" w:cs="Times New Roman"/>
          <w:sz w:val="24"/>
          <w:szCs w:val="24"/>
          <w:lang w:val="en-US"/>
        </w:rPr>
        <w:t xml:space="preserve"> articulation that permits early motion. In practice, this means that the choice between excision and arthroplasty is strongly governed by (</w:t>
      </w:r>
      <w:proofErr w:type="spellStart"/>
      <w:r w:rsidRPr="000E67D1">
        <w:rPr>
          <w:rFonts w:ascii="Times New Roman" w:eastAsia="Times New Roman" w:hAnsi="Times New Roman" w:cs="Times New Roman"/>
          <w:sz w:val="24"/>
          <w:szCs w:val="24"/>
          <w:lang w:val="en-US"/>
        </w:rPr>
        <w:t>i</w:t>
      </w:r>
      <w:proofErr w:type="spellEnd"/>
      <w:r w:rsidRPr="000E67D1">
        <w:rPr>
          <w:rFonts w:ascii="Times New Roman" w:eastAsia="Times New Roman" w:hAnsi="Times New Roman" w:cs="Times New Roman"/>
          <w:sz w:val="24"/>
          <w:szCs w:val="24"/>
          <w:lang w:val="en-US"/>
        </w:rPr>
        <w:t xml:space="preserve">) </w:t>
      </w:r>
      <w:proofErr w:type="spellStart"/>
      <w:r w:rsidRPr="000E67D1">
        <w:rPr>
          <w:rFonts w:ascii="Times New Roman" w:eastAsia="Times New Roman" w:hAnsi="Times New Roman" w:cs="Times New Roman"/>
          <w:sz w:val="24"/>
          <w:szCs w:val="24"/>
          <w:lang w:val="en-US"/>
        </w:rPr>
        <w:t>reconstructability</w:t>
      </w:r>
      <w:proofErr w:type="spellEnd"/>
      <w:r w:rsidRPr="000E67D1">
        <w:rPr>
          <w:rFonts w:ascii="Times New Roman" w:eastAsia="Times New Roman" w:hAnsi="Times New Roman" w:cs="Times New Roman"/>
          <w:sz w:val="24"/>
          <w:szCs w:val="24"/>
          <w:lang w:val="en-US"/>
        </w:rPr>
        <w:t xml:space="preserve"> of the radial head, and (ii) whether associated injuries have compromised stability (for example, terrible triad patterns, coronoid involvement, or lateral/medial collateral ligament injury). Contemporary guidance highlights that comminution and loss of cortical contact are “red flags” for associated soft-tissue injury and therefore increased instability risk, which shifts the balance toward fixation where feasible or replacement where not (van der </w:t>
      </w:r>
      <w:proofErr w:type="spellStart"/>
      <w:r w:rsidRPr="000E67D1">
        <w:rPr>
          <w:rFonts w:ascii="Times New Roman" w:eastAsia="Times New Roman" w:hAnsi="Times New Roman" w:cs="Times New Roman"/>
          <w:sz w:val="24"/>
          <w:szCs w:val="24"/>
          <w:lang w:val="en-US"/>
        </w:rPr>
        <w:t>Windt</w:t>
      </w:r>
      <w:proofErr w:type="spellEnd"/>
      <w:r w:rsidRPr="000E67D1">
        <w:rPr>
          <w:rFonts w:ascii="Times New Roman" w:eastAsia="Times New Roman" w:hAnsi="Times New Roman" w:cs="Times New Roman"/>
          <w:sz w:val="24"/>
          <w:szCs w:val="24"/>
          <w:lang w:val="en-US"/>
        </w:rPr>
        <w:t xml:space="preserve"> et al., 2024). Survey-and-review work also underscores persisting variability in real-world practice, especially regarding thresholds for choosing arthroplasty over fixation and the influence of patient age/functional demand on that decision (Barakat et al., 2023).</w:t>
      </w:r>
    </w:p>
    <w:p w14:paraId="6ADF7714"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Within this stability-first frame, excision has moved from a historically common default toward a carefully selected option, while arthroplasty has become a principal strategy for non-</w:t>
      </w:r>
      <w:proofErr w:type="spellStart"/>
      <w:r w:rsidRPr="000E67D1">
        <w:rPr>
          <w:rFonts w:ascii="Times New Roman" w:eastAsia="Times New Roman" w:hAnsi="Times New Roman" w:cs="Times New Roman"/>
          <w:sz w:val="24"/>
          <w:szCs w:val="24"/>
          <w:lang w:val="en-US"/>
        </w:rPr>
        <w:t>reconstructable</w:t>
      </w:r>
      <w:proofErr w:type="spellEnd"/>
      <w:r w:rsidRPr="000E67D1">
        <w:rPr>
          <w:rFonts w:ascii="Times New Roman" w:eastAsia="Times New Roman" w:hAnsi="Times New Roman" w:cs="Times New Roman"/>
          <w:sz w:val="24"/>
          <w:szCs w:val="24"/>
          <w:lang w:val="en-US"/>
        </w:rPr>
        <w:t>, comminuted fractures when stability would otherwise be jeopardized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Hildebrand et al., 2020). Importantly, neither option is inherently “better” in isolation; each is a tool used to achieve a stable elbow that can mobilize early and avoid the cascade of stiffness, heterotopic ossification, persistent pain, and late arthrosis that often follow unstable or </w:t>
      </w:r>
      <w:proofErr w:type="spellStart"/>
      <w:r w:rsidRPr="000E67D1">
        <w:rPr>
          <w:rFonts w:ascii="Times New Roman" w:eastAsia="Times New Roman" w:hAnsi="Times New Roman" w:cs="Times New Roman"/>
          <w:sz w:val="24"/>
          <w:szCs w:val="24"/>
          <w:lang w:val="en-US"/>
        </w:rPr>
        <w:t>overconstrained</w:t>
      </w:r>
      <w:proofErr w:type="spellEnd"/>
      <w:r w:rsidRPr="000E67D1">
        <w:rPr>
          <w:rFonts w:ascii="Times New Roman" w:eastAsia="Times New Roman" w:hAnsi="Times New Roman" w:cs="Times New Roman"/>
          <w:sz w:val="24"/>
          <w:szCs w:val="24"/>
          <w:lang w:val="en-US"/>
        </w:rPr>
        <w:t xml:space="preserve"> reconstructions.</w:t>
      </w:r>
    </w:p>
    <w:p w14:paraId="19E83813"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3.2. Radial head excision: contemporary indications, nuances, and safeguards</w:t>
      </w:r>
    </w:p>
    <w:p w14:paraId="7CBBE37A"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The modern role of acute radial head excision is narrow but not obsolete. Systematic review evidence suggests that excision can yield good-to-excellent functional results in carefully selected acute fracture scenarios, but it should generally be avoided when ligamentous disruption or complex fracture-dislocation threatens stability (Hildebrand et al., 2020). In comminuted Mason III–IV fractures deemed “unrepairable,” comparative synthesis has tended to favor arthroplasty for stability and complication profiles overall; nonetheless, excision remains defensible in isolated injuries without instability—particularly in older or low-demand patients, or when prosthetic replacement is contraindicated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w:t>
      </w:r>
    </w:p>
    <w:p w14:paraId="4F12B076"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Conceptually, excision is best understood as removing a damaged component of a stability system; therefore, surgeons must first prove that the remaining system (collateral ligaments, coronoid/anterior capsule, interosseous membrane/DRUJ integrity) can maintain stable kinematics after radial head removal. Where doubt exists, excision risks translating the injury into symptomatic valgus or posterolateral rotatory instability, proximal radial migration, or chronic forearm/wrist pain. The key modern safeguard is not the excision itself but the “rule-out” process: evaluating clinical instability, radiographic indicators of complex injury, </w:t>
      </w:r>
      <w:r w:rsidRPr="000E67D1">
        <w:rPr>
          <w:rFonts w:ascii="Times New Roman" w:eastAsia="Times New Roman" w:hAnsi="Times New Roman" w:cs="Times New Roman"/>
          <w:sz w:val="24"/>
          <w:szCs w:val="24"/>
          <w:lang w:val="en-US"/>
        </w:rPr>
        <w:lastRenderedPageBreak/>
        <w:t xml:space="preserve">intraoperative stability testing, and careful appraisal of the patient’s functional needs. This is consistent with broader recommendations that surgery is often dictated by associated injury and mechanical block rather than displacement alone (van der </w:t>
      </w:r>
      <w:proofErr w:type="spellStart"/>
      <w:r w:rsidRPr="000E67D1">
        <w:rPr>
          <w:rFonts w:ascii="Times New Roman" w:eastAsia="Times New Roman" w:hAnsi="Times New Roman" w:cs="Times New Roman"/>
          <w:sz w:val="24"/>
          <w:szCs w:val="24"/>
          <w:lang w:val="en-US"/>
        </w:rPr>
        <w:t>Windt</w:t>
      </w:r>
      <w:proofErr w:type="spellEnd"/>
      <w:r w:rsidRPr="000E67D1">
        <w:rPr>
          <w:rFonts w:ascii="Times New Roman" w:eastAsia="Times New Roman" w:hAnsi="Times New Roman" w:cs="Times New Roman"/>
          <w:sz w:val="24"/>
          <w:szCs w:val="24"/>
          <w:lang w:val="en-US"/>
        </w:rPr>
        <w:t xml:space="preserve"> et al., 2024).</w:t>
      </w:r>
    </w:p>
    <w:p w14:paraId="1B088380"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3.3. Radial head arthroplasty: restoring a stabilizer when reconstruction is not possible</w:t>
      </w:r>
    </w:p>
    <w:p w14:paraId="30A976CE"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Radial head arthroplasty (RHA) is now widely considered the preferred solution when the radial head is non-</w:t>
      </w:r>
      <w:proofErr w:type="spellStart"/>
      <w:r w:rsidRPr="000E67D1">
        <w:rPr>
          <w:rFonts w:ascii="Times New Roman" w:eastAsia="Times New Roman" w:hAnsi="Times New Roman" w:cs="Times New Roman"/>
          <w:sz w:val="24"/>
          <w:szCs w:val="24"/>
          <w:lang w:val="en-US"/>
        </w:rPr>
        <w:t>reconstructable</w:t>
      </w:r>
      <w:proofErr w:type="spellEnd"/>
      <w:r w:rsidRPr="000E67D1">
        <w:rPr>
          <w:rFonts w:ascii="Times New Roman" w:eastAsia="Times New Roman" w:hAnsi="Times New Roman" w:cs="Times New Roman"/>
          <w:sz w:val="24"/>
          <w:szCs w:val="24"/>
          <w:lang w:val="en-US"/>
        </w:rPr>
        <w:t xml:space="preserve"> and elbow stability would be compromised without it. In systematic review comparisons of unrepairable comminuted fractures, arthroplasty has been associated with better stability-related outcomes and fewer complications than resection in aggregate, though patient selection and injury complexity strongly influence results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A broader systematic review of RHA concludes that, despite expanding literature and implant evolution, no single prosthesis design has unequivocally demonstrated superiority across outcomes, underscoring that technique and injury management may outweigh brand-level differences (</w:t>
      </w:r>
      <w:proofErr w:type="spellStart"/>
      <w:r w:rsidRPr="000E67D1">
        <w:rPr>
          <w:rFonts w:ascii="Times New Roman" w:eastAsia="Times New Roman" w:hAnsi="Times New Roman" w:cs="Times New Roman"/>
          <w:sz w:val="24"/>
          <w:szCs w:val="24"/>
          <w:lang w:val="en-US"/>
        </w:rPr>
        <w:t>Heijink</w:t>
      </w:r>
      <w:proofErr w:type="spellEnd"/>
      <w:r w:rsidRPr="000E67D1">
        <w:rPr>
          <w:rFonts w:ascii="Times New Roman" w:eastAsia="Times New Roman" w:hAnsi="Times New Roman" w:cs="Times New Roman"/>
          <w:sz w:val="24"/>
          <w:szCs w:val="24"/>
          <w:lang w:val="en-US"/>
        </w:rPr>
        <w:t xml:space="preserve"> et al., 2016).</w:t>
      </w:r>
    </w:p>
    <w:p w14:paraId="703F843D" w14:textId="2815560A"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In modern practice, RHA is less a “replacement of bone” and more a “reconstruction of stability.” This framing has practical consequences: the implant must be sized and positioned to restore native </w:t>
      </w:r>
      <w:proofErr w:type="spellStart"/>
      <w:r w:rsidRPr="000E67D1">
        <w:rPr>
          <w:rFonts w:ascii="Times New Roman" w:eastAsia="Times New Roman" w:hAnsi="Times New Roman" w:cs="Times New Roman"/>
          <w:sz w:val="24"/>
          <w:szCs w:val="24"/>
          <w:lang w:val="en-US"/>
        </w:rPr>
        <w:t>radiocapitellar</w:t>
      </w:r>
      <w:proofErr w:type="spellEnd"/>
      <w:r w:rsidRPr="000E67D1">
        <w:rPr>
          <w:rFonts w:ascii="Times New Roman" w:eastAsia="Times New Roman" w:hAnsi="Times New Roman" w:cs="Times New Roman"/>
          <w:sz w:val="24"/>
          <w:szCs w:val="24"/>
          <w:lang w:val="en-US"/>
        </w:rPr>
        <w:t xml:space="preserve"> contact mechanics, while concomitant ligament repair (</w:t>
      </w:r>
      <w:r w:rsidRPr="003B3A7F">
        <w:rPr>
          <w:rFonts w:ascii="Times New Roman" w:eastAsia="Times New Roman" w:hAnsi="Times New Roman" w:cs="Times New Roman"/>
          <w:sz w:val="24"/>
          <w:szCs w:val="24"/>
          <w:highlight w:val="yellow"/>
          <w:lang w:val="en-US"/>
        </w:rPr>
        <w:t xml:space="preserve">especially </w:t>
      </w:r>
      <w:r w:rsidR="00DF1EB1" w:rsidRPr="003B3A7F">
        <w:rPr>
          <w:rFonts w:ascii="Times New Roman" w:eastAsia="Times New Roman" w:hAnsi="Times New Roman" w:cs="Times New Roman"/>
          <w:sz w:val="24"/>
          <w:szCs w:val="24"/>
          <w:highlight w:val="yellow"/>
          <w:lang w:val="en-US"/>
        </w:rPr>
        <w:t xml:space="preserve">the </w:t>
      </w:r>
      <w:r w:rsidRPr="003B3A7F">
        <w:rPr>
          <w:rFonts w:ascii="Times New Roman" w:eastAsia="Times New Roman" w:hAnsi="Times New Roman" w:cs="Times New Roman"/>
          <w:sz w:val="24"/>
          <w:szCs w:val="24"/>
          <w:highlight w:val="yellow"/>
          <w:lang w:val="en-US"/>
        </w:rPr>
        <w:t>lateral collateral</w:t>
      </w:r>
      <w:r w:rsidRPr="000E67D1">
        <w:rPr>
          <w:rFonts w:ascii="Times New Roman" w:eastAsia="Times New Roman" w:hAnsi="Times New Roman" w:cs="Times New Roman"/>
          <w:sz w:val="24"/>
          <w:szCs w:val="24"/>
          <w:lang w:val="en-US"/>
        </w:rPr>
        <w:t xml:space="preserve"> ligament complex) and treatment of coronoid/</w:t>
      </w:r>
      <w:proofErr w:type="spellStart"/>
      <w:r w:rsidRPr="000E67D1">
        <w:rPr>
          <w:rFonts w:ascii="Times New Roman" w:eastAsia="Times New Roman" w:hAnsi="Times New Roman" w:cs="Times New Roman"/>
          <w:sz w:val="24"/>
          <w:szCs w:val="24"/>
          <w:lang w:val="en-US"/>
        </w:rPr>
        <w:t>ulnohumeral</w:t>
      </w:r>
      <w:proofErr w:type="spellEnd"/>
      <w:r w:rsidRPr="000E67D1">
        <w:rPr>
          <w:rFonts w:ascii="Times New Roman" w:eastAsia="Times New Roman" w:hAnsi="Times New Roman" w:cs="Times New Roman"/>
          <w:sz w:val="24"/>
          <w:szCs w:val="24"/>
          <w:lang w:val="en-US"/>
        </w:rPr>
        <w:t xml:space="preserve"> instability are completed to reconstitute the full stability envelope. When these steps are incomplete—or when the implant overlengthens the radius (“overstuffing”)—patients can develop pain, stiffness, capitellar erosion, loosening, or recurrent instability that ultimately requires revision or removal. Patterns of failure described in systematic review work identify symptomatic aseptic loosening, stiffness, and persistent pain among the more common modes, reinforcing the importance of both correct initial indication and meticulous execution (</w:t>
      </w:r>
      <w:proofErr w:type="spellStart"/>
      <w:r w:rsidRPr="000E67D1">
        <w:rPr>
          <w:rFonts w:ascii="Times New Roman" w:eastAsia="Times New Roman" w:hAnsi="Times New Roman" w:cs="Times New Roman"/>
          <w:sz w:val="24"/>
          <w:szCs w:val="24"/>
          <w:lang w:val="en-US"/>
        </w:rPr>
        <w:t>Viveen</w:t>
      </w:r>
      <w:proofErr w:type="spellEnd"/>
      <w:r w:rsidRPr="000E67D1">
        <w:rPr>
          <w:rFonts w:ascii="Times New Roman" w:eastAsia="Times New Roman" w:hAnsi="Times New Roman" w:cs="Times New Roman"/>
          <w:sz w:val="24"/>
          <w:szCs w:val="24"/>
          <w:lang w:val="en-US"/>
        </w:rPr>
        <w:t xml:space="preserve"> et al., 2020).</w:t>
      </w:r>
    </w:p>
    <w:p w14:paraId="4FC11C55"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3.4. Implant concepts: monopolar vs bipolar, fixation strategy, and what evidence suggests</w:t>
      </w:r>
    </w:p>
    <w:p w14:paraId="3E68D29A"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Contemporary RHA systems vary by polarity (monopolar vs bipolar), modularity, and stem fixation (cemented vs press-fit/uncemented). Clinically, the question is whether these design choices measurably alter stability, motion, complications, or revision risk. A comparative clinical study in fracture-dislocation settings found no meaningful differences in functional or radiographic outcomes, complications, or revision between monopolar and bipolar prostheses in that cohort, highlighting that polarity alone may not be the determinant of outcome (Antoni et al., 2020). Consistent with this, systematic review evidence indicates that definitive evidence favoring one implant type over another remains limited, and that outcomes are influenced by factors beyond prosthesis selection (</w:t>
      </w:r>
      <w:proofErr w:type="spellStart"/>
      <w:r w:rsidRPr="000E67D1">
        <w:rPr>
          <w:rFonts w:ascii="Times New Roman" w:eastAsia="Times New Roman" w:hAnsi="Times New Roman" w:cs="Times New Roman"/>
          <w:sz w:val="24"/>
          <w:szCs w:val="24"/>
          <w:lang w:val="en-US"/>
        </w:rPr>
        <w:t>Heijink</w:t>
      </w:r>
      <w:proofErr w:type="spellEnd"/>
      <w:r w:rsidRPr="000E67D1">
        <w:rPr>
          <w:rFonts w:ascii="Times New Roman" w:eastAsia="Times New Roman" w:hAnsi="Times New Roman" w:cs="Times New Roman"/>
          <w:sz w:val="24"/>
          <w:szCs w:val="24"/>
          <w:lang w:val="en-US"/>
        </w:rPr>
        <w:t xml:space="preserve"> et al., 2016).</w:t>
      </w:r>
    </w:p>
    <w:p w14:paraId="56644319"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From a population-level perspective, registry data can provide a pragmatic lens on indications, implant types, and short-term survival patterns of RHA in contemporary practice (Macken et al., 2022). Such data do not replace controlled comparative trials, but they reinforce the real-world reality that RHA is increasingly common, used across a spectrum of traumatic indications, and consequently that managing—and preventing—complications is a growing priority.</w:t>
      </w:r>
    </w:p>
    <w:p w14:paraId="5F6EF829"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lastRenderedPageBreak/>
        <w:t>3.5. Preventing complications: sizing, soft-tissue balance, and a failure-informed approach</w:t>
      </w:r>
    </w:p>
    <w:p w14:paraId="3F33342E"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The central “technical thesis” of modern RHA is that the implant must restore anatomy without </w:t>
      </w:r>
      <w:proofErr w:type="spellStart"/>
      <w:r w:rsidRPr="000E67D1">
        <w:rPr>
          <w:rFonts w:ascii="Times New Roman" w:eastAsia="Times New Roman" w:hAnsi="Times New Roman" w:cs="Times New Roman"/>
          <w:sz w:val="24"/>
          <w:szCs w:val="24"/>
          <w:lang w:val="en-US"/>
        </w:rPr>
        <w:t>overconstraint</w:t>
      </w:r>
      <w:proofErr w:type="spellEnd"/>
      <w:r w:rsidRPr="000E67D1">
        <w:rPr>
          <w:rFonts w:ascii="Times New Roman" w:eastAsia="Times New Roman" w:hAnsi="Times New Roman" w:cs="Times New Roman"/>
          <w:sz w:val="24"/>
          <w:szCs w:val="24"/>
          <w:lang w:val="en-US"/>
        </w:rPr>
        <w:t>. Failure analysis literature is particularly helpful here because it clarifies what goes wrong in practice. A systematic review of failed RHA highlights recurrent themes—loosening, stiffness, pain, and instability—suggesting that some failures reflect biology and injury severity, while others are potentially avoidable through improved sizing, restoration of ligament balance, and prevention/management of heterotopic ossification (</w:t>
      </w:r>
      <w:proofErr w:type="spellStart"/>
      <w:r w:rsidRPr="000E67D1">
        <w:rPr>
          <w:rFonts w:ascii="Times New Roman" w:eastAsia="Times New Roman" w:hAnsi="Times New Roman" w:cs="Times New Roman"/>
          <w:sz w:val="24"/>
          <w:szCs w:val="24"/>
          <w:lang w:val="en-US"/>
        </w:rPr>
        <w:t>Viveen</w:t>
      </w:r>
      <w:proofErr w:type="spellEnd"/>
      <w:r w:rsidRPr="000E67D1">
        <w:rPr>
          <w:rFonts w:ascii="Times New Roman" w:eastAsia="Times New Roman" w:hAnsi="Times New Roman" w:cs="Times New Roman"/>
          <w:sz w:val="24"/>
          <w:szCs w:val="24"/>
          <w:lang w:val="en-US"/>
        </w:rPr>
        <w:t xml:space="preserve"> et al., 2020). Complementing this, a systematic review/meta-analysis of radial head prosthesis removal or revision identifies stiffness/heterotopic ossification as major drivers of reoperation, with loosening, overstuffing, and instability also contributing—again emphasizing that motion restoration and avoidance of mechanical overlengthening are not secondary details but core determinants of survivorship (</w:t>
      </w:r>
      <w:proofErr w:type="spellStart"/>
      <w:r w:rsidRPr="000E67D1">
        <w:rPr>
          <w:rFonts w:ascii="Times New Roman" w:eastAsia="Times New Roman" w:hAnsi="Times New Roman" w:cs="Times New Roman"/>
          <w:sz w:val="24"/>
          <w:szCs w:val="24"/>
          <w:lang w:val="en-US"/>
        </w:rPr>
        <w:t>Kachooei</w:t>
      </w:r>
      <w:proofErr w:type="spellEnd"/>
      <w:r w:rsidRPr="000E67D1">
        <w:rPr>
          <w:rFonts w:ascii="Times New Roman" w:eastAsia="Times New Roman" w:hAnsi="Times New Roman" w:cs="Times New Roman"/>
          <w:sz w:val="24"/>
          <w:szCs w:val="24"/>
          <w:lang w:val="en-US"/>
        </w:rPr>
        <w:t xml:space="preserve"> et al., 2018).</w:t>
      </w:r>
    </w:p>
    <w:p w14:paraId="2A65A925"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When complications do occur, evidence-informed pathways are increasingly proposed to structure evaluation and treatment. A focused review on failed RHA provides an algorithmic approach that groups problems into osteoarthritis, stiffness, instability, infection, and implant-related issues, and links management choices to chondral status and joint stability (</w:t>
      </w:r>
      <w:proofErr w:type="spellStart"/>
      <w:r w:rsidRPr="000E67D1">
        <w:rPr>
          <w:rFonts w:ascii="Times New Roman" w:eastAsia="Times New Roman" w:hAnsi="Times New Roman" w:cs="Times New Roman"/>
          <w:sz w:val="24"/>
          <w:szCs w:val="24"/>
          <w:lang w:val="en-US"/>
        </w:rPr>
        <w:t>Kodde</w:t>
      </w:r>
      <w:proofErr w:type="spellEnd"/>
      <w:r w:rsidRPr="000E67D1">
        <w:rPr>
          <w:rFonts w:ascii="Times New Roman" w:eastAsia="Times New Roman" w:hAnsi="Times New Roman" w:cs="Times New Roman"/>
          <w:sz w:val="24"/>
          <w:szCs w:val="24"/>
          <w:lang w:val="en-US"/>
        </w:rPr>
        <w:t xml:space="preserve"> et al., 2020). This matters for “excision vs arthroplasty” debates because late removal of a painful or malfunctioning prosthesis is sometimes considered; however, removal is safest when the elbow is stable and chondral conditions are acceptable, echoing the same stability-first logic that guides acute excision decisions.</w:t>
      </w:r>
    </w:p>
    <w:p w14:paraId="1916C184"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3.6. A practical synthesis: how modern concepts reconcile “excision vs replacement”</w:t>
      </w:r>
    </w:p>
    <w:p w14:paraId="190AACF6" w14:textId="70BF14B1"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Putting these strands together, modern practice can be </w:t>
      </w:r>
      <w:proofErr w:type="spellStart"/>
      <w:r w:rsidR="00DF1EB1" w:rsidRPr="003B3A7F">
        <w:rPr>
          <w:rFonts w:ascii="Times New Roman" w:eastAsia="Times New Roman" w:hAnsi="Times New Roman" w:cs="Times New Roman"/>
          <w:sz w:val="24"/>
          <w:szCs w:val="24"/>
          <w:highlight w:val="yellow"/>
          <w:lang w:val="en-US"/>
        </w:rPr>
        <w:t>summarised</w:t>
      </w:r>
      <w:proofErr w:type="spellEnd"/>
      <w:r w:rsidR="00DF1EB1" w:rsidRPr="003B3A7F">
        <w:rPr>
          <w:rFonts w:ascii="Times New Roman" w:eastAsia="Times New Roman" w:hAnsi="Times New Roman" w:cs="Times New Roman"/>
          <w:sz w:val="24"/>
          <w:szCs w:val="24"/>
          <w:highlight w:val="yellow"/>
          <w:lang w:val="en-US"/>
        </w:rPr>
        <w:t xml:space="preserve"> </w:t>
      </w:r>
      <w:r w:rsidRPr="003B3A7F">
        <w:rPr>
          <w:rFonts w:ascii="Times New Roman" w:eastAsia="Times New Roman" w:hAnsi="Times New Roman" w:cs="Times New Roman"/>
          <w:sz w:val="24"/>
          <w:szCs w:val="24"/>
          <w:highlight w:val="yellow"/>
          <w:lang w:val="en-US"/>
        </w:rPr>
        <w:t>as follows</w:t>
      </w:r>
      <w:r w:rsidRPr="000E67D1">
        <w:rPr>
          <w:rFonts w:ascii="Times New Roman" w:eastAsia="Times New Roman" w:hAnsi="Times New Roman" w:cs="Times New Roman"/>
          <w:sz w:val="24"/>
          <w:szCs w:val="24"/>
          <w:lang w:val="en-US"/>
        </w:rPr>
        <w:t>: excision is a selectively appropriate option when the injury is truly isolated and stable, whereas arthroplasty is a stability-restoring procedure for non-</w:t>
      </w:r>
      <w:proofErr w:type="spellStart"/>
      <w:r w:rsidRPr="000E67D1">
        <w:rPr>
          <w:rFonts w:ascii="Times New Roman" w:eastAsia="Times New Roman" w:hAnsi="Times New Roman" w:cs="Times New Roman"/>
          <w:sz w:val="24"/>
          <w:szCs w:val="24"/>
          <w:lang w:val="en-US"/>
        </w:rPr>
        <w:t>reconstructable</w:t>
      </w:r>
      <w:proofErr w:type="spellEnd"/>
      <w:r w:rsidRPr="000E67D1">
        <w:rPr>
          <w:rFonts w:ascii="Times New Roman" w:eastAsia="Times New Roman" w:hAnsi="Times New Roman" w:cs="Times New Roman"/>
          <w:sz w:val="24"/>
          <w:szCs w:val="24"/>
          <w:lang w:val="en-US"/>
        </w:rPr>
        <w:t xml:space="preserve"> fractures in unstable settings. What makes this “modern” is not simply wider implant availability, but the shift toward treating the radial head as a stabilizer within a complex injury system. The literature repeatedly converges on two pragmatic lessons. First, the best outcomes arise when the chosen procedure (excision or arthroplasty) is matched to the stability demands created by the associated injuries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Hildebrand et al., 2020; van der </w:t>
      </w:r>
      <w:proofErr w:type="spellStart"/>
      <w:r w:rsidRPr="000E67D1">
        <w:rPr>
          <w:rFonts w:ascii="Times New Roman" w:eastAsia="Times New Roman" w:hAnsi="Times New Roman" w:cs="Times New Roman"/>
          <w:sz w:val="24"/>
          <w:szCs w:val="24"/>
          <w:lang w:val="en-US"/>
        </w:rPr>
        <w:t>Windt</w:t>
      </w:r>
      <w:proofErr w:type="spellEnd"/>
      <w:r w:rsidRPr="000E67D1">
        <w:rPr>
          <w:rFonts w:ascii="Times New Roman" w:eastAsia="Times New Roman" w:hAnsi="Times New Roman" w:cs="Times New Roman"/>
          <w:sz w:val="24"/>
          <w:szCs w:val="24"/>
          <w:lang w:val="en-US"/>
        </w:rPr>
        <w:t xml:space="preserve"> et al., 2024). Second, complication patterns are strongly influenced by modifiable factors—implant sizing, motion strategy, and comprehensive soft-tissue management—so technical execution and rehabilitation strategy are inseparable from “procedure selection” (</w:t>
      </w:r>
      <w:proofErr w:type="spellStart"/>
      <w:r w:rsidRPr="000E67D1">
        <w:rPr>
          <w:rFonts w:ascii="Times New Roman" w:eastAsia="Times New Roman" w:hAnsi="Times New Roman" w:cs="Times New Roman"/>
          <w:sz w:val="24"/>
          <w:szCs w:val="24"/>
          <w:lang w:val="en-US"/>
        </w:rPr>
        <w:t>Kachooei</w:t>
      </w:r>
      <w:proofErr w:type="spellEnd"/>
      <w:r w:rsidRPr="000E67D1">
        <w:rPr>
          <w:rFonts w:ascii="Times New Roman" w:eastAsia="Times New Roman" w:hAnsi="Times New Roman" w:cs="Times New Roman"/>
          <w:sz w:val="24"/>
          <w:szCs w:val="24"/>
          <w:lang w:val="en-US"/>
        </w:rPr>
        <w:t xml:space="preserve"> et al., 2018; </w:t>
      </w:r>
      <w:proofErr w:type="spellStart"/>
      <w:r w:rsidRPr="000E67D1">
        <w:rPr>
          <w:rFonts w:ascii="Times New Roman" w:eastAsia="Times New Roman" w:hAnsi="Times New Roman" w:cs="Times New Roman"/>
          <w:sz w:val="24"/>
          <w:szCs w:val="24"/>
          <w:lang w:val="en-US"/>
        </w:rPr>
        <w:t>Kodde</w:t>
      </w:r>
      <w:proofErr w:type="spellEnd"/>
      <w:r w:rsidRPr="000E67D1">
        <w:rPr>
          <w:rFonts w:ascii="Times New Roman" w:eastAsia="Times New Roman" w:hAnsi="Times New Roman" w:cs="Times New Roman"/>
          <w:sz w:val="24"/>
          <w:szCs w:val="24"/>
          <w:lang w:val="en-US"/>
        </w:rPr>
        <w:t xml:space="preserve"> et al., 2020; </w:t>
      </w:r>
      <w:proofErr w:type="spellStart"/>
      <w:r w:rsidRPr="000E67D1">
        <w:rPr>
          <w:rFonts w:ascii="Times New Roman" w:eastAsia="Times New Roman" w:hAnsi="Times New Roman" w:cs="Times New Roman"/>
          <w:sz w:val="24"/>
          <w:szCs w:val="24"/>
          <w:lang w:val="en-US"/>
        </w:rPr>
        <w:t>Viveen</w:t>
      </w:r>
      <w:proofErr w:type="spellEnd"/>
      <w:r w:rsidRPr="000E67D1">
        <w:rPr>
          <w:rFonts w:ascii="Times New Roman" w:eastAsia="Times New Roman" w:hAnsi="Times New Roman" w:cs="Times New Roman"/>
          <w:sz w:val="24"/>
          <w:szCs w:val="24"/>
          <w:lang w:val="en-US"/>
        </w:rPr>
        <w:t xml:space="preserve"> et al., 2020).</w:t>
      </w:r>
    </w:p>
    <w:p w14:paraId="499A2232"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391EC749" w14:textId="77777777" w:rsidR="000E67D1" w:rsidRPr="000E67D1" w:rsidRDefault="000E67D1"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0E67D1">
        <w:rPr>
          <w:rFonts w:ascii="Times New Roman" w:eastAsia="Times New Roman" w:hAnsi="Times New Roman" w:cs="Times New Roman"/>
          <w:b/>
          <w:bCs/>
          <w:sz w:val="36"/>
          <w:szCs w:val="36"/>
          <w:lang w:val="en-US"/>
        </w:rPr>
        <w:t>4. Functional outcomes after excision versus arthroplasty (extended)</w:t>
      </w:r>
    </w:p>
    <w:p w14:paraId="6CCFFD4E"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4.1. How “functional outcome” is measured and why interpretation is difficult</w:t>
      </w:r>
    </w:p>
    <w:p w14:paraId="0235859D"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lastRenderedPageBreak/>
        <w:t>Across the literature comparing radial head excision (radial head resection, RHR) and radial head arthroplasty (RHA), function is typically captured using patient-reported outcome measures (PROMs) such as the Disabilities of the Arm, Shoulder and Hand (DASH/</w:t>
      </w:r>
      <w:proofErr w:type="spellStart"/>
      <w:r w:rsidRPr="000E67D1">
        <w:rPr>
          <w:rFonts w:ascii="Times New Roman" w:eastAsia="Times New Roman" w:hAnsi="Times New Roman" w:cs="Times New Roman"/>
          <w:sz w:val="24"/>
          <w:szCs w:val="24"/>
          <w:lang w:val="en-US"/>
        </w:rPr>
        <w:t>QuickDASH</w:t>
      </w:r>
      <w:proofErr w:type="spellEnd"/>
      <w:r w:rsidRPr="000E67D1">
        <w:rPr>
          <w:rFonts w:ascii="Times New Roman" w:eastAsia="Times New Roman" w:hAnsi="Times New Roman" w:cs="Times New Roman"/>
          <w:sz w:val="24"/>
          <w:szCs w:val="24"/>
          <w:lang w:val="en-US"/>
        </w:rPr>
        <w:t>) and clinician-derived composite scores such as the Mayo Elbow Performance Score (MEPS), often alongside objective range-of-motion (ROM) arcs and radiographic endpoints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Davey et al., 2021). A key interpretive issue is that PROMs summarize pain and daily activities, but may not sensitively reflect subtle instability, endurance limits, heavy-lifting demands, or progressive </w:t>
      </w:r>
      <w:proofErr w:type="spellStart"/>
      <w:r w:rsidRPr="000E67D1">
        <w:rPr>
          <w:rFonts w:ascii="Times New Roman" w:eastAsia="Times New Roman" w:hAnsi="Times New Roman" w:cs="Times New Roman"/>
          <w:sz w:val="24"/>
          <w:szCs w:val="24"/>
          <w:lang w:val="en-US"/>
        </w:rPr>
        <w:t>radiocapitellar</w:t>
      </w:r>
      <w:proofErr w:type="spellEnd"/>
      <w:r w:rsidRPr="000E67D1">
        <w:rPr>
          <w:rFonts w:ascii="Times New Roman" w:eastAsia="Times New Roman" w:hAnsi="Times New Roman" w:cs="Times New Roman"/>
          <w:sz w:val="24"/>
          <w:szCs w:val="24"/>
          <w:lang w:val="en-US"/>
        </w:rPr>
        <w:t xml:space="preserve"> degeneration—problems that may matter most to younger, high-demand patients or those with associated ligamentous/coronoid injury (Hildebrand et al., 2020; Davey et al., 2021). Moreover, many comparative cohorts mix “isolated” comminuted fractures with fracture-dislocations and terrible triad injuries, where functional trajectories are driven as much by the soft-tissue reconstruction and rehabilitation protocol as by the choice of radial head procedure itself (Mazhar et al., 2018; </w:t>
      </w:r>
      <w:proofErr w:type="spellStart"/>
      <w:r w:rsidRPr="000E67D1">
        <w:rPr>
          <w:rFonts w:ascii="Times New Roman" w:eastAsia="Times New Roman" w:hAnsi="Times New Roman" w:cs="Times New Roman"/>
          <w:sz w:val="24"/>
          <w:szCs w:val="24"/>
          <w:lang w:val="en-US"/>
        </w:rPr>
        <w:t>Nestorson</w:t>
      </w:r>
      <w:proofErr w:type="spellEnd"/>
      <w:r w:rsidRPr="000E67D1">
        <w:rPr>
          <w:rFonts w:ascii="Times New Roman" w:eastAsia="Times New Roman" w:hAnsi="Times New Roman" w:cs="Times New Roman"/>
          <w:sz w:val="24"/>
          <w:szCs w:val="24"/>
          <w:lang w:val="en-US"/>
        </w:rPr>
        <w:t xml:space="preserve"> et al., 2017).</w:t>
      </w:r>
    </w:p>
    <w:p w14:paraId="5A537747"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4.2. Functional outcomes after excision in modern practice</w:t>
      </w:r>
    </w:p>
    <w:p w14:paraId="4F13D52E"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Contemporary series and reviews suggest that excision can yield satisfactory PROMs and ROM when used selectively—most consistently in isolated, unreconstructible fractures without gross instability and with intact or adequately repaired stabilizers (Hildebrand et al., 2020; Kumar et al., 2022). In these scenarios, early motion and pain relief can translate into good MEPS/DASH profiles and acceptable return of forearm rotation, particularly when rehabilitation avoids prolonged immobilization and stiffness is proactively addressed (Hildebrand et al., 2020). However, “good scores” should not be equated with “biomechanical equivalence.” Excision removes a key secondary stabilizer and load-sharing structure, and even if early function is satisfactory, longitudinal issues such as proximal radial migration, altered kinematics, and later degenerative changes may emerge—sometimes without immediate PROM deterioration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w:t>
      </w:r>
      <w:proofErr w:type="spellStart"/>
      <w:r w:rsidRPr="000E67D1">
        <w:rPr>
          <w:rFonts w:ascii="Times New Roman" w:eastAsia="Times New Roman" w:hAnsi="Times New Roman" w:cs="Times New Roman"/>
          <w:sz w:val="24"/>
          <w:szCs w:val="24"/>
          <w:lang w:val="en-US"/>
        </w:rPr>
        <w:t>Nestorson</w:t>
      </w:r>
      <w:proofErr w:type="spellEnd"/>
      <w:r w:rsidRPr="000E67D1">
        <w:rPr>
          <w:rFonts w:ascii="Times New Roman" w:eastAsia="Times New Roman" w:hAnsi="Times New Roman" w:cs="Times New Roman"/>
          <w:sz w:val="24"/>
          <w:szCs w:val="24"/>
          <w:lang w:val="en-US"/>
        </w:rPr>
        <w:t xml:space="preserve"> et al., 2017). This is one reason why modern decision-making increasingly frames excision as a targeted option rather than a default salvage, especially when subtle instability or interosseous membrane injury is suspected (Hildebrand et al., 2020).</w:t>
      </w:r>
    </w:p>
    <w:p w14:paraId="46E63641"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4.3. Functional outcomes after arthroplasty in modern practice</w:t>
      </w:r>
    </w:p>
    <w:p w14:paraId="08BC2EB6" w14:textId="3D3D522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 xml:space="preserve">For acute, unreconstructible radial head fractures in the setting of instability (fracture-dislocation, terrible triad, or ligament insufficiency), arthroplasty aims to restore </w:t>
      </w:r>
      <w:proofErr w:type="spellStart"/>
      <w:r w:rsidRPr="000E67D1">
        <w:rPr>
          <w:rFonts w:ascii="Times New Roman" w:eastAsia="Times New Roman" w:hAnsi="Times New Roman" w:cs="Times New Roman"/>
          <w:sz w:val="24"/>
          <w:szCs w:val="24"/>
          <w:lang w:val="en-US"/>
        </w:rPr>
        <w:t>radiocapitellar</w:t>
      </w:r>
      <w:proofErr w:type="spellEnd"/>
      <w:r w:rsidRPr="000E67D1">
        <w:rPr>
          <w:rFonts w:ascii="Times New Roman" w:eastAsia="Times New Roman" w:hAnsi="Times New Roman" w:cs="Times New Roman"/>
          <w:sz w:val="24"/>
          <w:szCs w:val="24"/>
          <w:lang w:val="en-US"/>
        </w:rPr>
        <w:t xml:space="preserve"> contact mechanics and facilitate stable early motion, which is strongly linked to better functional recovery after complex elbow trauma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Davey et al., 2021). Long-term evidence indicates that RHA can provide very acceptable functional scores and ROM at extended follow-up, even while radiographic degenerative change is common. In a systematic review </w:t>
      </w:r>
      <w:r w:rsidRPr="003B3A7F">
        <w:rPr>
          <w:rFonts w:ascii="Times New Roman" w:eastAsia="Times New Roman" w:hAnsi="Times New Roman" w:cs="Times New Roman"/>
          <w:sz w:val="24"/>
          <w:szCs w:val="24"/>
          <w:highlight w:val="yellow"/>
          <w:lang w:val="en-US"/>
        </w:rPr>
        <w:t xml:space="preserve">with </w:t>
      </w:r>
      <w:r w:rsidR="00DF1EB1" w:rsidRPr="003B3A7F">
        <w:rPr>
          <w:rFonts w:ascii="Times New Roman" w:eastAsia="Times New Roman" w:hAnsi="Times New Roman" w:cs="Times New Roman"/>
          <w:sz w:val="24"/>
          <w:szCs w:val="24"/>
          <w:highlight w:val="yellow"/>
          <w:lang w:val="en-US"/>
        </w:rPr>
        <w:t xml:space="preserve">a </w:t>
      </w:r>
      <w:r w:rsidRPr="003B3A7F">
        <w:rPr>
          <w:rFonts w:ascii="Times New Roman" w:eastAsia="Times New Roman" w:hAnsi="Times New Roman" w:cs="Times New Roman"/>
          <w:sz w:val="24"/>
          <w:szCs w:val="24"/>
          <w:highlight w:val="yellow"/>
          <w:lang w:val="en-US"/>
        </w:rPr>
        <w:t>minimum 8-</w:t>
      </w:r>
      <w:r w:rsidRPr="000E67D1">
        <w:rPr>
          <w:rFonts w:ascii="Times New Roman" w:eastAsia="Times New Roman" w:hAnsi="Times New Roman" w:cs="Times New Roman"/>
          <w:sz w:val="24"/>
          <w:szCs w:val="24"/>
          <w:lang w:val="en-US"/>
        </w:rPr>
        <w:t>year follow-up, patient-reported and clinician-scored outcomes were generally satisfactory, but radiologic degeneration/osteolysis and revision/reoperation remained clinically important considerations (Davey et al., 2021). Modern implant-related variables also matter to perceived function: fixation method (cemented vs press-fit) does not appear to systematically change functional scores in aggregate, although complication and revision profiles may differ (Agyeman et al., 2019). Large and mid-term clinical series further suggest that radiographic findings such as osteolysis or loosening do not always correlate with worse PROMs, reinforcing the need to interpret imaging and symptoms together rather than interchangeably (Eyre-Brook et al., 2024).</w:t>
      </w:r>
    </w:p>
    <w:p w14:paraId="3658C074"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lastRenderedPageBreak/>
        <w:t>4.4. Direct comparative evidence: excision versus arthroplasty</w:t>
      </w:r>
    </w:p>
    <w:p w14:paraId="05DBEECC"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When comparative studies are restricted to comminuted fractures deemed unsuitable for fixation, the overall picture is nuanced rather than decisively in favor of one approach. A systematic review focused on isolated Mason type III comminuted fractures concluded that excision is a reasonable option with broadly similar functional results and complication rates compared with prosthetic replacement, and some evidence of a larger ROM arc after excision (Kumar et al., 2022). Earlier comparative cohorts in isolated comminution similarly report broadly comparable functional endpoints between resection and prosthesis in carefully selected patients (</w:t>
      </w:r>
      <w:proofErr w:type="spellStart"/>
      <w:r w:rsidRPr="000E67D1">
        <w:rPr>
          <w:rFonts w:ascii="Times New Roman" w:eastAsia="Times New Roman" w:hAnsi="Times New Roman" w:cs="Times New Roman"/>
          <w:sz w:val="24"/>
          <w:szCs w:val="24"/>
          <w:lang w:val="en-US"/>
        </w:rPr>
        <w:t>Lópiz</w:t>
      </w:r>
      <w:proofErr w:type="spellEnd"/>
      <w:r w:rsidRPr="000E67D1">
        <w:rPr>
          <w:rFonts w:ascii="Times New Roman" w:eastAsia="Times New Roman" w:hAnsi="Times New Roman" w:cs="Times New Roman"/>
          <w:sz w:val="24"/>
          <w:szCs w:val="24"/>
          <w:lang w:val="en-US"/>
        </w:rPr>
        <w:t xml:space="preserve"> et al., 2016;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In instability patterns, the expectation is often that arthroplasty should improve function by restoring stability; however, comparative clinical data are mixed. In a retrospective cohort of terrible triad injuries with severely comminuted radial heads, resection (with comprehensive stabilization) produced functional and ROM outcomes that were not clearly inferior to those achieved with prosthetic arthroplasty, underscoring that the “quality of stabilization” and postoperative stiffness prevention may dominate the functional endpoint (Mazhar et al., 2018). Similarly, in Mason IV fracture-dislocation, press-fit arthroplasty did not clearly improve functional results compared with resection in one study, although follow-up differences and osteoarthritic progression complicate interpretation (</w:t>
      </w:r>
      <w:proofErr w:type="spellStart"/>
      <w:r w:rsidRPr="000E67D1">
        <w:rPr>
          <w:rFonts w:ascii="Times New Roman" w:eastAsia="Times New Roman" w:hAnsi="Times New Roman" w:cs="Times New Roman"/>
          <w:sz w:val="24"/>
          <w:szCs w:val="24"/>
          <w:lang w:val="en-US"/>
        </w:rPr>
        <w:t>Nestorson</w:t>
      </w:r>
      <w:proofErr w:type="spellEnd"/>
      <w:r w:rsidRPr="000E67D1">
        <w:rPr>
          <w:rFonts w:ascii="Times New Roman" w:eastAsia="Times New Roman" w:hAnsi="Times New Roman" w:cs="Times New Roman"/>
          <w:sz w:val="24"/>
          <w:szCs w:val="24"/>
          <w:lang w:val="en-US"/>
        </w:rPr>
        <w:t xml:space="preserve"> et al., 2017). Taken together, current comparative evidence supports a contextual rather than binary conclusion: arthroplasty is often favored to address instability, yet excision can still deliver comparable short-to-midterm functional scores in select cases when elbow stability is reliably restored by other means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Kumar et al., 2022; Mazhar et al., 2018).</w:t>
      </w:r>
    </w:p>
    <w:p w14:paraId="6164B49D"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4.5. Modifiers of functional outcome that often outweigh the procedure choice</w:t>
      </w:r>
    </w:p>
    <w:p w14:paraId="6F71E730"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Across both strategies, several recurring modifiers explain why two patients receiving the “same” operation can have very different functional results. First, associated injuries (coronoid fracture, ligament disruption, subtle longitudinal instability) are major determinants of ROM recovery, pain, and perceived strength; studies that control poorly for these factors risk attributing outcome differences to excision versus arthroplasty when the true driver is injury pattern heterogeneity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Hildebrand et al., 2020). Second, postoperative stiffness and heterotopic ossification can dominate outcomes regardless of reconstruction method; revision/removal after RHA is frequently prompted by stiffness-related issues and symptomatic complications, which directly depress functional scores (</w:t>
      </w:r>
      <w:proofErr w:type="spellStart"/>
      <w:r w:rsidRPr="000E67D1">
        <w:rPr>
          <w:rFonts w:ascii="Times New Roman" w:eastAsia="Times New Roman" w:hAnsi="Times New Roman" w:cs="Times New Roman"/>
          <w:sz w:val="24"/>
          <w:szCs w:val="24"/>
          <w:lang w:val="en-US"/>
        </w:rPr>
        <w:t>Kachooei</w:t>
      </w:r>
      <w:proofErr w:type="spellEnd"/>
      <w:r w:rsidRPr="000E67D1">
        <w:rPr>
          <w:rFonts w:ascii="Times New Roman" w:eastAsia="Times New Roman" w:hAnsi="Times New Roman" w:cs="Times New Roman"/>
          <w:sz w:val="24"/>
          <w:szCs w:val="24"/>
          <w:lang w:val="en-US"/>
        </w:rPr>
        <w:t xml:space="preserve"> et al., 2018). Third, arthroplasty-specific technical factors—particularly restoration of length and avoidance of overstuffing—can influence pain and motion; implant design and stem characteristics may affect radiographic behavior without necessarily producing immediate PROM differences, but can contribute to later symptoms or reoperation (Laflamme et al., 2017; Rodriguez-Quintana et al., 2017). Finally, patient factors (age, occupational load, sport demands, baseline bone quality) modify how much a given ROM deficit or endurance limitation is “functionally meaningful,” so similar MEPS/DASH values across groups do not always indicate equivalent real-world capacity (Davey et al., 2021; Eyre-Brook et al., 2024).</w:t>
      </w:r>
    </w:p>
    <w:p w14:paraId="7FBF1BD0" w14:textId="77777777" w:rsidR="000E67D1" w:rsidRPr="000E67D1" w:rsidRDefault="000E67D1"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0E67D1">
        <w:rPr>
          <w:rFonts w:ascii="Times New Roman" w:eastAsia="Times New Roman" w:hAnsi="Times New Roman" w:cs="Times New Roman"/>
          <w:b/>
          <w:bCs/>
          <w:sz w:val="27"/>
          <w:szCs w:val="27"/>
          <w:lang w:val="en-US"/>
        </w:rPr>
        <w:t>4.6. Practical synthesis focused on function</w:t>
      </w:r>
    </w:p>
    <w:p w14:paraId="619AF2AC"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0E67D1">
        <w:rPr>
          <w:rFonts w:ascii="Times New Roman" w:eastAsia="Times New Roman" w:hAnsi="Times New Roman" w:cs="Times New Roman"/>
          <w:sz w:val="24"/>
          <w:szCs w:val="24"/>
          <w:lang w:val="en-US"/>
        </w:rPr>
        <w:t>From a functional standpoint, modern evidence supports excision as a viable strategy primarily for isolated irreparable fractures in which stability is not compromised, with outcomes that can approximate those of arthroplasty in the short-to-</w:t>
      </w:r>
      <w:proofErr w:type="spellStart"/>
      <w:r w:rsidRPr="000E67D1">
        <w:rPr>
          <w:rFonts w:ascii="Times New Roman" w:eastAsia="Times New Roman" w:hAnsi="Times New Roman" w:cs="Times New Roman"/>
          <w:sz w:val="24"/>
          <w:szCs w:val="24"/>
          <w:lang w:val="en-US"/>
        </w:rPr>
        <w:t>mid term</w:t>
      </w:r>
      <w:proofErr w:type="spellEnd"/>
      <w:r w:rsidRPr="000E67D1">
        <w:rPr>
          <w:rFonts w:ascii="Times New Roman" w:eastAsia="Times New Roman" w:hAnsi="Times New Roman" w:cs="Times New Roman"/>
          <w:sz w:val="24"/>
          <w:szCs w:val="24"/>
          <w:lang w:val="en-US"/>
        </w:rPr>
        <w:t xml:space="preserve"> (Hildebrand et </w:t>
      </w:r>
      <w:r w:rsidRPr="000E67D1">
        <w:rPr>
          <w:rFonts w:ascii="Times New Roman" w:eastAsia="Times New Roman" w:hAnsi="Times New Roman" w:cs="Times New Roman"/>
          <w:sz w:val="24"/>
          <w:szCs w:val="24"/>
          <w:lang w:val="en-US"/>
        </w:rPr>
        <w:lastRenderedPageBreak/>
        <w:t xml:space="preserve">al., 2020; Kumar et al., 2022). Arthroplasty remains the more biologically “stability-preserving” option in many complex injuries and can deliver durable functional recovery, but carries distinct risks of stiffness, revision/removal, and radiographic degeneration that may or may not translate to early PROM impairment (Davey et al., 2021; </w:t>
      </w:r>
      <w:proofErr w:type="spellStart"/>
      <w:r w:rsidRPr="000E67D1">
        <w:rPr>
          <w:rFonts w:ascii="Times New Roman" w:eastAsia="Times New Roman" w:hAnsi="Times New Roman" w:cs="Times New Roman"/>
          <w:sz w:val="24"/>
          <w:szCs w:val="24"/>
          <w:lang w:val="en-US"/>
        </w:rPr>
        <w:t>Kachooei</w:t>
      </w:r>
      <w:proofErr w:type="spellEnd"/>
      <w:r w:rsidRPr="000E67D1">
        <w:rPr>
          <w:rFonts w:ascii="Times New Roman" w:eastAsia="Times New Roman" w:hAnsi="Times New Roman" w:cs="Times New Roman"/>
          <w:sz w:val="24"/>
          <w:szCs w:val="24"/>
          <w:lang w:val="en-US"/>
        </w:rPr>
        <w:t xml:space="preserve"> et al., 2018). Therefore, the most defensible functional comparison is not excision versus arthroplasty in isolation, but excision-with-reliable-stabilization versus arthroplasty-with-accurate-restoration-of-length and early-motion rehabilitation—two pathways that can both produce high functional scores when executed in the correct context (</w:t>
      </w:r>
      <w:proofErr w:type="spellStart"/>
      <w:r w:rsidRPr="000E67D1">
        <w:rPr>
          <w:rFonts w:ascii="Times New Roman" w:eastAsia="Times New Roman" w:hAnsi="Times New Roman" w:cs="Times New Roman"/>
          <w:sz w:val="24"/>
          <w:szCs w:val="24"/>
          <w:lang w:val="en-US"/>
        </w:rPr>
        <w:t>Catellani</w:t>
      </w:r>
      <w:proofErr w:type="spellEnd"/>
      <w:r w:rsidRPr="000E67D1">
        <w:rPr>
          <w:rFonts w:ascii="Times New Roman" w:eastAsia="Times New Roman" w:hAnsi="Times New Roman" w:cs="Times New Roman"/>
          <w:sz w:val="24"/>
          <w:szCs w:val="24"/>
          <w:lang w:val="en-US"/>
        </w:rPr>
        <w:t xml:space="preserve"> et al., 2018; Mazhar et al., 2018; Eyre-Brook et al., 2024).</w:t>
      </w:r>
    </w:p>
    <w:p w14:paraId="105C90EC"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4A305871" w14:textId="77777777" w:rsidR="00D2322A" w:rsidRDefault="00D2322A" w:rsidP="00F93E0B">
      <w:pPr>
        <w:pStyle w:val="Heading2"/>
        <w:jc w:val="both"/>
      </w:pPr>
      <w:r>
        <w:t>5. Complications: mechanism-based comparison</w:t>
      </w:r>
    </w:p>
    <w:p w14:paraId="3BBDD56C" w14:textId="77777777" w:rsidR="00D2322A" w:rsidRDefault="00D2322A" w:rsidP="00F93E0B">
      <w:pPr>
        <w:pStyle w:val="Heading3"/>
        <w:jc w:val="both"/>
      </w:pPr>
      <w:r>
        <w:t>5.1. Why “mechanism-based” comparison matters</w:t>
      </w:r>
    </w:p>
    <w:p w14:paraId="7CB15910" w14:textId="77777777" w:rsidR="00D2322A" w:rsidRDefault="00D2322A" w:rsidP="00F93E0B">
      <w:pPr>
        <w:pStyle w:val="NormalWeb"/>
        <w:jc w:val="both"/>
      </w:pPr>
      <w:r>
        <w:t xml:space="preserve">Complications after traumatic radial head fractures are not determined by the implant or the act of excision alone; they emerge from how each strategy restores (or fails to restore) the radial head’s biomechanical roles: </w:t>
      </w:r>
      <w:proofErr w:type="spellStart"/>
      <w:r>
        <w:t>radiocapitellar</w:t>
      </w:r>
      <w:proofErr w:type="spellEnd"/>
      <w:r>
        <w:t xml:space="preserve"> load sharing, resistance to valgus and posterolateral rotatory instability, and maintenance of longitudinal forearm stability. Therefore, the same “procedure label” can produce very different complication profiles depending on whether the elbow has associated ligament injury, coronoid fracture, or an interosseous membrane/disruption pattern. Modern reports of arthroplasty failure emphasize that many revisions are triggered by pain and mechanical dysfunction rather than catastrophic breakage, highlighting that subtle </w:t>
      </w:r>
      <w:proofErr w:type="spellStart"/>
      <w:r>
        <w:t>malreconstruction</w:t>
      </w:r>
      <w:proofErr w:type="spellEnd"/>
      <w:r>
        <w:t xml:space="preserve"> (length, diameter, and alignment) is a dominant mechanism (</w:t>
      </w:r>
      <w:proofErr w:type="spellStart"/>
      <w:r>
        <w:t>Viveen</w:t>
      </w:r>
      <w:proofErr w:type="spellEnd"/>
      <w:r>
        <w:t xml:space="preserve"> et al., 2020). Likewise, the best-understood failure mechanism for excision is not simply “loss of bone,” but loss of a stabilizing column that becomes clinically relevant when soft-tissue and forearm constraints are also injured (</w:t>
      </w:r>
      <w:proofErr w:type="spellStart"/>
      <w:r>
        <w:t>Masouros</w:t>
      </w:r>
      <w:proofErr w:type="spellEnd"/>
      <w:r>
        <w:t xml:space="preserve"> et al., 2019).</w:t>
      </w:r>
    </w:p>
    <w:p w14:paraId="3AB2A9EF" w14:textId="77777777" w:rsidR="00D2322A" w:rsidRDefault="00D2322A" w:rsidP="00F93E0B">
      <w:pPr>
        <w:pStyle w:val="Heading3"/>
        <w:jc w:val="both"/>
      </w:pPr>
      <w:r>
        <w:t>5.2. Excision-dominant complications: instability and forearm mechanics</w:t>
      </w:r>
    </w:p>
    <w:p w14:paraId="732DF7AF" w14:textId="74858200" w:rsidR="00D2322A" w:rsidRDefault="00D2322A" w:rsidP="00F93E0B">
      <w:pPr>
        <w:pStyle w:val="NormalWeb"/>
        <w:jc w:val="both"/>
      </w:pPr>
      <w:r>
        <w:t xml:space="preserve">The hallmark complication mechanism after radial head excision is instability—either immediate (if the elbow is already unstable) or delayed (as abnormal loading produces progressive laxity, pain, and arthrosis). When excision is performed in an elbow with unrecognized or undertreated ligament injury, valgus instability and posterolateral rotatory symptoms can appear because the lateral and medial stabilizers are forced to compensate for the missing </w:t>
      </w:r>
      <w:proofErr w:type="spellStart"/>
      <w:r>
        <w:t>radiocapitellar</w:t>
      </w:r>
      <w:proofErr w:type="spellEnd"/>
      <w:r>
        <w:t xml:space="preserve"> buttress. Over time, patients may present with painful clicking, apprehension in extension-supination, and loss of functional </w:t>
      </w:r>
      <w:r w:rsidRPr="003B3A7F">
        <w:rPr>
          <w:highlight w:val="yellow"/>
        </w:rPr>
        <w:t>strength</w:t>
      </w:r>
      <w:r w:rsidR="00DF1EB1" w:rsidRPr="003B3A7F">
        <w:rPr>
          <w:highlight w:val="yellow"/>
        </w:rPr>
        <w:t>,</w:t>
      </w:r>
      <w:r w:rsidRPr="003B3A7F">
        <w:rPr>
          <w:highlight w:val="yellow"/>
        </w:rPr>
        <w:t xml:space="preserve"> even if</w:t>
      </w:r>
      <w:r>
        <w:t xml:space="preserve"> early radiographs appear acceptable.</w:t>
      </w:r>
    </w:p>
    <w:p w14:paraId="4583E7D0" w14:textId="77777777" w:rsidR="00D2322A" w:rsidRDefault="00D2322A" w:rsidP="00F93E0B">
      <w:pPr>
        <w:pStyle w:val="NormalWeb"/>
        <w:jc w:val="both"/>
      </w:pPr>
      <w:r>
        <w:t>A second excision-specific mechanism is longitudinal forearm instability. In Essex-</w:t>
      </w:r>
      <w:proofErr w:type="spellStart"/>
      <w:r>
        <w:t>Lopresti</w:t>
      </w:r>
      <w:proofErr w:type="spellEnd"/>
      <w:r>
        <w:t>–type injuries, excision removes the proximal restraint that helps prevent proximal migration of the radius; the clinical consequences can shift distally to the wrist and distal radioulnar joint (DRUJ), producing ulnar-sided wrist pain, loss of grip strength, and DRUJ incongruity (</w:t>
      </w:r>
      <w:proofErr w:type="spellStart"/>
      <w:r>
        <w:t>Masouros</w:t>
      </w:r>
      <w:proofErr w:type="spellEnd"/>
      <w:r>
        <w:t xml:space="preserve"> et al., 2019). Importantly, these downstream symptoms may be misattributed to “rehabilitation stiffness” unless the treating team actively screens for forearm-axis instability. In this setting, “simple excision” can convert an initially localized elbow injury into a forearm-length problem with difficult salvage options.</w:t>
      </w:r>
    </w:p>
    <w:p w14:paraId="7060FE7C" w14:textId="77777777" w:rsidR="00D2322A" w:rsidRDefault="00D2322A" w:rsidP="00F93E0B">
      <w:pPr>
        <w:pStyle w:val="NormalWeb"/>
        <w:jc w:val="both"/>
      </w:pPr>
      <w:r>
        <w:lastRenderedPageBreak/>
        <w:t>Although excision avoids implant-related failure modes, it does not eliminate the shared complications of elbow trauma, including stiffness and heterotopic ossification, particularly in high-energy injuries or when prolonged immobilization is required. The key distinction is that, after excision, stiffness often coexists with subtle instability or altered kinematics that further limits function during strengthening.</w:t>
      </w:r>
    </w:p>
    <w:p w14:paraId="540FD8C7" w14:textId="77777777" w:rsidR="00D2322A" w:rsidRDefault="00D2322A" w:rsidP="00F93E0B">
      <w:pPr>
        <w:pStyle w:val="Heading3"/>
        <w:jc w:val="both"/>
      </w:pPr>
      <w:r>
        <w:t xml:space="preserve">5.3. Arthroplasty-dominant complications: </w:t>
      </w:r>
      <w:proofErr w:type="spellStart"/>
      <w:r>
        <w:t>malreconstruction</w:t>
      </w:r>
      <w:proofErr w:type="spellEnd"/>
      <w:r>
        <w:t>, wear, and loosening</w:t>
      </w:r>
    </w:p>
    <w:p w14:paraId="7EFC1C56" w14:textId="77777777" w:rsidR="00D2322A" w:rsidRDefault="00D2322A" w:rsidP="00F93E0B">
      <w:pPr>
        <w:pStyle w:val="NormalWeb"/>
        <w:jc w:val="both"/>
      </w:pPr>
      <w:r>
        <w:t xml:space="preserve">Radial head arthroplasty (RHA) replaces stability and load-sharing, but introduces distinct mechanical risks that are largely “reconstruction errors” rather than intrinsic implant flaws. Overlengthening/overstuffing is a classic mechanism: when the prosthetic head sits too proud or the radial column is functionally lengthened, </w:t>
      </w:r>
      <w:proofErr w:type="spellStart"/>
      <w:r>
        <w:t>radiocapitellar</w:t>
      </w:r>
      <w:proofErr w:type="spellEnd"/>
      <w:r>
        <w:t xml:space="preserve"> contact pressures rise, producing pain, restricted motion, and progressive capitellar cartilage wear (</w:t>
      </w:r>
      <w:proofErr w:type="spellStart"/>
      <w:r>
        <w:t>Wegmann</w:t>
      </w:r>
      <w:proofErr w:type="spellEnd"/>
      <w:r>
        <w:t xml:space="preserve"> et al., 2021). Experimental work supports this pathway by showing that altered joint mechanics can drive capitellar erosion patterns consistent with excessive or abnormal contact (</w:t>
      </w:r>
      <w:proofErr w:type="spellStart"/>
      <w:r>
        <w:t>Chytas</w:t>
      </w:r>
      <w:proofErr w:type="spellEnd"/>
      <w:r>
        <w:t xml:space="preserve"> et al., 2018). Modern biomechanical evidence also suggests that restoring anatomic alignment (not only “size”) may be protective; malalignment can increase </w:t>
      </w:r>
      <w:proofErr w:type="spellStart"/>
      <w:r>
        <w:t>radiocapitellar</w:t>
      </w:r>
      <w:proofErr w:type="spellEnd"/>
      <w:r>
        <w:t xml:space="preserve"> pressures in a way that plausibly accelerates wear (</w:t>
      </w:r>
      <w:proofErr w:type="spellStart"/>
      <w:r>
        <w:t>Heifner</w:t>
      </w:r>
      <w:proofErr w:type="spellEnd"/>
      <w:r>
        <w:t xml:space="preserve"> et al., 2024).</w:t>
      </w:r>
    </w:p>
    <w:p w14:paraId="28D80B7A" w14:textId="77777777" w:rsidR="00D2322A" w:rsidRDefault="00D2322A" w:rsidP="00F93E0B">
      <w:pPr>
        <w:pStyle w:val="NormalWeb"/>
        <w:jc w:val="both"/>
      </w:pPr>
      <w:r>
        <w:t xml:space="preserve">A complementary mechanism is </w:t>
      </w:r>
      <w:proofErr w:type="spellStart"/>
      <w:r>
        <w:t>underlengthening</w:t>
      </w:r>
      <w:proofErr w:type="spellEnd"/>
      <w:r>
        <w:t>/</w:t>
      </w:r>
      <w:proofErr w:type="spellStart"/>
      <w:r>
        <w:t>undersizing</w:t>
      </w:r>
      <w:proofErr w:type="spellEnd"/>
      <w:r>
        <w:t>, which can leave the elbow subtly unstable—particularly in complex patterns—leading to recurrent subluxation, pain, and secondary soft-tissue failure. Clinically, both over- and under-reconstruction can present as persistent pain and limited motion, underscoring why revision decisions must be tied to mechanism (e.g., “overlengthened with capitellar overload” versus “painful loosening” versus “instability”).</w:t>
      </w:r>
    </w:p>
    <w:p w14:paraId="033D0118" w14:textId="77777777" w:rsidR="00D2322A" w:rsidRDefault="00D2322A" w:rsidP="00F93E0B">
      <w:pPr>
        <w:pStyle w:val="NormalWeb"/>
        <w:jc w:val="both"/>
      </w:pPr>
      <w:r>
        <w:t>Implant fixation and stem-bone interactions drive another major complication pathway: loosening and radiolucency. System-level evidence indicates that fixation strategy may influence complication risk even if average functional scores look similar across groups; rigid fixation has been associated with higher revision/complication signals in pooled analyses (Agyeman et al., 2019). In long-term clinical follow-up, painful loosening remains a dominant reason for revision, and revisions tend to cluster early in the postoperative course, indicating that biology (bone quality, early micromotion) and mechanics (implant choice, sizing) converge quickly (Nolte et al., 2021).</w:t>
      </w:r>
    </w:p>
    <w:p w14:paraId="565FAAEB" w14:textId="77777777" w:rsidR="00D2322A" w:rsidRDefault="00D2322A" w:rsidP="00F93E0B">
      <w:pPr>
        <w:pStyle w:val="NormalWeb"/>
        <w:jc w:val="both"/>
      </w:pPr>
      <w:r>
        <w:t xml:space="preserve">Finally, the long arc of RHA complications includes post-traumatic arthrosis in both the </w:t>
      </w:r>
      <w:proofErr w:type="spellStart"/>
      <w:r>
        <w:t>radiocapitellar</w:t>
      </w:r>
      <w:proofErr w:type="spellEnd"/>
      <w:r>
        <w:t xml:space="preserve"> and </w:t>
      </w:r>
      <w:proofErr w:type="spellStart"/>
      <w:r>
        <w:t>ulnohumeral</w:t>
      </w:r>
      <w:proofErr w:type="spellEnd"/>
      <w:r>
        <w:t xml:space="preserve"> compartments, where immediate postoperative alignment/positioning and immobilization duration have been linked with later osteoarthritic change (Antoni et al., 2021). These findings reinforce that arthroplasty does not “reset the clock” on post-traumatic degeneration; it changes the dominant drivers and the locations of joint overload.</w:t>
      </w:r>
    </w:p>
    <w:p w14:paraId="2F2CD1DD" w14:textId="77777777" w:rsidR="00D2322A" w:rsidRDefault="00D2322A" w:rsidP="00F93E0B">
      <w:pPr>
        <w:pStyle w:val="Heading3"/>
        <w:jc w:val="both"/>
      </w:pPr>
      <w:r>
        <w:t>5.4. Shared complications: stiffness, heterotopic ossification, and reoperation burden</w:t>
      </w:r>
    </w:p>
    <w:p w14:paraId="657BE99E" w14:textId="77777777" w:rsidR="00D2322A" w:rsidRDefault="00D2322A" w:rsidP="00F93E0B">
      <w:pPr>
        <w:pStyle w:val="NormalWeb"/>
        <w:jc w:val="both"/>
      </w:pPr>
      <w:r>
        <w:t xml:space="preserve">Across both excision and arthroplasty, elbow stiffness and heterotopic ossification (HO) remain frequent and clinically meaningful. In the RHA literature, HO is not merely radiographic; it correlates with lower motion and higher reoperation risk in clinical series </w:t>
      </w:r>
      <w:r>
        <w:lastRenderedPageBreak/>
        <w:t>(Bowman et al., 2016). Reoperation itself is a shared “meta-complication” that reflects the cumulative impact of pain, stiffness, instability, and implant-related symptoms; longer-term data in unstable fracture patterns show that secondary procedures (including removal) are not rare even when patient-reported disability can remain acceptable (</w:t>
      </w:r>
      <w:proofErr w:type="spellStart"/>
      <w:r>
        <w:t>Cristofaro</w:t>
      </w:r>
      <w:proofErr w:type="spellEnd"/>
      <w:r>
        <w:t xml:space="preserve"> et al., 2019). Systematic syntheses also confirm that revision/removal is a recurrent endpoint after RHA, with multiple failure mechanisms contributing (</w:t>
      </w:r>
      <w:proofErr w:type="spellStart"/>
      <w:r>
        <w:t>Kachooei</w:t>
      </w:r>
      <w:proofErr w:type="spellEnd"/>
      <w:r>
        <w:t xml:space="preserve"> et al., 2018; Davey et al., 2021; </w:t>
      </w:r>
      <w:proofErr w:type="spellStart"/>
      <w:r>
        <w:t>Viveen</w:t>
      </w:r>
      <w:proofErr w:type="spellEnd"/>
      <w:r>
        <w:t xml:space="preserve"> et al., 2020).</w:t>
      </w:r>
    </w:p>
    <w:p w14:paraId="5DBE4689" w14:textId="77777777" w:rsidR="00D2322A" w:rsidRDefault="00D2322A" w:rsidP="00F93E0B">
      <w:pPr>
        <w:pStyle w:val="Heading3"/>
        <w:jc w:val="both"/>
      </w:pPr>
      <w:r>
        <w:t>5.5. Mechanism-linked salvage pathways</w:t>
      </w:r>
    </w:p>
    <w:p w14:paraId="67A4E470" w14:textId="77777777" w:rsidR="00D2322A" w:rsidRDefault="00D2322A" w:rsidP="00F93E0B">
      <w:pPr>
        <w:pStyle w:val="NormalWeb"/>
        <w:jc w:val="both"/>
      </w:pPr>
      <w:r>
        <w:t>Because complications are mechanism-driven, salvage should be framed the same way. Contemporary guidance for failed RHA emphasizes structured evaluation: confirm instability, identify overlengthening/overstuffing, assess capitellar status, and distinguish painful loosening from motion-limiting HO or stiffness (</w:t>
      </w:r>
      <w:proofErr w:type="spellStart"/>
      <w:r>
        <w:t>Kodde</w:t>
      </w:r>
      <w:proofErr w:type="spellEnd"/>
      <w:r>
        <w:t xml:space="preserve"> et al., 2020; </w:t>
      </w:r>
      <w:proofErr w:type="spellStart"/>
      <w:r>
        <w:t>Wegmann</w:t>
      </w:r>
      <w:proofErr w:type="spellEnd"/>
      <w:r>
        <w:t xml:space="preserve"> et al., 2021). Multicenter revision experience suggests that isolated removal may be acceptable when the elbow is stable, whereas revision arthroplasty is more appropriate when instability persists (Barret et al., 2023). For excision-related failures, the most important “salvage principle” is recognizing and treating the underlying instability pattern (including forearm-axis problems) rather than focusing only on elbow motion. In practice, this often means that avoiding excision in complex instability patterns is the best complication-prevention strategy—because once longitudinal instability and joint overload are established, outcomes become harder to normalize (</w:t>
      </w:r>
      <w:proofErr w:type="spellStart"/>
      <w:r>
        <w:t>Masouros</w:t>
      </w:r>
      <w:proofErr w:type="spellEnd"/>
      <w:r>
        <w:t xml:space="preserve"> et al., 2019).</w:t>
      </w:r>
    </w:p>
    <w:p w14:paraId="3BDC8164"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155CB7F7"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6. Comparative evidence synthesis by injury scenario</w:t>
      </w:r>
    </w:p>
    <w:p w14:paraId="210A4205"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6.1 Unrepairable comminuted fractures (Mason type III and selected type IV)</w:t>
      </w:r>
    </w:p>
    <w:p w14:paraId="219371A4"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The most direct comparative evidence comes from systematic review-level synthesis of unrepairable comminuted fractures where ORIF is not suitable. In this setting, the balance of evidence favors arthroplasty for improved stability, range of motion, pain control, and fewer complications compared with excision, while still acknowledging excision as a potential option in isolated fractures without ligament injury and in older low-demand patients (</w:t>
      </w:r>
      <w:proofErr w:type="spellStart"/>
      <w:r w:rsidRPr="00C5683C">
        <w:rPr>
          <w:rFonts w:ascii="Times New Roman" w:eastAsia="Times New Roman" w:hAnsi="Times New Roman" w:cs="Times New Roman"/>
          <w:sz w:val="24"/>
          <w:szCs w:val="24"/>
          <w:lang w:val="en-US"/>
        </w:rPr>
        <w:t>Catellani</w:t>
      </w:r>
      <w:proofErr w:type="spellEnd"/>
      <w:r w:rsidRPr="00C5683C">
        <w:rPr>
          <w:rFonts w:ascii="Times New Roman" w:eastAsia="Times New Roman" w:hAnsi="Times New Roman" w:cs="Times New Roman"/>
          <w:sz w:val="24"/>
          <w:szCs w:val="24"/>
          <w:lang w:val="en-US"/>
        </w:rPr>
        <w:t xml:space="preserve"> et al., 2018).</w:t>
      </w:r>
      <w:r w:rsidRPr="00C5683C">
        <w:rPr>
          <w:rFonts w:ascii="Times New Roman" w:eastAsia="Times New Roman" w:hAnsi="Times New Roman" w:cs="Times New Roman"/>
          <w:sz w:val="24"/>
          <w:szCs w:val="24"/>
          <w:lang w:val="en-US"/>
        </w:rPr>
        <w:br/>
        <w:t>This conclusion aligns with the mechanistic rationale: when the radial head is needed for stability, replacing it is often preferable to removing it; when it is not needed, the simplicity of excision may be sufficient.</w:t>
      </w:r>
    </w:p>
    <w:p w14:paraId="307B606B"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6.2 Elbow fracture-dislocation patterns and terrible triad variants</w:t>
      </w:r>
    </w:p>
    <w:p w14:paraId="082EB96C"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In terrible triad injuries (typically radial head fracture, coronoid fracture, and elbow dislocation), the radial head often serves as a stabilizing structure after ligament repair and coronoid management. In these patterns, excision is generally avoided unless stability can be convincingly maintained by other reconstructions. Arthroplasty is frequently selected when the radial head fracture is not </w:t>
      </w:r>
      <w:proofErr w:type="spellStart"/>
      <w:r w:rsidRPr="00C5683C">
        <w:rPr>
          <w:rFonts w:ascii="Times New Roman" w:eastAsia="Times New Roman" w:hAnsi="Times New Roman" w:cs="Times New Roman"/>
          <w:sz w:val="24"/>
          <w:szCs w:val="24"/>
          <w:lang w:val="en-US"/>
        </w:rPr>
        <w:t>reconstructible</w:t>
      </w:r>
      <w:proofErr w:type="spellEnd"/>
      <w:r w:rsidRPr="00C5683C">
        <w:rPr>
          <w:rFonts w:ascii="Times New Roman" w:eastAsia="Times New Roman" w:hAnsi="Times New Roman" w:cs="Times New Roman"/>
          <w:sz w:val="24"/>
          <w:szCs w:val="24"/>
          <w:lang w:val="en-US"/>
        </w:rPr>
        <w:t>, aiming to permit early motion while maintaining joint congruency.</w:t>
      </w:r>
    </w:p>
    <w:p w14:paraId="038C21D4"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lastRenderedPageBreak/>
        <w:t>Within arthroplasty itself, polarity has been debated. A comparative cohort study in elbow fracture-dislocation found no significant difference in clinical outcomes or complication/revision rates between monopolar and bipolar prostheses, suggesting that appropriate overall reconstruction and rehabilitation may dominate outcomes (Antoni et al., 2020).</w:t>
      </w:r>
      <w:r w:rsidRPr="00C5683C">
        <w:rPr>
          <w:rFonts w:ascii="Times New Roman" w:eastAsia="Times New Roman" w:hAnsi="Times New Roman" w:cs="Times New Roman"/>
          <w:sz w:val="24"/>
          <w:szCs w:val="24"/>
          <w:lang w:val="en-US"/>
        </w:rPr>
        <w:br/>
        <w:t>Although this does not directly compare excision to arthroplasty, it reinforces the idea that arthroplasty success is heavily dependent on global elbow stabilization strategy.</w:t>
      </w:r>
    </w:p>
    <w:p w14:paraId="31FA8155"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6.3 Longitudinal forearm instability (Essex-</w:t>
      </w:r>
      <w:proofErr w:type="spellStart"/>
      <w:r w:rsidRPr="00C5683C">
        <w:rPr>
          <w:rFonts w:ascii="Times New Roman" w:eastAsia="Times New Roman" w:hAnsi="Times New Roman" w:cs="Times New Roman"/>
          <w:b/>
          <w:bCs/>
          <w:sz w:val="27"/>
          <w:szCs w:val="27"/>
          <w:lang w:val="en-US"/>
        </w:rPr>
        <w:t>Lopresti</w:t>
      </w:r>
      <w:proofErr w:type="spellEnd"/>
      <w:r w:rsidRPr="00C5683C">
        <w:rPr>
          <w:rFonts w:ascii="Times New Roman" w:eastAsia="Times New Roman" w:hAnsi="Times New Roman" w:cs="Times New Roman"/>
          <w:b/>
          <w:bCs/>
          <w:sz w:val="27"/>
          <w:szCs w:val="27"/>
          <w:lang w:val="en-US"/>
        </w:rPr>
        <w:t xml:space="preserve"> spectrum)</w:t>
      </w:r>
    </w:p>
    <w:p w14:paraId="72406002"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Longitudinal radioulnar dissociation is a high-stakes scenario for the excision-versus-replacement choice. Contemporary review evidence emphasizes that in acute Essex-</w:t>
      </w:r>
      <w:proofErr w:type="spellStart"/>
      <w:r w:rsidRPr="00C5683C">
        <w:rPr>
          <w:rFonts w:ascii="Times New Roman" w:eastAsia="Times New Roman" w:hAnsi="Times New Roman" w:cs="Times New Roman"/>
          <w:sz w:val="24"/>
          <w:szCs w:val="24"/>
          <w:lang w:val="en-US"/>
        </w:rPr>
        <w:t>Lopresti</w:t>
      </w:r>
      <w:proofErr w:type="spellEnd"/>
      <w:r w:rsidRPr="00C5683C">
        <w:rPr>
          <w:rFonts w:ascii="Times New Roman" w:eastAsia="Times New Roman" w:hAnsi="Times New Roman" w:cs="Times New Roman"/>
          <w:sz w:val="24"/>
          <w:szCs w:val="24"/>
          <w:lang w:val="en-US"/>
        </w:rPr>
        <w:t xml:space="preserve"> injuries, preserving or reconstructing the radial head (often via arthroplasty when comminuted) is critical to prevent proximal radial migration and DRUJ dysfunction. Excision is particularly risky because it removes the proximal buttress that resists migration under axial load (</w:t>
      </w:r>
      <w:proofErr w:type="spellStart"/>
      <w:r w:rsidRPr="00C5683C">
        <w:rPr>
          <w:rFonts w:ascii="Times New Roman" w:eastAsia="Times New Roman" w:hAnsi="Times New Roman" w:cs="Times New Roman"/>
          <w:sz w:val="24"/>
          <w:szCs w:val="24"/>
          <w:lang w:val="en-US"/>
        </w:rPr>
        <w:t>Masouros</w:t>
      </w:r>
      <w:proofErr w:type="spellEnd"/>
      <w:r w:rsidRPr="00C5683C">
        <w:rPr>
          <w:rFonts w:ascii="Times New Roman" w:eastAsia="Times New Roman" w:hAnsi="Times New Roman" w:cs="Times New Roman"/>
          <w:sz w:val="24"/>
          <w:szCs w:val="24"/>
          <w:lang w:val="en-US"/>
        </w:rPr>
        <w:t xml:space="preserve"> et al., 2019).</w:t>
      </w:r>
      <w:r w:rsidRPr="00C5683C">
        <w:rPr>
          <w:rFonts w:ascii="Times New Roman" w:eastAsia="Times New Roman" w:hAnsi="Times New Roman" w:cs="Times New Roman"/>
          <w:sz w:val="24"/>
          <w:szCs w:val="24"/>
          <w:lang w:val="en-US"/>
        </w:rPr>
        <w:br/>
        <w:t>The practical message is that any suspicion of interosseous membrane injury or DRUJ instability should shift decision-making away from excision and toward radial head reconstruction or replacement integrated with forearm stabilization strategies.</w:t>
      </w:r>
    </w:p>
    <w:p w14:paraId="2AB02D88"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6.4 Arthroplasty outcomes in the long term: function versus imaging</w:t>
      </w:r>
    </w:p>
    <w:p w14:paraId="43CF772C"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Long-term outcome synthesis for arthroplasty shows a common pattern: satisfactory function and pain relief in many patients, contrasted with frequent radiologic findings such as radiolucency, degenerative changes, or heterotopic ossification. At long follow-up (minimum mean 8 years), arthroplasty cohorts show “good” average functional scores and low disability, with measurable revision and secondary surgery rates (Davey et al., 2021).</w:t>
      </w:r>
      <w:r w:rsidRPr="00C5683C">
        <w:rPr>
          <w:rFonts w:ascii="Times New Roman" w:eastAsia="Times New Roman" w:hAnsi="Times New Roman" w:cs="Times New Roman"/>
          <w:sz w:val="24"/>
          <w:szCs w:val="24"/>
          <w:lang w:val="en-US"/>
        </w:rPr>
        <w:br/>
        <w:t>This has implications for follow-up strategy: radiographic change alone may not mandate revision, but progressive symptoms, instability, or severe overstuffing-related mechanics often do.</w:t>
      </w:r>
    </w:p>
    <w:p w14:paraId="091BB8BE"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078AF7C4"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7. Technical factors that influence outcomes</w:t>
      </w:r>
    </w:p>
    <w:p w14:paraId="794FCA27"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7.1 Key technical considerations in excision</w:t>
      </w:r>
    </w:p>
    <w:p w14:paraId="050B43F7"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When excision is chosen, the main technical goal is to avoid destabilizing the elbow and forearm. This includes careful assessment of collateral ligament integrity intraoperatively, evaluation for DRUJ instability, and suspicion for interosseous membrane disruption. Preservation or repair of stabilizing soft tissues, avoidance of unnecessary collateral damage, and structured rehabilitation focusing on stable motion are central. Because the major failure mode is instability rather than articular incongruity, technical success is less about perfect bony reconstruction and more about correct patient selection and stability confirmation.</w:t>
      </w:r>
    </w:p>
    <w:p w14:paraId="1C3B0FB5"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7.2 Key technical considerations in arthroplasty: sizing and avoiding overstuffing</w:t>
      </w:r>
    </w:p>
    <w:p w14:paraId="20D65657"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lastRenderedPageBreak/>
        <w:t xml:space="preserve">For arthroplasty, sizing is a dominant determinant of pain, motion, and capitellar wear. Overlengthening can manifest as stiffness, lateral pain, </w:t>
      </w:r>
      <w:proofErr w:type="spellStart"/>
      <w:r w:rsidRPr="00C5683C">
        <w:rPr>
          <w:rFonts w:ascii="Times New Roman" w:eastAsia="Times New Roman" w:hAnsi="Times New Roman" w:cs="Times New Roman"/>
          <w:sz w:val="24"/>
          <w:szCs w:val="24"/>
          <w:lang w:val="en-US"/>
        </w:rPr>
        <w:t>radiocapitellar</w:t>
      </w:r>
      <w:proofErr w:type="spellEnd"/>
      <w:r w:rsidRPr="00C5683C">
        <w:rPr>
          <w:rFonts w:ascii="Times New Roman" w:eastAsia="Times New Roman" w:hAnsi="Times New Roman" w:cs="Times New Roman"/>
          <w:sz w:val="24"/>
          <w:szCs w:val="24"/>
          <w:lang w:val="en-US"/>
        </w:rPr>
        <w:t xml:space="preserve"> </w:t>
      </w:r>
      <w:proofErr w:type="spellStart"/>
      <w:r w:rsidRPr="00C5683C">
        <w:rPr>
          <w:rFonts w:ascii="Times New Roman" w:eastAsia="Times New Roman" w:hAnsi="Times New Roman" w:cs="Times New Roman"/>
          <w:sz w:val="24"/>
          <w:szCs w:val="24"/>
          <w:lang w:val="en-US"/>
        </w:rPr>
        <w:t>overcompression</w:t>
      </w:r>
      <w:proofErr w:type="spellEnd"/>
      <w:r w:rsidRPr="00C5683C">
        <w:rPr>
          <w:rFonts w:ascii="Times New Roman" w:eastAsia="Times New Roman" w:hAnsi="Times New Roman" w:cs="Times New Roman"/>
          <w:sz w:val="24"/>
          <w:szCs w:val="24"/>
          <w:lang w:val="en-US"/>
        </w:rPr>
        <w:t xml:space="preserve">, and accelerated capitellar erosion. </w:t>
      </w:r>
      <w:proofErr w:type="spellStart"/>
      <w:r w:rsidRPr="00C5683C">
        <w:rPr>
          <w:rFonts w:ascii="Times New Roman" w:eastAsia="Times New Roman" w:hAnsi="Times New Roman" w:cs="Times New Roman"/>
          <w:sz w:val="24"/>
          <w:szCs w:val="24"/>
          <w:lang w:val="en-US"/>
        </w:rPr>
        <w:t>Underlengthening</w:t>
      </w:r>
      <w:proofErr w:type="spellEnd"/>
      <w:r w:rsidRPr="00C5683C">
        <w:rPr>
          <w:rFonts w:ascii="Times New Roman" w:eastAsia="Times New Roman" w:hAnsi="Times New Roman" w:cs="Times New Roman"/>
          <w:sz w:val="24"/>
          <w:szCs w:val="24"/>
          <w:lang w:val="en-US"/>
        </w:rPr>
        <w:t xml:space="preserve"> can fail to restore stability. Modern modularity helps but does not eliminate the risk: intraoperative imaging, anatomic referencing, and cautious trialing are critical. The broader literature on arthroplasty failure repeatedly identifies overstuffing and malposition among important contributors to revision or persistent symptoms (</w:t>
      </w:r>
      <w:proofErr w:type="spellStart"/>
      <w:r w:rsidRPr="00C5683C">
        <w:rPr>
          <w:rFonts w:ascii="Times New Roman" w:eastAsia="Times New Roman" w:hAnsi="Times New Roman" w:cs="Times New Roman"/>
          <w:sz w:val="24"/>
          <w:szCs w:val="24"/>
          <w:lang w:val="en-US"/>
        </w:rPr>
        <w:t>Viveen</w:t>
      </w:r>
      <w:proofErr w:type="spellEnd"/>
      <w:r w:rsidRPr="00C5683C">
        <w:rPr>
          <w:rFonts w:ascii="Times New Roman" w:eastAsia="Times New Roman" w:hAnsi="Times New Roman" w:cs="Times New Roman"/>
          <w:sz w:val="24"/>
          <w:szCs w:val="24"/>
          <w:lang w:val="en-US"/>
        </w:rPr>
        <w:t xml:space="preserve"> et al., 2020; </w:t>
      </w:r>
      <w:proofErr w:type="spellStart"/>
      <w:r w:rsidRPr="00C5683C">
        <w:rPr>
          <w:rFonts w:ascii="Times New Roman" w:eastAsia="Times New Roman" w:hAnsi="Times New Roman" w:cs="Times New Roman"/>
          <w:sz w:val="24"/>
          <w:szCs w:val="24"/>
          <w:lang w:val="en-US"/>
        </w:rPr>
        <w:t>Kachooei</w:t>
      </w:r>
      <w:proofErr w:type="spellEnd"/>
      <w:r w:rsidRPr="00C5683C">
        <w:rPr>
          <w:rFonts w:ascii="Times New Roman" w:eastAsia="Times New Roman" w:hAnsi="Times New Roman" w:cs="Times New Roman"/>
          <w:sz w:val="24"/>
          <w:szCs w:val="24"/>
          <w:lang w:val="en-US"/>
        </w:rPr>
        <w:t xml:space="preserve"> et al., 2018).</w:t>
      </w:r>
    </w:p>
    <w:p w14:paraId="59BB1B4D" w14:textId="77777777" w:rsidR="00C5683C" w:rsidRPr="00C5683C" w:rsidRDefault="00C5683C" w:rsidP="00F93E0B">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C5683C">
        <w:rPr>
          <w:rFonts w:ascii="Times New Roman" w:eastAsia="Times New Roman" w:hAnsi="Times New Roman" w:cs="Times New Roman"/>
          <w:b/>
          <w:bCs/>
          <w:sz w:val="27"/>
          <w:szCs w:val="27"/>
          <w:lang w:val="en-US"/>
        </w:rPr>
        <w:t>7.3 Stem fixation strategy and revision implications</w:t>
      </w:r>
    </w:p>
    <w:p w14:paraId="7A132EB0" w14:textId="77777777"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Cemented stems may provide immediate fixation but complicate removal and revision. Press-fit stems may ease revision but can loosen, particularly if sizing is imperfect or bone quality is poor. These trade-offs influence revision planning: salvage options include implant exchange, conversion to different designs, implant removal with soft tissue stabilization (only if stable), or, in severe degenerative cases, more extensive reconstruction.</w:t>
      </w:r>
    </w:p>
    <w:p w14:paraId="4CF30E59"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237A4247"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8. Future directions and research priorities</w:t>
      </w:r>
    </w:p>
    <w:p w14:paraId="244D5E62" w14:textId="6D89BF7C" w:rsidR="00C5683C" w:rsidRPr="00C5683C" w:rsidRDefault="00C5683C" w:rsidP="00F93E0B">
      <w:pPr>
        <w:spacing w:before="100" w:beforeAutospacing="1" w:after="100" w:afterAutospacing="1" w:line="240" w:lineRule="auto"/>
        <w:jc w:val="both"/>
        <w:rPr>
          <w:rFonts w:ascii="Times New Roman" w:eastAsia="Times New Roman" w:hAnsi="Times New Roman" w:cs="Times New Roman"/>
          <w:sz w:val="24"/>
          <w:szCs w:val="24"/>
          <w:lang w:val="en-US"/>
        </w:rPr>
      </w:pPr>
      <w:r w:rsidRPr="00C5683C">
        <w:rPr>
          <w:rFonts w:ascii="Times New Roman" w:eastAsia="Times New Roman" w:hAnsi="Times New Roman" w:cs="Times New Roman"/>
          <w:sz w:val="24"/>
          <w:szCs w:val="24"/>
          <w:lang w:val="en-US"/>
        </w:rPr>
        <w:t xml:space="preserve">Despite substantial progress, important gaps remain. First, direct high-quality comparative trials between excision and arthroplasty are limited because modern indications have diverged: excision is now reserved for stable isolated injuries, whereas arthroplasty is used in unstable patterns, making confounding by indication difficult to eliminate. Prospective multi-center cohorts with standardized injury classification, imaging protocols for DRUJ/interosseous membrane assessment, and uniform rehabilitation pathways would improve causal inference. Second, registry-level data could clarify implant survivorship in real-world practice and identify device-specific risk factors for revision. Third, refinement of intraoperative sizing tools—potentially including patient-specific planning and improved radiographic referencing—may reduce overstuffing and its downstream complications. Finally, research addressing </w:t>
      </w:r>
      <w:r w:rsidRPr="003B3A7F">
        <w:rPr>
          <w:rFonts w:ascii="Times New Roman" w:eastAsia="Times New Roman" w:hAnsi="Times New Roman" w:cs="Times New Roman"/>
          <w:sz w:val="24"/>
          <w:szCs w:val="24"/>
          <w:highlight w:val="yellow"/>
          <w:lang w:val="en-US"/>
        </w:rPr>
        <w:t>patient-</w:t>
      </w:r>
      <w:proofErr w:type="spellStart"/>
      <w:r w:rsidRPr="003B3A7F">
        <w:rPr>
          <w:rFonts w:ascii="Times New Roman" w:eastAsia="Times New Roman" w:hAnsi="Times New Roman" w:cs="Times New Roman"/>
          <w:sz w:val="24"/>
          <w:szCs w:val="24"/>
          <w:highlight w:val="yellow"/>
          <w:lang w:val="en-US"/>
        </w:rPr>
        <w:t>centred</w:t>
      </w:r>
      <w:proofErr w:type="spellEnd"/>
      <w:r w:rsidRPr="003B3A7F">
        <w:rPr>
          <w:rFonts w:ascii="Times New Roman" w:eastAsia="Times New Roman" w:hAnsi="Times New Roman" w:cs="Times New Roman"/>
          <w:sz w:val="24"/>
          <w:szCs w:val="24"/>
          <w:highlight w:val="yellow"/>
          <w:lang w:val="en-US"/>
        </w:rPr>
        <w:t xml:space="preserve"> endpoints</w:t>
      </w:r>
      <w:r w:rsidRPr="00C5683C">
        <w:rPr>
          <w:rFonts w:ascii="Times New Roman" w:eastAsia="Times New Roman" w:hAnsi="Times New Roman" w:cs="Times New Roman"/>
          <w:sz w:val="24"/>
          <w:szCs w:val="24"/>
          <w:lang w:val="en-US"/>
        </w:rPr>
        <w:t xml:space="preserve"> (return to work, sport, and quality of life) across different injury patterns would align the evidence base with contemporary shared decision-making.</w:t>
      </w:r>
    </w:p>
    <w:p w14:paraId="472A9F1B"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4926AFEA"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9. Conclusions</w:t>
      </w:r>
    </w:p>
    <w:p w14:paraId="6C378D6E" w14:textId="77777777" w:rsidR="00CB75A8" w:rsidRDefault="00CB75A8" w:rsidP="00F93E0B">
      <w:pPr>
        <w:pStyle w:val="NormalWeb"/>
        <w:jc w:val="both"/>
      </w:pPr>
      <w:proofErr w:type="gramStart"/>
      <w:r>
        <w:rPr>
          <w:rFonts w:hAnsi="Symbol"/>
        </w:rPr>
        <w:t></w:t>
      </w:r>
      <w:r>
        <w:t xml:space="preserve">  Radial</w:t>
      </w:r>
      <w:proofErr w:type="gramEnd"/>
      <w:r>
        <w:t xml:space="preserve"> head fractures should be approached with a stability-first mindset, because the radial head contributes to valgus restraint, posterolateral stability, and axial load transfer across the </w:t>
      </w:r>
      <w:proofErr w:type="spellStart"/>
      <w:r>
        <w:t>radiocapitellar</w:t>
      </w:r>
      <w:proofErr w:type="spellEnd"/>
      <w:r>
        <w:t xml:space="preserve"> joint.</w:t>
      </w:r>
    </w:p>
    <w:p w14:paraId="2A39A49B" w14:textId="77777777" w:rsidR="00CB75A8" w:rsidRDefault="00CB75A8" w:rsidP="00F93E0B">
      <w:pPr>
        <w:pStyle w:val="NormalWeb"/>
        <w:jc w:val="both"/>
      </w:pPr>
      <w:proofErr w:type="gramStart"/>
      <w:r>
        <w:rPr>
          <w:rFonts w:hAnsi="Symbol"/>
        </w:rPr>
        <w:t></w:t>
      </w:r>
      <w:r>
        <w:t xml:space="preserve">  The</w:t>
      </w:r>
      <w:proofErr w:type="gramEnd"/>
      <w:r>
        <w:t xml:space="preserve"> decision between excision and arthroplasty is best determined by the overall injury pattern, especially the presence or absence of elbow instability, fracture-dislocation, coronoid injury, and forearm longitudinal instability risk.</w:t>
      </w:r>
    </w:p>
    <w:p w14:paraId="006C9AAA" w14:textId="77777777" w:rsidR="00CB75A8" w:rsidRDefault="00CB75A8" w:rsidP="00F93E0B">
      <w:pPr>
        <w:pStyle w:val="NormalWeb"/>
        <w:jc w:val="both"/>
      </w:pPr>
      <w:proofErr w:type="gramStart"/>
      <w:r>
        <w:rPr>
          <w:rFonts w:hAnsi="Symbol"/>
        </w:rPr>
        <w:t></w:t>
      </w:r>
      <w:r>
        <w:t xml:space="preserve">  Radial</w:t>
      </w:r>
      <w:proofErr w:type="gramEnd"/>
      <w:r>
        <w:t xml:space="preserve"> head excision can provide satisfactory pain relief and functional motion when performed in carefully selected isolated, stable, unreconstructible fractures, particularly in low-demand patients with intact soft-tissue and forearm constraints.</w:t>
      </w:r>
    </w:p>
    <w:p w14:paraId="617622C1" w14:textId="77777777" w:rsidR="00CB75A8" w:rsidRDefault="00CB75A8" w:rsidP="00F93E0B">
      <w:pPr>
        <w:pStyle w:val="NormalWeb"/>
        <w:jc w:val="both"/>
      </w:pPr>
      <w:proofErr w:type="gramStart"/>
      <w:r>
        <w:rPr>
          <w:rFonts w:hAnsi="Symbol"/>
        </w:rPr>
        <w:lastRenderedPageBreak/>
        <w:t></w:t>
      </w:r>
      <w:r>
        <w:t xml:space="preserve">  Radial</w:t>
      </w:r>
      <w:proofErr w:type="gramEnd"/>
      <w:r>
        <w:t xml:space="preserve"> head arthroplasty is generally the more dependable option for non-</w:t>
      </w:r>
      <w:proofErr w:type="spellStart"/>
      <w:r>
        <w:t>reconstructible</w:t>
      </w:r>
      <w:proofErr w:type="spellEnd"/>
      <w:r>
        <w:t xml:space="preserve"> fractures when stability is threatened, because it restores the </w:t>
      </w:r>
      <w:proofErr w:type="spellStart"/>
      <w:r>
        <w:t>radiocapitellar</w:t>
      </w:r>
      <w:proofErr w:type="spellEnd"/>
      <w:r>
        <w:t xml:space="preserve"> buttress and supports early mobilization after complex reconstruction.</w:t>
      </w:r>
    </w:p>
    <w:p w14:paraId="0C202C65" w14:textId="77777777" w:rsidR="00CB75A8" w:rsidRDefault="00CB75A8" w:rsidP="00F93E0B">
      <w:pPr>
        <w:pStyle w:val="NormalWeb"/>
        <w:jc w:val="both"/>
      </w:pPr>
      <w:proofErr w:type="gramStart"/>
      <w:r>
        <w:rPr>
          <w:rFonts w:hAnsi="Symbol"/>
        </w:rPr>
        <w:t></w:t>
      </w:r>
      <w:r>
        <w:t xml:space="preserve">  Functional</w:t>
      </w:r>
      <w:proofErr w:type="gramEnd"/>
      <w:r>
        <w:t xml:space="preserve"> outcomes after either strategy are strongly influenced by associated ligament and coronoid management, early rehabilitation, and prevention or treatment of stiffness and heterotopic ossification.</w:t>
      </w:r>
    </w:p>
    <w:p w14:paraId="4953DB4F" w14:textId="77777777" w:rsidR="00CB75A8" w:rsidRDefault="00CB75A8" w:rsidP="00F93E0B">
      <w:pPr>
        <w:pStyle w:val="NormalWeb"/>
        <w:jc w:val="both"/>
      </w:pPr>
      <w:proofErr w:type="gramStart"/>
      <w:r>
        <w:rPr>
          <w:rFonts w:hAnsi="Symbol"/>
        </w:rPr>
        <w:t></w:t>
      </w:r>
      <w:r>
        <w:t xml:space="preserve">  Each</w:t>
      </w:r>
      <w:proofErr w:type="gramEnd"/>
      <w:r>
        <w:t xml:space="preserve"> strategy carries distinct complication mechanisms: excision is most limited by instability and proximal radial migration in unrecognized complex injuries, whereas arthroplasty is most limited by sizing/positioning errors, stiffness, and implant-related symptoms that may require reoperation.</w:t>
      </w:r>
    </w:p>
    <w:p w14:paraId="31113D84" w14:textId="77777777" w:rsidR="00CB75A8" w:rsidRDefault="00CB75A8" w:rsidP="00F93E0B">
      <w:pPr>
        <w:pStyle w:val="NormalWeb"/>
        <w:jc w:val="both"/>
      </w:pPr>
      <w:proofErr w:type="gramStart"/>
      <w:r>
        <w:rPr>
          <w:rFonts w:hAnsi="Symbol"/>
        </w:rPr>
        <w:t></w:t>
      </w:r>
      <w:r>
        <w:t xml:space="preserve">  Technical</w:t>
      </w:r>
      <w:proofErr w:type="gramEnd"/>
      <w:r>
        <w:t xml:space="preserve"> precision is critical in arthroplasty, particularly avoiding overlengthening/overstuffing and ensuring stable alignment, because these factors can drive pain, motion restriction, and degenerative change even when gross stability is restored.</w:t>
      </w:r>
    </w:p>
    <w:p w14:paraId="7D71C64B" w14:textId="77777777" w:rsidR="00CB75A8" w:rsidRDefault="00CB75A8" w:rsidP="00F93E0B">
      <w:pPr>
        <w:pStyle w:val="NormalWeb"/>
        <w:jc w:val="both"/>
      </w:pPr>
      <w:proofErr w:type="gramStart"/>
      <w:r>
        <w:rPr>
          <w:rFonts w:hAnsi="Symbol"/>
        </w:rPr>
        <w:t></w:t>
      </w:r>
      <w:r>
        <w:t xml:space="preserve">  Long</w:t>
      </w:r>
      <w:proofErr w:type="gramEnd"/>
      <w:r>
        <w:t>-term success depends on accurate injury recognition, appropriate procedure selection, meticulous execution, and structured follow-up that focuses on function, stability, and patient-specific goals rather than radiographs alone.</w:t>
      </w:r>
    </w:p>
    <w:p w14:paraId="10D1272E"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42D8D3F9"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10. Limitations</w:t>
      </w:r>
    </w:p>
    <w:p w14:paraId="1348BD25" w14:textId="77777777" w:rsidR="00CB75A8" w:rsidRDefault="00CB75A8" w:rsidP="00F93E0B">
      <w:pPr>
        <w:pStyle w:val="NormalWeb"/>
        <w:jc w:val="both"/>
      </w:pPr>
      <w:proofErr w:type="gramStart"/>
      <w:r>
        <w:rPr>
          <w:rFonts w:hAnsi="Symbol"/>
        </w:rPr>
        <w:t></w:t>
      </w:r>
      <w:r>
        <w:t xml:space="preserve">  This</w:t>
      </w:r>
      <w:proofErr w:type="gramEnd"/>
      <w:r>
        <w:t xml:space="preserve"> is a narrative review with inherent limitations. The available evidence comparing radial head excision and arthroplasty is heterogeneous, with substantial variation in injury severity, associated ligament/coronoid involvement, surgical techniques, and rehabilitation protocols.</w:t>
      </w:r>
    </w:p>
    <w:p w14:paraId="688CE511" w14:textId="77777777" w:rsidR="00CB75A8" w:rsidRDefault="00CB75A8" w:rsidP="00F93E0B">
      <w:pPr>
        <w:pStyle w:val="NormalWeb"/>
        <w:jc w:val="both"/>
      </w:pPr>
      <w:proofErr w:type="gramStart"/>
      <w:r>
        <w:rPr>
          <w:rFonts w:hAnsi="Symbol"/>
        </w:rPr>
        <w:t></w:t>
      </w:r>
      <w:r>
        <w:t xml:space="preserve">  Many</w:t>
      </w:r>
      <w:proofErr w:type="gramEnd"/>
      <w:r>
        <w:t xml:space="preserve"> studies are retrospective and subject to selection bias, because excision is more often chosen for stable isolated injuries while arthroplasty is preferentially used for unstable fracture-dislocations, making direct comparisons confounded by indication.</w:t>
      </w:r>
    </w:p>
    <w:p w14:paraId="003CB8F6" w14:textId="77777777" w:rsidR="00CB75A8" w:rsidRDefault="00CB75A8" w:rsidP="00F93E0B">
      <w:pPr>
        <w:pStyle w:val="NormalWeb"/>
        <w:jc w:val="both"/>
      </w:pPr>
      <w:proofErr w:type="gramStart"/>
      <w:r>
        <w:rPr>
          <w:rFonts w:hAnsi="Symbol"/>
        </w:rPr>
        <w:t></w:t>
      </w:r>
      <w:r>
        <w:t xml:space="preserve">  Classification</w:t>
      </w:r>
      <w:proofErr w:type="gramEnd"/>
      <w:r>
        <w:t xml:space="preserve"> systems and definitions of “unrepairable” comminution are not applied uniformly, limiting reproducibility and complicating pooling of outcomes across studies.</w:t>
      </w:r>
    </w:p>
    <w:p w14:paraId="34906B8B" w14:textId="77777777" w:rsidR="00CB75A8" w:rsidRDefault="00CB75A8" w:rsidP="00F93E0B">
      <w:pPr>
        <w:pStyle w:val="NormalWeb"/>
        <w:jc w:val="both"/>
      </w:pPr>
      <w:proofErr w:type="gramStart"/>
      <w:r>
        <w:rPr>
          <w:rFonts w:hAnsi="Symbol"/>
        </w:rPr>
        <w:t></w:t>
      </w:r>
      <w:r>
        <w:t xml:space="preserve">  Outcome</w:t>
      </w:r>
      <w:proofErr w:type="gramEnd"/>
      <w:r>
        <w:t xml:space="preserve"> reporting is inconsistent, with differing functional scores, follow-up durations, and thresholds for defining complications such as loosening, overstuffing, instability, or clinically significant heterotopic ossification.</w:t>
      </w:r>
    </w:p>
    <w:p w14:paraId="237A737D" w14:textId="77777777" w:rsidR="00CB75A8" w:rsidRDefault="00CB75A8" w:rsidP="00F93E0B">
      <w:pPr>
        <w:pStyle w:val="NormalWeb"/>
        <w:jc w:val="both"/>
      </w:pPr>
      <w:proofErr w:type="gramStart"/>
      <w:r>
        <w:rPr>
          <w:rFonts w:hAnsi="Symbol"/>
        </w:rPr>
        <w:t></w:t>
      </w:r>
      <w:r>
        <w:t xml:space="preserve">  Radiographic</w:t>
      </w:r>
      <w:proofErr w:type="gramEnd"/>
      <w:r>
        <w:t xml:space="preserve"> findings are variably correlated with symptoms and function, and several studies do not distinguish between incidental imaging changes and clinically meaningful failure requiring intervention.</w:t>
      </w:r>
    </w:p>
    <w:p w14:paraId="2BAD48EB" w14:textId="77777777" w:rsidR="00CB75A8" w:rsidRDefault="00CB75A8" w:rsidP="00F93E0B">
      <w:pPr>
        <w:pStyle w:val="NormalWeb"/>
        <w:jc w:val="both"/>
      </w:pPr>
      <w:proofErr w:type="gramStart"/>
      <w:r>
        <w:rPr>
          <w:rFonts w:hAnsi="Symbol"/>
        </w:rPr>
        <w:t></w:t>
      </w:r>
      <w:r>
        <w:t xml:space="preserve">  Implant</w:t>
      </w:r>
      <w:proofErr w:type="gramEnd"/>
      <w:r>
        <w:t>-related variables such as design type, fixation method, and sizing strategy differ across cohorts and time periods, so conclusions may not fully reflect current-generation prostheses or evolving technical standards.</w:t>
      </w:r>
    </w:p>
    <w:p w14:paraId="31D3364A" w14:textId="77777777" w:rsidR="00CB75A8" w:rsidRDefault="00CB75A8" w:rsidP="00F93E0B">
      <w:pPr>
        <w:pStyle w:val="NormalWeb"/>
        <w:jc w:val="both"/>
      </w:pPr>
      <w:proofErr w:type="gramStart"/>
      <w:r>
        <w:rPr>
          <w:rFonts w:hAnsi="Symbol"/>
        </w:rPr>
        <w:lastRenderedPageBreak/>
        <w:t></w:t>
      </w:r>
      <w:r>
        <w:t xml:space="preserve">  Long</w:t>
      </w:r>
      <w:proofErr w:type="gramEnd"/>
      <w:r>
        <w:t>-term outcomes for contemporary excision in strictly selected stable injuries are relatively limited, because excision has become less common in modern unstable elbow trauma practice.</w:t>
      </w:r>
    </w:p>
    <w:p w14:paraId="0ED68356" w14:textId="77777777" w:rsidR="00CB75A8" w:rsidRDefault="00CB75A8" w:rsidP="00F93E0B">
      <w:pPr>
        <w:pStyle w:val="NormalWeb"/>
        <w:jc w:val="both"/>
      </w:pPr>
      <w:proofErr w:type="gramStart"/>
      <w:r>
        <w:rPr>
          <w:rFonts w:hAnsi="Symbol"/>
        </w:rPr>
        <w:t></w:t>
      </w:r>
      <w:r>
        <w:t xml:space="preserve">  Reporting</w:t>
      </w:r>
      <w:proofErr w:type="gramEnd"/>
      <w:r>
        <w:t xml:space="preserve"> of patient-centered endpoints such as return to work, sport-specific capacity, and long-term strength endurance is often incomplete, restricting interpretation of functional recovery in high-demand populations.</w:t>
      </w:r>
    </w:p>
    <w:p w14:paraId="27FC912B" w14:textId="77777777" w:rsidR="00834CCC" w:rsidRPr="00CF66C0" w:rsidRDefault="00834CCC" w:rsidP="00F93E0B">
      <w:pPr>
        <w:jc w:val="both"/>
        <w:rPr>
          <w:b/>
          <w:highlight w:val="yellow"/>
        </w:rPr>
      </w:pPr>
      <w:r w:rsidRPr="00CF66C0">
        <w:rPr>
          <w:b/>
          <w:highlight w:val="yellow"/>
        </w:rPr>
        <w:t>Disclaimer (Artificial intelligence)</w:t>
      </w:r>
    </w:p>
    <w:p w14:paraId="1F59E5BB" w14:textId="77777777" w:rsidR="00834CCC" w:rsidRPr="00740879" w:rsidRDefault="00834CCC" w:rsidP="00F93E0B">
      <w:pPr>
        <w:jc w:val="both"/>
        <w:rPr>
          <w:highlight w:val="yellow"/>
        </w:rPr>
      </w:pPr>
      <w:r w:rsidRPr="00740879">
        <w:rPr>
          <w:highlight w:val="yellow"/>
        </w:rPr>
        <w:t xml:space="preserve">Option 1: </w:t>
      </w:r>
    </w:p>
    <w:p w14:paraId="56CEF8DF" w14:textId="77777777" w:rsidR="00834CCC" w:rsidRPr="00740879" w:rsidRDefault="00834CCC" w:rsidP="00F93E0B">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D2E56DB" w14:textId="77777777" w:rsidR="00834CCC" w:rsidRPr="00740879" w:rsidRDefault="00834CCC" w:rsidP="00F93E0B">
      <w:pPr>
        <w:jc w:val="both"/>
        <w:rPr>
          <w:highlight w:val="yellow"/>
        </w:rPr>
      </w:pPr>
      <w:r w:rsidRPr="00740879">
        <w:rPr>
          <w:highlight w:val="yellow"/>
        </w:rPr>
        <w:t xml:space="preserve">Option 2: </w:t>
      </w:r>
    </w:p>
    <w:p w14:paraId="55C6F336" w14:textId="77777777" w:rsidR="00834CCC" w:rsidRPr="00740879" w:rsidRDefault="00834CCC" w:rsidP="00F93E0B">
      <w:pPr>
        <w:jc w:val="both"/>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6D4EC9" w14:textId="77777777" w:rsidR="00834CCC" w:rsidRPr="00740879" w:rsidRDefault="00834CCC" w:rsidP="00F93E0B">
      <w:pPr>
        <w:jc w:val="both"/>
        <w:rPr>
          <w:highlight w:val="yellow"/>
        </w:rPr>
      </w:pPr>
      <w:r w:rsidRPr="00740879">
        <w:rPr>
          <w:highlight w:val="yellow"/>
        </w:rPr>
        <w:t>Details of the AI usage are given below:</w:t>
      </w:r>
    </w:p>
    <w:p w14:paraId="18744BA4" w14:textId="77777777" w:rsidR="00834CCC" w:rsidRPr="00740879" w:rsidRDefault="00834CCC" w:rsidP="00F93E0B">
      <w:pPr>
        <w:jc w:val="both"/>
        <w:rPr>
          <w:highlight w:val="yellow"/>
        </w:rPr>
      </w:pPr>
      <w:r w:rsidRPr="00740879">
        <w:rPr>
          <w:highlight w:val="yellow"/>
        </w:rPr>
        <w:t>1.</w:t>
      </w:r>
    </w:p>
    <w:p w14:paraId="40868528" w14:textId="77777777" w:rsidR="00834CCC" w:rsidRPr="00740879" w:rsidRDefault="00834CCC" w:rsidP="00F93E0B">
      <w:pPr>
        <w:jc w:val="both"/>
        <w:rPr>
          <w:highlight w:val="yellow"/>
        </w:rPr>
      </w:pPr>
      <w:r w:rsidRPr="00740879">
        <w:rPr>
          <w:highlight w:val="yellow"/>
        </w:rPr>
        <w:t>2.</w:t>
      </w:r>
    </w:p>
    <w:p w14:paraId="03AF1A50" w14:textId="77777777" w:rsidR="00834CCC" w:rsidRPr="00D047BB" w:rsidRDefault="00834CCC" w:rsidP="00F93E0B">
      <w:pPr>
        <w:jc w:val="both"/>
      </w:pPr>
      <w:r w:rsidRPr="00740879">
        <w:rPr>
          <w:highlight w:val="yellow"/>
        </w:rPr>
        <w:t>3.</w:t>
      </w:r>
    </w:p>
    <w:p w14:paraId="56793489" w14:textId="77777777" w:rsidR="00C5683C" w:rsidRPr="00C5683C" w:rsidRDefault="00C5683C" w:rsidP="00F93E0B">
      <w:pPr>
        <w:spacing w:after="0" w:line="240" w:lineRule="auto"/>
        <w:jc w:val="both"/>
        <w:rPr>
          <w:rFonts w:ascii="Times New Roman" w:eastAsia="Times New Roman" w:hAnsi="Times New Roman" w:cs="Times New Roman"/>
          <w:sz w:val="24"/>
          <w:szCs w:val="24"/>
          <w:lang w:val="en-US"/>
        </w:rPr>
      </w:pPr>
    </w:p>
    <w:p w14:paraId="02E151C0" w14:textId="77777777" w:rsidR="00C5683C" w:rsidRPr="00C5683C" w:rsidRDefault="00C5683C" w:rsidP="00F93E0B">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C5683C">
        <w:rPr>
          <w:rFonts w:ascii="Times New Roman" w:eastAsia="Times New Roman" w:hAnsi="Times New Roman" w:cs="Times New Roman"/>
          <w:b/>
          <w:bCs/>
          <w:sz w:val="36"/>
          <w:szCs w:val="36"/>
          <w:lang w:val="en-US"/>
        </w:rPr>
        <w:t>References</w:t>
      </w:r>
    </w:p>
    <w:p w14:paraId="1909EE65" w14:textId="77777777" w:rsidR="004C7547" w:rsidRPr="00CF66C0" w:rsidRDefault="004C7547" w:rsidP="00CF66C0">
      <w:pPr>
        <w:pStyle w:val="ListParagraph"/>
        <w:numPr>
          <w:ilvl w:val="0"/>
          <w:numId w:val="5"/>
        </w:numPr>
        <w:spacing w:before="240" w:after="120"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Agyeman, K. D., </w:t>
      </w:r>
      <w:proofErr w:type="spellStart"/>
      <w:r w:rsidRPr="00CF66C0">
        <w:rPr>
          <w:rFonts w:ascii="Times New Roman" w:eastAsia="Times New Roman" w:hAnsi="Times New Roman" w:cs="Times New Roman"/>
          <w:sz w:val="24"/>
          <w:szCs w:val="24"/>
          <w:lang w:val="en-US"/>
        </w:rPr>
        <w:t>Damodar</w:t>
      </w:r>
      <w:proofErr w:type="spellEnd"/>
      <w:r w:rsidRPr="00CF66C0">
        <w:rPr>
          <w:rFonts w:ascii="Times New Roman" w:eastAsia="Times New Roman" w:hAnsi="Times New Roman" w:cs="Times New Roman"/>
          <w:sz w:val="24"/>
          <w:szCs w:val="24"/>
          <w:lang w:val="en-US"/>
        </w:rPr>
        <w:t xml:space="preserve">, D., Watkins, I., &amp; </w:t>
      </w:r>
      <w:proofErr w:type="spellStart"/>
      <w:r w:rsidRPr="00CF66C0">
        <w:rPr>
          <w:rFonts w:ascii="Times New Roman" w:eastAsia="Times New Roman" w:hAnsi="Times New Roman" w:cs="Times New Roman"/>
          <w:sz w:val="24"/>
          <w:szCs w:val="24"/>
          <w:lang w:val="en-US"/>
        </w:rPr>
        <w:t>Dodds</w:t>
      </w:r>
      <w:proofErr w:type="spellEnd"/>
      <w:r w:rsidRPr="00CF66C0">
        <w:rPr>
          <w:rFonts w:ascii="Times New Roman" w:eastAsia="Times New Roman" w:hAnsi="Times New Roman" w:cs="Times New Roman"/>
          <w:sz w:val="24"/>
          <w:szCs w:val="24"/>
          <w:lang w:val="en-US"/>
        </w:rPr>
        <w:t xml:space="preserve">, S. D. (2019). Does radial head implant fixation affect functional outcomes? A systematic review and meta-analysis. </w:t>
      </w:r>
      <w:r w:rsidRPr="00CF66C0">
        <w:rPr>
          <w:rFonts w:ascii="Times New Roman" w:eastAsia="Times New Roman" w:hAnsi="Times New Roman" w:cs="Times New Roman"/>
          <w:i/>
          <w:iCs/>
          <w:sz w:val="24"/>
          <w:szCs w:val="24"/>
          <w:lang w:val="en-US"/>
        </w:rPr>
        <w:t>Journal of Shoulder and Elbow Surgery, 28</w:t>
      </w:r>
      <w:r w:rsidRPr="00CF66C0">
        <w:rPr>
          <w:rFonts w:ascii="Times New Roman" w:eastAsia="Times New Roman" w:hAnsi="Times New Roman" w:cs="Times New Roman"/>
          <w:sz w:val="24"/>
          <w:szCs w:val="24"/>
          <w:lang w:val="en-US"/>
        </w:rPr>
        <w:t xml:space="preserve">(1), 126–130. </w:t>
      </w:r>
      <w:hyperlink r:id="rId8" w:history="1">
        <w:r w:rsidRPr="00CF66C0">
          <w:rPr>
            <w:rStyle w:val="Hyperlink"/>
            <w:rFonts w:ascii="Times New Roman" w:eastAsia="Times New Roman" w:hAnsi="Times New Roman" w:cs="Times New Roman"/>
            <w:sz w:val="24"/>
            <w:szCs w:val="24"/>
            <w:lang w:val="en-US"/>
          </w:rPr>
          <w:t>https://doi.org/10.1016/j.jse.2018.07.032</w:t>
        </w:r>
      </w:hyperlink>
    </w:p>
    <w:p w14:paraId="2D0B62A6"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Antoni, M., de Lavigne, C., </w:t>
      </w:r>
      <w:proofErr w:type="spellStart"/>
      <w:r w:rsidRPr="00CF66C0">
        <w:rPr>
          <w:rFonts w:ascii="Times New Roman" w:eastAsia="Times New Roman" w:hAnsi="Times New Roman" w:cs="Times New Roman"/>
          <w:sz w:val="24"/>
          <w:szCs w:val="24"/>
          <w:lang w:val="en-US"/>
        </w:rPr>
        <w:t>Demezon</w:t>
      </w:r>
      <w:proofErr w:type="spellEnd"/>
      <w:r w:rsidRPr="00CF66C0">
        <w:rPr>
          <w:rFonts w:ascii="Times New Roman" w:eastAsia="Times New Roman" w:hAnsi="Times New Roman" w:cs="Times New Roman"/>
          <w:sz w:val="24"/>
          <w:szCs w:val="24"/>
          <w:lang w:val="en-US"/>
        </w:rPr>
        <w:t xml:space="preserve">, H., </w:t>
      </w:r>
      <w:proofErr w:type="spellStart"/>
      <w:r w:rsidRPr="00CF66C0">
        <w:rPr>
          <w:rFonts w:ascii="Times New Roman" w:eastAsia="Times New Roman" w:hAnsi="Times New Roman" w:cs="Times New Roman"/>
          <w:sz w:val="24"/>
          <w:szCs w:val="24"/>
          <w:lang w:val="en-US"/>
        </w:rPr>
        <w:t>Pauchard</w:t>
      </w:r>
      <w:proofErr w:type="spellEnd"/>
      <w:r w:rsidRPr="00CF66C0">
        <w:rPr>
          <w:rFonts w:ascii="Times New Roman" w:eastAsia="Times New Roman" w:hAnsi="Times New Roman" w:cs="Times New Roman"/>
          <w:sz w:val="24"/>
          <w:szCs w:val="24"/>
          <w:lang w:val="en-US"/>
        </w:rPr>
        <w:t xml:space="preserve">, N., </w:t>
      </w:r>
      <w:proofErr w:type="spellStart"/>
      <w:r w:rsidRPr="00CF66C0">
        <w:rPr>
          <w:rFonts w:ascii="Times New Roman" w:eastAsia="Times New Roman" w:hAnsi="Times New Roman" w:cs="Times New Roman"/>
          <w:sz w:val="24"/>
          <w:szCs w:val="24"/>
          <w:lang w:val="en-US"/>
        </w:rPr>
        <w:t>Tropet</w:t>
      </w:r>
      <w:proofErr w:type="spellEnd"/>
      <w:r w:rsidRPr="00CF66C0">
        <w:rPr>
          <w:rFonts w:ascii="Times New Roman" w:eastAsia="Times New Roman" w:hAnsi="Times New Roman" w:cs="Times New Roman"/>
          <w:sz w:val="24"/>
          <w:szCs w:val="24"/>
          <w:lang w:val="en-US"/>
        </w:rPr>
        <w:t xml:space="preserve">, Y., &amp; </w:t>
      </w:r>
      <w:proofErr w:type="spellStart"/>
      <w:r w:rsidRPr="00CF66C0">
        <w:rPr>
          <w:rFonts w:ascii="Times New Roman" w:eastAsia="Times New Roman" w:hAnsi="Times New Roman" w:cs="Times New Roman"/>
          <w:sz w:val="24"/>
          <w:szCs w:val="24"/>
          <w:lang w:val="en-US"/>
        </w:rPr>
        <w:t>Obert</w:t>
      </w:r>
      <w:proofErr w:type="spellEnd"/>
      <w:r w:rsidRPr="00CF66C0">
        <w:rPr>
          <w:rFonts w:ascii="Times New Roman" w:eastAsia="Times New Roman" w:hAnsi="Times New Roman" w:cs="Times New Roman"/>
          <w:sz w:val="24"/>
          <w:szCs w:val="24"/>
          <w:lang w:val="en-US"/>
        </w:rPr>
        <w:t xml:space="preserve">, L. (2020). Comparison of bipolar and monopolar radial head prostheses in elbow fracture-dislocation. </w:t>
      </w:r>
      <w:proofErr w:type="spellStart"/>
      <w:r w:rsidRPr="00CF66C0">
        <w:rPr>
          <w:rFonts w:ascii="Times New Roman" w:eastAsia="Times New Roman" w:hAnsi="Times New Roman" w:cs="Times New Roman"/>
          <w:i/>
          <w:iCs/>
          <w:sz w:val="24"/>
          <w:szCs w:val="24"/>
          <w:lang w:val="en-US"/>
        </w:rPr>
        <w:t>Orthopaedics</w:t>
      </w:r>
      <w:proofErr w:type="spellEnd"/>
      <w:r w:rsidRPr="00CF66C0">
        <w:rPr>
          <w:rFonts w:ascii="Times New Roman" w:eastAsia="Times New Roman" w:hAnsi="Times New Roman" w:cs="Times New Roman"/>
          <w:i/>
          <w:iCs/>
          <w:sz w:val="24"/>
          <w:szCs w:val="24"/>
          <w:lang w:val="en-US"/>
        </w:rPr>
        <w:t xml:space="preserve"> &amp; Traumatology: Surgery &amp; Research, 106</w:t>
      </w:r>
      <w:r w:rsidRPr="00CF66C0">
        <w:rPr>
          <w:rFonts w:ascii="Times New Roman" w:eastAsia="Times New Roman" w:hAnsi="Times New Roman" w:cs="Times New Roman"/>
          <w:sz w:val="24"/>
          <w:szCs w:val="24"/>
          <w:lang w:val="en-US"/>
        </w:rPr>
        <w:t xml:space="preserve">(2), 311–317. </w:t>
      </w:r>
      <w:hyperlink r:id="rId9" w:history="1">
        <w:r w:rsidRPr="00CF66C0">
          <w:rPr>
            <w:rStyle w:val="Hyperlink"/>
            <w:rFonts w:ascii="Times New Roman" w:eastAsia="Times New Roman" w:hAnsi="Times New Roman" w:cs="Times New Roman"/>
            <w:sz w:val="24"/>
            <w:szCs w:val="24"/>
            <w:lang w:val="en-US"/>
          </w:rPr>
          <w:t>https://doi.org/10.1016/j.otsr.2019.10.027</w:t>
        </w:r>
      </w:hyperlink>
      <w:r w:rsidRPr="00CF66C0">
        <w:rPr>
          <w:rFonts w:ascii="Times New Roman" w:eastAsia="Times New Roman" w:hAnsi="Times New Roman" w:cs="Times New Roman"/>
          <w:sz w:val="24"/>
          <w:szCs w:val="24"/>
          <w:lang w:val="en-US"/>
        </w:rPr>
        <w:t xml:space="preserve"> </w:t>
      </w:r>
    </w:p>
    <w:p w14:paraId="28D44F80"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Antoni, M., </w:t>
      </w:r>
      <w:proofErr w:type="spellStart"/>
      <w:r w:rsidRPr="00CF66C0">
        <w:rPr>
          <w:rFonts w:ascii="Times New Roman" w:eastAsia="Times New Roman" w:hAnsi="Times New Roman" w:cs="Times New Roman"/>
          <w:sz w:val="24"/>
          <w:szCs w:val="24"/>
          <w:lang w:val="en-US"/>
        </w:rPr>
        <w:t>Ginot</w:t>
      </w:r>
      <w:proofErr w:type="spellEnd"/>
      <w:r w:rsidRPr="00CF66C0">
        <w:rPr>
          <w:rFonts w:ascii="Times New Roman" w:eastAsia="Times New Roman" w:hAnsi="Times New Roman" w:cs="Times New Roman"/>
          <w:sz w:val="24"/>
          <w:szCs w:val="24"/>
          <w:lang w:val="en-US"/>
        </w:rPr>
        <w:t xml:space="preserve">, G., </w:t>
      </w:r>
      <w:proofErr w:type="spellStart"/>
      <w:r w:rsidRPr="00CF66C0">
        <w:rPr>
          <w:rFonts w:ascii="Times New Roman" w:eastAsia="Times New Roman" w:hAnsi="Times New Roman" w:cs="Times New Roman"/>
          <w:sz w:val="24"/>
          <w:szCs w:val="24"/>
          <w:lang w:val="en-US"/>
        </w:rPr>
        <w:t>Mereb</w:t>
      </w:r>
      <w:proofErr w:type="spellEnd"/>
      <w:r w:rsidRPr="00CF66C0">
        <w:rPr>
          <w:rFonts w:ascii="Times New Roman" w:eastAsia="Times New Roman" w:hAnsi="Times New Roman" w:cs="Times New Roman"/>
          <w:sz w:val="24"/>
          <w:szCs w:val="24"/>
          <w:lang w:val="en-US"/>
        </w:rPr>
        <w:t xml:space="preserve">, T., Clément, X., Eichler, D., </w:t>
      </w:r>
      <w:proofErr w:type="spellStart"/>
      <w:r w:rsidRPr="00CF66C0">
        <w:rPr>
          <w:rFonts w:ascii="Times New Roman" w:eastAsia="Times New Roman" w:hAnsi="Times New Roman" w:cs="Times New Roman"/>
          <w:sz w:val="24"/>
          <w:szCs w:val="24"/>
          <w:lang w:val="en-US"/>
        </w:rPr>
        <w:t>Kempf</w:t>
      </w:r>
      <w:proofErr w:type="spellEnd"/>
      <w:r w:rsidRPr="00CF66C0">
        <w:rPr>
          <w:rFonts w:ascii="Times New Roman" w:eastAsia="Times New Roman" w:hAnsi="Times New Roman" w:cs="Times New Roman"/>
          <w:sz w:val="24"/>
          <w:szCs w:val="24"/>
          <w:lang w:val="en-US"/>
        </w:rPr>
        <w:t xml:space="preserve">, J.-F., &amp; </w:t>
      </w:r>
      <w:proofErr w:type="spellStart"/>
      <w:r w:rsidRPr="00CF66C0">
        <w:rPr>
          <w:rFonts w:ascii="Times New Roman" w:eastAsia="Times New Roman" w:hAnsi="Times New Roman" w:cs="Times New Roman"/>
          <w:sz w:val="24"/>
          <w:szCs w:val="24"/>
          <w:lang w:val="en-US"/>
        </w:rPr>
        <w:t>Clavert</w:t>
      </w:r>
      <w:proofErr w:type="spellEnd"/>
      <w:r w:rsidRPr="00CF66C0">
        <w:rPr>
          <w:rFonts w:ascii="Times New Roman" w:eastAsia="Times New Roman" w:hAnsi="Times New Roman" w:cs="Times New Roman"/>
          <w:sz w:val="24"/>
          <w:szCs w:val="24"/>
          <w:lang w:val="en-US"/>
        </w:rPr>
        <w:t xml:space="preserve">, P. (2021). Post-traumatic elbow osteoarthritis after radial head arthroplasty: Prevalence and risk factors. </w:t>
      </w:r>
      <w:proofErr w:type="spellStart"/>
      <w:r w:rsidRPr="00CF66C0">
        <w:rPr>
          <w:rFonts w:ascii="Times New Roman" w:eastAsia="Times New Roman" w:hAnsi="Times New Roman" w:cs="Times New Roman"/>
          <w:i/>
          <w:iCs/>
          <w:sz w:val="24"/>
          <w:szCs w:val="24"/>
          <w:lang w:val="en-US"/>
        </w:rPr>
        <w:t>Orthopaedics</w:t>
      </w:r>
      <w:proofErr w:type="spellEnd"/>
      <w:r w:rsidRPr="00CF66C0">
        <w:rPr>
          <w:rFonts w:ascii="Times New Roman" w:eastAsia="Times New Roman" w:hAnsi="Times New Roman" w:cs="Times New Roman"/>
          <w:i/>
          <w:iCs/>
          <w:sz w:val="24"/>
          <w:szCs w:val="24"/>
          <w:lang w:val="en-US"/>
        </w:rPr>
        <w:t xml:space="preserve"> &amp; Traumatology: Surgery &amp; Research, 107</w:t>
      </w:r>
      <w:r w:rsidRPr="00CF66C0">
        <w:rPr>
          <w:rFonts w:ascii="Times New Roman" w:eastAsia="Times New Roman" w:hAnsi="Times New Roman" w:cs="Times New Roman"/>
          <w:sz w:val="24"/>
          <w:szCs w:val="24"/>
          <w:lang w:val="en-US"/>
        </w:rPr>
        <w:t xml:space="preserve">(2), 102814. </w:t>
      </w:r>
      <w:hyperlink r:id="rId10" w:history="1">
        <w:r w:rsidRPr="00CF66C0">
          <w:rPr>
            <w:rStyle w:val="Hyperlink"/>
            <w:rFonts w:ascii="Times New Roman" w:eastAsia="Times New Roman" w:hAnsi="Times New Roman" w:cs="Times New Roman"/>
            <w:sz w:val="24"/>
            <w:szCs w:val="24"/>
            <w:lang w:val="en-US"/>
          </w:rPr>
          <w:t>https://doi.org/10.1016/j.otsr.2021.102814</w:t>
        </w:r>
      </w:hyperlink>
      <w:r w:rsidRPr="00CF66C0">
        <w:rPr>
          <w:rFonts w:ascii="Times New Roman" w:eastAsia="Times New Roman" w:hAnsi="Times New Roman" w:cs="Times New Roman"/>
          <w:sz w:val="24"/>
          <w:szCs w:val="24"/>
          <w:lang w:val="en-US"/>
        </w:rPr>
        <w:t xml:space="preserve"> </w:t>
      </w:r>
    </w:p>
    <w:p w14:paraId="73FAA921"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Barakat, A., </w:t>
      </w:r>
      <w:proofErr w:type="spellStart"/>
      <w:r w:rsidRPr="00CF66C0">
        <w:rPr>
          <w:rFonts w:ascii="Times New Roman" w:eastAsia="Times New Roman" w:hAnsi="Times New Roman" w:cs="Times New Roman"/>
          <w:sz w:val="24"/>
          <w:szCs w:val="24"/>
          <w:lang w:val="en-US"/>
        </w:rPr>
        <w:t>Mcdonald</w:t>
      </w:r>
      <w:proofErr w:type="spellEnd"/>
      <w:r w:rsidRPr="00CF66C0">
        <w:rPr>
          <w:rFonts w:ascii="Times New Roman" w:eastAsia="Times New Roman" w:hAnsi="Times New Roman" w:cs="Times New Roman"/>
          <w:sz w:val="24"/>
          <w:szCs w:val="24"/>
          <w:lang w:val="en-US"/>
        </w:rPr>
        <w:t xml:space="preserve">, C., &amp; Singh, H. (2023). Current concepts in the management of radial head fractures: A national survey and review of the literature. </w:t>
      </w:r>
      <w:r w:rsidRPr="00CF66C0">
        <w:rPr>
          <w:rFonts w:ascii="Times New Roman" w:eastAsia="Times New Roman" w:hAnsi="Times New Roman" w:cs="Times New Roman"/>
          <w:i/>
          <w:iCs/>
          <w:sz w:val="24"/>
          <w:szCs w:val="24"/>
          <w:lang w:val="en-US"/>
        </w:rPr>
        <w:t>Annals of the Royal College of Surgeons of England, 105</w:t>
      </w:r>
      <w:r w:rsidRPr="00CF66C0">
        <w:rPr>
          <w:rFonts w:ascii="Times New Roman" w:eastAsia="Times New Roman" w:hAnsi="Times New Roman" w:cs="Times New Roman"/>
          <w:sz w:val="24"/>
          <w:szCs w:val="24"/>
          <w:lang w:val="en-US"/>
        </w:rPr>
        <w:t xml:space="preserve">(5), 469–475. </w:t>
      </w:r>
      <w:hyperlink r:id="rId11" w:history="1">
        <w:r w:rsidRPr="00CF66C0">
          <w:rPr>
            <w:rStyle w:val="Hyperlink"/>
            <w:rFonts w:ascii="Times New Roman" w:eastAsia="Times New Roman" w:hAnsi="Times New Roman" w:cs="Times New Roman"/>
            <w:sz w:val="24"/>
            <w:szCs w:val="24"/>
            <w:lang w:val="en-US"/>
          </w:rPr>
          <w:t>https://doi.org/10.1308/rcsann.2022.0109</w:t>
        </w:r>
      </w:hyperlink>
      <w:r w:rsidRPr="00CF66C0">
        <w:rPr>
          <w:rFonts w:ascii="Times New Roman" w:eastAsia="Times New Roman" w:hAnsi="Times New Roman" w:cs="Times New Roman"/>
          <w:sz w:val="24"/>
          <w:szCs w:val="24"/>
          <w:lang w:val="en-US"/>
        </w:rPr>
        <w:t xml:space="preserve"> </w:t>
      </w:r>
    </w:p>
    <w:p w14:paraId="723749B3"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lastRenderedPageBreak/>
        <w:t xml:space="preserve">Barret, H., </w:t>
      </w:r>
      <w:proofErr w:type="spellStart"/>
      <w:r w:rsidRPr="00CF66C0">
        <w:rPr>
          <w:rFonts w:ascii="Times New Roman" w:eastAsia="Times New Roman" w:hAnsi="Times New Roman" w:cs="Times New Roman"/>
          <w:sz w:val="24"/>
          <w:szCs w:val="24"/>
          <w:lang w:val="en-US"/>
        </w:rPr>
        <w:t>Mansat</w:t>
      </w:r>
      <w:proofErr w:type="spellEnd"/>
      <w:r w:rsidRPr="00CF66C0">
        <w:rPr>
          <w:rFonts w:ascii="Times New Roman" w:eastAsia="Times New Roman" w:hAnsi="Times New Roman" w:cs="Times New Roman"/>
          <w:sz w:val="24"/>
          <w:szCs w:val="24"/>
          <w:lang w:val="en-US"/>
        </w:rPr>
        <w:t xml:space="preserve">, P., </w:t>
      </w:r>
      <w:proofErr w:type="spellStart"/>
      <w:r w:rsidRPr="00CF66C0">
        <w:rPr>
          <w:rFonts w:ascii="Times New Roman" w:eastAsia="Times New Roman" w:hAnsi="Times New Roman" w:cs="Times New Roman"/>
          <w:sz w:val="24"/>
          <w:szCs w:val="24"/>
          <w:lang w:val="en-US"/>
        </w:rPr>
        <w:t>Langlais</w:t>
      </w:r>
      <w:proofErr w:type="spellEnd"/>
      <w:r w:rsidRPr="00CF66C0">
        <w:rPr>
          <w:rFonts w:ascii="Times New Roman" w:eastAsia="Times New Roman" w:hAnsi="Times New Roman" w:cs="Times New Roman"/>
          <w:sz w:val="24"/>
          <w:szCs w:val="24"/>
          <w:lang w:val="en-US"/>
        </w:rPr>
        <w:t xml:space="preserve">, T., </w:t>
      </w:r>
      <w:proofErr w:type="spellStart"/>
      <w:r w:rsidRPr="00CF66C0">
        <w:rPr>
          <w:rFonts w:ascii="Times New Roman" w:eastAsia="Times New Roman" w:hAnsi="Times New Roman" w:cs="Times New Roman"/>
          <w:sz w:val="24"/>
          <w:szCs w:val="24"/>
          <w:lang w:val="en-US"/>
        </w:rPr>
        <w:t>Favard</w:t>
      </w:r>
      <w:proofErr w:type="spellEnd"/>
      <w:r w:rsidRPr="00CF66C0">
        <w:rPr>
          <w:rFonts w:ascii="Times New Roman" w:eastAsia="Times New Roman" w:hAnsi="Times New Roman" w:cs="Times New Roman"/>
          <w:sz w:val="24"/>
          <w:szCs w:val="24"/>
          <w:lang w:val="en-US"/>
        </w:rPr>
        <w:t xml:space="preserve">, L., </w:t>
      </w:r>
      <w:proofErr w:type="spellStart"/>
      <w:r w:rsidRPr="00CF66C0">
        <w:rPr>
          <w:rFonts w:ascii="Times New Roman" w:eastAsia="Times New Roman" w:hAnsi="Times New Roman" w:cs="Times New Roman"/>
          <w:sz w:val="24"/>
          <w:szCs w:val="24"/>
          <w:lang w:val="en-US"/>
        </w:rPr>
        <w:t>Chammas</w:t>
      </w:r>
      <w:proofErr w:type="spellEnd"/>
      <w:r w:rsidRPr="00CF66C0">
        <w:rPr>
          <w:rFonts w:ascii="Times New Roman" w:eastAsia="Times New Roman" w:hAnsi="Times New Roman" w:cs="Times New Roman"/>
          <w:sz w:val="24"/>
          <w:szCs w:val="24"/>
          <w:lang w:val="en-US"/>
        </w:rPr>
        <w:t xml:space="preserve">, M., &amp; </w:t>
      </w:r>
      <w:proofErr w:type="spellStart"/>
      <w:r w:rsidRPr="00CF66C0">
        <w:rPr>
          <w:rFonts w:ascii="Times New Roman" w:eastAsia="Times New Roman" w:hAnsi="Times New Roman" w:cs="Times New Roman"/>
          <w:sz w:val="24"/>
          <w:szCs w:val="24"/>
          <w:lang w:val="en-US"/>
        </w:rPr>
        <w:t>Coulet</w:t>
      </w:r>
      <w:proofErr w:type="spellEnd"/>
      <w:r w:rsidRPr="00CF66C0">
        <w:rPr>
          <w:rFonts w:ascii="Times New Roman" w:eastAsia="Times New Roman" w:hAnsi="Times New Roman" w:cs="Times New Roman"/>
          <w:sz w:val="24"/>
          <w:szCs w:val="24"/>
          <w:lang w:val="en-US"/>
        </w:rPr>
        <w:t xml:space="preserve">, B. (2023). After failed radial head arthroplasty, what are the options? Risk factors and results of revisions in a multicenter study. </w:t>
      </w:r>
      <w:r w:rsidRPr="00CF66C0">
        <w:rPr>
          <w:rFonts w:ascii="Times New Roman" w:eastAsia="Times New Roman" w:hAnsi="Times New Roman" w:cs="Times New Roman"/>
          <w:i/>
          <w:iCs/>
          <w:sz w:val="24"/>
          <w:szCs w:val="24"/>
          <w:lang w:val="en-US"/>
        </w:rPr>
        <w:t xml:space="preserve">Journal of Clinical </w:t>
      </w:r>
      <w:proofErr w:type="spellStart"/>
      <w:r w:rsidRPr="00CF66C0">
        <w:rPr>
          <w:rFonts w:ascii="Times New Roman" w:eastAsia="Times New Roman" w:hAnsi="Times New Roman" w:cs="Times New Roman"/>
          <w:i/>
          <w:iCs/>
          <w:sz w:val="24"/>
          <w:szCs w:val="24"/>
          <w:lang w:val="en-US"/>
        </w:rPr>
        <w:t>Orthopaedics</w:t>
      </w:r>
      <w:proofErr w:type="spellEnd"/>
      <w:r w:rsidRPr="00CF66C0">
        <w:rPr>
          <w:rFonts w:ascii="Times New Roman" w:eastAsia="Times New Roman" w:hAnsi="Times New Roman" w:cs="Times New Roman"/>
          <w:i/>
          <w:iCs/>
          <w:sz w:val="24"/>
          <w:szCs w:val="24"/>
          <w:lang w:val="en-US"/>
        </w:rPr>
        <w:t xml:space="preserve"> and Trauma, 40</w:t>
      </w:r>
      <w:r w:rsidRPr="00CF66C0">
        <w:rPr>
          <w:rFonts w:ascii="Times New Roman" w:eastAsia="Times New Roman" w:hAnsi="Times New Roman" w:cs="Times New Roman"/>
          <w:sz w:val="24"/>
          <w:szCs w:val="24"/>
          <w:lang w:val="en-US"/>
        </w:rPr>
        <w:t xml:space="preserve">, 102128. </w:t>
      </w:r>
      <w:hyperlink r:id="rId12" w:history="1">
        <w:r w:rsidRPr="00CF66C0">
          <w:rPr>
            <w:rStyle w:val="Hyperlink"/>
            <w:rFonts w:ascii="Times New Roman" w:eastAsia="Times New Roman" w:hAnsi="Times New Roman" w:cs="Times New Roman"/>
            <w:sz w:val="24"/>
            <w:szCs w:val="24"/>
            <w:lang w:val="en-US"/>
          </w:rPr>
          <w:t>https://doi.org/10.1016/j.jcot.2023.102128</w:t>
        </w:r>
      </w:hyperlink>
      <w:r w:rsidRPr="00CF66C0">
        <w:rPr>
          <w:rFonts w:ascii="Times New Roman" w:eastAsia="Times New Roman" w:hAnsi="Times New Roman" w:cs="Times New Roman"/>
          <w:sz w:val="24"/>
          <w:szCs w:val="24"/>
          <w:lang w:val="en-US"/>
        </w:rPr>
        <w:t xml:space="preserve"> </w:t>
      </w:r>
    </w:p>
    <w:p w14:paraId="4E135BD3"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Bowman, S. H., Barfield, W. R., Slone, H. S., Shealy, G. J., &amp; Walton, Z. J. (2016). The clinical implications of heterotopic ossification in patients treated with radial head replacement for trauma: A case series and review of the literature. </w:t>
      </w:r>
      <w:r w:rsidRPr="00CF66C0">
        <w:rPr>
          <w:rFonts w:ascii="Times New Roman" w:eastAsia="Times New Roman" w:hAnsi="Times New Roman" w:cs="Times New Roman"/>
          <w:i/>
          <w:iCs/>
          <w:sz w:val="24"/>
          <w:szCs w:val="24"/>
          <w:lang w:val="en-US"/>
        </w:rPr>
        <w:t xml:space="preserve">Journal of </w:t>
      </w:r>
      <w:proofErr w:type="spellStart"/>
      <w:r w:rsidRPr="00CF66C0">
        <w:rPr>
          <w:rFonts w:ascii="Times New Roman" w:eastAsia="Times New Roman" w:hAnsi="Times New Roman" w:cs="Times New Roman"/>
          <w:i/>
          <w:iCs/>
          <w:sz w:val="24"/>
          <w:szCs w:val="24"/>
          <w:lang w:val="en-US"/>
        </w:rPr>
        <w:t>Orthopaedics</w:t>
      </w:r>
      <w:proofErr w:type="spellEnd"/>
      <w:r w:rsidRPr="00CF66C0">
        <w:rPr>
          <w:rFonts w:ascii="Times New Roman" w:eastAsia="Times New Roman" w:hAnsi="Times New Roman" w:cs="Times New Roman"/>
          <w:i/>
          <w:iCs/>
          <w:sz w:val="24"/>
          <w:szCs w:val="24"/>
          <w:lang w:val="en-US"/>
        </w:rPr>
        <w:t>, 13</w:t>
      </w:r>
      <w:r w:rsidRPr="00CF66C0">
        <w:rPr>
          <w:rFonts w:ascii="Times New Roman" w:eastAsia="Times New Roman" w:hAnsi="Times New Roman" w:cs="Times New Roman"/>
          <w:sz w:val="24"/>
          <w:szCs w:val="24"/>
          <w:lang w:val="en-US"/>
        </w:rPr>
        <w:t xml:space="preserve">(4), 272–277. </w:t>
      </w:r>
      <w:hyperlink r:id="rId13" w:history="1">
        <w:r w:rsidRPr="00CF66C0">
          <w:rPr>
            <w:rStyle w:val="Hyperlink"/>
            <w:rFonts w:ascii="Times New Roman" w:eastAsia="Times New Roman" w:hAnsi="Times New Roman" w:cs="Times New Roman"/>
            <w:sz w:val="24"/>
            <w:szCs w:val="24"/>
            <w:lang w:val="en-US"/>
          </w:rPr>
          <w:t>https://doi.org/10.1016/j.jor.2016.06.011</w:t>
        </w:r>
      </w:hyperlink>
      <w:r w:rsidRPr="00CF66C0">
        <w:rPr>
          <w:rFonts w:ascii="Times New Roman" w:eastAsia="Times New Roman" w:hAnsi="Times New Roman" w:cs="Times New Roman"/>
          <w:sz w:val="24"/>
          <w:szCs w:val="24"/>
          <w:lang w:val="en-US"/>
        </w:rPr>
        <w:t xml:space="preserve"> </w:t>
      </w:r>
    </w:p>
    <w:p w14:paraId="57B69AF9"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Catellani</w:t>
      </w:r>
      <w:proofErr w:type="spellEnd"/>
      <w:r w:rsidRPr="00CF66C0">
        <w:rPr>
          <w:rFonts w:ascii="Times New Roman" w:eastAsia="Times New Roman" w:hAnsi="Times New Roman" w:cs="Times New Roman"/>
          <w:sz w:val="24"/>
          <w:szCs w:val="24"/>
          <w:lang w:val="en-US"/>
        </w:rPr>
        <w:t xml:space="preserve">, F., De Caro, F., De </w:t>
      </w:r>
      <w:proofErr w:type="spellStart"/>
      <w:r w:rsidRPr="00CF66C0">
        <w:rPr>
          <w:rFonts w:ascii="Times New Roman" w:eastAsia="Times New Roman" w:hAnsi="Times New Roman" w:cs="Times New Roman"/>
          <w:sz w:val="24"/>
          <w:szCs w:val="24"/>
          <w:lang w:val="en-US"/>
        </w:rPr>
        <w:t>Biase</w:t>
      </w:r>
      <w:proofErr w:type="spellEnd"/>
      <w:r w:rsidRPr="00CF66C0">
        <w:rPr>
          <w:rFonts w:ascii="Times New Roman" w:eastAsia="Times New Roman" w:hAnsi="Times New Roman" w:cs="Times New Roman"/>
          <w:sz w:val="24"/>
          <w:szCs w:val="24"/>
          <w:lang w:val="en-US"/>
        </w:rPr>
        <w:t xml:space="preserve">, C. F., </w:t>
      </w:r>
      <w:proofErr w:type="spellStart"/>
      <w:r w:rsidRPr="00CF66C0">
        <w:rPr>
          <w:rFonts w:ascii="Times New Roman" w:eastAsia="Times New Roman" w:hAnsi="Times New Roman" w:cs="Times New Roman"/>
          <w:sz w:val="24"/>
          <w:szCs w:val="24"/>
          <w:lang w:val="en-US"/>
        </w:rPr>
        <w:t>Perrino</w:t>
      </w:r>
      <w:proofErr w:type="spellEnd"/>
      <w:r w:rsidRPr="00CF66C0">
        <w:rPr>
          <w:rFonts w:ascii="Times New Roman" w:eastAsia="Times New Roman" w:hAnsi="Times New Roman" w:cs="Times New Roman"/>
          <w:sz w:val="24"/>
          <w:szCs w:val="24"/>
          <w:lang w:val="en-US"/>
        </w:rPr>
        <w:t xml:space="preserve">, V. R., </w:t>
      </w:r>
      <w:proofErr w:type="spellStart"/>
      <w:r w:rsidRPr="00CF66C0">
        <w:rPr>
          <w:rFonts w:ascii="Times New Roman" w:eastAsia="Times New Roman" w:hAnsi="Times New Roman" w:cs="Times New Roman"/>
          <w:sz w:val="24"/>
          <w:szCs w:val="24"/>
          <w:lang w:val="en-US"/>
        </w:rPr>
        <w:t>Usai</w:t>
      </w:r>
      <w:proofErr w:type="spellEnd"/>
      <w:r w:rsidRPr="00CF66C0">
        <w:rPr>
          <w:rFonts w:ascii="Times New Roman" w:eastAsia="Times New Roman" w:hAnsi="Times New Roman" w:cs="Times New Roman"/>
          <w:sz w:val="24"/>
          <w:szCs w:val="24"/>
          <w:lang w:val="en-US"/>
        </w:rPr>
        <w:t xml:space="preserve">, L., </w:t>
      </w:r>
      <w:proofErr w:type="spellStart"/>
      <w:r w:rsidRPr="00CF66C0">
        <w:rPr>
          <w:rFonts w:ascii="Times New Roman" w:eastAsia="Times New Roman" w:hAnsi="Times New Roman" w:cs="Times New Roman"/>
          <w:sz w:val="24"/>
          <w:szCs w:val="24"/>
          <w:lang w:val="en-US"/>
        </w:rPr>
        <w:t>Triolo</w:t>
      </w:r>
      <w:proofErr w:type="spellEnd"/>
      <w:r w:rsidRPr="00CF66C0">
        <w:rPr>
          <w:rFonts w:ascii="Times New Roman" w:eastAsia="Times New Roman" w:hAnsi="Times New Roman" w:cs="Times New Roman"/>
          <w:sz w:val="24"/>
          <w:szCs w:val="24"/>
          <w:lang w:val="en-US"/>
        </w:rPr>
        <w:t xml:space="preserve">, V., </w:t>
      </w:r>
      <w:proofErr w:type="spellStart"/>
      <w:r w:rsidRPr="00CF66C0">
        <w:rPr>
          <w:rFonts w:ascii="Times New Roman" w:eastAsia="Times New Roman" w:hAnsi="Times New Roman" w:cs="Times New Roman"/>
          <w:sz w:val="24"/>
          <w:szCs w:val="24"/>
          <w:lang w:val="en-US"/>
        </w:rPr>
        <w:t>Ziveri</w:t>
      </w:r>
      <w:proofErr w:type="spellEnd"/>
      <w:r w:rsidRPr="00CF66C0">
        <w:rPr>
          <w:rFonts w:ascii="Times New Roman" w:eastAsia="Times New Roman" w:hAnsi="Times New Roman" w:cs="Times New Roman"/>
          <w:sz w:val="24"/>
          <w:szCs w:val="24"/>
          <w:lang w:val="en-US"/>
        </w:rPr>
        <w:t xml:space="preserve">, G., &amp; </w:t>
      </w:r>
      <w:proofErr w:type="spellStart"/>
      <w:r w:rsidRPr="00CF66C0">
        <w:rPr>
          <w:rFonts w:ascii="Times New Roman" w:eastAsia="Times New Roman" w:hAnsi="Times New Roman" w:cs="Times New Roman"/>
          <w:sz w:val="24"/>
          <w:szCs w:val="24"/>
          <w:lang w:val="en-US"/>
        </w:rPr>
        <w:t>Fiorentino</w:t>
      </w:r>
      <w:proofErr w:type="spellEnd"/>
      <w:r w:rsidRPr="00CF66C0">
        <w:rPr>
          <w:rFonts w:ascii="Times New Roman" w:eastAsia="Times New Roman" w:hAnsi="Times New Roman" w:cs="Times New Roman"/>
          <w:sz w:val="24"/>
          <w:szCs w:val="24"/>
          <w:lang w:val="en-US"/>
        </w:rPr>
        <w:t xml:space="preserve">, G. (2018). Radial head resection versus arthroplasty in unrepairable comminuted fractures Mason type III and type IV: A systematic review. </w:t>
      </w:r>
      <w:r w:rsidRPr="00CF66C0">
        <w:rPr>
          <w:rFonts w:ascii="Times New Roman" w:eastAsia="Times New Roman" w:hAnsi="Times New Roman" w:cs="Times New Roman"/>
          <w:i/>
          <w:iCs/>
          <w:sz w:val="24"/>
          <w:szCs w:val="24"/>
          <w:lang w:val="en-US"/>
        </w:rPr>
        <w:t>BioMed Research International, 2018</w:t>
      </w:r>
      <w:r w:rsidRPr="00CF66C0">
        <w:rPr>
          <w:rFonts w:ascii="Times New Roman" w:eastAsia="Times New Roman" w:hAnsi="Times New Roman" w:cs="Times New Roman"/>
          <w:sz w:val="24"/>
          <w:szCs w:val="24"/>
          <w:lang w:val="en-US"/>
        </w:rPr>
        <w:t xml:space="preserve">, 4020625. </w:t>
      </w:r>
      <w:hyperlink r:id="rId14" w:history="1">
        <w:r w:rsidRPr="00CF66C0">
          <w:rPr>
            <w:rStyle w:val="Hyperlink"/>
            <w:rFonts w:ascii="Times New Roman" w:eastAsia="Times New Roman" w:hAnsi="Times New Roman" w:cs="Times New Roman"/>
            <w:sz w:val="24"/>
            <w:szCs w:val="24"/>
            <w:lang w:val="en-US"/>
          </w:rPr>
          <w:t>https://doi.org/10.1155/2018/4020625</w:t>
        </w:r>
      </w:hyperlink>
      <w:r w:rsidRPr="00CF66C0">
        <w:rPr>
          <w:rFonts w:ascii="Times New Roman" w:eastAsia="Times New Roman" w:hAnsi="Times New Roman" w:cs="Times New Roman"/>
          <w:sz w:val="24"/>
          <w:szCs w:val="24"/>
          <w:lang w:val="en-US"/>
        </w:rPr>
        <w:t xml:space="preserve"> </w:t>
      </w:r>
    </w:p>
    <w:p w14:paraId="13641CD3" w14:textId="77777777" w:rsidR="004C7547" w:rsidRPr="00CF66C0" w:rsidRDefault="004C7547" w:rsidP="00CF66C0">
      <w:pPr>
        <w:pStyle w:val="ListParagraph"/>
        <w:numPr>
          <w:ilvl w:val="0"/>
          <w:numId w:val="5"/>
        </w:numPr>
        <w:spacing w:before="240" w:after="120"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Chaijenkij</w:t>
      </w:r>
      <w:proofErr w:type="spellEnd"/>
      <w:r w:rsidRPr="00CF66C0">
        <w:rPr>
          <w:rFonts w:ascii="Times New Roman" w:eastAsia="Times New Roman" w:hAnsi="Times New Roman" w:cs="Times New Roman"/>
          <w:sz w:val="24"/>
          <w:szCs w:val="24"/>
          <w:lang w:val="en-US"/>
        </w:rPr>
        <w:t xml:space="preserve">, K., </w:t>
      </w:r>
      <w:proofErr w:type="spellStart"/>
      <w:r w:rsidRPr="00CF66C0">
        <w:rPr>
          <w:rFonts w:ascii="Times New Roman" w:eastAsia="Times New Roman" w:hAnsi="Times New Roman" w:cs="Times New Roman"/>
          <w:sz w:val="24"/>
          <w:szCs w:val="24"/>
          <w:lang w:val="en-US"/>
        </w:rPr>
        <w:t>Arirachakaran</w:t>
      </w:r>
      <w:proofErr w:type="spellEnd"/>
      <w:r w:rsidRPr="00CF66C0">
        <w:rPr>
          <w:rFonts w:ascii="Times New Roman" w:eastAsia="Times New Roman" w:hAnsi="Times New Roman" w:cs="Times New Roman"/>
          <w:sz w:val="24"/>
          <w:szCs w:val="24"/>
          <w:lang w:val="en-US"/>
        </w:rPr>
        <w:t xml:space="preserve">, A., &amp; </w:t>
      </w:r>
      <w:proofErr w:type="spellStart"/>
      <w:r w:rsidRPr="00CF66C0">
        <w:rPr>
          <w:rFonts w:ascii="Times New Roman" w:eastAsia="Times New Roman" w:hAnsi="Times New Roman" w:cs="Times New Roman"/>
          <w:sz w:val="24"/>
          <w:szCs w:val="24"/>
          <w:lang w:val="en-US"/>
        </w:rPr>
        <w:t>Kongtharvonskul</w:t>
      </w:r>
      <w:proofErr w:type="spellEnd"/>
      <w:r w:rsidRPr="00CF66C0">
        <w:rPr>
          <w:rFonts w:ascii="Times New Roman" w:eastAsia="Times New Roman" w:hAnsi="Times New Roman" w:cs="Times New Roman"/>
          <w:sz w:val="24"/>
          <w:szCs w:val="24"/>
          <w:lang w:val="en-US"/>
        </w:rPr>
        <w:t xml:space="preserve">, J. (2021). Clinical outcomes after internal fixation, arthroplasty and resection for treatment of comminuted radial head fractures: A systematic review and network meta-analysis. </w:t>
      </w:r>
      <w:r w:rsidRPr="00CF66C0">
        <w:rPr>
          <w:rFonts w:ascii="Times New Roman" w:eastAsia="Times New Roman" w:hAnsi="Times New Roman" w:cs="Times New Roman"/>
          <w:i/>
          <w:iCs/>
          <w:sz w:val="24"/>
          <w:szCs w:val="24"/>
          <w:lang w:val="en-US"/>
        </w:rPr>
        <w:t>Musculoskeletal Surgery, 105</w:t>
      </w:r>
      <w:r w:rsidRPr="00CF66C0">
        <w:rPr>
          <w:rFonts w:ascii="Times New Roman" w:eastAsia="Times New Roman" w:hAnsi="Times New Roman" w:cs="Times New Roman"/>
          <w:sz w:val="24"/>
          <w:szCs w:val="24"/>
          <w:lang w:val="en-US"/>
        </w:rPr>
        <w:t xml:space="preserve">(1), 17–29. </w:t>
      </w:r>
      <w:hyperlink r:id="rId15" w:history="1">
        <w:r w:rsidRPr="00CF66C0">
          <w:rPr>
            <w:rStyle w:val="Hyperlink"/>
            <w:rFonts w:ascii="Times New Roman" w:eastAsia="Times New Roman" w:hAnsi="Times New Roman" w:cs="Times New Roman"/>
            <w:sz w:val="24"/>
            <w:szCs w:val="24"/>
            <w:lang w:val="en-US"/>
          </w:rPr>
          <w:t>https://doi.org/10.1007/s12306-020-00679-3</w:t>
        </w:r>
      </w:hyperlink>
    </w:p>
    <w:p w14:paraId="02B28061"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Chen, H., Wu, J., Ren, B., Zheng, Q., &amp; Wei, Z. (2019). Replacement or repair of terrible triad of the elbow: A systematic review and meta-analysis. </w:t>
      </w:r>
      <w:r w:rsidRPr="00CF66C0">
        <w:rPr>
          <w:rFonts w:ascii="Times New Roman" w:eastAsia="Times New Roman" w:hAnsi="Times New Roman" w:cs="Times New Roman"/>
          <w:i/>
          <w:iCs/>
          <w:sz w:val="24"/>
          <w:szCs w:val="24"/>
          <w:lang w:val="en-US"/>
        </w:rPr>
        <w:t>Medicine, 98</w:t>
      </w:r>
      <w:r w:rsidRPr="00CF66C0">
        <w:rPr>
          <w:rFonts w:ascii="Times New Roman" w:eastAsia="Times New Roman" w:hAnsi="Times New Roman" w:cs="Times New Roman"/>
          <w:sz w:val="24"/>
          <w:szCs w:val="24"/>
          <w:lang w:val="en-US"/>
        </w:rPr>
        <w:t xml:space="preserve">(6), e13054. </w:t>
      </w:r>
      <w:hyperlink r:id="rId16" w:history="1">
        <w:r w:rsidRPr="00CF66C0">
          <w:rPr>
            <w:rStyle w:val="Hyperlink"/>
            <w:rFonts w:ascii="Times New Roman" w:eastAsia="Times New Roman" w:hAnsi="Times New Roman" w:cs="Times New Roman"/>
            <w:sz w:val="24"/>
            <w:szCs w:val="24"/>
            <w:lang w:val="en-US"/>
          </w:rPr>
          <w:t>https://doi.org/10.1097/MD.0000000000013054</w:t>
        </w:r>
      </w:hyperlink>
      <w:r w:rsidRPr="00CF66C0">
        <w:rPr>
          <w:rFonts w:ascii="Times New Roman" w:eastAsia="Times New Roman" w:hAnsi="Times New Roman" w:cs="Times New Roman"/>
          <w:sz w:val="24"/>
          <w:szCs w:val="24"/>
          <w:lang w:val="en-US"/>
        </w:rPr>
        <w:t xml:space="preserve"> </w:t>
      </w:r>
    </w:p>
    <w:p w14:paraId="14F3C5C9"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Chytas</w:t>
      </w:r>
      <w:proofErr w:type="spellEnd"/>
      <w:r w:rsidRPr="00CF66C0">
        <w:rPr>
          <w:rFonts w:ascii="Times New Roman" w:eastAsia="Times New Roman" w:hAnsi="Times New Roman" w:cs="Times New Roman"/>
          <w:sz w:val="24"/>
          <w:szCs w:val="24"/>
          <w:lang w:val="en-US"/>
        </w:rPr>
        <w:t xml:space="preserve">, I. D., Antonopoulos, C., </w:t>
      </w:r>
      <w:proofErr w:type="spellStart"/>
      <w:r w:rsidRPr="00CF66C0">
        <w:rPr>
          <w:rFonts w:ascii="Times New Roman" w:eastAsia="Times New Roman" w:hAnsi="Times New Roman" w:cs="Times New Roman"/>
          <w:sz w:val="24"/>
          <w:szCs w:val="24"/>
          <w:lang w:val="en-US"/>
        </w:rPr>
        <w:t>Cheva</w:t>
      </w:r>
      <w:proofErr w:type="spellEnd"/>
      <w:r w:rsidRPr="00CF66C0">
        <w:rPr>
          <w:rFonts w:ascii="Times New Roman" w:eastAsia="Times New Roman" w:hAnsi="Times New Roman" w:cs="Times New Roman"/>
          <w:sz w:val="24"/>
          <w:szCs w:val="24"/>
          <w:lang w:val="en-US"/>
        </w:rPr>
        <w:t xml:space="preserve">, A., &amp; </w:t>
      </w:r>
      <w:proofErr w:type="spellStart"/>
      <w:r w:rsidRPr="00CF66C0">
        <w:rPr>
          <w:rFonts w:ascii="Times New Roman" w:eastAsia="Times New Roman" w:hAnsi="Times New Roman" w:cs="Times New Roman"/>
          <w:sz w:val="24"/>
          <w:szCs w:val="24"/>
          <w:lang w:val="en-US"/>
        </w:rPr>
        <w:t>Givissis</w:t>
      </w:r>
      <w:proofErr w:type="spellEnd"/>
      <w:r w:rsidRPr="00CF66C0">
        <w:rPr>
          <w:rFonts w:ascii="Times New Roman" w:eastAsia="Times New Roman" w:hAnsi="Times New Roman" w:cs="Times New Roman"/>
          <w:sz w:val="24"/>
          <w:szCs w:val="24"/>
          <w:lang w:val="en-US"/>
        </w:rPr>
        <w:t xml:space="preserve">, P. (2018). Capitellar erosion after radial head arthroplasty: A comparative biomechanical study of operated radial head fractures on cadaveric specimens. </w:t>
      </w:r>
      <w:proofErr w:type="spellStart"/>
      <w:r w:rsidRPr="00CF66C0">
        <w:rPr>
          <w:rFonts w:ascii="Times New Roman" w:eastAsia="Times New Roman" w:hAnsi="Times New Roman" w:cs="Times New Roman"/>
          <w:i/>
          <w:iCs/>
          <w:sz w:val="24"/>
          <w:szCs w:val="24"/>
          <w:lang w:val="en-US"/>
        </w:rPr>
        <w:t>Orthopaedics</w:t>
      </w:r>
      <w:proofErr w:type="spellEnd"/>
      <w:r w:rsidRPr="00CF66C0">
        <w:rPr>
          <w:rFonts w:ascii="Times New Roman" w:eastAsia="Times New Roman" w:hAnsi="Times New Roman" w:cs="Times New Roman"/>
          <w:i/>
          <w:iCs/>
          <w:sz w:val="24"/>
          <w:szCs w:val="24"/>
          <w:lang w:val="en-US"/>
        </w:rPr>
        <w:t xml:space="preserve"> &amp; Traumatology: Surgery &amp; Research, 104</w:t>
      </w:r>
      <w:r w:rsidRPr="00CF66C0">
        <w:rPr>
          <w:rFonts w:ascii="Times New Roman" w:eastAsia="Times New Roman" w:hAnsi="Times New Roman" w:cs="Times New Roman"/>
          <w:sz w:val="24"/>
          <w:szCs w:val="24"/>
          <w:lang w:val="en-US"/>
        </w:rPr>
        <w:t xml:space="preserve">(5), 571–576. </w:t>
      </w:r>
      <w:hyperlink r:id="rId17" w:history="1">
        <w:r w:rsidRPr="00CF66C0">
          <w:rPr>
            <w:rStyle w:val="Hyperlink"/>
            <w:rFonts w:ascii="Times New Roman" w:eastAsia="Times New Roman" w:hAnsi="Times New Roman" w:cs="Times New Roman"/>
            <w:sz w:val="24"/>
            <w:szCs w:val="24"/>
            <w:lang w:val="en-US"/>
          </w:rPr>
          <w:t>https://doi.org/10.1016/j.otsr.2018.02.007</w:t>
        </w:r>
      </w:hyperlink>
      <w:r w:rsidRPr="00CF66C0">
        <w:rPr>
          <w:rFonts w:ascii="Times New Roman" w:eastAsia="Times New Roman" w:hAnsi="Times New Roman" w:cs="Times New Roman"/>
          <w:sz w:val="24"/>
          <w:szCs w:val="24"/>
          <w:lang w:val="en-US"/>
        </w:rPr>
        <w:t xml:space="preserve"> </w:t>
      </w:r>
    </w:p>
    <w:p w14:paraId="66F75A81"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Cristofaro</w:t>
      </w:r>
      <w:proofErr w:type="spellEnd"/>
      <w:r w:rsidRPr="00CF66C0">
        <w:rPr>
          <w:rFonts w:ascii="Times New Roman" w:eastAsia="Times New Roman" w:hAnsi="Times New Roman" w:cs="Times New Roman"/>
          <w:sz w:val="24"/>
          <w:szCs w:val="24"/>
          <w:lang w:val="en-US"/>
        </w:rPr>
        <w:t xml:space="preserve">, C. D., Carter, T. H., </w:t>
      </w:r>
      <w:proofErr w:type="spellStart"/>
      <w:r w:rsidRPr="00CF66C0">
        <w:rPr>
          <w:rFonts w:ascii="Times New Roman" w:eastAsia="Times New Roman" w:hAnsi="Times New Roman" w:cs="Times New Roman"/>
          <w:sz w:val="24"/>
          <w:szCs w:val="24"/>
          <w:lang w:val="en-US"/>
        </w:rPr>
        <w:t>Wickramasinghe</w:t>
      </w:r>
      <w:proofErr w:type="spellEnd"/>
      <w:r w:rsidRPr="00CF66C0">
        <w:rPr>
          <w:rFonts w:ascii="Times New Roman" w:eastAsia="Times New Roman" w:hAnsi="Times New Roman" w:cs="Times New Roman"/>
          <w:sz w:val="24"/>
          <w:szCs w:val="24"/>
          <w:lang w:val="en-US"/>
        </w:rPr>
        <w:t xml:space="preserve">, N. R., McQueen, M. M., White, T. O., &amp; Duckworth, A. D. (2019). High risk of further surgery after radial head replacement for unstable fractures: Longer-term outcomes at a minimum follow-up of 8 years. </w:t>
      </w:r>
      <w:r w:rsidRPr="00CF66C0">
        <w:rPr>
          <w:rFonts w:ascii="Times New Roman" w:eastAsia="Times New Roman" w:hAnsi="Times New Roman" w:cs="Times New Roman"/>
          <w:i/>
          <w:iCs/>
          <w:sz w:val="24"/>
          <w:szCs w:val="24"/>
          <w:lang w:val="en-US"/>
        </w:rPr>
        <w:t xml:space="preserve">Clinical </w:t>
      </w:r>
      <w:proofErr w:type="spellStart"/>
      <w:r w:rsidRPr="00CF66C0">
        <w:rPr>
          <w:rFonts w:ascii="Times New Roman" w:eastAsia="Times New Roman" w:hAnsi="Times New Roman" w:cs="Times New Roman"/>
          <w:i/>
          <w:iCs/>
          <w:sz w:val="24"/>
          <w:szCs w:val="24"/>
          <w:lang w:val="en-US"/>
        </w:rPr>
        <w:t>Orthopaedics</w:t>
      </w:r>
      <w:proofErr w:type="spellEnd"/>
      <w:r w:rsidRPr="00CF66C0">
        <w:rPr>
          <w:rFonts w:ascii="Times New Roman" w:eastAsia="Times New Roman" w:hAnsi="Times New Roman" w:cs="Times New Roman"/>
          <w:i/>
          <w:iCs/>
          <w:sz w:val="24"/>
          <w:szCs w:val="24"/>
          <w:lang w:val="en-US"/>
        </w:rPr>
        <w:t xml:space="preserve"> and Related Research, 477</w:t>
      </w:r>
      <w:r w:rsidRPr="00CF66C0">
        <w:rPr>
          <w:rFonts w:ascii="Times New Roman" w:eastAsia="Times New Roman" w:hAnsi="Times New Roman" w:cs="Times New Roman"/>
          <w:sz w:val="24"/>
          <w:szCs w:val="24"/>
          <w:lang w:val="en-US"/>
        </w:rPr>
        <w:t xml:space="preserve">(11), 2531–2540. </w:t>
      </w:r>
      <w:hyperlink r:id="rId18" w:history="1">
        <w:r w:rsidRPr="00CF66C0">
          <w:rPr>
            <w:rStyle w:val="Hyperlink"/>
            <w:rFonts w:ascii="Times New Roman" w:eastAsia="Times New Roman" w:hAnsi="Times New Roman" w:cs="Times New Roman"/>
            <w:sz w:val="24"/>
            <w:szCs w:val="24"/>
            <w:lang w:val="en-US"/>
          </w:rPr>
          <w:t>https://doi.org/10.1097/CORR.0000000000000876</w:t>
        </w:r>
      </w:hyperlink>
      <w:r w:rsidRPr="00CF66C0">
        <w:rPr>
          <w:rFonts w:ascii="Times New Roman" w:eastAsia="Times New Roman" w:hAnsi="Times New Roman" w:cs="Times New Roman"/>
          <w:sz w:val="24"/>
          <w:szCs w:val="24"/>
          <w:lang w:val="en-US"/>
        </w:rPr>
        <w:t xml:space="preserve"> </w:t>
      </w:r>
    </w:p>
    <w:p w14:paraId="3A57F755"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Davey, M. S., Davey, M. G., Hurley, E. T., Galbraith, J. G., Molony, D., </w:t>
      </w:r>
      <w:proofErr w:type="spellStart"/>
      <w:r w:rsidRPr="00CF66C0">
        <w:rPr>
          <w:rFonts w:ascii="Times New Roman" w:eastAsia="Times New Roman" w:hAnsi="Times New Roman" w:cs="Times New Roman"/>
          <w:sz w:val="24"/>
          <w:szCs w:val="24"/>
          <w:lang w:val="en-US"/>
        </w:rPr>
        <w:t>Mullett</w:t>
      </w:r>
      <w:proofErr w:type="spellEnd"/>
      <w:r w:rsidRPr="00CF66C0">
        <w:rPr>
          <w:rFonts w:ascii="Times New Roman" w:eastAsia="Times New Roman" w:hAnsi="Times New Roman" w:cs="Times New Roman"/>
          <w:sz w:val="24"/>
          <w:szCs w:val="24"/>
          <w:lang w:val="en-US"/>
        </w:rPr>
        <w:t xml:space="preserve">, H., &amp; </w:t>
      </w:r>
      <w:proofErr w:type="spellStart"/>
      <w:r w:rsidRPr="00CF66C0">
        <w:rPr>
          <w:rFonts w:ascii="Times New Roman" w:eastAsia="Times New Roman" w:hAnsi="Times New Roman" w:cs="Times New Roman"/>
          <w:sz w:val="24"/>
          <w:szCs w:val="24"/>
          <w:lang w:val="en-US"/>
        </w:rPr>
        <w:t>Pauzenberger</w:t>
      </w:r>
      <w:proofErr w:type="spellEnd"/>
      <w:r w:rsidRPr="00CF66C0">
        <w:rPr>
          <w:rFonts w:ascii="Times New Roman" w:eastAsia="Times New Roman" w:hAnsi="Times New Roman" w:cs="Times New Roman"/>
          <w:sz w:val="24"/>
          <w:szCs w:val="24"/>
          <w:lang w:val="en-US"/>
        </w:rPr>
        <w:t xml:space="preserve">, L. (2021). Long-term outcomes of radial head arthroplasty for radial head fractures—a systematic review at minimum 8-year follow-up. </w:t>
      </w:r>
      <w:r w:rsidRPr="00CF66C0">
        <w:rPr>
          <w:rFonts w:ascii="Times New Roman" w:eastAsia="Times New Roman" w:hAnsi="Times New Roman" w:cs="Times New Roman"/>
          <w:i/>
          <w:iCs/>
          <w:sz w:val="24"/>
          <w:szCs w:val="24"/>
          <w:lang w:val="en-US"/>
        </w:rPr>
        <w:t>Journal of Shoulder and Elbow Surgery, 30</w:t>
      </w:r>
      <w:r w:rsidRPr="00CF66C0">
        <w:rPr>
          <w:rFonts w:ascii="Times New Roman" w:eastAsia="Times New Roman" w:hAnsi="Times New Roman" w:cs="Times New Roman"/>
          <w:sz w:val="24"/>
          <w:szCs w:val="24"/>
          <w:lang w:val="en-US"/>
        </w:rPr>
        <w:t xml:space="preserve">(10), 2438–2444. </w:t>
      </w:r>
      <w:hyperlink r:id="rId19" w:history="1">
        <w:r w:rsidRPr="00CF66C0">
          <w:rPr>
            <w:rStyle w:val="Hyperlink"/>
            <w:rFonts w:ascii="Times New Roman" w:eastAsia="Times New Roman" w:hAnsi="Times New Roman" w:cs="Times New Roman"/>
            <w:sz w:val="24"/>
            <w:szCs w:val="24"/>
            <w:lang w:val="en-US"/>
          </w:rPr>
          <w:t>https://doi.org/10.1016/j.jse.2021.03.142</w:t>
        </w:r>
      </w:hyperlink>
      <w:r w:rsidRPr="00CF66C0">
        <w:rPr>
          <w:rFonts w:ascii="Times New Roman" w:eastAsia="Times New Roman" w:hAnsi="Times New Roman" w:cs="Times New Roman"/>
          <w:sz w:val="24"/>
          <w:szCs w:val="24"/>
          <w:lang w:val="en-US"/>
        </w:rPr>
        <w:t xml:space="preserve"> </w:t>
      </w:r>
    </w:p>
    <w:p w14:paraId="5BB84401" w14:textId="77777777" w:rsidR="004C7547" w:rsidRPr="00CF66C0" w:rsidRDefault="004C7547" w:rsidP="00CF66C0">
      <w:pPr>
        <w:pStyle w:val="ListParagraph"/>
        <w:numPr>
          <w:ilvl w:val="0"/>
          <w:numId w:val="5"/>
        </w:numPr>
        <w:spacing w:before="240" w:after="120"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Eyre-Brook, A. I., King, R. J., Smith, H. J., Wright, P., &amp; Stanley, D. (2024). Outcomes of press-fit radial head arthroplasty in unstable injuries of the elbow at a minimum follow-up of 10 years. </w:t>
      </w:r>
      <w:r w:rsidRPr="00CF66C0">
        <w:rPr>
          <w:rFonts w:ascii="Times New Roman" w:eastAsia="Times New Roman" w:hAnsi="Times New Roman" w:cs="Times New Roman"/>
          <w:i/>
          <w:iCs/>
          <w:sz w:val="24"/>
          <w:szCs w:val="24"/>
          <w:lang w:val="en-US"/>
        </w:rPr>
        <w:t>Shoulder &amp; Elbow</w:t>
      </w:r>
      <w:r w:rsidRPr="00CF66C0">
        <w:rPr>
          <w:rFonts w:ascii="Times New Roman" w:eastAsia="Times New Roman" w:hAnsi="Times New Roman" w:cs="Times New Roman"/>
          <w:sz w:val="24"/>
          <w:szCs w:val="24"/>
          <w:lang w:val="en-US"/>
        </w:rPr>
        <w:t xml:space="preserve">. Advance online publication. </w:t>
      </w:r>
      <w:hyperlink r:id="rId20" w:history="1">
        <w:r w:rsidRPr="00CF66C0">
          <w:rPr>
            <w:rStyle w:val="Hyperlink"/>
            <w:rFonts w:ascii="Times New Roman" w:eastAsia="Times New Roman" w:hAnsi="Times New Roman" w:cs="Times New Roman"/>
            <w:sz w:val="24"/>
            <w:szCs w:val="24"/>
            <w:lang w:val="en-US"/>
          </w:rPr>
          <w:t>https://doi.org/10.1177/17585732241268904</w:t>
        </w:r>
      </w:hyperlink>
    </w:p>
    <w:p w14:paraId="4715C92F"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Foroohar</w:t>
      </w:r>
      <w:proofErr w:type="spellEnd"/>
      <w:r w:rsidRPr="00CF66C0">
        <w:rPr>
          <w:rFonts w:ascii="Times New Roman" w:eastAsia="Times New Roman" w:hAnsi="Times New Roman" w:cs="Times New Roman"/>
          <w:sz w:val="24"/>
          <w:szCs w:val="24"/>
          <w:lang w:val="en-US"/>
        </w:rPr>
        <w:t xml:space="preserve">, A., O’Donnell, E. A., &amp; </w:t>
      </w:r>
      <w:proofErr w:type="spellStart"/>
      <w:r w:rsidRPr="00CF66C0">
        <w:rPr>
          <w:rFonts w:ascii="Times New Roman" w:eastAsia="Times New Roman" w:hAnsi="Times New Roman" w:cs="Times New Roman"/>
          <w:sz w:val="24"/>
          <w:szCs w:val="24"/>
          <w:lang w:val="en-US"/>
        </w:rPr>
        <w:t>Pean</w:t>
      </w:r>
      <w:proofErr w:type="spellEnd"/>
      <w:r w:rsidRPr="00CF66C0">
        <w:rPr>
          <w:rFonts w:ascii="Times New Roman" w:eastAsia="Times New Roman" w:hAnsi="Times New Roman" w:cs="Times New Roman"/>
          <w:sz w:val="24"/>
          <w:szCs w:val="24"/>
          <w:lang w:val="en-US"/>
        </w:rPr>
        <w:t xml:space="preserve">, C. A. (2022). Radial head arthroplasty for recent fractures: A descriptive review of outcomes. </w:t>
      </w:r>
      <w:r w:rsidRPr="00CF66C0">
        <w:rPr>
          <w:rFonts w:ascii="Times New Roman" w:eastAsia="Times New Roman" w:hAnsi="Times New Roman" w:cs="Times New Roman"/>
          <w:i/>
          <w:iCs/>
          <w:sz w:val="24"/>
          <w:szCs w:val="24"/>
          <w:lang w:val="en-US"/>
        </w:rPr>
        <w:t>Journal of Shoulder and Elbow Surgery, 31</w:t>
      </w:r>
      <w:r w:rsidRPr="00CF66C0">
        <w:rPr>
          <w:rFonts w:ascii="Times New Roman" w:eastAsia="Times New Roman" w:hAnsi="Times New Roman" w:cs="Times New Roman"/>
          <w:sz w:val="24"/>
          <w:szCs w:val="24"/>
          <w:lang w:val="en-US"/>
        </w:rPr>
        <w:t xml:space="preserve">(7), 1467–1476. </w:t>
      </w:r>
      <w:hyperlink r:id="rId21" w:history="1">
        <w:r w:rsidRPr="00CF66C0">
          <w:rPr>
            <w:rStyle w:val="Hyperlink"/>
            <w:rFonts w:ascii="Times New Roman" w:eastAsia="Times New Roman" w:hAnsi="Times New Roman" w:cs="Times New Roman"/>
            <w:sz w:val="24"/>
            <w:szCs w:val="24"/>
            <w:lang w:val="en-US"/>
          </w:rPr>
          <w:t>https://doi.org/10.1016/j.jse.2021.12.034</w:t>
        </w:r>
      </w:hyperlink>
      <w:r w:rsidRPr="00CF66C0">
        <w:rPr>
          <w:rFonts w:ascii="Times New Roman" w:eastAsia="Times New Roman" w:hAnsi="Times New Roman" w:cs="Times New Roman"/>
          <w:sz w:val="24"/>
          <w:szCs w:val="24"/>
          <w:lang w:val="en-US"/>
        </w:rPr>
        <w:t xml:space="preserve"> </w:t>
      </w:r>
    </w:p>
    <w:p w14:paraId="29D3DC5A"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Heifner</w:t>
      </w:r>
      <w:proofErr w:type="spellEnd"/>
      <w:r w:rsidRPr="00CF66C0">
        <w:rPr>
          <w:rFonts w:ascii="Times New Roman" w:eastAsia="Times New Roman" w:hAnsi="Times New Roman" w:cs="Times New Roman"/>
          <w:sz w:val="24"/>
          <w:szCs w:val="24"/>
          <w:lang w:val="en-US"/>
        </w:rPr>
        <w:t xml:space="preserve">, J. J., Rowland, A. S., Holmes, A. D., </w:t>
      </w:r>
      <w:proofErr w:type="spellStart"/>
      <w:r w:rsidRPr="00CF66C0">
        <w:rPr>
          <w:rFonts w:ascii="Times New Roman" w:eastAsia="Times New Roman" w:hAnsi="Times New Roman" w:cs="Times New Roman"/>
          <w:sz w:val="24"/>
          <w:szCs w:val="24"/>
          <w:lang w:val="en-US"/>
        </w:rPr>
        <w:t>Chytas</w:t>
      </w:r>
      <w:proofErr w:type="spellEnd"/>
      <w:r w:rsidRPr="00CF66C0">
        <w:rPr>
          <w:rFonts w:ascii="Times New Roman" w:eastAsia="Times New Roman" w:hAnsi="Times New Roman" w:cs="Times New Roman"/>
          <w:sz w:val="24"/>
          <w:szCs w:val="24"/>
          <w:lang w:val="en-US"/>
        </w:rPr>
        <w:t xml:space="preserve">, I. D., </w:t>
      </w:r>
      <w:proofErr w:type="spellStart"/>
      <w:r w:rsidRPr="00CF66C0">
        <w:rPr>
          <w:rFonts w:ascii="Times New Roman" w:eastAsia="Times New Roman" w:hAnsi="Times New Roman" w:cs="Times New Roman"/>
          <w:sz w:val="24"/>
          <w:szCs w:val="24"/>
          <w:lang w:val="en-US"/>
        </w:rPr>
        <w:t>Givissis</w:t>
      </w:r>
      <w:proofErr w:type="spellEnd"/>
      <w:r w:rsidRPr="00CF66C0">
        <w:rPr>
          <w:rFonts w:ascii="Times New Roman" w:eastAsia="Times New Roman" w:hAnsi="Times New Roman" w:cs="Times New Roman"/>
          <w:sz w:val="24"/>
          <w:szCs w:val="24"/>
          <w:lang w:val="en-US"/>
        </w:rPr>
        <w:t xml:space="preserve">, P., &amp; </w:t>
      </w:r>
      <w:proofErr w:type="spellStart"/>
      <w:r w:rsidRPr="00CF66C0">
        <w:rPr>
          <w:rFonts w:ascii="Times New Roman" w:eastAsia="Times New Roman" w:hAnsi="Times New Roman" w:cs="Times New Roman"/>
          <w:sz w:val="24"/>
          <w:szCs w:val="24"/>
          <w:lang w:val="en-US"/>
        </w:rPr>
        <w:t>Athwal</w:t>
      </w:r>
      <w:proofErr w:type="spellEnd"/>
      <w:r w:rsidRPr="00CF66C0">
        <w:rPr>
          <w:rFonts w:ascii="Times New Roman" w:eastAsia="Times New Roman" w:hAnsi="Times New Roman" w:cs="Times New Roman"/>
          <w:sz w:val="24"/>
          <w:szCs w:val="24"/>
          <w:lang w:val="en-US"/>
        </w:rPr>
        <w:t xml:space="preserve">, G. S. (2024). The impact of anatomic alignment on </w:t>
      </w:r>
      <w:proofErr w:type="spellStart"/>
      <w:r w:rsidRPr="00CF66C0">
        <w:rPr>
          <w:rFonts w:ascii="Times New Roman" w:eastAsia="Times New Roman" w:hAnsi="Times New Roman" w:cs="Times New Roman"/>
          <w:sz w:val="24"/>
          <w:szCs w:val="24"/>
          <w:lang w:val="en-US"/>
        </w:rPr>
        <w:t>radiocapitellar</w:t>
      </w:r>
      <w:proofErr w:type="spellEnd"/>
      <w:r w:rsidRPr="00CF66C0">
        <w:rPr>
          <w:rFonts w:ascii="Times New Roman" w:eastAsia="Times New Roman" w:hAnsi="Times New Roman" w:cs="Times New Roman"/>
          <w:sz w:val="24"/>
          <w:szCs w:val="24"/>
          <w:lang w:val="en-US"/>
        </w:rPr>
        <w:t xml:space="preserve"> pressure following radial head arthroplasty. </w:t>
      </w:r>
      <w:r w:rsidRPr="00CF66C0">
        <w:rPr>
          <w:rFonts w:ascii="Times New Roman" w:eastAsia="Times New Roman" w:hAnsi="Times New Roman" w:cs="Times New Roman"/>
          <w:i/>
          <w:iCs/>
          <w:sz w:val="24"/>
          <w:szCs w:val="24"/>
          <w:lang w:val="en-US"/>
        </w:rPr>
        <w:t>Journal of Shoulder and Elbow Surgery, 33</w:t>
      </w:r>
      <w:r w:rsidRPr="00CF66C0">
        <w:rPr>
          <w:rFonts w:ascii="Times New Roman" w:eastAsia="Times New Roman" w:hAnsi="Times New Roman" w:cs="Times New Roman"/>
          <w:sz w:val="24"/>
          <w:szCs w:val="24"/>
          <w:lang w:val="en-US"/>
        </w:rPr>
        <w:t xml:space="preserve">(6), 1267–1275. </w:t>
      </w:r>
      <w:hyperlink r:id="rId22" w:history="1">
        <w:r w:rsidRPr="00CF66C0">
          <w:rPr>
            <w:rStyle w:val="Hyperlink"/>
            <w:rFonts w:ascii="Times New Roman" w:eastAsia="Times New Roman" w:hAnsi="Times New Roman" w:cs="Times New Roman"/>
            <w:sz w:val="24"/>
            <w:szCs w:val="24"/>
            <w:lang w:val="en-US"/>
          </w:rPr>
          <w:t>https://doi.org/10.1016/j.jse.2024.02.042</w:t>
        </w:r>
      </w:hyperlink>
      <w:r w:rsidRPr="00CF66C0">
        <w:rPr>
          <w:rFonts w:ascii="Times New Roman" w:eastAsia="Times New Roman" w:hAnsi="Times New Roman" w:cs="Times New Roman"/>
          <w:sz w:val="24"/>
          <w:szCs w:val="24"/>
          <w:lang w:val="en-US"/>
        </w:rPr>
        <w:t xml:space="preserve"> </w:t>
      </w:r>
    </w:p>
    <w:p w14:paraId="3FB93F17"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Heijink</w:t>
      </w:r>
      <w:proofErr w:type="spellEnd"/>
      <w:r w:rsidRPr="00CF66C0">
        <w:rPr>
          <w:rFonts w:ascii="Times New Roman" w:eastAsia="Times New Roman" w:hAnsi="Times New Roman" w:cs="Times New Roman"/>
          <w:sz w:val="24"/>
          <w:szCs w:val="24"/>
          <w:lang w:val="en-US"/>
        </w:rPr>
        <w:t xml:space="preserve">, A., </w:t>
      </w:r>
      <w:proofErr w:type="spellStart"/>
      <w:r w:rsidRPr="00CF66C0">
        <w:rPr>
          <w:rFonts w:ascii="Times New Roman" w:eastAsia="Times New Roman" w:hAnsi="Times New Roman" w:cs="Times New Roman"/>
          <w:sz w:val="24"/>
          <w:szCs w:val="24"/>
          <w:lang w:val="en-US"/>
        </w:rPr>
        <w:t>Kodde</w:t>
      </w:r>
      <w:proofErr w:type="spellEnd"/>
      <w:r w:rsidRPr="00CF66C0">
        <w:rPr>
          <w:rFonts w:ascii="Times New Roman" w:eastAsia="Times New Roman" w:hAnsi="Times New Roman" w:cs="Times New Roman"/>
          <w:sz w:val="24"/>
          <w:szCs w:val="24"/>
          <w:lang w:val="en-US"/>
        </w:rPr>
        <w:t xml:space="preserve">, I. F., Mulder, P. G. H., van Dijk, C. N., &amp; </w:t>
      </w:r>
      <w:proofErr w:type="spellStart"/>
      <w:r w:rsidRPr="00CF66C0">
        <w:rPr>
          <w:rFonts w:ascii="Times New Roman" w:eastAsia="Times New Roman" w:hAnsi="Times New Roman" w:cs="Times New Roman"/>
          <w:sz w:val="24"/>
          <w:szCs w:val="24"/>
          <w:lang w:val="en-US"/>
        </w:rPr>
        <w:t>Eygendaal</w:t>
      </w:r>
      <w:proofErr w:type="spellEnd"/>
      <w:r w:rsidRPr="00CF66C0">
        <w:rPr>
          <w:rFonts w:ascii="Times New Roman" w:eastAsia="Times New Roman" w:hAnsi="Times New Roman" w:cs="Times New Roman"/>
          <w:sz w:val="24"/>
          <w:szCs w:val="24"/>
          <w:lang w:val="en-US"/>
        </w:rPr>
        <w:t xml:space="preserve">, D. (2016). Radial head arthroplasty: A systematic review. </w:t>
      </w:r>
      <w:r w:rsidRPr="00CF66C0">
        <w:rPr>
          <w:rFonts w:ascii="Times New Roman" w:eastAsia="Times New Roman" w:hAnsi="Times New Roman" w:cs="Times New Roman"/>
          <w:i/>
          <w:iCs/>
          <w:sz w:val="24"/>
          <w:szCs w:val="24"/>
          <w:lang w:val="en-US"/>
        </w:rPr>
        <w:t>JBJS Reviews, 4</w:t>
      </w:r>
      <w:r w:rsidRPr="00CF66C0">
        <w:rPr>
          <w:rFonts w:ascii="Times New Roman" w:eastAsia="Times New Roman" w:hAnsi="Times New Roman" w:cs="Times New Roman"/>
          <w:sz w:val="24"/>
          <w:szCs w:val="24"/>
          <w:lang w:val="en-US"/>
        </w:rPr>
        <w:t xml:space="preserve">(10), e1. </w:t>
      </w:r>
      <w:hyperlink r:id="rId23" w:history="1">
        <w:r w:rsidRPr="00CF66C0">
          <w:rPr>
            <w:rStyle w:val="Hyperlink"/>
            <w:rFonts w:ascii="Times New Roman" w:eastAsia="Times New Roman" w:hAnsi="Times New Roman" w:cs="Times New Roman"/>
            <w:sz w:val="24"/>
            <w:szCs w:val="24"/>
            <w:lang w:val="en-US"/>
          </w:rPr>
          <w:t>https://doi.org/10.2106/JBJS.RVW.15.00095</w:t>
        </w:r>
      </w:hyperlink>
      <w:r w:rsidRPr="00CF66C0">
        <w:rPr>
          <w:rFonts w:ascii="Times New Roman" w:eastAsia="Times New Roman" w:hAnsi="Times New Roman" w:cs="Times New Roman"/>
          <w:sz w:val="24"/>
          <w:szCs w:val="24"/>
          <w:lang w:val="en-US"/>
        </w:rPr>
        <w:t xml:space="preserve"> </w:t>
      </w:r>
    </w:p>
    <w:p w14:paraId="40B61964"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Hildebrand, A. H., Zhang, A. Y., &amp; Feeley, B. T. (2020). Indications and outcomes of radial head excision: A systematic review. </w:t>
      </w:r>
      <w:r w:rsidRPr="00CF66C0">
        <w:rPr>
          <w:rFonts w:ascii="Times New Roman" w:eastAsia="Times New Roman" w:hAnsi="Times New Roman" w:cs="Times New Roman"/>
          <w:i/>
          <w:iCs/>
          <w:sz w:val="24"/>
          <w:szCs w:val="24"/>
          <w:lang w:val="en-US"/>
        </w:rPr>
        <w:t>Shoulder &amp; Elbow, 12</w:t>
      </w:r>
      <w:r w:rsidRPr="00CF66C0">
        <w:rPr>
          <w:rFonts w:ascii="Times New Roman" w:eastAsia="Times New Roman" w:hAnsi="Times New Roman" w:cs="Times New Roman"/>
          <w:sz w:val="24"/>
          <w:szCs w:val="24"/>
          <w:lang w:val="en-US"/>
        </w:rPr>
        <w:t xml:space="preserve">(3), 193–202. </w:t>
      </w:r>
      <w:hyperlink r:id="rId24" w:history="1">
        <w:r w:rsidRPr="00CF66C0">
          <w:rPr>
            <w:rStyle w:val="Hyperlink"/>
            <w:rFonts w:ascii="Times New Roman" w:eastAsia="Times New Roman" w:hAnsi="Times New Roman" w:cs="Times New Roman"/>
            <w:sz w:val="24"/>
            <w:szCs w:val="24"/>
            <w:lang w:val="en-US"/>
          </w:rPr>
          <w:t>https://doi.org/10.1177/1758573219864305</w:t>
        </w:r>
      </w:hyperlink>
      <w:r w:rsidRPr="00CF66C0">
        <w:rPr>
          <w:rFonts w:ascii="Times New Roman" w:eastAsia="Times New Roman" w:hAnsi="Times New Roman" w:cs="Times New Roman"/>
          <w:sz w:val="24"/>
          <w:szCs w:val="24"/>
          <w:lang w:val="en-US"/>
        </w:rPr>
        <w:t xml:space="preserve"> </w:t>
      </w:r>
    </w:p>
    <w:p w14:paraId="24F8E879"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lastRenderedPageBreak/>
        <w:t>Hilgersom</w:t>
      </w:r>
      <w:proofErr w:type="spellEnd"/>
      <w:r w:rsidRPr="00CF66C0">
        <w:rPr>
          <w:rFonts w:ascii="Times New Roman" w:eastAsia="Times New Roman" w:hAnsi="Times New Roman" w:cs="Times New Roman"/>
          <w:sz w:val="24"/>
          <w:szCs w:val="24"/>
          <w:lang w:val="en-US"/>
        </w:rPr>
        <w:t xml:space="preserve">, N. F. J., </w:t>
      </w:r>
      <w:proofErr w:type="spellStart"/>
      <w:r w:rsidRPr="00CF66C0">
        <w:rPr>
          <w:rFonts w:ascii="Times New Roman" w:eastAsia="Times New Roman" w:hAnsi="Times New Roman" w:cs="Times New Roman"/>
          <w:sz w:val="24"/>
          <w:szCs w:val="24"/>
          <w:lang w:val="en-US"/>
        </w:rPr>
        <w:t>Eygendaal</w:t>
      </w:r>
      <w:proofErr w:type="spellEnd"/>
      <w:r w:rsidRPr="00CF66C0">
        <w:rPr>
          <w:rFonts w:ascii="Times New Roman" w:eastAsia="Times New Roman" w:hAnsi="Times New Roman" w:cs="Times New Roman"/>
          <w:sz w:val="24"/>
          <w:szCs w:val="24"/>
          <w:lang w:val="en-US"/>
        </w:rPr>
        <w:t xml:space="preserve">, D., &amp; van den </w:t>
      </w:r>
      <w:proofErr w:type="spellStart"/>
      <w:r w:rsidRPr="00CF66C0">
        <w:rPr>
          <w:rFonts w:ascii="Times New Roman" w:eastAsia="Times New Roman" w:hAnsi="Times New Roman" w:cs="Times New Roman"/>
          <w:sz w:val="24"/>
          <w:szCs w:val="24"/>
          <w:lang w:val="en-US"/>
        </w:rPr>
        <w:t>Bekerom</w:t>
      </w:r>
      <w:proofErr w:type="spellEnd"/>
      <w:r w:rsidRPr="00CF66C0">
        <w:rPr>
          <w:rFonts w:ascii="Times New Roman" w:eastAsia="Times New Roman" w:hAnsi="Times New Roman" w:cs="Times New Roman"/>
          <w:sz w:val="24"/>
          <w:szCs w:val="24"/>
          <w:lang w:val="en-US"/>
        </w:rPr>
        <w:t xml:space="preserve">, M. P. J. (2017). Is radial head resection the </w:t>
      </w:r>
      <w:proofErr w:type="gramStart"/>
      <w:r w:rsidRPr="00CF66C0">
        <w:rPr>
          <w:rFonts w:ascii="Times New Roman" w:eastAsia="Times New Roman" w:hAnsi="Times New Roman" w:cs="Times New Roman"/>
          <w:sz w:val="24"/>
          <w:szCs w:val="24"/>
          <w:lang w:val="en-US"/>
        </w:rPr>
        <w:t>first choice</w:t>
      </w:r>
      <w:proofErr w:type="gramEnd"/>
      <w:r w:rsidRPr="00CF66C0">
        <w:rPr>
          <w:rFonts w:ascii="Times New Roman" w:eastAsia="Times New Roman" w:hAnsi="Times New Roman" w:cs="Times New Roman"/>
          <w:sz w:val="24"/>
          <w:szCs w:val="24"/>
          <w:lang w:val="en-US"/>
        </w:rPr>
        <w:t xml:space="preserve"> treatment of comminuted radial head fractures without associated instability? </w:t>
      </w:r>
      <w:r w:rsidRPr="00CF66C0">
        <w:rPr>
          <w:rFonts w:ascii="Times New Roman" w:eastAsia="Times New Roman" w:hAnsi="Times New Roman" w:cs="Times New Roman"/>
          <w:i/>
          <w:iCs/>
          <w:sz w:val="24"/>
          <w:szCs w:val="24"/>
          <w:lang w:val="en-US"/>
        </w:rPr>
        <w:t>Injury, 48</w:t>
      </w:r>
      <w:r w:rsidRPr="00CF66C0">
        <w:rPr>
          <w:rFonts w:ascii="Times New Roman" w:eastAsia="Times New Roman" w:hAnsi="Times New Roman" w:cs="Times New Roman"/>
          <w:sz w:val="24"/>
          <w:szCs w:val="24"/>
          <w:lang w:val="en-US"/>
        </w:rPr>
        <w:t>(2), 560–562. https://doi.org/10.1016/j.injury.2017.01.004</w:t>
      </w:r>
    </w:p>
    <w:p w14:paraId="7BFB26F2"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Kachooei</w:t>
      </w:r>
      <w:proofErr w:type="spellEnd"/>
      <w:r w:rsidRPr="00CF66C0">
        <w:rPr>
          <w:rFonts w:ascii="Times New Roman" w:eastAsia="Times New Roman" w:hAnsi="Times New Roman" w:cs="Times New Roman"/>
          <w:sz w:val="24"/>
          <w:szCs w:val="24"/>
          <w:lang w:val="en-US"/>
        </w:rPr>
        <w:t xml:space="preserve">, A. R., </w:t>
      </w:r>
      <w:proofErr w:type="spellStart"/>
      <w:r w:rsidRPr="00CF66C0">
        <w:rPr>
          <w:rFonts w:ascii="Times New Roman" w:eastAsia="Times New Roman" w:hAnsi="Times New Roman" w:cs="Times New Roman"/>
          <w:sz w:val="24"/>
          <w:szCs w:val="24"/>
          <w:lang w:val="en-US"/>
        </w:rPr>
        <w:t>Baradaran</w:t>
      </w:r>
      <w:proofErr w:type="spellEnd"/>
      <w:r w:rsidRPr="00CF66C0">
        <w:rPr>
          <w:rFonts w:ascii="Times New Roman" w:eastAsia="Times New Roman" w:hAnsi="Times New Roman" w:cs="Times New Roman"/>
          <w:sz w:val="24"/>
          <w:szCs w:val="24"/>
          <w:lang w:val="en-US"/>
        </w:rPr>
        <w:t xml:space="preserve">, A., </w:t>
      </w:r>
      <w:proofErr w:type="spellStart"/>
      <w:r w:rsidRPr="00CF66C0">
        <w:rPr>
          <w:rFonts w:ascii="Times New Roman" w:eastAsia="Times New Roman" w:hAnsi="Times New Roman" w:cs="Times New Roman"/>
          <w:sz w:val="24"/>
          <w:szCs w:val="24"/>
          <w:lang w:val="en-US"/>
        </w:rPr>
        <w:t>Ebrahimzadeh</w:t>
      </w:r>
      <w:proofErr w:type="spellEnd"/>
      <w:r w:rsidRPr="00CF66C0">
        <w:rPr>
          <w:rFonts w:ascii="Times New Roman" w:eastAsia="Times New Roman" w:hAnsi="Times New Roman" w:cs="Times New Roman"/>
          <w:sz w:val="24"/>
          <w:szCs w:val="24"/>
          <w:lang w:val="en-US"/>
        </w:rPr>
        <w:t xml:space="preserve">, M. H., van Dijk, C. N., &amp; Chen, N. (2018). The rate of radial head prosthesis removal or revision: A systematic review and meta-analysis. </w:t>
      </w:r>
      <w:r w:rsidRPr="00CF66C0">
        <w:rPr>
          <w:rFonts w:ascii="Times New Roman" w:eastAsia="Times New Roman" w:hAnsi="Times New Roman" w:cs="Times New Roman"/>
          <w:i/>
          <w:iCs/>
          <w:sz w:val="24"/>
          <w:szCs w:val="24"/>
          <w:lang w:val="en-US"/>
        </w:rPr>
        <w:t>The Journal of Hand Surgery, 43</w:t>
      </w:r>
      <w:r w:rsidRPr="00CF66C0">
        <w:rPr>
          <w:rFonts w:ascii="Times New Roman" w:eastAsia="Times New Roman" w:hAnsi="Times New Roman" w:cs="Times New Roman"/>
          <w:sz w:val="24"/>
          <w:szCs w:val="24"/>
          <w:lang w:val="en-US"/>
        </w:rPr>
        <w:t>(1), 39–</w:t>
      </w:r>
      <w:proofErr w:type="gramStart"/>
      <w:r w:rsidRPr="00CF66C0">
        <w:rPr>
          <w:rFonts w:ascii="Times New Roman" w:eastAsia="Times New Roman" w:hAnsi="Times New Roman" w:cs="Times New Roman"/>
          <w:sz w:val="24"/>
          <w:szCs w:val="24"/>
          <w:lang w:val="en-US"/>
        </w:rPr>
        <w:t>53.e</w:t>
      </w:r>
      <w:proofErr w:type="gramEnd"/>
      <w:r w:rsidRPr="00CF66C0">
        <w:rPr>
          <w:rFonts w:ascii="Times New Roman" w:eastAsia="Times New Roman" w:hAnsi="Times New Roman" w:cs="Times New Roman"/>
          <w:sz w:val="24"/>
          <w:szCs w:val="24"/>
          <w:lang w:val="en-US"/>
        </w:rPr>
        <w:t xml:space="preserve">1. </w:t>
      </w:r>
      <w:hyperlink r:id="rId25" w:history="1">
        <w:r w:rsidRPr="00CF66C0">
          <w:rPr>
            <w:rStyle w:val="Hyperlink"/>
            <w:rFonts w:ascii="Times New Roman" w:eastAsia="Times New Roman" w:hAnsi="Times New Roman" w:cs="Times New Roman"/>
            <w:sz w:val="24"/>
            <w:szCs w:val="24"/>
            <w:lang w:val="en-US"/>
          </w:rPr>
          <w:t>https://doi.org/10.1016/j.jhsa.2017.08.031</w:t>
        </w:r>
      </w:hyperlink>
      <w:r w:rsidRPr="00CF66C0">
        <w:rPr>
          <w:rFonts w:ascii="Times New Roman" w:eastAsia="Times New Roman" w:hAnsi="Times New Roman" w:cs="Times New Roman"/>
          <w:sz w:val="24"/>
          <w:szCs w:val="24"/>
          <w:lang w:val="en-US"/>
        </w:rPr>
        <w:t xml:space="preserve"> </w:t>
      </w:r>
    </w:p>
    <w:p w14:paraId="6D120C92"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Kodde</w:t>
      </w:r>
      <w:proofErr w:type="spellEnd"/>
      <w:r w:rsidRPr="00CF66C0">
        <w:rPr>
          <w:rFonts w:ascii="Times New Roman" w:eastAsia="Times New Roman" w:hAnsi="Times New Roman" w:cs="Times New Roman"/>
          <w:sz w:val="24"/>
          <w:szCs w:val="24"/>
          <w:lang w:val="en-US"/>
        </w:rPr>
        <w:t xml:space="preserve">, I. F., </w:t>
      </w:r>
      <w:proofErr w:type="spellStart"/>
      <w:r w:rsidRPr="00CF66C0">
        <w:rPr>
          <w:rFonts w:ascii="Times New Roman" w:eastAsia="Times New Roman" w:hAnsi="Times New Roman" w:cs="Times New Roman"/>
          <w:sz w:val="24"/>
          <w:szCs w:val="24"/>
          <w:lang w:val="en-US"/>
        </w:rPr>
        <w:t>Viveen</w:t>
      </w:r>
      <w:proofErr w:type="spellEnd"/>
      <w:r w:rsidRPr="00CF66C0">
        <w:rPr>
          <w:rFonts w:ascii="Times New Roman" w:eastAsia="Times New Roman" w:hAnsi="Times New Roman" w:cs="Times New Roman"/>
          <w:sz w:val="24"/>
          <w:szCs w:val="24"/>
          <w:lang w:val="en-US"/>
        </w:rPr>
        <w:t xml:space="preserve">, J., The, B., van Riet, R. P., &amp; </w:t>
      </w:r>
      <w:proofErr w:type="spellStart"/>
      <w:r w:rsidRPr="00CF66C0">
        <w:rPr>
          <w:rFonts w:ascii="Times New Roman" w:eastAsia="Times New Roman" w:hAnsi="Times New Roman" w:cs="Times New Roman"/>
          <w:sz w:val="24"/>
          <w:szCs w:val="24"/>
          <w:lang w:val="en-US"/>
        </w:rPr>
        <w:t>Eygendaal</w:t>
      </w:r>
      <w:proofErr w:type="spellEnd"/>
      <w:r w:rsidRPr="00CF66C0">
        <w:rPr>
          <w:rFonts w:ascii="Times New Roman" w:eastAsia="Times New Roman" w:hAnsi="Times New Roman" w:cs="Times New Roman"/>
          <w:sz w:val="24"/>
          <w:szCs w:val="24"/>
          <w:lang w:val="en-US"/>
        </w:rPr>
        <w:t xml:space="preserve">, D. (2020). Management of the failed radial head arthroplasty. </w:t>
      </w:r>
      <w:r w:rsidRPr="00CF66C0">
        <w:rPr>
          <w:rFonts w:ascii="Times New Roman" w:eastAsia="Times New Roman" w:hAnsi="Times New Roman" w:cs="Times New Roman"/>
          <w:i/>
          <w:iCs/>
          <w:sz w:val="24"/>
          <w:szCs w:val="24"/>
          <w:lang w:val="en-US"/>
        </w:rPr>
        <w:t>EFORT Open Reviews, 5</w:t>
      </w:r>
      <w:r w:rsidRPr="00CF66C0">
        <w:rPr>
          <w:rFonts w:ascii="Times New Roman" w:eastAsia="Times New Roman" w:hAnsi="Times New Roman" w:cs="Times New Roman"/>
          <w:sz w:val="24"/>
          <w:szCs w:val="24"/>
          <w:lang w:val="en-US"/>
        </w:rPr>
        <w:t xml:space="preserve">(7), 398–407. </w:t>
      </w:r>
      <w:hyperlink r:id="rId26" w:history="1">
        <w:r w:rsidRPr="00CF66C0">
          <w:rPr>
            <w:rStyle w:val="Hyperlink"/>
            <w:rFonts w:ascii="Times New Roman" w:eastAsia="Times New Roman" w:hAnsi="Times New Roman" w:cs="Times New Roman"/>
            <w:sz w:val="24"/>
            <w:szCs w:val="24"/>
            <w:lang w:val="en-US"/>
          </w:rPr>
          <w:t>https://doi.org/10.1302/2058-5241.5.190055</w:t>
        </w:r>
      </w:hyperlink>
      <w:r w:rsidRPr="00CF66C0">
        <w:rPr>
          <w:rFonts w:ascii="Times New Roman" w:eastAsia="Times New Roman" w:hAnsi="Times New Roman" w:cs="Times New Roman"/>
          <w:sz w:val="24"/>
          <w:szCs w:val="24"/>
          <w:lang w:val="en-US"/>
        </w:rPr>
        <w:t xml:space="preserve"> </w:t>
      </w:r>
    </w:p>
    <w:p w14:paraId="68792437" w14:textId="77777777" w:rsidR="004C7547" w:rsidRPr="00CF66C0" w:rsidRDefault="004C7547" w:rsidP="00CF66C0">
      <w:pPr>
        <w:pStyle w:val="ListParagraph"/>
        <w:numPr>
          <w:ilvl w:val="0"/>
          <w:numId w:val="5"/>
        </w:numPr>
        <w:spacing w:before="240" w:after="120"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Kumar, P., Singhal, R., Rajkumar, N., &amp; </w:t>
      </w:r>
      <w:proofErr w:type="spellStart"/>
      <w:r w:rsidRPr="00CF66C0">
        <w:rPr>
          <w:rFonts w:ascii="Times New Roman" w:eastAsia="Times New Roman" w:hAnsi="Times New Roman" w:cs="Times New Roman"/>
          <w:sz w:val="24"/>
          <w:szCs w:val="24"/>
          <w:lang w:val="en-US"/>
        </w:rPr>
        <w:t>Sirka</w:t>
      </w:r>
      <w:proofErr w:type="spellEnd"/>
      <w:r w:rsidRPr="00CF66C0">
        <w:rPr>
          <w:rFonts w:ascii="Times New Roman" w:eastAsia="Times New Roman" w:hAnsi="Times New Roman" w:cs="Times New Roman"/>
          <w:sz w:val="24"/>
          <w:szCs w:val="24"/>
          <w:lang w:val="en-US"/>
        </w:rPr>
        <w:t xml:space="preserve">, C. S. (2022). Comparison of radial head excision and arthroplasty for comminuted radial head fractures: A systematic review and meta-analysis. </w:t>
      </w:r>
      <w:r w:rsidRPr="00CF66C0">
        <w:rPr>
          <w:rFonts w:ascii="Times New Roman" w:eastAsia="Times New Roman" w:hAnsi="Times New Roman" w:cs="Times New Roman"/>
          <w:i/>
          <w:iCs/>
          <w:sz w:val="24"/>
          <w:szCs w:val="24"/>
          <w:lang w:val="en-US"/>
        </w:rPr>
        <w:t xml:space="preserve">Indian Journal of </w:t>
      </w:r>
      <w:proofErr w:type="spellStart"/>
      <w:r w:rsidRPr="00CF66C0">
        <w:rPr>
          <w:rFonts w:ascii="Times New Roman" w:eastAsia="Times New Roman" w:hAnsi="Times New Roman" w:cs="Times New Roman"/>
          <w:i/>
          <w:iCs/>
          <w:sz w:val="24"/>
          <w:szCs w:val="24"/>
          <w:lang w:val="en-US"/>
        </w:rPr>
        <w:t>Orthopaedics</w:t>
      </w:r>
      <w:proofErr w:type="spellEnd"/>
      <w:r w:rsidRPr="00CF66C0">
        <w:rPr>
          <w:rFonts w:ascii="Times New Roman" w:eastAsia="Times New Roman" w:hAnsi="Times New Roman" w:cs="Times New Roman"/>
          <w:i/>
          <w:iCs/>
          <w:sz w:val="24"/>
          <w:szCs w:val="24"/>
          <w:lang w:val="en-US"/>
        </w:rPr>
        <w:t>, 56</w:t>
      </w:r>
      <w:r w:rsidRPr="00CF66C0">
        <w:rPr>
          <w:rFonts w:ascii="Times New Roman" w:eastAsia="Times New Roman" w:hAnsi="Times New Roman" w:cs="Times New Roman"/>
          <w:sz w:val="24"/>
          <w:szCs w:val="24"/>
          <w:lang w:val="en-US"/>
        </w:rPr>
        <w:t xml:space="preserve">(11), 2052–2061. </w:t>
      </w:r>
      <w:hyperlink r:id="rId27" w:history="1">
        <w:r w:rsidRPr="00CF66C0">
          <w:rPr>
            <w:rStyle w:val="Hyperlink"/>
            <w:rFonts w:ascii="Times New Roman" w:eastAsia="Times New Roman" w:hAnsi="Times New Roman" w:cs="Times New Roman"/>
            <w:sz w:val="24"/>
            <w:szCs w:val="24"/>
            <w:lang w:val="en-US"/>
          </w:rPr>
          <w:t>https://doi.org/10.1007/s43465-022-00645-0</w:t>
        </w:r>
      </w:hyperlink>
    </w:p>
    <w:p w14:paraId="0A6F3078" w14:textId="77777777" w:rsidR="004C7547" w:rsidRPr="00CF66C0" w:rsidRDefault="004C7547" w:rsidP="00CF66C0">
      <w:pPr>
        <w:pStyle w:val="ListParagraph"/>
        <w:numPr>
          <w:ilvl w:val="0"/>
          <w:numId w:val="5"/>
        </w:numPr>
        <w:spacing w:before="240" w:after="120"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Laflamme, M., </w:t>
      </w:r>
      <w:proofErr w:type="spellStart"/>
      <w:r w:rsidRPr="00CF66C0">
        <w:rPr>
          <w:rFonts w:ascii="Times New Roman" w:eastAsia="Times New Roman" w:hAnsi="Times New Roman" w:cs="Times New Roman"/>
          <w:sz w:val="24"/>
          <w:szCs w:val="24"/>
          <w:lang w:val="en-US"/>
        </w:rPr>
        <w:t>Grenier</w:t>
      </w:r>
      <w:proofErr w:type="spellEnd"/>
      <w:r w:rsidRPr="00CF66C0">
        <w:rPr>
          <w:rFonts w:ascii="Times New Roman" w:eastAsia="Times New Roman" w:hAnsi="Times New Roman" w:cs="Times New Roman"/>
          <w:sz w:val="24"/>
          <w:szCs w:val="24"/>
          <w:lang w:val="en-US"/>
        </w:rPr>
        <w:t xml:space="preserve">-Gauthier, P.-P., Leclerc, A., </w:t>
      </w:r>
      <w:proofErr w:type="spellStart"/>
      <w:r w:rsidRPr="00CF66C0">
        <w:rPr>
          <w:rFonts w:ascii="Times New Roman" w:eastAsia="Times New Roman" w:hAnsi="Times New Roman" w:cs="Times New Roman"/>
          <w:sz w:val="24"/>
          <w:szCs w:val="24"/>
          <w:lang w:val="en-US"/>
        </w:rPr>
        <w:t>Antoniades</w:t>
      </w:r>
      <w:proofErr w:type="spellEnd"/>
      <w:r w:rsidRPr="00CF66C0">
        <w:rPr>
          <w:rFonts w:ascii="Times New Roman" w:eastAsia="Times New Roman" w:hAnsi="Times New Roman" w:cs="Times New Roman"/>
          <w:sz w:val="24"/>
          <w:szCs w:val="24"/>
          <w:lang w:val="en-US"/>
        </w:rPr>
        <w:t xml:space="preserve">, S., &amp; </w:t>
      </w:r>
      <w:proofErr w:type="spellStart"/>
      <w:r w:rsidRPr="00CF66C0">
        <w:rPr>
          <w:rFonts w:ascii="Times New Roman" w:eastAsia="Times New Roman" w:hAnsi="Times New Roman" w:cs="Times New Roman"/>
          <w:sz w:val="24"/>
          <w:szCs w:val="24"/>
          <w:lang w:val="en-US"/>
        </w:rPr>
        <w:t>Bédard</w:t>
      </w:r>
      <w:proofErr w:type="spellEnd"/>
      <w:r w:rsidRPr="00CF66C0">
        <w:rPr>
          <w:rFonts w:ascii="Times New Roman" w:eastAsia="Times New Roman" w:hAnsi="Times New Roman" w:cs="Times New Roman"/>
          <w:sz w:val="24"/>
          <w:szCs w:val="24"/>
          <w:lang w:val="en-US"/>
        </w:rPr>
        <w:t xml:space="preserve">, A.-M. (2017). Retrospective cohort study on radial head replacements comparing results between smooth and porous stem designs. </w:t>
      </w:r>
      <w:r w:rsidRPr="00CF66C0">
        <w:rPr>
          <w:rFonts w:ascii="Times New Roman" w:eastAsia="Times New Roman" w:hAnsi="Times New Roman" w:cs="Times New Roman"/>
          <w:i/>
          <w:iCs/>
          <w:sz w:val="24"/>
          <w:szCs w:val="24"/>
          <w:lang w:val="en-US"/>
        </w:rPr>
        <w:t>Journal of Shoulder and Elbow Surgery, 26</w:t>
      </w:r>
      <w:r w:rsidRPr="00CF66C0">
        <w:rPr>
          <w:rFonts w:ascii="Times New Roman" w:eastAsia="Times New Roman" w:hAnsi="Times New Roman" w:cs="Times New Roman"/>
          <w:sz w:val="24"/>
          <w:szCs w:val="24"/>
          <w:lang w:val="en-US"/>
        </w:rPr>
        <w:t xml:space="preserve">(8), 1316–1324. </w:t>
      </w:r>
      <w:hyperlink r:id="rId28" w:history="1">
        <w:r w:rsidRPr="00CF66C0">
          <w:rPr>
            <w:rStyle w:val="Hyperlink"/>
            <w:rFonts w:ascii="Times New Roman" w:eastAsia="Times New Roman" w:hAnsi="Times New Roman" w:cs="Times New Roman"/>
            <w:sz w:val="24"/>
            <w:szCs w:val="24"/>
            <w:lang w:val="en-US"/>
          </w:rPr>
          <w:t>https://doi.org/10.1016/j.jse.2017.04.008</w:t>
        </w:r>
      </w:hyperlink>
    </w:p>
    <w:p w14:paraId="66A320F1"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Laumonerie</w:t>
      </w:r>
      <w:proofErr w:type="spellEnd"/>
      <w:r w:rsidRPr="00CF66C0">
        <w:rPr>
          <w:rFonts w:ascii="Times New Roman" w:eastAsia="Times New Roman" w:hAnsi="Times New Roman" w:cs="Times New Roman"/>
          <w:sz w:val="24"/>
          <w:szCs w:val="24"/>
          <w:lang w:val="en-US"/>
        </w:rPr>
        <w:t xml:space="preserve">, P., Reina, N., </w:t>
      </w:r>
      <w:proofErr w:type="spellStart"/>
      <w:r w:rsidRPr="00CF66C0">
        <w:rPr>
          <w:rFonts w:ascii="Times New Roman" w:eastAsia="Times New Roman" w:hAnsi="Times New Roman" w:cs="Times New Roman"/>
          <w:sz w:val="24"/>
          <w:szCs w:val="24"/>
          <w:lang w:val="en-US"/>
        </w:rPr>
        <w:t>Kerezoudis</w:t>
      </w:r>
      <w:proofErr w:type="spellEnd"/>
      <w:r w:rsidRPr="00CF66C0">
        <w:rPr>
          <w:rFonts w:ascii="Times New Roman" w:eastAsia="Times New Roman" w:hAnsi="Times New Roman" w:cs="Times New Roman"/>
          <w:sz w:val="24"/>
          <w:szCs w:val="24"/>
          <w:lang w:val="en-US"/>
        </w:rPr>
        <w:t xml:space="preserve">, P., Bosc, R., </w:t>
      </w:r>
      <w:proofErr w:type="spellStart"/>
      <w:r w:rsidRPr="00CF66C0">
        <w:rPr>
          <w:rFonts w:ascii="Times New Roman" w:eastAsia="Times New Roman" w:hAnsi="Times New Roman" w:cs="Times New Roman"/>
          <w:sz w:val="24"/>
          <w:szCs w:val="24"/>
          <w:lang w:val="en-US"/>
        </w:rPr>
        <w:t>Mansat</w:t>
      </w:r>
      <w:proofErr w:type="spellEnd"/>
      <w:r w:rsidRPr="00CF66C0">
        <w:rPr>
          <w:rFonts w:ascii="Times New Roman" w:eastAsia="Times New Roman" w:hAnsi="Times New Roman" w:cs="Times New Roman"/>
          <w:sz w:val="24"/>
          <w:szCs w:val="24"/>
          <w:lang w:val="en-US"/>
        </w:rPr>
        <w:t xml:space="preserve">, P., </w:t>
      </w:r>
      <w:proofErr w:type="spellStart"/>
      <w:r w:rsidRPr="00CF66C0">
        <w:rPr>
          <w:rFonts w:ascii="Times New Roman" w:eastAsia="Times New Roman" w:hAnsi="Times New Roman" w:cs="Times New Roman"/>
          <w:sz w:val="24"/>
          <w:szCs w:val="24"/>
          <w:lang w:val="en-US"/>
        </w:rPr>
        <w:t>Bonnevialle</w:t>
      </w:r>
      <w:proofErr w:type="spellEnd"/>
      <w:r w:rsidRPr="00CF66C0">
        <w:rPr>
          <w:rFonts w:ascii="Times New Roman" w:eastAsia="Times New Roman" w:hAnsi="Times New Roman" w:cs="Times New Roman"/>
          <w:sz w:val="24"/>
          <w:szCs w:val="24"/>
          <w:lang w:val="en-US"/>
        </w:rPr>
        <w:t xml:space="preserve">, N., &amp; </w:t>
      </w:r>
      <w:proofErr w:type="spellStart"/>
      <w:r w:rsidRPr="00CF66C0">
        <w:rPr>
          <w:rFonts w:ascii="Times New Roman" w:eastAsia="Times New Roman" w:hAnsi="Times New Roman" w:cs="Times New Roman"/>
          <w:sz w:val="24"/>
          <w:szCs w:val="24"/>
          <w:lang w:val="en-US"/>
        </w:rPr>
        <w:t>Rongières</w:t>
      </w:r>
      <w:proofErr w:type="spellEnd"/>
      <w:r w:rsidRPr="00CF66C0">
        <w:rPr>
          <w:rFonts w:ascii="Times New Roman" w:eastAsia="Times New Roman" w:hAnsi="Times New Roman" w:cs="Times New Roman"/>
          <w:sz w:val="24"/>
          <w:szCs w:val="24"/>
          <w:lang w:val="en-US"/>
        </w:rPr>
        <w:t xml:space="preserve">, M. (2017). The </w:t>
      </w:r>
      <w:proofErr w:type="spellStart"/>
      <w:r w:rsidRPr="00CF66C0">
        <w:rPr>
          <w:rFonts w:ascii="Times New Roman" w:eastAsia="Times New Roman" w:hAnsi="Times New Roman" w:cs="Times New Roman"/>
          <w:sz w:val="24"/>
          <w:szCs w:val="24"/>
          <w:lang w:val="en-US"/>
        </w:rPr>
        <w:t>Judet</w:t>
      </w:r>
      <w:proofErr w:type="spellEnd"/>
      <w:r w:rsidRPr="00CF66C0">
        <w:rPr>
          <w:rFonts w:ascii="Times New Roman" w:eastAsia="Times New Roman" w:hAnsi="Times New Roman" w:cs="Times New Roman"/>
          <w:sz w:val="24"/>
          <w:szCs w:val="24"/>
          <w:lang w:val="en-US"/>
        </w:rPr>
        <w:t xml:space="preserve"> radial head prosthesis: A multi-</w:t>
      </w:r>
      <w:proofErr w:type="spellStart"/>
      <w:r w:rsidRPr="00CF66C0">
        <w:rPr>
          <w:rFonts w:ascii="Times New Roman" w:eastAsia="Times New Roman" w:hAnsi="Times New Roman" w:cs="Times New Roman"/>
          <w:sz w:val="24"/>
          <w:szCs w:val="24"/>
          <w:lang w:val="en-US"/>
        </w:rPr>
        <w:t>centre</w:t>
      </w:r>
      <w:proofErr w:type="spellEnd"/>
      <w:r w:rsidRPr="00CF66C0">
        <w:rPr>
          <w:rFonts w:ascii="Times New Roman" w:eastAsia="Times New Roman" w:hAnsi="Times New Roman" w:cs="Times New Roman"/>
          <w:sz w:val="24"/>
          <w:szCs w:val="24"/>
          <w:lang w:val="en-US"/>
        </w:rPr>
        <w:t xml:space="preserve"> study of functional outcomes and survival at mid-term follow-up. </w:t>
      </w:r>
      <w:r w:rsidRPr="00CF66C0">
        <w:rPr>
          <w:rFonts w:ascii="Times New Roman" w:eastAsia="Times New Roman" w:hAnsi="Times New Roman" w:cs="Times New Roman"/>
          <w:i/>
          <w:iCs/>
          <w:sz w:val="24"/>
          <w:szCs w:val="24"/>
          <w:lang w:val="en-US"/>
        </w:rPr>
        <w:t>The Bone &amp; Joint Journal, 99-</w:t>
      </w:r>
      <w:proofErr w:type="gramStart"/>
      <w:r w:rsidRPr="00CF66C0">
        <w:rPr>
          <w:rFonts w:ascii="Times New Roman" w:eastAsia="Times New Roman" w:hAnsi="Times New Roman" w:cs="Times New Roman"/>
          <w:i/>
          <w:iCs/>
          <w:sz w:val="24"/>
          <w:szCs w:val="24"/>
          <w:lang w:val="en-US"/>
        </w:rPr>
        <w:t>B</w:t>
      </w:r>
      <w:r w:rsidRPr="00CF66C0">
        <w:rPr>
          <w:rFonts w:ascii="Times New Roman" w:eastAsia="Times New Roman" w:hAnsi="Times New Roman" w:cs="Times New Roman"/>
          <w:sz w:val="24"/>
          <w:szCs w:val="24"/>
          <w:lang w:val="en-US"/>
        </w:rPr>
        <w:t>(</w:t>
      </w:r>
      <w:proofErr w:type="gramEnd"/>
      <w:r w:rsidRPr="00CF66C0">
        <w:rPr>
          <w:rFonts w:ascii="Times New Roman" w:eastAsia="Times New Roman" w:hAnsi="Times New Roman" w:cs="Times New Roman"/>
          <w:sz w:val="24"/>
          <w:szCs w:val="24"/>
          <w:lang w:val="en-US"/>
        </w:rPr>
        <w:t xml:space="preserve">9), 1197–1203. </w:t>
      </w:r>
      <w:hyperlink r:id="rId29" w:history="1">
        <w:r w:rsidRPr="00CF66C0">
          <w:rPr>
            <w:rStyle w:val="Hyperlink"/>
            <w:rFonts w:ascii="Times New Roman" w:eastAsia="Times New Roman" w:hAnsi="Times New Roman" w:cs="Times New Roman"/>
            <w:sz w:val="24"/>
            <w:szCs w:val="24"/>
            <w:lang w:val="en-US"/>
          </w:rPr>
          <w:t>https://doi.org/10.1302/0301-620X.99B9.BJJ-2016-1043.R2</w:t>
        </w:r>
      </w:hyperlink>
      <w:r w:rsidRPr="00CF66C0">
        <w:rPr>
          <w:rFonts w:ascii="Times New Roman" w:eastAsia="Times New Roman" w:hAnsi="Times New Roman" w:cs="Times New Roman"/>
          <w:sz w:val="24"/>
          <w:szCs w:val="24"/>
          <w:lang w:val="en-US"/>
        </w:rPr>
        <w:t xml:space="preserve"> </w:t>
      </w:r>
    </w:p>
    <w:p w14:paraId="1B33A3FB" w14:textId="77777777" w:rsidR="004C7547" w:rsidRPr="00CF66C0" w:rsidRDefault="004C7547" w:rsidP="00CF66C0">
      <w:pPr>
        <w:pStyle w:val="ListParagraph"/>
        <w:numPr>
          <w:ilvl w:val="0"/>
          <w:numId w:val="5"/>
        </w:numPr>
        <w:spacing w:before="240" w:after="120"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Lópiz</w:t>
      </w:r>
      <w:proofErr w:type="spellEnd"/>
      <w:r w:rsidRPr="00CF66C0">
        <w:rPr>
          <w:rFonts w:ascii="Times New Roman" w:eastAsia="Times New Roman" w:hAnsi="Times New Roman" w:cs="Times New Roman"/>
          <w:sz w:val="24"/>
          <w:szCs w:val="24"/>
          <w:lang w:val="en-US"/>
        </w:rPr>
        <w:t>, Y., González, A., García-Fernández, C., García-</w:t>
      </w:r>
      <w:proofErr w:type="spellStart"/>
      <w:r w:rsidRPr="00CF66C0">
        <w:rPr>
          <w:rFonts w:ascii="Times New Roman" w:eastAsia="Times New Roman" w:hAnsi="Times New Roman" w:cs="Times New Roman"/>
          <w:sz w:val="24"/>
          <w:szCs w:val="24"/>
          <w:lang w:val="en-US"/>
        </w:rPr>
        <w:t>Coiradas</w:t>
      </w:r>
      <w:proofErr w:type="spellEnd"/>
      <w:r w:rsidRPr="00CF66C0">
        <w:rPr>
          <w:rFonts w:ascii="Times New Roman" w:eastAsia="Times New Roman" w:hAnsi="Times New Roman" w:cs="Times New Roman"/>
          <w:sz w:val="24"/>
          <w:szCs w:val="24"/>
          <w:lang w:val="en-US"/>
        </w:rPr>
        <w:t xml:space="preserve">, J., &amp; Marco, F. (2016). Comminuted fractures of the radial head: Resection or prosthesis? </w:t>
      </w:r>
      <w:r w:rsidRPr="00CF66C0">
        <w:rPr>
          <w:rFonts w:ascii="Times New Roman" w:eastAsia="Times New Roman" w:hAnsi="Times New Roman" w:cs="Times New Roman"/>
          <w:i/>
          <w:iCs/>
          <w:sz w:val="24"/>
          <w:szCs w:val="24"/>
          <w:lang w:val="en-US"/>
        </w:rPr>
        <w:t>Injury, 47</w:t>
      </w:r>
      <w:r w:rsidRPr="00CF66C0">
        <w:rPr>
          <w:rFonts w:ascii="Times New Roman" w:eastAsia="Times New Roman" w:hAnsi="Times New Roman" w:cs="Times New Roman"/>
          <w:sz w:val="24"/>
          <w:szCs w:val="24"/>
          <w:lang w:val="en-US"/>
        </w:rPr>
        <w:t xml:space="preserve">(Suppl 3), S29–S34. </w:t>
      </w:r>
      <w:hyperlink r:id="rId30" w:history="1">
        <w:r w:rsidRPr="00CF66C0">
          <w:rPr>
            <w:rStyle w:val="Hyperlink"/>
            <w:rFonts w:ascii="Times New Roman" w:eastAsia="Times New Roman" w:hAnsi="Times New Roman" w:cs="Times New Roman"/>
            <w:sz w:val="24"/>
            <w:szCs w:val="24"/>
            <w:lang w:val="en-US"/>
          </w:rPr>
          <w:t>https://doi.org/10.1016/S0020-1383(16)30603-9</w:t>
        </w:r>
      </w:hyperlink>
    </w:p>
    <w:p w14:paraId="27269346"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Macken, A. A., </w:t>
      </w:r>
      <w:proofErr w:type="spellStart"/>
      <w:r w:rsidRPr="00CF66C0">
        <w:rPr>
          <w:rFonts w:ascii="Times New Roman" w:eastAsia="Times New Roman" w:hAnsi="Times New Roman" w:cs="Times New Roman"/>
          <w:sz w:val="24"/>
          <w:szCs w:val="24"/>
          <w:lang w:val="en-US"/>
        </w:rPr>
        <w:t>Prkić</w:t>
      </w:r>
      <w:proofErr w:type="spellEnd"/>
      <w:r w:rsidRPr="00CF66C0">
        <w:rPr>
          <w:rFonts w:ascii="Times New Roman" w:eastAsia="Times New Roman" w:hAnsi="Times New Roman" w:cs="Times New Roman"/>
          <w:sz w:val="24"/>
          <w:szCs w:val="24"/>
          <w:lang w:val="en-US"/>
        </w:rPr>
        <w:t xml:space="preserve">, A., </w:t>
      </w:r>
      <w:proofErr w:type="spellStart"/>
      <w:r w:rsidRPr="00CF66C0">
        <w:rPr>
          <w:rFonts w:ascii="Times New Roman" w:eastAsia="Times New Roman" w:hAnsi="Times New Roman" w:cs="Times New Roman"/>
          <w:sz w:val="24"/>
          <w:szCs w:val="24"/>
          <w:lang w:val="en-US"/>
        </w:rPr>
        <w:t>Koenraadt</w:t>
      </w:r>
      <w:proofErr w:type="spellEnd"/>
      <w:r w:rsidRPr="00CF66C0">
        <w:rPr>
          <w:rFonts w:ascii="Times New Roman" w:eastAsia="Times New Roman" w:hAnsi="Times New Roman" w:cs="Times New Roman"/>
          <w:sz w:val="24"/>
          <w:szCs w:val="24"/>
          <w:lang w:val="en-US"/>
        </w:rPr>
        <w:t xml:space="preserve">, K. L. M., van Oost, I., </w:t>
      </w:r>
      <w:proofErr w:type="spellStart"/>
      <w:r w:rsidRPr="00CF66C0">
        <w:rPr>
          <w:rFonts w:ascii="Times New Roman" w:eastAsia="Times New Roman" w:hAnsi="Times New Roman" w:cs="Times New Roman"/>
          <w:sz w:val="24"/>
          <w:szCs w:val="24"/>
          <w:lang w:val="en-US"/>
        </w:rPr>
        <w:t>Spekenbrink-Spooren</w:t>
      </w:r>
      <w:proofErr w:type="spellEnd"/>
      <w:r w:rsidRPr="00CF66C0">
        <w:rPr>
          <w:rFonts w:ascii="Times New Roman" w:eastAsia="Times New Roman" w:hAnsi="Times New Roman" w:cs="Times New Roman"/>
          <w:sz w:val="24"/>
          <w:szCs w:val="24"/>
          <w:lang w:val="en-US"/>
        </w:rPr>
        <w:t xml:space="preserve">, A., The, B., &amp; </w:t>
      </w:r>
      <w:proofErr w:type="spellStart"/>
      <w:r w:rsidRPr="00CF66C0">
        <w:rPr>
          <w:rFonts w:ascii="Times New Roman" w:eastAsia="Times New Roman" w:hAnsi="Times New Roman" w:cs="Times New Roman"/>
          <w:sz w:val="24"/>
          <w:szCs w:val="24"/>
          <w:lang w:val="en-US"/>
        </w:rPr>
        <w:t>Eygendaal</w:t>
      </w:r>
      <w:proofErr w:type="spellEnd"/>
      <w:r w:rsidRPr="00CF66C0">
        <w:rPr>
          <w:rFonts w:ascii="Times New Roman" w:eastAsia="Times New Roman" w:hAnsi="Times New Roman" w:cs="Times New Roman"/>
          <w:sz w:val="24"/>
          <w:szCs w:val="24"/>
          <w:lang w:val="en-US"/>
        </w:rPr>
        <w:t xml:space="preserve">, D. (2022). A registry study on radial head arthroplasties in the Netherlands: Indications, types and short-term survival. </w:t>
      </w:r>
      <w:r w:rsidRPr="00CF66C0">
        <w:rPr>
          <w:rFonts w:ascii="Times New Roman" w:eastAsia="Times New Roman" w:hAnsi="Times New Roman" w:cs="Times New Roman"/>
          <w:i/>
          <w:iCs/>
          <w:sz w:val="24"/>
          <w:szCs w:val="24"/>
          <w:lang w:val="en-US"/>
        </w:rPr>
        <w:t>Shoulder &amp; Elbow, 14</w:t>
      </w:r>
      <w:r w:rsidRPr="00CF66C0">
        <w:rPr>
          <w:rFonts w:ascii="Times New Roman" w:eastAsia="Times New Roman" w:hAnsi="Times New Roman" w:cs="Times New Roman"/>
          <w:sz w:val="24"/>
          <w:szCs w:val="24"/>
          <w:lang w:val="en-US"/>
        </w:rPr>
        <w:t xml:space="preserve">(1), 96–102. </w:t>
      </w:r>
      <w:hyperlink r:id="rId31" w:history="1">
        <w:r w:rsidRPr="00CF66C0">
          <w:rPr>
            <w:rStyle w:val="Hyperlink"/>
            <w:rFonts w:ascii="Times New Roman" w:eastAsia="Times New Roman" w:hAnsi="Times New Roman" w:cs="Times New Roman"/>
            <w:sz w:val="24"/>
            <w:szCs w:val="24"/>
            <w:lang w:val="en-US"/>
          </w:rPr>
          <w:t>https://doi.org/10.1177/1758573220987843</w:t>
        </w:r>
      </w:hyperlink>
      <w:r w:rsidRPr="00CF66C0">
        <w:rPr>
          <w:rFonts w:ascii="Times New Roman" w:eastAsia="Times New Roman" w:hAnsi="Times New Roman" w:cs="Times New Roman"/>
          <w:sz w:val="24"/>
          <w:szCs w:val="24"/>
          <w:lang w:val="en-US"/>
        </w:rPr>
        <w:t xml:space="preserve"> </w:t>
      </w:r>
    </w:p>
    <w:p w14:paraId="0DECBC06"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Masouros</w:t>
      </w:r>
      <w:proofErr w:type="spellEnd"/>
      <w:r w:rsidRPr="00CF66C0">
        <w:rPr>
          <w:rFonts w:ascii="Times New Roman" w:eastAsia="Times New Roman" w:hAnsi="Times New Roman" w:cs="Times New Roman"/>
          <w:sz w:val="24"/>
          <w:szCs w:val="24"/>
          <w:lang w:val="en-US"/>
        </w:rPr>
        <w:t xml:space="preserve">, P. T., </w:t>
      </w:r>
      <w:proofErr w:type="spellStart"/>
      <w:r w:rsidRPr="00CF66C0">
        <w:rPr>
          <w:rFonts w:ascii="Times New Roman" w:eastAsia="Times New Roman" w:hAnsi="Times New Roman" w:cs="Times New Roman"/>
          <w:sz w:val="24"/>
          <w:szCs w:val="24"/>
          <w:lang w:val="en-US"/>
        </w:rPr>
        <w:t>Apergis</w:t>
      </w:r>
      <w:proofErr w:type="spellEnd"/>
      <w:r w:rsidRPr="00CF66C0">
        <w:rPr>
          <w:rFonts w:ascii="Times New Roman" w:eastAsia="Times New Roman" w:hAnsi="Times New Roman" w:cs="Times New Roman"/>
          <w:sz w:val="24"/>
          <w:szCs w:val="24"/>
          <w:lang w:val="en-US"/>
        </w:rPr>
        <w:t xml:space="preserve">, E. P., Babis, G. C., </w:t>
      </w:r>
      <w:proofErr w:type="spellStart"/>
      <w:r w:rsidRPr="00CF66C0">
        <w:rPr>
          <w:rFonts w:ascii="Times New Roman" w:eastAsia="Times New Roman" w:hAnsi="Times New Roman" w:cs="Times New Roman"/>
          <w:sz w:val="24"/>
          <w:szCs w:val="24"/>
          <w:lang w:val="en-US"/>
        </w:rPr>
        <w:t>Pernientakis</w:t>
      </w:r>
      <w:proofErr w:type="spellEnd"/>
      <w:r w:rsidRPr="00CF66C0">
        <w:rPr>
          <w:rFonts w:ascii="Times New Roman" w:eastAsia="Times New Roman" w:hAnsi="Times New Roman" w:cs="Times New Roman"/>
          <w:sz w:val="24"/>
          <w:szCs w:val="24"/>
          <w:lang w:val="en-US"/>
        </w:rPr>
        <w:t xml:space="preserve">, S. S., </w:t>
      </w:r>
      <w:proofErr w:type="spellStart"/>
      <w:r w:rsidRPr="00CF66C0">
        <w:rPr>
          <w:rFonts w:ascii="Times New Roman" w:eastAsia="Times New Roman" w:hAnsi="Times New Roman" w:cs="Times New Roman"/>
          <w:sz w:val="24"/>
          <w:szCs w:val="24"/>
          <w:lang w:val="en-US"/>
        </w:rPr>
        <w:t>Igoumenou</w:t>
      </w:r>
      <w:proofErr w:type="spellEnd"/>
      <w:r w:rsidRPr="00CF66C0">
        <w:rPr>
          <w:rFonts w:ascii="Times New Roman" w:eastAsia="Times New Roman" w:hAnsi="Times New Roman" w:cs="Times New Roman"/>
          <w:sz w:val="24"/>
          <w:szCs w:val="24"/>
          <w:lang w:val="en-US"/>
        </w:rPr>
        <w:t xml:space="preserve">, V. G., </w:t>
      </w:r>
      <w:proofErr w:type="spellStart"/>
      <w:r w:rsidRPr="00CF66C0">
        <w:rPr>
          <w:rFonts w:ascii="Times New Roman" w:eastAsia="Times New Roman" w:hAnsi="Times New Roman" w:cs="Times New Roman"/>
          <w:sz w:val="24"/>
          <w:szCs w:val="24"/>
          <w:lang w:val="en-US"/>
        </w:rPr>
        <w:t>Mavrogenis</w:t>
      </w:r>
      <w:proofErr w:type="spellEnd"/>
      <w:r w:rsidRPr="00CF66C0">
        <w:rPr>
          <w:rFonts w:ascii="Times New Roman" w:eastAsia="Times New Roman" w:hAnsi="Times New Roman" w:cs="Times New Roman"/>
          <w:sz w:val="24"/>
          <w:szCs w:val="24"/>
          <w:lang w:val="en-US"/>
        </w:rPr>
        <w:t>, A. F., &amp; Nikolaou, V. S. (2019). Essex-</w:t>
      </w:r>
      <w:proofErr w:type="spellStart"/>
      <w:r w:rsidRPr="00CF66C0">
        <w:rPr>
          <w:rFonts w:ascii="Times New Roman" w:eastAsia="Times New Roman" w:hAnsi="Times New Roman" w:cs="Times New Roman"/>
          <w:sz w:val="24"/>
          <w:szCs w:val="24"/>
          <w:lang w:val="en-US"/>
        </w:rPr>
        <w:t>Lopresti</w:t>
      </w:r>
      <w:proofErr w:type="spellEnd"/>
      <w:r w:rsidRPr="00CF66C0">
        <w:rPr>
          <w:rFonts w:ascii="Times New Roman" w:eastAsia="Times New Roman" w:hAnsi="Times New Roman" w:cs="Times New Roman"/>
          <w:sz w:val="24"/>
          <w:szCs w:val="24"/>
          <w:lang w:val="en-US"/>
        </w:rPr>
        <w:t xml:space="preserve"> injuries: An update. </w:t>
      </w:r>
      <w:r w:rsidRPr="00CF66C0">
        <w:rPr>
          <w:rFonts w:ascii="Times New Roman" w:eastAsia="Times New Roman" w:hAnsi="Times New Roman" w:cs="Times New Roman"/>
          <w:i/>
          <w:iCs/>
          <w:sz w:val="24"/>
          <w:szCs w:val="24"/>
          <w:lang w:val="en-US"/>
        </w:rPr>
        <w:t>EFORT Open Reviews, 4</w:t>
      </w:r>
      <w:r w:rsidRPr="00CF66C0">
        <w:rPr>
          <w:rFonts w:ascii="Times New Roman" w:eastAsia="Times New Roman" w:hAnsi="Times New Roman" w:cs="Times New Roman"/>
          <w:sz w:val="24"/>
          <w:szCs w:val="24"/>
          <w:lang w:val="en-US"/>
        </w:rPr>
        <w:t xml:space="preserve">(4), 143–150. </w:t>
      </w:r>
      <w:hyperlink r:id="rId32" w:history="1">
        <w:r w:rsidRPr="00CF66C0">
          <w:rPr>
            <w:rStyle w:val="Hyperlink"/>
            <w:rFonts w:ascii="Times New Roman" w:eastAsia="Times New Roman" w:hAnsi="Times New Roman" w:cs="Times New Roman"/>
            <w:sz w:val="24"/>
            <w:szCs w:val="24"/>
            <w:lang w:val="en-US"/>
          </w:rPr>
          <w:t>https://doi.org/10.1302/2058-5241.4.180072</w:t>
        </w:r>
      </w:hyperlink>
      <w:r w:rsidRPr="00CF66C0">
        <w:rPr>
          <w:rFonts w:ascii="Times New Roman" w:eastAsia="Times New Roman" w:hAnsi="Times New Roman" w:cs="Times New Roman"/>
          <w:sz w:val="24"/>
          <w:szCs w:val="24"/>
          <w:lang w:val="en-US"/>
        </w:rPr>
        <w:t xml:space="preserve"> </w:t>
      </w:r>
    </w:p>
    <w:p w14:paraId="4DF5F29E" w14:textId="77777777" w:rsidR="004C7547" w:rsidRPr="00CF66C0" w:rsidRDefault="004C7547" w:rsidP="00CF66C0">
      <w:pPr>
        <w:pStyle w:val="ListParagraph"/>
        <w:numPr>
          <w:ilvl w:val="0"/>
          <w:numId w:val="5"/>
        </w:numPr>
        <w:spacing w:before="240" w:after="120"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Mazhar, F. N., Ebrahimi, H., Jafari, D., &amp; Mirzaei, A. (2018). Radial head resection versus prosthetic arthroplasty in terrible triad injury: A retrospective comparative cohort study. </w:t>
      </w:r>
      <w:r w:rsidRPr="00CF66C0">
        <w:rPr>
          <w:rFonts w:ascii="Times New Roman" w:eastAsia="Times New Roman" w:hAnsi="Times New Roman" w:cs="Times New Roman"/>
          <w:i/>
          <w:iCs/>
          <w:sz w:val="24"/>
          <w:szCs w:val="24"/>
          <w:lang w:val="en-US"/>
        </w:rPr>
        <w:t>The Bone &amp; Joint Journal, 100-</w:t>
      </w:r>
      <w:proofErr w:type="gramStart"/>
      <w:r w:rsidRPr="00CF66C0">
        <w:rPr>
          <w:rFonts w:ascii="Times New Roman" w:eastAsia="Times New Roman" w:hAnsi="Times New Roman" w:cs="Times New Roman"/>
          <w:i/>
          <w:iCs/>
          <w:sz w:val="24"/>
          <w:szCs w:val="24"/>
          <w:lang w:val="en-US"/>
        </w:rPr>
        <w:t>B</w:t>
      </w:r>
      <w:r w:rsidRPr="00CF66C0">
        <w:rPr>
          <w:rFonts w:ascii="Times New Roman" w:eastAsia="Times New Roman" w:hAnsi="Times New Roman" w:cs="Times New Roman"/>
          <w:sz w:val="24"/>
          <w:szCs w:val="24"/>
          <w:lang w:val="en-US"/>
        </w:rPr>
        <w:t>(</w:t>
      </w:r>
      <w:proofErr w:type="gramEnd"/>
      <w:r w:rsidRPr="00CF66C0">
        <w:rPr>
          <w:rFonts w:ascii="Times New Roman" w:eastAsia="Times New Roman" w:hAnsi="Times New Roman" w:cs="Times New Roman"/>
          <w:sz w:val="24"/>
          <w:szCs w:val="24"/>
          <w:lang w:val="en-US"/>
        </w:rPr>
        <w:t xml:space="preserve">11), 1499–1505. </w:t>
      </w:r>
      <w:hyperlink r:id="rId33" w:history="1">
        <w:r w:rsidRPr="00CF66C0">
          <w:rPr>
            <w:rStyle w:val="Hyperlink"/>
            <w:rFonts w:ascii="Times New Roman" w:eastAsia="Times New Roman" w:hAnsi="Times New Roman" w:cs="Times New Roman"/>
            <w:sz w:val="24"/>
            <w:szCs w:val="24"/>
            <w:lang w:val="en-US"/>
          </w:rPr>
          <w:t>https://doi.org/10.1302/0301-620X.100B11.BJJ-2018-0293.R1</w:t>
        </w:r>
      </w:hyperlink>
    </w:p>
    <w:p w14:paraId="6F697954" w14:textId="77777777" w:rsidR="004C7547" w:rsidRPr="00CF66C0" w:rsidRDefault="004C7547" w:rsidP="00CF66C0">
      <w:pPr>
        <w:pStyle w:val="ListParagraph"/>
        <w:numPr>
          <w:ilvl w:val="0"/>
          <w:numId w:val="5"/>
        </w:numPr>
        <w:spacing w:before="240" w:after="120"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Nestorson</w:t>
      </w:r>
      <w:proofErr w:type="spellEnd"/>
      <w:r w:rsidRPr="00CF66C0">
        <w:rPr>
          <w:rFonts w:ascii="Times New Roman" w:eastAsia="Times New Roman" w:hAnsi="Times New Roman" w:cs="Times New Roman"/>
          <w:sz w:val="24"/>
          <w:szCs w:val="24"/>
          <w:lang w:val="en-US"/>
        </w:rPr>
        <w:t xml:space="preserve">, J., </w:t>
      </w:r>
      <w:proofErr w:type="spellStart"/>
      <w:r w:rsidRPr="00CF66C0">
        <w:rPr>
          <w:rFonts w:ascii="Times New Roman" w:eastAsia="Times New Roman" w:hAnsi="Times New Roman" w:cs="Times New Roman"/>
          <w:sz w:val="24"/>
          <w:szCs w:val="24"/>
          <w:lang w:val="en-US"/>
        </w:rPr>
        <w:t>Josefsson</w:t>
      </w:r>
      <w:proofErr w:type="spellEnd"/>
      <w:r w:rsidRPr="00CF66C0">
        <w:rPr>
          <w:rFonts w:ascii="Times New Roman" w:eastAsia="Times New Roman" w:hAnsi="Times New Roman" w:cs="Times New Roman"/>
          <w:sz w:val="24"/>
          <w:szCs w:val="24"/>
          <w:lang w:val="en-US"/>
        </w:rPr>
        <w:t xml:space="preserve">, P.-O., &amp; </w:t>
      </w:r>
      <w:proofErr w:type="spellStart"/>
      <w:r w:rsidRPr="00CF66C0">
        <w:rPr>
          <w:rFonts w:ascii="Times New Roman" w:eastAsia="Times New Roman" w:hAnsi="Times New Roman" w:cs="Times New Roman"/>
          <w:sz w:val="24"/>
          <w:szCs w:val="24"/>
          <w:lang w:val="en-US"/>
        </w:rPr>
        <w:t>Adolfsson</w:t>
      </w:r>
      <w:proofErr w:type="spellEnd"/>
      <w:r w:rsidRPr="00CF66C0">
        <w:rPr>
          <w:rFonts w:ascii="Times New Roman" w:eastAsia="Times New Roman" w:hAnsi="Times New Roman" w:cs="Times New Roman"/>
          <w:sz w:val="24"/>
          <w:szCs w:val="24"/>
          <w:lang w:val="en-US"/>
        </w:rPr>
        <w:t xml:space="preserve">, L. (2017). A radial head prosthesis appears to be unnecessary in Mason-IV fracture dislocation. </w:t>
      </w:r>
      <w:r w:rsidRPr="00CF66C0">
        <w:rPr>
          <w:rFonts w:ascii="Times New Roman" w:eastAsia="Times New Roman" w:hAnsi="Times New Roman" w:cs="Times New Roman"/>
          <w:i/>
          <w:iCs/>
          <w:sz w:val="24"/>
          <w:szCs w:val="24"/>
          <w:lang w:val="en-US"/>
        </w:rPr>
        <w:t xml:space="preserve">Acta </w:t>
      </w:r>
      <w:proofErr w:type="spellStart"/>
      <w:r w:rsidRPr="00CF66C0">
        <w:rPr>
          <w:rFonts w:ascii="Times New Roman" w:eastAsia="Times New Roman" w:hAnsi="Times New Roman" w:cs="Times New Roman"/>
          <w:i/>
          <w:iCs/>
          <w:sz w:val="24"/>
          <w:szCs w:val="24"/>
          <w:lang w:val="en-US"/>
        </w:rPr>
        <w:t>Orthopaedica</w:t>
      </w:r>
      <w:proofErr w:type="spellEnd"/>
      <w:r w:rsidRPr="00CF66C0">
        <w:rPr>
          <w:rFonts w:ascii="Times New Roman" w:eastAsia="Times New Roman" w:hAnsi="Times New Roman" w:cs="Times New Roman"/>
          <w:i/>
          <w:iCs/>
          <w:sz w:val="24"/>
          <w:szCs w:val="24"/>
          <w:lang w:val="en-US"/>
        </w:rPr>
        <w:t>, 88</w:t>
      </w:r>
      <w:r w:rsidRPr="00CF66C0">
        <w:rPr>
          <w:rFonts w:ascii="Times New Roman" w:eastAsia="Times New Roman" w:hAnsi="Times New Roman" w:cs="Times New Roman"/>
          <w:sz w:val="24"/>
          <w:szCs w:val="24"/>
          <w:lang w:val="en-US"/>
        </w:rPr>
        <w:t xml:space="preserve">(3), 315–319. </w:t>
      </w:r>
      <w:hyperlink r:id="rId34" w:history="1">
        <w:r w:rsidRPr="00CF66C0">
          <w:rPr>
            <w:rStyle w:val="Hyperlink"/>
            <w:rFonts w:ascii="Times New Roman" w:eastAsia="Times New Roman" w:hAnsi="Times New Roman" w:cs="Times New Roman"/>
            <w:sz w:val="24"/>
            <w:szCs w:val="24"/>
            <w:lang w:val="en-US"/>
          </w:rPr>
          <w:t>https://doi.org/10.1080/17453674.2017.1293440</w:t>
        </w:r>
      </w:hyperlink>
    </w:p>
    <w:p w14:paraId="3C6074DE"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Nolte, P. C., </w:t>
      </w:r>
      <w:proofErr w:type="spellStart"/>
      <w:r w:rsidRPr="00CF66C0">
        <w:rPr>
          <w:rFonts w:ascii="Times New Roman" w:eastAsia="Times New Roman" w:hAnsi="Times New Roman" w:cs="Times New Roman"/>
          <w:sz w:val="24"/>
          <w:szCs w:val="24"/>
          <w:lang w:val="en-US"/>
        </w:rPr>
        <w:t>Tross</w:t>
      </w:r>
      <w:proofErr w:type="spellEnd"/>
      <w:r w:rsidRPr="00CF66C0">
        <w:rPr>
          <w:rFonts w:ascii="Times New Roman" w:eastAsia="Times New Roman" w:hAnsi="Times New Roman" w:cs="Times New Roman"/>
          <w:sz w:val="24"/>
          <w:szCs w:val="24"/>
          <w:lang w:val="en-US"/>
        </w:rPr>
        <w:t xml:space="preserve">, A.-K., </w:t>
      </w:r>
      <w:proofErr w:type="spellStart"/>
      <w:r w:rsidRPr="00CF66C0">
        <w:rPr>
          <w:rFonts w:ascii="Times New Roman" w:eastAsia="Times New Roman" w:hAnsi="Times New Roman" w:cs="Times New Roman"/>
          <w:sz w:val="24"/>
          <w:szCs w:val="24"/>
          <w:lang w:val="en-US"/>
        </w:rPr>
        <w:t>Groetzner</w:t>
      </w:r>
      <w:proofErr w:type="spellEnd"/>
      <w:r w:rsidRPr="00CF66C0">
        <w:rPr>
          <w:rFonts w:ascii="Times New Roman" w:eastAsia="Times New Roman" w:hAnsi="Times New Roman" w:cs="Times New Roman"/>
          <w:sz w:val="24"/>
          <w:szCs w:val="24"/>
          <w:lang w:val="en-US"/>
        </w:rPr>
        <w:t xml:space="preserve">-Schmidt, C., Jung, M. K., </w:t>
      </w:r>
      <w:proofErr w:type="spellStart"/>
      <w:r w:rsidRPr="00CF66C0">
        <w:rPr>
          <w:rFonts w:ascii="Times New Roman" w:eastAsia="Times New Roman" w:hAnsi="Times New Roman" w:cs="Times New Roman"/>
          <w:sz w:val="24"/>
          <w:szCs w:val="24"/>
          <w:lang w:val="en-US"/>
        </w:rPr>
        <w:t>Porschke</w:t>
      </w:r>
      <w:proofErr w:type="spellEnd"/>
      <w:r w:rsidRPr="00CF66C0">
        <w:rPr>
          <w:rFonts w:ascii="Times New Roman" w:eastAsia="Times New Roman" w:hAnsi="Times New Roman" w:cs="Times New Roman"/>
          <w:sz w:val="24"/>
          <w:szCs w:val="24"/>
          <w:lang w:val="en-US"/>
        </w:rPr>
        <w:t xml:space="preserve">, F., </w:t>
      </w:r>
      <w:proofErr w:type="spellStart"/>
      <w:r w:rsidRPr="00CF66C0">
        <w:rPr>
          <w:rFonts w:ascii="Times New Roman" w:eastAsia="Times New Roman" w:hAnsi="Times New Roman" w:cs="Times New Roman"/>
          <w:sz w:val="24"/>
          <w:szCs w:val="24"/>
          <w:lang w:val="en-US"/>
        </w:rPr>
        <w:t>Grützner</w:t>
      </w:r>
      <w:proofErr w:type="spellEnd"/>
      <w:r w:rsidRPr="00CF66C0">
        <w:rPr>
          <w:rFonts w:ascii="Times New Roman" w:eastAsia="Times New Roman" w:hAnsi="Times New Roman" w:cs="Times New Roman"/>
          <w:sz w:val="24"/>
          <w:szCs w:val="24"/>
          <w:lang w:val="en-US"/>
        </w:rPr>
        <w:t xml:space="preserve">, P. A., </w:t>
      </w:r>
      <w:proofErr w:type="spellStart"/>
      <w:r w:rsidRPr="00CF66C0">
        <w:rPr>
          <w:rFonts w:ascii="Times New Roman" w:eastAsia="Times New Roman" w:hAnsi="Times New Roman" w:cs="Times New Roman"/>
          <w:sz w:val="24"/>
          <w:szCs w:val="24"/>
          <w:lang w:val="en-US"/>
        </w:rPr>
        <w:t>Guehring</w:t>
      </w:r>
      <w:proofErr w:type="spellEnd"/>
      <w:r w:rsidRPr="00CF66C0">
        <w:rPr>
          <w:rFonts w:ascii="Times New Roman" w:eastAsia="Times New Roman" w:hAnsi="Times New Roman" w:cs="Times New Roman"/>
          <w:sz w:val="24"/>
          <w:szCs w:val="24"/>
          <w:lang w:val="en-US"/>
        </w:rPr>
        <w:t xml:space="preserve">, T., </w:t>
      </w:r>
      <w:proofErr w:type="spellStart"/>
      <w:r w:rsidRPr="00CF66C0">
        <w:rPr>
          <w:rFonts w:ascii="Times New Roman" w:eastAsia="Times New Roman" w:hAnsi="Times New Roman" w:cs="Times New Roman"/>
          <w:sz w:val="24"/>
          <w:szCs w:val="24"/>
          <w:lang w:val="en-US"/>
        </w:rPr>
        <w:t>Schüler</w:t>
      </w:r>
      <w:proofErr w:type="spellEnd"/>
      <w:r w:rsidRPr="00CF66C0">
        <w:rPr>
          <w:rFonts w:ascii="Times New Roman" w:eastAsia="Times New Roman" w:hAnsi="Times New Roman" w:cs="Times New Roman"/>
          <w:sz w:val="24"/>
          <w:szCs w:val="24"/>
          <w:lang w:val="en-US"/>
        </w:rPr>
        <w:t xml:space="preserve">, S., &amp; </w:t>
      </w:r>
      <w:proofErr w:type="spellStart"/>
      <w:r w:rsidRPr="00CF66C0">
        <w:rPr>
          <w:rFonts w:ascii="Times New Roman" w:eastAsia="Times New Roman" w:hAnsi="Times New Roman" w:cs="Times New Roman"/>
          <w:sz w:val="24"/>
          <w:szCs w:val="24"/>
          <w:lang w:val="en-US"/>
        </w:rPr>
        <w:t>Schnetzke</w:t>
      </w:r>
      <w:proofErr w:type="spellEnd"/>
      <w:r w:rsidRPr="00CF66C0">
        <w:rPr>
          <w:rFonts w:ascii="Times New Roman" w:eastAsia="Times New Roman" w:hAnsi="Times New Roman" w:cs="Times New Roman"/>
          <w:sz w:val="24"/>
          <w:szCs w:val="24"/>
          <w:lang w:val="en-US"/>
        </w:rPr>
        <w:t xml:space="preserve">, M. (2021). Risk factors for revision surgery following radial head arthroplasty without cement for unreconstructible radial head fractures: Minimum 3-year follow-up. </w:t>
      </w:r>
      <w:r w:rsidRPr="00CF66C0">
        <w:rPr>
          <w:rFonts w:ascii="Times New Roman" w:eastAsia="Times New Roman" w:hAnsi="Times New Roman" w:cs="Times New Roman"/>
          <w:i/>
          <w:iCs/>
          <w:sz w:val="24"/>
          <w:szCs w:val="24"/>
          <w:lang w:val="en-US"/>
        </w:rPr>
        <w:t>The Journal of Bone and Joint Surgery. American Volume, 103</w:t>
      </w:r>
      <w:r w:rsidRPr="00CF66C0">
        <w:rPr>
          <w:rFonts w:ascii="Times New Roman" w:eastAsia="Times New Roman" w:hAnsi="Times New Roman" w:cs="Times New Roman"/>
          <w:sz w:val="24"/>
          <w:szCs w:val="24"/>
          <w:lang w:val="en-US"/>
        </w:rPr>
        <w:t xml:space="preserve">(8), 688–695. </w:t>
      </w:r>
      <w:hyperlink r:id="rId35" w:history="1">
        <w:r w:rsidRPr="00CF66C0">
          <w:rPr>
            <w:rStyle w:val="Hyperlink"/>
            <w:rFonts w:ascii="Times New Roman" w:eastAsia="Times New Roman" w:hAnsi="Times New Roman" w:cs="Times New Roman"/>
            <w:sz w:val="24"/>
            <w:szCs w:val="24"/>
            <w:lang w:val="en-US"/>
          </w:rPr>
          <w:t>https://doi.org/10.2106/JBJS.20.01231</w:t>
        </w:r>
      </w:hyperlink>
      <w:r w:rsidRPr="00CF66C0">
        <w:rPr>
          <w:rFonts w:ascii="Times New Roman" w:eastAsia="Times New Roman" w:hAnsi="Times New Roman" w:cs="Times New Roman"/>
          <w:sz w:val="24"/>
          <w:szCs w:val="24"/>
          <w:lang w:val="en-US"/>
        </w:rPr>
        <w:t xml:space="preserve"> </w:t>
      </w:r>
    </w:p>
    <w:p w14:paraId="5B702B1C"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Nosenzo</w:t>
      </w:r>
      <w:proofErr w:type="spellEnd"/>
      <w:r w:rsidRPr="00CF66C0">
        <w:rPr>
          <w:rFonts w:ascii="Times New Roman" w:eastAsia="Times New Roman" w:hAnsi="Times New Roman" w:cs="Times New Roman"/>
          <w:sz w:val="24"/>
          <w:szCs w:val="24"/>
          <w:lang w:val="en-US"/>
        </w:rPr>
        <w:t xml:space="preserve">, A., </w:t>
      </w:r>
      <w:proofErr w:type="spellStart"/>
      <w:r w:rsidRPr="00CF66C0">
        <w:rPr>
          <w:rFonts w:ascii="Times New Roman" w:eastAsia="Times New Roman" w:hAnsi="Times New Roman" w:cs="Times New Roman"/>
          <w:sz w:val="24"/>
          <w:szCs w:val="24"/>
          <w:lang w:val="en-US"/>
        </w:rPr>
        <w:t>Truntzer</w:t>
      </w:r>
      <w:proofErr w:type="spellEnd"/>
      <w:r w:rsidRPr="00CF66C0">
        <w:rPr>
          <w:rFonts w:ascii="Times New Roman" w:eastAsia="Times New Roman" w:hAnsi="Times New Roman" w:cs="Times New Roman"/>
          <w:sz w:val="24"/>
          <w:szCs w:val="24"/>
          <w:lang w:val="en-US"/>
        </w:rPr>
        <w:t xml:space="preserve">, J., </w:t>
      </w:r>
      <w:proofErr w:type="spellStart"/>
      <w:r w:rsidRPr="00CF66C0">
        <w:rPr>
          <w:rFonts w:ascii="Times New Roman" w:eastAsia="Times New Roman" w:hAnsi="Times New Roman" w:cs="Times New Roman"/>
          <w:sz w:val="24"/>
          <w:szCs w:val="24"/>
          <w:lang w:val="en-US"/>
        </w:rPr>
        <w:t>Amsallem</w:t>
      </w:r>
      <w:proofErr w:type="spellEnd"/>
      <w:r w:rsidRPr="00CF66C0">
        <w:rPr>
          <w:rFonts w:ascii="Times New Roman" w:eastAsia="Times New Roman" w:hAnsi="Times New Roman" w:cs="Times New Roman"/>
          <w:sz w:val="24"/>
          <w:szCs w:val="24"/>
          <w:lang w:val="en-US"/>
        </w:rPr>
        <w:t xml:space="preserve">, L., </w:t>
      </w:r>
      <w:proofErr w:type="spellStart"/>
      <w:r w:rsidRPr="00CF66C0">
        <w:rPr>
          <w:rFonts w:ascii="Times New Roman" w:eastAsia="Times New Roman" w:hAnsi="Times New Roman" w:cs="Times New Roman"/>
          <w:sz w:val="24"/>
          <w:szCs w:val="24"/>
          <w:lang w:val="en-US"/>
        </w:rPr>
        <w:t>Degeorges</w:t>
      </w:r>
      <w:proofErr w:type="spellEnd"/>
      <w:r w:rsidRPr="00CF66C0">
        <w:rPr>
          <w:rFonts w:ascii="Times New Roman" w:eastAsia="Times New Roman" w:hAnsi="Times New Roman" w:cs="Times New Roman"/>
          <w:sz w:val="24"/>
          <w:szCs w:val="24"/>
          <w:lang w:val="en-US"/>
        </w:rPr>
        <w:t xml:space="preserve">, R., &amp; </w:t>
      </w:r>
      <w:proofErr w:type="spellStart"/>
      <w:r w:rsidRPr="00CF66C0">
        <w:rPr>
          <w:rFonts w:ascii="Times New Roman" w:eastAsia="Times New Roman" w:hAnsi="Times New Roman" w:cs="Times New Roman"/>
          <w:sz w:val="24"/>
          <w:szCs w:val="24"/>
          <w:lang w:val="en-US"/>
        </w:rPr>
        <w:t>Obert</w:t>
      </w:r>
      <w:proofErr w:type="spellEnd"/>
      <w:r w:rsidRPr="00CF66C0">
        <w:rPr>
          <w:rFonts w:ascii="Times New Roman" w:eastAsia="Times New Roman" w:hAnsi="Times New Roman" w:cs="Times New Roman"/>
          <w:sz w:val="24"/>
          <w:szCs w:val="24"/>
          <w:lang w:val="en-US"/>
        </w:rPr>
        <w:t xml:space="preserve">, L. (2021). Acute radial head replacement with bipolar prostheses: Clinical and radiological outcomes at mid-term follow-up. </w:t>
      </w:r>
      <w:r w:rsidRPr="00CF66C0">
        <w:rPr>
          <w:rFonts w:ascii="Times New Roman" w:eastAsia="Times New Roman" w:hAnsi="Times New Roman" w:cs="Times New Roman"/>
          <w:i/>
          <w:iCs/>
          <w:sz w:val="24"/>
          <w:szCs w:val="24"/>
          <w:lang w:val="en-US"/>
        </w:rPr>
        <w:t xml:space="preserve">Archives of </w:t>
      </w:r>
      <w:proofErr w:type="spellStart"/>
      <w:r w:rsidRPr="00CF66C0">
        <w:rPr>
          <w:rFonts w:ascii="Times New Roman" w:eastAsia="Times New Roman" w:hAnsi="Times New Roman" w:cs="Times New Roman"/>
          <w:i/>
          <w:iCs/>
          <w:sz w:val="24"/>
          <w:szCs w:val="24"/>
          <w:lang w:val="en-US"/>
        </w:rPr>
        <w:t>Orthopaedic</w:t>
      </w:r>
      <w:proofErr w:type="spellEnd"/>
      <w:r w:rsidRPr="00CF66C0">
        <w:rPr>
          <w:rFonts w:ascii="Times New Roman" w:eastAsia="Times New Roman" w:hAnsi="Times New Roman" w:cs="Times New Roman"/>
          <w:i/>
          <w:iCs/>
          <w:sz w:val="24"/>
          <w:szCs w:val="24"/>
          <w:lang w:val="en-US"/>
        </w:rPr>
        <w:t xml:space="preserve"> and Trauma Surgery, 141</w:t>
      </w:r>
      <w:r w:rsidRPr="00CF66C0">
        <w:rPr>
          <w:rFonts w:ascii="Times New Roman" w:eastAsia="Times New Roman" w:hAnsi="Times New Roman" w:cs="Times New Roman"/>
          <w:sz w:val="24"/>
          <w:szCs w:val="24"/>
          <w:lang w:val="en-US"/>
        </w:rPr>
        <w:t xml:space="preserve">, 1253–1261. </w:t>
      </w:r>
      <w:hyperlink r:id="rId36" w:history="1">
        <w:r w:rsidRPr="00CF66C0">
          <w:rPr>
            <w:rStyle w:val="Hyperlink"/>
            <w:rFonts w:ascii="Times New Roman" w:eastAsia="Times New Roman" w:hAnsi="Times New Roman" w:cs="Times New Roman"/>
            <w:sz w:val="24"/>
            <w:szCs w:val="24"/>
            <w:lang w:val="en-US"/>
          </w:rPr>
          <w:t>https://doi.org/10.1007/s00590-020-02774-4</w:t>
        </w:r>
      </w:hyperlink>
      <w:r w:rsidRPr="00CF66C0">
        <w:rPr>
          <w:rFonts w:ascii="Times New Roman" w:eastAsia="Times New Roman" w:hAnsi="Times New Roman" w:cs="Times New Roman"/>
          <w:sz w:val="24"/>
          <w:szCs w:val="24"/>
          <w:lang w:val="en-US"/>
        </w:rPr>
        <w:t xml:space="preserve"> </w:t>
      </w:r>
    </w:p>
    <w:p w14:paraId="7932AF6E" w14:textId="77777777" w:rsidR="004C7547" w:rsidRPr="00CF66C0" w:rsidRDefault="004C7547" w:rsidP="00CF66C0">
      <w:pPr>
        <w:pStyle w:val="ListParagraph"/>
        <w:numPr>
          <w:ilvl w:val="0"/>
          <w:numId w:val="5"/>
        </w:numPr>
        <w:spacing w:before="240" w:after="120"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lastRenderedPageBreak/>
        <w:t xml:space="preserve">Rodriguez-Quintana, D., </w:t>
      </w:r>
      <w:proofErr w:type="spellStart"/>
      <w:r w:rsidRPr="00CF66C0">
        <w:rPr>
          <w:rFonts w:ascii="Times New Roman" w:eastAsia="Times New Roman" w:hAnsi="Times New Roman" w:cs="Times New Roman"/>
          <w:sz w:val="24"/>
          <w:szCs w:val="24"/>
          <w:lang w:val="en-US"/>
        </w:rPr>
        <w:t>Comulada</w:t>
      </w:r>
      <w:proofErr w:type="spellEnd"/>
      <w:r w:rsidRPr="00CF66C0">
        <w:rPr>
          <w:rFonts w:ascii="Times New Roman" w:eastAsia="Times New Roman" w:hAnsi="Times New Roman" w:cs="Times New Roman"/>
          <w:sz w:val="24"/>
          <w:szCs w:val="24"/>
          <w:lang w:val="en-US"/>
        </w:rPr>
        <w:t xml:space="preserve">, D. B., Rodriguez-Quintana, N., &amp; Lopez-Gonzalez, F. (2017). Radial head ingrowth anatomic implant versus smooth stem </w:t>
      </w:r>
      <w:proofErr w:type="spellStart"/>
      <w:r w:rsidRPr="00CF66C0">
        <w:rPr>
          <w:rFonts w:ascii="Times New Roman" w:eastAsia="Times New Roman" w:hAnsi="Times New Roman" w:cs="Times New Roman"/>
          <w:sz w:val="24"/>
          <w:szCs w:val="24"/>
          <w:lang w:val="en-US"/>
        </w:rPr>
        <w:t>monoblock</w:t>
      </w:r>
      <w:proofErr w:type="spellEnd"/>
      <w:r w:rsidRPr="00CF66C0">
        <w:rPr>
          <w:rFonts w:ascii="Times New Roman" w:eastAsia="Times New Roman" w:hAnsi="Times New Roman" w:cs="Times New Roman"/>
          <w:sz w:val="24"/>
          <w:szCs w:val="24"/>
          <w:lang w:val="en-US"/>
        </w:rPr>
        <w:t xml:space="preserve"> implant in acute terrible triad injury: A prospective comparative study. </w:t>
      </w:r>
      <w:r w:rsidRPr="00CF66C0">
        <w:rPr>
          <w:rFonts w:ascii="Times New Roman" w:eastAsia="Times New Roman" w:hAnsi="Times New Roman" w:cs="Times New Roman"/>
          <w:i/>
          <w:iCs/>
          <w:sz w:val="24"/>
          <w:szCs w:val="24"/>
          <w:lang w:val="en-US"/>
        </w:rPr>
        <w:t xml:space="preserve">Journal of </w:t>
      </w:r>
      <w:proofErr w:type="spellStart"/>
      <w:r w:rsidRPr="00CF66C0">
        <w:rPr>
          <w:rFonts w:ascii="Times New Roman" w:eastAsia="Times New Roman" w:hAnsi="Times New Roman" w:cs="Times New Roman"/>
          <w:i/>
          <w:iCs/>
          <w:sz w:val="24"/>
          <w:szCs w:val="24"/>
          <w:lang w:val="en-US"/>
        </w:rPr>
        <w:t>Orthopaedic</w:t>
      </w:r>
      <w:proofErr w:type="spellEnd"/>
      <w:r w:rsidRPr="00CF66C0">
        <w:rPr>
          <w:rFonts w:ascii="Times New Roman" w:eastAsia="Times New Roman" w:hAnsi="Times New Roman" w:cs="Times New Roman"/>
          <w:i/>
          <w:iCs/>
          <w:sz w:val="24"/>
          <w:szCs w:val="24"/>
          <w:lang w:val="en-US"/>
        </w:rPr>
        <w:t xml:space="preserve"> Trauma, 31</w:t>
      </w:r>
      <w:r w:rsidRPr="00CF66C0">
        <w:rPr>
          <w:rFonts w:ascii="Times New Roman" w:eastAsia="Times New Roman" w:hAnsi="Times New Roman" w:cs="Times New Roman"/>
          <w:sz w:val="24"/>
          <w:szCs w:val="24"/>
          <w:lang w:val="en-US"/>
        </w:rPr>
        <w:t xml:space="preserve">(9), 503–509. </w:t>
      </w:r>
      <w:hyperlink r:id="rId37" w:history="1">
        <w:r w:rsidRPr="00CF66C0">
          <w:rPr>
            <w:rStyle w:val="Hyperlink"/>
            <w:rFonts w:ascii="Times New Roman" w:eastAsia="Times New Roman" w:hAnsi="Times New Roman" w:cs="Times New Roman"/>
            <w:sz w:val="24"/>
            <w:szCs w:val="24"/>
            <w:lang w:val="en-US"/>
          </w:rPr>
          <w:t>https://doi.org/10.1097/BOT.0000000000000885</w:t>
        </w:r>
      </w:hyperlink>
    </w:p>
    <w:p w14:paraId="2880FC22" w14:textId="77777777"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CF66C0">
        <w:rPr>
          <w:rFonts w:ascii="Times New Roman" w:eastAsia="Times New Roman" w:hAnsi="Times New Roman" w:cs="Times New Roman"/>
          <w:sz w:val="24"/>
          <w:szCs w:val="24"/>
          <w:lang w:val="en-US"/>
        </w:rPr>
        <w:t xml:space="preserve">van der </w:t>
      </w:r>
      <w:proofErr w:type="spellStart"/>
      <w:r w:rsidRPr="00CF66C0">
        <w:rPr>
          <w:rFonts w:ascii="Times New Roman" w:eastAsia="Times New Roman" w:hAnsi="Times New Roman" w:cs="Times New Roman"/>
          <w:sz w:val="24"/>
          <w:szCs w:val="24"/>
          <w:lang w:val="en-US"/>
        </w:rPr>
        <w:t>Windt</w:t>
      </w:r>
      <w:proofErr w:type="spellEnd"/>
      <w:r w:rsidRPr="00CF66C0">
        <w:rPr>
          <w:rFonts w:ascii="Times New Roman" w:eastAsia="Times New Roman" w:hAnsi="Times New Roman" w:cs="Times New Roman"/>
          <w:sz w:val="24"/>
          <w:szCs w:val="24"/>
          <w:lang w:val="en-US"/>
        </w:rPr>
        <w:t xml:space="preserve">, A. E., </w:t>
      </w:r>
      <w:proofErr w:type="spellStart"/>
      <w:r w:rsidRPr="00CF66C0">
        <w:rPr>
          <w:rFonts w:ascii="Times New Roman" w:eastAsia="Times New Roman" w:hAnsi="Times New Roman" w:cs="Times New Roman"/>
          <w:sz w:val="24"/>
          <w:szCs w:val="24"/>
          <w:lang w:val="en-US"/>
        </w:rPr>
        <w:t>Doornberg</w:t>
      </w:r>
      <w:proofErr w:type="spellEnd"/>
      <w:r w:rsidRPr="00CF66C0">
        <w:rPr>
          <w:rFonts w:ascii="Times New Roman" w:eastAsia="Times New Roman" w:hAnsi="Times New Roman" w:cs="Times New Roman"/>
          <w:sz w:val="24"/>
          <w:szCs w:val="24"/>
          <w:lang w:val="en-US"/>
        </w:rPr>
        <w:t xml:space="preserve">, J. N., </w:t>
      </w:r>
      <w:proofErr w:type="spellStart"/>
      <w:r w:rsidRPr="00CF66C0">
        <w:rPr>
          <w:rFonts w:ascii="Times New Roman" w:eastAsia="Times New Roman" w:hAnsi="Times New Roman" w:cs="Times New Roman"/>
          <w:sz w:val="24"/>
          <w:szCs w:val="24"/>
          <w:lang w:val="en-US"/>
        </w:rPr>
        <w:t>Eygendaal</w:t>
      </w:r>
      <w:proofErr w:type="spellEnd"/>
      <w:r w:rsidRPr="00CF66C0">
        <w:rPr>
          <w:rFonts w:ascii="Times New Roman" w:eastAsia="Times New Roman" w:hAnsi="Times New Roman" w:cs="Times New Roman"/>
          <w:sz w:val="24"/>
          <w:szCs w:val="24"/>
          <w:lang w:val="en-US"/>
        </w:rPr>
        <w:t xml:space="preserve">, D., &amp; </w:t>
      </w:r>
      <w:proofErr w:type="spellStart"/>
      <w:r w:rsidRPr="00CF66C0">
        <w:rPr>
          <w:rFonts w:ascii="Times New Roman" w:eastAsia="Times New Roman" w:hAnsi="Times New Roman" w:cs="Times New Roman"/>
          <w:sz w:val="24"/>
          <w:szCs w:val="24"/>
          <w:lang w:val="en-US"/>
        </w:rPr>
        <w:t>Kaas</w:t>
      </w:r>
      <w:proofErr w:type="spellEnd"/>
      <w:r w:rsidRPr="00CF66C0">
        <w:rPr>
          <w:rFonts w:ascii="Times New Roman" w:eastAsia="Times New Roman" w:hAnsi="Times New Roman" w:cs="Times New Roman"/>
          <w:sz w:val="24"/>
          <w:szCs w:val="24"/>
          <w:lang w:val="en-US"/>
        </w:rPr>
        <w:t xml:space="preserve">, L. (2024). Which radial head fractures are best treated surgically? </w:t>
      </w:r>
      <w:r w:rsidRPr="00CF66C0">
        <w:rPr>
          <w:rFonts w:ascii="Times New Roman" w:eastAsia="Times New Roman" w:hAnsi="Times New Roman" w:cs="Times New Roman"/>
          <w:i/>
          <w:iCs/>
          <w:sz w:val="24"/>
          <w:szCs w:val="24"/>
          <w:lang w:val="en-US"/>
        </w:rPr>
        <w:t>EFORT Open Reviews, 9</w:t>
      </w:r>
      <w:r w:rsidRPr="00CF66C0">
        <w:rPr>
          <w:rFonts w:ascii="Times New Roman" w:eastAsia="Times New Roman" w:hAnsi="Times New Roman" w:cs="Times New Roman"/>
          <w:sz w:val="24"/>
          <w:szCs w:val="24"/>
          <w:lang w:val="en-US"/>
        </w:rPr>
        <w:t xml:space="preserve">(5). </w:t>
      </w:r>
      <w:hyperlink r:id="rId38" w:history="1">
        <w:r w:rsidRPr="00CF66C0">
          <w:rPr>
            <w:rStyle w:val="Hyperlink"/>
            <w:rFonts w:ascii="Times New Roman" w:eastAsia="Times New Roman" w:hAnsi="Times New Roman" w:cs="Times New Roman"/>
            <w:sz w:val="24"/>
            <w:szCs w:val="24"/>
            <w:lang w:val="en-US"/>
          </w:rPr>
          <w:t>https://doi.org/10.1530/EOR-24-0035</w:t>
        </w:r>
      </w:hyperlink>
      <w:r w:rsidRPr="00CF66C0">
        <w:rPr>
          <w:rFonts w:ascii="Times New Roman" w:eastAsia="Times New Roman" w:hAnsi="Times New Roman" w:cs="Times New Roman"/>
          <w:sz w:val="24"/>
          <w:szCs w:val="24"/>
          <w:lang w:val="en-US"/>
        </w:rPr>
        <w:t xml:space="preserve"> </w:t>
      </w:r>
    </w:p>
    <w:p w14:paraId="775570DA" w14:textId="77777777" w:rsidR="004C7547" w:rsidRPr="00CF66C0" w:rsidRDefault="004C7547" w:rsidP="00CF66C0">
      <w:pPr>
        <w:pStyle w:val="ListParagraph"/>
        <w:numPr>
          <w:ilvl w:val="0"/>
          <w:numId w:val="5"/>
        </w:numPr>
        <w:spacing w:before="240" w:after="120"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Viveen</w:t>
      </w:r>
      <w:proofErr w:type="spellEnd"/>
      <w:r w:rsidRPr="00CF66C0">
        <w:rPr>
          <w:rFonts w:ascii="Times New Roman" w:eastAsia="Times New Roman" w:hAnsi="Times New Roman" w:cs="Times New Roman"/>
          <w:sz w:val="24"/>
          <w:szCs w:val="24"/>
          <w:lang w:val="en-US"/>
        </w:rPr>
        <w:t xml:space="preserve">, J., </w:t>
      </w:r>
      <w:proofErr w:type="spellStart"/>
      <w:r w:rsidRPr="00CF66C0">
        <w:rPr>
          <w:rFonts w:ascii="Times New Roman" w:eastAsia="Times New Roman" w:hAnsi="Times New Roman" w:cs="Times New Roman"/>
          <w:sz w:val="24"/>
          <w:szCs w:val="24"/>
          <w:lang w:val="en-US"/>
        </w:rPr>
        <w:t>Kodde</w:t>
      </w:r>
      <w:proofErr w:type="spellEnd"/>
      <w:r w:rsidRPr="00CF66C0">
        <w:rPr>
          <w:rFonts w:ascii="Times New Roman" w:eastAsia="Times New Roman" w:hAnsi="Times New Roman" w:cs="Times New Roman"/>
          <w:sz w:val="24"/>
          <w:szCs w:val="24"/>
          <w:lang w:val="en-US"/>
        </w:rPr>
        <w:t xml:space="preserve">, I. F., </w:t>
      </w:r>
      <w:proofErr w:type="spellStart"/>
      <w:r w:rsidRPr="00CF66C0">
        <w:rPr>
          <w:rFonts w:ascii="Times New Roman" w:eastAsia="Times New Roman" w:hAnsi="Times New Roman" w:cs="Times New Roman"/>
          <w:sz w:val="24"/>
          <w:szCs w:val="24"/>
          <w:lang w:val="en-US"/>
        </w:rPr>
        <w:t>Heijink</w:t>
      </w:r>
      <w:proofErr w:type="spellEnd"/>
      <w:r w:rsidRPr="00CF66C0">
        <w:rPr>
          <w:rFonts w:ascii="Times New Roman" w:eastAsia="Times New Roman" w:hAnsi="Times New Roman" w:cs="Times New Roman"/>
          <w:sz w:val="24"/>
          <w:szCs w:val="24"/>
          <w:lang w:val="en-US"/>
        </w:rPr>
        <w:t xml:space="preserve">, A., </w:t>
      </w:r>
      <w:proofErr w:type="spellStart"/>
      <w:r w:rsidRPr="00CF66C0">
        <w:rPr>
          <w:rFonts w:ascii="Times New Roman" w:eastAsia="Times New Roman" w:hAnsi="Times New Roman" w:cs="Times New Roman"/>
          <w:sz w:val="24"/>
          <w:szCs w:val="24"/>
          <w:lang w:val="en-US"/>
        </w:rPr>
        <w:t>Koenraadt</w:t>
      </w:r>
      <w:proofErr w:type="spellEnd"/>
      <w:r w:rsidRPr="00CF66C0">
        <w:rPr>
          <w:rFonts w:ascii="Times New Roman" w:eastAsia="Times New Roman" w:hAnsi="Times New Roman" w:cs="Times New Roman"/>
          <w:sz w:val="24"/>
          <w:szCs w:val="24"/>
          <w:lang w:val="en-US"/>
        </w:rPr>
        <w:t xml:space="preserve">, K. L. M., van den </w:t>
      </w:r>
      <w:proofErr w:type="spellStart"/>
      <w:r w:rsidRPr="00CF66C0">
        <w:rPr>
          <w:rFonts w:ascii="Times New Roman" w:eastAsia="Times New Roman" w:hAnsi="Times New Roman" w:cs="Times New Roman"/>
          <w:sz w:val="24"/>
          <w:szCs w:val="24"/>
          <w:lang w:val="en-US"/>
        </w:rPr>
        <w:t>Bekerom</w:t>
      </w:r>
      <w:proofErr w:type="spellEnd"/>
      <w:r w:rsidRPr="00CF66C0">
        <w:rPr>
          <w:rFonts w:ascii="Times New Roman" w:eastAsia="Times New Roman" w:hAnsi="Times New Roman" w:cs="Times New Roman"/>
          <w:sz w:val="24"/>
          <w:szCs w:val="24"/>
          <w:lang w:val="en-US"/>
        </w:rPr>
        <w:t xml:space="preserve">, M. P. J., &amp; </w:t>
      </w:r>
      <w:proofErr w:type="spellStart"/>
      <w:r w:rsidRPr="00CF66C0">
        <w:rPr>
          <w:rFonts w:ascii="Times New Roman" w:eastAsia="Times New Roman" w:hAnsi="Times New Roman" w:cs="Times New Roman"/>
          <w:sz w:val="24"/>
          <w:szCs w:val="24"/>
          <w:lang w:val="en-US"/>
        </w:rPr>
        <w:t>Eygendaal</w:t>
      </w:r>
      <w:proofErr w:type="spellEnd"/>
      <w:r w:rsidRPr="00CF66C0">
        <w:rPr>
          <w:rFonts w:ascii="Times New Roman" w:eastAsia="Times New Roman" w:hAnsi="Times New Roman" w:cs="Times New Roman"/>
          <w:sz w:val="24"/>
          <w:szCs w:val="24"/>
          <w:lang w:val="en-US"/>
        </w:rPr>
        <w:t xml:space="preserve">, D. (2020). Why does radial head arthroplasty fail today? A systematic review of recent literature. </w:t>
      </w:r>
      <w:r w:rsidRPr="00CF66C0">
        <w:rPr>
          <w:rFonts w:ascii="Times New Roman" w:eastAsia="Times New Roman" w:hAnsi="Times New Roman" w:cs="Times New Roman"/>
          <w:i/>
          <w:iCs/>
          <w:sz w:val="24"/>
          <w:szCs w:val="24"/>
          <w:lang w:val="en-US"/>
        </w:rPr>
        <w:t>EFORT Open Reviews, 4</w:t>
      </w:r>
      <w:r w:rsidRPr="00CF66C0">
        <w:rPr>
          <w:rFonts w:ascii="Times New Roman" w:eastAsia="Times New Roman" w:hAnsi="Times New Roman" w:cs="Times New Roman"/>
          <w:sz w:val="24"/>
          <w:szCs w:val="24"/>
          <w:lang w:val="en-US"/>
        </w:rPr>
        <w:t xml:space="preserve">(12), 659–667. </w:t>
      </w:r>
      <w:hyperlink r:id="rId39" w:history="1">
        <w:r w:rsidRPr="00CF66C0">
          <w:rPr>
            <w:rStyle w:val="Hyperlink"/>
            <w:rFonts w:ascii="Times New Roman" w:eastAsia="Times New Roman" w:hAnsi="Times New Roman" w:cs="Times New Roman"/>
            <w:sz w:val="24"/>
            <w:szCs w:val="24"/>
            <w:lang w:val="en-US"/>
          </w:rPr>
          <w:t>https://doi.org/10.1302/2058-5241.4.180099</w:t>
        </w:r>
      </w:hyperlink>
    </w:p>
    <w:p w14:paraId="23D7467F" w14:textId="18C89438" w:rsidR="004C7547" w:rsidRPr="00CF66C0" w:rsidRDefault="004C7547" w:rsidP="00CF66C0">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CF66C0">
        <w:rPr>
          <w:rFonts w:ascii="Times New Roman" w:eastAsia="Times New Roman" w:hAnsi="Times New Roman" w:cs="Times New Roman"/>
          <w:sz w:val="24"/>
          <w:szCs w:val="24"/>
          <w:lang w:val="en-US"/>
        </w:rPr>
        <w:t>Wegmann</w:t>
      </w:r>
      <w:proofErr w:type="spellEnd"/>
      <w:r w:rsidRPr="00CF66C0">
        <w:rPr>
          <w:rFonts w:ascii="Times New Roman" w:eastAsia="Times New Roman" w:hAnsi="Times New Roman" w:cs="Times New Roman"/>
          <w:sz w:val="24"/>
          <w:szCs w:val="24"/>
          <w:lang w:val="en-US"/>
        </w:rPr>
        <w:t xml:space="preserve">, K., Hackl, M., </w:t>
      </w:r>
      <w:proofErr w:type="spellStart"/>
      <w:r w:rsidRPr="00CF66C0">
        <w:rPr>
          <w:rFonts w:ascii="Times New Roman" w:eastAsia="Times New Roman" w:hAnsi="Times New Roman" w:cs="Times New Roman"/>
          <w:sz w:val="24"/>
          <w:szCs w:val="24"/>
          <w:lang w:val="en-US"/>
        </w:rPr>
        <w:t>Leschinger</w:t>
      </w:r>
      <w:proofErr w:type="spellEnd"/>
      <w:r w:rsidRPr="00CF66C0">
        <w:rPr>
          <w:rFonts w:ascii="Times New Roman" w:eastAsia="Times New Roman" w:hAnsi="Times New Roman" w:cs="Times New Roman"/>
          <w:sz w:val="24"/>
          <w:szCs w:val="24"/>
          <w:lang w:val="en-US"/>
        </w:rPr>
        <w:t xml:space="preserve">, T., Burkhart, K. J., &amp; Müller, L. P. (2021). Overlengthening of the radial column in radial head replacement: A review of the literature and presentation of a classification system. </w:t>
      </w:r>
      <w:r w:rsidRPr="00CF66C0">
        <w:rPr>
          <w:rFonts w:ascii="Times New Roman" w:eastAsia="Times New Roman" w:hAnsi="Times New Roman" w:cs="Times New Roman"/>
          <w:i/>
          <w:iCs/>
          <w:sz w:val="24"/>
          <w:szCs w:val="24"/>
          <w:lang w:val="en-US"/>
        </w:rPr>
        <w:t xml:space="preserve">Archives of </w:t>
      </w:r>
      <w:proofErr w:type="spellStart"/>
      <w:r w:rsidRPr="00CF66C0">
        <w:rPr>
          <w:rFonts w:ascii="Times New Roman" w:eastAsia="Times New Roman" w:hAnsi="Times New Roman" w:cs="Times New Roman"/>
          <w:i/>
          <w:iCs/>
          <w:sz w:val="24"/>
          <w:szCs w:val="24"/>
          <w:lang w:val="en-US"/>
        </w:rPr>
        <w:t>Orthopaedic</w:t>
      </w:r>
      <w:proofErr w:type="spellEnd"/>
      <w:r w:rsidRPr="00CF66C0">
        <w:rPr>
          <w:rFonts w:ascii="Times New Roman" w:eastAsia="Times New Roman" w:hAnsi="Times New Roman" w:cs="Times New Roman"/>
          <w:i/>
          <w:iCs/>
          <w:sz w:val="24"/>
          <w:szCs w:val="24"/>
          <w:lang w:val="en-US"/>
        </w:rPr>
        <w:t xml:space="preserve"> and Trauma Surgery, 141</w:t>
      </w:r>
      <w:r w:rsidRPr="00CF66C0">
        <w:rPr>
          <w:rFonts w:ascii="Times New Roman" w:eastAsia="Times New Roman" w:hAnsi="Times New Roman" w:cs="Times New Roman"/>
          <w:sz w:val="24"/>
          <w:szCs w:val="24"/>
          <w:lang w:val="en-US"/>
        </w:rPr>
        <w:t xml:space="preserve">, 1525–1539. </w:t>
      </w:r>
      <w:hyperlink r:id="rId40" w:history="1">
        <w:r w:rsidRPr="00CF66C0">
          <w:rPr>
            <w:rStyle w:val="Hyperlink"/>
            <w:rFonts w:ascii="Times New Roman" w:eastAsia="Times New Roman" w:hAnsi="Times New Roman" w:cs="Times New Roman"/>
            <w:sz w:val="24"/>
            <w:szCs w:val="24"/>
            <w:lang w:val="en-US"/>
          </w:rPr>
          <w:t>https://doi.org/10.1007/s00402-020-03619-9</w:t>
        </w:r>
      </w:hyperlink>
      <w:r w:rsidRPr="00CF66C0">
        <w:rPr>
          <w:rFonts w:ascii="Times New Roman" w:eastAsia="Times New Roman" w:hAnsi="Times New Roman" w:cs="Times New Roman"/>
          <w:sz w:val="24"/>
          <w:szCs w:val="24"/>
          <w:lang w:val="en-US"/>
        </w:rPr>
        <w:t xml:space="preserve"> </w:t>
      </w:r>
    </w:p>
    <w:p w14:paraId="69B498C3" w14:textId="6EEE5E76" w:rsidR="005D3089" w:rsidRPr="00CF66C0" w:rsidRDefault="005D3089" w:rsidP="00CF66C0">
      <w:pPr>
        <w:pStyle w:val="ListParagraph"/>
        <w:numPr>
          <w:ilvl w:val="0"/>
          <w:numId w:val="5"/>
        </w:numPr>
        <w:shd w:val="clear" w:color="auto" w:fill="FFFFFF"/>
        <w:spacing w:before="225" w:after="100" w:afterAutospacing="1" w:line="240" w:lineRule="auto"/>
        <w:rPr>
          <w:rFonts w:ascii="Cambria" w:hAnsi="Cambria"/>
          <w:color w:val="1B1B1B"/>
          <w:sz w:val="26"/>
          <w:szCs w:val="26"/>
        </w:rPr>
      </w:pPr>
      <w:proofErr w:type="spellStart"/>
      <w:r w:rsidRPr="00CF66C0">
        <w:rPr>
          <w:rStyle w:val="HTMLCite"/>
          <w:rFonts w:ascii="Cambria" w:hAnsi="Cambria"/>
          <w:i w:val="0"/>
          <w:iCs w:val="0"/>
          <w:color w:val="1B1B1B"/>
          <w:sz w:val="26"/>
          <w:szCs w:val="26"/>
          <w:highlight w:val="yellow"/>
        </w:rPr>
        <w:t>Solarino</w:t>
      </w:r>
      <w:proofErr w:type="spellEnd"/>
      <w:r w:rsidRPr="00CF66C0">
        <w:rPr>
          <w:rStyle w:val="HTMLCite"/>
          <w:rFonts w:ascii="Cambria" w:hAnsi="Cambria"/>
          <w:i w:val="0"/>
          <w:iCs w:val="0"/>
          <w:color w:val="1B1B1B"/>
          <w:sz w:val="26"/>
          <w:szCs w:val="26"/>
          <w:highlight w:val="yellow"/>
        </w:rPr>
        <w:t xml:space="preserve"> G., Vicenti G., Abate A., </w:t>
      </w:r>
      <w:proofErr w:type="spellStart"/>
      <w:r w:rsidRPr="00CF66C0">
        <w:rPr>
          <w:rStyle w:val="HTMLCite"/>
          <w:rFonts w:ascii="Cambria" w:hAnsi="Cambria"/>
          <w:i w:val="0"/>
          <w:iCs w:val="0"/>
          <w:color w:val="1B1B1B"/>
          <w:sz w:val="26"/>
          <w:szCs w:val="26"/>
          <w:highlight w:val="yellow"/>
        </w:rPr>
        <w:t>Carrozzo</w:t>
      </w:r>
      <w:proofErr w:type="spellEnd"/>
      <w:r w:rsidRPr="00CF66C0">
        <w:rPr>
          <w:rStyle w:val="HTMLCite"/>
          <w:rFonts w:ascii="Cambria" w:hAnsi="Cambria"/>
          <w:i w:val="0"/>
          <w:iCs w:val="0"/>
          <w:color w:val="1B1B1B"/>
          <w:sz w:val="26"/>
          <w:szCs w:val="26"/>
          <w:highlight w:val="yellow"/>
        </w:rPr>
        <w:t xml:space="preserve"> M., </w:t>
      </w:r>
      <w:proofErr w:type="spellStart"/>
      <w:r w:rsidRPr="00CF66C0">
        <w:rPr>
          <w:rStyle w:val="HTMLCite"/>
          <w:rFonts w:ascii="Cambria" w:hAnsi="Cambria"/>
          <w:i w:val="0"/>
          <w:iCs w:val="0"/>
          <w:color w:val="1B1B1B"/>
          <w:sz w:val="26"/>
          <w:szCs w:val="26"/>
          <w:highlight w:val="yellow"/>
        </w:rPr>
        <w:t>Picca</w:t>
      </w:r>
      <w:proofErr w:type="spellEnd"/>
      <w:r w:rsidRPr="00CF66C0">
        <w:rPr>
          <w:rStyle w:val="HTMLCite"/>
          <w:rFonts w:ascii="Cambria" w:hAnsi="Cambria"/>
          <w:i w:val="0"/>
          <w:iCs w:val="0"/>
          <w:color w:val="1B1B1B"/>
          <w:sz w:val="26"/>
          <w:szCs w:val="26"/>
          <w:highlight w:val="yellow"/>
        </w:rPr>
        <w:t xml:space="preserve"> G., Moretti B. Mason type II and III radial head fracture in patients older than 65: is there still a place for radial head resection? Aging Clinical and Experimental Research. </w:t>
      </w:r>
      <w:proofErr w:type="gramStart"/>
      <w:r w:rsidRPr="00CF66C0">
        <w:rPr>
          <w:rStyle w:val="HTMLCite"/>
          <w:rFonts w:ascii="Cambria" w:hAnsi="Cambria"/>
          <w:i w:val="0"/>
          <w:iCs w:val="0"/>
          <w:color w:val="1B1B1B"/>
          <w:sz w:val="26"/>
          <w:szCs w:val="26"/>
          <w:highlight w:val="yellow"/>
        </w:rPr>
        <w:t>2015;27:77</w:t>
      </w:r>
      <w:proofErr w:type="gramEnd"/>
      <w:r w:rsidRPr="00CF66C0">
        <w:rPr>
          <w:rStyle w:val="HTMLCite"/>
          <w:rFonts w:ascii="Cambria" w:hAnsi="Cambria"/>
          <w:i w:val="0"/>
          <w:iCs w:val="0"/>
          <w:color w:val="1B1B1B"/>
          <w:sz w:val="26"/>
          <w:szCs w:val="26"/>
          <w:highlight w:val="yellow"/>
        </w:rPr>
        <w:t xml:space="preserve">–83. </w:t>
      </w:r>
      <w:proofErr w:type="spellStart"/>
      <w:r w:rsidRPr="00CF66C0">
        <w:rPr>
          <w:rStyle w:val="HTMLCite"/>
          <w:rFonts w:ascii="Cambria" w:hAnsi="Cambria"/>
          <w:i w:val="0"/>
          <w:iCs w:val="0"/>
          <w:color w:val="1B1B1B"/>
          <w:sz w:val="26"/>
          <w:szCs w:val="26"/>
          <w:highlight w:val="yellow"/>
        </w:rPr>
        <w:t>doi</w:t>
      </w:r>
      <w:proofErr w:type="spellEnd"/>
      <w:r w:rsidRPr="00CF66C0">
        <w:rPr>
          <w:rStyle w:val="HTMLCite"/>
          <w:rFonts w:ascii="Cambria" w:hAnsi="Cambria"/>
          <w:i w:val="0"/>
          <w:iCs w:val="0"/>
          <w:color w:val="1B1B1B"/>
          <w:sz w:val="26"/>
          <w:szCs w:val="26"/>
          <w:highlight w:val="yellow"/>
        </w:rPr>
        <w:t>: 10.1007/s40520-015-0425-1.</w:t>
      </w:r>
      <w:r w:rsidRPr="00CF66C0">
        <w:rPr>
          <w:rFonts w:ascii="Cambria" w:hAnsi="Cambria"/>
          <w:color w:val="1B1B1B"/>
          <w:sz w:val="26"/>
          <w:szCs w:val="26"/>
          <w:highlight w:val="yellow"/>
        </w:rPr>
        <w:t> </w:t>
      </w:r>
    </w:p>
    <w:p w14:paraId="14B82DD0" w14:textId="190C5B75" w:rsidR="00CB75A8" w:rsidRPr="00CF66C0" w:rsidRDefault="007414F9" w:rsidP="00CF66C0">
      <w:pPr>
        <w:pStyle w:val="ListParagraph"/>
        <w:numPr>
          <w:ilvl w:val="0"/>
          <w:numId w:val="5"/>
        </w:numPr>
        <w:spacing w:before="240" w:after="120" w:line="240" w:lineRule="auto"/>
        <w:jc w:val="both"/>
        <w:rPr>
          <w:rFonts w:ascii="Times New Roman" w:eastAsia="Times New Roman" w:hAnsi="Times New Roman" w:cs="Times New Roman"/>
          <w:sz w:val="24"/>
          <w:szCs w:val="24"/>
          <w:lang w:val="en-US"/>
        </w:rPr>
      </w:pPr>
      <w:proofErr w:type="spellStart"/>
      <w:r w:rsidRPr="00CF66C0">
        <w:rPr>
          <w:rFonts w:ascii="Arial" w:hAnsi="Arial" w:cs="Arial"/>
          <w:color w:val="222222"/>
          <w:sz w:val="20"/>
          <w:szCs w:val="20"/>
          <w:highlight w:val="yellow"/>
          <w:shd w:val="clear" w:color="auto" w:fill="FFFFFF"/>
        </w:rPr>
        <w:t>Heifner</w:t>
      </w:r>
      <w:proofErr w:type="spellEnd"/>
      <w:r w:rsidRPr="00CF66C0">
        <w:rPr>
          <w:rFonts w:ascii="Arial" w:hAnsi="Arial" w:cs="Arial"/>
          <w:color w:val="222222"/>
          <w:sz w:val="20"/>
          <w:szCs w:val="20"/>
          <w:highlight w:val="yellow"/>
          <w:shd w:val="clear" w:color="auto" w:fill="FFFFFF"/>
        </w:rPr>
        <w:t xml:space="preserve">, J. J., </w:t>
      </w:r>
      <w:proofErr w:type="spellStart"/>
      <w:r w:rsidRPr="00CF66C0">
        <w:rPr>
          <w:rFonts w:ascii="Arial" w:hAnsi="Arial" w:cs="Arial"/>
          <w:color w:val="222222"/>
          <w:sz w:val="20"/>
          <w:szCs w:val="20"/>
          <w:highlight w:val="yellow"/>
          <w:shd w:val="clear" w:color="auto" w:fill="FFFFFF"/>
        </w:rPr>
        <w:t>Dones</w:t>
      </w:r>
      <w:proofErr w:type="spellEnd"/>
      <w:r w:rsidRPr="00CF66C0">
        <w:rPr>
          <w:rFonts w:ascii="Arial" w:hAnsi="Arial" w:cs="Arial"/>
          <w:color w:val="222222"/>
          <w:sz w:val="20"/>
          <w:szCs w:val="20"/>
          <w:highlight w:val="yellow"/>
          <w:shd w:val="clear" w:color="auto" w:fill="FFFFFF"/>
        </w:rPr>
        <w:t>, A. E. R., Wells, A. L., &amp; Mercer, D. M. (2023). The comparative performance of radial head prostheses in patients younger than and older than 50 years: a systematic review. </w:t>
      </w:r>
      <w:r w:rsidRPr="00CF66C0">
        <w:rPr>
          <w:rFonts w:ascii="Arial" w:hAnsi="Arial" w:cs="Arial"/>
          <w:i/>
          <w:iCs/>
          <w:color w:val="222222"/>
          <w:sz w:val="20"/>
          <w:szCs w:val="20"/>
          <w:highlight w:val="yellow"/>
          <w:shd w:val="clear" w:color="auto" w:fill="FFFFFF"/>
        </w:rPr>
        <w:t>JSES Reviews, Reports, and Techniques</w:t>
      </w:r>
      <w:r w:rsidRPr="00CF66C0">
        <w:rPr>
          <w:rFonts w:ascii="Arial" w:hAnsi="Arial" w:cs="Arial"/>
          <w:color w:val="222222"/>
          <w:sz w:val="20"/>
          <w:szCs w:val="20"/>
          <w:highlight w:val="yellow"/>
          <w:shd w:val="clear" w:color="auto" w:fill="FFFFFF"/>
        </w:rPr>
        <w:t>, </w:t>
      </w:r>
      <w:r w:rsidRPr="00CF66C0">
        <w:rPr>
          <w:rFonts w:ascii="Arial" w:hAnsi="Arial" w:cs="Arial"/>
          <w:i/>
          <w:iCs/>
          <w:color w:val="222222"/>
          <w:sz w:val="20"/>
          <w:szCs w:val="20"/>
          <w:highlight w:val="yellow"/>
          <w:shd w:val="clear" w:color="auto" w:fill="FFFFFF"/>
        </w:rPr>
        <w:t>3</w:t>
      </w:r>
      <w:r w:rsidRPr="00CF66C0">
        <w:rPr>
          <w:rFonts w:ascii="Arial" w:hAnsi="Arial" w:cs="Arial"/>
          <w:color w:val="222222"/>
          <w:sz w:val="20"/>
          <w:szCs w:val="20"/>
          <w:highlight w:val="yellow"/>
          <w:shd w:val="clear" w:color="auto" w:fill="FFFFFF"/>
        </w:rPr>
        <w:t xml:space="preserve">(1), 49-55. </w:t>
      </w:r>
      <w:hyperlink r:id="rId41" w:tgtFrame="_blank" w:tooltip="Persistent link using digital object identifier" w:history="1">
        <w:r w:rsidRPr="00CF66C0">
          <w:rPr>
            <w:rStyle w:val="anchor-text"/>
            <w:rFonts w:ascii="Arial" w:hAnsi="Arial" w:cs="Arial"/>
            <w:color w:val="0272B1"/>
            <w:sz w:val="21"/>
            <w:szCs w:val="21"/>
            <w:highlight w:val="yellow"/>
          </w:rPr>
          <w:t>https://doi.org/10.1016/j.xrrt.2022.09.008</w:t>
        </w:r>
      </w:hyperlink>
    </w:p>
    <w:p w14:paraId="78C23676" w14:textId="77777777" w:rsidR="003E35A3" w:rsidRPr="003E35A3" w:rsidRDefault="003E35A3" w:rsidP="00F93E0B">
      <w:pPr>
        <w:spacing w:before="100" w:beforeAutospacing="1" w:after="100" w:afterAutospacing="1" w:line="240" w:lineRule="auto"/>
        <w:jc w:val="both"/>
        <w:rPr>
          <w:rFonts w:ascii="Times New Roman" w:eastAsia="Times New Roman" w:hAnsi="Times New Roman" w:cs="Times New Roman"/>
          <w:sz w:val="24"/>
          <w:szCs w:val="24"/>
          <w:lang w:val="en-US"/>
        </w:rPr>
      </w:pPr>
    </w:p>
    <w:p w14:paraId="4DB04C05" w14:textId="77777777" w:rsidR="003E35A3" w:rsidRPr="000E67D1" w:rsidRDefault="003E35A3" w:rsidP="00F93E0B">
      <w:pPr>
        <w:spacing w:before="100" w:beforeAutospacing="1" w:after="100" w:afterAutospacing="1" w:line="240" w:lineRule="auto"/>
        <w:jc w:val="both"/>
        <w:rPr>
          <w:rFonts w:ascii="Times New Roman" w:eastAsia="Times New Roman" w:hAnsi="Times New Roman" w:cs="Times New Roman"/>
          <w:sz w:val="24"/>
          <w:szCs w:val="24"/>
          <w:lang w:val="en-US"/>
        </w:rPr>
      </w:pPr>
    </w:p>
    <w:p w14:paraId="7F613F18" w14:textId="77777777" w:rsidR="000E67D1" w:rsidRPr="000E67D1" w:rsidRDefault="000E67D1" w:rsidP="00F93E0B">
      <w:pPr>
        <w:spacing w:before="100" w:beforeAutospacing="1" w:after="100" w:afterAutospacing="1" w:line="240" w:lineRule="auto"/>
        <w:jc w:val="both"/>
        <w:rPr>
          <w:rFonts w:ascii="Times New Roman" w:eastAsia="Times New Roman" w:hAnsi="Times New Roman" w:cs="Times New Roman"/>
          <w:sz w:val="24"/>
          <w:szCs w:val="24"/>
          <w:lang w:val="en-US"/>
        </w:rPr>
      </w:pPr>
    </w:p>
    <w:p w14:paraId="50BE6F68" w14:textId="77777777" w:rsidR="003B035B" w:rsidRPr="002312EA" w:rsidRDefault="003B035B" w:rsidP="00F93E0B">
      <w:pPr>
        <w:jc w:val="both"/>
      </w:pPr>
    </w:p>
    <w:sectPr w:rsidR="003B035B" w:rsidRPr="002312EA" w:rsidSect="00CB6EB6">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FD9B5" w14:textId="77777777" w:rsidR="00961BDE" w:rsidRDefault="00961BDE" w:rsidP="00967618">
      <w:pPr>
        <w:spacing w:after="0" w:line="240" w:lineRule="auto"/>
      </w:pPr>
      <w:r>
        <w:separator/>
      </w:r>
    </w:p>
  </w:endnote>
  <w:endnote w:type="continuationSeparator" w:id="0">
    <w:p w14:paraId="4EACD56E" w14:textId="77777777" w:rsidR="00961BDE" w:rsidRDefault="00961BDE" w:rsidP="0096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1BAB" w14:textId="77777777" w:rsidR="00967618" w:rsidRDefault="00967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4809" w14:textId="77777777" w:rsidR="00967618" w:rsidRDefault="00967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79F9" w14:textId="77777777" w:rsidR="00967618" w:rsidRDefault="0096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E01F7" w14:textId="77777777" w:rsidR="00961BDE" w:rsidRDefault="00961BDE" w:rsidP="00967618">
      <w:pPr>
        <w:spacing w:after="0" w:line="240" w:lineRule="auto"/>
      </w:pPr>
      <w:r>
        <w:separator/>
      </w:r>
    </w:p>
  </w:footnote>
  <w:footnote w:type="continuationSeparator" w:id="0">
    <w:p w14:paraId="19A1A7A2" w14:textId="77777777" w:rsidR="00961BDE" w:rsidRDefault="00961BDE" w:rsidP="0096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2363" w14:textId="47FAAA97" w:rsidR="00967618" w:rsidRDefault="00961BDE">
    <w:pPr>
      <w:pStyle w:val="Header"/>
    </w:pPr>
    <w:r>
      <w:rPr>
        <w:noProof/>
      </w:rPr>
      <w:pict w14:anchorId="34053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815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24731" w14:textId="0A92B022" w:rsidR="00967618" w:rsidRDefault="00961BDE">
    <w:pPr>
      <w:pStyle w:val="Header"/>
    </w:pPr>
    <w:r>
      <w:rPr>
        <w:noProof/>
      </w:rPr>
      <w:pict w14:anchorId="5C1AC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815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2FEC" w14:textId="5884A460" w:rsidR="00967618" w:rsidRDefault="00961BDE">
    <w:pPr>
      <w:pStyle w:val="Header"/>
    </w:pPr>
    <w:r>
      <w:rPr>
        <w:noProof/>
      </w:rPr>
      <w:pict w14:anchorId="61677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815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132E8"/>
    <w:multiLevelType w:val="multilevel"/>
    <w:tmpl w:val="39B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811A0"/>
    <w:multiLevelType w:val="multilevel"/>
    <w:tmpl w:val="D68C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B31CA"/>
    <w:multiLevelType w:val="hybridMultilevel"/>
    <w:tmpl w:val="85F45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zMDA2MzY1s7AwMjdS0lEKTi0uzszPAykwqgUABdfL6iwAAAA="/>
  </w:docVars>
  <w:rsids>
    <w:rsidRoot w:val="00761CB6"/>
    <w:rsid w:val="000425DD"/>
    <w:rsid w:val="00053D7A"/>
    <w:rsid w:val="0006037D"/>
    <w:rsid w:val="0006413B"/>
    <w:rsid w:val="000643E7"/>
    <w:rsid w:val="000A0EB4"/>
    <w:rsid w:val="000C4F0E"/>
    <w:rsid w:val="000E67D1"/>
    <w:rsid w:val="000F27AA"/>
    <w:rsid w:val="00114147"/>
    <w:rsid w:val="001261CC"/>
    <w:rsid w:val="00126ADF"/>
    <w:rsid w:val="00131E50"/>
    <w:rsid w:val="00135191"/>
    <w:rsid w:val="00142919"/>
    <w:rsid w:val="001560E3"/>
    <w:rsid w:val="00186E2A"/>
    <w:rsid w:val="001A165A"/>
    <w:rsid w:val="001A3703"/>
    <w:rsid w:val="001A7A4E"/>
    <w:rsid w:val="001E6EC5"/>
    <w:rsid w:val="00202F35"/>
    <w:rsid w:val="0022042D"/>
    <w:rsid w:val="002312EA"/>
    <w:rsid w:val="00235E82"/>
    <w:rsid w:val="0024324D"/>
    <w:rsid w:val="00260455"/>
    <w:rsid w:val="00271A26"/>
    <w:rsid w:val="002778DD"/>
    <w:rsid w:val="00284F1F"/>
    <w:rsid w:val="002A4C47"/>
    <w:rsid w:val="002B76E6"/>
    <w:rsid w:val="002C48BB"/>
    <w:rsid w:val="002D689A"/>
    <w:rsid w:val="002F4C0C"/>
    <w:rsid w:val="00307595"/>
    <w:rsid w:val="0031286E"/>
    <w:rsid w:val="003664CE"/>
    <w:rsid w:val="003975AE"/>
    <w:rsid w:val="003A104D"/>
    <w:rsid w:val="003A4787"/>
    <w:rsid w:val="003B035B"/>
    <w:rsid w:val="003B3553"/>
    <w:rsid w:val="003B3A7F"/>
    <w:rsid w:val="003B400E"/>
    <w:rsid w:val="003B6CCD"/>
    <w:rsid w:val="003C31E9"/>
    <w:rsid w:val="003E35A3"/>
    <w:rsid w:val="003F02C5"/>
    <w:rsid w:val="003F6E91"/>
    <w:rsid w:val="00405181"/>
    <w:rsid w:val="004132B1"/>
    <w:rsid w:val="004148F5"/>
    <w:rsid w:val="00416C8C"/>
    <w:rsid w:val="00456E20"/>
    <w:rsid w:val="004615AF"/>
    <w:rsid w:val="004A5427"/>
    <w:rsid w:val="004C1A63"/>
    <w:rsid w:val="004C6306"/>
    <w:rsid w:val="004C7547"/>
    <w:rsid w:val="004E7311"/>
    <w:rsid w:val="00516AA1"/>
    <w:rsid w:val="0052448D"/>
    <w:rsid w:val="0054487D"/>
    <w:rsid w:val="0056389E"/>
    <w:rsid w:val="00564FB4"/>
    <w:rsid w:val="00571246"/>
    <w:rsid w:val="005A5DB4"/>
    <w:rsid w:val="005D3089"/>
    <w:rsid w:val="005D5DE6"/>
    <w:rsid w:val="005F175E"/>
    <w:rsid w:val="0061521F"/>
    <w:rsid w:val="00622C65"/>
    <w:rsid w:val="00626F6E"/>
    <w:rsid w:val="00632906"/>
    <w:rsid w:val="00661483"/>
    <w:rsid w:val="006618F5"/>
    <w:rsid w:val="0067007E"/>
    <w:rsid w:val="00676549"/>
    <w:rsid w:val="0067685B"/>
    <w:rsid w:val="00683EC3"/>
    <w:rsid w:val="00692471"/>
    <w:rsid w:val="00695D59"/>
    <w:rsid w:val="006A2C8B"/>
    <w:rsid w:val="006A39B3"/>
    <w:rsid w:val="006B66BC"/>
    <w:rsid w:val="006D455D"/>
    <w:rsid w:val="006E4B0A"/>
    <w:rsid w:val="006F708E"/>
    <w:rsid w:val="00711B14"/>
    <w:rsid w:val="00713825"/>
    <w:rsid w:val="00720F41"/>
    <w:rsid w:val="00737A32"/>
    <w:rsid w:val="007414F9"/>
    <w:rsid w:val="00755BDC"/>
    <w:rsid w:val="00761CB6"/>
    <w:rsid w:val="0078275D"/>
    <w:rsid w:val="007B437D"/>
    <w:rsid w:val="007C7951"/>
    <w:rsid w:val="007D03BC"/>
    <w:rsid w:val="007D38FC"/>
    <w:rsid w:val="007E249F"/>
    <w:rsid w:val="007F1928"/>
    <w:rsid w:val="00804929"/>
    <w:rsid w:val="008107F6"/>
    <w:rsid w:val="00812006"/>
    <w:rsid w:val="0083179B"/>
    <w:rsid w:val="00834CCC"/>
    <w:rsid w:val="008374C4"/>
    <w:rsid w:val="00856AFD"/>
    <w:rsid w:val="00870945"/>
    <w:rsid w:val="008811F8"/>
    <w:rsid w:val="00883166"/>
    <w:rsid w:val="008A4BFC"/>
    <w:rsid w:val="008C5C48"/>
    <w:rsid w:val="008E71C6"/>
    <w:rsid w:val="008F3850"/>
    <w:rsid w:val="00951A3D"/>
    <w:rsid w:val="00961BDE"/>
    <w:rsid w:val="00967618"/>
    <w:rsid w:val="009929A7"/>
    <w:rsid w:val="00992B92"/>
    <w:rsid w:val="00994A4A"/>
    <w:rsid w:val="009B0DAE"/>
    <w:rsid w:val="009B3A8A"/>
    <w:rsid w:val="009B55DE"/>
    <w:rsid w:val="009D0B9D"/>
    <w:rsid w:val="009D5BA5"/>
    <w:rsid w:val="009E5244"/>
    <w:rsid w:val="009F0120"/>
    <w:rsid w:val="00A029C3"/>
    <w:rsid w:val="00A2270F"/>
    <w:rsid w:val="00A478B2"/>
    <w:rsid w:val="00A50845"/>
    <w:rsid w:val="00A5299F"/>
    <w:rsid w:val="00A54719"/>
    <w:rsid w:val="00A57A87"/>
    <w:rsid w:val="00A7055A"/>
    <w:rsid w:val="00AA4644"/>
    <w:rsid w:val="00AB0C7A"/>
    <w:rsid w:val="00AE651D"/>
    <w:rsid w:val="00AF7425"/>
    <w:rsid w:val="00B06888"/>
    <w:rsid w:val="00B1065D"/>
    <w:rsid w:val="00B3446A"/>
    <w:rsid w:val="00B451DB"/>
    <w:rsid w:val="00B84C19"/>
    <w:rsid w:val="00BB6828"/>
    <w:rsid w:val="00BC43AE"/>
    <w:rsid w:val="00BD22E5"/>
    <w:rsid w:val="00BF0896"/>
    <w:rsid w:val="00BF26BF"/>
    <w:rsid w:val="00C13468"/>
    <w:rsid w:val="00C3420C"/>
    <w:rsid w:val="00C40318"/>
    <w:rsid w:val="00C404E0"/>
    <w:rsid w:val="00C5683C"/>
    <w:rsid w:val="00C57B8F"/>
    <w:rsid w:val="00C6694F"/>
    <w:rsid w:val="00C7136B"/>
    <w:rsid w:val="00C93A8A"/>
    <w:rsid w:val="00C955E0"/>
    <w:rsid w:val="00CB6EB6"/>
    <w:rsid w:val="00CB75A8"/>
    <w:rsid w:val="00CE051F"/>
    <w:rsid w:val="00CE0C42"/>
    <w:rsid w:val="00CE5BFA"/>
    <w:rsid w:val="00CF66C0"/>
    <w:rsid w:val="00D07932"/>
    <w:rsid w:val="00D2322A"/>
    <w:rsid w:val="00D2722C"/>
    <w:rsid w:val="00D40796"/>
    <w:rsid w:val="00D63323"/>
    <w:rsid w:val="00D71250"/>
    <w:rsid w:val="00D75C9D"/>
    <w:rsid w:val="00D9293B"/>
    <w:rsid w:val="00DC6BC2"/>
    <w:rsid w:val="00DF1EB1"/>
    <w:rsid w:val="00DF20BB"/>
    <w:rsid w:val="00DF5AB4"/>
    <w:rsid w:val="00E125DA"/>
    <w:rsid w:val="00E20962"/>
    <w:rsid w:val="00E3297F"/>
    <w:rsid w:val="00E42D8B"/>
    <w:rsid w:val="00E643E8"/>
    <w:rsid w:val="00E7044C"/>
    <w:rsid w:val="00E76785"/>
    <w:rsid w:val="00EA45FD"/>
    <w:rsid w:val="00EC4D6C"/>
    <w:rsid w:val="00EE2E7D"/>
    <w:rsid w:val="00F13040"/>
    <w:rsid w:val="00F34B91"/>
    <w:rsid w:val="00F6047F"/>
    <w:rsid w:val="00F754E8"/>
    <w:rsid w:val="00F93E0B"/>
    <w:rsid w:val="00FA03AB"/>
    <w:rsid w:val="00FA7321"/>
    <w:rsid w:val="00FB6475"/>
    <w:rsid w:val="00FF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46EFD2"/>
  <w15:docId w15:val="{32F85584-8717-4D00-95F3-5D5CBC16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967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618"/>
  </w:style>
  <w:style w:type="paragraph" w:styleId="Footer">
    <w:name w:val="footer"/>
    <w:basedOn w:val="Normal"/>
    <w:link w:val="FooterChar"/>
    <w:uiPriority w:val="99"/>
    <w:unhideWhenUsed/>
    <w:rsid w:val="00967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618"/>
  </w:style>
  <w:style w:type="character" w:customStyle="1" w:styleId="label">
    <w:name w:val="label"/>
    <w:basedOn w:val="DefaultParagraphFont"/>
    <w:rsid w:val="005D3089"/>
  </w:style>
  <w:style w:type="character" w:styleId="HTMLCite">
    <w:name w:val="HTML Cite"/>
    <w:basedOn w:val="DefaultParagraphFont"/>
    <w:uiPriority w:val="99"/>
    <w:semiHidden/>
    <w:unhideWhenUsed/>
    <w:rsid w:val="005D3089"/>
    <w:rPr>
      <w:i/>
      <w:iCs/>
    </w:rPr>
  </w:style>
  <w:style w:type="character" w:customStyle="1" w:styleId="anchor-text">
    <w:name w:val="anchor-text"/>
    <w:basedOn w:val="DefaultParagraphFont"/>
    <w:rsid w:val="00741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746">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1759435">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or.2016.06.011" TargetMode="External"/><Relationship Id="rId18" Type="http://schemas.openxmlformats.org/officeDocument/2006/relationships/hyperlink" Target="https://doi.org/10.1097/CORR.0000000000000876" TargetMode="External"/><Relationship Id="rId26" Type="http://schemas.openxmlformats.org/officeDocument/2006/relationships/hyperlink" Target="https://doi.org/10.1302/2058-5241.5.190055" TargetMode="External"/><Relationship Id="rId39" Type="http://schemas.openxmlformats.org/officeDocument/2006/relationships/hyperlink" Target="https://doi.org/10.1302/2058-5241.4.180099" TargetMode="External"/><Relationship Id="rId21" Type="http://schemas.openxmlformats.org/officeDocument/2006/relationships/hyperlink" Target="https://doi.org/10.1016/j.jse.2021.12.034" TargetMode="External"/><Relationship Id="rId34" Type="http://schemas.openxmlformats.org/officeDocument/2006/relationships/hyperlink" Target="https://doi.org/10.1080/17453674.2017.1293440"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7/MD.0000000000013054" TargetMode="External"/><Relationship Id="rId29" Type="http://schemas.openxmlformats.org/officeDocument/2006/relationships/hyperlink" Target="https://doi.org/10.1302/0301-620X.99B9.BJJ-2016-1043.R2" TargetMode="External"/><Relationship Id="rId11" Type="http://schemas.openxmlformats.org/officeDocument/2006/relationships/hyperlink" Target="https://doi.org/10.1308/rcsann.2022.0109" TargetMode="External"/><Relationship Id="rId24" Type="http://schemas.openxmlformats.org/officeDocument/2006/relationships/hyperlink" Target="https://doi.org/10.1177/1758573219864305" TargetMode="External"/><Relationship Id="rId32" Type="http://schemas.openxmlformats.org/officeDocument/2006/relationships/hyperlink" Target="https://doi.org/10.1302/2058-5241.4.180072" TargetMode="External"/><Relationship Id="rId37" Type="http://schemas.openxmlformats.org/officeDocument/2006/relationships/hyperlink" Target="https://doi.org/10.1097/BOT.0000000000000885" TargetMode="External"/><Relationship Id="rId40" Type="http://schemas.openxmlformats.org/officeDocument/2006/relationships/hyperlink" Target="https://doi.org/10.1007/s00402-020-03619-9"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2306-020-00679-3" TargetMode="External"/><Relationship Id="rId23" Type="http://schemas.openxmlformats.org/officeDocument/2006/relationships/hyperlink" Target="https://doi.org/10.2106/JBJS.RVW.15.00095" TargetMode="External"/><Relationship Id="rId28" Type="http://schemas.openxmlformats.org/officeDocument/2006/relationships/hyperlink" Target="https://doi.org/10.1016/j.jse.2017.04.008" TargetMode="External"/><Relationship Id="rId36" Type="http://schemas.openxmlformats.org/officeDocument/2006/relationships/hyperlink" Target="https://doi.org/10.1007/s00590-020-02774-4" TargetMode="External"/><Relationship Id="rId49" Type="http://schemas.openxmlformats.org/officeDocument/2006/relationships/theme" Target="theme/theme1.xml"/><Relationship Id="rId10" Type="http://schemas.openxmlformats.org/officeDocument/2006/relationships/hyperlink" Target="https://doi.org/10.1016/j.otsr.2021.102814" TargetMode="External"/><Relationship Id="rId19" Type="http://schemas.openxmlformats.org/officeDocument/2006/relationships/hyperlink" Target="https://doi.org/10.1016/j.jse.2021.03.142" TargetMode="External"/><Relationship Id="rId31" Type="http://schemas.openxmlformats.org/officeDocument/2006/relationships/hyperlink" Target="https://doi.org/10.1177/175857322098784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otsr.2019.10.027" TargetMode="External"/><Relationship Id="rId14" Type="http://schemas.openxmlformats.org/officeDocument/2006/relationships/hyperlink" Target="https://doi.org/10.1155/2018/4020625" TargetMode="External"/><Relationship Id="rId22" Type="http://schemas.openxmlformats.org/officeDocument/2006/relationships/hyperlink" Target="https://doi.org/10.1016/j.jse.2024.02.042" TargetMode="External"/><Relationship Id="rId27" Type="http://schemas.openxmlformats.org/officeDocument/2006/relationships/hyperlink" Target="https://doi.org/10.1007/s43465-022-00645-0" TargetMode="External"/><Relationship Id="rId30" Type="http://schemas.openxmlformats.org/officeDocument/2006/relationships/hyperlink" Target="https://doi.org/10.1016/S0020-1383(16)30603-9" TargetMode="External"/><Relationship Id="rId35" Type="http://schemas.openxmlformats.org/officeDocument/2006/relationships/hyperlink" Target="https://doi.org/10.2106/JBJS.20.0123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1016/j.jse.2018.07.032" TargetMode="External"/><Relationship Id="rId3" Type="http://schemas.openxmlformats.org/officeDocument/2006/relationships/styles" Target="styles.xml"/><Relationship Id="rId12" Type="http://schemas.openxmlformats.org/officeDocument/2006/relationships/hyperlink" Target="https://doi.org/10.1016/j.jcot.2023.102128" TargetMode="External"/><Relationship Id="rId17" Type="http://schemas.openxmlformats.org/officeDocument/2006/relationships/hyperlink" Target="https://doi.org/10.1016/j.otsr.2018.02.007" TargetMode="External"/><Relationship Id="rId25" Type="http://schemas.openxmlformats.org/officeDocument/2006/relationships/hyperlink" Target="https://doi.org/10.1016/j.jhsa.2017.08.031" TargetMode="External"/><Relationship Id="rId33" Type="http://schemas.openxmlformats.org/officeDocument/2006/relationships/hyperlink" Target="https://doi.org/10.1302/0301-620X.100B11.BJJ-2018-0293.R1" TargetMode="External"/><Relationship Id="rId38" Type="http://schemas.openxmlformats.org/officeDocument/2006/relationships/hyperlink" Target="https://doi.org/10.1530/EOR-24-0035" TargetMode="External"/><Relationship Id="rId46" Type="http://schemas.openxmlformats.org/officeDocument/2006/relationships/header" Target="header3.xml"/><Relationship Id="rId20" Type="http://schemas.openxmlformats.org/officeDocument/2006/relationships/hyperlink" Target="https://doi.org/10.1177/17585732241268904" TargetMode="External"/><Relationship Id="rId41" Type="http://schemas.openxmlformats.org/officeDocument/2006/relationships/hyperlink" Target="https://doi.org/10.1016/j.xrrt.2022.09.00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ED501-8097-476C-8101-E91362E8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2257</TotalTime>
  <Pages>18</Pages>
  <Words>8829</Words>
  <Characters>50330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60</cp:revision>
  <cp:lastPrinted>2025-12-13T07:14:00Z</cp:lastPrinted>
  <dcterms:created xsi:type="dcterms:W3CDTF">2025-09-24T12:44:00Z</dcterms:created>
  <dcterms:modified xsi:type="dcterms:W3CDTF">2025-12-27T06:35:00Z</dcterms:modified>
</cp:coreProperties>
</file>